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8D5" w:rsidRPr="00B54731" w:rsidRDefault="00BE48D5" w:rsidP="00B54731">
      <w:pPr>
        <w:spacing w:line="360" w:lineRule="auto"/>
        <w:jc w:val="both"/>
        <w:rPr>
          <w:rFonts w:ascii="Palatino Linotype" w:hAnsi="Palatino Linotype"/>
          <w:lang w:val="es-ES_tradnl" w:eastAsia="es-ES"/>
        </w:rPr>
      </w:pPr>
    </w:p>
    <w:p w:rsidR="00BE48D5" w:rsidRPr="00422273" w:rsidRDefault="00BE48D5" w:rsidP="00B54731">
      <w:pPr>
        <w:spacing w:line="360" w:lineRule="auto"/>
        <w:jc w:val="center"/>
        <w:rPr>
          <w:rFonts w:ascii="Palatino Linotype" w:eastAsiaTheme="minorEastAsia" w:hAnsi="Palatino Linotype"/>
          <w:lang w:val="es-ES_tradnl" w:eastAsia="es-ES"/>
        </w:rPr>
      </w:pPr>
      <w:r w:rsidRPr="00422273">
        <w:rPr>
          <w:rFonts w:ascii="Palatino Linotype" w:eastAsiaTheme="minorEastAsia" w:hAnsi="Palatino Linotype"/>
          <w:b/>
          <w:lang w:val="es-ES_tradnl" w:eastAsia="es-ES"/>
        </w:rPr>
        <w:t>ÍNDICE</w:t>
      </w:r>
      <w:r w:rsidRPr="00422273">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BE48D5" w:rsidRPr="00422273" w:rsidRDefault="00BE48D5" w:rsidP="00B54731">
          <w:pPr>
            <w:keepNext/>
            <w:keepLines/>
            <w:spacing w:line="360" w:lineRule="auto"/>
            <w:rPr>
              <w:rFonts w:ascii="Palatino Linotype" w:eastAsiaTheme="majorEastAsia" w:hAnsi="Palatino Linotype" w:cstheme="majorBidi"/>
              <w:b/>
              <w:szCs w:val="32"/>
            </w:rPr>
          </w:pPr>
        </w:p>
        <w:p w:rsidR="00B54731" w:rsidRPr="00422273" w:rsidRDefault="00BE48D5" w:rsidP="00BE1ECC">
          <w:pPr>
            <w:pStyle w:val="TDC1"/>
            <w:tabs>
              <w:tab w:val="right" w:leader="dot" w:pos="9034"/>
            </w:tabs>
            <w:spacing w:line="360" w:lineRule="auto"/>
            <w:rPr>
              <w:rFonts w:ascii="Palatino Linotype" w:eastAsiaTheme="minorEastAsia" w:hAnsi="Palatino Linotype"/>
              <w:b/>
              <w:noProof/>
              <w:sz w:val="24"/>
              <w:szCs w:val="24"/>
              <w:lang w:val="es-ES" w:eastAsia="es-ES"/>
            </w:rPr>
          </w:pPr>
          <w:r w:rsidRPr="00422273">
            <w:rPr>
              <w:rFonts w:ascii="Palatino Linotype" w:eastAsiaTheme="minorEastAsia" w:hAnsi="Palatino Linotype"/>
              <w:b/>
              <w:sz w:val="24"/>
              <w:szCs w:val="24"/>
              <w:lang w:val="es-ES_tradnl" w:eastAsia="es-ES"/>
            </w:rPr>
            <w:fldChar w:fldCharType="begin"/>
          </w:r>
          <w:r w:rsidRPr="00422273">
            <w:rPr>
              <w:rFonts w:ascii="Palatino Linotype" w:eastAsiaTheme="minorEastAsia" w:hAnsi="Palatino Linotype"/>
              <w:b/>
              <w:sz w:val="24"/>
              <w:szCs w:val="24"/>
              <w:lang w:val="es-ES_tradnl" w:eastAsia="es-ES"/>
            </w:rPr>
            <w:instrText xml:space="preserve"> TOC \o "1-3" \h \z \u </w:instrText>
          </w:r>
          <w:r w:rsidRPr="00422273">
            <w:rPr>
              <w:rFonts w:ascii="Palatino Linotype" w:eastAsiaTheme="minorEastAsia" w:hAnsi="Palatino Linotype"/>
              <w:b/>
              <w:sz w:val="24"/>
              <w:szCs w:val="24"/>
              <w:lang w:val="es-ES_tradnl" w:eastAsia="es-ES"/>
            </w:rPr>
            <w:fldChar w:fldCharType="separate"/>
          </w:r>
          <w:hyperlink w:anchor="_Toc84437039" w:history="1">
            <w:r w:rsidR="00B54731" w:rsidRPr="00422273">
              <w:rPr>
                <w:rStyle w:val="Hipervnculo"/>
                <w:rFonts w:ascii="Palatino Linotype" w:eastAsiaTheme="majorEastAsia" w:hAnsi="Palatino Linotype" w:cstheme="majorBidi"/>
                <w:b/>
                <w:noProof/>
                <w:sz w:val="24"/>
                <w:szCs w:val="24"/>
              </w:rPr>
              <w:t>ANTECEDENTES</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_Toc84437039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2</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4437040" w:history="1">
            <w:r w:rsidR="00B54731" w:rsidRPr="00422273">
              <w:rPr>
                <w:rStyle w:val="Hipervnculo"/>
                <w:rFonts w:ascii="Palatino Linotype" w:eastAsiaTheme="majorEastAsia" w:hAnsi="Palatino Linotype" w:cstheme="majorBidi"/>
                <w:b/>
                <w:noProof/>
                <w:sz w:val="24"/>
                <w:szCs w:val="24"/>
              </w:rPr>
              <w:t>CONSIDERANDO</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_Toc84437040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7</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2"/>
            <w:spacing w:line="360" w:lineRule="auto"/>
            <w:rPr>
              <w:rFonts w:ascii="Palatino Linotype" w:eastAsiaTheme="minorEastAsia" w:hAnsi="Palatino Linotype"/>
              <w:b/>
              <w:noProof/>
              <w:sz w:val="24"/>
              <w:szCs w:val="24"/>
              <w:lang w:val="es-ES" w:eastAsia="es-ES"/>
            </w:rPr>
          </w:pPr>
          <w:hyperlink w:anchor="_Toc84437041" w:history="1">
            <w:r w:rsidR="00B54731" w:rsidRPr="00422273">
              <w:rPr>
                <w:rStyle w:val="Hipervnculo"/>
                <w:rFonts w:ascii="Palatino Linotype" w:eastAsiaTheme="majorEastAsia" w:hAnsi="Palatino Linotype" w:cstheme="majorBidi"/>
                <w:b/>
                <w:noProof/>
                <w:sz w:val="24"/>
                <w:szCs w:val="24"/>
              </w:rPr>
              <w:t>PRIMERO. De la competencia</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_Toc84437041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7</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2"/>
            <w:spacing w:line="360" w:lineRule="auto"/>
            <w:rPr>
              <w:rFonts w:ascii="Palatino Linotype" w:eastAsiaTheme="minorEastAsia" w:hAnsi="Palatino Linotype"/>
              <w:b/>
              <w:noProof/>
              <w:sz w:val="24"/>
              <w:szCs w:val="24"/>
              <w:lang w:val="es-ES" w:eastAsia="es-ES"/>
            </w:rPr>
          </w:pPr>
          <w:hyperlink w:anchor="_Toc84437042" w:history="1">
            <w:r w:rsidR="00B54731" w:rsidRPr="00422273">
              <w:rPr>
                <w:rStyle w:val="Hipervnculo"/>
                <w:rFonts w:ascii="Palatino Linotype" w:eastAsiaTheme="majorEastAsia" w:hAnsi="Palatino Linotype" w:cstheme="majorBidi"/>
                <w:b/>
                <w:noProof/>
                <w:sz w:val="24"/>
                <w:szCs w:val="24"/>
              </w:rPr>
              <w:t>SEGUNDO. De la oportunidad y procedencia.</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_Toc84437042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7</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4437043" w:history="1">
            <w:r w:rsidR="00B54731" w:rsidRPr="00422273">
              <w:rPr>
                <w:rStyle w:val="Hipervnculo"/>
                <w:rFonts w:ascii="Palatino Linotype" w:eastAsia="MS Gothic" w:hAnsi="Palatino Linotype" w:cstheme="majorBidi"/>
                <w:b/>
                <w:noProof/>
                <w:sz w:val="24"/>
                <w:szCs w:val="24"/>
                <w:lang w:val="es-ES_tradnl" w:eastAsia="es-ES"/>
              </w:rPr>
              <w:t>TERCERO. Planteamiento de la Litis</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_Toc84437043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8</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4437044" w:history="1">
            <w:r w:rsidR="00B54731" w:rsidRPr="00422273">
              <w:rPr>
                <w:rStyle w:val="Hipervnculo"/>
                <w:rFonts w:ascii="Palatino Linotype" w:eastAsia="MS Gothic" w:hAnsi="Palatino Linotype" w:cstheme="majorBidi"/>
                <w:b/>
                <w:noProof/>
                <w:sz w:val="24"/>
                <w:szCs w:val="24"/>
                <w:lang w:val="es-ES_tradnl" w:eastAsia="es-ES"/>
              </w:rPr>
              <w:t>CUARTO. Del estudio y resolución del recurso de revisión.</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_Toc84437044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10</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2"/>
            <w:tabs>
              <w:tab w:val="left" w:pos="480"/>
            </w:tabs>
            <w:spacing w:line="360" w:lineRule="auto"/>
            <w:rPr>
              <w:rFonts w:ascii="Palatino Linotype" w:eastAsiaTheme="minorEastAsia" w:hAnsi="Palatino Linotype"/>
              <w:b/>
              <w:noProof/>
              <w:sz w:val="24"/>
              <w:szCs w:val="24"/>
              <w:lang w:val="es-ES" w:eastAsia="es-ES"/>
            </w:rPr>
          </w:pPr>
          <w:hyperlink w:anchor="_Toc84437045" w:history="1">
            <w:r w:rsidR="00B54731" w:rsidRPr="00422273">
              <w:rPr>
                <w:rStyle w:val="Hipervnculo"/>
                <w:rFonts w:ascii="Palatino Linotype" w:eastAsia="MS Gothic" w:hAnsi="Palatino Linotype"/>
                <w:b/>
                <w:noProof/>
                <w:sz w:val="24"/>
                <w:szCs w:val="24"/>
                <w:lang w:val="es-ES_tradnl" w:eastAsia="es-ES"/>
              </w:rPr>
              <w:t>I.</w:t>
            </w:r>
            <w:r w:rsidR="00B54731" w:rsidRPr="00422273">
              <w:rPr>
                <w:rFonts w:ascii="Palatino Linotype" w:eastAsiaTheme="minorEastAsia" w:hAnsi="Palatino Linotype"/>
                <w:b/>
                <w:noProof/>
                <w:sz w:val="24"/>
                <w:szCs w:val="24"/>
                <w:lang w:val="es-ES" w:eastAsia="es-ES"/>
              </w:rPr>
              <w:tab/>
            </w:r>
            <w:r w:rsidR="00B54731" w:rsidRPr="00422273">
              <w:rPr>
                <w:rStyle w:val="Hipervnculo"/>
                <w:rFonts w:ascii="Palatino Linotype" w:eastAsia="MS Gothic" w:hAnsi="Palatino Linotype"/>
                <w:b/>
                <w:noProof/>
                <w:sz w:val="24"/>
                <w:szCs w:val="24"/>
                <w:lang w:val="es-ES_tradnl" w:eastAsia="es-ES"/>
              </w:rPr>
              <w:t>Del derecho de acceso a la información.</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_Toc84437045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10</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1"/>
            <w:tabs>
              <w:tab w:val="left" w:pos="480"/>
              <w:tab w:val="right" w:leader="dot" w:pos="9034"/>
            </w:tabs>
            <w:spacing w:line="360" w:lineRule="auto"/>
            <w:rPr>
              <w:rFonts w:ascii="Palatino Linotype" w:eastAsiaTheme="minorEastAsia" w:hAnsi="Palatino Linotype"/>
              <w:b/>
              <w:noProof/>
              <w:sz w:val="24"/>
              <w:szCs w:val="24"/>
              <w:lang w:val="es-ES" w:eastAsia="es-ES"/>
            </w:rPr>
          </w:pPr>
          <w:hyperlink w:anchor="_Toc84437046" w:history="1">
            <w:r w:rsidR="00B54731" w:rsidRPr="00422273">
              <w:rPr>
                <w:rStyle w:val="Hipervnculo"/>
                <w:rFonts w:ascii="Palatino Linotype" w:hAnsi="Palatino Linotype"/>
                <w:b/>
                <w:noProof/>
                <w:sz w:val="24"/>
                <w:szCs w:val="24"/>
              </w:rPr>
              <w:t>I.</w:t>
            </w:r>
            <w:r w:rsidR="00B54731" w:rsidRPr="00422273">
              <w:rPr>
                <w:rFonts w:ascii="Palatino Linotype" w:eastAsiaTheme="minorEastAsia" w:hAnsi="Palatino Linotype"/>
                <w:b/>
                <w:noProof/>
                <w:sz w:val="24"/>
                <w:szCs w:val="24"/>
                <w:lang w:val="es-ES" w:eastAsia="es-ES"/>
              </w:rPr>
              <w:tab/>
            </w:r>
            <w:r w:rsidR="00B54731" w:rsidRPr="00422273">
              <w:rPr>
                <w:rStyle w:val="Hipervnculo"/>
                <w:rFonts w:ascii="Palatino Linotype" w:hAnsi="Palatino Linotype"/>
                <w:b/>
                <w:noProof/>
                <w:sz w:val="24"/>
                <w:szCs w:val="24"/>
              </w:rPr>
              <w:t>De la información solicitada y la respuesta del Sujeto Obligado.</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_Toc84437046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14</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4437047" w:history="1">
            <w:r w:rsidR="00B54731" w:rsidRPr="00422273">
              <w:rPr>
                <w:rStyle w:val="Hipervnculo"/>
                <w:rFonts w:ascii="Palatino Linotype" w:hAnsi="Palatino Linotype" w:cs="Times New Roman"/>
                <w:b/>
                <w:noProof/>
                <w:sz w:val="24"/>
                <w:szCs w:val="24"/>
                <w:lang w:eastAsia="es-ES_tradnl"/>
              </w:rPr>
              <w:t xml:space="preserve">QUINTO. </w:t>
            </w:r>
            <w:r w:rsidR="00B54731" w:rsidRPr="00422273">
              <w:rPr>
                <w:rStyle w:val="Hipervnculo"/>
                <w:rFonts w:ascii="Palatino Linotype" w:hAnsi="Palatino Linotype"/>
                <w:b/>
                <w:noProof/>
                <w:sz w:val="24"/>
                <w:szCs w:val="24"/>
              </w:rPr>
              <w:t xml:space="preserve"> De la elaboración de la versión pública.</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_Toc84437047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60</w:t>
            </w:r>
            <w:r w:rsidR="00B54731" w:rsidRPr="00422273">
              <w:rPr>
                <w:rFonts w:ascii="Palatino Linotype" w:hAnsi="Palatino Linotype"/>
                <w:b/>
                <w:noProof/>
                <w:webHidden/>
                <w:sz w:val="24"/>
                <w:szCs w:val="24"/>
              </w:rPr>
              <w:fldChar w:fldCharType="end"/>
            </w:r>
          </w:hyperlink>
        </w:p>
        <w:p w:rsidR="00B54731" w:rsidRPr="00422273" w:rsidRDefault="00433D39" w:rsidP="00BE1ECC">
          <w:pPr>
            <w:pStyle w:val="TDC3"/>
            <w:tabs>
              <w:tab w:val="right" w:leader="dot" w:pos="9034"/>
            </w:tabs>
            <w:spacing w:line="360" w:lineRule="auto"/>
            <w:rPr>
              <w:rFonts w:ascii="Palatino Linotype" w:eastAsiaTheme="minorEastAsia" w:hAnsi="Palatino Linotype" w:cstheme="minorBidi"/>
              <w:b/>
              <w:noProof/>
              <w:lang w:val="es-ES" w:eastAsia="es-ES"/>
            </w:rPr>
          </w:pPr>
          <w:hyperlink w:anchor="_Toc84437048" w:history="1">
            <w:r w:rsidR="00B54731" w:rsidRPr="00422273">
              <w:rPr>
                <w:rStyle w:val="Hipervnculo"/>
                <w:rFonts w:ascii="Palatino Linotype" w:hAnsi="Palatino Linotype" w:cs="Arial"/>
                <w:b/>
                <w:noProof/>
              </w:rPr>
              <w:t>I. Requisitos previos.</w:t>
            </w:r>
            <w:r w:rsidR="00B54731" w:rsidRPr="00422273">
              <w:rPr>
                <w:rFonts w:ascii="Palatino Linotype" w:hAnsi="Palatino Linotype"/>
                <w:b/>
                <w:noProof/>
                <w:webHidden/>
              </w:rPr>
              <w:tab/>
            </w:r>
            <w:r w:rsidR="00B54731" w:rsidRPr="00422273">
              <w:rPr>
                <w:rFonts w:ascii="Palatino Linotype" w:hAnsi="Palatino Linotype"/>
                <w:b/>
                <w:noProof/>
                <w:webHidden/>
              </w:rPr>
              <w:fldChar w:fldCharType="begin"/>
            </w:r>
            <w:r w:rsidR="00B54731" w:rsidRPr="00422273">
              <w:rPr>
                <w:rFonts w:ascii="Palatino Linotype" w:hAnsi="Palatino Linotype"/>
                <w:b/>
                <w:noProof/>
                <w:webHidden/>
              </w:rPr>
              <w:instrText xml:space="preserve"> PAGEREF _Toc84437048 \h </w:instrText>
            </w:r>
            <w:r w:rsidR="00B54731" w:rsidRPr="00422273">
              <w:rPr>
                <w:rFonts w:ascii="Palatino Linotype" w:hAnsi="Palatino Linotype"/>
                <w:b/>
                <w:noProof/>
                <w:webHidden/>
              </w:rPr>
            </w:r>
            <w:r w:rsidR="00B54731" w:rsidRPr="00422273">
              <w:rPr>
                <w:rFonts w:ascii="Palatino Linotype" w:hAnsi="Palatino Linotype"/>
                <w:b/>
                <w:noProof/>
                <w:webHidden/>
              </w:rPr>
              <w:fldChar w:fldCharType="separate"/>
            </w:r>
            <w:r w:rsidR="008B7861">
              <w:rPr>
                <w:rFonts w:ascii="Palatino Linotype" w:hAnsi="Palatino Linotype"/>
                <w:b/>
                <w:noProof/>
                <w:webHidden/>
              </w:rPr>
              <w:t>61</w:t>
            </w:r>
            <w:r w:rsidR="00B54731" w:rsidRPr="00422273">
              <w:rPr>
                <w:rFonts w:ascii="Palatino Linotype" w:hAnsi="Palatino Linotype"/>
                <w:b/>
                <w:noProof/>
                <w:webHidden/>
              </w:rPr>
              <w:fldChar w:fldCharType="end"/>
            </w:r>
          </w:hyperlink>
        </w:p>
        <w:p w:rsidR="00B54731" w:rsidRPr="00422273" w:rsidRDefault="00433D39" w:rsidP="00BE1ECC">
          <w:pPr>
            <w:pStyle w:val="TDC3"/>
            <w:tabs>
              <w:tab w:val="right" w:leader="dot" w:pos="9034"/>
            </w:tabs>
            <w:spacing w:line="360" w:lineRule="auto"/>
            <w:rPr>
              <w:rFonts w:ascii="Palatino Linotype" w:eastAsiaTheme="minorEastAsia" w:hAnsi="Palatino Linotype" w:cstheme="minorBidi"/>
              <w:b/>
              <w:noProof/>
              <w:lang w:val="es-ES" w:eastAsia="es-ES"/>
            </w:rPr>
          </w:pPr>
          <w:hyperlink w:anchor="_Toc84437049" w:history="1">
            <w:r w:rsidR="00B54731" w:rsidRPr="00422273">
              <w:rPr>
                <w:rStyle w:val="Hipervnculo"/>
                <w:rFonts w:ascii="Palatino Linotype" w:hAnsi="Palatino Linotype" w:cs="Arial"/>
                <w:b/>
                <w:noProof/>
              </w:rPr>
              <w:t>II. Supuestos de clasificación.</w:t>
            </w:r>
            <w:r w:rsidR="00B54731" w:rsidRPr="00422273">
              <w:rPr>
                <w:rFonts w:ascii="Palatino Linotype" w:hAnsi="Palatino Linotype"/>
                <w:b/>
                <w:noProof/>
                <w:webHidden/>
              </w:rPr>
              <w:tab/>
            </w:r>
            <w:r w:rsidR="00B54731" w:rsidRPr="00422273">
              <w:rPr>
                <w:rFonts w:ascii="Palatino Linotype" w:hAnsi="Palatino Linotype"/>
                <w:b/>
                <w:noProof/>
                <w:webHidden/>
              </w:rPr>
              <w:fldChar w:fldCharType="begin"/>
            </w:r>
            <w:r w:rsidR="00B54731" w:rsidRPr="00422273">
              <w:rPr>
                <w:rFonts w:ascii="Palatino Linotype" w:hAnsi="Palatino Linotype"/>
                <w:b/>
                <w:noProof/>
                <w:webHidden/>
              </w:rPr>
              <w:instrText xml:space="preserve"> PAGEREF _Toc84437049 \h </w:instrText>
            </w:r>
            <w:r w:rsidR="00B54731" w:rsidRPr="00422273">
              <w:rPr>
                <w:rFonts w:ascii="Palatino Linotype" w:hAnsi="Palatino Linotype"/>
                <w:b/>
                <w:noProof/>
                <w:webHidden/>
              </w:rPr>
            </w:r>
            <w:r w:rsidR="00B54731" w:rsidRPr="00422273">
              <w:rPr>
                <w:rFonts w:ascii="Palatino Linotype" w:hAnsi="Palatino Linotype"/>
                <w:b/>
                <w:noProof/>
                <w:webHidden/>
              </w:rPr>
              <w:fldChar w:fldCharType="separate"/>
            </w:r>
            <w:r w:rsidR="008B7861">
              <w:rPr>
                <w:rFonts w:ascii="Palatino Linotype" w:hAnsi="Palatino Linotype"/>
                <w:b/>
                <w:noProof/>
                <w:webHidden/>
              </w:rPr>
              <w:t>63</w:t>
            </w:r>
            <w:r w:rsidR="00B54731" w:rsidRPr="00422273">
              <w:rPr>
                <w:rFonts w:ascii="Palatino Linotype" w:hAnsi="Palatino Linotype"/>
                <w:b/>
                <w:noProof/>
                <w:webHidden/>
              </w:rPr>
              <w:fldChar w:fldCharType="end"/>
            </w:r>
          </w:hyperlink>
        </w:p>
        <w:p w:rsidR="00B54731" w:rsidRPr="00422273" w:rsidRDefault="00433D39" w:rsidP="00BE1ECC">
          <w:pPr>
            <w:pStyle w:val="TDC3"/>
            <w:tabs>
              <w:tab w:val="right" w:leader="dot" w:pos="9034"/>
            </w:tabs>
            <w:spacing w:line="360" w:lineRule="auto"/>
            <w:rPr>
              <w:rFonts w:ascii="Palatino Linotype" w:eastAsiaTheme="minorEastAsia" w:hAnsi="Palatino Linotype" w:cstheme="minorBidi"/>
              <w:b/>
              <w:noProof/>
              <w:lang w:val="es-ES" w:eastAsia="es-ES"/>
            </w:rPr>
          </w:pPr>
          <w:hyperlink w:anchor="_Toc84437050" w:history="1">
            <w:r w:rsidR="00B54731" w:rsidRPr="00422273">
              <w:rPr>
                <w:rStyle w:val="Hipervnculo"/>
                <w:rFonts w:ascii="Palatino Linotype" w:hAnsi="Palatino Linotype" w:cs="Arial"/>
                <w:b/>
                <w:noProof/>
              </w:rPr>
              <w:t>III. La intervención del Comité de Transparencia.</w:t>
            </w:r>
            <w:r w:rsidR="00B54731" w:rsidRPr="00422273">
              <w:rPr>
                <w:rFonts w:ascii="Palatino Linotype" w:hAnsi="Palatino Linotype"/>
                <w:b/>
                <w:noProof/>
                <w:webHidden/>
              </w:rPr>
              <w:tab/>
            </w:r>
            <w:r w:rsidR="00B54731" w:rsidRPr="00422273">
              <w:rPr>
                <w:rFonts w:ascii="Palatino Linotype" w:hAnsi="Palatino Linotype"/>
                <w:b/>
                <w:noProof/>
                <w:webHidden/>
              </w:rPr>
              <w:fldChar w:fldCharType="begin"/>
            </w:r>
            <w:r w:rsidR="00B54731" w:rsidRPr="00422273">
              <w:rPr>
                <w:rFonts w:ascii="Palatino Linotype" w:hAnsi="Palatino Linotype"/>
                <w:b/>
                <w:noProof/>
                <w:webHidden/>
              </w:rPr>
              <w:instrText xml:space="preserve"> PAGEREF _Toc84437050 \h </w:instrText>
            </w:r>
            <w:r w:rsidR="00B54731" w:rsidRPr="00422273">
              <w:rPr>
                <w:rFonts w:ascii="Palatino Linotype" w:hAnsi="Palatino Linotype"/>
                <w:b/>
                <w:noProof/>
                <w:webHidden/>
              </w:rPr>
            </w:r>
            <w:r w:rsidR="00B54731" w:rsidRPr="00422273">
              <w:rPr>
                <w:rFonts w:ascii="Palatino Linotype" w:hAnsi="Palatino Linotype"/>
                <w:b/>
                <w:noProof/>
                <w:webHidden/>
              </w:rPr>
              <w:fldChar w:fldCharType="separate"/>
            </w:r>
            <w:r w:rsidR="008B7861">
              <w:rPr>
                <w:rFonts w:ascii="Palatino Linotype" w:hAnsi="Palatino Linotype"/>
                <w:b/>
                <w:noProof/>
                <w:webHidden/>
              </w:rPr>
              <w:t>67</w:t>
            </w:r>
            <w:r w:rsidR="00B54731" w:rsidRPr="00422273">
              <w:rPr>
                <w:rFonts w:ascii="Palatino Linotype" w:hAnsi="Palatino Linotype"/>
                <w:b/>
                <w:noProof/>
                <w:webHidden/>
              </w:rPr>
              <w:fldChar w:fldCharType="end"/>
            </w:r>
          </w:hyperlink>
        </w:p>
        <w:p w:rsidR="00B54731" w:rsidRPr="00422273" w:rsidRDefault="00433D39" w:rsidP="00BE1ECC">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4437051" w:history="1">
            <w:r w:rsidR="00B54731" w:rsidRPr="00422273">
              <w:rPr>
                <w:rStyle w:val="Hipervnculo"/>
                <w:rFonts w:ascii="Palatino Linotype" w:eastAsiaTheme="majorEastAsia" w:hAnsi="Palatino Linotype" w:cstheme="majorBidi"/>
                <w:b/>
                <w:noProof/>
                <w:sz w:val="24"/>
                <w:szCs w:val="24"/>
              </w:rPr>
              <w:t>R E S O L U T I V O S</w:t>
            </w:r>
            <w:r w:rsidR="00B54731" w:rsidRPr="00422273">
              <w:rPr>
                <w:rFonts w:ascii="Palatino Linotype" w:hAnsi="Palatino Linotype"/>
                <w:b/>
                <w:noProof/>
                <w:webHidden/>
                <w:sz w:val="24"/>
                <w:szCs w:val="24"/>
              </w:rPr>
              <w:tab/>
            </w:r>
            <w:r w:rsidR="00B54731" w:rsidRPr="00422273">
              <w:rPr>
                <w:rFonts w:ascii="Palatino Linotype" w:hAnsi="Palatino Linotype"/>
                <w:b/>
                <w:noProof/>
                <w:webHidden/>
                <w:sz w:val="24"/>
                <w:szCs w:val="24"/>
              </w:rPr>
              <w:fldChar w:fldCharType="begin"/>
            </w:r>
            <w:r w:rsidR="00B54731" w:rsidRPr="00422273">
              <w:rPr>
                <w:rFonts w:ascii="Palatino Linotype" w:hAnsi="Palatino Linotype"/>
                <w:b/>
                <w:noProof/>
                <w:webHidden/>
                <w:sz w:val="24"/>
                <w:szCs w:val="24"/>
              </w:rPr>
              <w:instrText xml:space="preserve"> PAGEREF _Toc84437051 \h </w:instrText>
            </w:r>
            <w:r w:rsidR="00B54731" w:rsidRPr="00422273">
              <w:rPr>
                <w:rFonts w:ascii="Palatino Linotype" w:hAnsi="Palatino Linotype"/>
                <w:b/>
                <w:noProof/>
                <w:webHidden/>
                <w:sz w:val="24"/>
                <w:szCs w:val="24"/>
              </w:rPr>
            </w:r>
            <w:r w:rsidR="00B54731" w:rsidRPr="00422273">
              <w:rPr>
                <w:rFonts w:ascii="Palatino Linotype" w:hAnsi="Palatino Linotype"/>
                <w:b/>
                <w:noProof/>
                <w:webHidden/>
                <w:sz w:val="24"/>
                <w:szCs w:val="24"/>
              </w:rPr>
              <w:fldChar w:fldCharType="separate"/>
            </w:r>
            <w:r w:rsidR="008B7861">
              <w:rPr>
                <w:rFonts w:ascii="Palatino Linotype" w:hAnsi="Palatino Linotype"/>
                <w:b/>
                <w:noProof/>
                <w:webHidden/>
                <w:sz w:val="24"/>
                <w:szCs w:val="24"/>
              </w:rPr>
              <w:t>72</w:t>
            </w:r>
            <w:r w:rsidR="00B54731" w:rsidRPr="00422273">
              <w:rPr>
                <w:rFonts w:ascii="Palatino Linotype" w:hAnsi="Palatino Linotype"/>
                <w:b/>
                <w:noProof/>
                <w:webHidden/>
                <w:sz w:val="24"/>
                <w:szCs w:val="24"/>
              </w:rPr>
              <w:fldChar w:fldCharType="end"/>
            </w:r>
          </w:hyperlink>
        </w:p>
        <w:p w:rsidR="00BE48D5" w:rsidRPr="00422273" w:rsidRDefault="00BE48D5" w:rsidP="00B54731">
          <w:pPr>
            <w:spacing w:line="360" w:lineRule="auto"/>
            <w:rPr>
              <w:rFonts w:ascii="Palatino Linotype" w:eastAsiaTheme="minorEastAsia" w:hAnsi="Palatino Linotype"/>
              <w:lang w:val="es-ES_tradnl" w:eastAsia="es-ES"/>
            </w:rPr>
          </w:pPr>
          <w:r w:rsidRPr="00422273">
            <w:rPr>
              <w:rFonts w:ascii="Palatino Linotype" w:eastAsiaTheme="minorEastAsia" w:hAnsi="Palatino Linotype"/>
              <w:b/>
              <w:bCs/>
              <w:lang w:val="es-ES" w:eastAsia="es-ES"/>
            </w:rPr>
            <w:fldChar w:fldCharType="end"/>
          </w:r>
        </w:p>
      </w:sdtContent>
    </w:sdt>
    <w:p w:rsidR="00BE48D5" w:rsidRPr="00422273" w:rsidRDefault="00BE48D5" w:rsidP="00B54731">
      <w:pPr>
        <w:spacing w:line="360" w:lineRule="auto"/>
        <w:jc w:val="both"/>
        <w:rPr>
          <w:rFonts w:ascii="Palatino Linotype" w:eastAsiaTheme="minorEastAsia" w:hAnsi="Palatino Linotype"/>
          <w:lang w:val="es-ES_tradnl" w:eastAsia="es-ES"/>
        </w:rPr>
      </w:pPr>
    </w:p>
    <w:p w:rsidR="00BE48D5" w:rsidRPr="00422273" w:rsidRDefault="00BE48D5" w:rsidP="00B54731">
      <w:pPr>
        <w:spacing w:line="360" w:lineRule="auto"/>
        <w:jc w:val="both"/>
        <w:rPr>
          <w:rFonts w:ascii="Palatino Linotype" w:eastAsiaTheme="minorEastAsia" w:hAnsi="Palatino Linotype"/>
          <w:lang w:val="es-ES_tradnl" w:eastAsia="es-ES"/>
        </w:rPr>
      </w:pPr>
    </w:p>
    <w:p w:rsidR="00BE1ECC" w:rsidRPr="00422273" w:rsidRDefault="00BE1ECC" w:rsidP="00B54731">
      <w:pPr>
        <w:spacing w:line="360" w:lineRule="auto"/>
        <w:jc w:val="both"/>
        <w:rPr>
          <w:rFonts w:ascii="Palatino Linotype" w:eastAsiaTheme="minorEastAsia" w:hAnsi="Palatino Linotype"/>
          <w:lang w:val="es-ES_tradnl" w:eastAsia="es-ES"/>
        </w:rPr>
      </w:pPr>
    </w:p>
    <w:p w:rsidR="00BE1ECC" w:rsidRPr="00422273" w:rsidRDefault="00BE1ECC" w:rsidP="00B54731">
      <w:pPr>
        <w:spacing w:line="360" w:lineRule="auto"/>
        <w:jc w:val="both"/>
        <w:rPr>
          <w:rFonts w:ascii="Palatino Linotype" w:eastAsiaTheme="minorEastAsia" w:hAnsi="Palatino Linotype"/>
          <w:lang w:val="es-ES_tradnl" w:eastAsia="es-ES"/>
        </w:rPr>
      </w:pPr>
    </w:p>
    <w:p w:rsidR="00BE1ECC" w:rsidRPr="00422273" w:rsidRDefault="00BE1ECC" w:rsidP="00B54731">
      <w:pPr>
        <w:spacing w:line="360" w:lineRule="auto"/>
        <w:jc w:val="both"/>
        <w:rPr>
          <w:rFonts w:ascii="Palatino Linotype" w:eastAsiaTheme="minorEastAsia" w:hAnsi="Palatino Linotype"/>
          <w:lang w:val="es-ES_tradnl" w:eastAsia="es-ES"/>
        </w:rPr>
      </w:pPr>
    </w:p>
    <w:p w:rsidR="00BE1ECC" w:rsidRPr="00422273" w:rsidRDefault="00BE1ECC" w:rsidP="00B54731">
      <w:pPr>
        <w:spacing w:line="360" w:lineRule="auto"/>
        <w:jc w:val="both"/>
        <w:rPr>
          <w:rFonts w:ascii="Palatino Linotype" w:eastAsiaTheme="minorEastAsia" w:hAnsi="Palatino Linotype"/>
          <w:lang w:val="es-ES_tradnl" w:eastAsia="es-ES"/>
        </w:rPr>
      </w:pPr>
    </w:p>
    <w:p w:rsidR="00BE48D5" w:rsidRPr="00422273" w:rsidRDefault="00BE48D5" w:rsidP="00B54731">
      <w:pPr>
        <w:spacing w:line="360" w:lineRule="auto"/>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lastRenderedPageBreak/>
        <w:t>Resolución del Pleno del Instituto de Transparencia, Acceso a la Información Pública y Protección de Datos Personales del Estado de México y Municipios, con domicilio en Metepec, Estado de México; de fecha trece (13) de octubre de dos mil veintiuno.</w:t>
      </w:r>
    </w:p>
    <w:p w:rsidR="00BE48D5" w:rsidRPr="00422273" w:rsidRDefault="00BE48D5" w:rsidP="00B54731">
      <w:pPr>
        <w:spacing w:line="360" w:lineRule="auto"/>
        <w:jc w:val="both"/>
        <w:rPr>
          <w:rFonts w:ascii="Palatino Linotype" w:eastAsiaTheme="minorEastAsia" w:hAnsi="Palatino Linotype"/>
          <w:lang w:val="es-ES_tradnl" w:eastAsia="es-ES"/>
        </w:rPr>
      </w:pPr>
    </w:p>
    <w:p w:rsidR="00BE48D5" w:rsidRPr="00422273" w:rsidRDefault="00BE48D5" w:rsidP="00B54731">
      <w:pPr>
        <w:spacing w:line="360" w:lineRule="auto"/>
        <w:jc w:val="both"/>
        <w:rPr>
          <w:rFonts w:ascii="Palatino Linotype" w:hAnsi="Palatino Linotype"/>
        </w:rPr>
      </w:pPr>
      <w:r w:rsidRPr="00422273">
        <w:rPr>
          <w:rFonts w:ascii="Palatino Linotype" w:hAnsi="Palatino Linotype"/>
          <w:b/>
        </w:rPr>
        <w:t>VISTO</w:t>
      </w:r>
      <w:r w:rsidRPr="00422273">
        <w:rPr>
          <w:rFonts w:ascii="Palatino Linotype" w:hAnsi="Palatino Linotype"/>
        </w:rPr>
        <w:t xml:space="preserve"> el expediente electrónico formado con motivo del recurso de revisión </w:t>
      </w:r>
      <w:r w:rsidRPr="00422273">
        <w:rPr>
          <w:rFonts w:ascii="Palatino Linotype" w:hAnsi="Palatino Linotype"/>
          <w:b/>
        </w:rPr>
        <w:t>03803/INFOEM/IP/RR/2021,</w:t>
      </w:r>
      <w:r w:rsidRPr="00422273">
        <w:rPr>
          <w:rFonts w:ascii="Palatino Linotype" w:hAnsi="Palatino Linotype" w:cs="Arial"/>
          <w:b/>
          <w:bCs/>
        </w:rPr>
        <w:t xml:space="preserve"> </w:t>
      </w:r>
      <w:r w:rsidRPr="00422273">
        <w:rPr>
          <w:rFonts w:ascii="Palatino Linotype" w:eastAsiaTheme="minorEastAsia" w:hAnsi="Palatino Linotype"/>
          <w:lang w:val="es-ES_tradnl" w:eastAsia="es-ES"/>
        </w:rPr>
        <w:t xml:space="preserve">promovido por </w:t>
      </w:r>
      <w:r w:rsidR="00433D39">
        <w:rPr>
          <w:rFonts w:ascii="Palatino Linotype" w:eastAsiaTheme="minorEastAsia" w:hAnsi="Palatino Linotype"/>
          <w:b/>
          <w:lang w:val="es-ES_tradnl" w:eastAsia="es-ES"/>
        </w:rPr>
        <w:t>XXXXXXXXXXXXXXXXXXXXXX</w:t>
      </w:r>
      <w:r w:rsidRPr="00422273">
        <w:rPr>
          <w:rFonts w:ascii="Palatino Linotype" w:eastAsiaTheme="minorEastAsia" w:hAnsi="Palatino Linotype"/>
          <w:b/>
          <w:lang w:val="es-ES_tradnl" w:eastAsia="es-ES"/>
        </w:rPr>
        <w:t xml:space="preserve"> </w:t>
      </w:r>
      <w:r w:rsidR="00433D39">
        <w:rPr>
          <w:rFonts w:ascii="Palatino Linotype" w:eastAsiaTheme="minorEastAsia" w:hAnsi="Palatino Linotype"/>
          <w:b/>
          <w:lang w:val="es-ES_tradnl" w:eastAsia="es-ES"/>
        </w:rPr>
        <w:t>XXXXXXXX</w:t>
      </w:r>
      <w:r w:rsidRPr="00422273">
        <w:rPr>
          <w:rFonts w:ascii="Palatino Linotype" w:hAnsi="Palatino Linotype"/>
        </w:rPr>
        <w:t xml:space="preserve">, quien en lo sucesivo se identificará como </w:t>
      </w:r>
      <w:r w:rsidRPr="00422273">
        <w:rPr>
          <w:rFonts w:ascii="Palatino Linotype" w:hAnsi="Palatino Linotype"/>
          <w:b/>
        </w:rPr>
        <w:t xml:space="preserve">EL </w:t>
      </w:r>
      <w:r w:rsidRPr="00422273">
        <w:rPr>
          <w:rFonts w:ascii="Palatino Linotype" w:hAnsi="Palatino Linotype" w:cs="Arial"/>
          <w:b/>
        </w:rPr>
        <w:t>RECURRENTE</w:t>
      </w:r>
      <w:r w:rsidRPr="00422273">
        <w:rPr>
          <w:rFonts w:ascii="Palatino Linotype" w:hAnsi="Palatino Linotype" w:cs="Arial"/>
        </w:rPr>
        <w:t xml:space="preserve">, en contra de la respuesta de la </w:t>
      </w:r>
      <w:r w:rsidRPr="00422273">
        <w:rPr>
          <w:rFonts w:ascii="Palatino Linotype" w:hAnsi="Palatino Linotype" w:cs="Arial"/>
          <w:b/>
        </w:rPr>
        <w:t>Secretaría de Seguridad,</w:t>
      </w:r>
      <w:r w:rsidRPr="00422273">
        <w:rPr>
          <w:rFonts w:ascii="Palatino Linotype" w:hAnsi="Palatino Linotype"/>
          <w:b/>
        </w:rPr>
        <w:t xml:space="preserve"> </w:t>
      </w:r>
      <w:r w:rsidRPr="00422273">
        <w:rPr>
          <w:rFonts w:ascii="Palatino Linotype" w:hAnsi="Palatino Linotype"/>
        </w:rPr>
        <w:t>en lo sucesivo el</w:t>
      </w:r>
      <w:r w:rsidRPr="00422273">
        <w:rPr>
          <w:rFonts w:ascii="Palatino Linotype" w:hAnsi="Palatino Linotype"/>
          <w:b/>
        </w:rPr>
        <w:t xml:space="preserve"> SUJETO OBLIGADO</w:t>
      </w:r>
      <w:r w:rsidRPr="00422273">
        <w:rPr>
          <w:rFonts w:ascii="Palatino Linotype" w:hAnsi="Palatino Linotype"/>
        </w:rPr>
        <w:t>, por lo que se procede a dictar la presente resolución, con base en los siguientes:</w:t>
      </w:r>
    </w:p>
    <w:p w:rsidR="00BE48D5" w:rsidRPr="00422273" w:rsidRDefault="00BE48D5" w:rsidP="00B54731">
      <w:pPr>
        <w:spacing w:line="360" w:lineRule="auto"/>
        <w:jc w:val="both"/>
        <w:rPr>
          <w:rFonts w:ascii="Palatino Linotype" w:hAnsi="Palatino Linotype"/>
          <w:b/>
        </w:rPr>
      </w:pPr>
    </w:p>
    <w:p w:rsidR="00BE48D5" w:rsidRPr="00422273" w:rsidRDefault="00BE48D5" w:rsidP="00B54731">
      <w:pPr>
        <w:keepNext/>
        <w:keepLines/>
        <w:spacing w:line="360" w:lineRule="auto"/>
        <w:jc w:val="center"/>
        <w:outlineLvl w:val="0"/>
        <w:rPr>
          <w:rFonts w:ascii="Palatino Linotype" w:eastAsiaTheme="majorEastAsia" w:hAnsi="Palatino Linotype" w:cstheme="majorBidi"/>
          <w:b/>
          <w:szCs w:val="32"/>
        </w:rPr>
      </w:pPr>
      <w:bookmarkStart w:id="0" w:name="_Toc84437039"/>
      <w:r w:rsidRPr="00422273">
        <w:rPr>
          <w:rFonts w:ascii="Palatino Linotype" w:eastAsiaTheme="majorEastAsia" w:hAnsi="Palatino Linotype" w:cstheme="majorBidi"/>
          <w:b/>
          <w:szCs w:val="32"/>
        </w:rPr>
        <w:t>ANTECEDENTES</w:t>
      </w:r>
      <w:bookmarkEnd w:id="0"/>
    </w:p>
    <w:p w:rsidR="00BE48D5" w:rsidRPr="00422273" w:rsidRDefault="00BE48D5" w:rsidP="00B54731">
      <w:pPr>
        <w:spacing w:line="360" w:lineRule="auto"/>
        <w:rPr>
          <w:rFonts w:ascii="Palatino Linotype" w:eastAsiaTheme="minorEastAsia" w:hAnsi="Palatino Linotype"/>
        </w:rPr>
      </w:pPr>
    </w:p>
    <w:p w:rsidR="00BE48D5" w:rsidRPr="00422273" w:rsidRDefault="00BE48D5" w:rsidP="00B54731">
      <w:pPr>
        <w:numPr>
          <w:ilvl w:val="0"/>
          <w:numId w:val="1"/>
        </w:numPr>
        <w:spacing w:line="360" w:lineRule="auto"/>
        <w:ind w:left="0" w:firstLine="0"/>
        <w:contextualSpacing/>
        <w:jc w:val="both"/>
        <w:rPr>
          <w:rFonts w:ascii="Palatino Linotype" w:hAnsi="Palatino Linotype" w:cs="Arial"/>
          <w:lang w:val="es-ES" w:eastAsia="es-ES"/>
        </w:rPr>
      </w:pPr>
      <w:r w:rsidRPr="00422273">
        <w:rPr>
          <w:rFonts w:ascii="Palatino Linotype" w:eastAsia="Calibri" w:hAnsi="Palatino Linotype" w:cs="Arial"/>
          <w:lang w:val="es-ES" w:eastAsia="es-ES"/>
        </w:rPr>
        <w:t>El día veinticinco (25) de junio  de dos mil veintiuno,</w:t>
      </w:r>
      <w:r w:rsidRPr="00422273">
        <w:rPr>
          <w:rFonts w:ascii="Palatino Linotype" w:eastAsia="Calibri" w:hAnsi="Palatino Linotype"/>
          <w:lang w:val="es-ES" w:eastAsia="es-ES"/>
        </w:rPr>
        <w:t xml:space="preserve"> </w:t>
      </w:r>
      <w:r w:rsidRPr="00422273">
        <w:rPr>
          <w:rFonts w:ascii="Palatino Linotype" w:eastAsia="Calibri" w:hAnsi="Palatino Linotype"/>
          <w:b/>
          <w:lang w:val="es-ES" w:eastAsia="es-ES"/>
        </w:rPr>
        <w:t>EL RECURRENTE</w:t>
      </w:r>
      <w:r w:rsidRPr="00422273">
        <w:rPr>
          <w:rFonts w:ascii="Palatino Linotype" w:eastAsiaTheme="minorEastAsia" w:hAnsi="Palatino Linotype"/>
          <w:b/>
          <w:lang w:val="es-ES_tradnl" w:eastAsia="es-ES"/>
        </w:rPr>
        <w:t>,</w:t>
      </w:r>
      <w:r w:rsidRPr="00422273">
        <w:rPr>
          <w:rFonts w:ascii="Palatino Linotype" w:eastAsia="Calibri" w:hAnsi="Palatino Linotype" w:cs="Arial"/>
          <w:lang w:val="es-ES" w:eastAsia="es-ES"/>
        </w:rPr>
        <w:t xml:space="preserve"> ante el </w:t>
      </w:r>
      <w:r w:rsidRPr="00422273">
        <w:rPr>
          <w:rFonts w:ascii="Palatino Linotype" w:eastAsia="Calibri" w:hAnsi="Palatino Linotype" w:cs="Arial"/>
          <w:b/>
          <w:lang w:val="es-ES" w:eastAsia="es-ES"/>
        </w:rPr>
        <w:t>SUJETO OBLIGADO</w:t>
      </w:r>
      <w:r w:rsidRPr="00422273">
        <w:rPr>
          <w:rFonts w:ascii="Palatino Linotype" w:eastAsia="Calibri" w:hAnsi="Palatino Linotype" w:cs="Arial"/>
          <w:lang w:val="es-ES_tradnl" w:eastAsia="es-ES"/>
        </w:rPr>
        <w:t xml:space="preserve"> vía </w:t>
      </w:r>
      <w:r w:rsidRPr="00422273">
        <w:rPr>
          <w:rFonts w:ascii="Palatino Linotype" w:eastAsia="Calibri" w:hAnsi="Palatino Linotype" w:cs="Arial"/>
          <w:lang w:val="es-ES" w:eastAsia="es-ES"/>
        </w:rPr>
        <w:t>Sistema de Acceso a la Información Mexiquense (</w:t>
      </w:r>
      <w:r w:rsidRPr="00422273">
        <w:rPr>
          <w:rFonts w:ascii="Palatino Linotype" w:eastAsia="Calibri" w:hAnsi="Palatino Linotype" w:cs="Arial"/>
          <w:b/>
          <w:lang w:val="es-ES" w:eastAsia="es-ES"/>
        </w:rPr>
        <w:t>SAIMEX)</w:t>
      </w:r>
      <w:r w:rsidRPr="00422273">
        <w:rPr>
          <w:rFonts w:ascii="Palatino Linotype" w:eastAsia="Calibri" w:hAnsi="Palatino Linotype" w:cs="Arial"/>
          <w:lang w:val="es-ES" w:eastAsia="es-ES"/>
        </w:rPr>
        <w:t xml:space="preserve">, presentó una solicitud de información registrada con el número </w:t>
      </w:r>
      <w:r w:rsidRPr="00422273">
        <w:rPr>
          <w:rFonts w:ascii="Palatino Linotype" w:hAnsi="Palatino Linotype"/>
          <w:b/>
          <w:bCs/>
        </w:rPr>
        <w:t>00339/SSEM/IP/2021</w:t>
      </w:r>
      <w:r w:rsidRPr="00422273">
        <w:rPr>
          <w:rFonts w:ascii="Palatino Linotype" w:eastAsiaTheme="minorEastAsia" w:hAnsi="Palatino Linotype"/>
          <w:b/>
          <w:lang w:val="es-ES_tradnl" w:eastAsia="es-ES"/>
        </w:rPr>
        <w:t xml:space="preserve">, </w:t>
      </w:r>
      <w:r w:rsidRPr="00422273">
        <w:rPr>
          <w:rFonts w:ascii="Palatino Linotype" w:eastAsia="Calibri" w:hAnsi="Palatino Linotype" w:cs="Arial"/>
          <w:lang w:val="es-ES" w:eastAsia="es-ES"/>
        </w:rPr>
        <w:t>mediante la cual solicitó lo siguiente:</w:t>
      </w:r>
    </w:p>
    <w:p w:rsidR="00BE48D5" w:rsidRPr="00422273" w:rsidRDefault="00BE48D5" w:rsidP="00B54731">
      <w:pPr>
        <w:spacing w:line="360" w:lineRule="auto"/>
        <w:contextualSpacing/>
        <w:jc w:val="both"/>
        <w:rPr>
          <w:rFonts w:ascii="Palatino Linotype" w:hAnsi="Palatino Linotype" w:cs="Arial"/>
          <w:lang w:val="es-ES" w:eastAsia="es-ES"/>
        </w:rPr>
      </w:pPr>
    </w:p>
    <w:p w:rsidR="00BE48D5" w:rsidRPr="00422273" w:rsidRDefault="00BE48D5" w:rsidP="00B54731">
      <w:pPr>
        <w:pStyle w:val="Prrafodelista"/>
        <w:spacing w:line="360" w:lineRule="auto"/>
        <w:ind w:left="1069" w:right="567"/>
        <w:jc w:val="both"/>
        <w:rPr>
          <w:rFonts w:ascii="Palatino Linotype" w:hAnsi="Palatino Linotype"/>
          <w:i/>
          <w:color w:val="000000"/>
        </w:rPr>
      </w:pPr>
      <w:r w:rsidRPr="00422273">
        <w:rPr>
          <w:rFonts w:ascii="Palatino Linotype" w:hAnsi="Palatino Linotype"/>
          <w:i/>
          <w:color w:val="000000"/>
        </w:rPr>
        <w:t xml:space="preserve"> “INFORME CARGO, ESCOLARIDAD, FUNCIONES, ADSCRIPCION, LUGAR Y HORA DE LABORES DEL C. OCTAVIO VALDEZ PEREZ QUIEN AL PARECER DESEMPEÑA UN CARGO EN LA POLICIA ESTATAL DEL ESTADO DE MEXICO O SECRETARIA DE SEGURIDAD DEL EDOMEX, ASÍ MISMO INFORME SI HA ESTADO SUJETO A ALGUNA RESPONSABILIDAD ADMINISTRATIVA O ALGUN TIPO DE CONTROVERSIA DURANTE SU TIEMPO DE LABORES, INFORME SI </w:t>
      </w:r>
      <w:r w:rsidRPr="00422273">
        <w:rPr>
          <w:rFonts w:ascii="Palatino Linotype" w:hAnsi="Palatino Linotype"/>
          <w:i/>
          <w:color w:val="000000"/>
        </w:rPr>
        <w:lastRenderedPageBreak/>
        <w:t xml:space="preserve">CUENTA CON ALGUN ANTECEDENTE PENAL Y SI CUENTA CON PORTACION DE ARMA FUERA DE HORARIO DE LABORES.” (Sic) </w:t>
      </w:r>
    </w:p>
    <w:p w:rsidR="00BE48D5" w:rsidRPr="00422273" w:rsidRDefault="00BE48D5" w:rsidP="00B54731">
      <w:pPr>
        <w:pStyle w:val="Prrafodelista"/>
        <w:spacing w:line="360" w:lineRule="auto"/>
        <w:ind w:left="1069" w:right="567"/>
        <w:jc w:val="both"/>
        <w:rPr>
          <w:rFonts w:ascii="Palatino Linotype" w:eastAsia="Calibri" w:hAnsi="Palatino Linotype" w:cs="Arial"/>
          <w:i/>
          <w:lang w:val="es-ES" w:eastAsia="es-ES"/>
        </w:rPr>
      </w:pPr>
    </w:p>
    <w:p w:rsidR="00D5646D" w:rsidRPr="00422273" w:rsidRDefault="00D5646D" w:rsidP="00B54731">
      <w:pPr>
        <w:numPr>
          <w:ilvl w:val="0"/>
          <w:numId w:val="1"/>
        </w:numPr>
        <w:spacing w:line="360" w:lineRule="auto"/>
        <w:ind w:left="0" w:firstLine="0"/>
        <w:contextualSpacing/>
        <w:jc w:val="both"/>
        <w:rPr>
          <w:rFonts w:ascii="Palatino Linotype" w:hAnsi="Palatino Linotype"/>
          <w:noProof/>
          <w:lang w:val="es-ES" w:eastAsia="es-ES"/>
        </w:rPr>
      </w:pPr>
      <w:r w:rsidRPr="00422273">
        <w:rPr>
          <w:rFonts w:ascii="Palatino Linotype" w:hAnsi="Palatino Linotype"/>
          <w:noProof/>
          <w:lang w:val="es-ES" w:eastAsia="es-ES"/>
        </w:rPr>
        <w:t>Se solicitó como medio de notificación a través de correo electrónico.</w:t>
      </w:r>
    </w:p>
    <w:p w:rsidR="00D5646D" w:rsidRPr="00422273" w:rsidRDefault="00D5646D" w:rsidP="00B54731">
      <w:pPr>
        <w:spacing w:line="360" w:lineRule="auto"/>
        <w:contextualSpacing/>
        <w:jc w:val="both"/>
        <w:rPr>
          <w:rFonts w:ascii="Palatino Linotype" w:hAnsi="Palatino Linotype"/>
          <w:noProof/>
          <w:lang w:val="es-ES" w:eastAsia="es-ES"/>
        </w:rPr>
      </w:pPr>
    </w:p>
    <w:p w:rsidR="00BE48D5" w:rsidRPr="00422273" w:rsidRDefault="00BE48D5" w:rsidP="00B54731">
      <w:pPr>
        <w:numPr>
          <w:ilvl w:val="0"/>
          <w:numId w:val="1"/>
        </w:numPr>
        <w:spacing w:line="360" w:lineRule="auto"/>
        <w:ind w:left="0" w:firstLine="0"/>
        <w:contextualSpacing/>
        <w:jc w:val="both"/>
        <w:rPr>
          <w:rFonts w:ascii="Palatino Linotype" w:hAnsi="Palatino Linotype"/>
          <w:noProof/>
          <w:lang w:val="es-ES" w:eastAsia="es-ES"/>
        </w:rPr>
      </w:pPr>
      <w:r w:rsidRPr="00422273">
        <w:rPr>
          <w:rFonts w:ascii="Palatino Linotype" w:eastAsia="Calibri" w:hAnsi="Palatino Linotype"/>
          <w:lang w:val="es-ES" w:eastAsia="es-ES"/>
        </w:rPr>
        <w:t>El treinta (30) de junio de dos mil veintiuno, el Sujeto Obligado manifestó incompetencia parcial en el siguiente sentido:</w:t>
      </w:r>
    </w:p>
    <w:p w:rsidR="00BE48D5" w:rsidRPr="00422273" w:rsidRDefault="00BE48D5" w:rsidP="00B54731">
      <w:pPr>
        <w:spacing w:line="360" w:lineRule="auto"/>
        <w:contextualSpacing/>
        <w:jc w:val="both"/>
        <w:rPr>
          <w:rFonts w:ascii="Palatino Linotype" w:eastAsia="Calibri" w:hAnsi="Palatino Linotype"/>
          <w:lang w:val="es-ES" w:eastAsia="es-ES"/>
        </w:rPr>
      </w:pPr>
    </w:p>
    <w:tbl>
      <w:tblPr>
        <w:tblW w:w="6699" w:type="dxa"/>
        <w:jc w:val="center"/>
        <w:tblCellSpacing w:w="0" w:type="dxa"/>
        <w:tblCellMar>
          <w:left w:w="0" w:type="dxa"/>
          <w:right w:w="0" w:type="dxa"/>
        </w:tblCellMar>
        <w:tblLook w:val="04A0" w:firstRow="1" w:lastRow="0" w:firstColumn="1" w:lastColumn="0" w:noHBand="0" w:noVBand="1"/>
      </w:tblPr>
      <w:tblGrid>
        <w:gridCol w:w="6699"/>
      </w:tblGrid>
      <w:tr w:rsidR="00BE48D5" w:rsidRPr="00422273" w:rsidTr="00BE48D5">
        <w:trPr>
          <w:trHeight w:val="297"/>
          <w:tblCellSpacing w:w="0" w:type="dxa"/>
          <w:jc w:val="center"/>
        </w:trPr>
        <w:tc>
          <w:tcPr>
            <w:tcW w:w="0" w:type="auto"/>
            <w:vAlign w:val="center"/>
            <w:hideMark/>
          </w:tcPr>
          <w:p w:rsidR="00BE48D5" w:rsidRPr="00422273" w:rsidRDefault="00BE48D5" w:rsidP="00B54731">
            <w:pPr>
              <w:spacing w:line="360" w:lineRule="auto"/>
              <w:jc w:val="right"/>
              <w:rPr>
                <w:rFonts w:ascii="Palatino Linotype" w:hAnsi="Palatino Linotype"/>
                <w:i/>
                <w:sz w:val="22"/>
                <w:szCs w:val="22"/>
                <w:lang w:val="es-ES" w:eastAsia="es-ES"/>
              </w:rPr>
            </w:pPr>
            <w:r w:rsidRPr="00422273">
              <w:rPr>
                <w:rFonts w:ascii="Palatino Linotype" w:hAnsi="Palatino Linotype"/>
                <w:i/>
                <w:sz w:val="22"/>
                <w:szCs w:val="22"/>
                <w:lang w:val="es-ES" w:eastAsia="es-ES"/>
              </w:rPr>
              <w:t>Metepec, México a 30 de Junio de 2021</w:t>
            </w:r>
          </w:p>
        </w:tc>
      </w:tr>
      <w:tr w:rsidR="00BE48D5" w:rsidRPr="00422273" w:rsidTr="00BE48D5">
        <w:trPr>
          <w:trHeight w:val="297"/>
          <w:tblCellSpacing w:w="0" w:type="dxa"/>
          <w:jc w:val="center"/>
        </w:trPr>
        <w:tc>
          <w:tcPr>
            <w:tcW w:w="0" w:type="auto"/>
            <w:vAlign w:val="center"/>
            <w:hideMark/>
          </w:tcPr>
          <w:p w:rsidR="00BE48D5" w:rsidRPr="00422273" w:rsidRDefault="00BE48D5" w:rsidP="00433D39">
            <w:pPr>
              <w:spacing w:line="360" w:lineRule="auto"/>
              <w:jc w:val="right"/>
              <w:rPr>
                <w:rFonts w:ascii="Palatino Linotype" w:hAnsi="Palatino Linotype"/>
                <w:i/>
                <w:sz w:val="22"/>
                <w:szCs w:val="22"/>
                <w:lang w:val="es-ES" w:eastAsia="es-ES"/>
              </w:rPr>
            </w:pPr>
            <w:r w:rsidRPr="00422273">
              <w:rPr>
                <w:rFonts w:ascii="Palatino Linotype" w:hAnsi="Palatino Linotype"/>
                <w:i/>
                <w:sz w:val="22"/>
                <w:szCs w:val="22"/>
                <w:lang w:val="es-ES" w:eastAsia="es-ES"/>
              </w:rPr>
              <w:t xml:space="preserve">Nombre del solicitante: </w:t>
            </w:r>
            <w:r w:rsidR="00433D39">
              <w:rPr>
                <w:rFonts w:ascii="Palatino Linotype" w:hAnsi="Palatino Linotype"/>
                <w:i/>
                <w:sz w:val="22"/>
                <w:szCs w:val="22"/>
                <w:lang w:val="es-ES" w:eastAsia="es-ES"/>
              </w:rPr>
              <w:t>XXXXXXXXXXXXXXXXXXXXXXXX</w:t>
            </w:r>
          </w:p>
        </w:tc>
      </w:tr>
      <w:tr w:rsidR="00BE48D5" w:rsidRPr="00422273" w:rsidTr="00BE48D5">
        <w:trPr>
          <w:trHeight w:val="297"/>
          <w:tblCellSpacing w:w="0" w:type="dxa"/>
          <w:jc w:val="center"/>
        </w:trPr>
        <w:tc>
          <w:tcPr>
            <w:tcW w:w="0" w:type="auto"/>
            <w:vAlign w:val="center"/>
            <w:hideMark/>
          </w:tcPr>
          <w:p w:rsidR="00BE48D5" w:rsidRPr="00422273" w:rsidRDefault="00BE48D5" w:rsidP="00B54731">
            <w:pPr>
              <w:spacing w:line="360" w:lineRule="auto"/>
              <w:jc w:val="right"/>
              <w:rPr>
                <w:rFonts w:ascii="Palatino Linotype" w:hAnsi="Palatino Linotype"/>
                <w:i/>
                <w:sz w:val="22"/>
                <w:szCs w:val="22"/>
                <w:lang w:val="es-ES" w:eastAsia="es-ES"/>
              </w:rPr>
            </w:pPr>
            <w:r w:rsidRPr="00422273">
              <w:rPr>
                <w:rFonts w:ascii="Palatino Linotype" w:hAnsi="Palatino Linotype"/>
                <w:i/>
                <w:sz w:val="22"/>
                <w:szCs w:val="22"/>
                <w:lang w:val="es-ES" w:eastAsia="es-ES"/>
              </w:rPr>
              <w:t>Folio de la solicitud: 00339/SSEM/IP/2021</w:t>
            </w:r>
          </w:p>
        </w:tc>
      </w:tr>
      <w:tr w:rsidR="00BE48D5" w:rsidRPr="00422273" w:rsidTr="00BE48D5">
        <w:trPr>
          <w:trHeight w:val="446"/>
          <w:tblCellSpacing w:w="0" w:type="dxa"/>
          <w:jc w:val="center"/>
        </w:trPr>
        <w:tc>
          <w:tcPr>
            <w:tcW w:w="0" w:type="auto"/>
            <w:vAlign w:val="center"/>
            <w:hideMark/>
          </w:tcPr>
          <w:p w:rsidR="00BE48D5" w:rsidRPr="00422273" w:rsidRDefault="00BE48D5" w:rsidP="00B54731">
            <w:pPr>
              <w:spacing w:line="360" w:lineRule="auto"/>
              <w:jc w:val="right"/>
              <w:rPr>
                <w:rFonts w:ascii="Palatino Linotype" w:hAnsi="Palatino Linotype"/>
                <w:i/>
                <w:sz w:val="22"/>
                <w:szCs w:val="22"/>
                <w:lang w:val="es-ES" w:eastAsia="es-ES"/>
              </w:rPr>
            </w:pPr>
          </w:p>
        </w:tc>
      </w:tr>
      <w:tr w:rsidR="00BE48D5" w:rsidRPr="00422273" w:rsidTr="00BE48D5">
        <w:trPr>
          <w:trHeight w:val="148"/>
          <w:tblCellSpacing w:w="0" w:type="dxa"/>
          <w:jc w:val="center"/>
        </w:trPr>
        <w:tc>
          <w:tcPr>
            <w:tcW w:w="0" w:type="auto"/>
            <w:vAlign w:val="center"/>
            <w:hideMark/>
          </w:tcPr>
          <w:p w:rsidR="00BE48D5" w:rsidRPr="00422273" w:rsidRDefault="00BE48D5" w:rsidP="00B54731">
            <w:pPr>
              <w:spacing w:line="360" w:lineRule="auto"/>
              <w:jc w:val="center"/>
              <w:rPr>
                <w:rFonts w:ascii="Palatino Linotype" w:hAnsi="Palatino Linotype"/>
                <w:i/>
                <w:sz w:val="22"/>
                <w:szCs w:val="22"/>
                <w:lang w:val="es-ES" w:eastAsia="es-ES"/>
              </w:rPr>
            </w:pPr>
          </w:p>
        </w:tc>
      </w:tr>
      <w:tr w:rsidR="00BE48D5" w:rsidRPr="00422273" w:rsidTr="00BE48D5">
        <w:trPr>
          <w:trHeight w:val="372"/>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p>
        </w:tc>
      </w:tr>
      <w:tr w:rsidR="00BE48D5" w:rsidRPr="00422273" w:rsidTr="00BE48D5">
        <w:trPr>
          <w:trHeight w:val="148"/>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r w:rsidRPr="00422273">
              <w:rPr>
                <w:rFonts w:ascii="Palatino Linotype" w:hAnsi="Palatino Linotype"/>
                <w:i/>
                <w:sz w:val="22"/>
                <w:szCs w:val="22"/>
                <w:lang w:val="es-ES" w:eastAsia="es-ES"/>
              </w:rPr>
              <w:t>SE ANEXA ACUERDO DE INCOMPETENCIA PARCIALEN FORMATO PDF, EN CASO DE PRESENTAR PROBLEMAS CON LA RECEPCIÓN DEL MISMO, LE PEDIMOS SE COMUNIQUE A LA UNIDAD DE TRANSPARENCIA DE LA SECRETARÍA DE SEGURIDAD DEL ESTADO DE MÉXICO, AL TELÉFONO 722 2 79 62 00 EXT. 4158, DE LUNES A VIERNES, EN UN HORARIO DE 9:00 A 18:00 HRS.</w:t>
            </w:r>
          </w:p>
        </w:tc>
      </w:tr>
      <w:tr w:rsidR="00BE48D5" w:rsidRPr="00422273" w:rsidTr="00BE48D5">
        <w:trPr>
          <w:trHeight w:val="372"/>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p>
        </w:tc>
      </w:tr>
      <w:tr w:rsidR="00BE48D5" w:rsidRPr="00422273" w:rsidTr="00BE48D5">
        <w:trPr>
          <w:trHeight w:val="148"/>
          <w:tblCellSpacing w:w="0" w:type="dxa"/>
          <w:jc w:val="center"/>
        </w:trPr>
        <w:tc>
          <w:tcPr>
            <w:tcW w:w="0" w:type="auto"/>
            <w:vAlign w:val="center"/>
            <w:hideMark/>
          </w:tcPr>
          <w:p w:rsidR="00BE48D5" w:rsidRPr="00422273" w:rsidRDefault="00BE48D5" w:rsidP="00B54731">
            <w:pPr>
              <w:spacing w:line="360" w:lineRule="auto"/>
              <w:jc w:val="center"/>
              <w:rPr>
                <w:rFonts w:ascii="Palatino Linotype" w:hAnsi="Palatino Linotype"/>
                <w:i/>
                <w:sz w:val="22"/>
                <w:szCs w:val="22"/>
                <w:lang w:val="es-ES" w:eastAsia="es-ES"/>
              </w:rPr>
            </w:pPr>
          </w:p>
        </w:tc>
      </w:tr>
      <w:tr w:rsidR="00BE48D5" w:rsidRPr="00422273" w:rsidTr="00BE48D5">
        <w:trPr>
          <w:trHeight w:val="148"/>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p>
        </w:tc>
      </w:tr>
      <w:tr w:rsidR="00BE48D5" w:rsidRPr="00422273" w:rsidTr="00BE48D5">
        <w:trPr>
          <w:trHeight w:val="148"/>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r w:rsidRPr="00422273">
              <w:rPr>
                <w:rFonts w:ascii="Palatino Linotype" w:hAnsi="Palatino Linotype"/>
                <w:i/>
                <w:sz w:val="22"/>
                <w:szCs w:val="22"/>
                <w:lang w:val="es-ES" w:eastAsia="es-ES"/>
              </w:rPr>
              <w:t>ATENTAMENTE</w:t>
            </w:r>
          </w:p>
        </w:tc>
      </w:tr>
      <w:tr w:rsidR="00BE48D5" w:rsidRPr="00422273" w:rsidTr="00BE48D5">
        <w:trPr>
          <w:trHeight w:val="223"/>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p>
        </w:tc>
      </w:tr>
      <w:tr w:rsidR="00BE48D5" w:rsidRPr="00422273" w:rsidTr="00BE48D5">
        <w:trPr>
          <w:trHeight w:val="148"/>
          <w:tblCellSpacing w:w="0" w:type="dxa"/>
          <w:jc w:val="center"/>
        </w:trPr>
        <w:tc>
          <w:tcPr>
            <w:tcW w:w="0" w:type="auto"/>
            <w:vAlign w:val="center"/>
            <w:hideMark/>
          </w:tcPr>
          <w:p w:rsidR="00BE48D5" w:rsidRPr="00422273" w:rsidRDefault="00BE48D5" w:rsidP="00B54731">
            <w:pPr>
              <w:spacing w:line="360" w:lineRule="auto"/>
              <w:rPr>
                <w:rFonts w:ascii="Palatino Linotype" w:hAnsi="Palatino Linotype"/>
                <w:i/>
                <w:sz w:val="22"/>
                <w:szCs w:val="22"/>
                <w:lang w:val="es-ES" w:eastAsia="es-ES"/>
              </w:rPr>
            </w:pPr>
            <w:r w:rsidRPr="00422273">
              <w:rPr>
                <w:rFonts w:ascii="Palatino Linotype" w:hAnsi="Palatino Linotype"/>
                <w:i/>
                <w:sz w:val="22"/>
                <w:szCs w:val="22"/>
                <w:lang w:val="es-ES" w:eastAsia="es-ES"/>
              </w:rPr>
              <w:t>M. en D. Larissa León Arce</w:t>
            </w:r>
          </w:p>
        </w:tc>
      </w:tr>
    </w:tbl>
    <w:p w:rsidR="00BE48D5" w:rsidRPr="00422273" w:rsidRDefault="00BE48D5" w:rsidP="00B54731">
      <w:pPr>
        <w:spacing w:line="360" w:lineRule="auto"/>
        <w:contextualSpacing/>
        <w:jc w:val="both"/>
        <w:rPr>
          <w:rFonts w:ascii="Palatino Linotype" w:hAnsi="Palatino Linotype"/>
          <w:noProof/>
          <w:lang w:val="es-ES" w:eastAsia="es-ES"/>
        </w:rPr>
      </w:pPr>
    </w:p>
    <w:p w:rsidR="00BE48D5" w:rsidRPr="00422273" w:rsidRDefault="00BE48D5" w:rsidP="00B54731">
      <w:pPr>
        <w:spacing w:line="360" w:lineRule="auto"/>
        <w:contextualSpacing/>
        <w:jc w:val="center"/>
        <w:rPr>
          <w:rFonts w:ascii="Palatino Linotype" w:eastAsia="Calibri" w:hAnsi="Palatino Linotype"/>
          <w:lang w:val="es-ES" w:eastAsia="es-ES"/>
        </w:rPr>
      </w:pPr>
    </w:p>
    <w:p w:rsidR="00BE48D5" w:rsidRPr="00422273" w:rsidRDefault="00D5646D" w:rsidP="00B54731">
      <w:pPr>
        <w:pStyle w:val="Prrafodelista"/>
        <w:numPr>
          <w:ilvl w:val="0"/>
          <w:numId w:val="7"/>
        </w:numPr>
        <w:spacing w:line="360" w:lineRule="auto"/>
        <w:jc w:val="both"/>
        <w:rPr>
          <w:rFonts w:ascii="Palatino Linotype" w:eastAsia="Calibri" w:hAnsi="Palatino Linotype"/>
          <w:lang w:val="es-ES" w:eastAsia="es-ES"/>
        </w:rPr>
      </w:pPr>
      <w:r w:rsidRPr="00422273">
        <w:rPr>
          <w:rFonts w:ascii="Palatino Linotype" w:eastAsia="Calibri" w:hAnsi="Palatino Linotype"/>
          <w:lang w:val="es-ES" w:eastAsia="es-ES"/>
        </w:rPr>
        <w:lastRenderedPageBreak/>
        <w:t xml:space="preserve">Documento adjunto </w:t>
      </w:r>
      <w:hyperlink r:id="rId7" w:tgtFrame="_blank" w:history="1">
        <w:r w:rsidRPr="00422273">
          <w:rPr>
            <w:rStyle w:val="Hipervnculo"/>
            <w:rFonts w:ascii="Palatino Linotype" w:eastAsiaTheme="majorEastAsia" w:hAnsi="Palatino Linotype" w:cs="Arial"/>
            <w:b/>
            <w:bCs/>
            <w:color w:val="auto"/>
            <w:szCs w:val="22"/>
          </w:rPr>
          <w:t>339 INCOMPETENCIA PARCIAL.pdf</w:t>
        </w:r>
      </w:hyperlink>
      <w:r w:rsidRPr="00422273">
        <w:rPr>
          <w:rFonts w:ascii="Palatino Linotype" w:hAnsi="Palatino Linotype"/>
          <w:szCs w:val="22"/>
        </w:rPr>
        <w:t xml:space="preserve">: </w:t>
      </w:r>
      <w:r w:rsidR="00A72096" w:rsidRPr="00422273">
        <w:rPr>
          <w:rFonts w:ascii="Palatino Linotype" w:hAnsi="Palatino Linotype"/>
          <w:szCs w:val="22"/>
        </w:rPr>
        <w:t>suscrito por la titula</w:t>
      </w:r>
      <w:r w:rsidR="00E55386" w:rsidRPr="00422273">
        <w:rPr>
          <w:rFonts w:ascii="Palatino Linotype" w:hAnsi="Palatino Linotype"/>
          <w:szCs w:val="22"/>
        </w:rPr>
        <w:t xml:space="preserve">r de la unidad de transparencia, mediante el cual manifestó carecer de </w:t>
      </w:r>
      <w:r w:rsidR="004F7D16" w:rsidRPr="00422273">
        <w:rPr>
          <w:rFonts w:ascii="Palatino Linotype" w:hAnsi="Palatino Linotype"/>
          <w:szCs w:val="22"/>
        </w:rPr>
        <w:t>competencia para dar respuesta a la parte de la solicitud respecto de antecedentes penales por corresponder a la Fiscalía General de Justicia del Estado de México; asimismo, manifestó que por cuanto hace a alguna responsabilidad administrativa de algún servidor público de la administración estatal, corresponde a la Secretaría de la Contraloría del Estado de México.</w:t>
      </w:r>
    </w:p>
    <w:p w:rsidR="00D5646D" w:rsidRPr="00422273" w:rsidRDefault="00D5646D" w:rsidP="00B54731">
      <w:pPr>
        <w:spacing w:line="360" w:lineRule="auto"/>
        <w:contextualSpacing/>
        <w:jc w:val="both"/>
        <w:rPr>
          <w:rFonts w:ascii="Palatino Linotype" w:eastAsia="Calibri" w:hAnsi="Palatino Linotype"/>
          <w:lang w:val="es-ES" w:eastAsia="es-ES"/>
        </w:rPr>
      </w:pPr>
    </w:p>
    <w:p w:rsidR="00BE48D5" w:rsidRPr="00422273" w:rsidRDefault="00BE48D5" w:rsidP="00B54731">
      <w:pPr>
        <w:numPr>
          <w:ilvl w:val="0"/>
          <w:numId w:val="1"/>
        </w:numPr>
        <w:spacing w:line="360" w:lineRule="auto"/>
        <w:ind w:left="0" w:firstLine="0"/>
        <w:contextualSpacing/>
        <w:jc w:val="both"/>
        <w:rPr>
          <w:rFonts w:ascii="Palatino Linotype" w:eastAsia="Calibri" w:hAnsi="Palatino Linotype"/>
          <w:lang w:val="es-ES" w:eastAsia="es-ES"/>
        </w:rPr>
      </w:pPr>
      <w:r w:rsidRPr="00422273">
        <w:rPr>
          <w:rFonts w:ascii="Palatino Linotype" w:eastAsiaTheme="minorEastAsia" w:hAnsi="Palatino Linotype"/>
          <w:lang w:val="es-ES_tradnl" w:eastAsia="es-ES"/>
        </w:rPr>
        <w:t xml:space="preserve">El </w:t>
      </w:r>
      <w:r w:rsidR="00DB38FD" w:rsidRPr="00422273">
        <w:rPr>
          <w:rFonts w:ascii="Palatino Linotype" w:eastAsiaTheme="minorEastAsia" w:hAnsi="Palatino Linotype"/>
          <w:lang w:val="es-ES_tradnl" w:eastAsia="es-ES"/>
        </w:rPr>
        <w:t xml:space="preserve"> quince (15</w:t>
      </w:r>
      <w:r w:rsidRPr="00422273">
        <w:rPr>
          <w:rFonts w:ascii="Palatino Linotype" w:eastAsiaTheme="minorEastAsia" w:hAnsi="Palatino Linotype"/>
          <w:lang w:val="es-ES_tradnl" w:eastAsia="es-ES"/>
        </w:rPr>
        <w:t xml:space="preserve">) de julio  de dos mil veintiuno, </w:t>
      </w:r>
      <w:r w:rsidRPr="00422273">
        <w:rPr>
          <w:rFonts w:ascii="Palatino Linotype" w:eastAsia="Calibri" w:hAnsi="Palatino Linotype"/>
          <w:lang w:val="es-ES" w:eastAsia="es-ES"/>
        </w:rPr>
        <w:t xml:space="preserve">el </w:t>
      </w:r>
      <w:r w:rsidRPr="00422273">
        <w:rPr>
          <w:rFonts w:ascii="Palatino Linotype" w:eastAsia="Calibri" w:hAnsi="Palatino Linotype" w:cs="Arial"/>
          <w:b/>
          <w:lang w:val="es-AR" w:eastAsia="es-ES"/>
        </w:rPr>
        <w:t>SUJETO OBLIGADO</w:t>
      </w:r>
      <w:r w:rsidRPr="00422273">
        <w:rPr>
          <w:rFonts w:ascii="Palatino Linotype" w:eastAsia="Calibri" w:hAnsi="Palatino Linotype" w:cs="Arial"/>
          <w:b/>
          <w:i/>
          <w:lang w:val="es-AR" w:eastAsia="es-ES"/>
        </w:rPr>
        <w:t xml:space="preserve"> </w:t>
      </w:r>
      <w:r w:rsidRPr="00422273">
        <w:rPr>
          <w:rFonts w:ascii="Palatino Linotype" w:hAnsi="Palatino Linotype" w:cs="Arial"/>
          <w:lang w:val="es-ES" w:eastAsia="es-ES"/>
        </w:rPr>
        <w:t>dio respuestas a la solicitud de información en los siguientes términos:</w:t>
      </w:r>
    </w:p>
    <w:p w:rsidR="00BE48D5" w:rsidRPr="00422273" w:rsidRDefault="00BE48D5" w:rsidP="00B54731">
      <w:pPr>
        <w:spacing w:line="360" w:lineRule="auto"/>
        <w:ind w:left="720"/>
        <w:contextualSpacing/>
        <w:rPr>
          <w:rFonts w:ascii="Palatino Linotype" w:hAnsi="Palatino Linotype" w:cs="Arial"/>
          <w:lang w:val="es-ES" w:eastAsia="es-ES"/>
        </w:rPr>
      </w:pPr>
    </w:p>
    <w:tbl>
      <w:tblPr>
        <w:tblW w:w="7661" w:type="dxa"/>
        <w:jc w:val="center"/>
        <w:tblCellSpacing w:w="0" w:type="dxa"/>
        <w:tblCellMar>
          <w:left w:w="0" w:type="dxa"/>
          <w:right w:w="0" w:type="dxa"/>
        </w:tblCellMar>
        <w:tblLook w:val="04A0" w:firstRow="1" w:lastRow="0" w:firstColumn="1" w:lastColumn="0" w:noHBand="0" w:noVBand="1"/>
      </w:tblPr>
      <w:tblGrid>
        <w:gridCol w:w="7661"/>
      </w:tblGrid>
      <w:tr w:rsidR="00DB38FD" w:rsidRPr="00422273" w:rsidTr="00DB38FD">
        <w:trPr>
          <w:trHeight w:val="312"/>
          <w:tblCellSpacing w:w="0" w:type="dxa"/>
          <w:jc w:val="center"/>
        </w:trPr>
        <w:tc>
          <w:tcPr>
            <w:tcW w:w="0" w:type="auto"/>
            <w:vAlign w:val="center"/>
            <w:hideMark/>
          </w:tcPr>
          <w:p w:rsidR="00DB38FD" w:rsidRPr="00422273" w:rsidRDefault="00DB38FD" w:rsidP="00B54731">
            <w:pPr>
              <w:spacing w:line="360" w:lineRule="auto"/>
              <w:jc w:val="right"/>
              <w:rPr>
                <w:rFonts w:ascii="Palatino Linotype" w:hAnsi="Palatino Linotype"/>
                <w:i/>
                <w:sz w:val="22"/>
                <w:szCs w:val="22"/>
                <w:lang w:val="es-ES" w:eastAsia="es-ES"/>
              </w:rPr>
            </w:pPr>
            <w:r w:rsidRPr="00422273">
              <w:rPr>
                <w:rFonts w:ascii="Palatino Linotype" w:hAnsi="Palatino Linotype"/>
                <w:i/>
                <w:sz w:val="22"/>
                <w:szCs w:val="22"/>
                <w:lang w:val="es-ES" w:eastAsia="es-ES"/>
              </w:rPr>
              <w:t>Metepec, México a 15 de Julio de 2021</w:t>
            </w:r>
          </w:p>
        </w:tc>
      </w:tr>
      <w:tr w:rsidR="00DB38FD" w:rsidRPr="00422273" w:rsidTr="00DB38FD">
        <w:trPr>
          <w:trHeight w:val="312"/>
          <w:tblCellSpacing w:w="0" w:type="dxa"/>
          <w:jc w:val="center"/>
        </w:trPr>
        <w:tc>
          <w:tcPr>
            <w:tcW w:w="0" w:type="auto"/>
            <w:vAlign w:val="center"/>
            <w:hideMark/>
          </w:tcPr>
          <w:p w:rsidR="00DB38FD" w:rsidRPr="00422273" w:rsidRDefault="00DB38FD" w:rsidP="00433D39">
            <w:pPr>
              <w:spacing w:line="360" w:lineRule="auto"/>
              <w:jc w:val="right"/>
              <w:rPr>
                <w:rFonts w:ascii="Palatino Linotype" w:hAnsi="Palatino Linotype"/>
                <w:i/>
                <w:sz w:val="22"/>
                <w:szCs w:val="22"/>
                <w:lang w:val="es-ES" w:eastAsia="es-ES"/>
              </w:rPr>
            </w:pPr>
            <w:r w:rsidRPr="00422273">
              <w:rPr>
                <w:rFonts w:ascii="Palatino Linotype" w:hAnsi="Palatino Linotype"/>
                <w:i/>
                <w:sz w:val="22"/>
                <w:szCs w:val="22"/>
                <w:lang w:val="es-ES" w:eastAsia="es-ES"/>
              </w:rPr>
              <w:t xml:space="preserve">Nombre del solicitante: </w:t>
            </w:r>
            <w:r w:rsidR="00433D39">
              <w:rPr>
                <w:rFonts w:ascii="Palatino Linotype" w:hAnsi="Palatino Linotype"/>
                <w:i/>
                <w:sz w:val="22"/>
                <w:szCs w:val="22"/>
                <w:lang w:val="es-ES" w:eastAsia="es-ES"/>
              </w:rPr>
              <w:t>XXXXXXXXXXXXXXXXXXXXXXXXX</w:t>
            </w:r>
          </w:p>
        </w:tc>
      </w:tr>
      <w:tr w:rsidR="00DB38FD" w:rsidRPr="00422273" w:rsidTr="00DB38FD">
        <w:trPr>
          <w:trHeight w:val="312"/>
          <w:tblCellSpacing w:w="0" w:type="dxa"/>
          <w:jc w:val="center"/>
        </w:trPr>
        <w:tc>
          <w:tcPr>
            <w:tcW w:w="0" w:type="auto"/>
            <w:vAlign w:val="center"/>
            <w:hideMark/>
          </w:tcPr>
          <w:p w:rsidR="00DB38FD" w:rsidRPr="00422273" w:rsidRDefault="00DB38FD" w:rsidP="00B54731">
            <w:pPr>
              <w:spacing w:line="360" w:lineRule="auto"/>
              <w:jc w:val="right"/>
              <w:rPr>
                <w:rFonts w:ascii="Palatino Linotype" w:hAnsi="Palatino Linotype"/>
                <w:i/>
                <w:sz w:val="22"/>
                <w:szCs w:val="22"/>
                <w:lang w:val="es-ES" w:eastAsia="es-ES"/>
              </w:rPr>
            </w:pPr>
            <w:r w:rsidRPr="00422273">
              <w:rPr>
                <w:rFonts w:ascii="Palatino Linotype" w:hAnsi="Palatino Linotype"/>
                <w:i/>
                <w:sz w:val="22"/>
                <w:szCs w:val="22"/>
                <w:lang w:val="es-ES" w:eastAsia="es-ES"/>
              </w:rPr>
              <w:t>Folio de la solicitud: 00339/SSEM/IP/2021</w:t>
            </w:r>
          </w:p>
        </w:tc>
      </w:tr>
      <w:tr w:rsidR="00DB38FD" w:rsidRPr="00422273" w:rsidTr="00DB38FD">
        <w:trPr>
          <w:trHeight w:val="156"/>
          <w:tblCellSpacing w:w="0" w:type="dxa"/>
          <w:jc w:val="center"/>
        </w:trPr>
        <w:tc>
          <w:tcPr>
            <w:tcW w:w="0" w:type="auto"/>
            <w:vAlign w:val="center"/>
            <w:hideMark/>
          </w:tcPr>
          <w:p w:rsidR="00DB38FD" w:rsidRPr="00422273" w:rsidRDefault="00DB38FD" w:rsidP="00B54731">
            <w:pPr>
              <w:spacing w:line="360" w:lineRule="auto"/>
              <w:rPr>
                <w:rFonts w:ascii="Palatino Linotype" w:hAnsi="Palatino Linotype"/>
                <w:i/>
                <w:sz w:val="22"/>
                <w:szCs w:val="22"/>
                <w:lang w:val="es-ES" w:eastAsia="es-ES"/>
              </w:rPr>
            </w:pPr>
          </w:p>
          <w:p w:rsidR="00DB38FD" w:rsidRPr="00422273" w:rsidRDefault="00DB38FD" w:rsidP="00B54731">
            <w:pPr>
              <w:spacing w:line="360" w:lineRule="auto"/>
              <w:rPr>
                <w:rFonts w:ascii="Palatino Linotype" w:hAnsi="Palatino Linotype"/>
                <w:i/>
                <w:sz w:val="22"/>
                <w:szCs w:val="22"/>
                <w:lang w:val="es-ES" w:eastAsia="es-ES"/>
              </w:rPr>
            </w:pPr>
            <w:r w:rsidRPr="00422273">
              <w:rPr>
                <w:rFonts w:ascii="Palatino Linotype" w:hAnsi="Palatino Linotype"/>
                <w:i/>
                <w:sz w:val="22"/>
                <w:szCs w:val="22"/>
                <w:lang w:val="es-ES" w:eastAsia="es-ES"/>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tc>
      </w:tr>
      <w:tr w:rsidR="00DB38FD" w:rsidRPr="00422273" w:rsidTr="00DB38FD">
        <w:trPr>
          <w:trHeight w:val="390"/>
          <w:tblCellSpacing w:w="0" w:type="dxa"/>
          <w:jc w:val="center"/>
        </w:trPr>
        <w:tc>
          <w:tcPr>
            <w:tcW w:w="0" w:type="auto"/>
            <w:vAlign w:val="center"/>
            <w:hideMark/>
          </w:tcPr>
          <w:p w:rsidR="00DB38FD" w:rsidRPr="00422273" w:rsidRDefault="00DB38FD" w:rsidP="00B54731">
            <w:pPr>
              <w:spacing w:line="360" w:lineRule="auto"/>
              <w:rPr>
                <w:rFonts w:ascii="Palatino Linotype" w:hAnsi="Palatino Linotype"/>
                <w:i/>
                <w:sz w:val="22"/>
                <w:szCs w:val="22"/>
                <w:lang w:val="es-ES" w:eastAsia="es-ES"/>
              </w:rPr>
            </w:pPr>
          </w:p>
        </w:tc>
      </w:tr>
      <w:tr w:rsidR="00DB38FD" w:rsidRPr="00422273" w:rsidTr="00DB38FD">
        <w:trPr>
          <w:trHeight w:val="156"/>
          <w:tblCellSpacing w:w="0" w:type="dxa"/>
          <w:jc w:val="center"/>
        </w:trPr>
        <w:tc>
          <w:tcPr>
            <w:tcW w:w="0" w:type="auto"/>
            <w:vAlign w:val="center"/>
            <w:hideMark/>
          </w:tcPr>
          <w:p w:rsidR="00DB38FD" w:rsidRPr="00422273" w:rsidRDefault="00DB38FD" w:rsidP="00B54731">
            <w:pPr>
              <w:spacing w:line="360" w:lineRule="auto"/>
              <w:jc w:val="center"/>
              <w:rPr>
                <w:rFonts w:ascii="Palatino Linotype" w:hAnsi="Palatino Linotype"/>
                <w:i/>
                <w:sz w:val="22"/>
                <w:szCs w:val="22"/>
                <w:lang w:val="es-ES" w:eastAsia="es-ES"/>
              </w:rPr>
            </w:pPr>
          </w:p>
        </w:tc>
      </w:tr>
      <w:tr w:rsidR="00DB38FD" w:rsidRPr="00422273" w:rsidTr="00DB38FD">
        <w:trPr>
          <w:trHeight w:val="156"/>
          <w:tblCellSpacing w:w="0" w:type="dxa"/>
          <w:jc w:val="center"/>
        </w:trPr>
        <w:tc>
          <w:tcPr>
            <w:tcW w:w="0" w:type="auto"/>
            <w:vAlign w:val="center"/>
            <w:hideMark/>
          </w:tcPr>
          <w:p w:rsidR="00DB38FD" w:rsidRPr="00422273" w:rsidRDefault="00DB38FD" w:rsidP="00B54731">
            <w:pPr>
              <w:spacing w:line="360" w:lineRule="auto"/>
              <w:rPr>
                <w:rFonts w:ascii="Palatino Linotype" w:hAnsi="Palatino Linotype"/>
                <w:i/>
                <w:sz w:val="22"/>
                <w:szCs w:val="22"/>
                <w:lang w:val="es-ES" w:eastAsia="es-ES"/>
              </w:rPr>
            </w:pPr>
          </w:p>
        </w:tc>
      </w:tr>
      <w:tr w:rsidR="00DB38FD" w:rsidRPr="00422273" w:rsidTr="00DB38FD">
        <w:trPr>
          <w:trHeight w:val="156"/>
          <w:tblCellSpacing w:w="0" w:type="dxa"/>
          <w:jc w:val="center"/>
        </w:trPr>
        <w:tc>
          <w:tcPr>
            <w:tcW w:w="0" w:type="auto"/>
            <w:vAlign w:val="center"/>
            <w:hideMark/>
          </w:tcPr>
          <w:p w:rsidR="00DB38FD" w:rsidRPr="00422273" w:rsidRDefault="00DB38FD" w:rsidP="00B54731">
            <w:pPr>
              <w:spacing w:line="360" w:lineRule="auto"/>
              <w:rPr>
                <w:rFonts w:ascii="Palatino Linotype" w:hAnsi="Palatino Linotype"/>
                <w:i/>
                <w:sz w:val="22"/>
                <w:szCs w:val="22"/>
                <w:lang w:val="es-ES" w:eastAsia="es-ES"/>
              </w:rPr>
            </w:pPr>
            <w:r w:rsidRPr="00422273">
              <w:rPr>
                <w:rFonts w:ascii="Palatino Linotype" w:hAnsi="Palatino Linotype"/>
                <w:i/>
                <w:sz w:val="22"/>
                <w:szCs w:val="22"/>
                <w:lang w:val="es-ES" w:eastAsia="es-ES"/>
              </w:rPr>
              <w:t>ATENTAMENTE</w:t>
            </w:r>
          </w:p>
        </w:tc>
      </w:tr>
      <w:tr w:rsidR="00DB38FD" w:rsidRPr="00422273" w:rsidTr="00DB38FD">
        <w:trPr>
          <w:trHeight w:val="234"/>
          <w:tblCellSpacing w:w="0" w:type="dxa"/>
          <w:jc w:val="center"/>
        </w:trPr>
        <w:tc>
          <w:tcPr>
            <w:tcW w:w="0" w:type="auto"/>
            <w:vAlign w:val="center"/>
            <w:hideMark/>
          </w:tcPr>
          <w:p w:rsidR="00DB38FD" w:rsidRPr="00422273" w:rsidRDefault="00DB38FD" w:rsidP="00B54731">
            <w:pPr>
              <w:spacing w:line="360" w:lineRule="auto"/>
              <w:rPr>
                <w:rFonts w:ascii="Palatino Linotype" w:hAnsi="Palatino Linotype"/>
                <w:i/>
                <w:sz w:val="22"/>
                <w:szCs w:val="22"/>
                <w:lang w:val="es-ES" w:eastAsia="es-ES"/>
              </w:rPr>
            </w:pPr>
          </w:p>
        </w:tc>
      </w:tr>
      <w:tr w:rsidR="00DB38FD" w:rsidRPr="00422273" w:rsidTr="00DB38FD">
        <w:trPr>
          <w:trHeight w:val="156"/>
          <w:tblCellSpacing w:w="0" w:type="dxa"/>
          <w:jc w:val="center"/>
        </w:trPr>
        <w:tc>
          <w:tcPr>
            <w:tcW w:w="0" w:type="auto"/>
            <w:vAlign w:val="center"/>
            <w:hideMark/>
          </w:tcPr>
          <w:p w:rsidR="00DB38FD" w:rsidRPr="00422273" w:rsidRDefault="00DB38FD" w:rsidP="00B54731">
            <w:pPr>
              <w:spacing w:line="360" w:lineRule="auto"/>
              <w:rPr>
                <w:rFonts w:ascii="Palatino Linotype" w:hAnsi="Palatino Linotype"/>
                <w:i/>
                <w:sz w:val="22"/>
                <w:szCs w:val="22"/>
                <w:lang w:val="es-ES" w:eastAsia="es-ES"/>
              </w:rPr>
            </w:pPr>
            <w:r w:rsidRPr="00422273">
              <w:rPr>
                <w:rFonts w:ascii="Palatino Linotype" w:hAnsi="Palatino Linotype"/>
                <w:i/>
                <w:sz w:val="22"/>
                <w:szCs w:val="22"/>
                <w:lang w:val="es-ES" w:eastAsia="es-ES"/>
              </w:rPr>
              <w:t>M. en D. Larissa León Arce</w:t>
            </w:r>
          </w:p>
        </w:tc>
      </w:tr>
    </w:tbl>
    <w:p w:rsidR="00BE48D5" w:rsidRPr="00422273" w:rsidRDefault="00BE48D5" w:rsidP="00B54731">
      <w:pPr>
        <w:spacing w:line="360" w:lineRule="auto"/>
        <w:ind w:right="567"/>
        <w:jc w:val="both"/>
        <w:rPr>
          <w:rFonts w:ascii="Palatino Linotype" w:hAnsi="Palatino Linotype"/>
        </w:rPr>
      </w:pPr>
    </w:p>
    <w:p w:rsidR="00BE48D5" w:rsidRPr="00422273" w:rsidRDefault="00DB38FD" w:rsidP="00B54731">
      <w:pPr>
        <w:pStyle w:val="Prrafodelista"/>
        <w:numPr>
          <w:ilvl w:val="0"/>
          <w:numId w:val="7"/>
        </w:numPr>
        <w:spacing w:line="360" w:lineRule="auto"/>
        <w:ind w:right="567"/>
        <w:jc w:val="both"/>
        <w:rPr>
          <w:rFonts w:ascii="Palatino Linotype" w:hAnsi="Palatino Linotype"/>
        </w:rPr>
      </w:pPr>
      <w:r w:rsidRPr="00422273">
        <w:rPr>
          <w:rFonts w:ascii="Palatino Linotype" w:hAnsi="Palatino Linotype"/>
        </w:rPr>
        <w:lastRenderedPageBreak/>
        <w:t>A la respuesta se adjuntó</w:t>
      </w:r>
      <w:r w:rsidR="00BE48D5" w:rsidRPr="00422273">
        <w:rPr>
          <w:rFonts w:ascii="Palatino Linotype" w:hAnsi="Palatino Linotype"/>
        </w:rPr>
        <w:t xml:space="preserve"> </w:t>
      </w:r>
      <w:r w:rsidRPr="00422273">
        <w:rPr>
          <w:rFonts w:ascii="Palatino Linotype" w:hAnsi="Palatino Linotype"/>
        </w:rPr>
        <w:t>el documento</w:t>
      </w:r>
      <w:r w:rsidRPr="00422273">
        <w:rPr>
          <w:rFonts w:ascii="Palatino Linotype" w:hAnsi="Palatino Linotype"/>
          <w:szCs w:val="22"/>
        </w:rPr>
        <w:t xml:space="preserve"> </w:t>
      </w:r>
      <w:hyperlink r:id="rId8" w:tgtFrame="_blank" w:history="1">
        <w:r w:rsidRPr="00422273">
          <w:rPr>
            <w:rStyle w:val="Hipervnculo"/>
            <w:rFonts w:ascii="Palatino Linotype" w:eastAsiaTheme="majorEastAsia" w:hAnsi="Palatino Linotype" w:cs="Arial"/>
            <w:b/>
            <w:bCs/>
            <w:color w:val="auto"/>
            <w:szCs w:val="22"/>
          </w:rPr>
          <w:t>RESPUESTA 339.pdf</w:t>
        </w:r>
      </w:hyperlink>
      <w:r w:rsidRPr="00422273">
        <w:rPr>
          <w:rFonts w:ascii="Palatino Linotype" w:hAnsi="Palatino Linotype"/>
          <w:szCs w:val="22"/>
        </w:rPr>
        <w:t xml:space="preserve">: </w:t>
      </w:r>
      <w:r w:rsidR="00EF4570" w:rsidRPr="00422273">
        <w:rPr>
          <w:rFonts w:ascii="Palatino Linotype" w:hAnsi="Palatino Linotype"/>
          <w:szCs w:val="22"/>
        </w:rPr>
        <w:t>de fecha nueve de julio de dos mil veintiuno, suscrito por el Titular de la Unidad de Transparencia mediante el cual da respuesta a la solicitud de información.</w:t>
      </w:r>
    </w:p>
    <w:p w:rsidR="00BE48D5" w:rsidRPr="00422273" w:rsidRDefault="00BE48D5" w:rsidP="00B54731">
      <w:pPr>
        <w:spacing w:line="360" w:lineRule="auto"/>
        <w:ind w:right="567"/>
        <w:jc w:val="both"/>
        <w:rPr>
          <w:rFonts w:ascii="Palatino Linotype" w:hAnsi="Palatino Linotype"/>
        </w:rPr>
      </w:pPr>
    </w:p>
    <w:p w:rsidR="00BE48D5" w:rsidRPr="00422273" w:rsidRDefault="00BE48D5" w:rsidP="00B54731">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422273">
        <w:rPr>
          <w:rFonts w:ascii="Palatino Linotype" w:eastAsia="Calibri" w:hAnsi="Palatino Linotype" w:cs="Arial"/>
          <w:lang w:val="es-AR" w:eastAsia="es-ES"/>
        </w:rPr>
        <w:t xml:space="preserve">El </w:t>
      </w:r>
      <w:r w:rsidR="00DB38FD" w:rsidRPr="00422273">
        <w:rPr>
          <w:rFonts w:ascii="Palatino Linotype" w:eastAsia="Calibri" w:hAnsi="Palatino Linotype" w:cs="Arial"/>
          <w:lang w:val="es-AR" w:eastAsia="es-ES"/>
        </w:rPr>
        <w:t>veinticinco (25</w:t>
      </w:r>
      <w:r w:rsidRPr="00422273">
        <w:rPr>
          <w:rFonts w:ascii="Palatino Linotype" w:eastAsia="Calibri" w:hAnsi="Palatino Linotype" w:cs="Arial"/>
          <w:lang w:val="es-AR" w:eastAsia="es-ES"/>
        </w:rPr>
        <w:t>) de julio  de dos mil veintiuno</w:t>
      </w:r>
      <w:r w:rsidRPr="00422273">
        <w:rPr>
          <w:rFonts w:ascii="Palatino Linotype" w:hAnsi="Palatino Linotype" w:cs="Arial"/>
          <w:lang w:val="es-ES" w:eastAsia="es-ES"/>
        </w:rPr>
        <w:t xml:space="preserve">, </w:t>
      </w:r>
      <w:r w:rsidRPr="00422273">
        <w:rPr>
          <w:rFonts w:ascii="Palatino Linotype" w:eastAsiaTheme="minorEastAsia" w:hAnsi="Palatino Linotype"/>
          <w:b/>
          <w:lang w:val="es-ES_tradnl" w:eastAsia="es-ES"/>
        </w:rPr>
        <w:t>EL RECURRENTE</w:t>
      </w:r>
      <w:r w:rsidRPr="00422273">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BE48D5" w:rsidRPr="00422273" w:rsidRDefault="00BE48D5" w:rsidP="00B54731">
      <w:pPr>
        <w:spacing w:line="360" w:lineRule="auto"/>
        <w:ind w:left="567" w:right="567"/>
        <w:contextualSpacing/>
        <w:rPr>
          <w:rFonts w:ascii="Palatino Linotype" w:eastAsiaTheme="minorEastAsia" w:hAnsi="Palatino Linotype" w:cs="Arial"/>
          <w:i/>
          <w:lang w:val="es-ES_tradnl" w:eastAsia="es-ES"/>
        </w:rPr>
      </w:pPr>
    </w:p>
    <w:p w:rsidR="00BE48D5" w:rsidRPr="00422273" w:rsidRDefault="00BE48D5" w:rsidP="00B54731">
      <w:pPr>
        <w:spacing w:line="360" w:lineRule="auto"/>
        <w:ind w:left="567" w:right="567"/>
        <w:contextualSpacing/>
        <w:jc w:val="both"/>
        <w:rPr>
          <w:rFonts w:ascii="Palatino Linotype" w:eastAsia="Calibri" w:hAnsi="Palatino Linotype" w:cs="Arial"/>
          <w:i/>
          <w:lang w:val="es-ES" w:eastAsia="es-ES"/>
        </w:rPr>
      </w:pPr>
      <w:r w:rsidRPr="00422273">
        <w:rPr>
          <w:rFonts w:ascii="Palatino Linotype" w:eastAsiaTheme="minorEastAsia" w:hAnsi="Palatino Linotype"/>
          <w:b/>
          <w:lang w:val="es-ES_tradnl" w:eastAsia="es-ES"/>
        </w:rPr>
        <w:t>Acto impugnado</w:t>
      </w:r>
      <w:r w:rsidRPr="00422273">
        <w:rPr>
          <w:rFonts w:ascii="Palatino Linotype" w:eastAsiaTheme="minorEastAsia" w:hAnsi="Palatino Linotype"/>
          <w:b/>
          <w:i/>
          <w:lang w:val="es-ES_tradnl" w:eastAsia="es-ES"/>
        </w:rPr>
        <w:t>:</w:t>
      </w:r>
      <w:r w:rsidRPr="00422273">
        <w:rPr>
          <w:rFonts w:ascii="Palatino Linotype" w:hAnsi="Palatino Linotype"/>
          <w:i/>
          <w:color w:val="000000"/>
        </w:rPr>
        <w:t xml:space="preserve"> “</w:t>
      </w:r>
      <w:r w:rsidR="00DB38FD" w:rsidRPr="00422273">
        <w:rPr>
          <w:rFonts w:ascii="Palatino Linotype" w:hAnsi="Palatino Linotype"/>
          <w:i/>
          <w:color w:val="000000"/>
        </w:rPr>
        <w:t>Respuesta al folio de solicitud 00339/SSEM/IP/2021</w:t>
      </w:r>
      <w:r w:rsidRPr="00422273">
        <w:rPr>
          <w:rFonts w:ascii="Palatino Linotype" w:hAnsi="Palatino Linotype"/>
          <w:i/>
          <w:color w:val="000000"/>
        </w:rPr>
        <w:t xml:space="preserve">” (Sic); </w:t>
      </w:r>
      <w:r w:rsidRPr="00422273">
        <w:rPr>
          <w:rFonts w:ascii="Palatino Linotype" w:eastAsia="Calibri" w:hAnsi="Palatino Linotype" w:cs="Arial"/>
          <w:i/>
          <w:lang w:val="es-ES" w:eastAsia="es-ES"/>
        </w:rPr>
        <w:t>Y</w:t>
      </w:r>
    </w:p>
    <w:p w:rsidR="00BE48D5" w:rsidRPr="00422273" w:rsidRDefault="00BE48D5" w:rsidP="00B54731">
      <w:pPr>
        <w:spacing w:line="360" w:lineRule="auto"/>
        <w:ind w:left="567" w:right="567"/>
        <w:contextualSpacing/>
        <w:jc w:val="both"/>
        <w:rPr>
          <w:rFonts w:ascii="Palatino Linotype" w:eastAsia="Calibri" w:hAnsi="Palatino Linotype" w:cs="Arial"/>
          <w:lang w:val="es-ES" w:eastAsia="es-ES"/>
        </w:rPr>
      </w:pPr>
    </w:p>
    <w:p w:rsidR="00BE48D5" w:rsidRPr="00422273" w:rsidRDefault="00BE48D5" w:rsidP="00B54731">
      <w:pPr>
        <w:spacing w:line="360" w:lineRule="auto"/>
        <w:ind w:left="567" w:right="567"/>
        <w:contextualSpacing/>
        <w:jc w:val="both"/>
        <w:rPr>
          <w:rFonts w:ascii="Palatino Linotype" w:hAnsi="Palatino Linotype"/>
          <w:i/>
          <w:color w:val="000000"/>
        </w:rPr>
      </w:pPr>
      <w:r w:rsidRPr="00422273">
        <w:rPr>
          <w:rFonts w:ascii="Palatino Linotype" w:eastAsiaTheme="minorEastAsia" w:hAnsi="Palatino Linotype"/>
          <w:b/>
          <w:lang w:val="es-ES_tradnl" w:eastAsia="es-ES"/>
        </w:rPr>
        <w:t>Razones o Motivos de inconformidad:</w:t>
      </w:r>
      <w:r w:rsidRPr="00422273">
        <w:rPr>
          <w:rFonts w:ascii="Palatino Linotype" w:eastAsiaTheme="majorEastAsia" w:hAnsi="Palatino Linotype" w:cstheme="majorBidi"/>
          <w:b/>
          <w:color w:val="2E74B5" w:themeColor="accent1" w:themeShade="BF"/>
          <w:sz w:val="26"/>
          <w:szCs w:val="26"/>
          <w:lang w:val="es-ES" w:eastAsia="es-ES"/>
        </w:rPr>
        <w:t xml:space="preserve"> </w:t>
      </w:r>
      <w:r w:rsidRPr="00422273">
        <w:rPr>
          <w:rFonts w:ascii="Palatino Linotype" w:eastAsiaTheme="majorEastAsia" w:hAnsi="Palatino Linotype" w:cstheme="majorBidi"/>
          <w:i/>
          <w:lang w:val="es-ES" w:eastAsia="es-ES"/>
        </w:rPr>
        <w:t>“</w:t>
      </w:r>
      <w:r w:rsidR="00DB38FD" w:rsidRPr="00422273">
        <w:rPr>
          <w:rFonts w:ascii="Palatino Linotype" w:hAnsi="Palatino Linotype"/>
          <w:i/>
          <w:color w:val="000000"/>
        </w:rPr>
        <w:t>Funciones, lugar y horario de labores del C. Octavio Valdez Pérez, ya que la información solicitada no corresponde a información personal que ponga en peligro su integridad, por lo que solicito solamente funciones específicas y horario de labores mediante digitalización de lista o tarjetas de asistencia correspondientes al año en curso, lo anterior se solicita nuevamente haciendo valer el derecho que como individuos tenemos al acceso a la información y en materia de prevención del delito. Así mismo informe si cuenta con algún antecedente negativo ante su órgano interno de control o área competente de esa institución.</w:t>
      </w:r>
      <w:r w:rsidRPr="00422273">
        <w:rPr>
          <w:rFonts w:ascii="Palatino Linotype" w:hAnsi="Palatino Linotype"/>
          <w:i/>
          <w:color w:val="000000"/>
        </w:rPr>
        <w:t>” (Sic).</w:t>
      </w:r>
    </w:p>
    <w:bookmarkEnd w:id="1"/>
    <w:bookmarkEnd w:id="2"/>
    <w:bookmarkEnd w:id="3"/>
    <w:p w:rsidR="00BE48D5" w:rsidRPr="00422273" w:rsidRDefault="00BE48D5" w:rsidP="00B54731">
      <w:pPr>
        <w:spacing w:line="360" w:lineRule="auto"/>
        <w:jc w:val="both"/>
        <w:rPr>
          <w:rFonts w:ascii="Palatino Linotype" w:eastAsia="Calibri" w:hAnsi="Palatino Linotype" w:cs="Arial"/>
          <w:lang w:val="es-AR" w:eastAsia="es-ES"/>
        </w:rPr>
      </w:pPr>
    </w:p>
    <w:p w:rsidR="00BE48D5" w:rsidRPr="00422273" w:rsidRDefault="00BE48D5" w:rsidP="00B54731">
      <w:pPr>
        <w:numPr>
          <w:ilvl w:val="0"/>
          <w:numId w:val="1"/>
        </w:numPr>
        <w:spacing w:line="360" w:lineRule="auto"/>
        <w:ind w:left="0" w:firstLine="0"/>
        <w:contextualSpacing/>
        <w:jc w:val="both"/>
        <w:rPr>
          <w:rFonts w:ascii="Palatino Linotype" w:eastAsia="Calibri" w:hAnsi="Palatino Linotype" w:cs="Arial"/>
          <w:lang w:val="es-AR" w:eastAsia="es-ES"/>
        </w:rPr>
      </w:pPr>
      <w:r w:rsidRPr="00422273">
        <w:rPr>
          <w:rFonts w:ascii="Palatino Linotype" w:hAnsi="Palatino Linotype" w:cs="Arial"/>
          <w:lang w:val="es-ES" w:eastAsia="es-ES"/>
        </w:rPr>
        <w:t xml:space="preserve">Se registró el recurso de revisión bajo el número de expediente </w:t>
      </w:r>
      <w:r w:rsidRPr="00422273">
        <w:rPr>
          <w:rFonts w:ascii="Palatino Linotype" w:eastAsiaTheme="minorEastAsia" w:hAnsi="Palatino Linotype" w:cs="Arial"/>
          <w:bCs/>
          <w:lang w:val="es-ES_tradnl" w:eastAsia="es-ES"/>
        </w:rPr>
        <w:t xml:space="preserve">al rubro indicado, asimismo con fundamento en lo dispuesto por el </w:t>
      </w:r>
      <w:r w:rsidRPr="00422273">
        <w:rPr>
          <w:rFonts w:ascii="Palatino Linotype" w:eastAsia="Calibri" w:hAnsi="Palatino Linotype" w:cs="Arial"/>
          <w:lang w:val="es-ES" w:eastAsia="es-ES"/>
        </w:rPr>
        <w:t xml:space="preserve">artículo 185 fracción I de la </w:t>
      </w:r>
      <w:r w:rsidRPr="00422273">
        <w:rPr>
          <w:rFonts w:ascii="Palatino Linotype" w:eastAsia="Calibri" w:hAnsi="Palatino Linotype" w:cs="Arial"/>
          <w:b/>
          <w:lang w:val="es-ES" w:eastAsia="es-ES"/>
        </w:rPr>
        <w:t xml:space="preserve">Ley de Transparencia y Acceso a la Información Pública del Estado de México y Municipios </w:t>
      </w:r>
      <w:r w:rsidRPr="00422273">
        <w:rPr>
          <w:rFonts w:ascii="Palatino Linotype" w:hAnsi="Palatino Linotype" w:cs="Arial"/>
          <w:lang w:val="es-ES" w:eastAsia="es-ES"/>
        </w:rPr>
        <w:t>se turn</w:t>
      </w:r>
      <w:r w:rsidR="00EF4570" w:rsidRPr="00422273">
        <w:rPr>
          <w:rFonts w:ascii="Palatino Linotype" w:hAnsi="Palatino Linotype" w:cs="Arial"/>
          <w:lang w:val="es-ES" w:eastAsia="es-ES"/>
        </w:rPr>
        <w:t xml:space="preserve">ó a la entonces </w:t>
      </w:r>
      <w:r w:rsidRPr="00422273">
        <w:rPr>
          <w:rFonts w:ascii="Palatino Linotype" w:hAnsi="Palatino Linotype" w:cs="Arial"/>
          <w:b/>
          <w:lang w:val="es-ES" w:eastAsia="es-ES"/>
        </w:rPr>
        <w:t>Comisi</w:t>
      </w:r>
      <w:r w:rsidR="00EF4570" w:rsidRPr="00422273">
        <w:rPr>
          <w:rFonts w:ascii="Palatino Linotype" w:hAnsi="Palatino Linotype" w:cs="Arial"/>
          <w:b/>
          <w:lang w:val="es-ES" w:eastAsia="es-ES"/>
        </w:rPr>
        <w:t>onada Zulema Martínez Sánchez</w:t>
      </w:r>
      <w:r w:rsidRPr="00422273">
        <w:rPr>
          <w:rFonts w:ascii="Palatino Linotype" w:hAnsi="Palatino Linotype" w:cs="Arial"/>
          <w:b/>
          <w:lang w:val="es-ES" w:eastAsia="es-ES"/>
        </w:rPr>
        <w:t xml:space="preserve">, </w:t>
      </w:r>
      <w:r w:rsidRPr="00422273">
        <w:rPr>
          <w:rFonts w:ascii="Palatino Linotype" w:hAnsi="Palatino Linotype" w:cs="Arial"/>
          <w:lang w:val="es-ES" w:eastAsia="es-ES"/>
        </w:rPr>
        <w:t xml:space="preserve">con el objeto de </w:t>
      </w:r>
      <w:r w:rsidRPr="00422273">
        <w:rPr>
          <w:rFonts w:ascii="Palatino Linotype" w:hAnsi="Palatino Linotype" w:cs="Arial"/>
          <w:lang w:eastAsia="es-ES"/>
        </w:rPr>
        <w:t xml:space="preserve">su análisis. </w:t>
      </w:r>
    </w:p>
    <w:p w:rsidR="00BE48D5" w:rsidRPr="00422273" w:rsidRDefault="00BE48D5" w:rsidP="00B54731">
      <w:pPr>
        <w:spacing w:line="360" w:lineRule="auto"/>
        <w:contextualSpacing/>
        <w:jc w:val="both"/>
        <w:rPr>
          <w:rFonts w:ascii="Palatino Linotype" w:eastAsia="Calibri" w:hAnsi="Palatino Linotype" w:cs="Arial"/>
          <w:lang w:val="es-AR" w:eastAsia="es-ES"/>
        </w:rPr>
      </w:pPr>
    </w:p>
    <w:p w:rsidR="00BE48D5" w:rsidRPr="00422273" w:rsidRDefault="00BE48D5" w:rsidP="00B54731">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422273">
        <w:rPr>
          <w:rFonts w:ascii="Palatino Linotype" w:eastAsia="Calibri" w:hAnsi="Palatino Linotype" w:cs="Arial"/>
          <w:lang w:val="es-ES" w:eastAsia="es-ES"/>
        </w:rPr>
        <w:t>El Comisionado Ponente con fundamento en lo dispuesto por el artículo 185 fracción II de la ley de la materia, a través del acuerdo de admisión de</w:t>
      </w:r>
      <w:r w:rsidR="00EF4570" w:rsidRPr="00422273">
        <w:rPr>
          <w:rFonts w:ascii="Palatino Linotype" w:eastAsia="Calibri" w:hAnsi="Palatino Linotype" w:cs="Arial"/>
          <w:lang w:val="es-ES" w:eastAsia="es-ES"/>
        </w:rPr>
        <w:t>l</w:t>
      </w:r>
      <w:r w:rsidRPr="00422273">
        <w:rPr>
          <w:rFonts w:ascii="Palatino Linotype" w:eastAsia="Calibri" w:hAnsi="Palatino Linotype" w:cs="Arial"/>
          <w:lang w:val="es-ES" w:eastAsia="es-ES"/>
        </w:rPr>
        <w:t xml:space="preserve"> </w:t>
      </w:r>
      <w:r w:rsidR="00EF4570" w:rsidRPr="00422273">
        <w:rPr>
          <w:rFonts w:ascii="Palatino Linotype" w:eastAsia="Calibri" w:hAnsi="Palatino Linotype" w:cs="Arial"/>
          <w:lang w:val="es-ES" w:eastAsia="es-ES"/>
        </w:rPr>
        <w:t xml:space="preserve">seis (06) de agosto </w:t>
      </w:r>
      <w:r w:rsidRPr="00422273">
        <w:rPr>
          <w:rFonts w:ascii="Palatino Linotype" w:eastAsia="Calibri" w:hAnsi="Palatino Linotype" w:cs="Arial"/>
          <w:lang w:val="es-ES" w:eastAsia="es-ES"/>
        </w:rPr>
        <w:t xml:space="preserve">de dos mil veintiuno, puso a disposición de las partes el expediente electrónico </w:t>
      </w:r>
      <w:r w:rsidRPr="00422273">
        <w:rPr>
          <w:rFonts w:ascii="Palatino Linotype" w:eastAsia="Calibri" w:hAnsi="Palatino Linotype" w:cs="Arial"/>
          <w:lang w:val="es-ES_tradnl" w:eastAsia="es-ES"/>
        </w:rPr>
        <w:t xml:space="preserve">vía </w:t>
      </w:r>
      <w:r w:rsidRPr="00422273">
        <w:rPr>
          <w:rFonts w:ascii="Palatino Linotype" w:eastAsia="Calibri" w:hAnsi="Palatino Linotype" w:cs="Arial"/>
          <w:b/>
          <w:lang w:val="es-ES" w:eastAsia="es-ES"/>
        </w:rPr>
        <w:t xml:space="preserve">SAIMEX </w:t>
      </w:r>
      <w:r w:rsidRPr="00422273">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422273">
        <w:rPr>
          <w:rFonts w:ascii="Palatino Linotype" w:eastAsia="Calibri" w:hAnsi="Palatino Linotype" w:cs="Arial"/>
          <w:b/>
          <w:lang w:val="es-ES" w:eastAsia="es-ES"/>
        </w:rPr>
        <w:t>SUJETO OBLIGADO</w:t>
      </w:r>
      <w:r w:rsidRPr="00422273">
        <w:rPr>
          <w:rFonts w:ascii="Palatino Linotype" w:eastAsia="Calibri" w:hAnsi="Palatino Linotype" w:cs="Arial"/>
          <w:lang w:val="es-ES" w:eastAsia="es-ES"/>
        </w:rPr>
        <w:t xml:space="preserve"> presentara el informe justificado procedente. </w:t>
      </w:r>
    </w:p>
    <w:p w:rsidR="00BE48D5" w:rsidRPr="00422273" w:rsidRDefault="00BE48D5" w:rsidP="00B54731">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BE48D5" w:rsidRPr="00422273" w:rsidRDefault="00BE48D5" w:rsidP="00B54731">
      <w:pPr>
        <w:numPr>
          <w:ilvl w:val="0"/>
          <w:numId w:val="1"/>
        </w:numPr>
        <w:spacing w:line="360" w:lineRule="auto"/>
        <w:ind w:left="0" w:firstLine="0"/>
        <w:contextualSpacing/>
        <w:jc w:val="both"/>
        <w:rPr>
          <w:rFonts w:ascii="Palatino Linotype" w:eastAsia="Calibri" w:hAnsi="Palatino Linotype" w:cs="Arial"/>
          <w:lang w:val="es-ES" w:eastAsia="es-ES"/>
        </w:rPr>
      </w:pPr>
      <w:r w:rsidRPr="00422273">
        <w:rPr>
          <w:rFonts w:ascii="Palatino Linotype" w:eastAsia="Calibri" w:hAnsi="Palatino Linotype" w:cs="Arial"/>
          <w:lang w:val="es-ES" w:eastAsia="es-ES"/>
        </w:rPr>
        <w:t xml:space="preserve">El día </w:t>
      </w:r>
      <w:r w:rsidR="00EF4570" w:rsidRPr="00422273">
        <w:rPr>
          <w:rFonts w:ascii="Palatino Linotype" w:eastAsia="Calibri" w:hAnsi="Palatino Linotype" w:cs="Arial"/>
          <w:lang w:val="es-ES" w:eastAsia="es-ES"/>
        </w:rPr>
        <w:t>dieciséis (16</w:t>
      </w:r>
      <w:r w:rsidRPr="00422273">
        <w:rPr>
          <w:rFonts w:ascii="Palatino Linotype" w:eastAsia="Calibri" w:hAnsi="Palatino Linotype" w:cs="Arial"/>
          <w:lang w:val="es-ES" w:eastAsia="es-ES"/>
        </w:rPr>
        <w:t xml:space="preserve">) de agosto de dos mil veintiuno, el </w:t>
      </w:r>
      <w:r w:rsidRPr="00422273">
        <w:rPr>
          <w:rFonts w:ascii="Palatino Linotype" w:eastAsia="Calibri" w:hAnsi="Palatino Linotype" w:cs="Arial"/>
          <w:b/>
          <w:lang w:val="es-ES" w:eastAsia="es-ES"/>
        </w:rPr>
        <w:t>SUJETO OBLIGADO</w:t>
      </w:r>
      <w:r w:rsidRPr="00422273">
        <w:rPr>
          <w:rFonts w:ascii="Palatino Linotype" w:eastAsia="Calibri" w:hAnsi="Palatino Linotype" w:cs="Arial"/>
          <w:lang w:val="es-ES" w:eastAsia="es-ES"/>
        </w:rPr>
        <w:t xml:space="preserve"> rindió informe justificado que se puso a la vista el seis (06) de septiembre  de dos mil veintiuno, </w:t>
      </w:r>
      <w:r w:rsidR="00EF4570" w:rsidRPr="00422273">
        <w:rPr>
          <w:rFonts w:ascii="Palatino Linotype" w:eastAsia="Calibri" w:hAnsi="Palatino Linotype" w:cs="Arial"/>
          <w:lang w:val="es-ES" w:eastAsia="es-ES"/>
        </w:rPr>
        <w:t>en el que se adjuntó el siguiente documento</w:t>
      </w:r>
      <w:r w:rsidRPr="00422273">
        <w:rPr>
          <w:rFonts w:ascii="Palatino Linotype" w:eastAsia="Calibri" w:hAnsi="Palatino Linotype" w:cs="Arial"/>
          <w:lang w:val="es-ES" w:eastAsia="es-ES"/>
        </w:rPr>
        <w:t>:</w:t>
      </w:r>
    </w:p>
    <w:p w:rsidR="00BE48D5" w:rsidRPr="00422273" w:rsidRDefault="00BE48D5" w:rsidP="00B54731">
      <w:pPr>
        <w:spacing w:line="360" w:lineRule="auto"/>
        <w:contextualSpacing/>
        <w:jc w:val="both"/>
        <w:rPr>
          <w:rFonts w:ascii="Palatino Linotype" w:eastAsia="Calibri" w:hAnsi="Palatino Linotype" w:cs="Arial"/>
          <w:lang w:val="es-ES" w:eastAsia="es-ES"/>
        </w:rPr>
      </w:pPr>
    </w:p>
    <w:p w:rsidR="00BE48D5" w:rsidRPr="00422273" w:rsidRDefault="00433D39" w:rsidP="00B54731">
      <w:pPr>
        <w:pStyle w:val="Prrafodelista"/>
        <w:numPr>
          <w:ilvl w:val="0"/>
          <w:numId w:val="2"/>
        </w:numPr>
        <w:spacing w:line="360" w:lineRule="auto"/>
        <w:jc w:val="both"/>
        <w:rPr>
          <w:rFonts w:ascii="Palatino Linotype" w:hAnsi="Palatino Linotype"/>
          <w:sz w:val="20"/>
        </w:rPr>
      </w:pPr>
      <w:hyperlink r:id="rId9" w:history="1">
        <w:r w:rsidR="00EF4570" w:rsidRPr="00422273">
          <w:rPr>
            <w:rStyle w:val="Hipervnculo"/>
            <w:rFonts w:ascii="Palatino Linotype" w:hAnsi="Palatino Linotype" w:cs="Arial"/>
            <w:b/>
            <w:bCs/>
            <w:color w:val="auto"/>
          </w:rPr>
          <w:t>Informe Justificado RR 03803.pdf</w:t>
        </w:r>
      </w:hyperlink>
      <w:r w:rsidR="00BE48D5" w:rsidRPr="00422273">
        <w:rPr>
          <w:rFonts w:ascii="Palatino Linotype" w:hAnsi="Palatino Linotype"/>
        </w:rPr>
        <w:t xml:space="preserve">: </w:t>
      </w:r>
      <w:r w:rsidR="00DD0D7E" w:rsidRPr="00422273">
        <w:rPr>
          <w:rFonts w:ascii="Palatino Linotype" w:hAnsi="Palatino Linotype"/>
        </w:rPr>
        <w:t>oficio 20600007000000S/UIPPE/1145/2021, con asunto de informe justificado del diez de agosto de dos mil veintiuno, suscrito por la Titular de la Unidad de Transparencia mediante el cual se confirma la respuesta.</w:t>
      </w:r>
    </w:p>
    <w:p w:rsidR="00EF4570" w:rsidRPr="00422273" w:rsidRDefault="00EF4570" w:rsidP="00B54731">
      <w:pPr>
        <w:pStyle w:val="Prrafodelista"/>
        <w:spacing w:line="360" w:lineRule="auto"/>
        <w:jc w:val="both"/>
        <w:rPr>
          <w:rFonts w:ascii="Palatino Linotype" w:hAnsi="Palatino Linotype"/>
        </w:rPr>
      </w:pPr>
    </w:p>
    <w:p w:rsidR="00BE48D5" w:rsidRPr="00422273" w:rsidRDefault="00BE48D5" w:rsidP="00B54731">
      <w:pPr>
        <w:pStyle w:val="Prrafodelista"/>
        <w:numPr>
          <w:ilvl w:val="0"/>
          <w:numId w:val="1"/>
        </w:numPr>
        <w:spacing w:line="360" w:lineRule="auto"/>
        <w:ind w:left="0" w:right="48" w:firstLine="0"/>
        <w:jc w:val="both"/>
        <w:rPr>
          <w:rFonts w:ascii="Palatino Linotype" w:hAnsi="Palatino Linotype"/>
          <w:b/>
          <w:sz w:val="24"/>
        </w:rPr>
      </w:pPr>
      <w:r w:rsidRPr="00422273">
        <w:rPr>
          <w:rFonts w:ascii="Palatino Linotype" w:hAnsi="Palatino Linotype"/>
          <w:sz w:val="24"/>
        </w:rPr>
        <w:t xml:space="preserve">El veintitrés (23) de agosto de dos mil veintiuno, en la Segunda Sesión Extraordinaria, el Pleno de este Órgano Garante aprobó el </w:t>
      </w:r>
      <w:proofErr w:type="spellStart"/>
      <w:r w:rsidRPr="00422273">
        <w:rPr>
          <w:rFonts w:ascii="Palatino Linotype" w:hAnsi="Palatino Linotype"/>
          <w:sz w:val="24"/>
        </w:rPr>
        <w:t>returno</w:t>
      </w:r>
      <w:proofErr w:type="spellEnd"/>
      <w:r w:rsidRPr="00422273">
        <w:rPr>
          <w:rFonts w:ascii="Palatino Linotype" w:hAnsi="Palatino Linotype"/>
          <w:sz w:val="24"/>
        </w:rPr>
        <w:t xml:space="preserve"> del recurso de revisión al rubro indicado, a la Ponencia de la </w:t>
      </w:r>
      <w:r w:rsidRPr="00422273">
        <w:rPr>
          <w:rFonts w:ascii="Palatino Linotype" w:hAnsi="Palatino Linotype"/>
          <w:b/>
          <w:sz w:val="24"/>
        </w:rPr>
        <w:t>Comisionada María del Rosario Mejía Ayala.</w:t>
      </w:r>
    </w:p>
    <w:p w:rsidR="00BE48D5" w:rsidRPr="00422273" w:rsidRDefault="00BE48D5" w:rsidP="00B54731">
      <w:pPr>
        <w:spacing w:line="360" w:lineRule="auto"/>
        <w:contextualSpacing/>
        <w:jc w:val="both"/>
        <w:rPr>
          <w:rFonts w:ascii="Palatino Linotype" w:eastAsiaTheme="minorEastAsia" w:hAnsi="Palatino Linotype"/>
          <w:b/>
          <w:u w:val="single"/>
          <w:lang w:val="es-ES_tradnl" w:eastAsia="es-ES"/>
        </w:rPr>
      </w:pPr>
    </w:p>
    <w:p w:rsidR="00DD0D7E" w:rsidRPr="00422273" w:rsidRDefault="00BE48D5" w:rsidP="00B5473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422273">
        <w:rPr>
          <w:rFonts w:ascii="Palatino Linotype" w:eastAsiaTheme="minorEastAsia" w:hAnsi="Palatino Linotype"/>
          <w:lang w:val="es-ES_tradnl" w:eastAsia="es-ES"/>
        </w:rPr>
        <w:t>El Comisionado Ponente decretó el cierre de instrucción</w:t>
      </w:r>
      <w:r w:rsidRPr="00422273">
        <w:rPr>
          <w:rFonts w:ascii="Palatino Linotype" w:eastAsiaTheme="minorEastAsia" w:hAnsi="Palatino Linotype" w:cs="Arial"/>
          <w:lang w:val="es-ES_tradnl" w:eastAsia="es-ES"/>
        </w:rPr>
        <w:t xml:space="preserve"> </w:t>
      </w:r>
      <w:r w:rsidRPr="00422273">
        <w:rPr>
          <w:rFonts w:ascii="Palatino Linotype" w:eastAsiaTheme="minorEastAsia" w:hAnsi="Palatino Linotype"/>
          <w:lang w:val="es-ES_tradnl" w:eastAsia="es-ES"/>
        </w:rPr>
        <w:t>media</w:t>
      </w:r>
      <w:r w:rsidR="00DD0D7E" w:rsidRPr="00422273">
        <w:rPr>
          <w:rFonts w:ascii="Palatino Linotype" w:eastAsiaTheme="minorEastAsia" w:hAnsi="Palatino Linotype"/>
          <w:lang w:val="es-ES_tradnl" w:eastAsia="es-ES"/>
        </w:rPr>
        <w:t>nte el acuerdo de fecha trece (13</w:t>
      </w:r>
      <w:r w:rsidRPr="00422273">
        <w:rPr>
          <w:rFonts w:ascii="Palatino Linotype" w:eastAsiaTheme="minorEastAsia" w:hAnsi="Palatino Linotype"/>
          <w:lang w:val="es-ES_tradnl" w:eastAsia="es-ES"/>
        </w:rPr>
        <w:t>) de septiembre de dos mil veintiuno.</w:t>
      </w:r>
      <w:r w:rsidRPr="00422273">
        <w:rPr>
          <w:rFonts w:ascii="Palatino Linotype" w:eastAsiaTheme="minorEastAsia" w:hAnsi="Palatino Linotype" w:cs="Arial"/>
          <w:lang w:val="es-ES_tradnl" w:eastAsia="es-ES"/>
        </w:rPr>
        <w:t xml:space="preserve"> </w:t>
      </w:r>
    </w:p>
    <w:p w:rsidR="00BE48D5" w:rsidRPr="00422273" w:rsidRDefault="00DD0D7E" w:rsidP="00B5473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422273">
        <w:rPr>
          <w:rFonts w:ascii="Palatino Linotype" w:eastAsiaTheme="minorEastAsia" w:hAnsi="Palatino Linotype"/>
          <w:lang w:val="es-ES_tradnl" w:eastAsia="es-ES"/>
        </w:rPr>
        <w:lastRenderedPageBreak/>
        <w:t xml:space="preserve">El veintidós (22) de septiembre de dos mil veintiuno, </w:t>
      </w:r>
      <w:r w:rsidRPr="00422273">
        <w:rPr>
          <w:rFonts w:ascii="Palatino Linotype" w:eastAsiaTheme="minorEastAsia" w:hAnsi="Palatino Linotype"/>
          <w:lang w:val="es-ES" w:eastAsia="es-ES"/>
        </w:rPr>
        <w:t xml:space="preserve">se notificó mediante acuerdo que el plazo para resolver el recurso de revisión, se ampliaría por un periodo de quince días hábiles; </w:t>
      </w:r>
      <w:r w:rsidRPr="00422273">
        <w:rPr>
          <w:rFonts w:ascii="Palatino Linotype" w:eastAsiaTheme="minorEastAsia" w:hAnsi="Palatino Linotype"/>
          <w:lang w:eastAsia="es-ES"/>
        </w:rPr>
        <w:t xml:space="preserve">posterior a ello ordenó turnar el expediente a resolución, misma que ahora se pronuncia; y - - - - - - - - - - - - - - - - - - - - - - - - - - - - - - - - - - - - - - - </w:t>
      </w:r>
    </w:p>
    <w:p w:rsidR="00BE1ECC" w:rsidRPr="00422273" w:rsidRDefault="00BE1ECC" w:rsidP="00BE1ECC">
      <w:pPr>
        <w:spacing w:line="360" w:lineRule="auto"/>
        <w:contextualSpacing/>
        <w:jc w:val="both"/>
        <w:rPr>
          <w:rFonts w:ascii="Palatino Linotype" w:eastAsiaTheme="minorEastAsia" w:hAnsi="Palatino Linotype"/>
          <w:b/>
          <w:u w:val="single"/>
          <w:lang w:val="es-ES_tradnl" w:eastAsia="es-ES"/>
        </w:rPr>
      </w:pPr>
    </w:p>
    <w:p w:rsidR="00BE48D5" w:rsidRPr="00422273" w:rsidRDefault="00BE48D5" w:rsidP="00B54731">
      <w:pPr>
        <w:keepNext/>
        <w:keepLines/>
        <w:spacing w:line="360" w:lineRule="auto"/>
        <w:jc w:val="center"/>
        <w:outlineLvl w:val="0"/>
        <w:rPr>
          <w:rFonts w:ascii="Palatino Linotype" w:eastAsiaTheme="majorEastAsia" w:hAnsi="Palatino Linotype" w:cstheme="majorBidi"/>
        </w:rPr>
      </w:pPr>
      <w:bookmarkStart w:id="4" w:name="_Toc84437040"/>
      <w:r w:rsidRPr="00422273">
        <w:rPr>
          <w:rFonts w:ascii="Palatino Linotype" w:eastAsiaTheme="majorEastAsia" w:hAnsi="Palatino Linotype" w:cstheme="majorBidi"/>
          <w:b/>
        </w:rPr>
        <w:t>CONSIDERANDO</w:t>
      </w:r>
      <w:bookmarkEnd w:id="4"/>
      <w:r w:rsidRPr="00422273">
        <w:rPr>
          <w:rFonts w:ascii="Palatino Linotype" w:eastAsiaTheme="majorEastAsia" w:hAnsi="Palatino Linotype" w:cstheme="majorBidi"/>
          <w:b/>
        </w:rPr>
        <w:t xml:space="preserve"> </w:t>
      </w:r>
    </w:p>
    <w:p w:rsidR="00BE48D5" w:rsidRPr="00422273" w:rsidRDefault="00BE48D5" w:rsidP="00B54731">
      <w:pPr>
        <w:spacing w:line="360" w:lineRule="auto"/>
        <w:rPr>
          <w:rFonts w:ascii="Palatino Linotype" w:eastAsiaTheme="minorEastAsia" w:hAnsi="Palatino Linotype"/>
        </w:rPr>
      </w:pPr>
    </w:p>
    <w:p w:rsidR="00BE48D5" w:rsidRPr="00422273" w:rsidRDefault="00BE48D5" w:rsidP="00B54731">
      <w:pPr>
        <w:keepNext/>
        <w:keepLines/>
        <w:spacing w:line="360" w:lineRule="auto"/>
        <w:outlineLvl w:val="1"/>
        <w:rPr>
          <w:rFonts w:ascii="Palatino Linotype" w:eastAsiaTheme="majorEastAsia" w:hAnsi="Palatino Linotype" w:cstheme="majorBidi"/>
          <w:b/>
          <w:szCs w:val="26"/>
        </w:rPr>
      </w:pPr>
      <w:bookmarkStart w:id="5" w:name="_Toc84437041"/>
      <w:r w:rsidRPr="00422273">
        <w:rPr>
          <w:rFonts w:ascii="Palatino Linotype" w:eastAsiaTheme="majorEastAsia" w:hAnsi="Palatino Linotype" w:cstheme="majorBidi"/>
          <w:b/>
          <w:szCs w:val="26"/>
        </w:rPr>
        <w:t>PRIMERO. De la competencia</w:t>
      </w:r>
      <w:bookmarkEnd w:id="5"/>
    </w:p>
    <w:p w:rsidR="00BE48D5" w:rsidRPr="00422273" w:rsidRDefault="00BE48D5" w:rsidP="00B54731">
      <w:pPr>
        <w:keepNext/>
        <w:keepLines/>
        <w:spacing w:line="360" w:lineRule="auto"/>
        <w:outlineLvl w:val="1"/>
        <w:rPr>
          <w:rFonts w:ascii="Palatino Linotype" w:eastAsiaTheme="majorEastAsia" w:hAnsi="Palatino Linotype" w:cstheme="majorBidi"/>
          <w:b/>
          <w:bCs/>
          <w:spacing w:val="60"/>
          <w:szCs w:val="26"/>
        </w:rPr>
      </w:pPr>
    </w:p>
    <w:p w:rsidR="00BE48D5" w:rsidRPr="00422273" w:rsidRDefault="00BE48D5" w:rsidP="00B54731">
      <w:pPr>
        <w:numPr>
          <w:ilvl w:val="0"/>
          <w:numId w:val="1"/>
        </w:numPr>
        <w:spacing w:line="360" w:lineRule="auto"/>
        <w:ind w:left="0" w:firstLine="0"/>
        <w:jc w:val="both"/>
        <w:rPr>
          <w:rFonts w:ascii="Palatino Linotype" w:eastAsia="Calibri" w:hAnsi="Palatino Linotype"/>
          <w:lang w:eastAsia="es-ES"/>
        </w:rPr>
      </w:pPr>
      <w:r w:rsidRPr="00422273">
        <w:rPr>
          <w:rFonts w:ascii="Palatino Linotype" w:eastAsia="Calibri" w:hAnsi="Palatino Linotype"/>
          <w:lang w:val="es-ES" w:eastAsia="es-ES"/>
        </w:rPr>
        <w:t xml:space="preserve"> </w:t>
      </w:r>
      <w:r w:rsidR="00DD0D7E" w:rsidRPr="00422273">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00DD0D7E" w:rsidRPr="00422273">
        <w:rPr>
          <w:rFonts w:ascii="Palatino Linotype" w:eastAsia="Calibri" w:hAnsi="Palatino Linotype"/>
          <w:b/>
          <w:lang w:val="es-ES" w:eastAsia="es-ES"/>
        </w:rPr>
        <w:t>Constitución Política de los Estados Unidos Mexicanos</w:t>
      </w:r>
      <w:r w:rsidR="00DD0D7E" w:rsidRPr="00422273">
        <w:rPr>
          <w:rFonts w:ascii="Palatino Linotype" w:eastAsia="Calibri" w:hAnsi="Palatino Linotype"/>
          <w:lang w:val="es-ES" w:eastAsia="es-ES"/>
        </w:rPr>
        <w:t xml:space="preserve">; 5, </w:t>
      </w:r>
      <w:r w:rsidR="00DD0D7E" w:rsidRPr="00422273">
        <w:rPr>
          <w:rFonts w:ascii="Palatino Linotype" w:eastAsia="Calibri" w:hAnsi="Palatino Linotype"/>
          <w:lang w:eastAsia="es-ES"/>
        </w:rPr>
        <w:t xml:space="preserve">párrafos trigésimo, trigésimo primero y trigésimo segundo, fracciones I, II, III, IV y V de la </w:t>
      </w:r>
      <w:r w:rsidR="00DD0D7E" w:rsidRPr="00422273">
        <w:rPr>
          <w:rFonts w:ascii="Palatino Linotype" w:eastAsia="Calibri" w:hAnsi="Palatino Linotype"/>
          <w:b/>
          <w:lang w:eastAsia="es-ES"/>
        </w:rPr>
        <w:t>Constitución Política del Estado Libre y Soberano de México</w:t>
      </w:r>
      <w:r w:rsidR="00DD0D7E" w:rsidRPr="00422273">
        <w:rPr>
          <w:rFonts w:ascii="Palatino Linotype" w:eastAsia="Calibri" w:hAnsi="Palatino Linotype"/>
          <w:b/>
          <w:lang w:val="es-ES" w:eastAsia="es-ES"/>
        </w:rPr>
        <w:t>;</w:t>
      </w:r>
      <w:r w:rsidR="00DD0D7E" w:rsidRPr="00422273">
        <w:rPr>
          <w:rFonts w:ascii="Palatino Linotype" w:eastAsia="Calibri" w:hAnsi="Palatino Linotype"/>
          <w:lang w:val="es-ES" w:eastAsia="es-ES"/>
        </w:rPr>
        <w:t xml:space="preserve"> 1, 3 fracción I, 82, 97, 98, 119, 123, 124, 127, 128 y 133 </w:t>
      </w:r>
      <w:r w:rsidR="00DD0D7E" w:rsidRPr="00422273">
        <w:rPr>
          <w:rFonts w:ascii="Palatino Linotype" w:eastAsia="Calibri" w:hAnsi="Palatino Linotype"/>
          <w:b/>
          <w:lang w:eastAsia="es-ES"/>
        </w:rPr>
        <w:t>Ley de Protección de Datos Personales en Posesión de Sujetos Obligados del Estado de México y Municipios</w:t>
      </w:r>
      <w:r w:rsidR="00DD0D7E" w:rsidRPr="00422273">
        <w:rPr>
          <w:rFonts w:ascii="Palatino Linotype" w:eastAsia="Calibri" w:hAnsi="Palatino Linotype"/>
          <w:lang w:val="es-ES" w:eastAsia="es-ES"/>
        </w:rPr>
        <w:t xml:space="preserve">; y 10, 7, 9 fracciones I y XXIV, y 11 del </w:t>
      </w:r>
      <w:r w:rsidR="00DD0D7E" w:rsidRPr="00422273">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BE48D5" w:rsidRPr="00422273" w:rsidRDefault="00BE48D5" w:rsidP="00B54731">
      <w:pPr>
        <w:spacing w:line="360" w:lineRule="auto"/>
        <w:contextualSpacing/>
        <w:jc w:val="both"/>
        <w:rPr>
          <w:rFonts w:ascii="Palatino Linotype" w:eastAsiaTheme="minorEastAsia" w:hAnsi="Palatino Linotype"/>
          <w:lang w:val="es-ES_tradnl" w:eastAsia="es-ES"/>
        </w:rPr>
      </w:pPr>
    </w:p>
    <w:p w:rsidR="00BE48D5" w:rsidRPr="00422273" w:rsidRDefault="00BE48D5" w:rsidP="00B54731">
      <w:pPr>
        <w:keepNext/>
        <w:keepLines/>
        <w:spacing w:line="360" w:lineRule="auto"/>
        <w:outlineLvl w:val="1"/>
        <w:rPr>
          <w:rFonts w:ascii="Palatino Linotype" w:eastAsiaTheme="majorEastAsia" w:hAnsi="Palatino Linotype" w:cstheme="majorBidi"/>
          <w:b/>
          <w:szCs w:val="26"/>
        </w:rPr>
      </w:pPr>
      <w:bookmarkStart w:id="6" w:name="_Toc84437042"/>
      <w:r w:rsidRPr="00422273">
        <w:rPr>
          <w:rFonts w:ascii="Palatino Linotype" w:eastAsiaTheme="majorEastAsia" w:hAnsi="Palatino Linotype" w:cstheme="majorBidi"/>
          <w:b/>
          <w:szCs w:val="26"/>
        </w:rPr>
        <w:t>SEGUNDO. De la oportunidad y procedencia.</w:t>
      </w:r>
      <w:bookmarkEnd w:id="6"/>
    </w:p>
    <w:p w:rsidR="00BE48D5" w:rsidRPr="00422273" w:rsidRDefault="00BE48D5" w:rsidP="00B54731">
      <w:pPr>
        <w:spacing w:line="360" w:lineRule="auto"/>
        <w:rPr>
          <w:rFonts w:ascii="Palatino Linotype" w:eastAsiaTheme="minorEastAsia" w:hAnsi="Palatino Linotype"/>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Calibri" w:hAnsi="Palatino Linotype" w:cs="Arial"/>
          <w:lang w:val="es-ES_tradnl" w:eastAsia="es-ES"/>
        </w:rPr>
        <w:t xml:space="preserve">El medio de impugnación fue presentado a través del </w:t>
      </w:r>
      <w:r w:rsidRPr="00422273">
        <w:rPr>
          <w:rFonts w:ascii="Palatino Linotype" w:eastAsia="Calibri" w:hAnsi="Palatino Linotype" w:cs="Arial"/>
          <w:b/>
          <w:lang w:val="es-ES_tradnl" w:eastAsia="es-ES"/>
        </w:rPr>
        <w:t>SAIMEX,</w:t>
      </w:r>
      <w:r w:rsidRPr="00422273">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422273">
        <w:rPr>
          <w:rFonts w:ascii="Palatino Linotype" w:eastAsia="Calibri" w:hAnsi="Palatino Linotype" w:cs="Arial"/>
          <w:b/>
          <w:lang w:val="es-ES_tradnl" w:eastAsia="es-ES"/>
        </w:rPr>
        <w:t>SUJETO OBLIGADO</w:t>
      </w:r>
      <w:r w:rsidRPr="00422273">
        <w:rPr>
          <w:rFonts w:ascii="Palatino Linotype" w:eastAsia="Calibri" w:hAnsi="Palatino Linotype" w:cs="Arial"/>
          <w:lang w:val="es-ES_tradnl" w:eastAsia="es-ES"/>
        </w:rPr>
        <w:t xml:space="preserve"> entregó respuesta a la solicitud el </w:t>
      </w:r>
      <w:r w:rsidRPr="00422273">
        <w:rPr>
          <w:rFonts w:ascii="Palatino Linotype" w:eastAsia="Calibri" w:hAnsi="Palatino Linotype" w:cs="Arial"/>
          <w:lang w:val="es-ES_tradnl" w:eastAsia="es-ES"/>
        </w:rPr>
        <w:lastRenderedPageBreak/>
        <w:t xml:space="preserve">día </w:t>
      </w:r>
      <w:r w:rsidR="00CC305C" w:rsidRPr="00422273">
        <w:rPr>
          <w:rFonts w:ascii="Palatino Linotype" w:eastAsia="Calibri" w:hAnsi="Palatino Linotype" w:cs="Arial"/>
          <w:lang w:val="es-ES_tradnl" w:eastAsia="es-ES"/>
        </w:rPr>
        <w:t>quince (15</w:t>
      </w:r>
      <w:r w:rsidRPr="00422273">
        <w:rPr>
          <w:rFonts w:ascii="Palatino Linotype" w:eastAsia="Calibri" w:hAnsi="Palatino Linotype" w:cs="Arial"/>
          <w:lang w:val="es-ES_tradnl" w:eastAsia="es-ES"/>
        </w:rPr>
        <w:t xml:space="preserve">) de julio  de dos mil veintiuno, </w:t>
      </w:r>
      <w:r w:rsidRPr="00422273">
        <w:rPr>
          <w:rFonts w:ascii="Palatino Linotype" w:eastAsiaTheme="minorEastAsia" w:hAnsi="Palatino Linotype" w:cs="Arial"/>
          <w:lang w:val="es-ES_tradnl" w:eastAsia="es-ES"/>
        </w:rPr>
        <w:t xml:space="preserve">de tal forma que el plazo para interponer el recurso de revisión transcurrió del </w:t>
      </w:r>
      <w:r w:rsidR="00CC305C" w:rsidRPr="00422273">
        <w:rPr>
          <w:rFonts w:ascii="Palatino Linotype" w:eastAsiaTheme="minorEastAsia" w:hAnsi="Palatino Linotype" w:cs="Arial"/>
          <w:lang w:val="es-ES_tradnl" w:eastAsia="es-ES"/>
        </w:rPr>
        <w:t>dieciséis (16</w:t>
      </w:r>
      <w:r w:rsidRPr="00422273">
        <w:rPr>
          <w:rFonts w:ascii="Palatino Linotype" w:eastAsiaTheme="minorEastAsia" w:hAnsi="Palatino Linotype" w:cs="Arial"/>
          <w:lang w:val="es-ES_tradnl" w:eastAsia="es-ES"/>
        </w:rPr>
        <w:t xml:space="preserve">) de julio  al </w:t>
      </w:r>
      <w:r w:rsidR="00CC305C" w:rsidRPr="00422273">
        <w:rPr>
          <w:rFonts w:ascii="Palatino Linotype" w:eastAsiaTheme="minorEastAsia" w:hAnsi="Palatino Linotype" w:cs="Arial"/>
          <w:lang w:val="es-ES_tradnl" w:eastAsia="es-ES"/>
        </w:rPr>
        <w:t>diecinueve (19</w:t>
      </w:r>
      <w:r w:rsidRPr="00422273">
        <w:rPr>
          <w:rFonts w:ascii="Palatino Linotype" w:eastAsiaTheme="minorEastAsia" w:hAnsi="Palatino Linotype" w:cs="Arial"/>
          <w:lang w:val="es-ES_tradnl" w:eastAsia="es-ES"/>
        </w:rPr>
        <w:t>) de agosto  de dos mil veintiuno; en consecuencia, p</w:t>
      </w:r>
      <w:r w:rsidR="00CC305C" w:rsidRPr="00422273">
        <w:rPr>
          <w:rFonts w:ascii="Palatino Linotype" w:eastAsiaTheme="minorEastAsia" w:hAnsi="Palatino Linotype" w:cs="Arial"/>
          <w:lang w:val="es-ES_tradnl" w:eastAsia="es-ES"/>
        </w:rPr>
        <w:t>resentó su inconformidad el día veinticinco (25</w:t>
      </w:r>
      <w:r w:rsidRPr="00422273">
        <w:rPr>
          <w:rFonts w:ascii="Palatino Linotype" w:eastAsiaTheme="minorEastAsia" w:hAnsi="Palatino Linotype" w:cs="Arial"/>
          <w:lang w:val="es-ES_tradnl" w:eastAsia="es-ES"/>
        </w:rPr>
        <w:t xml:space="preserve">) de julio  de dos mil veintiuno, por lo que se encuentra dentro de los márgenes temporales previstos en el artículo 178 de la </w:t>
      </w:r>
      <w:r w:rsidRPr="00422273">
        <w:rPr>
          <w:rFonts w:ascii="Palatino Linotype" w:eastAsiaTheme="minorEastAsia" w:hAnsi="Palatino Linotype" w:cs="Arial"/>
          <w:b/>
          <w:lang w:val="es-ES_tradnl" w:eastAsia="es-ES"/>
        </w:rPr>
        <w:t xml:space="preserve">Ley de Transparencia y Acceso a la Información Pública del Estado de México y Municipios </w:t>
      </w:r>
      <w:r w:rsidRPr="00422273">
        <w:rPr>
          <w:rFonts w:ascii="Palatino Linotype" w:eastAsiaTheme="minorEastAsia" w:hAnsi="Palatino Linotype" w:cs="Arial"/>
          <w:lang w:val="es-ES_tradnl" w:eastAsia="es-ES"/>
        </w:rPr>
        <w:t>vigente.</w:t>
      </w:r>
    </w:p>
    <w:p w:rsidR="00BE48D5" w:rsidRPr="00422273" w:rsidRDefault="00BE48D5" w:rsidP="00B54731">
      <w:pPr>
        <w:spacing w:line="360" w:lineRule="auto"/>
        <w:ind w:right="49"/>
        <w:contextualSpacing/>
        <w:jc w:val="both"/>
        <w:rPr>
          <w:rFonts w:ascii="Palatino Linotype" w:eastAsiaTheme="minorEastAsia" w:hAnsi="Palatino Linotype" w:cs="Arial"/>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84437043"/>
      <w:r w:rsidRPr="00422273">
        <w:rPr>
          <w:rFonts w:ascii="Palatino Linotype" w:eastAsia="MS Gothic" w:hAnsi="Palatino Linotype" w:cstheme="majorBidi"/>
          <w:b/>
          <w:lang w:val="es-ES_tradnl" w:eastAsia="es-ES"/>
        </w:rPr>
        <w:t>TERCERO. Planteamiento de la Litis</w:t>
      </w:r>
      <w:bookmarkEnd w:id="10"/>
      <w:bookmarkEnd w:id="11"/>
      <w:bookmarkEnd w:id="12"/>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MS Gothic" w:hAnsi="Palatino Linotype"/>
        </w:rPr>
        <w:t xml:space="preserve">El particular solicitó </w:t>
      </w:r>
      <w:r w:rsidR="00CC305C" w:rsidRPr="00422273">
        <w:rPr>
          <w:rFonts w:ascii="Palatino Linotype" w:eastAsia="MS Gothic" w:hAnsi="Palatino Linotype"/>
        </w:rPr>
        <w:t>del servidor público referido en la solicitud de información el cargo, escolaridad, funciones, adscripción, lugar y hora de labores, si ha estado sujeto a alguna responsabilidad administrativa o algún tipo de controversia, si cuenta con un antecedente penal y si cuenta con portación de arma fuera de horario de labores.</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iCs/>
          <w:color w:val="000000"/>
        </w:rPr>
        <w:t xml:space="preserve">En respuesta, el SUJETO OBLIGADO manifestó </w:t>
      </w:r>
      <w:r w:rsidR="00F169EF" w:rsidRPr="00422273">
        <w:rPr>
          <w:rFonts w:ascii="Palatino Linotype" w:hAnsi="Palatino Linotype"/>
          <w:iCs/>
          <w:color w:val="000000"/>
        </w:rPr>
        <w:t xml:space="preserve">que el </w:t>
      </w:r>
      <w:r w:rsidR="00CC305C" w:rsidRPr="00422273">
        <w:rPr>
          <w:rFonts w:ascii="Palatino Linotype" w:hAnsi="Palatino Linotype"/>
          <w:iCs/>
          <w:color w:val="000000"/>
        </w:rPr>
        <w:t>servidor público</w:t>
      </w:r>
      <w:r w:rsidR="00F169EF" w:rsidRPr="00422273">
        <w:rPr>
          <w:rFonts w:ascii="Palatino Linotype" w:hAnsi="Palatino Linotype"/>
          <w:iCs/>
          <w:color w:val="000000"/>
        </w:rPr>
        <w:t xml:space="preserve"> referido en la solicitud de información</w:t>
      </w:r>
      <w:r w:rsidR="00CC305C" w:rsidRPr="00422273">
        <w:rPr>
          <w:rFonts w:ascii="Palatino Linotype" w:hAnsi="Palatino Linotype"/>
          <w:iCs/>
          <w:color w:val="000000"/>
        </w:rPr>
        <w:t xml:space="preserve"> tiene cargo de polic</w:t>
      </w:r>
      <w:r w:rsidR="00F169EF" w:rsidRPr="00422273">
        <w:rPr>
          <w:rFonts w:ascii="Palatino Linotype" w:hAnsi="Palatino Linotype"/>
          <w:iCs/>
          <w:color w:val="000000"/>
        </w:rPr>
        <w:t>ía;</w:t>
      </w:r>
      <w:r w:rsidR="00CC305C" w:rsidRPr="00422273">
        <w:rPr>
          <w:rFonts w:ascii="Palatino Linotype" w:hAnsi="Palatino Linotype"/>
          <w:iCs/>
          <w:color w:val="000000"/>
        </w:rPr>
        <w:t xml:space="preserve"> grado de escolaridad lic</w:t>
      </w:r>
      <w:r w:rsidR="00F169EF" w:rsidRPr="00422273">
        <w:rPr>
          <w:rFonts w:ascii="Palatino Linotype" w:hAnsi="Palatino Linotype"/>
          <w:iCs/>
          <w:color w:val="000000"/>
        </w:rPr>
        <w:t>enciatura;</w:t>
      </w:r>
      <w:r w:rsidR="00CC305C" w:rsidRPr="00422273">
        <w:rPr>
          <w:rFonts w:ascii="Palatino Linotype" w:hAnsi="Palatino Linotype"/>
          <w:iCs/>
          <w:color w:val="000000"/>
        </w:rPr>
        <w:t xml:space="preserve"> adscrito a la Dirección General de Seguridad y Tr</w:t>
      </w:r>
      <w:r w:rsidR="00F169EF" w:rsidRPr="00422273">
        <w:rPr>
          <w:rFonts w:ascii="Palatino Linotype" w:hAnsi="Palatino Linotype"/>
          <w:iCs/>
          <w:color w:val="000000"/>
        </w:rPr>
        <w:t>ánsito;</w:t>
      </w:r>
      <w:r w:rsidR="00CC305C" w:rsidRPr="00422273">
        <w:rPr>
          <w:rFonts w:ascii="Palatino Linotype" w:hAnsi="Palatino Linotype"/>
          <w:iCs/>
          <w:color w:val="000000"/>
        </w:rPr>
        <w:t xml:space="preserve"> con las funciones establecidas en el Manual General de Organización de la Secretar</w:t>
      </w:r>
      <w:r w:rsidR="00F169EF" w:rsidRPr="00422273">
        <w:rPr>
          <w:rFonts w:ascii="Palatino Linotype" w:hAnsi="Palatino Linotype"/>
          <w:iCs/>
          <w:color w:val="000000"/>
        </w:rPr>
        <w:t>ía de Seguridad;</w:t>
      </w:r>
      <w:r w:rsidR="00CC305C" w:rsidRPr="00422273">
        <w:rPr>
          <w:rFonts w:ascii="Palatino Linotype" w:hAnsi="Palatino Linotype"/>
          <w:iCs/>
          <w:color w:val="000000"/>
        </w:rPr>
        <w:t xml:space="preserve"> respecto al horario de labores manifestó que el personal </w:t>
      </w:r>
      <w:r w:rsidR="00F169EF" w:rsidRPr="00422273">
        <w:rPr>
          <w:rFonts w:ascii="Palatino Linotype" w:hAnsi="Palatino Linotype"/>
          <w:iCs/>
          <w:color w:val="000000"/>
        </w:rPr>
        <w:t xml:space="preserve">cuenta con turnos laborales </w:t>
      </w:r>
      <w:r w:rsidR="00F169EF" w:rsidRPr="00422273">
        <w:rPr>
          <w:rFonts w:ascii="Palatino Linotype" w:hAnsi="Palatino Linotype"/>
          <w:iCs/>
          <w:color w:val="000000"/>
        </w:rPr>
        <w:lastRenderedPageBreak/>
        <w:t>diversos atendiendo a la necesidad del servicio; que no cuenta con credencial de portación de arma de fuego; respecto a si ha estado sujeto a alguna responsabilidad administrativa o algún tipo de controversia durante su tiempo de labores y si cuenta con algún antecedente penal, manifestó que se hizo llegar en tiempo y forma la incompetencia parcial de dicho punto.</w:t>
      </w:r>
    </w:p>
    <w:p w:rsidR="00F169EF" w:rsidRPr="00422273" w:rsidRDefault="00F169EF" w:rsidP="00B54731">
      <w:pPr>
        <w:spacing w:line="360" w:lineRule="auto"/>
        <w:ind w:right="49"/>
        <w:contextualSpacing/>
        <w:jc w:val="both"/>
        <w:rPr>
          <w:rFonts w:ascii="Palatino Linotype" w:eastAsiaTheme="minorEastAsia" w:hAnsi="Palatino Linotype"/>
          <w:lang w:val="es-ES_tradnl" w:eastAsia="es-ES"/>
        </w:rPr>
      </w:pPr>
    </w:p>
    <w:p w:rsidR="00F169EF" w:rsidRPr="00422273" w:rsidRDefault="00BE48D5" w:rsidP="00B54731">
      <w:pPr>
        <w:numPr>
          <w:ilvl w:val="0"/>
          <w:numId w:val="1"/>
        </w:numPr>
        <w:spacing w:line="360" w:lineRule="auto"/>
        <w:ind w:left="0" w:right="49" w:firstLine="0"/>
        <w:contextualSpacing/>
        <w:jc w:val="both"/>
        <w:rPr>
          <w:rFonts w:ascii="Palatino Linotype" w:hAnsi="Palatino Linotype"/>
          <w:i/>
          <w:color w:val="000000"/>
        </w:rPr>
      </w:pPr>
      <w:r w:rsidRPr="00422273">
        <w:rPr>
          <w:rFonts w:ascii="Palatino Linotype" w:hAnsi="Palatino Linotype"/>
        </w:rPr>
        <w:t>Derivado de ello, el particular interpuso recurso de revisión; manifestó en sus motivos de inconformidad</w:t>
      </w:r>
      <w:r w:rsidR="00F169EF" w:rsidRPr="00422273">
        <w:rPr>
          <w:rFonts w:ascii="Palatino Linotype" w:hAnsi="Palatino Linotype"/>
        </w:rPr>
        <w:t>,</w:t>
      </w:r>
      <w:r w:rsidRPr="00422273">
        <w:rPr>
          <w:rFonts w:ascii="Palatino Linotype" w:hAnsi="Palatino Linotype"/>
        </w:rPr>
        <w:t xml:space="preserve"> </w:t>
      </w:r>
      <w:r w:rsidR="00F169EF" w:rsidRPr="00422273">
        <w:rPr>
          <w:rFonts w:ascii="Palatino Linotype" w:hAnsi="Palatino Linotype"/>
          <w:i/>
          <w:color w:val="000000"/>
          <w:lang w:val="es-ES"/>
        </w:rPr>
        <w:t>“</w:t>
      </w:r>
      <w:r w:rsidR="00F169EF" w:rsidRPr="00422273">
        <w:rPr>
          <w:rFonts w:ascii="Palatino Linotype" w:hAnsi="Palatino Linotype"/>
          <w:i/>
          <w:color w:val="000000"/>
        </w:rPr>
        <w:t>Funciones, lugar y horario de labores del C. Octavio Valdez Pérez, ya que la información solicitada no corresponde a información personal que ponga en peligro su integridad, por lo que solicito solamente funciones específicas y horario de labores mediante digitalización de lista o tarjetas de asistencia correspondientes al año en curso, lo anterior se solicita nuevamente haciendo valer el derecho que como individuos tenemos al acceso a la información y en materia de prevención del delito. Así mismo informe si cuenta con algún antecedente negativo ante su órgano interno de control o área competente de esa institución.” (Sic).</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completa.</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MS Gothic" w:hAnsi="Palatino Linotype"/>
        </w:rPr>
        <w:t>Así mismo determinar si se actualizan las causales de procedencia previstas en la fracciones I y V del artículo 179 de la Ley de Transparencia y Acceso a la Información Pública del Estado de México y sus Municipios, que establecen la negativa de la información solicitada y la entrega de información incompleta.</w:t>
      </w:r>
    </w:p>
    <w:p w:rsidR="00BE48D5" w:rsidRPr="00422273" w:rsidRDefault="00BE48D5" w:rsidP="00B54731">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4437044"/>
      <w:r w:rsidRPr="00422273">
        <w:rPr>
          <w:rFonts w:ascii="Palatino Linotype" w:eastAsia="MS Gothic" w:hAnsi="Palatino Linotype" w:cstheme="majorBidi"/>
          <w:b/>
          <w:lang w:val="es-ES_tradnl" w:eastAsia="es-ES"/>
        </w:rPr>
        <w:lastRenderedPageBreak/>
        <w:t>CUARTO. Del estudio y resolución del recurso de revisión.</w:t>
      </w:r>
      <w:bookmarkEnd w:id="13"/>
      <w:bookmarkEnd w:id="14"/>
      <w:bookmarkEnd w:id="15"/>
    </w:p>
    <w:p w:rsidR="00BE48D5" w:rsidRPr="00422273" w:rsidRDefault="00BE48D5" w:rsidP="00B54731">
      <w:pPr>
        <w:keepNext/>
        <w:keepLines/>
        <w:spacing w:line="360" w:lineRule="auto"/>
        <w:ind w:right="48"/>
        <w:outlineLvl w:val="0"/>
        <w:rPr>
          <w:rFonts w:ascii="Palatino Linotype" w:eastAsia="MS Gothic" w:hAnsi="Palatino Linotype" w:cstheme="majorBidi"/>
          <w:b/>
          <w:lang w:val="es-ES_tradnl" w:eastAsia="es-ES"/>
        </w:rPr>
      </w:pPr>
    </w:p>
    <w:p w:rsidR="00BE48D5" w:rsidRPr="00422273" w:rsidRDefault="00BE48D5" w:rsidP="00B54731">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4437045"/>
      <w:r w:rsidRPr="00422273">
        <w:rPr>
          <w:rFonts w:ascii="Palatino Linotype" w:eastAsia="MS Gothic" w:hAnsi="Palatino Linotype"/>
          <w:b/>
          <w:sz w:val="24"/>
          <w:lang w:val="es-ES_tradnl" w:eastAsia="es-ES"/>
        </w:rPr>
        <w:t>De</w:t>
      </w:r>
      <w:bookmarkEnd w:id="16"/>
      <w:r w:rsidRPr="00422273">
        <w:rPr>
          <w:rFonts w:ascii="Palatino Linotype" w:eastAsia="MS Gothic" w:hAnsi="Palatino Linotype"/>
          <w:b/>
          <w:sz w:val="24"/>
          <w:lang w:val="es-ES_tradnl" w:eastAsia="es-ES"/>
        </w:rPr>
        <w:t>l derecho de acceso a la información.</w:t>
      </w:r>
      <w:bookmarkEnd w:id="17"/>
      <w:bookmarkEnd w:id="18"/>
      <w:bookmarkEnd w:id="19"/>
      <w:bookmarkEnd w:id="20"/>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E</w:t>
      </w:r>
      <w:r w:rsidRPr="00422273">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422273">
        <w:rPr>
          <w:rFonts w:ascii="Palatino Linotype" w:hAnsi="Palatino Linotype" w:cs="Arial"/>
          <w:color w:val="000000"/>
          <w:lang w:val="es-ES_tradnl" w:eastAsia="es-ES"/>
        </w:rPr>
        <w:t xml:space="preserve">. </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lang w:val="es-ES_tradnl" w:eastAsia="es-ES"/>
        </w:rPr>
        <w:t xml:space="preserve">Definiendo el Derecho de Acceso a la Información Pública como: </w:t>
      </w:r>
      <w:r w:rsidRPr="00422273">
        <w:rPr>
          <w:rFonts w:ascii="Palatino Linotype" w:eastAsiaTheme="minorEastAsia" w:hAnsi="Palatino Linotype"/>
          <w:i/>
          <w:color w:val="000000"/>
          <w:lang w:val="es-ES_tradnl" w:eastAsia="es-ES"/>
        </w:rPr>
        <w:t>La igualdad de oportunidades para recibir, buscar e impartir información</w:t>
      </w:r>
      <w:r w:rsidRPr="00422273">
        <w:rPr>
          <w:rFonts w:ascii="Palatino Linotype" w:eastAsiaTheme="minorEastAsia" w:hAnsi="Palatino Linotype"/>
          <w:i/>
          <w:vertAlign w:val="superscript"/>
          <w:lang w:val="es-ES_tradnl" w:eastAsia="es-ES"/>
        </w:rPr>
        <w:footnoteReference w:id="1"/>
      </w:r>
      <w:r w:rsidRPr="00422273">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22273">
        <w:rPr>
          <w:rFonts w:ascii="Palatino Linotype" w:eastAsiaTheme="minorEastAsia" w:hAnsi="Palatino Linotype"/>
          <w:i/>
          <w:vertAlign w:val="superscript"/>
          <w:lang w:val="es-ES_tradnl" w:eastAsia="es-ES"/>
        </w:rPr>
        <w:footnoteReference w:id="2"/>
      </w:r>
      <w:r w:rsidRPr="00422273">
        <w:rPr>
          <w:rFonts w:ascii="Palatino Linotype" w:eastAsiaTheme="minorEastAsia" w:hAnsi="Palatino Linotype"/>
          <w:color w:val="000000"/>
          <w:lang w:val="es-ES_tradnl" w:eastAsia="es-ES"/>
        </w:rPr>
        <w:t>que se constituye como una herramienta fundamental para ejercer</w:t>
      </w:r>
      <w:r w:rsidRPr="00422273">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422273">
        <w:rPr>
          <w:rFonts w:ascii="Palatino Linotype" w:eastAsiaTheme="minorEastAsia" w:hAnsi="Palatino Linotype"/>
          <w:i/>
          <w:vertAlign w:val="superscript"/>
          <w:lang w:val="es-ES_tradnl" w:eastAsia="es-ES"/>
        </w:rPr>
        <w:footnoteReference w:id="3"/>
      </w:r>
      <w:r w:rsidRPr="00422273">
        <w:rPr>
          <w:rFonts w:ascii="Palatino Linotype" w:eastAsiaTheme="minorEastAsia" w:hAnsi="Palatino Linotype"/>
          <w:color w:val="000000"/>
          <w:lang w:val="es-ES_tradnl" w:eastAsia="es-ES"/>
        </w:rPr>
        <w:t>fomentando</w:t>
      </w:r>
      <w:r w:rsidRPr="00422273">
        <w:rPr>
          <w:rFonts w:ascii="Palatino Linotype" w:eastAsiaTheme="minorEastAsia" w:hAnsi="Palatino Linotype"/>
          <w:i/>
          <w:color w:val="000000"/>
          <w:lang w:val="es-ES_tradnl" w:eastAsia="es-ES"/>
        </w:rPr>
        <w:t xml:space="preserve"> la transparencia de las actividades estatales y </w:t>
      </w:r>
      <w:r w:rsidRPr="00422273">
        <w:rPr>
          <w:rFonts w:ascii="Palatino Linotype" w:eastAsiaTheme="minorEastAsia" w:hAnsi="Palatino Linotype"/>
          <w:color w:val="000000"/>
          <w:lang w:val="es-ES_tradnl" w:eastAsia="es-ES"/>
        </w:rPr>
        <w:t>promoviendo</w:t>
      </w:r>
      <w:r w:rsidRPr="00422273">
        <w:rPr>
          <w:rFonts w:ascii="Palatino Linotype" w:eastAsiaTheme="minorEastAsia" w:hAnsi="Palatino Linotype"/>
          <w:i/>
          <w:color w:val="000000"/>
          <w:lang w:val="es-ES_tradnl" w:eastAsia="es-ES"/>
        </w:rPr>
        <w:t xml:space="preserve"> la responsabilidad de los funcionarios sobre su gestión pública,</w:t>
      </w:r>
      <w:r w:rsidRPr="00422273">
        <w:rPr>
          <w:rFonts w:ascii="Palatino Linotype" w:eastAsiaTheme="minorEastAsia" w:hAnsi="Palatino Linotype"/>
          <w:i/>
          <w:vertAlign w:val="superscript"/>
          <w:lang w:val="es-ES_tradnl" w:eastAsia="es-ES"/>
        </w:rPr>
        <w:footnoteReference w:id="4"/>
      </w:r>
      <w:r w:rsidRPr="00422273">
        <w:rPr>
          <w:rFonts w:ascii="Palatino Linotype" w:eastAsiaTheme="minorEastAsia" w:hAnsi="Palatino Linotype"/>
          <w:color w:val="000000"/>
          <w:lang w:val="es-ES_tradnl" w:eastAsia="es-ES"/>
        </w:rPr>
        <w:t>que permite</w:t>
      </w:r>
      <w:r w:rsidRPr="00422273">
        <w:rPr>
          <w:rFonts w:ascii="Palatino Linotype" w:eastAsiaTheme="minorEastAsia" w:hAnsi="Palatino Linotype"/>
          <w:i/>
          <w:color w:val="000000"/>
          <w:lang w:val="es-ES_tradnl" w:eastAsia="es-ES"/>
        </w:rPr>
        <w:t xml:space="preserve"> saber qué están </w:t>
      </w:r>
      <w:r w:rsidRPr="00422273">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BE48D5" w:rsidRPr="00422273" w:rsidRDefault="00BE48D5" w:rsidP="00B54731">
      <w:pPr>
        <w:spacing w:line="360" w:lineRule="auto"/>
        <w:ind w:right="49"/>
        <w:contextualSpacing/>
        <w:jc w:val="both"/>
        <w:rPr>
          <w:rFonts w:ascii="Palatino Linotype" w:hAnsi="Palatino Linotype"/>
          <w:lang w:val="es-ES_tradnl" w:eastAsia="es-ES"/>
        </w:rPr>
      </w:pPr>
    </w:p>
    <w:p w:rsidR="00BE48D5" w:rsidRPr="00422273" w:rsidRDefault="00BE48D5" w:rsidP="00B54731">
      <w:pPr>
        <w:spacing w:line="360" w:lineRule="auto"/>
        <w:ind w:left="567" w:right="567"/>
        <w:contextualSpacing/>
        <w:jc w:val="both"/>
        <w:rPr>
          <w:rFonts w:ascii="Palatino Linotype" w:hAnsi="Palatino Linotype"/>
          <w:i/>
          <w:sz w:val="22"/>
          <w:lang w:val="es-ES_tradnl" w:eastAsia="es-ES"/>
        </w:rPr>
      </w:pPr>
      <w:r w:rsidRPr="00422273">
        <w:rPr>
          <w:rFonts w:ascii="Palatino Linotype" w:hAnsi="Palatino Linotype"/>
          <w:i/>
          <w:sz w:val="22"/>
          <w:lang w:val="es-ES_tradnl" w:eastAsia="es-ES"/>
        </w:rPr>
        <w:t>“</w:t>
      </w:r>
      <w:r w:rsidRPr="00422273">
        <w:rPr>
          <w:rFonts w:ascii="Palatino Linotype" w:hAnsi="Palatino Linotype"/>
          <w:b/>
          <w:i/>
          <w:sz w:val="22"/>
          <w:lang w:val="es-ES_tradnl" w:eastAsia="es-ES"/>
        </w:rPr>
        <w:t>Artículo 1.-</w:t>
      </w:r>
      <w:r w:rsidRPr="00422273">
        <w:rPr>
          <w:rFonts w:ascii="Palatino Linotype" w:hAnsi="Palatino Linotype"/>
          <w:i/>
          <w:sz w:val="22"/>
          <w:lang w:val="es-ES_tradnl" w:eastAsia="es-ES"/>
        </w:rPr>
        <w:t xml:space="preserve"> </w:t>
      </w:r>
    </w:p>
    <w:p w:rsidR="00BE48D5" w:rsidRPr="00422273" w:rsidRDefault="00BE48D5" w:rsidP="00B54731">
      <w:pPr>
        <w:spacing w:line="360" w:lineRule="auto"/>
        <w:ind w:left="567" w:right="567"/>
        <w:contextualSpacing/>
        <w:jc w:val="both"/>
        <w:rPr>
          <w:rFonts w:ascii="Palatino Linotype" w:hAnsi="Palatino Linotype"/>
          <w:i/>
          <w:sz w:val="22"/>
          <w:lang w:val="es-ES_tradnl" w:eastAsia="es-ES"/>
        </w:rPr>
      </w:pPr>
      <w:r w:rsidRPr="00422273">
        <w:rPr>
          <w:rFonts w:ascii="Palatino Linotype" w:hAnsi="Palatino Linotype"/>
          <w:i/>
          <w:sz w:val="22"/>
          <w:lang w:val="es-ES_tradnl" w:eastAsia="es-ES"/>
        </w:rPr>
        <w:t>(…)</w:t>
      </w:r>
    </w:p>
    <w:p w:rsidR="00BE48D5" w:rsidRPr="00422273" w:rsidRDefault="00BE48D5" w:rsidP="00B54731">
      <w:pPr>
        <w:spacing w:line="360" w:lineRule="auto"/>
        <w:ind w:left="567" w:right="567"/>
        <w:contextualSpacing/>
        <w:jc w:val="both"/>
        <w:rPr>
          <w:rFonts w:ascii="Palatino Linotype" w:hAnsi="Palatino Linotype"/>
          <w:i/>
          <w:sz w:val="22"/>
        </w:rPr>
      </w:pPr>
      <w:r w:rsidRPr="00422273">
        <w:rPr>
          <w:rFonts w:ascii="Palatino Linotype" w:hAnsi="Palatino Linotype"/>
          <w:i/>
          <w:sz w:val="22"/>
          <w:lang w:val="es-ES_tradnl" w:eastAsia="es-ES"/>
        </w:rPr>
        <w:t>Todas las</w:t>
      </w:r>
      <w:r w:rsidRPr="00422273">
        <w:rPr>
          <w:rFonts w:ascii="Palatino Linotype" w:hAnsi="Palatino Linotype"/>
          <w:sz w:val="22"/>
          <w:lang w:val="es-ES_tradnl" w:eastAsia="es-ES"/>
        </w:rPr>
        <w:t xml:space="preserve"> </w:t>
      </w:r>
      <w:r w:rsidRPr="00422273">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E48D5" w:rsidRPr="00422273" w:rsidRDefault="00BE48D5" w:rsidP="00B54731">
      <w:pPr>
        <w:spacing w:line="360" w:lineRule="auto"/>
        <w:ind w:left="567" w:right="567"/>
        <w:contextualSpacing/>
        <w:jc w:val="both"/>
        <w:rPr>
          <w:rFonts w:ascii="Palatino Linotype" w:hAnsi="Palatino Linotype"/>
          <w:sz w:val="22"/>
          <w:lang w:val="es-ES_tradnl" w:eastAsia="es-ES"/>
        </w:rPr>
      </w:pPr>
      <w:r w:rsidRPr="00422273">
        <w:rPr>
          <w:rFonts w:ascii="Palatino Linotype" w:hAnsi="Palatino Linotype"/>
          <w:i/>
          <w:sz w:val="22"/>
        </w:rPr>
        <w:t>(…)</w:t>
      </w:r>
      <w:r w:rsidRPr="00422273">
        <w:rPr>
          <w:rFonts w:ascii="Palatino Linotype" w:hAnsi="Palatino Linotype"/>
          <w:sz w:val="22"/>
          <w:lang w:val="es-ES_tradnl" w:eastAsia="es-ES"/>
        </w:rPr>
        <w:t>”.</w:t>
      </w:r>
    </w:p>
    <w:p w:rsidR="00BE48D5" w:rsidRPr="00422273" w:rsidRDefault="00BE48D5" w:rsidP="00B54731">
      <w:pPr>
        <w:spacing w:line="360" w:lineRule="auto"/>
        <w:ind w:left="567" w:right="567"/>
        <w:contextualSpacing/>
        <w:jc w:val="both"/>
        <w:rPr>
          <w:rFonts w:ascii="Palatino Linotype" w:hAnsi="Palatino Linotype"/>
          <w:b/>
          <w:sz w:val="22"/>
          <w:lang w:val="es-ES_tradnl" w:eastAsia="es-ES"/>
        </w:rPr>
      </w:pPr>
      <w:r w:rsidRPr="00422273">
        <w:rPr>
          <w:rFonts w:ascii="Palatino Linotype" w:hAnsi="Palatino Linotype"/>
          <w:b/>
          <w:i/>
          <w:sz w:val="22"/>
        </w:rPr>
        <w:t>(Énfasis Añadido)</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Así, conforme a la Constitución Política de las Estado Unidos Mexicanos </w:t>
      </w:r>
      <w:r w:rsidRPr="00422273">
        <w:rPr>
          <w:rFonts w:ascii="Palatino Linotype" w:eastAsia="Calibri" w:hAnsi="Palatino Linotype"/>
          <w:lang w:val="es-ES_tradnl" w:eastAsia="es-ES"/>
        </w:rPr>
        <w:t>y la Constitución Política del Estado Libre y Soberano de México respectivamente</w:t>
      </w:r>
      <w:r w:rsidRPr="00422273">
        <w:rPr>
          <w:rFonts w:ascii="Palatino Linotype" w:eastAsiaTheme="minorEastAsia" w:hAnsi="Palatino Linotype"/>
          <w:lang w:val="es-ES_tradnl" w:eastAsia="es-ES"/>
        </w:rPr>
        <w:t xml:space="preserve">, el cumplimiento de las garantías primarias, entendidas como obligaciones </w:t>
      </w:r>
      <w:r w:rsidRPr="00422273">
        <w:rPr>
          <w:rFonts w:ascii="Palatino Linotype" w:eastAsiaTheme="minorEastAsia" w:hAnsi="Palatino Linotype"/>
          <w:lang w:val="es-ES_tradnl" w:eastAsia="es-ES"/>
        </w:rPr>
        <w:lastRenderedPageBreak/>
        <w:t>inmediatamente relacionadas con el Derecho de Acceso a la Información Pública, permiten que todas las autoridades, en el ámbito de sus atribuciones lo respeten, protejan y garanticen.</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spacing w:line="360" w:lineRule="auto"/>
        <w:ind w:left="567" w:right="567"/>
        <w:jc w:val="center"/>
        <w:rPr>
          <w:rFonts w:ascii="Palatino Linotype" w:eastAsiaTheme="minorEastAsia" w:hAnsi="Palatino Linotype" w:cs="Arial"/>
          <w:b/>
          <w:bCs/>
          <w:i/>
          <w:sz w:val="22"/>
          <w:lang w:val="es-ES_tradnl" w:eastAsia="es-ES"/>
        </w:rPr>
      </w:pPr>
      <w:r w:rsidRPr="00422273">
        <w:rPr>
          <w:rFonts w:ascii="Palatino Linotype" w:eastAsiaTheme="minorEastAsia" w:hAnsi="Palatino Linotype" w:cs="Arial"/>
          <w:b/>
          <w:bCs/>
          <w:i/>
          <w:sz w:val="22"/>
          <w:lang w:val="es-ES_tradnl" w:eastAsia="es-ES"/>
        </w:rPr>
        <w:t>Constitución Política de los Estados Unidos Mexicanos</w:t>
      </w:r>
    </w:p>
    <w:p w:rsidR="00BE48D5" w:rsidRPr="00422273" w:rsidRDefault="00BE48D5" w:rsidP="00B54731">
      <w:pPr>
        <w:spacing w:line="360" w:lineRule="auto"/>
        <w:ind w:left="567" w:right="567"/>
        <w:jc w:val="both"/>
        <w:rPr>
          <w:rFonts w:ascii="Palatino Linotype" w:eastAsiaTheme="minorEastAsia" w:hAnsi="Palatino Linotype" w:cs="Arial"/>
          <w:b/>
          <w:bCs/>
          <w:i/>
          <w:sz w:val="22"/>
          <w:lang w:val="es-ES_tradnl" w:eastAsia="es-ES"/>
        </w:rPr>
      </w:pPr>
      <w:r w:rsidRPr="00422273">
        <w:rPr>
          <w:rFonts w:ascii="Palatino Linotype" w:eastAsiaTheme="minorEastAsia" w:hAnsi="Palatino Linotype" w:cs="Arial"/>
          <w:b/>
          <w:bCs/>
          <w:i/>
          <w:sz w:val="22"/>
          <w:lang w:val="es-ES_tradnl" w:eastAsia="es-ES"/>
        </w:rPr>
        <w:t>“Artículo 6.</w:t>
      </w:r>
      <w:r w:rsidRPr="00422273">
        <w:rPr>
          <w:rFonts w:ascii="Palatino Linotype" w:eastAsiaTheme="minorEastAsia" w:hAnsi="Palatino Linotype" w:cs="Arial"/>
          <w:bCs/>
          <w:i/>
          <w:sz w:val="22"/>
          <w:lang w:val="es-ES_tradnl" w:eastAsia="es-ES"/>
        </w:rPr>
        <w:t xml:space="preserve"> …</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Cs/>
          <w:i/>
          <w:sz w:val="22"/>
          <w:lang w:val="es-ES_tradnl" w:eastAsia="es-ES"/>
        </w:rPr>
        <w:t>…</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Cs/>
          <w:i/>
          <w:sz w:val="22"/>
          <w:lang w:val="es-ES_tradnl" w:eastAsia="es-ES"/>
        </w:rPr>
        <w:t>Para efectos de lo dispuesto en el presente artículo se observará lo siguiente:</w:t>
      </w:r>
    </w:p>
    <w:p w:rsidR="00BE48D5" w:rsidRPr="00422273" w:rsidRDefault="00BE48D5" w:rsidP="00B54731">
      <w:pPr>
        <w:spacing w:line="360" w:lineRule="auto"/>
        <w:ind w:left="567" w:right="567"/>
        <w:jc w:val="both"/>
        <w:rPr>
          <w:rFonts w:ascii="Palatino Linotype" w:eastAsiaTheme="minorEastAsia" w:hAnsi="Palatino Linotype" w:cs="Arial"/>
          <w:b/>
          <w:bCs/>
          <w:i/>
          <w:sz w:val="22"/>
          <w:lang w:val="es-ES_tradnl" w:eastAsia="es-ES"/>
        </w:rPr>
      </w:pPr>
      <w:r w:rsidRPr="00422273">
        <w:rPr>
          <w:rFonts w:ascii="Palatino Linotype" w:eastAsiaTheme="minorEastAsia" w:hAnsi="Palatino Linotype" w:cs="Arial"/>
          <w:b/>
          <w:bCs/>
          <w:i/>
          <w:sz w:val="22"/>
          <w:lang w:val="es-ES_tradnl" w:eastAsia="es-ES"/>
        </w:rPr>
        <w:t>A</w:t>
      </w:r>
      <w:r w:rsidRPr="00422273">
        <w:rPr>
          <w:rFonts w:ascii="Palatino Linotype" w:eastAsiaTheme="minorEastAsia" w:hAnsi="Palatino Linotype" w:cs="Arial"/>
          <w:bCs/>
          <w:i/>
          <w:sz w:val="22"/>
          <w:lang w:val="es-ES_tradnl" w:eastAsia="es-ES"/>
        </w:rPr>
        <w:t xml:space="preserve">. </w:t>
      </w:r>
      <w:r w:rsidRPr="00422273">
        <w:rPr>
          <w:rFonts w:ascii="Palatino Linotype" w:eastAsiaTheme="minorEastAsia" w:hAnsi="Palatino Linotype" w:cs="Arial"/>
          <w:b/>
          <w:bCs/>
          <w:i/>
          <w:sz w:val="22"/>
          <w:lang w:val="es-ES_tradnl" w:eastAsia="es-ES"/>
        </w:rPr>
        <w:t>Para el ejercicio del derecho de acceso a la información</w:t>
      </w:r>
      <w:r w:rsidRPr="00422273">
        <w:rPr>
          <w:rFonts w:ascii="Palatino Linotype" w:eastAsiaTheme="minorEastAsia" w:hAnsi="Palatino Linotype" w:cs="Arial"/>
          <w:bCs/>
          <w:i/>
          <w:sz w:val="22"/>
          <w:lang w:val="es-ES_tradnl" w:eastAsia="es-ES"/>
        </w:rPr>
        <w:t xml:space="preserve">, la Federación y </w:t>
      </w:r>
      <w:r w:rsidRPr="00422273">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
          <w:bCs/>
          <w:i/>
          <w:sz w:val="22"/>
          <w:lang w:val="es-ES_tradnl" w:eastAsia="es-ES"/>
        </w:rPr>
        <w:t xml:space="preserve">I. </w:t>
      </w:r>
      <w:r w:rsidRPr="00422273">
        <w:rPr>
          <w:rFonts w:ascii="Palatino Linotype" w:eastAsiaTheme="minorEastAsia" w:hAnsi="Palatino Linotype" w:cs="Arial"/>
          <w:b/>
          <w:bCs/>
          <w:i/>
          <w:sz w:val="22"/>
          <w:lang w:val="es-ES_tradnl" w:eastAsia="es-ES"/>
        </w:rPr>
        <w:tab/>
        <w:t>Toda la información en posesión de cualquier</w:t>
      </w:r>
      <w:r w:rsidRPr="00422273">
        <w:rPr>
          <w:rFonts w:ascii="Palatino Linotype" w:eastAsiaTheme="minorEastAsia" w:hAnsi="Palatino Linotype" w:cs="Arial"/>
          <w:bCs/>
          <w:i/>
          <w:sz w:val="22"/>
          <w:lang w:val="es-ES_tradnl" w:eastAsia="es-ES"/>
        </w:rPr>
        <w:t xml:space="preserve"> </w:t>
      </w:r>
      <w:r w:rsidRPr="00422273">
        <w:rPr>
          <w:rFonts w:ascii="Palatino Linotype" w:eastAsiaTheme="minorEastAsia" w:hAnsi="Palatino Linotype" w:cs="Arial"/>
          <w:b/>
          <w:bCs/>
          <w:i/>
          <w:sz w:val="22"/>
          <w:lang w:val="es-ES_tradnl" w:eastAsia="es-ES"/>
        </w:rPr>
        <w:t>autoridad</w:t>
      </w:r>
      <w:r w:rsidRPr="00422273">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22273">
        <w:rPr>
          <w:rFonts w:ascii="Palatino Linotype" w:eastAsiaTheme="minorEastAsia" w:hAnsi="Palatino Linotype" w:cs="Arial"/>
          <w:b/>
          <w:bCs/>
          <w:i/>
          <w:sz w:val="22"/>
          <w:lang w:val="es-ES_tradnl" w:eastAsia="es-ES"/>
        </w:rPr>
        <w:t>municipal</w:t>
      </w:r>
      <w:r w:rsidRPr="00422273">
        <w:rPr>
          <w:rFonts w:ascii="Palatino Linotype" w:eastAsiaTheme="minorEastAsia" w:hAnsi="Palatino Linotype" w:cs="Arial"/>
          <w:bCs/>
          <w:i/>
          <w:sz w:val="22"/>
          <w:lang w:val="es-ES_tradnl" w:eastAsia="es-ES"/>
        </w:rPr>
        <w:t xml:space="preserve">, </w:t>
      </w:r>
      <w:r w:rsidRPr="00422273">
        <w:rPr>
          <w:rFonts w:ascii="Palatino Linotype" w:eastAsiaTheme="minorEastAsia" w:hAnsi="Palatino Linotype" w:cs="Arial"/>
          <w:b/>
          <w:bCs/>
          <w:i/>
          <w:sz w:val="22"/>
          <w:lang w:val="es-ES_tradnl" w:eastAsia="es-ES"/>
        </w:rPr>
        <w:t>es pública</w:t>
      </w:r>
      <w:r w:rsidRPr="00422273">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422273">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42227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BE48D5" w:rsidRPr="00422273" w:rsidRDefault="00BE48D5" w:rsidP="00B54731">
      <w:pPr>
        <w:pStyle w:val="Prrafodelista"/>
        <w:tabs>
          <w:tab w:val="left" w:pos="567"/>
        </w:tabs>
        <w:spacing w:line="360" w:lineRule="auto"/>
        <w:ind w:left="567" w:right="567"/>
        <w:jc w:val="both"/>
        <w:rPr>
          <w:rFonts w:ascii="Palatino Linotype" w:hAnsi="Palatino Linotype" w:cs="Arial"/>
          <w:b/>
          <w:bCs/>
          <w:i/>
        </w:rPr>
      </w:pPr>
      <w:r w:rsidRPr="00422273">
        <w:rPr>
          <w:rFonts w:ascii="Palatino Linotype" w:hAnsi="Palatino Linotype" w:cs="Arial"/>
          <w:b/>
          <w:bCs/>
          <w:i/>
        </w:rPr>
        <w:t>(Énfasis añadido)</w:t>
      </w:r>
    </w:p>
    <w:p w:rsidR="00BE48D5" w:rsidRPr="00422273" w:rsidRDefault="00BE48D5" w:rsidP="00B54731">
      <w:pPr>
        <w:pStyle w:val="Prrafodelista"/>
        <w:tabs>
          <w:tab w:val="left" w:pos="567"/>
        </w:tabs>
        <w:spacing w:line="360" w:lineRule="auto"/>
        <w:ind w:left="567" w:right="567"/>
        <w:jc w:val="both"/>
        <w:rPr>
          <w:rFonts w:ascii="Palatino Linotype" w:hAnsi="Palatino Linotype" w:cs="Arial"/>
          <w:b/>
          <w:bCs/>
          <w:i/>
        </w:rPr>
      </w:pPr>
    </w:p>
    <w:p w:rsidR="00BE48D5" w:rsidRPr="00422273" w:rsidRDefault="00BE48D5" w:rsidP="00B54731">
      <w:pPr>
        <w:spacing w:line="360" w:lineRule="auto"/>
        <w:ind w:left="567" w:right="567"/>
        <w:jc w:val="center"/>
        <w:rPr>
          <w:rFonts w:ascii="Palatino Linotype" w:eastAsiaTheme="minorEastAsia" w:hAnsi="Palatino Linotype" w:cs="Arial"/>
          <w:b/>
          <w:bCs/>
          <w:i/>
          <w:sz w:val="22"/>
          <w:lang w:val="es-ES_tradnl" w:eastAsia="es-ES"/>
        </w:rPr>
      </w:pPr>
      <w:r w:rsidRPr="00422273">
        <w:rPr>
          <w:rFonts w:ascii="Palatino Linotype" w:eastAsiaTheme="minorEastAsia" w:hAnsi="Palatino Linotype" w:cs="Arial"/>
          <w:b/>
          <w:bCs/>
          <w:i/>
          <w:sz w:val="22"/>
          <w:lang w:val="es-ES_tradnl" w:eastAsia="es-ES"/>
        </w:rPr>
        <w:t>Constitución Política del Estado Libre y Soberano de México</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
          <w:bCs/>
          <w:i/>
          <w:sz w:val="22"/>
          <w:lang w:val="es-ES_tradnl" w:eastAsia="es-ES"/>
        </w:rPr>
        <w:t>“Artículo 5</w:t>
      </w:r>
      <w:r w:rsidRPr="00422273">
        <w:rPr>
          <w:rFonts w:ascii="Palatino Linotype" w:eastAsiaTheme="minorEastAsia" w:hAnsi="Palatino Linotype" w:cs="Arial"/>
          <w:bCs/>
          <w:i/>
          <w:sz w:val="22"/>
          <w:lang w:val="es-ES_tradnl" w:eastAsia="es-ES"/>
        </w:rPr>
        <w:t>.</w:t>
      </w:r>
      <w:proofErr w:type="gramStart"/>
      <w:r w:rsidRPr="00422273">
        <w:rPr>
          <w:rFonts w:ascii="Palatino Linotype" w:eastAsiaTheme="minorEastAsia" w:hAnsi="Palatino Linotype" w:cs="Arial"/>
          <w:bCs/>
          <w:i/>
          <w:sz w:val="22"/>
          <w:lang w:val="es-ES_tradnl" w:eastAsia="es-ES"/>
        </w:rPr>
        <w:t>- …</w:t>
      </w:r>
      <w:proofErr w:type="gramEnd"/>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Cs/>
          <w:i/>
          <w:sz w:val="22"/>
          <w:lang w:val="es-ES_tradnl" w:eastAsia="es-ES"/>
        </w:rPr>
        <w:t>…</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
          <w:bCs/>
          <w:i/>
          <w:sz w:val="22"/>
          <w:lang w:val="es-ES_tradnl" w:eastAsia="es-ES"/>
        </w:rPr>
        <w:lastRenderedPageBreak/>
        <w:t>El derecho a la información será garantizado por el Estado. La ley establecerá las previsiones que permitan asegurar la protección, el respeto y la difusión de este derecho</w:t>
      </w:r>
      <w:r w:rsidRPr="00422273">
        <w:rPr>
          <w:rFonts w:ascii="Palatino Linotype" w:eastAsiaTheme="minorEastAsia" w:hAnsi="Palatino Linotype" w:cs="Arial"/>
          <w:bCs/>
          <w:i/>
          <w:sz w:val="22"/>
          <w:lang w:val="es-ES_tradnl" w:eastAsia="es-ES"/>
        </w:rPr>
        <w:t>.</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
          <w:bCs/>
          <w:i/>
          <w:sz w:val="22"/>
          <w:lang w:val="es-ES_tradnl" w:eastAsia="es-ES"/>
        </w:rPr>
        <w:t>Este derecho se regirá por los principios y bases siguientes</w:t>
      </w:r>
      <w:r w:rsidRPr="00422273">
        <w:rPr>
          <w:rFonts w:ascii="Palatino Linotype" w:eastAsiaTheme="minorEastAsia" w:hAnsi="Palatino Linotype" w:cs="Arial"/>
          <w:bCs/>
          <w:i/>
          <w:sz w:val="22"/>
          <w:lang w:val="es-ES_tradnl" w:eastAsia="es-ES"/>
        </w:rPr>
        <w:t>:</w:t>
      </w:r>
    </w:p>
    <w:p w:rsidR="00BE48D5" w:rsidRPr="00422273" w:rsidRDefault="00BE48D5" w:rsidP="00B54731">
      <w:pPr>
        <w:spacing w:line="360" w:lineRule="auto"/>
        <w:ind w:left="567" w:right="567"/>
        <w:jc w:val="both"/>
        <w:rPr>
          <w:rFonts w:ascii="Palatino Linotype" w:eastAsiaTheme="minorEastAsia" w:hAnsi="Palatino Linotype" w:cs="Arial"/>
          <w:bCs/>
          <w:i/>
          <w:sz w:val="22"/>
          <w:lang w:val="es-ES_tradnl" w:eastAsia="es-ES"/>
        </w:rPr>
      </w:pPr>
      <w:r w:rsidRPr="00422273">
        <w:rPr>
          <w:rFonts w:ascii="Palatino Linotype" w:eastAsiaTheme="minorEastAsia" w:hAnsi="Palatino Linotype" w:cs="Arial"/>
          <w:b/>
          <w:bCs/>
          <w:i/>
          <w:sz w:val="22"/>
          <w:lang w:val="es-ES_tradnl" w:eastAsia="es-ES"/>
        </w:rPr>
        <w:t>I. Toda la información en posesión de cualquier autoridad, entidad, órgano y organismos de los</w:t>
      </w:r>
      <w:r w:rsidRPr="00422273">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422273">
        <w:rPr>
          <w:rFonts w:ascii="Palatino Linotype" w:eastAsiaTheme="minorEastAsia" w:hAnsi="Palatino Linotype" w:cs="Arial"/>
          <w:b/>
          <w:bCs/>
          <w:i/>
          <w:sz w:val="22"/>
          <w:lang w:val="es-ES_tradnl" w:eastAsia="es-ES"/>
        </w:rPr>
        <w:t>municipales</w:t>
      </w:r>
      <w:r w:rsidRPr="00422273">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22273">
        <w:rPr>
          <w:rFonts w:ascii="Palatino Linotype" w:eastAsiaTheme="minorEastAsia" w:hAnsi="Palatino Linotype" w:cs="Arial"/>
          <w:b/>
          <w:bCs/>
          <w:i/>
          <w:sz w:val="22"/>
          <w:lang w:val="es-ES_tradnl" w:eastAsia="es-ES"/>
        </w:rPr>
        <w:t>es pública</w:t>
      </w:r>
      <w:r w:rsidRPr="00422273">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422273">
        <w:rPr>
          <w:rFonts w:ascii="Palatino Linotype" w:eastAsiaTheme="minorEastAsia" w:hAnsi="Palatino Linotype" w:cs="Arial"/>
          <w:b/>
          <w:bCs/>
          <w:i/>
          <w:sz w:val="22"/>
          <w:lang w:val="es-ES_tradnl" w:eastAsia="es-ES"/>
        </w:rPr>
        <w:t>En la interpretación de este derecho deberá prevalecer el principio de máxima publicidad</w:t>
      </w:r>
      <w:r w:rsidRPr="00422273">
        <w:rPr>
          <w:rFonts w:ascii="Palatino Linotype" w:eastAsiaTheme="minorEastAsia" w:hAnsi="Palatino Linotype" w:cs="Arial"/>
          <w:bCs/>
          <w:i/>
          <w:sz w:val="22"/>
          <w:lang w:val="es-ES_tradnl" w:eastAsia="es-ES"/>
        </w:rPr>
        <w:t xml:space="preserve">. </w:t>
      </w:r>
      <w:r w:rsidRPr="00422273">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42227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BE48D5" w:rsidRPr="00422273" w:rsidRDefault="00BE48D5" w:rsidP="00B54731">
      <w:pPr>
        <w:pStyle w:val="Prrafodelista"/>
        <w:tabs>
          <w:tab w:val="left" w:pos="567"/>
        </w:tabs>
        <w:spacing w:line="360" w:lineRule="auto"/>
        <w:ind w:left="567" w:right="567"/>
        <w:jc w:val="both"/>
        <w:rPr>
          <w:rFonts w:ascii="Palatino Linotype" w:hAnsi="Palatino Linotype" w:cs="Arial"/>
          <w:b/>
          <w:bCs/>
          <w:i/>
        </w:rPr>
      </w:pPr>
      <w:r w:rsidRPr="00422273">
        <w:rPr>
          <w:rFonts w:ascii="Palatino Linotype" w:hAnsi="Palatino Linotype" w:cs="Arial"/>
          <w:b/>
          <w:bCs/>
          <w:i/>
        </w:rPr>
        <w:t>(Énfasis añadido)</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422273">
        <w:rPr>
          <w:rFonts w:ascii="Palatino Linotype" w:eastAsiaTheme="minorEastAsia" w:hAnsi="Palatino Linotype" w:cs="Arial"/>
          <w:i/>
          <w:lang w:val="es-ES_tradnl" w:eastAsia="es-ES"/>
        </w:rPr>
        <w:t>por los principios de simplicidad, rapidez gratuidad del proc</w:t>
      </w:r>
      <w:bookmarkStart w:id="21" w:name="_GoBack"/>
      <w:bookmarkEnd w:id="21"/>
      <w:r w:rsidRPr="00422273">
        <w:rPr>
          <w:rFonts w:ascii="Palatino Linotype" w:eastAsiaTheme="minorEastAsia" w:hAnsi="Palatino Linotype" w:cs="Arial"/>
          <w:i/>
          <w:lang w:val="es-ES_tradnl" w:eastAsia="es-ES"/>
        </w:rPr>
        <w:t xml:space="preserve">edimiento, auxilio y </w:t>
      </w:r>
      <w:r w:rsidRPr="00422273">
        <w:rPr>
          <w:rFonts w:ascii="Palatino Linotype" w:eastAsiaTheme="minorEastAsia" w:hAnsi="Palatino Linotype" w:cs="Arial"/>
          <w:i/>
          <w:lang w:val="es-ES_tradnl" w:eastAsia="es-ES"/>
        </w:rPr>
        <w:lastRenderedPageBreak/>
        <w:t>orientación a los particulares</w:t>
      </w:r>
      <w:r w:rsidRPr="00422273">
        <w:rPr>
          <w:rFonts w:ascii="Palatino Linotype" w:eastAsiaTheme="minorEastAsia" w:hAnsi="Palatino Linotype" w:cs="Arial"/>
          <w:lang w:val="es-ES_tradnl" w:eastAsia="es-ES"/>
        </w:rPr>
        <w:t>, contemplando el derecho de las personas con discapacidad y hablantes de lengua indígena.</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422273">
        <w:rPr>
          <w:rFonts w:ascii="Palatino Linotype" w:eastAsiaTheme="minorEastAsia" w:hAnsi="Palatino Linotype" w:cs="Arial"/>
          <w:i/>
          <w:lang w:val="es-ES_tradnl" w:eastAsia="es-ES"/>
        </w:rPr>
        <w:t>solicitudes de acceso a la información</w:t>
      </w:r>
      <w:r w:rsidRPr="00422273">
        <w:rPr>
          <w:rFonts w:ascii="Palatino Linotype" w:eastAsiaTheme="minorEastAsia" w:hAnsi="Palatino Linotype" w:cs="Arial"/>
          <w:lang w:val="es-ES_tradnl" w:eastAsia="es-ES"/>
        </w:rPr>
        <w:t>.</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BE48D5" w:rsidRPr="00422273" w:rsidRDefault="00BE48D5" w:rsidP="00B54731">
      <w:pPr>
        <w:pStyle w:val="Ttulo1"/>
        <w:spacing w:before="0" w:line="360" w:lineRule="auto"/>
        <w:rPr>
          <w:rFonts w:ascii="Palatino Linotype" w:hAnsi="Palatino Linotype"/>
          <w:b/>
          <w:color w:val="auto"/>
          <w:sz w:val="24"/>
          <w:szCs w:val="24"/>
        </w:rPr>
      </w:pPr>
    </w:p>
    <w:p w:rsidR="00BE48D5" w:rsidRPr="00422273" w:rsidRDefault="00BE48D5" w:rsidP="00B54731">
      <w:pPr>
        <w:pStyle w:val="Ttulo1"/>
        <w:numPr>
          <w:ilvl w:val="0"/>
          <w:numId w:val="6"/>
        </w:numPr>
        <w:spacing w:before="0" w:line="360" w:lineRule="auto"/>
        <w:rPr>
          <w:rFonts w:ascii="Palatino Linotype" w:hAnsi="Palatino Linotype"/>
          <w:b/>
          <w:color w:val="auto"/>
          <w:sz w:val="24"/>
          <w:szCs w:val="24"/>
        </w:rPr>
      </w:pPr>
      <w:bookmarkStart w:id="22" w:name="_Toc80812777"/>
      <w:bookmarkStart w:id="23" w:name="_Toc84437046"/>
      <w:r w:rsidRPr="00422273">
        <w:rPr>
          <w:rFonts w:ascii="Palatino Linotype" w:hAnsi="Palatino Linotype"/>
          <w:b/>
          <w:color w:val="auto"/>
          <w:sz w:val="24"/>
          <w:szCs w:val="24"/>
        </w:rPr>
        <w:t>De la información solicitada y la respuesta del Sujeto Obligado.</w:t>
      </w:r>
      <w:bookmarkEnd w:id="22"/>
      <w:bookmarkEnd w:id="23"/>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Cambria" w:hAnsi="Palatino Linotype" w:cs="Arial"/>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22273">
        <w:rPr>
          <w:rFonts w:ascii="Palatino Linotype" w:eastAsia="Calibri" w:hAnsi="Palatino Linotype" w:cs="Arial"/>
          <w:lang w:val="es-ES"/>
        </w:rPr>
        <w:t>Ley de Transparencia y Acceso a la Información Pública del Estado de México y Municipios</w:t>
      </w:r>
      <w:r w:rsidRPr="00422273">
        <w:rPr>
          <w:rFonts w:ascii="Palatino Linotype" w:hAnsi="Palatino Linotype" w:cs="Arial"/>
          <w:lang w:val="es-ES"/>
        </w:rPr>
        <w:t>.</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EA7D9D"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cs="Arial"/>
          <w:lang w:val="es-ES"/>
        </w:rPr>
        <w:t xml:space="preserve">En este caso, el particular  solicitó </w:t>
      </w:r>
      <w:r w:rsidR="00F169EF" w:rsidRPr="00422273">
        <w:rPr>
          <w:rFonts w:ascii="Palatino Linotype" w:hAnsi="Palatino Linotype" w:cs="Arial"/>
          <w:lang w:val="es-ES"/>
        </w:rPr>
        <w:t>del servidor público referido en la solicitud de información la siguiente información</w:t>
      </w:r>
      <w:r w:rsidRPr="00422273">
        <w:rPr>
          <w:rFonts w:ascii="Palatino Linotype" w:hAnsi="Palatino Linotype" w:cs="Arial"/>
          <w:lang w:val="es-ES"/>
        </w:rPr>
        <w:t>:</w:t>
      </w:r>
    </w:p>
    <w:p w:rsidR="00EA7D9D" w:rsidRPr="00422273" w:rsidRDefault="00EA7D9D"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lastRenderedPageBreak/>
        <w:t>a). Cargo</w:t>
      </w:r>
      <w:r w:rsidR="002A7FC5" w:rsidRPr="00422273">
        <w:rPr>
          <w:rFonts w:ascii="Palatino Linotype" w:eastAsiaTheme="minorEastAsia" w:hAnsi="Palatino Linotype"/>
          <w:lang w:val="es-ES_tradnl"/>
        </w:rPr>
        <w:t>;</w:t>
      </w:r>
    </w:p>
    <w:p w:rsidR="00EA7D9D" w:rsidRPr="00422273" w:rsidRDefault="00EA7D9D"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t>b). Escolaridad</w:t>
      </w:r>
      <w:r w:rsidR="002A7FC5" w:rsidRPr="00422273">
        <w:rPr>
          <w:rFonts w:ascii="Palatino Linotype" w:eastAsiaTheme="minorEastAsia" w:hAnsi="Palatino Linotype"/>
          <w:lang w:val="es-ES_tradnl"/>
        </w:rPr>
        <w:t>;</w:t>
      </w:r>
    </w:p>
    <w:p w:rsidR="00EA7D9D" w:rsidRPr="00422273" w:rsidRDefault="00EA7D9D" w:rsidP="00B54731">
      <w:pPr>
        <w:spacing w:line="360" w:lineRule="auto"/>
        <w:jc w:val="both"/>
        <w:rPr>
          <w:rFonts w:ascii="Palatino Linotype" w:eastAsiaTheme="minorEastAsia" w:hAnsi="Palatino Linotype"/>
          <w:lang w:val="es-ES_tradnl"/>
        </w:rPr>
      </w:pPr>
      <w:proofErr w:type="gramStart"/>
      <w:r w:rsidRPr="00422273">
        <w:rPr>
          <w:rFonts w:ascii="Palatino Linotype" w:eastAsiaTheme="minorEastAsia" w:hAnsi="Palatino Linotype"/>
          <w:lang w:val="es-ES_tradnl"/>
        </w:rPr>
        <w:t>c)</w:t>
      </w:r>
      <w:proofErr w:type="gramEnd"/>
      <w:r w:rsidRPr="00422273">
        <w:rPr>
          <w:rFonts w:ascii="Palatino Linotype" w:eastAsiaTheme="minorEastAsia" w:hAnsi="Palatino Linotype"/>
          <w:lang w:val="es-ES_tradnl"/>
        </w:rPr>
        <w:t>. Funciones</w:t>
      </w:r>
      <w:r w:rsidR="002A7FC5" w:rsidRPr="00422273">
        <w:rPr>
          <w:rFonts w:ascii="Palatino Linotype" w:eastAsiaTheme="minorEastAsia" w:hAnsi="Palatino Linotype"/>
          <w:lang w:val="es-ES_tradnl"/>
        </w:rPr>
        <w:t>;</w:t>
      </w:r>
    </w:p>
    <w:p w:rsidR="00EA7D9D" w:rsidRPr="00422273" w:rsidRDefault="00EA7D9D"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t>d). Adscripción</w:t>
      </w:r>
      <w:r w:rsidR="002A7FC5" w:rsidRPr="00422273">
        <w:rPr>
          <w:rFonts w:ascii="Palatino Linotype" w:eastAsiaTheme="minorEastAsia" w:hAnsi="Palatino Linotype"/>
          <w:lang w:val="es-ES_tradnl"/>
        </w:rPr>
        <w:t>;</w:t>
      </w:r>
    </w:p>
    <w:p w:rsidR="00EA7D9D" w:rsidRPr="00422273" w:rsidRDefault="00EA7D9D"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t>e). Lugar y hora de labores</w:t>
      </w:r>
      <w:r w:rsidR="002A7FC5" w:rsidRPr="00422273">
        <w:rPr>
          <w:rFonts w:ascii="Palatino Linotype" w:eastAsiaTheme="minorEastAsia" w:hAnsi="Palatino Linotype"/>
          <w:lang w:val="es-ES_tradnl"/>
        </w:rPr>
        <w:t>;</w:t>
      </w:r>
    </w:p>
    <w:p w:rsidR="00EA7D9D" w:rsidRPr="00422273" w:rsidRDefault="00EA7D9D"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t xml:space="preserve">f). Si </w:t>
      </w:r>
      <w:r w:rsidR="004E22E4" w:rsidRPr="00422273">
        <w:rPr>
          <w:rFonts w:ascii="Palatino Linotype" w:eastAsiaTheme="minorEastAsia" w:hAnsi="Palatino Linotype"/>
          <w:lang w:val="es-ES_tradnl"/>
        </w:rPr>
        <w:t>h</w:t>
      </w:r>
      <w:r w:rsidRPr="00422273">
        <w:rPr>
          <w:rFonts w:ascii="Palatino Linotype" w:eastAsiaTheme="minorEastAsia" w:hAnsi="Palatino Linotype"/>
          <w:lang w:val="es-ES_tradnl"/>
        </w:rPr>
        <w:t>a estado sujeto a alguna responsabilidad administrativa o algún tipo de controversia durante su tiempo de labores</w:t>
      </w:r>
      <w:r w:rsidR="002A7FC5" w:rsidRPr="00422273">
        <w:rPr>
          <w:rFonts w:ascii="Palatino Linotype" w:eastAsiaTheme="minorEastAsia" w:hAnsi="Palatino Linotype"/>
          <w:lang w:val="es-ES_tradnl"/>
        </w:rPr>
        <w:t>;</w:t>
      </w:r>
    </w:p>
    <w:p w:rsidR="002A7FC5" w:rsidRPr="00422273" w:rsidRDefault="002A7FC5"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t>g). Si cuenta con algún antecedente penal; y</w:t>
      </w:r>
    </w:p>
    <w:p w:rsidR="00EA7D9D" w:rsidRPr="00422273" w:rsidRDefault="002A7FC5" w:rsidP="00B54731">
      <w:pPr>
        <w:spacing w:line="360" w:lineRule="auto"/>
        <w:jc w:val="both"/>
        <w:rPr>
          <w:rFonts w:ascii="Palatino Linotype" w:eastAsiaTheme="minorEastAsia" w:hAnsi="Palatino Linotype"/>
          <w:lang w:val="es-ES_tradnl"/>
        </w:rPr>
      </w:pPr>
      <w:r w:rsidRPr="00422273">
        <w:rPr>
          <w:rFonts w:ascii="Palatino Linotype" w:eastAsiaTheme="minorEastAsia" w:hAnsi="Palatino Linotype"/>
          <w:lang w:val="es-ES_tradnl"/>
        </w:rPr>
        <w:t>h</w:t>
      </w:r>
      <w:r w:rsidR="00EA7D9D" w:rsidRPr="00422273">
        <w:rPr>
          <w:rFonts w:ascii="Palatino Linotype" w:eastAsiaTheme="minorEastAsia" w:hAnsi="Palatino Linotype"/>
          <w:lang w:val="es-ES_tradnl"/>
        </w:rPr>
        <w:t>)</w:t>
      </w:r>
      <w:r w:rsidR="004E22E4" w:rsidRPr="00422273">
        <w:rPr>
          <w:rFonts w:ascii="Palatino Linotype" w:eastAsiaTheme="minorEastAsia" w:hAnsi="Palatino Linotype"/>
          <w:lang w:val="es-ES_tradnl"/>
        </w:rPr>
        <w:t>. Si cue</w:t>
      </w:r>
      <w:r w:rsidR="00EA7D9D" w:rsidRPr="00422273">
        <w:rPr>
          <w:rFonts w:ascii="Palatino Linotype" w:eastAsiaTheme="minorEastAsia" w:hAnsi="Palatino Linotype"/>
          <w:lang w:val="es-ES_tradnl"/>
        </w:rPr>
        <w:t>nta con portación de arma de fuego fuera de horario de labores.</w:t>
      </w:r>
    </w:p>
    <w:p w:rsidR="00EA7D9D" w:rsidRPr="00422273" w:rsidRDefault="00EA7D9D"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iCs/>
          <w:color w:val="000000"/>
        </w:rPr>
        <w:t xml:space="preserve">En respuesta, el SUJETO OBLIGADO manifestó </w:t>
      </w:r>
      <w:r w:rsidR="00EA7D9D" w:rsidRPr="00422273">
        <w:rPr>
          <w:rFonts w:ascii="Palatino Linotype" w:hAnsi="Palatino Linotype"/>
          <w:iCs/>
          <w:color w:val="000000"/>
        </w:rPr>
        <w:t>que el servidor público referido en la solicitud de información tiene cargo de polic</w:t>
      </w:r>
      <w:r w:rsidR="002A7FC5" w:rsidRPr="00422273">
        <w:rPr>
          <w:rFonts w:ascii="Palatino Linotype" w:hAnsi="Palatino Linotype"/>
          <w:iCs/>
          <w:color w:val="000000"/>
        </w:rPr>
        <w:t>ía,</w:t>
      </w:r>
      <w:r w:rsidR="00EA7D9D" w:rsidRPr="00422273">
        <w:rPr>
          <w:rFonts w:ascii="Palatino Linotype" w:hAnsi="Palatino Linotype"/>
          <w:iCs/>
          <w:color w:val="000000"/>
        </w:rPr>
        <w:t xml:space="preserve"> grado de escolaridad lic</w:t>
      </w:r>
      <w:r w:rsidR="002A7FC5" w:rsidRPr="00422273">
        <w:rPr>
          <w:rFonts w:ascii="Palatino Linotype" w:hAnsi="Palatino Linotype"/>
          <w:iCs/>
          <w:color w:val="000000"/>
        </w:rPr>
        <w:t>enciatura,</w:t>
      </w:r>
      <w:r w:rsidR="00EA7D9D" w:rsidRPr="00422273">
        <w:rPr>
          <w:rFonts w:ascii="Palatino Linotype" w:hAnsi="Palatino Linotype"/>
          <w:iCs/>
          <w:color w:val="000000"/>
        </w:rPr>
        <w:t xml:space="preserve"> adscrito a la Dirección General de Seguridad y Tr</w:t>
      </w:r>
      <w:r w:rsidR="002A7FC5" w:rsidRPr="00422273">
        <w:rPr>
          <w:rFonts w:ascii="Palatino Linotype" w:hAnsi="Palatino Linotype"/>
          <w:iCs/>
          <w:color w:val="000000"/>
        </w:rPr>
        <w:t>ánsito,</w:t>
      </w:r>
      <w:r w:rsidR="00EA7D9D" w:rsidRPr="00422273">
        <w:rPr>
          <w:rFonts w:ascii="Palatino Linotype" w:hAnsi="Palatino Linotype"/>
          <w:iCs/>
          <w:color w:val="000000"/>
        </w:rPr>
        <w:t xml:space="preserve"> con las funciones establecidas en el Manual General de Organización de la Secretar</w:t>
      </w:r>
      <w:r w:rsidR="002A7FC5" w:rsidRPr="00422273">
        <w:rPr>
          <w:rFonts w:ascii="Palatino Linotype" w:hAnsi="Palatino Linotype"/>
          <w:iCs/>
          <w:color w:val="000000"/>
        </w:rPr>
        <w:t>ía de Seguridad,</w:t>
      </w:r>
      <w:r w:rsidR="00EA7D9D" w:rsidRPr="00422273">
        <w:rPr>
          <w:rFonts w:ascii="Palatino Linotype" w:hAnsi="Palatino Linotype"/>
          <w:iCs/>
          <w:color w:val="000000"/>
        </w:rPr>
        <w:t xml:space="preserve"> respecto al horario de labores manifestó que el personal cuenta con turnos laborales diversos atendiendo a la necesidad del servicio</w:t>
      </w:r>
      <w:r w:rsidR="002A7FC5" w:rsidRPr="00422273">
        <w:rPr>
          <w:rFonts w:ascii="Palatino Linotype" w:hAnsi="Palatino Linotype"/>
          <w:iCs/>
          <w:color w:val="000000"/>
        </w:rPr>
        <w:t>,</w:t>
      </w:r>
      <w:r w:rsidR="00EA7D9D" w:rsidRPr="00422273">
        <w:rPr>
          <w:rFonts w:ascii="Palatino Linotype" w:hAnsi="Palatino Linotype"/>
          <w:iCs/>
          <w:color w:val="000000"/>
        </w:rPr>
        <w:t xml:space="preserve"> que no cuenta con credencial de portación de arma de fuego</w:t>
      </w:r>
      <w:r w:rsidR="002A7FC5" w:rsidRPr="00422273">
        <w:rPr>
          <w:rFonts w:ascii="Palatino Linotype" w:hAnsi="Palatino Linotype"/>
          <w:iCs/>
          <w:color w:val="000000"/>
        </w:rPr>
        <w:t>,</w:t>
      </w:r>
      <w:r w:rsidR="00EA7D9D" w:rsidRPr="00422273">
        <w:rPr>
          <w:rFonts w:ascii="Palatino Linotype" w:hAnsi="Palatino Linotype"/>
          <w:iCs/>
          <w:color w:val="000000"/>
        </w:rPr>
        <w:t xml:space="preserve"> respecto a si ha estado sujeto a alguna responsabilidad administrativa o algún tipo de controversia durante su tiempo de labores y si cuenta con algún antecedente penal, manifestó que se hizo llegar en tiempo y forma la incompetencia parcial de dicho punto.</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hAnsi="Palatino Linotype"/>
          <w:i/>
          <w:color w:val="000000"/>
        </w:rPr>
      </w:pPr>
      <w:r w:rsidRPr="00422273">
        <w:rPr>
          <w:rFonts w:ascii="Palatino Linotype" w:hAnsi="Palatino Linotype"/>
        </w:rPr>
        <w:t xml:space="preserve">Derivado de ello, el particular interpuso recurso de revisión; manifestó en sus motivos de inconformidad </w:t>
      </w:r>
      <w:r w:rsidRPr="00422273">
        <w:rPr>
          <w:rFonts w:ascii="Palatino Linotype" w:hAnsi="Palatino Linotype"/>
          <w:i/>
          <w:color w:val="000000"/>
          <w:lang w:val="es-ES"/>
        </w:rPr>
        <w:t>“</w:t>
      </w:r>
      <w:r w:rsidR="007B38E3" w:rsidRPr="00422273">
        <w:rPr>
          <w:rFonts w:ascii="Palatino Linotype" w:hAnsi="Palatino Linotype"/>
          <w:i/>
          <w:color w:val="000000"/>
        </w:rPr>
        <w:t xml:space="preserve">Funciones, lugar y horario de labores del C. Octavio Valdez Pérez, ya que la información solicitada no corresponde a información personal que ponga en peligro su integridad, por lo que solicito solamente funciones específicas y horario de labores </w:t>
      </w:r>
      <w:r w:rsidR="007B38E3" w:rsidRPr="00422273">
        <w:rPr>
          <w:rFonts w:ascii="Palatino Linotype" w:hAnsi="Palatino Linotype"/>
          <w:i/>
          <w:color w:val="000000"/>
        </w:rPr>
        <w:lastRenderedPageBreak/>
        <w:t>mediante digitalización de lista o tarjetas de asistencia correspondientes al año en curso, lo anterior se solicita nuevamente haciendo valer el derecho que como individuos tenemos al acceso a la información y en materia de prevención del delito. Así mismo informe si cuenta con algún antecedente negativo ante su órgano interno de control o área competente de esa institución.” (Sic).</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Calibri" w:hAnsi="Palatino Linotype" w:cs="Tahoma"/>
          <w:iCs/>
          <w:lang w:val="es-ES" w:eastAsia="es-ES_tradnl"/>
        </w:rPr>
        <w:t>Conforme a lo anterior, se logra vislumbrar que el ahora Recurrente, únicamente se inconformó con</w:t>
      </w:r>
      <w:r w:rsidR="007B38E3" w:rsidRPr="00422273">
        <w:rPr>
          <w:rFonts w:ascii="Palatino Linotype" w:eastAsia="Calibri" w:hAnsi="Palatino Linotype" w:cs="Tahoma"/>
          <w:iCs/>
          <w:lang w:val="es-ES" w:eastAsia="es-ES_tradnl"/>
        </w:rPr>
        <w:t xml:space="preserve"> </w:t>
      </w:r>
      <w:r w:rsidR="004E22E4" w:rsidRPr="00422273">
        <w:rPr>
          <w:rFonts w:ascii="Palatino Linotype" w:eastAsia="Calibri" w:hAnsi="Palatino Linotype" w:cs="Tahoma"/>
          <w:iCs/>
          <w:lang w:val="es-ES" w:eastAsia="es-ES_tradnl"/>
        </w:rPr>
        <w:t xml:space="preserve">las funciones, lugar, </w:t>
      </w:r>
      <w:r w:rsidR="007B38E3" w:rsidRPr="00422273">
        <w:rPr>
          <w:rFonts w:ascii="Palatino Linotype" w:eastAsia="Calibri" w:hAnsi="Palatino Linotype" w:cs="Tahoma"/>
          <w:iCs/>
          <w:lang w:val="es-ES" w:eastAsia="es-ES_tradnl"/>
        </w:rPr>
        <w:t>horario de labores</w:t>
      </w:r>
      <w:r w:rsidRPr="00422273">
        <w:rPr>
          <w:rFonts w:ascii="Palatino Linotype" w:eastAsia="Calibri" w:hAnsi="Palatino Linotype" w:cs="Tahoma"/>
          <w:iCs/>
          <w:lang w:val="es-ES" w:eastAsia="es-ES_tradnl"/>
        </w:rPr>
        <w:t xml:space="preserve"> </w:t>
      </w:r>
      <w:r w:rsidR="004E22E4" w:rsidRPr="00422273">
        <w:rPr>
          <w:rFonts w:ascii="Palatino Linotype" w:eastAsia="Calibri" w:hAnsi="Palatino Linotype" w:cs="Tahoma"/>
          <w:iCs/>
          <w:lang w:val="es-ES" w:eastAsia="es-ES_tradnl"/>
        </w:rPr>
        <w:t>y si el servidor público cuenta con algún antecedente negativo ante su órgano interno de control o área competente</w:t>
      </w:r>
      <w:r w:rsidR="007B38E3" w:rsidRPr="00422273">
        <w:rPr>
          <w:rFonts w:ascii="Palatino Linotype" w:eastAsia="Calibri" w:hAnsi="Palatino Linotype" w:cs="Tahoma"/>
          <w:iCs/>
          <w:lang w:val="es-ES" w:eastAsia="es-ES_tradnl"/>
        </w:rPr>
        <w:t xml:space="preserve">; </w:t>
      </w:r>
      <w:r w:rsidRPr="00422273">
        <w:rPr>
          <w:rFonts w:ascii="Palatino Linotype" w:eastAsia="Calibri" w:hAnsi="Palatino Linotype" w:cs="Tahoma"/>
          <w:iCs/>
          <w:lang w:val="es-ES" w:eastAsia="es-ES_tradnl"/>
        </w:rPr>
        <w:t>por lo que, no se inconformó con los documentos entregados en respuesta, referentes</w:t>
      </w:r>
      <w:r w:rsidR="004E22E4" w:rsidRPr="00422273">
        <w:rPr>
          <w:rFonts w:ascii="Palatino Linotype" w:eastAsia="Calibri" w:hAnsi="Palatino Linotype" w:cs="Tahoma"/>
          <w:iCs/>
          <w:lang w:val="es-ES" w:eastAsia="es-ES_tradnl"/>
        </w:rPr>
        <w:t xml:space="preserve"> </w:t>
      </w:r>
      <w:r w:rsidR="002A7FC5" w:rsidRPr="00422273">
        <w:rPr>
          <w:rFonts w:ascii="Palatino Linotype" w:eastAsia="Calibri" w:hAnsi="Palatino Linotype" w:cs="Tahoma"/>
          <w:iCs/>
          <w:lang w:val="es-ES" w:eastAsia="es-ES_tradnl"/>
        </w:rPr>
        <w:t>al cargo, escolaridad, adscripción</w:t>
      </w:r>
      <w:r w:rsidR="00355639" w:rsidRPr="00422273">
        <w:rPr>
          <w:rFonts w:ascii="Palatino Linotype" w:eastAsia="Calibri" w:hAnsi="Palatino Linotype" w:cs="Tahoma"/>
          <w:iCs/>
          <w:lang w:val="es-ES" w:eastAsia="es-ES_tradnl"/>
        </w:rPr>
        <w:t>, si cue</w:t>
      </w:r>
      <w:r w:rsidR="002A7FC5" w:rsidRPr="00422273">
        <w:rPr>
          <w:rFonts w:ascii="Palatino Linotype" w:eastAsia="Calibri" w:hAnsi="Palatino Linotype" w:cs="Tahoma"/>
          <w:iCs/>
          <w:lang w:val="es-ES" w:eastAsia="es-ES_tradnl"/>
        </w:rPr>
        <w:t>nta con un antecedente penal</w:t>
      </w:r>
      <w:r w:rsidR="00355639" w:rsidRPr="00422273">
        <w:rPr>
          <w:rFonts w:ascii="Palatino Linotype" w:eastAsia="Calibri" w:hAnsi="Palatino Linotype" w:cs="Tahoma"/>
          <w:iCs/>
          <w:lang w:val="es-ES" w:eastAsia="es-ES_tradnl"/>
        </w:rPr>
        <w:t xml:space="preserve"> y si cue</w:t>
      </w:r>
      <w:r w:rsidR="0047279E" w:rsidRPr="00422273">
        <w:rPr>
          <w:rFonts w:ascii="Palatino Linotype" w:eastAsia="Calibri" w:hAnsi="Palatino Linotype" w:cs="Tahoma"/>
          <w:iCs/>
          <w:lang w:val="es-ES" w:eastAsia="es-ES_tradnl"/>
        </w:rPr>
        <w:t>nta con portaci</w:t>
      </w:r>
      <w:r w:rsidR="004138D5" w:rsidRPr="00422273">
        <w:rPr>
          <w:rFonts w:ascii="Palatino Linotype" w:eastAsia="Calibri" w:hAnsi="Palatino Linotype" w:cs="Tahoma"/>
          <w:iCs/>
          <w:lang w:val="es-ES" w:eastAsia="es-ES_tradnl"/>
        </w:rPr>
        <w:t>ón de arma de fuego</w:t>
      </w:r>
      <w:r w:rsidRPr="00422273">
        <w:rPr>
          <w:rFonts w:ascii="Palatino Linotype" w:hAnsi="Palatino Linotype" w:cs="Tahoma"/>
          <w:bCs/>
          <w:iCs/>
          <w:color w:val="000000"/>
        </w:rPr>
        <w:t xml:space="preserve">; por lo que, </w:t>
      </w:r>
      <w:r w:rsidRPr="00422273">
        <w:rPr>
          <w:rFonts w:ascii="Palatino Linotype" w:hAnsi="Palatino Linotype" w:cs="Tahoma"/>
          <w:bCs/>
          <w:iCs/>
          <w:color w:val="000000"/>
          <w:lang w:val="es-ES"/>
        </w:rPr>
        <w:t xml:space="preserve">no se hará pronunciamiento alguno de conformidad con el artículo 195 </w:t>
      </w:r>
      <w:r w:rsidRPr="00422273">
        <w:rPr>
          <w:rFonts w:ascii="Palatino Linotype" w:hAnsi="Palatino Linotype" w:cs="Tahoma"/>
          <w:bCs/>
          <w:iCs/>
          <w:color w:val="000000"/>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422273">
        <w:rPr>
          <w:rFonts w:ascii="Palatino Linotype" w:hAnsi="Palatino Linotype" w:cs="Tahoma"/>
          <w:b/>
          <w:bCs/>
          <w:iCs/>
          <w:color w:val="000000"/>
        </w:rPr>
        <w:t>los actos que se hayan consentido tácitamente,</w:t>
      </w:r>
      <w:r w:rsidRPr="00422273">
        <w:rPr>
          <w:rFonts w:ascii="Palatino Linotype" w:hAnsi="Palatino Linotype" w:cs="Tahoma"/>
          <w:bCs/>
          <w:iCs/>
          <w:color w:val="000000"/>
        </w:rPr>
        <w:t xml:space="preserve"> entendiéndose por estos cuando el agravio no se haya promovido en el plazo señalado para el efecto.</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cs="Tahoma"/>
          <w:bCs/>
          <w:lang w:eastAsia="es-ES"/>
        </w:rPr>
        <w:t xml:space="preserve">De la misma manera resulta aplicable el criterio sostenido por el Poder Judicial de la Federación de rubro </w:t>
      </w:r>
      <w:r w:rsidRPr="00422273">
        <w:rPr>
          <w:rFonts w:ascii="Palatino Linotype" w:hAnsi="Palatino Linotype" w:cs="Tahoma"/>
          <w:b/>
          <w:lang w:eastAsia="es-ES"/>
        </w:rPr>
        <w:t>ACTOS CONSENTIDOS TÁCITAMENTE</w:t>
      </w:r>
      <w:r w:rsidRPr="00422273">
        <w:rPr>
          <w:rFonts w:ascii="Palatino Linotype" w:hAnsi="Palatino Linotype" w:cs="Tahoma"/>
          <w:bCs/>
          <w:lang w:eastAsia="es-ES"/>
        </w:rPr>
        <w:t xml:space="preserve">, Tesis VI.2o. J/21, emitida en la novena época, por el Segundo Tribunal Colegiado del Sexto Circuito, publicada en la Gaceta del Semanario Judicial de la Federación en agosto de 1995, página 291, número de registro 204707, del que se desprende que cuando no se </w:t>
      </w:r>
      <w:r w:rsidRPr="00422273">
        <w:rPr>
          <w:rFonts w:ascii="Palatino Linotype" w:hAnsi="Palatino Linotype" w:cs="Tahoma"/>
          <w:bCs/>
          <w:lang w:eastAsia="es-ES"/>
        </w:rPr>
        <w:lastRenderedPageBreak/>
        <w:t>reclaman los actos de autoridad en la vía y plazos establecidos en la Ley, se presume que el Particular está conforme con los mismos.</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cs="Tahoma"/>
          <w:bCs/>
          <w:lang w:eastAsia="es-ES"/>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rsidR="00355639" w:rsidRPr="00422273" w:rsidRDefault="00355639"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cs="Tahoma"/>
          <w:bCs/>
          <w:lang w:eastAsia="es-ES"/>
        </w:rPr>
        <w:t>Asimismo, resulta relevante traer a colación el Criterio 01/20, emitido por el Instituto Nacional de Transparencia, Acceso a la Información y Protección de Datos Personales, que establece lo siguiente:</w:t>
      </w:r>
    </w:p>
    <w:p w:rsidR="00BE48D5" w:rsidRPr="00422273" w:rsidRDefault="00BE48D5" w:rsidP="00B54731">
      <w:pPr>
        <w:spacing w:line="360" w:lineRule="auto"/>
        <w:ind w:right="49"/>
        <w:contextualSpacing/>
        <w:jc w:val="both"/>
        <w:rPr>
          <w:rFonts w:ascii="Palatino Linotype" w:hAnsi="Palatino Linotype" w:cs="Tahoma"/>
          <w:bCs/>
          <w:lang w:eastAsia="es-ES"/>
        </w:rPr>
      </w:pPr>
    </w:p>
    <w:p w:rsidR="00BE48D5" w:rsidRPr="00422273" w:rsidRDefault="00BE48D5" w:rsidP="00B54731">
      <w:pPr>
        <w:pStyle w:val="Prrafodelista"/>
        <w:spacing w:line="360" w:lineRule="auto"/>
        <w:ind w:left="851" w:right="822"/>
        <w:jc w:val="both"/>
        <w:rPr>
          <w:rFonts w:ascii="Palatino Linotype" w:hAnsi="Palatino Linotype" w:cs="Tahoma"/>
          <w:bCs/>
          <w:i/>
          <w:color w:val="000000"/>
        </w:rPr>
      </w:pPr>
      <w:r w:rsidRPr="00422273">
        <w:rPr>
          <w:rFonts w:ascii="Palatino Linotype" w:hAnsi="Palatino Linotype" w:cs="Tahoma"/>
          <w:b/>
          <w:bCs/>
          <w:i/>
          <w:color w:val="000000"/>
        </w:rPr>
        <w:t xml:space="preserve">“Actos consentidos tácitamente. Improcedencia de su análisis. </w:t>
      </w:r>
      <w:r w:rsidRPr="00422273">
        <w:rPr>
          <w:rFonts w:ascii="Palatino Linotype" w:hAnsi="Palatino Linotype" w:cs="Tahoma"/>
          <w:bCs/>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cs="Tahoma"/>
          <w:bCs/>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rsidR="00BE48D5" w:rsidRPr="00422273" w:rsidRDefault="00BE48D5" w:rsidP="00B54731">
      <w:pPr>
        <w:spacing w:line="360" w:lineRule="auto"/>
        <w:ind w:right="49"/>
        <w:contextualSpacing/>
        <w:jc w:val="both"/>
        <w:rPr>
          <w:rFonts w:ascii="Palatino Linotype" w:eastAsiaTheme="minorEastAsia" w:hAnsi="Palatino Linotype"/>
          <w:lang w:val="es-ES_tradnl" w:eastAsia="es-ES"/>
        </w:rPr>
      </w:pPr>
    </w:p>
    <w:p w:rsidR="00BE48D5" w:rsidRPr="00422273" w:rsidRDefault="00BE48D5"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hAnsi="Palatino Linotype" w:cs="Tahoma"/>
          <w:bCs/>
          <w:iCs/>
          <w:lang w:eastAsia="es-ES"/>
        </w:rPr>
        <w:lastRenderedPageBreak/>
        <w:t xml:space="preserve">En este contexto, se hará pronunciamiento, únicamente por </w:t>
      </w:r>
      <w:r w:rsidR="00355639" w:rsidRPr="00422273">
        <w:rPr>
          <w:rFonts w:ascii="Palatino Linotype" w:hAnsi="Palatino Linotype" w:cs="Tahoma"/>
          <w:bCs/>
          <w:iCs/>
          <w:lang w:eastAsia="es-ES"/>
        </w:rPr>
        <w:t>las funciones, lugar y hora de trabajo y si el servidor público cuanta con un antecedente negativo ante su órgano interno de control</w:t>
      </w:r>
      <w:r w:rsidRPr="00422273">
        <w:rPr>
          <w:rFonts w:ascii="Palatino Linotype" w:hAnsi="Palatino Linotype" w:cs="Tahoma"/>
          <w:bCs/>
          <w:iCs/>
          <w:lang w:eastAsia="es-ES"/>
        </w:rPr>
        <w:t>.</w:t>
      </w:r>
    </w:p>
    <w:p w:rsidR="00355639" w:rsidRPr="00422273" w:rsidRDefault="00355639" w:rsidP="00B54731">
      <w:pPr>
        <w:spacing w:line="360" w:lineRule="auto"/>
        <w:ind w:right="49"/>
        <w:contextualSpacing/>
        <w:jc w:val="both"/>
        <w:rPr>
          <w:rFonts w:ascii="Palatino Linotype" w:eastAsiaTheme="minorEastAsia" w:hAnsi="Palatino Linotype"/>
          <w:lang w:val="es-ES_tradnl" w:eastAsia="es-ES"/>
        </w:rPr>
      </w:pPr>
    </w:p>
    <w:p w:rsidR="00355639" w:rsidRPr="00422273" w:rsidRDefault="00810950"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Ahora bien</w:t>
      </w:r>
      <w:r w:rsidR="00355639" w:rsidRPr="00422273">
        <w:rPr>
          <w:rFonts w:ascii="Palatino Linotype" w:eastAsiaTheme="minorEastAsia" w:hAnsi="Palatino Linotype"/>
          <w:lang w:val="es-ES_tradnl" w:eastAsia="es-ES"/>
        </w:rPr>
        <w:t>, respecto de las funciones del servidor público referido en la solicitud de información, el Sujeto Obligado manifestó en respuesta que el personal operativo de esa dependencia tiene la</w:t>
      </w:r>
      <w:r w:rsidRPr="00422273">
        <w:rPr>
          <w:rFonts w:ascii="Palatino Linotype" w:eastAsiaTheme="minorEastAsia" w:hAnsi="Palatino Linotype"/>
          <w:lang w:val="es-ES_tradnl" w:eastAsia="es-ES"/>
        </w:rPr>
        <w:t>s</w:t>
      </w:r>
      <w:r w:rsidR="00355639" w:rsidRPr="00422273">
        <w:rPr>
          <w:rFonts w:ascii="Palatino Linotype" w:eastAsiaTheme="minorEastAsia" w:hAnsi="Palatino Linotype"/>
          <w:lang w:val="es-ES_tradnl" w:eastAsia="es-ES"/>
        </w:rPr>
        <w:t xml:space="preserve"> funciones establecidas en el Manual General de Organización de la Secretaría de Seguridad:</w:t>
      </w:r>
    </w:p>
    <w:p w:rsidR="00355639" w:rsidRPr="00422273" w:rsidRDefault="00355639" w:rsidP="00B54731">
      <w:pPr>
        <w:spacing w:line="360" w:lineRule="auto"/>
        <w:ind w:right="49"/>
        <w:contextualSpacing/>
        <w:jc w:val="both"/>
        <w:rPr>
          <w:rFonts w:ascii="Palatino Linotype" w:eastAsiaTheme="minorEastAsia" w:hAnsi="Palatino Linotype"/>
          <w:lang w:val="es-ES_tradnl" w:eastAsia="es-ES"/>
        </w:rPr>
      </w:pPr>
    </w:p>
    <w:p w:rsidR="00355639" w:rsidRPr="00422273" w:rsidRDefault="00355639" w:rsidP="00B54731">
      <w:pPr>
        <w:spacing w:line="360" w:lineRule="auto"/>
        <w:ind w:right="49"/>
        <w:contextualSpacing/>
        <w:jc w:val="center"/>
        <w:rPr>
          <w:rFonts w:ascii="Palatino Linotype" w:eastAsiaTheme="minorEastAsia" w:hAnsi="Palatino Linotype"/>
          <w:lang w:val="es-ES_tradnl" w:eastAsia="es-ES"/>
        </w:rPr>
      </w:pPr>
      <w:r w:rsidRPr="00422273">
        <w:rPr>
          <w:rFonts w:ascii="Palatino Linotype" w:hAnsi="Palatino Linotype"/>
          <w:noProof/>
          <w:lang w:val="es-ES" w:eastAsia="es-ES"/>
        </w:rPr>
        <w:lastRenderedPageBreak/>
        <w:drawing>
          <wp:inline distT="0" distB="0" distL="0" distR="0" wp14:anchorId="53B89572" wp14:editId="7C2F80A0">
            <wp:extent cx="5215220" cy="69342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64" t="20642" r="35648" b="9180"/>
                    <a:stretch/>
                  </pic:blipFill>
                  <pic:spPr bwMode="auto">
                    <a:xfrm>
                      <a:off x="0" y="0"/>
                      <a:ext cx="5228425" cy="6951757"/>
                    </a:xfrm>
                    <a:prstGeom prst="rect">
                      <a:avLst/>
                    </a:prstGeom>
                    <a:ln>
                      <a:noFill/>
                    </a:ln>
                    <a:extLst>
                      <a:ext uri="{53640926-AAD7-44D8-BBD7-CCE9431645EC}">
                        <a14:shadowObscured xmlns:a14="http://schemas.microsoft.com/office/drawing/2010/main"/>
                      </a:ext>
                    </a:extLst>
                  </pic:spPr>
                </pic:pic>
              </a:graphicData>
            </a:graphic>
          </wp:inline>
        </w:drawing>
      </w:r>
    </w:p>
    <w:p w:rsidR="00355639" w:rsidRPr="00422273" w:rsidRDefault="00355639" w:rsidP="00B54731">
      <w:pPr>
        <w:spacing w:line="360" w:lineRule="auto"/>
        <w:ind w:right="49"/>
        <w:contextualSpacing/>
        <w:jc w:val="center"/>
        <w:rPr>
          <w:rFonts w:ascii="Palatino Linotype" w:eastAsiaTheme="minorEastAsia" w:hAnsi="Palatino Linotype"/>
          <w:lang w:val="es-ES_tradnl" w:eastAsia="es-ES"/>
        </w:rPr>
      </w:pPr>
      <w:r w:rsidRPr="00422273">
        <w:rPr>
          <w:rFonts w:ascii="Palatino Linotype" w:hAnsi="Palatino Linotype"/>
          <w:noProof/>
          <w:lang w:val="es-ES" w:eastAsia="es-ES"/>
        </w:rPr>
        <w:lastRenderedPageBreak/>
        <w:drawing>
          <wp:inline distT="0" distB="0" distL="0" distR="0" wp14:anchorId="7B5B292A" wp14:editId="096F3645">
            <wp:extent cx="5124450" cy="2562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29" t="18282" r="35649" b="55475"/>
                    <a:stretch/>
                  </pic:blipFill>
                  <pic:spPr bwMode="auto">
                    <a:xfrm>
                      <a:off x="0" y="0"/>
                      <a:ext cx="5124450" cy="2562225"/>
                    </a:xfrm>
                    <a:prstGeom prst="rect">
                      <a:avLst/>
                    </a:prstGeom>
                    <a:ln>
                      <a:noFill/>
                    </a:ln>
                    <a:extLst>
                      <a:ext uri="{53640926-AAD7-44D8-BBD7-CCE9431645EC}">
                        <a14:shadowObscured xmlns:a14="http://schemas.microsoft.com/office/drawing/2010/main"/>
                      </a:ext>
                    </a:extLst>
                  </pic:spPr>
                </pic:pic>
              </a:graphicData>
            </a:graphic>
          </wp:inline>
        </w:drawing>
      </w:r>
    </w:p>
    <w:p w:rsidR="00355639" w:rsidRPr="00422273" w:rsidRDefault="00355639" w:rsidP="00B54731">
      <w:pPr>
        <w:spacing w:line="360" w:lineRule="auto"/>
        <w:ind w:right="49"/>
        <w:contextualSpacing/>
        <w:jc w:val="center"/>
        <w:rPr>
          <w:rFonts w:ascii="Palatino Linotype" w:eastAsiaTheme="minorEastAsia" w:hAnsi="Palatino Linotype"/>
          <w:lang w:val="es-ES_tradnl" w:eastAsia="es-ES"/>
        </w:rPr>
      </w:pPr>
    </w:p>
    <w:p w:rsidR="00355639" w:rsidRPr="00422273" w:rsidRDefault="00355639"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Asimismo, mediante informe justificado</w:t>
      </w:r>
      <w:r w:rsidR="00812ABE" w:rsidRPr="00422273">
        <w:rPr>
          <w:rFonts w:ascii="Palatino Linotype" w:eastAsiaTheme="minorEastAsia" w:hAnsi="Palatino Linotype"/>
          <w:lang w:val="es-ES_tradnl" w:eastAsia="es-ES"/>
        </w:rPr>
        <w:t>, el Sujeto Obligado manifestó que se detallaron las funciones específicas en respuesta, no existiendo m</w:t>
      </w:r>
      <w:r w:rsidR="00FE6976" w:rsidRPr="00422273">
        <w:rPr>
          <w:rFonts w:ascii="Palatino Linotype" w:eastAsiaTheme="minorEastAsia" w:hAnsi="Palatino Linotype"/>
          <w:lang w:val="es-ES_tradnl" w:eastAsia="es-ES"/>
        </w:rPr>
        <w:t>ás al respecto; e</w:t>
      </w:r>
      <w:r w:rsidR="00810950" w:rsidRPr="00422273">
        <w:rPr>
          <w:rFonts w:ascii="Palatino Linotype" w:eastAsiaTheme="minorEastAsia" w:hAnsi="Palatino Linotype"/>
          <w:lang w:val="es-ES_tradnl" w:eastAsia="es-ES"/>
        </w:rPr>
        <w:t xml:space="preserve">n este caso, cabe señalar que el Sujeto Obligado refirió que el servidor público tiene el cargo de policía, adscrito a la Dirección General de Seguridad Pública y Tránsito,  </w:t>
      </w:r>
      <w:r w:rsidR="001F185B" w:rsidRPr="00422273">
        <w:rPr>
          <w:rFonts w:ascii="Palatino Linotype" w:eastAsiaTheme="minorEastAsia" w:hAnsi="Palatino Linotype"/>
          <w:lang w:val="es-ES_tradnl" w:eastAsia="es-ES"/>
        </w:rPr>
        <w:t>por lo que de</w:t>
      </w:r>
      <w:r w:rsidR="00810950" w:rsidRPr="00422273">
        <w:rPr>
          <w:rFonts w:ascii="Palatino Linotype" w:eastAsiaTheme="minorEastAsia" w:hAnsi="Palatino Linotype"/>
          <w:lang w:val="es-ES_tradnl" w:eastAsia="es-ES"/>
        </w:rPr>
        <w:t xml:space="preserve"> acuerdo al Manual General de Organización de la Secretar</w:t>
      </w:r>
      <w:r w:rsidR="001F185B" w:rsidRPr="00422273">
        <w:rPr>
          <w:rFonts w:ascii="Palatino Linotype" w:eastAsiaTheme="minorEastAsia" w:hAnsi="Palatino Linotype"/>
          <w:lang w:val="es-ES_tradnl" w:eastAsia="es-ES"/>
        </w:rPr>
        <w:t>ía de Seguridad, la respuesta emitida por el Sujeto Obligado en respuesta a las funciones del servidor público señalado en la solicitud de información, colman con el derecho de acceso a la información pública.</w:t>
      </w:r>
    </w:p>
    <w:p w:rsidR="001F185B" w:rsidRPr="00422273" w:rsidRDefault="001F185B" w:rsidP="00B54731">
      <w:pPr>
        <w:spacing w:line="360" w:lineRule="auto"/>
        <w:ind w:right="49"/>
        <w:contextualSpacing/>
        <w:jc w:val="both"/>
        <w:rPr>
          <w:rFonts w:ascii="Palatino Linotype" w:eastAsiaTheme="minorEastAsia" w:hAnsi="Palatino Linotype"/>
          <w:lang w:val="es-ES_tradnl" w:eastAsia="es-ES"/>
        </w:rPr>
      </w:pPr>
    </w:p>
    <w:p w:rsidR="00337A78" w:rsidRPr="00422273" w:rsidRDefault="001F185B"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Por otro lado, por lo que se refiere a la solicitud de información sobre el lugar de labores</w:t>
      </w:r>
      <w:r w:rsidR="00004B69" w:rsidRPr="00422273">
        <w:rPr>
          <w:rFonts w:ascii="Palatino Linotype" w:eastAsiaTheme="minorEastAsia" w:hAnsi="Palatino Linotype"/>
          <w:lang w:val="es-ES_tradnl" w:eastAsia="es-ES"/>
        </w:rPr>
        <w:t>, el Sujeto Obligado manifestó mediante informe justificado, que el lugar de labores es en la Dirección General de Seguridad Pública y Tránsito, en 28 de Octubre esquina Fidel Velázquez, colonia Vértice, Toluca de Lerdo México; en este contexto, con la información antes referida, se colma con ese punto de la solicitud de información.</w:t>
      </w:r>
    </w:p>
    <w:p w:rsidR="00004B69" w:rsidRPr="00422273" w:rsidRDefault="00004B69"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lastRenderedPageBreak/>
        <w:t>Ahora bien, por lo que se refiere a la informaci</w:t>
      </w:r>
      <w:r w:rsidR="006E47F8" w:rsidRPr="00422273">
        <w:rPr>
          <w:rFonts w:ascii="Palatino Linotype" w:eastAsiaTheme="minorEastAsia" w:hAnsi="Palatino Linotype"/>
          <w:lang w:val="es-ES_tradnl" w:eastAsia="es-ES"/>
        </w:rPr>
        <w:t xml:space="preserve">ón solicitada sobre las horas de labores del servidor público, el Sujeto Obligado manifestó mediante respuesta </w:t>
      </w:r>
      <w:r w:rsidR="0056293D" w:rsidRPr="00422273">
        <w:rPr>
          <w:rFonts w:ascii="Palatino Linotype" w:eastAsiaTheme="minorEastAsia" w:hAnsi="Palatino Linotype"/>
          <w:lang w:val="es-ES_tradnl" w:eastAsia="es-ES"/>
        </w:rPr>
        <w:t xml:space="preserve">e informe justificado, </w:t>
      </w:r>
      <w:r w:rsidR="006E47F8" w:rsidRPr="00422273">
        <w:rPr>
          <w:rFonts w:ascii="Palatino Linotype" w:eastAsiaTheme="minorEastAsia" w:hAnsi="Palatino Linotype"/>
          <w:lang w:val="es-ES_tradnl" w:eastAsia="es-ES"/>
        </w:rPr>
        <w:t>que el personal de esa Secretar</w:t>
      </w:r>
      <w:r w:rsidR="00144AA5" w:rsidRPr="00422273">
        <w:rPr>
          <w:rFonts w:ascii="Palatino Linotype" w:eastAsiaTheme="minorEastAsia" w:hAnsi="Palatino Linotype"/>
          <w:lang w:val="es-ES_tradnl" w:eastAsia="es-ES"/>
        </w:rPr>
        <w:t>ía cue</w:t>
      </w:r>
      <w:r w:rsidR="006E47F8" w:rsidRPr="00422273">
        <w:rPr>
          <w:rFonts w:ascii="Palatino Linotype" w:eastAsiaTheme="minorEastAsia" w:hAnsi="Palatino Linotype"/>
          <w:lang w:val="es-ES_tradnl" w:eastAsia="es-ES"/>
        </w:rPr>
        <w:t>nta con turnos laborales diversos atendiendo en todo momento a las necesidades del servicio, acatando la normatividad señalada:</w:t>
      </w:r>
    </w:p>
    <w:p w:rsidR="00B33A95" w:rsidRPr="00422273" w:rsidRDefault="00B33A95" w:rsidP="00B54731">
      <w:pPr>
        <w:spacing w:line="360" w:lineRule="auto"/>
        <w:ind w:right="49"/>
        <w:contextualSpacing/>
        <w:jc w:val="both"/>
        <w:rPr>
          <w:rFonts w:ascii="Palatino Linotype" w:eastAsiaTheme="minorEastAsia" w:hAnsi="Palatino Linotype"/>
          <w:lang w:val="es-ES_tradnl" w:eastAsia="es-ES"/>
        </w:rPr>
      </w:pPr>
    </w:p>
    <w:p w:rsidR="006E47F8" w:rsidRPr="00422273" w:rsidRDefault="006E47F8" w:rsidP="00B54731">
      <w:pPr>
        <w:spacing w:line="360" w:lineRule="auto"/>
        <w:ind w:right="49"/>
        <w:contextualSpacing/>
        <w:jc w:val="center"/>
        <w:rPr>
          <w:rFonts w:ascii="Palatino Linotype" w:eastAsiaTheme="minorEastAsia" w:hAnsi="Palatino Linotype"/>
          <w:lang w:val="es-ES_tradnl" w:eastAsia="es-ES"/>
        </w:rPr>
      </w:pPr>
      <w:r w:rsidRPr="00422273">
        <w:rPr>
          <w:rFonts w:ascii="Palatino Linotype" w:hAnsi="Palatino Linotype"/>
          <w:noProof/>
          <w:lang w:val="es-ES" w:eastAsia="es-ES"/>
        </w:rPr>
        <w:drawing>
          <wp:inline distT="0" distB="0" distL="0" distR="0" wp14:anchorId="3B049561" wp14:editId="403EF4C9">
            <wp:extent cx="4705350" cy="403697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64" t="17691" r="36145" b="37783"/>
                    <a:stretch/>
                  </pic:blipFill>
                  <pic:spPr bwMode="auto">
                    <a:xfrm>
                      <a:off x="0" y="0"/>
                      <a:ext cx="4711774" cy="4042487"/>
                    </a:xfrm>
                    <a:prstGeom prst="rect">
                      <a:avLst/>
                    </a:prstGeom>
                    <a:ln>
                      <a:noFill/>
                    </a:ln>
                    <a:extLst>
                      <a:ext uri="{53640926-AAD7-44D8-BBD7-CCE9431645EC}">
                        <a14:shadowObscured xmlns:a14="http://schemas.microsoft.com/office/drawing/2010/main"/>
                      </a:ext>
                    </a:extLst>
                  </pic:spPr>
                </pic:pic>
              </a:graphicData>
            </a:graphic>
          </wp:inline>
        </w:drawing>
      </w:r>
    </w:p>
    <w:p w:rsidR="006E47F8" w:rsidRPr="00422273" w:rsidRDefault="006E47F8" w:rsidP="00B54731">
      <w:pPr>
        <w:spacing w:line="360" w:lineRule="auto"/>
        <w:ind w:right="49"/>
        <w:contextualSpacing/>
        <w:jc w:val="center"/>
        <w:rPr>
          <w:rFonts w:ascii="Palatino Linotype" w:eastAsiaTheme="minorEastAsia" w:hAnsi="Palatino Linotype"/>
          <w:lang w:val="es-ES_tradnl" w:eastAsia="es-ES"/>
        </w:rPr>
      </w:pPr>
      <w:r w:rsidRPr="00422273">
        <w:rPr>
          <w:rFonts w:ascii="Palatino Linotype" w:hAnsi="Palatino Linotype"/>
          <w:noProof/>
          <w:lang w:val="es-ES" w:eastAsia="es-ES"/>
        </w:rPr>
        <w:drawing>
          <wp:inline distT="0" distB="0" distL="0" distR="0" wp14:anchorId="6F7AF17F" wp14:editId="575DCF7D">
            <wp:extent cx="5166995" cy="5428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95" t="37629" r="35980" b="56948"/>
                    <a:stretch/>
                  </pic:blipFill>
                  <pic:spPr bwMode="auto">
                    <a:xfrm>
                      <a:off x="0" y="0"/>
                      <a:ext cx="5182286" cy="544495"/>
                    </a:xfrm>
                    <a:prstGeom prst="rect">
                      <a:avLst/>
                    </a:prstGeom>
                    <a:ln>
                      <a:noFill/>
                    </a:ln>
                    <a:extLst>
                      <a:ext uri="{53640926-AAD7-44D8-BBD7-CCE9431645EC}">
                        <a14:shadowObscured xmlns:a14="http://schemas.microsoft.com/office/drawing/2010/main"/>
                      </a:ext>
                    </a:extLst>
                  </pic:spPr>
                </pic:pic>
              </a:graphicData>
            </a:graphic>
          </wp:inline>
        </w:drawing>
      </w:r>
    </w:p>
    <w:p w:rsidR="00B33A95" w:rsidRPr="00422273" w:rsidRDefault="00B33A95" w:rsidP="00B54731">
      <w:pPr>
        <w:spacing w:line="360" w:lineRule="auto"/>
        <w:ind w:right="49"/>
        <w:contextualSpacing/>
        <w:jc w:val="center"/>
        <w:rPr>
          <w:rFonts w:ascii="Palatino Linotype" w:eastAsiaTheme="minorEastAsia" w:hAnsi="Palatino Linotype"/>
          <w:lang w:val="es-ES_tradnl" w:eastAsia="es-ES"/>
        </w:rPr>
      </w:pPr>
    </w:p>
    <w:p w:rsidR="0056293D" w:rsidRPr="00422273" w:rsidRDefault="00B33A95" w:rsidP="00B54731">
      <w:pPr>
        <w:pStyle w:val="Prrafodelista"/>
        <w:numPr>
          <w:ilvl w:val="0"/>
          <w:numId w:val="1"/>
        </w:numPr>
        <w:tabs>
          <w:tab w:val="left" w:pos="426"/>
        </w:tabs>
        <w:spacing w:line="360" w:lineRule="auto"/>
        <w:ind w:left="0" w:right="49" w:firstLine="0"/>
        <w:jc w:val="both"/>
        <w:rPr>
          <w:rFonts w:ascii="Palatino Linotype" w:eastAsia="MS Mincho" w:hAnsi="Palatino Linotype" w:cs="Arial"/>
          <w:sz w:val="24"/>
          <w:lang w:val="es-ES_tradnl" w:eastAsia="es-ES"/>
        </w:rPr>
      </w:pPr>
      <w:r w:rsidRPr="00422273">
        <w:rPr>
          <w:rFonts w:ascii="Palatino Linotype" w:eastAsiaTheme="minorEastAsia" w:hAnsi="Palatino Linotype"/>
          <w:sz w:val="24"/>
          <w:lang w:val="es-ES_tradnl" w:eastAsia="es-ES"/>
        </w:rPr>
        <w:t>En consecuencia, el partic</w:t>
      </w:r>
      <w:r w:rsidR="00144AA5" w:rsidRPr="00422273">
        <w:rPr>
          <w:rFonts w:ascii="Palatino Linotype" w:eastAsiaTheme="minorEastAsia" w:hAnsi="Palatino Linotype"/>
          <w:sz w:val="24"/>
          <w:lang w:val="es-ES_tradnl" w:eastAsia="es-ES"/>
        </w:rPr>
        <w:t>ular manifestó en sus motivos de inconformidad</w:t>
      </w:r>
      <w:r w:rsidR="0056293D" w:rsidRPr="00422273">
        <w:rPr>
          <w:rFonts w:ascii="Palatino Linotype" w:eastAsiaTheme="minorEastAsia" w:hAnsi="Palatino Linotype"/>
          <w:sz w:val="24"/>
          <w:lang w:val="es-ES_tradnl" w:eastAsia="es-ES"/>
        </w:rPr>
        <w:t xml:space="preserve"> que solicita horario de labor</w:t>
      </w:r>
      <w:r w:rsidR="00144AA5" w:rsidRPr="00422273">
        <w:rPr>
          <w:rFonts w:ascii="Palatino Linotype" w:eastAsiaTheme="minorEastAsia" w:hAnsi="Palatino Linotype"/>
          <w:sz w:val="24"/>
          <w:lang w:val="es-ES_tradnl" w:eastAsia="es-ES"/>
        </w:rPr>
        <w:t xml:space="preserve">es mediante digitalización de listas o tarjetas de asistencia </w:t>
      </w:r>
      <w:r w:rsidR="00144AA5" w:rsidRPr="00422273">
        <w:rPr>
          <w:rFonts w:ascii="Palatino Linotype" w:eastAsiaTheme="minorEastAsia" w:hAnsi="Palatino Linotype"/>
          <w:sz w:val="24"/>
          <w:lang w:val="es-ES_tradnl" w:eastAsia="es-ES"/>
        </w:rPr>
        <w:lastRenderedPageBreak/>
        <w:t xml:space="preserve">correspondientes al año en curso; en este caso, cabe señalar </w:t>
      </w:r>
      <w:r w:rsidR="0056293D" w:rsidRPr="00422273">
        <w:rPr>
          <w:rFonts w:ascii="Palatino Linotype" w:eastAsiaTheme="minorEastAsia" w:hAnsi="Palatino Linotype"/>
          <w:sz w:val="24"/>
          <w:lang w:val="es-ES_tradnl" w:eastAsia="es-ES"/>
        </w:rPr>
        <w:t xml:space="preserve">que </w:t>
      </w:r>
      <w:r w:rsidR="0056293D" w:rsidRPr="00422273">
        <w:rPr>
          <w:rFonts w:ascii="Palatino Linotype" w:eastAsia="MS Mincho" w:hAnsi="Palatino Linotype"/>
          <w:color w:val="000000"/>
          <w:sz w:val="24"/>
          <w:lang w:val="es-ES_tradnl" w:eastAsia="es-ES"/>
        </w:rPr>
        <w:t>los motivos de inconformidad  resultan ser una ampliación a lo que inicialmente solicitó el RECURRENTE en su solicitud de información primigenia</w:t>
      </w:r>
      <w:r w:rsidR="0056293D" w:rsidRPr="00422273">
        <w:rPr>
          <w:rFonts w:ascii="Palatino Linotype" w:hAnsi="Palatino Linotype" w:cs="Arial"/>
          <w:color w:val="000000"/>
          <w:sz w:val="24"/>
          <w:lang w:val="es-ES" w:eastAsia="es-ES"/>
        </w:rPr>
        <w:t xml:space="preserve">; lo anterior se entiende como una </w:t>
      </w:r>
      <w:r w:rsidR="0056293D" w:rsidRPr="00422273">
        <w:rPr>
          <w:rFonts w:ascii="Palatino Linotype" w:hAnsi="Palatino Linotype" w:cs="Arial"/>
          <w:b/>
          <w:bCs/>
          <w:i/>
          <w:iCs/>
          <w:color w:val="000000"/>
          <w:sz w:val="24"/>
          <w:lang w:val="es-ES" w:eastAsia="es-ES"/>
        </w:rPr>
        <w:t xml:space="preserve">Plus </w:t>
      </w:r>
      <w:proofErr w:type="spellStart"/>
      <w:r w:rsidR="0056293D" w:rsidRPr="00422273">
        <w:rPr>
          <w:rFonts w:ascii="Palatino Linotype" w:hAnsi="Palatino Linotype" w:cs="Arial"/>
          <w:b/>
          <w:bCs/>
          <w:i/>
          <w:iCs/>
          <w:color w:val="000000"/>
          <w:sz w:val="24"/>
          <w:lang w:val="es-ES" w:eastAsia="es-ES"/>
        </w:rPr>
        <w:t>Petitio</w:t>
      </w:r>
      <w:proofErr w:type="spellEnd"/>
      <w:r w:rsidR="0056293D" w:rsidRPr="00422273">
        <w:rPr>
          <w:rFonts w:ascii="Palatino Linotype" w:hAnsi="Palatino Linotype" w:cs="Arial"/>
          <w:b/>
          <w:bCs/>
          <w:i/>
          <w:iCs/>
          <w:color w:val="000000"/>
          <w:sz w:val="24"/>
          <w:lang w:val="es-ES" w:eastAsia="es-ES"/>
        </w:rPr>
        <w:t xml:space="preserve"> </w:t>
      </w:r>
      <w:r w:rsidR="0056293D" w:rsidRPr="00422273">
        <w:rPr>
          <w:rFonts w:ascii="Palatino Linotype" w:hAnsi="Palatino Linotype" w:cs="Arial"/>
          <w:color w:val="000000"/>
          <w:sz w:val="24"/>
          <w:lang w:val="es-ES" w:eastAsia="es-ES"/>
        </w:rPr>
        <w:t>a su solicitud inicial que no puede abordarse</w:t>
      </w:r>
      <w:r w:rsidR="0056293D" w:rsidRPr="00422273">
        <w:rPr>
          <w:rFonts w:ascii="Palatino Linotype" w:hAnsi="Palatino Linotype" w:cs="Arial"/>
          <w:i/>
          <w:iCs/>
          <w:color w:val="000000"/>
          <w:sz w:val="24"/>
          <w:lang w:val="es-ES" w:eastAsia="es-ES"/>
        </w:rPr>
        <w:t>.</w:t>
      </w:r>
    </w:p>
    <w:p w:rsidR="00BE1ECC" w:rsidRPr="00422273" w:rsidRDefault="00BE1ECC" w:rsidP="00BE1ECC">
      <w:pPr>
        <w:pStyle w:val="Prrafodelista"/>
        <w:tabs>
          <w:tab w:val="left" w:pos="426"/>
        </w:tabs>
        <w:spacing w:line="360" w:lineRule="auto"/>
        <w:ind w:left="0" w:right="49"/>
        <w:jc w:val="both"/>
        <w:rPr>
          <w:rFonts w:ascii="Palatino Linotype" w:eastAsia="MS Mincho" w:hAnsi="Palatino Linotype" w:cs="Arial"/>
          <w:sz w:val="24"/>
          <w:lang w:val="es-ES_tradnl" w:eastAsia="es-ES"/>
        </w:rPr>
      </w:pPr>
    </w:p>
    <w:p w:rsidR="0056293D" w:rsidRPr="00422273" w:rsidRDefault="0056293D" w:rsidP="00B54731">
      <w:pPr>
        <w:numPr>
          <w:ilvl w:val="0"/>
          <w:numId w:val="1"/>
        </w:numPr>
        <w:tabs>
          <w:tab w:val="left" w:pos="426"/>
        </w:tabs>
        <w:spacing w:line="360" w:lineRule="auto"/>
        <w:ind w:left="0" w:right="51" w:firstLine="0"/>
        <w:contextualSpacing/>
        <w:jc w:val="both"/>
        <w:rPr>
          <w:rFonts w:ascii="Palatino Linotype" w:eastAsia="MS Mincho" w:hAnsi="Palatino Linotype"/>
          <w:color w:val="000000"/>
          <w:lang w:val="es-ES_tradnl" w:eastAsia="es-ES"/>
        </w:rPr>
      </w:pPr>
      <w:r w:rsidRPr="00422273">
        <w:rPr>
          <w:rFonts w:ascii="Palatino Linotype" w:eastAsia="MS Mincho" w:hAnsi="Palatino Linotype"/>
          <w:color w:val="000000"/>
          <w:lang w:val="es-ES_tradnl" w:eastAsia="es-ES"/>
        </w:rPr>
        <w:t xml:space="preserve">Como </w:t>
      </w:r>
      <w:r w:rsidRPr="00422273">
        <w:rPr>
          <w:rFonts w:ascii="Palatino Linotype" w:eastAsia="MS Mincho" w:hAnsi="Palatino Linotype" w:cs="Arial"/>
          <w:lang w:val="es-ES_tradnl" w:eastAsia="es-ES"/>
        </w:rPr>
        <w:t xml:space="preserve">sustento de lo anterior, </w:t>
      </w:r>
      <w:r w:rsidRPr="00422273">
        <w:rPr>
          <w:rFonts w:ascii="Palatino Linotype" w:hAnsi="Palatino Linotype" w:cs="Arial"/>
          <w:color w:val="000000"/>
          <w:lang w:val="es-ES" w:eastAsia="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56293D" w:rsidRPr="00422273" w:rsidRDefault="0056293D" w:rsidP="00B54731">
      <w:pPr>
        <w:tabs>
          <w:tab w:val="left" w:pos="426"/>
        </w:tabs>
        <w:spacing w:line="360" w:lineRule="auto"/>
        <w:ind w:right="51"/>
        <w:contextualSpacing/>
        <w:jc w:val="both"/>
        <w:rPr>
          <w:rFonts w:ascii="Palatino Linotype" w:eastAsia="MS Mincho" w:hAnsi="Palatino Linotype"/>
          <w:color w:val="000000"/>
          <w:lang w:val="es-ES_tradnl" w:eastAsia="es-ES"/>
        </w:rPr>
      </w:pPr>
    </w:p>
    <w:p w:rsidR="0056293D" w:rsidRPr="00422273" w:rsidRDefault="0056293D" w:rsidP="00B54731">
      <w:pPr>
        <w:spacing w:line="360" w:lineRule="auto"/>
        <w:ind w:left="567" w:right="567"/>
        <w:jc w:val="both"/>
        <w:rPr>
          <w:rFonts w:ascii="Palatino Linotype" w:eastAsia="MS Mincho" w:hAnsi="Palatino Linotype"/>
          <w:i/>
          <w:sz w:val="22"/>
          <w:lang w:val="es-ES" w:eastAsia="es-ES"/>
        </w:rPr>
      </w:pPr>
      <w:r w:rsidRPr="00422273">
        <w:rPr>
          <w:rFonts w:ascii="Palatino Linotype" w:eastAsia="MS Mincho" w:hAnsi="Palatino Linotype"/>
          <w:b/>
          <w:i/>
          <w:sz w:val="22"/>
          <w:lang w:val="es-ES" w:eastAsia="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422273">
        <w:rPr>
          <w:rFonts w:ascii="Palatino Linotype" w:eastAsia="MS Mincho" w:hAnsi="Palatino Linotype"/>
          <w:i/>
          <w:sz w:val="22"/>
          <w:lang w:val="es-ES" w:eastAsia="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w:t>
      </w:r>
      <w:r w:rsidRPr="00422273">
        <w:rPr>
          <w:rFonts w:ascii="Palatino Linotype" w:eastAsia="MS Mincho" w:hAnsi="Palatino Linotype"/>
          <w:i/>
          <w:sz w:val="22"/>
          <w:lang w:val="es-ES" w:eastAsia="es-ES"/>
        </w:rPr>
        <w:lastRenderedPageBreak/>
        <w:t>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56293D" w:rsidRPr="00422273" w:rsidRDefault="0056293D" w:rsidP="00B54731">
      <w:pPr>
        <w:tabs>
          <w:tab w:val="left" w:pos="426"/>
        </w:tabs>
        <w:spacing w:line="360" w:lineRule="auto"/>
        <w:ind w:right="51"/>
        <w:contextualSpacing/>
        <w:jc w:val="both"/>
        <w:rPr>
          <w:rFonts w:ascii="Palatino Linotype" w:eastAsia="MS Mincho" w:hAnsi="Palatino Linotype"/>
          <w:color w:val="000000"/>
          <w:lang w:val="es-ES_tradnl" w:eastAsia="es-ES"/>
        </w:rPr>
      </w:pPr>
    </w:p>
    <w:p w:rsidR="0056293D" w:rsidRPr="00422273" w:rsidRDefault="0056293D" w:rsidP="00B54731">
      <w:pPr>
        <w:numPr>
          <w:ilvl w:val="0"/>
          <w:numId w:val="1"/>
        </w:numPr>
        <w:tabs>
          <w:tab w:val="left" w:pos="426"/>
        </w:tabs>
        <w:spacing w:line="360" w:lineRule="auto"/>
        <w:ind w:left="0" w:right="51" w:firstLine="0"/>
        <w:contextualSpacing/>
        <w:jc w:val="both"/>
        <w:rPr>
          <w:rFonts w:ascii="Palatino Linotype" w:eastAsia="MS Mincho" w:hAnsi="Palatino Linotype"/>
          <w:color w:val="000000"/>
          <w:lang w:val="es-ES_tradnl" w:eastAsia="es-ES"/>
        </w:rPr>
      </w:pPr>
      <w:r w:rsidRPr="00422273">
        <w:rPr>
          <w:rFonts w:ascii="Palatino Linotype" w:eastAsia="MS Mincho" w:hAnsi="Palatino Linotype" w:cs="Arial"/>
          <w:lang w:val="es-ES_tradnl" w:eastAsia="es-ES"/>
        </w:rPr>
        <w:t xml:space="preserve">Asimismo, </w:t>
      </w:r>
      <w:r w:rsidRPr="00422273">
        <w:rPr>
          <w:rFonts w:ascii="Palatino Linotype" w:eastAsia="MS Mincho" w:hAnsi="Palatino Linotype"/>
          <w:color w:val="000000"/>
          <w:lang w:val="es-ES_tradnl" w:eastAsia="es-ES"/>
        </w:rPr>
        <w:t xml:space="preserve">ha sido criterio del Instituto Nacional de Transparencia, Acceso a la Información y Protección de Datos Personales </w:t>
      </w:r>
      <w:r w:rsidRPr="00422273">
        <w:rPr>
          <w:rFonts w:ascii="Palatino Linotype" w:hAnsi="Palatino Linotype" w:cs="Arial"/>
          <w:color w:val="000000"/>
          <w:lang w:val="es-ES" w:eastAsia="es-ES"/>
        </w:rPr>
        <w:t xml:space="preserve">bajo el número 27/10 que </w:t>
      </w:r>
      <w:r w:rsidRPr="00422273">
        <w:rPr>
          <w:rFonts w:ascii="Palatino Linotype" w:hAnsi="Palatino Linotype" w:cs="Arial"/>
          <w:b/>
          <w:color w:val="000000"/>
          <w:lang w:val="es-ES" w:eastAsia="es-ES"/>
        </w:rPr>
        <w:t>resulta improcedente ampliar las solicitudes de información pública o de datos personales a través de la interposición del recurso de revisión</w:t>
      </w:r>
      <w:r w:rsidRPr="00422273">
        <w:rPr>
          <w:rFonts w:ascii="Palatino Linotype" w:hAnsi="Palatino Linotype" w:cs="Arial"/>
          <w:color w:val="000000"/>
          <w:lang w:val="es-ES" w:eastAsia="es-ES"/>
        </w:rPr>
        <w:t>, como se estima acontece en el presente asunto, al aumentar datos a la solicitud inicial, por lo que, se insiste, no se puede entrar al estudio de la información novedosa, criterio que es de la literalidad siguiente:</w:t>
      </w:r>
    </w:p>
    <w:p w:rsidR="0056293D" w:rsidRPr="00422273" w:rsidRDefault="0056293D" w:rsidP="00B54731">
      <w:pPr>
        <w:tabs>
          <w:tab w:val="left" w:pos="426"/>
        </w:tabs>
        <w:spacing w:line="360" w:lineRule="auto"/>
        <w:ind w:right="51"/>
        <w:contextualSpacing/>
        <w:jc w:val="both"/>
        <w:rPr>
          <w:rFonts w:ascii="Palatino Linotype" w:eastAsia="MS Mincho" w:hAnsi="Palatino Linotype"/>
          <w:color w:val="000000"/>
          <w:lang w:val="es-ES_tradnl" w:eastAsia="es-ES"/>
        </w:rPr>
      </w:pPr>
    </w:p>
    <w:p w:rsidR="0056293D" w:rsidRPr="00422273" w:rsidRDefault="0056293D" w:rsidP="00B54731">
      <w:pPr>
        <w:spacing w:line="360" w:lineRule="auto"/>
        <w:ind w:left="567" w:right="567"/>
        <w:jc w:val="both"/>
        <w:rPr>
          <w:rFonts w:ascii="Palatino Linotype" w:eastAsia="MS Mincho" w:hAnsi="Palatino Linotype"/>
          <w:i/>
          <w:sz w:val="22"/>
          <w:lang w:val="es-ES" w:eastAsia="es-ES"/>
        </w:rPr>
      </w:pPr>
      <w:r w:rsidRPr="00422273">
        <w:rPr>
          <w:rFonts w:ascii="Palatino Linotype" w:eastAsia="MS Mincho" w:hAnsi="Palatino Linotype"/>
          <w:b/>
          <w:bCs/>
          <w:i/>
          <w:sz w:val="22"/>
          <w:lang w:val="es-ES" w:eastAsia="es-ES"/>
        </w:rPr>
        <w:t>ES IMPROCEDENTE AMPLIAR LAS SOLICITUDES DE ACCESO A INFORMACIÓN PÚBLICA O DATOS PERSONALES, A TRAVÉS DE LA INTERPOSICIÓN DEL RECURSO DE REVISIÓN.</w:t>
      </w:r>
      <w:r w:rsidRPr="00422273">
        <w:rPr>
          <w:rFonts w:ascii="Palatino Linotype" w:eastAsia="MS Mincho" w:hAnsi="Palatino Linotype"/>
          <w:i/>
          <w:sz w:val="22"/>
          <w:lang w:val="es-ES" w:eastAsia="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56293D" w:rsidRPr="00422273" w:rsidRDefault="0056293D" w:rsidP="00B54731">
      <w:pPr>
        <w:spacing w:line="360" w:lineRule="auto"/>
        <w:ind w:left="567" w:right="567"/>
        <w:jc w:val="both"/>
        <w:rPr>
          <w:rFonts w:ascii="Palatino Linotype" w:eastAsia="MS Mincho" w:hAnsi="Palatino Linotype"/>
          <w:i/>
          <w:sz w:val="22"/>
          <w:lang w:val="es-ES" w:eastAsia="es-ES"/>
        </w:rPr>
      </w:pPr>
    </w:p>
    <w:p w:rsidR="00337A78" w:rsidRPr="00422273" w:rsidRDefault="0056293D"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Así entonces, con la respuesta emitida por el Sujeto Obligado sobre las horas de labores, se colma con el derecho de acceso a la información pública.</w:t>
      </w:r>
    </w:p>
    <w:p w:rsidR="00355639" w:rsidRPr="00422273" w:rsidRDefault="0056293D"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lastRenderedPageBreak/>
        <w:t>Por otra parte, respecto</w:t>
      </w:r>
      <w:r w:rsidR="005A72B6" w:rsidRPr="00422273">
        <w:rPr>
          <w:rFonts w:ascii="Palatino Linotype" w:eastAsiaTheme="minorEastAsia" w:hAnsi="Palatino Linotype"/>
          <w:lang w:val="es-ES_tradnl" w:eastAsia="es-ES"/>
        </w:rPr>
        <w:t xml:space="preserve"> de la solicitud del particular para conocer si</w:t>
      </w:r>
      <w:r w:rsidRPr="00422273">
        <w:rPr>
          <w:rFonts w:ascii="Palatino Linotype" w:eastAsiaTheme="minorEastAsia" w:hAnsi="Palatino Linotype"/>
          <w:lang w:val="es-ES_tradnl" w:eastAsia="es-ES"/>
        </w:rPr>
        <w:t xml:space="preserve"> el servidor público</w:t>
      </w:r>
      <w:r w:rsidR="005A72B6" w:rsidRPr="00422273">
        <w:rPr>
          <w:rFonts w:ascii="Palatino Linotype" w:eastAsiaTheme="minorEastAsia" w:hAnsi="Palatino Linotype"/>
          <w:lang w:val="es-ES_tradnl" w:eastAsia="es-ES"/>
        </w:rPr>
        <w:t>,</w:t>
      </w:r>
      <w:r w:rsidRPr="00422273">
        <w:rPr>
          <w:rFonts w:ascii="Palatino Linotype" w:eastAsiaTheme="minorEastAsia" w:hAnsi="Palatino Linotype"/>
          <w:lang w:val="es-ES_tradnl" w:eastAsia="es-ES"/>
        </w:rPr>
        <w:t xml:space="preserve"> de quien se solicita información</w:t>
      </w:r>
      <w:r w:rsidR="005A72B6" w:rsidRPr="00422273">
        <w:rPr>
          <w:rFonts w:ascii="Palatino Linotype" w:eastAsiaTheme="minorEastAsia" w:hAnsi="Palatino Linotype"/>
          <w:lang w:val="es-ES_tradnl" w:eastAsia="es-ES"/>
        </w:rPr>
        <w:t>,</w:t>
      </w:r>
      <w:r w:rsidRPr="00422273">
        <w:rPr>
          <w:rFonts w:ascii="Palatino Linotype" w:eastAsiaTheme="minorEastAsia" w:hAnsi="Palatino Linotype"/>
          <w:lang w:val="es-ES_tradnl" w:eastAsia="es-ES"/>
        </w:rPr>
        <w:t xml:space="preserve"> </w:t>
      </w:r>
      <w:proofErr w:type="spellStart"/>
      <w:r w:rsidRPr="00422273">
        <w:rPr>
          <w:rFonts w:ascii="Palatino Linotype" w:eastAsiaTheme="minorEastAsia" w:hAnsi="Palatino Linotype"/>
          <w:lang w:val="es-ES_tradnl" w:eastAsia="es-ES"/>
        </w:rPr>
        <w:t>a</w:t>
      </w:r>
      <w:proofErr w:type="spellEnd"/>
      <w:r w:rsidRPr="00422273">
        <w:rPr>
          <w:rFonts w:ascii="Palatino Linotype" w:eastAsiaTheme="minorEastAsia" w:hAnsi="Palatino Linotype"/>
          <w:lang w:val="es-ES_tradnl" w:eastAsia="es-ES"/>
        </w:rPr>
        <w:t xml:space="preserve"> estado sujeto a alguna responsabilidad administrativa o algún tipo de controversia durante su tiempo de lab</w:t>
      </w:r>
      <w:r w:rsidR="009A018E" w:rsidRPr="00422273">
        <w:rPr>
          <w:rFonts w:ascii="Palatino Linotype" w:eastAsiaTheme="minorEastAsia" w:hAnsi="Palatino Linotype"/>
          <w:lang w:val="es-ES_tradnl" w:eastAsia="es-ES"/>
        </w:rPr>
        <w:t>ores, el Sujeto Obligado declinó</w:t>
      </w:r>
      <w:r w:rsidRPr="00422273">
        <w:rPr>
          <w:rFonts w:ascii="Palatino Linotype" w:eastAsiaTheme="minorEastAsia" w:hAnsi="Palatino Linotype"/>
          <w:lang w:val="es-ES_tradnl" w:eastAsia="es-ES"/>
        </w:rPr>
        <w:t xml:space="preserve"> su competencia, manifestando que corresponde </w:t>
      </w:r>
      <w:r w:rsidR="009A018E" w:rsidRPr="00422273">
        <w:rPr>
          <w:rFonts w:ascii="Palatino Linotype" w:eastAsiaTheme="minorEastAsia" w:hAnsi="Palatino Linotype"/>
          <w:lang w:val="es-ES_tradnl" w:eastAsia="es-ES"/>
        </w:rPr>
        <w:t xml:space="preserve">a la Secretaría de la Contraloría del Estado de México la vigilancia de la responsabilidad de los servidores </w:t>
      </w:r>
      <w:r w:rsidR="00851629" w:rsidRPr="00422273">
        <w:rPr>
          <w:rFonts w:ascii="Palatino Linotype" w:eastAsiaTheme="minorEastAsia" w:hAnsi="Palatino Linotype"/>
          <w:lang w:val="es-ES_tradnl" w:eastAsia="es-ES"/>
        </w:rPr>
        <w:t xml:space="preserve">públicos, </w:t>
      </w:r>
      <w:r w:rsidR="005A72B6" w:rsidRPr="00422273">
        <w:rPr>
          <w:rFonts w:ascii="Palatino Linotype" w:eastAsiaTheme="minorEastAsia" w:hAnsi="Palatino Linotype"/>
          <w:lang w:val="es-ES_tradnl" w:eastAsia="es-ES"/>
        </w:rPr>
        <w:t>como lo señaló con los preceptos legales contenidos en la Ley Orgánica de la Administración Pública y el Reglamento Interior de la Secretaría de la Contraloría:</w:t>
      </w:r>
    </w:p>
    <w:p w:rsidR="005A72B6" w:rsidRPr="00422273" w:rsidRDefault="005A72B6" w:rsidP="00B54731">
      <w:pPr>
        <w:spacing w:line="360" w:lineRule="auto"/>
        <w:ind w:right="49"/>
        <w:contextualSpacing/>
        <w:jc w:val="both"/>
        <w:rPr>
          <w:rFonts w:ascii="Palatino Linotype" w:eastAsiaTheme="minorEastAsia" w:hAnsi="Palatino Linotype"/>
          <w:lang w:val="es-ES_tradnl" w:eastAsia="es-ES"/>
        </w:rPr>
      </w:pPr>
    </w:p>
    <w:p w:rsidR="005A72B6" w:rsidRPr="00422273" w:rsidRDefault="005A72B6" w:rsidP="00B54731">
      <w:pPr>
        <w:spacing w:line="360" w:lineRule="auto"/>
        <w:ind w:right="49"/>
        <w:contextualSpacing/>
        <w:jc w:val="center"/>
        <w:rPr>
          <w:rFonts w:ascii="Palatino Linotype" w:eastAsiaTheme="minorEastAsia" w:hAnsi="Palatino Linotype"/>
          <w:lang w:val="es-ES_tradnl" w:eastAsia="es-ES"/>
        </w:rPr>
      </w:pPr>
      <w:r w:rsidRPr="00422273">
        <w:rPr>
          <w:rFonts w:ascii="Palatino Linotype" w:hAnsi="Palatino Linotype"/>
          <w:noProof/>
          <w:lang w:val="es-ES" w:eastAsia="es-ES"/>
        </w:rPr>
        <w:drawing>
          <wp:inline distT="0" distB="0" distL="0" distR="0" wp14:anchorId="66535CD1" wp14:editId="102F8E7D">
            <wp:extent cx="4838567" cy="463867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557" t="21820" r="10770" b="22490"/>
                    <a:stretch/>
                  </pic:blipFill>
                  <pic:spPr bwMode="auto">
                    <a:xfrm>
                      <a:off x="0" y="0"/>
                      <a:ext cx="4843156" cy="4643074"/>
                    </a:xfrm>
                    <a:prstGeom prst="rect">
                      <a:avLst/>
                    </a:prstGeom>
                    <a:ln>
                      <a:noFill/>
                    </a:ln>
                    <a:extLst>
                      <a:ext uri="{53640926-AAD7-44D8-BBD7-CCE9431645EC}">
                        <a14:shadowObscured xmlns:a14="http://schemas.microsoft.com/office/drawing/2010/main"/>
                      </a:ext>
                    </a:extLst>
                  </pic:spPr>
                </pic:pic>
              </a:graphicData>
            </a:graphic>
          </wp:inline>
        </w:drawing>
      </w:r>
    </w:p>
    <w:p w:rsidR="005A72B6" w:rsidRPr="00422273" w:rsidRDefault="005A72B6" w:rsidP="00B54731">
      <w:pPr>
        <w:spacing w:line="360" w:lineRule="auto"/>
        <w:ind w:right="49"/>
        <w:contextualSpacing/>
        <w:jc w:val="center"/>
        <w:rPr>
          <w:rFonts w:ascii="Palatino Linotype" w:eastAsiaTheme="minorEastAsia" w:hAnsi="Palatino Linotype"/>
          <w:lang w:val="es-ES_tradnl" w:eastAsia="es-ES"/>
        </w:rPr>
      </w:pPr>
    </w:p>
    <w:p w:rsidR="005A72B6" w:rsidRPr="00422273" w:rsidRDefault="005A72B6" w:rsidP="00B54731">
      <w:pPr>
        <w:spacing w:line="360" w:lineRule="auto"/>
        <w:ind w:right="49"/>
        <w:contextualSpacing/>
        <w:jc w:val="center"/>
        <w:rPr>
          <w:rFonts w:ascii="Palatino Linotype" w:eastAsiaTheme="minorEastAsia" w:hAnsi="Palatino Linotype"/>
          <w:lang w:val="es-ES_tradnl" w:eastAsia="es-ES"/>
        </w:rPr>
      </w:pPr>
      <w:r w:rsidRPr="00422273">
        <w:rPr>
          <w:rFonts w:ascii="Palatino Linotype" w:hAnsi="Palatino Linotype"/>
          <w:noProof/>
          <w:lang w:val="es-ES" w:eastAsia="es-ES"/>
        </w:rPr>
        <w:lastRenderedPageBreak/>
        <w:drawing>
          <wp:inline distT="0" distB="0" distL="0" distR="0" wp14:anchorId="45EAC793" wp14:editId="4B9BC4B8">
            <wp:extent cx="4646371" cy="61150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215" t="15628" r="12925" b="16847"/>
                    <a:stretch/>
                  </pic:blipFill>
                  <pic:spPr bwMode="auto">
                    <a:xfrm>
                      <a:off x="0" y="0"/>
                      <a:ext cx="4669247" cy="6145157"/>
                    </a:xfrm>
                    <a:prstGeom prst="rect">
                      <a:avLst/>
                    </a:prstGeom>
                    <a:ln>
                      <a:noFill/>
                    </a:ln>
                    <a:extLst>
                      <a:ext uri="{53640926-AAD7-44D8-BBD7-CCE9431645EC}">
                        <a14:shadowObscured xmlns:a14="http://schemas.microsoft.com/office/drawing/2010/main"/>
                      </a:ext>
                    </a:extLst>
                  </pic:spPr>
                </pic:pic>
              </a:graphicData>
            </a:graphic>
          </wp:inline>
        </w:drawing>
      </w:r>
    </w:p>
    <w:p w:rsidR="005A72B6" w:rsidRPr="00422273" w:rsidRDefault="005A72B6" w:rsidP="00B54731">
      <w:pPr>
        <w:spacing w:line="360" w:lineRule="auto"/>
        <w:ind w:right="49"/>
        <w:contextualSpacing/>
        <w:jc w:val="center"/>
        <w:rPr>
          <w:rFonts w:ascii="Palatino Linotype" w:eastAsiaTheme="minorEastAsia" w:hAnsi="Palatino Linotype"/>
          <w:lang w:val="es-ES_tradnl" w:eastAsia="es-ES"/>
        </w:rPr>
      </w:pPr>
    </w:p>
    <w:p w:rsidR="00851629" w:rsidRPr="00422273" w:rsidRDefault="00851629"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Mediante el recurso de revisión, el RECURRENTE manifestó que se le informe si el servidor público cuenta con algún antecedente negativo ante su órgano interno de control o área competente.</w:t>
      </w: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lastRenderedPageBreak/>
        <w:t>Ahora bien, el derecho de acceso a la información encuentra su materia elemental en los documentos, y la Ley de Transparencia local  nos brinda el siguiente concepto, para darnos un mejor panorama:</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Además, debemos tomar en cuenta los artículos 4 y 12, de la Ley de Transparencia y Acceso a la Información Pública del Estado de México y Municipios, los cuales establecen lo siguiente:</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“Artículo 4. El derecho humano de acceso a la información pública es la prerrogativa de las personas para buscar, difundir, investigar, recabar, recibir y solicitar información pública, sin necesidad de acreditar personalidad ni interés jurídico.”</w:t>
      </w: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Los sujetos obligados deben poner en práctica, políticas y programas de acceso a la información que se apeguen a criterios de publicidad, veracidad, oportunidad, precisión y suficiencia en beneficio de los solicitantes.</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“Artículo 12. Quienes generen, recopilen, administren, manejen, procesen, archiven o conserven información pública serán responsables de la misma en los términos de las disposiciones jurídicas aplicables.”</w:t>
      </w:r>
    </w:p>
    <w:p w:rsidR="006A562C" w:rsidRPr="00422273" w:rsidRDefault="006A562C" w:rsidP="00B54731">
      <w:pPr>
        <w:spacing w:line="360" w:lineRule="auto"/>
        <w:ind w:right="49"/>
        <w:contextualSpacing/>
        <w:jc w:val="both"/>
        <w:rPr>
          <w:rFonts w:ascii="Palatino Linotype" w:eastAsiaTheme="minorEastAsia" w:hAnsi="Palatino Linotype"/>
          <w:i/>
          <w:sz w:val="22"/>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Es así que, por un lado se tiene la obligación de documentar todos los actos que se lleven a cabo en el ejercicio de sus funciones, atribuciones y competencias, mientras </w:t>
      </w:r>
      <w:r w:rsidRPr="00422273">
        <w:rPr>
          <w:rFonts w:ascii="Palatino Linotype" w:eastAsiaTheme="minorEastAsia" w:hAnsi="Palatino Linotype"/>
          <w:lang w:val="es-ES_tradnl" w:eastAsia="es-ES"/>
        </w:rPr>
        <w:lastRenderedPageBreak/>
        <w:t>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6A562C" w:rsidRPr="00422273" w:rsidRDefault="006A562C"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8B7861">
        <w:rPr>
          <w:rFonts w:ascii="Palatino Linotype" w:eastAsiaTheme="minorEastAsia" w:hAnsi="Palatino Linotype"/>
          <w:b/>
          <w:i/>
          <w:sz w:val="22"/>
          <w:lang w:val="es-ES_tradnl" w:eastAsia="es-ES"/>
        </w:rPr>
        <w:t>ACCESO A LA INFORMACIÓN. IMPLICACIÓN DEL PRINCIPIO DE MÁXIMA PUBLICIDAD EN EL DERECHO FUNDAMENTAL RELATIVO</w:t>
      </w:r>
      <w:r w:rsidRPr="00422273">
        <w:rPr>
          <w:rFonts w:ascii="Palatino Linotype" w:eastAsiaTheme="minorEastAsia" w:hAnsi="Palatino Linotype"/>
          <w:i/>
          <w:sz w:val="22"/>
          <w:lang w:val="es-ES_tradnl"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w:t>
      </w:r>
      <w:r w:rsidRPr="00422273">
        <w:rPr>
          <w:rFonts w:ascii="Palatino Linotype" w:eastAsiaTheme="minorEastAsia" w:hAnsi="Palatino Linotype"/>
          <w:i/>
          <w:sz w:val="22"/>
          <w:lang w:val="es-ES_tradnl" w:eastAsia="es-ES"/>
        </w:rPr>
        <w:lastRenderedPageBreak/>
        <w:t xml:space="preserve">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CUARTO TRIBUNAL COLEGIADO EN MATERIA ADMINISTRATIVA DEL PRIMER CIRCUITO. </w:t>
      </w: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Amparo en revisión 257/2012. Ruth Corona Muñoz. 6 de diciembre de 2012. Unanimidad de votos. Ponente: Jean Claude </w:t>
      </w:r>
      <w:proofErr w:type="spellStart"/>
      <w:r w:rsidRPr="00422273">
        <w:rPr>
          <w:rFonts w:ascii="Palatino Linotype" w:eastAsiaTheme="minorEastAsia" w:hAnsi="Palatino Linotype"/>
          <w:lang w:val="es-ES_tradnl" w:eastAsia="es-ES"/>
        </w:rPr>
        <w:t>Tron</w:t>
      </w:r>
      <w:proofErr w:type="spellEnd"/>
      <w:r w:rsidRPr="00422273">
        <w:rPr>
          <w:rFonts w:ascii="Palatino Linotype" w:eastAsiaTheme="minorEastAsia" w:hAnsi="Palatino Linotype"/>
          <w:lang w:val="es-ES_tradnl" w:eastAsia="es-ES"/>
        </w:rPr>
        <w:t xml:space="preserve"> </w:t>
      </w:r>
      <w:proofErr w:type="spellStart"/>
      <w:r w:rsidRPr="00422273">
        <w:rPr>
          <w:rFonts w:ascii="Palatino Linotype" w:eastAsiaTheme="minorEastAsia" w:hAnsi="Palatino Linotype"/>
          <w:lang w:val="es-ES_tradnl" w:eastAsia="es-ES"/>
        </w:rPr>
        <w:t>Petit</w:t>
      </w:r>
      <w:proofErr w:type="spellEnd"/>
      <w:r w:rsidRPr="00422273">
        <w:rPr>
          <w:rFonts w:ascii="Palatino Linotype" w:eastAsiaTheme="minorEastAsia" w:hAnsi="Palatino Linotype"/>
          <w:lang w:val="es-ES_tradnl" w:eastAsia="es-ES"/>
        </w:rPr>
        <w:t>. Secretaria: Mayra Susana Martínez López.</w:t>
      </w: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p>
    <w:p w:rsidR="00851629" w:rsidRPr="00422273" w:rsidRDefault="00851629"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Luego entonces, el </w:t>
      </w:r>
      <w:r w:rsidRPr="00422273">
        <w:rPr>
          <w:rFonts w:ascii="Palatino Linotype" w:eastAsiaTheme="minorEastAsia" w:hAnsi="Palatino Linotype"/>
          <w:b/>
          <w:lang w:val="es-ES_tradnl" w:eastAsia="es-ES"/>
        </w:rPr>
        <w:t>SUJETO OBLIGADO</w:t>
      </w:r>
      <w:r w:rsidRPr="00422273">
        <w:rPr>
          <w:rFonts w:ascii="Palatino Linotype" w:eastAsiaTheme="minorEastAsia" w:hAnsi="Palatino Linotype"/>
          <w:lang w:val="es-ES_tradnl" w:eastAsia="es-ES"/>
        </w:rPr>
        <w:t xml:space="preserve"> deberá llevar a cabo una búsqueda en los archivos de las unidades administrativas que de acuerdo a sus funciones y competencias poseen y administran el soporte documental relativo a </w:t>
      </w:r>
      <w:r w:rsidR="00002EBC">
        <w:rPr>
          <w:rFonts w:ascii="Palatino Linotype" w:eastAsiaTheme="minorEastAsia" w:hAnsi="Palatino Linotype"/>
          <w:lang w:val="es-ES_tradnl" w:eastAsia="es-ES"/>
        </w:rPr>
        <w:t>responsabilidades administrativas por faltas graves.</w:t>
      </w:r>
    </w:p>
    <w:p w:rsidR="00851629" w:rsidRPr="00422273" w:rsidRDefault="00851629" w:rsidP="00B54731">
      <w:pPr>
        <w:spacing w:line="360" w:lineRule="auto"/>
        <w:ind w:right="49"/>
        <w:contextualSpacing/>
        <w:jc w:val="both"/>
        <w:rPr>
          <w:rFonts w:ascii="Palatino Linotype" w:eastAsiaTheme="minorEastAsia" w:hAnsi="Palatino Linotype"/>
          <w:lang w:val="es-ES_tradnl" w:eastAsia="es-ES"/>
        </w:rPr>
      </w:pPr>
    </w:p>
    <w:p w:rsidR="006A562C" w:rsidRPr="00422273" w:rsidRDefault="00851629"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En esa directriz, es necesario traer a contexto el </w:t>
      </w:r>
      <w:r w:rsidR="006A562C" w:rsidRPr="00422273">
        <w:rPr>
          <w:rFonts w:ascii="Palatino Linotype" w:eastAsiaTheme="minorEastAsia" w:hAnsi="Palatino Linotype"/>
          <w:lang w:val="es-ES_tradnl" w:eastAsia="es-ES"/>
        </w:rPr>
        <w:t xml:space="preserve">Manual General de Organización de la Secretaría de Seguridad, </w:t>
      </w:r>
      <w:r w:rsidRPr="00422273">
        <w:rPr>
          <w:rFonts w:ascii="Palatino Linotype" w:eastAsiaTheme="minorEastAsia" w:hAnsi="Palatino Linotype"/>
          <w:lang w:val="es-ES_tradnl" w:eastAsia="es-ES"/>
        </w:rPr>
        <w:t>que señala que el</w:t>
      </w:r>
      <w:r w:rsidR="006A562C" w:rsidRPr="00422273">
        <w:rPr>
          <w:rFonts w:ascii="Palatino Linotype" w:eastAsiaTheme="minorEastAsia" w:hAnsi="Palatino Linotype"/>
          <w:lang w:val="es-ES_tradnl" w:eastAsia="es-ES"/>
        </w:rPr>
        <w:t xml:space="preserve"> Órgano Interno de Control de la </w:t>
      </w:r>
      <w:r w:rsidRPr="00422273">
        <w:rPr>
          <w:rFonts w:ascii="Palatino Linotype" w:eastAsiaTheme="minorEastAsia" w:hAnsi="Palatino Linotype"/>
          <w:lang w:val="es-ES_tradnl" w:eastAsia="es-ES"/>
        </w:rPr>
        <w:t>Secretaría tiene como objetivo c</w:t>
      </w:r>
      <w:r w:rsidR="006A562C" w:rsidRPr="00422273">
        <w:rPr>
          <w:rFonts w:ascii="Palatino Linotype" w:eastAsiaTheme="minorEastAsia" w:hAnsi="Palatino Linotype"/>
          <w:lang w:val="es-ES_tradnl" w:eastAsia="es-ES"/>
        </w:rPr>
        <w:t xml:space="preserve">oordinar, dirigir y vigilar las acciones de control y evaluación establecidas por la Secretaría de la Contraloría en materia de </w:t>
      </w:r>
      <w:r w:rsidR="006A562C" w:rsidRPr="00422273">
        <w:rPr>
          <w:rFonts w:ascii="Palatino Linotype" w:eastAsiaTheme="minorEastAsia" w:hAnsi="Palatino Linotype"/>
          <w:lang w:val="es-ES_tradnl" w:eastAsia="es-ES"/>
        </w:rPr>
        <w:lastRenderedPageBreak/>
        <w:t>auditoría, mejora de procesos, atención de denuncias, tramitación de procedimientos administrativos disciplinarios e inconformidades</w:t>
      </w:r>
      <w:r w:rsidRPr="00422273">
        <w:rPr>
          <w:rFonts w:ascii="Palatino Linotype" w:eastAsiaTheme="minorEastAsia" w:hAnsi="Palatino Linotype"/>
          <w:lang w:val="es-ES_tradnl" w:eastAsia="es-ES"/>
        </w:rPr>
        <w:t xml:space="preserve"> y </w:t>
      </w:r>
      <w:r w:rsidR="006A562C" w:rsidRPr="00422273">
        <w:rPr>
          <w:rFonts w:ascii="Palatino Linotype" w:eastAsiaTheme="minorEastAsia" w:hAnsi="Palatino Linotype"/>
          <w:lang w:val="es-ES_tradnl" w:eastAsia="es-ES"/>
        </w:rPr>
        <w:t>tiene dentro de su funciones:</w:t>
      </w: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 xml:space="preserve">“- Someter a la Dirección General de Control y Evaluación de la Secretaría de la Contraloría, el Programa Anual de Control y Evaluación para su autorización, así como dirigir su ejecución y cumplimiento e informar sus avances y resultados. </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 xml:space="preserve">− Autorizar y dirigir las acciones de auditorías, evaluaciones, inspecciones y otras acciones de control y evaluación en las unidades administrativas de la Secretaría de Seguridad, a fin de vigilar el cumplimiento de la normatividad aplicable, comunicando el resultado a las o los responsables de las áreas auditadas, a la o al titular de la dependencia, así como a la Secretaría de la Contraloría. </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 xml:space="preserve">− Promover y vigilar el seguimiento a las observaciones y acciones de mejora determinadas en las auditorías y acciones de control y evaluación realizadas en las unidades administrativas de la Secretaría de Seguridad, así como verificar la </w:t>
      </w:r>
      <w:proofErr w:type="spellStart"/>
      <w:r w:rsidRPr="00422273">
        <w:rPr>
          <w:rFonts w:ascii="Palatino Linotype" w:eastAsiaTheme="minorEastAsia" w:hAnsi="Palatino Linotype"/>
          <w:i/>
          <w:sz w:val="22"/>
          <w:lang w:val="es-ES_tradnl" w:eastAsia="es-ES"/>
        </w:rPr>
        <w:t>solventación</w:t>
      </w:r>
      <w:proofErr w:type="spellEnd"/>
      <w:r w:rsidRPr="00422273">
        <w:rPr>
          <w:rFonts w:ascii="Palatino Linotype" w:eastAsiaTheme="minorEastAsia" w:hAnsi="Palatino Linotype"/>
          <w:i/>
          <w:sz w:val="22"/>
          <w:lang w:val="es-ES_tradnl" w:eastAsia="es-ES"/>
        </w:rPr>
        <w:t xml:space="preserve"> y cumplimiento de las observaciones o hallazgos formulados por las diferentes instancias externas de fiscalización. </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 xml:space="preserve">− Coadyuvar en el funcionamiento del Sistema de Control Interno de la Secretaría de Seguridad, así como en la evaluación de la gestión gubernamental, vigilando el cumplimiento de la normatividad que expida la Secretaría de la Contraloría. </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 xml:space="preserve">− Dirigir la recepción, atención y seguimiento de los asuntos que en materia de Derechos Humanos se turnen al Órgano Interno de Control. </w:t>
      </w:r>
    </w:p>
    <w:p w:rsidR="006A562C" w:rsidRPr="00422273" w:rsidRDefault="006A562C" w:rsidP="00B54731">
      <w:pPr>
        <w:spacing w:line="360" w:lineRule="auto"/>
        <w:ind w:left="786" w:right="49"/>
        <w:contextualSpacing/>
        <w:jc w:val="both"/>
        <w:rPr>
          <w:rFonts w:ascii="Palatino Linotype" w:eastAsiaTheme="minorEastAsia" w:hAnsi="Palatino Linotype"/>
          <w:b/>
          <w:i/>
          <w:sz w:val="22"/>
          <w:lang w:val="es-ES_tradnl" w:eastAsia="es-ES"/>
        </w:rPr>
      </w:pPr>
      <w:r w:rsidRPr="00422273">
        <w:rPr>
          <w:rFonts w:ascii="Palatino Linotype" w:eastAsiaTheme="minorEastAsia" w:hAnsi="Palatino Linotype"/>
          <w:b/>
          <w:i/>
          <w:sz w:val="22"/>
          <w:lang w:val="es-ES_tradnl" w:eastAsia="es-ES"/>
        </w:rPr>
        <w:t xml:space="preserve">− Coordinar la recepción, atención e investigación de las denuncias presentadas en contra de las personas servidoras públicas adscritas a la Secretaría de Seguridad, así como de particulares por conductas sancionables en términos de la Ley de Responsabilidades Administrativas del Estado de México y Municipios. </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b/>
          <w:i/>
          <w:sz w:val="22"/>
          <w:lang w:val="es-ES_tradnl" w:eastAsia="es-ES"/>
        </w:rPr>
        <w:t xml:space="preserve">− </w:t>
      </w:r>
      <w:r w:rsidRPr="00422273">
        <w:rPr>
          <w:rFonts w:ascii="Palatino Linotype" w:eastAsiaTheme="minorEastAsia" w:hAnsi="Palatino Linotype"/>
          <w:i/>
          <w:sz w:val="22"/>
          <w:lang w:val="es-ES_tradnl" w:eastAsia="es-ES"/>
        </w:rPr>
        <w:t>Coordinar y vigilar la emisión del acuerdo de abstención del procedimiento de responsabilidad administrativa en términos de la Ley de Responsabilidades Administrativas del Estado de México y Municipios.</w:t>
      </w:r>
    </w:p>
    <w:p w:rsidR="006A562C" w:rsidRPr="00422273" w:rsidRDefault="006A562C" w:rsidP="00B54731">
      <w:pPr>
        <w:spacing w:line="360" w:lineRule="auto"/>
        <w:ind w:left="786" w:right="49"/>
        <w:contextualSpacing/>
        <w:jc w:val="both"/>
        <w:rPr>
          <w:rFonts w:ascii="Palatino Linotype" w:eastAsiaTheme="minorEastAsia" w:hAnsi="Palatino Linotype"/>
          <w:b/>
          <w:i/>
          <w:sz w:val="22"/>
          <w:lang w:val="es-ES_tradnl" w:eastAsia="es-ES"/>
        </w:rPr>
      </w:pPr>
      <w:r w:rsidRPr="00422273">
        <w:rPr>
          <w:rFonts w:ascii="Palatino Linotype" w:eastAsiaTheme="minorEastAsia" w:hAnsi="Palatino Linotype"/>
          <w:b/>
          <w:i/>
          <w:sz w:val="22"/>
          <w:lang w:val="es-ES_tradnl" w:eastAsia="es-ES"/>
        </w:rPr>
        <w:lastRenderedPageBreak/>
        <w:t xml:space="preserve">− Supervisar el seguimiento a las impugnaciones presentadas a través del recurso de inconformidad por la o el denunciante o la autoridad investigadora correspondiente, con motivo de la abstención para iniciar el procedimiento de responsabilidad administrativa. </w:t>
      </w:r>
    </w:p>
    <w:p w:rsidR="006A562C" w:rsidRPr="00422273" w:rsidRDefault="006A562C" w:rsidP="00B54731">
      <w:pPr>
        <w:spacing w:line="360" w:lineRule="auto"/>
        <w:ind w:left="786" w:right="49"/>
        <w:contextualSpacing/>
        <w:jc w:val="both"/>
        <w:rPr>
          <w:rFonts w:ascii="Palatino Linotype" w:eastAsiaTheme="minorEastAsia" w:hAnsi="Palatino Linotype"/>
          <w:b/>
          <w:i/>
          <w:sz w:val="22"/>
          <w:lang w:val="es-ES_tradnl" w:eastAsia="es-ES"/>
        </w:rPr>
      </w:pPr>
      <w:r w:rsidRPr="00422273">
        <w:rPr>
          <w:rFonts w:ascii="Palatino Linotype" w:eastAsiaTheme="minorEastAsia" w:hAnsi="Palatino Linotype"/>
          <w:b/>
          <w:i/>
          <w:sz w:val="22"/>
          <w:lang w:val="es-ES_tradnl" w:eastAsia="es-ES"/>
        </w:rPr>
        <w:t xml:space="preserve">− Dirigir el inicio, substanciación y resolución del procedimiento administrativo cuando se trate de faltas administrativas no graves, y en su caso la imposición de sanciones respectivas de conformidad a la normatividad aplicable. </w:t>
      </w:r>
    </w:p>
    <w:p w:rsidR="006A562C" w:rsidRPr="00422273" w:rsidRDefault="006A562C" w:rsidP="00B54731">
      <w:pPr>
        <w:spacing w:line="360" w:lineRule="auto"/>
        <w:ind w:left="786" w:right="49"/>
        <w:contextualSpacing/>
        <w:jc w:val="both"/>
        <w:rPr>
          <w:rFonts w:ascii="Palatino Linotype" w:eastAsiaTheme="minorEastAsia" w:hAnsi="Palatino Linotype"/>
          <w:b/>
          <w:i/>
          <w:sz w:val="22"/>
          <w:lang w:val="es-ES_tradnl" w:eastAsia="es-ES"/>
        </w:rPr>
      </w:pPr>
      <w:r w:rsidRPr="00422273">
        <w:rPr>
          <w:rFonts w:ascii="Palatino Linotype" w:eastAsiaTheme="minorEastAsia" w:hAnsi="Palatino Linotype"/>
          <w:b/>
          <w:i/>
          <w:sz w:val="22"/>
          <w:lang w:val="es-ES_tradnl" w:eastAsia="es-ES"/>
        </w:rPr>
        <w:t xml:space="preserve">− Remitir al Tribunal de Justicia Administrativa del Estado de México, para su resolución, los expedientes de responsabilidad administrativa, cuando se trate de faltas administrativas graves y por conductas de particulares vinculados con estas, conforme a la Ley de Responsabilidades Administrativas del Estado de México y Municipios. </w:t>
      </w:r>
    </w:p>
    <w:p w:rsidR="006A562C" w:rsidRPr="00422273" w:rsidRDefault="006A562C" w:rsidP="00B54731">
      <w:pPr>
        <w:spacing w:line="360" w:lineRule="auto"/>
        <w:ind w:left="786" w:right="49"/>
        <w:contextualSpacing/>
        <w:jc w:val="both"/>
        <w:rPr>
          <w:rFonts w:ascii="Palatino Linotype" w:eastAsiaTheme="minorEastAsia" w:hAnsi="Palatino Linotype"/>
          <w:b/>
          <w:i/>
          <w:sz w:val="22"/>
          <w:lang w:val="es-ES_tradnl" w:eastAsia="es-ES"/>
        </w:rPr>
      </w:pPr>
      <w:r w:rsidRPr="00422273">
        <w:rPr>
          <w:rFonts w:ascii="Palatino Linotype" w:eastAsiaTheme="minorEastAsia" w:hAnsi="Palatino Linotype"/>
          <w:b/>
          <w:i/>
          <w:sz w:val="22"/>
          <w:lang w:val="es-ES_tradnl" w:eastAsia="es-ES"/>
        </w:rPr>
        <w:t xml:space="preserve">…” </w:t>
      </w:r>
    </w:p>
    <w:p w:rsidR="006A562C" w:rsidRPr="00422273" w:rsidRDefault="006A562C" w:rsidP="00B54731">
      <w:pPr>
        <w:spacing w:line="360" w:lineRule="auto"/>
        <w:ind w:left="786" w:right="49"/>
        <w:contextualSpacing/>
        <w:jc w:val="both"/>
        <w:rPr>
          <w:rFonts w:ascii="Palatino Linotype" w:eastAsiaTheme="minorEastAsia" w:hAnsi="Palatino Linotype"/>
          <w:i/>
          <w:sz w:val="22"/>
          <w:lang w:val="es-ES_tradnl" w:eastAsia="es-ES"/>
        </w:rPr>
      </w:pPr>
      <w:r w:rsidRPr="00422273">
        <w:rPr>
          <w:rFonts w:ascii="Palatino Linotype" w:eastAsiaTheme="minorEastAsia" w:hAnsi="Palatino Linotype"/>
          <w:i/>
          <w:sz w:val="22"/>
          <w:lang w:val="es-ES_tradnl" w:eastAsia="es-ES"/>
        </w:rPr>
        <w:t>Énfasis añadido</w:t>
      </w:r>
    </w:p>
    <w:p w:rsidR="006A562C" w:rsidRPr="00422273" w:rsidRDefault="006A562C" w:rsidP="00B54731">
      <w:pPr>
        <w:spacing w:line="360" w:lineRule="auto"/>
        <w:ind w:left="786" w:right="49"/>
        <w:contextualSpacing/>
        <w:jc w:val="both"/>
        <w:rPr>
          <w:rFonts w:ascii="Palatino Linotype" w:eastAsiaTheme="minorEastAsia" w:hAnsi="Palatino Linotype"/>
          <w:lang w:val="es-ES_tradnl" w:eastAsia="es-ES"/>
        </w:rPr>
      </w:pPr>
    </w:p>
    <w:p w:rsidR="00355639" w:rsidRPr="00422273" w:rsidRDefault="00851629" w:rsidP="00B5473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422273">
        <w:rPr>
          <w:rFonts w:ascii="Palatino Linotype" w:eastAsiaTheme="minorEastAsia" w:hAnsi="Palatino Linotype"/>
          <w:lang w:val="es-ES_tradnl" w:eastAsia="es-ES"/>
        </w:rPr>
        <w:t xml:space="preserve">Así, del precepto anterior se desprende que el </w:t>
      </w:r>
      <w:r w:rsidR="00D16529" w:rsidRPr="00422273">
        <w:rPr>
          <w:rFonts w:ascii="Palatino Linotype" w:eastAsiaTheme="minorEastAsia" w:hAnsi="Palatino Linotype"/>
          <w:lang w:val="es-ES_tradnl" w:eastAsia="es-ES"/>
        </w:rPr>
        <w:t>Ó</w:t>
      </w:r>
      <w:r w:rsidRPr="00422273">
        <w:rPr>
          <w:rFonts w:ascii="Palatino Linotype" w:eastAsiaTheme="minorEastAsia" w:hAnsi="Palatino Linotype"/>
          <w:lang w:val="es-ES_tradnl" w:eastAsia="es-ES"/>
        </w:rPr>
        <w:t xml:space="preserve">rgano Interno de Control </w:t>
      </w:r>
      <w:r w:rsidR="00D16529" w:rsidRPr="00422273">
        <w:rPr>
          <w:rFonts w:ascii="Palatino Linotype" w:eastAsiaTheme="minorEastAsia" w:hAnsi="Palatino Linotype"/>
          <w:lang w:val="es-ES_tradnl" w:eastAsia="es-ES"/>
        </w:rPr>
        <w:t>tiene facultades para la substanciación y resolución de procedimientos administrativos cuando se tra</w:t>
      </w:r>
      <w:r w:rsidR="00002EBC">
        <w:rPr>
          <w:rFonts w:ascii="Palatino Linotype" w:eastAsiaTheme="minorEastAsia" w:hAnsi="Palatino Linotype"/>
          <w:lang w:val="es-ES_tradnl" w:eastAsia="es-ES"/>
        </w:rPr>
        <w:t>te de faltas no graves; sin embargo</w:t>
      </w:r>
      <w:r w:rsidR="00D16529" w:rsidRPr="00422273">
        <w:rPr>
          <w:rFonts w:ascii="Palatino Linotype" w:eastAsiaTheme="minorEastAsia" w:hAnsi="Palatino Linotype"/>
          <w:lang w:val="es-ES_tradnl" w:eastAsia="es-ES"/>
        </w:rPr>
        <w:t>,</w:t>
      </w:r>
      <w:r w:rsidR="00002EBC">
        <w:rPr>
          <w:rFonts w:ascii="Palatino Linotype" w:eastAsiaTheme="minorEastAsia" w:hAnsi="Palatino Linotype"/>
          <w:lang w:val="es-ES_tradnl" w:eastAsia="es-ES"/>
        </w:rPr>
        <w:t xml:space="preserve"> </w:t>
      </w:r>
      <w:proofErr w:type="spellStart"/>
      <w:r w:rsidR="00002EBC">
        <w:rPr>
          <w:rFonts w:ascii="Palatino Linotype" w:eastAsiaTheme="minorEastAsia" w:hAnsi="Palatino Linotype"/>
          <w:lang w:val="es-ES_tradnl" w:eastAsia="es-ES"/>
        </w:rPr>
        <w:t>tambien</w:t>
      </w:r>
      <w:proofErr w:type="spellEnd"/>
      <w:r w:rsidR="00D16529" w:rsidRPr="00422273">
        <w:rPr>
          <w:rFonts w:ascii="Palatino Linotype" w:eastAsiaTheme="minorEastAsia" w:hAnsi="Palatino Linotype"/>
          <w:lang w:val="es-ES_tradnl" w:eastAsia="es-ES"/>
        </w:rPr>
        <w:t xml:space="preserve"> tiene conocimiento si existen procedimientos sobre faltas administrativas graves, pues cuando se trata de faltas administrativas de este tipo, tiene la facultad para remitir los expedientes al Trib</w:t>
      </w:r>
      <w:r w:rsidR="00002EBC">
        <w:rPr>
          <w:rFonts w:ascii="Palatino Linotype" w:eastAsiaTheme="minorEastAsia" w:hAnsi="Palatino Linotype"/>
          <w:lang w:val="es-ES_tradnl" w:eastAsia="es-ES"/>
        </w:rPr>
        <w:t>unal de Justicia Administrativa.</w:t>
      </w:r>
    </w:p>
    <w:p w:rsidR="00D16529" w:rsidRPr="00422273" w:rsidRDefault="00D16529" w:rsidP="00B54731">
      <w:pPr>
        <w:spacing w:line="360" w:lineRule="auto"/>
        <w:ind w:right="49"/>
        <w:contextualSpacing/>
        <w:jc w:val="both"/>
        <w:rPr>
          <w:rFonts w:ascii="Palatino Linotype" w:eastAsiaTheme="minorEastAsia" w:hAnsi="Palatino Linotype"/>
          <w:lang w:val="es-ES_tradnl" w:eastAsia="es-ES"/>
        </w:rPr>
      </w:pPr>
    </w:p>
    <w:p w:rsidR="00E562A8" w:rsidRPr="00422273" w:rsidRDefault="00E562A8" w:rsidP="00B54731">
      <w:pPr>
        <w:pStyle w:val="Prrafodelista"/>
        <w:numPr>
          <w:ilvl w:val="0"/>
          <w:numId w:val="2"/>
        </w:numPr>
        <w:spacing w:line="360" w:lineRule="auto"/>
        <w:ind w:right="49"/>
        <w:jc w:val="both"/>
        <w:rPr>
          <w:rFonts w:ascii="Palatino Linotype" w:eastAsiaTheme="minorEastAsia" w:hAnsi="Palatino Linotype"/>
          <w:b/>
          <w:sz w:val="24"/>
          <w:lang w:eastAsia="es-ES"/>
        </w:rPr>
      </w:pPr>
      <w:r w:rsidRPr="00422273">
        <w:rPr>
          <w:rFonts w:ascii="Palatino Linotype" w:eastAsiaTheme="minorEastAsia" w:hAnsi="Palatino Linotype"/>
          <w:b/>
          <w:sz w:val="24"/>
          <w:lang w:eastAsia="es-ES"/>
        </w:rPr>
        <w:t xml:space="preserve">Sanciones graves y no graves. </w:t>
      </w:r>
    </w:p>
    <w:p w:rsidR="00E562A8" w:rsidRPr="00422273" w:rsidRDefault="00E562A8" w:rsidP="00B54731">
      <w:pPr>
        <w:spacing w:line="360" w:lineRule="auto"/>
        <w:ind w:right="49"/>
        <w:contextualSpacing/>
        <w:jc w:val="both"/>
        <w:rPr>
          <w:rFonts w:ascii="Palatino Linotype" w:eastAsiaTheme="minorEastAsia" w:hAnsi="Palatino Linotype"/>
          <w:lang w:eastAsia="es-ES"/>
        </w:rPr>
      </w:pPr>
    </w:p>
    <w:p w:rsidR="00E562A8" w:rsidRPr="00422273" w:rsidRDefault="00E562A8"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Atento a lo anterior, es que resulta dable hacer mención que corresponde a obligaciones de transparencia común, como se desprende del artículo 92 fracción XXII </w:t>
      </w:r>
      <w:r w:rsidRPr="00422273">
        <w:rPr>
          <w:rFonts w:ascii="Palatino Linotype" w:eastAsiaTheme="minorEastAsia" w:hAnsi="Palatino Linotype"/>
          <w:lang w:val="es-ES" w:eastAsia="es-ES"/>
        </w:rPr>
        <w:lastRenderedPageBreak/>
        <w:t>de la Ley de Transparencia y Acceso a la Información Pública del Estado de México y Municipios, como se observa:</w:t>
      </w:r>
    </w:p>
    <w:p w:rsidR="00E562A8" w:rsidRPr="00422273" w:rsidRDefault="00E562A8" w:rsidP="00B54731">
      <w:pPr>
        <w:spacing w:line="360" w:lineRule="auto"/>
        <w:ind w:right="49"/>
        <w:contextualSpacing/>
        <w:jc w:val="both"/>
        <w:rPr>
          <w:rFonts w:ascii="Palatino Linotype" w:eastAsiaTheme="minorEastAsia" w:hAnsi="Palatino Linotype"/>
          <w:lang w:val="es-ES" w:eastAsia="es-ES"/>
        </w:rPr>
      </w:pPr>
    </w:p>
    <w:p w:rsidR="00E562A8" w:rsidRPr="00422273" w:rsidRDefault="00E562A8" w:rsidP="00BE1ECC">
      <w:pPr>
        <w:spacing w:line="360" w:lineRule="auto"/>
        <w:ind w:left="851" w:right="822"/>
        <w:contextualSpacing/>
        <w:jc w:val="both"/>
        <w:rPr>
          <w:rFonts w:ascii="Palatino Linotype" w:eastAsiaTheme="minorEastAsia" w:hAnsi="Palatino Linotype"/>
          <w:i/>
          <w:sz w:val="22"/>
          <w:lang w:val="es-ES" w:eastAsia="es-ES"/>
        </w:rPr>
      </w:pPr>
      <w:r w:rsidRPr="00422273">
        <w:rPr>
          <w:rFonts w:ascii="Palatino Linotype" w:eastAsiaTheme="minorEastAsia" w:hAnsi="Palatino Linotype"/>
          <w:i/>
          <w:sz w:val="22"/>
          <w:lang w:val="es-ES"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562A8" w:rsidRPr="00422273" w:rsidRDefault="00E562A8" w:rsidP="00BE1ECC">
      <w:pPr>
        <w:spacing w:line="360" w:lineRule="auto"/>
        <w:ind w:left="851" w:right="822"/>
        <w:contextualSpacing/>
        <w:jc w:val="both"/>
        <w:rPr>
          <w:rFonts w:ascii="Palatino Linotype" w:eastAsiaTheme="minorEastAsia" w:hAnsi="Palatino Linotype"/>
          <w:i/>
          <w:sz w:val="22"/>
          <w:lang w:val="es-ES" w:eastAsia="es-ES"/>
        </w:rPr>
      </w:pPr>
      <w:r w:rsidRPr="00422273">
        <w:rPr>
          <w:rFonts w:ascii="Palatino Linotype" w:eastAsiaTheme="minorEastAsia" w:hAnsi="Palatino Linotype"/>
          <w:i/>
          <w:sz w:val="22"/>
          <w:lang w:val="es-ES" w:eastAsia="es-ES"/>
        </w:rPr>
        <w:t>...</w:t>
      </w:r>
    </w:p>
    <w:p w:rsidR="00E562A8" w:rsidRPr="00422273" w:rsidRDefault="00E562A8" w:rsidP="00BE1ECC">
      <w:pPr>
        <w:spacing w:line="360" w:lineRule="auto"/>
        <w:ind w:left="851" w:right="822"/>
        <w:contextualSpacing/>
        <w:jc w:val="both"/>
        <w:rPr>
          <w:rFonts w:ascii="Palatino Linotype" w:eastAsiaTheme="minorEastAsia" w:hAnsi="Palatino Linotype"/>
          <w:b/>
          <w:i/>
          <w:sz w:val="22"/>
          <w:lang w:val="es-ES" w:eastAsia="es-ES"/>
        </w:rPr>
      </w:pPr>
      <w:r w:rsidRPr="00422273">
        <w:rPr>
          <w:rFonts w:ascii="Palatino Linotype" w:eastAsiaTheme="minorEastAsia" w:hAnsi="Palatino Linotype"/>
          <w:i/>
          <w:sz w:val="22"/>
          <w:lang w:val="es-ES" w:eastAsia="es-ES"/>
        </w:rPr>
        <w:t xml:space="preserve">XXII. </w:t>
      </w:r>
      <w:r w:rsidRPr="00422273">
        <w:rPr>
          <w:rFonts w:ascii="Palatino Linotype" w:eastAsiaTheme="minorEastAsia" w:hAnsi="Palatino Linotype"/>
          <w:b/>
          <w:i/>
          <w:sz w:val="22"/>
          <w:lang w:val="es-ES" w:eastAsia="es-ES"/>
        </w:rPr>
        <w:t>El listado de Servidores Públicos con sanciones administrativas definitivas, especificando la causa de sanción y la disposición;"</w:t>
      </w:r>
    </w:p>
    <w:p w:rsidR="00E562A8" w:rsidRPr="00422273" w:rsidRDefault="00E562A8" w:rsidP="00BE1ECC">
      <w:pPr>
        <w:spacing w:line="360" w:lineRule="auto"/>
        <w:ind w:left="851" w:right="822"/>
        <w:contextualSpacing/>
        <w:jc w:val="both"/>
        <w:rPr>
          <w:rFonts w:ascii="Palatino Linotype" w:eastAsiaTheme="minorEastAsia" w:hAnsi="Palatino Linotype"/>
          <w:sz w:val="22"/>
          <w:lang w:val="es-ES" w:eastAsia="es-ES"/>
        </w:rPr>
      </w:pPr>
    </w:p>
    <w:p w:rsidR="00E562A8" w:rsidRPr="00422273" w:rsidRDefault="00E562A8" w:rsidP="00BE1ECC">
      <w:pPr>
        <w:spacing w:line="360" w:lineRule="auto"/>
        <w:ind w:left="851" w:right="822"/>
        <w:contextualSpacing/>
        <w:jc w:val="both"/>
        <w:rPr>
          <w:rFonts w:ascii="Palatino Linotype" w:eastAsiaTheme="minorEastAsia" w:hAnsi="Palatino Linotype"/>
          <w:sz w:val="22"/>
          <w:lang w:val="es-ES" w:eastAsia="es-ES"/>
        </w:rPr>
      </w:pPr>
      <w:r w:rsidRPr="00422273">
        <w:rPr>
          <w:rFonts w:ascii="Palatino Linotype" w:eastAsiaTheme="minorEastAsia" w:hAnsi="Palatino Linotype"/>
          <w:sz w:val="22"/>
          <w:lang w:val="es-ES" w:eastAsia="es-ES"/>
        </w:rPr>
        <w:t>Énfasis añadido</w:t>
      </w:r>
    </w:p>
    <w:p w:rsidR="00E562A8" w:rsidRPr="00422273" w:rsidRDefault="00E562A8" w:rsidP="00B54731">
      <w:pPr>
        <w:spacing w:line="360" w:lineRule="auto"/>
        <w:ind w:right="49"/>
        <w:contextualSpacing/>
        <w:jc w:val="both"/>
        <w:rPr>
          <w:rFonts w:ascii="Palatino Linotype" w:eastAsiaTheme="minorEastAsia" w:hAnsi="Palatino Linotype"/>
          <w:lang w:eastAsia="es-ES"/>
        </w:rPr>
      </w:pPr>
    </w:p>
    <w:p w:rsidR="00E562A8" w:rsidRPr="00422273" w:rsidRDefault="00BE1ECC"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Sin embargo, solo pueden ser dadas a conocer las responsabilidades administrativas por faltas graves</w:t>
      </w:r>
      <w:r w:rsidR="00E562A8" w:rsidRPr="00422273">
        <w:rPr>
          <w:rFonts w:ascii="Palatino Linotype" w:eastAsiaTheme="minorEastAsia" w:hAnsi="Palatino Linotype"/>
          <w:lang w:val="es-ES" w:eastAsia="es-ES"/>
        </w:rPr>
        <w:t xml:space="preserve">. Lo anterior con motivo de la entrada en vigor de la </w:t>
      </w:r>
      <w:r w:rsidR="00E562A8" w:rsidRPr="00422273">
        <w:rPr>
          <w:rFonts w:ascii="Palatino Linotype" w:eastAsiaTheme="minorEastAsia" w:hAnsi="Palatino Linotype"/>
          <w:b/>
          <w:lang w:val="es-ES" w:eastAsia="es-ES"/>
        </w:rPr>
        <w:t>Ley del Sistema Anticorrupción del Estado de México y Municipios</w:t>
      </w:r>
      <w:r w:rsidR="00E562A8" w:rsidRPr="00422273">
        <w:rPr>
          <w:rFonts w:ascii="Palatino Linotype" w:eastAsiaTheme="minorEastAsia" w:hAnsi="Palatino Linotype"/>
          <w:lang w:val="es-ES" w:eastAsia="es-ES"/>
        </w:rPr>
        <w:t xml:space="preserve"> publicada en el periódico oficial "Gaceta del Gobierno" el treinta (30) de mayo de 2017, que establece que las sanciones no graves </w:t>
      </w:r>
      <w:r w:rsidR="00E562A8" w:rsidRPr="00422273">
        <w:rPr>
          <w:rFonts w:ascii="Palatino Linotype" w:eastAsiaTheme="minorEastAsia" w:hAnsi="Palatino Linotype"/>
          <w:b/>
          <w:u w:val="single"/>
          <w:lang w:val="es-ES" w:eastAsia="es-ES"/>
        </w:rPr>
        <w:t>no serán públicas</w:t>
      </w:r>
      <w:r w:rsidR="00E562A8" w:rsidRPr="00422273">
        <w:rPr>
          <w:rFonts w:ascii="Palatino Linotype" w:eastAsiaTheme="minorEastAsia" w:hAnsi="Palatino Linotype"/>
          <w:lang w:val="es-ES" w:eastAsia="es-ES"/>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E562A8" w:rsidRPr="00422273" w:rsidRDefault="00E562A8" w:rsidP="00B54731">
      <w:pPr>
        <w:spacing w:line="360" w:lineRule="auto"/>
        <w:ind w:right="49"/>
        <w:contextualSpacing/>
        <w:jc w:val="both"/>
        <w:rPr>
          <w:rFonts w:ascii="Palatino Linotype" w:eastAsiaTheme="minorEastAsia" w:hAnsi="Palatino Linotype"/>
          <w:sz w:val="22"/>
          <w:lang w:eastAsia="es-ES"/>
        </w:rPr>
      </w:pPr>
    </w:p>
    <w:p w:rsidR="00E562A8" w:rsidRPr="00422273" w:rsidRDefault="00E562A8" w:rsidP="00BE1ECC">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lastRenderedPageBreak/>
        <w:t xml:space="preserve">“Artículo 53. </w:t>
      </w:r>
      <w:r w:rsidRPr="00422273">
        <w:rPr>
          <w:rFonts w:ascii="Palatino Linotype" w:eastAsiaTheme="minorEastAsia" w:hAnsi="Palatino Linotype"/>
          <w:b/>
          <w:i/>
          <w:sz w:val="22"/>
          <w:lang w:eastAsia="es-ES"/>
        </w:rPr>
        <w:t>Las sanciones impuestas por faltas administrativas graves serán del conocimiento público cuando éstas contengan impedimentos o inhabilitaciones</w:t>
      </w:r>
      <w:r w:rsidRPr="00422273">
        <w:rPr>
          <w:rFonts w:ascii="Palatino Linotype" w:eastAsiaTheme="minorEastAsia" w:hAnsi="Palatino Linotype"/>
          <w:i/>
          <w:sz w:val="22"/>
          <w:lang w:eastAsia="es-ES"/>
        </w:rPr>
        <w:t xml:space="preserve"> para ser contratados como servidores públicos o como prestadores de servicios o contratistas del sector público, en términos de la Ley de Responsabilidades Administrativas del Estado de México y Municipios.</w:t>
      </w:r>
    </w:p>
    <w:p w:rsidR="00E562A8" w:rsidRPr="00422273" w:rsidRDefault="00E562A8" w:rsidP="00BE1ECC">
      <w:pPr>
        <w:spacing w:line="360" w:lineRule="auto"/>
        <w:ind w:left="851" w:right="822"/>
        <w:contextualSpacing/>
        <w:jc w:val="both"/>
        <w:rPr>
          <w:rFonts w:ascii="Palatino Linotype" w:eastAsiaTheme="minorEastAsia" w:hAnsi="Palatino Linotype"/>
          <w:i/>
          <w:sz w:val="22"/>
          <w:lang w:eastAsia="es-ES"/>
        </w:rPr>
      </w:pPr>
    </w:p>
    <w:p w:rsidR="00E562A8" w:rsidRPr="00422273" w:rsidRDefault="00E562A8" w:rsidP="00BE1ECC">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 xml:space="preserve">Los registros de las sanciones relativas a responsabilidades administrativas no graves, quedarán registradas para efectos de eventual reincidencia, </w:t>
      </w:r>
      <w:r w:rsidRPr="00422273">
        <w:rPr>
          <w:rFonts w:ascii="Palatino Linotype" w:eastAsiaTheme="minorEastAsia" w:hAnsi="Palatino Linotype"/>
          <w:b/>
          <w:i/>
          <w:sz w:val="22"/>
          <w:u w:val="single"/>
          <w:lang w:eastAsia="es-ES"/>
        </w:rPr>
        <w:t>pero no serán públicas</w:t>
      </w:r>
      <w:r w:rsidRPr="00422273">
        <w:rPr>
          <w:rFonts w:ascii="Palatino Linotype" w:eastAsiaTheme="minorEastAsia" w:hAnsi="Palatino Linotype"/>
          <w:b/>
          <w:i/>
          <w:sz w:val="22"/>
          <w:lang w:eastAsia="es-ES"/>
        </w:rPr>
        <w:t>.”</w:t>
      </w:r>
    </w:p>
    <w:p w:rsidR="00E562A8" w:rsidRPr="00422273" w:rsidRDefault="00E562A8" w:rsidP="00B54731">
      <w:pPr>
        <w:spacing w:line="360" w:lineRule="auto"/>
        <w:ind w:right="49"/>
        <w:contextualSpacing/>
        <w:jc w:val="both"/>
        <w:rPr>
          <w:rFonts w:ascii="Palatino Linotype" w:eastAsiaTheme="minorEastAsia" w:hAnsi="Palatino Linotype"/>
          <w:lang w:eastAsia="es-ES"/>
        </w:rPr>
      </w:pPr>
    </w:p>
    <w:p w:rsidR="00E562A8" w:rsidRPr="00422273" w:rsidRDefault="00E562A8"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En ese sentido es importante, referir aquellas faltas que constituyan faltas administrativas graves y no graves, como lo estipula la </w:t>
      </w:r>
      <w:r w:rsidRPr="00422273">
        <w:rPr>
          <w:rFonts w:ascii="Palatino Linotype" w:eastAsiaTheme="minorEastAsia" w:hAnsi="Palatino Linotype"/>
          <w:b/>
          <w:lang w:val="es-ES" w:eastAsia="es-ES"/>
        </w:rPr>
        <w:t>Ley de Responsabilidades Administrativas del Estado de México y Municipios</w:t>
      </w:r>
      <w:r w:rsidRPr="00422273">
        <w:rPr>
          <w:rFonts w:ascii="Palatino Linotype" w:eastAsiaTheme="minorEastAsia" w:hAnsi="Palatino Linotype"/>
          <w:lang w:val="es-ES" w:eastAsia="es-ES"/>
        </w:rPr>
        <w:t>, en el siguiente articulado:</w:t>
      </w:r>
    </w:p>
    <w:p w:rsidR="00E562A8" w:rsidRPr="00422273" w:rsidRDefault="00E562A8" w:rsidP="00B54731">
      <w:pPr>
        <w:spacing w:line="360" w:lineRule="auto"/>
        <w:ind w:right="49"/>
        <w:contextualSpacing/>
        <w:jc w:val="both"/>
        <w:rPr>
          <w:rFonts w:ascii="Palatino Linotype" w:eastAsiaTheme="minorEastAsia" w:hAnsi="Palatino Linotype"/>
          <w:lang w:eastAsia="es-ES"/>
        </w:rPr>
      </w:pP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“Artículo 3. Para los efectos de la presente Ley, se entenderá por:</w:t>
      </w:r>
      <w:r w:rsidRPr="00422273">
        <w:rPr>
          <w:rFonts w:ascii="Palatino Linotype" w:eastAsiaTheme="minorEastAsia" w:hAnsi="Palatino Linotype"/>
          <w:i/>
          <w:lang w:eastAsia="es-ES"/>
        </w:rPr>
        <w:cr/>
        <w:t>...</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 xml:space="preserve">XIII. </w:t>
      </w:r>
      <w:r w:rsidRPr="00422273">
        <w:rPr>
          <w:rFonts w:ascii="Palatino Linotype" w:eastAsiaTheme="minorEastAsia" w:hAnsi="Palatino Linotype"/>
          <w:b/>
          <w:i/>
          <w:lang w:eastAsia="es-ES"/>
        </w:rPr>
        <w:t>Falta administrativa no grave</w:t>
      </w:r>
      <w:r w:rsidRPr="00422273">
        <w:rPr>
          <w:rFonts w:ascii="Palatino Linotype" w:eastAsiaTheme="minorEastAsia" w:hAnsi="Palatino Linotype"/>
          <w:i/>
          <w:lang w:eastAsia="es-ES"/>
        </w:rPr>
        <w:t>: A las faltas administrativas de los servidores públicos en los términos de la presente Ley, cuya imposición de la sanción corresponde a la Secretaría de la Contraloría del Estado de México y a los órganos internos de control.</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 xml:space="preserve">XIV. </w:t>
      </w:r>
      <w:r w:rsidRPr="00422273">
        <w:rPr>
          <w:rFonts w:ascii="Palatino Linotype" w:eastAsiaTheme="minorEastAsia" w:hAnsi="Palatino Linotype"/>
          <w:b/>
          <w:i/>
          <w:lang w:eastAsia="es-ES"/>
        </w:rPr>
        <w:t>Falta administrativa grave</w:t>
      </w:r>
      <w:r w:rsidRPr="00422273">
        <w:rPr>
          <w:rFonts w:ascii="Palatino Linotype" w:eastAsiaTheme="minorEastAsia" w:hAnsi="Palatino Linotype"/>
          <w:i/>
          <w:lang w:eastAsia="es-ES"/>
        </w:rPr>
        <w:t>: A las faltas administrativas de los servidores públicos catalogadas como graves en los términos de la presente Ley, cuya sanción corresponde al Tribunal de Justicia Administrativa del Estado de México.</w:t>
      </w:r>
      <w:r w:rsidRPr="00422273">
        <w:rPr>
          <w:rFonts w:ascii="Palatino Linotype" w:eastAsiaTheme="minorEastAsia" w:hAnsi="Palatino Linotype"/>
          <w:i/>
          <w:lang w:eastAsia="es-ES"/>
        </w:rPr>
        <w:cr/>
        <w:t>..."</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lastRenderedPageBreak/>
        <w:t xml:space="preserve">Artículo 52. Para efectos de la presente Ley, </w:t>
      </w:r>
      <w:r w:rsidRPr="00422273">
        <w:rPr>
          <w:rFonts w:ascii="Palatino Linotype" w:eastAsiaTheme="minorEastAsia" w:hAnsi="Palatino Linotype"/>
          <w:b/>
          <w:i/>
          <w:lang w:eastAsia="es-ES"/>
        </w:rPr>
        <w:t>se consideran faltas administrativas graves de los servidores públicos</w:t>
      </w:r>
      <w:r w:rsidRPr="00422273">
        <w:rPr>
          <w:rFonts w:ascii="Palatino Linotype" w:eastAsiaTheme="minorEastAsia" w:hAnsi="Palatino Linotype"/>
          <w:i/>
          <w:lang w:eastAsia="es-ES"/>
        </w:rPr>
        <w:t>, mediante cualquier acto u omisión, las siguientes:</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I. El cohecho.</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II. El peculado.</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III. El desvío de recursos públicos.</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IV. La utilización indebida de información.</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V. El abuso de funciones.</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VI. Cometer o tolerar conductas de hostigamiento y acoso sexual.</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VII. El actuar bajo conflicto de interés.</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VIII. La contratación indebida.</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IX. El enriquecimiento oculto u ocultamiento de conflicto de interés.</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X. El tráfico de influencias.</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XI. El encubrimiento.</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XII. El desacato.</w:t>
      </w:r>
    </w:p>
    <w:p w:rsidR="00E562A8" w:rsidRPr="00422273" w:rsidRDefault="00E562A8" w:rsidP="00B54731">
      <w:pPr>
        <w:spacing w:line="360" w:lineRule="auto"/>
        <w:ind w:right="49"/>
        <w:contextualSpacing/>
        <w:jc w:val="both"/>
        <w:rPr>
          <w:rFonts w:ascii="Palatino Linotype" w:eastAsiaTheme="minorEastAsia" w:hAnsi="Palatino Linotype"/>
          <w:i/>
          <w:lang w:eastAsia="es-ES"/>
        </w:rPr>
      </w:pPr>
      <w:r w:rsidRPr="00422273">
        <w:rPr>
          <w:rFonts w:ascii="Palatino Linotype" w:eastAsiaTheme="minorEastAsia" w:hAnsi="Palatino Linotype"/>
          <w:i/>
          <w:lang w:eastAsia="es-ES"/>
        </w:rPr>
        <w:t>XIII. La obstrucción de la Justicia.”</w:t>
      </w:r>
    </w:p>
    <w:p w:rsidR="00E562A8" w:rsidRPr="00422273" w:rsidRDefault="00E562A8" w:rsidP="00B54731">
      <w:pPr>
        <w:spacing w:line="360" w:lineRule="auto"/>
        <w:ind w:right="49"/>
        <w:contextualSpacing/>
        <w:jc w:val="both"/>
        <w:rPr>
          <w:rFonts w:ascii="Palatino Linotype" w:eastAsiaTheme="minorEastAsia" w:hAnsi="Palatino Linotype"/>
          <w:lang w:eastAsia="es-ES"/>
        </w:rPr>
      </w:pPr>
      <w:r w:rsidRPr="00422273">
        <w:rPr>
          <w:rFonts w:ascii="Palatino Linotype" w:eastAsiaTheme="minorEastAsia" w:hAnsi="Palatino Linotype"/>
          <w:lang w:eastAsia="es-ES"/>
        </w:rPr>
        <w:t>Énfasis añadido</w:t>
      </w:r>
    </w:p>
    <w:p w:rsidR="00E562A8" w:rsidRPr="00422273" w:rsidRDefault="00E562A8" w:rsidP="00B54731">
      <w:pPr>
        <w:spacing w:line="360" w:lineRule="auto"/>
        <w:ind w:right="49"/>
        <w:contextualSpacing/>
        <w:jc w:val="both"/>
        <w:rPr>
          <w:rFonts w:ascii="Palatino Linotype" w:eastAsiaTheme="minorEastAsia" w:hAnsi="Palatino Linotype"/>
          <w:lang w:eastAsia="es-ES"/>
        </w:rPr>
      </w:pPr>
    </w:p>
    <w:p w:rsidR="00680150" w:rsidRDefault="00E562A8"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Luego entonces, de existir sancione</w:t>
      </w:r>
      <w:r w:rsidR="00002EBC">
        <w:rPr>
          <w:rFonts w:ascii="Palatino Linotype" w:eastAsiaTheme="minorEastAsia" w:hAnsi="Palatino Linotype"/>
          <w:lang w:val="es-ES" w:eastAsia="es-ES"/>
        </w:rPr>
        <w:t>s no graves</w:t>
      </w:r>
      <w:r w:rsidRPr="00422273">
        <w:rPr>
          <w:rFonts w:ascii="Palatino Linotype" w:eastAsiaTheme="minorEastAsia" w:hAnsi="Palatino Linotype"/>
          <w:lang w:val="es-ES" w:eastAsia="es-ES"/>
        </w:rPr>
        <w:t xml:space="preserve">, no será dable ordenar la información; en todo caso </w:t>
      </w:r>
      <w:r w:rsidR="00680150" w:rsidRPr="00422273">
        <w:rPr>
          <w:rFonts w:ascii="Palatino Linotype" w:eastAsiaTheme="minorEastAsia" w:hAnsi="Palatino Linotype"/>
          <w:lang w:val="es-ES" w:eastAsia="es-ES"/>
        </w:rPr>
        <w:t xml:space="preserve">se deberá clasificar como reservado el pronunciamiento sobre la existencia </w:t>
      </w:r>
      <w:r w:rsidR="00002EBC">
        <w:rPr>
          <w:rFonts w:ascii="Palatino Linotype" w:eastAsiaTheme="minorEastAsia" w:hAnsi="Palatino Linotype"/>
          <w:lang w:val="es-ES" w:eastAsia="es-ES"/>
        </w:rPr>
        <w:t xml:space="preserve">o no </w:t>
      </w:r>
      <w:r w:rsidR="00680150" w:rsidRPr="00422273">
        <w:rPr>
          <w:rFonts w:ascii="Palatino Linotype" w:eastAsiaTheme="minorEastAsia" w:hAnsi="Palatino Linotype"/>
          <w:lang w:val="es-ES" w:eastAsia="es-ES"/>
        </w:rPr>
        <w:t xml:space="preserve">de responsabilidades administrativas sobre faltas no graves </w:t>
      </w:r>
      <w:r w:rsidR="00422273" w:rsidRPr="00422273">
        <w:rPr>
          <w:rFonts w:ascii="Palatino Linotype" w:eastAsiaTheme="minorEastAsia" w:hAnsi="Palatino Linotype"/>
          <w:lang w:val="es-ES" w:eastAsia="es-ES"/>
        </w:rPr>
        <w:t xml:space="preserve">y sobre faltas graves que no hayan causado estado </w:t>
      </w:r>
      <w:r w:rsidR="00680150" w:rsidRPr="00422273">
        <w:rPr>
          <w:rFonts w:ascii="Palatino Linotype" w:eastAsiaTheme="minorEastAsia" w:hAnsi="Palatino Linotype"/>
          <w:lang w:val="es-ES" w:eastAsia="es-ES"/>
        </w:rPr>
        <w:t xml:space="preserve">cometidas por el servidor público referido en la solicitud de información, </w:t>
      </w:r>
      <w:r w:rsidRPr="00422273">
        <w:rPr>
          <w:rFonts w:ascii="Palatino Linotype" w:eastAsiaTheme="minorEastAsia" w:hAnsi="Palatino Linotype"/>
          <w:lang w:val="es-ES" w:eastAsia="es-ES"/>
        </w:rPr>
        <w:t xml:space="preserve"> debiendo llevar a cabo el procedimiento establecido en el Considerando siguiente, debiendo poner a disposición del particular Acta del Comité de Transparencia que se elabore para tal efecto.</w:t>
      </w:r>
    </w:p>
    <w:p w:rsidR="00002EBC" w:rsidRPr="00422273" w:rsidRDefault="00002EBC" w:rsidP="00002EBC">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pStyle w:val="Prrafodelista"/>
        <w:numPr>
          <w:ilvl w:val="0"/>
          <w:numId w:val="2"/>
        </w:numPr>
        <w:spacing w:line="360" w:lineRule="auto"/>
        <w:ind w:right="49"/>
        <w:jc w:val="both"/>
        <w:rPr>
          <w:rFonts w:ascii="Palatino Linotype" w:eastAsiaTheme="minorEastAsia" w:hAnsi="Palatino Linotype"/>
          <w:b/>
          <w:sz w:val="24"/>
          <w:lang w:eastAsia="es-ES"/>
        </w:rPr>
      </w:pPr>
      <w:bookmarkStart w:id="24" w:name="_Toc82519889"/>
      <w:r w:rsidRPr="00422273">
        <w:rPr>
          <w:rFonts w:ascii="Palatino Linotype" w:eastAsiaTheme="minorEastAsia" w:hAnsi="Palatino Linotype"/>
          <w:b/>
          <w:sz w:val="24"/>
          <w:lang w:eastAsia="es-ES"/>
        </w:rPr>
        <w:lastRenderedPageBreak/>
        <w:t>De la presunción de inocencia.</w:t>
      </w:r>
      <w:bookmarkEnd w:id="24"/>
    </w:p>
    <w:p w:rsidR="00680150" w:rsidRPr="00422273" w:rsidRDefault="00680150" w:rsidP="00B54731">
      <w:pPr>
        <w:pStyle w:val="Prrafodelista"/>
        <w:spacing w:line="360" w:lineRule="auto"/>
        <w:ind w:right="49"/>
        <w:jc w:val="both"/>
        <w:rPr>
          <w:rFonts w:ascii="Palatino Linotype" w:eastAsiaTheme="minorEastAsia" w:hAnsi="Palatino Linotype"/>
          <w:b/>
          <w:lang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Por otro lado, es aplicable la reserva de la información sino existe una resolución firme, porque de revelarse la información se atenta contra el principio de presunción de inocencia que debe seguirse en la administración de la justicia, conforme a lo que enseguida se razona.</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422273">
        <w:rPr>
          <w:rFonts w:ascii="Palatino Linotype" w:eastAsiaTheme="minorEastAsia" w:hAnsi="Palatino Linotype"/>
          <w:vertAlign w:val="superscript"/>
          <w:lang w:val="es-ES" w:eastAsia="es-ES"/>
        </w:rPr>
        <w:footnoteReference w:id="5"/>
      </w:r>
      <w:r w:rsidRPr="00422273">
        <w:rPr>
          <w:rFonts w:ascii="Palatino Linotype" w:eastAsiaTheme="minorEastAsia" w:hAnsi="Palatino Linotype"/>
          <w:lang w:val="es-ES" w:eastAsia="es-ES"/>
        </w:rPr>
        <w:t>.</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0C55ED" w:rsidP="00B54731">
      <w:pPr>
        <w:spacing w:line="360" w:lineRule="auto"/>
        <w:ind w:left="851" w:right="822"/>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i. </w:t>
      </w:r>
      <w:r w:rsidR="00680150" w:rsidRPr="00422273">
        <w:rPr>
          <w:rFonts w:ascii="Palatino Linotype" w:eastAsiaTheme="minorEastAsia" w:hAnsi="Palatino Linotype"/>
          <w:lang w:val="es-ES" w:eastAsia="es-ES"/>
        </w:rPr>
        <w:t>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680150" w:rsidRPr="00422273" w:rsidRDefault="00680150" w:rsidP="00B54731">
      <w:pPr>
        <w:spacing w:line="360" w:lineRule="auto"/>
        <w:ind w:left="851" w:right="822"/>
        <w:contextualSpacing/>
        <w:jc w:val="both"/>
        <w:rPr>
          <w:rFonts w:ascii="Palatino Linotype" w:eastAsiaTheme="minorEastAsia" w:hAnsi="Palatino Linotype"/>
          <w:lang w:val="es-ES" w:eastAsia="es-ES"/>
        </w:rPr>
      </w:pPr>
    </w:p>
    <w:p w:rsidR="00680150" w:rsidRPr="00422273" w:rsidRDefault="000C55ED" w:rsidP="00B54731">
      <w:pPr>
        <w:spacing w:line="360" w:lineRule="auto"/>
        <w:ind w:left="851" w:right="822"/>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ii. </w:t>
      </w:r>
      <w:r w:rsidR="00680150" w:rsidRPr="00422273">
        <w:rPr>
          <w:rFonts w:ascii="Palatino Linotype" w:eastAsiaTheme="minorEastAsia" w:hAnsi="Palatino Linotype"/>
          <w:lang w:val="es-ES" w:eastAsia="es-ES"/>
        </w:rPr>
        <w:t xml:space="preserve">La presunción de inocencia se resguarda en el texto constitucional como derecho fundamental a favor de toda persona, con base en el cual se exige que para toda autoridad y ante el procedimiento al que se le sujete, no se estimen verosímiles los cargos atribuidos al </w:t>
      </w:r>
      <w:r w:rsidR="00680150" w:rsidRPr="00422273">
        <w:rPr>
          <w:rFonts w:ascii="Palatino Linotype" w:eastAsiaTheme="minorEastAsia" w:hAnsi="Palatino Linotype"/>
          <w:lang w:val="es-ES" w:eastAsia="es-ES"/>
        </w:rPr>
        <w:lastRenderedPageBreak/>
        <w:t>gobernado respecto a la comisión de delitos, salvo decisión contraria emitida por un tribunal, dentro de la observancia del debido proceso.</w:t>
      </w:r>
    </w:p>
    <w:p w:rsidR="00680150" w:rsidRPr="00422273" w:rsidRDefault="00680150" w:rsidP="00B54731">
      <w:pPr>
        <w:spacing w:line="360" w:lineRule="auto"/>
        <w:ind w:left="851" w:right="822"/>
        <w:contextualSpacing/>
        <w:jc w:val="both"/>
        <w:rPr>
          <w:rFonts w:ascii="Palatino Linotype" w:eastAsiaTheme="minorEastAsia" w:hAnsi="Palatino Linotype"/>
          <w:lang w:val="es-ES" w:eastAsia="es-ES"/>
        </w:rPr>
      </w:pPr>
    </w:p>
    <w:p w:rsidR="00680150" w:rsidRPr="00422273" w:rsidRDefault="000C55ED" w:rsidP="00B54731">
      <w:pPr>
        <w:spacing w:line="360" w:lineRule="auto"/>
        <w:ind w:left="851" w:right="822"/>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iii. </w:t>
      </w:r>
      <w:r w:rsidR="00680150" w:rsidRPr="00422273">
        <w:rPr>
          <w:rFonts w:ascii="Palatino Linotype" w:eastAsiaTheme="minorEastAsia" w:hAnsi="Palatino Linotype"/>
          <w:lang w:val="es-ES" w:eastAsia="es-ES"/>
        </w:rPr>
        <w:t>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Se sigue que, el principio de presunción de inocencia tiene tres significados garantistas que en forma breve pueden enunciarse de la  siguiente forma:</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spacing w:line="360" w:lineRule="auto"/>
        <w:ind w:left="851" w:right="822"/>
        <w:contextualSpacing/>
        <w:jc w:val="both"/>
        <w:rPr>
          <w:rFonts w:ascii="Palatino Linotype" w:eastAsiaTheme="minorEastAsia" w:hAnsi="Palatino Linotype"/>
          <w:lang w:eastAsia="es-ES"/>
        </w:rPr>
      </w:pPr>
      <w:r w:rsidRPr="00422273">
        <w:rPr>
          <w:rFonts w:ascii="Palatino Linotype" w:eastAsiaTheme="minorEastAsia" w:hAnsi="Palatino Linotype"/>
          <w:lang w:eastAsia="es-ES"/>
        </w:rPr>
        <w:t>Primero. Cómo una regla probatoria, que impone la carga de la prueba para quien acusa y, por ende, la absolución en caso de duda.</w:t>
      </w:r>
    </w:p>
    <w:p w:rsidR="000C55ED" w:rsidRPr="00422273" w:rsidRDefault="000C55ED" w:rsidP="00B54731">
      <w:pPr>
        <w:spacing w:line="360" w:lineRule="auto"/>
        <w:ind w:left="851" w:right="822"/>
        <w:contextualSpacing/>
        <w:jc w:val="both"/>
        <w:rPr>
          <w:rFonts w:ascii="Palatino Linotype" w:eastAsiaTheme="minorEastAsia" w:hAnsi="Palatino Linotype"/>
          <w:lang w:eastAsia="es-ES"/>
        </w:rPr>
      </w:pPr>
    </w:p>
    <w:p w:rsidR="00680150" w:rsidRPr="00422273" w:rsidRDefault="00680150" w:rsidP="00B54731">
      <w:pPr>
        <w:spacing w:line="360" w:lineRule="auto"/>
        <w:ind w:left="851" w:right="822"/>
        <w:contextualSpacing/>
        <w:jc w:val="both"/>
        <w:rPr>
          <w:rFonts w:ascii="Palatino Linotype" w:eastAsiaTheme="minorEastAsia" w:hAnsi="Palatino Linotype"/>
          <w:lang w:eastAsia="es-ES"/>
        </w:rPr>
      </w:pPr>
      <w:r w:rsidRPr="00422273">
        <w:rPr>
          <w:rFonts w:ascii="Palatino Linotype" w:eastAsiaTheme="minorEastAsia" w:hAnsi="Palatino Linotype"/>
          <w:lang w:eastAsia="es-ES"/>
        </w:rPr>
        <w:t>Segundo. Como una regla de tratamiento del acusado, que excluye o restringe al máximo la limitación de sus derechos fundamentales, sobre todo los que inciden en su libertad personal, con motivo del proceso que se instaura en su contra.</w:t>
      </w:r>
    </w:p>
    <w:p w:rsidR="000C55ED" w:rsidRPr="00422273" w:rsidRDefault="000C55ED" w:rsidP="00B54731">
      <w:pPr>
        <w:spacing w:line="360" w:lineRule="auto"/>
        <w:ind w:left="851" w:right="822"/>
        <w:contextualSpacing/>
        <w:jc w:val="both"/>
        <w:rPr>
          <w:rFonts w:ascii="Palatino Linotype" w:eastAsiaTheme="minorEastAsia" w:hAnsi="Palatino Linotype"/>
          <w:lang w:eastAsia="es-ES"/>
        </w:rPr>
      </w:pPr>
    </w:p>
    <w:p w:rsidR="00680150" w:rsidRPr="00422273" w:rsidRDefault="00680150" w:rsidP="00B54731">
      <w:pPr>
        <w:spacing w:line="360" w:lineRule="auto"/>
        <w:ind w:left="851" w:right="822"/>
        <w:contextualSpacing/>
        <w:jc w:val="both"/>
        <w:rPr>
          <w:rFonts w:ascii="Palatino Linotype" w:eastAsiaTheme="minorEastAsia" w:hAnsi="Palatino Linotype"/>
          <w:lang w:eastAsia="es-ES"/>
        </w:rPr>
      </w:pPr>
      <w:r w:rsidRPr="00422273">
        <w:rPr>
          <w:rFonts w:ascii="Palatino Linotype" w:eastAsiaTheme="minorEastAsia" w:hAnsi="Palatino Linotype"/>
          <w:lang w:eastAsia="es-ES"/>
        </w:rPr>
        <w:t>Tercero. Como una regla de juicio, que ordena a los jueces la absolución de los inculpados cuando durante el proceso no se aportaron pruebas de cargo suficientes.</w:t>
      </w:r>
    </w:p>
    <w:p w:rsidR="00680150" w:rsidRPr="00422273" w:rsidRDefault="00680150" w:rsidP="00B54731">
      <w:pPr>
        <w:spacing w:line="360" w:lineRule="auto"/>
        <w:ind w:right="49"/>
        <w:contextualSpacing/>
        <w:jc w:val="both"/>
        <w:rPr>
          <w:rFonts w:ascii="Palatino Linotype" w:eastAsiaTheme="minorEastAsia" w:hAnsi="Palatino Linotype"/>
          <w:lang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lastRenderedPageBreak/>
        <w:t xml:space="preserve">En vista de lo anterior, este Instituto estima que en el derecho disciplinario que se sigue en el órgano contralor del Municipio a los servidores públicos en los casos que se presenta una denuncia, es aplicable </w:t>
      </w:r>
      <w:r w:rsidRPr="00422273">
        <w:rPr>
          <w:rFonts w:ascii="Palatino Linotype" w:eastAsiaTheme="minorEastAsia" w:hAnsi="Palatino Linotype"/>
          <w:i/>
          <w:lang w:val="es-ES" w:eastAsia="es-ES"/>
        </w:rPr>
        <w:t>la regla garantista de presunción de inocencia</w:t>
      </w:r>
      <w:r w:rsidRPr="00422273">
        <w:rPr>
          <w:rFonts w:ascii="Palatino Linotype" w:eastAsiaTheme="minorEastAsia" w:hAnsi="Palatino Linotype"/>
          <w:lang w:val="es-ES" w:eastAsia="es-ES"/>
        </w:rPr>
        <w:t>.</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Así, todo servidor público en su carácter de -presunto infractor- tiene el derecho, </w:t>
      </w:r>
      <w:r w:rsidRPr="00422273">
        <w:rPr>
          <w:rFonts w:ascii="Palatino Linotype" w:eastAsiaTheme="minorEastAsia" w:hAnsi="Palatino Linotype"/>
          <w:i/>
          <w:lang w:val="es-ES" w:eastAsia="es-ES"/>
        </w:rPr>
        <w:t>como regla de tratamiento en el proceso</w:t>
      </w:r>
      <w:r w:rsidRPr="00422273">
        <w:rPr>
          <w:rFonts w:ascii="Palatino Linotype" w:eastAsiaTheme="minorEastAsia" w:hAnsi="Palatino Linotype"/>
          <w:lang w:val="es-ES" w:eastAsia="es-ES"/>
        </w:rPr>
        <w:t>, a que se le trate en carácter de inocente hasta que no se emita una resolución firme.</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Con más detenimiento, la primera premisa es que de revelarse la información de las personas a quienes se les ha iniciado un procedimiento administrativo y el nombre de aquellos que tienen un procedimiento instaurado y se encuentra pendiente de resolución </w:t>
      </w:r>
      <w:r w:rsidRPr="00422273">
        <w:rPr>
          <w:rFonts w:ascii="Palatino Linotype" w:eastAsiaTheme="minorEastAsia" w:hAnsi="Palatino Linotype"/>
          <w:i/>
          <w:lang w:val="es-ES" w:eastAsia="es-ES"/>
        </w:rPr>
        <w:t>rompería la regla de tratamiento y de juicio que debe seguirse en la administración de justicia</w:t>
      </w:r>
      <w:r w:rsidRPr="00422273">
        <w:rPr>
          <w:rFonts w:ascii="Palatino Linotype" w:eastAsiaTheme="minorEastAsia" w:hAnsi="Palatino Linotype"/>
          <w:i/>
          <w:vertAlign w:val="superscript"/>
          <w:lang w:val="es-ES" w:eastAsia="es-ES"/>
        </w:rPr>
        <w:footnoteReference w:id="6"/>
      </w:r>
      <w:r w:rsidRPr="00422273">
        <w:rPr>
          <w:rFonts w:ascii="Palatino Linotype" w:eastAsiaTheme="minorEastAsia" w:hAnsi="Palatino Linotype"/>
          <w:lang w:val="es-ES" w:eastAsia="es-ES"/>
        </w:rPr>
        <w:t xml:space="preserve">, es decir, su incidencia tiene implicaciones que pudieran afectar la forma en cómo debe tratarse al servidor público acusado, pues no se ha comprobado en su totalidad que éste incurrió en una infracción, razón por la cual es aplicable la reserva de información prevista en los artículos 20, fracciones IV y VII de la Ley de Transparencia y Acceso a la Información Pública del Estado de México y </w:t>
      </w:r>
      <w:r w:rsidRPr="00422273">
        <w:rPr>
          <w:rFonts w:ascii="Palatino Linotype" w:eastAsiaTheme="minorEastAsia" w:hAnsi="Palatino Linotype"/>
          <w:lang w:val="es-ES" w:eastAsia="es-ES"/>
        </w:rPr>
        <w:lastRenderedPageBreak/>
        <w:t>Municipios</w:t>
      </w:r>
      <w:r w:rsidRPr="00422273">
        <w:rPr>
          <w:rFonts w:ascii="Palatino Linotype" w:eastAsiaTheme="minorEastAsia" w:hAnsi="Palatino Linotype"/>
          <w:vertAlign w:val="superscript"/>
          <w:lang w:val="es-ES" w:eastAsia="es-ES"/>
        </w:rPr>
        <w:footnoteReference w:id="7"/>
      </w:r>
      <w:r w:rsidRPr="00422273">
        <w:rPr>
          <w:rFonts w:ascii="Palatino Linotype" w:eastAsiaTheme="minorEastAsia" w:hAnsi="Palatino Linotype"/>
          <w:lang w:val="es-ES" w:eastAsia="es-ES"/>
        </w:rPr>
        <w:t xml:space="preserve"> con la finalidad de preservar el debido proceso en la aplicación de la administración de justicia a través del resguardo de información que pudiera alterar el principio de presunción de inocencia, de modo tal que el nombre y cargo del servidor público denunciado debe ser protegido, siempre y cuando como se ha mencionado, haya derivado la denuncia en una sanción grave.</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Luego entonces en el caso, se considera que la publicación de quienes se les ha iniciado un procedimiento administrativo y el nombre de aquellos que tienen un procedimiento instaurado y se encuentra pendiente de resolución puede significar una discriminación a su persona hasta en tanto no se determine con firmeza en una resolución si se configuró la infracción administrativa o no.</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El razonamiento que formula este Órgano Garante se construye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lastRenderedPageBreak/>
        <w:t>Resulta necesario tomar en cuenta el derecho al buen nombre y a la intimidad porque se considera que, hasta en que no exista una resolución firme, la publicación de la información solicitada afectaría la reputación de una persona.</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A mayor abundamiento, el derecho al buen nombre es la prerrogativa que tiene toda persona a no ser difamada, esto es, a que por parte de la sociedad se tenga una buena calificación o juicio favorable de su comportamiento mientras no se le pruebe lo contrario; este concepto tienen su basamento en el concepto del honor personal y ambos suponen una valoración de la persona desde la perspectiva de su esfera externa, razón por la cual guardan una íntima relación.  </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Si bien el derecho al buen nombre no es un bien jurídicamente tutelado de manera expresa en el ordenamiento jurídico mexicano si está ligado con la intimidad de una persona, aspecto que sin duda se puede configurase como dato personal sensible ya que a partir de su uso desproporcionado puede destruir la reputación y honorabilidad de una persona.</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680150" w:rsidRPr="00422273" w:rsidRDefault="00680150"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lastRenderedPageBreak/>
        <w:t>En esta condición debe ser resguardada la información con la finalidad de evitar situaciones discriminatorias sobre los servidores públicos a quienes se les inició un procedimiento, o bien, ya iniciado éste no se ha emitido una resolución, por lo que se tiene la intención de salvaguardar los datos sensibles de las personas a quienes no se les ha corroborado como infractores.</w:t>
      </w:r>
    </w:p>
    <w:p w:rsidR="00680150" w:rsidRPr="00422273" w:rsidRDefault="00680150"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B54731">
      <w:pPr>
        <w:pStyle w:val="Prrafodelista"/>
        <w:numPr>
          <w:ilvl w:val="0"/>
          <w:numId w:val="2"/>
        </w:numPr>
        <w:spacing w:line="360" w:lineRule="auto"/>
        <w:ind w:right="49"/>
        <w:jc w:val="both"/>
        <w:rPr>
          <w:rFonts w:ascii="Palatino Linotype" w:eastAsiaTheme="minorEastAsia" w:hAnsi="Palatino Linotype"/>
          <w:b/>
          <w:sz w:val="24"/>
          <w:lang w:eastAsia="es-ES"/>
        </w:rPr>
      </w:pPr>
      <w:bookmarkStart w:id="25" w:name="_Toc80673816"/>
      <w:bookmarkStart w:id="26" w:name="_Toc82519890"/>
      <w:r w:rsidRPr="00422273">
        <w:rPr>
          <w:rFonts w:ascii="Palatino Linotype" w:eastAsiaTheme="minorEastAsia" w:hAnsi="Palatino Linotype"/>
          <w:b/>
          <w:sz w:val="24"/>
          <w:lang w:eastAsia="es-ES"/>
        </w:rPr>
        <w:t>De la información reservada</w:t>
      </w:r>
      <w:bookmarkEnd w:id="25"/>
      <w:r w:rsidRPr="00422273">
        <w:rPr>
          <w:rFonts w:ascii="Palatino Linotype" w:eastAsiaTheme="minorEastAsia" w:hAnsi="Palatino Linotype"/>
          <w:b/>
          <w:sz w:val="24"/>
          <w:lang w:eastAsia="es-ES"/>
        </w:rPr>
        <w:t>, expedientes en trámite y concluidos</w:t>
      </w:r>
      <w:bookmarkEnd w:id="26"/>
    </w:p>
    <w:p w:rsidR="000C55ED" w:rsidRPr="00422273" w:rsidRDefault="000C55ED" w:rsidP="00B54731">
      <w:pPr>
        <w:spacing w:line="360" w:lineRule="auto"/>
        <w:ind w:right="49"/>
        <w:contextualSpacing/>
        <w:jc w:val="both"/>
        <w:rPr>
          <w:rFonts w:ascii="Palatino Linotype" w:eastAsiaTheme="minorEastAsia" w:hAnsi="Palatino Linotype"/>
          <w:b/>
          <w:lang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Así las cosas, es de importante relevancia hacer del conocimiento del </w:t>
      </w:r>
      <w:r w:rsidRPr="00422273">
        <w:rPr>
          <w:rFonts w:ascii="Palatino Linotype" w:eastAsiaTheme="minorEastAsia" w:hAnsi="Palatino Linotype"/>
          <w:b/>
          <w:lang w:val="es-ES" w:eastAsia="es-ES"/>
        </w:rPr>
        <w:t>SUJETO OBLIGADO</w:t>
      </w:r>
      <w:r w:rsidRPr="00422273">
        <w:rPr>
          <w:rFonts w:ascii="Palatino Linotype" w:eastAsiaTheme="minorEastAsia" w:hAnsi="Palatino Linotype"/>
          <w:lang w:val="es-ES" w:eastAsia="es-ES"/>
        </w:rPr>
        <w:t xml:space="preserve"> que la información con la que cuente respecto de expedientes de procedimientos administrativos </w:t>
      </w:r>
      <w:r w:rsidR="00B6153E" w:rsidRPr="00422273">
        <w:rPr>
          <w:rFonts w:ascii="Palatino Linotype" w:eastAsiaTheme="minorEastAsia" w:hAnsi="Palatino Linotype"/>
          <w:lang w:val="es-ES" w:eastAsia="es-ES"/>
        </w:rPr>
        <w:t xml:space="preserve">que </w:t>
      </w:r>
      <w:r w:rsidRPr="00422273">
        <w:rPr>
          <w:rFonts w:ascii="Palatino Linotype" w:eastAsiaTheme="minorEastAsia" w:hAnsi="Palatino Linotype"/>
          <w:lang w:val="es-ES" w:eastAsia="es-ES"/>
        </w:rPr>
        <w:t xml:space="preserve">no han causado estado; es decir, que el principio de </w:t>
      </w:r>
      <w:proofErr w:type="spellStart"/>
      <w:r w:rsidRPr="00422273">
        <w:rPr>
          <w:rFonts w:ascii="Palatino Linotype" w:eastAsiaTheme="minorEastAsia" w:hAnsi="Palatino Linotype"/>
          <w:lang w:val="es-ES" w:eastAsia="es-ES"/>
        </w:rPr>
        <w:t>definitividad</w:t>
      </w:r>
      <w:proofErr w:type="spellEnd"/>
      <w:r w:rsidRPr="00422273">
        <w:rPr>
          <w:rFonts w:ascii="Palatino Linotype" w:eastAsiaTheme="minorEastAsia" w:hAnsi="Palatino Linotype"/>
          <w:lang w:val="es-ES" w:eastAsia="es-ES"/>
        </w:rPr>
        <w:t xml:space="preserve"> no se haya actualizado, por aún existir instancias para su revisión o impugnación o en su caso que no haya causado estado, dicha información reviste el ca</w:t>
      </w:r>
      <w:r w:rsidR="00B6153E" w:rsidRPr="00422273">
        <w:rPr>
          <w:rFonts w:ascii="Palatino Linotype" w:eastAsiaTheme="minorEastAsia" w:hAnsi="Palatino Linotype"/>
          <w:lang w:val="es-ES" w:eastAsia="es-ES"/>
        </w:rPr>
        <w:t xml:space="preserve">rácter de información reservada y en este caso, se deberá emitir un acuerdo que clasifique </w:t>
      </w:r>
      <w:r w:rsidR="00422273" w:rsidRPr="00422273">
        <w:rPr>
          <w:rFonts w:ascii="Palatino Linotype" w:eastAsiaTheme="minorEastAsia" w:hAnsi="Palatino Linotype"/>
          <w:lang w:val="es-ES" w:eastAsia="es-ES"/>
        </w:rPr>
        <w:t xml:space="preserve">como reservado </w:t>
      </w:r>
      <w:r w:rsidR="00B6153E" w:rsidRPr="00422273">
        <w:rPr>
          <w:rFonts w:ascii="Palatino Linotype" w:eastAsiaTheme="minorEastAsia" w:hAnsi="Palatino Linotype"/>
          <w:lang w:val="es-ES" w:eastAsia="es-ES"/>
        </w:rPr>
        <w:t>el pronunciamiento sobre la existencia de un procedimiento sobre responsabilidad administrativa</w:t>
      </w:r>
      <w:r w:rsidRPr="00422273">
        <w:rPr>
          <w:rFonts w:ascii="Palatino Linotype" w:eastAsiaTheme="minorEastAsia" w:hAnsi="Palatino Linotype"/>
          <w:lang w:val="es-ES" w:eastAsia="es-ES"/>
        </w:rPr>
        <w:t>; pero si el o los expediente aludidos ya han causado estado, es decir, que ya no acepta recurso o medio de defensa alguno, es procedente entregar la información al recurrente pero en versión pública protegiendo todos los datos personales que en éste se encuentren, para lo cual el Sujeto Obligado deberá realizar y notificar el acuerdo de clasificación de la información relativa a los datos personales a efecto de que pueda emitir la versión pública de lo que se le solicitó.</w:t>
      </w:r>
    </w:p>
    <w:p w:rsidR="00422273" w:rsidRPr="00422273" w:rsidRDefault="00422273" w:rsidP="00422273">
      <w:pPr>
        <w:spacing w:line="360" w:lineRule="auto"/>
        <w:ind w:right="49"/>
        <w:contextualSpacing/>
        <w:jc w:val="both"/>
        <w:rPr>
          <w:rFonts w:ascii="Palatino Linotype" w:eastAsiaTheme="minorEastAsia" w:hAnsi="Palatino Linotype"/>
          <w:lang w:val="es-ES" w:eastAsia="es-ES"/>
        </w:rPr>
      </w:pPr>
    </w:p>
    <w:p w:rsidR="000C55ED" w:rsidRPr="00422273" w:rsidRDefault="00422273"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Esto</w:t>
      </w:r>
      <w:r w:rsidR="000C55ED" w:rsidRPr="00422273">
        <w:rPr>
          <w:rFonts w:ascii="Palatino Linotype" w:eastAsiaTheme="minorEastAsia" w:hAnsi="Palatino Linotype"/>
          <w:lang w:val="es-ES" w:eastAsia="es-ES"/>
        </w:rPr>
        <w:t xml:space="preserve"> </w:t>
      </w:r>
      <w:r w:rsidR="00B6153E" w:rsidRPr="00422273">
        <w:rPr>
          <w:rFonts w:ascii="Palatino Linotype" w:eastAsiaTheme="minorEastAsia" w:hAnsi="Palatino Linotype"/>
          <w:lang w:val="es-ES" w:eastAsia="es-ES"/>
        </w:rPr>
        <w:t xml:space="preserve">para dar </w:t>
      </w:r>
      <w:r w:rsidR="000C55ED" w:rsidRPr="00422273">
        <w:rPr>
          <w:rFonts w:ascii="Palatino Linotype" w:eastAsiaTheme="minorEastAsia" w:hAnsi="Palatino Linotype"/>
          <w:lang w:val="es-ES" w:eastAsia="es-ES"/>
        </w:rPr>
        <w:t xml:space="preserve"> seguridad jurídica al solicitante que por alguna excepción establecida en Ley no es posible acceder temporalmente a la información referida </w:t>
      </w:r>
      <w:r w:rsidR="000C55ED" w:rsidRPr="00422273">
        <w:rPr>
          <w:rFonts w:ascii="Palatino Linotype" w:eastAsiaTheme="minorEastAsia" w:hAnsi="Palatino Linotype"/>
          <w:lang w:val="es-ES" w:eastAsia="es-ES"/>
        </w:rPr>
        <w:lastRenderedPageBreak/>
        <w:t xml:space="preserve">anteriormente, para así no dejar en estado de indefensión y exista certeza jurídica de lo expuesto por el Sujeto Obligado. </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Artículo 3. Para los efectos de la presente Ley se entenderá por:</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b/>
          <w:i/>
          <w:sz w:val="22"/>
          <w:lang w:eastAsia="es-ES"/>
        </w:rPr>
        <w:t xml:space="preserve">XXIV. Información reservada: </w:t>
      </w:r>
      <w:r w:rsidRPr="00422273">
        <w:rPr>
          <w:rFonts w:ascii="Palatino Linotype" w:eastAsiaTheme="minorEastAsia" w:hAnsi="Palatino Linotype"/>
          <w:i/>
          <w:sz w:val="22"/>
          <w:lang w:eastAsia="es-ES"/>
        </w:rPr>
        <w:t>La clasificada con este carácter de manera temporal por las disposiciones de esta Ley, cuya divulgación puede causar daño en términos de lo establecido por esta Ley;</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 xml:space="preserve">Artículo 122. </w:t>
      </w:r>
      <w:r w:rsidRPr="00422273">
        <w:rPr>
          <w:rFonts w:ascii="Palatino Linotype" w:eastAsiaTheme="minorEastAsia" w:hAnsi="Palatino Linotype"/>
          <w:b/>
          <w:i/>
          <w:sz w:val="22"/>
          <w:lang w:eastAsia="es-ES"/>
        </w:rPr>
        <w:t xml:space="preserve">La clasificación es el proceso mediante el cual el Sujeto Obligado determina que la información en su poder </w:t>
      </w:r>
      <w:proofErr w:type="spellStart"/>
      <w:r w:rsidRPr="00422273">
        <w:rPr>
          <w:rFonts w:ascii="Palatino Linotype" w:eastAsiaTheme="minorEastAsia" w:hAnsi="Palatino Linotype"/>
          <w:b/>
          <w:i/>
          <w:sz w:val="22"/>
          <w:lang w:eastAsia="es-ES"/>
        </w:rPr>
        <w:t>actualiza</w:t>
      </w:r>
      <w:proofErr w:type="spellEnd"/>
      <w:r w:rsidRPr="00422273">
        <w:rPr>
          <w:rFonts w:ascii="Palatino Linotype" w:eastAsiaTheme="minorEastAsia" w:hAnsi="Palatino Linotype"/>
          <w:b/>
          <w:i/>
          <w:sz w:val="22"/>
          <w:lang w:eastAsia="es-ES"/>
        </w:rPr>
        <w:t xml:space="preserve"> alguno de los supuestos de reserva</w:t>
      </w:r>
      <w:r w:rsidRPr="00422273">
        <w:rPr>
          <w:rFonts w:ascii="Palatino Linotype" w:eastAsiaTheme="minorEastAsia" w:hAnsi="Palatino Linotype"/>
          <w:i/>
          <w:sz w:val="22"/>
          <w:lang w:eastAsia="es-ES"/>
        </w:rPr>
        <w:t xml:space="preserve"> o confidencialidad, de conformidad con lo dispuesto en el presente título.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Los supuestos de reserva o confidencialidad previstos en las leyes deberán ser acordes con las bases, principios y disposiciones establecidos en la Ley General y, en ningún caso, podrán contravenirla.</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Los titulares de las áreas de los sujetos obligados serán los responsables de clasificar la información, de conformidad con lo dispuesto en la presente Ley y demás disposiciones jurídicas aplicables.</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b/>
          <w:i/>
          <w:sz w:val="22"/>
          <w:lang w:eastAsia="es-ES"/>
        </w:rPr>
        <w:t xml:space="preserve">Artículo 125. La información clasificada como reservada, de acuerdo a lo establecido en esta Ley podrá permanecer con tal carácter hasta por un periodo de cinco años, </w:t>
      </w:r>
      <w:r w:rsidRPr="00422273">
        <w:rPr>
          <w:rFonts w:ascii="Palatino Linotype" w:eastAsiaTheme="minorEastAsia" w:hAnsi="Palatino Linotype"/>
          <w:i/>
          <w:sz w:val="22"/>
          <w:lang w:eastAsia="es-ES"/>
        </w:rPr>
        <w:t>contados a partir de su clasificación, salvo que antes del cumplimiento del periodo de restricción, dejaran de existir los motivos de su reserva.</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lastRenderedPageBreak/>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 xml:space="preserve">Artículo 128. En los casos en que se niegue el acceso a la información, por actualizarse alguno de los supuestos de clasificación, el Comité de Transparencia deberá confirmar, modificar o revocar la decisión. </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i/>
          <w:sz w:val="22"/>
          <w:lang w:eastAsia="es-ES"/>
        </w:rPr>
        <w:t xml:space="preserve">Para motivar la clasificación de la información y la ampliación del plazo de reserva, </w:t>
      </w:r>
      <w:r w:rsidRPr="00422273">
        <w:rPr>
          <w:rFonts w:ascii="Palatino Linotype" w:eastAsiaTheme="minorEastAsia" w:hAnsi="Palatino Linotype"/>
          <w:b/>
          <w:i/>
          <w:sz w:val="22"/>
          <w:lang w:eastAsia="es-ES"/>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Tratándose de aquélla información que actualice los supuestos de clasificación, deberá señalarse el plazo al que estará sujeto la reserva.</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u w:val="single"/>
          <w:lang w:eastAsia="es-ES"/>
        </w:rPr>
      </w:pPr>
      <w:r w:rsidRPr="00422273">
        <w:rPr>
          <w:rFonts w:ascii="Palatino Linotype" w:eastAsiaTheme="minorEastAsia" w:hAnsi="Palatino Linotype"/>
          <w:i/>
          <w:sz w:val="22"/>
          <w:lang w:eastAsia="es-ES"/>
        </w:rPr>
        <w:t xml:space="preserve">Artículo 129. </w:t>
      </w:r>
      <w:r w:rsidRPr="00422273">
        <w:rPr>
          <w:rFonts w:ascii="Palatino Linotype" w:eastAsiaTheme="minorEastAsia" w:hAnsi="Palatino Linotype"/>
          <w:b/>
          <w:i/>
          <w:sz w:val="22"/>
          <w:lang w:eastAsia="es-ES"/>
        </w:rPr>
        <w:t>En la aplicación de la prueba de daño, el Sujeto Obligado deberá precisar las razones objetivas por las que la apertura de la información generaría una afectación, justificando que:</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I. La divulgación de la información representa un riesgo real, demostrable e identificable del perjuicio significativo al interés público o a la seguridad pública;</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lastRenderedPageBreak/>
        <w:t>II. El riesgo de perjuicio que supondría la divulgación supera el interés público general de que se difunda; y</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III. La limitación se adecua al principio de proporcionalidad y representa el medio menos restrictivo disponible representa el medio menos restrictivo disponible para evitar el perjuicio.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b/>
          <w:i/>
          <w:sz w:val="22"/>
          <w:u w:val="single"/>
          <w:lang w:eastAsia="es-ES"/>
        </w:rPr>
        <w:t>Artículo 130. Los sujetos obligados deberán aplicar, de manera restrictiva y limitada, las excepciones al derecho de acceso a la información y sólo podrán invocarlas cuando acrediten su procedencia</w:t>
      </w:r>
      <w:r w:rsidRPr="00422273">
        <w:rPr>
          <w:rFonts w:ascii="Palatino Linotype" w:eastAsiaTheme="minorEastAsia" w:hAnsi="Palatino Linotype"/>
          <w:i/>
          <w:sz w:val="22"/>
          <w:lang w:eastAsia="es-ES"/>
        </w:rPr>
        <w:t>, sin ampliar las excepciones o supuestos de reserva o confidencialidad previstos en la Ley General y la presente Ley, aduciendo analogía o mayoría de razón.</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Artículo 140. El acceso a la información pública será restringido excepcionalmente, cuando por razones de interés público, ésta sea clasificada como reservada, conforme a los criterios siguientes:</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b/>
          <w:i/>
          <w:sz w:val="22"/>
          <w:lang w:eastAsia="es-ES"/>
        </w:rPr>
        <w:t>VI.</w:t>
      </w:r>
      <w:r w:rsidRPr="00422273">
        <w:rPr>
          <w:rFonts w:ascii="Palatino Linotype" w:eastAsiaTheme="minorEastAsia" w:hAnsi="Palatino Linotype"/>
          <w:i/>
          <w:sz w:val="22"/>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C55ED" w:rsidRPr="00422273" w:rsidRDefault="000C55ED" w:rsidP="00B54731">
      <w:pPr>
        <w:spacing w:line="360" w:lineRule="auto"/>
        <w:ind w:right="49"/>
        <w:contextualSpacing/>
        <w:jc w:val="both"/>
        <w:rPr>
          <w:rFonts w:ascii="Palatino Linotype" w:eastAsiaTheme="minorEastAsia" w:hAnsi="Palatino Linotype"/>
          <w:i/>
          <w:lang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De la interpretación sistemática de los artículos citados, se advierte que el Sujeto Obligado debe realizar la debida reserva de la información por seguir en trámite el procedimiento aludido, siguiendo los requisitos expuestos: </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val="es-ES" w:eastAsia="es-ES"/>
        </w:rPr>
      </w:pPr>
      <w:r w:rsidRPr="00422273">
        <w:rPr>
          <w:rFonts w:ascii="Palatino Linotype" w:eastAsiaTheme="minorEastAsia" w:hAnsi="Palatino Linotype"/>
          <w:b/>
          <w:i/>
          <w:sz w:val="22"/>
          <w:lang w:val="es-ES" w:eastAsia="es-ES"/>
        </w:rPr>
        <w:t>La divulgación de la información representa un riesgo real, demostrable e identificable del perjuicio significativo al interés público o a la seguridad pública;</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val="es-ES" w:eastAsia="es-ES"/>
        </w:rPr>
      </w:pPr>
      <w:r w:rsidRPr="00422273">
        <w:rPr>
          <w:rFonts w:ascii="Palatino Linotype" w:eastAsiaTheme="minorEastAsia" w:hAnsi="Palatino Linotype"/>
          <w:b/>
          <w:i/>
          <w:sz w:val="22"/>
          <w:lang w:val="es-ES" w:eastAsia="es-ES"/>
        </w:rPr>
        <w:t>El riesgo de perjuicio que supondría la divulgación supera el interés público general de que se difunda; y</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val="es-ES" w:eastAsia="es-ES"/>
        </w:rPr>
      </w:pPr>
      <w:r w:rsidRPr="00422273">
        <w:rPr>
          <w:rFonts w:ascii="Palatino Linotype" w:eastAsiaTheme="minorEastAsia" w:hAnsi="Palatino Linotype"/>
          <w:b/>
          <w:i/>
          <w:sz w:val="22"/>
          <w:lang w:val="es-ES" w:eastAsia="es-ES"/>
        </w:rPr>
        <w:t>La limitación se adecua al principio de proporcionalidad y representa el medio menos restrictivo disponible representa el medio menos restrictivo disponible para evitar el perjuicio.</w:t>
      </w:r>
    </w:p>
    <w:p w:rsidR="008C4BC2" w:rsidRPr="00422273" w:rsidRDefault="008C4BC2" w:rsidP="00422273">
      <w:pPr>
        <w:spacing w:line="360" w:lineRule="auto"/>
        <w:ind w:left="851" w:right="822"/>
        <w:contextualSpacing/>
        <w:jc w:val="both"/>
        <w:rPr>
          <w:rFonts w:ascii="Palatino Linotype" w:eastAsiaTheme="minorEastAsia" w:hAnsi="Palatino Linotype"/>
          <w:b/>
          <w:i/>
          <w:sz w:val="22"/>
          <w:lang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422273">
      <w:pPr>
        <w:spacing w:line="360" w:lineRule="auto"/>
        <w:ind w:left="851" w:right="822"/>
        <w:contextualSpacing/>
        <w:jc w:val="both"/>
        <w:rPr>
          <w:rFonts w:ascii="Palatino Linotype" w:eastAsiaTheme="minorEastAsia" w:hAnsi="Palatino Linotype"/>
          <w:b/>
          <w:bCs/>
          <w:i/>
          <w:sz w:val="22"/>
          <w:lang w:eastAsia="es-ES"/>
        </w:rPr>
      </w:pPr>
      <w:r w:rsidRPr="00422273">
        <w:rPr>
          <w:rFonts w:ascii="Palatino Linotype" w:eastAsiaTheme="minorEastAsia" w:hAnsi="Palatino Linotype"/>
          <w:b/>
          <w:bCs/>
          <w:i/>
          <w:sz w:val="22"/>
          <w:lang w:eastAsia="es-ES"/>
        </w:rPr>
        <w:t>FUNDAMENTACIÓN Y MOTIVACIÓN. EL ASPECTO FORMAL DE LA GARANTÍA Y SU FINALIDAD SE TRADUCEN EN EXPLICAR, JUSTIFICAR, POSIBILITAR LA DEFENSA Y COMUNICAR LA DECISIÓN.</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El contenido formal de la garantía de legalidad prevista en el artículo </w:t>
      </w:r>
      <w:hyperlink r:id="rId16" w:history="1">
        <w:r w:rsidRPr="00422273">
          <w:rPr>
            <w:rStyle w:val="Hipervnculo"/>
            <w:rFonts w:ascii="Palatino Linotype" w:eastAsiaTheme="minorEastAsia" w:hAnsi="Palatino Linotype"/>
            <w:i/>
            <w:sz w:val="22"/>
            <w:lang w:eastAsia="es-ES"/>
          </w:rPr>
          <w:t>16 constitucional</w:t>
        </w:r>
      </w:hyperlink>
      <w:r w:rsidRPr="00422273">
        <w:rPr>
          <w:rFonts w:ascii="Palatino Linotype" w:eastAsiaTheme="minorEastAsia" w:hAnsi="Palatino Linotype"/>
          <w:i/>
          <w:sz w:val="22"/>
          <w:lang w:eastAsia="es-ES"/>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422273">
        <w:rPr>
          <w:rFonts w:ascii="Palatino Linotype" w:eastAsiaTheme="minorEastAsia" w:hAnsi="Palatino Linotype"/>
          <w:i/>
          <w:sz w:val="22"/>
          <w:lang w:eastAsia="es-ES"/>
        </w:rPr>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C55ED" w:rsidRPr="00422273" w:rsidRDefault="000C55ED" w:rsidP="00B54731">
      <w:pPr>
        <w:spacing w:line="360" w:lineRule="auto"/>
        <w:ind w:right="49"/>
        <w:contextualSpacing/>
        <w:jc w:val="both"/>
        <w:rPr>
          <w:rFonts w:ascii="Palatino Linotype" w:eastAsiaTheme="minorEastAsia" w:hAnsi="Palatino Linotype"/>
          <w:i/>
          <w:lang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deberá clasificarla por la hipótesis análoga siendo aplicables los numerales de la Ley de la materia, que a la letra esgrimen:</w:t>
      </w:r>
    </w:p>
    <w:p w:rsidR="000C55ED" w:rsidRPr="00422273" w:rsidRDefault="000C55ED" w:rsidP="00B54731">
      <w:pPr>
        <w:spacing w:line="360" w:lineRule="auto"/>
        <w:ind w:right="49"/>
        <w:contextualSpacing/>
        <w:jc w:val="both"/>
        <w:rPr>
          <w:rFonts w:ascii="Palatino Linotype" w:eastAsiaTheme="minorEastAsia" w:hAnsi="Palatino Linotype"/>
          <w:sz w:val="22"/>
          <w:lang w:val="es-ES" w:eastAsia="es-ES"/>
        </w:rPr>
      </w:pP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Artículo 3. Para los efectos de la presente Ley se entenderá por:</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IX. Datos personales: La información concerniente a una persona, identificada o identificable según lo dispuesto por la Ley de Protección de Datos Personales del Estado de México;</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lastRenderedPageBreak/>
        <w:t>XLV. Versión pública: Documento en el que se elimine, suprime o borra la información clasificada como reservada o confidencial para permitir su acceso.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 xml:space="preserve">Artículo 122. La clasificación es el proceso mediante el cual el Sujeto Obligado determina que la información en su poder </w:t>
      </w:r>
      <w:proofErr w:type="spellStart"/>
      <w:r w:rsidRPr="00422273">
        <w:rPr>
          <w:rFonts w:ascii="Palatino Linotype" w:eastAsiaTheme="minorEastAsia" w:hAnsi="Palatino Linotype"/>
          <w:i/>
          <w:sz w:val="22"/>
          <w:lang w:eastAsia="es-ES"/>
        </w:rPr>
        <w:t>actualiza</w:t>
      </w:r>
      <w:proofErr w:type="spellEnd"/>
      <w:r w:rsidRPr="00422273">
        <w:rPr>
          <w:rFonts w:ascii="Palatino Linotype" w:eastAsiaTheme="minorEastAsia" w:hAnsi="Palatino Linotype"/>
          <w:i/>
          <w:sz w:val="22"/>
          <w:lang w:eastAsia="es-ES"/>
        </w:rPr>
        <w:t xml:space="preserve"> alguno de los supuestos de reserva o confidencialidad, de conformidad con lo dispuesto en el presente título.</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Artículo 132. La clasificación de la información se llevará a cabo en el momento en que:</w:t>
      </w:r>
    </w:p>
    <w:p w:rsidR="000C55ED" w:rsidRPr="00422273" w:rsidRDefault="000C55ED" w:rsidP="00422273">
      <w:pPr>
        <w:spacing w:line="360" w:lineRule="auto"/>
        <w:ind w:left="851" w:right="822"/>
        <w:contextualSpacing/>
        <w:jc w:val="both"/>
        <w:rPr>
          <w:rFonts w:ascii="Palatino Linotype" w:eastAsiaTheme="minorEastAsia" w:hAnsi="Palatino Linotype"/>
          <w:i/>
          <w:sz w:val="22"/>
          <w:lang w:eastAsia="es-ES"/>
        </w:rPr>
      </w:pPr>
      <w:r w:rsidRPr="00422273">
        <w:rPr>
          <w:rFonts w:ascii="Palatino Linotype" w:eastAsiaTheme="minorEastAsia" w:hAnsi="Palatino Linotype"/>
          <w:i/>
          <w:sz w:val="22"/>
          <w:lang w:eastAsia="es-ES"/>
        </w:rPr>
        <w:t>[…]</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lang w:eastAsia="es-ES"/>
        </w:rPr>
      </w:pPr>
      <w:r w:rsidRPr="00422273">
        <w:rPr>
          <w:rFonts w:ascii="Palatino Linotype" w:eastAsiaTheme="minorEastAsia" w:hAnsi="Palatino Linotype"/>
          <w:b/>
          <w:i/>
          <w:sz w:val="22"/>
          <w:lang w:eastAsia="es-ES"/>
        </w:rPr>
        <w:t>III. Se generen versiones públicas para dar cumplimiento a las obligaciones de transparencia previstas en esta Ley.</w:t>
      </w:r>
    </w:p>
    <w:p w:rsidR="000C55ED" w:rsidRPr="00422273" w:rsidRDefault="000C55ED" w:rsidP="00422273">
      <w:pPr>
        <w:spacing w:line="360" w:lineRule="auto"/>
        <w:ind w:left="851" w:right="822"/>
        <w:contextualSpacing/>
        <w:jc w:val="both"/>
        <w:rPr>
          <w:rFonts w:ascii="Palatino Linotype" w:eastAsiaTheme="minorEastAsia" w:hAnsi="Palatino Linotype"/>
          <w:b/>
          <w:i/>
          <w:sz w:val="22"/>
          <w:u w:val="single"/>
          <w:lang w:eastAsia="es-ES"/>
        </w:rPr>
      </w:pPr>
      <w:r w:rsidRPr="00422273">
        <w:rPr>
          <w:rFonts w:ascii="Palatino Linotype" w:eastAsiaTheme="minorEastAsia" w:hAnsi="Palatino Linotype"/>
          <w:b/>
          <w:i/>
          <w:sz w:val="22"/>
          <w:lang w:eastAsia="es-ES"/>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422273">
        <w:rPr>
          <w:rFonts w:ascii="Palatino Linotype" w:eastAsiaTheme="minorEastAsia" w:hAnsi="Palatino Linotype"/>
          <w:b/>
          <w:i/>
          <w:sz w:val="22"/>
          <w:u w:val="single"/>
          <w:lang w:eastAsia="es-ES"/>
        </w:rPr>
        <w:t>de manera genérica y fundando y motivando su clasificación.</w:t>
      </w:r>
    </w:p>
    <w:p w:rsidR="000C55ED" w:rsidRPr="00422273" w:rsidRDefault="000C55ED" w:rsidP="00B54731">
      <w:pPr>
        <w:spacing w:line="360" w:lineRule="auto"/>
        <w:ind w:right="49"/>
        <w:contextualSpacing/>
        <w:jc w:val="both"/>
        <w:rPr>
          <w:rFonts w:ascii="Palatino Linotype" w:eastAsiaTheme="minorEastAsia" w:hAnsi="Palatino Linotype"/>
          <w:b/>
          <w:i/>
          <w:u w:val="single"/>
          <w:lang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w:t>
      </w:r>
      <w:r w:rsidRPr="00422273">
        <w:rPr>
          <w:rFonts w:ascii="Palatino Linotype" w:eastAsiaTheme="minorEastAsia" w:hAnsi="Palatino Linotype"/>
          <w:lang w:val="es-ES" w:eastAsia="es-ES"/>
        </w:rPr>
        <w:lastRenderedPageBreak/>
        <w:t xml:space="preserve">que efectúen los Sujetos Obligados deberá estar justificado en la Ley, lo anterior en términos de lo dispuesto por el artículo 14 con relación con el 58 de la Ley de Protección de Datos Personales del Estado de México. </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rsidR="000C55ED" w:rsidRPr="00422273" w:rsidRDefault="000C55ED" w:rsidP="00B54731">
      <w:pPr>
        <w:spacing w:line="360" w:lineRule="auto"/>
        <w:ind w:right="49"/>
        <w:contextualSpacing/>
        <w:jc w:val="both"/>
        <w:rPr>
          <w:rFonts w:ascii="Palatino Linotype" w:eastAsiaTheme="minorEastAsia" w:hAnsi="Palatino Linotype"/>
          <w:lang w:val="es-ES" w:eastAsia="es-ES"/>
        </w:rPr>
      </w:pPr>
    </w:p>
    <w:p w:rsidR="000C55ED" w:rsidRPr="00422273" w:rsidRDefault="000C55ED"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Efectivamente, cuando se clasifica información como confidencial o reservada </w:t>
      </w:r>
      <w:r w:rsidRPr="00422273">
        <w:rPr>
          <w:rFonts w:ascii="Palatino Linotype" w:eastAsiaTheme="minorEastAsia" w:hAnsi="Palatino Linotype"/>
          <w:b/>
          <w:lang w:val="es-ES" w:eastAsia="es-ES"/>
        </w:rPr>
        <w:t>es deber someterlo al Comité de Transparencia</w:t>
      </w:r>
      <w:r w:rsidRPr="00422273">
        <w:rPr>
          <w:rFonts w:ascii="Palatino Linotype" w:eastAsiaTheme="minorEastAsia" w:hAnsi="Palatino Linotype"/>
          <w:lang w:val="es-ES" w:eastAsia="es-ES"/>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w:t>
      </w:r>
      <w:r w:rsidRPr="00422273">
        <w:rPr>
          <w:rFonts w:ascii="Palatino Linotype" w:eastAsiaTheme="minorEastAsia" w:hAnsi="Palatino Linotype"/>
          <w:lang w:val="es-ES" w:eastAsia="es-ES"/>
        </w:rPr>
        <w:lastRenderedPageBreak/>
        <w:t>no justificar las causas o motivos por las que no se aprecian determinados datos -ya sea porque se testan o suprimen- deja al solicitante en estado de incertidumbre, al no conocer o comprender porque no aparecen en la documentación respectiva.</w:t>
      </w:r>
    </w:p>
    <w:p w:rsidR="00060299" w:rsidRPr="00422273" w:rsidRDefault="00060299"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pStyle w:val="Prrafodelista"/>
        <w:numPr>
          <w:ilvl w:val="0"/>
          <w:numId w:val="2"/>
        </w:numPr>
        <w:spacing w:line="360" w:lineRule="auto"/>
        <w:ind w:right="49"/>
        <w:jc w:val="both"/>
        <w:rPr>
          <w:rFonts w:ascii="Palatino Linotype" w:eastAsiaTheme="minorEastAsia" w:hAnsi="Palatino Linotype"/>
          <w:b/>
          <w:sz w:val="24"/>
          <w:lang w:eastAsia="es-ES"/>
        </w:rPr>
      </w:pPr>
      <w:r w:rsidRPr="00422273">
        <w:rPr>
          <w:rFonts w:ascii="Palatino Linotype" w:eastAsiaTheme="minorEastAsia" w:hAnsi="Palatino Linotype"/>
          <w:b/>
          <w:sz w:val="24"/>
          <w:lang w:eastAsia="es-ES"/>
        </w:rPr>
        <w:t>Procedimientos en trámite a la fecha de la presente resolución.</w:t>
      </w:r>
    </w:p>
    <w:p w:rsidR="00060299" w:rsidRPr="00422273" w:rsidRDefault="00060299"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iCs/>
          <w:lang w:val="es-ES" w:eastAsia="es-ES"/>
        </w:rPr>
      </w:pPr>
      <w:r w:rsidRPr="00422273">
        <w:rPr>
          <w:rFonts w:ascii="Palatino Linotype" w:eastAsiaTheme="minorEastAsia" w:hAnsi="Palatino Linotype"/>
          <w:bCs/>
          <w:iCs/>
          <w:lang w:val="es-ES" w:eastAsia="es-ES"/>
        </w:rPr>
        <w:t xml:space="preserve">Al </w:t>
      </w:r>
      <w:r w:rsidRPr="00422273">
        <w:rPr>
          <w:rFonts w:ascii="Palatino Linotype" w:eastAsiaTheme="minorEastAsia" w:hAnsi="Palatino Linotype"/>
          <w:lang w:val="es-ES" w:eastAsia="es-ES"/>
        </w:rPr>
        <w:t>respecto</w:t>
      </w:r>
      <w:r w:rsidRPr="00422273">
        <w:rPr>
          <w:rFonts w:ascii="Palatino Linotype" w:eastAsiaTheme="minorEastAsia" w:hAnsi="Palatino Linotype"/>
          <w:bCs/>
          <w:iCs/>
          <w:lang w:val="es-ES" w:eastAsia="es-ES"/>
        </w:rPr>
        <w:t>, el artículo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será reservada.</w:t>
      </w:r>
    </w:p>
    <w:p w:rsidR="00060299" w:rsidRPr="00422273" w:rsidRDefault="00060299" w:rsidP="00B54731">
      <w:pPr>
        <w:spacing w:line="360" w:lineRule="auto"/>
        <w:ind w:right="49"/>
        <w:contextualSpacing/>
        <w:jc w:val="both"/>
        <w:rPr>
          <w:rFonts w:ascii="Palatino Linotype" w:eastAsiaTheme="minorEastAsia" w:hAnsi="Palatino Linotype"/>
          <w:bCs/>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iCs/>
          <w:lang w:val="es-ES" w:eastAsia="es-ES"/>
        </w:rPr>
      </w:pPr>
      <w:r w:rsidRPr="00422273">
        <w:rPr>
          <w:rFonts w:ascii="Palatino Linotype" w:eastAsiaTheme="minorEastAsia" w:hAnsi="Palatino Linotype"/>
          <w:bCs/>
          <w:iCs/>
          <w:lang w:val="es-ES" w:eastAsia="es-ES"/>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060299" w:rsidRPr="00422273" w:rsidRDefault="00060299" w:rsidP="00B54731">
      <w:pPr>
        <w:spacing w:line="360" w:lineRule="auto"/>
        <w:ind w:right="49"/>
        <w:contextualSpacing/>
        <w:jc w:val="both"/>
        <w:rPr>
          <w:rFonts w:ascii="Palatino Linotype" w:eastAsiaTheme="minorEastAsia" w:hAnsi="Palatino Linotype"/>
          <w:bCs/>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 xml:space="preserve">Por su parte, en los Lineamientos Generales en Materia de Clasificación y Desclasificación de la </w:t>
      </w:r>
      <w:r w:rsidRPr="00422273">
        <w:rPr>
          <w:rFonts w:ascii="Palatino Linotype" w:eastAsiaTheme="minorEastAsia" w:hAnsi="Palatino Linotype"/>
          <w:bCs/>
          <w:iCs/>
          <w:lang w:val="es-ES" w:eastAsia="es-ES"/>
        </w:rPr>
        <w:t>Información</w:t>
      </w:r>
      <w:r w:rsidRPr="00422273">
        <w:rPr>
          <w:rFonts w:ascii="Palatino Linotype" w:eastAsiaTheme="minorEastAsia" w:hAnsi="Palatino Linotype"/>
          <w:iCs/>
          <w:lang w:val="es-ES" w:eastAsia="es-ES"/>
        </w:rPr>
        <w:t>, así como para la elaboración de versiones públicas, se establece lo siguiente:</w:t>
      </w:r>
    </w:p>
    <w:p w:rsidR="00060299" w:rsidRPr="00422273" w:rsidRDefault="00060299" w:rsidP="00422273">
      <w:pPr>
        <w:spacing w:line="360" w:lineRule="auto"/>
        <w:ind w:left="851" w:right="822"/>
        <w:contextualSpacing/>
        <w:jc w:val="both"/>
        <w:rPr>
          <w:rFonts w:ascii="Palatino Linotype" w:eastAsiaTheme="minorEastAsia" w:hAnsi="Palatino Linotype"/>
          <w:i/>
          <w:iCs/>
          <w:sz w:val="22"/>
          <w:lang w:val="es-ES" w:eastAsia="es-ES"/>
        </w:rPr>
      </w:pPr>
      <w:r w:rsidRPr="00422273">
        <w:rPr>
          <w:rFonts w:ascii="Palatino Linotype" w:eastAsiaTheme="minorEastAsia" w:hAnsi="Palatino Linotype"/>
          <w:i/>
          <w:iCs/>
          <w:sz w:val="22"/>
          <w:lang w:val="es-ES" w:eastAsia="es-ES"/>
        </w:rPr>
        <w:t>“…</w:t>
      </w:r>
    </w:p>
    <w:p w:rsidR="00060299" w:rsidRPr="00422273" w:rsidRDefault="00060299" w:rsidP="00422273">
      <w:pPr>
        <w:spacing w:line="360" w:lineRule="auto"/>
        <w:ind w:left="851" w:right="822"/>
        <w:contextualSpacing/>
        <w:jc w:val="both"/>
        <w:rPr>
          <w:rFonts w:ascii="Palatino Linotype" w:eastAsiaTheme="minorEastAsia" w:hAnsi="Palatino Linotype"/>
          <w:i/>
          <w:iCs/>
          <w:sz w:val="22"/>
          <w:lang w:val="es-ES" w:eastAsia="es-ES"/>
        </w:rPr>
      </w:pPr>
      <w:r w:rsidRPr="00422273">
        <w:rPr>
          <w:rFonts w:ascii="Palatino Linotype" w:eastAsiaTheme="minorEastAsia" w:hAnsi="Palatino Linotype"/>
          <w:b/>
          <w:i/>
          <w:iCs/>
          <w:sz w:val="22"/>
          <w:lang w:val="es-ES" w:eastAsia="es-ES"/>
        </w:rPr>
        <w:t>Vigésimo octavo.</w:t>
      </w:r>
      <w:r w:rsidRPr="00422273">
        <w:rPr>
          <w:rFonts w:ascii="Palatino Linotype" w:eastAsiaTheme="minorEastAsia" w:hAnsi="Palatino Linotype"/>
          <w:i/>
          <w:iCs/>
          <w:sz w:val="22"/>
          <w:lang w:val="es-ES" w:eastAsia="es-ES"/>
        </w:rPr>
        <w:t xml:space="preserve"> De conformidad con el artículo 113, fracción IX de la Ley General, podrá considerarse como información reservada, aquella que obstruya los procedimientos para fincar responsabilidad a los servidores públicos, en tanto no se </w:t>
      </w:r>
      <w:r w:rsidRPr="00422273">
        <w:rPr>
          <w:rFonts w:ascii="Palatino Linotype" w:eastAsiaTheme="minorEastAsia" w:hAnsi="Palatino Linotype"/>
          <w:i/>
          <w:iCs/>
          <w:sz w:val="22"/>
          <w:lang w:val="es-ES" w:eastAsia="es-ES"/>
        </w:rPr>
        <w:lastRenderedPageBreak/>
        <w:t>haya dictado la resolución administrativa correspondiente; para lo cual, se deberán acreditar los siguientes supuestos:</w:t>
      </w:r>
    </w:p>
    <w:p w:rsidR="00060299" w:rsidRPr="00422273" w:rsidRDefault="00060299" w:rsidP="00422273">
      <w:pPr>
        <w:spacing w:line="360" w:lineRule="auto"/>
        <w:ind w:left="851" w:right="822"/>
        <w:contextualSpacing/>
        <w:jc w:val="both"/>
        <w:rPr>
          <w:rFonts w:ascii="Palatino Linotype" w:eastAsiaTheme="minorEastAsia" w:hAnsi="Palatino Linotype"/>
          <w:i/>
          <w:iCs/>
          <w:sz w:val="22"/>
          <w:lang w:val="es-ES" w:eastAsia="es-ES"/>
        </w:rPr>
      </w:pPr>
    </w:p>
    <w:p w:rsidR="00060299" w:rsidRPr="00422273" w:rsidRDefault="00060299" w:rsidP="00422273">
      <w:pPr>
        <w:spacing w:line="360" w:lineRule="auto"/>
        <w:ind w:left="851" w:right="822"/>
        <w:contextualSpacing/>
        <w:jc w:val="both"/>
        <w:rPr>
          <w:rFonts w:ascii="Palatino Linotype" w:eastAsiaTheme="minorEastAsia" w:hAnsi="Palatino Linotype"/>
          <w:i/>
          <w:iCs/>
          <w:sz w:val="22"/>
          <w:lang w:val="es-ES" w:eastAsia="es-ES"/>
        </w:rPr>
      </w:pPr>
      <w:r w:rsidRPr="00422273">
        <w:rPr>
          <w:rFonts w:ascii="Palatino Linotype" w:eastAsiaTheme="minorEastAsia" w:hAnsi="Palatino Linotype"/>
          <w:i/>
          <w:iCs/>
          <w:sz w:val="22"/>
          <w:lang w:val="es-ES" w:eastAsia="es-ES"/>
        </w:rPr>
        <w:t>I. La existencia de un procedimiento de responsabilidad administrativa en trámite, y</w:t>
      </w:r>
    </w:p>
    <w:p w:rsidR="00060299" w:rsidRPr="00422273" w:rsidRDefault="00060299" w:rsidP="00422273">
      <w:pPr>
        <w:spacing w:line="360" w:lineRule="auto"/>
        <w:ind w:left="851" w:right="822"/>
        <w:contextualSpacing/>
        <w:jc w:val="both"/>
        <w:rPr>
          <w:rFonts w:ascii="Palatino Linotype" w:eastAsiaTheme="minorEastAsia" w:hAnsi="Palatino Linotype"/>
          <w:i/>
          <w:iCs/>
          <w:sz w:val="22"/>
          <w:lang w:val="es-ES" w:eastAsia="es-ES"/>
        </w:rPr>
      </w:pPr>
      <w:r w:rsidRPr="00422273">
        <w:rPr>
          <w:rFonts w:ascii="Palatino Linotype" w:eastAsiaTheme="minorEastAsia" w:hAnsi="Palatino Linotype"/>
          <w:i/>
          <w:iCs/>
          <w:sz w:val="22"/>
          <w:lang w:val="es-ES" w:eastAsia="es-ES"/>
        </w:rPr>
        <w:t>II. Que la información se refiera a actuaciones, diligencias y constancias propias del procedimiento de responsabilidad.</w:t>
      </w:r>
    </w:p>
    <w:p w:rsidR="00060299" w:rsidRPr="00422273" w:rsidRDefault="00060299" w:rsidP="00422273">
      <w:pPr>
        <w:spacing w:line="360" w:lineRule="auto"/>
        <w:ind w:left="851" w:right="822"/>
        <w:contextualSpacing/>
        <w:jc w:val="both"/>
        <w:rPr>
          <w:rFonts w:ascii="Palatino Linotype" w:eastAsiaTheme="minorEastAsia" w:hAnsi="Palatino Linotype"/>
          <w:i/>
          <w:iCs/>
          <w:sz w:val="22"/>
          <w:lang w:val="es-ES" w:eastAsia="es-ES"/>
        </w:rPr>
      </w:pPr>
      <w:r w:rsidRPr="00422273">
        <w:rPr>
          <w:rFonts w:ascii="Palatino Linotype" w:eastAsiaTheme="minorEastAsia" w:hAnsi="Palatino Linotype"/>
          <w:i/>
          <w:iCs/>
          <w:sz w:val="22"/>
          <w:lang w:val="es-ES" w:eastAsia="es-ES"/>
        </w:rPr>
        <w:t>…”</w:t>
      </w:r>
    </w:p>
    <w:p w:rsidR="00060299" w:rsidRPr="00422273" w:rsidRDefault="00060299" w:rsidP="00B54731">
      <w:pPr>
        <w:spacing w:line="360" w:lineRule="auto"/>
        <w:ind w:right="49"/>
        <w:contextualSpacing/>
        <w:jc w:val="both"/>
        <w:rPr>
          <w:rFonts w:ascii="Palatino Linotype" w:eastAsiaTheme="minorEastAsia" w:hAnsi="Palatino Linotype"/>
          <w:i/>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iCs/>
          <w:lang w:val="es-ES" w:eastAsia="es-ES"/>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rsidR="00060299" w:rsidRPr="00422273" w:rsidRDefault="00060299"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Por tales consideraciones, resulta procedente la reserva, en términos del artículo 140, fracción VI, de la Ley de Transparencia y Acceso a la Información Pública del Estado de México y Municipios, de las denuncias por responsabilidades administrativas en trámite, en caso de que existieran.</w:t>
      </w:r>
    </w:p>
    <w:p w:rsidR="00060299" w:rsidRPr="00422273" w:rsidRDefault="00060299"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iCs/>
          <w:lang w:val="es-ES" w:eastAsia="es-ES"/>
        </w:rPr>
        <w:t>R</w:t>
      </w:r>
      <w:r w:rsidRPr="00422273">
        <w:rPr>
          <w:rFonts w:ascii="Palatino Linotype" w:eastAsiaTheme="minorEastAsia" w:hAnsi="Palatino Linotype"/>
          <w:bCs/>
          <w:lang w:val="es-ES" w:eastAsia="es-ES"/>
        </w:rPr>
        <w:t>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060299" w:rsidRPr="00422273" w:rsidRDefault="00060299" w:rsidP="00B54731">
      <w:pPr>
        <w:spacing w:line="360" w:lineRule="auto"/>
        <w:ind w:right="49"/>
        <w:contextualSpacing/>
        <w:jc w:val="both"/>
        <w:rPr>
          <w:rFonts w:ascii="Palatino Linotype" w:eastAsiaTheme="minorEastAsia" w:hAnsi="Palatino Linotype"/>
          <w:bCs/>
          <w:sz w:val="28"/>
          <w:lang w:val="es-ES" w:eastAsia="es-ES"/>
        </w:rPr>
      </w:pPr>
    </w:p>
    <w:p w:rsidR="00060299" w:rsidRPr="00422273" w:rsidRDefault="00060299" w:rsidP="00B54731">
      <w:pPr>
        <w:pStyle w:val="Prrafodelista"/>
        <w:numPr>
          <w:ilvl w:val="0"/>
          <w:numId w:val="2"/>
        </w:numPr>
        <w:spacing w:line="360" w:lineRule="auto"/>
        <w:ind w:right="49"/>
        <w:jc w:val="both"/>
        <w:rPr>
          <w:rFonts w:ascii="Palatino Linotype" w:eastAsiaTheme="minorEastAsia" w:hAnsi="Palatino Linotype"/>
          <w:b/>
          <w:iCs/>
          <w:sz w:val="24"/>
          <w:lang w:val="es-ES" w:eastAsia="es-ES"/>
        </w:rPr>
      </w:pPr>
      <w:r w:rsidRPr="00422273">
        <w:rPr>
          <w:rFonts w:ascii="Palatino Linotype" w:eastAsiaTheme="minorEastAsia" w:hAnsi="Palatino Linotype"/>
          <w:b/>
          <w:iCs/>
          <w:sz w:val="24"/>
          <w:lang w:val="es-ES" w:eastAsia="es-ES"/>
        </w:rPr>
        <w:lastRenderedPageBreak/>
        <w:t>Existencia de un procedimiento de responsabilidad administrativa en trámite:</w:t>
      </w:r>
    </w:p>
    <w:p w:rsidR="00060299" w:rsidRPr="00422273" w:rsidRDefault="00060299" w:rsidP="00B54731">
      <w:pPr>
        <w:spacing w:line="360" w:lineRule="auto"/>
        <w:ind w:right="49"/>
        <w:contextualSpacing/>
        <w:jc w:val="both"/>
        <w:rPr>
          <w:rFonts w:ascii="Palatino Linotype" w:eastAsiaTheme="minorEastAsia" w:hAnsi="Palatino Linotype"/>
          <w:b/>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Al respecto, resulta necesario señalar que la Ley de Responsabilidades Administrativas del Estado de México y Municipios, en sus artículos 95, fracción II, 99, 104, 194 y 195, establece que el proceso de posibles responsabilidades administrativas se divide en dos etapas principalmente:</w:t>
      </w:r>
    </w:p>
    <w:p w:rsidR="00060299" w:rsidRPr="00422273" w:rsidRDefault="00060299" w:rsidP="00B54731">
      <w:pPr>
        <w:spacing w:line="360" w:lineRule="auto"/>
        <w:ind w:right="49"/>
        <w:contextualSpacing/>
        <w:jc w:val="both"/>
        <w:rPr>
          <w:rFonts w:ascii="Palatino Linotype" w:eastAsiaTheme="minorEastAsia" w:hAnsi="Palatino Linotype"/>
          <w:iCs/>
          <w:sz w:val="22"/>
          <w:szCs w:val="22"/>
          <w:lang w:val="es-ES" w:eastAsia="es-ES"/>
        </w:rPr>
      </w:pPr>
    </w:p>
    <w:p w:rsidR="00060299" w:rsidRPr="00422273" w:rsidRDefault="00060299" w:rsidP="00B54731">
      <w:pPr>
        <w:pStyle w:val="Prrafodelista"/>
        <w:numPr>
          <w:ilvl w:val="0"/>
          <w:numId w:val="2"/>
        </w:numPr>
        <w:spacing w:line="360" w:lineRule="auto"/>
        <w:ind w:right="49"/>
        <w:jc w:val="both"/>
        <w:rPr>
          <w:rFonts w:ascii="Palatino Linotype" w:eastAsiaTheme="minorEastAsia" w:hAnsi="Palatino Linotype"/>
          <w:b/>
          <w:iCs/>
          <w:szCs w:val="22"/>
          <w:lang w:val="es-ES" w:eastAsia="es-ES"/>
        </w:rPr>
      </w:pPr>
      <w:r w:rsidRPr="00422273">
        <w:rPr>
          <w:rFonts w:ascii="Palatino Linotype" w:eastAsiaTheme="minorEastAsia" w:hAnsi="Palatino Linotype"/>
          <w:b/>
          <w:iCs/>
          <w:szCs w:val="22"/>
          <w:lang w:val="es-ES" w:eastAsia="es-ES"/>
        </w:rPr>
        <w:t>Investigación:</w:t>
      </w:r>
      <w:r w:rsidRPr="00422273">
        <w:rPr>
          <w:rFonts w:ascii="Palatino Linotype" w:eastAsiaTheme="minorEastAsia" w:hAnsi="Palatino Linotype"/>
          <w:iCs/>
          <w:szCs w:val="22"/>
          <w:lang w:val="es-ES" w:eastAsia="es-ES"/>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w:t>
      </w:r>
    </w:p>
    <w:p w:rsidR="00060299" w:rsidRPr="00422273" w:rsidRDefault="00060299" w:rsidP="00B54731">
      <w:pPr>
        <w:spacing w:line="360" w:lineRule="auto"/>
        <w:ind w:left="709" w:right="49"/>
        <w:contextualSpacing/>
        <w:jc w:val="both"/>
        <w:rPr>
          <w:rFonts w:ascii="Palatino Linotype" w:eastAsiaTheme="minorEastAsia" w:hAnsi="Palatino Linotype"/>
          <w:b/>
          <w:iCs/>
          <w:sz w:val="22"/>
          <w:szCs w:val="22"/>
          <w:lang w:val="es-ES" w:eastAsia="es-ES"/>
        </w:rPr>
      </w:pPr>
    </w:p>
    <w:p w:rsidR="00060299" w:rsidRPr="00422273" w:rsidRDefault="00060299" w:rsidP="00B54731">
      <w:pPr>
        <w:spacing w:line="360" w:lineRule="auto"/>
        <w:ind w:left="709" w:right="49"/>
        <w:contextualSpacing/>
        <w:jc w:val="both"/>
        <w:rPr>
          <w:rFonts w:ascii="Palatino Linotype" w:eastAsiaTheme="minorEastAsia" w:hAnsi="Palatino Linotype"/>
          <w:iCs/>
          <w:sz w:val="22"/>
          <w:szCs w:val="22"/>
          <w:lang w:val="es-ES" w:eastAsia="es-ES"/>
        </w:rPr>
      </w:pPr>
      <w:r w:rsidRPr="00422273">
        <w:rPr>
          <w:rFonts w:ascii="Palatino Linotype" w:eastAsiaTheme="minorEastAsia" w:hAnsi="Palatino Linotype"/>
          <w:iCs/>
          <w:sz w:val="22"/>
          <w:szCs w:val="22"/>
          <w:lang w:val="es-ES" w:eastAsia="es-ES"/>
        </w:rPr>
        <w:t>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rsidR="00060299" w:rsidRPr="00422273" w:rsidRDefault="00060299" w:rsidP="00B54731">
      <w:pPr>
        <w:spacing w:line="360" w:lineRule="auto"/>
        <w:ind w:right="49"/>
        <w:contextualSpacing/>
        <w:jc w:val="both"/>
        <w:rPr>
          <w:rFonts w:ascii="Palatino Linotype" w:eastAsiaTheme="minorEastAsia" w:hAnsi="Palatino Linotype"/>
          <w:iCs/>
          <w:sz w:val="22"/>
          <w:szCs w:val="22"/>
          <w:lang w:val="es-ES" w:eastAsia="es-ES"/>
        </w:rPr>
      </w:pPr>
    </w:p>
    <w:p w:rsidR="00060299" w:rsidRPr="00422273" w:rsidRDefault="00060299" w:rsidP="00B54731">
      <w:pPr>
        <w:spacing w:line="360" w:lineRule="auto"/>
        <w:ind w:left="709" w:right="49"/>
        <w:contextualSpacing/>
        <w:jc w:val="both"/>
        <w:rPr>
          <w:rFonts w:ascii="Palatino Linotype" w:eastAsiaTheme="minorEastAsia" w:hAnsi="Palatino Linotype"/>
          <w:iCs/>
          <w:sz w:val="22"/>
          <w:szCs w:val="22"/>
          <w:lang w:val="es-ES" w:eastAsia="es-ES"/>
        </w:rPr>
      </w:pPr>
      <w:r w:rsidRPr="00422273">
        <w:rPr>
          <w:rFonts w:ascii="Palatino Linotype" w:eastAsiaTheme="minorEastAsia" w:hAnsi="Palatino Linotype"/>
          <w:iCs/>
          <w:sz w:val="22"/>
          <w:szCs w:val="22"/>
          <w:lang w:val="es-ES" w:eastAsia="es-ES"/>
        </w:rPr>
        <w:t>En el caso, de no haberse encontrado elementos suficientes para demostrar la existencia de la infracción, y acreditar la presunta responsabilidad, se emitirá el acuerdo de conclusión y archivo del expediente, debidamente fundado y motivado.</w:t>
      </w:r>
    </w:p>
    <w:p w:rsidR="00BA7742" w:rsidRPr="00422273" w:rsidRDefault="00BA7742" w:rsidP="00B54731">
      <w:pPr>
        <w:spacing w:line="360" w:lineRule="auto"/>
        <w:ind w:right="49"/>
        <w:contextualSpacing/>
        <w:jc w:val="both"/>
        <w:rPr>
          <w:rFonts w:ascii="Palatino Linotype" w:eastAsiaTheme="minorEastAsia" w:hAnsi="Palatino Linotype"/>
          <w:iCs/>
          <w:sz w:val="22"/>
          <w:szCs w:val="22"/>
          <w:lang w:val="es-ES" w:eastAsia="es-ES"/>
        </w:rPr>
      </w:pPr>
    </w:p>
    <w:p w:rsidR="00060299" w:rsidRPr="00422273" w:rsidRDefault="00060299" w:rsidP="00B54731">
      <w:pPr>
        <w:pStyle w:val="Prrafodelista"/>
        <w:numPr>
          <w:ilvl w:val="0"/>
          <w:numId w:val="2"/>
        </w:numPr>
        <w:spacing w:line="360" w:lineRule="auto"/>
        <w:ind w:right="49"/>
        <w:jc w:val="both"/>
        <w:rPr>
          <w:rFonts w:ascii="Palatino Linotype" w:eastAsiaTheme="minorEastAsia" w:hAnsi="Palatino Linotype"/>
          <w:b/>
          <w:iCs/>
          <w:szCs w:val="22"/>
          <w:lang w:val="es-ES" w:eastAsia="es-ES"/>
        </w:rPr>
      </w:pPr>
      <w:r w:rsidRPr="00422273">
        <w:rPr>
          <w:rFonts w:ascii="Palatino Linotype" w:eastAsiaTheme="minorEastAsia" w:hAnsi="Palatino Linotype"/>
          <w:b/>
          <w:iCs/>
          <w:szCs w:val="22"/>
          <w:lang w:val="es-ES" w:eastAsia="es-ES"/>
        </w:rPr>
        <w:lastRenderedPageBreak/>
        <w:t xml:space="preserve">Proceso de Responsabilidad Administrativa: </w:t>
      </w:r>
      <w:r w:rsidRPr="00422273">
        <w:rPr>
          <w:rFonts w:ascii="Palatino Linotype" w:eastAsiaTheme="minorEastAsia" w:hAnsi="Palatino Linotype"/>
          <w:iCs/>
          <w:szCs w:val="22"/>
          <w:lang w:val="es-ES" w:eastAsia="es-ES"/>
        </w:rPr>
        <w:t xml:space="preserve">Falta grave (ante el Tribunal de Justifica Administrativa del Estado de México), falta no grave (ante el </w:t>
      </w:r>
      <w:r w:rsidRPr="00422273">
        <w:rPr>
          <w:rFonts w:ascii="Palatino Linotype" w:eastAsiaTheme="minorEastAsia" w:hAnsi="Palatino Linotype"/>
          <w:bCs/>
          <w:iCs/>
          <w:szCs w:val="22"/>
          <w:lang w:val="es-ES_tradnl" w:eastAsia="es-ES"/>
        </w:rPr>
        <w:t>Órgano Interno de Control</w:t>
      </w:r>
      <w:r w:rsidRPr="00422273">
        <w:rPr>
          <w:rFonts w:ascii="Palatino Linotype" w:eastAsiaTheme="minorEastAsia" w:hAnsi="Palatino Linotype"/>
          <w:iCs/>
          <w:szCs w:val="22"/>
          <w:lang w:val="es-ES" w:eastAsia="es-ES"/>
        </w:rPr>
        <w:t>), dicho procedimiento se lleva conforme a lo siguiente:</w:t>
      </w:r>
    </w:p>
    <w:p w:rsidR="00060299" w:rsidRPr="00422273" w:rsidRDefault="00060299" w:rsidP="00B54731">
      <w:pPr>
        <w:spacing w:line="360" w:lineRule="auto"/>
        <w:ind w:right="49"/>
        <w:contextualSpacing/>
        <w:jc w:val="both"/>
        <w:rPr>
          <w:rFonts w:ascii="Palatino Linotype" w:eastAsiaTheme="minorEastAsia" w:hAnsi="Palatino Linotype"/>
          <w:b/>
          <w:iCs/>
          <w:sz w:val="22"/>
          <w:szCs w:val="22"/>
          <w:lang w:val="es-ES" w:eastAsia="es-ES"/>
        </w:rPr>
      </w:pPr>
    </w:p>
    <w:p w:rsidR="00060299" w:rsidRPr="00422273" w:rsidRDefault="00060299" w:rsidP="00B54731">
      <w:pPr>
        <w:pStyle w:val="Prrafodelista"/>
        <w:numPr>
          <w:ilvl w:val="0"/>
          <w:numId w:val="18"/>
        </w:numPr>
        <w:spacing w:line="360" w:lineRule="auto"/>
        <w:ind w:right="49"/>
        <w:jc w:val="both"/>
        <w:rPr>
          <w:rFonts w:ascii="Palatino Linotype" w:eastAsiaTheme="minorEastAsia" w:hAnsi="Palatino Linotype"/>
          <w:b/>
          <w:iCs/>
          <w:szCs w:val="22"/>
          <w:lang w:val="es-ES" w:eastAsia="es-ES"/>
        </w:rPr>
      </w:pPr>
      <w:r w:rsidRPr="00422273">
        <w:rPr>
          <w:rFonts w:ascii="Palatino Linotype" w:eastAsiaTheme="minorEastAsia" w:hAnsi="Palatino Linotype"/>
          <w:iCs/>
          <w:szCs w:val="22"/>
          <w:lang w:val="es-ES" w:eastAsia="es-ES"/>
        </w:rPr>
        <w:t>Se admite el Informe de Presunta Responsabilidad Administrativa;</w:t>
      </w:r>
    </w:p>
    <w:p w:rsidR="00060299" w:rsidRPr="00422273" w:rsidRDefault="00060299" w:rsidP="00B54731">
      <w:pPr>
        <w:pStyle w:val="Prrafodelista"/>
        <w:numPr>
          <w:ilvl w:val="0"/>
          <w:numId w:val="18"/>
        </w:numPr>
        <w:spacing w:line="360" w:lineRule="auto"/>
        <w:ind w:right="49"/>
        <w:jc w:val="both"/>
        <w:rPr>
          <w:rFonts w:ascii="Palatino Linotype" w:eastAsiaTheme="minorEastAsia" w:hAnsi="Palatino Linotype"/>
          <w:b/>
          <w:iCs/>
          <w:szCs w:val="22"/>
          <w:lang w:val="es-ES" w:eastAsia="es-ES"/>
        </w:rPr>
      </w:pPr>
      <w:r w:rsidRPr="00422273">
        <w:rPr>
          <w:rFonts w:ascii="Palatino Linotype" w:eastAsiaTheme="minorEastAsia" w:hAnsi="Palatino Linotype"/>
          <w:iCs/>
          <w:szCs w:val="22"/>
          <w:lang w:val="es-ES" w:eastAsia="es-ES"/>
        </w:rPr>
        <w:t>Se ordena el emplazamiento, para citarlo a audiencia, así como a las partes que deban concurrir;</w:t>
      </w:r>
    </w:p>
    <w:p w:rsidR="00060299" w:rsidRPr="00422273" w:rsidRDefault="00060299" w:rsidP="00B54731">
      <w:pPr>
        <w:pStyle w:val="Prrafodelista"/>
        <w:numPr>
          <w:ilvl w:val="0"/>
          <w:numId w:val="18"/>
        </w:numPr>
        <w:spacing w:line="360" w:lineRule="auto"/>
        <w:ind w:right="49"/>
        <w:jc w:val="both"/>
        <w:rPr>
          <w:rFonts w:ascii="Palatino Linotype" w:eastAsiaTheme="minorEastAsia" w:hAnsi="Palatino Linotype"/>
          <w:b/>
          <w:iCs/>
          <w:szCs w:val="22"/>
          <w:lang w:val="es-ES" w:eastAsia="es-ES"/>
        </w:rPr>
      </w:pPr>
      <w:r w:rsidRPr="00422273">
        <w:rPr>
          <w:rFonts w:ascii="Palatino Linotype" w:eastAsiaTheme="minorEastAsia" w:hAnsi="Palatino Linotype"/>
          <w:iCs/>
          <w:szCs w:val="22"/>
          <w:lang w:val="es-ES" w:eastAsia="es-ES"/>
        </w:rPr>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rsidR="00060299" w:rsidRPr="00422273" w:rsidRDefault="00060299" w:rsidP="00B54731">
      <w:pPr>
        <w:pStyle w:val="Prrafodelista"/>
        <w:numPr>
          <w:ilvl w:val="0"/>
          <w:numId w:val="18"/>
        </w:numPr>
        <w:spacing w:line="360" w:lineRule="auto"/>
        <w:ind w:right="49"/>
        <w:jc w:val="both"/>
        <w:rPr>
          <w:rFonts w:ascii="Palatino Linotype" w:eastAsiaTheme="minorEastAsia" w:hAnsi="Palatino Linotype"/>
          <w:b/>
          <w:iCs/>
          <w:szCs w:val="22"/>
          <w:lang w:val="es-ES" w:eastAsia="es-ES"/>
        </w:rPr>
      </w:pPr>
      <w:r w:rsidRPr="00422273">
        <w:rPr>
          <w:rFonts w:ascii="Palatino Linotype" w:eastAsiaTheme="minorEastAsia" w:hAnsi="Palatino Linotype"/>
          <w:iCs/>
          <w:szCs w:val="22"/>
          <w:lang w:val="es-ES" w:eastAsia="es-ES"/>
        </w:rPr>
        <w:t>Se admiten pruebas, se abre periodo de alegatos y posteriormente se cierra la instrucción.</w:t>
      </w:r>
    </w:p>
    <w:p w:rsidR="00060299" w:rsidRPr="00422273" w:rsidRDefault="00060299" w:rsidP="00B54731">
      <w:pPr>
        <w:pStyle w:val="Prrafodelista"/>
        <w:numPr>
          <w:ilvl w:val="0"/>
          <w:numId w:val="18"/>
        </w:numPr>
        <w:spacing w:line="360" w:lineRule="auto"/>
        <w:ind w:right="49"/>
        <w:jc w:val="both"/>
        <w:rPr>
          <w:rFonts w:ascii="Palatino Linotype" w:eastAsiaTheme="minorEastAsia" w:hAnsi="Palatino Linotype"/>
          <w:iCs/>
          <w:szCs w:val="22"/>
          <w:lang w:val="es-ES" w:eastAsia="es-ES"/>
        </w:rPr>
      </w:pPr>
      <w:r w:rsidRPr="00422273">
        <w:rPr>
          <w:rFonts w:ascii="Palatino Linotype" w:eastAsiaTheme="minorEastAsia" w:hAnsi="Palatino Linotype"/>
          <w:iCs/>
          <w:szCs w:val="22"/>
          <w:lang w:val="es-ES" w:eastAsia="es-ES"/>
        </w:rPr>
        <w:t>Se emite resolución, la cual deberá ser notificada al servidor público, al denunciante para su conocimiento y al jefe inmediato superior para efectos de ejecución.</w:t>
      </w:r>
    </w:p>
    <w:p w:rsidR="00BA7742" w:rsidRPr="00422273" w:rsidRDefault="00BA7742" w:rsidP="00B54731">
      <w:pPr>
        <w:spacing w:line="360" w:lineRule="auto"/>
        <w:ind w:right="49"/>
        <w:contextualSpacing/>
        <w:jc w:val="both"/>
        <w:rPr>
          <w:rFonts w:ascii="Palatino Linotype" w:eastAsiaTheme="minorEastAsia" w:hAnsi="Palatino Linotype"/>
          <w:b/>
          <w:iCs/>
          <w:sz w:val="22"/>
          <w:szCs w:val="22"/>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Además, es de referir que, en la etapa de investigación, el servidor público aún no conoce que el Órgano</w:t>
      </w:r>
      <w:r w:rsidRPr="00422273">
        <w:rPr>
          <w:rFonts w:ascii="Palatino Linotype" w:eastAsiaTheme="minorEastAsia" w:hAnsi="Palatino Linotype"/>
          <w:bCs/>
          <w:iCs/>
          <w:lang w:val="es-ES_tradnl" w:eastAsia="es-ES"/>
        </w:rPr>
        <w:t xml:space="preserve"> Interno de Control</w:t>
      </w:r>
      <w:r w:rsidRPr="00422273">
        <w:rPr>
          <w:rFonts w:ascii="Palatino Linotype" w:eastAsiaTheme="minorEastAsia" w:hAnsi="Palatino Linotype"/>
          <w:iCs/>
          <w:lang w:val="es-ES" w:eastAsia="es-ES"/>
        </w:rPr>
        <w:t>, lo está investigando por las posibles responsabilidades; por lo que conocerá el trabajador de dicha circunstancia, hasta que se haya emitido el Informe de Presunta Responsabilidad Administrativa y se emplaza para llamarlo audiencia.</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 xml:space="preserve">Conforme a lo anterior, se considera que en caso de existir procedimientos en trámite, es decir, que se encontrarán en la etapa de investigación o procedimiento de responsabilidad previo a la emisión de la resolución, se actualizaría el primero elemento para acreditar la reserva. </w:t>
      </w:r>
    </w:p>
    <w:p w:rsidR="00060299" w:rsidRPr="00422273" w:rsidRDefault="00060299" w:rsidP="00B54731">
      <w:pPr>
        <w:spacing w:line="360" w:lineRule="auto"/>
        <w:ind w:right="49"/>
        <w:contextualSpacing/>
        <w:jc w:val="both"/>
        <w:rPr>
          <w:rFonts w:ascii="Palatino Linotype" w:eastAsiaTheme="minorEastAsia" w:hAnsi="Palatino Linotype"/>
          <w:iCs/>
          <w:sz w:val="28"/>
          <w:lang w:val="es-ES" w:eastAsia="es-ES"/>
        </w:rPr>
      </w:pPr>
    </w:p>
    <w:p w:rsidR="00060299" w:rsidRPr="00422273" w:rsidRDefault="00060299" w:rsidP="00B54731">
      <w:pPr>
        <w:pStyle w:val="Prrafodelista"/>
        <w:numPr>
          <w:ilvl w:val="0"/>
          <w:numId w:val="2"/>
        </w:numPr>
        <w:spacing w:line="360" w:lineRule="auto"/>
        <w:ind w:right="49"/>
        <w:jc w:val="both"/>
        <w:rPr>
          <w:rFonts w:ascii="Palatino Linotype" w:eastAsiaTheme="minorEastAsia" w:hAnsi="Palatino Linotype"/>
          <w:b/>
          <w:iCs/>
          <w:sz w:val="24"/>
          <w:lang w:val="es-ES" w:eastAsia="es-ES"/>
        </w:rPr>
      </w:pPr>
      <w:r w:rsidRPr="00422273">
        <w:rPr>
          <w:rFonts w:ascii="Palatino Linotype" w:eastAsiaTheme="minorEastAsia" w:hAnsi="Palatino Linotype"/>
          <w:b/>
          <w:bCs/>
          <w:iCs/>
          <w:sz w:val="24"/>
          <w:lang w:val="es-ES" w:eastAsia="es-ES"/>
        </w:rPr>
        <w:t>Procedimiento administrativo de responsabilidades, concluido.</w:t>
      </w:r>
    </w:p>
    <w:p w:rsidR="00BA7742" w:rsidRPr="00422273" w:rsidRDefault="00BA7742" w:rsidP="00B54731">
      <w:pPr>
        <w:pStyle w:val="Prrafodelista"/>
        <w:spacing w:line="360" w:lineRule="auto"/>
        <w:ind w:right="49"/>
        <w:jc w:val="both"/>
        <w:rPr>
          <w:rFonts w:ascii="Palatino Linotype" w:eastAsiaTheme="minorEastAsia" w:hAnsi="Palatino Linotype"/>
          <w:b/>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t>Al respecto, es de indicar que únicamente procede la reserva de la información de los procedimientos en trámite, por lo que, se considera que en el supuesto de que a la fecha de la resolución, el Sujeto Obligado cuente con procedimientos de responsabilidades administrativas, que se encuentren concluidos y hayan causado estado, ya sean absolutorios o condenatorios, en primera instancia procedería la entrega de los nombre de los servidores públicos involucrados, dado, que existe un interés público de la ciudadanía de conocer, que los servidores públicos, cumplen o no con sus atribuciones y la normatividad que los rige, dado que conforme a la Ley de Responsabilidades Administrativas del Estado de México y Municipios, dichos trabajadores deben ceñirse a los principios de disciplina, legalidad, objetividad, profesionalismo, honradez, lealtad, imparcialidad, integridad, rendición de cuentas, eficacia y eficiencia.</w:t>
      </w:r>
    </w:p>
    <w:p w:rsidR="00BA7742" w:rsidRPr="00422273" w:rsidRDefault="00BA7742" w:rsidP="00B54731">
      <w:pPr>
        <w:spacing w:line="360" w:lineRule="auto"/>
        <w:ind w:right="49"/>
        <w:contextualSpacing/>
        <w:jc w:val="both"/>
        <w:rPr>
          <w:rFonts w:ascii="Palatino Linotype" w:eastAsiaTheme="minorEastAsia" w:hAnsi="Palatino Linotype"/>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t>No obstante, toda vez que la información solicitada, se relaciona con servidores públicos en específico, los cuales pudieron o no haber recibido alguna sanción por posibles responsabilidades, se procede analizar si la denuncia es clasificado como confidencial, al poder causar un perjuicio a la vida privada de estos.</w:t>
      </w:r>
    </w:p>
    <w:p w:rsidR="00422273" w:rsidRPr="00422273" w:rsidRDefault="00422273" w:rsidP="00422273">
      <w:pPr>
        <w:spacing w:line="360" w:lineRule="auto"/>
        <w:ind w:right="49"/>
        <w:contextualSpacing/>
        <w:jc w:val="both"/>
        <w:rPr>
          <w:rFonts w:ascii="Palatino Linotype" w:eastAsiaTheme="minorEastAsia" w:hAnsi="Palatino Linotype"/>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En </w:t>
      </w:r>
      <w:r w:rsidRPr="00422273">
        <w:rPr>
          <w:rFonts w:ascii="Palatino Linotype" w:eastAsiaTheme="minorEastAsia" w:hAnsi="Palatino Linotype"/>
          <w:bCs/>
          <w:lang w:val="es-ES" w:eastAsia="es-ES"/>
        </w:rPr>
        <w:t>principio</w:t>
      </w:r>
      <w:r w:rsidRPr="00422273">
        <w:rPr>
          <w:rFonts w:ascii="Palatino Linotype" w:eastAsiaTheme="minorEastAsia" w:hAnsi="Palatino Linotype"/>
          <w:lang w:val="es-ES" w:eastAsia="es-ES"/>
        </w:rPr>
        <w:t xml:space="preserve">, cabe mencionar que el artículo 6°, Apartado A), fracción II, de la Constitución Política de los Estados Unidos Mexicanos, prevé que </w:t>
      </w:r>
      <w:r w:rsidRPr="00422273">
        <w:rPr>
          <w:rFonts w:ascii="Palatino Linotype" w:eastAsiaTheme="minorEastAsia" w:hAnsi="Palatino Linotype"/>
          <w:b/>
          <w:lang w:val="es-ES" w:eastAsia="es-ES"/>
        </w:rPr>
        <w:t xml:space="preserve">la información que se refiere a la vida privada y los datos personales, </w:t>
      </w:r>
      <w:r w:rsidRPr="00422273">
        <w:rPr>
          <w:rFonts w:ascii="Palatino Linotype" w:eastAsiaTheme="minorEastAsia" w:hAnsi="Palatino Linotype"/>
          <w:lang w:val="es-ES" w:eastAsia="es-ES"/>
        </w:rPr>
        <w:t xml:space="preserve">será protegida en los términos y con las excepciones que fijen las leyes. </w:t>
      </w:r>
      <w:r w:rsidRPr="00422273">
        <w:rPr>
          <w:rFonts w:ascii="Palatino Linotype" w:eastAsiaTheme="minorEastAsia" w:hAnsi="Palatino Linotype"/>
          <w:bCs/>
          <w:lang w:val="es-ES" w:eastAsia="es-ES"/>
        </w:rPr>
        <w:t xml:space="preserve">Igualmente, el segundo párrafo del artículo 16 </w:t>
      </w:r>
      <w:r w:rsidRPr="00422273">
        <w:rPr>
          <w:rFonts w:ascii="Palatino Linotype" w:eastAsiaTheme="minorEastAsia" w:hAnsi="Palatino Linotype"/>
          <w:bCs/>
          <w:lang w:val="es-ES" w:eastAsia="es-ES"/>
        </w:rPr>
        <w:lastRenderedPageBreak/>
        <w:t xml:space="preserve">de la </w:t>
      </w:r>
      <w:r w:rsidRPr="00422273">
        <w:rPr>
          <w:rFonts w:ascii="Palatino Linotype" w:eastAsiaTheme="minorEastAsia" w:hAnsi="Palatino Linotype"/>
          <w:lang w:val="es-ES" w:eastAsia="es-ES"/>
        </w:rPr>
        <w:t xml:space="preserve">Carta Magna </w:t>
      </w:r>
      <w:r w:rsidRPr="00422273">
        <w:rPr>
          <w:rFonts w:ascii="Palatino Linotype" w:eastAsiaTheme="minorEastAsia" w:hAnsi="Palatino Linotype"/>
          <w:bCs/>
          <w:lang w:val="es-ES" w:eastAsia="es-ES"/>
        </w:rPr>
        <w:t>dispone que t</w:t>
      </w:r>
      <w:r w:rsidRPr="00422273">
        <w:rPr>
          <w:rFonts w:ascii="Palatino Linotype" w:eastAsiaTheme="minorEastAsia" w:hAnsi="Palatino Linotype"/>
          <w:lang w:val="es-ES" w:eastAsia="es-ES"/>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Acorde</w:t>
      </w:r>
      <w:r w:rsidRPr="00422273">
        <w:rPr>
          <w:rFonts w:ascii="Palatino Linotype" w:eastAsiaTheme="minorEastAsia" w:hAnsi="Palatino Linotype"/>
          <w:bCs/>
          <w:lang w:val="es-ES" w:eastAsia="es-ES"/>
        </w:rPr>
        <w:t xml:space="preserve"> con lo anterior, la Ley General de Transparencia y Acceso a la Información Pública, en su artículo 116, dispone que se considera información confidencial la que contenga datos personales concernientes a una persona física identificada o identificable. </w:t>
      </w:r>
      <w:r w:rsidRPr="00422273">
        <w:rPr>
          <w:rFonts w:ascii="Palatino Linotype" w:eastAsiaTheme="minorEastAsia" w:hAnsi="Palatino Linotype"/>
          <w:lang w:val="es-ES" w:eastAsia="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422273" w:rsidRPr="00422273" w:rsidRDefault="00422273" w:rsidP="00422273">
      <w:pPr>
        <w:spacing w:line="360" w:lineRule="auto"/>
        <w:ind w:right="49"/>
        <w:contextualSpacing/>
        <w:jc w:val="both"/>
        <w:rPr>
          <w:rFonts w:ascii="Palatino Linotype" w:eastAsiaTheme="minorEastAsia" w:hAnsi="Palatino Linotype"/>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t xml:space="preserve">En concordancia con lo previo, el artículo 143, fracción I, de la Ley previamente citada, establece que </w:t>
      </w:r>
      <w:r w:rsidRPr="00422273">
        <w:rPr>
          <w:rFonts w:ascii="Palatino Linotype" w:eastAsiaTheme="minorEastAsia" w:hAnsi="Palatino Linotype"/>
          <w:lang w:val="es-ES" w:eastAsia="es-ES"/>
        </w:rPr>
        <w:t>la información privada</w:t>
      </w:r>
      <w:r w:rsidRPr="00422273">
        <w:rPr>
          <w:rFonts w:ascii="Palatino Linotype" w:eastAsiaTheme="minorEastAsia" w:hAnsi="Palatino Linotype"/>
          <w:bCs/>
          <w:lang w:val="es-ES" w:eastAsia="es-ES"/>
        </w:rPr>
        <w:t xml:space="preserve"> y los datos personales, concernientes a una persona física identificada o identificable son confidenciales.</w:t>
      </w:r>
    </w:p>
    <w:p w:rsidR="00BA7742" w:rsidRPr="00422273" w:rsidRDefault="00BA7742" w:rsidP="00B54731">
      <w:pPr>
        <w:spacing w:line="360" w:lineRule="auto"/>
        <w:ind w:right="49"/>
        <w:contextualSpacing/>
        <w:jc w:val="both"/>
        <w:rPr>
          <w:rFonts w:ascii="Palatino Linotype" w:eastAsiaTheme="minorEastAsia" w:hAnsi="Palatino Linotype"/>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lastRenderedPageBreak/>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422273">
        <w:rPr>
          <w:rFonts w:ascii="Palatino Linotype" w:eastAsiaTheme="minorEastAsia" w:hAnsi="Palatino Linotype"/>
          <w:b/>
          <w:bCs/>
          <w:lang w:val="es-ES" w:eastAsia="es-ES"/>
        </w:rPr>
        <w:t xml:space="preserve">i) </w:t>
      </w:r>
      <w:r w:rsidRPr="00422273">
        <w:rPr>
          <w:rFonts w:ascii="Palatino Linotype" w:eastAsiaTheme="minorEastAsia" w:hAnsi="Palatino Linotype"/>
          <w:bCs/>
          <w:lang w:val="es-ES" w:eastAsia="es-ES"/>
        </w:rPr>
        <w:t xml:space="preserve">la información se encuentre en registros públicos o fuentes de acceso público, </w:t>
      </w:r>
      <w:r w:rsidRPr="00422273">
        <w:rPr>
          <w:rFonts w:ascii="Palatino Linotype" w:eastAsiaTheme="minorEastAsia" w:hAnsi="Palatino Linotype"/>
          <w:b/>
          <w:bCs/>
          <w:lang w:val="es-ES" w:eastAsia="es-ES"/>
        </w:rPr>
        <w:t>ii)</w:t>
      </w:r>
      <w:r w:rsidRPr="00422273">
        <w:rPr>
          <w:rFonts w:ascii="Palatino Linotype" w:eastAsiaTheme="minorEastAsia" w:hAnsi="Palatino Linotype"/>
          <w:bCs/>
          <w:lang w:val="es-ES" w:eastAsia="es-ES"/>
        </w:rPr>
        <w:t xml:space="preserve"> por ley tenga el carácter de pública, </w:t>
      </w:r>
      <w:r w:rsidRPr="00422273">
        <w:rPr>
          <w:rFonts w:ascii="Palatino Linotype" w:eastAsiaTheme="minorEastAsia" w:hAnsi="Palatino Linotype"/>
          <w:b/>
          <w:bCs/>
          <w:lang w:val="es-ES" w:eastAsia="es-ES"/>
        </w:rPr>
        <w:t>iii)</w:t>
      </w:r>
      <w:r w:rsidRPr="00422273">
        <w:rPr>
          <w:rFonts w:ascii="Palatino Linotype" w:eastAsiaTheme="minorEastAsia" w:hAnsi="Palatino Linotype"/>
          <w:bCs/>
          <w:lang w:val="es-ES" w:eastAsia="es-ES"/>
        </w:rPr>
        <w:t xml:space="preserve"> exista una orden judicial, </w:t>
      </w:r>
      <w:r w:rsidRPr="00422273">
        <w:rPr>
          <w:rFonts w:ascii="Palatino Linotype" w:eastAsiaTheme="minorEastAsia" w:hAnsi="Palatino Linotype"/>
          <w:b/>
          <w:bCs/>
          <w:lang w:val="es-ES" w:eastAsia="es-ES"/>
        </w:rPr>
        <w:t>iv)</w:t>
      </w:r>
      <w:r w:rsidRPr="00422273">
        <w:rPr>
          <w:rFonts w:ascii="Palatino Linotype" w:eastAsiaTheme="minorEastAsia" w:hAnsi="Palatino Linotype"/>
          <w:bCs/>
          <w:lang w:val="es-ES" w:eastAsia="es-ES"/>
        </w:rPr>
        <w:t xml:space="preserve"> por razones de seguridad nacional y salubridad general o </w:t>
      </w:r>
      <w:r w:rsidRPr="00422273">
        <w:rPr>
          <w:rFonts w:ascii="Palatino Linotype" w:eastAsiaTheme="minorEastAsia" w:hAnsi="Palatino Linotype"/>
          <w:b/>
          <w:bCs/>
          <w:lang w:val="es-ES" w:eastAsia="es-ES"/>
        </w:rPr>
        <w:t>v)</w:t>
      </w:r>
      <w:r w:rsidRPr="00422273">
        <w:rPr>
          <w:rFonts w:ascii="Palatino Linotype" w:eastAsiaTheme="minorEastAsia" w:hAnsi="Palatino Linotype"/>
          <w:bCs/>
          <w:lang w:val="es-ES" w:eastAsia="es-ES"/>
        </w:rPr>
        <w:t xml:space="preserve"> para proteger los derechos de terceros o cuando se transmita entre sujetos obligados en términos de los tratados y los acuerdos interinstitucionales.</w:t>
      </w:r>
    </w:p>
    <w:p w:rsidR="00BA7742" w:rsidRPr="00422273" w:rsidRDefault="00BA7742" w:rsidP="00B54731">
      <w:pPr>
        <w:spacing w:line="360" w:lineRule="auto"/>
        <w:ind w:right="49"/>
        <w:contextualSpacing/>
        <w:jc w:val="both"/>
        <w:rPr>
          <w:rFonts w:ascii="Palatino Linotype" w:eastAsiaTheme="minorEastAsia" w:hAnsi="Palatino Linotype"/>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t>En términos de lo expuesto, la documentación y aquellos datos que se consideren confidenciales, serán una limitante del derecho de acceso a la información, siempre y cuando:</w:t>
      </w:r>
    </w:p>
    <w:p w:rsidR="00BA7742" w:rsidRPr="00422273" w:rsidRDefault="00BA7742" w:rsidP="00B54731">
      <w:pPr>
        <w:spacing w:line="360" w:lineRule="auto"/>
        <w:ind w:right="49"/>
        <w:contextualSpacing/>
        <w:jc w:val="both"/>
        <w:rPr>
          <w:rFonts w:ascii="Palatino Linotype" w:eastAsiaTheme="minorEastAsia" w:hAnsi="Palatino Linotype"/>
          <w:bCs/>
          <w:lang w:val="es-ES" w:eastAsia="es-ES"/>
        </w:rPr>
      </w:pPr>
    </w:p>
    <w:p w:rsidR="00060299" w:rsidRPr="00422273" w:rsidRDefault="00BA7742" w:rsidP="00B54731">
      <w:pPr>
        <w:spacing w:line="360" w:lineRule="auto"/>
        <w:ind w:left="851" w:right="49"/>
        <w:contextualSpacing/>
        <w:jc w:val="both"/>
        <w:rPr>
          <w:rFonts w:ascii="Palatino Linotype" w:eastAsiaTheme="minorEastAsia" w:hAnsi="Palatino Linotype"/>
          <w:b/>
          <w:bCs/>
          <w:sz w:val="22"/>
          <w:lang w:val="es-ES" w:eastAsia="es-ES"/>
        </w:rPr>
      </w:pPr>
      <w:r w:rsidRPr="00422273">
        <w:rPr>
          <w:rFonts w:ascii="Palatino Linotype" w:eastAsiaTheme="minorEastAsia" w:hAnsi="Palatino Linotype"/>
          <w:bCs/>
          <w:sz w:val="22"/>
          <w:lang w:val="es-ES" w:eastAsia="es-ES"/>
        </w:rPr>
        <w:t xml:space="preserve">a). </w:t>
      </w:r>
      <w:r w:rsidR="00060299" w:rsidRPr="00422273">
        <w:rPr>
          <w:rFonts w:ascii="Palatino Linotype" w:eastAsiaTheme="minorEastAsia" w:hAnsi="Palatino Linotype"/>
          <w:bCs/>
          <w:sz w:val="22"/>
          <w:lang w:val="es-ES" w:eastAsia="es-ES"/>
        </w:rPr>
        <w:t>Se trate de</w:t>
      </w:r>
      <w:r w:rsidR="00060299" w:rsidRPr="00422273">
        <w:rPr>
          <w:rFonts w:ascii="Palatino Linotype" w:eastAsiaTheme="minorEastAsia" w:hAnsi="Palatino Linotype"/>
          <w:b/>
          <w:bCs/>
          <w:sz w:val="22"/>
          <w:lang w:val="es-ES" w:eastAsia="es-ES"/>
        </w:rPr>
        <w:t xml:space="preserve"> datos personales</w:t>
      </w:r>
      <w:r w:rsidR="00060299" w:rsidRPr="00422273">
        <w:rPr>
          <w:rFonts w:ascii="Palatino Linotype" w:eastAsiaTheme="minorEastAsia" w:hAnsi="Palatino Linotype"/>
          <w:bCs/>
          <w:sz w:val="22"/>
          <w:lang w:val="es-ES" w:eastAsia="es-ES"/>
        </w:rPr>
        <w:t xml:space="preserve">; esto es, información concerniente a una </w:t>
      </w:r>
      <w:r w:rsidR="00060299" w:rsidRPr="00422273">
        <w:rPr>
          <w:rFonts w:ascii="Palatino Linotype" w:eastAsiaTheme="minorEastAsia" w:hAnsi="Palatino Linotype"/>
          <w:b/>
          <w:bCs/>
          <w:sz w:val="22"/>
          <w:lang w:val="es-ES" w:eastAsia="es-ES"/>
        </w:rPr>
        <w:t>persona</w:t>
      </w:r>
      <w:r w:rsidR="00060299" w:rsidRPr="00422273">
        <w:rPr>
          <w:rFonts w:ascii="Palatino Linotype" w:eastAsiaTheme="minorEastAsia" w:hAnsi="Palatino Linotype"/>
          <w:bCs/>
          <w:sz w:val="22"/>
          <w:lang w:val="es-ES" w:eastAsia="es-ES"/>
        </w:rPr>
        <w:t xml:space="preserve"> </w:t>
      </w:r>
      <w:r w:rsidR="00060299" w:rsidRPr="00422273">
        <w:rPr>
          <w:rFonts w:ascii="Palatino Linotype" w:eastAsiaTheme="minorEastAsia" w:hAnsi="Palatino Linotype"/>
          <w:b/>
          <w:bCs/>
          <w:sz w:val="22"/>
          <w:lang w:val="es-ES" w:eastAsia="es-ES"/>
        </w:rPr>
        <w:t>física</w:t>
      </w:r>
      <w:r w:rsidR="00060299" w:rsidRPr="00422273">
        <w:rPr>
          <w:rFonts w:ascii="Palatino Linotype" w:eastAsiaTheme="minorEastAsia" w:hAnsi="Palatino Linotype"/>
          <w:bCs/>
          <w:sz w:val="22"/>
          <w:lang w:val="es-ES" w:eastAsia="es-ES"/>
        </w:rPr>
        <w:t xml:space="preserve"> y que ésta sea identificada o identificable. </w:t>
      </w:r>
    </w:p>
    <w:p w:rsidR="00060299" w:rsidRPr="00422273" w:rsidRDefault="00060299" w:rsidP="00B54731">
      <w:pPr>
        <w:spacing w:line="360" w:lineRule="auto"/>
        <w:ind w:left="142" w:right="49"/>
        <w:contextualSpacing/>
        <w:jc w:val="both"/>
        <w:rPr>
          <w:rFonts w:ascii="Palatino Linotype" w:eastAsiaTheme="minorEastAsia" w:hAnsi="Palatino Linotype"/>
          <w:b/>
          <w:bCs/>
          <w:sz w:val="22"/>
          <w:lang w:val="es-ES" w:eastAsia="es-ES"/>
        </w:rPr>
      </w:pPr>
    </w:p>
    <w:p w:rsidR="00060299" w:rsidRPr="00422273" w:rsidRDefault="00BA7742" w:rsidP="00B54731">
      <w:pPr>
        <w:spacing w:line="360" w:lineRule="auto"/>
        <w:ind w:left="851" w:right="49"/>
        <w:contextualSpacing/>
        <w:jc w:val="both"/>
        <w:rPr>
          <w:rFonts w:ascii="Palatino Linotype" w:eastAsiaTheme="minorEastAsia" w:hAnsi="Palatino Linotype"/>
          <w:bCs/>
          <w:sz w:val="22"/>
          <w:lang w:val="es-ES" w:eastAsia="es-ES"/>
        </w:rPr>
      </w:pPr>
      <w:r w:rsidRPr="00422273">
        <w:rPr>
          <w:rFonts w:ascii="Palatino Linotype" w:eastAsiaTheme="minorEastAsia" w:hAnsi="Palatino Linotype"/>
          <w:bCs/>
          <w:sz w:val="22"/>
          <w:lang w:val="es-ES" w:eastAsia="es-ES"/>
        </w:rPr>
        <w:t xml:space="preserve">b). </w:t>
      </w:r>
      <w:r w:rsidR="00060299" w:rsidRPr="00422273">
        <w:rPr>
          <w:rFonts w:ascii="Palatino Linotype" w:eastAsiaTheme="minorEastAsia" w:hAnsi="Palatino Linotype"/>
          <w:bCs/>
          <w:sz w:val="22"/>
          <w:lang w:val="es-ES" w:eastAsia="es-ES"/>
        </w:rPr>
        <w:t xml:space="preserve">Para la difusión de los datos, se requiera el consentimiento del titular. </w:t>
      </w:r>
    </w:p>
    <w:p w:rsidR="00060299" w:rsidRPr="00422273" w:rsidRDefault="00060299" w:rsidP="00B54731">
      <w:pPr>
        <w:spacing w:line="360" w:lineRule="auto"/>
        <w:ind w:right="49"/>
        <w:contextualSpacing/>
        <w:jc w:val="both"/>
        <w:rPr>
          <w:rFonts w:ascii="Palatino Linotype" w:eastAsiaTheme="minorEastAsia" w:hAnsi="Palatino Linotype"/>
          <w:bCs/>
          <w:lang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lang w:val="es-ES" w:eastAsia="es-ES"/>
        </w:rPr>
      </w:pPr>
      <w:r w:rsidRPr="00422273">
        <w:rPr>
          <w:rFonts w:ascii="Palatino Linotype" w:eastAsiaTheme="minorEastAsia" w:hAnsi="Palatino Linotype"/>
          <w:bCs/>
          <w:lang w:val="es-ES"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w:t>
      </w:r>
      <w:r w:rsidRPr="00422273">
        <w:rPr>
          <w:rFonts w:ascii="Palatino Linotype" w:eastAsiaTheme="minorEastAsia" w:hAnsi="Palatino Linotype"/>
          <w:bCs/>
          <w:lang w:val="es-ES" w:eastAsia="es-ES"/>
        </w:rPr>
        <w:lastRenderedPageBreak/>
        <w:t xml:space="preserve">directa o indirectamente a través de cualquier documento informativo físico o electrónico), establecida en cualquier formato o modalidad. </w:t>
      </w:r>
    </w:p>
    <w:p w:rsidR="00BA7742" w:rsidRPr="00422273" w:rsidRDefault="00BA7742" w:rsidP="00B54731">
      <w:pPr>
        <w:spacing w:line="360" w:lineRule="auto"/>
        <w:ind w:right="49"/>
        <w:contextualSpacing/>
        <w:jc w:val="both"/>
        <w:rPr>
          <w:rFonts w:ascii="Palatino Linotype" w:eastAsiaTheme="minorEastAsia" w:hAnsi="Palatino Linotype"/>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
          <w:bCs/>
          <w:lang w:val="es-ES" w:eastAsia="es-ES"/>
        </w:rPr>
      </w:pPr>
      <w:r w:rsidRPr="00422273">
        <w:rPr>
          <w:rFonts w:ascii="Palatino Linotype" w:eastAsiaTheme="minorEastAsia" w:hAnsi="Palatino Linotype"/>
          <w:bCs/>
          <w:lang w:val="es-ES" w:eastAsia="es-ES"/>
        </w:rPr>
        <w:t xml:space="preserve">Además, en el artículo 5° de dicho ordenamiento jurídico, </w:t>
      </w:r>
      <w:r w:rsidRPr="00422273">
        <w:rPr>
          <w:rFonts w:ascii="Palatino Linotype" w:eastAsiaTheme="minorEastAsia" w:hAnsi="Palatino Linotype"/>
          <w:b/>
          <w:bCs/>
          <w:lang w:val="es-ES" w:eastAsia="es-ES"/>
        </w:rPr>
        <w:t xml:space="preserve">establece que es la Ley aplicable para todo tratamiento de datos personales. </w:t>
      </w:r>
    </w:p>
    <w:p w:rsidR="00BA7742" w:rsidRPr="00422273" w:rsidRDefault="00BA7742" w:rsidP="00B54731">
      <w:pPr>
        <w:spacing w:line="360" w:lineRule="auto"/>
        <w:ind w:right="49"/>
        <w:contextualSpacing/>
        <w:jc w:val="both"/>
        <w:rPr>
          <w:rFonts w:ascii="Palatino Linotype" w:eastAsiaTheme="minorEastAsia" w:hAnsi="Palatino Linotype"/>
          <w:b/>
          <w:b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En </w:t>
      </w:r>
      <w:r w:rsidRPr="00422273">
        <w:rPr>
          <w:rFonts w:ascii="Palatino Linotype" w:eastAsiaTheme="minorEastAsia" w:hAnsi="Palatino Linotype"/>
          <w:bCs/>
          <w:lang w:val="es-ES" w:eastAsia="es-ES"/>
        </w:rPr>
        <w:t>ese</w:t>
      </w:r>
      <w:r w:rsidRPr="00422273">
        <w:rPr>
          <w:rFonts w:ascii="Palatino Linotype" w:eastAsiaTheme="minorEastAsia" w:hAnsi="Palatino Linotype"/>
          <w:lang w:val="es-ES" w:eastAsia="es-ES"/>
        </w:rPr>
        <w:t xml:space="preserve"> contexto, los artículos 6°, 7°, 8° y 14 de la </w:t>
      </w:r>
      <w:r w:rsidRPr="00422273">
        <w:rPr>
          <w:rFonts w:ascii="Palatino Linotype" w:eastAsiaTheme="minorEastAsia" w:hAnsi="Palatino Linotype"/>
          <w:bCs/>
          <w:lang w:val="es-ES" w:eastAsia="es-ES"/>
        </w:rPr>
        <w:t>Ley de Protección de Datos Personales en Posesión de Sujetos Obligados del Estado de México y Municipios</w:t>
      </w:r>
      <w:r w:rsidRPr="00422273">
        <w:rPr>
          <w:rFonts w:ascii="Palatino Linotype" w:eastAsiaTheme="minorEastAsia" w:hAnsi="Palatino Linotype"/>
          <w:lang w:val="es-ES" w:eastAsia="es-ES"/>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422273" w:rsidRPr="00422273" w:rsidRDefault="00422273" w:rsidP="00422273">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w:t>
      </w:r>
      <w:r w:rsidRPr="00422273">
        <w:rPr>
          <w:rFonts w:ascii="Palatino Linotype" w:eastAsiaTheme="minorEastAsia" w:hAnsi="Palatino Linotype"/>
          <w:lang w:val="es-ES" w:eastAsia="es-ES"/>
        </w:rPr>
        <w:lastRenderedPageBreak/>
        <w:t xml:space="preserve">un análisis en donde se ponderaban dos derechos: el derecho a la intimidad y la protección de los datos personales </w:t>
      </w:r>
      <w:r w:rsidRPr="00422273">
        <w:rPr>
          <w:rFonts w:ascii="Palatino Linotype" w:eastAsiaTheme="minorEastAsia" w:hAnsi="Palatino Linotype"/>
          <w:i/>
          <w:lang w:val="es-ES" w:eastAsia="es-ES"/>
        </w:rPr>
        <w:t>versus</w:t>
      </w:r>
      <w:r w:rsidRPr="00422273">
        <w:rPr>
          <w:rFonts w:ascii="Palatino Linotype" w:eastAsiaTheme="minorEastAsia" w:hAnsi="Palatino Linotype"/>
          <w:lang w:val="es-ES" w:eastAsia="es-ES"/>
        </w:rPr>
        <w:t xml:space="preserve"> el interés público de conocer el ejercicio de atribuciones y de recursos públicos de las instituciones y es a partir de ahí, en donde las instituciones públicas deben determinar la publicidad de su información.</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De tal suerte, las instituciones públicas tienen la doble responsabilidad, por un lado, de proteger los datos personales y por otro, darles publicidad cuando la relevancia de esos datos sea de interés público.</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422273">
        <w:rPr>
          <w:rFonts w:ascii="Palatino Linotype" w:eastAsiaTheme="minorEastAsia" w:hAnsi="Palatino Linotype"/>
          <w:lang w:val="es-ES" w:eastAsia="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w:t>
      </w:r>
      <w:r w:rsidRPr="00422273">
        <w:rPr>
          <w:rFonts w:ascii="Palatino Linotype" w:eastAsiaTheme="minorEastAsia" w:hAnsi="Palatino Linotype"/>
          <w:lang w:val="es-ES" w:eastAsia="es-ES"/>
        </w:rPr>
        <w:lastRenderedPageBreak/>
        <w:t>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BA7742" w:rsidRPr="00422273" w:rsidRDefault="00BA7742" w:rsidP="00B54731">
      <w:pPr>
        <w:spacing w:line="360" w:lineRule="auto"/>
        <w:ind w:right="49"/>
        <w:contextualSpacing/>
        <w:jc w:val="both"/>
        <w:rPr>
          <w:rFonts w:ascii="Palatino Linotype" w:eastAsiaTheme="minorEastAsia" w:hAnsi="Palatino Linotype"/>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 xml:space="preserve">Bajo ese </w:t>
      </w:r>
      <w:r w:rsidRPr="00422273">
        <w:rPr>
          <w:rFonts w:ascii="Palatino Linotype" w:eastAsiaTheme="minorEastAsia" w:hAnsi="Palatino Linotype"/>
          <w:lang w:val="es-ES" w:eastAsia="es-ES"/>
        </w:rPr>
        <w:t>contexto</w:t>
      </w:r>
      <w:r w:rsidRPr="00422273">
        <w:rPr>
          <w:rFonts w:ascii="Palatino Linotype" w:eastAsiaTheme="minorEastAsia" w:hAnsi="Palatino Linotype"/>
          <w:iCs/>
          <w:lang w:val="es-ES" w:eastAsia="es-ES"/>
        </w:rPr>
        <w:t xml:space="preserve">, se procede al estudio de la clasificación del nombre de servidores públicos, en procedimientos de responsabilidades, de conformidad con el </w:t>
      </w:r>
      <w:r w:rsidRPr="00422273">
        <w:rPr>
          <w:rFonts w:ascii="Palatino Linotype" w:eastAsiaTheme="minorEastAsia" w:hAnsi="Palatino Linotype"/>
          <w:b/>
          <w:iCs/>
          <w:lang w:val="es-ES" w:eastAsia="es-ES"/>
        </w:rPr>
        <w:t xml:space="preserve">artículo 143, fracción I, </w:t>
      </w:r>
      <w:r w:rsidRPr="00422273">
        <w:rPr>
          <w:rFonts w:ascii="Palatino Linotype" w:eastAsiaTheme="minorEastAsia" w:hAnsi="Palatino Linotype"/>
          <w:iCs/>
          <w:lang w:val="es-ES" w:eastAsia="es-ES"/>
        </w:rPr>
        <w:t>de la Ley de Transparencia y Acceso a la Información Pública del Estado de México y Municipios.</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pStyle w:val="Prrafodelista"/>
        <w:numPr>
          <w:ilvl w:val="0"/>
          <w:numId w:val="2"/>
        </w:numPr>
        <w:spacing w:line="360" w:lineRule="auto"/>
        <w:ind w:right="49"/>
        <w:jc w:val="both"/>
        <w:rPr>
          <w:rFonts w:ascii="Palatino Linotype" w:eastAsiaTheme="minorEastAsia" w:hAnsi="Palatino Linotype"/>
          <w:b/>
          <w:iCs/>
          <w:sz w:val="24"/>
          <w:lang w:val="es-ES" w:eastAsia="es-ES"/>
        </w:rPr>
      </w:pPr>
      <w:r w:rsidRPr="00422273">
        <w:rPr>
          <w:rFonts w:ascii="Palatino Linotype" w:eastAsiaTheme="minorEastAsia" w:hAnsi="Palatino Linotype"/>
          <w:b/>
          <w:iCs/>
          <w:sz w:val="24"/>
          <w:lang w:val="es-ES" w:eastAsia="es-ES"/>
        </w:rPr>
        <w:t>Procedimientos de responsabilidades administrativas absolutorias.</w:t>
      </w:r>
    </w:p>
    <w:p w:rsidR="00060299" w:rsidRPr="00422273" w:rsidRDefault="00060299" w:rsidP="00B54731">
      <w:pPr>
        <w:spacing w:line="360" w:lineRule="auto"/>
        <w:ind w:right="49"/>
        <w:contextualSpacing/>
        <w:jc w:val="both"/>
        <w:rPr>
          <w:rFonts w:ascii="Palatino Linotype" w:eastAsiaTheme="minorEastAsia" w:hAnsi="Palatino Linotype"/>
          <w:b/>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Al respecto, en el presente caso, se trata expedientes o determinaciones en donde la conducta investigada no fue contraria en derecho; por lo que, entregar las denuncias, en caso, de que existan, se daría a conocer que las conductas que se le atribuían, no le eran imputables, lo cual permitiría la rendición de cuentas de este, pues se podría observar, que dicho trabajador, ha cumplido con sus obligaciones, no ha cometido actos irregulares y ha actuado conforme a las normatividad aplicable.</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Además, proporcionar las denuncias, no generaría una afectación a su honor, intimidad o buena imagen, pues contrario a esto, a través de la queja o denuncia, es posible conocer que os motivos señalados en estas, no fueron comprobadas y que el servidor público ha ejercido su cargo, de manera honesta, responsable y conforme a lo establecido en las diversas disposiciones.</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
          <w:iCs/>
          <w:lang w:val="es-ES" w:eastAsia="es-ES"/>
        </w:rPr>
      </w:pPr>
      <w:r w:rsidRPr="00422273">
        <w:rPr>
          <w:rFonts w:ascii="Palatino Linotype" w:eastAsiaTheme="minorEastAsia" w:hAnsi="Palatino Linotype"/>
          <w:bCs/>
          <w:iCs/>
          <w:lang w:val="es-ES" w:eastAsia="es-ES"/>
        </w:rPr>
        <w:lastRenderedPageBreak/>
        <w:t xml:space="preserve">En ese </w:t>
      </w:r>
      <w:r w:rsidRPr="00422273">
        <w:rPr>
          <w:rFonts w:ascii="Palatino Linotype" w:eastAsiaTheme="minorEastAsia" w:hAnsi="Palatino Linotype"/>
          <w:iCs/>
          <w:lang w:val="es-ES" w:eastAsia="es-ES"/>
        </w:rPr>
        <w:t>orden</w:t>
      </w:r>
      <w:r w:rsidRPr="00422273">
        <w:rPr>
          <w:rFonts w:ascii="Palatino Linotype" w:eastAsiaTheme="minorEastAsia" w:hAnsi="Palatino Linotype"/>
          <w:bCs/>
          <w:iCs/>
          <w:lang w:val="es-ES" w:eastAsia="es-ES"/>
        </w:rPr>
        <w:t xml:space="preserve"> de ideas, dar a conocer la información solicitada respecto a procedimientos de responsabilidades administrativas absolutorios, esto es, que no </w:t>
      </w:r>
      <w:r w:rsidRPr="00422273">
        <w:rPr>
          <w:rFonts w:ascii="Palatino Linotype" w:eastAsiaTheme="minorEastAsia" w:hAnsi="Palatino Linotype"/>
          <w:iCs/>
          <w:lang w:val="es-ES" w:eastAsia="es-ES"/>
        </w:rPr>
        <w:t>hayan decretado alguna responsabilidad o culpabilidad, en caso de su existencia</w:t>
      </w:r>
      <w:r w:rsidRPr="00422273">
        <w:rPr>
          <w:rFonts w:ascii="Palatino Linotype" w:eastAsiaTheme="minorEastAsia" w:hAnsi="Palatino Linotype"/>
          <w:bCs/>
          <w:iCs/>
          <w:lang w:val="es-ES" w:eastAsia="es-ES"/>
        </w:rPr>
        <w:t>, no implicaría una vulneración a su honor o intimidad, ya que dichos procedimientos suponen la falta de elementos para sancionarlo.</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bCs/>
          <w:iCs/>
          <w:lang w:val="es-ES" w:eastAsia="es-ES"/>
        </w:rPr>
      </w:pPr>
      <w:r w:rsidRPr="00422273">
        <w:rPr>
          <w:rFonts w:ascii="Palatino Linotype" w:eastAsiaTheme="minorEastAsia" w:hAnsi="Palatino Linotype"/>
          <w:bCs/>
          <w:iCs/>
          <w:lang w:val="es-ES" w:eastAsia="es-ES"/>
        </w:rPr>
        <w:t xml:space="preserve">Igualmente, debe traerse a colación la jurisprudencia con el rubro </w:t>
      </w:r>
      <w:r w:rsidRPr="00422273">
        <w:rPr>
          <w:rFonts w:ascii="Palatino Linotype" w:eastAsiaTheme="minorEastAsia" w:hAnsi="Palatino Linotype"/>
          <w:b/>
          <w:bCs/>
          <w:i/>
          <w:iCs/>
          <w:lang w:val="es-ES" w:eastAsia="es-ES"/>
        </w:rPr>
        <w:t>“LIBERTAD DE EXPRESIÓN Y DERECHO AL HONOR. EXPRESIONES QUE SE ENCUENTRAN PROTEGIDAS CONSTITUCIONALMENTE”</w:t>
      </w:r>
      <w:r w:rsidRPr="00422273">
        <w:rPr>
          <w:rFonts w:ascii="Palatino Linotype" w:eastAsiaTheme="minorEastAsia" w:hAnsi="Palatino Linotype"/>
          <w:bCs/>
          <w:iCs/>
          <w:lang w:val="es-ES" w:eastAsia="es-ES"/>
        </w:rPr>
        <w:t xml:space="preserve">, de la que se desprende que la Suprema Corte de Justicia de la Nación, considera que existe una presunción general de cobertura constitucional de todo discurso expresivo cuando las ideas expresadas tienen por objeto exteriorizar un sentir positivo o favorable hacia una persona, por lo que resulta indiscutible que no habría una intromisión al derecho al honor de la persona sobre la cual se vierten ideas u opiniones cuando son de esa naturaleza. Asimismo, prevé que </w:t>
      </w:r>
      <w:r w:rsidRPr="00422273">
        <w:rPr>
          <w:rFonts w:ascii="Palatino Linotype" w:eastAsiaTheme="minorEastAsia" w:hAnsi="Palatino Linotype"/>
          <w:iCs/>
          <w:lang w:val="es-ES" w:eastAsia="es-ES"/>
        </w:rPr>
        <w:t>el estándar de constitucionalidad de las opiniones emitidas en ejercicio de la libertad de expresión es el de relevancia pública, el cual depende del interés general por la materia y por las personas que en ella intervienen, cuando las noticias comunicadas o las expresiones proferidas redunden en descrédito del afectado, pues en caso contrario ni siquiera existiría un conflicto entre derechos fundamentales, al no observarse una intromisión al derecho al honor.</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 xml:space="preserve">Si bien el </w:t>
      </w:r>
      <w:r w:rsidRPr="00422273">
        <w:rPr>
          <w:rFonts w:ascii="Palatino Linotype" w:eastAsiaTheme="minorEastAsia" w:hAnsi="Palatino Linotype"/>
          <w:bCs/>
          <w:iCs/>
          <w:lang w:val="es-ES" w:eastAsia="es-ES"/>
        </w:rPr>
        <w:t>caso</w:t>
      </w:r>
      <w:r w:rsidRPr="00422273">
        <w:rPr>
          <w:rFonts w:ascii="Palatino Linotype" w:eastAsiaTheme="minorEastAsia" w:hAnsi="Palatino Linotype"/>
          <w:iCs/>
          <w:lang w:val="es-ES" w:eastAsia="es-ES"/>
        </w:rPr>
        <w:t xml:space="preserve"> que nos ocupa se refiere a un asunto de acceso a la información y no de libertad de expresión, es aplicable la tesis por analogía, en tanto que dar a conocer que existieron procedimientos en contra de determinadas personas servidoras públicas en los que se determinó que no se actualizaba alguna </w:t>
      </w:r>
      <w:r w:rsidRPr="00422273">
        <w:rPr>
          <w:rFonts w:ascii="Palatino Linotype" w:eastAsiaTheme="minorEastAsia" w:hAnsi="Palatino Linotype"/>
          <w:iCs/>
          <w:lang w:val="es-ES" w:eastAsia="es-ES"/>
        </w:rPr>
        <w:lastRenderedPageBreak/>
        <w:t>responsabilidad, no representa un dato negativo o desfavorable que las desacredite, lo cual es uno de los requisitos necesarios para que pueda considerarse que existe una intromisión al derecho al honor de una persona.</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 xml:space="preserve">Por otro lado, en la tesis aislada con el rubro </w:t>
      </w:r>
      <w:r w:rsidRPr="00422273">
        <w:rPr>
          <w:rFonts w:ascii="Palatino Linotype" w:eastAsiaTheme="minorEastAsia" w:hAnsi="Palatino Linotype"/>
          <w:b/>
          <w:i/>
          <w:iCs/>
          <w:lang w:val="es-ES" w:eastAsia="es-ES"/>
        </w:rPr>
        <w:t>“DERECHO A SER INFORMADO Y DERECHO AL HONOR. ESTÁNDAR PARA DETERMINAR SU PREVALENCIA”</w:t>
      </w:r>
      <w:r w:rsidRPr="00422273">
        <w:rPr>
          <w:rFonts w:ascii="Palatino Linotype" w:eastAsiaTheme="minorEastAsia" w:hAnsi="Palatino Linotype"/>
          <w:iCs/>
          <w:lang w:val="es-ES" w:eastAsia="es-ES"/>
        </w:rPr>
        <w:t xml:space="preserve">, la Suprema Corte de Justicia de la Nación ha señalado que el derecho a la información no es absoluto, pues si bien el Estado tiene la obligación de informar a la población sobre temas de relevancia pública, también debe proteger y garantizar el derecho al honor a la reputación de las personas; por lo que, para que la autoridad pueda difundir ciertos datos, debe cerciorarse que los mismos sean de relevancia pública o interés general, o bien, versen sobre </w:t>
      </w:r>
      <w:bookmarkStart w:id="27" w:name="_Hlk514957338"/>
      <w:r w:rsidRPr="00422273">
        <w:rPr>
          <w:rFonts w:ascii="Palatino Linotype" w:eastAsiaTheme="minorEastAsia" w:hAnsi="Palatino Linotype"/>
          <w:iCs/>
          <w:lang w:val="es-ES" w:eastAsia="es-ES"/>
        </w:rPr>
        <w:t>personas con un impacto público o social. Además, la información debe constituir una certera aproximación a la realidad, lo cual puede derivar de que la autoridad emisora de la información la obtenga de</w:t>
      </w:r>
      <w:bookmarkEnd w:id="27"/>
      <w:r w:rsidRPr="00422273">
        <w:rPr>
          <w:rFonts w:ascii="Palatino Linotype" w:eastAsiaTheme="minorEastAsia" w:hAnsi="Palatino Linotype"/>
          <w:iCs/>
          <w:lang w:val="es-ES" w:eastAsia="es-ES"/>
        </w:rPr>
        <w:t xml:space="preserve"> investigaciones, informes o estadísticas </w:t>
      </w:r>
      <w:bookmarkStart w:id="28" w:name="_Hlk514957369"/>
      <w:r w:rsidRPr="00422273">
        <w:rPr>
          <w:rFonts w:ascii="Palatino Linotype" w:eastAsiaTheme="minorEastAsia" w:hAnsi="Palatino Linotype"/>
          <w:iCs/>
          <w:lang w:val="es-ES" w:eastAsia="es-ES"/>
        </w:rPr>
        <w:t xml:space="preserve">propios o de otras autoridades, así como, de hechos notorios para la sociedad. Finalmente, debe </w:t>
      </w:r>
      <w:bookmarkEnd w:id="28"/>
      <w:r w:rsidRPr="00422273">
        <w:rPr>
          <w:rFonts w:ascii="Palatino Linotype" w:eastAsiaTheme="minorEastAsia" w:hAnsi="Palatino Linotype"/>
          <w:iCs/>
          <w:lang w:val="es-ES" w:eastAsia="es-ES"/>
        </w:rPr>
        <w:t>carecer de toda intervención de juicios o valoraciones subjetivas que no tengan como fin informar a la sociedad, sino que pretendan establecer una postura, opinión o crítica hacia la persona.</w:t>
      </w:r>
    </w:p>
    <w:p w:rsidR="00060299" w:rsidRPr="00422273" w:rsidRDefault="00060299" w:rsidP="00B54731">
      <w:pPr>
        <w:spacing w:line="360" w:lineRule="auto"/>
        <w:ind w:right="49"/>
        <w:contextualSpacing/>
        <w:jc w:val="both"/>
        <w:rPr>
          <w:rFonts w:ascii="Palatino Linotype" w:eastAsiaTheme="minorEastAsia" w:hAnsi="Palatino Linotype"/>
          <w:iCs/>
          <w:lang w:val="es-ES" w:eastAsia="es-ES"/>
        </w:rPr>
      </w:pPr>
    </w:p>
    <w:p w:rsidR="00060299" w:rsidRPr="00422273" w:rsidRDefault="00060299" w:rsidP="00B54731">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t>Así, la información, en caso de existir, trata sobre las actuaciones realizadas por un servidor público en ejercicio de sus funciones, las cuales no derivaron en alguna responsabilidad, además que transparenta la gestión pública y la rendición de cuentas de este, pues da a conocer que se ha conducido conforme a Derecho, es decir, de conformidad a sus objetivos, atribuciones y obligaciones.</w:t>
      </w:r>
    </w:p>
    <w:p w:rsidR="00BA7742" w:rsidRPr="00422273" w:rsidRDefault="00BA7742" w:rsidP="00B54731">
      <w:pPr>
        <w:spacing w:line="360" w:lineRule="auto"/>
        <w:ind w:right="49"/>
        <w:contextualSpacing/>
        <w:jc w:val="both"/>
        <w:rPr>
          <w:rFonts w:ascii="Palatino Linotype" w:eastAsiaTheme="minorEastAsia" w:hAnsi="Palatino Linotype"/>
          <w:iCs/>
          <w:lang w:val="es-ES" w:eastAsia="es-ES"/>
        </w:rPr>
      </w:pPr>
    </w:p>
    <w:p w:rsidR="00A763F8" w:rsidRPr="00A763F8" w:rsidRDefault="001F4FE5" w:rsidP="00A763F8">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422273">
        <w:rPr>
          <w:rFonts w:ascii="Palatino Linotype" w:eastAsiaTheme="minorEastAsia" w:hAnsi="Palatino Linotype"/>
          <w:iCs/>
          <w:lang w:val="es-ES" w:eastAsia="es-ES"/>
        </w:rPr>
        <w:lastRenderedPageBreak/>
        <w:t xml:space="preserve">Por lo anterior, dar a conocer la existencia de un procedimientos por causa de responsabilidad administrativa </w:t>
      </w:r>
      <w:r w:rsidR="00867B90" w:rsidRPr="00422273">
        <w:rPr>
          <w:rFonts w:ascii="Palatino Linotype" w:eastAsiaTheme="minorEastAsia" w:hAnsi="Palatino Linotype"/>
          <w:iCs/>
          <w:lang w:val="es-ES" w:eastAsia="es-ES"/>
        </w:rPr>
        <w:t>absolutorios, en caso de existir, no actualizan la causal de clasificación prevista en el artículo 143, fracción I de la Ley de Transparencia y Acceso a la Información Pública del Estado de México y Municipios, pues como se precisó dicha información no afecta, su intimidad, honor y buen nombre.</w:t>
      </w:r>
      <w:r w:rsidR="00867B90" w:rsidRPr="00422273">
        <w:rPr>
          <w:rFonts w:ascii="Palatino Linotype" w:eastAsiaTheme="minorEastAsia" w:hAnsi="Palatino Linotype"/>
          <w:b/>
          <w:iCs/>
          <w:lang w:val="es-ES" w:eastAsia="es-ES"/>
        </w:rPr>
        <w:t xml:space="preserve"> </w:t>
      </w:r>
    </w:p>
    <w:p w:rsidR="00A763F8" w:rsidRPr="00A763F8" w:rsidRDefault="00A763F8" w:rsidP="00A763F8">
      <w:pPr>
        <w:spacing w:line="360" w:lineRule="auto"/>
        <w:ind w:right="49"/>
        <w:contextualSpacing/>
        <w:jc w:val="both"/>
        <w:rPr>
          <w:rFonts w:ascii="Palatino Linotype" w:eastAsiaTheme="minorEastAsia" w:hAnsi="Palatino Linotype"/>
          <w:b/>
          <w:iCs/>
          <w:sz w:val="28"/>
          <w:lang w:val="es-ES" w:eastAsia="es-ES"/>
        </w:rPr>
      </w:pPr>
    </w:p>
    <w:p w:rsidR="00A763F8" w:rsidRPr="00A763F8" w:rsidRDefault="00A763F8" w:rsidP="00A763F8">
      <w:pPr>
        <w:pStyle w:val="Prrafodelista"/>
        <w:numPr>
          <w:ilvl w:val="0"/>
          <w:numId w:val="2"/>
        </w:numPr>
        <w:spacing w:line="360" w:lineRule="auto"/>
        <w:ind w:right="49"/>
        <w:jc w:val="both"/>
        <w:rPr>
          <w:rFonts w:ascii="Palatino Linotype" w:eastAsiaTheme="minorEastAsia" w:hAnsi="Palatino Linotype"/>
          <w:b/>
          <w:iCs/>
          <w:sz w:val="24"/>
          <w:lang w:val="es-ES" w:eastAsia="es-ES"/>
        </w:rPr>
      </w:pPr>
      <w:r w:rsidRPr="00A763F8">
        <w:rPr>
          <w:rFonts w:ascii="Palatino Linotype" w:eastAsiaTheme="minorEastAsia" w:hAnsi="Palatino Linotype"/>
          <w:b/>
          <w:iCs/>
          <w:sz w:val="24"/>
          <w:lang w:val="es-ES" w:eastAsia="es-ES"/>
        </w:rPr>
        <w:t>Vista al Órgano de Control Interno</w:t>
      </w:r>
    </w:p>
    <w:p w:rsidR="00A763F8" w:rsidRPr="00A763F8" w:rsidRDefault="00A763F8" w:rsidP="00A763F8">
      <w:pPr>
        <w:spacing w:line="360" w:lineRule="auto"/>
        <w:ind w:right="49"/>
        <w:contextualSpacing/>
        <w:jc w:val="both"/>
        <w:rPr>
          <w:rFonts w:ascii="Palatino Linotype" w:eastAsiaTheme="minorEastAsia" w:hAnsi="Palatino Linotype"/>
          <w:iCs/>
          <w:lang w:val="es-ES" w:eastAsia="es-ES"/>
        </w:rPr>
      </w:pPr>
    </w:p>
    <w:p w:rsidR="00A763F8" w:rsidRPr="00A763F8" w:rsidRDefault="00A763F8" w:rsidP="00A763F8">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Pr>
          <w:rFonts w:ascii="Palatino Linotype" w:hAnsi="Palatino Linotype"/>
        </w:rPr>
        <w:t>Ahora bien, e</w:t>
      </w:r>
      <w:r w:rsidRPr="00A763F8">
        <w:rPr>
          <w:rFonts w:ascii="Palatino Linotype" w:hAnsi="Palatino Linotype"/>
        </w:rPr>
        <w:t>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A763F8" w:rsidRDefault="00A763F8" w:rsidP="00A763F8">
      <w:pPr>
        <w:spacing w:line="360" w:lineRule="auto"/>
        <w:ind w:right="49"/>
        <w:contextualSpacing/>
        <w:jc w:val="both"/>
        <w:rPr>
          <w:rFonts w:ascii="Palatino Linotype" w:eastAsiaTheme="minorEastAsia" w:hAnsi="Palatino Linotype"/>
          <w:iCs/>
          <w:lang w:val="es-ES" w:eastAsia="es-ES"/>
        </w:rPr>
      </w:pPr>
    </w:p>
    <w:p w:rsidR="00A763F8" w:rsidRPr="00A763F8" w:rsidRDefault="00A763F8" w:rsidP="00A763F8">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sidRPr="00A763F8">
        <w:rPr>
          <w:rFonts w:ascii="Palatino Linotype" w:hAnsi="Palatino Linotype"/>
        </w:rPr>
        <w:t>Por ello, es conveniente señalar la fracción X, del artículo 36, de la Ley de Transparencia y Acceso a la Información Pública del Estado de México y Municipios, que establece:</w:t>
      </w:r>
    </w:p>
    <w:p w:rsidR="00A763F8" w:rsidRPr="00A763F8" w:rsidRDefault="00A763F8" w:rsidP="00A763F8">
      <w:pPr>
        <w:pStyle w:val="Prrafodelista"/>
        <w:tabs>
          <w:tab w:val="left" w:pos="709"/>
        </w:tabs>
        <w:spacing w:before="240" w:after="240" w:line="360" w:lineRule="auto"/>
        <w:ind w:left="786" w:right="567"/>
        <w:jc w:val="both"/>
        <w:rPr>
          <w:rFonts w:ascii="Palatino Linotype" w:hAnsi="Palatino Linotype"/>
          <w:i/>
        </w:rPr>
      </w:pPr>
      <w:r w:rsidRPr="00A763F8">
        <w:rPr>
          <w:rFonts w:ascii="Palatino Linotype" w:hAnsi="Palatino Linotype"/>
          <w:i/>
        </w:rPr>
        <w:t>“</w:t>
      </w:r>
      <w:r w:rsidRPr="00A763F8">
        <w:rPr>
          <w:rFonts w:ascii="Palatino Linotype" w:hAnsi="Palatino Linotype"/>
          <w:b/>
          <w:i/>
        </w:rPr>
        <w:t>Artículo 36</w:t>
      </w:r>
      <w:r w:rsidRPr="00A763F8">
        <w:rPr>
          <w:rFonts w:ascii="Palatino Linotype" w:hAnsi="Palatino Linotype"/>
          <w:i/>
        </w:rPr>
        <w:t>. El Instituto tendrá, en el ámbito de su competencia, las siguientes atribuciones:</w:t>
      </w:r>
    </w:p>
    <w:p w:rsidR="00A763F8" w:rsidRPr="00A763F8" w:rsidRDefault="00A763F8" w:rsidP="00A763F8">
      <w:pPr>
        <w:pStyle w:val="Prrafodelista"/>
        <w:tabs>
          <w:tab w:val="left" w:pos="709"/>
        </w:tabs>
        <w:spacing w:before="240" w:after="240" w:line="360" w:lineRule="auto"/>
        <w:ind w:left="786" w:right="567"/>
        <w:jc w:val="both"/>
        <w:rPr>
          <w:rFonts w:ascii="Palatino Linotype" w:hAnsi="Palatino Linotype"/>
          <w:i/>
        </w:rPr>
      </w:pPr>
      <w:r w:rsidRPr="00A763F8">
        <w:rPr>
          <w:rFonts w:ascii="Palatino Linotype" w:hAnsi="Palatino Linotype"/>
          <w:i/>
        </w:rPr>
        <w:t>…</w:t>
      </w:r>
    </w:p>
    <w:p w:rsidR="00A763F8" w:rsidRPr="00A763F8" w:rsidRDefault="00A763F8" w:rsidP="00A763F8">
      <w:pPr>
        <w:pStyle w:val="Prrafodelista"/>
        <w:tabs>
          <w:tab w:val="left" w:pos="709"/>
        </w:tabs>
        <w:spacing w:before="240" w:after="240" w:line="360" w:lineRule="auto"/>
        <w:ind w:left="786" w:right="567"/>
        <w:jc w:val="both"/>
        <w:rPr>
          <w:rFonts w:ascii="Palatino Linotype" w:hAnsi="Palatino Linotype"/>
          <w:i/>
        </w:rPr>
      </w:pPr>
      <w:r w:rsidRPr="00A763F8">
        <w:rPr>
          <w:rFonts w:ascii="Palatino Linotype" w:hAnsi="Palatino Linotype"/>
          <w:b/>
          <w:i/>
        </w:rPr>
        <w:t>X</w:t>
      </w:r>
      <w:r w:rsidRPr="00A763F8">
        <w:rPr>
          <w:rFonts w:ascii="Palatino Linotype" w:hAnsi="Palatino Linotype"/>
          <w:i/>
        </w:rPr>
        <w:t xml:space="preserve">. Hacer del conocimiento del órgano de control interno o equivalente de cada Sujeto Obligado las infracciones a esta Ley; </w:t>
      </w:r>
    </w:p>
    <w:p w:rsidR="00A763F8" w:rsidRPr="00A763F8" w:rsidRDefault="00A763F8" w:rsidP="00A763F8">
      <w:pPr>
        <w:pStyle w:val="Prrafodelista"/>
        <w:tabs>
          <w:tab w:val="left" w:pos="709"/>
        </w:tabs>
        <w:spacing w:before="240" w:after="240" w:line="360" w:lineRule="auto"/>
        <w:ind w:left="786" w:right="567"/>
        <w:jc w:val="both"/>
        <w:rPr>
          <w:rFonts w:ascii="Palatino Linotype" w:hAnsi="Palatino Linotype"/>
          <w:i/>
        </w:rPr>
      </w:pPr>
      <w:r w:rsidRPr="00A763F8">
        <w:rPr>
          <w:rFonts w:ascii="Palatino Linotype" w:hAnsi="Palatino Linotype"/>
          <w:i/>
        </w:rPr>
        <w:lastRenderedPageBreak/>
        <w:t>…”</w:t>
      </w:r>
    </w:p>
    <w:p w:rsidR="00A763F8" w:rsidRDefault="00A763F8" w:rsidP="00A763F8">
      <w:pPr>
        <w:spacing w:line="360" w:lineRule="auto"/>
        <w:ind w:right="49"/>
        <w:contextualSpacing/>
        <w:jc w:val="both"/>
        <w:rPr>
          <w:rFonts w:ascii="Palatino Linotype" w:eastAsiaTheme="minorEastAsia" w:hAnsi="Palatino Linotype"/>
          <w:iCs/>
          <w:lang w:val="es-ES" w:eastAsia="es-ES"/>
        </w:rPr>
      </w:pPr>
    </w:p>
    <w:p w:rsidR="005D19A1" w:rsidRDefault="005D19A1" w:rsidP="00422273">
      <w:pPr>
        <w:numPr>
          <w:ilvl w:val="0"/>
          <w:numId w:val="1"/>
        </w:numPr>
        <w:spacing w:line="360" w:lineRule="auto"/>
        <w:ind w:left="0" w:right="49" w:firstLine="0"/>
        <w:contextualSpacing/>
        <w:jc w:val="both"/>
        <w:rPr>
          <w:rFonts w:ascii="Palatino Linotype" w:eastAsiaTheme="minorEastAsia" w:hAnsi="Palatino Linotype"/>
          <w:iCs/>
          <w:lang w:val="es-ES" w:eastAsia="es-ES"/>
        </w:rPr>
      </w:pPr>
      <w:r>
        <w:rPr>
          <w:rFonts w:ascii="Palatino Linotype" w:eastAsiaTheme="minorEastAsia" w:hAnsi="Palatino Linotype"/>
          <w:iCs/>
          <w:lang w:val="es-ES" w:eastAsia="es-ES"/>
        </w:rPr>
        <w:t xml:space="preserve">Por otro lado, este Pleno hará del conocimiento del Órgano de Control de este Instituto </w:t>
      </w:r>
      <w:r w:rsidR="00224576">
        <w:rPr>
          <w:rFonts w:ascii="Palatino Linotype" w:eastAsiaTheme="minorEastAsia" w:hAnsi="Palatino Linotype"/>
          <w:iCs/>
          <w:lang w:val="es-ES" w:eastAsia="es-ES"/>
        </w:rPr>
        <w:t xml:space="preserve">de las </w:t>
      </w:r>
      <w:r>
        <w:rPr>
          <w:rFonts w:ascii="Palatino Linotype" w:eastAsiaTheme="minorEastAsia" w:hAnsi="Palatino Linotype"/>
          <w:iCs/>
          <w:lang w:val="es-ES" w:eastAsia="es-ES"/>
        </w:rPr>
        <w:t xml:space="preserve"> </w:t>
      </w:r>
      <w:r w:rsidR="001F5485">
        <w:rPr>
          <w:rFonts w:ascii="Palatino Linotype" w:eastAsiaTheme="minorEastAsia" w:hAnsi="Palatino Linotype"/>
          <w:iCs/>
          <w:lang w:val="es-ES" w:eastAsia="es-ES"/>
        </w:rPr>
        <w:t>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 190, 22 y 223 que señalan lo siguiente:</w:t>
      </w:r>
    </w:p>
    <w:p w:rsidR="001F5485" w:rsidRDefault="001F5485" w:rsidP="001F5485">
      <w:pPr>
        <w:spacing w:line="360" w:lineRule="auto"/>
        <w:ind w:right="49"/>
        <w:contextualSpacing/>
        <w:jc w:val="both"/>
        <w:rPr>
          <w:rFonts w:ascii="Palatino Linotype" w:eastAsiaTheme="minorEastAsia" w:hAnsi="Palatino Linotype"/>
          <w:iCs/>
          <w:lang w:val="es-ES" w:eastAsia="es-ES"/>
        </w:rPr>
      </w:pPr>
    </w:p>
    <w:p w:rsidR="001F5485" w:rsidRDefault="001F5485" w:rsidP="001F5485">
      <w:pPr>
        <w:spacing w:line="360" w:lineRule="auto"/>
        <w:ind w:left="851" w:right="822"/>
        <w:contextualSpacing/>
        <w:jc w:val="both"/>
        <w:rPr>
          <w:rFonts w:ascii="Palatino Linotype" w:hAnsi="Palatino Linotype"/>
          <w:i/>
          <w:sz w:val="22"/>
        </w:rPr>
      </w:pPr>
      <w:r>
        <w:rPr>
          <w:rFonts w:ascii="Palatino Linotype" w:hAnsi="Palatino Linotype"/>
          <w:i/>
          <w:sz w:val="22"/>
        </w:rPr>
        <w:t>“</w:t>
      </w:r>
      <w:r w:rsidRPr="001F5485">
        <w:rPr>
          <w:rFonts w:ascii="Palatino Linotype" w:hAnsi="Palatino Linotype"/>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F5485" w:rsidRPr="001F5485" w:rsidRDefault="001F5485" w:rsidP="001F5485">
      <w:pPr>
        <w:spacing w:line="360" w:lineRule="auto"/>
        <w:ind w:left="851" w:right="822"/>
        <w:contextualSpacing/>
        <w:jc w:val="both"/>
        <w:rPr>
          <w:rFonts w:ascii="Palatino Linotype" w:hAnsi="Palatino Linotype"/>
          <w:i/>
          <w:sz w:val="22"/>
        </w:rPr>
      </w:pP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t xml:space="preserve">Artículo 222. Son causas de responsabilidad administrativa de los servidores públicos de los sujetos obligados, por incumplimiento de las obligaciones establecidas en la materia de la presente Ley, las siguientes: </w:t>
      </w: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t xml:space="preserve">I. Cualquier acto u omisión que provoque la suspensión o deficiencia en la atención de las solicitudes de información; </w:t>
      </w: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t xml:space="preserve">II. La falta de respuesta a las solicitudes de información en los plazos señalados en la normatividad aplicable; </w:t>
      </w: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t>…</w:t>
      </w: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t xml:space="preserve">IV. Entregar información clasificada como reservada; </w:t>
      </w: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lastRenderedPageBreak/>
        <w:t>V. Entregar información clasificada como confidencial fuera de los casos previstos por esta Ley;</w:t>
      </w:r>
    </w:p>
    <w:p w:rsidR="001F5485" w:rsidRPr="001F5485" w:rsidRDefault="001F5485" w:rsidP="001F5485">
      <w:pPr>
        <w:spacing w:line="360" w:lineRule="auto"/>
        <w:ind w:left="851" w:right="822"/>
        <w:contextualSpacing/>
        <w:jc w:val="both"/>
        <w:rPr>
          <w:rFonts w:ascii="Palatino Linotype" w:hAnsi="Palatino Linotype"/>
          <w:i/>
          <w:sz w:val="22"/>
        </w:rPr>
      </w:pPr>
      <w:r w:rsidRPr="001F5485">
        <w:rPr>
          <w:rFonts w:ascii="Palatino Linotype" w:hAnsi="Palatino Linotype"/>
          <w:i/>
          <w:sz w:val="22"/>
        </w:rPr>
        <w:t>…</w:t>
      </w:r>
    </w:p>
    <w:p w:rsidR="001F5485" w:rsidRPr="001F5485" w:rsidRDefault="001F5485" w:rsidP="001F5485">
      <w:pPr>
        <w:spacing w:line="360" w:lineRule="auto"/>
        <w:ind w:left="851" w:right="822"/>
        <w:contextualSpacing/>
        <w:jc w:val="both"/>
        <w:rPr>
          <w:rFonts w:ascii="Palatino Linotype" w:eastAsiaTheme="minorEastAsia" w:hAnsi="Palatino Linotype"/>
          <w:i/>
          <w:iCs/>
          <w:sz w:val="22"/>
          <w:lang w:val="es-ES" w:eastAsia="es-ES"/>
        </w:rPr>
      </w:pPr>
      <w:r w:rsidRPr="001F5485">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Pr>
          <w:rFonts w:ascii="Palatino Linotype" w:hAnsi="Palatino Linotype"/>
          <w:i/>
          <w:sz w:val="22"/>
        </w:rPr>
        <w:t>”</w:t>
      </w:r>
    </w:p>
    <w:p w:rsidR="00BE48D5" w:rsidRPr="00422273" w:rsidRDefault="00BE48D5" w:rsidP="00B54731">
      <w:pPr>
        <w:pStyle w:val="Sinespaciado"/>
        <w:spacing w:line="360" w:lineRule="auto"/>
        <w:jc w:val="both"/>
        <w:rPr>
          <w:rFonts w:ascii="Palatino Linotype" w:hAnsi="Palatino Linotype" w:cs="Arial"/>
          <w:b/>
          <w:sz w:val="24"/>
          <w:szCs w:val="24"/>
        </w:rPr>
      </w:pPr>
      <w:bookmarkStart w:id="29" w:name="_Toc72934786"/>
    </w:p>
    <w:p w:rsidR="00867B90" w:rsidRPr="00422273" w:rsidRDefault="00BE48D5" w:rsidP="00B54731">
      <w:pPr>
        <w:pStyle w:val="Ttulo1"/>
        <w:spacing w:before="0" w:line="360" w:lineRule="auto"/>
        <w:rPr>
          <w:rFonts w:ascii="Palatino Linotype" w:hAnsi="Palatino Linotype"/>
          <w:b/>
          <w:color w:val="000000" w:themeColor="text1"/>
          <w:sz w:val="24"/>
          <w:szCs w:val="24"/>
        </w:rPr>
      </w:pPr>
      <w:bookmarkStart w:id="30" w:name="_Toc74188153"/>
      <w:bookmarkStart w:id="31" w:name="_Toc84437047"/>
      <w:r w:rsidRPr="00422273">
        <w:rPr>
          <w:rFonts w:ascii="Palatino Linotype" w:hAnsi="Palatino Linotype" w:cs="Times New Roman"/>
          <w:b/>
          <w:color w:val="000000" w:themeColor="text1"/>
          <w:sz w:val="24"/>
          <w:szCs w:val="24"/>
          <w:lang w:eastAsia="es-ES_tradnl"/>
        </w:rPr>
        <w:t xml:space="preserve">QUINTO. </w:t>
      </w:r>
      <w:r w:rsidRPr="00422273">
        <w:rPr>
          <w:rFonts w:ascii="Palatino Linotype" w:hAnsi="Palatino Linotype"/>
          <w:b/>
          <w:color w:val="000000" w:themeColor="text1"/>
          <w:sz w:val="24"/>
          <w:szCs w:val="24"/>
        </w:rPr>
        <w:t xml:space="preserve"> De la elaboración de la versión pública.</w:t>
      </w:r>
      <w:bookmarkEnd w:id="30"/>
      <w:bookmarkEnd w:id="31"/>
      <w:r w:rsidRPr="00422273">
        <w:rPr>
          <w:rFonts w:ascii="Palatino Linotype" w:hAnsi="Palatino Linotype"/>
          <w:b/>
          <w:color w:val="000000" w:themeColor="text1"/>
          <w:sz w:val="24"/>
          <w:szCs w:val="24"/>
        </w:rPr>
        <w:t xml:space="preserve"> </w:t>
      </w:r>
    </w:p>
    <w:p w:rsidR="00867B90" w:rsidRPr="00422273" w:rsidRDefault="00867B90" w:rsidP="00B54731">
      <w:pPr>
        <w:spacing w:line="360" w:lineRule="auto"/>
        <w:rPr>
          <w:rFonts w:ascii="Palatino Linotype" w:hAnsi="Palatino Linotype"/>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Debe destacarse que, debido a la naturaleza de la información solicitada</w:t>
      </w:r>
      <w:r w:rsidRPr="00422273">
        <w:rPr>
          <w:rFonts w:ascii="Palatino Linotype" w:eastAsia="MS Gothic" w:hAnsi="Palatino Linotype"/>
          <w:b/>
          <w:sz w:val="24"/>
          <w:szCs w:val="26"/>
        </w:rPr>
        <w:t xml:space="preserve">, </w:t>
      </w:r>
      <w:r w:rsidRPr="00422273">
        <w:rPr>
          <w:rFonts w:ascii="Palatino Linotype" w:eastAsia="MS Gothic" w:hAnsi="Palatino Linotype"/>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22273">
        <w:rPr>
          <w:rFonts w:ascii="Palatino Linotype" w:eastAsia="MS Gothic" w:hAnsi="Palatino Linotype"/>
          <w:b/>
          <w:sz w:val="24"/>
          <w:szCs w:val="26"/>
          <w:u w:val="single"/>
        </w:rPr>
        <w:t>versión pública</w:t>
      </w:r>
      <w:r w:rsidRPr="00422273">
        <w:rPr>
          <w:rFonts w:ascii="Palatino Linotype" w:eastAsia="MS Gothic" w:hAnsi="Palatino Linotype"/>
          <w:sz w:val="24"/>
          <w:szCs w:val="26"/>
        </w:rPr>
        <w:t xml:space="preserve"> de los documentos por las consideraciones que se estimen pertinentes.</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22273">
        <w:rPr>
          <w:rFonts w:ascii="Palatino Linotype" w:eastAsia="MS Gothic" w:hAnsi="Palatino Linotype"/>
          <w:sz w:val="24"/>
          <w:szCs w:val="26"/>
          <w:vertAlign w:val="superscript"/>
        </w:rPr>
        <w:footnoteReference w:id="8"/>
      </w:r>
      <w:r w:rsidRPr="00422273">
        <w:rPr>
          <w:rFonts w:ascii="Palatino Linotype" w:eastAsia="MS Gothic" w:hAnsi="Palatino Linotype"/>
          <w:sz w:val="24"/>
          <w:szCs w:val="26"/>
        </w:rPr>
        <w:t xml:space="preserve"> aunque cualquier límite o restricción, </w:t>
      </w:r>
      <w:r w:rsidRPr="00422273">
        <w:rPr>
          <w:rFonts w:ascii="Palatino Linotype" w:eastAsia="MS Gothic" w:hAnsi="Palatino Linotype"/>
          <w:sz w:val="24"/>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22273">
        <w:rPr>
          <w:rFonts w:ascii="Palatino Linotype" w:eastAsia="MS Gothic" w:hAnsi="Palatino Linotype"/>
          <w:sz w:val="24"/>
          <w:szCs w:val="26"/>
          <w:vertAlign w:val="superscript"/>
        </w:rPr>
        <w:footnoteReference w:id="9"/>
      </w:r>
      <w:r w:rsidRPr="00422273">
        <w:rPr>
          <w:rFonts w:ascii="Palatino Linotype" w:eastAsia="MS Gothic" w:hAnsi="Palatino Linotype"/>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2" w:name="_Toc51863315"/>
      <w:bookmarkStart w:id="33" w:name="_Toc52444649"/>
      <w:bookmarkStart w:id="34" w:name="_Toc57154368"/>
      <w:bookmarkStart w:id="35" w:name="_Toc74188154"/>
      <w:bookmarkStart w:id="36" w:name="_Toc84437048"/>
      <w:r w:rsidRPr="00422273">
        <w:rPr>
          <w:rFonts w:ascii="Palatino Linotype" w:hAnsi="Palatino Linotype" w:cs="Arial"/>
          <w:b/>
          <w:sz w:val="24"/>
        </w:rPr>
        <w:t>I. Requisitos previos.</w:t>
      </w:r>
      <w:bookmarkEnd w:id="32"/>
      <w:bookmarkEnd w:id="33"/>
      <w:bookmarkEnd w:id="34"/>
      <w:bookmarkEnd w:id="35"/>
      <w:bookmarkEnd w:id="36"/>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422273">
        <w:rPr>
          <w:rFonts w:ascii="Palatino Linotype" w:eastAsia="MS Gothic" w:hAnsi="Palatino Linotype"/>
          <w:b/>
          <w:sz w:val="24"/>
          <w:szCs w:val="26"/>
          <w:u w:val="single"/>
        </w:rPr>
        <w:t xml:space="preserve">no se puede hacer un acuerdo para clasificar de manera general todos los documentos de un expediente o área,  </w:t>
      </w:r>
      <w:r w:rsidRPr="00422273">
        <w:rPr>
          <w:rFonts w:ascii="Palatino Linotype" w:eastAsia="MS Gothic" w:hAnsi="Palatino Linotype"/>
          <w:sz w:val="24"/>
          <w:szCs w:val="26"/>
        </w:rPr>
        <w:t>sin individualizar su análisis y tampoco se puede hacer un acuerdo por cada dato que se vaya a clasificar dentro de un documento con diez datos, por ejemplo, susceptibles de ser clasificados.</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422273" w:rsidRPr="00422273" w:rsidRDefault="00422273"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422273" w:rsidRPr="00422273" w:rsidRDefault="00422273"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422273" w:rsidRPr="00422273" w:rsidRDefault="00422273"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7" w:name="_Toc51863316"/>
      <w:bookmarkStart w:id="38" w:name="_Toc52444650"/>
      <w:bookmarkStart w:id="39" w:name="_Toc57154369"/>
      <w:bookmarkStart w:id="40" w:name="_Toc74188155"/>
      <w:bookmarkStart w:id="41" w:name="_Toc84437049"/>
      <w:r w:rsidRPr="00422273">
        <w:rPr>
          <w:rFonts w:ascii="Palatino Linotype" w:hAnsi="Palatino Linotype" w:cs="Arial"/>
          <w:b/>
          <w:sz w:val="24"/>
        </w:rPr>
        <w:t>II. Supuestos de clasificación.</w:t>
      </w:r>
      <w:bookmarkEnd w:id="37"/>
      <w:bookmarkEnd w:id="38"/>
      <w:bookmarkEnd w:id="39"/>
      <w:bookmarkEnd w:id="40"/>
      <w:bookmarkEnd w:id="41"/>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Las disposiciones constitucionales y legales en la materia establecen los dos supuestos generales para clasificar la información: por reserva y por confidencialidad.</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Los artículos 143 y 116 de la Ley Estatal y de la Ley General, respectivamente, señalan los supuestos para que la información pueda ser clasificada como confidencial:</w:t>
      </w:r>
    </w:p>
    <w:p w:rsidR="00422273" w:rsidRPr="00422273" w:rsidRDefault="00422273" w:rsidP="00422273">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22273">
        <w:rPr>
          <w:rFonts w:ascii="Palatino Linotype" w:hAnsi="Palatino Linotype" w:cs="Bookman Old Style"/>
          <w:bCs/>
          <w:i/>
          <w:color w:val="000000"/>
          <w:sz w:val="22"/>
        </w:rPr>
        <w:t xml:space="preserve">“I. </w:t>
      </w:r>
      <w:r w:rsidRPr="0042227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BE48D5" w:rsidRPr="00422273" w:rsidRDefault="00BE48D5" w:rsidP="00B5473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22273">
        <w:rPr>
          <w:rFonts w:ascii="Palatino Linotype" w:hAnsi="Palatino Linotype" w:cs="Bookman Old Style"/>
          <w:bCs/>
          <w:i/>
          <w:color w:val="000000"/>
          <w:sz w:val="22"/>
        </w:rPr>
        <w:t xml:space="preserve">II. </w:t>
      </w:r>
      <w:r w:rsidRPr="00422273">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BE48D5" w:rsidRPr="00422273" w:rsidRDefault="00BE48D5" w:rsidP="00B5473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22273">
        <w:rPr>
          <w:rFonts w:ascii="Palatino Linotype" w:hAnsi="Palatino Linotype" w:cs="Bookman Old Style"/>
          <w:bCs/>
          <w:i/>
          <w:color w:val="000000"/>
          <w:sz w:val="22"/>
        </w:rPr>
        <w:t xml:space="preserve">III. </w:t>
      </w:r>
      <w:r w:rsidRPr="0042227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BE48D5" w:rsidRPr="00422273" w:rsidRDefault="00BE48D5" w:rsidP="00B5473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42227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BE48D5" w:rsidRPr="00422273" w:rsidRDefault="00BE48D5" w:rsidP="00B54731">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422273">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 xml:space="preserve">Como consecuencia de lo anterior, el </w:t>
      </w:r>
      <w:r w:rsidRPr="00422273">
        <w:rPr>
          <w:rFonts w:ascii="Palatino Linotype" w:eastAsia="MS Gothic" w:hAnsi="Palatino Linotype"/>
          <w:b/>
          <w:sz w:val="24"/>
          <w:szCs w:val="26"/>
        </w:rPr>
        <w:t>SUJETO OBLIGADO</w:t>
      </w:r>
      <w:r w:rsidRPr="00422273">
        <w:rPr>
          <w:rFonts w:ascii="Palatino Linotype" w:eastAsia="MS Gothic" w:hAnsi="Palatino Linotype"/>
          <w:sz w:val="24"/>
          <w:szCs w:val="26"/>
        </w:rPr>
        <w:t xml:space="preserve"> debe identificar claramente el tipo de información y hacer un juicio de subsunción o encaje</w:t>
      </w:r>
      <w:r w:rsidRPr="00422273">
        <w:rPr>
          <w:rFonts w:ascii="Palatino Linotype" w:eastAsia="MS Gothic" w:hAnsi="Palatino Linotype"/>
          <w:sz w:val="24"/>
          <w:szCs w:val="26"/>
          <w:vertAlign w:val="superscript"/>
        </w:rPr>
        <w:footnoteReference w:id="10"/>
      </w:r>
      <w:r w:rsidRPr="00422273">
        <w:rPr>
          <w:rFonts w:ascii="Palatino Linotype" w:eastAsia="MS Gothic" w:hAnsi="Palatino Linotype"/>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rPr>
      </w:pP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lastRenderedPageBreak/>
        <w:t>“</w:t>
      </w:r>
      <w:r w:rsidRPr="00422273">
        <w:rPr>
          <w:rFonts w:ascii="Palatino Linotype" w:hAnsi="Palatino Linotype" w:cs="Arial"/>
          <w:b/>
          <w:i/>
        </w:rPr>
        <w:t>Quincuagésimo.</w:t>
      </w:r>
      <w:r w:rsidRPr="0042227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b/>
          <w:i/>
        </w:rPr>
        <w:t>Quincuagésimo primero.</w:t>
      </w:r>
      <w:r w:rsidRPr="00422273">
        <w:rPr>
          <w:rFonts w:ascii="Palatino Linotype" w:hAnsi="Palatino Linotype" w:cs="Arial"/>
          <w:i/>
        </w:rPr>
        <w:t xml:space="preserve"> La leyenda en los documentos clasificados indicará:</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I. La fecha de sesión del Comité de Transparencia en donde se confirmó la clasificación, en su caso;</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II. El nombre del área;</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III. La palabra reservado o confidencial;</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IV. Las partes o secciones reservadas o confidenciales, en su caso;</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V. El fundamento legal;</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VI. El periodo de reserva, y</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VII. La rúbrica del titular del área.</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b/>
          <w:i/>
        </w:rPr>
        <w:t>Quincuagésimo segundo.</w:t>
      </w:r>
      <w:r w:rsidRPr="0042227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BE48D5" w:rsidRPr="00422273" w:rsidRDefault="00BE48D5" w:rsidP="00B54731">
      <w:pPr>
        <w:pStyle w:val="Prrafodelista"/>
        <w:tabs>
          <w:tab w:val="left" w:pos="142"/>
          <w:tab w:val="left" w:pos="284"/>
          <w:tab w:val="left" w:pos="426"/>
        </w:tabs>
        <w:spacing w:line="360" w:lineRule="auto"/>
        <w:ind w:left="567" w:right="567"/>
        <w:jc w:val="both"/>
        <w:rPr>
          <w:rFonts w:ascii="Palatino Linotype" w:hAnsi="Palatino Linotype" w:cs="Arial"/>
          <w:i/>
        </w:rPr>
      </w:pPr>
      <w:r w:rsidRPr="00422273">
        <w:rPr>
          <w:rFonts w:ascii="Palatino Linotype" w:hAnsi="Palatino Linotype" w:cs="Arial"/>
          <w:b/>
          <w:i/>
        </w:rPr>
        <w:t>Quincuagésimo tercero.</w:t>
      </w:r>
      <w:r w:rsidRPr="00422273">
        <w:rPr>
          <w:rFonts w:ascii="Palatino Linotype" w:hAnsi="Palatino Linotype" w:cs="Arial"/>
          <w:i/>
        </w:rPr>
        <w:t xml:space="preserve"> El formato para señalar la clasificación parcial de un documento, es el siguiente:</w:t>
      </w:r>
    </w:p>
    <w:p w:rsidR="00BE48D5" w:rsidRPr="00422273" w:rsidRDefault="00BE48D5" w:rsidP="00B54731">
      <w:pPr>
        <w:pStyle w:val="Prrafodelista"/>
        <w:tabs>
          <w:tab w:val="left" w:pos="142"/>
          <w:tab w:val="left" w:pos="284"/>
          <w:tab w:val="left" w:pos="426"/>
        </w:tabs>
        <w:spacing w:line="360" w:lineRule="auto"/>
        <w:ind w:left="0"/>
        <w:jc w:val="center"/>
        <w:rPr>
          <w:rFonts w:ascii="Palatino Linotype" w:hAnsi="Palatino Linotype" w:cs="Arial"/>
        </w:rPr>
      </w:pPr>
      <w:r w:rsidRPr="00422273">
        <w:rPr>
          <w:rFonts w:ascii="Palatino Linotype" w:hAnsi="Palatino Linotype" w:cs="Arial"/>
          <w:i/>
          <w:noProof/>
          <w:lang w:val="es-ES" w:eastAsia="es-ES"/>
        </w:rPr>
        <w:lastRenderedPageBreak/>
        <w:drawing>
          <wp:inline distT="0" distB="0" distL="0" distR="0" wp14:anchorId="06A10431" wp14:editId="6A2A7F59">
            <wp:extent cx="4686300" cy="53530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2" w:name="_Toc51863317"/>
      <w:bookmarkStart w:id="43" w:name="_Toc52444651"/>
      <w:bookmarkStart w:id="44" w:name="_Toc57154370"/>
      <w:bookmarkStart w:id="45" w:name="_Toc74188156"/>
      <w:bookmarkStart w:id="46" w:name="_Toc84437050"/>
      <w:r w:rsidRPr="00422273">
        <w:rPr>
          <w:rFonts w:ascii="Palatino Linotype" w:hAnsi="Palatino Linotype" w:cs="Arial"/>
          <w:b/>
          <w:sz w:val="24"/>
        </w:rPr>
        <w:lastRenderedPageBreak/>
        <w:t>III. La intervención del Comité de Transparencia.</w:t>
      </w:r>
      <w:bookmarkEnd w:id="42"/>
      <w:bookmarkEnd w:id="43"/>
      <w:bookmarkEnd w:id="44"/>
      <w:bookmarkEnd w:id="45"/>
      <w:bookmarkEnd w:id="46"/>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b/>
          <w:sz w:val="24"/>
        </w:rPr>
      </w:pPr>
      <w:r w:rsidRPr="00422273">
        <w:rPr>
          <w:rFonts w:ascii="Palatino Linotype" w:hAnsi="Palatino Linotype" w:cs="Arial"/>
          <w:b/>
          <w:sz w:val="24"/>
        </w:rPr>
        <w:t>a) Formalidades para emitir el Acuerdo de Clasificación.</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422273">
        <w:rPr>
          <w:rFonts w:ascii="Palatino Linotype" w:eastAsia="MS Gothic" w:hAnsi="Palatino Linotype"/>
          <w:b/>
          <w:sz w:val="24"/>
          <w:szCs w:val="26"/>
          <w:u w:val="single"/>
        </w:rPr>
        <w:t>confirmar, modificar o revocar</w:t>
      </w:r>
      <w:r w:rsidRPr="00422273">
        <w:rPr>
          <w:rFonts w:ascii="Palatino Linotype" w:eastAsia="MS Gothic" w:hAnsi="Palatino Linotype"/>
          <w:sz w:val="24"/>
          <w:szCs w:val="26"/>
        </w:rPr>
        <w:t xml:space="preserve"> la clasificación de la información que ha hecho el titular del área que administra la información. Por lo tanto, el Comité </w:t>
      </w:r>
      <w:r w:rsidRPr="00422273">
        <w:rPr>
          <w:rFonts w:ascii="Palatino Linotype" w:eastAsia="MS Gothic" w:hAnsi="Palatino Linotype"/>
          <w:b/>
          <w:sz w:val="24"/>
          <w:szCs w:val="26"/>
          <w:u w:val="single"/>
        </w:rPr>
        <w:t>no aprueba</w:t>
      </w:r>
      <w:r w:rsidRPr="00422273">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422273">
        <w:rPr>
          <w:rFonts w:ascii="Palatino Linotype" w:eastAsia="MS Gothic" w:hAnsi="Palatino Linotype"/>
          <w:b/>
          <w:sz w:val="24"/>
          <w:szCs w:val="26"/>
          <w:u w:val="single"/>
        </w:rPr>
        <w:t>el acto reúna con los requisitos elementales</w:t>
      </w:r>
      <w:r w:rsidRPr="00422273">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w:t>
      </w:r>
      <w:r w:rsidRPr="00422273">
        <w:rPr>
          <w:rFonts w:ascii="Palatino Linotype" w:eastAsia="MS Gothic" w:hAnsi="Palatino Linotype"/>
          <w:sz w:val="24"/>
          <w:szCs w:val="26"/>
        </w:rPr>
        <w:lastRenderedPageBreak/>
        <w:t>puede generar vicios de legalidad de origen en el acto que restringe un derecho humano.</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b/>
          <w:sz w:val="24"/>
        </w:rPr>
      </w:pPr>
      <w:r w:rsidRPr="00422273">
        <w:rPr>
          <w:rFonts w:ascii="Palatino Linotype" w:hAnsi="Palatino Linotype" w:cs="Arial"/>
          <w:b/>
          <w:sz w:val="24"/>
        </w:rPr>
        <w:t>b) Requisitos de fondo del Acuerdo de Clasificación.</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 xml:space="preserve">De lo anterior, se desprende que para una correcta clasificación total o parcial, esto es determinar los datos que se suprimen en las versiones públicas, es necesario fundar </w:t>
      </w:r>
      <w:r w:rsidRPr="00422273">
        <w:rPr>
          <w:rFonts w:ascii="Palatino Linotype" w:eastAsia="MS Gothic" w:hAnsi="Palatino Linotype"/>
          <w:sz w:val="24"/>
          <w:szCs w:val="26"/>
        </w:rPr>
        <w:lastRenderedPageBreak/>
        <w:t>y motivar, de manera correcta, la clasificación; considerando que todo acto que la autoridad pronuncie en el ejercicio de sus atribuciones, debe expresar los fundamentos legales que le dieron origen y las razones por las que se deben aplicar al caso concreto.</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422273">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22273">
        <w:rPr>
          <w:rFonts w:ascii="Palatino Linotype" w:eastAsia="MS Gothic" w:hAnsi="Palatino Linotype"/>
          <w:sz w:val="24"/>
          <w:szCs w:val="26"/>
        </w:rPr>
        <w:t>....”</w:t>
      </w:r>
      <w:r w:rsidRPr="00422273">
        <w:rPr>
          <w:rFonts w:ascii="Palatino Linotype" w:eastAsia="MS Gothic" w:hAnsi="Palatino Linotype"/>
          <w:sz w:val="24"/>
          <w:szCs w:val="26"/>
          <w:vertAlign w:val="superscript"/>
        </w:rPr>
        <w:footnoteReference w:id="11"/>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rPr>
      </w:pP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b/>
          <w:i/>
          <w:color w:val="000000"/>
          <w:sz w:val="22"/>
        </w:rPr>
        <w:t>FUNDAMENTACIÓN Y MOTIVACIÓN.</w:t>
      </w:r>
      <w:r w:rsidRPr="00422273">
        <w:rPr>
          <w:rFonts w:ascii="Palatino Linotype" w:hAnsi="Palatino Linotype" w:cs="Arial"/>
          <w:i/>
          <w:color w:val="000000"/>
          <w:sz w:val="22"/>
        </w:rPr>
        <w:t xml:space="preserve"> “La </w:t>
      </w:r>
      <w:r w:rsidRPr="00422273">
        <w:rPr>
          <w:rFonts w:ascii="Palatino Linotype" w:hAnsi="Palatino Linotype" w:cs="Arial"/>
          <w:i/>
          <w:color w:val="000000"/>
          <w:sz w:val="22"/>
          <w:u w:val="single"/>
        </w:rPr>
        <w:t xml:space="preserve">debida fundamentación y motivación legal, deben entenderse, por lo primero, la cita del precepto legal aplicable al caso, y por lo segundo, las razones, motivos o circunstancias especiales que llevaron </w:t>
      </w:r>
      <w:r w:rsidRPr="00422273">
        <w:rPr>
          <w:rFonts w:ascii="Palatino Linotype" w:hAnsi="Palatino Linotype" w:cs="Arial"/>
          <w:i/>
          <w:color w:val="000000"/>
          <w:sz w:val="22"/>
          <w:u w:val="single"/>
        </w:rPr>
        <w:lastRenderedPageBreak/>
        <w:t>a la autoridad a concluir que el caso particular encuadra en el supuesto previsto por la norma legal invocada como fundamento</w:t>
      </w:r>
      <w:r w:rsidRPr="00422273">
        <w:rPr>
          <w:rFonts w:ascii="Palatino Linotype" w:hAnsi="Palatino Linotype" w:cs="Arial"/>
          <w:i/>
          <w:color w:val="000000"/>
          <w:sz w:val="22"/>
        </w:rPr>
        <w:t>.”</w:t>
      </w: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i/>
          <w:color w:val="000000"/>
          <w:sz w:val="22"/>
        </w:rPr>
        <w:t>SEGUNDO TRIBUNAL COLEGIADO DEL SEXTO CIRCUITO.</w:t>
      </w: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422273">
        <w:rPr>
          <w:rFonts w:ascii="Palatino Linotype" w:hAnsi="Palatino Linotype" w:cs="Arial"/>
          <w:i/>
          <w:color w:val="000000"/>
          <w:sz w:val="22"/>
        </w:rPr>
        <w:t>Esponda</w:t>
      </w:r>
      <w:proofErr w:type="spellEnd"/>
      <w:r w:rsidRPr="00422273">
        <w:rPr>
          <w:rFonts w:ascii="Palatino Linotype" w:hAnsi="Palatino Linotype" w:cs="Arial"/>
          <w:i/>
          <w:color w:val="000000"/>
          <w:sz w:val="22"/>
        </w:rPr>
        <w:t xml:space="preserve"> Rincón.</w:t>
      </w: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i/>
          <w:color w:val="000000"/>
          <w:sz w:val="22"/>
        </w:rPr>
        <w:t xml:space="preserve">Amparo en revisión 333/88. </w:t>
      </w:r>
      <w:proofErr w:type="spellStart"/>
      <w:r w:rsidRPr="00422273">
        <w:rPr>
          <w:rFonts w:ascii="Palatino Linotype" w:hAnsi="Palatino Linotype" w:cs="Arial"/>
          <w:i/>
          <w:color w:val="000000"/>
          <w:sz w:val="22"/>
        </w:rPr>
        <w:t>Adilia</w:t>
      </w:r>
      <w:proofErr w:type="spellEnd"/>
      <w:r w:rsidRPr="00422273">
        <w:rPr>
          <w:rFonts w:ascii="Palatino Linotype" w:hAnsi="Palatino Linotype" w:cs="Arial"/>
          <w:i/>
          <w:color w:val="000000"/>
          <w:sz w:val="22"/>
        </w:rPr>
        <w:t xml:space="preserve"> Romero. 26 de octubre de 1988. Unanimidad de votos. Ponente: Arnoldo Nájera Virgen. Secretario: Enrique Crispín Campos Ramírez.</w:t>
      </w: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422273">
        <w:rPr>
          <w:rFonts w:ascii="Palatino Linotype" w:hAnsi="Palatino Linotype" w:cs="Arial"/>
          <w:i/>
          <w:color w:val="000000"/>
          <w:sz w:val="22"/>
        </w:rPr>
        <w:t>Goyzueta</w:t>
      </w:r>
      <w:proofErr w:type="spellEnd"/>
      <w:r w:rsidRPr="00422273">
        <w:rPr>
          <w:rFonts w:ascii="Palatino Linotype" w:hAnsi="Palatino Linotype" w:cs="Arial"/>
          <w:i/>
          <w:color w:val="000000"/>
          <w:sz w:val="22"/>
        </w:rPr>
        <w:t>. Secretario: Gonzalo Carrera Molina.</w:t>
      </w:r>
    </w:p>
    <w:p w:rsidR="00BE48D5" w:rsidRPr="00422273" w:rsidRDefault="00BE48D5" w:rsidP="00B54731">
      <w:pPr>
        <w:spacing w:line="360" w:lineRule="auto"/>
        <w:ind w:left="851" w:right="618"/>
        <w:contextualSpacing/>
        <w:jc w:val="both"/>
        <w:rPr>
          <w:rFonts w:ascii="Palatino Linotype" w:hAnsi="Palatino Linotype" w:cs="Arial"/>
          <w:i/>
          <w:color w:val="000000"/>
          <w:sz w:val="22"/>
        </w:rPr>
      </w:pPr>
      <w:r w:rsidRPr="00422273">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422273">
        <w:rPr>
          <w:rFonts w:ascii="Palatino Linotype" w:hAnsi="Palatino Linotype" w:cs="Arial"/>
          <w:i/>
          <w:color w:val="000000"/>
          <w:sz w:val="22"/>
        </w:rPr>
        <w:t>Baigts</w:t>
      </w:r>
      <w:proofErr w:type="spellEnd"/>
      <w:r w:rsidRPr="00422273">
        <w:rPr>
          <w:rFonts w:ascii="Palatino Linotype" w:hAnsi="Palatino Linotype" w:cs="Arial"/>
          <w:i/>
          <w:color w:val="000000"/>
          <w:sz w:val="22"/>
        </w:rPr>
        <w:t xml:space="preserve"> Muñoz.</w:t>
      </w:r>
    </w:p>
    <w:p w:rsidR="00422273" w:rsidRPr="00422273" w:rsidRDefault="00422273" w:rsidP="00422273">
      <w:pPr>
        <w:spacing w:line="360" w:lineRule="auto"/>
        <w:ind w:right="618"/>
        <w:contextualSpacing/>
        <w:jc w:val="both"/>
        <w:rPr>
          <w:rFonts w:ascii="Palatino Linotype" w:hAnsi="Palatino Linotype" w:cs="Arial"/>
          <w:i/>
          <w:color w:val="000000"/>
          <w:sz w:val="22"/>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422273">
        <w:rPr>
          <w:rFonts w:ascii="Palatino Linotype" w:eastAsia="MS Gothic" w:hAnsi="Palatino Linotype"/>
          <w:sz w:val="24"/>
        </w:rPr>
        <w:lastRenderedPageBreak/>
        <w:t>modo, la persona que se sienta afectada pueda impugnar la decisión, permitiéndole una real y auténtica defensa.</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BE48D5" w:rsidRPr="00422273" w:rsidRDefault="00BE48D5" w:rsidP="00B54731">
      <w:pPr>
        <w:pStyle w:val="Prrafodelista"/>
        <w:tabs>
          <w:tab w:val="left" w:pos="142"/>
          <w:tab w:val="left" w:pos="284"/>
          <w:tab w:val="left" w:pos="426"/>
        </w:tabs>
        <w:spacing w:line="360" w:lineRule="auto"/>
        <w:ind w:left="0"/>
        <w:jc w:val="both"/>
        <w:rPr>
          <w:rFonts w:ascii="Palatino Linotype" w:hAnsi="Palatino Linotype" w:cs="Arial"/>
          <w:sz w:val="24"/>
        </w:rPr>
      </w:pPr>
    </w:p>
    <w:p w:rsidR="00BE48D5" w:rsidRPr="00422273" w:rsidRDefault="00BE48D5" w:rsidP="00B54731">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422273">
        <w:rPr>
          <w:rFonts w:ascii="Palatino Linotype" w:eastAsia="MS Gothic" w:hAnsi="Palatino Linotype"/>
          <w:sz w:val="24"/>
        </w:rPr>
        <w:t xml:space="preserve">Otro </w:t>
      </w:r>
      <w:r w:rsidRPr="00422273">
        <w:rPr>
          <w:rFonts w:ascii="Palatino Linotype" w:eastAsia="MS Gothic" w:hAnsi="Palatino Linotype"/>
          <w:sz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422273" w:rsidRPr="00422273" w:rsidRDefault="00422273" w:rsidP="00422273">
      <w:pPr>
        <w:pStyle w:val="Prrafodelista"/>
        <w:tabs>
          <w:tab w:val="left" w:pos="142"/>
          <w:tab w:val="left" w:pos="284"/>
          <w:tab w:val="left" w:pos="426"/>
        </w:tabs>
        <w:spacing w:line="360" w:lineRule="auto"/>
        <w:ind w:left="0"/>
        <w:jc w:val="both"/>
        <w:rPr>
          <w:rFonts w:ascii="Palatino Linotype" w:hAnsi="Palatino Linotype" w:cs="Arial"/>
          <w:sz w:val="24"/>
        </w:rPr>
      </w:pPr>
    </w:p>
    <w:p w:rsidR="00422273" w:rsidRPr="00422273" w:rsidRDefault="00BE48D5" w:rsidP="00B54731">
      <w:pPr>
        <w:pStyle w:val="Sinespaciado"/>
        <w:numPr>
          <w:ilvl w:val="0"/>
          <w:numId w:val="1"/>
        </w:numPr>
        <w:spacing w:line="360" w:lineRule="auto"/>
        <w:ind w:left="0" w:firstLine="0"/>
        <w:contextualSpacing/>
        <w:jc w:val="both"/>
        <w:rPr>
          <w:rFonts w:ascii="Palatino Linotype" w:eastAsia="Calibri" w:hAnsi="Palatino Linotype"/>
        </w:rPr>
      </w:pPr>
      <w:r w:rsidRPr="00422273">
        <w:rPr>
          <w:rFonts w:ascii="Palatino Linotype" w:eastAsiaTheme="minorEastAsia" w:hAnsi="Palatino Linotype"/>
          <w:sz w:val="24"/>
          <w:szCs w:val="24"/>
          <w:lang w:val="es-ES_tradnl" w:eastAsia="es-ES"/>
        </w:rPr>
        <w:t>E</w:t>
      </w:r>
      <w:r w:rsidR="00422273" w:rsidRPr="00422273">
        <w:rPr>
          <w:rFonts w:ascii="Palatino Linotype" w:eastAsiaTheme="minorEastAsia" w:hAnsi="Palatino Linotype"/>
          <w:sz w:val="24"/>
          <w:szCs w:val="24"/>
          <w:lang w:val="es-ES_tradnl" w:eastAsia="es-ES"/>
        </w:rPr>
        <w:t>n conclusión, e</w:t>
      </w:r>
      <w:r w:rsidRPr="00422273">
        <w:rPr>
          <w:rFonts w:ascii="Palatino Linotype" w:eastAsiaTheme="minorEastAsia" w:hAnsi="Palatino Linotype"/>
          <w:sz w:val="24"/>
          <w:szCs w:val="24"/>
          <w:lang w:val="es-ES_tradnl" w:eastAsia="es-ES"/>
        </w:rPr>
        <w:t xml:space="preserve">ste Órgano Garante determina </w:t>
      </w:r>
      <w:bookmarkEnd w:id="29"/>
      <w:r w:rsidRPr="00422273">
        <w:rPr>
          <w:rFonts w:ascii="Palatino Linotype" w:eastAsiaTheme="minorEastAsia" w:hAnsi="Palatino Linotype"/>
          <w:sz w:val="24"/>
          <w:szCs w:val="24"/>
          <w:lang w:val="es-ES_tradnl" w:eastAsia="es-ES"/>
        </w:rPr>
        <w:t xml:space="preserve">que la información entregada en respuesta,  colma de forma parcial el derecho de acceso a la información pública, </w:t>
      </w:r>
      <w:bookmarkStart w:id="47" w:name="_Toc69765094"/>
      <w:bookmarkStart w:id="48" w:name="_Toc72934787"/>
      <w:r w:rsidRPr="00422273">
        <w:rPr>
          <w:rFonts w:ascii="Palatino Linotype" w:eastAsia="MS Gothic" w:hAnsi="Palatino Linotype" w:cstheme="majorBidi"/>
          <w:bCs/>
          <w:sz w:val="24"/>
          <w:szCs w:val="24"/>
        </w:rPr>
        <w:t>e</w:t>
      </w:r>
      <w:r w:rsidRPr="00422273">
        <w:rPr>
          <w:rFonts w:ascii="Palatino Linotype" w:eastAsia="MS Gothic" w:hAnsi="Palatino Linotype" w:cstheme="majorBidi"/>
          <w:sz w:val="24"/>
          <w:szCs w:val="24"/>
        </w:rPr>
        <w:t xml:space="preserve">n ese sentido, los motivos de inconformidad hechos vales por el RECURRENTE, en el recurso de revisión, resultan </w:t>
      </w:r>
      <w:r w:rsidR="00422273" w:rsidRPr="00422273">
        <w:rPr>
          <w:rFonts w:ascii="Palatino Linotype" w:eastAsia="MS Gothic" w:hAnsi="Palatino Linotype" w:cstheme="majorBidi"/>
          <w:sz w:val="24"/>
          <w:szCs w:val="24"/>
        </w:rPr>
        <w:t xml:space="preserve">parcialmente </w:t>
      </w:r>
      <w:r w:rsidRPr="00422273">
        <w:rPr>
          <w:rFonts w:ascii="Palatino Linotype" w:eastAsia="MS Gothic" w:hAnsi="Palatino Linotype" w:cstheme="majorBidi"/>
          <w:sz w:val="24"/>
          <w:szCs w:val="24"/>
        </w:rPr>
        <w:t xml:space="preserve">fundados, por lo cual, con fundamento en el artículo 186, fracción III de la Ley de Transparencia y Acceso a la Información Pública del Estado de México y Municipios, se determina </w:t>
      </w:r>
      <w:r w:rsidRPr="00422273">
        <w:rPr>
          <w:rFonts w:ascii="Palatino Linotype" w:eastAsia="MS Gothic" w:hAnsi="Palatino Linotype" w:cstheme="majorBidi"/>
          <w:b/>
          <w:sz w:val="24"/>
          <w:szCs w:val="24"/>
        </w:rPr>
        <w:t>MODIFICAR</w:t>
      </w:r>
      <w:r w:rsidRPr="00422273">
        <w:rPr>
          <w:rFonts w:ascii="Palatino Linotype" w:eastAsia="MS Gothic" w:hAnsi="Palatino Linotype" w:cstheme="majorBidi"/>
          <w:sz w:val="24"/>
          <w:szCs w:val="24"/>
        </w:rPr>
        <w:t xml:space="preserve"> la respuesta</w:t>
      </w:r>
      <w:bookmarkEnd w:id="47"/>
      <w:bookmarkEnd w:id="48"/>
      <w:r w:rsidRPr="00422273">
        <w:rPr>
          <w:rFonts w:ascii="Palatino Linotype" w:eastAsia="MS Gothic" w:hAnsi="Palatino Linotype" w:cstheme="majorBidi"/>
          <w:sz w:val="24"/>
          <w:szCs w:val="24"/>
        </w:rPr>
        <w:t xml:space="preserve"> y se ordena al Sujeto Obligado la entrega, de ser procedente en versión pública, </w:t>
      </w:r>
      <w:r w:rsidR="00422273" w:rsidRPr="00422273">
        <w:rPr>
          <w:rFonts w:ascii="Palatino Linotype" w:eastAsia="MS Gothic" w:hAnsi="Palatino Linotype" w:cstheme="majorBidi"/>
          <w:sz w:val="24"/>
          <w:szCs w:val="24"/>
        </w:rPr>
        <w:t>del servidor público referido en la solicitud de información:</w:t>
      </w:r>
    </w:p>
    <w:p w:rsidR="00422273" w:rsidRPr="00422273" w:rsidRDefault="00422273" w:rsidP="00422273">
      <w:pPr>
        <w:pStyle w:val="Sinespaciado"/>
        <w:spacing w:line="360" w:lineRule="auto"/>
        <w:contextualSpacing/>
        <w:jc w:val="both"/>
        <w:rPr>
          <w:rFonts w:ascii="Palatino Linotype" w:eastAsia="Calibri" w:hAnsi="Palatino Linotype"/>
        </w:rPr>
      </w:pPr>
    </w:p>
    <w:p w:rsidR="00422273" w:rsidRPr="00002EBC" w:rsidRDefault="00002EBC" w:rsidP="00002EBC">
      <w:pPr>
        <w:pStyle w:val="Prrafodelista"/>
        <w:numPr>
          <w:ilvl w:val="0"/>
          <w:numId w:val="2"/>
        </w:numPr>
        <w:spacing w:line="360" w:lineRule="auto"/>
        <w:ind w:right="822"/>
        <w:jc w:val="both"/>
        <w:rPr>
          <w:rFonts w:ascii="Palatino Linotype" w:eastAsia="MS Mincho" w:hAnsi="Palatino Linotype"/>
          <w:b/>
          <w:bCs/>
          <w:sz w:val="24"/>
          <w:lang w:val="es-ES_tradnl" w:eastAsia="es-ES"/>
        </w:rPr>
      </w:pPr>
      <w:r w:rsidRPr="00002EBC">
        <w:rPr>
          <w:rFonts w:ascii="Palatino Linotype" w:eastAsia="MS Mincho" w:hAnsi="Palatino Linotype"/>
          <w:b/>
          <w:bCs/>
          <w:sz w:val="24"/>
          <w:lang w:val="es-ES_tradnl" w:eastAsia="es-ES"/>
        </w:rPr>
        <w:t>Documento o documentos donde conste o se advierta la existencia de responsabilidades administrativas por faltas graves que hayan causado estado.</w:t>
      </w:r>
    </w:p>
    <w:p w:rsidR="00422273" w:rsidRPr="00422273" w:rsidRDefault="00422273" w:rsidP="00422273">
      <w:pPr>
        <w:pStyle w:val="Prrafodelista"/>
        <w:spacing w:line="360" w:lineRule="auto"/>
        <w:ind w:right="822"/>
        <w:jc w:val="both"/>
        <w:rPr>
          <w:rFonts w:ascii="Palatino Linotype" w:eastAsia="MS Mincho" w:hAnsi="Palatino Linotype"/>
          <w:b/>
          <w:sz w:val="24"/>
          <w:lang w:val="es-ES_tradnl"/>
        </w:rPr>
      </w:pPr>
    </w:p>
    <w:p w:rsidR="00422273" w:rsidRPr="00422273" w:rsidRDefault="00422273" w:rsidP="00422273">
      <w:pPr>
        <w:pStyle w:val="Prrafodelista"/>
        <w:numPr>
          <w:ilvl w:val="0"/>
          <w:numId w:val="2"/>
        </w:numPr>
        <w:spacing w:line="360" w:lineRule="auto"/>
        <w:ind w:right="822"/>
        <w:jc w:val="both"/>
        <w:rPr>
          <w:rFonts w:ascii="Palatino Linotype" w:eastAsia="Palatino Linotype" w:hAnsi="Palatino Linotype" w:cs="Palatino Linotype"/>
          <w:b/>
          <w:sz w:val="24"/>
        </w:rPr>
      </w:pPr>
      <w:r w:rsidRPr="00422273">
        <w:rPr>
          <w:rFonts w:ascii="Palatino Linotype" w:hAnsi="Palatino Linotype" w:cs="Arial"/>
          <w:b/>
          <w:bCs/>
          <w:sz w:val="24"/>
        </w:rPr>
        <w:t xml:space="preserve">Acuerdo mediante el cual se clasifique como reservado el pronunciamiento sobre la existencia </w:t>
      </w:r>
      <w:r w:rsidR="008C4BC2">
        <w:rPr>
          <w:rFonts w:ascii="Palatino Linotype" w:hAnsi="Palatino Linotype" w:cs="Arial"/>
          <w:b/>
          <w:bCs/>
          <w:sz w:val="24"/>
        </w:rPr>
        <w:t xml:space="preserve">o no </w:t>
      </w:r>
      <w:r w:rsidRPr="00422273">
        <w:rPr>
          <w:rFonts w:ascii="Palatino Linotype" w:hAnsi="Palatino Linotype" w:cs="Arial"/>
          <w:b/>
          <w:bCs/>
          <w:sz w:val="24"/>
        </w:rPr>
        <w:t>de faltas no graves  y  de faltas graves que no hayan causado estado.</w:t>
      </w:r>
    </w:p>
    <w:p w:rsidR="00BE48D5" w:rsidRPr="00422273" w:rsidRDefault="00BE48D5" w:rsidP="00B54731">
      <w:pPr>
        <w:pStyle w:val="Sinespaciado"/>
        <w:spacing w:line="360" w:lineRule="auto"/>
        <w:contextualSpacing/>
        <w:jc w:val="both"/>
        <w:rPr>
          <w:rFonts w:ascii="Palatino Linotype" w:eastAsia="Calibri" w:hAnsi="Palatino Linotype"/>
        </w:rPr>
      </w:pPr>
    </w:p>
    <w:p w:rsidR="00BE48D5" w:rsidRPr="00422273" w:rsidRDefault="00BE48D5" w:rsidP="00B54731">
      <w:pPr>
        <w:pStyle w:val="Sinespaciado"/>
        <w:numPr>
          <w:ilvl w:val="0"/>
          <w:numId w:val="1"/>
        </w:numPr>
        <w:spacing w:line="360" w:lineRule="auto"/>
        <w:ind w:left="0" w:firstLine="0"/>
        <w:contextualSpacing/>
        <w:jc w:val="both"/>
        <w:rPr>
          <w:rFonts w:ascii="Palatino Linotype" w:eastAsia="Calibri" w:hAnsi="Palatino Linotype"/>
          <w:sz w:val="24"/>
        </w:rPr>
      </w:pPr>
      <w:r w:rsidRPr="00422273">
        <w:rPr>
          <w:rFonts w:ascii="Palatino Linotype" w:eastAsia="Calibri" w:hAnsi="Palatino Linotype"/>
          <w:sz w:val="24"/>
        </w:rPr>
        <w:t xml:space="preserve">Por lo anteriormente expuesto y fundado, este </w:t>
      </w:r>
      <w:r w:rsidRPr="00422273">
        <w:rPr>
          <w:rFonts w:ascii="Palatino Linotype" w:eastAsia="Calibri" w:hAnsi="Palatino Linotype"/>
          <w:b/>
          <w:bCs/>
          <w:sz w:val="24"/>
        </w:rPr>
        <w:t>ÓRGANO GARANTE</w:t>
      </w:r>
      <w:r w:rsidRPr="00422273">
        <w:rPr>
          <w:rFonts w:ascii="Palatino Linotype" w:eastAsia="Calibri" w:hAnsi="Palatino Linotype"/>
          <w:sz w:val="24"/>
        </w:rPr>
        <w:t xml:space="preserve"> emite los siguientes:</w:t>
      </w:r>
    </w:p>
    <w:p w:rsidR="00BE48D5" w:rsidRPr="00422273" w:rsidRDefault="00BE48D5" w:rsidP="00B54731">
      <w:pPr>
        <w:spacing w:line="360" w:lineRule="auto"/>
        <w:contextualSpacing/>
        <w:jc w:val="both"/>
        <w:rPr>
          <w:rFonts w:ascii="Palatino Linotype" w:eastAsia="Calibri" w:hAnsi="Palatino Linotype"/>
        </w:rPr>
      </w:pPr>
    </w:p>
    <w:p w:rsidR="00BE48D5" w:rsidRPr="00422273" w:rsidRDefault="00BE48D5" w:rsidP="00B5473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49" w:name="_Toc528153792"/>
      <w:bookmarkStart w:id="50" w:name="_Toc71158406"/>
      <w:bookmarkStart w:id="51" w:name="_Toc84437051"/>
      <w:r w:rsidRPr="00422273">
        <w:rPr>
          <w:rFonts w:ascii="Palatino Linotype" w:eastAsiaTheme="majorEastAsia" w:hAnsi="Palatino Linotype" w:cstheme="majorBidi"/>
          <w:b/>
          <w:color w:val="000000" w:themeColor="text1"/>
          <w:lang w:eastAsia="en-US"/>
        </w:rPr>
        <w:t>R E S O L U T I V O S</w:t>
      </w:r>
      <w:bookmarkEnd w:id="49"/>
      <w:bookmarkEnd w:id="50"/>
      <w:bookmarkEnd w:id="51"/>
    </w:p>
    <w:p w:rsidR="00BE48D5" w:rsidRPr="00422273" w:rsidRDefault="00BE48D5" w:rsidP="00B5473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BE48D5" w:rsidRPr="00422273" w:rsidRDefault="00BE48D5" w:rsidP="00B54731">
      <w:pPr>
        <w:spacing w:line="360" w:lineRule="auto"/>
        <w:ind w:right="48"/>
        <w:jc w:val="both"/>
        <w:rPr>
          <w:rFonts w:ascii="Palatino Linotype" w:hAnsi="Palatino Linotype" w:cs="Arial"/>
          <w:bCs/>
        </w:rPr>
      </w:pPr>
      <w:r w:rsidRPr="00422273">
        <w:rPr>
          <w:rFonts w:ascii="Palatino Linotype" w:hAnsi="Palatino Linotype" w:cs="Arial"/>
          <w:b/>
        </w:rPr>
        <w:t xml:space="preserve">PRIMERO. </w:t>
      </w:r>
      <w:r w:rsidRPr="00422273">
        <w:rPr>
          <w:rFonts w:ascii="Palatino Linotype" w:hAnsi="Palatino Linotype" w:cs="Arial"/>
        </w:rPr>
        <w:t xml:space="preserve">Resultan </w:t>
      </w:r>
      <w:r w:rsidR="008B7861">
        <w:rPr>
          <w:rFonts w:ascii="Palatino Linotype" w:hAnsi="Palatino Linotype" w:cs="Arial"/>
        </w:rPr>
        <w:t xml:space="preserve">parcialmente </w:t>
      </w:r>
      <w:r w:rsidRPr="00422273">
        <w:rPr>
          <w:rFonts w:ascii="Palatino Linotype" w:hAnsi="Palatino Linotype" w:cs="Arial"/>
        </w:rPr>
        <w:t>fundadas las</w:t>
      </w:r>
      <w:r w:rsidRPr="00422273">
        <w:rPr>
          <w:rFonts w:ascii="Palatino Linotype" w:hAnsi="Palatino Linotype" w:cs="Arial"/>
          <w:b/>
        </w:rPr>
        <w:t xml:space="preserve"> </w:t>
      </w:r>
      <w:r w:rsidRPr="00422273">
        <w:rPr>
          <w:rFonts w:ascii="Palatino Linotype" w:hAnsi="Palatino Linotype" w:cs="Arial"/>
          <w:lang w:val="es-ES"/>
        </w:rPr>
        <w:t xml:space="preserve">razones o motivos de inconformidad hechos valer </w:t>
      </w:r>
      <w:r w:rsidRPr="00422273">
        <w:rPr>
          <w:rFonts w:ascii="Palatino Linotype" w:eastAsia="Calibri" w:hAnsi="Palatino Linotype" w:cs="Arial"/>
          <w:lang w:val="es-ES"/>
        </w:rPr>
        <w:t xml:space="preserve">en el recurso de revisión </w:t>
      </w:r>
      <w:r w:rsidR="006C387C" w:rsidRPr="00422273">
        <w:rPr>
          <w:rFonts w:ascii="Palatino Linotype" w:hAnsi="Palatino Linotype" w:cs="Arial"/>
          <w:b/>
          <w:bCs/>
        </w:rPr>
        <w:t>03803</w:t>
      </w:r>
      <w:r w:rsidRPr="00422273">
        <w:rPr>
          <w:rFonts w:ascii="Palatino Linotype" w:hAnsi="Palatino Linotype" w:cs="Arial"/>
          <w:b/>
          <w:bCs/>
        </w:rPr>
        <w:t xml:space="preserve">/INFOEM/IP/RR/2021, </w:t>
      </w:r>
      <w:r w:rsidRPr="00422273">
        <w:rPr>
          <w:rFonts w:ascii="Palatino Linotype" w:hAnsi="Palatino Linotype" w:cs="Arial"/>
          <w:bCs/>
        </w:rPr>
        <w:t xml:space="preserve">en términos del </w:t>
      </w:r>
      <w:r w:rsidRPr="00422273">
        <w:rPr>
          <w:rFonts w:ascii="Palatino Linotype" w:hAnsi="Palatino Linotype" w:cs="Arial"/>
          <w:b/>
          <w:bCs/>
        </w:rPr>
        <w:t>Considerando</w:t>
      </w:r>
      <w:r w:rsidRPr="00422273">
        <w:rPr>
          <w:rFonts w:ascii="Palatino Linotype" w:hAnsi="Palatino Linotype" w:cs="Arial"/>
          <w:bCs/>
        </w:rPr>
        <w:t xml:space="preserve"> </w:t>
      </w:r>
      <w:r w:rsidRPr="00422273">
        <w:rPr>
          <w:rFonts w:ascii="Palatino Linotype" w:hAnsi="Palatino Linotype" w:cs="Arial"/>
          <w:b/>
          <w:bCs/>
        </w:rPr>
        <w:t xml:space="preserve">CUARTO   </w:t>
      </w:r>
      <w:r w:rsidRPr="00422273">
        <w:rPr>
          <w:rFonts w:ascii="Palatino Linotype" w:hAnsi="Palatino Linotype" w:cs="Arial"/>
          <w:bCs/>
        </w:rPr>
        <w:t>de la presente resolución.</w:t>
      </w:r>
    </w:p>
    <w:p w:rsidR="00BE48D5" w:rsidRPr="00422273" w:rsidRDefault="00BE48D5" w:rsidP="00B54731">
      <w:pPr>
        <w:spacing w:line="360" w:lineRule="auto"/>
        <w:ind w:right="48"/>
        <w:jc w:val="both"/>
        <w:rPr>
          <w:rFonts w:ascii="Palatino Linotype" w:hAnsi="Palatino Linotype" w:cs="Arial"/>
          <w:bCs/>
        </w:rPr>
      </w:pPr>
    </w:p>
    <w:p w:rsidR="00BE48D5" w:rsidRPr="00422273" w:rsidRDefault="00BE48D5" w:rsidP="00B54731">
      <w:pPr>
        <w:spacing w:line="360" w:lineRule="auto"/>
        <w:ind w:right="48"/>
        <w:jc w:val="both"/>
        <w:rPr>
          <w:rFonts w:ascii="Palatino Linotype" w:hAnsi="Palatino Linotype" w:cs="Arial"/>
          <w:bCs/>
        </w:rPr>
      </w:pPr>
      <w:bookmarkStart w:id="52" w:name="_Toc477891768"/>
      <w:bookmarkStart w:id="53" w:name="_Toc477891858"/>
      <w:bookmarkStart w:id="54" w:name="_Toc481576259"/>
      <w:bookmarkStart w:id="55" w:name="_Toc492590391"/>
      <w:bookmarkStart w:id="56" w:name="_Toc462653937"/>
      <w:bookmarkStart w:id="57" w:name="_Toc453696502"/>
      <w:bookmarkStart w:id="58" w:name="_Toc454301155"/>
      <w:r w:rsidRPr="00422273">
        <w:rPr>
          <w:rFonts w:ascii="Palatino Linotype" w:hAnsi="Palatino Linotype"/>
          <w:b/>
        </w:rPr>
        <w:t>SEGUNDO.</w:t>
      </w:r>
      <w:r w:rsidRPr="00422273">
        <w:rPr>
          <w:rStyle w:val="Ttulo2Car"/>
          <w:rFonts w:ascii="Palatino Linotype" w:hAnsi="Palatino Linotype"/>
          <w:sz w:val="28"/>
        </w:rPr>
        <w:t xml:space="preserve"> </w:t>
      </w:r>
      <w:bookmarkEnd w:id="52"/>
      <w:bookmarkEnd w:id="53"/>
      <w:bookmarkEnd w:id="54"/>
      <w:bookmarkEnd w:id="55"/>
      <w:bookmarkEnd w:id="56"/>
      <w:bookmarkEnd w:id="57"/>
      <w:bookmarkEnd w:id="58"/>
      <w:r w:rsidRPr="00422273">
        <w:rPr>
          <w:rFonts w:ascii="Palatino Linotype" w:eastAsia="Calibri" w:hAnsi="Palatino Linotype" w:cs="Arial"/>
          <w:lang w:val="es-ES"/>
        </w:rPr>
        <w:t>Se</w:t>
      </w:r>
      <w:r w:rsidRPr="00422273">
        <w:rPr>
          <w:rFonts w:ascii="Palatino Linotype" w:eastAsia="Calibri" w:hAnsi="Palatino Linotype" w:cs="Arial"/>
          <w:b/>
          <w:lang w:val="es-ES"/>
        </w:rPr>
        <w:t xml:space="preserve"> MODIFICA </w:t>
      </w:r>
      <w:r w:rsidRPr="00422273">
        <w:rPr>
          <w:rFonts w:ascii="Palatino Linotype" w:eastAsia="Calibri" w:hAnsi="Palatino Linotype" w:cs="Arial"/>
          <w:lang w:val="es-ES"/>
        </w:rPr>
        <w:t xml:space="preserve">la respuesta emitida por la </w:t>
      </w:r>
      <w:r w:rsidR="006C387C" w:rsidRPr="00422273">
        <w:rPr>
          <w:rFonts w:ascii="Palatino Linotype" w:hAnsi="Palatino Linotype" w:cs="Arial"/>
          <w:b/>
        </w:rPr>
        <w:t>Secretaría de Seguridad</w:t>
      </w:r>
      <w:r w:rsidRPr="00422273">
        <w:rPr>
          <w:rFonts w:ascii="Palatino Linotype" w:hAnsi="Palatino Linotype" w:cs="Arial"/>
          <w:b/>
        </w:rPr>
        <w:t xml:space="preserve"> </w:t>
      </w:r>
      <w:r w:rsidRPr="00422273">
        <w:rPr>
          <w:rFonts w:ascii="Palatino Linotype" w:eastAsia="Calibri" w:hAnsi="Palatino Linotype" w:cs="Arial"/>
          <w:lang w:val="es-ES"/>
        </w:rPr>
        <w:t>y se</w:t>
      </w:r>
      <w:r w:rsidRPr="00422273">
        <w:rPr>
          <w:rFonts w:ascii="Palatino Linotype" w:eastAsia="Calibri" w:hAnsi="Palatino Linotype" w:cs="Arial"/>
          <w:b/>
          <w:lang w:val="es-ES"/>
        </w:rPr>
        <w:t xml:space="preserve"> ORDENA </w:t>
      </w:r>
      <w:r w:rsidRPr="00422273">
        <w:rPr>
          <w:rFonts w:ascii="Palatino Linotype" w:hAnsi="Palatino Linotype" w:cs="Arial"/>
          <w:lang w:val="es-ES"/>
        </w:rPr>
        <w:t>entregar vía Sistema de Accesos a la Información Mexiquense (SAIMEX)</w:t>
      </w:r>
      <w:r w:rsidR="001E408A" w:rsidRPr="00422273">
        <w:rPr>
          <w:rFonts w:ascii="Palatino Linotype" w:hAnsi="Palatino Linotype" w:cs="Arial"/>
          <w:lang w:val="es-ES"/>
        </w:rPr>
        <w:t xml:space="preserve"> y correo electrónico</w:t>
      </w:r>
      <w:r w:rsidRPr="00422273">
        <w:rPr>
          <w:rFonts w:ascii="Palatino Linotype" w:hAnsi="Palatino Linotype" w:cs="Arial"/>
          <w:lang w:val="es-ES"/>
        </w:rPr>
        <w:t>, en versión pública,</w:t>
      </w:r>
      <w:r w:rsidR="00B54731" w:rsidRPr="00422273">
        <w:rPr>
          <w:rFonts w:ascii="Palatino Linotype" w:hAnsi="Palatino Linotype" w:cs="Arial"/>
          <w:lang w:val="es-ES"/>
        </w:rPr>
        <w:t xml:space="preserve"> del servidor público referido en la solicitud de información,</w:t>
      </w:r>
      <w:r w:rsidRPr="00422273">
        <w:rPr>
          <w:rFonts w:ascii="Palatino Linotype" w:hAnsi="Palatino Linotype" w:cs="Arial"/>
          <w:lang w:val="es-ES"/>
        </w:rPr>
        <w:t xml:space="preserve"> la siguiente </w:t>
      </w:r>
      <w:r w:rsidRPr="00422273">
        <w:rPr>
          <w:rFonts w:ascii="Palatino Linotype" w:hAnsi="Palatino Linotype" w:cs="Arial"/>
          <w:bCs/>
        </w:rPr>
        <w:t>información:</w:t>
      </w:r>
    </w:p>
    <w:p w:rsidR="001E408A" w:rsidRPr="00422273" w:rsidRDefault="001E408A" w:rsidP="00B54731">
      <w:pPr>
        <w:spacing w:line="360" w:lineRule="auto"/>
        <w:ind w:right="48"/>
        <w:jc w:val="both"/>
        <w:rPr>
          <w:rFonts w:ascii="Palatino Linotype" w:eastAsia="Palatino Linotype" w:hAnsi="Palatino Linotype" w:cs="Palatino Linotype"/>
          <w:b/>
        </w:rPr>
      </w:pPr>
      <w:bookmarkStart w:id="59" w:name="_Toc460947013"/>
    </w:p>
    <w:p w:rsidR="00C16C8D" w:rsidRPr="00422273" w:rsidRDefault="008C4BC2" w:rsidP="00B54731">
      <w:pPr>
        <w:pStyle w:val="Prrafodelista"/>
        <w:numPr>
          <w:ilvl w:val="0"/>
          <w:numId w:val="5"/>
        </w:numPr>
        <w:spacing w:line="360" w:lineRule="auto"/>
        <w:ind w:right="822"/>
        <w:jc w:val="both"/>
        <w:rPr>
          <w:rFonts w:ascii="Palatino Linotype" w:eastAsia="MS Mincho" w:hAnsi="Palatino Linotype"/>
          <w:b/>
          <w:sz w:val="24"/>
          <w:lang w:val="es-ES_tradnl"/>
        </w:rPr>
      </w:pPr>
      <w:r>
        <w:rPr>
          <w:rFonts w:ascii="Palatino Linotype" w:eastAsia="MS Mincho" w:hAnsi="Palatino Linotype"/>
          <w:b/>
          <w:bCs/>
          <w:sz w:val="24"/>
          <w:lang w:val="es-ES_tradnl" w:eastAsia="es-ES"/>
        </w:rPr>
        <w:t>Documento o documentos donde conste o se advierta la existencia de responsabilidades administrativas por faltas graves que hayan causado estado.</w:t>
      </w:r>
    </w:p>
    <w:p w:rsidR="00B54731" w:rsidRPr="00422273" w:rsidRDefault="00B54731" w:rsidP="00B54731">
      <w:pPr>
        <w:pStyle w:val="Prrafodelista"/>
        <w:spacing w:line="360" w:lineRule="auto"/>
        <w:ind w:right="822"/>
        <w:jc w:val="both"/>
        <w:rPr>
          <w:rFonts w:ascii="Palatino Linotype" w:eastAsia="MS Mincho" w:hAnsi="Palatino Linotype"/>
          <w:b/>
          <w:sz w:val="24"/>
          <w:lang w:val="es-ES_tradnl"/>
        </w:rPr>
      </w:pPr>
    </w:p>
    <w:p w:rsidR="00BE48D5" w:rsidRPr="00422273" w:rsidRDefault="006C387C" w:rsidP="00B54731">
      <w:pPr>
        <w:pStyle w:val="Prrafodelista"/>
        <w:numPr>
          <w:ilvl w:val="0"/>
          <w:numId w:val="5"/>
        </w:numPr>
        <w:spacing w:line="360" w:lineRule="auto"/>
        <w:ind w:right="822"/>
        <w:jc w:val="both"/>
        <w:rPr>
          <w:rFonts w:ascii="Palatino Linotype" w:eastAsia="Palatino Linotype" w:hAnsi="Palatino Linotype" w:cs="Palatino Linotype"/>
          <w:b/>
          <w:sz w:val="24"/>
        </w:rPr>
      </w:pPr>
      <w:r w:rsidRPr="00422273">
        <w:rPr>
          <w:rFonts w:ascii="Palatino Linotype" w:hAnsi="Palatino Linotype" w:cs="Arial"/>
          <w:b/>
          <w:bCs/>
          <w:sz w:val="24"/>
        </w:rPr>
        <w:lastRenderedPageBreak/>
        <w:t xml:space="preserve">Acuerdo mediante el cual se clasifique </w:t>
      </w:r>
      <w:r w:rsidR="009D409C" w:rsidRPr="00422273">
        <w:rPr>
          <w:rFonts w:ascii="Palatino Linotype" w:hAnsi="Palatino Linotype" w:cs="Arial"/>
          <w:b/>
          <w:bCs/>
          <w:sz w:val="24"/>
        </w:rPr>
        <w:t xml:space="preserve">como reservado </w:t>
      </w:r>
      <w:r w:rsidRPr="00422273">
        <w:rPr>
          <w:rFonts w:ascii="Palatino Linotype" w:hAnsi="Palatino Linotype" w:cs="Arial"/>
          <w:b/>
          <w:bCs/>
          <w:sz w:val="24"/>
        </w:rPr>
        <w:t>el pronunciamiento sobre la existe</w:t>
      </w:r>
      <w:r w:rsidR="001E408A" w:rsidRPr="00422273">
        <w:rPr>
          <w:rFonts w:ascii="Palatino Linotype" w:hAnsi="Palatino Linotype" w:cs="Arial"/>
          <w:b/>
          <w:bCs/>
          <w:sz w:val="24"/>
        </w:rPr>
        <w:t>ncia</w:t>
      </w:r>
      <w:r w:rsidR="00B54731" w:rsidRPr="00422273">
        <w:rPr>
          <w:rFonts w:ascii="Palatino Linotype" w:hAnsi="Palatino Linotype" w:cs="Arial"/>
          <w:b/>
          <w:bCs/>
          <w:sz w:val="24"/>
        </w:rPr>
        <w:t xml:space="preserve"> </w:t>
      </w:r>
      <w:r w:rsidR="008C4BC2">
        <w:rPr>
          <w:rFonts w:ascii="Palatino Linotype" w:hAnsi="Palatino Linotype" w:cs="Arial"/>
          <w:b/>
          <w:bCs/>
          <w:sz w:val="24"/>
        </w:rPr>
        <w:t xml:space="preserve">o no </w:t>
      </w:r>
      <w:r w:rsidR="00B54731" w:rsidRPr="00422273">
        <w:rPr>
          <w:rFonts w:ascii="Palatino Linotype" w:hAnsi="Palatino Linotype" w:cs="Arial"/>
          <w:b/>
          <w:bCs/>
          <w:sz w:val="24"/>
        </w:rPr>
        <w:t xml:space="preserve">de faltas no graves  y </w:t>
      </w:r>
      <w:r w:rsidR="00C16C8D" w:rsidRPr="00422273">
        <w:rPr>
          <w:rFonts w:ascii="Palatino Linotype" w:hAnsi="Palatino Linotype" w:cs="Arial"/>
          <w:b/>
          <w:bCs/>
          <w:sz w:val="24"/>
        </w:rPr>
        <w:t xml:space="preserve"> de faltas graves que no hayan causado estado</w:t>
      </w:r>
      <w:r w:rsidR="00B54731" w:rsidRPr="00422273">
        <w:rPr>
          <w:rFonts w:ascii="Palatino Linotype" w:hAnsi="Palatino Linotype" w:cs="Arial"/>
          <w:b/>
          <w:bCs/>
          <w:sz w:val="24"/>
        </w:rPr>
        <w:t>.</w:t>
      </w:r>
    </w:p>
    <w:p w:rsidR="001E408A" w:rsidRPr="00422273" w:rsidRDefault="001E408A" w:rsidP="00B54731">
      <w:pPr>
        <w:spacing w:line="360" w:lineRule="auto"/>
        <w:ind w:right="48"/>
        <w:jc w:val="both"/>
        <w:rPr>
          <w:rFonts w:ascii="Palatino Linotype" w:eastAsia="Palatino Linotype" w:hAnsi="Palatino Linotype" w:cs="Palatino Linotype"/>
          <w:b/>
        </w:rPr>
      </w:pPr>
    </w:p>
    <w:p w:rsidR="00BE48D5" w:rsidRPr="00422273" w:rsidRDefault="00BE48D5" w:rsidP="00B54731">
      <w:pPr>
        <w:spacing w:line="360" w:lineRule="auto"/>
        <w:jc w:val="both"/>
        <w:rPr>
          <w:rFonts w:ascii="Palatino Linotype" w:eastAsia="Calibri" w:hAnsi="Palatino Linotype" w:cs="Arial"/>
        </w:rPr>
      </w:pPr>
      <w:r w:rsidRPr="0042227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BE48D5" w:rsidRPr="00422273" w:rsidRDefault="00BE48D5" w:rsidP="00B54731">
      <w:pPr>
        <w:pStyle w:val="Prrafodelista"/>
        <w:spacing w:line="360" w:lineRule="auto"/>
        <w:ind w:right="48"/>
        <w:jc w:val="both"/>
        <w:rPr>
          <w:rFonts w:ascii="Palatino Linotype" w:eastAsia="Palatino Linotype" w:hAnsi="Palatino Linotype" w:cs="Palatino Linotype"/>
          <w:b/>
          <w:sz w:val="24"/>
        </w:rPr>
      </w:pPr>
    </w:p>
    <w:p w:rsidR="00BE48D5" w:rsidRPr="00422273" w:rsidRDefault="00BE48D5" w:rsidP="00B54731">
      <w:pPr>
        <w:tabs>
          <w:tab w:val="left" w:pos="8080"/>
        </w:tabs>
        <w:spacing w:line="360" w:lineRule="auto"/>
        <w:ind w:right="48"/>
        <w:contextualSpacing/>
        <w:jc w:val="both"/>
        <w:rPr>
          <w:rFonts w:ascii="Palatino Linotype" w:eastAsia="Palatino Linotype" w:hAnsi="Palatino Linotype" w:cs="Palatino Linotype"/>
          <w:b/>
        </w:rPr>
      </w:pPr>
      <w:r w:rsidRPr="00422273">
        <w:rPr>
          <w:rFonts w:ascii="Palatino Linotype" w:eastAsia="Palatino Linotype" w:hAnsi="Palatino Linotype" w:cs="Palatino Linotype"/>
          <w:b/>
        </w:rPr>
        <w:t xml:space="preserve">TERCERO. Notifíquese </w:t>
      </w:r>
      <w:r w:rsidRPr="00422273">
        <w:rPr>
          <w:rFonts w:ascii="Palatino Linotype" w:eastAsia="Palatino Linotype" w:hAnsi="Palatino Linotype" w:cs="Palatino Linotype"/>
        </w:rPr>
        <w:t xml:space="preserve">al Titular de la Unidad de Transparencia del </w:t>
      </w:r>
      <w:r w:rsidRPr="00422273">
        <w:rPr>
          <w:rFonts w:ascii="Palatino Linotype" w:eastAsia="Palatino Linotype" w:hAnsi="Palatino Linotype" w:cs="Palatino Linotype"/>
          <w:b/>
        </w:rPr>
        <w:t>SUJETO OBLIGADO</w:t>
      </w:r>
      <w:r w:rsidRPr="0042227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2227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E48D5" w:rsidRPr="00422273" w:rsidRDefault="00BE48D5" w:rsidP="00B54731">
      <w:pPr>
        <w:shd w:val="clear" w:color="auto" w:fill="FFFFFF"/>
        <w:tabs>
          <w:tab w:val="left" w:pos="4020"/>
        </w:tabs>
        <w:spacing w:line="360" w:lineRule="auto"/>
        <w:ind w:right="48"/>
        <w:jc w:val="both"/>
        <w:rPr>
          <w:rFonts w:ascii="Palatino Linotype" w:hAnsi="Palatino Linotype" w:cs="Arial"/>
          <w:b/>
        </w:rPr>
      </w:pPr>
      <w:r w:rsidRPr="00422273">
        <w:rPr>
          <w:rFonts w:ascii="Palatino Linotype" w:hAnsi="Palatino Linotype" w:cs="Arial"/>
          <w:b/>
        </w:rPr>
        <w:tab/>
      </w:r>
    </w:p>
    <w:p w:rsidR="00BE48D5" w:rsidRPr="00422273" w:rsidRDefault="00BE48D5" w:rsidP="00B54731">
      <w:pPr>
        <w:shd w:val="clear" w:color="auto" w:fill="FFFFFF"/>
        <w:spacing w:line="360" w:lineRule="auto"/>
        <w:ind w:right="48"/>
        <w:jc w:val="both"/>
        <w:rPr>
          <w:rFonts w:ascii="Palatino Linotype" w:hAnsi="Palatino Linotype"/>
        </w:rPr>
      </w:pPr>
      <w:r w:rsidRPr="00422273">
        <w:rPr>
          <w:rFonts w:ascii="Palatino Linotype" w:hAnsi="Palatino Linotype" w:cs="Arial"/>
          <w:b/>
        </w:rPr>
        <w:t xml:space="preserve">CUARTO. </w:t>
      </w:r>
      <w:r w:rsidRPr="00422273">
        <w:rPr>
          <w:rFonts w:ascii="Palatino Linotype" w:hAnsi="Palatino Linotype"/>
          <w:b/>
          <w:bCs/>
          <w:lang w:val="es-ES"/>
        </w:rPr>
        <w:t xml:space="preserve">Notifíquese </w:t>
      </w:r>
      <w:r w:rsidRPr="008B7861">
        <w:rPr>
          <w:rFonts w:ascii="Palatino Linotype" w:hAnsi="Palatino Linotype"/>
          <w:bCs/>
          <w:lang w:val="es-ES"/>
        </w:rPr>
        <w:t xml:space="preserve">al </w:t>
      </w:r>
      <w:r w:rsidRPr="00422273">
        <w:rPr>
          <w:rFonts w:ascii="Palatino Linotype" w:hAnsi="Palatino Linotype"/>
          <w:b/>
          <w:bCs/>
          <w:lang w:val="es-ES"/>
        </w:rPr>
        <w:t>RECURRENTE</w:t>
      </w:r>
      <w:r w:rsidRPr="00422273">
        <w:rPr>
          <w:rFonts w:ascii="Palatino Linotype" w:hAnsi="Palatino Linotype"/>
        </w:rPr>
        <w:t xml:space="preserve"> la presente resolución.</w:t>
      </w:r>
    </w:p>
    <w:p w:rsidR="00BE48D5" w:rsidRPr="00422273" w:rsidRDefault="00BE48D5" w:rsidP="00B54731">
      <w:pPr>
        <w:shd w:val="clear" w:color="auto" w:fill="FFFFFF"/>
        <w:spacing w:line="360" w:lineRule="auto"/>
        <w:ind w:right="48"/>
        <w:jc w:val="both"/>
        <w:rPr>
          <w:rFonts w:ascii="Palatino Linotype" w:hAnsi="Palatino Linotype"/>
          <w:b/>
          <w:color w:val="FF0000"/>
        </w:rPr>
      </w:pPr>
    </w:p>
    <w:bookmarkEnd w:id="59"/>
    <w:p w:rsidR="00BE48D5" w:rsidRPr="00422273" w:rsidRDefault="00BE48D5" w:rsidP="00B54731">
      <w:pPr>
        <w:spacing w:line="360" w:lineRule="auto"/>
        <w:ind w:right="48"/>
        <w:jc w:val="both"/>
        <w:rPr>
          <w:rFonts w:ascii="Palatino Linotype" w:eastAsia="MS Mincho" w:hAnsi="Palatino Linotype"/>
          <w:lang w:val="es-ES"/>
        </w:rPr>
      </w:pPr>
      <w:r w:rsidRPr="00422273">
        <w:rPr>
          <w:rFonts w:ascii="Palatino Linotype" w:eastAsia="MS Mincho" w:hAnsi="Palatino Linotype"/>
          <w:b/>
        </w:rPr>
        <w:t>QUINTO.</w:t>
      </w:r>
      <w:r w:rsidRPr="00422273">
        <w:rPr>
          <w:rFonts w:ascii="Palatino Linotype" w:eastAsia="MS Mincho" w:hAnsi="Palatino Linotype"/>
        </w:rPr>
        <w:t xml:space="preserve"> </w:t>
      </w:r>
      <w:r w:rsidRPr="00422273">
        <w:rPr>
          <w:rFonts w:ascii="Palatino Linotype" w:eastAsia="MS Mincho" w:hAnsi="Palatino Linotype"/>
          <w:lang w:val="es-ES"/>
        </w:rPr>
        <w:t xml:space="preserve">Se hace del conocimiento del </w:t>
      </w:r>
      <w:r w:rsidRPr="00422273">
        <w:rPr>
          <w:rFonts w:ascii="Palatino Linotype" w:hAnsi="Palatino Linotype"/>
          <w:b/>
        </w:rPr>
        <w:t>RECURRENTE</w:t>
      </w:r>
      <w:r w:rsidRPr="00422273">
        <w:rPr>
          <w:rFonts w:ascii="Palatino Linotype" w:hAnsi="Palatino Linotype"/>
        </w:rPr>
        <w:t xml:space="preserve"> </w:t>
      </w:r>
      <w:r w:rsidRPr="00422273">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22273">
        <w:rPr>
          <w:rFonts w:ascii="Palatino Linotype" w:eastAsia="MS Mincho" w:hAnsi="Palatino Linotype"/>
          <w:bCs/>
          <w:lang w:val="es-ES"/>
        </w:rPr>
        <w:t>vía juicio de amparo</w:t>
      </w:r>
      <w:r w:rsidRPr="00422273">
        <w:rPr>
          <w:rFonts w:ascii="Palatino Linotype" w:eastAsia="MS Mincho" w:hAnsi="Palatino Linotype"/>
          <w:lang w:val="es-ES"/>
        </w:rPr>
        <w:t> en los términos de las leyes aplicables.</w:t>
      </w:r>
    </w:p>
    <w:p w:rsidR="00BE48D5" w:rsidRPr="00422273" w:rsidRDefault="00BE48D5" w:rsidP="00B54731">
      <w:pPr>
        <w:spacing w:line="360" w:lineRule="auto"/>
        <w:ind w:right="48"/>
        <w:jc w:val="both"/>
        <w:rPr>
          <w:rFonts w:ascii="Palatino Linotype" w:hAnsi="Palatino Linotype"/>
          <w:color w:val="000000"/>
          <w:shd w:val="clear" w:color="auto" w:fill="FFFFFF"/>
        </w:rPr>
      </w:pPr>
    </w:p>
    <w:p w:rsidR="00BE48D5" w:rsidRDefault="00BE48D5" w:rsidP="00B54731">
      <w:pPr>
        <w:spacing w:line="360" w:lineRule="auto"/>
        <w:ind w:right="48"/>
        <w:jc w:val="both"/>
        <w:rPr>
          <w:rFonts w:ascii="Palatino Linotype" w:eastAsia="Calibri" w:hAnsi="Palatino Linotype" w:cs="Arial"/>
          <w:bCs/>
        </w:rPr>
      </w:pPr>
      <w:r w:rsidRPr="00422273">
        <w:rPr>
          <w:rFonts w:ascii="Palatino Linotype" w:hAnsi="Palatino Linotype"/>
          <w:b/>
          <w:color w:val="000000"/>
          <w:shd w:val="clear" w:color="auto" w:fill="FFFFFF"/>
        </w:rPr>
        <w:lastRenderedPageBreak/>
        <w:t xml:space="preserve">SEXTO. </w:t>
      </w:r>
      <w:r w:rsidRPr="0042227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F5485" w:rsidRDefault="001F5485" w:rsidP="00B54731">
      <w:pPr>
        <w:spacing w:line="360" w:lineRule="auto"/>
        <w:ind w:right="48"/>
        <w:jc w:val="both"/>
        <w:rPr>
          <w:rFonts w:ascii="Palatino Linotype" w:eastAsia="Calibri" w:hAnsi="Palatino Linotype" w:cs="Arial"/>
          <w:bCs/>
        </w:rPr>
      </w:pPr>
    </w:p>
    <w:p w:rsidR="00A763F8" w:rsidRPr="004C43F4" w:rsidRDefault="001F5485" w:rsidP="00A763F8">
      <w:pPr>
        <w:autoSpaceDE w:val="0"/>
        <w:autoSpaceDN w:val="0"/>
        <w:adjustRightInd w:val="0"/>
        <w:spacing w:before="240" w:after="240" w:line="360" w:lineRule="auto"/>
        <w:jc w:val="both"/>
        <w:rPr>
          <w:rFonts w:ascii="Palatino Linotype" w:eastAsia="MS Mincho" w:hAnsi="Palatino Linotype"/>
        </w:rPr>
      </w:pPr>
      <w:r w:rsidRPr="001F5485">
        <w:rPr>
          <w:rFonts w:ascii="Palatino Linotype" w:eastAsia="Calibri" w:hAnsi="Palatino Linotype" w:cs="Arial"/>
          <w:b/>
          <w:bCs/>
        </w:rPr>
        <w:t>SÉPTIMO.</w:t>
      </w:r>
      <w:r w:rsidR="00A763F8" w:rsidRPr="004C43F4">
        <w:rPr>
          <w:rFonts w:ascii="Palatino Linotype" w:hAnsi="Palatino Linotype" w:cs="Arial"/>
          <w:b/>
          <w:sz w:val="28"/>
          <w:lang w:val="es-ES" w:eastAsia="es-ES"/>
        </w:rPr>
        <w:t xml:space="preserve"> </w:t>
      </w:r>
      <w:r w:rsidR="00A763F8" w:rsidRPr="004C43F4">
        <w:rPr>
          <w:rFonts w:ascii="Palatino Linotype" w:hAnsi="Palatino Linotype" w:cs="Arial"/>
          <w:b/>
          <w:lang w:val="es-ES" w:eastAsia="es-ES"/>
        </w:rPr>
        <w:t>GÍRESE</w:t>
      </w:r>
      <w:r w:rsidR="00A763F8" w:rsidRPr="004C43F4">
        <w:rPr>
          <w:rFonts w:ascii="Palatino Linotype" w:eastAsia="MS Mincho" w:hAnsi="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A763F8">
        <w:rPr>
          <w:rFonts w:ascii="Palatino Linotype" w:eastAsia="MS Mincho" w:hAnsi="Palatino Linotype"/>
          <w:b/>
        </w:rPr>
        <w:t xml:space="preserve">Cuarto </w:t>
      </w:r>
      <w:r w:rsidR="00A763F8" w:rsidRPr="004C43F4">
        <w:rPr>
          <w:rFonts w:ascii="Palatino Linotype" w:eastAsia="MS Mincho" w:hAnsi="Palatino Linotype"/>
        </w:rPr>
        <w:t xml:space="preserve">de la presente resolución. </w:t>
      </w:r>
    </w:p>
    <w:p w:rsidR="001F5485" w:rsidRPr="001F5485" w:rsidRDefault="001F5485" w:rsidP="00B54731">
      <w:pPr>
        <w:spacing w:line="360" w:lineRule="auto"/>
        <w:ind w:right="48"/>
        <w:jc w:val="both"/>
        <w:rPr>
          <w:rFonts w:ascii="Palatino Linotype" w:eastAsia="Calibri" w:hAnsi="Palatino Linotype" w:cs="Arial"/>
          <w:b/>
          <w:bCs/>
        </w:rPr>
      </w:pPr>
    </w:p>
    <w:p w:rsidR="001F5485" w:rsidRPr="00422273" w:rsidRDefault="001F5485" w:rsidP="00B54731">
      <w:pPr>
        <w:spacing w:line="360" w:lineRule="auto"/>
        <w:ind w:right="48"/>
        <w:jc w:val="both"/>
        <w:rPr>
          <w:rFonts w:ascii="Palatino Linotype" w:eastAsia="Calibri" w:hAnsi="Palatino Linotype" w:cs="Arial"/>
          <w:bCs/>
        </w:rPr>
      </w:pPr>
    </w:p>
    <w:p w:rsidR="00BE48D5" w:rsidRPr="00422273" w:rsidRDefault="00BE48D5" w:rsidP="00B54731">
      <w:pPr>
        <w:spacing w:line="360" w:lineRule="auto"/>
        <w:ind w:right="48"/>
        <w:jc w:val="both"/>
        <w:rPr>
          <w:rFonts w:ascii="Palatino Linotype" w:hAnsi="Palatino Linotype"/>
        </w:rPr>
      </w:pPr>
    </w:p>
    <w:p w:rsidR="00BE48D5" w:rsidRPr="00B54731" w:rsidRDefault="00BE48D5" w:rsidP="00B54731">
      <w:pPr>
        <w:spacing w:line="360" w:lineRule="auto"/>
        <w:ind w:right="48"/>
        <w:jc w:val="both"/>
        <w:rPr>
          <w:rFonts w:ascii="Palatino Linotype" w:hAnsi="Palatino Linotype"/>
        </w:rPr>
      </w:pPr>
      <w:r w:rsidRPr="0042227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30569">
        <w:rPr>
          <w:rFonts w:ascii="Palatino Linotype" w:hAnsi="Palatino Linotype"/>
        </w:rPr>
        <w:t xml:space="preserve"> EMITIENDO VOTO PARTICULAR </w:t>
      </w:r>
      <w:r w:rsidRPr="00422273">
        <w:rPr>
          <w:rFonts w:ascii="Palatino Linotype" w:hAnsi="Palatino Linotype"/>
        </w:rPr>
        <w:t xml:space="preserve"> Y GUADALUPE RAMÍREZ PEÑA;  EN LA TRIGÉSIMA </w:t>
      </w:r>
      <w:r w:rsidR="00B54731" w:rsidRPr="00422273">
        <w:rPr>
          <w:rFonts w:ascii="Palatino Linotype" w:hAnsi="Palatino Linotype"/>
        </w:rPr>
        <w:t>SEXTA</w:t>
      </w:r>
      <w:r w:rsidRPr="00422273">
        <w:rPr>
          <w:rFonts w:ascii="Palatino Linotype" w:hAnsi="Palatino Linotype"/>
        </w:rPr>
        <w:t xml:space="preserve"> SESIÓN ORDINARIA CELEBRADA EL DÍA </w:t>
      </w:r>
      <w:r w:rsidR="00B54731" w:rsidRPr="00422273">
        <w:rPr>
          <w:rFonts w:ascii="Palatino Linotype" w:hAnsi="Palatino Linotype"/>
        </w:rPr>
        <w:t>TRECE DE OCTUBRE</w:t>
      </w:r>
      <w:r w:rsidRPr="00422273">
        <w:rPr>
          <w:rFonts w:ascii="Palatino Linotype" w:hAnsi="Palatino Linotype"/>
        </w:rPr>
        <w:t xml:space="preserve">   DE DOS MIL VEINTIUNO, ANTE EL SECRETARIO TÉCNICO DEL PLENO, ALEXIS TAPIA RAMÍREZ.</w:t>
      </w:r>
      <w:r w:rsidRPr="00B54731">
        <w:rPr>
          <w:rFonts w:ascii="Palatino Linotype" w:hAnsi="Palatino Linotype"/>
        </w:rPr>
        <w:t xml:space="preserve"> </w:t>
      </w:r>
    </w:p>
    <w:p w:rsidR="00BE48D5" w:rsidRPr="00B54731" w:rsidRDefault="00BE48D5" w:rsidP="00B54731">
      <w:pPr>
        <w:spacing w:line="360" w:lineRule="auto"/>
        <w:ind w:right="48"/>
        <w:rPr>
          <w:rFonts w:ascii="Palatino Linotype" w:hAnsi="Palatino Linotype"/>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54731" w:rsidRPr="00B54731" w:rsidRDefault="00B54731" w:rsidP="00B54731">
      <w:pPr>
        <w:spacing w:line="360" w:lineRule="auto"/>
        <w:ind w:right="49"/>
        <w:jc w:val="both"/>
        <w:rPr>
          <w:rFonts w:ascii="Palatino Linotype" w:eastAsiaTheme="minorEastAsia" w:hAnsi="Palatino Linotype" w:cs="Arial"/>
          <w:lang w:val="es-ES_tradnl" w:eastAsia="es-ES"/>
        </w:rPr>
      </w:pPr>
    </w:p>
    <w:p w:rsidR="00BE48D5" w:rsidRPr="00B54731" w:rsidRDefault="00BE48D5" w:rsidP="00B54731">
      <w:pPr>
        <w:spacing w:line="360" w:lineRule="auto"/>
        <w:rPr>
          <w:rFonts w:ascii="Palatino Linotype" w:hAnsi="Palatino Linotype"/>
        </w:rPr>
      </w:pPr>
    </w:p>
    <w:p w:rsidR="00BE48D5" w:rsidRPr="00B54731" w:rsidRDefault="00BE48D5" w:rsidP="00B54731">
      <w:pPr>
        <w:spacing w:line="360" w:lineRule="auto"/>
        <w:rPr>
          <w:rFonts w:ascii="Palatino Linotype" w:hAnsi="Palatino Linotype"/>
        </w:rPr>
      </w:pPr>
    </w:p>
    <w:p w:rsidR="00BE48D5" w:rsidRPr="00B54731" w:rsidRDefault="00BE48D5" w:rsidP="00B54731">
      <w:pPr>
        <w:spacing w:line="360" w:lineRule="auto"/>
        <w:rPr>
          <w:rFonts w:ascii="Palatino Linotype" w:hAnsi="Palatino Linotype"/>
        </w:rPr>
      </w:pPr>
    </w:p>
    <w:p w:rsidR="00BE48D5" w:rsidRPr="00B54731" w:rsidRDefault="00BE48D5" w:rsidP="00B54731">
      <w:pPr>
        <w:spacing w:line="360" w:lineRule="auto"/>
        <w:rPr>
          <w:rFonts w:ascii="Palatino Linotype" w:hAnsi="Palatino Linotype"/>
        </w:rPr>
      </w:pPr>
    </w:p>
    <w:p w:rsidR="00BE48D5" w:rsidRPr="00B54731" w:rsidRDefault="00BE48D5" w:rsidP="00B54731">
      <w:pPr>
        <w:spacing w:line="360" w:lineRule="auto"/>
        <w:rPr>
          <w:rFonts w:ascii="Palatino Linotype" w:hAnsi="Palatino Linotype"/>
        </w:rPr>
      </w:pPr>
    </w:p>
    <w:p w:rsidR="00BE48D5" w:rsidRPr="00B54731" w:rsidRDefault="00BE48D5" w:rsidP="00B54731">
      <w:pPr>
        <w:spacing w:line="360" w:lineRule="auto"/>
        <w:rPr>
          <w:rFonts w:ascii="Palatino Linotype" w:hAnsi="Palatino Linotype"/>
        </w:rPr>
      </w:pPr>
    </w:p>
    <w:p w:rsidR="00BE48D5" w:rsidRPr="00B54731" w:rsidRDefault="00BE48D5" w:rsidP="00B54731">
      <w:pPr>
        <w:spacing w:line="360" w:lineRule="auto"/>
        <w:rPr>
          <w:rFonts w:ascii="Palatino Linotype" w:hAnsi="Palatino Linotype"/>
        </w:rPr>
      </w:pPr>
    </w:p>
    <w:p w:rsidR="004F7D16" w:rsidRPr="00B54731" w:rsidRDefault="004F7D16" w:rsidP="00B54731">
      <w:pPr>
        <w:spacing w:line="360" w:lineRule="auto"/>
        <w:rPr>
          <w:rFonts w:ascii="Palatino Linotype" w:hAnsi="Palatino Linotype"/>
        </w:rPr>
      </w:pPr>
    </w:p>
    <w:sectPr w:rsidR="004F7D16" w:rsidRPr="00B54731" w:rsidSect="004F7D16">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B7A" w:rsidRDefault="00403B7A" w:rsidP="00BE48D5">
      <w:r>
        <w:separator/>
      </w:r>
    </w:p>
  </w:endnote>
  <w:endnote w:type="continuationSeparator" w:id="0">
    <w:p w:rsidR="00403B7A" w:rsidRDefault="00403B7A" w:rsidP="00BE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D39" w:rsidRDefault="00433D39">
    <w:pPr>
      <w:pStyle w:val="Piedepgina"/>
      <w:jc w:val="right"/>
    </w:pPr>
    <w:r>
      <w:rPr>
        <w:lang w:val="es-ES"/>
      </w:rPr>
      <w:t xml:space="preserve">Página </w:t>
    </w:r>
    <w:r>
      <w:rPr>
        <w:b/>
        <w:bCs/>
      </w:rPr>
      <w:fldChar w:fldCharType="begin"/>
    </w:r>
    <w:r>
      <w:rPr>
        <w:b/>
        <w:bCs/>
      </w:rPr>
      <w:instrText>PAGE</w:instrText>
    </w:r>
    <w:r>
      <w:rPr>
        <w:b/>
        <w:bCs/>
      </w:rPr>
      <w:fldChar w:fldCharType="separate"/>
    </w:r>
    <w:r w:rsidR="00253C5C">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53C5C">
      <w:rPr>
        <w:b/>
        <w:bCs/>
        <w:noProof/>
      </w:rPr>
      <w:t>78</w:t>
    </w:r>
    <w:r>
      <w:rPr>
        <w:b/>
        <w:bCs/>
      </w:rPr>
      <w:fldChar w:fldCharType="end"/>
    </w:r>
  </w:p>
  <w:p w:rsidR="00433D39" w:rsidRDefault="00433D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D39" w:rsidRDefault="00433D39">
    <w:pPr>
      <w:pStyle w:val="Piedepgina"/>
      <w:jc w:val="right"/>
    </w:pPr>
    <w:r>
      <w:rPr>
        <w:lang w:val="es-ES"/>
      </w:rPr>
      <w:t xml:space="preserve">Página </w:t>
    </w:r>
    <w:r>
      <w:rPr>
        <w:b/>
        <w:bCs/>
      </w:rPr>
      <w:fldChar w:fldCharType="begin"/>
    </w:r>
    <w:r>
      <w:rPr>
        <w:b/>
        <w:bCs/>
      </w:rPr>
      <w:instrText>PAGE</w:instrText>
    </w:r>
    <w:r>
      <w:rPr>
        <w:b/>
        <w:bCs/>
      </w:rPr>
      <w:fldChar w:fldCharType="separate"/>
    </w:r>
    <w:r w:rsidR="00253C5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53C5C">
      <w:rPr>
        <w:b/>
        <w:bCs/>
        <w:noProof/>
      </w:rPr>
      <w:t>78</w:t>
    </w:r>
    <w:r>
      <w:rPr>
        <w:b/>
        <w:bCs/>
      </w:rPr>
      <w:fldChar w:fldCharType="end"/>
    </w:r>
  </w:p>
  <w:p w:rsidR="00433D39" w:rsidRDefault="00433D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B7A" w:rsidRDefault="00403B7A" w:rsidP="00BE48D5">
      <w:r>
        <w:separator/>
      </w:r>
    </w:p>
  </w:footnote>
  <w:footnote w:type="continuationSeparator" w:id="0">
    <w:p w:rsidR="00403B7A" w:rsidRDefault="00403B7A" w:rsidP="00BE48D5">
      <w:r>
        <w:continuationSeparator/>
      </w:r>
    </w:p>
  </w:footnote>
  <w:footnote w:id="1">
    <w:p w:rsidR="00433D39" w:rsidRDefault="00433D39" w:rsidP="00BE48D5">
      <w:pPr>
        <w:pStyle w:val="Textonotapie"/>
      </w:pPr>
      <w:r>
        <w:rPr>
          <w:rStyle w:val="Refdenotaalpie"/>
        </w:rPr>
        <w:footnoteRef/>
      </w:r>
      <w:r>
        <w:t xml:space="preserve"> Convención Americana sobre Derechos Humanos. Artículo 13.</w:t>
      </w:r>
    </w:p>
  </w:footnote>
  <w:footnote w:id="2">
    <w:p w:rsidR="00433D39" w:rsidRDefault="00433D39" w:rsidP="00BE48D5">
      <w:pPr>
        <w:pStyle w:val="Textonotapie"/>
      </w:pPr>
      <w:r>
        <w:rPr>
          <w:rStyle w:val="Refdenotaalpie"/>
        </w:rPr>
        <w:footnoteRef/>
      </w:r>
      <w:r>
        <w:t xml:space="preserve"> Constitución Política de los Estados Unidos Mexicanos. Artículo sexto, sección A, fracción I.</w:t>
      </w:r>
    </w:p>
  </w:footnote>
  <w:footnote w:id="3">
    <w:p w:rsidR="00433D39" w:rsidRDefault="00433D39" w:rsidP="00BE48D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33D39" w:rsidRDefault="00433D39" w:rsidP="00BE48D5">
      <w:pPr>
        <w:pStyle w:val="Textonotapie"/>
      </w:pPr>
      <w:r>
        <w:rPr>
          <w:rStyle w:val="Refdenotaalpie"/>
        </w:rPr>
        <w:footnoteRef/>
      </w:r>
      <w:r>
        <w:t xml:space="preserve"> Ibídem. </w:t>
      </w:r>
      <w:proofErr w:type="spellStart"/>
      <w:r>
        <w:t>Parr</w:t>
      </w:r>
      <w:proofErr w:type="spellEnd"/>
      <w:r>
        <w:t>. 87.</w:t>
      </w:r>
    </w:p>
  </w:footnote>
  <w:footnote w:id="5">
    <w:p w:rsidR="00433D39" w:rsidRPr="000E4273" w:rsidRDefault="00433D39" w:rsidP="00680150">
      <w:pPr>
        <w:pStyle w:val="Textonotapie"/>
        <w:jc w:val="both"/>
        <w:rPr>
          <w:rFonts w:ascii="Palatino Linotype" w:hAnsi="Palatino Linotype"/>
        </w:rPr>
      </w:pPr>
      <w:r w:rsidRPr="000E4273">
        <w:rPr>
          <w:rStyle w:val="Refdenotaalpie"/>
          <w:rFonts w:ascii="Palatino Linotype" w:hAnsi="Palatino Linotype"/>
        </w:rPr>
        <w:footnoteRef/>
      </w:r>
      <w:r w:rsidRPr="000E4273">
        <w:rPr>
          <w:rFonts w:ascii="Palatino Linotype" w:hAnsi="Palatino Linotype"/>
        </w:rPr>
        <w:t xml:space="preserve"> Ver páginas 71 y 72 de la </w:t>
      </w:r>
      <w:r w:rsidRPr="000E4273">
        <w:rPr>
          <w:rFonts w:ascii="Palatino Linotype" w:hAnsi="Palatino Linotype" w:cs="Arial"/>
        </w:rPr>
        <w:t xml:space="preserve">contradicción de tesis 200/2013, específicamente los epígrafes 84, 85 y 87. </w:t>
      </w:r>
    </w:p>
  </w:footnote>
  <w:footnote w:id="6">
    <w:p w:rsidR="00433D39" w:rsidRPr="00596EDD" w:rsidRDefault="00433D39" w:rsidP="00680150">
      <w:pPr>
        <w:pStyle w:val="Textonotapie"/>
        <w:jc w:val="both"/>
        <w:rPr>
          <w:rFonts w:ascii="Palatino Linotype" w:hAnsi="Palatino Linotype"/>
        </w:rPr>
      </w:pPr>
      <w:r w:rsidRPr="00596EDD">
        <w:rPr>
          <w:rStyle w:val="Refdenotaalpie"/>
          <w:rFonts w:ascii="Palatino Linotype" w:hAnsi="Palatino Linotype"/>
        </w:rPr>
        <w:footnoteRef/>
      </w:r>
      <w:r w:rsidRPr="00596EDD">
        <w:rPr>
          <w:rFonts w:ascii="Palatino Linotype" w:hAnsi="Palatino Linotype"/>
        </w:rPr>
        <w:t xml:space="preserve"> Ver supra. Página 24.</w:t>
      </w:r>
    </w:p>
  </w:footnote>
  <w:footnote w:id="7">
    <w:p w:rsidR="00433D39" w:rsidRPr="00596EDD" w:rsidRDefault="00433D39" w:rsidP="00680150">
      <w:pPr>
        <w:autoSpaceDE w:val="0"/>
        <w:autoSpaceDN w:val="0"/>
        <w:adjustRightInd w:val="0"/>
        <w:jc w:val="both"/>
        <w:rPr>
          <w:rFonts w:ascii="Palatino Linotype" w:hAnsi="Palatino Linotype" w:cs="Bookman Old Style"/>
          <w:sz w:val="20"/>
          <w:szCs w:val="20"/>
        </w:rPr>
      </w:pPr>
      <w:r w:rsidRPr="00596EDD">
        <w:rPr>
          <w:rStyle w:val="Refdenotaalpie"/>
          <w:rFonts w:ascii="Palatino Linotype" w:hAnsi="Palatino Linotype"/>
          <w:sz w:val="20"/>
          <w:szCs w:val="20"/>
        </w:rPr>
        <w:footnoteRef/>
      </w:r>
      <w:r w:rsidRPr="00596EDD">
        <w:rPr>
          <w:rFonts w:ascii="Palatino Linotype" w:hAnsi="Palatino Linotype"/>
          <w:sz w:val="20"/>
          <w:szCs w:val="20"/>
        </w:rPr>
        <w:t xml:space="preserve"> </w:t>
      </w:r>
      <w:r w:rsidRPr="00596EDD">
        <w:rPr>
          <w:rFonts w:ascii="Palatino Linotype" w:hAnsi="Palatino Linotype" w:cs="Bookman Old Style"/>
          <w:b/>
          <w:bCs/>
          <w:sz w:val="20"/>
          <w:szCs w:val="20"/>
        </w:rPr>
        <w:t xml:space="preserve">Artículo 20.- </w:t>
      </w:r>
      <w:r w:rsidRPr="00596EDD">
        <w:rPr>
          <w:rFonts w:ascii="Palatino Linotype" w:hAnsi="Palatino Linotype" w:cs="Bookman Old Style"/>
          <w:sz w:val="20"/>
          <w:szCs w:val="20"/>
        </w:rPr>
        <w:t>Para los efectos de esta Ley, se considera información reservada, la clasificada como tal, de manera temporal, mediante acuerdo fundado y motivado, por los sujetos obligados cuando:</w:t>
      </w:r>
    </w:p>
    <w:p w:rsidR="00433D39" w:rsidRPr="00596EDD" w:rsidRDefault="00433D39" w:rsidP="00680150">
      <w:pPr>
        <w:autoSpaceDE w:val="0"/>
        <w:autoSpaceDN w:val="0"/>
        <w:adjustRightInd w:val="0"/>
        <w:jc w:val="both"/>
        <w:rPr>
          <w:rFonts w:ascii="Palatino Linotype" w:hAnsi="Palatino Linotype" w:cs="Bookman Old Style"/>
          <w:sz w:val="20"/>
          <w:szCs w:val="20"/>
        </w:rPr>
      </w:pPr>
      <w:r w:rsidRPr="00596EDD">
        <w:rPr>
          <w:rFonts w:ascii="Palatino Linotype" w:hAnsi="Palatino Linotype" w:cs="Bookman Old Style"/>
          <w:b/>
          <w:bCs/>
          <w:sz w:val="20"/>
          <w:szCs w:val="20"/>
        </w:rPr>
        <w:t xml:space="preserve">IV. </w:t>
      </w:r>
      <w:r w:rsidRPr="00596EDD">
        <w:rPr>
          <w:rFonts w:ascii="Palatino Linotype" w:hAnsi="Palatino Linotype" w:cs="Bookman Old Style"/>
          <w:sz w:val="20"/>
          <w:szCs w:val="20"/>
        </w:rPr>
        <w:t xml:space="preserve">Ponga en riesgo la vida, la seguridad o la salud de cualquier persona, o cause perjuicio a las actividades de fiscalización, verificación, inspección y comprobación del cumplimiento de las Leyes, de prevención del delito, procuración y </w:t>
      </w:r>
      <w:r w:rsidRPr="00596EDD">
        <w:rPr>
          <w:rFonts w:ascii="Palatino Linotype" w:hAnsi="Palatino Linotype" w:cs="Bookman Old Style"/>
          <w:b/>
          <w:sz w:val="20"/>
          <w:szCs w:val="20"/>
        </w:rPr>
        <w:t>administración de justicia</w:t>
      </w:r>
      <w:r w:rsidRPr="00596EDD">
        <w:rPr>
          <w:rFonts w:ascii="Palatino Linotype" w:hAnsi="Palatino Linotype" w:cs="Bookman Old Style"/>
          <w:sz w:val="20"/>
          <w:szCs w:val="20"/>
        </w:rPr>
        <w:t>, de readaptación social y de la recaudación de contribuciones;</w:t>
      </w:r>
    </w:p>
    <w:p w:rsidR="00433D39" w:rsidRPr="00596EDD" w:rsidRDefault="00433D39" w:rsidP="00680150">
      <w:pPr>
        <w:autoSpaceDE w:val="0"/>
        <w:autoSpaceDN w:val="0"/>
        <w:adjustRightInd w:val="0"/>
        <w:jc w:val="both"/>
        <w:rPr>
          <w:sz w:val="20"/>
          <w:szCs w:val="20"/>
        </w:rPr>
      </w:pPr>
      <w:r w:rsidRPr="00596EDD">
        <w:rPr>
          <w:rFonts w:ascii="Palatino Linotype" w:hAnsi="Palatino Linotype" w:cs="Bookman Old Style"/>
          <w:b/>
          <w:bCs/>
          <w:sz w:val="20"/>
          <w:szCs w:val="20"/>
        </w:rPr>
        <w:t xml:space="preserve">VII. </w:t>
      </w:r>
      <w:r w:rsidRPr="00596EDD">
        <w:rPr>
          <w:rFonts w:ascii="Palatino Linotype" w:hAnsi="Palatino Linotype" w:cs="Bookman Old Style"/>
          <w:sz w:val="20"/>
          <w:szCs w:val="20"/>
        </w:rPr>
        <w:t>El daño que pueda producirse con la publicación de la información sea mayor que el interés público de conocer la información de referencia.</w:t>
      </w:r>
    </w:p>
  </w:footnote>
  <w:footnote w:id="8">
    <w:p w:rsidR="00433D39" w:rsidRPr="00034B44" w:rsidRDefault="00433D39" w:rsidP="00BE48D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433D39" w:rsidRPr="00034B44" w:rsidRDefault="00433D39" w:rsidP="00BE48D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rsidR="00433D39" w:rsidRPr="00034B44" w:rsidRDefault="00433D39" w:rsidP="00BE48D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rsidR="00433D39" w:rsidRPr="00034B44" w:rsidRDefault="00433D39" w:rsidP="00BE48D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33D39" w:rsidRPr="00034B44" w:rsidRDefault="00433D39" w:rsidP="00BE48D5">
      <w:pPr>
        <w:pStyle w:val="Textonotapie"/>
        <w:jc w:val="both"/>
        <w:rPr>
          <w:rFonts w:ascii="Palatino Linotype" w:hAnsi="Palatino Linotype"/>
          <w:sz w:val="18"/>
        </w:rPr>
      </w:pPr>
      <w:r w:rsidRPr="00034B44">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33D39" w:rsidRPr="00034B44" w:rsidRDefault="00433D39" w:rsidP="00BE48D5">
      <w:pPr>
        <w:pStyle w:val="Textonotapie"/>
        <w:jc w:val="both"/>
        <w:rPr>
          <w:rFonts w:ascii="Palatino Linotype" w:hAnsi="Palatino Linotype"/>
          <w:sz w:val="18"/>
        </w:rPr>
      </w:pPr>
      <w:r w:rsidRPr="00034B44">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rPr>
        <w:t>Pp</w:t>
      </w:r>
      <w:proofErr w:type="spellEnd"/>
      <w:r w:rsidRPr="00034B44">
        <w:rPr>
          <w:rFonts w:ascii="Palatino Linotype" w:hAnsi="Palatino Linotype"/>
          <w:sz w:val="18"/>
        </w:rPr>
        <w:t xml:space="preserve"> 1-19. </w:t>
      </w:r>
    </w:p>
  </w:footnote>
  <w:footnote w:id="11">
    <w:p w:rsidR="00433D39" w:rsidRPr="00034B44" w:rsidRDefault="00433D39" w:rsidP="00BE48D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w:t>
      </w:r>
      <w:proofErr w:type="spellStart"/>
      <w:r w:rsidRPr="00034B44">
        <w:rPr>
          <w:rFonts w:ascii="Palatino Linotype" w:hAnsi="Palatino Linotype"/>
          <w:sz w:val="18"/>
        </w:rPr>
        <w:t>Epoca</w:t>
      </w:r>
      <w:proofErr w:type="spellEnd"/>
      <w:r w:rsidRPr="00034B44">
        <w:rPr>
          <w:rFonts w:ascii="Palatino Linotype" w:hAnsi="Palatino Linotype"/>
          <w:sz w:val="18"/>
        </w:rPr>
        <w:t xml:space="preserve">. Semanario Judicial de la Federación y su Gaceta. Tomo III, marzo de 1996. </w:t>
      </w:r>
      <w:proofErr w:type="spellStart"/>
      <w:r w:rsidRPr="00034B44">
        <w:rPr>
          <w:rFonts w:ascii="Palatino Linotype" w:hAnsi="Palatino Linotype"/>
          <w:sz w:val="18"/>
        </w:rPr>
        <w:t>Pág</w:t>
      </w:r>
      <w:proofErr w:type="spellEnd"/>
      <w:r w:rsidRPr="00034B44">
        <w:rPr>
          <w:rFonts w:ascii="Palatino Linotype" w:hAnsi="Palatino Linotype"/>
          <w:sz w:val="18"/>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D39" w:rsidRDefault="00433D3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433D39" w:rsidRPr="005C106F" w:rsidTr="004F7D16">
      <w:trPr>
        <w:trHeight w:val="1435"/>
      </w:trPr>
      <w:tc>
        <w:tcPr>
          <w:tcW w:w="2268" w:type="dxa"/>
          <w:shd w:val="clear" w:color="auto" w:fill="auto"/>
        </w:tcPr>
        <w:p w:rsidR="00433D39" w:rsidRPr="005C106F" w:rsidRDefault="00433D39" w:rsidP="004F7D16">
          <w:pPr>
            <w:tabs>
              <w:tab w:val="right" w:pos="4273"/>
            </w:tabs>
            <w:rPr>
              <w:rFonts w:ascii="Garamond" w:eastAsia="Calibri" w:hAnsi="Garamond"/>
              <w:sz w:val="16"/>
              <w:szCs w:val="16"/>
              <w:lang w:eastAsia="en-US"/>
            </w:rPr>
          </w:pPr>
        </w:p>
      </w:tc>
      <w:tc>
        <w:tcPr>
          <w:tcW w:w="6946" w:type="dxa"/>
          <w:shd w:val="clear" w:color="auto" w:fill="auto"/>
        </w:tcPr>
        <w:p w:rsidR="00433D39" w:rsidRDefault="00433D39" w:rsidP="004F7D16"/>
        <w:tbl>
          <w:tblPr>
            <w:tblW w:w="6662" w:type="dxa"/>
            <w:tblInd w:w="40" w:type="dxa"/>
            <w:tblLayout w:type="fixed"/>
            <w:tblLook w:val="0420" w:firstRow="1" w:lastRow="0" w:firstColumn="0" w:lastColumn="0" w:noHBand="0" w:noVBand="1"/>
          </w:tblPr>
          <w:tblGrid>
            <w:gridCol w:w="2551"/>
            <w:gridCol w:w="4111"/>
          </w:tblGrid>
          <w:tr w:rsidR="00433D39" w:rsidTr="004F7D16">
            <w:trPr>
              <w:trHeight w:val="150"/>
            </w:trPr>
            <w:tc>
              <w:tcPr>
                <w:tcW w:w="2551" w:type="dxa"/>
                <w:shd w:val="clear" w:color="auto" w:fill="auto"/>
              </w:tcPr>
              <w:p w:rsidR="00433D39" w:rsidRPr="00020E73" w:rsidRDefault="00433D39" w:rsidP="004F7D1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433D39" w:rsidRPr="00020E73" w:rsidRDefault="00433D39" w:rsidP="004F7D16">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03803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433D39" w:rsidTr="004F7D16">
            <w:trPr>
              <w:trHeight w:val="295"/>
            </w:trPr>
            <w:tc>
              <w:tcPr>
                <w:tcW w:w="2551" w:type="dxa"/>
                <w:shd w:val="clear" w:color="auto" w:fill="auto"/>
              </w:tcPr>
              <w:p w:rsidR="00433D39" w:rsidRPr="00020E73" w:rsidRDefault="00433D39" w:rsidP="004F7D16">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433D39" w:rsidRPr="00020E73" w:rsidRDefault="00433D39" w:rsidP="004F7D1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Seguridad</w:t>
                </w:r>
              </w:p>
            </w:tc>
          </w:tr>
          <w:tr w:rsidR="00433D39" w:rsidTr="004F7D16">
            <w:trPr>
              <w:trHeight w:val="295"/>
            </w:trPr>
            <w:tc>
              <w:tcPr>
                <w:tcW w:w="2551" w:type="dxa"/>
                <w:shd w:val="clear" w:color="auto" w:fill="auto"/>
              </w:tcPr>
              <w:p w:rsidR="00433D39" w:rsidRPr="00020E73" w:rsidRDefault="00433D39" w:rsidP="004F7D16">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433D39" w:rsidRPr="00020E73" w:rsidRDefault="00433D39" w:rsidP="004F7D16">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433D39" w:rsidRPr="00020E73" w:rsidRDefault="00433D39" w:rsidP="004F7D16">
                <w:pPr>
                  <w:tabs>
                    <w:tab w:val="right" w:pos="8838"/>
                  </w:tabs>
                  <w:ind w:left="-108" w:right="171"/>
                  <w:jc w:val="both"/>
                  <w:rPr>
                    <w:rFonts w:ascii="Palatino Linotype" w:eastAsia="Calibri" w:hAnsi="Palatino Linotype" w:cs="Tahoma"/>
                    <w:b/>
                    <w:sz w:val="22"/>
                    <w:szCs w:val="22"/>
                    <w:lang w:val="es-ES" w:eastAsia="en-US"/>
                  </w:rPr>
                </w:pPr>
              </w:p>
            </w:tc>
          </w:tr>
        </w:tbl>
        <w:p w:rsidR="00433D39" w:rsidRPr="005C106F" w:rsidRDefault="00433D39" w:rsidP="004F7D16">
          <w:pPr>
            <w:tabs>
              <w:tab w:val="right" w:pos="8838"/>
            </w:tabs>
            <w:ind w:left="-28"/>
            <w:jc w:val="both"/>
            <w:rPr>
              <w:rFonts w:ascii="Arial" w:eastAsia="Calibri" w:hAnsi="Arial" w:cs="Arial"/>
              <w:b/>
              <w:sz w:val="22"/>
              <w:szCs w:val="22"/>
              <w:lang w:eastAsia="en-US"/>
            </w:rPr>
          </w:pPr>
        </w:p>
      </w:tc>
    </w:tr>
  </w:tbl>
  <w:p w:rsidR="00433D39" w:rsidRPr="00443C6B" w:rsidRDefault="00433D39" w:rsidP="004F7D16">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433D39" w:rsidRPr="00330DA7" w:rsidTr="004F7D16">
      <w:trPr>
        <w:trHeight w:val="1435"/>
      </w:trPr>
      <w:tc>
        <w:tcPr>
          <w:tcW w:w="2268" w:type="dxa"/>
          <w:shd w:val="clear" w:color="auto" w:fill="auto"/>
        </w:tcPr>
        <w:p w:rsidR="00433D39" w:rsidRPr="00330DA7" w:rsidRDefault="00433D39" w:rsidP="004F7D16">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433D39" w:rsidRPr="00330DA7" w:rsidTr="004F7D16">
            <w:trPr>
              <w:trHeight w:val="144"/>
            </w:trPr>
            <w:tc>
              <w:tcPr>
                <w:tcW w:w="2444" w:type="dxa"/>
                <w:shd w:val="clear" w:color="auto" w:fill="auto"/>
              </w:tcPr>
              <w:p w:rsidR="00433D39" w:rsidRPr="00020E73" w:rsidRDefault="00433D39" w:rsidP="004F7D16">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433D39" w:rsidRPr="00020E73" w:rsidRDefault="00433D39" w:rsidP="004F7D16">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03803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433D39" w:rsidRPr="00330DA7" w:rsidTr="004F7D16">
            <w:trPr>
              <w:trHeight w:val="144"/>
            </w:trPr>
            <w:tc>
              <w:tcPr>
                <w:tcW w:w="2444" w:type="dxa"/>
                <w:shd w:val="clear" w:color="auto" w:fill="auto"/>
              </w:tcPr>
              <w:p w:rsidR="00433D39" w:rsidRPr="00020E73" w:rsidRDefault="00433D39" w:rsidP="004F7D1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433D39" w:rsidRPr="00020E73" w:rsidRDefault="00433D39" w:rsidP="004F7D16">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XXXXXXXXXXXXXXXXXXXXXXXXXXX</w:t>
                </w:r>
              </w:p>
            </w:tc>
          </w:tr>
          <w:tr w:rsidR="00433D39" w:rsidRPr="00330DA7" w:rsidTr="004F7D16">
            <w:trPr>
              <w:trHeight w:val="283"/>
            </w:trPr>
            <w:tc>
              <w:tcPr>
                <w:tcW w:w="2444" w:type="dxa"/>
                <w:shd w:val="clear" w:color="auto" w:fill="auto"/>
              </w:tcPr>
              <w:p w:rsidR="00433D39" w:rsidRPr="00020E73" w:rsidRDefault="00433D39" w:rsidP="004F7D16">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433D39" w:rsidRPr="009E7B0A" w:rsidRDefault="00433D39" w:rsidP="004F7D16">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Seguridad</w:t>
                </w:r>
              </w:p>
            </w:tc>
          </w:tr>
          <w:tr w:rsidR="00433D39" w:rsidRPr="00330DA7" w:rsidTr="004F7D16">
            <w:trPr>
              <w:trHeight w:val="283"/>
            </w:trPr>
            <w:tc>
              <w:tcPr>
                <w:tcW w:w="2444" w:type="dxa"/>
                <w:shd w:val="clear" w:color="auto" w:fill="auto"/>
              </w:tcPr>
              <w:p w:rsidR="00433D39" w:rsidRPr="00020E73" w:rsidRDefault="00433D39" w:rsidP="004F7D16">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433D39" w:rsidRPr="00020E73" w:rsidRDefault="00433D39" w:rsidP="004F7D16">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433D39" w:rsidRPr="00020E73" w:rsidRDefault="00433D39" w:rsidP="004F7D16">
                <w:pPr>
                  <w:tabs>
                    <w:tab w:val="right" w:pos="8838"/>
                  </w:tabs>
                  <w:ind w:left="-74" w:right="-105"/>
                  <w:jc w:val="both"/>
                  <w:rPr>
                    <w:rFonts w:ascii="Palatino Linotype" w:eastAsia="Calibri" w:hAnsi="Palatino Linotype" w:cs="Tahoma"/>
                    <w:b/>
                    <w:sz w:val="22"/>
                    <w:szCs w:val="22"/>
                    <w:lang w:val="es-ES" w:eastAsia="en-US"/>
                  </w:rPr>
                </w:pPr>
              </w:p>
            </w:tc>
          </w:tr>
        </w:tbl>
        <w:p w:rsidR="00433D39" w:rsidRPr="00330DA7" w:rsidRDefault="00433D39" w:rsidP="004F7D16">
          <w:pPr>
            <w:tabs>
              <w:tab w:val="right" w:pos="8838"/>
            </w:tabs>
            <w:ind w:left="-28"/>
            <w:jc w:val="both"/>
            <w:rPr>
              <w:rFonts w:ascii="Arial" w:eastAsia="Calibri" w:hAnsi="Arial" w:cs="Arial"/>
              <w:b/>
              <w:sz w:val="22"/>
              <w:szCs w:val="22"/>
              <w:lang w:eastAsia="en-US"/>
            </w:rPr>
          </w:pPr>
        </w:p>
      </w:tc>
    </w:tr>
  </w:tbl>
  <w:p w:rsidR="00433D39" w:rsidRPr="00827FA0" w:rsidRDefault="00433D39" w:rsidP="004F7D16">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BE323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F1142C"/>
    <w:multiLevelType w:val="hybridMultilevel"/>
    <w:tmpl w:val="41C0B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5A37D8"/>
    <w:multiLevelType w:val="hybridMultilevel"/>
    <w:tmpl w:val="E36C5D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8061C"/>
    <w:multiLevelType w:val="hybridMultilevel"/>
    <w:tmpl w:val="424E13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25EC106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0839D1"/>
    <w:multiLevelType w:val="hybridMultilevel"/>
    <w:tmpl w:val="69765CEE"/>
    <w:lvl w:ilvl="0" w:tplc="89E0DA48">
      <w:start w:val="1"/>
      <w:numFmt w:val="decimal"/>
      <w:lvlText w:val="%1."/>
      <w:lvlJc w:val="left"/>
      <w:pPr>
        <w:ind w:left="720"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3E70FA"/>
    <w:multiLevelType w:val="hybridMultilevel"/>
    <w:tmpl w:val="0AF6B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77A26326"/>
    <w:multiLevelType w:val="hybridMultilevel"/>
    <w:tmpl w:val="7BFE4A4A"/>
    <w:lvl w:ilvl="0" w:tplc="94E2092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E9449E7"/>
    <w:multiLevelType w:val="hybridMultilevel"/>
    <w:tmpl w:val="2C66CA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4"/>
  </w:num>
  <w:num w:numId="5">
    <w:abstractNumId w:val="11"/>
  </w:num>
  <w:num w:numId="6">
    <w:abstractNumId w:val="10"/>
  </w:num>
  <w:num w:numId="7">
    <w:abstractNumId w:val="17"/>
  </w:num>
  <w:num w:numId="8">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num>
  <w:num w:numId="11">
    <w:abstractNumId w:val="12"/>
  </w:num>
  <w:num w:numId="12">
    <w:abstractNumId w:val="8"/>
  </w:num>
  <w:num w:numId="13">
    <w:abstractNumId w:val="14"/>
  </w:num>
  <w:num w:numId="14">
    <w:abstractNumId w:val="7"/>
  </w:num>
  <w:num w:numId="15">
    <w:abstractNumId w:val="1"/>
  </w:num>
  <w:num w:numId="16">
    <w:abstractNumId w:val="3"/>
  </w:num>
  <w:num w:numId="17">
    <w:abstractNumId w:val="9"/>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8D5"/>
    <w:rsid w:val="00002EBC"/>
    <w:rsid w:val="00004B69"/>
    <w:rsid w:val="00007A3C"/>
    <w:rsid w:val="00060299"/>
    <w:rsid w:val="000C55ED"/>
    <w:rsid w:val="00144AA5"/>
    <w:rsid w:val="001E408A"/>
    <w:rsid w:val="001F185B"/>
    <w:rsid w:val="001F4FE5"/>
    <w:rsid w:val="001F5485"/>
    <w:rsid w:val="00204DE5"/>
    <w:rsid w:val="00214EBE"/>
    <w:rsid w:val="00224576"/>
    <w:rsid w:val="00245FB1"/>
    <w:rsid w:val="00253C5C"/>
    <w:rsid w:val="002A7FC5"/>
    <w:rsid w:val="00337A78"/>
    <w:rsid w:val="00355639"/>
    <w:rsid w:val="00403B7A"/>
    <w:rsid w:val="004138D5"/>
    <w:rsid w:val="00422273"/>
    <w:rsid w:val="00430569"/>
    <w:rsid w:val="00433D39"/>
    <w:rsid w:val="0047279E"/>
    <w:rsid w:val="004E22E4"/>
    <w:rsid w:val="004F3F1A"/>
    <w:rsid w:val="004F7D16"/>
    <w:rsid w:val="00531218"/>
    <w:rsid w:val="0056293D"/>
    <w:rsid w:val="005A72B6"/>
    <w:rsid w:val="005D19A1"/>
    <w:rsid w:val="006456C8"/>
    <w:rsid w:val="00680150"/>
    <w:rsid w:val="006A562C"/>
    <w:rsid w:val="006C387C"/>
    <w:rsid w:val="006E47F8"/>
    <w:rsid w:val="006F7DCF"/>
    <w:rsid w:val="0076643E"/>
    <w:rsid w:val="007B38E3"/>
    <w:rsid w:val="00810950"/>
    <w:rsid w:val="00812ABE"/>
    <w:rsid w:val="00851629"/>
    <w:rsid w:val="00867B90"/>
    <w:rsid w:val="00887D16"/>
    <w:rsid w:val="008B7861"/>
    <w:rsid w:val="008C4BC2"/>
    <w:rsid w:val="0092522A"/>
    <w:rsid w:val="009A018E"/>
    <w:rsid w:val="009D409C"/>
    <w:rsid w:val="00A72096"/>
    <w:rsid w:val="00A763F8"/>
    <w:rsid w:val="00A87215"/>
    <w:rsid w:val="00AD2462"/>
    <w:rsid w:val="00B33A95"/>
    <w:rsid w:val="00B54731"/>
    <w:rsid w:val="00B6153E"/>
    <w:rsid w:val="00B83C7E"/>
    <w:rsid w:val="00BA7742"/>
    <w:rsid w:val="00BE1ECC"/>
    <w:rsid w:val="00BE48D5"/>
    <w:rsid w:val="00C16C8D"/>
    <w:rsid w:val="00C736A9"/>
    <w:rsid w:val="00CC305C"/>
    <w:rsid w:val="00CE4934"/>
    <w:rsid w:val="00D16529"/>
    <w:rsid w:val="00D5646D"/>
    <w:rsid w:val="00D77B01"/>
    <w:rsid w:val="00DB38FD"/>
    <w:rsid w:val="00DD0D7E"/>
    <w:rsid w:val="00E55386"/>
    <w:rsid w:val="00E562A8"/>
    <w:rsid w:val="00EA7D9D"/>
    <w:rsid w:val="00ED0F60"/>
    <w:rsid w:val="00EF4570"/>
    <w:rsid w:val="00F169EF"/>
    <w:rsid w:val="00FB5F95"/>
    <w:rsid w:val="00FE69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50E993E-CA13-4B0A-BAB5-8EAE6419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8D5"/>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BE48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E48D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48D5"/>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BE48D5"/>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BE48D5"/>
    <w:pPr>
      <w:tabs>
        <w:tab w:val="center" w:pos="4419"/>
        <w:tab w:val="right" w:pos="8838"/>
      </w:tabs>
    </w:pPr>
  </w:style>
  <w:style w:type="character" w:customStyle="1" w:styleId="EncabezadoCar">
    <w:name w:val="Encabezado Car"/>
    <w:basedOn w:val="Fuentedeprrafopredeter"/>
    <w:link w:val="Encabezado"/>
    <w:uiPriority w:val="99"/>
    <w:rsid w:val="00BE48D5"/>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BE48D5"/>
    <w:pPr>
      <w:tabs>
        <w:tab w:val="center" w:pos="4419"/>
        <w:tab w:val="right" w:pos="8838"/>
      </w:tabs>
    </w:pPr>
  </w:style>
  <w:style w:type="character" w:customStyle="1" w:styleId="PiedepginaCar">
    <w:name w:val="Pie de página Car"/>
    <w:basedOn w:val="Fuentedeprrafopredeter"/>
    <w:link w:val="Piedepgina"/>
    <w:uiPriority w:val="99"/>
    <w:rsid w:val="00BE48D5"/>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48D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E48D5"/>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BE48D5"/>
    <w:rPr>
      <w:color w:val="0563C1"/>
      <w:u w:val="single"/>
    </w:rPr>
  </w:style>
  <w:style w:type="paragraph" w:styleId="Sinespaciado">
    <w:name w:val="No Spacing"/>
    <w:aliases w:val="Francesa,INAI"/>
    <w:link w:val="SinespaciadoCar"/>
    <w:uiPriority w:val="1"/>
    <w:qFormat/>
    <w:rsid w:val="00BE48D5"/>
    <w:pPr>
      <w:spacing w:after="0" w:line="240" w:lineRule="auto"/>
    </w:pPr>
    <w:rPr>
      <w:lang w:val="es-MX"/>
    </w:rPr>
  </w:style>
  <w:style w:type="character" w:customStyle="1" w:styleId="SinespaciadoCar">
    <w:name w:val="Sin espaciado Car"/>
    <w:aliases w:val="Francesa Car,INAI Car"/>
    <w:link w:val="Sinespaciado"/>
    <w:uiPriority w:val="1"/>
    <w:locked/>
    <w:rsid w:val="00BE48D5"/>
    <w:rPr>
      <w:lang w:val="es-MX"/>
    </w:rPr>
  </w:style>
  <w:style w:type="paragraph" w:styleId="TDC1">
    <w:name w:val="toc 1"/>
    <w:basedOn w:val="Normal"/>
    <w:next w:val="Normal"/>
    <w:autoRedefine/>
    <w:uiPriority w:val="39"/>
    <w:unhideWhenUsed/>
    <w:rsid w:val="00BE48D5"/>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BE48D5"/>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E48D5"/>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E48D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48D5"/>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BE48D5"/>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BE48D5"/>
    <w:pPr>
      <w:spacing w:after="100"/>
      <w:ind w:left="480"/>
    </w:pPr>
  </w:style>
  <w:style w:type="paragraph" w:customStyle="1" w:styleId="Default">
    <w:name w:val="Default"/>
    <w:rsid w:val="00337A78"/>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335090">
      <w:bodyDiv w:val="1"/>
      <w:marLeft w:val="0"/>
      <w:marRight w:val="0"/>
      <w:marTop w:val="0"/>
      <w:marBottom w:val="0"/>
      <w:divBdr>
        <w:top w:val="none" w:sz="0" w:space="0" w:color="auto"/>
        <w:left w:val="none" w:sz="0" w:space="0" w:color="auto"/>
        <w:bottom w:val="none" w:sz="0" w:space="0" w:color="auto"/>
        <w:right w:val="none" w:sz="0" w:space="0" w:color="auto"/>
      </w:divBdr>
    </w:div>
    <w:div w:id="584265895">
      <w:bodyDiv w:val="1"/>
      <w:marLeft w:val="0"/>
      <w:marRight w:val="0"/>
      <w:marTop w:val="0"/>
      <w:marBottom w:val="0"/>
      <w:divBdr>
        <w:top w:val="none" w:sz="0" w:space="0" w:color="auto"/>
        <w:left w:val="none" w:sz="0" w:space="0" w:color="auto"/>
        <w:bottom w:val="none" w:sz="0" w:space="0" w:color="auto"/>
        <w:right w:val="none" w:sz="0" w:space="0" w:color="auto"/>
      </w:divBdr>
    </w:div>
    <w:div w:id="1302733524">
      <w:bodyDiv w:val="1"/>
      <w:marLeft w:val="0"/>
      <w:marRight w:val="0"/>
      <w:marTop w:val="0"/>
      <w:marBottom w:val="0"/>
      <w:divBdr>
        <w:top w:val="none" w:sz="0" w:space="0" w:color="auto"/>
        <w:left w:val="none" w:sz="0" w:space="0" w:color="auto"/>
        <w:bottom w:val="none" w:sz="0" w:space="0" w:color="auto"/>
        <w:right w:val="none" w:sz="0" w:space="0" w:color="auto"/>
      </w:divBdr>
    </w:div>
    <w:div w:id="131340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7672.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aimex.org.mx/saimex/solicitud/downloadAttach/1167021.page"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javascript:AbrirModal(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192194.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16292</Words>
  <Characters>89611</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2021-10-25T18:27:00Z</dcterms:created>
  <dcterms:modified xsi:type="dcterms:W3CDTF">2021-10-25T18:27:00Z</dcterms:modified>
</cp:coreProperties>
</file>