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F74B2BA"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w:t>
      </w:r>
      <w:bookmarkStart w:id="0" w:name="_GoBack"/>
      <w:bookmarkEnd w:id="0"/>
      <w:r w:rsidRPr="00143EC9">
        <w:rPr>
          <w:rFonts w:ascii="Palatino Linotype" w:hAnsi="Palatino Linotype"/>
        </w:rPr>
        <w:t xml:space="preserve">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F4119D">
        <w:rPr>
          <w:rFonts w:ascii="Palatino Linotype" w:hAnsi="Palatino Linotype"/>
        </w:rPr>
        <w:t>veintisiete de octubre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3BFEF168"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8D3054">
        <w:rPr>
          <w:rFonts w:ascii="Palatino Linotype" w:eastAsiaTheme="minorEastAsia" w:hAnsi="Palatino Linotype" w:cs="Arial"/>
          <w:b/>
          <w:bCs/>
          <w:sz w:val="22"/>
          <w:szCs w:val="22"/>
          <w:lang w:val="es-MX"/>
        </w:rPr>
        <w:t>04399/INFOEM/IP/RR/2021</w:t>
      </w:r>
      <w:r w:rsidR="003C4F18" w:rsidRPr="00143EC9">
        <w:rPr>
          <w:rFonts w:ascii="Palatino Linotype" w:hAnsi="Palatino Linotype" w:cs="Arial"/>
        </w:rPr>
        <w:t xml:space="preserve">, interpuesto por </w:t>
      </w:r>
      <w:r w:rsidR="000D39C7">
        <w:rPr>
          <w:rFonts w:ascii="Palatino Linotype" w:hAnsi="Palatino Linotype" w:cs="Arial"/>
          <w:b/>
        </w:rPr>
        <w:t>XXXXXXXXX</w:t>
      </w:r>
      <w:r w:rsidR="008D3054">
        <w:rPr>
          <w:rFonts w:ascii="Palatino Linotype" w:hAnsi="Palatino Linotype" w:cs="Arial"/>
          <w:b/>
        </w:rPr>
        <w:t xml:space="preserve"> </w:t>
      </w:r>
      <w:proofErr w:type="spellStart"/>
      <w:r w:rsidR="000D39C7">
        <w:rPr>
          <w:rFonts w:ascii="Palatino Linotype" w:hAnsi="Palatino Linotype" w:cs="Arial"/>
          <w:b/>
        </w:rPr>
        <w:t>XXXXXXXXX</w:t>
      </w:r>
      <w:proofErr w:type="spellEnd"/>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8D3054">
        <w:rPr>
          <w:rFonts w:ascii="Palatino Linotype" w:eastAsiaTheme="minorEastAsia" w:hAnsi="Palatino Linotype" w:cs="Arial"/>
          <w:b/>
          <w:sz w:val="22"/>
          <w:szCs w:val="22"/>
          <w:lang w:val="es-MX"/>
        </w:rPr>
        <w:t>00117/LERMA/IP/2021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8D3054">
        <w:rPr>
          <w:rFonts w:ascii="Palatino Linotype" w:eastAsiaTheme="minorEastAsia" w:hAnsi="Palatino Linotype" w:cs="Arial"/>
          <w:b/>
          <w:lang w:val="es-MX"/>
        </w:rPr>
        <w:t>Ayuntamiento de Lerma</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4A7D4197"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8D3054">
        <w:rPr>
          <w:rFonts w:ascii="Palatino Linotype" w:hAnsi="Palatino Linotype" w:cs="Arial"/>
        </w:rPr>
        <w:t>siete de julio d</w:t>
      </w:r>
      <w:r w:rsidR="000C1F3B">
        <w:rPr>
          <w:rFonts w:ascii="Palatino Linotype" w:hAnsi="Palatino Linotype" w:cs="Arial"/>
        </w:rPr>
        <w:t>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l</w:t>
      </w:r>
      <w:r w:rsidR="008D3054">
        <w:rPr>
          <w:rFonts w:ascii="Palatino Linotype" w:hAnsi="Palatino Linotype" w:cs="Arial"/>
        </w:rPr>
        <w:t>a</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769B70E6"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8D3054" w:rsidRPr="008D3054">
        <w:rPr>
          <w:rFonts w:ascii="Palatino Linotype" w:hAnsi="Palatino Linotype"/>
          <w:i/>
          <w:color w:val="000000"/>
        </w:rPr>
        <w:t>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las reglas de operación de los programas municipales.</w:t>
      </w:r>
      <w:r w:rsidRPr="00143EC9">
        <w:rPr>
          <w:rFonts w:ascii="Palatino Linotype" w:hAnsi="Palatino Linotype" w:cs="Arial"/>
          <w:i/>
        </w:rPr>
        <w:t>”</w:t>
      </w:r>
      <w:r w:rsidR="00C673D1" w:rsidRPr="00143EC9">
        <w:rPr>
          <w:rFonts w:ascii="Palatino Linotype" w:hAnsi="Palatino Linotype" w:cs="Arial"/>
          <w:i/>
        </w:rPr>
        <w:t xml:space="preserve"> (</w:t>
      </w:r>
      <w:proofErr w:type="gramStart"/>
      <w:r w:rsidR="00C673D1" w:rsidRPr="00143EC9">
        <w:rPr>
          <w:rFonts w:ascii="Palatino Linotype" w:hAnsi="Palatino Linotype" w:cs="Arial"/>
          <w:i/>
        </w:rPr>
        <w:t>sic</w:t>
      </w:r>
      <w:proofErr w:type="gramEnd"/>
      <w:r w:rsidR="00C673D1" w:rsidRPr="00143EC9">
        <w:rPr>
          <w:rFonts w:ascii="Palatino Linotype" w:hAnsi="Palatino Linotype" w:cs="Arial"/>
          <w:i/>
        </w:rPr>
        <w:t>)</w:t>
      </w:r>
    </w:p>
    <w:p w14:paraId="649BFEDD" w14:textId="3C020CD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lastRenderedPageBreak/>
        <w:t>El solicitante indicó 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3C3661F6"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8D3054">
        <w:rPr>
          <w:rFonts w:ascii="Palatino Linotype" w:hAnsi="Palatino Linotype" w:cs="Arial"/>
        </w:rPr>
        <w:t>once</w:t>
      </w:r>
      <w:r w:rsidR="009D502E">
        <w:rPr>
          <w:rFonts w:ascii="Palatino Linotype" w:hAnsi="Palatino Linotype" w:cs="Arial"/>
        </w:rPr>
        <w:t xml:space="preserve"> de agosto</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558717D5" w:rsidR="00543F2A" w:rsidRPr="00143EC9"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8D3054" w:rsidRPr="008D3054">
        <w:rPr>
          <w:rFonts w:ascii="Palatino Linotype" w:hAnsi="Palatino Linotype"/>
          <w:i/>
          <w:color w:val="000000"/>
        </w:rPr>
        <w:t>En atención y respuesta a su solicitud y una vez realizadas las gestiones necesarias ante la Dirección de Desarrollo Humano, he de comentarle que hasta el momento la información de su interés no se ha generado ni se posee por parte de este Sujeto Obligado.</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7056C445" w14:textId="42AD76E9"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8D3054">
        <w:rPr>
          <w:rFonts w:ascii="Palatino Linotype" w:hAnsi="Palatino Linotype" w:cs="Arial"/>
        </w:rPr>
        <w:t>primero de septiembre</w:t>
      </w:r>
      <w:r w:rsidR="00547B11">
        <w:rPr>
          <w:rFonts w:ascii="Palatino Linotype" w:hAnsi="Palatino Linotype" w:cs="Arial"/>
        </w:rPr>
        <w:t xml:space="preserve"> 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5B41AF62" w:rsidR="00FC3695" w:rsidRPr="008D3054" w:rsidRDefault="00FC3695" w:rsidP="008D3054">
      <w:pPr>
        <w:spacing w:before="240" w:after="240" w:line="360" w:lineRule="auto"/>
        <w:ind w:left="851" w:right="902"/>
        <w:jc w:val="both"/>
        <w:rPr>
          <w:lang w:val="es-MX" w:eastAsia="es-MX"/>
        </w:rPr>
      </w:pPr>
      <w:r w:rsidRPr="008D3054">
        <w:rPr>
          <w:rFonts w:ascii="Palatino Linotype" w:eastAsiaTheme="minorEastAsia" w:hAnsi="Palatino Linotype" w:cs="Arial"/>
          <w:lang w:val="es-MX"/>
        </w:rPr>
        <w:t>“</w:t>
      </w:r>
      <w:r w:rsidR="008D3054" w:rsidRPr="008D3054">
        <w:rPr>
          <w:rFonts w:ascii="Palatino Linotype" w:hAnsi="Palatino Linotype"/>
          <w:lang w:val="es-MX" w:eastAsia="es-MX"/>
        </w:rPr>
        <w:t>Respuesta al Folio de la solicitud: 00117/LERMA/IP/2021</w:t>
      </w:r>
      <w:proofErr w:type="gramStart"/>
      <w:r w:rsidRPr="008D3054">
        <w:rPr>
          <w:rFonts w:ascii="Palatino Linotype" w:hAnsi="Palatino Linotype" w:cs="Arial"/>
          <w:b/>
        </w:rPr>
        <w:t>”</w:t>
      </w:r>
      <w:r w:rsidR="009F704F" w:rsidRPr="008D3054">
        <w:rPr>
          <w:rFonts w:ascii="Palatino Linotype" w:hAnsi="Palatino Linotype" w:cs="Arial"/>
          <w:b/>
        </w:rPr>
        <w:t xml:space="preserve">  </w:t>
      </w:r>
      <w:r w:rsidR="009F704F" w:rsidRPr="00143EC9">
        <w:rPr>
          <w:rFonts w:ascii="Palatino Linotype" w:hAnsi="Palatino Linotype" w:cs="Arial"/>
        </w:rPr>
        <w:t>(</w:t>
      </w:r>
      <w:proofErr w:type="gramEnd"/>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73CC72A9"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r w:rsidR="008D3054" w:rsidRPr="008D3054">
        <w:rPr>
          <w:rFonts w:ascii="Palatino Linotype" w:hAnsi="Palatino Linotype"/>
          <w:i/>
          <w:color w:val="000000"/>
        </w:rPr>
        <w:t xml:space="preserve">Folio de la solicitud: 00117/LERMA/IP/2021 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w:t>
      </w:r>
      <w:r w:rsidR="008D3054" w:rsidRPr="008D3054">
        <w:rPr>
          <w:rFonts w:ascii="Palatino Linotype" w:hAnsi="Palatino Linotype"/>
          <w:i/>
          <w:color w:val="000000"/>
        </w:rPr>
        <w:lastRenderedPageBreak/>
        <w:t xml:space="preserve">sujeto obligado con su respuesta pretende engañar y ofuscar la buena fe del solicitante y del propio órgano garante que tutela mi derecho de </w:t>
      </w:r>
      <w:proofErr w:type="spellStart"/>
      <w:r w:rsidR="008D3054" w:rsidRPr="008D3054">
        <w:rPr>
          <w:rFonts w:ascii="Palatino Linotype" w:hAnsi="Palatino Linotype"/>
          <w:i/>
          <w:color w:val="000000"/>
        </w:rPr>
        <w:t>accesar</w:t>
      </w:r>
      <w:proofErr w:type="spellEnd"/>
      <w:r w:rsidR="008D3054" w:rsidRPr="008D3054">
        <w:rPr>
          <w:rFonts w:ascii="Palatino Linotype" w:hAnsi="Palatino Linotype"/>
          <w:i/>
          <w:color w:val="000000"/>
        </w:rPr>
        <w:t xml:space="preserve"> a la información pública solicitada, por lo que en general la respuesta del sujeto obligado no colma la pretensión del suscrito. En su respuesta, el Sujeto Obligado hace del conocimiento al Solicitante que “En atención y respuesta a su solicitud y una vez realizadas las gestiones necesarias ante 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SU BANDO MUNICIPAL DE LERMA 2019, 2020 Y 2021 (CAPÍTULO III EN MATERIA DE LA VINCULACIÓN CON PROGRAMAS SOCIALES ARTÍCULO 59)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w:t>
      </w:r>
      <w:r w:rsidR="008D3054" w:rsidRPr="008D3054">
        <w:rPr>
          <w:rFonts w:ascii="Palatino Linotype" w:hAnsi="Palatino Linotype"/>
          <w:i/>
          <w:color w:val="000000"/>
        </w:rPr>
        <w:lastRenderedPageBreak/>
        <w:t>flagrante violación a la Ley de Responsabilidades Administrativas del Estado de México y Municipios, así como de la Ley de Transparencia y Acceso a la Información Pública del Estado de México y Municipios. Por lo que este Órgano Garante debe pronunciarse en favor de que el Sujeto Obligado asuma total y legalmente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 Por tanto es de concluirse que el Sujeto Obligado no colmó en lo más mínimo mi derecho de acceso a la información pública, incumpliendo lo establecido en la Ley de la Materia, resultando procedente que este Órgano Garante revoque la respuesta a la solicitud del suscrito, ordenando se me entregue información requerida en mi solicitud primigenia. Gracias. ATENTAMENTE</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(sic)</w:t>
      </w:r>
    </w:p>
    <w:p w14:paraId="1D62F603" w14:textId="094CD1A9"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43EC9">
        <w:rPr>
          <w:rFonts w:ascii="Palatino Linotype" w:hAnsi="Palatino Linotype" w:cs="Arial"/>
        </w:rPr>
        <w:t>por razón de turno fue asignado a</w:t>
      </w:r>
      <w:r w:rsidR="006A5D67">
        <w:rPr>
          <w:rFonts w:ascii="Palatino Linotype" w:hAnsi="Palatino Linotype" w:cs="Arial"/>
        </w:rPr>
        <w:t xml:space="preserve"> la</w:t>
      </w:r>
      <w:r w:rsidR="00D41D70" w:rsidRPr="00143EC9">
        <w:rPr>
          <w:rFonts w:ascii="Palatino Linotype" w:eastAsia="Calibri" w:hAnsi="Palatino Linotype" w:cs="Arial"/>
        </w:rPr>
        <w:t xml:space="preserve"> </w:t>
      </w:r>
      <w:r w:rsidR="00D41D70" w:rsidRPr="00143EC9">
        <w:rPr>
          <w:rFonts w:ascii="Palatino Linotype" w:eastAsia="Calibri" w:hAnsi="Palatino Linotype" w:cs="Arial"/>
        </w:rPr>
        <w:lastRenderedPageBreak/>
        <w:t>Comisionad</w:t>
      </w:r>
      <w:r w:rsidR="006A5D67">
        <w:rPr>
          <w:rFonts w:ascii="Palatino Linotype" w:eastAsia="Calibri" w:hAnsi="Palatino Linotype" w:cs="Arial"/>
        </w:rPr>
        <w:t>a</w:t>
      </w:r>
      <w:r w:rsidR="00D41D70" w:rsidRPr="00143EC9">
        <w:rPr>
          <w:rFonts w:ascii="Palatino Linotype" w:eastAsia="Calibri" w:hAnsi="Palatino Linotype" w:cs="Arial"/>
        </w:rPr>
        <w:t xml:space="preserve"> </w:t>
      </w:r>
      <w:r w:rsidR="006A5D67">
        <w:rPr>
          <w:rFonts w:ascii="Palatino Linotype" w:eastAsia="Calibri" w:hAnsi="Palatino Linotype" w:cs="Arial"/>
          <w:b/>
        </w:rPr>
        <w:t>Guadalupe Ramírez Peña</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10E20A92"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Mediante auto de fecha</w:t>
      </w:r>
      <w:r w:rsidR="009D502E">
        <w:rPr>
          <w:rFonts w:ascii="Palatino Linotype" w:hAnsi="Palatino Linotype" w:cs="Arial"/>
        </w:rPr>
        <w:t xml:space="preserve"> </w:t>
      </w:r>
      <w:r w:rsidR="006A5D67">
        <w:rPr>
          <w:rFonts w:ascii="Palatino Linotype" w:hAnsi="Palatino Linotype" w:cs="Arial"/>
        </w:rPr>
        <w:t xml:space="preserve">quince de septiembre del </w:t>
      </w:r>
      <w:r w:rsidR="00547B11">
        <w:rPr>
          <w:rFonts w:ascii="Palatino Linotype" w:hAnsi="Palatino Linotype" w:cs="Arial"/>
        </w:rPr>
        <w:t>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43E56CED" w14:textId="53908A8A" w:rsidR="009D502E" w:rsidRPr="00A4521A" w:rsidRDefault="00543F2A" w:rsidP="009D502E">
      <w:pPr>
        <w:spacing w:before="240" w:after="240" w:line="360" w:lineRule="auto"/>
        <w:jc w:val="both"/>
        <w:rPr>
          <w:rFonts w:ascii="Palatino Linotype" w:eastAsia="Calibri" w:hAnsi="Palatino Linotype" w:cs="Arial"/>
        </w:rPr>
      </w:pPr>
      <w:r w:rsidRPr="00143EC9">
        <w:rPr>
          <w:rFonts w:ascii="Palatino Linotype" w:hAnsi="Palatino Linotype" w:cs="Arial"/>
          <w:b/>
          <w:sz w:val="28"/>
          <w:szCs w:val="28"/>
        </w:rPr>
        <w:t>6</w:t>
      </w:r>
      <w:r w:rsidR="004E4987" w:rsidRPr="00143EC9">
        <w:rPr>
          <w:rFonts w:ascii="Palatino Linotype" w:hAnsi="Palatino Linotype" w:cs="Arial"/>
          <w:b/>
          <w:sz w:val="28"/>
          <w:szCs w:val="28"/>
        </w:rPr>
        <w:t>. Manifestaciones.</w:t>
      </w:r>
      <w:r w:rsidR="004E4987" w:rsidRPr="00143EC9">
        <w:t xml:space="preserve"> </w:t>
      </w:r>
      <w:r w:rsidR="009D502E" w:rsidRPr="00A4521A">
        <w:rPr>
          <w:rFonts w:ascii="Palatino Linotype" w:hAnsi="Palatino Linotype"/>
        </w:rPr>
        <w:t>De las constancias del expediente electrónico del</w:t>
      </w:r>
      <w:r w:rsidR="009D502E" w:rsidRPr="00A4521A">
        <w:rPr>
          <w:rFonts w:ascii="Palatino Linotype" w:hAnsi="Palatino Linotype" w:cs="Arial"/>
          <w:b/>
        </w:rPr>
        <w:t xml:space="preserve"> SAIMEX</w:t>
      </w:r>
      <w:r w:rsidR="009D502E" w:rsidRPr="00A4521A">
        <w:rPr>
          <w:rFonts w:ascii="Palatino Linotype" w:hAnsi="Palatino Linotype"/>
        </w:rPr>
        <w:t>, se observa que las partes</w:t>
      </w:r>
      <w:r w:rsidR="009D502E" w:rsidRPr="00A4521A">
        <w:rPr>
          <w:rFonts w:ascii="Palatino Linotype" w:eastAsia="Calibri" w:hAnsi="Palatino Linotype" w:cs="Arial"/>
          <w:b/>
          <w:i/>
        </w:rPr>
        <w:t xml:space="preserve"> </w:t>
      </w:r>
      <w:r w:rsidR="009D502E" w:rsidRPr="00A4521A">
        <w:rPr>
          <w:rFonts w:ascii="Palatino Linotype" w:eastAsia="Calibri" w:hAnsi="Palatino Linotype" w:cs="Arial"/>
        </w:rPr>
        <w:t>fueron omisas en presentar sus alegatos o manifestaciones que a su derecho correspondieran, en plazo previsto para ello.</w:t>
      </w:r>
    </w:p>
    <w:p w14:paraId="5126E0CC" w14:textId="1DD5BAAF" w:rsidR="006031FE" w:rsidRPr="00143EC9" w:rsidRDefault="00543F2A" w:rsidP="009D502E">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6A5D67">
        <w:rPr>
          <w:rFonts w:ascii="Palatino Linotype" w:hAnsi="Palatino Linotype"/>
        </w:rPr>
        <w:t>veintiuno</w:t>
      </w:r>
      <w:r w:rsidR="00547B11">
        <w:rPr>
          <w:rFonts w:ascii="Palatino Linotype" w:hAnsi="Palatino Linotype"/>
        </w:rPr>
        <w:t xml:space="preserve"> de </w:t>
      </w:r>
      <w:r w:rsidR="003B7752">
        <w:rPr>
          <w:rFonts w:ascii="Palatino Linotype" w:hAnsi="Palatino Linotype"/>
        </w:rPr>
        <w:t>octubre</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50F4AAD6"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w:t>
      </w:r>
      <w:r w:rsidR="00A5404F" w:rsidRPr="00143EC9">
        <w:rPr>
          <w:rFonts w:ascii="Palatino Linotype" w:hAnsi="Palatino Linotype"/>
          <w:shd w:val="clear" w:color="auto" w:fill="FFFFFF"/>
        </w:rPr>
        <w:lastRenderedPageBreak/>
        <w:t xml:space="preserve">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411E87">
        <w:rPr>
          <w:rFonts w:ascii="Palatino Linotype" w:hAnsi="Palatino Linotype"/>
          <w:shd w:val="clear" w:color="auto" w:fill="FFFFFF"/>
        </w:rPr>
        <w:t>trigésimo, trigésimo primero y trigésimo segundo, f</w:t>
      </w:r>
      <w:r w:rsidR="002642D4" w:rsidRPr="00143EC9">
        <w:rPr>
          <w:rFonts w:ascii="Palatino Linotype" w:hAnsi="Palatino Linotype"/>
          <w:shd w:val="clear" w:color="auto" w:fill="FFFFFF"/>
        </w:rPr>
        <w:t xml:space="preserve">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w:t>
      </w:r>
      <w:proofErr w:type="spellStart"/>
      <w:r w:rsidR="00DC752F" w:rsidRPr="00143EC9">
        <w:rPr>
          <w:rFonts w:ascii="Palatino Linotype" w:hAnsi="Palatino Linotype" w:cs="Arial"/>
          <w:b/>
          <w:sz w:val="28"/>
          <w:szCs w:val="28"/>
        </w:rPr>
        <w:t>Procediblidad</w:t>
      </w:r>
      <w:proofErr w:type="spellEnd"/>
      <w:r w:rsidR="00DC752F" w:rsidRPr="00143EC9">
        <w:rPr>
          <w:rFonts w:ascii="Palatino Linotype" w:hAnsi="Palatino Linotype" w:cs="Arial"/>
          <w:b/>
          <w:sz w:val="28"/>
          <w:szCs w:val="28"/>
        </w:rPr>
        <w:t xml:space="preserve">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proofErr w:type="spellStart"/>
      <w:r w:rsidR="00A9255B" w:rsidRPr="00143EC9">
        <w:rPr>
          <w:rFonts w:ascii="Palatino Linotype" w:hAnsi="Palatino Linotype" w:cs="Arial"/>
        </w:rPr>
        <w:t>procedibilidad</w:t>
      </w:r>
      <w:proofErr w:type="spellEnd"/>
      <w:r w:rsidR="00A9255B" w:rsidRPr="00143EC9">
        <w:rPr>
          <w:rFonts w:ascii="Palatino Linotype" w:hAnsi="Palatino Linotype" w:cs="Arial"/>
        </w:rPr>
        <w:t xml:space="preserve">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4382AE96"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0D3E7D">
        <w:rPr>
          <w:rFonts w:ascii="Palatino Linotype" w:hAnsi="Palatino Linotype" w:cs="Arial"/>
        </w:rPr>
        <w:t>once</w:t>
      </w:r>
      <w:r w:rsidR="005F10CF">
        <w:rPr>
          <w:rFonts w:ascii="Palatino Linotype" w:hAnsi="Palatino Linotype" w:cs="Arial"/>
        </w:rPr>
        <w:t xml:space="preserve"> de agosto</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0D3E7D">
        <w:rPr>
          <w:rFonts w:ascii="Palatino Linotype" w:hAnsi="Palatino Linotype" w:cs="Arial"/>
        </w:rPr>
        <w:t>primero de septiembre del mismo</w:t>
      </w:r>
      <w:r w:rsidR="00952606">
        <w:rPr>
          <w:rFonts w:ascii="Palatino Linotype" w:hAnsi="Palatino Linotype" w:cs="Arial"/>
        </w:rPr>
        <w:t xml:space="preserve"> 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xml:space="preserve">; así como, en la que se interpuso el recurso </w:t>
      </w:r>
      <w:r w:rsidRPr="00143EC9">
        <w:rPr>
          <w:rFonts w:ascii="Palatino Linotype" w:hAnsi="Palatino Linotype" w:cs="Arial"/>
        </w:rPr>
        <w:lastRenderedPageBreak/>
        <w:t>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7F70BC7" w14:textId="77777777" w:rsidR="00332143" w:rsidRPr="00143EC9" w:rsidRDefault="00332143" w:rsidP="00332143">
      <w:pPr>
        <w:spacing w:before="240" w:after="240" w:line="360" w:lineRule="auto"/>
        <w:jc w:val="both"/>
        <w:rPr>
          <w:rStyle w:val="normaltextrun"/>
          <w:rFonts w:ascii="Palatino Linotype" w:hAnsi="Palatino Linotype" w:cs="Segoe UI"/>
        </w:rPr>
      </w:pPr>
      <w:r w:rsidRPr="00143EC9">
        <w:rPr>
          <w:rFonts w:ascii="Palatino Linotype" w:hAnsi="Palatino Linotype" w:cs="Arial"/>
        </w:rPr>
        <w:t xml:space="preserve">Así también, por cuanto hace a la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del recurso de revisión una vez realizado el análisis del formato de interposición</w:t>
      </w:r>
      <w:r w:rsidRPr="00143EC9">
        <w:rPr>
          <w:rStyle w:val="normaltextrun"/>
          <w:rFonts w:ascii="Palatino Linotype" w:hAnsi="Palatino Linotype" w:cs="Segoe UI"/>
        </w:rPr>
        <w:t xml:space="preserve"> del recurso, se advierte que el artículo 180 de la</w:t>
      </w:r>
      <w:r w:rsidRPr="00143EC9">
        <w:rPr>
          <w:rStyle w:val="apple-converted-space"/>
          <w:rFonts w:ascii="Palatino Linotype" w:eastAsiaTheme="minorHAnsi" w:hAnsi="Palatino Linotype" w:cs="Segoe UI"/>
        </w:rPr>
        <w:t> </w:t>
      </w:r>
      <w:r w:rsidRPr="00143EC9">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4B8B8D29"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b/>
          <w:i/>
          <w:sz w:val="20"/>
        </w:rPr>
        <w:t>“Artículo 180.</w:t>
      </w:r>
      <w:r w:rsidRPr="00143EC9">
        <w:rPr>
          <w:rFonts w:ascii="Palatino Linotype" w:hAnsi="Palatino Linotype" w:cs="Arial"/>
          <w:i/>
          <w:sz w:val="20"/>
        </w:rPr>
        <w:t xml:space="preserve"> El recurso de revisión contendrá: </w:t>
      </w:r>
    </w:p>
    <w:p w14:paraId="43B33CC1" w14:textId="77777777" w:rsidR="00332143" w:rsidRPr="00143EC9" w:rsidRDefault="00332143" w:rsidP="00332143">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w:t>
      </w:r>
    </w:p>
    <w:p w14:paraId="4E2E904E" w14:textId="77777777" w:rsidR="00332143" w:rsidRPr="00143EC9" w:rsidRDefault="00332143" w:rsidP="00332143">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6B62D22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49252FDB"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En caso de que el recurso se interponga de manera electrónica no será indispensable que contengan los requisitos establecidos en las fracciones II, IV, VII y VIII.”</w:t>
      </w:r>
    </w:p>
    <w:p w14:paraId="32A9D0FB" w14:textId="77777777" w:rsidR="00332143" w:rsidRPr="00143EC9" w:rsidRDefault="00332143" w:rsidP="00332143">
      <w:pPr>
        <w:spacing w:before="240" w:after="240" w:line="360" w:lineRule="auto"/>
        <w:jc w:val="both"/>
        <w:rPr>
          <w:rStyle w:val="normaltextrun"/>
          <w:rFonts w:ascii="Palatino Linotype" w:hAnsi="Palatino Linotype" w:cs="Segoe UI"/>
        </w:rPr>
      </w:pPr>
      <w:r w:rsidRPr="00143EC9">
        <w:rPr>
          <w:rStyle w:val="normaltextrun"/>
          <w:rFonts w:ascii="Palatino Linotype" w:hAnsi="Palatino Linotype" w:cs="Segoe UI"/>
        </w:rPr>
        <w:t>Por su parte, el artículo 181 del citado ordenamiento dispone, que:</w:t>
      </w:r>
    </w:p>
    <w:p w14:paraId="37C300A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b/>
          <w:i/>
          <w:sz w:val="20"/>
          <w:szCs w:val="20"/>
        </w:rPr>
        <w:t>“Artículo 181.</w:t>
      </w:r>
      <w:r w:rsidRPr="00143EC9">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4EFCEDD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583D55E1"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4146D7B"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5EB8F23B" w14:textId="77777777" w:rsidR="00332143" w:rsidRPr="00143EC9" w:rsidRDefault="00332143" w:rsidP="00332143">
      <w:pPr>
        <w:spacing w:after="120"/>
        <w:ind w:left="851" w:right="902"/>
        <w:jc w:val="both"/>
        <w:rPr>
          <w:rStyle w:val="normaltextrun"/>
          <w:rFonts w:ascii="Palatino Linotype" w:hAnsi="Palatino Linotype" w:cs="Segoe UI"/>
          <w:sz w:val="20"/>
          <w:szCs w:val="20"/>
        </w:rPr>
      </w:pPr>
      <w:r w:rsidRPr="00143EC9">
        <w:rPr>
          <w:rFonts w:ascii="Palatino Linotype" w:hAnsi="Palatino Linotype" w:cs="Arial"/>
          <w:i/>
          <w:sz w:val="20"/>
          <w:szCs w:val="20"/>
        </w:rPr>
        <w:lastRenderedPageBreak/>
        <w:t>Para el caso de interposición del recurso de revisión a través de la Plataforma Nacional o la plataforma que para tales efectos habilite el Instituto, éste podrá solicitar al particular subsane las deficiencias por ese medio.”</w:t>
      </w:r>
    </w:p>
    <w:p w14:paraId="7831A682"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23CDCAB4" w14:textId="499C3E8F"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Sobre el particular, de la revisión al expediente electrónico del SAIMEX se desprende que la parte solicitante, en ejercicio de su derecho de acceso a la información pública, y ahora recurrente</w:t>
      </w:r>
      <w:r w:rsidR="009E5C9D" w:rsidRPr="00143EC9">
        <w:rPr>
          <w:rFonts w:ascii="Palatino Linotype" w:hAnsi="Palatino Linotype" w:cs="Arial"/>
        </w:rPr>
        <w:t xml:space="preserve">, </w:t>
      </w:r>
      <w:r w:rsidR="009E5C9D">
        <w:rPr>
          <w:rFonts w:ascii="Palatino Linotype" w:hAnsi="Palatino Linotype" w:cs="Arial"/>
        </w:rPr>
        <w:t>proporcionó</w:t>
      </w:r>
      <w:r>
        <w:rPr>
          <w:rFonts w:ascii="Palatino Linotype" w:hAnsi="Palatino Linotype" w:cs="Arial"/>
        </w:rPr>
        <w:t xml:space="preserve"> nombre y apel</w:t>
      </w:r>
      <w:r w:rsidRPr="00143EC9">
        <w:rPr>
          <w:rFonts w:ascii="Palatino Linotype" w:hAnsi="Palatino Linotype" w:cs="Arial"/>
        </w:rPr>
        <w:t>lido paterno</w:t>
      </w:r>
      <w:r>
        <w:rPr>
          <w:rFonts w:ascii="Palatino Linotype" w:hAnsi="Palatino Linotype" w:cs="Arial"/>
        </w:rPr>
        <w:t>, pero no así el materno</w:t>
      </w:r>
      <w:r w:rsidRPr="00143EC9">
        <w:rPr>
          <w:rFonts w:ascii="Palatino Linotype" w:hAnsi="Palatino Linotype" w:cs="Arial"/>
        </w:rPr>
        <w:t>, por ende, no se tiene certeza sobre su identidad, lo que en estricto sentido provoca que no se colmen los requisitos establecidos en el citado artículo 180 de la Ley de Transparencia.</w:t>
      </w:r>
    </w:p>
    <w:p w14:paraId="28E63070"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Empero lo anterior, debe destacarse que el artículo 15 de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iCs/>
        </w:rPr>
        <w:t xml:space="preserve">prevé que </w:t>
      </w:r>
      <w:r w:rsidRPr="00143EC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3EC9">
        <w:rPr>
          <w:rFonts w:ascii="Palatino Linotype" w:hAnsi="Palatino Linotype" w:cs="Arial"/>
          <w:i/>
        </w:rPr>
        <w:t>sine qua non</w:t>
      </w:r>
      <w:r w:rsidRPr="00143EC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21DCF262"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Correlativo a ello, cabe mencionar que los artículos 6, apartado A, fracciones I, II, III y IV de la Constitución Política de los Estados Unidos Mexicanos y 5 vigésimo </w:t>
      </w:r>
      <w:r w:rsidRPr="00143EC9">
        <w:rPr>
          <w:rFonts w:ascii="Palatino Linotype" w:hAnsi="Palatino Linotype" w:cs="Arial"/>
        </w:rPr>
        <w:lastRenderedPageBreak/>
        <w:t>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44B6E32"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CF50C6"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485AA940"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Para efectos de lo dispuesto en el presente artículo se observará lo siguiente: </w:t>
      </w:r>
    </w:p>
    <w:p w14:paraId="591BD69D"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1C052120"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D4852C"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73059377"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37F73C0F"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22C7E0CB"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“Artículo 5.- En el Estado de México todos los individuos son iguales y tienen las libertades, derechos y garantías que la Constitución Federal, esta Constitución, los </w:t>
      </w:r>
      <w:r w:rsidRPr="00143EC9">
        <w:rPr>
          <w:rFonts w:ascii="Palatino Linotype" w:hAnsi="Palatino Linotype" w:cs="Arial"/>
          <w:i/>
          <w:sz w:val="20"/>
        </w:rPr>
        <w:lastRenderedPageBreak/>
        <w:t>Tratados Internacionales en materia de derechos fundamentales de los que el Estado Mexicano sea parte y las leyes del Estado establecen.</w:t>
      </w:r>
    </w:p>
    <w:p w14:paraId="6907A150"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64C46489"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D51B9E1"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Este derecho se regirá por los principios y bases siguientes:</w:t>
      </w:r>
    </w:p>
    <w:p w14:paraId="2354CBF9"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21E421"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3A398335"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4B6B4B17"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6E2C8C17"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E074D49"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Por otra parte, del contenido del artículo 1 de la Constitución Política de los Estados Unidos Mexicanos, se destaca lo siguiente:</w:t>
      </w:r>
    </w:p>
    <w:p w14:paraId="392CB7F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9A85C1"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lastRenderedPageBreak/>
        <w:t>Las normas relativas a los derechos humanos se interpretarán de conformidad con esta Constitución y con los tratados internacionales de la materia favoreciendo en todo tiempo a las personas la protección más amplia.</w:t>
      </w:r>
    </w:p>
    <w:p w14:paraId="5A09FCBA"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314D93"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79F0B9"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Robustece lo anterior, el Criterio 6/2014 del entonces Instituto Federal de Acceso a la Información y Protección de Datos, el cual se reproduce para una mayor referencia:</w:t>
      </w:r>
    </w:p>
    <w:p w14:paraId="5314A766"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2"/>
        </w:rPr>
      </w:pPr>
      <w:r w:rsidRPr="00143EC9">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A66C4C0"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ese orden de ideas, se estima que el requerimiento relativo al nombre como presupuesto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podría limitar el ejercicio del derecho de acceso a la </w:t>
      </w:r>
      <w:r w:rsidRPr="00143EC9">
        <w:rPr>
          <w:rFonts w:ascii="Palatino Linotype" w:hAnsi="Palatino Linotype" w:cs="Arial"/>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396EBA4"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FDAD004"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42A5290" w14:textId="343E41F1"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lastRenderedPageBreak/>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3A7920">
        <w:rPr>
          <w:rStyle w:val="apple-converted-space"/>
          <w:rFonts w:ascii="Palatino Linotype" w:eastAsiaTheme="minorHAnsi" w:hAnsi="Palatino Linotype" w:cs="Segoe UI"/>
        </w:rPr>
        <w:t>I</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 xml:space="preserve">El recurso de </w:t>
      </w:r>
      <w:proofErr w:type="gramStart"/>
      <w:r w:rsidRPr="00143EC9">
        <w:rPr>
          <w:rStyle w:val="normaltextrun"/>
          <w:rFonts w:ascii="Palatino Linotype" w:hAnsi="Palatino Linotype" w:cs="Segoe UI"/>
          <w:bCs/>
          <w:i/>
          <w:sz w:val="20"/>
          <w:szCs w:val="22"/>
        </w:rPr>
        <w:t>revisión  es</w:t>
      </w:r>
      <w:proofErr w:type="gramEnd"/>
      <w:r w:rsidRPr="00143EC9">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2B0B0C58" w14:textId="5FD2C78C" w:rsidR="00C77922" w:rsidRPr="00AE3D8F" w:rsidRDefault="00AE3D8F" w:rsidP="00AE3D8F">
      <w:pPr>
        <w:ind w:left="1134"/>
        <w:jc w:val="both"/>
        <w:rPr>
          <w:rFonts w:ascii="Palatino Linotype" w:hAnsi="Palatino Linotype"/>
          <w:b/>
          <w:i/>
        </w:rPr>
      </w:pPr>
      <w:r w:rsidRPr="00405A74">
        <w:rPr>
          <w:rFonts w:ascii="Palatino Linotype" w:hAnsi="Palatino Linotype"/>
          <w:b/>
          <w:i/>
        </w:rPr>
        <w:t>I. La negativa a la información solicitada</w:t>
      </w:r>
      <w:proofErr w:type="gramStart"/>
      <w:r w:rsidRPr="00405A74">
        <w:rPr>
          <w:rFonts w:ascii="Palatino Linotype" w:hAnsi="Palatino Linotype"/>
          <w:b/>
          <w:i/>
        </w:rPr>
        <w:t xml:space="preserve">; </w:t>
      </w:r>
      <w:r w:rsidR="00C77922" w:rsidRPr="00143EC9">
        <w:rPr>
          <w:rFonts w:ascii="Palatino Linotype" w:eastAsiaTheme="minorEastAsia" w:hAnsi="Palatino Linotype" w:cs="Bookman Old Style"/>
          <w:b/>
          <w:i/>
          <w:sz w:val="22"/>
          <w:szCs w:val="20"/>
        </w:rPr>
        <w:t>…”</w:t>
      </w:r>
      <w:proofErr w:type="gramEnd"/>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lastRenderedPageBreak/>
        <w:t>CUARTO. Estudio del asunto.</w:t>
      </w:r>
    </w:p>
    <w:p w14:paraId="2627C4A7" w14:textId="0F2CA0D9"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 fundados, por las razones que se expondrán en la presente resolución.</w:t>
      </w:r>
    </w:p>
    <w:p w14:paraId="55F43C59" w14:textId="1D8E6A29" w:rsidR="003D550C" w:rsidRDefault="00C553D5" w:rsidP="00C553D5">
      <w:pPr>
        <w:spacing w:before="240" w:after="240" w:line="360" w:lineRule="auto"/>
        <w:jc w:val="both"/>
        <w:rPr>
          <w:rFonts w:ascii="Palatino Linotype" w:hAnsi="Palatino Linotype"/>
          <w:color w:val="000000"/>
        </w:rPr>
      </w:pPr>
      <w:r>
        <w:rPr>
          <w:rFonts w:ascii="Palatino Linotype" w:hAnsi="Palatino Linotype"/>
          <w:color w:val="000000"/>
        </w:rPr>
        <w:t>Conforme a lo anterior, resulta necesario</w:t>
      </w:r>
      <w:r w:rsidR="0053004A">
        <w:rPr>
          <w:rFonts w:ascii="Palatino Linotype" w:hAnsi="Palatino Linotype"/>
          <w:color w:val="000000"/>
        </w:rPr>
        <w:t xml:space="preserve"> recordar que el particular solicitó en el ejercicio</w:t>
      </w:r>
      <w:r w:rsidR="003D550C">
        <w:rPr>
          <w:rFonts w:ascii="Palatino Linotype" w:hAnsi="Palatino Linotype"/>
          <w:color w:val="000000"/>
        </w:rPr>
        <w:t xml:space="preserve"> de su derecho de acceso a la información</w:t>
      </w:r>
      <w:r w:rsidR="000D3E7D">
        <w:rPr>
          <w:rFonts w:ascii="Palatino Linotype" w:hAnsi="Palatino Linotype"/>
          <w:color w:val="000000"/>
        </w:rPr>
        <w:t>,</w:t>
      </w:r>
      <w:r w:rsidR="003D550C">
        <w:rPr>
          <w:rFonts w:ascii="Palatino Linotype" w:hAnsi="Palatino Linotype"/>
          <w:color w:val="000000"/>
        </w:rPr>
        <w:t xml:space="preserve"> </w:t>
      </w:r>
      <w:r w:rsidR="000D3E7D" w:rsidRPr="000D3E7D">
        <w:rPr>
          <w:rFonts w:ascii="Palatino Linotype" w:hAnsi="Palatino Linotype"/>
          <w:color w:val="000000"/>
        </w:rPr>
        <w:t xml:space="preserve">en formato </w:t>
      </w:r>
      <w:proofErr w:type="spellStart"/>
      <w:r w:rsidR="000D3E7D" w:rsidRPr="000D3E7D">
        <w:rPr>
          <w:rFonts w:ascii="Palatino Linotype" w:hAnsi="Palatino Linotype"/>
          <w:color w:val="000000"/>
        </w:rPr>
        <w:t>txt</w:t>
      </w:r>
      <w:proofErr w:type="spellEnd"/>
      <w:r w:rsidR="000D3E7D" w:rsidRPr="000D3E7D">
        <w:rPr>
          <w:rFonts w:ascii="Palatino Linotype" w:hAnsi="Palatino Linotype"/>
          <w:color w:val="000000"/>
        </w:rPr>
        <w:t xml:space="preserve">, </w:t>
      </w:r>
      <w:proofErr w:type="spellStart"/>
      <w:r w:rsidR="000D3E7D" w:rsidRPr="000D3E7D">
        <w:rPr>
          <w:rFonts w:ascii="Palatino Linotype" w:hAnsi="Palatino Linotype"/>
          <w:color w:val="000000"/>
        </w:rPr>
        <w:t>doc</w:t>
      </w:r>
      <w:proofErr w:type="spellEnd"/>
      <w:r w:rsidR="000D3E7D" w:rsidRPr="000D3E7D">
        <w:rPr>
          <w:rFonts w:ascii="Palatino Linotype" w:hAnsi="Palatino Linotype"/>
          <w:color w:val="000000"/>
        </w:rPr>
        <w:t xml:space="preserve">, </w:t>
      </w:r>
      <w:proofErr w:type="spellStart"/>
      <w:r w:rsidR="000D3E7D" w:rsidRPr="000D3E7D">
        <w:rPr>
          <w:rFonts w:ascii="Palatino Linotype" w:hAnsi="Palatino Linotype"/>
          <w:color w:val="000000"/>
        </w:rPr>
        <w:t>pdf</w:t>
      </w:r>
      <w:proofErr w:type="spellEnd"/>
      <w:r w:rsidR="000D3E7D" w:rsidRPr="000D3E7D">
        <w:rPr>
          <w:rFonts w:ascii="Palatino Linotype" w:hAnsi="Palatino Linotype"/>
          <w:color w:val="000000"/>
        </w:rPr>
        <w:t xml:space="preserve">, </w:t>
      </w:r>
      <w:proofErr w:type="spellStart"/>
      <w:r w:rsidR="000D3E7D" w:rsidRPr="000D3E7D">
        <w:rPr>
          <w:rFonts w:ascii="Palatino Linotype" w:hAnsi="Palatino Linotype"/>
          <w:color w:val="000000"/>
        </w:rPr>
        <w:t>zip</w:t>
      </w:r>
      <w:proofErr w:type="spellEnd"/>
      <w:r w:rsidR="000D3E7D" w:rsidRPr="000D3E7D">
        <w:rPr>
          <w:rFonts w:ascii="Palatino Linotype" w:hAnsi="Palatino Linotype"/>
          <w:color w:val="000000"/>
        </w:rPr>
        <w:t>, u otro análogo</w:t>
      </w:r>
      <w:r w:rsidR="000D3E7D">
        <w:rPr>
          <w:rFonts w:ascii="Palatino Linotype" w:hAnsi="Palatino Linotype"/>
          <w:color w:val="000000"/>
        </w:rPr>
        <w:t xml:space="preserve">, </w:t>
      </w:r>
      <w:r w:rsidR="003D550C">
        <w:rPr>
          <w:rFonts w:ascii="Palatino Linotype" w:hAnsi="Palatino Linotype"/>
          <w:color w:val="000000"/>
        </w:rPr>
        <w:t>lo siguiente:</w:t>
      </w:r>
    </w:p>
    <w:p w14:paraId="11F2DC96" w14:textId="78E6CFF0" w:rsidR="000D3E7D" w:rsidRPr="000D3E7D" w:rsidRDefault="000D3E7D" w:rsidP="000D3E7D">
      <w:pPr>
        <w:pStyle w:val="Prrafodelista"/>
        <w:numPr>
          <w:ilvl w:val="0"/>
          <w:numId w:val="33"/>
        </w:numPr>
        <w:spacing w:before="240" w:after="240" w:line="360" w:lineRule="auto"/>
        <w:jc w:val="both"/>
        <w:rPr>
          <w:rFonts w:ascii="Palatino Linotype" w:hAnsi="Palatino Linotype"/>
          <w:b/>
          <w:color w:val="000000"/>
        </w:rPr>
      </w:pPr>
      <w:r w:rsidRPr="000D3E7D">
        <w:rPr>
          <w:rFonts w:ascii="Palatino Linotype" w:hAnsi="Palatino Linotype"/>
          <w:b/>
          <w:color w:val="000000"/>
        </w:rPr>
        <w:t>Documentos oficiales de los años 2018, 2019, 2020 y 2021 en los que consten</w:t>
      </w:r>
      <w:r>
        <w:rPr>
          <w:rFonts w:ascii="Palatino Linotype" w:hAnsi="Palatino Linotype"/>
          <w:b/>
          <w:color w:val="000000"/>
        </w:rPr>
        <w:t>,</w:t>
      </w:r>
      <w:r w:rsidRPr="000D3E7D">
        <w:rPr>
          <w:rFonts w:ascii="Palatino Linotype" w:hAnsi="Palatino Linotype"/>
          <w:b/>
          <w:color w:val="000000"/>
        </w:rPr>
        <w:t xml:space="preserve"> las reglas de operación de los programas municipales. </w:t>
      </w:r>
    </w:p>
    <w:p w14:paraId="462373BA" w14:textId="600CE392" w:rsidR="00796839"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796839">
        <w:rPr>
          <w:rFonts w:ascii="Palatino Linotype" w:hAnsi="Palatino Linotype"/>
          <w:color w:val="000000"/>
        </w:rPr>
        <w:t>la Unidad de Transparencia</w:t>
      </w:r>
      <w:r w:rsidR="000D3E7D">
        <w:rPr>
          <w:rFonts w:ascii="Palatino Linotype" w:hAnsi="Palatino Linotype"/>
          <w:color w:val="000000"/>
        </w:rPr>
        <w:t xml:space="preserve"> notificó que después de hacer las gestiones necesarias ante la Dirección de Desarrollo </w:t>
      </w:r>
      <w:r w:rsidR="006321F6">
        <w:rPr>
          <w:rFonts w:ascii="Palatino Linotype" w:hAnsi="Palatino Linotype"/>
          <w:color w:val="000000"/>
        </w:rPr>
        <w:t>Humano</w:t>
      </w:r>
      <w:r w:rsidR="000D3E7D">
        <w:rPr>
          <w:rFonts w:ascii="Palatino Linotype" w:hAnsi="Palatino Linotype"/>
          <w:color w:val="000000"/>
        </w:rPr>
        <w:t>, la información solicitada no se ha generado, ni tampoco se posee por parte del Sujeto Obligado.</w:t>
      </w:r>
    </w:p>
    <w:p w14:paraId="49028016" w14:textId="69E0CD9D" w:rsidR="000D3E7D" w:rsidRPr="000D3E7D" w:rsidRDefault="0053004A" w:rsidP="000D3E7D">
      <w:pPr>
        <w:spacing w:before="240" w:after="240" w:line="360" w:lineRule="auto"/>
        <w:jc w:val="both"/>
        <w:rPr>
          <w:rFonts w:ascii="Palatino Linotype" w:hAnsi="Palatino Linotype" w:cs="Arial"/>
        </w:rPr>
      </w:pPr>
      <w:r>
        <w:rPr>
          <w:rFonts w:ascii="Palatino Linotype" w:hAnsi="Palatino Linotype"/>
          <w:color w:val="000000"/>
        </w:rPr>
        <w:t>Inconforme</w:t>
      </w:r>
      <w:r w:rsidR="003D550C">
        <w:rPr>
          <w:rFonts w:ascii="Palatino Linotype" w:hAnsi="Palatino Linotype"/>
          <w:color w:val="000000"/>
        </w:rPr>
        <w:t xml:space="preserve"> con la respuesta proporcionada, el particular presentó recurso de revisión, señalando como motivos de inconformidad que </w:t>
      </w:r>
      <w:r w:rsidR="000D3E7D">
        <w:rPr>
          <w:rFonts w:ascii="Palatino Linotype" w:hAnsi="Palatino Linotype"/>
          <w:color w:val="000000"/>
        </w:rPr>
        <w:t>l</w:t>
      </w:r>
      <w:r w:rsidR="000D3E7D" w:rsidRPr="000D3E7D">
        <w:rPr>
          <w:rFonts w:ascii="Palatino Linotype" w:hAnsi="Palatino Linotype"/>
          <w:color w:val="000000"/>
        </w:rPr>
        <w:t xml:space="preserve">a respuesta a </w:t>
      </w:r>
      <w:r w:rsidR="000D3E7D">
        <w:rPr>
          <w:rFonts w:ascii="Palatino Linotype" w:hAnsi="Palatino Linotype"/>
          <w:color w:val="000000"/>
        </w:rPr>
        <w:t>su</w:t>
      </w:r>
      <w:r w:rsidR="000D3E7D" w:rsidRPr="000D3E7D">
        <w:rPr>
          <w:rFonts w:ascii="Palatino Linotype" w:hAnsi="Palatino Linotype"/>
          <w:color w:val="000000"/>
        </w:rPr>
        <w:t xml:space="preserve"> solicitud de información viola flagrantemente en </w:t>
      </w:r>
      <w:r w:rsidR="000D3E7D">
        <w:rPr>
          <w:rFonts w:ascii="Palatino Linotype" w:hAnsi="Palatino Linotype"/>
          <w:color w:val="000000"/>
        </w:rPr>
        <w:t>su</w:t>
      </w:r>
      <w:r w:rsidR="000D3E7D" w:rsidRPr="000D3E7D">
        <w:rPr>
          <w:rFonts w:ascii="Palatino Linotype" w:hAnsi="Palatino Linotype"/>
          <w:color w:val="000000"/>
        </w:rPr>
        <w:t xml:space="preserve"> perjuicio los párrafos décimo séptimo, décimo octavo y décimo noveno del artículo 5 de la Constitución Política del Estado Libre y Soberano del Estado de México</w:t>
      </w:r>
      <w:r w:rsidR="000D3E7D">
        <w:rPr>
          <w:rFonts w:ascii="Palatino Linotype" w:hAnsi="Palatino Linotype"/>
          <w:color w:val="000000"/>
        </w:rPr>
        <w:t xml:space="preserve">; </w:t>
      </w:r>
      <w:r w:rsidR="000D3E7D" w:rsidRPr="000D3E7D">
        <w:rPr>
          <w:rFonts w:ascii="Palatino Linotype" w:hAnsi="Palatino Linotype"/>
          <w:color w:val="000000"/>
        </w:rPr>
        <w:t xml:space="preserve">artículo 1 de la Ley de Transparencia y Acceso a la Información Pública del Estado de México; ya que el sujeto obligado con su respuesta no tuteló ni garantizó la transparencia a </w:t>
      </w:r>
      <w:r w:rsidR="000D3E7D">
        <w:rPr>
          <w:rFonts w:ascii="Palatino Linotype" w:hAnsi="Palatino Linotype"/>
          <w:color w:val="000000"/>
        </w:rPr>
        <w:t>su</w:t>
      </w:r>
      <w:r w:rsidR="000D3E7D" w:rsidRPr="000D3E7D">
        <w:rPr>
          <w:rFonts w:ascii="Palatino Linotype" w:hAnsi="Palatino Linotype"/>
          <w:color w:val="000000"/>
        </w:rPr>
        <w:t xml:space="preserve"> derecho humano de acceso a la información pública. En </w:t>
      </w:r>
      <w:r w:rsidR="0085139A">
        <w:rPr>
          <w:rFonts w:ascii="Palatino Linotype" w:hAnsi="Palatino Linotype"/>
          <w:color w:val="000000"/>
        </w:rPr>
        <w:t>el</w:t>
      </w:r>
      <w:r w:rsidR="000D3E7D" w:rsidRPr="000D3E7D">
        <w:rPr>
          <w:rFonts w:ascii="Palatino Linotype" w:hAnsi="Palatino Linotype"/>
          <w:color w:val="000000"/>
        </w:rPr>
        <w:t xml:space="preserve"> sentido,</w:t>
      </w:r>
      <w:r w:rsidR="0085139A">
        <w:rPr>
          <w:rFonts w:ascii="Palatino Linotype" w:hAnsi="Palatino Linotype"/>
          <w:color w:val="000000"/>
        </w:rPr>
        <w:t xml:space="preserve"> de que el sujeto </w:t>
      </w:r>
      <w:r w:rsidR="000D3E7D" w:rsidRPr="000D3E7D">
        <w:rPr>
          <w:rFonts w:ascii="Palatino Linotype" w:hAnsi="Palatino Linotype"/>
          <w:color w:val="000000"/>
        </w:rPr>
        <w:t xml:space="preserve">obligado </w:t>
      </w:r>
      <w:r w:rsidR="0085139A">
        <w:rPr>
          <w:rFonts w:ascii="Palatino Linotype" w:hAnsi="Palatino Linotype"/>
          <w:color w:val="000000"/>
        </w:rPr>
        <w:t xml:space="preserve">negó la información, pese a que en el </w:t>
      </w:r>
      <w:r w:rsidR="000D3E7D" w:rsidRPr="000D3E7D">
        <w:rPr>
          <w:rFonts w:ascii="Palatino Linotype" w:hAnsi="Palatino Linotype"/>
          <w:color w:val="000000"/>
        </w:rPr>
        <w:t>B</w:t>
      </w:r>
      <w:r w:rsidR="0085139A">
        <w:rPr>
          <w:rFonts w:ascii="Palatino Linotype" w:hAnsi="Palatino Linotype"/>
          <w:color w:val="000000"/>
        </w:rPr>
        <w:t>ando</w:t>
      </w:r>
      <w:r w:rsidR="000D3E7D" w:rsidRPr="000D3E7D">
        <w:rPr>
          <w:rFonts w:ascii="Palatino Linotype" w:hAnsi="Palatino Linotype"/>
          <w:color w:val="000000"/>
        </w:rPr>
        <w:t xml:space="preserve"> M</w:t>
      </w:r>
      <w:r w:rsidR="0085139A">
        <w:rPr>
          <w:rFonts w:ascii="Palatino Linotype" w:hAnsi="Palatino Linotype"/>
          <w:color w:val="000000"/>
        </w:rPr>
        <w:t xml:space="preserve">unicipal de </w:t>
      </w:r>
      <w:r w:rsidR="000D3E7D" w:rsidRPr="000D3E7D">
        <w:rPr>
          <w:rFonts w:ascii="Palatino Linotype" w:hAnsi="Palatino Linotype"/>
          <w:color w:val="000000"/>
        </w:rPr>
        <w:t>L</w:t>
      </w:r>
      <w:r w:rsidR="0085139A">
        <w:rPr>
          <w:rFonts w:ascii="Palatino Linotype" w:hAnsi="Palatino Linotype"/>
          <w:color w:val="000000"/>
        </w:rPr>
        <w:t>erma</w:t>
      </w:r>
      <w:r w:rsidR="000D3E7D" w:rsidRPr="000D3E7D">
        <w:rPr>
          <w:rFonts w:ascii="Palatino Linotype" w:hAnsi="Palatino Linotype"/>
          <w:color w:val="000000"/>
        </w:rPr>
        <w:t xml:space="preserve"> 2019, 2020 Y 2021 (CAPÍTULO III EN MATERIA DE LA VINCULACIÓN CON PROGRAMAS </w:t>
      </w:r>
      <w:r w:rsidR="000D3E7D" w:rsidRPr="000D3E7D">
        <w:rPr>
          <w:rFonts w:ascii="Palatino Linotype" w:hAnsi="Palatino Linotype"/>
          <w:color w:val="000000"/>
        </w:rPr>
        <w:lastRenderedPageBreak/>
        <w:t>SOCIALES ARTÍCULO 59)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w:t>
      </w:r>
      <w:r w:rsidR="006321F6">
        <w:rPr>
          <w:rFonts w:ascii="Palatino Linotype" w:hAnsi="Palatino Linotype"/>
          <w:color w:val="000000"/>
        </w:rPr>
        <w:t>ó</w:t>
      </w:r>
      <w:r w:rsidR="000D3E7D" w:rsidRPr="000D3E7D">
        <w:rPr>
          <w:rFonts w:ascii="Palatino Linotype" w:hAnsi="Palatino Linotype"/>
          <w:color w:val="000000"/>
        </w:rPr>
        <w:t xml:space="preserve"> se de vista a la Autoridad Administrativa competente, a efecto de que inicie el</w:t>
      </w:r>
      <w:r w:rsidR="000D3E7D" w:rsidRPr="0094333E">
        <w:rPr>
          <w:rFonts w:ascii="Palatino Linotype" w:hAnsi="Palatino Linotype"/>
          <w:color w:val="000000"/>
        </w:rPr>
        <w:t xml:space="preserve"> procedimiento administrativo correspo</w:t>
      </w:r>
      <w:r w:rsidR="000D3E7D" w:rsidRPr="000D3E7D">
        <w:rPr>
          <w:rFonts w:ascii="Palatino Linotype" w:hAnsi="Palatino Linotype"/>
          <w:color w:val="000000"/>
        </w:rPr>
        <w:t>ndiente en contra del Titular del Sujeto Obligado, de la Titular de la Unidad de Transparencia y del Titular de la Dirección de Desarrollo Humano del H.</w:t>
      </w:r>
      <w:r w:rsidR="0085139A">
        <w:rPr>
          <w:rFonts w:ascii="Palatino Linotype" w:hAnsi="Palatino Linotype"/>
          <w:color w:val="000000"/>
        </w:rPr>
        <w:t xml:space="preserve"> Ayuntamiento de Lerma, México.</w:t>
      </w:r>
    </w:p>
    <w:p w14:paraId="39EB50BE" w14:textId="7FF8A288" w:rsidR="00796839" w:rsidRDefault="00796839" w:rsidP="000D3E7D">
      <w:pPr>
        <w:spacing w:before="240" w:after="240" w:line="360" w:lineRule="auto"/>
        <w:jc w:val="both"/>
        <w:rPr>
          <w:rFonts w:ascii="Palatino Linotype" w:hAnsi="Palatino Linotype" w:cs="Arial"/>
        </w:rPr>
      </w:pPr>
      <w:r>
        <w:rPr>
          <w:rFonts w:ascii="Palatino Linotype" w:hAnsi="Palatino Linotype" w:cs="Arial"/>
        </w:rPr>
        <w:t xml:space="preserve">Siendo las cosas así, de las </w:t>
      </w:r>
      <w:r w:rsidRPr="00F200A5">
        <w:rPr>
          <w:rFonts w:ascii="Palatino Linotype" w:hAnsi="Palatino Linotype" w:cs="Arial"/>
        </w:rPr>
        <w:t>manifestaciones</w:t>
      </w:r>
      <w:r>
        <w:rPr>
          <w:rFonts w:ascii="Palatino Linotype" w:hAnsi="Palatino Linotype" w:cs="Arial"/>
        </w:rPr>
        <w:t xml:space="preserve"> del particular, </w:t>
      </w:r>
      <w:r w:rsidRPr="00F200A5">
        <w:rPr>
          <w:rFonts w:ascii="Palatino Linotype" w:hAnsi="Palatino Linotype" w:cs="Arial"/>
        </w:rPr>
        <w:t>se desprende que su inconformidad radica</w:t>
      </w:r>
      <w:r>
        <w:rPr>
          <w:rFonts w:ascii="Palatino Linotype" w:hAnsi="Palatino Linotype" w:cs="Arial"/>
        </w:rPr>
        <w:t>,</w:t>
      </w:r>
      <w:r w:rsidRPr="00F200A5">
        <w:rPr>
          <w:rFonts w:ascii="Palatino Linotype" w:hAnsi="Palatino Linotype" w:cs="Arial"/>
        </w:rPr>
        <w:t xml:space="preserve"> en </w:t>
      </w:r>
      <w:r>
        <w:rPr>
          <w:rFonts w:ascii="Palatino Linotype" w:hAnsi="Palatino Linotype" w:cs="Arial"/>
        </w:rPr>
        <w:t>que no le fue</w:t>
      </w:r>
      <w:r w:rsidRPr="00F200A5">
        <w:rPr>
          <w:rFonts w:ascii="Palatino Linotype" w:hAnsi="Palatino Linotype" w:cs="Arial"/>
        </w:rPr>
        <w:t xml:space="preserve"> entrega</w:t>
      </w:r>
      <w:r>
        <w:rPr>
          <w:rFonts w:ascii="Palatino Linotype" w:hAnsi="Palatino Linotype" w:cs="Arial"/>
        </w:rPr>
        <w:t xml:space="preserve">da la información solicitada, no obstante, este Órgano Garante advierte que el </w:t>
      </w:r>
      <w:r>
        <w:rPr>
          <w:rFonts w:ascii="Palatino Linotype" w:hAnsi="Palatino Linotype" w:cs="Arial"/>
          <w:b/>
          <w:i/>
        </w:rPr>
        <w:t>R</w:t>
      </w:r>
      <w:r w:rsidRPr="00796839">
        <w:rPr>
          <w:rFonts w:ascii="Palatino Linotype" w:hAnsi="Palatino Linotype" w:cs="Arial"/>
          <w:b/>
          <w:i/>
        </w:rPr>
        <w:t>ecurrente</w:t>
      </w:r>
      <w:r>
        <w:rPr>
          <w:rFonts w:ascii="Palatino Linotype" w:hAnsi="Palatino Linotype" w:cs="Arial"/>
        </w:rPr>
        <w:t xml:space="preserve"> realiza pronunciamientos que constituyen manifestaciones subjetivas en ejercicio de su derecho a la libre expresión, previsto en el artículo 6º de la Constitución Federal y 5º de la Constitución Política del estado Libre y Soberano de México; acordes con </w:t>
      </w:r>
      <w:r w:rsidRPr="00914D40">
        <w:rPr>
          <w:rFonts w:ascii="Palatino Linotype" w:hAnsi="Palatino Linotype"/>
        </w:rPr>
        <w:t xml:space="preserve">lo planteado en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conforme al cual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que nadie puede ser </w:t>
      </w:r>
      <w:r w:rsidRPr="00916461">
        <w:rPr>
          <w:rFonts w:ascii="Palatino Linotype" w:hAnsi="Palatino Linotype" w:cs="Arial"/>
        </w:rPr>
        <w:t xml:space="preserve">molestado a causa 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w:t>
      </w:r>
      <w:r>
        <w:rPr>
          <w:rFonts w:ascii="Palatino Linotype" w:hAnsi="Palatino Linotype" w:cs="Arial"/>
        </w:rPr>
        <w:t>s</w:t>
      </w:r>
      <w:r w:rsidRPr="00916461">
        <w:rPr>
          <w:rFonts w:ascii="Palatino Linotype" w:hAnsi="Palatino Linotype" w:cs="Arial"/>
        </w:rPr>
        <w:t xml:space="preserve"> sin limitación de fronteras, por cualquier medio de expresión.</w:t>
      </w:r>
    </w:p>
    <w:p w14:paraId="138557A0" w14:textId="77777777" w:rsidR="00796839" w:rsidRPr="00915C2B" w:rsidRDefault="00796839" w:rsidP="0079683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 esa virtud, debe precisarse que la atribución de este Instituto es la de garantizar a los particulares el pleno ejercicio de su derecho de acceso a la información y el ejercicio de su derecho a la protección de sus datos personales, no así la tutela de otros derechos fundamentales reconocidos en nuestra Carta Magna.</w:t>
      </w:r>
    </w:p>
    <w:p w14:paraId="49F5ABF7" w14:textId="72A83882" w:rsidR="0094333E" w:rsidRPr="000D3E7D" w:rsidRDefault="00796839" w:rsidP="0094333E">
      <w:pPr>
        <w:spacing w:before="240" w:after="240" w:line="360" w:lineRule="auto"/>
        <w:jc w:val="both"/>
        <w:rPr>
          <w:rFonts w:ascii="Palatino Linotype" w:hAnsi="Palatino Linotype" w:cs="Arial"/>
        </w:rPr>
      </w:pPr>
      <w:r>
        <w:rPr>
          <w:rFonts w:ascii="Palatino Linotype" w:hAnsi="Palatino Linotype"/>
        </w:rPr>
        <w:lastRenderedPageBreak/>
        <w:t>Así</w:t>
      </w:r>
      <w:r w:rsidRPr="00914D40">
        <w:rPr>
          <w:rFonts w:ascii="Palatino Linotype" w:hAnsi="Palatino Linotype"/>
        </w:rPr>
        <w:t>, de lo anteriormente plasmado</w:t>
      </w:r>
      <w:r>
        <w:rPr>
          <w:rFonts w:ascii="Palatino Linotype" w:hAnsi="Palatino Linotype"/>
        </w:rPr>
        <w:t xml:space="preserve"> </w:t>
      </w:r>
      <w:r w:rsidRPr="00914D40">
        <w:rPr>
          <w:rFonts w:ascii="Palatino Linotype" w:hAnsi="Palatino Linotype"/>
        </w:rPr>
        <w:t>esta Autoridad determina que se encuentra impedida de hacer algún posicionamiento respecto a dichas manifestaciones por considerarlas subjetivas</w:t>
      </w:r>
      <w:r>
        <w:rPr>
          <w:rFonts w:ascii="Palatino Linotype" w:hAnsi="Palatino Linotype"/>
        </w:rPr>
        <w:t>; máxime que ésta n</w:t>
      </w:r>
      <w:r w:rsidR="0094333E">
        <w:rPr>
          <w:rFonts w:ascii="Palatino Linotype" w:hAnsi="Palatino Linotype"/>
        </w:rPr>
        <w:t xml:space="preserve">o es la vía para hacerlas valer, no obstante, y bajo la expresión del particular de que se </w:t>
      </w:r>
      <w:r w:rsidR="0094333E" w:rsidRPr="000D3E7D">
        <w:rPr>
          <w:rFonts w:ascii="Palatino Linotype" w:hAnsi="Palatino Linotype"/>
          <w:color w:val="000000"/>
        </w:rPr>
        <w:t>inicie el</w:t>
      </w:r>
      <w:r w:rsidR="0094333E" w:rsidRPr="0094333E">
        <w:rPr>
          <w:rFonts w:ascii="Palatino Linotype" w:hAnsi="Palatino Linotype"/>
          <w:color w:val="000000"/>
        </w:rPr>
        <w:t xml:space="preserve"> procedimiento administrativo correspo</w:t>
      </w:r>
      <w:r w:rsidR="0094333E" w:rsidRPr="000D3E7D">
        <w:rPr>
          <w:rFonts w:ascii="Palatino Linotype" w:hAnsi="Palatino Linotype"/>
          <w:color w:val="000000"/>
        </w:rPr>
        <w:t>ndiente en contra del Titular del Sujeto Obligado, de la Titular de la Unidad de Transparencia y del Titular de la Dirección de Desarrollo Humano del H.</w:t>
      </w:r>
      <w:r w:rsidR="0094333E">
        <w:rPr>
          <w:rFonts w:ascii="Palatino Linotype" w:hAnsi="Palatino Linotype"/>
          <w:color w:val="000000"/>
        </w:rPr>
        <w:t xml:space="preserve"> Ayuntamiento de Lerma, México, se dará vista al Órgano de Control Interno de este Instituto a fin de que determine lo conducente.</w:t>
      </w:r>
    </w:p>
    <w:p w14:paraId="5713EDB8" w14:textId="77777777" w:rsidR="0039300A" w:rsidRDefault="0039300A" w:rsidP="0039300A">
      <w:pPr>
        <w:spacing w:before="240" w:after="240" w:line="360" w:lineRule="auto"/>
        <w:jc w:val="both"/>
        <w:rPr>
          <w:rFonts w:ascii="Palatino Linotype" w:hAnsi="Palatino Linotype" w:cs="Arial"/>
        </w:rPr>
      </w:pPr>
      <w:r>
        <w:rPr>
          <w:rFonts w:ascii="Palatino Linotype" w:hAnsi="Palatino Linotype" w:cs="Arial"/>
        </w:rPr>
        <w:t xml:space="preserve">Siendo las cosas así, cabe recordar que el particular solicitó en el ejercicio de su derecho de acceso a la información que se le entregará, las reglas de operación de los programas municipales ejercidos en los años 2018, 2019, 2020 y 2021, requerimiento que fue atendido por el </w:t>
      </w:r>
      <w:r>
        <w:rPr>
          <w:rFonts w:ascii="Palatino Linotype" w:hAnsi="Palatino Linotype" w:cs="Arial"/>
          <w:b/>
        </w:rPr>
        <w:t xml:space="preserve">Sujeto Obligado </w:t>
      </w:r>
      <w:r>
        <w:rPr>
          <w:rFonts w:ascii="Palatino Linotype" w:hAnsi="Palatino Linotype" w:cs="Arial"/>
        </w:rPr>
        <w:t>ante el pronunciamiento de que no generó o posee lo solicitado.</w:t>
      </w:r>
    </w:p>
    <w:p w14:paraId="4FF05C4B" w14:textId="74BB8FFB" w:rsidR="00116A91" w:rsidRDefault="0039300A" w:rsidP="0039300A">
      <w:pPr>
        <w:spacing w:before="240" w:after="240" w:line="360" w:lineRule="auto"/>
        <w:jc w:val="both"/>
        <w:rPr>
          <w:rFonts w:ascii="Palatino Linotype" w:hAnsi="Palatino Linotype"/>
        </w:rPr>
      </w:pPr>
      <w:r>
        <w:rPr>
          <w:rFonts w:ascii="Palatino Linotype" w:hAnsi="Palatino Linotype" w:cs="Arial"/>
        </w:rPr>
        <w:t>En las relatadas circunstancias,  se tiene que los motivos de inconformidad devienen infundados, toda vez que si bien es cierto, en términos de los artículos 59 del Bando Municipal 2018,</w:t>
      </w:r>
      <w:r w:rsidR="00116A91">
        <w:rPr>
          <w:rFonts w:ascii="Palatino Linotype" w:hAnsi="Palatino Linotype" w:cs="Arial"/>
        </w:rPr>
        <w:t xml:space="preserve"> 53 del Bando Municipal 2019, 54 del Bando Municipal 2020 y 2021, </w:t>
      </w:r>
      <w:r w:rsidR="00AB6EEE" w:rsidRPr="000D3E7D">
        <w:rPr>
          <w:rFonts w:ascii="Palatino Linotype" w:hAnsi="Palatino Linotype"/>
          <w:color w:val="000000"/>
        </w:rPr>
        <w:t>la Dirección de Desarrollo Humano</w:t>
      </w:r>
      <w:r w:rsidR="00AB6EEE">
        <w:rPr>
          <w:rFonts w:ascii="Palatino Linotype" w:hAnsi="Palatino Linotype"/>
          <w:color w:val="000000"/>
        </w:rPr>
        <w:t>, c</w:t>
      </w:r>
      <w:r w:rsidR="00116A91" w:rsidRPr="00116A91">
        <w:rPr>
          <w:rFonts w:ascii="Palatino Linotype" w:hAnsi="Palatino Linotype"/>
        </w:rPr>
        <w:t>oadyuvará en el ámbito de su competencia a instrumentar los mecanismos y políticas públicas que generen la integración social de la población; procurando en todo momento que los programas sociales provenientes de la federación, del estado y del municipio, se asignen a los sectores más vulnerables, a fin de erradicar la desigualdad social, y logrando con ello, una mejor calidad de vida de las personas.</w:t>
      </w:r>
    </w:p>
    <w:p w14:paraId="173766D5" w14:textId="58F3ED91" w:rsidR="00DF2F1C" w:rsidRDefault="00DF2F1C" w:rsidP="00DF2F1C">
      <w:pPr>
        <w:spacing w:before="240" w:after="240" w:line="360" w:lineRule="auto"/>
        <w:jc w:val="both"/>
        <w:rPr>
          <w:rFonts w:ascii="Palatino Linotype" w:hAnsi="Palatino Linotype" w:cs="Arial"/>
        </w:rPr>
      </w:pPr>
      <w:r w:rsidRPr="00314E50">
        <w:rPr>
          <w:rFonts w:ascii="Palatino Linotype" w:hAnsi="Palatino Linotype" w:cs="Arial"/>
        </w:rPr>
        <w:lastRenderedPageBreak/>
        <w:t xml:space="preserve">Bajo este contexto, es trascendental para este órgano garante indagar y precisar sobre aquellas evidencias documentales, </w:t>
      </w:r>
      <w:r w:rsidRPr="009500DD">
        <w:rPr>
          <w:rFonts w:ascii="Palatino Linotype" w:hAnsi="Palatino Linotype" w:cs="Arial"/>
        </w:rPr>
        <w:t xml:space="preserve">para lo cual la Ponencia ponente hace uso de las facultades previstas </w:t>
      </w:r>
      <w:r>
        <w:rPr>
          <w:rFonts w:ascii="Palatino Linotype" w:hAnsi="Palatino Linotype" w:cs="Arial"/>
        </w:rPr>
        <w:t xml:space="preserve">14 </w:t>
      </w:r>
      <w:r w:rsidRPr="009500DD">
        <w:rPr>
          <w:rFonts w:ascii="Palatino Linotype" w:hAnsi="Palatino Linotype" w:cs="Arial"/>
        </w:rPr>
        <w:t xml:space="preserve">fracción </w:t>
      </w:r>
      <w:r>
        <w:rPr>
          <w:rFonts w:ascii="Palatino Linotype" w:hAnsi="Palatino Linotype" w:cs="Arial"/>
        </w:rPr>
        <w:t>I</w:t>
      </w:r>
      <w:r w:rsidRPr="009500DD">
        <w:rPr>
          <w:rFonts w:ascii="Palatino Linotype" w:hAnsi="Palatino Linotype" w:cs="Arial"/>
        </w:rPr>
        <w:t>II del Reglamento Interior del Instituto de Transparencia, Acceso a la Información Pública y Protección de Datos Personales del Estado de México</w:t>
      </w:r>
      <w:r>
        <w:rPr>
          <w:rFonts w:ascii="Palatino Linotype" w:hAnsi="Palatino Linotype" w:cs="Arial"/>
        </w:rPr>
        <w:t xml:space="preserve"> y Municipios, </w:t>
      </w:r>
      <w:r w:rsidRPr="009500DD">
        <w:rPr>
          <w:rFonts w:ascii="Palatino Linotype" w:hAnsi="Palatino Linotype" w:cs="Arial"/>
        </w:rPr>
        <w:t>con la finalidad de mejor proveer en el presente asunto.</w:t>
      </w:r>
      <w:r w:rsidRPr="00314E50">
        <w:rPr>
          <w:rFonts w:ascii="Palatino Linotype" w:hAnsi="Palatino Linotype" w:cs="Arial"/>
        </w:rPr>
        <w:t xml:space="preserve"> </w:t>
      </w:r>
      <w:r w:rsidRPr="009500DD">
        <w:rPr>
          <w:rFonts w:ascii="Palatino Linotype" w:hAnsi="Palatino Linotype" w:cs="Arial"/>
        </w:rPr>
        <w:t>De tal suerte que en lo sucesivo de este estudio se expondrán y analizarán los datos y documentos aportados por las partes, así como aquellos que son de conocimiento público por encontrarse disponibles en las páginas oficiales</w:t>
      </w:r>
      <w:r>
        <w:rPr>
          <w:rFonts w:ascii="Palatino Linotype" w:hAnsi="Palatino Linotype" w:cs="Arial"/>
        </w:rPr>
        <w:t>.</w:t>
      </w:r>
    </w:p>
    <w:p w14:paraId="20EDC9D7" w14:textId="486A6679" w:rsidR="00DF2F1C" w:rsidRDefault="00DF2F1C" w:rsidP="00DF2F1C">
      <w:pPr>
        <w:spacing w:before="240" w:after="240" w:line="360" w:lineRule="auto"/>
        <w:jc w:val="both"/>
        <w:rPr>
          <w:rFonts w:ascii="Palatino Linotype" w:hAnsi="Palatino Linotype" w:cs="Arial"/>
        </w:rPr>
      </w:pPr>
      <w:r>
        <w:rPr>
          <w:rFonts w:ascii="Palatino Linotype" w:hAnsi="Palatino Linotype" w:cs="Arial"/>
        </w:rPr>
        <w:t xml:space="preserve">Siendo las cosas así, tras la consulta al Portal del </w:t>
      </w:r>
      <w:proofErr w:type="spellStart"/>
      <w:r>
        <w:rPr>
          <w:rFonts w:ascii="Palatino Linotype" w:hAnsi="Palatino Linotype" w:cs="Arial"/>
        </w:rPr>
        <w:t>Ipomex</w:t>
      </w:r>
      <w:proofErr w:type="spellEnd"/>
      <w:r>
        <w:rPr>
          <w:rFonts w:ascii="Palatino Linotype" w:hAnsi="Palatino Linotype" w:cs="Arial"/>
        </w:rPr>
        <w:t xml:space="preserve"> del </w:t>
      </w:r>
      <w:r>
        <w:rPr>
          <w:rFonts w:ascii="Palatino Linotype" w:hAnsi="Palatino Linotype" w:cs="Arial"/>
          <w:b/>
        </w:rPr>
        <w:t xml:space="preserve">Sujeto Obligado </w:t>
      </w:r>
      <w:r>
        <w:rPr>
          <w:rFonts w:ascii="Palatino Linotype" w:hAnsi="Palatino Linotype" w:cs="Arial"/>
        </w:rPr>
        <w:t>pudo advertirse de los años solicitados lo siguiente:</w:t>
      </w:r>
    </w:p>
    <w:p w14:paraId="34EA06CD" w14:textId="67292DAE" w:rsidR="00DF2F1C" w:rsidRPr="00DF2F1C" w:rsidRDefault="00DF2F1C" w:rsidP="00DF2F1C">
      <w:pPr>
        <w:pStyle w:val="Prrafodelista"/>
        <w:numPr>
          <w:ilvl w:val="0"/>
          <w:numId w:val="34"/>
        </w:numPr>
        <w:spacing w:before="240" w:after="240" w:line="360" w:lineRule="auto"/>
        <w:jc w:val="both"/>
        <w:rPr>
          <w:rFonts w:ascii="Palatino Linotype" w:hAnsi="Palatino Linotype" w:cs="Arial"/>
          <w:b/>
        </w:rPr>
      </w:pPr>
      <w:r w:rsidRPr="00DF2F1C">
        <w:rPr>
          <w:rFonts w:ascii="Palatino Linotype" w:hAnsi="Palatino Linotype" w:cs="Arial"/>
          <w:b/>
        </w:rPr>
        <w:t xml:space="preserve">2018: </w:t>
      </w:r>
      <w:r>
        <w:rPr>
          <w:rFonts w:ascii="Palatino Linotype" w:hAnsi="Palatino Linotype" w:cs="Arial"/>
        </w:rPr>
        <w:t>8 registros, de los cuales en ningún se aplica presupuesto municipal, por ser coadyuvantes con el Gobierno Federal y/o Estatal.</w:t>
      </w:r>
    </w:p>
    <w:p w14:paraId="39A8DE7B" w14:textId="2A7A0115" w:rsidR="00DF2F1C" w:rsidRPr="00DF2F1C" w:rsidRDefault="00DF2F1C" w:rsidP="00DF2F1C">
      <w:pPr>
        <w:pStyle w:val="Prrafodelista"/>
        <w:numPr>
          <w:ilvl w:val="0"/>
          <w:numId w:val="34"/>
        </w:numPr>
        <w:spacing w:before="240" w:after="240" w:line="360" w:lineRule="auto"/>
        <w:jc w:val="both"/>
        <w:rPr>
          <w:rFonts w:ascii="Palatino Linotype" w:hAnsi="Palatino Linotype" w:cs="Arial"/>
          <w:b/>
        </w:rPr>
      </w:pPr>
      <w:r>
        <w:rPr>
          <w:rFonts w:ascii="Palatino Linotype" w:hAnsi="Palatino Linotype" w:cs="Arial"/>
          <w:b/>
        </w:rPr>
        <w:t>2019: 7</w:t>
      </w:r>
      <w:r>
        <w:rPr>
          <w:rFonts w:ascii="Palatino Linotype" w:hAnsi="Palatino Linotype" w:cs="Arial"/>
        </w:rPr>
        <w:t xml:space="preserve"> registros, de los cuales en ningún se aplica presupuesto municipal, por ser coadyuvantes con el Gobierno Federal y/o Estatal.</w:t>
      </w:r>
    </w:p>
    <w:p w14:paraId="0948AC22" w14:textId="77777777" w:rsidR="00DF2F1C" w:rsidRPr="00DF2F1C" w:rsidRDefault="00DF2F1C" w:rsidP="00DF2F1C">
      <w:pPr>
        <w:pStyle w:val="Prrafodelista"/>
        <w:numPr>
          <w:ilvl w:val="0"/>
          <w:numId w:val="34"/>
        </w:numPr>
        <w:spacing w:before="240" w:after="240" w:line="360" w:lineRule="auto"/>
        <w:jc w:val="both"/>
        <w:rPr>
          <w:rFonts w:ascii="Palatino Linotype" w:hAnsi="Palatino Linotype" w:cs="Arial"/>
          <w:b/>
        </w:rPr>
      </w:pPr>
      <w:r>
        <w:rPr>
          <w:rFonts w:ascii="Palatino Linotype" w:hAnsi="Palatino Linotype" w:cs="Arial"/>
          <w:b/>
        </w:rPr>
        <w:t xml:space="preserve">2020: 10 </w:t>
      </w:r>
      <w:r>
        <w:rPr>
          <w:rFonts w:ascii="Palatino Linotype" w:hAnsi="Palatino Linotype" w:cs="Arial"/>
        </w:rPr>
        <w:t>registros, de los cuales en ningún se aplica presupuesto municipal, por ser coadyuvantes con el Gobierno Federal y/o Estatal.</w:t>
      </w:r>
    </w:p>
    <w:p w14:paraId="703CF419" w14:textId="160D3756" w:rsidR="006321F6" w:rsidRPr="006321F6" w:rsidRDefault="009B6790" w:rsidP="009B6790">
      <w:pPr>
        <w:pStyle w:val="Prrafodelista"/>
        <w:numPr>
          <w:ilvl w:val="0"/>
          <w:numId w:val="34"/>
        </w:numPr>
        <w:spacing w:before="240" w:after="240" w:line="360" w:lineRule="auto"/>
        <w:jc w:val="both"/>
        <w:rPr>
          <w:rFonts w:ascii="Palatino Linotype" w:hAnsi="Palatino Linotype" w:cs="Arial"/>
          <w:b/>
        </w:rPr>
      </w:pPr>
      <w:r>
        <w:rPr>
          <w:rFonts w:ascii="Palatino Linotype" w:hAnsi="Palatino Linotype" w:cs="Arial"/>
          <w:b/>
        </w:rPr>
        <w:t xml:space="preserve">2021: 1 </w:t>
      </w:r>
      <w:r>
        <w:rPr>
          <w:rFonts w:ascii="Palatino Linotype" w:hAnsi="Palatino Linotype" w:cs="Arial"/>
        </w:rPr>
        <w:t xml:space="preserve">registro, </w:t>
      </w:r>
      <w:r w:rsidR="006321F6">
        <w:rPr>
          <w:rFonts w:ascii="Palatino Linotype" w:hAnsi="Palatino Linotype" w:cs="Arial"/>
        </w:rPr>
        <w:t>que no aplica presupuesto municipal, por ser coadyuvantes con el Gobierno Federal y/o Estatal</w:t>
      </w:r>
    </w:p>
    <w:p w14:paraId="10B089AD" w14:textId="630D6582" w:rsidR="009B6790" w:rsidRDefault="006321F6" w:rsidP="006321F6">
      <w:pPr>
        <w:spacing w:before="240" w:after="240" w:line="360" w:lineRule="auto"/>
        <w:jc w:val="both"/>
        <w:rPr>
          <w:rFonts w:ascii="Palatino Linotype" w:hAnsi="Palatino Linotype" w:cs="Arial"/>
        </w:rPr>
      </w:pPr>
      <w:r>
        <w:rPr>
          <w:rFonts w:ascii="Palatino Linotype" w:hAnsi="Palatino Linotype" w:cs="Arial"/>
        </w:rPr>
        <w:t>Conforme a lo anterior, cabe subrayar que las reglas de operación son emitidas por la Dependencias Estatales o Federales</w:t>
      </w:r>
      <w:r w:rsidR="00D74A70">
        <w:rPr>
          <w:rFonts w:ascii="Palatino Linotype" w:hAnsi="Palatino Linotype" w:cs="Arial"/>
        </w:rPr>
        <w:t xml:space="preserve"> responsables de los programas</w:t>
      </w:r>
      <w:r>
        <w:rPr>
          <w:rFonts w:ascii="Palatino Linotype" w:hAnsi="Palatino Linotype" w:cs="Arial"/>
        </w:rPr>
        <w:t xml:space="preserve">, no obstante, que de la página oficial del </w:t>
      </w:r>
      <w:r>
        <w:rPr>
          <w:rFonts w:ascii="Palatino Linotype" w:hAnsi="Palatino Linotype" w:cs="Arial"/>
          <w:b/>
        </w:rPr>
        <w:t xml:space="preserve">Sujeto Obligado </w:t>
      </w:r>
      <w:r>
        <w:rPr>
          <w:rFonts w:ascii="Palatino Linotype" w:hAnsi="Palatino Linotype" w:cs="Arial"/>
        </w:rPr>
        <w:t>no se advierte que ofrezca programas sociales de apoyo a la comunidad municipales.</w:t>
      </w:r>
    </w:p>
    <w:p w14:paraId="0FFB60D1" w14:textId="13FC1CC6" w:rsidR="00D274DA" w:rsidRDefault="009B6790" w:rsidP="0039300A">
      <w:pPr>
        <w:spacing w:before="240" w:after="240" w:line="360" w:lineRule="auto"/>
        <w:jc w:val="both"/>
        <w:rPr>
          <w:rFonts w:ascii="Palatino Linotype" w:hAnsi="Palatino Linotype"/>
        </w:rPr>
      </w:pPr>
      <w:r>
        <w:rPr>
          <w:rFonts w:ascii="Palatino Linotype" w:hAnsi="Palatino Linotype"/>
        </w:rPr>
        <w:lastRenderedPageBreak/>
        <w:t>P</w:t>
      </w:r>
      <w:r w:rsidR="0039300A">
        <w:rPr>
          <w:rFonts w:ascii="Palatino Linotype" w:hAnsi="Palatino Linotype"/>
        </w:rPr>
        <w:t>or lo que</w:t>
      </w:r>
      <w:r>
        <w:rPr>
          <w:rFonts w:ascii="Palatino Linotype" w:hAnsi="Palatino Linotype"/>
        </w:rPr>
        <w:t xml:space="preserve"> si bien, </w:t>
      </w:r>
      <w:r w:rsidR="0039300A">
        <w:rPr>
          <w:rFonts w:ascii="Palatino Linotype" w:hAnsi="Palatino Linotype"/>
        </w:rPr>
        <w:t xml:space="preserve">el pronunciamiento de la </w:t>
      </w:r>
      <w:r w:rsidR="0039300A" w:rsidRPr="00AD5394">
        <w:rPr>
          <w:rFonts w:ascii="Palatino Linotype" w:hAnsi="Palatino Linotype"/>
        </w:rPr>
        <w:t>Unidad Administrativa</w:t>
      </w:r>
      <w:r>
        <w:rPr>
          <w:rFonts w:ascii="Palatino Linotype" w:hAnsi="Palatino Linotype"/>
        </w:rPr>
        <w:t xml:space="preserve"> competente</w:t>
      </w:r>
      <w:proofErr w:type="gramStart"/>
      <w:r>
        <w:rPr>
          <w:rFonts w:ascii="Palatino Linotype" w:hAnsi="Palatino Linotype"/>
        </w:rPr>
        <w:t xml:space="preserve">, </w:t>
      </w:r>
      <w:r w:rsidR="0039300A">
        <w:rPr>
          <w:rFonts w:ascii="Palatino Linotype" w:hAnsi="Palatino Linotype"/>
        </w:rPr>
        <w:t xml:space="preserve"> no</w:t>
      </w:r>
      <w:proofErr w:type="gramEnd"/>
      <w:r w:rsidR="0039300A">
        <w:rPr>
          <w:rFonts w:ascii="Palatino Linotype" w:hAnsi="Palatino Linotype"/>
        </w:rPr>
        <w:t xml:space="preserve"> satisface el requerimiento planteado por el particular, también lo es, que conforme a lo previsto por el artículo </w:t>
      </w:r>
      <w:r w:rsidR="0039300A" w:rsidRPr="00531ABD">
        <w:rPr>
          <w:rFonts w:ascii="Palatino Linotype" w:hAnsi="Palatino Linotype"/>
        </w:rPr>
        <w:t xml:space="preserve">166 de la Ley de Transparencia y Acceso a la Información Pública del Estado de México y Municipios, </w:t>
      </w:r>
      <w:r w:rsidR="0039300A">
        <w:rPr>
          <w:rFonts w:ascii="Palatino Linotype" w:hAnsi="Palatino Linotype"/>
        </w:rPr>
        <w:t>l</w:t>
      </w:r>
      <w:r w:rsidR="0039300A" w:rsidRPr="00531ABD">
        <w:rPr>
          <w:rFonts w:ascii="Palatino Linotype" w:hAnsi="Palatino Linotype"/>
        </w:rPr>
        <w:t>as dependencias y entidades estarán obligadas a entregar los documentos qu</w:t>
      </w:r>
      <w:r w:rsidR="00D274DA">
        <w:rPr>
          <w:rFonts w:ascii="Palatino Linotype" w:hAnsi="Palatino Linotype"/>
        </w:rPr>
        <w:t>e se encuentren en sus archivos.</w:t>
      </w:r>
    </w:p>
    <w:p w14:paraId="24D7297B" w14:textId="6AB703D3" w:rsidR="00D274DA" w:rsidRPr="007511F8" w:rsidRDefault="00D274DA" w:rsidP="00D274DA">
      <w:pPr>
        <w:spacing w:after="160" w:line="360" w:lineRule="auto"/>
        <w:jc w:val="both"/>
        <w:rPr>
          <w:rFonts w:ascii="Palatino Linotype" w:hAnsi="Palatino Linotype" w:cs="Arial"/>
        </w:rPr>
      </w:pPr>
      <w:r>
        <w:rPr>
          <w:rFonts w:ascii="Palatino Linotype" w:hAnsi="Palatino Linotype"/>
        </w:rPr>
        <w:t xml:space="preserve">Por lo que al haber manifestado que </w:t>
      </w:r>
      <w:r w:rsidRPr="00D274DA">
        <w:rPr>
          <w:rFonts w:ascii="Palatino Linotype" w:hAnsi="Palatino Linotype"/>
          <w:color w:val="000000"/>
        </w:rPr>
        <w:t>la información de interés</w:t>
      </w:r>
      <w:r>
        <w:rPr>
          <w:rFonts w:ascii="Palatino Linotype" w:hAnsi="Palatino Linotype"/>
          <w:color w:val="000000"/>
        </w:rPr>
        <w:t xml:space="preserve"> del particular no se ha generado ni se posee, se traduce en un </w:t>
      </w:r>
      <w:r w:rsidRPr="000B2903">
        <w:rPr>
          <w:rFonts w:ascii="Palatino Linotype" w:hAnsi="Palatino Linotype" w:cs="Arial"/>
        </w:rPr>
        <w:t xml:space="preserve">el hecho negativo, </w:t>
      </w:r>
      <w:r w:rsidR="00D74A70">
        <w:rPr>
          <w:rFonts w:ascii="Palatino Linotype" w:hAnsi="Palatino Linotype" w:cs="Arial"/>
        </w:rPr>
        <w:t xml:space="preserve">por lo que es </w:t>
      </w:r>
      <w:r w:rsidRPr="000B2903">
        <w:rPr>
          <w:rFonts w:ascii="Palatino Linotype" w:hAnsi="Palatino Linotype" w:cs="Arial"/>
        </w:rPr>
        <w:t xml:space="preserve">obvio que </w:t>
      </w:r>
      <w:r w:rsidR="00D74A70">
        <w:rPr>
          <w:rFonts w:ascii="Palatino Linotype" w:hAnsi="Palatino Linotype" w:cs="Arial"/>
        </w:rPr>
        <w:t>e</w:t>
      </w:r>
      <w:r w:rsidRPr="000B2903">
        <w:rPr>
          <w:rFonts w:ascii="Palatino Linotype" w:hAnsi="Palatino Linotype" w:cs="Arial"/>
        </w:rPr>
        <w:t>st</w:t>
      </w:r>
      <w:r w:rsidR="00D74A70">
        <w:rPr>
          <w:rFonts w:ascii="Palatino Linotype" w:hAnsi="Palatino Linotype" w:cs="Arial"/>
        </w:rPr>
        <w:t>á</w:t>
      </w:r>
      <w:r w:rsidRPr="000B2903">
        <w:rPr>
          <w:rFonts w:ascii="Palatino Linotype" w:hAnsi="Palatino Linotype" w:cs="Arial"/>
        </w:rPr>
        <w:t xml:space="preserve"> no puede fácticamente obrar en los archivos del </w:t>
      </w:r>
      <w:r w:rsidRPr="00D74A70">
        <w:rPr>
          <w:rFonts w:ascii="Palatino Linotype" w:hAnsi="Palatino Linotype" w:cs="Arial"/>
          <w:b/>
        </w:rPr>
        <w:t>Sujeto Obligado</w:t>
      </w:r>
      <w:r w:rsidRPr="000B2903">
        <w:rPr>
          <w:rFonts w:ascii="Palatino Linotype" w:hAnsi="Palatino Linotype" w:cs="Arial"/>
        </w:rPr>
        <w:t>, ya que no puede probarse por ser lógica y materialmente imposible.</w:t>
      </w:r>
    </w:p>
    <w:p w14:paraId="6D5F1B03" w14:textId="77777777" w:rsidR="00D274DA" w:rsidRPr="000B2903" w:rsidRDefault="00D274DA" w:rsidP="00D274DA">
      <w:pPr>
        <w:autoSpaceDE w:val="0"/>
        <w:autoSpaceDN w:val="0"/>
        <w:adjustRightInd w:val="0"/>
        <w:spacing w:before="240" w:after="360" w:line="360" w:lineRule="auto"/>
        <w:ind w:right="18"/>
        <w:jc w:val="both"/>
        <w:rPr>
          <w:rFonts w:ascii="Palatino Linotype" w:hAnsi="Palatino Linotype" w:cs="Arial"/>
        </w:rPr>
      </w:pPr>
      <w:r w:rsidRPr="000B2903">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2B10DF17" w14:textId="549703D3" w:rsidR="0039300A" w:rsidRPr="00C24C0B" w:rsidRDefault="00D274DA" w:rsidP="00D74A70">
      <w:pPr>
        <w:autoSpaceDE w:val="0"/>
        <w:autoSpaceDN w:val="0"/>
        <w:adjustRightInd w:val="0"/>
        <w:spacing w:before="240" w:after="240" w:line="360" w:lineRule="auto"/>
        <w:ind w:right="18"/>
        <w:jc w:val="both"/>
        <w:rPr>
          <w:rFonts w:ascii="Palatino Linotype" w:hAnsi="Palatino Linotype"/>
          <w:i/>
          <w:iCs/>
          <w:sz w:val="20"/>
        </w:rPr>
      </w:pPr>
      <w:r w:rsidRPr="000B2903">
        <w:rPr>
          <w:rFonts w:ascii="Palatino Linotype" w:hAnsi="Palatino Linotype"/>
        </w:rPr>
        <w:t>Así, y de conformidad con lo establecido en el artículo 1</w:t>
      </w:r>
      <w:r>
        <w:rPr>
          <w:rFonts w:ascii="Palatino Linotype" w:hAnsi="Palatino Linotype"/>
        </w:rPr>
        <w:t>2</w:t>
      </w:r>
      <w:r w:rsidRPr="000B2903">
        <w:rPr>
          <w:rFonts w:ascii="Palatino Linotype" w:hAnsi="Palatino Linotype"/>
        </w:rPr>
        <w:t xml:space="preserve"> de la Ley de Transparencia y Acceso a la Información Pública del Estado de México y Municipios el Sujeto Obligado sólo proporcionará la información que obra en sus archivos, lo que a</w:t>
      </w:r>
      <w:r w:rsidRPr="000B2903">
        <w:rPr>
          <w:rFonts w:ascii="Palatino Linotype" w:hAnsi="Palatino Linotype"/>
          <w:i/>
        </w:rPr>
        <w:t xml:space="preserve"> contrario sensu</w:t>
      </w:r>
      <w:r w:rsidRPr="000B2903">
        <w:rPr>
          <w:rFonts w:ascii="Palatino Linotype" w:hAnsi="Palatino Linotype"/>
        </w:rPr>
        <w:t xml:space="preserve"> significa que no se está obligado a proporcionar lo que no obre en sus archivos; por ende, las razones o motivos de inconformidad al respecto devienen infundados.</w:t>
      </w:r>
    </w:p>
    <w:p w14:paraId="414B4D9F" w14:textId="5DD2045B" w:rsidR="0039300A" w:rsidRDefault="0039300A" w:rsidP="0039300A">
      <w:pPr>
        <w:spacing w:before="240" w:after="240" w:line="360" w:lineRule="auto"/>
        <w:ind w:right="49"/>
        <w:jc w:val="both"/>
        <w:rPr>
          <w:rFonts w:ascii="Palatino Linotype" w:hAnsi="Palatino Linotype"/>
        </w:rPr>
      </w:pPr>
      <w:r>
        <w:rPr>
          <w:rFonts w:ascii="Palatino Linotype" w:hAnsi="Palatino Linotype"/>
        </w:rPr>
        <w:t xml:space="preserve">Por todo lo anterior, se tiene que el agravio señalado por el particular respecto a la negativa de la información deviene infundado, toda vez que el </w:t>
      </w:r>
      <w:r>
        <w:rPr>
          <w:rFonts w:ascii="Palatino Linotype" w:hAnsi="Palatino Linotype"/>
          <w:b/>
        </w:rPr>
        <w:t>Sujeto Obligado</w:t>
      </w:r>
      <w:r>
        <w:rPr>
          <w:rFonts w:ascii="Palatino Linotype" w:hAnsi="Palatino Linotype"/>
        </w:rPr>
        <w:t xml:space="preserve"> atendió el requerimiento de información, resultando procedente confirmar la respuesta proporcionada por el Ayuntamiento de </w:t>
      </w:r>
      <w:r w:rsidR="009B6790">
        <w:rPr>
          <w:rFonts w:ascii="Palatino Linotype" w:hAnsi="Palatino Linotype"/>
        </w:rPr>
        <w:t>Lerma</w:t>
      </w:r>
      <w:r>
        <w:rPr>
          <w:rFonts w:ascii="Palatino Linotype" w:hAnsi="Palatino Linotype"/>
        </w:rPr>
        <w:t xml:space="preserve">, en términos del artículo </w:t>
      </w:r>
      <w:r>
        <w:rPr>
          <w:rFonts w:ascii="Palatino Linotype" w:hAnsi="Palatino Linotype"/>
        </w:rPr>
        <w:lastRenderedPageBreak/>
        <w:t>186 fracción II de la Ley de Transparencia y Acceso a la Información Pública del Estado de México y Municipios.</w:t>
      </w:r>
    </w:p>
    <w:p w14:paraId="4FDCD430" w14:textId="1B93182E" w:rsidR="00516E6A" w:rsidRPr="00143EC9" w:rsidRDefault="001708DC" w:rsidP="007941D2">
      <w:pPr>
        <w:spacing w:before="240" w:after="240" w:line="360" w:lineRule="auto"/>
        <w:jc w:val="both"/>
        <w:rPr>
          <w:rFonts w:ascii="Arial" w:hAnsi="Arial" w:cs="Arial"/>
          <w:lang w:val="es-MX" w:eastAsia="es-MX"/>
        </w:rPr>
      </w:pPr>
      <w:r w:rsidRPr="00143EC9">
        <w:rPr>
          <w:rFonts w:ascii="Palatino Linotype" w:hAnsi="Palatino Linotype" w:cs="Arial"/>
          <w:lang w:eastAsia="es-MX"/>
        </w:rPr>
        <w:t>Así</w:t>
      </w:r>
      <w:r w:rsidR="00516E6A" w:rsidRPr="00143EC9">
        <w:rPr>
          <w:rFonts w:ascii="Palatino Linotype" w:hAnsi="Palatino Linotype" w:cs="Arial"/>
          <w:lang w:eastAsia="es-MX"/>
        </w:rPr>
        <w:t xml:space="preserve">, con fundamento en lo prescrito en los artículos 5 párrafos </w:t>
      </w:r>
      <w:r w:rsidR="00411E87">
        <w:rPr>
          <w:rFonts w:ascii="Palatino Linotype" w:hAnsi="Palatino Linotype"/>
          <w:shd w:val="clear" w:color="auto" w:fill="FFFFFF"/>
        </w:rPr>
        <w:t>trigésimo, trigésimo primero y trigésimo segundo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08E1EA29" w14:textId="38B68711" w:rsidR="0039300A" w:rsidRPr="00295751" w:rsidRDefault="0039300A" w:rsidP="0039300A">
      <w:pPr>
        <w:autoSpaceDE w:val="0"/>
        <w:autoSpaceDN w:val="0"/>
        <w:adjustRightInd w:val="0"/>
        <w:spacing w:before="240" w:after="240" w:line="360" w:lineRule="auto"/>
        <w:jc w:val="both"/>
        <w:rPr>
          <w:rFonts w:ascii="Palatino Linotype" w:hAnsi="Palatino Linotype" w:cs="Arial"/>
          <w:b/>
        </w:rPr>
      </w:pPr>
      <w:r w:rsidRPr="00295751">
        <w:rPr>
          <w:rFonts w:ascii="Palatino Linotype" w:hAnsi="Palatino Linotype" w:cs="Arial"/>
          <w:b/>
          <w:sz w:val="28"/>
          <w:szCs w:val="28"/>
        </w:rPr>
        <w:t xml:space="preserve">PRIMERO. </w:t>
      </w:r>
      <w:r w:rsidRPr="00295751">
        <w:rPr>
          <w:rFonts w:ascii="Palatino Linotype" w:hAnsi="Palatino Linotype" w:cs="Arial"/>
        </w:rPr>
        <w:t xml:space="preserve">Resulta infundado el motivo de inconformidad planteado por la </w:t>
      </w:r>
      <w:r w:rsidRPr="00295751">
        <w:rPr>
          <w:rFonts w:ascii="Palatino Linotype" w:hAnsi="Palatino Linotype" w:cs="Arial"/>
          <w:b/>
          <w:i/>
        </w:rPr>
        <w:t xml:space="preserve">Recurrente, </w:t>
      </w:r>
      <w:r w:rsidRPr="00295751">
        <w:rPr>
          <w:rFonts w:ascii="Palatino Linotype" w:hAnsi="Palatino Linotype" w:cs="Arial"/>
        </w:rPr>
        <w:t xml:space="preserve">por lo que resulta procedente </w:t>
      </w:r>
      <w:r w:rsidRPr="00295751">
        <w:rPr>
          <w:rFonts w:ascii="Palatino Linotype" w:hAnsi="Palatino Linotype" w:cs="Arial"/>
          <w:b/>
        </w:rPr>
        <w:t xml:space="preserve">CONFIRMAR </w:t>
      </w:r>
      <w:r w:rsidRPr="00295751">
        <w:rPr>
          <w:rFonts w:ascii="Palatino Linotype" w:hAnsi="Palatino Linotype" w:cs="Arial"/>
        </w:rPr>
        <w:t xml:space="preserve">la respuesta emitida por </w:t>
      </w:r>
      <w:r>
        <w:rPr>
          <w:rFonts w:ascii="Palatino Linotype" w:hAnsi="Palatino Linotype" w:cs="Arial"/>
        </w:rPr>
        <w:t>el</w:t>
      </w:r>
      <w:r w:rsidRPr="00295751">
        <w:rPr>
          <w:rFonts w:ascii="Palatino Linotype" w:hAnsi="Palatino Linotype" w:cs="Arial"/>
        </w:rPr>
        <w:t xml:space="preserve"> </w:t>
      </w:r>
      <w:r>
        <w:rPr>
          <w:rFonts w:ascii="Palatino Linotype" w:eastAsiaTheme="minorEastAsia" w:hAnsi="Palatino Linotype" w:cs="Arial"/>
          <w:b/>
          <w:lang w:val="es-MX"/>
        </w:rPr>
        <w:t xml:space="preserve">Ayuntamiento de </w:t>
      </w:r>
      <w:r w:rsidR="009B6790">
        <w:rPr>
          <w:rFonts w:ascii="Palatino Linotype" w:eastAsiaTheme="minorEastAsia" w:hAnsi="Palatino Linotype" w:cs="Arial"/>
          <w:b/>
          <w:lang w:val="es-MX"/>
        </w:rPr>
        <w:t>Lerma</w:t>
      </w:r>
      <w:r w:rsidRPr="00295751">
        <w:rPr>
          <w:rFonts w:ascii="Palatino Linotype" w:eastAsiaTheme="minorEastAsia" w:hAnsi="Palatino Linotype" w:cs="Arial"/>
          <w:b/>
          <w:lang w:val="es-MX"/>
        </w:rPr>
        <w:t xml:space="preserve"> </w:t>
      </w:r>
      <w:r w:rsidRPr="00295751">
        <w:rPr>
          <w:rFonts w:ascii="Palatino Linotype" w:eastAsiaTheme="minorEastAsia" w:hAnsi="Palatino Linotype" w:cs="Arial"/>
          <w:lang w:val="es-MX"/>
        </w:rPr>
        <w:t xml:space="preserve">a la </w:t>
      </w:r>
      <w:r w:rsidRPr="00295751">
        <w:rPr>
          <w:rFonts w:ascii="Palatino Linotype" w:hAnsi="Palatino Linotype" w:cs="Arial"/>
        </w:rPr>
        <w:t xml:space="preserve">solicitud de acceso a la información pública número </w:t>
      </w:r>
      <w:r>
        <w:rPr>
          <w:rFonts w:ascii="Palatino Linotype" w:hAnsi="Palatino Linotype"/>
          <w:b/>
          <w:bCs/>
        </w:rPr>
        <w:t>00</w:t>
      </w:r>
      <w:r w:rsidR="009B6790">
        <w:rPr>
          <w:rFonts w:ascii="Palatino Linotype" w:hAnsi="Palatino Linotype"/>
          <w:b/>
          <w:bCs/>
        </w:rPr>
        <w:t>117</w:t>
      </w:r>
      <w:r>
        <w:rPr>
          <w:rFonts w:ascii="Palatino Linotype" w:hAnsi="Palatino Linotype"/>
          <w:b/>
          <w:bCs/>
        </w:rPr>
        <w:t>/</w:t>
      </w:r>
      <w:r w:rsidR="009B6790">
        <w:rPr>
          <w:rFonts w:ascii="Palatino Linotype" w:hAnsi="Palatino Linotype"/>
          <w:b/>
          <w:bCs/>
        </w:rPr>
        <w:t>LERMA/</w:t>
      </w:r>
      <w:r>
        <w:rPr>
          <w:rFonts w:ascii="Palatino Linotype" w:hAnsi="Palatino Linotype"/>
          <w:b/>
          <w:bCs/>
        </w:rPr>
        <w:t>IP/2021</w:t>
      </w:r>
      <w:r w:rsidRPr="00295751">
        <w:rPr>
          <w:rFonts w:ascii="Palatino Linotype" w:hAnsi="Palatino Linotype" w:cs="Arial"/>
        </w:rPr>
        <w:t>, con base en las razones expuestas en el Considerando Cuarto de esta resolución.</w:t>
      </w:r>
    </w:p>
    <w:p w14:paraId="5DE0DA25" w14:textId="77777777" w:rsidR="0039300A" w:rsidRPr="00295751" w:rsidRDefault="0039300A" w:rsidP="0039300A">
      <w:pPr>
        <w:spacing w:before="240" w:after="240" w:line="360" w:lineRule="auto"/>
        <w:jc w:val="both"/>
        <w:rPr>
          <w:rFonts w:ascii="Palatino Linotype" w:hAnsi="Palatino Linotype"/>
        </w:rPr>
      </w:pPr>
      <w:r w:rsidRPr="00295751">
        <w:rPr>
          <w:rFonts w:ascii="Palatino Linotype" w:hAnsi="Palatino Linotype" w:cs="Arial"/>
          <w:b/>
          <w:sz w:val="28"/>
          <w:szCs w:val="28"/>
          <w:lang w:val="es-MX" w:eastAsia="es-MX"/>
        </w:rPr>
        <w:t>SEGUNDO</w:t>
      </w:r>
      <w:r w:rsidRPr="00295751">
        <w:rPr>
          <w:rFonts w:ascii="Palatino Linotype" w:hAnsi="Palatino Linotype" w:cs="Arial"/>
          <w:b/>
          <w:bCs/>
          <w:shd w:val="clear" w:color="auto" w:fill="FFFFFF"/>
        </w:rPr>
        <w:t>. Remítase </w:t>
      </w:r>
      <w:r w:rsidRPr="00295751">
        <w:rPr>
          <w:rFonts w:ascii="Palatino Linotype" w:hAnsi="Palatino Linotype"/>
        </w:rPr>
        <w:t>vía SAIMEX la presente resolución al Titular de la Unidad de Transparencia del Sujeto Obligado.</w:t>
      </w:r>
    </w:p>
    <w:p w14:paraId="161DA093" w14:textId="77777777" w:rsidR="0039300A" w:rsidRPr="00295751" w:rsidRDefault="0039300A" w:rsidP="0039300A">
      <w:pPr>
        <w:spacing w:before="240" w:after="240" w:line="360" w:lineRule="auto"/>
        <w:jc w:val="both"/>
        <w:rPr>
          <w:rFonts w:ascii="Palatino Linotype" w:hAnsi="Palatino Linotype" w:cs="Arial"/>
        </w:rPr>
      </w:pPr>
      <w:r w:rsidRPr="00295751">
        <w:rPr>
          <w:rFonts w:ascii="Palatino Linotype" w:hAnsi="Palatino Linotype" w:cs="Arial"/>
          <w:b/>
          <w:sz w:val="28"/>
          <w:szCs w:val="28"/>
        </w:rPr>
        <w:t>TERCERO</w:t>
      </w:r>
      <w:r w:rsidRPr="00295751">
        <w:rPr>
          <w:rFonts w:ascii="Palatino Linotype" w:hAnsi="Palatino Linotype" w:cs="Arial"/>
          <w:b/>
          <w:sz w:val="28"/>
        </w:rPr>
        <w:t>.</w:t>
      </w:r>
      <w:r w:rsidRPr="00295751">
        <w:rPr>
          <w:rFonts w:ascii="Palatino Linotype" w:hAnsi="Palatino Linotype" w:cs="Arial"/>
          <w:b/>
        </w:rPr>
        <w:t xml:space="preserve"> Hágase del conocimiento</w:t>
      </w:r>
      <w:r w:rsidRPr="00295751">
        <w:rPr>
          <w:rFonts w:ascii="Palatino Linotype" w:hAnsi="Palatino Linotype" w:cs="Arial"/>
        </w:rPr>
        <w:t xml:space="preserve"> de la recurrente,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343262FC" w14:textId="106E4FF9" w:rsidR="00EB72E4" w:rsidRDefault="00EB72E4" w:rsidP="00EB72E4">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 xml:space="preserve">TRIGÉSIMA </w:t>
      </w:r>
      <w:r w:rsidR="00F4119D">
        <w:rPr>
          <w:rFonts w:ascii="Palatino Linotype" w:hAnsi="Palatino Linotype" w:cs="Arial"/>
        </w:rPr>
        <w:t>OCTAVA</w:t>
      </w:r>
      <w:r w:rsidRPr="00201EE7">
        <w:rPr>
          <w:rFonts w:ascii="Palatino Linotype" w:hAnsi="Palatino Linotype" w:cs="Arial"/>
        </w:rPr>
        <w:t xml:space="preserve"> SESIÓN ORDINARIA CELEBRADA EL </w:t>
      </w:r>
      <w:r w:rsidR="00F4119D">
        <w:rPr>
          <w:rFonts w:ascii="Palatino Linotype" w:hAnsi="Palatino Linotype" w:cs="Arial"/>
        </w:rPr>
        <w:t>VEINTISIETE DE OCTUBRE D</w:t>
      </w:r>
      <w:r w:rsidRPr="00201EE7">
        <w:rPr>
          <w:rFonts w:ascii="Palatino Linotype" w:hAnsi="Palatino Linotype" w:cs="Arial"/>
        </w:rPr>
        <w:t>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8"/>
      <w:footerReference w:type="default" r:id="rId9"/>
      <w:headerReference w:type="first" r:id="rId10"/>
      <w:footerReference w:type="first" r:id="rId11"/>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D98C5" w14:textId="77777777" w:rsidR="00476433" w:rsidRDefault="00476433" w:rsidP="00C80F8C">
      <w:r>
        <w:separator/>
      </w:r>
    </w:p>
  </w:endnote>
  <w:endnote w:type="continuationSeparator" w:id="0">
    <w:p w14:paraId="40BB4EDE" w14:textId="77777777" w:rsidR="00476433" w:rsidRDefault="004764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98FED6D" w:rsidR="003D550C" w:rsidRDefault="003D55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39C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39C7">
      <w:rPr>
        <w:rFonts w:ascii="Arial" w:hAnsi="Arial" w:cs="Arial"/>
        <w:b/>
        <w:bCs/>
        <w:noProof/>
        <w:sz w:val="20"/>
        <w:szCs w:val="20"/>
      </w:rPr>
      <w:t>21</w:t>
    </w:r>
    <w:r>
      <w:rPr>
        <w:rFonts w:ascii="Arial" w:hAnsi="Arial" w:cs="Arial"/>
        <w:b/>
        <w:bCs/>
        <w:sz w:val="20"/>
        <w:szCs w:val="20"/>
      </w:rPr>
      <w:fldChar w:fldCharType="end"/>
    </w:r>
  </w:p>
  <w:p w14:paraId="1192A578" w14:textId="77777777" w:rsidR="003D550C" w:rsidRDefault="003D550C" w:rsidP="00935A0D">
    <w:pPr>
      <w:pStyle w:val="Piedepgina"/>
      <w:rPr>
        <w:rFonts w:ascii="Times New Roman" w:hAnsi="Times New Roman" w:cs="Times New Roman"/>
      </w:rPr>
    </w:pPr>
  </w:p>
  <w:p w14:paraId="14A770F8" w14:textId="77777777" w:rsidR="003D550C" w:rsidRDefault="003D550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C480D9" w:rsidR="003D550C" w:rsidRDefault="003D55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39C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39C7">
      <w:rPr>
        <w:rFonts w:ascii="Arial" w:hAnsi="Arial" w:cs="Arial"/>
        <w:b/>
        <w:bCs/>
        <w:noProof/>
        <w:sz w:val="20"/>
        <w:szCs w:val="20"/>
      </w:rPr>
      <w:t>21</w:t>
    </w:r>
    <w:r>
      <w:rPr>
        <w:rFonts w:ascii="Arial" w:hAnsi="Arial" w:cs="Arial"/>
        <w:b/>
        <w:bCs/>
        <w:sz w:val="20"/>
        <w:szCs w:val="20"/>
      </w:rPr>
      <w:fldChar w:fldCharType="end"/>
    </w:r>
  </w:p>
  <w:p w14:paraId="5D98ABD5" w14:textId="77777777" w:rsidR="003D550C" w:rsidRDefault="003D55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9F30F" w14:textId="77777777" w:rsidR="00476433" w:rsidRDefault="00476433" w:rsidP="00C80F8C">
      <w:r>
        <w:separator/>
      </w:r>
    </w:p>
  </w:footnote>
  <w:footnote w:type="continuationSeparator" w:id="0">
    <w:p w14:paraId="2471557D" w14:textId="77777777" w:rsidR="00476433" w:rsidRDefault="0047643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3D550C" w14:paraId="6B4E3B81" w14:textId="77777777" w:rsidTr="009D4854">
      <w:tc>
        <w:tcPr>
          <w:tcW w:w="2553" w:type="dxa"/>
          <w:vAlign w:val="center"/>
          <w:hideMark/>
        </w:tcPr>
        <w:p w14:paraId="0ABBC6C0" w14:textId="3D35EB5A"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871FAF1" w:rsidR="003D550C" w:rsidRDefault="003D550C"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D502E">
            <w:rPr>
              <w:rFonts w:ascii="Palatino Linotype" w:eastAsiaTheme="minorEastAsia" w:hAnsi="Palatino Linotype" w:cs="Arial"/>
              <w:b/>
              <w:bCs/>
              <w:sz w:val="22"/>
              <w:szCs w:val="22"/>
              <w:lang w:val="es-MX"/>
            </w:rPr>
            <w:t>43</w:t>
          </w:r>
          <w:r w:rsidR="008D3054">
            <w:rPr>
              <w:rFonts w:ascii="Palatino Linotype" w:eastAsiaTheme="minorEastAsia" w:hAnsi="Palatino Linotype" w:cs="Arial"/>
              <w:b/>
              <w:bCs/>
              <w:sz w:val="22"/>
              <w:szCs w:val="22"/>
              <w:lang w:val="es-MX"/>
            </w:rPr>
            <w:t>9</w:t>
          </w:r>
          <w:r w:rsidR="009D502E">
            <w:rPr>
              <w:rFonts w:ascii="Palatino Linotype" w:eastAsiaTheme="minorEastAsia" w:hAnsi="Palatino Linotype" w:cs="Arial"/>
              <w:b/>
              <w:bCs/>
              <w:sz w:val="22"/>
              <w:szCs w:val="22"/>
              <w:lang w:val="es-MX"/>
            </w:rPr>
            <w:t>9</w:t>
          </w:r>
          <w:r>
            <w:rPr>
              <w:rFonts w:ascii="Palatino Linotype" w:eastAsiaTheme="minorEastAsia" w:hAnsi="Palatino Linotype" w:cs="Arial"/>
              <w:b/>
              <w:bCs/>
              <w:sz w:val="22"/>
              <w:szCs w:val="22"/>
              <w:lang w:val="es-MX"/>
            </w:rPr>
            <w:t>/INFOEM/IP/RR/2021</w:t>
          </w:r>
        </w:p>
      </w:tc>
    </w:tr>
    <w:tr w:rsidR="003D550C" w14:paraId="31CB780F" w14:textId="77777777" w:rsidTr="009D4854">
      <w:trPr>
        <w:trHeight w:val="228"/>
      </w:trPr>
      <w:tc>
        <w:tcPr>
          <w:tcW w:w="2553" w:type="dxa"/>
          <w:vAlign w:val="center"/>
          <w:hideMark/>
        </w:tcPr>
        <w:p w14:paraId="4F49CB4A" w14:textId="6966D32E"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A43D9C9" w:rsidR="003D550C" w:rsidRDefault="003D550C" w:rsidP="008D3054">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8D3054">
            <w:rPr>
              <w:rFonts w:ascii="Palatino Linotype" w:eastAsiaTheme="minorEastAsia" w:hAnsi="Palatino Linotype" w:cs="Arial"/>
              <w:b/>
              <w:sz w:val="22"/>
              <w:szCs w:val="22"/>
              <w:lang w:val="es-MX"/>
            </w:rPr>
            <w:t>Lerma</w:t>
          </w:r>
        </w:p>
      </w:tc>
    </w:tr>
    <w:tr w:rsidR="003D550C" w14:paraId="69050F56" w14:textId="77777777" w:rsidTr="009D4854">
      <w:tc>
        <w:tcPr>
          <w:tcW w:w="2553" w:type="dxa"/>
          <w:vAlign w:val="center"/>
          <w:hideMark/>
        </w:tcPr>
        <w:p w14:paraId="65C9B735" w14:textId="34B26B2C"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9D502E">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0E27D6CA" w:rsidR="003D550C" w:rsidRDefault="009D502E"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3D550C" w:rsidRDefault="003D550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D550C" w:rsidRDefault="003D550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3D550C" w:rsidRDefault="003D550C"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3D550C" w14:paraId="477E149B" w14:textId="77777777" w:rsidTr="00C47D1B">
      <w:tc>
        <w:tcPr>
          <w:tcW w:w="2553" w:type="dxa"/>
          <w:vAlign w:val="center"/>
          <w:hideMark/>
        </w:tcPr>
        <w:p w14:paraId="5C0586E4" w14:textId="77777777"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FBF4AF2" w:rsidR="003D550C" w:rsidRPr="004440AC" w:rsidRDefault="003D550C"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D502E">
            <w:rPr>
              <w:rFonts w:ascii="Palatino Linotype" w:eastAsiaTheme="minorEastAsia" w:hAnsi="Palatino Linotype" w:cs="Arial"/>
              <w:b/>
              <w:bCs/>
              <w:sz w:val="22"/>
              <w:szCs w:val="22"/>
              <w:lang w:val="es-MX"/>
            </w:rPr>
            <w:t>43</w:t>
          </w:r>
          <w:r w:rsidR="008D3054">
            <w:rPr>
              <w:rFonts w:ascii="Palatino Linotype" w:eastAsiaTheme="minorEastAsia" w:hAnsi="Palatino Linotype" w:cs="Arial"/>
              <w:b/>
              <w:bCs/>
              <w:sz w:val="22"/>
              <w:szCs w:val="22"/>
              <w:lang w:val="es-MX"/>
            </w:rPr>
            <w:t>9</w:t>
          </w:r>
          <w:r w:rsidR="009D502E">
            <w:rPr>
              <w:rFonts w:ascii="Palatino Linotype" w:eastAsiaTheme="minorEastAsia" w:hAnsi="Palatino Linotype" w:cs="Arial"/>
              <w:b/>
              <w:bCs/>
              <w:sz w:val="22"/>
              <w:szCs w:val="22"/>
              <w:lang w:val="es-MX"/>
            </w:rPr>
            <w:t>9</w:t>
          </w:r>
          <w:r>
            <w:rPr>
              <w:rFonts w:ascii="Palatino Linotype" w:eastAsiaTheme="minorEastAsia" w:hAnsi="Palatino Linotype" w:cs="Arial"/>
              <w:b/>
              <w:bCs/>
              <w:sz w:val="22"/>
              <w:szCs w:val="22"/>
              <w:lang w:val="es-MX"/>
            </w:rPr>
            <w:t>/INFOEM/IP/RR/2021</w:t>
          </w:r>
        </w:p>
      </w:tc>
    </w:tr>
    <w:tr w:rsidR="003D550C" w14:paraId="5B5BE21C" w14:textId="77777777" w:rsidTr="00C47D1B">
      <w:tc>
        <w:tcPr>
          <w:tcW w:w="2553" w:type="dxa"/>
          <w:vAlign w:val="center"/>
          <w:hideMark/>
        </w:tcPr>
        <w:p w14:paraId="4AE96902" w14:textId="4E063913"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7CDB113" w:rsidR="003D550C" w:rsidRPr="004440AC" w:rsidRDefault="000D39C7" w:rsidP="009D502E">
          <w:pPr>
            <w:rPr>
              <w:rFonts w:ascii="Palatino Linotype" w:hAnsi="Palatino Linotype"/>
              <w:b/>
              <w:sz w:val="22"/>
              <w:szCs w:val="22"/>
              <w:lang w:val="es-ES_tradnl"/>
            </w:rPr>
          </w:pPr>
          <w:r>
            <w:rPr>
              <w:rFonts w:ascii="Palatino Linotype" w:hAnsi="Palatino Linotype"/>
              <w:b/>
              <w:sz w:val="22"/>
              <w:szCs w:val="22"/>
              <w:lang w:val="es-ES_tradnl"/>
            </w:rPr>
            <w:t>XXXXXXXXX</w:t>
          </w:r>
          <w:r w:rsidR="008D305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3D550C" w14:paraId="22601A11" w14:textId="77777777" w:rsidTr="00C47D1B">
      <w:trPr>
        <w:trHeight w:val="228"/>
      </w:trPr>
      <w:tc>
        <w:tcPr>
          <w:tcW w:w="2553" w:type="dxa"/>
          <w:vAlign w:val="center"/>
          <w:hideMark/>
        </w:tcPr>
        <w:p w14:paraId="6EFE221D" w14:textId="49C5F800"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C8D5055" w:rsidR="003D550C" w:rsidRPr="004440AC" w:rsidRDefault="003D550C" w:rsidP="008D3054">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8D3054">
            <w:rPr>
              <w:rFonts w:ascii="Palatino Linotype" w:eastAsiaTheme="minorEastAsia" w:hAnsi="Palatino Linotype" w:cs="Arial"/>
              <w:b/>
              <w:sz w:val="22"/>
              <w:szCs w:val="22"/>
              <w:lang w:val="es-MX"/>
            </w:rPr>
            <w:t>Lerma</w:t>
          </w:r>
        </w:p>
      </w:tc>
    </w:tr>
    <w:tr w:rsidR="003D550C" w14:paraId="2D6C630E" w14:textId="77777777" w:rsidTr="00C47D1B">
      <w:tc>
        <w:tcPr>
          <w:tcW w:w="2553" w:type="dxa"/>
          <w:vAlign w:val="center"/>
          <w:hideMark/>
        </w:tcPr>
        <w:p w14:paraId="5BD4C6DB" w14:textId="0E7E2158"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9D502E">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182FCFE6" w:rsidR="003D550C" w:rsidRPr="004440AC" w:rsidRDefault="009D502E"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3D550C" w:rsidRDefault="003D550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D1EFC"/>
    <w:multiLevelType w:val="hybridMultilevel"/>
    <w:tmpl w:val="C736E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A2F17"/>
    <w:multiLevelType w:val="hybridMultilevel"/>
    <w:tmpl w:val="62749640"/>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D3B6FE4"/>
    <w:multiLevelType w:val="hybridMultilevel"/>
    <w:tmpl w:val="BE682B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B55DE5"/>
    <w:multiLevelType w:val="hybridMultilevel"/>
    <w:tmpl w:val="D4C08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795866"/>
    <w:multiLevelType w:val="hybridMultilevel"/>
    <w:tmpl w:val="D916C25E"/>
    <w:lvl w:ilvl="0" w:tplc="FF529926">
      <w:start w:val="1"/>
      <w:numFmt w:val="decimal"/>
      <w:lvlText w:val="%1."/>
      <w:lvlJc w:val="left"/>
      <w:pPr>
        <w:ind w:left="720" w:hanging="36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6"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1"/>
  </w:num>
  <w:num w:numId="3">
    <w:abstractNumId w:val="25"/>
  </w:num>
  <w:num w:numId="4">
    <w:abstractNumId w:val="13"/>
  </w:num>
  <w:num w:numId="5">
    <w:abstractNumId w:val="22"/>
  </w:num>
  <w:num w:numId="6">
    <w:abstractNumId w:val="31"/>
  </w:num>
  <w:num w:numId="7">
    <w:abstractNumId w:val="28"/>
  </w:num>
  <w:num w:numId="8">
    <w:abstractNumId w:val="21"/>
  </w:num>
  <w:num w:numId="9">
    <w:abstractNumId w:val="19"/>
  </w:num>
  <w:num w:numId="10">
    <w:abstractNumId w:val="6"/>
  </w:num>
  <w:num w:numId="11">
    <w:abstractNumId w:val="0"/>
  </w:num>
  <w:num w:numId="12">
    <w:abstractNumId w:val="17"/>
  </w:num>
  <w:num w:numId="13">
    <w:abstractNumId w:val="27"/>
  </w:num>
  <w:num w:numId="14">
    <w:abstractNumId w:val="29"/>
  </w:num>
  <w:num w:numId="15">
    <w:abstractNumId w:val="8"/>
  </w:num>
  <w:num w:numId="16">
    <w:abstractNumId w:val="5"/>
  </w:num>
  <w:num w:numId="17">
    <w:abstractNumId w:val="7"/>
  </w:num>
  <w:num w:numId="18">
    <w:abstractNumId w:val="26"/>
  </w:num>
  <w:num w:numId="19">
    <w:abstractNumId w:val="3"/>
  </w:num>
  <w:num w:numId="20">
    <w:abstractNumId w:val="12"/>
  </w:num>
  <w:num w:numId="21">
    <w:abstractNumId w:val="30"/>
  </w:num>
  <w:num w:numId="22">
    <w:abstractNumId w:val="4"/>
  </w:num>
  <w:num w:numId="23">
    <w:abstractNumId w:val="23"/>
  </w:num>
  <w:num w:numId="24">
    <w:abstractNumId w:val="15"/>
  </w:num>
  <w:num w:numId="25">
    <w:abstractNumId w:val="14"/>
  </w:num>
  <w:num w:numId="26">
    <w:abstractNumId w:val="32"/>
  </w:num>
  <w:num w:numId="27">
    <w:abstractNumId w:val="9"/>
  </w:num>
  <w:num w:numId="28">
    <w:abstractNumId w:val="1"/>
  </w:num>
  <w:num w:numId="29">
    <w:abstractNumId w:val="2"/>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6"/>
  </w:num>
  <w:num w:numId="3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7714"/>
    <w:rsid w:val="000C77C6"/>
    <w:rsid w:val="000C7C04"/>
    <w:rsid w:val="000D33E5"/>
    <w:rsid w:val="000D3579"/>
    <w:rsid w:val="000D39C7"/>
    <w:rsid w:val="000D3E7D"/>
    <w:rsid w:val="000D687E"/>
    <w:rsid w:val="000E32E4"/>
    <w:rsid w:val="000F2A42"/>
    <w:rsid w:val="00101C1A"/>
    <w:rsid w:val="00104E08"/>
    <w:rsid w:val="00105D51"/>
    <w:rsid w:val="0010696A"/>
    <w:rsid w:val="001110FC"/>
    <w:rsid w:val="00112892"/>
    <w:rsid w:val="00114DDF"/>
    <w:rsid w:val="00115AAD"/>
    <w:rsid w:val="00116A91"/>
    <w:rsid w:val="001212E7"/>
    <w:rsid w:val="00124762"/>
    <w:rsid w:val="00130216"/>
    <w:rsid w:val="00130642"/>
    <w:rsid w:val="001306E4"/>
    <w:rsid w:val="00136083"/>
    <w:rsid w:val="001373DC"/>
    <w:rsid w:val="00140C79"/>
    <w:rsid w:val="00141F78"/>
    <w:rsid w:val="00143967"/>
    <w:rsid w:val="00143EC9"/>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A4A26"/>
    <w:rsid w:val="001B5099"/>
    <w:rsid w:val="001B6BAF"/>
    <w:rsid w:val="001B6BDC"/>
    <w:rsid w:val="001C0C3F"/>
    <w:rsid w:val="001C4BAC"/>
    <w:rsid w:val="001C4C05"/>
    <w:rsid w:val="001C7229"/>
    <w:rsid w:val="001D064E"/>
    <w:rsid w:val="001D54C7"/>
    <w:rsid w:val="001E1C02"/>
    <w:rsid w:val="001E39C4"/>
    <w:rsid w:val="001E5309"/>
    <w:rsid w:val="001E64BE"/>
    <w:rsid w:val="001F1B46"/>
    <w:rsid w:val="001F1F7D"/>
    <w:rsid w:val="001F501F"/>
    <w:rsid w:val="0020054B"/>
    <w:rsid w:val="00201E21"/>
    <w:rsid w:val="00204C2A"/>
    <w:rsid w:val="00205DAE"/>
    <w:rsid w:val="00212FE4"/>
    <w:rsid w:val="00215922"/>
    <w:rsid w:val="00220958"/>
    <w:rsid w:val="00221545"/>
    <w:rsid w:val="00222F65"/>
    <w:rsid w:val="00223D0B"/>
    <w:rsid w:val="002317AF"/>
    <w:rsid w:val="0023264F"/>
    <w:rsid w:val="00233157"/>
    <w:rsid w:val="0023380E"/>
    <w:rsid w:val="00233F88"/>
    <w:rsid w:val="00236CE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42F7"/>
    <w:rsid w:val="002D508B"/>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2143"/>
    <w:rsid w:val="00333ADB"/>
    <w:rsid w:val="00333C7C"/>
    <w:rsid w:val="003349F4"/>
    <w:rsid w:val="00335047"/>
    <w:rsid w:val="003353EE"/>
    <w:rsid w:val="00340B86"/>
    <w:rsid w:val="00340D76"/>
    <w:rsid w:val="0034200B"/>
    <w:rsid w:val="0034256E"/>
    <w:rsid w:val="00343057"/>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300A"/>
    <w:rsid w:val="00396E0C"/>
    <w:rsid w:val="00397C2A"/>
    <w:rsid w:val="003A11DD"/>
    <w:rsid w:val="003A2B96"/>
    <w:rsid w:val="003A43BF"/>
    <w:rsid w:val="003A5A6E"/>
    <w:rsid w:val="003A6186"/>
    <w:rsid w:val="003A622D"/>
    <w:rsid w:val="003A7920"/>
    <w:rsid w:val="003B72E9"/>
    <w:rsid w:val="003B7752"/>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233B"/>
    <w:rsid w:val="00405F96"/>
    <w:rsid w:val="00410650"/>
    <w:rsid w:val="004106C1"/>
    <w:rsid w:val="00411E87"/>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2417"/>
    <w:rsid w:val="00464624"/>
    <w:rsid w:val="004654E0"/>
    <w:rsid w:val="004677F9"/>
    <w:rsid w:val="00476433"/>
    <w:rsid w:val="0047775E"/>
    <w:rsid w:val="00482731"/>
    <w:rsid w:val="0048286C"/>
    <w:rsid w:val="00483A0F"/>
    <w:rsid w:val="0048589D"/>
    <w:rsid w:val="004878C1"/>
    <w:rsid w:val="00487F15"/>
    <w:rsid w:val="004912A0"/>
    <w:rsid w:val="004928DE"/>
    <w:rsid w:val="00493188"/>
    <w:rsid w:val="00493E2F"/>
    <w:rsid w:val="00494BE7"/>
    <w:rsid w:val="0049576C"/>
    <w:rsid w:val="004A0EA8"/>
    <w:rsid w:val="004A14D9"/>
    <w:rsid w:val="004A21F6"/>
    <w:rsid w:val="004A4B61"/>
    <w:rsid w:val="004A6592"/>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D7199"/>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1BA4"/>
    <w:rsid w:val="00552D59"/>
    <w:rsid w:val="0056588E"/>
    <w:rsid w:val="00571374"/>
    <w:rsid w:val="00571391"/>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7EC"/>
    <w:rsid w:val="005F0F9A"/>
    <w:rsid w:val="005F10CF"/>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21F6"/>
    <w:rsid w:val="00633AB7"/>
    <w:rsid w:val="00634485"/>
    <w:rsid w:val="006345A0"/>
    <w:rsid w:val="00637C16"/>
    <w:rsid w:val="006445D2"/>
    <w:rsid w:val="006449D2"/>
    <w:rsid w:val="0064598A"/>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21D9"/>
    <w:rsid w:val="00692AA9"/>
    <w:rsid w:val="006954F2"/>
    <w:rsid w:val="006A03CD"/>
    <w:rsid w:val="006A06FE"/>
    <w:rsid w:val="006A313E"/>
    <w:rsid w:val="006A42D4"/>
    <w:rsid w:val="006A4BA2"/>
    <w:rsid w:val="006A4E98"/>
    <w:rsid w:val="006A5D67"/>
    <w:rsid w:val="006A6844"/>
    <w:rsid w:val="006A7829"/>
    <w:rsid w:val="006B1CEF"/>
    <w:rsid w:val="006B2A9B"/>
    <w:rsid w:val="006B2BA6"/>
    <w:rsid w:val="006B4A50"/>
    <w:rsid w:val="006B77D6"/>
    <w:rsid w:val="006C24A5"/>
    <w:rsid w:val="006C24CD"/>
    <w:rsid w:val="006C399A"/>
    <w:rsid w:val="006C60B5"/>
    <w:rsid w:val="006C636A"/>
    <w:rsid w:val="006C7242"/>
    <w:rsid w:val="006D64F9"/>
    <w:rsid w:val="006E0946"/>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66E"/>
    <w:rsid w:val="00773601"/>
    <w:rsid w:val="00775CB2"/>
    <w:rsid w:val="00776527"/>
    <w:rsid w:val="0077689F"/>
    <w:rsid w:val="0078083D"/>
    <w:rsid w:val="00782DD9"/>
    <w:rsid w:val="007830E3"/>
    <w:rsid w:val="00787DB5"/>
    <w:rsid w:val="007941D2"/>
    <w:rsid w:val="00794305"/>
    <w:rsid w:val="0079652C"/>
    <w:rsid w:val="00796839"/>
    <w:rsid w:val="007A11F1"/>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39A"/>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054"/>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2ECC"/>
    <w:rsid w:val="009231F1"/>
    <w:rsid w:val="0092433B"/>
    <w:rsid w:val="009243B2"/>
    <w:rsid w:val="00926B57"/>
    <w:rsid w:val="009279BF"/>
    <w:rsid w:val="00927E2E"/>
    <w:rsid w:val="00930F79"/>
    <w:rsid w:val="009318D5"/>
    <w:rsid w:val="00931EF0"/>
    <w:rsid w:val="00932F08"/>
    <w:rsid w:val="0093359E"/>
    <w:rsid w:val="00933F41"/>
    <w:rsid w:val="00935A0D"/>
    <w:rsid w:val="00936419"/>
    <w:rsid w:val="0093658F"/>
    <w:rsid w:val="00936724"/>
    <w:rsid w:val="00937DBE"/>
    <w:rsid w:val="00940FFE"/>
    <w:rsid w:val="009411A0"/>
    <w:rsid w:val="0094333E"/>
    <w:rsid w:val="00943B74"/>
    <w:rsid w:val="0094486F"/>
    <w:rsid w:val="00944CA2"/>
    <w:rsid w:val="00947905"/>
    <w:rsid w:val="009500DD"/>
    <w:rsid w:val="00951F0F"/>
    <w:rsid w:val="00952606"/>
    <w:rsid w:val="009573BD"/>
    <w:rsid w:val="0096089C"/>
    <w:rsid w:val="00964E79"/>
    <w:rsid w:val="00964F37"/>
    <w:rsid w:val="00965BF0"/>
    <w:rsid w:val="009702F7"/>
    <w:rsid w:val="0097252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1F69"/>
    <w:rsid w:val="009A2369"/>
    <w:rsid w:val="009A3ADA"/>
    <w:rsid w:val="009A3F8E"/>
    <w:rsid w:val="009A78A9"/>
    <w:rsid w:val="009B031B"/>
    <w:rsid w:val="009B299F"/>
    <w:rsid w:val="009B29BB"/>
    <w:rsid w:val="009B55C4"/>
    <w:rsid w:val="009B6587"/>
    <w:rsid w:val="009B6790"/>
    <w:rsid w:val="009B6C33"/>
    <w:rsid w:val="009C3731"/>
    <w:rsid w:val="009C6750"/>
    <w:rsid w:val="009D00FC"/>
    <w:rsid w:val="009D4854"/>
    <w:rsid w:val="009D502E"/>
    <w:rsid w:val="009D5847"/>
    <w:rsid w:val="009D605C"/>
    <w:rsid w:val="009D6900"/>
    <w:rsid w:val="009E006C"/>
    <w:rsid w:val="009E0E68"/>
    <w:rsid w:val="009E11BB"/>
    <w:rsid w:val="009E1E5F"/>
    <w:rsid w:val="009E2235"/>
    <w:rsid w:val="009E266B"/>
    <w:rsid w:val="009E32E3"/>
    <w:rsid w:val="009E5C9D"/>
    <w:rsid w:val="009E7036"/>
    <w:rsid w:val="009F19E6"/>
    <w:rsid w:val="009F3151"/>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7754"/>
    <w:rsid w:val="00A76FB1"/>
    <w:rsid w:val="00A77169"/>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6EEE"/>
    <w:rsid w:val="00AB7491"/>
    <w:rsid w:val="00AC0315"/>
    <w:rsid w:val="00AC08A3"/>
    <w:rsid w:val="00AC4727"/>
    <w:rsid w:val="00AC6E31"/>
    <w:rsid w:val="00AD091C"/>
    <w:rsid w:val="00AD1D3D"/>
    <w:rsid w:val="00AE013D"/>
    <w:rsid w:val="00AE34E5"/>
    <w:rsid w:val="00AE3798"/>
    <w:rsid w:val="00AE3D8F"/>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5061D"/>
    <w:rsid w:val="00B509A2"/>
    <w:rsid w:val="00B5114C"/>
    <w:rsid w:val="00B518F7"/>
    <w:rsid w:val="00B5328A"/>
    <w:rsid w:val="00B5510F"/>
    <w:rsid w:val="00B623CE"/>
    <w:rsid w:val="00B662AD"/>
    <w:rsid w:val="00B82000"/>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6EC3"/>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1E1"/>
    <w:rsid w:val="00BE226E"/>
    <w:rsid w:val="00BE67A1"/>
    <w:rsid w:val="00BF0748"/>
    <w:rsid w:val="00BF2A97"/>
    <w:rsid w:val="00C0130F"/>
    <w:rsid w:val="00C0590E"/>
    <w:rsid w:val="00C06D03"/>
    <w:rsid w:val="00C1122F"/>
    <w:rsid w:val="00C134E5"/>
    <w:rsid w:val="00C16490"/>
    <w:rsid w:val="00C17535"/>
    <w:rsid w:val="00C20E42"/>
    <w:rsid w:val="00C22635"/>
    <w:rsid w:val="00C22842"/>
    <w:rsid w:val="00C23048"/>
    <w:rsid w:val="00C23621"/>
    <w:rsid w:val="00C23654"/>
    <w:rsid w:val="00C265CC"/>
    <w:rsid w:val="00C273AE"/>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5D4A"/>
    <w:rsid w:val="00CA66DF"/>
    <w:rsid w:val="00CA7476"/>
    <w:rsid w:val="00CB2A57"/>
    <w:rsid w:val="00CC0147"/>
    <w:rsid w:val="00CC0C5D"/>
    <w:rsid w:val="00CC0EE1"/>
    <w:rsid w:val="00CC1FD5"/>
    <w:rsid w:val="00CC22DD"/>
    <w:rsid w:val="00CC2BF2"/>
    <w:rsid w:val="00CC30A8"/>
    <w:rsid w:val="00CC5E23"/>
    <w:rsid w:val="00CC6DCA"/>
    <w:rsid w:val="00CD2AE3"/>
    <w:rsid w:val="00CD3541"/>
    <w:rsid w:val="00CD7601"/>
    <w:rsid w:val="00CE101F"/>
    <w:rsid w:val="00CE1592"/>
    <w:rsid w:val="00CE46FC"/>
    <w:rsid w:val="00CE4AA8"/>
    <w:rsid w:val="00CE641F"/>
    <w:rsid w:val="00CE657B"/>
    <w:rsid w:val="00CF28F0"/>
    <w:rsid w:val="00CF6B0F"/>
    <w:rsid w:val="00D01EDC"/>
    <w:rsid w:val="00D027E3"/>
    <w:rsid w:val="00D035FA"/>
    <w:rsid w:val="00D0708D"/>
    <w:rsid w:val="00D11533"/>
    <w:rsid w:val="00D11E5A"/>
    <w:rsid w:val="00D160AA"/>
    <w:rsid w:val="00D16EAC"/>
    <w:rsid w:val="00D17DCA"/>
    <w:rsid w:val="00D24764"/>
    <w:rsid w:val="00D24A5F"/>
    <w:rsid w:val="00D25D0B"/>
    <w:rsid w:val="00D269B7"/>
    <w:rsid w:val="00D274DA"/>
    <w:rsid w:val="00D278A7"/>
    <w:rsid w:val="00D31A13"/>
    <w:rsid w:val="00D31BFC"/>
    <w:rsid w:val="00D33B5C"/>
    <w:rsid w:val="00D371C6"/>
    <w:rsid w:val="00D372B2"/>
    <w:rsid w:val="00D4136B"/>
    <w:rsid w:val="00D41D70"/>
    <w:rsid w:val="00D42175"/>
    <w:rsid w:val="00D42497"/>
    <w:rsid w:val="00D4555A"/>
    <w:rsid w:val="00D47351"/>
    <w:rsid w:val="00D50580"/>
    <w:rsid w:val="00D50608"/>
    <w:rsid w:val="00D518E8"/>
    <w:rsid w:val="00D53645"/>
    <w:rsid w:val="00D63660"/>
    <w:rsid w:val="00D649B8"/>
    <w:rsid w:val="00D7015C"/>
    <w:rsid w:val="00D712A2"/>
    <w:rsid w:val="00D71585"/>
    <w:rsid w:val="00D72B26"/>
    <w:rsid w:val="00D735C9"/>
    <w:rsid w:val="00D74A70"/>
    <w:rsid w:val="00D75194"/>
    <w:rsid w:val="00D75214"/>
    <w:rsid w:val="00D76A96"/>
    <w:rsid w:val="00D77B71"/>
    <w:rsid w:val="00D83CE5"/>
    <w:rsid w:val="00D90475"/>
    <w:rsid w:val="00D92AEF"/>
    <w:rsid w:val="00D95EF8"/>
    <w:rsid w:val="00D97DF0"/>
    <w:rsid w:val="00DA4C11"/>
    <w:rsid w:val="00DA63C9"/>
    <w:rsid w:val="00DB1E69"/>
    <w:rsid w:val="00DB224F"/>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2F1C"/>
    <w:rsid w:val="00DF3014"/>
    <w:rsid w:val="00DF3CE0"/>
    <w:rsid w:val="00DF5AB3"/>
    <w:rsid w:val="00DF7EEE"/>
    <w:rsid w:val="00DF7FDB"/>
    <w:rsid w:val="00E01862"/>
    <w:rsid w:val="00E020A1"/>
    <w:rsid w:val="00E16244"/>
    <w:rsid w:val="00E16369"/>
    <w:rsid w:val="00E16404"/>
    <w:rsid w:val="00E16AC1"/>
    <w:rsid w:val="00E1726D"/>
    <w:rsid w:val="00E2091D"/>
    <w:rsid w:val="00E2092A"/>
    <w:rsid w:val="00E2306B"/>
    <w:rsid w:val="00E26425"/>
    <w:rsid w:val="00E27CF8"/>
    <w:rsid w:val="00E33DC1"/>
    <w:rsid w:val="00E34890"/>
    <w:rsid w:val="00E4041D"/>
    <w:rsid w:val="00E43330"/>
    <w:rsid w:val="00E45A3C"/>
    <w:rsid w:val="00E45F6B"/>
    <w:rsid w:val="00E5532F"/>
    <w:rsid w:val="00E55D85"/>
    <w:rsid w:val="00E64143"/>
    <w:rsid w:val="00E6514E"/>
    <w:rsid w:val="00E65634"/>
    <w:rsid w:val="00E663D1"/>
    <w:rsid w:val="00E66AC9"/>
    <w:rsid w:val="00E66CA0"/>
    <w:rsid w:val="00E67C01"/>
    <w:rsid w:val="00E71476"/>
    <w:rsid w:val="00E7373D"/>
    <w:rsid w:val="00E74285"/>
    <w:rsid w:val="00E81221"/>
    <w:rsid w:val="00E8169E"/>
    <w:rsid w:val="00E82A53"/>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B72E4"/>
    <w:rsid w:val="00EC0103"/>
    <w:rsid w:val="00EC0BC1"/>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30F7B"/>
    <w:rsid w:val="00F310E7"/>
    <w:rsid w:val="00F32440"/>
    <w:rsid w:val="00F32BCB"/>
    <w:rsid w:val="00F32DB1"/>
    <w:rsid w:val="00F4119D"/>
    <w:rsid w:val="00F41380"/>
    <w:rsid w:val="00F414B3"/>
    <w:rsid w:val="00F427FF"/>
    <w:rsid w:val="00F4364A"/>
    <w:rsid w:val="00F44F29"/>
    <w:rsid w:val="00F45839"/>
    <w:rsid w:val="00F4715B"/>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7A72"/>
    <w:rsid w:val="00FD0C88"/>
    <w:rsid w:val="00FD1DE6"/>
    <w:rsid w:val="00FD5243"/>
    <w:rsid w:val="00FD5E21"/>
    <w:rsid w:val="00FD6EAB"/>
    <w:rsid w:val="00FD7CD2"/>
    <w:rsid w:val="00FE021A"/>
    <w:rsid w:val="00FE188B"/>
    <w:rsid w:val="00FE1A69"/>
    <w:rsid w:val="00FE1A6D"/>
    <w:rsid w:val="00FE1B57"/>
    <w:rsid w:val="00FE43BA"/>
    <w:rsid w:val="00FE45AA"/>
    <w:rsid w:val="00FE5006"/>
    <w:rsid w:val="00FE50E8"/>
    <w:rsid w:val="00FE5219"/>
    <w:rsid w:val="00FE6C02"/>
    <w:rsid w:val="00FE71F9"/>
    <w:rsid w:val="00FE78A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9311665-E2ED-434B-AB13-99D0A41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1014984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5398-2EC2-4A7A-8D88-F7836DB4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21</Pages>
  <Words>5407</Words>
  <Characters>29740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2020-01-10T17:24:00Z</cp:lastPrinted>
  <dcterms:created xsi:type="dcterms:W3CDTF">2020-01-10T16:21:00Z</dcterms:created>
  <dcterms:modified xsi:type="dcterms:W3CDTF">2021-10-29T18:07:00Z</dcterms:modified>
</cp:coreProperties>
</file>