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29" w:rsidRPr="00780937" w:rsidRDefault="00C00029" w:rsidP="00C00029">
      <w:pPr>
        <w:spacing w:before="240" w:after="240" w:line="360" w:lineRule="auto"/>
        <w:jc w:val="both"/>
        <w:rPr>
          <w:rFonts w:ascii="Palatino Linotype" w:eastAsiaTheme="minorEastAsia" w:hAnsi="Palatino Linotype"/>
          <w:sz w:val="24"/>
          <w:szCs w:val="24"/>
          <w:lang w:val="es-ES_tradnl" w:eastAsia="es-ES"/>
        </w:rPr>
      </w:pPr>
      <w:r w:rsidRPr="00780937">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veintitrés (23) de junio  de dos mil veintiuno.</w:t>
      </w:r>
    </w:p>
    <w:p w:rsidR="00C00029" w:rsidRPr="00780937" w:rsidRDefault="00C00029" w:rsidP="00C00029">
      <w:pPr>
        <w:spacing w:before="240" w:after="360" w:line="360" w:lineRule="auto"/>
        <w:jc w:val="both"/>
        <w:rPr>
          <w:rFonts w:ascii="Palatino Linotype" w:eastAsiaTheme="minorEastAsia" w:hAnsi="Palatino Linotype"/>
          <w:sz w:val="24"/>
          <w:szCs w:val="24"/>
          <w:lang w:val="es-ES_tradnl" w:eastAsia="es-ES"/>
        </w:rPr>
      </w:pPr>
      <w:r w:rsidRPr="00780937">
        <w:rPr>
          <w:rFonts w:ascii="Palatino Linotype" w:eastAsiaTheme="minorEastAsia" w:hAnsi="Palatino Linotype"/>
          <w:b/>
          <w:sz w:val="24"/>
          <w:szCs w:val="24"/>
          <w:lang w:val="es-ES_tradnl" w:eastAsia="es-ES"/>
        </w:rPr>
        <w:t>VISTO</w:t>
      </w:r>
      <w:r w:rsidRPr="00780937">
        <w:rPr>
          <w:rFonts w:ascii="Palatino Linotype" w:eastAsiaTheme="minorEastAsia" w:hAnsi="Palatino Linotype"/>
          <w:sz w:val="24"/>
          <w:szCs w:val="24"/>
          <w:lang w:val="es-ES_tradnl" w:eastAsia="es-ES"/>
        </w:rPr>
        <w:t xml:space="preserve"> el expediente electrónico formado con motivo del recurso de </w:t>
      </w:r>
      <w:r w:rsidRPr="00780937">
        <w:rPr>
          <w:rFonts w:ascii="Palatino Linotype" w:eastAsiaTheme="minorEastAsia" w:hAnsi="Palatino Linotype"/>
          <w:b/>
          <w:sz w:val="24"/>
          <w:szCs w:val="24"/>
          <w:lang w:val="es-ES_tradnl" w:eastAsia="es-ES"/>
        </w:rPr>
        <w:t>02068/INFOEM/IP/RR/2021</w:t>
      </w:r>
      <w:r w:rsidRPr="00780937">
        <w:rPr>
          <w:rFonts w:ascii="Palatino Linotype" w:eastAsiaTheme="minorEastAsia" w:hAnsi="Palatino Linotype" w:cs="Arial"/>
          <w:b/>
          <w:bCs/>
          <w:sz w:val="24"/>
          <w:szCs w:val="24"/>
          <w:lang w:val="es-ES_tradnl" w:eastAsia="es-ES"/>
        </w:rPr>
        <w:t xml:space="preserve">, </w:t>
      </w:r>
      <w:r w:rsidRPr="00780937">
        <w:rPr>
          <w:rFonts w:ascii="Palatino Linotype" w:eastAsiaTheme="minorEastAsia" w:hAnsi="Palatino Linotype"/>
          <w:sz w:val="24"/>
          <w:szCs w:val="24"/>
          <w:lang w:val="es-ES_tradnl" w:eastAsia="es-ES"/>
        </w:rPr>
        <w:t>promovido por</w:t>
      </w:r>
      <w:r w:rsidRPr="00780937">
        <w:rPr>
          <w:rFonts w:ascii="Palatino Linotype" w:eastAsiaTheme="minorEastAsia" w:hAnsi="Palatino Linotype"/>
          <w:b/>
          <w:sz w:val="24"/>
          <w:szCs w:val="24"/>
          <w:lang w:val="es-ES_tradnl" w:eastAsia="es-ES"/>
        </w:rPr>
        <w:t xml:space="preserve"> </w:t>
      </w:r>
      <w:r w:rsidR="000F2B11">
        <w:rPr>
          <w:rFonts w:ascii="Palatino Linotype" w:eastAsiaTheme="minorEastAsia" w:hAnsi="Palatino Linotype"/>
          <w:b/>
          <w:sz w:val="24"/>
          <w:szCs w:val="24"/>
          <w:lang w:val="es-ES_tradnl" w:eastAsia="es-ES"/>
        </w:rPr>
        <w:t>xxxxxxxxxxxxxxxxxx</w:t>
      </w:r>
      <w:r w:rsidRPr="00780937">
        <w:rPr>
          <w:rFonts w:ascii="Palatino Linotype" w:eastAsiaTheme="minorEastAsia" w:hAnsi="Palatino Linotype"/>
          <w:b/>
          <w:sz w:val="24"/>
          <w:szCs w:val="24"/>
          <w:lang w:val="es-ES_tradnl" w:eastAsia="es-ES"/>
        </w:rPr>
        <w:t xml:space="preserve">, </w:t>
      </w:r>
      <w:r w:rsidRPr="00780937">
        <w:rPr>
          <w:rFonts w:ascii="Palatino Linotype" w:eastAsiaTheme="minorEastAsia" w:hAnsi="Palatino Linotype"/>
          <w:sz w:val="24"/>
          <w:szCs w:val="24"/>
          <w:lang w:val="es-ES_tradnl" w:eastAsia="es-ES"/>
        </w:rPr>
        <w:t>quien en lo sucesivo será identificado</w:t>
      </w:r>
      <w:r w:rsidRPr="00780937">
        <w:rPr>
          <w:rFonts w:ascii="Palatino Linotype" w:eastAsiaTheme="minorEastAsia" w:hAnsi="Palatino Linotype"/>
          <w:b/>
          <w:sz w:val="24"/>
          <w:szCs w:val="24"/>
          <w:lang w:val="es-ES_tradnl" w:eastAsia="es-ES"/>
        </w:rPr>
        <w:t xml:space="preserve"> </w:t>
      </w:r>
      <w:r w:rsidRPr="00780937">
        <w:rPr>
          <w:rFonts w:ascii="Palatino Linotype" w:eastAsiaTheme="minorEastAsia" w:hAnsi="Palatino Linotype" w:cs="Arial"/>
          <w:sz w:val="24"/>
          <w:szCs w:val="24"/>
          <w:lang w:val="es-ES_tradnl" w:eastAsia="es-ES"/>
        </w:rPr>
        <w:t xml:space="preserve">como </w:t>
      </w:r>
      <w:r w:rsidRPr="00780937">
        <w:rPr>
          <w:rFonts w:ascii="Palatino Linotype" w:eastAsiaTheme="minorEastAsia" w:hAnsi="Palatino Linotype" w:cs="Arial"/>
          <w:b/>
          <w:sz w:val="24"/>
          <w:szCs w:val="24"/>
          <w:lang w:val="es-ES_tradnl" w:eastAsia="es-ES"/>
        </w:rPr>
        <w:t>RECURRENTE</w:t>
      </w:r>
      <w:r w:rsidRPr="00780937">
        <w:rPr>
          <w:rFonts w:ascii="Palatino Linotype" w:eastAsiaTheme="minorEastAsia" w:hAnsi="Palatino Linotype" w:cs="Arial"/>
          <w:sz w:val="24"/>
          <w:szCs w:val="24"/>
          <w:lang w:val="es-ES_tradnl" w:eastAsia="es-ES"/>
        </w:rPr>
        <w:t xml:space="preserve">, en contra de la falta de respuesta del </w:t>
      </w:r>
      <w:r w:rsidRPr="00780937">
        <w:rPr>
          <w:rFonts w:ascii="Palatino Linotype" w:eastAsiaTheme="minorEastAsia" w:hAnsi="Palatino Linotype" w:cs="Arial"/>
          <w:b/>
          <w:sz w:val="24"/>
          <w:szCs w:val="24"/>
          <w:lang w:val="es-ES_tradnl" w:eastAsia="es-ES"/>
        </w:rPr>
        <w:t xml:space="preserve">Ayuntamiento de Ixtapan del Oro </w:t>
      </w:r>
      <w:r w:rsidRPr="00780937">
        <w:rPr>
          <w:rFonts w:ascii="Palatino Linotype" w:eastAsiaTheme="minorEastAsia" w:hAnsi="Palatino Linotype"/>
          <w:sz w:val="24"/>
          <w:szCs w:val="24"/>
          <w:lang w:val="es-ES_tradnl" w:eastAsia="es-ES"/>
        </w:rPr>
        <w:t>en lo sucesivo el</w:t>
      </w:r>
      <w:r w:rsidRPr="00780937">
        <w:rPr>
          <w:rFonts w:ascii="Palatino Linotype" w:eastAsiaTheme="minorEastAsia" w:hAnsi="Palatino Linotype"/>
          <w:b/>
          <w:sz w:val="24"/>
          <w:szCs w:val="24"/>
          <w:lang w:val="es-ES_tradnl" w:eastAsia="es-ES"/>
        </w:rPr>
        <w:t xml:space="preserve"> SUJETO OBLIGADO, </w:t>
      </w:r>
      <w:r w:rsidRPr="00780937">
        <w:rPr>
          <w:rFonts w:ascii="Palatino Linotype" w:eastAsiaTheme="minorEastAsia" w:hAnsi="Palatino Linotype"/>
          <w:sz w:val="24"/>
          <w:szCs w:val="24"/>
          <w:lang w:val="es-ES_tradnl" w:eastAsia="es-ES"/>
        </w:rPr>
        <w:t xml:space="preserve">se procede a dictar la presente resolución, con base en los siguientes: </w:t>
      </w:r>
    </w:p>
    <w:p w:rsidR="00C00029" w:rsidRPr="00780937" w:rsidRDefault="00C00029" w:rsidP="00C0002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4766893"/>
      <w:r w:rsidRPr="00780937">
        <w:rPr>
          <w:rFonts w:ascii="Palatino Linotype" w:eastAsiaTheme="majorEastAsia" w:hAnsi="Palatino Linotype" w:cstheme="majorBidi"/>
          <w:b/>
          <w:sz w:val="24"/>
          <w:szCs w:val="24"/>
        </w:rPr>
        <w:t>ANTECEDENTES</w:t>
      </w:r>
      <w:bookmarkEnd w:id="0"/>
      <w:bookmarkEnd w:id="1"/>
    </w:p>
    <w:p w:rsidR="00C00029" w:rsidRPr="00780937" w:rsidRDefault="00C00029" w:rsidP="00C00029">
      <w:pPr>
        <w:keepNext/>
        <w:keepLines/>
        <w:spacing w:before="240" w:after="0"/>
        <w:jc w:val="center"/>
        <w:outlineLvl w:val="0"/>
        <w:rPr>
          <w:rFonts w:ascii="Palatino Linotype" w:eastAsiaTheme="majorEastAsia" w:hAnsi="Palatino Linotype" w:cstheme="majorBidi"/>
          <w:sz w:val="24"/>
          <w:szCs w:val="24"/>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80937">
        <w:rPr>
          <w:rFonts w:ascii="Palatino Linotype" w:eastAsia="Calibri" w:hAnsi="Palatino Linotype" w:cs="Arial"/>
          <w:sz w:val="24"/>
          <w:szCs w:val="24"/>
          <w:lang w:val="es-ES" w:eastAsia="es-ES"/>
        </w:rPr>
        <w:t xml:space="preserve">El día doce (12) de marzo  de dos mil veintiuno, </w:t>
      </w:r>
      <w:r w:rsidRPr="00780937">
        <w:rPr>
          <w:rFonts w:ascii="Palatino Linotype" w:eastAsia="Calibri" w:hAnsi="Palatino Linotype" w:cs="Times New Roman"/>
          <w:sz w:val="24"/>
          <w:szCs w:val="24"/>
          <w:lang w:val="es-ES" w:eastAsia="es-ES"/>
        </w:rPr>
        <w:t>se</w:t>
      </w:r>
      <w:r w:rsidRPr="00780937">
        <w:rPr>
          <w:rFonts w:ascii="Palatino Linotype" w:eastAsiaTheme="minorEastAsia" w:hAnsi="Palatino Linotype"/>
          <w:b/>
          <w:sz w:val="24"/>
          <w:szCs w:val="24"/>
          <w:lang w:val="es-ES_tradnl" w:eastAsia="es-ES"/>
        </w:rPr>
        <w:t xml:space="preserve"> </w:t>
      </w:r>
      <w:r w:rsidRPr="00780937">
        <w:rPr>
          <w:rFonts w:ascii="Palatino Linotype" w:eastAsiaTheme="minorEastAsia" w:hAnsi="Palatino Linotype"/>
          <w:sz w:val="24"/>
          <w:szCs w:val="24"/>
          <w:lang w:val="es-ES_tradnl" w:eastAsia="es-ES"/>
        </w:rPr>
        <w:t xml:space="preserve">presentó </w:t>
      </w:r>
      <w:r w:rsidRPr="00780937">
        <w:rPr>
          <w:rFonts w:ascii="Palatino Linotype" w:eastAsia="Calibri" w:hAnsi="Palatino Linotype" w:cs="Arial"/>
          <w:sz w:val="24"/>
          <w:szCs w:val="24"/>
          <w:lang w:val="es-ES" w:eastAsia="es-ES"/>
        </w:rPr>
        <w:t xml:space="preserve">ante el </w:t>
      </w:r>
      <w:r w:rsidRPr="00780937">
        <w:rPr>
          <w:rFonts w:ascii="Palatino Linotype" w:eastAsia="Calibri" w:hAnsi="Palatino Linotype" w:cs="Arial"/>
          <w:b/>
          <w:sz w:val="24"/>
          <w:szCs w:val="24"/>
          <w:lang w:val="es-ES" w:eastAsia="es-ES"/>
        </w:rPr>
        <w:t>SUJETO OBLIGADO,</w:t>
      </w:r>
      <w:r w:rsidRPr="00780937">
        <w:rPr>
          <w:rFonts w:ascii="Palatino Linotype" w:eastAsia="Calibri" w:hAnsi="Palatino Linotype" w:cs="Arial"/>
          <w:sz w:val="24"/>
          <w:szCs w:val="24"/>
          <w:lang w:val="es-ES_tradnl" w:eastAsia="es-ES"/>
        </w:rPr>
        <w:t xml:space="preserve"> vía </w:t>
      </w:r>
      <w:r w:rsidRPr="00780937">
        <w:rPr>
          <w:rFonts w:ascii="Palatino Linotype" w:eastAsia="Calibri" w:hAnsi="Palatino Linotype" w:cs="Arial"/>
          <w:sz w:val="24"/>
          <w:szCs w:val="24"/>
          <w:lang w:val="es-ES" w:eastAsia="es-ES"/>
        </w:rPr>
        <w:t xml:space="preserve">Sistema de Acceso a la Información Mexiquense </w:t>
      </w:r>
      <w:r w:rsidRPr="00780937">
        <w:rPr>
          <w:rFonts w:ascii="Palatino Linotype" w:eastAsia="Calibri" w:hAnsi="Palatino Linotype" w:cs="Arial"/>
          <w:b/>
          <w:sz w:val="24"/>
          <w:szCs w:val="24"/>
          <w:lang w:val="es-ES" w:eastAsia="es-ES"/>
        </w:rPr>
        <w:t>(SAIMEX),</w:t>
      </w:r>
      <w:r w:rsidRPr="00780937">
        <w:rPr>
          <w:rFonts w:ascii="Palatino Linotype" w:eastAsia="Calibri" w:hAnsi="Palatino Linotype" w:cs="Arial"/>
          <w:sz w:val="24"/>
          <w:szCs w:val="24"/>
          <w:lang w:val="es-ES" w:eastAsia="es-ES"/>
        </w:rPr>
        <w:t xml:space="preserve"> la solicitud de información pública registradas con el número</w:t>
      </w:r>
      <w:r w:rsidRPr="00780937">
        <w:rPr>
          <w:rFonts w:ascii="Verdana" w:eastAsiaTheme="minorEastAsia" w:hAnsi="Verdana"/>
          <w:b/>
          <w:bCs/>
          <w:sz w:val="24"/>
          <w:szCs w:val="24"/>
          <w:lang w:val="es-ES_tradnl" w:eastAsia="es-ES"/>
        </w:rPr>
        <w:t xml:space="preserve"> </w:t>
      </w:r>
      <w:r w:rsidRPr="00780937">
        <w:rPr>
          <w:rFonts w:ascii="Palatino Linotype" w:eastAsia="Calibri" w:hAnsi="Palatino Linotype" w:cs="Arial"/>
          <w:b/>
          <w:bCs/>
          <w:sz w:val="24"/>
          <w:szCs w:val="24"/>
          <w:lang w:val="es-ES_tradnl" w:eastAsia="es-ES"/>
        </w:rPr>
        <w:t xml:space="preserve"> </w:t>
      </w:r>
      <w:r w:rsidRPr="00780937">
        <w:rPr>
          <w:rFonts w:ascii="Palatino Linotype" w:hAnsi="Palatino Linotype"/>
          <w:b/>
          <w:bCs/>
          <w:sz w:val="24"/>
        </w:rPr>
        <w:t>00026/IXTAORO/IP/2021</w:t>
      </w:r>
      <w:r w:rsidRPr="00780937">
        <w:rPr>
          <w:rFonts w:ascii="Palatino Linotype" w:eastAsia="Calibri" w:hAnsi="Palatino Linotype" w:cs="Arial"/>
          <w:sz w:val="24"/>
          <w:szCs w:val="24"/>
          <w:lang w:val="es-ES" w:eastAsia="es-ES"/>
        </w:rPr>
        <w:t>, mediante la cual se requirió:</w:t>
      </w:r>
    </w:p>
    <w:p w:rsidR="00C00029" w:rsidRPr="00780937" w:rsidRDefault="00C00029" w:rsidP="00C00029">
      <w:pPr>
        <w:tabs>
          <w:tab w:val="left" w:pos="1800"/>
        </w:tabs>
        <w:spacing w:before="240" w:after="240" w:line="360" w:lineRule="auto"/>
        <w:ind w:left="284"/>
        <w:contextualSpacing/>
        <w:jc w:val="both"/>
        <w:rPr>
          <w:rFonts w:ascii="Palatino Linotype" w:eastAsia="Calibri" w:hAnsi="Palatino Linotype" w:cs="Arial"/>
          <w:sz w:val="24"/>
          <w:szCs w:val="24"/>
          <w:lang w:val="es-ES" w:eastAsia="es-ES"/>
        </w:rPr>
      </w:pPr>
      <w:r w:rsidRPr="00780937">
        <w:rPr>
          <w:rFonts w:ascii="Palatino Linotype" w:eastAsia="Calibri" w:hAnsi="Palatino Linotype" w:cs="Arial"/>
          <w:sz w:val="24"/>
          <w:szCs w:val="24"/>
          <w:lang w:val="es-ES" w:eastAsia="es-ES"/>
        </w:rPr>
        <w:tab/>
      </w:r>
    </w:p>
    <w:p w:rsidR="00C00029" w:rsidRPr="00780937" w:rsidRDefault="00C00029" w:rsidP="00C00029">
      <w:pPr>
        <w:spacing w:after="0" w:line="360" w:lineRule="auto"/>
        <w:ind w:left="851" w:right="709"/>
        <w:jc w:val="both"/>
        <w:rPr>
          <w:rFonts w:ascii="Palatino Linotype" w:eastAsia="Times New Roman" w:hAnsi="Palatino Linotype" w:cs="Times New Roman"/>
          <w:i/>
          <w:lang w:eastAsia="es-MX"/>
        </w:rPr>
      </w:pPr>
      <w:r w:rsidRPr="00780937">
        <w:rPr>
          <w:rFonts w:ascii="Palatino Linotype" w:hAnsi="Palatino Linotype"/>
          <w:i/>
          <w:color w:val="000000"/>
        </w:rPr>
        <w:t>“Solicito la versión pública del curriculum vitae de todos los mandos medios y superiores que actualmente se desempeñan en la administración pública.” (Sic)</w:t>
      </w:r>
    </w:p>
    <w:p w:rsidR="00C00029" w:rsidRPr="00780937" w:rsidRDefault="00C00029" w:rsidP="00C00029">
      <w:pPr>
        <w:spacing w:after="0" w:line="360" w:lineRule="auto"/>
        <w:ind w:right="34"/>
        <w:contextualSpacing/>
        <w:jc w:val="both"/>
        <w:rPr>
          <w:rFonts w:ascii="Palatino Linotype" w:eastAsiaTheme="minorEastAsia" w:hAnsi="Palatino Linotype" w:cs="Arial"/>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093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80937">
        <w:rPr>
          <w:rFonts w:ascii="Palatino Linotype" w:eastAsiaTheme="minorEastAsia" w:hAnsi="Palatino Linotype" w:cs="Arial"/>
          <w:b/>
          <w:sz w:val="24"/>
          <w:szCs w:val="24"/>
          <w:lang w:val="es-ES_tradnl" w:eastAsia="es-ES"/>
        </w:rPr>
        <w:t xml:space="preserve">(SAIMEX).  </w:t>
      </w:r>
    </w:p>
    <w:p w:rsidR="00C00029" w:rsidRPr="00780937" w:rsidRDefault="00C00029" w:rsidP="00C00029">
      <w:pPr>
        <w:spacing w:before="240" w:after="240" w:line="360" w:lineRule="auto"/>
        <w:contextualSpacing/>
        <w:jc w:val="both"/>
        <w:rPr>
          <w:rFonts w:ascii="Palatino Linotype" w:eastAsiaTheme="minorEastAsia" w:hAnsi="Palatino Linotype" w:cs="Arial"/>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0937">
        <w:rPr>
          <w:rFonts w:ascii="Palatino Linotype" w:eastAsia="Calibri" w:hAnsi="Palatino Linotype" w:cs="Arial"/>
          <w:sz w:val="24"/>
          <w:szCs w:val="24"/>
          <w:lang w:val="es-AR" w:eastAsia="es-ES"/>
        </w:rPr>
        <w:lastRenderedPageBreak/>
        <w:t>El</w:t>
      </w:r>
      <w:r w:rsidRPr="00780937">
        <w:rPr>
          <w:rFonts w:ascii="Palatino Linotype" w:eastAsia="Times New Roman" w:hAnsi="Palatino Linotype" w:cs="Arial"/>
          <w:sz w:val="24"/>
          <w:szCs w:val="24"/>
          <w:lang w:val="es-ES" w:eastAsia="es-ES"/>
        </w:rPr>
        <w:t xml:space="preserve"> día veintiuno (21) de abril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rsidR="00C00029" w:rsidRPr="00780937" w:rsidRDefault="00C00029" w:rsidP="00C00029">
      <w:pPr>
        <w:spacing w:after="0" w:line="360" w:lineRule="auto"/>
        <w:ind w:right="567"/>
        <w:jc w:val="both"/>
        <w:rPr>
          <w:rFonts w:ascii="Palatino Linotype" w:eastAsiaTheme="majorEastAsia" w:hAnsi="Palatino Linotype" w:cstheme="majorBidi"/>
          <w:i/>
          <w:lang w:val="es-ES" w:eastAsia="es-ES"/>
        </w:rPr>
      </w:pPr>
    </w:p>
    <w:p w:rsidR="00C00029" w:rsidRPr="00780937" w:rsidRDefault="00C00029" w:rsidP="00C00029">
      <w:pPr>
        <w:spacing w:after="0" w:line="360" w:lineRule="auto"/>
        <w:ind w:left="426" w:right="567"/>
        <w:jc w:val="both"/>
        <w:rPr>
          <w:rFonts w:ascii="Palatino Linotype" w:eastAsiaTheme="majorEastAsia" w:hAnsi="Palatino Linotype" w:cstheme="majorBidi"/>
          <w:b/>
          <w:i/>
          <w:sz w:val="24"/>
          <w:szCs w:val="24"/>
          <w:lang w:val="es-ES" w:eastAsia="es-ES"/>
        </w:rPr>
      </w:pPr>
      <w:r w:rsidRPr="00780937">
        <w:rPr>
          <w:rFonts w:ascii="Palatino Linotype" w:eastAsiaTheme="majorEastAsia" w:hAnsi="Palatino Linotype" w:cstheme="majorBidi"/>
          <w:b/>
          <w:sz w:val="24"/>
          <w:szCs w:val="24"/>
          <w:lang w:val="es-ES" w:eastAsia="es-ES"/>
        </w:rPr>
        <w:t>Acto impugnado</w:t>
      </w:r>
      <w:r w:rsidRPr="00780937">
        <w:rPr>
          <w:rFonts w:ascii="Palatino Linotype" w:eastAsiaTheme="majorEastAsia" w:hAnsi="Palatino Linotype" w:cstheme="majorBidi"/>
          <w:b/>
          <w:i/>
          <w:sz w:val="24"/>
          <w:szCs w:val="24"/>
          <w:lang w:val="es-ES" w:eastAsia="es-ES"/>
        </w:rPr>
        <w:t xml:space="preserve">: </w:t>
      </w:r>
    </w:p>
    <w:p w:rsidR="00C00029" w:rsidRPr="00780937" w:rsidRDefault="00C00029" w:rsidP="00C00029">
      <w:pPr>
        <w:spacing w:after="0" w:line="360" w:lineRule="auto"/>
        <w:ind w:left="426" w:right="567"/>
        <w:jc w:val="both"/>
        <w:rPr>
          <w:rFonts w:ascii="Palatino Linotype" w:eastAsia="Calibri" w:hAnsi="Palatino Linotype" w:cs="Arial"/>
          <w:i/>
          <w:lang w:val="es-ES" w:eastAsia="es-ES"/>
        </w:rPr>
      </w:pPr>
      <w:r w:rsidRPr="00780937">
        <w:rPr>
          <w:rFonts w:ascii="Palatino Linotype" w:eastAsiaTheme="majorEastAsia" w:hAnsi="Palatino Linotype" w:cstheme="majorBidi"/>
          <w:i/>
          <w:lang w:val="es-ES" w:eastAsia="es-ES"/>
        </w:rPr>
        <w:t>“</w:t>
      </w:r>
      <w:r w:rsidRPr="00780937">
        <w:rPr>
          <w:rFonts w:ascii="Palatino Linotype" w:hAnsi="Palatino Linotype"/>
          <w:i/>
        </w:rPr>
        <w:t>No se entregó la totalidad de la información solicitada”</w:t>
      </w:r>
      <w:r w:rsidRPr="00780937">
        <w:rPr>
          <w:rFonts w:ascii="Palatino Linotype" w:eastAsia="Calibri" w:hAnsi="Palatino Linotype" w:cs="Arial"/>
          <w:i/>
          <w:lang w:val="es-ES" w:eastAsia="es-ES"/>
        </w:rPr>
        <w:t xml:space="preserve"> (Sic) </w:t>
      </w:r>
    </w:p>
    <w:p w:rsidR="00C00029" w:rsidRPr="00780937" w:rsidRDefault="00C00029" w:rsidP="00C00029">
      <w:pPr>
        <w:spacing w:after="0" w:line="360" w:lineRule="auto"/>
        <w:ind w:left="426" w:right="567"/>
        <w:jc w:val="both"/>
        <w:rPr>
          <w:rFonts w:ascii="Palatino Linotype" w:eastAsiaTheme="majorEastAsia" w:hAnsi="Palatino Linotype" w:cstheme="majorBidi"/>
          <w:b/>
          <w:i/>
          <w:lang w:val="es-ES" w:eastAsia="es-ES"/>
        </w:rPr>
      </w:pPr>
    </w:p>
    <w:p w:rsidR="00C00029" w:rsidRPr="00780937" w:rsidRDefault="00C00029" w:rsidP="00C00029">
      <w:pPr>
        <w:spacing w:after="0" w:line="360" w:lineRule="auto"/>
        <w:ind w:left="426" w:right="567"/>
        <w:jc w:val="both"/>
        <w:rPr>
          <w:rFonts w:ascii="Palatino Linotype" w:eastAsiaTheme="majorEastAsia" w:hAnsi="Palatino Linotype" w:cstheme="majorBidi"/>
          <w:i/>
          <w:sz w:val="24"/>
          <w:szCs w:val="24"/>
          <w:lang w:val="es-ES" w:eastAsia="es-ES"/>
        </w:rPr>
      </w:pPr>
      <w:r w:rsidRPr="00780937">
        <w:rPr>
          <w:rFonts w:ascii="Palatino Linotype" w:eastAsiaTheme="majorEastAsia" w:hAnsi="Palatino Linotype" w:cstheme="majorBidi"/>
          <w:b/>
          <w:sz w:val="24"/>
          <w:szCs w:val="24"/>
          <w:lang w:val="es-ES" w:eastAsia="es-ES"/>
        </w:rPr>
        <w:t xml:space="preserve">Razones o Motivos de inconformidad: </w:t>
      </w:r>
    </w:p>
    <w:p w:rsidR="00C00029" w:rsidRPr="00780937" w:rsidRDefault="00C00029" w:rsidP="00C00029">
      <w:pPr>
        <w:spacing w:after="0" w:line="360" w:lineRule="auto"/>
        <w:ind w:left="426" w:right="567"/>
        <w:jc w:val="both"/>
        <w:rPr>
          <w:rFonts w:ascii="Palatino Linotype" w:eastAsiaTheme="majorEastAsia" w:hAnsi="Palatino Linotype" w:cstheme="majorBidi"/>
          <w:i/>
          <w:lang w:val="es-ES" w:eastAsia="es-ES"/>
        </w:rPr>
      </w:pPr>
      <w:r w:rsidRPr="00780937">
        <w:rPr>
          <w:rFonts w:ascii="Palatino Linotype" w:hAnsi="Palatino Linotype"/>
          <w:i/>
        </w:rPr>
        <w:t>“No se entregó la totalidad de la información solicitada” (</w:t>
      </w:r>
      <w:r w:rsidRPr="00780937">
        <w:rPr>
          <w:rFonts w:ascii="Palatino Linotype" w:eastAsiaTheme="majorEastAsia" w:hAnsi="Palatino Linotype" w:cstheme="majorBidi"/>
          <w:i/>
          <w:lang w:val="es-ES" w:eastAsia="es-ES"/>
        </w:rPr>
        <w:t>Sic)</w:t>
      </w:r>
    </w:p>
    <w:p w:rsidR="00C00029" w:rsidRPr="00780937" w:rsidRDefault="00C00029" w:rsidP="00C00029">
      <w:pPr>
        <w:spacing w:after="0" w:line="360" w:lineRule="auto"/>
        <w:ind w:left="426" w:right="567"/>
        <w:jc w:val="both"/>
        <w:rPr>
          <w:rFonts w:ascii="Palatino Linotype" w:eastAsiaTheme="majorEastAsia" w:hAnsi="Palatino Linotype" w:cstheme="majorBidi"/>
          <w:i/>
          <w:lang w:val="es-ES"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0937">
        <w:rPr>
          <w:rFonts w:ascii="Palatino Linotype" w:eastAsia="Times New Roman" w:hAnsi="Palatino Linotype" w:cs="Arial"/>
          <w:sz w:val="24"/>
          <w:szCs w:val="24"/>
          <w:lang w:val="es-ES" w:eastAsia="es-ES"/>
        </w:rPr>
        <w:t xml:space="preserve">Se registró el recurso de revisión bajo el número de expediente </w:t>
      </w:r>
      <w:r w:rsidRPr="00780937">
        <w:rPr>
          <w:rFonts w:ascii="Palatino Linotype" w:eastAsiaTheme="minorEastAsia" w:hAnsi="Palatino Linotype" w:cs="Arial"/>
          <w:bCs/>
          <w:sz w:val="24"/>
          <w:szCs w:val="24"/>
          <w:lang w:val="es-ES_tradnl" w:eastAsia="es-ES"/>
        </w:rPr>
        <w:t xml:space="preserve">al rubro indicado, asimismo con fundamento en lo dispuesto por el </w:t>
      </w:r>
      <w:r w:rsidRPr="00780937">
        <w:rPr>
          <w:rFonts w:ascii="Palatino Linotype" w:eastAsia="Calibri" w:hAnsi="Palatino Linotype" w:cs="Arial"/>
          <w:sz w:val="24"/>
          <w:szCs w:val="24"/>
          <w:lang w:val="es-ES" w:eastAsia="es-ES"/>
        </w:rPr>
        <w:t xml:space="preserve">artículo 185 fracción I de la </w:t>
      </w:r>
      <w:r w:rsidRPr="0078093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80937">
        <w:rPr>
          <w:rFonts w:ascii="Palatino Linotype" w:eastAsia="Times New Roman" w:hAnsi="Palatino Linotype" w:cs="Arial"/>
          <w:sz w:val="24"/>
          <w:szCs w:val="24"/>
          <w:lang w:val="es-ES" w:eastAsia="es-ES"/>
        </w:rPr>
        <w:t xml:space="preserve">se turnó al </w:t>
      </w:r>
      <w:r w:rsidRPr="00780937">
        <w:rPr>
          <w:rFonts w:ascii="Palatino Linotype" w:eastAsia="Times New Roman" w:hAnsi="Palatino Linotype" w:cs="Arial"/>
          <w:b/>
          <w:sz w:val="24"/>
          <w:szCs w:val="24"/>
          <w:lang w:val="es-ES" w:eastAsia="es-ES"/>
        </w:rPr>
        <w:t xml:space="preserve">Comisionado José Guadalupe Luna Hernández, </w:t>
      </w:r>
      <w:r w:rsidRPr="00780937">
        <w:rPr>
          <w:rFonts w:ascii="Palatino Linotype" w:eastAsia="Times New Roman" w:hAnsi="Palatino Linotype" w:cs="Arial"/>
          <w:sz w:val="24"/>
          <w:szCs w:val="24"/>
          <w:lang w:val="es-ES" w:eastAsia="es-ES"/>
        </w:rPr>
        <w:t xml:space="preserve">con el objeto de </w:t>
      </w:r>
      <w:r w:rsidRPr="00780937">
        <w:rPr>
          <w:rFonts w:ascii="Palatino Linotype" w:eastAsia="Times New Roman" w:hAnsi="Palatino Linotype" w:cs="Arial"/>
          <w:sz w:val="24"/>
          <w:szCs w:val="24"/>
          <w:lang w:eastAsia="es-ES"/>
        </w:rPr>
        <w:t>su análisis.</w:t>
      </w:r>
    </w:p>
    <w:p w:rsidR="00C00029" w:rsidRPr="00780937" w:rsidRDefault="00C00029" w:rsidP="00C00029">
      <w:pPr>
        <w:spacing w:after="0" w:line="240" w:lineRule="auto"/>
        <w:contextualSpacing/>
        <w:rPr>
          <w:rFonts w:ascii="Palatino Linotype" w:eastAsiaTheme="minorEastAsia" w:hAnsi="Palatino Linotype"/>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093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veintiséis (26) de abril   de dos mil veintiuno, puso a disposición de las partes el expediente electrónico </w:t>
      </w:r>
      <w:r w:rsidRPr="00780937">
        <w:rPr>
          <w:rFonts w:ascii="Palatino Linotype" w:eastAsia="Calibri" w:hAnsi="Palatino Linotype" w:cs="Arial"/>
          <w:sz w:val="24"/>
          <w:szCs w:val="24"/>
          <w:lang w:val="es-ES_tradnl" w:eastAsia="es-ES"/>
        </w:rPr>
        <w:t xml:space="preserve">vía </w:t>
      </w:r>
      <w:r w:rsidRPr="00780937">
        <w:rPr>
          <w:rFonts w:ascii="Palatino Linotype" w:eastAsia="Calibri" w:hAnsi="Palatino Linotype" w:cs="Arial"/>
          <w:sz w:val="24"/>
          <w:szCs w:val="24"/>
          <w:lang w:val="es-ES" w:eastAsia="es-ES"/>
        </w:rPr>
        <w:t xml:space="preserve">Sistema de Acceso a la Información Mexiquense </w:t>
      </w:r>
      <w:r w:rsidRPr="00780937">
        <w:rPr>
          <w:rFonts w:ascii="Palatino Linotype" w:eastAsia="Calibri" w:hAnsi="Palatino Linotype" w:cs="Arial"/>
          <w:b/>
          <w:sz w:val="24"/>
          <w:szCs w:val="24"/>
          <w:lang w:val="es-ES" w:eastAsia="es-ES"/>
        </w:rPr>
        <w:t xml:space="preserve">SAIMEX </w:t>
      </w:r>
      <w:r w:rsidRPr="0078093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80937">
        <w:rPr>
          <w:rFonts w:ascii="Palatino Linotype" w:eastAsia="Calibri" w:hAnsi="Palatino Linotype" w:cs="Arial"/>
          <w:b/>
          <w:sz w:val="24"/>
          <w:szCs w:val="24"/>
          <w:lang w:val="es-ES" w:eastAsia="es-ES"/>
        </w:rPr>
        <w:t>SUJETO OBLIGADO</w:t>
      </w:r>
      <w:r w:rsidRPr="00780937">
        <w:rPr>
          <w:rFonts w:ascii="Palatino Linotype" w:eastAsia="Calibri" w:hAnsi="Palatino Linotype" w:cs="Arial"/>
          <w:sz w:val="24"/>
          <w:szCs w:val="24"/>
          <w:lang w:val="es-ES" w:eastAsia="es-ES"/>
        </w:rPr>
        <w:t xml:space="preserve"> presentará el Informe Justificado procedente.</w:t>
      </w:r>
    </w:p>
    <w:p w:rsidR="00C00029" w:rsidRPr="00780937" w:rsidRDefault="00C00029" w:rsidP="00C00029">
      <w:pPr>
        <w:spacing w:before="240" w:after="240" w:line="360" w:lineRule="auto"/>
        <w:contextualSpacing/>
        <w:jc w:val="both"/>
        <w:rPr>
          <w:rFonts w:ascii="Palatino Linotype" w:eastAsiaTheme="minorEastAsia" w:hAnsi="Palatino Linotype"/>
          <w:i/>
          <w:sz w:val="24"/>
          <w:szCs w:val="24"/>
          <w:lang w:val="es-ES_tradnl" w:eastAsia="es-ES"/>
        </w:rPr>
      </w:pPr>
    </w:p>
    <w:p w:rsidR="00C00029" w:rsidRPr="00780937" w:rsidRDefault="00C00029" w:rsidP="00C00029">
      <w:pPr>
        <w:spacing w:after="0" w:line="240" w:lineRule="auto"/>
        <w:contextualSpacing/>
        <w:rPr>
          <w:rFonts w:ascii="Palatino Linotype" w:eastAsiaTheme="minorEastAsia" w:hAnsi="Palatino Linotype"/>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0937">
        <w:rPr>
          <w:rFonts w:ascii="Palatino Linotype" w:eastAsiaTheme="minorEastAsia" w:hAnsi="Palatino Linotype"/>
          <w:sz w:val="24"/>
          <w:szCs w:val="24"/>
          <w:lang w:val="es-ES_tradnl" w:eastAsia="es-ES"/>
        </w:rPr>
        <w:lastRenderedPageBreak/>
        <w:t xml:space="preserve">El siete (07) de mayo de dos mil veintiuno, el </w:t>
      </w:r>
      <w:r w:rsidRPr="00780937">
        <w:rPr>
          <w:rFonts w:ascii="Palatino Linotype" w:eastAsiaTheme="minorEastAsia" w:hAnsi="Palatino Linotype"/>
          <w:b/>
          <w:sz w:val="24"/>
          <w:szCs w:val="24"/>
          <w:lang w:val="es-ES_tradnl" w:eastAsia="es-ES"/>
        </w:rPr>
        <w:t xml:space="preserve">SUJETO OBLIGADO </w:t>
      </w:r>
      <w:r w:rsidRPr="00780937">
        <w:rPr>
          <w:rFonts w:ascii="Palatino Linotype" w:eastAsiaTheme="minorEastAsia" w:hAnsi="Palatino Linotype"/>
          <w:sz w:val="24"/>
          <w:szCs w:val="24"/>
          <w:lang w:val="es-ES_tradnl" w:eastAsia="es-ES"/>
        </w:rPr>
        <w:t xml:space="preserve"> rindió informe justificado para manifestar lo que a su derecho conviniera, sin embrago, no se puso a la vista del particular por contener datos susceptibles de clasificar como confidenciales; por su parte el </w:t>
      </w:r>
      <w:r w:rsidRPr="00780937">
        <w:rPr>
          <w:rFonts w:ascii="Palatino Linotype" w:eastAsiaTheme="minorEastAsia" w:hAnsi="Palatino Linotype"/>
          <w:b/>
          <w:sz w:val="24"/>
          <w:szCs w:val="24"/>
          <w:lang w:val="es-ES_tradnl" w:eastAsia="es-ES"/>
        </w:rPr>
        <w:t xml:space="preserve">RECURRENTE </w:t>
      </w:r>
      <w:r w:rsidRPr="00780937">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780937">
        <w:rPr>
          <w:rFonts w:ascii="Palatino Linotype" w:eastAsiaTheme="minorEastAsia" w:hAnsi="Palatino Linotype"/>
          <w:b/>
          <w:sz w:val="24"/>
          <w:szCs w:val="24"/>
          <w:lang w:val="es-ES_tradnl" w:eastAsia="es-ES"/>
        </w:rPr>
        <w:t xml:space="preserve">SAIMEX. </w:t>
      </w:r>
    </w:p>
    <w:p w:rsidR="00C00029" w:rsidRPr="00780937" w:rsidRDefault="00C00029" w:rsidP="00C0002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780937">
        <w:rPr>
          <w:rFonts w:ascii="Palatino Linotype" w:hAnsi="Palatino Linotype"/>
        </w:rPr>
        <w:t>El Comisionado Ponente decretó el cierre de instrucción</w:t>
      </w:r>
      <w:r w:rsidRPr="00780937">
        <w:rPr>
          <w:rFonts w:ascii="Palatino Linotype" w:hAnsi="Palatino Linotype" w:cs="Arial"/>
        </w:rPr>
        <w:t xml:space="preserve"> </w:t>
      </w:r>
      <w:r w:rsidRPr="00780937">
        <w:rPr>
          <w:rFonts w:ascii="Palatino Linotype" w:hAnsi="Palatino Linotype"/>
        </w:rPr>
        <w:t>mediante acuerdo de fecha siete (07) de mayo  de dos mil veintiuno.</w:t>
      </w:r>
    </w:p>
    <w:p w:rsidR="00C00029" w:rsidRPr="00780937" w:rsidRDefault="00C00029" w:rsidP="00C00029">
      <w:pPr>
        <w:pStyle w:val="Prrafodelista"/>
        <w:spacing w:before="240" w:after="240" w:line="360" w:lineRule="auto"/>
        <w:ind w:left="0"/>
        <w:jc w:val="both"/>
        <w:rPr>
          <w:rFonts w:ascii="Palatino Linotype" w:eastAsia="Calibri" w:hAnsi="Palatino Linotype" w:cs="Arial"/>
          <w:lang w:val="es-ES"/>
        </w:rPr>
      </w:pPr>
    </w:p>
    <w:p w:rsidR="009C36AF" w:rsidRPr="00780937" w:rsidRDefault="009C36AF" w:rsidP="009C36AF">
      <w:pPr>
        <w:pStyle w:val="Prrafodelista"/>
        <w:numPr>
          <w:ilvl w:val="0"/>
          <w:numId w:val="1"/>
        </w:numPr>
        <w:spacing w:line="360" w:lineRule="auto"/>
        <w:ind w:left="0" w:right="48" w:firstLine="0"/>
        <w:jc w:val="both"/>
        <w:rPr>
          <w:rFonts w:ascii="Palatino Linotype" w:hAnsi="Palatino Linotype"/>
        </w:rPr>
      </w:pPr>
      <w:r w:rsidRPr="00780937">
        <w:rPr>
          <w:rFonts w:ascii="Palatino Linotype" w:eastAsia="Calibri" w:hAnsi="Palatino Linotype" w:cs="Arial"/>
          <w:lang w:val="es-ES"/>
        </w:rPr>
        <w:t xml:space="preserve">El dos (02) de junio de dos mil veintiuno, se notificó el acuerdo mediante el cual se amplió el plazo para resolver el recurso de revisión por un periodo de quince (15) días hábiles. </w:t>
      </w:r>
    </w:p>
    <w:p w:rsidR="009C36AF" w:rsidRPr="00780937" w:rsidRDefault="009C36AF" w:rsidP="009C36AF">
      <w:pPr>
        <w:pStyle w:val="Prrafodelista"/>
        <w:rPr>
          <w:rFonts w:ascii="Palatino Linotype" w:eastAsia="Calibri" w:hAnsi="Palatino Linotype" w:cs="Arial"/>
          <w:lang w:val="es-ES"/>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780937">
        <w:rPr>
          <w:rFonts w:ascii="Palatino Linotype" w:eastAsia="Calibri" w:hAnsi="Palatino Linotype" w:cs="Arial"/>
          <w:lang w:val="es-ES"/>
        </w:rPr>
        <w:t>El dieciséis (16) de junio de dos mil veintiuno, en la vigésima primer sesión ordinaria, el Pleno del Instituto aprobó el returno del recurso de revisión al rubro indicado, a la Ponencia de la Comisionada Zulema Martínez Sánchez para su estudio y resolución.</w:t>
      </w:r>
    </w:p>
    <w:p w:rsidR="00C00029" w:rsidRPr="00780937" w:rsidRDefault="00C00029" w:rsidP="00C00029">
      <w:pPr>
        <w:spacing w:after="0" w:line="240" w:lineRule="auto"/>
        <w:rPr>
          <w:rFonts w:eastAsiaTheme="minorEastAsia"/>
          <w:sz w:val="24"/>
          <w:szCs w:val="24"/>
        </w:rPr>
      </w:pPr>
    </w:p>
    <w:p w:rsidR="00C00029" w:rsidRPr="00780937" w:rsidRDefault="00C00029" w:rsidP="00C00029">
      <w:pPr>
        <w:keepNext/>
        <w:keepLines/>
        <w:spacing w:before="240" w:after="0"/>
        <w:jc w:val="center"/>
        <w:outlineLvl w:val="0"/>
        <w:rPr>
          <w:rFonts w:ascii="Palatino Linotype" w:eastAsiaTheme="majorEastAsia" w:hAnsi="Palatino Linotype" w:cstheme="majorBidi"/>
          <w:b/>
          <w:sz w:val="24"/>
          <w:szCs w:val="24"/>
        </w:rPr>
      </w:pPr>
      <w:bookmarkStart w:id="5" w:name="_Toc74766894"/>
      <w:r w:rsidRPr="00780937">
        <w:rPr>
          <w:rFonts w:ascii="Palatino Linotype" w:eastAsiaTheme="majorEastAsia" w:hAnsi="Palatino Linotype" w:cstheme="majorBidi"/>
          <w:b/>
          <w:sz w:val="24"/>
          <w:szCs w:val="24"/>
        </w:rPr>
        <w:t>CONSIDERANDO</w:t>
      </w:r>
      <w:bookmarkEnd w:id="5"/>
    </w:p>
    <w:p w:rsidR="00C00029" w:rsidRPr="00780937" w:rsidRDefault="00C00029" w:rsidP="00C00029">
      <w:pPr>
        <w:spacing w:after="0" w:line="240" w:lineRule="auto"/>
        <w:rPr>
          <w:rFonts w:eastAsiaTheme="minorEastAsia"/>
          <w:sz w:val="24"/>
          <w:szCs w:val="24"/>
        </w:rPr>
      </w:pPr>
    </w:p>
    <w:p w:rsidR="00C00029" w:rsidRPr="00780937" w:rsidRDefault="00C00029" w:rsidP="00C00029">
      <w:pPr>
        <w:keepNext/>
        <w:keepLines/>
        <w:spacing w:before="40" w:after="0"/>
        <w:outlineLvl w:val="1"/>
        <w:rPr>
          <w:rFonts w:ascii="Palatino Linotype" w:eastAsiaTheme="majorEastAsia" w:hAnsi="Palatino Linotype" w:cstheme="majorBidi"/>
          <w:b/>
          <w:sz w:val="24"/>
          <w:szCs w:val="24"/>
        </w:rPr>
      </w:pPr>
      <w:bookmarkStart w:id="6" w:name="_Toc74766895"/>
      <w:r w:rsidRPr="00780937">
        <w:rPr>
          <w:rFonts w:ascii="Palatino Linotype" w:eastAsiaTheme="majorEastAsia" w:hAnsi="Palatino Linotype" w:cstheme="majorBidi"/>
          <w:b/>
          <w:sz w:val="24"/>
          <w:szCs w:val="24"/>
        </w:rPr>
        <w:t>PRIMERO. De la competencia.</w:t>
      </w:r>
      <w:bookmarkEnd w:id="6"/>
    </w:p>
    <w:p w:rsidR="00C00029" w:rsidRPr="00780937" w:rsidRDefault="00C00029" w:rsidP="00C00029">
      <w:pPr>
        <w:spacing w:after="0" w:line="240" w:lineRule="auto"/>
        <w:rPr>
          <w:rFonts w:eastAsiaTheme="minorEastAsia"/>
          <w:sz w:val="24"/>
          <w:szCs w:val="24"/>
        </w:rPr>
      </w:pPr>
    </w:p>
    <w:p w:rsidR="00C00029" w:rsidRPr="00780937" w:rsidRDefault="00C00029" w:rsidP="00C00029">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8093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780937">
        <w:rPr>
          <w:rFonts w:ascii="Palatino Linotype" w:eastAsia="Calibri" w:hAnsi="Palatino Linotype" w:cs="Times New Roman"/>
          <w:sz w:val="24"/>
          <w:szCs w:val="24"/>
          <w:lang w:val="es-ES" w:eastAsia="es-ES"/>
        </w:rPr>
        <w:lastRenderedPageBreak/>
        <w:t xml:space="preserve">A, fracción IV de la </w:t>
      </w:r>
      <w:r w:rsidRPr="00780937">
        <w:rPr>
          <w:rFonts w:ascii="Palatino Linotype" w:eastAsia="Calibri" w:hAnsi="Palatino Linotype" w:cs="Times New Roman"/>
          <w:b/>
          <w:sz w:val="24"/>
          <w:szCs w:val="24"/>
          <w:lang w:val="es-ES" w:eastAsia="es-ES"/>
        </w:rPr>
        <w:t>Constitución Política de los Estados Unidos Mexicanos</w:t>
      </w:r>
      <w:r w:rsidRPr="00780937">
        <w:rPr>
          <w:rFonts w:ascii="Palatino Linotype" w:eastAsia="Calibri" w:hAnsi="Palatino Linotype" w:cs="Times New Roman"/>
          <w:sz w:val="24"/>
          <w:szCs w:val="24"/>
          <w:lang w:val="es-ES" w:eastAsia="es-ES"/>
        </w:rPr>
        <w:t xml:space="preserve">; 5, párrafos </w:t>
      </w:r>
      <w:r w:rsidRPr="00780937">
        <w:rPr>
          <w:rFonts w:ascii="Palatino Linotype" w:eastAsiaTheme="minorEastAsia" w:hAnsi="Palatino Linotype" w:cs="Arial"/>
          <w:bCs/>
          <w:sz w:val="24"/>
          <w:szCs w:val="24"/>
          <w:lang w:val="es-ES" w:eastAsia="es-ES"/>
        </w:rPr>
        <w:t xml:space="preserve">vigésimo, vigésimo primero y vigésimo segundo </w:t>
      </w:r>
      <w:r w:rsidRPr="00780937">
        <w:rPr>
          <w:rFonts w:ascii="Palatino Linotype" w:eastAsia="Calibri" w:hAnsi="Palatino Linotype" w:cs="Times New Roman"/>
          <w:sz w:val="24"/>
          <w:szCs w:val="24"/>
          <w:lang w:val="es-ES" w:eastAsia="es-ES"/>
        </w:rPr>
        <w:t xml:space="preserve">fracciones IV y V de la </w:t>
      </w:r>
      <w:r w:rsidRPr="00780937">
        <w:rPr>
          <w:rFonts w:ascii="Palatino Linotype" w:eastAsia="Calibri" w:hAnsi="Palatino Linotype" w:cs="Times New Roman"/>
          <w:b/>
          <w:sz w:val="24"/>
          <w:szCs w:val="24"/>
          <w:lang w:val="es-ES" w:eastAsia="es-ES"/>
        </w:rPr>
        <w:t>Constitución Política del Estado Libre y Soberano de México</w:t>
      </w:r>
      <w:r w:rsidRPr="0078093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80937">
        <w:rPr>
          <w:rFonts w:ascii="Palatino Linotype" w:eastAsia="Calibri" w:hAnsi="Palatino Linotype" w:cs="Arial"/>
          <w:sz w:val="24"/>
          <w:szCs w:val="24"/>
          <w:lang w:val="es-ES" w:eastAsia="es-ES"/>
        </w:rPr>
        <w:t xml:space="preserve">de la </w:t>
      </w:r>
      <w:r w:rsidRPr="00780937">
        <w:rPr>
          <w:rFonts w:ascii="Palatino Linotype" w:eastAsia="Calibri" w:hAnsi="Palatino Linotype" w:cs="Arial"/>
          <w:b/>
          <w:sz w:val="24"/>
          <w:szCs w:val="24"/>
          <w:lang w:val="es-ES" w:eastAsia="es-ES"/>
        </w:rPr>
        <w:t>Ley de Transparencia y Acceso a la Información Pública del Estado de México y Municipios</w:t>
      </w:r>
      <w:r w:rsidRPr="00780937">
        <w:rPr>
          <w:rFonts w:ascii="Palatino Linotype" w:eastAsia="Calibri" w:hAnsi="Palatino Linotype" w:cs="Arial"/>
          <w:sz w:val="24"/>
          <w:szCs w:val="24"/>
          <w:lang w:val="es-ES" w:eastAsia="es-ES"/>
        </w:rPr>
        <w:t xml:space="preserve">; y 7, 9 fracciones I y XXIV, y 11 del </w:t>
      </w:r>
      <w:r w:rsidRPr="0078093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80937">
        <w:rPr>
          <w:rFonts w:ascii="Palatino Linotype" w:eastAsiaTheme="minorEastAsia" w:hAnsi="Palatino Linotype"/>
          <w:sz w:val="24"/>
          <w:szCs w:val="24"/>
          <w:lang w:val="es-ES_tradnl" w:eastAsia="es-ES"/>
        </w:rPr>
        <w:t>.</w:t>
      </w:r>
    </w:p>
    <w:p w:rsidR="00C00029" w:rsidRPr="00780937" w:rsidRDefault="00C00029" w:rsidP="00C0002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C00029" w:rsidRPr="00780937" w:rsidRDefault="00C00029" w:rsidP="00C00029">
      <w:pPr>
        <w:keepNext/>
        <w:keepLines/>
        <w:spacing w:before="40" w:after="0"/>
        <w:outlineLvl w:val="1"/>
        <w:rPr>
          <w:rFonts w:ascii="Palatino Linotype" w:eastAsiaTheme="majorEastAsia" w:hAnsi="Palatino Linotype" w:cstheme="majorBidi"/>
          <w:b/>
          <w:sz w:val="24"/>
          <w:szCs w:val="24"/>
        </w:rPr>
      </w:pPr>
      <w:bookmarkStart w:id="7" w:name="_Toc74766896"/>
      <w:r w:rsidRPr="00780937">
        <w:rPr>
          <w:rFonts w:ascii="Palatino Linotype" w:eastAsiaTheme="majorEastAsia" w:hAnsi="Palatino Linotype" w:cstheme="majorBidi"/>
          <w:b/>
          <w:sz w:val="24"/>
          <w:szCs w:val="24"/>
        </w:rPr>
        <w:t>SEGUNDO. De la oportunidad y procedencia.</w:t>
      </w:r>
      <w:bookmarkEnd w:id="7"/>
    </w:p>
    <w:p w:rsidR="00C00029" w:rsidRPr="00780937" w:rsidRDefault="00C00029" w:rsidP="00C00029">
      <w:pPr>
        <w:spacing w:after="0" w:line="240" w:lineRule="auto"/>
        <w:rPr>
          <w:rFonts w:eastAsiaTheme="minorEastAsia"/>
          <w:sz w:val="24"/>
          <w:szCs w:val="24"/>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093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80937">
        <w:rPr>
          <w:rFonts w:ascii="Palatino Linotype" w:eastAsia="Calibri" w:hAnsi="Palatino Linotype" w:cs="Arial"/>
          <w:b/>
          <w:sz w:val="24"/>
          <w:szCs w:val="24"/>
          <w:lang w:val="es-ES" w:eastAsia="es-ES"/>
        </w:rPr>
        <w:t>SUJETO OBLIGADO</w:t>
      </w:r>
      <w:r w:rsidRPr="0078093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00029" w:rsidRPr="00780937" w:rsidRDefault="00C00029" w:rsidP="00C00029">
      <w:pPr>
        <w:spacing w:before="240" w:after="240" w:line="360" w:lineRule="auto"/>
        <w:ind w:left="284"/>
        <w:contextualSpacing/>
        <w:jc w:val="both"/>
        <w:rPr>
          <w:rFonts w:ascii="Palatino Linotype" w:eastAsia="Times New Roman" w:hAnsi="Palatino Linotype" w:cs="Arial"/>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0937">
        <w:rPr>
          <w:rFonts w:ascii="Palatino Linotype" w:eastAsia="Calibri" w:hAnsi="Palatino Linotype" w:cs="Arial"/>
          <w:sz w:val="24"/>
          <w:szCs w:val="24"/>
          <w:lang w:val="es-ES" w:eastAsia="es-ES"/>
        </w:rPr>
        <w:t xml:space="preserve">Por ende, se constituye la figura jurídica de la </w:t>
      </w:r>
      <w:r w:rsidRPr="00780937">
        <w:rPr>
          <w:rFonts w:ascii="Palatino Linotype" w:eastAsia="Calibri" w:hAnsi="Palatino Linotype" w:cs="Arial"/>
          <w:i/>
          <w:sz w:val="24"/>
          <w:szCs w:val="24"/>
          <w:lang w:val="es-ES" w:eastAsia="es-ES"/>
        </w:rPr>
        <w:t>negativa ficta</w:t>
      </w:r>
      <w:r w:rsidRPr="0078093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80937">
        <w:rPr>
          <w:rFonts w:ascii="Palatino Linotype" w:eastAsia="Calibri" w:hAnsi="Palatino Linotype" w:cs="Arial"/>
          <w:b/>
          <w:sz w:val="24"/>
          <w:szCs w:val="24"/>
          <w:lang w:val="es-ES" w:eastAsia="es-ES"/>
        </w:rPr>
        <w:t>178</w:t>
      </w:r>
      <w:r w:rsidRPr="00780937">
        <w:rPr>
          <w:rFonts w:ascii="Palatino Linotype" w:eastAsia="Calibri" w:hAnsi="Palatino Linotype" w:cs="Arial"/>
          <w:sz w:val="24"/>
          <w:szCs w:val="24"/>
          <w:lang w:val="es-ES" w:eastAsia="es-ES"/>
        </w:rPr>
        <w:t xml:space="preserve"> segundo párrafo de </w:t>
      </w:r>
      <w:r w:rsidRPr="00780937">
        <w:rPr>
          <w:rFonts w:ascii="Palatino Linotype" w:eastAsia="Calibri" w:hAnsi="Palatino Linotype" w:cs="Arial"/>
          <w:b/>
          <w:sz w:val="24"/>
          <w:szCs w:val="24"/>
          <w:lang w:val="es-ES" w:eastAsia="es-ES"/>
        </w:rPr>
        <w:t>Ley de Transparencia y Acceso a la Información Pública del Estado de México y Municipios</w:t>
      </w:r>
      <w:r w:rsidRPr="00780937">
        <w:rPr>
          <w:rFonts w:ascii="Palatino Linotype" w:eastAsia="Calibri" w:hAnsi="Palatino Linotype" w:cs="Times New Roman"/>
          <w:sz w:val="24"/>
          <w:szCs w:val="24"/>
          <w:shd w:val="clear" w:color="auto" w:fill="FFFFFF"/>
        </w:rPr>
        <w:t xml:space="preserve">, que dispone; ante la </w:t>
      </w:r>
      <w:r w:rsidRPr="00780937">
        <w:rPr>
          <w:rFonts w:ascii="Palatino Linotype" w:eastAsia="Calibri" w:hAnsi="Palatino Linotype" w:cs="Times New Roman"/>
          <w:sz w:val="24"/>
          <w:szCs w:val="24"/>
          <w:shd w:val="clear" w:color="auto" w:fill="FFFFFF"/>
        </w:rPr>
        <w:lastRenderedPageBreak/>
        <w:t xml:space="preserve">falta de respuesta del </w:t>
      </w:r>
      <w:r w:rsidRPr="00780937">
        <w:rPr>
          <w:rFonts w:ascii="Palatino Linotype" w:eastAsia="Calibri" w:hAnsi="Palatino Linotype" w:cs="Times New Roman"/>
          <w:b/>
          <w:sz w:val="24"/>
          <w:szCs w:val="24"/>
          <w:shd w:val="clear" w:color="auto" w:fill="FFFFFF"/>
        </w:rPr>
        <w:t>SUJETO OBLIGADO,</w:t>
      </w:r>
      <w:r w:rsidRPr="00780937">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780937">
        <w:rPr>
          <w:rFonts w:ascii="Palatino Linotype" w:eastAsia="Calibri" w:hAnsi="Palatino Linotype" w:cs="Times New Roman"/>
          <w:b/>
          <w:sz w:val="24"/>
          <w:szCs w:val="24"/>
          <w:shd w:val="clear" w:color="auto" w:fill="FFFFFF"/>
        </w:rPr>
        <w:t xml:space="preserve">podrá ser interpuesto en cualquier momento. </w:t>
      </w:r>
    </w:p>
    <w:p w:rsidR="00C00029" w:rsidRPr="00780937" w:rsidRDefault="00C00029" w:rsidP="00C00029">
      <w:pPr>
        <w:spacing w:after="0" w:line="240" w:lineRule="auto"/>
        <w:ind w:left="284"/>
        <w:contextualSpacing/>
        <w:rPr>
          <w:rFonts w:ascii="Palatino Linotype" w:eastAsia="Times New Roman" w:hAnsi="Palatino Linotype" w:cs="Arial"/>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0937">
        <w:rPr>
          <w:rFonts w:ascii="Palatino Linotype" w:eastAsia="Calibri" w:hAnsi="Palatino Linotype" w:cs="Arial"/>
          <w:sz w:val="24"/>
          <w:szCs w:val="24"/>
          <w:lang w:val="es-ES" w:eastAsia="es-ES"/>
        </w:rPr>
        <w:t xml:space="preserve">Por lo que, tratándose de la </w:t>
      </w:r>
      <w:r w:rsidRPr="00780937">
        <w:rPr>
          <w:rFonts w:ascii="Palatino Linotype" w:eastAsia="Calibri" w:hAnsi="Palatino Linotype" w:cs="Arial"/>
          <w:i/>
          <w:sz w:val="24"/>
          <w:szCs w:val="24"/>
          <w:lang w:val="es-ES" w:eastAsia="es-ES"/>
        </w:rPr>
        <w:t>negativa ficta</w:t>
      </w:r>
      <w:r w:rsidRPr="0078093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80937">
        <w:rPr>
          <w:rFonts w:ascii="Palatino Linotype" w:eastAsia="Calibri" w:hAnsi="Palatino Linotype" w:cs="Arial"/>
          <w:i/>
          <w:sz w:val="24"/>
          <w:szCs w:val="24"/>
          <w:lang w:val="es-ES" w:eastAsia="es-ES"/>
        </w:rPr>
        <w:t>negativa ficta</w:t>
      </w:r>
      <w:r w:rsidRPr="00780937">
        <w:rPr>
          <w:rFonts w:ascii="Palatino Linotype" w:eastAsia="Calibri" w:hAnsi="Palatino Linotype" w:cs="Arial"/>
          <w:sz w:val="24"/>
          <w:szCs w:val="24"/>
          <w:lang w:val="es-ES" w:eastAsia="es-ES"/>
        </w:rPr>
        <w:t>, que señala:</w:t>
      </w:r>
    </w:p>
    <w:p w:rsidR="00C00029" w:rsidRPr="00780937" w:rsidRDefault="00C00029" w:rsidP="00C00029">
      <w:pPr>
        <w:spacing w:before="240" w:after="240" w:line="360" w:lineRule="auto"/>
        <w:contextualSpacing/>
        <w:jc w:val="both"/>
        <w:rPr>
          <w:rFonts w:ascii="Palatino Linotype" w:eastAsia="Times New Roman" w:hAnsi="Palatino Linotype" w:cs="Arial"/>
          <w:sz w:val="24"/>
          <w:szCs w:val="24"/>
          <w:lang w:val="es-ES_tradnl" w:eastAsia="es-ES"/>
        </w:rPr>
      </w:pPr>
    </w:p>
    <w:p w:rsidR="00C00029" w:rsidRPr="00780937" w:rsidRDefault="00C00029" w:rsidP="00C0002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80937">
        <w:rPr>
          <w:rFonts w:ascii="Palatino Linotype" w:eastAsia="Calibri" w:hAnsi="Palatino Linotype" w:cs="Arial"/>
          <w:b/>
          <w:szCs w:val="24"/>
          <w:lang w:val="es-ES" w:eastAsia="es-ES"/>
        </w:rPr>
        <w:t>Criterio 0001-15</w:t>
      </w:r>
    </w:p>
    <w:p w:rsidR="00C00029" w:rsidRPr="00780937" w:rsidRDefault="00C00029" w:rsidP="00C0002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80937">
        <w:rPr>
          <w:rFonts w:ascii="Palatino Linotype" w:eastAsia="Calibri" w:hAnsi="Palatino Linotype" w:cs="Arial"/>
          <w:b/>
          <w:i/>
          <w:szCs w:val="24"/>
          <w:lang w:val="es-ES" w:eastAsia="es-ES"/>
        </w:rPr>
        <w:t>NEGATIVA FICTA. PLAZO PARA INTERPONER EL RECURSO DE REVISIÓN TRATÁNDOSE DE.</w:t>
      </w:r>
      <w:r w:rsidRPr="0078093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780937">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780937">
        <w:rPr>
          <w:rFonts w:ascii="Palatino Linotype" w:eastAsia="Times New Roman" w:hAnsi="Palatino Linotype" w:cs="Arial"/>
          <w:sz w:val="24"/>
          <w:szCs w:val="24"/>
          <w:lang w:val="es-ES" w:eastAsia="es-MX"/>
        </w:rPr>
        <w:t xml:space="preserve">Lo anterior, se explica porque la </w:t>
      </w:r>
      <w:r w:rsidRPr="00780937">
        <w:rPr>
          <w:rFonts w:ascii="Palatino Linotype" w:eastAsia="Times New Roman" w:hAnsi="Palatino Linotype" w:cs="Arial"/>
          <w:b/>
          <w:sz w:val="24"/>
          <w:szCs w:val="24"/>
          <w:u w:val="single"/>
          <w:lang w:val="es-ES" w:eastAsia="es-MX"/>
        </w:rPr>
        <w:t>posible ausencia</w:t>
      </w:r>
      <w:r w:rsidRPr="00780937">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780937">
        <w:rPr>
          <w:rFonts w:ascii="Palatino Linotype" w:eastAsia="Times New Roman" w:hAnsi="Palatino Linotype" w:cs="Arial"/>
          <w:b/>
          <w:sz w:val="24"/>
          <w:szCs w:val="24"/>
          <w:lang w:val="es-ES" w:eastAsia="es-MX"/>
        </w:rPr>
        <w:t>SUJETO OBLIGADO</w:t>
      </w:r>
      <w:r w:rsidRPr="00780937">
        <w:rPr>
          <w:rFonts w:ascii="Palatino Linotype" w:eastAsia="Times New Roman" w:hAnsi="Palatino Linotype" w:cs="Arial"/>
          <w:sz w:val="24"/>
          <w:szCs w:val="24"/>
          <w:lang w:val="es-ES" w:eastAsia="es-MX"/>
        </w:rPr>
        <w:t>.</w:t>
      </w:r>
    </w:p>
    <w:p w:rsidR="00C00029" w:rsidRPr="00780937" w:rsidRDefault="00C00029" w:rsidP="00C00029">
      <w:pPr>
        <w:pStyle w:val="Prrafodelista"/>
        <w:rPr>
          <w:rFonts w:ascii="Palatino Linotype" w:hAnsi="Palatino Linotype" w:cs="Arial"/>
          <w:b/>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C00029" w:rsidRPr="00780937" w:rsidRDefault="00C00029" w:rsidP="00C00029">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4766897"/>
      <w:r w:rsidRPr="00780937">
        <w:rPr>
          <w:rFonts w:ascii="Palatino Linotype" w:eastAsia="MS Mincho" w:hAnsi="Palatino Linotype" w:cstheme="majorBidi"/>
          <w:b/>
          <w:sz w:val="24"/>
          <w:szCs w:val="24"/>
          <w:lang w:val="es-ES_tradnl" w:eastAsia="es-ES"/>
        </w:rPr>
        <w:t>TERCERO. De previo y especial pronunciamiento</w:t>
      </w:r>
      <w:bookmarkEnd w:id="15"/>
      <w:bookmarkEnd w:id="16"/>
    </w:p>
    <w:p w:rsidR="00C00029" w:rsidRPr="00780937" w:rsidRDefault="00C00029" w:rsidP="00C00029">
      <w:pPr>
        <w:keepNext/>
        <w:keepLines/>
        <w:spacing w:after="0" w:line="360" w:lineRule="auto"/>
        <w:ind w:right="48"/>
        <w:outlineLvl w:val="0"/>
        <w:rPr>
          <w:rFonts w:ascii="Palatino Linotype" w:eastAsia="MS Gothic" w:hAnsi="Palatino Linotype" w:cs="Times New Roman"/>
          <w:b/>
          <w:sz w:val="24"/>
          <w:szCs w:val="24"/>
        </w:rPr>
      </w:pPr>
    </w:p>
    <w:p w:rsidR="00C00029" w:rsidRPr="00780937" w:rsidRDefault="00C00029" w:rsidP="00C00029">
      <w:pPr>
        <w:pStyle w:val="Prrafodelista"/>
        <w:numPr>
          <w:ilvl w:val="0"/>
          <w:numId w:val="1"/>
        </w:numPr>
        <w:spacing w:after="160" w:line="360" w:lineRule="auto"/>
        <w:ind w:left="0" w:firstLine="0"/>
        <w:jc w:val="both"/>
        <w:rPr>
          <w:rFonts w:ascii="Palatino Linotype" w:eastAsiaTheme="minorHAnsi" w:hAnsi="Palatino Linotype"/>
          <w:lang w:val="es-ES"/>
        </w:rPr>
      </w:pPr>
      <w:r w:rsidRPr="00780937">
        <w:rPr>
          <w:rFonts w:ascii="Palatino Linotype" w:hAnsi="Palatino Linotype"/>
          <w:lang w:val="es-ES"/>
        </w:rPr>
        <w:t xml:space="preserve">Ahora bien, desde que inició, a finales de 2019, la crisis generada por el virus </w:t>
      </w:r>
      <w:r w:rsidRPr="00780937">
        <w:rPr>
          <w:rFonts w:ascii="Palatino Linotype" w:hAnsi="Palatino Linotype"/>
          <w:b/>
          <w:lang w:val="es-ES"/>
        </w:rPr>
        <w:t>SARS-Cov-2 -  COVID-19</w:t>
      </w:r>
      <w:r w:rsidRPr="0078093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C00029" w:rsidRPr="00780937" w:rsidRDefault="00C00029" w:rsidP="00C00029">
      <w:pPr>
        <w:pStyle w:val="Prrafodelista"/>
        <w:ind w:left="1778"/>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780937">
        <w:rPr>
          <w:rFonts w:ascii="Palatino Linotype" w:hAnsi="Palatino Linotype"/>
          <w:lang w:val="es-ES"/>
        </w:rPr>
        <w:lastRenderedPageBreak/>
        <w:t>contagios y sus efectos en la salud y en la vida, especialmente, de los grupos más vulnerables.</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780937">
        <w:rPr>
          <w:rFonts w:ascii="Palatino Linotype" w:hAnsi="Palatino Linotype"/>
          <w:lang w:val="es-ES"/>
        </w:rPr>
        <w:lastRenderedPageBreak/>
        <w:t xml:space="preserve">trata de armonizar, con la garantía plena en el ejercicio de los derechos de acceso a la información pública y a la protección de los datos personales. </w:t>
      </w:r>
    </w:p>
    <w:p w:rsidR="00C00029" w:rsidRPr="00780937" w:rsidRDefault="00C00029" w:rsidP="00C00029">
      <w:pPr>
        <w:pStyle w:val="Prrafodelista"/>
        <w:spacing w:line="360" w:lineRule="auto"/>
        <w:ind w:left="0"/>
        <w:jc w:val="both"/>
        <w:rPr>
          <w:rFonts w:ascii="Palatino Linotype" w:hAnsi="Palatino Linotype"/>
          <w:lang w:val="es-ES"/>
        </w:rPr>
      </w:pPr>
    </w:p>
    <w:p w:rsidR="00C00029" w:rsidRPr="00780937" w:rsidRDefault="00C00029" w:rsidP="00C00029">
      <w:pPr>
        <w:pStyle w:val="Prrafodelista"/>
        <w:numPr>
          <w:ilvl w:val="0"/>
          <w:numId w:val="1"/>
        </w:numPr>
        <w:spacing w:after="160" w:line="360" w:lineRule="auto"/>
        <w:ind w:left="0" w:firstLine="0"/>
        <w:jc w:val="both"/>
        <w:rPr>
          <w:rFonts w:ascii="Palatino Linotype" w:hAnsi="Palatino Linotype"/>
          <w:lang w:val="es-ES"/>
        </w:rPr>
      </w:pPr>
      <w:r w:rsidRPr="00780937">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C00029" w:rsidRPr="00780937" w:rsidRDefault="00C00029" w:rsidP="00C00029">
      <w:pPr>
        <w:pStyle w:val="Prrafodelista"/>
        <w:spacing w:after="160" w:line="360" w:lineRule="auto"/>
        <w:ind w:left="0"/>
        <w:jc w:val="both"/>
        <w:rPr>
          <w:rFonts w:ascii="Palatino Linotype" w:hAnsi="Palatino Linotype"/>
          <w:lang w:val="es-ES"/>
        </w:rPr>
      </w:pPr>
      <w:r w:rsidRPr="00780937">
        <w:rPr>
          <w:rFonts w:ascii="Palatino Linotype" w:hAnsi="Palatino Linotype"/>
        </w:rPr>
        <w:tab/>
      </w:r>
    </w:p>
    <w:p w:rsidR="00C00029" w:rsidRPr="00780937" w:rsidRDefault="00C00029" w:rsidP="00C00029">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4766898"/>
      <w:r w:rsidRPr="00780937">
        <w:rPr>
          <w:rFonts w:ascii="Palatino Linotype" w:eastAsia="Calibri" w:hAnsi="Palatino Linotype" w:cs="Times New Roman"/>
          <w:b/>
          <w:bCs/>
          <w:sz w:val="24"/>
          <w:szCs w:val="24"/>
          <w:lang w:val="es-ES" w:eastAsia="es-ES"/>
        </w:rPr>
        <w:t>CUARTO. Del planteamiento de la Litis.</w:t>
      </w:r>
      <w:bookmarkEnd w:id="17"/>
      <w:r w:rsidRPr="00780937">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rsidR="00C00029" w:rsidRPr="00780937" w:rsidRDefault="00C00029" w:rsidP="00C0002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780937">
        <w:rPr>
          <w:rFonts w:ascii="Palatino Linotype" w:eastAsiaTheme="minorEastAsia" w:hAnsi="Palatino Linotype" w:cs="Arial"/>
          <w:sz w:val="24"/>
          <w:szCs w:val="24"/>
          <w:lang w:val="es-ES_tradnl" w:eastAsia="es-ES"/>
        </w:rPr>
        <w:t>El particular solicitó</w:t>
      </w:r>
      <w:r w:rsidRPr="00780937">
        <w:rPr>
          <w:rFonts w:ascii="Palatino Linotype" w:hAnsi="Palatino Linotype"/>
          <w:color w:val="000000"/>
          <w:sz w:val="24"/>
          <w:szCs w:val="14"/>
        </w:rPr>
        <w:t xml:space="preserve"> el currículum vitae de todos los mandos medios y superiores de la actual administración pública, en versión pública.</w:t>
      </w:r>
    </w:p>
    <w:p w:rsidR="00C00029" w:rsidRPr="00780937" w:rsidRDefault="00C00029" w:rsidP="00C00029">
      <w:pPr>
        <w:spacing w:before="240" w:after="240" w:line="360" w:lineRule="auto"/>
        <w:contextualSpacing/>
        <w:jc w:val="both"/>
        <w:rPr>
          <w:rFonts w:ascii="Palatino Linotype" w:eastAsiaTheme="minorEastAsia" w:hAnsi="Palatino Linotype"/>
          <w:i/>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0937">
        <w:rPr>
          <w:rFonts w:ascii="Palatino Linotype" w:eastAsiaTheme="minorEastAsia" w:hAnsi="Palatino Linotype" w:cs="Arial"/>
          <w:sz w:val="24"/>
          <w:szCs w:val="24"/>
          <w:lang w:val="es-ES_tradnl" w:eastAsia="es-ES"/>
        </w:rPr>
        <w:t>Derivado de la falta de respuesta por parte del SUJETO OBLIGADO, el Particular interpuso  Recurso de Revisión</w:t>
      </w:r>
      <w:r w:rsidRPr="00780937">
        <w:rPr>
          <w:rFonts w:ascii="Palatino Linotype" w:hAnsi="Palatino Linotype"/>
          <w:sz w:val="24"/>
          <w:szCs w:val="24"/>
        </w:rPr>
        <w:t xml:space="preserve"> ante este Órgano Garante para hacer valer </w:t>
      </w:r>
      <w:r w:rsidRPr="00780937">
        <w:rPr>
          <w:rFonts w:ascii="Palatino Linotype" w:hAnsi="Palatino Linotype"/>
          <w:sz w:val="24"/>
          <w:szCs w:val="24"/>
        </w:rPr>
        <w:lastRenderedPageBreak/>
        <w:t>su derecho de acceso a la información pública; manifestó en sus motivos de inconformidad que no se entregó la totalidad de la información solicitada.</w:t>
      </w:r>
    </w:p>
    <w:p w:rsidR="00C00029" w:rsidRPr="00780937" w:rsidRDefault="00C00029" w:rsidP="00C00029">
      <w:pPr>
        <w:spacing w:before="240" w:after="240" w:line="360" w:lineRule="auto"/>
        <w:contextualSpacing/>
        <w:jc w:val="both"/>
        <w:rPr>
          <w:rFonts w:ascii="Palatino Linotype" w:eastAsiaTheme="minorEastAsia" w:hAnsi="Palatino Linotype"/>
          <w:i/>
          <w:sz w:val="24"/>
          <w:szCs w:val="24"/>
          <w:lang w:val="es-ES_tradnl" w:eastAsia="es-ES"/>
        </w:rPr>
      </w:pPr>
    </w:p>
    <w:p w:rsidR="00C00029" w:rsidRPr="00780937" w:rsidRDefault="00C00029" w:rsidP="00C0002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0937">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780937">
        <w:rPr>
          <w:rFonts w:ascii="Palatino Linotype" w:eastAsia="Times New Roman" w:hAnsi="Palatino Linotype"/>
          <w:sz w:val="24"/>
          <w:szCs w:val="24"/>
          <w:lang w:val="es-ES_tradnl" w:eastAsia="es-ES"/>
        </w:rPr>
        <w:t>actualiza las causales de procedencia</w:t>
      </w:r>
      <w:r w:rsidRPr="00780937">
        <w:rPr>
          <w:rFonts w:ascii="Palatino Linotype" w:eastAsia="Times New Roman" w:hAnsi="Palatino Linotype"/>
          <w:b/>
          <w:sz w:val="24"/>
          <w:szCs w:val="24"/>
          <w:lang w:val="es-ES_tradnl" w:eastAsia="es-ES"/>
        </w:rPr>
        <w:t xml:space="preserve"> </w:t>
      </w:r>
      <w:r w:rsidRPr="00780937">
        <w:rPr>
          <w:rFonts w:ascii="Palatino Linotype" w:eastAsia="Times New Roman" w:hAnsi="Palatino Linotype" w:cs="Arial"/>
          <w:sz w:val="24"/>
          <w:szCs w:val="24"/>
          <w:lang w:val="es-ES_tradnl" w:eastAsia="es-MX"/>
        </w:rPr>
        <w:t xml:space="preserve">contenidas en </w:t>
      </w:r>
      <w:r w:rsidRPr="00780937">
        <w:rPr>
          <w:rFonts w:ascii="Palatino Linotype" w:eastAsia="Times New Roman" w:hAnsi="Palatino Linotype" w:cs="Arial"/>
          <w:sz w:val="24"/>
          <w:szCs w:val="24"/>
          <w:lang w:val="es-ES" w:eastAsia="es-MX"/>
        </w:rPr>
        <w:t xml:space="preserve">el artículo 179 fracciones I, VII y XI de la </w:t>
      </w:r>
      <w:r w:rsidRPr="00780937">
        <w:rPr>
          <w:rFonts w:ascii="Palatino Linotype" w:eastAsia="Calibri" w:hAnsi="Palatino Linotype" w:cs="Arial"/>
          <w:b/>
          <w:sz w:val="24"/>
          <w:szCs w:val="24"/>
          <w:lang w:val="es-ES" w:eastAsia="es-ES"/>
        </w:rPr>
        <w:t>Ley de Transparencia y Acceso a la Información Pública del Estado de México y Municipios</w:t>
      </w:r>
      <w:r w:rsidRPr="00780937">
        <w:rPr>
          <w:rFonts w:ascii="Palatino Linotype" w:eastAsia="Times New Roman" w:hAnsi="Palatino Linotype" w:cs="Arial"/>
          <w:sz w:val="24"/>
          <w:szCs w:val="24"/>
          <w:lang w:val="es-ES" w:eastAsia="es-MX"/>
        </w:rPr>
        <w:t>.</w:t>
      </w:r>
    </w:p>
    <w:p w:rsidR="00C00029" w:rsidRPr="00780937" w:rsidRDefault="00C00029" w:rsidP="00C00029">
      <w:pPr>
        <w:spacing w:after="0" w:line="240" w:lineRule="auto"/>
        <w:ind w:left="720"/>
        <w:contextualSpacing/>
        <w:rPr>
          <w:rFonts w:ascii="Palatino Linotype" w:eastAsiaTheme="minorEastAsia" w:hAnsi="Palatino Linotype"/>
          <w:i/>
          <w:sz w:val="24"/>
          <w:szCs w:val="24"/>
          <w:lang w:val="es-ES_tradnl" w:eastAsia="es-ES"/>
        </w:rPr>
      </w:pPr>
    </w:p>
    <w:p w:rsidR="00C00029" w:rsidRPr="00780937" w:rsidRDefault="00C00029" w:rsidP="00C00029">
      <w:pPr>
        <w:keepNext/>
        <w:keepLines/>
        <w:spacing w:before="240" w:after="0"/>
        <w:outlineLvl w:val="0"/>
        <w:rPr>
          <w:rFonts w:ascii="Palatino Linotype" w:eastAsia="MS Gothic" w:hAnsi="Palatino Linotype" w:cs="Times New Roman"/>
          <w:b/>
          <w:sz w:val="24"/>
          <w:szCs w:val="32"/>
        </w:rPr>
      </w:pPr>
      <w:bookmarkStart w:id="24" w:name="_Toc74766899"/>
      <w:bookmarkStart w:id="25" w:name="_Toc499659080"/>
      <w:r w:rsidRPr="00780937">
        <w:rPr>
          <w:rFonts w:ascii="Palatino Linotype" w:eastAsia="MS Gothic" w:hAnsi="Palatino Linotype" w:cstheme="majorBidi"/>
          <w:b/>
          <w:sz w:val="24"/>
          <w:szCs w:val="32"/>
        </w:rPr>
        <w:t xml:space="preserve">QUINTO. </w:t>
      </w:r>
      <w:r w:rsidRPr="00780937">
        <w:rPr>
          <w:rFonts w:ascii="Palatino Linotype" w:eastAsia="MS Gothic" w:hAnsi="Palatino Linotype" w:cs="Times New Roman"/>
          <w:b/>
          <w:sz w:val="24"/>
          <w:szCs w:val="32"/>
        </w:rPr>
        <w:t>Del estudio y resolución del asunto.</w:t>
      </w:r>
      <w:bookmarkEnd w:id="24"/>
    </w:p>
    <w:p w:rsidR="00C00029" w:rsidRPr="00780937" w:rsidRDefault="00C00029" w:rsidP="00C00029">
      <w:pPr>
        <w:keepNext/>
        <w:keepLines/>
        <w:spacing w:before="240" w:after="0"/>
        <w:outlineLvl w:val="0"/>
        <w:rPr>
          <w:rFonts w:ascii="Palatino Linotype" w:eastAsia="MS Gothic" w:hAnsi="Palatino Linotype" w:cs="Times New Roman"/>
          <w:sz w:val="24"/>
          <w:szCs w:val="32"/>
        </w:rPr>
      </w:pPr>
    </w:p>
    <w:p w:rsidR="00C00029" w:rsidRPr="00780937" w:rsidRDefault="00C00029" w:rsidP="00C00029">
      <w:pPr>
        <w:keepNext/>
        <w:keepLines/>
        <w:numPr>
          <w:ilvl w:val="1"/>
          <w:numId w:val="1"/>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4766900"/>
      <w:r w:rsidRPr="00780937">
        <w:rPr>
          <w:rFonts w:ascii="Palatino Linotype" w:eastAsia="MS Gothic" w:hAnsi="Palatino Linotype" w:cs="Times New Roman"/>
          <w:b/>
          <w:sz w:val="24"/>
          <w:szCs w:val="24"/>
          <w:lang w:val="es-ES_tradnl" w:eastAsia="es-ES"/>
        </w:rPr>
        <w:t>De</w:t>
      </w:r>
      <w:bookmarkEnd w:id="26"/>
      <w:r w:rsidRPr="00780937">
        <w:rPr>
          <w:rFonts w:ascii="Palatino Linotype" w:eastAsia="MS Gothic" w:hAnsi="Palatino Linotype" w:cs="Times New Roman"/>
          <w:b/>
          <w:sz w:val="24"/>
          <w:szCs w:val="24"/>
          <w:lang w:val="es-ES_tradnl" w:eastAsia="es-ES"/>
        </w:rPr>
        <w:t>l derecho de acceso a la información.</w:t>
      </w:r>
      <w:bookmarkEnd w:id="27"/>
      <w:bookmarkEnd w:id="28"/>
    </w:p>
    <w:p w:rsidR="00C00029" w:rsidRPr="00780937" w:rsidRDefault="00C00029" w:rsidP="00C00029">
      <w:pPr>
        <w:ind w:left="720"/>
        <w:contextualSpacing/>
        <w:rPr>
          <w:rFonts w:ascii="Palatino Linotype" w:eastAsia="MS Mincho" w:hAnsi="Palatino Linotype" w:cs="Arial"/>
          <w:lang w:val="es-ES_tradnl" w:eastAsia="es-ES"/>
        </w:rPr>
      </w:pPr>
      <w:bookmarkStart w:id="29" w:name="_Toc536106972"/>
    </w:p>
    <w:p w:rsidR="00C00029" w:rsidRPr="00780937" w:rsidRDefault="00C00029" w:rsidP="00C00029">
      <w:pPr>
        <w:ind w:left="720"/>
        <w:contextualSpacing/>
        <w:rPr>
          <w:rFonts w:ascii="Palatino Linotype" w:eastAsia="MS Mincho" w:hAnsi="Palatino Linotype" w:cs="Arial"/>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MS Mincho" w:hAnsi="Palatino Linotype"/>
          <w:color w:val="000000"/>
          <w:sz w:val="24"/>
          <w:lang w:val="es-ES_tradnl" w:eastAsia="es-ES"/>
        </w:rPr>
      </w:pPr>
      <w:r w:rsidRPr="00780937">
        <w:rPr>
          <w:rFonts w:ascii="Palatino Linotype" w:eastAsiaTheme="minorEastAsia" w:hAnsi="Palatino Linotype"/>
          <w:sz w:val="24"/>
          <w:lang w:val="es-ES_tradnl" w:eastAsia="es-ES"/>
        </w:rPr>
        <w:t>E</w:t>
      </w:r>
      <w:r w:rsidRPr="00780937">
        <w:rPr>
          <w:rFonts w:ascii="Palatino Linotype" w:hAnsi="Palatino Linotype" w:cs="Arial"/>
          <w:color w:val="000000"/>
          <w:sz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80937">
        <w:rPr>
          <w:rFonts w:ascii="Palatino Linotype" w:hAnsi="Palatino Linotype" w:cs="Arial"/>
          <w:color w:val="000000"/>
          <w:sz w:val="24"/>
          <w:lang w:val="es-ES_tradnl" w:eastAsia="es-ES"/>
        </w:rPr>
        <w:t xml:space="preserve">. </w:t>
      </w:r>
    </w:p>
    <w:p w:rsidR="00C00029" w:rsidRPr="00780937" w:rsidRDefault="00C00029" w:rsidP="00C00029">
      <w:pPr>
        <w:spacing w:before="240" w:after="240" w:line="360" w:lineRule="auto"/>
        <w:ind w:right="49"/>
        <w:contextualSpacing/>
        <w:jc w:val="both"/>
        <w:rPr>
          <w:rFonts w:ascii="Palatino Linotype" w:eastAsia="MS Mincho" w:hAnsi="Palatino Linotype"/>
          <w:color w:val="000000"/>
          <w:sz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780937">
        <w:rPr>
          <w:rFonts w:ascii="Palatino Linotype" w:hAnsi="Palatino Linotype"/>
          <w:sz w:val="24"/>
          <w:lang w:val="es-ES_tradnl" w:eastAsia="es-ES"/>
        </w:rPr>
        <w:t xml:space="preserve">Definiendo el Derecho de Acceso a la Información Pública como: </w:t>
      </w:r>
      <w:r w:rsidRPr="00780937">
        <w:rPr>
          <w:rFonts w:ascii="Palatino Linotype" w:eastAsiaTheme="minorEastAsia" w:hAnsi="Palatino Linotype"/>
          <w:i/>
          <w:color w:val="000000"/>
          <w:sz w:val="24"/>
          <w:lang w:val="es-ES_tradnl" w:eastAsia="es-ES"/>
        </w:rPr>
        <w:t>La igualdad de oportunidades para recibir, buscar e impartir información</w:t>
      </w:r>
      <w:r w:rsidRPr="00780937">
        <w:rPr>
          <w:rFonts w:ascii="Palatino Linotype" w:eastAsiaTheme="minorEastAsia" w:hAnsi="Palatino Linotype"/>
          <w:i/>
          <w:color w:val="000000"/>
          <w:sz w:val="24"/>
          <w:vertAlign w:val="superscript"/>
          <w:lang w:val="es-ES_tradnl" w:eastAsia="es-ES"/>
        </w:rPr>
        <w:footnoteReference w:id="1"/>
      </w:r>
      <w:r w:rsidRPr="00780937">
        <w:rPr>
          <w:rFonts w:ascii="Palatino Linotype" w:eastAsiaTheme="minorEastAsia" w:hAnsi="Palatino Linotype"/>
          <w:i/>
          <w:color w:val="000000"/>
          <w:sz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780937">
        <w:rPr>
          <w:rFonts w:ascii="Palatino Linotype" w:eastAsiaTheme="minorEastAsia" w:hAnsi="Palatino Linotype"/>
          <w:i/>
          <w:color w:val="000000"/>
          <w:sz w:val="24"/>
          <w:lang w:val="es-ES_tradnl" w:eastAsia="es-ES"/>
        </w:rPr>
        <w:lastRenderedPageBreak/>
        <w:t>autoridad en el ámbito federal, estatal y municipal,</w:t>
      </w:r>
      <w:r w:rsidRPr="00780937">
        <w:rPr>
          <w:rFonts w:ascii="Palatino Linotype" w:eastAsiaTheme="minorEastAsia" w:hAnsi="Palatino Linotype"/>
          <w:i/>
          <w:color w:val="000000"/>
          <w:sz w:val="24"/>
          <w:vertAlign w:val="superscript"/>
          <w:lang w:val="es-ES_tradnl" w:eastAsia="es-ES"/>
        </w:rPr>
        <w:footnoteReference w:id="2"/>
      </w:r>
      <w:r w:rsidRPr="00780937">
        <w:rPr>
          <w:rFonts w:ascii="Palatino Linotype" w:eastAsiaTheme="minorEastAsia" w:hAnsi="Palatino Linotype"/>
          <w:color w:val="000000"/>
          <w:sz w:val="24"/>
          <w:lang w:val="es-ES_tradnl" w:eastAsia="es-ES"/>
        </w:rPr>
        <w:t>que se constituye como una herramienta fundamental para ejercer</w:t>
      </w:r>
      <w:r w:rsidRPr="00780937">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780937">
        <w:rPr>
          <w:rFonts w:ascii="Palatino Linotype" w:eastAsiaTheme="minorEastAsia" w:hAnsi="Palatino Linotype"/>
          <w:i/>
          <w:color w:val="000000"/>
          <w:sz w:val="24"/>
          <w:vertAlign w:val="superscript"/>
          <w:lang w:val="es-ES_tradnl" w:eastAsia="es-ES"/>
        </w:rPr>
        <w:footnoteReference w:id="3"/>
      </w:r>
      <w:r w:rsidRPr="00780937">
        <w:rPr>
          <w:rFonts w:ascii="Palatino Linotype" w:eastAsiaTheme="minorEastAsia" w:hAnsi="Palatino Linotype"/>
          <w:color w:val="000000"/>
          <w:sz w:val="24"/>
          <w:lang w:val="es-ES_tradnl" w:eastAsia="es-ES"/>
        </w:rPr>
        <w:t>fomentando</w:t>
      </w:r>
      <w:r w:rsidRPr="00780937">
        <w:rPr>
          <w:rFonts w:ascii="Palatino Linotype" w:eastAsiaTheme="minorEastAsia" w:hAnsi="Palatino Linotype"/>
          <w:i/>
          <w:color w:val="000000"/>
          <w:sz w:val="24"/>
          <w:lang w:val="es-ES_tradnl" w:eastAsia="es-ES"/>
        </w:rPr>
        <w:t xml:space="preserve"> la transparencia de las actividades estatales y </w:t>
      </w:r>
      <w:r w:rsidRPr="00780937">
        <w:rPr>
          <w:rFonts w:ascii="Palatino Linotype" w:eastAsiaTheme="minorEastAsia" w:hAnsi="Palatino Linotype"/>
          <w:color w:val="000000"/>
          <w:sz w:val="24"/>
          <w:lang w:val="es-ES_tradnl" w:eastAsia="es-ES"/>
        </w:rPr>
        <w:t>promoviendo</w:t>
      </w:r>
      <w:r w:rsidRPr="00780937">
        <w:rPr>
          <w:rFonts w:ascii="Palatino Linotype" w:eastAsiaTheme="minorEastAsia" w:hAnsi="Palatino Linotype"/>
          <w:i/>
          <w:color w:val="000000"/>
          <w:sz w:val="24"/>
          <w:lang w:val="es-ES_tradnl" w:eastAsia="es-ES"/>
        </w:rPr>
        <w:t xml:space="preserve"> la responsabilidad de los funcionarios sobre su gestión pública,</w:t>
      </w:r>
      <w:r w:rsidRPr="00780937">
        <w:rPr>
          <w:rFonts w:ascii="Palatino Linotype" w:eastAsiaTheme="minorEastAsia" w:hAnsi="Palatino Linotype"/>
          <w:i/>
          <w:color w:val="000000"/>
          <w:sz w:val="24"/>
          <w:vertAlign w:val="superscript"/>
          <w:lang w:val="es-ES_tradnl" w:eastAsia="es-ES"/>
        </w:rPr>
        <w:footnoteReference w:id="4"/>
      </w:r>
      <w:r w:rsidRPr="00780937">
        <w:rPr>
          <w:rFonts w:ascii="Palatino Linotype" w:eastAsiaTheme="minorEastAsia" w:hAnsi="Palatino Linotype"/>
          <w:color w:val="000000"/>
          <w:sz w:val="24"/>
          <w:lang w:val="es-ES_tradnl" w:eastAsia="es-ES"/>
        </w:rPr>
        <w:t>que permite</w:t>
      </w:r>
      <w:r w:rsidRPr="00780937">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rsidR="00C00029" w:rsidRPr="00780937" w:rsidRDefault="00C00029" w:rsidP="00C00029">
      <w:pPr>
        <w:spacing w:before="240" w:after="240" w:line="360" w:lineRule="auto"/>
        <w:contextualSpacing/>
        <w:jc w:val="both"/>
        <w:rPr>
          <w:rFonts w:ascii="Palatino Linotype" w:hAnsi="Palatino Linotype"/>
          <w:sz w:val="28"/>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780937">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00029" w:rsidRPr="00780937" w:rsidRDefault="00C00029" w:rsidP="00C00029">
      <w:pPr>
        <w:spacing w:before="240" w:after="240" w:line="360" w:lineRule="auto"/>
        <w:contextualSpacing/>
        <w:jc w:val="both"/>
        <w:rPr>
          <w:rFonts w:ascii="Palatino Linotype" w:hAnsi="Palatino Linotype"/>
          <w:lang w:val="es-ES_tradnl" w:eastAsia="es-ES"/>
        </w:rPr>
      </w:pPr>
    </w:p>
    <w:p w:rsidR="00C00029" w:rsidRPr="00780937" w:rsidRDefault="00C00029" w:rsidP="00C00029">
      <w:pPr>
        <w:spacing w:before="240" w:after="240" w:line="360" w:lineRule="auto"/>
        <w:ind w:left="567" w:right="567"/>
        <w:contextualSpacing/>
        <w:jc w:val="both"/>
        <w:rPr>
          <w:rFonts w:ascii="Palatino Linotype" w:hAnsi="Palatino Linotype"/>
          <w:i/>
          <w:lang w:val="es-ES_tradnl" w:eastAsia="es-ES"/>
        </w:rPr>
      </w:pPr>
      <w:r w:rsidRPr="00780937">
        <w:rPr>
          <w:rFonts w:ascii="Palatino Linotype" w:hAnsi="Palatino Linotype"/>
          <w:lang w:val="es-ES_tradnl" w:eastAsia="es-ES"/>
        </w:rPr>
        <w:t xml:space="preserve"> </w:t>
      </w:r>
      <w:r w:rsidRPr="00780937">
        <w:rPr>
          <w:rFonts w:ascii="Palatino Linotype" w:hAnsi="Palatino Linotype"/>
          <w:i/>
          <w:lang w:val="es-ES_tradnl" w:eastAsia="es-ES"/>
        </w:rPr>
        <w:t>“</w:t>
      </w:r>
      <w:r w:rsidRPr="00780937">
        <w:rPr>
          <w:rFonts w:ascii="Palatino Linotype" w:hAnsi="Palatino Linotype"/>
          <w:b/>
          <w:i/>
          <w:lang w:val="es-ES_tradnl" w:eastAsia="es-ES"/>
        </w:rPr>
        <w:t>Artículo 1.-</w:t>
      </w:r>
      <w:r w:rsidRPr="00780937">
        <w:rPr>
          <w:rFonts w:ascii="Palatino Linotype" w:hAnsi="Palatino Linotype"/>
          <w:i/>
          <w:lang w:val="es-ES_tradnl" w:eastAsia="es-ES"/>
        </w:rPr>
        <w:t xml:space="preserve"> </w:t>
      </w:r>
    </w:p>
    <w:p w:rsidR="00C00029" w:rsidRPr="00780937" w:rsidRDefault="00C00029" w:rsidP="00C00029">
      <w:pPr>
        <w:spacing w:before="240" w:after="240" w:line="360" w:lineRule="auto"/>
        <w:ind w:left="567" w:right="567"/>
        <w:contextualSpacing/>
        <w:jc w:val="both"/>
        <w:rPr>
          <w:rFonts w:ascii="Palatino Linotype" w:hAnsi="Palatino Linotype"/>
          <w:i/>
          <w:lang w:val="es-ES_tradnl" w:eastAsia="es-ES"/>
        </w:rPr>
      </w:pPr>
      <w:r w:rsidRPr="00780937">
        <w:rPr>
          <w:rFonts w:ascii="Palatino Linotype" w:hAnsi="Palatino Linotype"/>
          <w:i/>
          <w:lang w:val="es-ES_tradnl" w:eastAsia="es-ES"/>
        </w:rPr>
        <w:t>(…)</w:t>
      </w:r>
    </w:p>
    <w:p w:rsidR="00C00029" w:rsidRPr="00780937" w:rsidRDefault="00C00029" w:rsidP="00C00029">
      <w:pPr>
        <w:spacing w:before="240" w:after="240" w:line="360" w:lineRule="auto"/>
        <w:ind w:left="567" w:right="567"/>
        <w:contextualSpacing/>
        <w:jc w:val="both"/>
        <w:rPr>
          <w:rFonts w:ascii="Palatino Linotype" w:hAnsi="Palatino Linotype"/>
          <w:i/>
        </w:rPr>
      </w:pPr>
      <w:r w:rsidRPr="00780937">
        <w:rPr>
          <w:rFonts w:ascii="Palatino Linotype" w:hAnsi="Palatino Linotype"/>
          <w:i/>
          <w:lang w:val="es-ES_tradnl" w:eastAsia="es-ES"/>
        </w:rPr>
        <w:t>Todas las</w:t>
      </w:r>
      <w:r w:rsidRPr="00780937">
        <w:rPr>
          <w:rFonts w:ascii="Palatino Linotype" w:hAnsi="Palatino Linotype"/>
          <w:lang w:val="es-ES_tradnl" w:eastAsia="es-ES"/>
        </w:rPr>
        <w:t xml:space="preserve"> </w:t>
      </w:r>
      <w:r w:rsidRPr="0078093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00029" w:rsidRPr="00780937" w:rsidRDefault="00C00029" w:rsidP="00C00029">
      <w:pPr>
        <w:spacing w:before="240" w:after="240" w:line="360" w:lineRule="auto"/>
        <w:ind w:left="567" w:right="567"/>
        <w:contextualSpacing/>
        <w:jc w:val="both"/>
        <w:rPr>
          <w:rFonts w:ascii="Palatino Linotype" w:hAnsi="Palatino Linotype"/>
          <w:lang w:val="es-ES_tradnl" w:eastAsia="es-ES"/>
        </w:rPr>
      </w:pPr>
      <w:r w:rsidRPr="00780937">
        <w:rPr>
          <w:rFonts w:ascii="Palatino Linotype" w:hAnsi="Palatino Linotype"/>
          <w:i/>
        </w:rPr>
        <w:t>(…)</w:t>
      </w:r>
      <w:r w:rsidRPr="00780937">
        <w:rPr>
          <w:rFonts w:ascii="Palatino Linotype" w:hAnsi="Palatino Linotype"/>
          <w:lang w:val="es-ES_tradnl" w:eastAsia="es-ES"/>
        </w:rPr>
        <w:t>”.</w:t>
      </w:r>
    </w:p>
    <w:p w:rsidR="00C00029" w:rsidRPr="00780937" w:rsidRDefault="00C00029" w:rsidP="00C00029">
      <w:pPr>
        <w:spacing w:before="240" w:after="240" w:line="360" w:lineRule="auto"/>
        <w:ind w:left="567" w:right="567"/>
        <w:contextualSpacing/>
        <w:jc w:val="both"/>
        <w:rPr>
          <w:rFonts w:ascii="Palatino Linotype" w:hAnsi="Palatino Linotype"/>
          <w:b/>
          <w:lang w:val="es-ES_tradnl" w:eastAsia="es-ES"/>
        </w:rPr>
      </w:pPr>
      <w:r w:rsidRPr="00780937">
        <w:rPr>
          <w:rFonts w:ascii="Palatino Linotype" w:hAnsi="Palatino Linotype"/>
          <w:b/>
          <w:i/>
        </w:rPr>
        <w:t>(Énfasis Añadido)</w:t>
      </w:r>
    </w:p>
    <w:p w:rsidR="00C00029" w:rsidRPr="00780937" w:rsidRDefault="00C00029" w:rsidP="00C00029">
      <w:pPr>
        <w:contextualSpacing/>
        <w:rPr>
          <w:rFonts w:ascii="Palatino Linotype" w:hAnsi="Palatino Linotype"/>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i/>
          <w:sz w:val="24"/>
          <w:lang w:val="es-ES_tradnl" w:eastAsia="es-ES"/>
        </w:rPr>
      </w:pPr>
      <w:r w:rsidRPr="00780937">
        <w:rPr>
          <w:rFonts w:ascii="Palatino Linotype" w:hAnsi="Palatino Linotype"/>
          <w:sz w:val="24"/>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00029" w:rsidRPr="00780937" w:rsidRDefault="00C00029" w:rsidP="00C00029">
      <w:pPr>
        <w:spacing w:before="240" w:after="240" w:line="360" w:lineRule="auto"/>
        <w:ind w:left="360"/>
        <w:contextualSpacing/>
        <w:jc w:val="both"/>
        <w:rPr>
          <w:rFonts w:ascii="Palatino Linotype" w:eastAsiaTheme="minorEastAsia" w:hAnsi="Palatino Linotype"/>
          <w:i/>
          <w:sz w:val="24"/>
          <w:lang w:val="es-ES_tradnl" w:eastAsia="es-ES"/>
        </w:rPr>
      </w:pPr>
    </w:p>
    <w:p w:rsidR="00C00029" w:rsidRPr="00780937" w:rsidRDefault="00C00029" w:rsidP="00C00029">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780937">
        <w:rPr>
          <w:rFonts w:ascii="Palatino Linotype" w:eastAsiaTheme="minorEastAsia" w:hAnsi="Palatino Linotype"/>
          <w:sz w:val="24"/>
          <w:lang w:val="es-ES_tradnl" w:eastAsia="es-ES"/>
        </w:rPr>
        <w:t xml:space="preserve">Así, conforme a la Constitución Política de las Estado Unidos Mexicanos </w:t>
      </w:r>
      <w:r w:rsidRPr="00780937">
        <w:rPr>
          <w:rFonts w:ascii="Palatino Linotype" w:eastAsia="Calibri" w:hAnsi="Palatino Linotype"/>
          <w:sz w:val="24"/>
          <w:lang w:val="es-ES_tradnl" w:eastAsia="es-ES"/>
        </w:rPr>
        <w:t>y la Constitución Política del Estado Libre y Soberano de México respectivamente</w:t>
      </w:r>
      <w:r w:rsidRPr="00780937">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00029" w:rsidRPr="00780937" w:rsidRDefault="00C00029" w:rsidP="00C00029">
      <w:pPr>
        <w:tabs>
          <w:tab w:val="left" w:pos="3969"/>
        </w:tabs>
        <w:spacing w:before="240" w:after="240" w:line="360" w:lineRule="auto"/>
        <w:contextualSpacing/>
        <w:jc w:val="both"/>
        <w:rPr>
          <w:rFonts w:ascii="Palatino Linotype" w:eastAsiaTheme="minorEastAsia" w:hAnsi="Palatino Linotype"/>
          <w:lang w:val="es-ES_tradnl" w:eastAsia="es-ES"/>
        </w:rPr>
      </w:pPr>
    </w:p>
    <w:p w:rsidR="00C00029" w:rsidRPr="00780937" w:rsidRDefault="00C00029" w:rsidP="00C00029">
      <w:pPr>
        <w:spacing w:line="360" w:lineRule="auto"/>
        <w:ind w:left="567" w:right="567"/>
        <w:jc w:val="center"/>
        <w:rPr>
          <w:rFonts w:ascii="Palatino Linotype" w:eastAsiaTheme="minorEastAsia" w:hAnsi="Palatino Linotype" w:cs="Arial"/>
          <w:b/>
          <w:bCs/>
          <w:i/>
          <w:lang w:val="es-ES_tradnl" w:eastAsia="es-ES"/>
        </w:rPr>
      </w:pPr>
      <w:r w:rsidRPr="00780937">
        <w:rPr>
          <w:rFonts w:ascii="Palatino Linotype" w:eastAsiaTheme="minorEastAsia" w:hAnsi="Palatino Linotype" w:cs="Arial"/>
          <w:bCs/>
          <w:i/>
          <w:lang w:val="es-ES_tradnl" w:eastAsia="es-ES"/>
        </w:rPr>
        <w:t xml:space="preserve"> </w:t>
      </w:r>
      <w:r w:rsidRPr="00780937">
        <w:rPr>
          <w:rFonts w:ascii="Palatino Linotype" w:eastAsiaTheme="minorEastAsia" w:hAnsi="Palatino Linotype" w:cs="Arial"/>
          <w:b/>
          <w:bCs/>
          <w:i/>
          <w:lang w:val="es-ES_tradnl" w:eastAsia="es-ES"/>
        </w:rPr>
        <w:t>Constitución Política de los Estados Unidos Mexicanos</w:t>
      </w:r>
    </w:p>
    <w:p w:rsidR="00C00029" w:rsidRPr="00780937" w:rsidRDefault="00C00029" w:rsidP="00C00029">
      <w:pPr>
        <w:spacing w:line="360" w:lineRule="auto"/>
        <w:ind w:left="567" w:right="567"/>
        <w:jc w:val="both"/>
        <w:rPr>
          <w:rFonts w:ascii="Palatino Linotype" w:eastAsiaTheme="minorEastAsia" w:hAnsi="Palatino Linotype" w:cs="Arial"/>
          <w:b/>
          <w:bCs/>
          <w:i/>
          <w:lang w:val="es-ES_tradnl" w:eastAsia="es-ES"/>
        </w:rPr>
      </w:pPr>
      <w:r w:rsidRPr="00780937">
        <w:rPr>
          <w:rFonts w:ascii="Palatino Linotype" w:eastAsiaTheme="minorEastAsia" w:hAnsi="Palatino Linotype" w:cs="Arial"/>
          <w:b/>
          <w:bCs/>
          <w:i/>
          <w:lang w:val="es-ES_tradnl" w:eastAsia="es-ES"/>
        </w:rPr>
        <w:t>“Artículo 6.</w:t>
      </w:r>
      <w:r w:rsidRPr="00780937">
        <w:rPr>
          <w:rFonts w:ascii="Palatino Linotype" w:eastAsiaTheme="minorEastAsia" w:hAnsi="Palatino Linotype" w:cs="Arial"/>
          <w:bCs/>
          <w:i/>
          <w:lang w:val="es-ES_tradnl" w:eastAsia="es-ES"/>
        </w:rPr>
        <w:t xml:space="preserve"> …</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Cs/>
          <w:i/>
          <w:lang w:val="es-ES_tradnl" w:eastAsia="es-ES"/>
        </w:rPr>
        <w:t>…</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Cs/>
          <w:i/>
          <w:lang w:val="es-ES_tradnl" w:eastAsia="es-ES"/>
        </w:rPr>
        <w:t>Para efectos de lo dispuesto en el presente artículo se observará lo siguiente:</w:t>
      </w:r>
    </w:p>
    <w:p w:rsidR="00C00029" w:rsidRPr="00780937" w:rsidRDefault="00C00029" w:rsidP="00C00029">
      <w:pPr>
        <w:spacing w:line="360" w:lineRule="auto"/>
        <w:ind w:left="567" w:right="567"/>
        <w:jc w:val="both"/>
        <w:rPr>
          <w:rFonts w:ascii="Palatino Linotype" w:eastAsiaTheme="minorEastAsia" w:hAnsi="Palatino Linotype" w:cs="Arial"/>
          <w:b/>
          <w:bCs/>
          <w:i/>
          <w:lang w:val="es-ES_tradnl" w:eastAsia="es-ES"/>
        </w:rPr>
      </w:pPr>
      <w:r w:rsidRPr="00780937">
        <w:rPr>
          <w:rFonts w:ascii="Palatino Linotype" w:eastAsiaTheme="minorEastAsia" w:hAnsi="Palatino Linotype" w:cs="Arial"/>
          <w:b/>
          <w:bCs/>
          <w:i/>
          <w:lang w:val="es-ES_tradnl" w:eastAsia="es-ES"/>
        </w:rPr>
        <w:t>A</w:t>
      </w:r>
      <w:r w:rsidRPr="00780937">
        <w:rPr>
          <w:rFonts w:ascii="Palatino Linotype" w:eastAsiaTheme="minorEastAsia" w:hAnsi="Palatino Linotype" w:cs="Arial"/>
          <w:bCs/>
          <w:i/>
          <w:lang w:val="es-ES_tradnl" w:eastAsia="es-ES"/>
        </w:rPr>
        <w:t xml:space="preserve">. </w:t>
      </w:r>
      <w:r w:rsidRPr="00780937">
        <w:rPr>
          <w:rFonts w:ascii="Palatino Linotype" w:eastAsiaTheme="minorEastAsia" w:hAnsi="Palatino Linotype" w:cs="Arial"/>
          <w:b/>
          <w:bCs/>
          <w:i/>
          <w:lang w:val="es-ES_tradnl" w:eastAsia="es-ES"/>
        </w:rPr>
        <w:t>Para el ejercicio del derecho de acceso a la información</w:t>
      </w:r>
      <w:r w:rsidRPr="00780937">
        <w:rPr>
          <w:rFonts w:ascii="Palatino Linotype" w:eastAsiaTheme="minorEastAsia" w:hAnsi="Palatino Linotype" w:cs="Arial"/>
          <w:bCs/>
          <w:i/>
          <w:lang w:val="es-ES_tradnl" w:eastAsia="es-ES"/>
        </w:rPr>
        <w:t xml:space="preserve">, la Federación y </w:t>
      </w:r>
      <w:r w:rsidRPr="0078093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
          <w:bCs/>
          <w:i/>
          <w:lang w:val="es-ES_tradnl" w:eastAsia="es-ES"/>
        </w:rPr>
        <w:t xml:space="preserve">I. </w:t>
      </w:r>
      <w:r w:rsidRPr="00780937">
        <w:rPr>
          <w:rFonts w:ascii="Palatino Linotype" w:eastAsiaTheme="minorEastAsia" w:hAnsi="Palatino Linotype" w:cs="Arial"/>
          <w:b/>
          <w:bCs/>
          <w:i/>
          <w:lang w:val="es-ES_tradnl" w:eastAsia="es-ES"/>
        </w:rPr>
        <w:tab/>
        <w:t>Toda la información en posesión de cualquier</w:t>
      </w:r>
      <w:r w:rsidRPr="00780937">
        <w:rPr>
          <w:rFonts w:ascii="Palatino Linotype" w:eastAsiaTheme="minorEastAsia" w:hAnsi="Palatino Linotype" w:cs="Arial"/>
          <w:bCs/>
          <w:i/>
          <w:lang w:val="es-ES_tradnl" w:eastAsia="es-ES"/>
        </w:rPr>
        <w:t xml:space="preserve"> </w:t>
      </w:r>
      <w:r w:rsidRPr="00780937">
        <w:rPr>
          <w:rFonts w:ascii="Palatino Linotype" w:eastAsiaTheme="minorEastAsia" w:hAnsi="Palatino Linotype" w:cs="Arial"/>
          <w:b/>
          <w:bCs/>
          <w:i/>
          <w:lang w:val="es-ES_tradnl" w:eastAsia="es-ES"/>
        </w:rPr>
        <w:t>autoridad</w:t>
      </w:r>
      <w:r w:rsidRPr="0078093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80937">
        <w:rPr>
          <w:rFonts w:ascii="Palatino Linotype" w:eastAsiaTheme="minorEastAsia" w:hAnsi="Palatino Linotype" w:cs="Arial"/>
          <w:b/>
          <w:bCs/>
          <w:i/>
          <w:lang w:val="es-ES_tradnl" w:eastAsia="es-ES"/>
        </w:rPr>
        <w:t>municipal</w:t>
      </w:r>
      <w:r w:rsidRPr="00780937">
        <w:rPr>
          <w:rFonts w:ascii="Palatino Linotype" w:eastAsiaTheme="minorEastAsia" w:hAnsi="Palatino Linotype" w:cs="Arial"/>
          <w:bCs/>
          <w:i/>
          <w:lang w:val="es-ES_tradnl" w:eastAsia="es-ES"/>
        </w:rPr>
        <w:t xml:space="preserve">, </w:t>
      </w:r>
      <w:r w:rsidRPr="00780937">
        <w:rPr>
          <w:rFonts w:ascii="Palatino Linotype" w:eastAsiaTheme="minorEastAsia" w:hAnsi="Palatino Linotype" w:cs="Arial"/>
          <w:b/>
          <w:bCs/>
          <w:i/>
          <w:lang w:val="es-ES_tradnl" w:eastAsia="es-ES"/>
        </w:rPr>
        <w:t>es pública</w:t>
      </w:r>
      <w:r w:rsidRPr="00780937">
        <w:rPr>
          <w:rFonts w:ascii="Palatino Linotype" w:eastAsiaTheme="minorEastAsia" w:hAnsi="Palatino Linotype" w:cs="Arial"/>
          <w:bCs/>
          <w:i/>
          <w:lang w:val="es-ES_tradnl" w:eastAsia="es-ES"/>
        </w:rPr>
        <w:t xml:space="preserve"> y sólo podrá ser reservada </w:t>
      </w:r>
      <w:r w:rsidRPr="00780937">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78093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8093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00029" w:rsidRPr="00780937" w:rsidRDefault="00C00029" w:rsidP="00C00029">
      <w:pPr>
        <w:pStyle w:val="Prrafodelista"/>
        <w:tabs>
          <w:tab w:val="left" w:pos="567"/>
        </w:tabs>
        <w:spacing w:line="360" w:lineRule="auto"/>
        <w:ind w:left="567" w:right="567"/>
        <w:jc w:val="both"/>
        <w:rPr>
          <w:rFonts w:ascii="Palatino Linotype" w:hAnsi="Palatino Linotype" w:cs="Arial"/>
          <w:b/>
          <w:bCs/>
          <w:i/>
          <w:sz w:val="22"/>
          <w:szCs w:val="22"/>
        </w:rPr>
      </w:pPr>
      <w:r w:rsidRPr="00780937">
        <w:rPr>
          <w:rFonts w:ascii="Palatino Linotype" w:hAnsi="Palatino Linotype" w:cs="Arial"/>
          <w:b/>
          <w:bCs/>
          <w:i/>
          <w:sz w:val="22"/>
          <w:szCs w:val="22"/>
        </w:rPr>
        <w:t>(Énfasis añadido)</w:t>
      </w:r>
    </w:p>
    <w:p w:rsidR="00C00029" w:rsidRPr="00780937" w:rsidRDefault="00C00029" w:rsidP="00C00029">
      <w:pPr>
        <w:pStyle w:val="Prrafodelista"/>
        <w:tabs>
          <w:tab w:val="left" w:pos="567"/>
        </w:tabs>
        <w:spacing w:line="360" w:lineRule="auto"/>
        <w:ind w:left="567" w:right="567"/>
        <w:jc w:val="both"/>
        <w:rPr>
          <w:rFonts w:ascii="Palatino Linotype" w:hAnsi="Palatino Linotype" w:cs="Arial"/>
          <w:b/>
          <w:bCs/>
          <w:i/>
          <w:sz w:val="22"/>
          <w:szCs w:val="22"/>
        </w:rPr>
      </w:pPr>
    </w:p>
    <w:p w:rsidR="00C00029" w:rsidRPr="00780937" w:rsidRDefault="00C00029" w:rsidP="00C00029">
      <w:pPr>
        <w:spacing w:line="360" w:lineRule="auto"/>
        <w:ind w:left="567" w:right="567"/>
        <w:jc w:val="center"/>
        <w:rPr>
          <w:rFonts w:ascii="Palatino Linotype" w:eastAsiaTheme="minorEastAsia" w:hAnsi="Palatino Linotype" w:cs="Arial"/>
          <w:b/>
          <w:bCs/>
          <w:i/>
          <w:lang w:val="es-ES_tradnl" w:eastAsia="es-ES"/>
        </w:rPr>
      </w:pPr>
      <w:r w:rsidRPr="00780937">
        <w:rPr>
          <w:rFonts w:ascii="Palatino Linotype" w:eastAsiaTheme="minorEastAsia" w:hAnsi="Palatino Linotype" w:cs="Arial"/>
          <w:b/>
          <w:bCs/>
          <w:i/>
          <w:lang w:val="es-ES_tradnl" w:eastAsia="es-ES"/>
        </w:rPr>
        <w:t>Constitución Política del Estado Libre y Soberano de México</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
          <w:bCs/>
          <w:i/>
          <w:lang w:val="es-ES_tradnl" w:eastAsia="es-ES"/>
        </w:rPr>
        <w:t>“Artículo 5</w:t>
      </w:r>
      <w:r w:rsidRPr="00780937">
        <w:rPr>
          <w:rFonts w:ascii="Palatino Linotype" w:eastAsiaTheme="minorEastAsia" w:hAnsi="Palatino Linotype" w:cs="Arial"/>
          <w:bCs/>
          <w:i/>
          <w:lang w:val="es-ES_tradnl" w:eastAsia="es-ES"/>
        </w:rPr>
        <w:t>.- …</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Cs/>
          <w:i/>
          <w:lang w:val="es-ES_tradnl" w:eastAsia="es-ES"/>
        </w:rPr>
        <w:t>…</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80937">
        <w:rPr>
          <w:rFonts w:ascii="Palatino Linotype" w:eastAsiaTheme="minorEastAsia" w:hAnsi="Palatino Linotype" w:cs="Arial"/>
          <w:bCs/>
          <w:i/>
          <w:lang w:val="es-ES_tradnl" w:eastAsia="es-ES"/>
        </w:rPr>
        <w:t>.</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
          <w:bCs/>
          <w:i/>
          <w:lang w:val="es-ES_tradnl" w:eastAsia="es-ES"/>
        </w:rPr>
        <w:t>Este derecho se regirá por los principios y bases siguientes</w:t>
      </w:r>
      <w:r w:rsidRPr="00780937">
        <w:rPr>
          <w:rFonts w:ascii="Palatino Linotype" w:eastAsiaTheme="minorEastAsia" w:hAnsi="Palatino Linotype" w:cs="Arial"/>
          <w:bCs/>
          <w:i/>
          <w:lang w:val="es-ES_tradnl" w:eastAsia="es-ES"/>
        </w:rPr>
        <w:t>:</w:t>
      </w:r>
    </w:p>
    <w:p w:rsidR="00C00029" w:rsidRPr="00780937" w:rsidRDefault="00C00029" w:rsidP="00C00029">
      <w:pPr>
        <w:spacing w:line="360" w:lineRule="auto"/>
        <w:ind w:left="567" w:right="567"/>
        <w:jc w:val="both"/>
        <w:rPr>
          <w:rFonts w:ascii="Palatino Linotype" w:eastAsiaTheme="minorEastAsia" w:hAnsi="Palatino Linotype" w:cs="Arial"/>
          <w:bCs/>
          <w:i/>
          <w:lang w:val="es-ES_tradnl" w:eastAsia="es-ES"/>
        </w:rPr>
      </w:pPr>
      <w:r w:rsidRPr="00780937">
        <w:rPr>
          <w:rFonts w:ascii="Palatino Linotype" w:eastAsiaTheme="minorEastAsia" w:hAnsi="Palatino Linotype" w:cs="Arial"/>
          <w:b/>
          <w:bCs/>
          <w:i/>
          <w:lang w:val="es-ES_tradnl" w:eastAsia="es-ES"/>
        </w:rPr>
        <w:t>I. Toda la información en posesión de cualquier autoridad, entidad, órgano y organismos de los</w:t>
      </w:r>
      <w:r w:rsidRPr="0078093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80937">
        <w:rPr>
          <w:rFonts w:ascii="Palatino Linotype" w:eastAsiaTheme="minorEastAsia" w:hAnsi="Palatino Linotype" w:cs="Arial"/>
          <w:b/>
          <w:bCs/>
          <w:i/>
          <w:lang w:val="es-ES_tradnl" w:eastAsia="es-ES"/>
        </w:rPr>
        <w:t>municipales</w:t>
      </w:r>
      <w:r w:rsidRPr="0078093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780937">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780937">
        <w:rPr>
          <w:rFonts w:ascii="Palatino Linotype" w:eastAsiaTheme="minorEastAsia" w:hAnsi="Palatino Linotype" w:cs="Arial"/>
          <w:b/>
          <w:bCs/>
          <w:i/>
          <w:lang w:val="es-ES_tradnl" w:eastAsia="es-ES"/>
        </w:rPr>
        <w:t>es pública</w:t>
      </w:r>
      <w:r w:rsidRPr="0078093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80937">
        <w:rPr>
          <w:rFonts w:ascii="Palatino Linotype" w:eastAsiaTheme="minorEastAsia" w:hAnsi="Palatino Linotype" w:cs="Arial"/>
          <w:b/>
          <w:bCs/>
          <w:i/>
          <w:lang w:val="es-ES_tradnl" w:eastAsia="es-ES"/>
        </w:rPr>
        <w:t>En la interpretación de este derecho deberá prevalecer el principio de máxima publicidad</w:t>
      </w:r>
      <w:r w:rsidRPr="00780937">
        <w:rPr>
          <w:rFonts w:ascii="Palatino Linotype" w:eastAsiaTheme="minorEastAsia" w:hAnsi="Palatino Linotype" w:cs="Arial"/>
          <w:bCs/>
          <w:i/>
          <w:lang w:val="es-ES_tradnl" w:eastAsia="es-ES"/>
        </w:rPr>
        <w:t xml:space="preserve">. </w:t>
      </w:r>
      <w:r w:rsidRPr="0078093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8093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00029" w:rsidRPr="00780937" w:rsidRDefault="00C00029" w:rsidP="00C00029">
      <w:pPr>
        <w:pStyle w:val="Prrafodelista"/>
        <w:tabs>
          <w:tab w:val="left" w:pos="567"/>
        </w:tabs>
        <w:spacing w:line="360" w:lineRule="auto"/>
        <w:ind w:left="567" w:right="567"/>
        <w:jc w:val="both"/>
        <w:rPr>
          <w:rFonts w:ascii="Palatino Linotype" w:hAnsi="Palatino Linotype" w:cs="Arial"/>
          <w:b/>
          <w:bCs/>
          <w:i/>
          <w:sz w:val="22"/>
          <w:szCs w:val="22"/>
        </w:rPr>
      </w:pPr>
      <w:r w:rsidRPr="00780937">
        <w:rPr>
          <w:rFonts w:ascii="Palatino Linotype" w:hAnsi="Palatino Linotype" w:cs="Arial"/>
          <w:b/>
          <w:bCs/>
          <w:i/>
          <w:sz w:val="22"/>
          <w:szCs w:val="22"/>
        </w:rPr>
        <w:t>(Énfasis añadido)</w:t>
      </w:r>
    </w:p>
    <w:p w:rsidR="00C00029" w:rsidRPr="00780937" w:rsidRDefault="00C00029" w:rsidP="00C00029">
      <w:pPr>
        <w:ind w:left="567" w:right="567"/>
        <w:jc w:val="both"/>
        <w:rPr>
          <w:rFonts w:ascii="Palatino Linotype" w:hAnsi="Palatino Linotype"/>
          <w:i/>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780937">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780937">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780937">
        <w:rPr>
          <w:rFonts w:ascii="Palatino Linotype" w:eastAsiaTheme="minorEastAsia" w:hAnsi="Palatino Linotype" w:cs="Arial"/>
          <w:sz w:val="24"/>
          <w:lang w:val="es-ES_tradnl" w:eastAsia="es-ES"/>
        </w:rPr>
        <w:t>, contemplando el derecho de las personas con discapacidad y hablantes de lengua indígena.</w:t>
      </w:r>
    </w:p>
    <w:p w:rsidR="00C00029" w:rsidRPr="00780937" w:rsidRDefault="00C00029" w:rsidP="00C00029">
      <w:pPr>
        <w:spacing w:before="240" w:after="240" w:line="360" w:lineRule="auto"/>
        <w:contextualSpacing/>
        <w:jc w:val="both"/>
        <w:rPr>
          <w:rFonts w:ascii="Palatino Linotype" w:eastAsiaTheme="minorEastAsia" w:hAnsi="Palatino Linotype" w:cs="Arial"/>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0937">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780937">
        <w:rPr>
          <w:rFonts w:ascii="Palatino Linotype" w:eastAsiaTheme="minorEastAsia" w:hAnsi="Palatino Linotype" w:cs="Arial"/>
          <w:i/>
          <w:sz w:val="24"/>
          <w:lang w:val="es-ES_tradnl" w:eastAsia="es-ES"/>
        </w:rPr>
        <w:t>solicitudes de acceso a la información</w:t>
      </w:r>
      <w:r w:rsidRPr="00780937">
        <w:rPr>
          <w:rFonts w:ascii="Palatino Linotype" w:eastAsiaTheme="minorEastAsia" w:hAnsi="Palatino Linotype" w:cs="Arial"/>
          <w:sz w:val="24"/>
          <w:lang w:val="es-ES_tradnl" w:eastAsia="es-ES"/>
        </w:rPr>
        <w:t>.</w:t>
      </w:r>
    </w:p>
    <w:p w:rsidR="00C00029" w:rsidRPr="00780937" w:rsidRDefault="00C00029" w:rsidP="00C00029">
      <w:pPr>
        <w:pStyle w:val="Prrafodelista"/>
        <w:rPr>
          <w:rFonts w:ascii="Palatino Linotype" w:hAnsi="Palatino Linotype" w:cs="Arial"/>
        </w:rPr>
      </w:pPr>
    </w:p>
    <w:p w:rsidR="00C00029" w:rsidRPr="00780937" w:rsidRDefault="00C00029" w:rsidP="00C00029">
      <w:pPr>
        <w:keepNext/>
        <w:keepLines/>
        <w:numPr>
          <w:ilvl w:val="1"/>
          <w:numId w:val="1"/>
        </w:numPr>
        <w:spacing w:before="40" w:after="0" w:line="240" w:lineRule="auto"/>
        <w:ind w:left="851"/>
        <w:contextualSpacing/>
        <w:jc w:val="both"/>
        <w:outlineLvl w:val="1"/>
        <w:rPr>
          <w:rFonts w:ascii="Palatino Linotype" w:eastAsia="MS Gothic" w:hAnsi="Palatino Linotype"/>
          <w:b/>
          <w:sz w:val="24"/>
          <w:lang w:val="es-ES_tradnl" w:eastAsia="es-ES"/>
        </w:rPr>
      </w:pPr>
      <w:bookmarkStart w:id="30" w:name="_Toc70428585"/>
      <w:bookmarkStart w:id="31" w:name="_Toc71234380"/>
      <w:bookmarkStart w:id="32" w:name="_Toc74766901"/>
      <w:r w:rsidRPr="00780937">
        <w:rPr>
          <w:rFonts w:ascii="Palatino Linotype" w:eastAsia="MS Gothic" w:hAnsi="Palatino Linotype"/>
          <w:b/>
          <w:sz w:val="24"/>
          <w:lang w:val="es-ES_tradnl" w:eastAsia="es-ES"/>
        </w:rPr>
        <w:t>Del deber de las autoridades de promover, respetar, proteger y garantizar el derecho de acceso a la información pública.</w:t>
      </w:r>
      <w:bookmarkEnd w:id="30"/>
      <w:bookmarkEnd w:id="31"/>
      <w:bookmarkEnd w:id="32"/>
      <w:r w:rsidRPr="00780937">
        <w:rPr>
          <w:rFonts w:ascii="Palatino Linotype" w:eastAsia="MS Gothic" w:hAnsi="Palatino Linotype"/>
          <w:b/>
          <w:sz w:val="24"/>
          <w:lang w:val="es-ES_tradnl" w:eastAsia="es-ES"/>
        </w:rPr>
        <w:t xml:space="preserve"> </w:t>
      </w:r>
    </w:p>
    <w:p w:rsidR="00C00029" w:rsidRPr="00780937" w:rsidRDefault="00C00029" w:rsidP="00C00029">
      <w:pPr>
        <w:pStyle w:val="Prrafodelista"/>
        <w:spacing w:line="360" w:lineRule="auto"/>
        <w:rPr>
          <w:rFonts w:ascii="Palatino Linotype" w:hAnsi="Palatino Linotype" w:cs="Arial"/>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hAnsi="Palatino Linotype" w:cs="Arial"/>
        </w:rPr>
      </w:pPr>
      <w:r w:rsidRPr="0078093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780937">
        <w:rPr>
          <w:rFonts w:ascii="Palatino Linotype" w:hAnsi="Palatino Linotype"/>
        </w:rPr>
        <w:lastRenderedPageBreak/>
        <w:t xml:space="preserve">establece que se regirá </w:t>
      </w:r>
      <w:r w:rsidRPr="0078093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C00029" w:rsidRPr="00780937" w:rsidRDefault="00C00029" w:rsidP="00C00029">
      <w:pPr>
        <w:pStyle w:val="Prrafodelista"/>
        <w:spacing w:before="240" w:after="240" w:line="360" w:lineRule="auto"/>
        <w:ind w:left="0"/>
        <w:jc w:val="both"/>
        <w:rPr>
          <w:rFonts w:ascii="Palatino Linotype" w:hAnsi="Palatino Linotype"/>
          <w:b/>
          <w:i/>
          <w:sz w:val="20"/>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hAnsi="Palatino Linotype"/>
          <w:b/>
        </w:rPr>
      </w:pPr>
      <w:r w:rsidRPr="0078093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C00029" w:rsidRPr="00780937" w:rsidRDefault="00C00029" w:rsidP="00C00029">
      <w:pPr>
        <w:pStyle w:val="Prrafodelista"/>
        <w:spacing w:before="240" w:after="240" w:line="360" w:lineRule="auto"/>
        <w:ind w:left="0"/>
        <w:jc w:val="both"/>
        <w:rPr>
          <w:rFonts w:ascii="Palatino Linotype" w:hAnsi="Palatino Linotype"/>
          <w:b/>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hAnsi="Palatino Linotype"/>
        </w:rPr>
      </w:pPr>
      <w:r w:rsidRPr="0078093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C00029" w:rsidRPr="00780937" w:rsidRDefault="00C00029" w:rsidP="00C00029">
      <w:pPr>
        <w:pStyle w:val="Prrafodelista"/>
        <w:spacing w:before="240" w:after="240" w:line="276" w:lineRule="auto"/>
        <w:ind w:left="360"/>
        <w:jc w:val="both"/>
        <w:rPr>
          <w:rFonts w:ascii="Palatino Linotype" w:hAnsi="Palatino Linotype"/>
          <w:b/>
          <w:i/>
          <w:sz w:val="20"/>
        </w:rPr>
      </w:pPr>
    </w:p>
    <w:p w:rsidR="00C00029" w:rsidRPr="00780937" w:rsidRDefault="00C00029" w:rsidP="00C00029">
      <w:pPr>
        <w:pStyle w:val="Prrafodelista"/>
        <w:spacing w:before="240" w:after="240" w:line="360" w:lineRule="auto"/>
        <w:ind w:left="851" w:right="567"/>
        <w:jc w:val="both"/>
        <w:rPr>
          <w:rFonts w:ascii="Palatino Linotype" w:hAnsi="Palatino Linotype"/>
          <w:b/>
          <w:i/>
          <w:sz w:val="22"/>
        </w:rPr>
      </w:pPr>
      <w:r w:rsidRPr="00780937">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C00029" w:rsidRPr="00780937" w:rsidRDefault="00C00029" w:rsidP="00C00029">
      <w:pPr>
        <w:pStyle w:val="Prrafodelista"/>
        <w:spacing w:before="240" w:after="240" w:line="360" w:lineRule="auto"/>
        <w:ind w:left="851" w:right="567"/>
        <w:jc w:val="both"/>
        <w:rPr>
          <w:rFonts w:ascii="Palatino Linotype" w:hAnsi="Palatino Linotype"/>
          <w:b/>
          <w:i/>
          <w:sz w:val="22"/>
        </w:rPr>
      </w:pPr>
      <w:r w:rsidRPr="00780937">
        <w:rPr>
          <w:rFonts w:ascii="Palatino Linotype" w:hAnsi="Palatino Linotype"/>
          <w:i/>
          <w:sz w:val="22"/>
        </w:rPr>
        <w:t>(…)”</w:t>
      </w:r>
    </w:p>
    <w:p w:rsidR="00C00029" w:rsidRPr="00780937" w:rsidRDefault="00C00029" w:rsidP="00C00029">
      <w:pPr>
        <w:pStyle w:val="Prrafodelista"/>
        <w:spacing w:before="240" w:after="240" w:line="360" w:lineRule="auto"/>
        <w:ind w:left="851" w:right="567"/>
        <w:jc w:val="both"/>
        <w:rPr>
          <w:rFonts w:ascii="Palatino Linotype" w:hAnsi="Palatino Linotype"/>
          <w:i/>
          <w:sz w:val="22"/>
        </w:rPr>
      </w:pPr>
      <w:r w:rsidRPr="00780937">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780937">
        <w:rPr>
          <w:rFonts w:ascii="Palatino Linotype" w:eastAsiaTheme="minorEastAsia" w:hAnsi="Palatino Linotype" w:cs="Arial"/>
          <w:sz w:val="24"/>
          <w:lang w:val="es-ES_tradnl" w:eastAsia="es-ES"/>
        </w:rPr>
        <w:lastRenderedPageBreak/>
        <w:t>En este caso, la solicitud de información que formuló el particular como parte de su derecho de acceso a la información pública, no fue atendida, dado que el SUJETO OBLIGADO fue omiso en emitir una respuesta.</w:t>
      </w:r>
    </w:p>
    <w:p w:rsidR="00C00029" w:rsidRPr="00780937" w:rsidRDefault="00C00029" w:rsidP="00C00029">
      <w:pPr>
        <w:spacing w:before="240" w:after="240" w:line="360" w:lineRule="auto"/>
        <w:contextualSpacing/>
        <w:jc w:val="both"/>
        <w:rPr>
          <w:rFonts w:ascii="Palatino Linotype" w:eastAsiaTheme="minorEastAsia" w:hAnsi="Palatino Linotype" w:cs="Arial"/>
          <w:sz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780937">
        <w:rPr>
          <w:rFonts w:ascii="Palatino Linotype" w:eastAsiaTheme="minorEastAsia" w:hAnsi="Palatino Linotype" w:cs="Arial"/>
          <w:sz w:val="24"/>
          <w:lang w:val="es-ES_tradnl" w:eastAsia="es-ES"/>
        </w:rPr>
        <w:t xml:space="preserve">Por tanto, en cumplimiento a las obligaciones que la Constitución Federal , la Constitución Estatal y la Ley de la materia el </w:t>
      </w:r>
      <w:r w:rsidRPr="00780937">
        <w:rPr>
          <w:rFonts w:ascii="Palatino Linotype" w:eastAsiaTheme="minorEastAsia" w:hAnsi="Palatino Linotype" w:cs="Arial"/>
          <w:b/>
          <w:sz w:val="24"/>
          <w:lang w:val="es-ES_tradnl" w:eastAsia="es-ES"/>
        </w:rPr>
        <w:t>SUJETO OBLIGADO</w:t>
      </w:r>
      <w:r w:rsidRPr="00780937">
        <w:rPr>
          <w:rFonts w:ascii="Palatino Linotype" w:eastAsiaTheme="minorEastAsia" w:hAnsi="Palatino Linotype" w:cs="Arial"/>
          <w:sz w:val="24"/>
          <w:lang w:val="es-ES_tradnl" w:eastAsia="es-ES"/>
        </w:rPr>
        <w:t xml:space="preserve"> está constreñido a dar atención a las solicitudes de información que a través del </w:t>
      </w:r>
      <w:r w:rsidRPr="00780937">
        <w:rPr>
          <w:rFonts w:ascii="Palatino Linotype" w:eastAsiaTheme="minorEastAsia" w:hAnsi="Palatino Linotype" w:cs="Arial"/>
          <w:b/>
          <w:sz w:val="24"/>
          <w:lang w:val="es-ES_tradnl" w:eastAsia="es-ES"/>
        </w:rPr>
        <w:t>SAIMEX</w:t>
      </w:r>
      <w:r w:rsidRPr="00780937">
        <w:rPr>
          <w:rFonts w:ascii="Palatino Linotype" w:eastAsiaTheme="minorEastAsia" w:hAnsi="Palatino Linotype" w:cs="Arial"/>
          <w:sz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80937">
        <w:rPr>
          <w:rFonts w:ascii="Palatino Linotype" w:eastAsiaTheme="minorEastAsia" w:hAnsi="Palatino Linotype" w:cs="Arial"/>
          <w:b/>
          <w:sz w:val="24"/>
          <w:lang w:val="es-ES_tradnl" w:eastAsia="es-ES"/>
        </w:rPr>
        <w:t>SAIME</w:t>
      </w:r>
      <w:r w:rsidRPr="00780937">
        <w:rPr>
          <w:rFonts w:ascii="Palatino Linotype" w:eastAsiaTheme="minorEastAsia" w:hAnsi="Palatino Linotype" w:cs="Arial"/>
          <w:sz w:val="24"/>
          <w:lang w:val="es-ES_tradnl" w:eastAsia="es-ES"/>
        </w:rPr>
        <w:t xml:space="preserve">X, el </w:t>
      </w:r>
      <w:r w:rsidRPr="00780937">
        <w:rPr>
          <w:rFonts w:ascii="Palatino Linotype" w:eastAsiaTheme="minorEastAsia" w:hAnsi="Palatino Linotype" w:cs="Arial"/>
          <w:b/>
          <w:sz w:val="24"/>
          <w:lang w:val="es-ES_tradnl" w:eastAsia="es-ES"/>
        </w:rPr>
        <w:t>SUJETO OBLIGADO</w:t>
      </w:r>
      <w:r w:rsidRPr="00780937">
        <w:rPr>
          <w:rFonts w:ascii="Palatino Linotype" w:eastAsiaTheme="minorEastAsia" w:hAnsi="Palatino Linotype" w:cs="Arial"/>
          <w:sz w:val="24"/>
          <w:lang w:val="es-ES_tradnl" w:eastAsia="es-ES"/>
        </w:rPr>
        <w:t xml:space="preserve"> fue omiso en dar respuesta a la solicitud.</w:t>
      </w:r>
    </w:p>
    <w:p w:rsidR="00C00029" w:rsidRPr="00780937" w:rsidRDefault="00C00029" w:rsidP="00C00029">
      <w:pPr>
        <w:spacing w:before="240" w:after="240" w:line="360" w:lineRule="auto"/>
        <w:contextualSpacing/>
        <w:jc w:val="both"/>
        <w:rPr>
          <w:rFonts w:ascii="Palatino Linotype" w:eastAsiaTheme="minorEastAsia" w:hAnsi="Palatino Linotype" w:cs="Arial"/>
          <w:sz w:val="24"/>
          <w:lang w:val="es-ES_tradnl" w:eastAsia="es-ES"/>
        </w:rPr>
      </w:pPr>
    </w:p>
    <w:p w:rsidR="00C00029" w:rsidRPr="00780937" w:rsidRDefault="00C00029" w:rsidP="00C00029">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780937">
        <w:rPr>
          <w:rFonts w:ascii="Palatino Linotype" w:eastAsia="Calibri" w:hAnsi="Palatino Linotype"/>
          <w:sz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80937">
        <w:rPr>
          <w:rFonts w:ascii="Palatino Linotype" w:eastAsia="Calibri" w:hAnsi="Palatino Linotype"/>
          <w:i/>
          <w:sz w:val="24"/>
          <w:lang w:val="es-ES" w:eastAsia="es-ES"/>
        </w:rPr>
        <w:t xml:space="preserve">en el ámbito de sus atribuciones, </w:t>
      </w:r>
      <w:r w:rsidRPr="00780937">
        <w:rPr>
          <w:rFonts w:ascii="Palatino Linotype" w:eastAsia="Calibri" w:hAnsi="Palatino Linotype"/>
          <w:b/>
          <w:i/>
          <w:sz w:val="24"/>
          <w:lang w:val="es-ES" w:eastAsia="es-ES"/>
        </w:rPr>
        <w:t>de promover</w:t>
      </w:r>
      <w:r w:rsidRPr="00780937">
        <w:rPr>
          <w:rFonts w:ascii="Palatino Linotype" w:eastAsia="Calibri" w:hAnsi="Palatino Linotype"/>
          <w:i/>
          <w:sz w:val="24"/>
          <w:lang w:val="es-ES" w:eastAsia="es-ES"/>
        </w:rPr>
        <w:t xml:space="preserve">, </w:t>
      </w:r>
      <w:r w:rsidRPr="00780937">
        <w:rPr>
          <w:rFonts w:ascii="Palatino Linotype" w:eastAsia="Calibri" w:hAnsi="Palatino Linotype"/>
          <w:b/>
          <w:i/>
          <w:sz w:val="24"/>
          <w:lang w:val="es-ES" w:eastAsia="es-ES"/>
        </w:rPr>
        <w:t>respetar, proteger y</w:t>
      </w:r>
      <w:r w:rsidRPr="00780937">
        <w:rPr>
          <w:rFonts w:ascii="Palatino Linotype" w:eastAsia="Calibri" w:hAnsi="Palatino Linotype"/>
          <w:i/>
          <w:sz w:val="24"/>
          <w:lang w:val="es-ES" w:eastAsia="es-ES"/>
        </w:rPr>
        <w:t xml:space="preserve"> </w:t>
      </w:r>
      <w:r w:rsidRPr="00780937">
        <w:rPr>
          <w:rFonts w:ascii="Palatino Linotype" w:eastAsia="Calibri" w:hAnsi="Palatino Linotype"/>
          <w:b/>
          <w:i/>
          <w:sz w:val="24"/>
          <w:lang w:val="es-ES" w:eastAsia="es-ES"/>
        </w:rPr>
        <w:t>garantizar</w:t>
      </w:r>
      <w:r w:rsidRPr="00780937">
        <w:rPr>
          <w:rFonts w:ascii="Palatino Linotype" w:eastAsia="Calibri" w:hAnsi="Palatino Linotype"/>
          <w:i/>
          <w:sz w:val="24"/>
          <w:lang w:val="es-ES" w:eastAsia="es-ES"/>
        </w:rPr>
        <w:t xml:space="preserve"> los derechos humanos.</w:t>
      </w:r>
      <w:r w:rsidRPr="00780937">
        <w:rPr>
          <w:rFonts w:ascii="Palatino Linotype" w:eastAsia="Calibri" w:hAnsi="Palatino Linotype"/>
          <w:sz w:val="24"/>
          <w:lang w:val="es-ES" w:eastAsia="es-ES"/>
        </w:rPr>
        <w:t xml:space="preserve"> Por lo tanto, la falta de respuesta a una solicitud de acceso a la información constituye un incumplimiento del Sujeto Obligado a su deber de garantizar el derecho</w:t>
      </w:r>
      <w:r w:rsidR="005E6F51" w:rsidRPr="00780937">
        <w:rPr>
          <w:rFonts w:ascii="Palatino Linotype" w:eastAsia="Calibri" w:hAnsi="Palatino Linotype"/>
          <w:sz w:val="24"/>
          <w:lang w:val="es-ES" w:eastAsia="es-ES"/>
        </w:rPr>
        <w:t>.</w:t>
      </w:r>
      <w:r w:rsidRPr="00780937">
        <w:rPr>
          <w:rFonts w:ascii="Palatino Linotype" w:eastAsia="Calibri" w:hAnsi="Palatino Linotype"/>
          <w:sz w:val="24"/>
          <w:lang w:val="es-ES" w:eastAsia="es-ES"/>
        </w:rPr>
        <w:t xml:space="preserve"> </w:t>
      </w:r>
    </w:p>
    <w:p w:rsidR="00C00029" w:rsidRPr="00780937" w:rsidRDefault="00C00029" w:rsidP="00C00029">
      <w:pPr>
        <w:spacing w:before="240"/>
        <w:contextualSpacing/>
        <w:jc w:val="both"/>
        <w:rPr>
          <w:rFonts w:ascii="Palatino Linotype" w:hAnsi="Palatino Linotype"/>
          <w:sz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780937">
        <w:rPr>
          <w:rFonts w:ascii="Palatino Linotype" w:hAnsi="Palatino Linotype"/>
          <w:sz w:val="24"/>
          <w:lang w:val="es-ES_tradnl" w:eastAsia="es-ES"/>
        </w:rPr>
        <w:t xml:space="preserve">A su vez, la </w:t>
      </w:r>
      <w:r w:rsidRPr="00780937">
        <w:rPr>
          <w:rFonts w:ascii="Palatino Linotype" w:hAnsi="Palatino Linotype"/>
          <w:b/>
          <w:sz w:val="24"/>
          <w:lang w:val="es-ES_tradnl" w:eastAsia="es-ES"/>
        </w:rPr>
        <w:t xml:space="preserve">Ley de Transparencia y Acceso a la Información Pública del Estado de México y Municipios, </w:t>
      </w:r>
      <w:r w:rsidRPr="00780937">
        <w:rPr>
          <w:rFonts w:ascii="Palatino Linotype" w:hAnsi="Palatino Linotype"/>
          <w:sz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80937">
        <w:rPr>
          <w:rFonts w:ascii="Palatino Linotype" w:hAnsi="Palatino Linotype"/>
          <w:b/>
          <w:sz w:val="24"/>
          <w:lang w:val="es-ES_tradnl" w:eastAsia="es-ES"/>
        </w:rPr>
        <w:t xml:space="preserve"> </w:t>
      </w:r>
      <w:r w:rsidRPr="00780937">
        <w:rPr>
          <w:rFonts w:ascii="Palatino Linotype" w:hAnsi="Palatino Linotype"/>
          <w:sz w:val="24"/>
          <w:lang w:val="es-ES_tradnl" w:eastAsia="es-ES"/>
        </w:rPr>
        <w:t xml:space="preserve">establece que </w:t>
      </w:r>
      <w:r w:rsidRPr="00780937">
        <w:rPr>
          <w:rFonts w:ascii="Palatino Linotype" w:hAnsi="Palatino Linotype"/>
          <w:b/>
          <w:i/>
          <w:sz w:val="24"/>
          <w:u w:val="single"/>
          <w:lang w:val="es-ES_tradnl" w:eastAsia="es-ES"/>
        </w:rPr>
        <w:t>el recurso de revisión es la garantía secundaria</w:t>
      </w:r>
      <w:r w:rsidRPr="00780937">
        <w:rPr>
          <w:rFonts w:ascii="Palatino Linotype" w:hAnsi="Palatino Linotype"/>
          <w:b/>
          <w:i/>
          <w:sz w:val="24"/>
          <w:lang w:val="es-ES_tradnl" w:eastAsia="es-ES"/>
        </w:rPr>
        <w:t xml:space="preserve"> </w:t>
      </w:r>
      <w:r w:rsidRPr="00780937">
        <w:rPr>
          <w:rFonts w:ascii="Palatino Linotype" w:hAnsi="Palatino Linotype"/>
          <w:b/>
          <w:i/>
          <w:sz w:val="24"/>
          <w:lang w:val="es-ES_tradnl" w:eastAsia="es-ES"/>
        </w:rPr>
        <w:lastRenderedPageBreak/>
        <w:t>mediante la cual se pretende reparar cualquier posible afectación al derecho de acceso a la información pública</w:t>
      </w:r>
      <w:r w:rsidRPr="00780937">
        <w:rPr>
          <w:rFonts w:ascii="Palatino Linotype" w:hAnsi="Palatino Linotype"/>
          <w:b/>
          <w:sz w:val="24"/>
          <w:lang w:val="es-ES_tradnl" w:eastAsia="es-ES"/>
        </w:rPr>
        <w:t>, s</w:t>
      </w:r>
      <w:r w:rsidRPr="00780937">
        <w:rPr>
          <w:rFonts w:ascii="Palatino Linotype" w:hAnsi="Palatino Linotype"/>
          <w:sz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00029" w:rsidRPr="00780937" w:rsidRDefault="00C00029" w:rsidP="00C00029">
      <w:pPr>
        <w:spacing w:before="240" w:after="240" w:line="360" w:lineRule="auto"/>
        <w:contextualSpacing/>
        <w:jc w:val="both"/>
        <w:rPr>
          <w:rFonts w:ascii="Palatino Linotype" w:hAnsi="Palatino Linotype"/>
          <w:sz w:val="24"/>
          <w:lang w:val="es-ES_tradnl" w:eastAsia="es-ES"/>
        </w:rPr>
      </w:pP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“Artículo 176. El recurso de revisión es la garantía secundaria mediante la cual se pretende reparar cualquier posible afectación al derecho de acceso a la información pública en términos del presente y del siguiente Capítulo.” (Sic)</w:t>
      </w:r>
    </w:p>
    <w:p w:rsidR="00C00029" w:rsidRPr="00780937" w:rsidRDefault="00C00029" w:rsidP="00C00029">
      <w:pPr>
        <w:ind w:left="851" w:right="616"/>
        <w:jc w:val="both"/>
        <w:rPr>
          <w:rFonts w:ascii="Palatino Linotype" w:hAnsi="Palatino Linotype"/>
          <w:i/>
        </w:rPr>
      </w:pP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“Artículo 185. El Instituto resolverá el recurso de revisión conforme a lo siguiente:</w:t>
      </w: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w:t>
      </w: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 xml:space="preserve">II. Admitido el recurso de revisión, la o el Comisionado ponente deberá integrar un expediente y ponerlo a disposición de las partes, para que, en un plazo máximo de siete días hábiles, manifiesten lo que a su derecho convenga; </w:t>
      </w: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III. Recibido el informe justificado, cuando se modifique la respuesta, este se pondrá a disposición del recurrente para que en un plazo de tres días hábiles, manifieste lo que a su derecho convenga;</w:t>
      </w:r>
    </w:p>
    <w:p w:rsidR="00C00029" w:rsidRPr="00780937" w:rsidRDefault="00C00029" w:rsidP="00C00029">
      <w:pPr>
        <w:ind w:left="851" w:right="616"/>
        <w:jc w:val="both"/>
        <w:rPr>
          <w:rFonts w:ascii="Palatino Linotype" w:hAnsi="Palatino Linotype"/>
          <w:i/>
        </w:rPr>
      </w:pPr>
      <w:r w:rsidRPr="00780937">
        <w:rPr>
          <w:rFonts w:ascii="Palatino Linotype" w:hAnsi="Palatino Linotype"/>
          <w:i/>
        </w:rPr>
        <w:t>…” (Sic)</w:t>
      </w:r>
    </w:p>
    <w:p w:rsidR="00C00029" w:rsidRPr="00780937" w:rsidRDefault="00C00029" w:rsidP="00C00029">
      <w:pPr>
        <w:spacing w:before="240" w:after="240" w:line="360" w:lineRule="auto"/>
        <w:contextualSpacing/>
        <w:jc w:val="both"/>
        <w:rPr>
          <w:rFonts w:ascii="Palatino Linotype" w:hAnsi="Palatino Linotype"/>
          <w:sz w:val="24"/>
          <w:lang w:val="es-ES_tradnl" w:eastAsia="es-ES"/>
        </w:rPr>
      </w:pPr>
    </w:p>
    <w:p w:rsidR="00C269A8" w:rsidRPr="00780937" w:rsidRDefault="00C00029" w:rsidP="00C269A8">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780937">
        <w:rPr>
          <w:rFonts w:ascii="Palatino Linotype" w:hAnsi="Palatino Linotype"/>
          <w:sz w:val="24"/>
          <w:lang w:val="es-ES_tradnl" w:eastAsia="es-ES"/>
        </w:rPr>
        <w:t xml:space="preserve">En este caso, el Sujeto Obligado trato de reparar el derecho de acceso a la información pública </w:t>
      </w:r>
      <w:r w:rsidR="005E6F51" w:rsidRPr="00780937">
        <w:rPr>
          <w:rFonts w:ascii="Palatino Linotype" w:hAnsi="Palatino Linotype"/>
          <w:sz w:val="24"/>
          <w:lang w:val="es-ES_tradnl" w:eastAsia="es-ES"/>
        </w:rPr>
        <w:t>a través de la garantía secundaría</w:t>
      </w:r>
      <w:r w:rsidRPr="00780937">
        <w:rPr>
          <w:rFonts w:ascii="Palatino Linotype" w:hAnsi="Palatino Linotype"/>
          <w:sz w:val="24"/>
          <w:lang w:val="es-ES_tradnl" w:eastAsia="es-ES"/>
        </w:rPr>
        <w:t xml:space="preserve"> del derecho de acceso a la información pública, mediante la remisión del informe justifica</w:t>
      </w:r>
      <w:r w:rsidR="00595C1C" w:rsidRPr="00780937">
        <w:rPr>
          <w:rFonts w:ascii="Palatino Linotype" w:hAnsi="Palatino Linotype"/>
          <w:sz w:val="24"/>
          <w:lang w:val="es-ES_tradnl" w:eastAsia="es-ES"/>
        </w:rPr>
        <w:t xml:space="preserve">do que consta de </w:t>
      </w:r>
      <w:r w:rsidR="00887900" w:rsidRPr="00780937">
        <w:rPr>
          <w:rFonts w:ascii="Palatino Linotype" w:hAnsi="Palatino Linotype"/>
          <w:sz w:val="24"/>
          <w:lang w:val="es-ES_tradnl" w:eastAsia="es-ES"/>
        </w:rPr>
        <w:t>treinta y cinco</w:t>
      </w:r>
      <w:r w:rsidRPr="00780937">
        <w:rPr>
          <w:rFonts w:ascii="Palatino Linotype" w:hAnsi="Palatino Linotype"/>
          <w:sz w:val="24"/>
          <w:lang w:val="es-ES_tradnl" w:eastAsia="es-ES"/>
        </w:rPr>
        <w:t xml:space="preserve"> currículums vitae; sin embargo, no se puso a la vista del particular por contener datos susceptibles de c</w:t>
      </w:r>
      <w:r w:rsidRPr="00780937">
        <w:rPr>
          <w:rFonts w:ascii="Palatino Linotype" w:hAnsi="Palatino Linotype"/>
          <w:sz w:val="24"/>
          <w:szCs w:val="24"/>
          <w:lang w:val="es-ES_tradnl" w:eastAsia="es-ES"/>
        </w:rPr>
        <w:t>lasificarse como confidenciales, entre los que se encuentran datos como el RFC y estado civil de los servidores públicos</w:t>
      </w:r>
      <w:r w:rsidR="00887900" w:rsidRPr="00780937">
        <w:rPr>
          <w:rFonts w:ascii="Palatino Linotype" w:hAnsi="Palatino Linotype" w:cs="Arial"/>
          <w:sz w:val="24"/>
          <w:szCs w:val="24"/>
        </w:rPr>
        <w:t xml:space="preserve">; números </w:t>
      </w:r>
      <w:r w:rsidR="00887900" w:rsidRPr="00780937">
        <w:rPr>
          <w:rFonts w:ascii="Palatino Linotype" w:hAnsi="Palatino Linotype" w:cs="Arial"/>
          <w:sz w:val="24"/>
          <w:szCs w:val="24"/>
        </w:rPr>
        <w:lastRenderedPageBreak/>
        <w:t>telefónicos y correos particulares; y nombres, direcciones y números telefónicos de particulares.</w:t>
      </w:r>
    </w:p>
    <w:p w:rsidR="00887900" w:rsidRPr="00780937" w:rsidRDefault="00887900" w:rsidP="00887900">
      <w:pPr>
        <w:spacing w:before="240" w:after="240" w:line="360" w:lineRule="auto"/>
        <w:contextualSpacing/>
        <w:jc w:val="both"/>
        <w:rPr>
          <w:rFonts w:ascii="Palatino Linotype" w:hAnsi="Palatino Linotype"/>
          <w:sz w:val="24"/>
          <w:lang w:val="es-ES_tradnl" w:eastAsia="es-ES"/>
        </w:rPr>
      </w:pPr>
    </w:p>
    <w:p w:rsidR="00C00029" w:rsidRPr="00780937" w:rsidRDefault="00C269A8" w:rsidP="00C269A8">
      <w:pPr>
        <w:numPr>
          <w:ilvl w:val="0"/>
          <w:numId w:val="1"/>
        </w:numPr>
        <w:spacing w:before="240" w:after="240" w:line="360" w:lineRule="auto"/>
        <w:ind w:left="0" w:firstLine="0"/>
        <w:contextualSpacing/>
        <w:jc w:val="both"/>
        <w:rPr>
          <w:rFonts w:ascii="Palatino Linotype" w:hAnsi="Palatino Linotype"/>
          <w:sz w:val="28"/>
          <w:lang w:val="es-ES_tradnl" w:eastAsia="es-ES"/>
        </w:rPr>
      </w:pPr>
      <w:r w:rsidRPr="00780937">
        <w:rPr>
          <w:rFonts w:ascii="Palatino Linotype" w:hAnsi="Palatino Linotype"/>
          <w:sz w:val="24"/>
        </w:rPr>
        <w:t>Por otra parte, se omite entrar al estudio de la fuente</w:t>
      </w:r>
      <w:r w:rsidR="00887900" w:rsidRPr="00780937">
        <w:rPr>
          <w:rFonts w:ascii="Palatino Linotype" w:hAnsi="Palatino Linotype"/>
          <w:sz w:val="24"/>
        </w:rPr>
        <w:t xml:space="preserve"> obligación del Sujeto Obligado</w:t>
      </w:r>
      <w:r w:rsidRPr="00780937">
        <w:rPr>
          <w:rFonts w:ascii="Palatino Linotype" w:hAnsi="Palatino Linotype"/>
          <w:sz w:val="24"/>
        </w:rPr>
        <w:t xml:space="preserve"> para poseer o administrar la información solicitada, pues al remitir los currículums vitae de los servidores públicos</w:t>
      </w:r>
      <w:r w:rsidR="00DE1CD6" w:rsidRPr="00780937">
        <w:rPr>
          <w:rFonts w:ascii="Palatino Linotype" w:hAnsi="Palatino Linotype"/>
          <w:sz w:val="24"/>
        </w:rPr>
        <w:t xml:space="preserve"> mediante el informe justificado</w:t>
      </w:r>
      <w:r w:rsidRPr="00780937">
        <w:rPr>
          <w:rFonts w:ascii="Palatino Linotype" w:hAnsi="Palatino Linotype"/>
          <w:sz w:val="24"/>
        </w:rPr>
        <w:t>, acepta que posee o admi</w:t>
      </w:r>
      <w:r w:rsidR="00887900" w:rsidRPr="00780937">
        <w:rPr>
          <w:rFonts w:ascii="Palatino Linotype" w:hAnsi="Palatino Linotype"/>
          <w:sz w:val="24"/>
        </w:rPr>
        <w:t>nistra los currículums vitae de los Servidores Públicos</w:t>
      </w:r>
      <w:r w:rsidRPr="00780937">
        <w:rPr>
          <w:rFonts w:ascii="Palatino Linotype" w:hAnsi="Palatino Linotype"/>
          <w:sz w:val="24"/>
        </w:rPr>
        <w:t>.</w:t>
      </w:r>
      <w:bookmarkEnd w:id="29"/>
    </w:p>
    <w:p w:rsidR="00C00029" w:rsidRPr="00780937" w:rsidRDefault="00C00029" w:rsidP="00C00029">
      <w:pPr>
        <w:pStyle w:val="Ttulo2"/>
        <w:rPr>
          <w:rFonts w:ascii="Palatino Linotype" w:eastAsiaTheme="minorEastAsia" w:hAnsi="Palatino Linotype"/>
          <w:b/>
          <w:color w:val="auto"/>
          <w:sz w:val="24"/>
          <w:lang w:val="es-ES_tradnl" w:eastAsia="es-ES"/>
        </w:rPr>
      </w:pPr>
      <w:bookmarkStart w:id="33" w:name="_Toc71234386"/>
      <w:bookmarkStart w:id="34" w:name="_Toc74766902"/>
      <w:r w:rsidRPr="00780937">
        <w:rPr>
          <w:rFonts w:ascii="Palatino Linotype" w:eastAsiaTheme="minorEastAsia" w:hAnsi="Palatino Linotype"/>
          <w:b/>
          <w:color w:val="auto"/>
          <w:sz w:val="24"/>
          <w:lang w:val="es-ES_tradnl" w:eastAsia="es-ES"/>
        </w:rPr>
        <w:t>SEXTO. De la versión pública.</w:t>
      </w:r>
      <w:bookmarkEnd w:id="33"/>
      <w:bookmarkEnd w:id="34"/>
    </w:p>
    <w:p w:rsidR="00C00029" w:rsidRPr="00780937" w:rsidRDefault="00C00029" w:rsidP="00C00029">
      <w:pPr>
        <w:rPr>
          <w:lang w:val="es-ES_tradnl" w:eastAsia="es-ES"/>
        </w:rPr>
      </w:pPr>
    </w:p>
    <w:p w:rsidR="00C00029" w:rsidRPr="00780937" w:rsidRDefault="00C00029" w:rsidP="00C00029">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Debe destacarse que, debido a la naturaleza de la información solicitada</w:t>
      </w:r>
      <w:r w:rsidRPr="00780937">
        <w:rPr>
          <w:rFonts w:ascii="Palatino Linotype" w:eastAsia="MS Gothic" w:hAnsi="Palatino Linotype" w:cs="Times New Roman"/>
          <w:b/>
          <w:szCs w:val="26"/>
        </w:rPr>
        <w:t xml:space="preserve">, </w:t>
      </w:r>
      <w:r w:rsidRPr="00780937">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80937">
        <w:rPr>
          <w:rFonts w:ascii="Palatino Linotype" w:eastAsia="MS Gothic" w:hAnsi="Palatino Linotype" w:cs="Times New Roman"/>
          <w:b/>
          <w:szCs w:val="26"/>
          <w:u w:val="single"/>
        </w:rPr>
        <w:t>versión pública</w:t>
      </w:r>
      <w:r w:rsidRPr="00780937">
        <w:rPr>
          <w:rFonts w:ascii="Palatino Linotype" w:eastAsia="MS Gothic" w:hAnsi="Palatino Linotype" w:cs="Times New Roman"/>
          <w:szCs w:val="26"/>
        </w:rPr>
        <w:t xml:space="preserve"> de los documentos por las consideraciones que se estimen pertinentes.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80937">
        <w:rPr>
          <w:rFonts w:ascii="Palatino Linotype" w:eastAsia="MS Gothic" w:hAnsi="Palatino Linotype" w:cs="Times New Roman"/>
          <w:szCs w:val="26"/>
          <w:vertAlign w:val="superscript"/>
        </w:rPr>
        <w:footnoteReference w:id="5"/>
      </w:r>
      <w:r w:rsidRPr="00780937">
        <w:rPr>
          <w:rFonts w:ascii="Palatino Linotype" w:eastAsia="MS Gothic" w:hAnsi="Palatino Linotype" w:cs="Times New Roman"/>
          <w:szCs w:val="26"/>
        </w:rPr>
        <w:t xml:space="preserve"> aunque cualquier límite o restricción, </w:t>
      </w:r>
      <w:r w:rsidRPr="00780937">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80937">
        <w:rPr>
          <w:rFonts w:ascii="Palatino Linotype" w:eastAsia="MS Gothic" w:hAnsi="Palatino Linotype" w:cs="Times New Roman"/>
          <w:szCs w:val="26"/>
          <w:vertAlign w:val="superscript"/>
        </w:rPr>
        <w:footnoteReference w:id="6"/>
      </w:r>
      <w:r w:rsidRPr="00780937">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5" w:name="_Toc51863315"/>
      <w:bookmarkStart w:id="36" w:name="_Toc52444649"/>
      <w:bookmarkStart w:id="37" w:name="_Toc57154368"/>
      <w:bookmarkStart w:id="38" w:name="_Toc65170174"/>
      <w:bookmarkStart w:id="39" w:name="_Toc66371800"/>
      <w:bookmarkStart w:id="40" w:name="_Toc67584835"/>
      <w:bookmarkStart w:id="41" w:name="_Toc70070911"/>
      <w:bookmarkStart w:id="42" w:name="_Toc70417472"/>
      <w:bookmarkStart w:id="43" w:name="_Toc71234387"/>
      <w:bookmarkStart w:id="44" w:name="_Toc74766903"/>
      <w:r w:rsidRPr="00780937">
        <w:rPr>
          <w:rFonts w:ascii="Palatino Linotype" w:hAnsi="Palatino Linotype" w:cs="Arial"/>
          <w:b/>
        </w:rPr>
        <w:t>I. Requisitos previos.</w:t>
      </w:r>
      <w:bookmarkEnd w:id="35"/>
      <w:bookmarkEnd w:id="36"/>
      <w:bookmarkEnd w:id="37"/>
      <w:bookmarkEnd w:id="38"/>
      <w:bookmarkEnd w:id="39"/>
      <w:bookmarkEnd w:id="40"/>
      <w:bookmarkEnd w:id="41"/>
      <w:bookmarkEnd w:id="42"/>
      <w:bookmarkEnd w:id="43"/>
      <w:bookmarkEnd w:id="44"/>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780937">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780937">
        <w:rPr>
          <w:rFonts w:ascii="Palatino Linotype" w:eastAsia="MS Gothic" w:hAnsi="Palatino Linotype" w:cs="Times New Roman"/>
          <w:szCs w:val="26"/>
        </w:rPr>
        <w:t xml:space="preserve">sin individualizar su análisis y tampoco se puede hacer un </w:t>
      </w:r>
      <w:r w:rsidRPr="00780937">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51863316"/>
      <w:bookmarkStart w:id="46" w:name="_Toc52444650"/>
      <w:bookmarkStart w:id="47" w:name="_Toc57154369"/>
      <w:bookmarkStart w:id="48" w:name="_Toc65170175"/>
      <w:bookmarkStart w:id="49" w:name="_Toc66371801"/>
      <w:bookmarkStart w:id="50" w:name="_Toc67584836"/>
      <w:bookmarkStart w:id="51" w:name="_Toc70070912"/>
      <w:bookmarkStart w:id="52" w:name="_Toc70417473"/>
      <w:bookmarkStart w:id="53" w:name="_Toc71234388"/>
      <w:bookmarkStart w:id="54" w:name="_Toc74766904"/>
      <w:r w:rsidRPr="00780937">
        <w:rPr>
          <w:rFonts w:ascii="Palatino Linotype" w:hAnsi="Palatino Linotype" w:cs="Arial"/>
          <w:b/>
        </w:rPr>
        <w:t>II. Supuestos de clasificación.</w:t>
      </w:r>
      <w:bookmarkEnd w:id="45"/>
      <w:bookmarkEnd w:id="46"/>
      <w:bookmarkEnd w:id="47"/>
      <w:bookmarkEnd w:id="48"/>
      <w:bookmarkEnd w:id="49"/>
      <w:bookmarkEnd w:id="50"/>
      <w:bookmarkEnd w:id="51"/>
      <w:bookmarkEnd w:id="52"/>
      <w:bookmarkEnd w:id="53"/>
      <w:bookmarkEnd w:id="54"/>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sz w:val="22"/>
        </w:rPr>
      </w:pPr>
    </w:p>
    <w:p w:rsidR="00C00029" w:rsidRPr="00780937" w:rsidRDefault="00C00029" w:rsidP="00C000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0937">
        <w:rPr>
          <w:rFonts w:ascii="Palatino Linotype" w:hAnsi="Palatino Linotype" w:cs="Bookman Old Style"/>
          <w:bCs/>
          <w:i/>
          <w:color w:val="000000"/>
        </w:rPr>
        <w:t xml:space="preserve">“I. </w:t>
      </w:r>
      <w:r w:rsidRPr="0078093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C00029" w:rsidRPr="00780937" w:rsidRDefault="00C00029" w:rsidP="00C000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0937">
        <w:rPr>
          <w:rFonts w:ascii="Palatino Linotype" w:hAnsi="Palatino Linotype" w:cs="Bookman Old Style"/>
          <w:bCs/>
          <w:i/>
          <w:color w:val="000000"/>
        </w:rPr>
        <w:t xml:space="preserve">II. </w:t>
      </w:r>
      <w:r w:rsidRPr="0078093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00029" w:rsidRPr="00780937" w:rsidRDefault="00C00029" w:rsidP="00C000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0937">
        <w:rPr>
          <w:rFonts w:ascii="Palatino Linotype" w:hAnsi="Palatino Linotype" w:cs="Bookman Old Style"/>
          <w:bCs/>
          <w:i/>
          <w:color w:val="000000"/>
        </w:rPr>
        <w:t xml:space="preserve">III. </w:t>
      </w:r>
      <w:r w:rsidRPr="0078093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C00029" w:rsidRPr="00780937" w:rsidRDefault="00C00029" w:rsidP="00C000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093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C00029" w:rsidRPr="00780937" w:rsidRDefault="00C00029" w:rsidP="00C000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78093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00029" w:rsidRPr="00780937" w:rsidRDefault="00C00029" w:rsidP="00C00029">
      <w:pPr>
        <w:pStyle w:val="Prrafodelista"/>
        <w:tabs>
          <w:tab w:val="left" w:pos="142"/>
          <w:tab w:val="left" w:pos="284"/>
          <w:tab w:val="left" w:pos="426"/>
        </w:tabs>
        <w:spacing w:after="160"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 xml:space="preserve">Como consecuencia de lo anterior, el </w:t>
      </w:r>
      <w:r w:rsidRPr="00780937">
        <w:rPr>
          <w:rFonts w:ascii="Palatino Linotype" w:eastAsia="MS Gothic" w:hAnsi="Palatino Linotype" w:cs="Times New Roman"/>
          <w:b/>
          <w:szCs w:val="26"/>
        </w:rPr>
        <w:t>SUJETO OBLIGADO</w:t>
      </w:r>
      <w:r w:rsidRPr="00780937">
        <w:rPr>
          <w:rFonts w:ascii="Palatino Linotype" w:eastAsia="MS Gothic" w:hAnsi="Palatino Linotype" w:cs="Times New Roman"/>
          <w:szCs w:val="26"/>
        </w:rPr>
        <w:t xml:space="preserve"> debe identificar claramente el tipo de información y hacer un juicio de subsunción o encaje</w:t>
      </w:r>
      <w:r w:rsidRPr="00780937">
        <w:rPr>
          <w:rFonts w:ascii="Palatino Linotype" w:eastAsia="MS Gothic" w:hAnsi="Palatino Linotype" w:cs="Times New Roman"/>
          <w:szCs w:val="26"/>
          <w:vertAlign w:val="superscript"/>
        </w:rPr>
        <w:footnoteReference w:id="7"/>
      </w:r>
      <w:r w:rsidRPr="00780937">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sz w:val="22"/>
        </w:rPr>
      </w:pP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lastRenderedPageBreak/>
        <w:t>“</w:t>
      </w:r>
      <w:r w:rsidRPr="00780937">
        <w:rPr>
          <w:rFonts w:ascii="Palatino Linotype" w:hAnsi="Palatino Linotype" w:cs="Arial"/>
          <w:b/>
          <w:i/>
        </w:rPr>
        <w:t>Quincuagésimo.</w:t>
      </w:r>
      <w:r w:rsidRPr="0078093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b/>
          <w:i/>
        </w:rPr>
        <w:t>Quincuagésimo primero.</w:t>
      </w:r>
      <w:r w:rsidRPr="00780937">
        <w:rPr>
          <w:rFonts w:ascii="Palatino Linotype" w:hAnsi="Palatino Linotype" w:cs="Arial"/>
          <w:i/>
        </w:rPr>
        <w:t xml:space="preserve"> La leyenda en los documentos clasificados indicará:</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I. La fecha de sesión del Comité de Transparencia en donde se confirmó la clasificación, en su caso;</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II. El nombre del área;</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III. La palabra reservado o confidencial;</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IV. Las partes o secciones reservadas o confidenciales, en su caso;</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V. El fundamento legal;</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VI. El periodo de reserva, y</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VII. La rúbrica del titular del área.</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b/>
          <w:i/>
        </w:rPr>
        <w:t>Quincuagésimo segundo.</w:t>
      </w:r>
      <w:r w:rsidRPr="0078093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C00029" w:rsidRPr="00780937" w:rsidRDefault="00C00029" w:rsidP="00C00029">
      <w:pPr>
        <w:pStyle w:val="Prrafodelista"/>
        <w:tabs>
          <w:tab w:val="left" w:pos="142"/>
          <w:tab w:val="left" w:pos="284"/>
          <w:tab w:val="left" w:pos="426"/>
        </w:tabs>
        <w:spacing w:line="276" w:lineRule="auto"/>
        <w:ind w:left="567" w:right="567"/>
        <w:jc w:val="both"/>
        <w:rPr>
          <w:rFonts w:ascii="Palatino Linotype" w:hAnsi="Palatino Linotype" w:cs="Arial"/>
          <w:i/>
        </w:rPr>
      </w:pPr>
      <w:r w:rsidRPr="00780937">
        <w:rPr>
          <w:rFonts w:ascii="Palatino Linotype" w:hAnsi="Palatino Linotype" w:cs="Arial"/>
          <w:b/>
          <w:i/>
        </w:rPr>
        <w:t>Quincuagésimo tercero.</w:t>
      </w:r>
      <w:r w:rsidRPr="00780937">
        <w:rPr>
          <w:rFonts w:ascii="Palatino Linotype" w:hAnsi="Palatino Linotype" w:cs="Arial"/>
          <w:i/>
        </w:rPr>
        <w:t xml:space="preserve"> El formato para señalar la clasificación parcial de un documento, es el siguiente:</w:t>
      </w:r>
    </w:p>
    <w:p w:rsidR="00C00029" w:rsidRPr="00780937" w:rsidRDefault="00C00029" w:rsidP="00C00029">
      <w:pPr>
        <w:pStyle w:val="Prrafodelista"/>
        <w:tabs>
          <w:tab w:val="left" w:pos="142"/>
          <w:tab w:val="left" w:pos="284"/>
          <w:tab w:val="left" w:pos="426"/>
        </w:tabs>
        <w:spacing w:line="360" w:lineRule="auto"/>
        <w:ind w:left="0"/>
        <w:jc w:val="center"/>
        <w:rPr>
          <w:rFonts w:ascii="Palatino Linotype" w:hAnsi="Palatino Linotype" w:cs="Arial"/>
        </w:rPr>
      </w:pPr>
      <w:r w:rsidRPr="00780937">
        <w:rPr>
          <w:rFonts w:ascii="Palatino Linotype" w:hAnsi="Palatino Linotype" w:cs="Arial"/>
          <w:i/>
          <w:noProof/>
          <w:lang w:val="es-MX" w:eastAsia="es-MX"/>
        </w:rPr>
        <w:lastRenderedPageBreak/>
        <w:drawing>
          <wp:inline distT="0" distB="0" distL="0" distR="0" wp14:anchorId="0BC51B1B" wp14:editId="23AD7F13">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C00029" w:rsidRPr="00780937" w:rsidRDefault="00C00029" w:rsidP="00C000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74766905"/>
      <w:r w:rsidRPr="00780937">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b/>
        </w:rPr>
      </w:pPr>
      <w:r w:rsidRPr="00780937">
        <w:rPr>
          <w:rFonts w:ascii="Palatino Linotype" w:hAnsi="Palatino Linotype" w:cs="Arial"/>
          <w:b/>
        </w:rPr>
        <w:t>a) Formalidades para emitir el Acuerdo de Clasificación.</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80937">
        <w:rPr>
          <w:rFonts w:ascii="Palatino Linotype" w:eastAsia="MS Gothic" w:hAnsi="Palatino Linotype" w:cs="Times New Roman"/>
          <w:b/>
          <w:szCs w:val="26"/>
          <w:u w:val="single"/>
        </w:rPr>
        <w:t>confirmar, modificar o revocar</w:t>
      </w:r>
      <w:r w:rsidRPr="00780937">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780937">
        <w:rPr>
          <w:rFonts w:ascii="Palatino Linotype" w:eastAsia="MS Gothic" w:hAnsi="Palatino Linotype" w:cs="Times New Roman"/>
          <w:b/>
          <w:szCs w:val="26"/>
          <w:u w:val="single"/>
        </w:rPr>
        <w:t>no aprueba</w:t>
      </w:r>
      <w:r w:rsidRPr="00780937">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780937">
        <w:rPr>
          <w:rFonts w:ascii="Palatino Linotype" w:eastAsia="MS Gothic" w:hAnsi="Palatino Linotype" w:cs="Times New Roman"/>
          <w:b/>
          <w:szCs w:val="26"/>
          <w:u w:val="single"/>
        </w:rPr>
        <w:t>el acto reúna con los requisitos elementales</w:t>
      </w:r>
      <w:r w:rsidRPr="00780937">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780937">
        <w:rPr>
          <w:rFonts w:ascii="Palatino Linotype" w:eastAsia="MS Gothic" w:hAnsi="Palatino Linotype" w:cs="Times New Roman"/>
          <w:szCs w:val="26"/>
        </w:rPr>
        <w:lastRenderedPageBreak/>
        <w:t>composición del Comité puede generar vicios de legalidad de origen en el acto que restringe un derecho humano.</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b/>
        </w:rPr>
      </w:pPr>
      <w:r w:rsidRPr="00780937">
        <w:rPr>
          <w:rFonts w:ascii="Palatino Linotype" w:hAnsi="Palatino Linotype" w:cs="Arial"/>
          <w:b/>
        </w:rPr>
        <w:t>b) Requisitos de fondo del Acuerdo de Clasificación.</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00029" w:rsidRPr="00780937" w:rsidRDefault="00C00029" w:rsidP="00C00029">
      <w:pPr>
        <w:pStyle w:val="Prrafodelista"/>
        <w:tabs>
          <w:tab w:val="left" w:pos="142"/>
          <w:tab w:val="left" w:pos="284"/>
          <w:tab w:val="left" w:pos="426"/>
        </w:tabs>
        <w:spacing w:after="160"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780937">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80937">
        <w:rPr>
          <w:rFonts w:ascii="Palatino Linotype" w:eastAsia="MS Gothic" w:hAnsi="Palatino Linotype" w:cs="Times New Roman"/>
          <w:szCs w:val="26"/>
        </w:rPr>
        <w:t>....”</w:t>
      </w:r>
      <w:r w:rsidRPr="00780937">
        <w:rPr>
          <w:rFonts w:ascii="Palatino Linotype" w:eastAsia="MS Gothic" w:hAnsi="Palatino Linotype" w:cs="Times New Roman"/>
          <w:szCs w:val="26"/>
          <w:vertAlign w:val="superscript"/>
        </w:rPr>
        <w:footnoteReference w:id="8"/>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hAnsi="Palatino Linotype" w:cs="Arial"/>
        </w:rPr>
        <w:t>Por su parte, el intérprete judicial del país ha establecido una jurisprudencia respecto a qué debe entenderse por fundamentación y motivación, en los siguientes términos:</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sz w:val="22"/>
        </w:rPr>
      </w:pPr>
    </w:p>
    <w:p w:rsidR="00C00029" w:rsidRPr="00780937" w:rsidRDefault="00C00029" w:rsidP="00C00029">
      <w:pPr>
        <w:spacing w:line="276" w:lineRule="auto"/>
        <w:ind w:left="851" w:right="618"/>
        <w:contextualSpacing/>
        <w:jc w:val="both"/>
        <w:rPr>
          <w:rFonts w:ascii="Palatino Linotype" w:hAnsi="Palatino Linotype" w:cs="Arial"/>
          <w:i/>
          <w:color w:val="000000"/>
        </w:rPr>
      </w:pPr>
      <w:r w:rsidRPr="00780937">
        <w:rPr>
          <w:rFonts w:ascii="Palatino Linotype" w:hAnsi="Palatino Linotype" w:cs="Arial"/>
          <w:b/>
          <w:i/>
          <w:color w:val="000000"/>
        </w:rPr>
        <w:t>FUNDAMENTACIÓN Y MOTIVACIÓN.</w:t>
      </w:r>
      <w:r w:rsidRPr="00780937">
        <w:rPr>
          <w:rFonts w:ascii="Palatino Linotype" w:hAnsi="Palatino Linotype" w:cs="Arial"/>
          <w:i/>
          <w:color w:val="000000"/>
        </w:rPr>
        <w:t xml:space="preserve"> “La </w:t>
      </w:r>
      <w:r w:rsidRPr="0078093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0937">
        <w:rPr>
          <w:rFonts w:ascii="Palatino Linotype" w:hAnsi="Palatino Linotype" w:cs="Arial"/>
          <w:i/>
          <w:color w:val="000000"/>
        </w:rPr>
        <w:t>.”</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SEGUNDO TRIBUNAL COLEGIADO DEL SEXTO CIRCUITO.</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Amparo en revisión 333/88. Adilia Romero. 26 de octubre de 1988. Unanimidad de votos. Ponente: Arnoldo Nájera Virgen. Secretario: Enrique Crispín Campos Ramírez.</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r w:rsidRPr="0078093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C00029" w:rsidRPr="00780937" w:rsidRDefault="00C00029" w:rsidP="00C00029">
      <w:pPr>
        <w:spacing w:after="0" w:line="360" w:lineRule="auto"/>
        <w:ind w:left="851" w:right="618"/>
        <w:contextualSpacing/>
        <w:jc w:val="both"/>
        <w:rPr>
          <w:rFonts w:ascii="Palatino Linotype" w:hAnsi="Palatino Linotype" w:cs="Arial"/>
          <w:i/>
          <w:color w:val="000000"/>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rPr>
        <w:t xml:space="preserve">Ahora bien, </w:t>
      </w:r>
      <w:r w:rsidRPr="00780937">
        <w:rPr>
          <w:rFonts w:ascii="Palatino Linotype" w:eastAsia="MS Gothic" w:hAnsi="Palatino Linotype" w:cs="Times New Roman"/>
          <w:b/>
          <w:u w:val="single"/>
        </w:rPr>
        <w:t>para cada caso además de fundar y motivar</w:t>
      </w:r>
      <w:r w:rsidRPr="0078093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80937">
        <w:rPr>
          <w:rFonts w:ascii="Palatino Linotype" w:eastAsia="MS Gothic" w:hAnsi="Palatino Linotype" w:cs="Times New Roman"/>
          <w:vertAlign w:val="superscript"/>
        </w:rPr>
        <w:footnoteReference w:id="9"/>
      </w:r>
      <w:r w:rsidRPr="00780937">
        <w:rPr>
          <w:rFonts w:ascii="Palatino Linotype" w:eastAsia="MS Gothic" w:hAnsi="Palatino Linotype" w:cs="Times New Roman"/>
        </w:rPr>
        <w:t xml:space="preserve"> del servidor público que no tienen ninguna injerencia en el tema de la transparencia y la rendición de cuentas, por ejemplo, </w:t>
      </w:r>
      <w:r w:rsidRPr="00780937">
        <w:rPr>
          <w:rFonts w:ascii="Palatino Linotype" w:eastAsia="MS Gothic" w:hAnsi="Palatino Linotype" w:cs="Times New Roman"/>
          <w:lang w:val="es-ES"/>
        </w:rPr>
        <w:t xml:space="preserve">Clave Única de Registro de Población (CURP), Registro Federal de Contribuyentes (R.F.C.), clave de Cadenas Originales del Sellos Digitales y los Códigos Bidimensionales, también denominados Códigos QR, son </w:t>
      </w:r>
      <w:r w:rsidRPr="00780937">
        <w:rPr>
          <w:rFonts w:ascii="Palatino Linotype" w:eastAsia="MS Gothic" w:hAnsi="Palatino Linotype" w:cs="Times New Roman"/>
          <w:lang w:val="es-ES"/>
        </w:rPr>
        <w:lastRenderedPageBreak/>
        <w:t>datos  susceptibles de clasificarse como confidenciales mediante una versión pública que deje a la vista los datos que ofrezcan la información requerida.</w:t>
      </w:r>
    </w:p>
    <w:p w:rsidR="00C00029" w:rsidRPr="00780937" w:rsidRDefault="00C00029" w:rsidP="00C00029">
      <w:pPr>
        <w:pStyle w:val="Prrafodelista"/>
        <w:tabs>
          <w:tab w:val="left" w:pos="142"/>
          <w:tab w:val="left" w:pos="284"/>
          <w:tab w:val="left" w:pos="426"/>
        </w:tabs>
        <w:spacing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0937">
        <w:rPr>
          <w:rFonts w:ascii="Palatino Linotype" w:eastAsia="MS Gothic" w:hAnsi="Palatino Linotype" w:cs="Times New Roman"/>
        </w:rPr>
        <w:t xml:space="preserve">Otro </w:t>
      </w:r>
      <w:r w:rsidRPr="0078093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00029" w:rsidRPr="00780937" w:rsidRDefault="00C00029" w:rsidP="00C00029">
      <w:pPr>
        <w:pStyle w:val="Prrafodelista"/>
        <w:rPr>
          <w:rFonts w:ascii="Palatino Linotype" w:hAnsi="Palatino Linotype" w:cs="Arial"/>
        </w:rPr>
      </w:pPr>
    </w:p>
    <w:p w:rsidR="00C00029" w:rsidRPr="00780937" w:rsidRDefault="00C00029" w:rsidP="00C00029">
      <w:pPr>
        <w:keepNext/>
        <w:keepLines/>
        <w:spacing w:before="240" w:after="0"/>
        <w:outlineLvl w:val="0"/>
        <w:rPr>
          <w:rFonts w:ascii="Palatino Linotype" w:eastAsia="MS Gothic" w:hAnsi="Palatino Linotype" w:cstheme="majorBidi"/>
          <w:b/>
          <w:sz w:val="24"/>
          <w:szCs w:val="24"/>
        </w:rPr>
      </w:pPr>
      <w:bookmarkStart w:id="65" w:name="_Toc487739452"/>
      <w:bookmarkStart w:id="66" w:name="_Toc524344196"/>
      <w:bookmarkStart w:id="67" w:name="_Toc526271201"/>
      <w:bookmarkStart w:id="68" w:name="_Toc536106975"/>
      <w:bookmarkStart w:id="69" w:name="_Toc71234384"/>
      <w:bookmarkStart w:id="70" w:name="_Toc74766906"/>
      <w:r w:rsidRPr="00780937">
        <w:rPr>
          <w:rFonts w:ascii="Palatino Linotype" w:eastAsia="MS Gothic" w:hAnsi="Palatino Linotype" w:cstheme="majorBidi"/>
          <w:b/>
          <w:sz w:val="24"/>
          <w:szCs w:val="24"/>
        </w:rPr>
        <w:t>SÉPTIMO. Vista a los órganos de control interno</w:t>
      </w:r>
      <w:bookmarkEnd w:id="65"/>
      <w:r w:rsidRPr="00780937">
        <w:rPr>
          <w:rFonts w:ascii="Palatino Linotype" w:eastAsia="MS Gothic" w:hAnsi="Palatino Linotype" w:cstheme="majorBidi"/>
          <w:b/>
          <w:sz w:val="24"/>
          <w:szCs w:val="24"/>
        </w:rPr>
        <w:t>.</w:t>
      </w:r>
      <w:bookmarkEnd w:id="66"/>
      <w:bookmarkEnd w:id="67"/>
      <w:bookmarkEnd w:id="68"/>
      <w:bookmarkEnd w:id="69"/>
      <w:bookmarkEnd w:id="70"/>
    </w:p>
    <w:p w:rsidR="00C00029" w:rsidRPr="00780937" w:rsidRDefault="00C00029" w:rsidP="00C00029">
      <w:pPr>
        <w:keepNext/>
        <w:keepLines/>
        <w:spacing w:before="240" w:after="0"/>
        <w:outlineLvl w:val="0"/>
        <w:rPr>
          <w:rFonts w:ascii="Palatino Linotype" w:eastAsia="MS Gothic" w:hAnsi="Palatino Linotype" w:cstheme="majorBidi"/>
          <w:b/>
          <w:sz w:val="24"/>
          <w:szCs w:val="24"/>
        </w:rPr>
      </w:pPr>
    </w:p>
    <w:p w:rsidR="00C00029" w:rsidRPr="00780937" w:rsidRDefault="00C00029" w:rsidP="00C00029">
      <w:pPr>
        <w:spacing w:after="0" w:line="240" w:lineRule="auto"/>
        <w:rPr>
          <w:rFonts w:eastAsiaTheme="minorEastAsia"/>
          <w:sz w:val="24"/>
          <w:szCs w:val="24"/>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0937">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rsidR="00C00029" w:rsidRPr="00780937" w:rsidRDefault="00C00029" w:rsidP="00C00029">
      <w:pPr>
        <w:pStyle w:val="Prrafodelista"/>
        <w:spacing w:line="360" w:lineRule="auto"/>
        <w:ind w:left="360" w:right="567"/>
        <w:jc w:val="both"/>
        <w:rPr>
          <w:rFonts w:ascii="Palatino Linotype" w:eastAsia="Times New Roman" w:hAnsi="Palatino Linotype" w:cs="Times New Roman"/>
          <w:i/>
        </w:rPr>
      </w:pPr>
      <w:r w:rsidRPr="00780937">
        <w:rPr>
          <w:rFonts w:ascii="Palatino Linotype" w:eastAsia="Times New Roman" w:hAnsi="Palatino Linotype" w:cs="Times New Roman"/>
          <w:b/>
          <w:i/>
        </w:rPr>
        <w:t>“Artículo 222.</w:t>
      </w:r>
      <w:r w:rsidRPr="0078093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00029" w:rsidRPr="00780937" w:rsidRDefault="00C00029" w:rsidP="00C00029">
      <w:pPr>
        <w:pStyle w:val="Prrafodelista"/>
        <w:spacing w:line="360" w:lineRule="auto"/>
        <w:ind w:left="360" w:right="567"/>
        <w:jc w:val="both"/>
        <w:rPr>
          <w:rFonts w:ascii="Palatino Linotype" w:eastAsia="Times New Roman" w:hAnsi="Palatino Linotype" w:cs="Times New Roman"/>
          <w:i/>
        </w:rPr>
      </w:pPr>
      <w:r w:rsidRPr="00780937">
        <w:rPr>
          <w:rFonts w:ascii="Palatino Linotype" w:eastAsia="Times New Roman" w:hAnsi="Palatino Linotype" w:cs="Times New Roman"/>
          <w:i/>
        </w:rPr>
        <w:t>(…)</w:t>
      </w:r>
    </w:p>
    <w:p w:rsidR="00C00029" w:rsidRPr="00780937" w:rsidRDefault="00C00029" w:rsidP="00C00029">
      <w:pPr>
        <w:pStyle w:val="Prrafodelista"/>
        <w:spacing w:line="360" w:lineRule="auto"/>
        <w:ind w:left="360" w:right="567"/>
        <w:jc w:val="both"/>
        <w:rPr>
          <w:rFonts w:ascii="Palatino Linotype" w:eastAsia="Times New Roman" w:hAnsi="Palatino Linotype" w:cs="Times New Roman"/>
          <w:i/>
        </w:rPr>
      </w:pPr>
      <w:r w:rsidRPr="00780937">
        <w:rPr>
          <w:rFonts w:ascii="Palatino Linotype" w:eastAsia="Times New Roman" w:hAnsi="Palatino Linotype" w:cs="Times New Roman"/>
          <w:i/>
        </w:rPr>
        <w:t>I. Cualquier acto u omisión que provoque la suspensión o deficiencia en la atención de las solicitudes de información;</w:t>
      </w:r>
    </w:p>
    <w:p w:rsidR="00C00029" w:rsidRPr="00780937" w:rsidRDefault="00C00029" w:rsidP="00C00029">
      <w:pPr>
        <w:pStyle w:val="Prrafodelista"/>
        <w:spacing w:line="360" w:lineRule="auto"/>
        <w:ind w:left="360" w:right="567"/>
        <w:jc w:val="both"/>
        <w:rPr>
          <w:rFonts w:ascii="Palatino Linotype" w:eastAsia="Times New Roman" w:hAnsi="Palatino Linotype" w:cs="Times New Roman"/>
          <w:i/>
        </w:rPr>
      </w:pPr>
      <w:r w:rsidRPr="00780937">
        <w:rPr>
          <w:rFonts w:ascii="Palatino Linotype" w:eastAsia="Times New Roman" w:hAnsi="Palatino Linotype" w:cs="Times New Roman"/>
          <w:i/>
        </w:rPr>
        <w:t>II. La falta de respuesta a las solicitudes de información en los plazos señalados en la normatividad aplicable;</w:t>
      </w:r>
    </w:p>
    <w:p w:rsidR="00C00029" w:rsidRPr="00780937" w:rsidRDefault="00C00029" w:rsidP="00C00029">
      <w:pPr>
        <w:pStyle w:val="Prrafodelista"/>
        <w:spacing w:line="360" w:lineRule="auto"/>
        <w:ind w:left="360" w:right="567"/>
        <w:jc w:val="both"/>
        <w:rPr>
          <w:rFonts w:ascii="Palatino Linotype" w:eastAsia="Times New Roman" w:hAnsi="Palatino Linotype" w:cs="Times New Roman"/>
          <w:i/>
        </w:rPr>
      </w:pPr>
      <w:r w:rsidRPr="00780937">
        <w:rPr>
          <w:rFonts w:ascii="Palatino Linotype" w:eastAsia="Times New Roman" w:hAnsi="Palatino Linotype" w:cs="Times New Roman"/>
          <w:i/>
        </w:rPr>
        <w:t>(…)</w:t>
      </w:r>
    </w:p>
    <w:p w:rsidR="00C00029" w:rsidRPr="00780937" w:rsidRDefault="00C00029" w:rsidP="00C00029">
      <w:pPr>
        <w:ind w:left="284" w:right="567"/>
        <w:jc w:val="both"/>
        <w:rPr>
          <w:rFonts w:ascii="Palatino Linotype" w:eastAsia="Times New Roman" w:hAnsi="Palatino Linotype" w:cs="Times New Roman"/>
          <w:i/>
          <w:sz w:val="24"/>
          <w:szCs w:val="24"/>
        </w:rPr>
      </w:pPr>
      <w:r w:rsidRPr="00780937">
        <w:rPr>
          <w:rFonts w:ascii="Palatino Linotype" w:hAnsi="Palatino Linotype"/>
          <w:i/>
        </w:rPr>
        <w:lastRenderedPageBreak/>
        <w:t>V. Entregar información clasificada como confidencial fuera de los casos previstos por esta Ley;</w:t>
      </w:r>
    </w:p>
    <w:p w:rsidR="00C00029" w:rsidRPr="00780937" w:rsidRDefault="00C00029" w:rsidP="00C00029">
      <w:pPr>
        <w:pStyle w:val="Prrafodelista"/>
        <w:spacing w:line="360" w:lineRule="auto"/>
        <w:ind w:left="426" w:right="567"/>
        <w:jc w:val="both"/>
        <w:rPr>
          <w:rFonts w:ascii="Palatino Linotype" w:eastAsia="Times New Roman" w:hAnsi="Palatino Linotype" w:cs="Times New Roman"/>
          <w:i/>
        </w:rPr>
      </w:pPr>
      <w:r w:rsidRPr="00780937">
        <w:rPr>
          <w:rFonts w:ascii="Palatino Linotype" w:eastAsia="Times New Roman" w:hAnsi="Palatino Linotype" w:cs="Times New Roman"/>
          <w:i/>
        </w:rPr>
        <w:t>(…)</w:t>
      </w: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0937">
        <w:rPr>
          <w:rFonts w:ascii="Palatino Linotype" w:eastAsia="Times New Roman" w:hAnsi="Palatino Linotype"/>
          <w:sz w:val="24"/>
          <w:szCs w:val="24"/>
          <w:lang w:val="es-ES_tradnl" w:eastAsia="es-ES"/>
        </w:rPr>
        <w:t>Es necesario señalar, que no se dio trámite y respuesta a la solicitud de información en el plazo establecido por la Ley.</w:t>
      </w:r>
    </w:p>
    <w:p w:rsidR="00C00029" w:rsidRPr="00780937" w:rsidRDefault="00C00029" w:rsidP="00C00029">
      <w:pPr>
        <w:spacing w:before="240" w:after="240" w:line="360" w:lineRule="auto"/>
        <w:contextualSpacing/>
        <w:jc w:val="both"/>
        <w:rPr>
          <w:rFonts w:ascii="Palatino Linotype" w:eastAsia="Times New Roman" w:hAnsi="Palatino Linotype"/>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0937">
        <w:rPr>
          <w:rFonts w:ascii="Palatino Linotype" w:eastAsia="Times New Roman" w:hAnsi="Palatino Linotype"/>
          <w:sz w:val="24"/>
          <w:szCs w:val="24"/>
          <w:lang w:val="es-ES_tradnl" w:eastAsia="es-ES"/>
        </w:rPr>
        <w:t>Así, la falta de trámite a la solicitud de información, propiciaron que no se diera respuesta y eso puede ser una causa de responsabilidad por no cumplir con las obligaciones de transparencia señaladas por la Ley en la materia; si bien, se intentó subsanar el derecho de acceso a la información pública a través de la garantía secundaria, la información que se remitió mediante informa justificado contiene datos considerados confidenciales, por esta razón no se puso a la vista del RECURRENTE.</w:t>
      </w:r>
    </w:p>
    <w:p w:rsidR="00C00029" w:rsidRPr="00780937" w:rsidRDefault="00C00029" w:rsidP="00C00029">
      <w:pPr>
        <w:spacing w:before="240" w:after="240" w:line="360" w:lineRule="auto"/>
        <w:contextualSpacing/>
        <w:jc w:val="both"/>
        <w:rPr>
          <w:rFonts w:ascii="Palatino Linotype" w:eastAsia="Times New Roman" w:hAnsi="Palatino Linotype"/>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0937">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rsidR="00C00029" w:rsidRPr="00780937" w:rsidRDefault="00C00029" w:rsidP="00C00029">
      <w:pPr>
        <w:spacing w:before="240" w:after="240" w:line="360" w:lineRule="auto"/>
        <w:contextualSpacing/>
        <w:jc w:val="both"/>
        <w:rPr>
          <w:rFonts w:ascii="Palatino Linotype" w:eastAsia="Times New Roman" w:hAnsi="Palatino Linotype"/>
          <w:sz w:val="24"/>
          <w:szCs w:val="24"/>
          <w:lang w:val="es-ES_tradnl" w:eastAsia="es-ES"/>
        </w:rPr>
      </w:pPr>
    </w:p>
    <w:p w:rsidR="00C00029" w:rsidRPr="00780937" w:rsidRDefault="00C00029" w:rsidP="00C000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0937">
        <w:rPr>
          <w:rFonts w:ascii="Palatino Linotype" w:eastAsia="Times New Roman" w:hAnsi="Palatino Linotype" w:cs="Times New Roman"/>
          <w:i/>
          <w:szCs w:val="24"/>
          <w:lang w:val="es-ES_tradnl" w:eastAsia="es-ES"/>
        </w:rPr>
        <w:t>“</w:t>
      </w:r>
      <w:r w:rsidRPr="00780937">
        <w:rPr>
          <w:rFonts w:ascii="Palatino Linotype" w:eastAsia="Times New Roman" w:hAnsi="Palatino Linotype" w:cs="Times New Roman"/>
          <w:b/>
          <w:i/>
          <w:szCs w:val="24"/>
          <w:lang w:val="es-ES_tradnl" w:eastAsia="es-ES"/>
        </w:rPr>
        <w:t>Artículo 36.</w:t>
      </w:r>
      <w:r w:rsidRPr="00780937">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C00029" w:rsidRPr="00780937" w:rsidRDefault="00C00029" w:rsidP="00C000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0937">
        <w:rPr>
          <w:rFonts w:ascii="Palatino Linotype" w:eastAsia="Times New Roman" w:hAnsi="Palatino Linotype" w:cs="Times New Roman"/>
          <w:i/>
          <w:szCs w:val="24"/>
          <w:lang w:val="es-ES_tradnl" w:eastAsia="es-ES"/>
        </w:rPr>
        <w:t>(…)</w:t>
      </w:r>
    </w:p>
    <w:p w:rsidR="00C00029" w:rsidRPr="00780937" w:rsidRDefault="00C00029" w:rsidP="00C000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093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C00029" w:rsidRPr="00780937" w:rsidRDefault="00C00029" w:rsidP="00C000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0937">
        <w:rPr>
          <w:rFonts w:ascii="Palatino Linotype" w:eastAsia="Times New Roman" w:hAnsi="Palatino Linotype" w:cs="Times New Roman"/>
          <w:i/>
          <w:szCs w:val="24"/>
          <w:lang w:val="es-ES_tradnl" w:eastAsia="es-ES"/>
        </w:rPr>
        <w:t>(…)</w:t>
      </w:r>
    </w:p>
    <w:p w:rsidR="00C00029" w:rsidRPr="00780937" w:rsidRDefault="00C00029" w:rsidP="00C00029">
      <w:pPr>
        <w:spacing w:before="240" w:after="240" w:line="360" w:lineRule="auto"/>
        <w:contextualSpacing/>
        <w:jc w:val="both"/>
        <w:rPr>
          <w:rFonts w:ascii="Palatino Linotype" w:eastAsia="MS Mincho" w:hAnsi="Palatino Linotype" w:cs="Arial"/>
          <w:sz w:val="24"/>
          <w:szCs w:val="24"/>
          <w:lang w:val="es-ES_tradnl" w:eastAsia="es-ES"/>
        </w:rPr>
      </w:pPr>
    </w:p>
    <w:p w:rsidR="00C00029" w:rsidRPr="00780937" w:rsidRDefault="00C00029" w:rsidP="00C00029">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780937">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780937">
        <w:rPr>
          <w:rFonts w:ascii="Palatino Linotype" w:eastAsia="Times New Roman" w:hAnsi="Palatino Linotype"/>
          <w:b/>
          <w:sz w:val="24"/>
          <w:szCs w:val="24"/>
          <w:lang w:val="es-ES_tradnl" w:eastAsia="es-ES"/>
        </w:rPr>
        <w:t>SUJETO OBLIGADO</w:t>
      </w:r>
      <w:r w:rsidRPr="00780937">
        <w:rPr>
          <w:rFonts w:ascii="Palatino Linotype" w:eastAsia="Times New Roman" w:hAnsi="Palatino Linotype"/>
          <w:sz w:val="24"/>
          <w:szCs w:val="24"/>
          <w:lang w:val="es-ES_tradnl" w:eastAsia="es-ES"/>
        </w:rPr>
        <w:t xml:space="preserve"> incurrió, lo cual se encuentra previsto </w:t>
      </w:r>
      <w:r w:rsidRPr="0078093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rsidR="00C00029" w:rsidRPr="00780937" w:rsidRDefault="00C00029" w:rsidP="00C00029">
      <w:pPr>
        <w:spacing w:before="240" w:after="240" w:line="360" w:lineRule="auto"/>
        <w:contextualSpacing/>
        <w:jc w:val="both"/>
        <w:rPr>
          <w:rFonts w:ascii="Palatino Linotype" w:eastAsia="MS Mincho" w:hAnsi="Palatino Linotype" w:cs="Arial"/>
          <w:sz w:val="24"/>
          <w:szCs w:val="24"/>
          <w:lang w:val="es-ES_tradnl" w:eastAsia="es-ES"/>
        </w:rPr>
      </w:pPr>
    </w:p>
    <w:p w:rsidR="00C00029" w:rsidRPr="00780937" w:rsidRDefault="00C00029" w:rsidP="00C000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0937">
        <w:rPr>
          <w:rFonts w:ascii="Palatino Linotype" w:eastAsia="Times New Roman" w:hAnsi="Palatino Linotype" w:cs="Times New Roman"/>
          <w:i/>
          <w:szCs w:val="24"/>
          <w:lang w:val="es-ES_tradnl" w:eastAsia="es-ES"/>
        </w:rPr>
        <w:t>“</w:t>
      </w:r>
      <w:r w:rsidRPr="00780937">
        <w:rPr>
          <w:rFonts w:ascii="Palatino Linotype" w:eastAsia="Times New Roman" w:hAnsi="Palatino Linotype" w:cs="Times New Roman"/>
          <w:b/>
          <w:i/>
          <w:szCs w:val="24"/>
          <w:lang w:val="es-ES_tradnl" w:eastAsia="es-ES"/>
        </w:rPr>
        <w:t>Artículo 190.</w:t>
      </w:r>
      <w:r w:rsidRPr="0078093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00029" w:rsidRPr="00780937" w:rsidRDefault="00C00029" w:rsidP="00C00029">
      <w:pPr>
        <w:spacing w:after="0" w:line="360" w:lineRule="auto"/>
        <w:ind w:left="567" w:right="567"/>
        <w:contextualSpacing/>
        <w:jc w:val="both"/>
        <w:rPr>
          <w:rFonts w:ascii="Palatino Linotype" w:eastAsiaTheme="minorEastAsia" w:hAnsi="Palatino Linotype"/>
          <w:i/>
          <w:szCs w:val="24"/>
          <w:lang w:val="es-ES_tradnl" w:eastAsia="es-ES"/>
        </w:rPr>
      </w:pPr>
      <w:r w:rsidRPr="0078093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80937">
        <w:rPr>
          <w:rFonts w:ascii="Palatino Linotype" w:eastAsiaTheme="minorEastAsia" w:hAnsi="Palatino Linotype"/>
          <w:i/>
          <w:szCs w:val="24"/>
          <w:lang w:val="es-ES_tradnl" w:eastAsia="es-ES"/>
        </w:rPr>
        <w:t xml:space="preserve"> (De Acuerdo al Decreto N°207, Publicado el 30 de mayo de 2017)</w:t>
      </w:r>
    </w:p>
    <w:p w:rsidR="00C00029" w:rsidRPr="00780937" w:rsidRDefault="00C00029" w:rsidP="00C00029">
      <w:pPr>
        <w:spacing w:after="0" w:line="360" w:lineRule="auto"/>
        <w:ind w:left="567" w:right="567"/>
        <w:contextualSpacing/>
        <w:jc w:val="both"/>
        <w:rPr>
          <w:rFonts w:ascii="Palatino Linotype" w:eastAsiaTheme="minorEastAsia" w:hAnsi="Palatino Linotype"/>
          <w:i/>
          <w:szCs w:val="24"/>
          <w:lang w:val="es-ES_tradnl" w:eastAsia="es-ES"/>
        </w:rPr>
      </w:pPr>
      <w:r w:rsidRPr="00780937">
        <w:rPr>
          <w:rFonts w:ascii="Palatino Linotype" w:eastAsiaTheme="minorEastAsia" w:hAnsi="Palatino Linotype"/>
          <w:i/>
          <w:szCs w:val="24"/>
          <w:lang w:val="es-ES_tradnl" w:eastAsia="es-ES"/>
        </w:rPr>
        <w:t>…”</w:t>
      </w:r>
    </w:p>
    <w:p w:rsidR="00C00029" w:rsidRPr="00780937" w:rsidRDefault="00C00029" w:rsidP="00C00029">
      <w:pPr>
        <w:spacing w:after="0" w:line="360" w:lineRule="auto"/>
        <w:ind w:right="49"/>
        <w:contextualSpacing/>
        <w:jc w:val="both"/>
        <w:rPr>
          <w:rFonts w:ascii="Palatino Linotype" w:eastAsia="Times New Roman" w:hAnsi="Palatino Linotype" w:cs="Arial"/>
          <w:sz w:val="24"/>
          <w:szCs w:val="24"/>
          <w:lang w:val="es-ES_tradnl" w:eastAsia="es-ES"/>
        </w:rPr>
      </w:pPr>
    </w:p>
    <w:p w:rsidR="00C00029" w:rsidRPr="00780937" w:rsidRDefault="00C00029" w:rsidP="00C00029">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780937">
        <w:rPr>
          <w:rFonts w:ascii="Palatino Linotype" w:eastAsiaTheme="minorEastAsia" w:hAnsi="Palatino Linotype" w:cs="Arial"/>
          <w:sz w:val="24"/>
          <w:szCs w:val="24"/>
          <w:lang w:val="es-ES_tradnl" w:eastAsia="es-ES"/>
        </w:rPr>
        <w:t>En consecuencia el recurso de revisión consiste en una garantía secundaria</w:t>
      </w:r>
      <w:r w:rsidRPr="00780937">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780937">
        <w:rPr>
          <w:rFonts w:ascii="Palatino Linotype" w:eastAsiaTheme="minorEastAsia" w:hAnsi="Palatino Linotype" w:cs="Arial"/>
          <w:sz w:val="24"/>
          <w:szCs w:val="24"/>
          <w:vertAlign w:val="superscript"/>
          <w:lang w:val="es-ES_tradnl" w:eastAsia="es-ES"/>
        </w:rPr>
        <w:footnoteReference w:id="10"/>
      </w:r>
      <w:r w:rsidRPr="00780937">
        <w:rPr>
          <w:rFonts w:ascii="Palatino Linotype" w:eastAsiaTheme="minorEastAsia" w:hAnsi="Palatino Linotype" w:cs="Arial"/>
          <w:sz w:val="24"/>
          <w:szCs w:val="24"/>
          <w:lang w:val="es-ES_tradnl" w:eastAsia="es-ES"/>
        </w:rPr>
        <w:t xml:space="preserve">.  , esto refiere que, ante la falta de respuesta por parte del </w:t>
      </w:r>
      <w:r w:rsidRPr="00780937">
        <w:rPr>
          <w:rFonts w:ascii="Palatino Linotype" w:eastAsiaTheme="minorEastAsia" w:hAnsi="Palatino Linotype" w:cs="Arial"/>
          <w:b/>
          <w:sz w:val="24"/>
          <w:szCs w:val="24"/>
          <w:lang w:val="es-ES_tradnl" w:eastAsia="es-ES"/>
        </w:rPr>
        <w:t>SUJETO OBLIGADO</w:t>
      </w:r>
      <w:r w:rsidRPr="00780937">
        <w:rPr>
          <w:rFonts w:ascii="Palatino Linotype" w:eastAsiaTheme="minorEastAsia" w:hAnsi="Palatino Linotype" w:cs="Arial"/>
          <w:sz w:val="24"/>
          <w:szCs w:val="24"/>
          <w:lang w:val="es-ES_tradnl" w:eastAsia="es-ES"/>
        </w:rPr>
        <w:t xml:space="preserve">, el </w:t>
      </w:r>
      <w:r w:rsidRPr="00780937">
        <w:rPr>
          <w:rFonts w:ascii="Palatino Linotype" w:eastAsiaTheme="minorEastAsia" w:hAnsi="Palatino Linotype" w:cs="Arial"/>
          <w:b/>
          <w:sz w:val="24"/>
          <w:szCs w:val="24"/>
          <w:lang w:val="es-ES_tradnl" w:eastAsia="es-ES"/>
        </w:rPr>
        <w:t>RECURRENTE</w:t>
      </w:r>
      <w:r w:rsidRPr="00780937">
        <w:rPr>
          <w:rFonts w:ascii="Palatino Linotype" w:eastAsiaTheme="minorEastAsia" w:hAnsi="Palatino Linotype" w:cs="Arial"/>
          <w:sz w:val="24"/>
          <w:szCs w:val="24"/>
          <w:lang w:val="es-ES_tradnl" w:eastAsia="es-ES"/>
        </w:rPr>
        <w:t xml:space="preserve"> interpuso </w:t>
      </w:r>
      <w:r w:rsidRPr="00780937">
        <w:rPr>
          <w:rFonts w:ascii="Palatino Linotype" w:eastAsiaTheme="minorEastAsia" w:hAnsi="Palatino Linotype" w:cs="Arial"/>
          <w:sz w:val="24"/>
          <w:szCs w:val="24"/>
          <w:lang w:val="es-ES_tradnl" w:eastAsia="es-ES"/>
        </w:rPr>
        <w:lastRenderedPageBreak/>
        <w:t xml:space="preserve">el recurso de revisión con el objeto de que este órgano garante determine si existió una violación al derecho de acceso a la información pública y que esta violación sea reparada por la autoridad competente. </w:t>
      </w:r>
    </w:p>
    <w:p w:rsidR="00C00029" w:rsidRPr="00780937" w:rsidRDefault="00C00029" w:rsidP="00C00029">
      <w:pPr>
        <w:pStyle w:val="Prrafodelista"/>
        <w:tabs>
          <w:tab w:val="left" w:pos="142"/>
          <w:tab w:val="left" w:pos="284"/>
          <w:tab w:val="left" w:pos="426"/>
        </w:tabs>
        <w:spacing w:after="160"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bCs/>
        </w:rPr>
      </w:pPr>
      <w:bookmarkStart w:id="71" w:name="_Toc74188157"/>
      <w:bookmarkStart w:id="72" w:name="_Toc74766907"/>
      <w:r w:rsidRPr="00780937">
        <w:rPr>
          <w:rFonts w:ascii="Palatino Linotype" w:hAnsi="Palatino Linotype" w:cs="Arial"/>
          <w:b/>
          <w:bCs/>
        </w:rPr>
        <w:t>OCTAVO. Vista a la Dirección General de Protección de Datos Personales.</w:t>
      </w:r>
      <w:bookmarkEnd w:id="71"/>
      <w:bookmarkEnd w:id="72"/>
    </w:p>
    <w:p w:rsidR="00C00029" w:rsidRPr="00780937" w:rsidRDefault="00C00029" w:rsidP="00C0002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780937">
        <w:rPr>
          <w:rFonts w:ascii="Palatino Linotype" w:eastAsia="MS Gothic" w:hAnsi="Palatino Linotype" w:cs="Times New Roman"/>
          <w:szCs w:val="26"/>
          <w:lang w:val="es-ES"/>
        </w:rPr>
        <w:t xml:space="preserve">Las </w:t>
      </w:r>
      <w:r w:rsidRPr="00780937">
        <w:rPr>
          <w:rFonts w:ascii="Palatino Linotype" w:eastAsia="MS Gothic" w:hAnsi="Palatino Linotype" w:cs="Times New Roman"/>
          <w:szCs w:val="26"/>
        </w:rPr>
        <w:t>fracciones XIV, XXII, XXIII y XXV, del artículo 82, de la Ley de Protección de Datos Personales en Posesión de Sujetos Obligados del Estado de México y Municipios, establecen las atribuciones del Instituto:</w:t>
      </w:r>
    </w:p>
    <w:p w:rsidR="00C00029" w:rsidRPr="00780937" w:rsidRDefault="00C00029" w:rsidP="00C00029">
      <w:pPr>
        <w:pStyle w:val="Prrafodelista"/>
        <w:tabs>
          <w:tab w:val="left" w:pos="142"/>
          <w:tab w:val="left" w:pos="284"/>
          <w:tab w:val="left" w:pos="426"/>
        </w:tabs>
        <w:spacing w:before="240" w:line="360" w:lineRule="auto"/>
        <w:ind w:left="0"/>
        <w:jc w:val="both"/>
        <w:rPr>
          <w:rFonts w:ascii="Palatino Linotype" w:hAnsi="Palatino Linotype" w:cs="Arial"/>
        </w:rPr>
      </w:pP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780937">
        <w:rPr>
          <w:rFonts w:ascii="Palatino Linotype" w:hAnsi="Palatino Linotype"/>
          <w:b/>
          <w:i/>
        </w:rPr>
        <w:t xml:space="preserve">Atribuciones del Instituto </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b/>
          <w:i/>
        </w:rPr>
        <w:t>Artículo 82.</w:t>
      </w:r>
      <w:r w:rsidRPr="00780937">
        <w:rPr>
          <w:rFonts w:ascii="Palatino Linotype" w:hAnsi="Palatino Linotype"/>
          <w:i/>
        </w:rPr>
        <w:t xml:space="preserve"> El Instituto, además de las atribuciones encomendadas por la Ley de Transparencia y normatividad aplicable, tendrá las atribuciones siguientes:</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780937">
        <w:rPr>
          <w:rFonts w:ascii="Palatino Linotype" w:hAnsi="Palatino Linotype"/>
          <w:i/>
        </w:rPr>
        <w:t>(…)</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b/>
          <w:i/>
        </w:rPr>
        <w:t>XIV.</w:t>
      </w:r>
      <w:r w:rsidRPr="00780937">
        <w:rPr>
          <w:rFonts w:ascii="Palatino Linotype" w:hAnsi="Palatino Linotype"/>
          <w:i/>
        </w:rPr>
        <w:t xml:space="preserve"> </w:t>
      </w:r>
      <w:r w:rsidRPr="00780937">
        <w:rPr>
          <w:rFonts w:ascii="Palatino Linotype" w:hAnsi="Palatino Linotype"/>
          <w:b/>
          <w:i/>
        </w:rPr>
        <w:t>Formular observaciones y recomendaciones</w:t>
      </w:r>
      <w:r w:rsidRPr="00780937">
        <w:rPr>
          <w:rFonts w:ascii="Palatino Linotype" w:hAnsi="Palatino Linotype"/>
          <w:i/>
        </w:rPr>
        <w:t xml:space="preserve"> a los sujetos obligados que incumplan esta Ley.</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i/>
        </w:rPr>
        <w:t>(…)</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b/>
          <w:i/>
        </w:rPr>
        <w:t>XXII.</w:t>
      </w:r>
      <w:r w:rsidRPr="00780937">
        <w:rPr>
          <w:rFonts w:ascii="Palatino Linotype" w:hAnsi="Palatino Linotype"/>
          <w:i/>
        </w:rPr>
        <w:t xml:space="preserve"> </w:t>
      </w:r>
      <w:r w:rsidRPr="00780937">
        <w:rPr>
          <w:rFonts w:ascii="Palatino Linotype" w:hAnsi="Palatino Linotype"/>
          <w:b/>
          <w:i/>
        </w:rPr>
        <w:t>Verificar el cumplimiento</w:t>
      </w:r>
      <w:r w:rsidRPr="00780937">
        <w:rPr>
          <w:rFonts w:ascii="Palatino Linotype" w:hAnsi="Palatino Linotype"/>
          <w:i/>
        </w:rPr>
        <w:t xml:space="preserve"> de las disposiciones previstas en esta Ley a través de los procedimientos de revisión que resulten compatibles con las disposiciones de esta Ley.</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b/>
          <w:i/>
        </w:rPr>
        <w:t>XXIII.</w:t>
      </w:r>
      <w:r w:rsidRPr="00780937">
        <w:rPr>
          <w:rFonts w:ascii="Palatino Linotype" w:hAnsi="Palatino Linotype"/>
          <w:i/>
        </w:rPr>
        <w:t xml:space="preserve"> </w:t>
      </w:r>
      <w:r w:rsidRPr="00780937">
        <w:rPr>
          <w:rFonts w:ascii="Palatino Linotype" w:hAnsi="Palatino Linotype"/>
          <w:b/>
          <w:i/>
        </w:rPr>
        <w:t>Implementar</w:t>
      </w:r>
      <w:r w:rsidRPr="00780937">
        <w:rPr>
          <w:rFonts w:ascii="Palatino Linotype" w:hAnsi="Palatino Linotype"/>
          <w:i/>
        </w:rPr>
        <w:t xml:space="preserve"> los </w:t>
      </w:r>
      <w:r w:rsidRPr="00780937">
        <w:rPr>
          <w:rFonts w:ascii="Palatino Linotype" w:hAnsi="Palatino Linotype"/>
          <w:b/>
          <w:i/>
        </w:rPr>
        <w:t>procedimientos</w:t>
      </w:r>
      <w:r w:rsidRPr="00780937">
        <w:rPr>
          <w:rFonts w:ascii="Palatino Linotype" w:hAnsi="Palatino Linotype"/>
          <w:i/>
        </w:rPr>
        <w:t xml:space="preserve"> que resulten necesarios </w:t>
      </w:r>
      <w:r w:rsidRPr="00780937">
        <w:rPr>
          <w:rFonts w:ascii="Palatino Linotype" w:hAnsi="Palatino Linotype"/>
          <w:b/>
          <w:i/>
        </w:rPr>
        <w:t xml:space="preserve">para el cumplimiento </w:t>
      </w:r>
      <w:r w:rsidRPr="00780937">
        <w:rPr>
          <w:rFonts w:ascii="Palatino Linotype" w:hAnsi="Palatino Linotype"/>
          <w:i/>
        </w:rPr>
        <w:t>de las disposiciones de esta Ley y para asegurar la protección de datos personales de los titulares. (…)</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b/>
          <w:i/>
        </w:rPr>
        <w:t>XXV.</w:t>
      </w:r>
      <w:r w:rsidRPr="00780937">
        <w:rPr>
          <w:rFonts w:ascii="Palatino Linotype" w:hAnsi="Palatino Linotype"/>
          <w:i/>
        </w:rPr>
        <w:t xml:space="preserve"> </w:t>
      </w:r>
      <w:r w:rsidRPr="00780937">
        <w:rPr>
          <w:rFonts w:ascii="Palatino Linotype" w:hAnsi="Palatino Linotype"/>
          <w:b/>
          <w:i/>
        </w:rPr>
        <w:t>Investigar</w:t>
      </w:r>
      <w:r w:rsidRPr="00780937">
        <w:rPr>
          <w:rFonts w:ascii="Palatino Linotype" w:hAnsi="Palatino Linotype"/>
          <w:i/>
        </w:rPr>
        <w:t xml:space="preserve"> las </w:t>
      </w:r>
      <w:r w:rsidRPr="00780937">
        <w:rPr>
          <w:rFonts w:ascii="Palatino Linotype" w:hAnsi="Palatino Linotype"/>
          <w:b/>
          <w:i/>
        </w:rPr>
        <w:t>posibles violaciones</w:t>
      </w:r>
      <w:r w:rsidRPr="00780937">
        <w:rPr>
          <w:rFonts w:ascii="Palatino Linotype" w:hAnsi="Palatino Linotype"/>
          <w:i/>
        </w:rPr>
        <w:t xml:space="preserve"> a la seguridad de los datos personales a fin de determinar la práctica de verificaciones.</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80937">
        <w:rPr>
          <w:rFonts w:ascii="Palatino Linotype" w:hAnsi="Palatino Linotype"/>
          <w:i/>
        </w:rPr>
        <w:t>(…)”</w:t>
      </w:r>
    </w:p>
    <w:p w:rsidR="00C00029" w:rsidRPr="00780937" w:rsidRDefault="00C00029" w:rsidP="00C00029">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780937">
        <w:rPr>
          <w:rFonts w:ascii="Palatino Linotype" w:hAnsi="Palatino Linotype"/>
        </w:rPr>
        <w:t>(Énfasis añadido)</w:t>
      </w:r>
    </w:p>
    <w:p w:rsidR="00C00029" w:rsidRPr="00780937" w:rsidRDefault="00C00029" w:rsidP="00C0002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C00029" w:rsidRPr="00780937" w:rsidRDefault="00712340" w:rsidP="00712340">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780937">
        <w:rPr>
          <w:rFonts w:ascii="Palatino Linotype" w:hAnsi="Palatino Linotype" w:cs="Arial"/>
        </w:rPr>
        <w:lastRenderedPageBreak/>
        <w:t xml:space="preserve">En este caso, el Sujeto Obligado remitió mediante informe justificado el documento </w:t>
      </w:r>
      <w:r w:rsidRPr="00780937">
        <w:rPr>
          <w:rFonts w:ascii="Palatino Linotype" w:hAnsi="Palatino Linotype" w:cs="Arial"/>
          <w:b/>
          <w:u w:val="single"/>
        </w:rPr>
        <w:t>20 2021.pdf</w:t>
      </w:r>
      <w:r w:rsidRPr="00780937">
        <w:rPr>
          <w:rFonts w:ascii="Palatino Linotype" w:hAnsi="Palatino Linotype" w:cs="Arial"/>
        </w:rPr>
        <w:t xml:space="preserve">, </w:t>
      </w:r>
      <w:r w:rsidR="00595C1C" w:rsidRPr="00780937">
        <w:rPr>
          <w:rFonts w:ascii="Palatino Linotype" w:hAnsi="Palatino Linotype" w:cs="Arial"/>
        </w:rPr>
        <w:t>e</w:t>
      </w:r>
      <w:r w:rsidR="00887900" w:rsidRPr="00780937">
        <w:rPr>
          <w:rFonts w:ascii="Palatino Linotype" w:hAnsi="Palatino Linotype" w:cs="Arial"/>
        </w:rPr>
        <w:t>l cual contiene treinta y cinco</w:t>
      </w:r>
      <w:r w:rsidRPr="00780937">
        <w:rPr>
          <w:rFonts w:ascii="Palatino Linotype" w:hAnsi="Palatino Linotype" w:cs="Arial"/>
        </w:rPr>
        <w:t xml:space="preserve"> currículums vitae, sin embargo, del estudió de la información se detectó  que se dejaron visibles datos que por su naturaleza son considerados confidenciales, entre los cuales se encuentra el RFC y estado civil de los servidores </w:t>
      </w:r>
      <w:r w:rsidR="00887900" w:rsidRPr="00780937">
        <w:rPr>
          <w:rFonts w:ascii="Palatino Linotype" w:hAnsi="Palatino Linotype" w:cs="Arial"/>
        </w:rPr>
        <w:t xml:space="preserve">públicos; </w:t>
      </w:r>
      <w:r w:rsidRPr="00780937">
        <w:rPr>
          <w:rFonts w:ascii="Palatino Linotype" w:hAnsi="Palatino Linotype" w:cs="Arial"/>
        </w:rPr>
        <w:t>números telefónicos y correos particulares</w:t>
      </w:r>
      <w:r w:rsidR="00887900" w:rsidRPr="00780937">
        <w:rPr>
          <w:rFonts w:ascii="Palatino Linotype" w:hAnsi="Palatino Linotype" w:cs="Arial"/>
        </w:rPr>
        <w:t>; y nombres, direcciones y números telefónicos de particulares</w:t>
      </w:r>
      <w:r w:rsidRPr="00780937">
        <w:rPr>
          <w:rFonts w:ascii="Palatino Linotype" w:hAnsi="Palatino Linotype" w:cs="Arial"/>
        </w:rPr>
        <w:t xml:space="preserve">. </w:t>
      </w:r>
      <w:r w:rsidRPr="00780937">
        <w:rPr>
          <w:rFonts w:ascii="Palatino Linotype" w:eastAsia="MS Gothic" w:hAnsi="Palatino Linotype" w:cs="Times New Roman"/>
          <w:szCs w:val="26"/>
        </w:rPr>
        <w:t>P</w:t>
      </w:r>
      <w:r w:rsidR="00C00029" w:rsidRPr="00780937">
        <w:rPr>
          <w:rFonts w:ascii="Palatino Linotype" w:eastAsia="MS Gothic" w:hAnsi="Palatino Linotype" w:cs="Times New Roman"/>
          <w:szCs w:val="26"/>
        </w:rPr>
        <w:t xml:space="preserve">or ello se dará vista al área competente para que en ejercicio de sus atribuciones realice las investigaciones pertinentes por las omisiones detectadas atribuibles al </w:t>
      </w:r>
      <w:r w:rsidR="00C00029" w:rsidRPr="00780937">
        <w:rPr>
          <w:rFonts w:ascii="Palatino Linotype" w:eastAsia="MS Gothic" w:hAnsi="Palatino Linotype" w:cs="Times New Roman"/>
          <w:b/>
          <w:szCs w:val="26"/>
        </w:rPr>
        <w:t>SUJETO OBLIGADO</w:t>
      </w:r>
      <w:r w:rsidR="00C00029" w:rsidRPr="00780937">
        <w:rPr>
          <w:rFonts w:ascii="Palatino Linotype" w:eastAsia="MS Gothic" w:hAnsi="Palatino Linotype" w:cs="Times New Roman"/>
          <w:szCs w:val="26"/>
        </w:rPr>
        <w:t>.</w:t>
      </w:r>
    </w:p>
    <w:p w:rsidR="00C00029" w:rsidRPr="00780937" w:rsidRDefault="00C00029" w:rsidP="00C0002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780937">
        <w:rPr>
          <w:rFonts w:ascii="Palatino Linotype" w:eastAsia="MS Gothic" w:hAnsi="Palatino Linotype" w:cs="Times New Roman"/>
          <w:szCs w:val="26"/>
          <w:lang w:val="es-ES"/>
        </w:rPr>
        <w:t>Así, esté</w:t>
      </w:r>
      <w:r w:rsidRPr="00780937">
        <w:rPr>
          <w:rFonts w:ascii="Palatino Linotype" w:eastAsia="MS Gothic" w:hAnsi="Palatino Linotype" w:cs="Times New Roman"/>
          <w:szCs w:val="26"/>
        </w:rPr>
        <w:t xml:space="preserve"> Pleno hará del conocimiento de la Dirección General de Protección de Datos Personales de este Instituto de las infracciones en que el </w:t>
      </w:r>
      <w:r w:rsidRPr="00780937">
        <w:rPr>
          <w:rFonts w:ascii="Palatino Linotype" w:eastAsia="MS Gothic" w:hAnsi="Palatino Linotype" w:cs="Times New Roman"/>
          <w:b/>
          <w:szCs w:val="26"/>
        </w:rPr>
        <w:t>SUJETO OBLIGADO</w:t>
      </w:r>
      <w:r w:rsidRPr="00780937">
        <w:rPr>
          <w:rFonts w:ascii="Palatino Linotype" w:eastAsia="MS Gothic" w:hAnsi="Palatino Linotype" w:cs="Times New Roman"/>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C00029" w:rsidRPr="00780937" w:rsidRDefault="00C00029" w:rsidP="00C0002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C00029" w:rsidRPr="00780937" w:rsidRDefault="00C00029" w:rsidP="00C0002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780937">
        <w:rPr>
          <w:rFonts w:ascii="Palatino Linotype" w:eastAsia="MS Gothic" w:hAnsi="Palatino Linotype" w:cs="Times New Roman"/>
          <w:szCs w:val="26"/>
          <w:lang w:val="es-ES"/>
        </w:rPr>
        <w:t xml:space="preserve">Por lo anterior, resulta conveniente dar vista a la Dirección General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780937">
        <w:rPr>
          <w:rFonts w:ascii="Palatino Linotype" w:eastAsia="MS Gothic" w:hAnsi="Palatino Linotype" w:cs="Times New Roman"/>
          <w:b/>
          <w:szCs w:val="26"/>
          <w:lang w:val="es-ES"/>
        </w:rPr>
        <w:t>SUJETO OBLIGADO</w:t>
      </w:r>
      <w:r w:rsidRPr="00780937">
        <w:rPr>
          <w:rFonts w:ascii="Palatino Linotype" w:eastAsia="MS Gothic" w:hAnsi="Palatino Linotype" w:cs="Times New Roman"/>
          <w:szCs w:val="26"/>
          <w:lang w:val="es-ES"/>
        </w:rPr>
        <w:t xml:space="preserve"> pudo haber incurrido por el incumplimiento a las obligaciones previstas en la Ley de Protección de Datos </w:t>
      </w:r>
      <w:r w:rsidRPr="00780937">
        <w:rPr>
          <w:rFonts w:ascii="Palatino Linotype" w:eastAsia="MS Gothic" w:hAnsi="Palatino Linotype" w:cs="Times New Roman"/>
          <w:szCs w:val="26"/>
          <w:lang w:val="es-ES"/>
        </w:rPr>
        <w:lastRenderedPageBreak/>
        <w:t xml:space="preserve">Personales en Posesión de Sujetos Obligados del Estado de México y Municipios y, las demás disposiciones jurídicas aplicables en la materia; en el caso de acreditarse las mismas, lo deberá hacer del conocimiento del Órgano de Control Interno del </w:t>
      </w:r>
      <w:r w:rsidRPr="00780937">
        <w:rPr>
          <w:rFonts w:ascii="Palatino Linotype" w:eastAsia="MS Gothic" w:hAnsi="Palatino Linotype" w:cs="Times New Roman"/>
          <w:b/>
          <w:szCs w:val="26"/>
          <w:lang w:val="es-ES"/>
        </w:rPr>
        <w:t xml:space="preserve">SUJETO OBLIGADO </w:t>
      </w:r>
      <w:r w:rsidRPr="00780937">
        <w:rPr>
          <w:rFonts w:ascii="Palatino Linotype" w:eastAsia="MS Gothic" w:hAnsi="Palatino Linotype" w:cs="Times New Roman"/>
          <w:szCs w:val="26"/>
          <w:lang w:val="es-ES"/>
        </w:rPr>
        <w:t xml:space="preserve">para que éste determine lo que conforme a derecho conduzca, cuyo resultado deberá de ser informado al Instituto. </w:t>
      </w:r>
    </w:p>
    <w:p w:rsidR="00D220B3" w:rsidRPr="00780937" w:rsidRDefault="00D220B3" w:rsidP="00D220B3">
      <w:pPr>
        <w:pStyle w:val="Prrafodelista"/>
        <w:rPr>
          <w:rFonts w:ascii="Palatino Linotype" w:hAnsi="Palatino Linotype" w:cs="Arial"/>
        </w:rPr>
      </w:pPr>
    </w:p>
    <w:p w:rsidR="00D220B3" w:rsidRPr="00780937" w:rsidRDefault="00D220B3" w:rsidP="00D220B3">
      <w:pPr>
        <w:keepNext/>
        <w:keepLines/>
        <w:spacing w:after="0"/>
        <w:outlineLvl w:val="0"/>
        <w:rPr>
          <w:rFonts w:ascii="Palatino Linotype" w:eastAsia="MS Gothic" w:hAnsi="Palatino Linotype" w:cstheme="majorBidi"/>
          <w:b/>
          <w:sz w:val="24"/>
        </w:rPr>
      </w:pPr>
      <w:r w:rsidRPr="00780937">
        <w:rPr>
          <w:rFonts w:ascii="Palatino Linotype" w:eastAsia="MS Gothic" w:hAnsi="Palatino Linotype" w:cstheme="majorBidi"/>
          <w:b/>
          <w:sz w:val="24"/>
        </w:rPr>
        <w:t xml:space="preserve">NOVENO. Vista a la Dirección </w:t>
      </w:r>
      <w:r w:rsidR="00C368D6" w:rsidRPr="00780937">
        <w:rPr>
          <w:rFonts w:ascii="Palatino Linotype" w:eastAsia="MS Gothic" w:hAnsi="Palatino Linotype" w:cstheme="majorBidi"/>
          <w:b/>
          <w:sz w:val="24"/>
        </w:rPr>
        <w:t xml:space="preserve">General </w:t>
      </w:r>
      <w:r w:rsidRPr="00780937">
        <w:rPr>
          <w:rFonts w:ascii="Palatino Linotype" w:eastAsia="MS Gothic" w:hAnsi="Palatino Linotype" w:cstheme="majorBidi"/>
          <w:b/>
          <w:sz w:val="24"/>
        </w:rPr>
        <w:t>Jurídica y de Verificación.</w:t>
      </w:r>
    </w:p>
    <w:p w:rsidR="00D220B3" w:rsidRPr="00780937" w:rsidRDefault="00D220B3" w:rsidP="00D220B3">
      <w:pPr>
        <w:keepNext/>
        <w:keepLines/>
        <w:spacing w:after="0"/>
        <w:outlineLvl w:val="0"/>
        <w:rPr>
          <w:rFonts w:ascii="Palatino Linotype" w:eastAsia="MS Gothic" w:hAnsi="Palatino Linotype" w:cstheme="majorBidi"/>
          <w:b/>
          <w:sz w:val="24"/>
        </w:rPr>
      </w:pPr>
    </w:p>
    <w:p w:rsidR="00D220B3" w:rsidRPr="00780937" w:rsidRDefault="00D220B3" w:rsidP="00D220B3">
      <w:pPr>
        <w:spacing w:after="0"/>
        <w:rPr>
          <w:rFonts w:eastAsiaTheme="minorEastAsia"/>
          <w:sz w:val="24"/>
        </w:rPr>
      </w:pPr>
    </w:p>
    <w:p w:rsidR="00D220B3" w:rsidRPr="00780937" w:rsidRDefault="00D220B3" w:rsidP="00D220B3">
      <w:pPr>
        <w:numPr>
          <w:ilvl w:val="0"/>
          <w:numId w:val="1"/>
        </w:numPr>
        <w:spacing w:after="0" w:line="360" w:lineRule="auto"/>
        <w:ind w:left="0" w:firstLine="0"/>
        <w:contextualSpacing/>
        <w:jc w:val="both"/>
        <w:rPr>
          <w:rFonts w:ascii="Palatino Linotype" w:eastAsiaTheme="minorEastAsia" w:hAnsi="Palatino Linotype"/>
          <w:i/>
          <w:sz w:val="24"/>
          <w:lang w:val="es-ES_tradnl" w:eastAsia="es-ES"/>
        </w:rPr>
      </w:pPr>
      <w:r w:rsidRPr="00780937">
        <w:rPr>
          <w:rFonts w:ascii="Palatino Linotype" w:hAnsi="Palatino Linotype"/>
          <w:sz w:val="24"/>
          <w:lang w:val="es-ES_tradnl" w:eastAsia="es-ES"/>
        </w:rPr>
        <w:t xml:space="preserve">De acuerdo al Reglamento Interior del Instituto de Transparencia, Acceso a la Información Pública y Protección de Datos del Estado de México y sus Municipios, en su artículo 22, fracción XIV, la Dirección Jurídica y de Verificación será quien ordenará y practicará verificaciones en los portales de internet de los sujetos obligados: </w:t>
      </w:r>
    </w:p>
    <w:p w:rsidR="00D220B3" w:rsidRPr="00780937" w:rsidRDefault="00D220B3" w:rsidP="00D220B3">
      <w:pPr>
        <w:spacing w:line="360" w:lineRule="auto"/>
        <w:contextualSpacing/>
        <w:jc w:val="both"/>
        <w:rPr>
          <w:rFonts w:ascii="Palatino Linotype" w:eastAsiaTheme="minorEastAsia" w:hAnsi="Palatino Linotype"/>
          <w:i/>
          <w:sz w:val="24"/>
          <w:lang w:val="es-ES_tradnl" w:eastAsia="es-ES"/>
        </w:rPr>
      </w:pPr>
    </w:p>
    <w:p w:rsidR="00D220B3" w:rsidRPr="00780937" w:rsidRDefault="00D220B3" w:rsidP="00D220B3">
      <w:pPr>
        <w:spacing w:after="0" w:line="360" w:lineRule="auto"/>
        <w:ind w:left="851" w:right="567"/>
        <w:contextualSpacing/>
        <w:jc w:val="both"/>
        <w:rPr>
          <w:rFonts w:ascii="Palatino Linotype" w:hAnsi="Palatino Linotype"/>
          <w:i/>
          <w:sz w:val="24"/>
        </w:rPr>
      </w:pPr>
      <w:r w:rsidRPr="00780937">
        <w:rPr>
          <w:rFonts w:ascii="Palatino Linotype" w:hAnsi="Palatino Linotype"/>
          <w:i/>
          <w:sz w:val="24"/>
        </w:rPr>
        <w:t>Artículo 22. Corresponde a la Dirección Jurídica y de Verificación ejercer las atribuciones siguientes:</w:t>
      </w:r>
    </w:p>
    <w:p w:rsidR="00D220B3" w:rsidRPr="00780937" w:rsidRDefault="00D220B3" w:rsidP="00D220B3">
      <w:pPr>
        <w:spacing w:after="0" w:line="360" w:lineRule="auto"/>
        <w:ind w:left="851" w:right="567"/>
        <w:contextualSpacing/>
        <w:jc w:val="both"/>
        <w:rPr>
          <w:rFonts w:ascii="Palatino Linotype" w:hAnsi="Palatino Linotype"/>
          <w:i/>
          <w:sz w:val="24"/>
        </w:rPr>
      </w:pPr>
      <w:r w:rsidRPr="00780937">
        <w:rPr>
          <w:rFonts w:ascii="Palatino Linotype" w:hAnsi="Palatino Linotype"/>
          <w:i/>
          <w:sz w:val="24"/>
        </w:rPr>
        <w:t xml:space="preserve">(…) </w:t>
      </w:r>
    </w:p>
    <w:p w:rsidR="00D220B3" w:rsidRPr="00780937" w:rsidRDefault="00D220B3" w:rsidP="00D220B3">
      <w:pPr>
        <w:spacing w:after="0" w:line="360" w:lineRule="auto"/>
        <w:ind w:left="851" w:right="567"/>
        <w:contextualSpacing/>
        <w:jc w:val="both"/>
        <w:rPr>
          <w:rFonts w:ascii="Palatino Linotype" w:hAnsi="Palatino Linotype"/>
          <w:i/>
          <w:sz w:val="24"/>
        </w:rPr>
      </w:pPr>
      <w:r w:rsidRPr="00780937">
        <w:rPr>
          <w:rFonts w:ascii="Palatino Linotype" w:hAnsi="Palatino Linotype"/>
          <w:i/>
          <w:sz w:val="24"/>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D220B3" w:rsidRPr="00780937" w:rsidRDefault="00D220B3" w:rsidP="00D220B3">
      <w:pPr>
        <w:spacing w:after="0" w:line="360" w:lineRule="auto"/>
        <w:ind w:left="851" w:right="567"/>
        <w:contextualSpacing/>
        <w:jc w:val="both"/>
        <w:rPr>
          <w:rFonts w:ascii="Palatino Linotype" w:hAnsi="Palatino Linotype"/>
          <w:i/>
          <w:sz w:val="24"/>
        </w:rPr>
      </w:pPr>
      <w:r w:rsidRPr="00780937">
        <w:rPr>
          <w:rFonts w:ascii="Palatino Linotype" w:hAnsi="Palatino Linotype"/>
          <w:i/>
          <w:sz w:val="24"/>
        </w:rPr>
        <w:t>(…)</w:t>
      </w:r>
    </w:p>
    <w:p w:rsidR="00D220B3" w:rsidRPr="00780937" w:rsidRDefault="00D220B3" w:rsidP="00D220B3">
      <w:pPr>
        <w:spacing w:after="0" w:line="360" w:lineRule="auto"/>
        <w:ind w:left="851" w:right="567"/>
        <w:contextualSpacing/>
        <w:jc w:val="both"/>
        <w:rPr>
          <w:rFonts w:ascii="Palatino Linotype" w:hAnsi="Palatino Linotype"/>
          <w:i/>
          <w:sz w:val="24"/>
        </w:rPr>
      </w:pPr>
    </w:p>
    <w:p w:rsidR="00D220B3" w:rsidRPr="00780937" w:rsidRDefault="00D220B3" w:rsidP="00D220B3">
      <w:pPr>
        <w:pStyle w:val="Prrafodelista"/>
        <w:spacing w:line="360" w:lineRule="auto"/>
        <w:ind w:left="0"/>
        <w:jc w:val="both"/>
        <w:rPr>
          <w:rFonts w:ascii="Palatino Linotype" w:hAnsi="Palatino Linotype"/>
        </w:rPr>
      </w:pPr>
      <w:r w:rsidRPr="00780937">
        <w:rPr>
          <w:rFonts w:ascii="Palatino Linotype" w:hAnsi="Palatino Linotype"/>
        </w:rPr>
        <w:lastRenderedPageBreak/>
        <w:tab/>
      </w:r>
    </w:p>
    <w:p w:rsidR="00D220B3" w:rsidRPr="00780937" w:rsidRDefault="00D220B3" w:rsidP="00D220B3">
      <w:pPr>
        <w:numPr>
          <w:ilvl w:val="0"/>
          <w:numId w:val="1"/>
        </w:numPr>
        <w:spacing w:after="0" w:line="360" w:lineRule="auto"/>
        <w:ind w:left="0" w:firstLine="0"/>
        <w:contextualSpacing/>
        <w:jc w:val="both"/>
        <w:rPr>
          <w:rFonts w:ascii="Palatino Linotype" w:hAnsi="Palatino Linotype"/>
          <w:sz w:val="24"/>
          <w:lang w:val="es-ES_tradnl" w:eastAsia="es-ES"/>
        </w:rPr>
      </w:pPr>
      <w:r w:rsidRPr="00780937">
        <w:rPr>
          <w:rFonts w:ascii="Palatino Linotype" w:hAnsi="Palatino Linotype"/>
          <w:sz w:val="24"/>
          <w:lang w:val="es-ES_tradnl" w:eastAsia="es-ES"/>
        </w:rPr>
        <w:t>Por ello, es conveniente señalar la fracción II, inciso b), del artículo 92, de la Ley de Transparencia y Acceso a la Información Pública del Estado de México y Municipios, que establece:</w:t>
      </w:r>
    </w:p>
    <w:p w:rsidR="00D220B3" w:rsidRPr="00780937" w:rsidRDefault="00D220B3" w:rsidP="00D220B3">
      <w:pPr>
        <w:spacing w:line="360" w:lineRule="auto"/>
        <w:contextualSpacing/>
        <w:jc w:val="both"/>
        <w:rPr>
          <w:rFonts w:ascii="Palatino Linotype" w:hAnsi="Palatino Linotype"/>
          <w:sz w:val="24"/>
          <w:lang w:val="es-ES_tradnl" w:eastAsia="es-ES"/>
        </w:rPr>
      </w:pPr>
    </w:p>
    <w:p w:rsidR="00D220B3" w:rsidRPr="00780937" w:rsidRDefault="00D220B3" w:rsidP="00D220B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80937">
        <w:rPr>
          <w:rFonts w:ascii="Palatino Linotype" w:hAnsi="Palatino Linotype"/>
          <w:b/>
          <w:i/>
        </w:rPr>
        <w:t>“Artículo 92.</w:t>
      </w:r>
      <w:r w:rsidRPr="0078093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220B3" w:rsidRPr="00780937" w:rsidRDefault="00D220B3" w:rsidP="00D220B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80937">
        <w:rPr>
          <w:rFonts w:ascii="Palatino Linotype" w:hAnsi="Palatino Linotype"/>
          <w:i/>
        </w:rPr>
        <w:t>(…)</w:t>
      </w:r>
    </w:p>
    <w:p w:rsidR="00D220B3" w:rsidRPr="00780937" w:rsidRDefault="00D220B3" w:rsidP="00D220B3">
      <w:pPr>
        <w:tabs>
          <w:tab w:val="left" w:pos="142"/>
          <w:tab w:val="left" w:pos="284"/>
          <w:tab w:val="left" w:pos="709"/>
        </w:tabs>
        <w:spacing w:before="240" w:after="240" w:line="360" w:lineRule="auto"/>
        <w:ind w:left="567" w:right="567"/>
        <w:jc w:val="both"/>
        <w:rPr>
          <w:rFonts w:ascii="Palatino Linotype" w:hAnsi="Palatino Linotype"/>
          <w:i/>
        </w:rPr>
      </w:pPr>
      <w:r w:rsidRPr="00780937">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rsidR="00D220B3" w:rsidRPr="00780937" w:rsidRDefault="00D220B3" w:rsidP="00D220B3">
      <w:pPr>
        <w:tabs>
          <w:tab w:val="left" w:pos="142"/>
          <w:tab w:val="left" w:pos="284"/>
          <w:tab w:val="left" w:pos="709"/>
        </w:tabs>
        <w:spacing w:before="240" w:after="240" w:line="360" w:lineRule="auto"/>
        <w:ind w:left="567" w:right="567"/>
        <w:jc w:val="both"/>
        <w:rPr>
          <w:rFonts w:ascii="Palatino Linotype" w:hAnsi="Palatino Linotype"/>
          <w:i/>
        </w:rPr>
      </w:pPr>
      <w:r w:rsidRPr="00780937">
        <w:rPr>
          <w:rFonts w:ascii="Palatino Linotype" w:hAnsi="Palatino Linotype"/>
          <w:i/>
        </w:rPr>
        <w:t>(…)”</w:t>
      </w:r>
    </w:p>
    <w:p w:rsidR="00D220B3" w:rsidRPr="00780937" w:rsidRDefault="00D220B3" w:rsidP="00D220B3">
      <w:pPr>
        <w:pStyle w:val="Prrafodelista"/>
        <w:numPr>
          <w:ilvl w:val="0"/>
          <w:numId w:val="1"/>
        </w:numPr>
        <w:spacing w:line="360" w:lineRule="auto"/>
        <w:ind w:left="0" w:firstLine="0"/>
        <w:jc w:val="both"/>
        <w:rPr>
          <w:rFonts w:ascii="Palatino Linotype" w:hAnsi="Palatino Linotype"/>
        </w:rPr>
      </w:pPr>
      <w:r w:rsidRPr="00780937">
        <w:rPr>
          <w:rFonts w:ascii="Palatino Linotype" w:hAnsi="Palatino Linotype"/>
        </w:rPr>
        <w:t xml:space="preserve">Es necesario resaltar que dados los planteamientos del solicitante, se dará vista al área competente para que en ejercicio de sus atribuciones realice las investigaciones pertinentes por las omisiones detectadas atribuibles al </w:t>
      </w:r>
      <w:r w:rsidRPr="00780937">
        <w:rPr>
          <w:rFonts w:ascii="Palatino Linotype" w:hAnsi="Palatino Linotype"/>
          <w:b/>
        </w:rPr>
        <w:t>SUJETO OBLIGADO</w:t>
      </w:r>
      <w:r w:rsidRPr="00780937">
        <w:rPr>
          <w:rFonts w:ascii="Palatino Linotype" w:hAnsi="Palatino Linotype"/>
        </w:rPr>
        <w:t>, esto debido  a no tener información curricular de los servidores públicos en su portal de Información Pública de Oficio  Mexiquense (IPOMEX).</w:t>
      </w:r>
    </w:p>
    <w:p w:rsidR="00D220B3" w:rsidRPr="00780937" w:rsidRDefault="00D220B3" w:rsidP="00D220B3">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EF7AC9" w:rsidRPr="00780937" w:rsidRDefault="00EF7AC9" w:rsidP="00D220B3">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C00029" w:rsidRPr="00780937" w:rsidRDefault="00D220B3" w:rsidP="00C00029">
      <w:pPr>
        <w:keepNext/>
        <w:keepLines/>
        <w:spacing w:before="240" w:after="0"/>
        <w:outlineLvl w:val="0"/>
        <w:rPr>
          <w:rFonts w:ascii="Palatino Linotype" w:eastAsia="MS Gothic" w:hAnsi="Palatino Linotype" w:cstheme="majorBidi"/>
          <w:b/>
          <w:sz w:val="24"/>
          <w:szCs w:val="24"/>
        </w:rPr>
      </w:pPr>
      <w:bookmarkStart w:id="73" w:name="_Toc74766908"/>
      <w:r w:rsidRPr="00780937">
        <w:rPr>
          <w:rFonts w:ascii="Palatino Linotype" w:eastAsia="MS Gothic" w:hAnsi="Palatino Linotype" w:cstheme="majorBidi"/>
          <w:b/>
          <w:sz w:val="24"/>
          <w:szCs w:val="24"/>
        </w:rPr>
        <w:lastRenderedPageBreak/>
        <w:t>DÉCIMO</w:t>
      </w:r>
      <w:r w:rsidR="00C00029" w:rsidRPr="00780937">
        <w:rPr>
          <w:rFonts w:ascii="Palatino Linotype" w:eastAsia="MS Gothic" w:hAnsi="Palatino Linotype" w:cstheme="majorBidi"/>
          <w:b/>
          <w:sz w:val="24"/>
          <w:szCs w:val="24"/>
        </w:rPr>
        <w:t>. De la Decisión</w:t>
      </w:r>
      <w:bookmarkEnd w:id="73"/>
      <w:r w:rsidR="00C00029" w:rsidRPr="00780937">
        <w:rPr>
          <w:rFonts w:ascii="Palatino Linotype" w:eastAsia="MS Gothic" w:hAnsi="Palatino Linotype" w:cstheme="majorBidi"/>
          <w:b/>
          <w:sz w:val="24"/>
          <w:szCs w:val="24"/>
        </w:rPr>
        <w:t xml:space="preserve"> </w:t>
      </w:r>
    </w:p>
    <w:p w:rsidR="00C00029" w:rsidRPr="00780937" w:rsidRDefault="00C00029" w:rsidP="00C00029">
      <w:pPr>
        <w:spacing w:after="0" w:line="240" w:lineRule="auto"/>
        <w:contextualSpacing/>
        <w:rPr>
          <w:rFonts w:ascii="Palatino Linotype" w:eastAsia="Times New Roman" w:hAnsi="Palatino Linotype" w:cs="Arial"/>
          <w:sz w:val="24"/>
          <w:szCs w:val="24"/>
          <w:lang w:val="es-ES_tradnl" w:eastAsia="es-ES"/>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hAnsi="Palatino Linotype" w:cs="Arial"/>
        </w:rPr>
      </w:pPr>
      <w:r w:rsidRPr="00780937">
        <w:rPr>
          <w:rFonts w:ascii="Palatino Linotype" w:hAnsi="Palatino Linotype"/>
        </w:rPr>
        <w:t>No se atendió ninguno de los deberes establecidos por la norma para la atención de las solicitud lo que implica un incumplimiento al deber de atender las solicitudes y en consecuencia una afectación al Derecho de acceso a la información pública.</w:t>
      </w:r>
    </w:p>
    <w:p w:rsidR="00C00029" w:rsidRPr="00780937" w:rsidRDefault="00C00029" w:rsidP="00C00029">
      <w:pPr>
        <w:pStyle w:val="Prrafodelista"/>
        <w:spacing w:before="240" w:after="240" w:line="360" w:lineRule="auto"/>
        <w:ind w:left="0"/>
        <w:jc w:val="both"/>
        <w:rPr>
          <w:rFonts w:ascii="Palatino Linotype" w:hAnsi="Palatino Linotype" w:cs="Arial"/>
        </w:rPr>
      </w:pPr>
    </w:p>
    <w:p w:rsidR="00C00029" w:rsidRPr="00780937" w:rsidRDefault="00C00029" w:rsidP="00C00029">
      <w:pPr>
        <w:pStyle w:val="Prrafodelista"/>
        <w:numPr>
          <w:ilvl w:val="0"/>
          <w:numId w:val="1"/>
        </w:numPr>
        <w:spacing w:before="240" w:after="240" w:line="360" w:lineRule="auto"/>
        <w:ind w:left="0" w:firstLine="0"/>
        <w:jc w:val="both"/>
        <w:rPr>
          <w:rFonts w:ascii="Palatino Linotype" w:hAnsi="Palatino Linotype" w:cs="Arial"/>
        </w:rPr>
      </w:pPr>
      <w:r w:rsidRPr="00780937">
        <w:rPr>
          <w:rFonts w:ascii="Palatino Linotype" w:hAnsi="Palatino Linotype"/>
        </w:rPr>
        <w:t xml:space="preserve"> Por otro lado, se dará vista al Órgano de Control Interno por el incumplimiento para atender la solicitud de acceso a la información pública; asimismo, se </w:t>
      </w:r>
      <w:r w:rsidRPr="00780937">
        <w:rPr>
          <w:rFonts w:ascii="Palatino Linotype" w:eastAsia="MS Gothic" w:hAnsi="Palatino Linotype" w:cs="Times New Roman"/>
          <w:szCs w:val="26"/>
        </w:rPr>
        <w:t xml:space="preserve">hará del conocimiento de la Dirección General Protección de Datos Personales de este Instituto de las infracciones en que el </w:t>
      </w:r>
      <w:r w:rsidRPr="00780937">
        <w:rPr>
          <w:rFonts w:ascii="Palatino Linotype" w:eastAsia="MS Gothic" w:hAnsi="Palatino Linotype" w:cs="Times New Roman"/>
          <w:b/>
          <w:szCs w:val="26"/>
        </w:rPr>
        <w:t>SUJETO OBLIGADO</w:t>
      </w:r>
      <w:r w:rsidRPr="00780937">
        <w:rPr>
          <w:rFonts w:ascii="Palatino Linotype" w:eastAsia="MS Gothic" w:hAnsi="Palatino Linotype" w:cs="Times New Roman"/>
          <w:szCs w:val="26"/>
        </w:rPr>
        <w:t xml:space="preserve"> incurrió, por dejar visibles datos confidenciales mediante el informe justificado.</w:t>
      </w:r>
    </w:p>
    <w:p w:rsidR="00C00029" w:rsidRPr="00780937" w:rsidRDefault="00C00029" w:rsidP="00C00029">
      <w:pPr>
        <w:pStyle w:val="Prrafodelista"/>
        <w:rPr>
          <w:rFonts w:ascii="Palatino Linotype" w:hAnsi="Palatino Linotype"/>
        </w:rPr>
      </w:pPr>
    </w:p>
    <w:p w:rsidR="00C00029" w:rsidRPr="00780937" w:rsidRDefault="00C00029" w:rsidP="00C00029">
      <w:pPr>
        <w:pStyle w:val="Prrafodelista"/>
        <w:numPr>
          <w:ilvl w:val="0"/>
          <w:numId w:val="1"/>
        </w:numPr>
        <w:spacing w:line="360" w:lineRule="auto"/>
        <w:ind w:left="0" w:firstLine="0"/>
        <w:jc w:val="both"/>
        <w:rPr>
          <w:rFonts w:ascii="Palatino Linotype" w:hAnsi="Palatino Linotype"/>
        </w:rPr>
      </w:pPr>
      <w:r w:rsidRPr="0078093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80937">
        <w:rPr>
          <w:rFonts w:ascii="Palatino Linotype" w:hAnsi="Palatino Linotype"/>
          <w:b/>
        </w:rPr>
        <w:t>ORDENAR,</w:t>
      </w:r>
      <w:r w:rsidRPr="00780937">
        <w:rPr>
          <w:rFonts w:ascii="Palatino Linotype" w:hAnsi="Palatino Linotype"/>
        </w:rPr>
        <w:t xml:space="preserve"> al Sujeto Obligado, la entrega en versión pública de los currículum</w:t>
      </w:r>
      <w:r w:rsidR="00EF7AC9" w:rsidRPr="00780937">
        <w:rPr>
          <w:rFonts w:ascii="Palatino Linotype" w:hAnsi="Palatino Linotype"/>
        </w:rPr>
        <w:t>s</w:t>
      </w:r>
      <w:r w:rsidRPr="00780937">
        <w:rPr>
          <w:rFonts w:ascii="Palatino Linotype" w:hAnsi="Palatino Linotype"/>
        </w:rPr>
        <w:t xml:space="preserve"> vitae de los mandos medios y superiores de la actual administración.</w:t>
      </w:r>
    </w:p>
    <w:p w:rsidR="00C00029" w:rsidRPr="00780937" w:rsidRDefault="00C00029" w:rsidP="00C00029">
      <w:pPr>
        <w:pStyle w:val="Prrafodelista"/>
        <w:spacing w:line="360" w:lineRule="auto"/>
        <w:ind w:left="0"/>
        <w:jc w:val="both"/>
        <w:rPr>
          <w:rFonts w:ascii="Palatino Linotype" w:hAnsi="Palatino Linotype"/>
        </w:rPr>
      </w:pPr>
    </w:p>
    <w:p w:rsidR="00C00029" w:rsidRPr="00780937" w:rsidRDefault="00C00029" w:rsidP="00C00029">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780937">
        <w:rPr>
          <w:rFonts w:ascii="Palatino Linotype" w:eastAsia="Times New Roman" w:hAnsi="Palatino Linotype" w:cs="Arial"/>
          <w:sz w:val="24"/>
          <w:szCs w:val="24"/>
          <w:lang w:val="es-ES_tradnl" w:eastAsia="es-ES"/>
        </w:rPr>
        <w:t xml:space="preserve">Por lo anteriormente expuesto y fundado, este </w:t>
      </w:r>
      <w:r w:rsidRPr="00780937">
        <w:rPr>
          <w:rFonts w:ascii="Palatino Linotype" w:eastAsia="Times New Roman" w:hAnsi="Palatino Linotype" w:cs="Arial"/>
          <w:b/>
          <w:sz w:val="24"/>
          <w:szCs w:val="24"/>
          <w:lang w:val="es-ES_tradnl" w:eastAsia="es-ES"/>
        </w:rPr>
        <w:t>ÓRGANO GARANTE</w:t>
      </w:r>
      <w:r w:rsidRPr="00780937">
        <w:rPr>
          <w:rFonts w:ascii="Palatino Linotype" w:eastAsia="Times New Roman" w:hAnsi="Palatino Linotype" w:cs="Arial"/>
          <w:sz w:val="24"/>
          <w:szCs w:val="24"/>
          <w:lang w:val="es-ES_tradnl" w:eastAsia="es-ES"/>
        </w:rPr>
        <w:t xml:space="preserve"> emite los siguientes:</w:t>
      </w:r>
    </w:p>
    <w:p w:rsidR="00EF7AC9" w:rsidRPr="00780937" w:rsidRDefault="00EF7AC9" w:rsidP="00EF7AC9">
      <w:pPr>
        <w:pStyle w:val="Prrafodelista"/>
        <w:rPr>
          <w:rFonts w:ascii="Palatino Linotype" w:eastAsia="MS Mincho" w:hAnsi="Palatino Linotype" w:cstheme="majorBidi"/>
        </w:rPr>
      </w:pPr>
    </w:p>
    <w:p w:rsidR="00EF7AC9" w:rsidRPr="00780937" w:rsidRDefault="00EF7AC9" w:rsidP="00EF7AC9">
      <w:pPr>
        <w:spacing w:after="120" w:line="360" w:lineRule="auto"/>
        <w:ind w:left="360" w:right="49"/>
        <w:jc w:val="both"/>
        <w:rPr>
          <w:rFonts w:ascii="Palatino Linotype" w:eastAsia="MS Mincho" w:hAnsi="Palatino Linotype" w:cstheme="majorBidi"/>
          <w:sz w:val="24"/>
          <w:szCs w:val="24"/>
          <w:lang w:val="es-ES_tradnl" w:eastAsia="es-ES"/>
        </w:rPr>
      </w:pPr>
    </w:p>
    <w:p w:rsidR="00C00029" w:rsidRPr="00780937" w:rsidRDefault="00C00029" w:rsidP="00C0002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74" w:name="_Toc524344198"/>
      <w:bookmarkStart w:id="75" w:name="_Toc526271203"/>
      <w:bookmarkStart w:id="76" w:name="_Toc536106982"/>
      <w:bookmarkStart w:id="77" w:name="_Toc74766909"/>
      <w:r w:rsidRPr="00780937">
        <w:rPr>
          <w:rFonts w:ascii="Palatino Linotype" w:eastAsia="Calibri" w:hAnsi="Palatino Linotype" w:cstheme="majorBidi"/>
          <w:b/>
          <w:sz w:val="24"/>
          <w:szCs w:val="24"/>
          <w:lang w:val="es-ES" w:eastAsia="es-ES"/>
        </w:rPr>
        <w:lastRenderedPageBreak/>
        <w:t>R E S O L U T I V O S</w:t>
      </w:r>
      <w:bookmarkEnd w:id="74"/>
      <w:bookmarkEnd w:id="75"/>
      <w:bookmarkEnd w:id="76"/>
      <w:bookmarkEnd w:id="77"/>
      <w:r w:rsidRPr="00780937">
        <w:rPr>
          <w:rFonts w:ascii="Palatino Linotype" w:eastAsia="Calibri" w:hAnsi="Palatino Linotype" w:cstheme="majorBidi"/>
          <w:b/>
          <w:sz w:val="24"/>
          <w:szCs w:val="24"/>
          <w:lang w:val="es-ES" w:eastAsia="es-ES"/>
        </w:rPr>
        <w:t xml:space="preserve"> </w:t>
      </w:r>
    </w:p>
    <w:p w:rsidR="00C00029" w:rsidRPr="00780937" w:rsidRDefault="00C00029" w:rsidP="00C00029">
      <w:pPr>
        <w:spacing w:after="0" w:line="240" w:lineRule="auto"/>
        <w:rPr>
          <w:rFonts w:eastAsiaTheme="minorEastAsia"/>
          <w:sz w:val="24"/>
          <w:szCs w:val="24"/>
          <w:lang w:val="es-ES" w:eastAsia="es-ES"/>
        </w:rPr>
      </w:pPr>
    </w:p>
    <w:p w:rsidR="00C00029" w:rsidRPr="00780937" w:rsidRDefault="00C00029" w:rsidP="00C00029">
      <w:pPr>
        <w:spacing w:after="0" w:line="360" w:lineRule="auto"/>
        <w:jc w:val="both"/>
        <w:rPr>
          <w:rFonts w:ascii="Palatino Linotype" w:eastAsiaTheme="minorEastAsia" w:hAnsi="Palatino Linotype" w:cs="Arial"/>
          <w:bCs/>
          <w:sz w:val="24"/>
          <w:szCs w:val="24"/>
          <w:lang w:val="es-ES_tradnl" w:eastAsia="es-MX"/>
        </w:rPr>
      </w:pPr>
      <w:r w:rsidRPr="00780937">
        <w:rPr>
          <w:rFonts w:ascii="Palatino Linotype" w:eastAsia="Times New Roman" w:hAnsi="Palatino Linotype" w:cs="Arial"/>
          <w:b/>
          <w:sz w:val="24"/>
          <w:szCs w:val="24"/>
          <w:lang w:val="es-ES_tradnl" w:eastAsia="es-ES"/>
        </w:rPr>
        <w:t xml:space="preserve">PRIMERO. </w:t>
      </w:r>
      <w:r w:rsidRPr="00780937">
        <w:rPr>
          <w:rFonts w:ascii="Palatino Linotype" w:eastAsia="Times New Roman" w:hAnsi="Palatino Linotype" w:cs="Arial"/>
          <w:sz w:val="24"/>
          <w:szCs w:val="24"/>
          <w:lang w:val="es-ES_tradnl" w:eastAsia="es-ES"/>
        </w:rPr>
        <w:t>Resultan fundadas las</w:t>
      </w:r>
      <w:r w:rsidRPr="00780937">
        <w:rPr>
          <w:rFonts w:ascii="Palatino Linotype" w:eastAsia="Times New Roman" w:hAnsi="Palatino Linotype" w:cs="Arial"/>
          <w:b/>
          <w:sz w:val="24"/>
          <w:szCs w:val="24"/>
          <w:lang w:val="es-ES_tradnl" w:eastAsia="es-ES"/>
        </w:rPr>
        <w:t xml:space="preserve"> </w:t>
      </w:r>
      <w:r w:rsidRPr="00780937">
        <w:rPr>
          <w:rFonts w:ascii="Palatino Linotype" w:eastAsia="Times New Roman" w:hAnsi="Palatino Linotype" w:cs="Arial"/>
          <w:sz w:val="24"/>
          <w:szCs w:val="24"/>
          <w:lang w:val="es-ES" w:eastAsia="es-ES"/>
        </w:rPr>
        <w:t xml:space="preserve">razones y motivos de inconformidad hechos valer en el recurso de revisión </w:t>
      </w:r>
      <w:r w:rsidRPr="00780937">
        <w:rPr>
          <w:rFonts w:ascii="Palatino Linotype" w:eastAsia="Times New Roman" w:hAnsi="Palatino Linotype" w:cs="Arial"/>
          <w:b/>
          <w:bCs/>
          <w:sz w:val="24"/>
          <w:szCs w:val="24"/>
          <w:lang w:val="es-ES_tradnl" w:eastAsia="es-ES"/>
        </w:rPr>
        <w:t xml:space="preserve">02068/INFOEM/IP/RR/2021, </w:t>
      </w:r>
      <w:r w:rsidRPr="00780937">
        <w:rPr>
          <w:rFonts w:ascii="Palatino Linotype" w:eastAsiaTheme="minorEastAsia" w:hAnsi="Palatino Linotype" w:cs="Arial"/>
          <w:bCs/>
          <w:sz w:val="24"/>
          <w:szCs w:val="24"/>
          <w:lang w:val="es-ES_tradnl" w:eastAsia="es-MX"/>
        </w:rPr>
        <w:t xml:space="preserve">en términos del </w:t>
      </w:r>
      <w:r w:rsidRPr="00780937">
        <w:rPr>
          <w:rFonts w:ascii="Palatino Linotype" w:eastAsiaTheme="minorEastAsia" w:hAnsi="Palatino Linotype" w:cs="Arial"/>
          <w:b/>
          <w:bCs/>
          <w:sz w:val="24"/>
          <w:szCs w:val="24"/>
          <w:lang w:val="es-ES_tradnl" w:eastAsia="es-MX"/>
        </w:rPr>
        <w:t xml:space="preserve">Considerando QUINTO </w:t>
      </w:r>
      <w:r w:rsidRPr="00780937">
        <w:rPr>
          <w:rFonts w:ascii="Palatino Linotype" w:eastAsiaTheme="minorEastAsia" w:hAnsi="Palatino Linotype" w:cs="Arial"/>
          <w:bCs/>
          <w:sz w:val="24"/>
          <w:szCs w:val="24"/>
          <w:lang w:val="es-ES_tradnl" w:eastAsia="es-MX"/>
        </w:rPr>
        <w:t>de la presente resolución.</w:t>
      </w:r>
    </w:p>
    <w:p w:rsidR="00C00029" w:rsidRPr="00780937" w:rsidRDefault="00C00029" w:rsidP="00C00029">
      <w:pPr>
        <w:spacing w:after="0" w:line="360" w:lineRule="auto"/>
        <w:jc w:val="both"/>
        <w:rPr>
          <w:rFonts w:ascii="Palatino Linotype" w:eastAsiaTheme="minorEastAsia" w:hAnsi="Palatino Linotype" w:cs="Arial"/>
          <w:bCs/>
          <w:sz w:val="24"/>
          <w:szCs w:val="24"/>
          <w:lang w:val="es-ES_tradnl" w:eastAsia="es-MX"/>
        </w:rPr>
      </w:pPr>
    </w:p>
    <w:p w:rsidR="00C00029" w:rsidRPr="00780937" w:rsidRDefault="00C00029" w:rsidP="00C00029">
      <w:pPr>
        <w:spacing w:before="240" w:after="240" w:line="360" w:lineRule="auto"/>
        <w:jc w:val="both"/>
        <w:rPr>
          <w:rFonts w:ascii="Palatino Linotype" w:eastAsia="Calibri" w:hAnsi="Palatino Linotype" w:cs="Arial"/>
          <w:sz w:val="24"/>
          <w:lang w:val="es-ES"/>
        </w:rPr>
      </w:pPr>
      <w:r w:rsidRPr="00780937">
        <w:rPr>
          <w:rFonts w:ascii="Palatino Linotype" w:eastAsia="MS Mincho" w:hAnsi="Palatino Linotype"/>
          <w:b/>
          <w:bCs/>
          <w:sz w:val="24"/>
          <w:lang w:val="es-ES"/>
        </w:rPr>
        <w:t xml:space="preserve">SEGUNDO. </w:t>
      </w:r>
      <w:r w:rsidRPr="00780937">
        <w:rPr>
          <w:rFonts w:ascii="Palatino Linotype" w:eastAsia="Calibri" w:hAnsi="Palatino Linotype" w:cs="Arial"/>
          <w:sz w:val="24"/>
          <w:lang w:val="es-ES"/>
        </w:rPr>
        <w:t>Se</w:t>
      </w:r>
      <w:r w:rsidRPr="00780937">
        <w:rPr>
          <w:rFonts w:ascii="Palatino Linotype" w:eastAsia="Calibri" w:hAnsi="Palatino Linotype" w:cs="Arial"/>
          <w:b/>
          <w:sz w:val="24"/>
          <w:lang w:val="es-ES"/>
        </w:rPr>
        <w:t xml:space="preserve"> ORDENA </w:t>
      </w:r>
      <w:r w:rsidRPr="00780937">
        <w:rPr>
          <w:rFonts w:ascii="Palatino Linotype" w:eastAsia="Calibri" w:hAnsi="Palatino Linotype" w:cs="Arial"/>
          <w:sz w:val="24"/>
          <w:lang w:val="es-ES"/>
        </w:rPr>
        <w:t>al</w:t>
      </w:r>
      <w:r w:rsidRPr="00780937">
        <w:rPr>
          <w:rFonts w:ascii="Palatino Linotype" w:eastAsia="Calibri" w:hAnsi="Palatino Linotype" w:cs="Arial"/>
          <w:b/>
          <w:sz w:val="24"/>
          <w:lang w:val="es-ES"/>
        </w:rPr>
        <w:t xml:space="preserve"> </w:t>
      </w:r>
      <w:r w:rsidRPr="00780937">
        <w:rPr>
          <w:rFonts w:ascii="Palatino Linotype" w:hAnsi="Palatino Linotype"/>
          <w:b/>
          <w:bCs/>
          <w:sz w:val="24"/>
        </w:rPr>
        <w:t>Ayuntamiento de Ixtapan del Oro</w:t>
      </w:r>
      <w:r w:rsidRPr="00780937">
        <w:rPr>
          <w:rFonts w:ascii="Palatino Linotype" w:hAnsi="Palatino Linotype" w:cs="Arial"/>
          <w:sz w:val="24"/>
          <w:lang w:val="es-ES"/>
        </w:rPr>
        <w:t xml:space="preserve"> </w:t>
      </w:r>
      <w:r w:rsidRPr="00780937">
        <w:rPr>
          <w:rFonts w:ascii="Palatino Linotype" w:eastAsia="Calibri" w:hAnsi="Palatino Linotype" w:cs="Arial"/>
          <w:sz w:val="24"/>
          <w:lang w:val="es-ES"/>
        </w:rPr>
        <w:t xml:space="preserve">entregar vía Sistema de Acceso a Información Mexiquense </w:t>
      </w:r>
      <w:r w:rsidRPr="00780937">
        <w:rPr>
          <w:rFonts w:ascii="Palatino Linotype" w:eastAsia="Calibri" w:hAnsi="Palatino Linotype" w:cs="Arial"/>
          <w:b/>
          <w:sz w:val="24"/>
          <w:lang w:val="es-ES"/>
        </w:rPr>
        <w:t>(SAIMEX)</w:t>
      </w:r>
      <w:r w:rsidRPr="00780937">
        <w:rPr>
          <w:rFonts w:ascii="Palatino Linotype" w:eastAsia="Calibri" w:hAnsi="Palatino Linotype" w:cs="Arial"/>
          <w:sz w:val="24"/>
          <w:lang w:val="es-ES"/>
        </w:rPr>
        <w:t xml:space="preserve">, en versión pública, la siguiente información: </w:t>
      </w:r>
    </w:p>
    <w:p w:rsidR="00C00029" w:rsidRPr="00780937" w:rsidRDefault="00C00029" w:rsidP="00C00029">
      <w:pPr>
        <w:pStyle w:val="Ttulo1"/>
        <w:spacing w:line="360" w:lineRule="auto"/>
        <w:ind w:left="851" w:right="567"/>
        <w:rPr>
          <w:rFonts w:ascii="Palatino Linotype" w:hAnsi="Palatino Linotype"/>
          <w:b/>
          <w:color w:val="auto"/>
          <w:sz w:val="24"/>
        </w:rPr>
      </w:pPr>
      <w:bookmarkStart w:id="78" w:name="_Toc74766910"/>
      <w:r w:rsidRPr="00780937">
        <w:rPr>
          <w:rFonts w:ascii="Palatino Linotype" w:hAnsi="Palatino Linotype"/>
          <w:b/>
          <w:color w:val="auto"/>
          <w:sz w:val="24"/>
        </w:rPr>
        <w:t>a). Currículum</w:t>
      </w:r>
      <w:r w:rsidR="00E82A26" w:rsidRPr="00780937">
        <w:rPr>
          <w:rFonts w:ascii="Palatino Linotype" w:hAnsi="Palatino Linotype"/>
          <w:b/>
          <w:color w:val="auto"/>
          <w:sz w:val="24"/>
        </w:rPr>
        <w:t>s</w:t>
      </w:r>
      <w:r w:rsidRPr="00780937">
        <w:rPr>
          <w:rFonts w:ascii="Palatino Linotype" w:hAnsi="Palatino Linotype"/>
          <w:b/>
          <w:color w:val="auto"/>
          <w:sz w:val="24"/>
        </w:rPr>
        <w:t xml:space="preserve"> vitae de los mandos y superiores de la actual administración del Municipio de Ixtapan del Oro.</w:t>
      </w:r>
      <w:bookmarkEnd w:id="78"/>
    </w:p>
    <w:p w:rsidR="00C00029" w:rsidRPr="00780937" w:rsidRDefault="00C00029" w:rsidP="00C00029"/>
    <w:p w:rsidR="00C00029" w:rsidRPr="00780937" w:rsidRDefault="00C00029" w:rsidP="00C00029">
      <w:pPr>
        <w:spacing w:line="360" w:lineRule="auto"/>
        <w:jc w:val="both"/>
        <w:rPr>
          <w:rFonts w:ascii="Palatino Linotype" w:eastAsia="Calibri" w:hAnsi="Palatino Linotype" w:cs="Arial"/>
          <w:sz w:val="24"/>
          <w:lang w:val="es-ES"/>
        </w:rPr>
      </w:pPr>
      <w:r w:rsidRPr="0078093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C00029" w:rsidRPr="00780937" w:rsidRDefault="00C00029" w:rsidP="00C00029">
      <w:pPr>
        <w:spacing w:after="0" w:line="360" w:lineRule="auto"/>
        <w:jc w:val="both"/>
        <w:rPr>
          <w:rFonts w:ascii="Palatino Linotype" w:eastAsia="Calibri" w:hAnsi="Palatino Linotype" w:cs="Arial"/>
          <w:sz w:val="24"/>
          <w:szCs w:val="24"/>
          <w:lang w:val="es-ES" w:eastAsia="es-ES"/>
        </w:rPr>
      </w:pPr>
    </w:p>
    <w:p w:rsidR="00C00029" w:rsidRPr="00780937" w:rsidRDefault="00C00029" w:rsidP="00C00029">
      <w:pPr>
        <w:shd w:val="clear" w:color="auto" w:fill="FFFFFF"/>
        <w:spacing w:line="360" w:lineRule="auto"/>
        <w:jc w:val="both"/>
        <w:rPr>
          <w:rFonts w:ascii="Palatino Linotype" w:eastAsia="MS Mincho" w:hAnsi="Palatino Linotype"/>
          <w:color w:val="FF0000"/>
          <w:sz w:val="24"/>
          <w:lang w:val="es-ES"/>
        </w:rPr>
      </w:pPr>
      <w:r w:rsidRPr="00780937">
        <w:rPr>
          <w:rFonts w:ascii="Palatino Linotype" w:eastAsia="MS Mincho" w:hAnsi="Palatino Linotype"/>
          <w:b/>
          <w:sz w:val="24"/>
        </w:rPr>
        <w:t xml:space="preserve">TERCERO. </w:t>
      </w:r>
      <w:r w:rsidRPr="00780937">
        <w:rPr>
          <w:rFonts w:ascii="Palatino Linotype" w:eastAsia="Palatino Linotype" w:hAnsi="Palatino Linotype" w:cs="Palatino Linotype"/>
          <w:b/>
          <w:sz w:val="24"/>
        </w:rPr>
        <w:t xml:space="preserve">Notifíquese </w:t>
      </w:r>
      <w:r w:rsidRPr="00780937">
        <w:rPr>
          <w:rFonts w:ascii="Palatino Linotype" w:eastAsia="Palatino Linotype" w:hAnsi="Palatino Linotype" w:cs="Palatino Linotype"/>
          <w:sz w:val="24"/>
        </w:rPr>
        <w:t xml:space="preserve">al Titular de la Unidad de Transparencia del </w:t>
      </w:r>
      <w:r w:rsidRPr="00780937">
        <w:rPr>
          <w:rFonts w:ascii="Palatino Linotype" w:eastAsia="Palatino Linotype" w:hAnsi="Palatino Linotype" w:cs="Palatino Linotype"/>
          <w:b/>
          <w:sz w:val="24"/>
        </w:rPr>
        <w:t>SUJETO OBLIGADO</w:t>
      </w:r>
      <w:r w:rsidRPr="00780937">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780937">
        <w:rPr>
          <w:rFonts w:ascii="Palatino Linotype" w:hAnsi="Palatino Linotype"/>
          <w:color w:val="222222"/>
          <w:sz w:val="24"/>
          <w:shd w:val="clear" w:color="auto" w:fill="FFFFFF"/>
        </w:rPr>
        <w:t xml:space="preserve">vigente, dé cumplimiento a lo ordenado dentro del </w:t>
      </w:r>
      <w:r w:rsidRPr="00780937">
        <w:rPr>
          <w:rFonts w:ascii="Palatino Linotype" w:hAnsi="Palatino Linotype"/>
          <w:color w:val="222222"/>
          <w:sz w:val="24"/>
          <w:shd w:val="clear" w:color="auto" w:fill="FFFFFF"/>
        </w:rPr>
        <w:lastRenderedPageBreak/>
        <w:t>plazo de diez días hábiles, debiendo rendir a este Instituto el informe de cumplimiento de la resolución en un plazo de tres días hábiles posteriores.</w:t>
      </w:r>
    </w:p>
    <w:p w:rsidR="00C00029" w:rsidRPr="00780937" w:rsidRDefault="00C00029" w:rsidP="00C00029">
      <w:pPr>
        <w:shd w:val="clear" w:color="auto" w:fill="FFFFFF"/>
        <w:spacing w:line="360" w:lineRule="auto"/>
        <w:jc w:val="both"/>
        <w:rPr>
          <w:rFonts w:ascii="Palatino Linotype" w:eastAsia="MS Mincho" w:hAnsi="Palatino Linotype"/>
          <w:sz w:val="24"/>
          <w:lang w:val="es-ES"/>
        </w:rPr>
      </w:pPr>
      <w:r w:rsidRPr="00780937">
        <w:rPr>
          <w:rFonts w:ascii="Palatino Linotype" w:eastAsia="MS Mincho" w:hAnsi="Palatino Linotype"/>
          <w:b/>
          <w:sz w:val="24"/>
        </w:rPr>
        <w:t>CUARTO.</w:t>
      </w:r>
      <w:r w:rsidRPr="00780937">
        <w:rPr>
          <w:rFonts w:ascii="Palatino Linotype" w:eastAsia="MS Mincho" w:hAnsi="Palatino Linotype"/>
          <w:sz w:val="24"/>
        </w:rPr>
        <w:t xml:space="preserve"> </w:t>
      </w:r>
      <w:r w:rsidRPr="00780937">
        <w:rPr>
          <w:rFonts w:ascii="Palatino Linotype" w:hAnsi="Palatino Linotype"/>
          <w:bCs/>
          <w:color w:val="222222"/>
          <w:sz w:val="24"/>
          <w:lang w:val="es-ES"/>
        </w:rPr>
        <w:t>Notifíquese</w:t>
      </w:r>
      <w:r w:rsidRPr="00780937">
        <w:rPr>
          <w:rFonts w:ascii="Palatino Linotype" w:hAnsi="Palatino Linotype"/>
          <w:b/>
          <w:bCs/>
          <w:color w:val="222222"/>
          <w:sz w:val="24"/>
          <w:lang w:val="es-ES"/>
        </w:rPr>
        <w:t xml:space="preserve"> a</w:t>
      </w:r>
      <w:r w:rsidRPr="00780937">
        <w:rPr>
          <w:rFonts w:ascii="Palatino Linotype" w:hAnsi="Palatino Linotype"/>
          <w:b/>
          <w:sz w:val="24"/>
        </w:rPr>
        <w:t xml:space="preserve"> </w:t>
      </w:r>
      <w:r w:rsidR="000F2B11">
        <w:rPr>
          <w:rFonts w:ascii="Palatino Linotype" w:hAnsi="Palatino Linotype"/>
          <w:b/>
          <w:sz w:val="24"/>
        </w:rPr>
        <w:t>xxxxxxxxxxxxxxx</w:t>
      </w:r>
      <w:r w:rsidRPr="00780937">
        <w:rPr>
          <w:rFonts w:ascii="Palatino Linotype" w:hAnsi="Palatino Linotype"/>
          <w:sz w:val="24"/>
        </w:rPr>
        <w:t xml:space="preserve"> la presente resolución.</w:t>
      </w:r>
    </w:p>
    <w:p w:rsidR="00C00029" w:rsidRPr="00780937" w:rsidRDefault="00C00029" w:rsidP="00C00029">
      <w:pPr>
        <w:shd w:val="clear" w:color="auto" w:fill="FFFFFF"/>
        <w:spacing w:before="240" w:after="360" w:line="360" w:lineRule="auto"/>
        <w:jc w:val="both"/>
        <w:rPr>
          <w:rFonts w:ascii="Palatino Linotype" w:eastAsia="MS Mincho" w:hAnsi="Palatino Linotype"/>
          <w:sz w:val="24"/>
          <w:lang w:val="es-ES"/>
        </w:rPr>
      </w:pPr>
      <w:r w:rsidRPr="00780937">
        <w:rPr>
          <w:rFonts w:ascii="Palatino Linotype" w:hAnsi="Palatino Linotype"/>
          <w:b/>
          <w:sz w:val="24"/>
        </w:rPr>
        <w:t xml:space="preserve">QUINTO. </w:t>
      </w:r>
      <w:r w:rsidRPr="00780937">
        <w:rPr>
          <w:rFonts w:ascii="Palatino Linotype" w:eastAsia="MS Mincho" w:hAnsi="Palatino Linotype"/>
          <w:sz w:val="24"/>
          <w:lang w:val="es-ES"/>
        </w:rPr>
        <w:t xml:space="preserve">Se hace del conocimiento de </w:t>
      </w:r>
      <w:r w:rsidR="000F2B11">
        <w:rPr>
          <w:rFonts w:ascii="Palatino Linotype" w:hAnsi="Palatino Linotype"/>
          <w:b/>
          <w:sz w:val="24"/>
        </w:rPr>
        <w:t>xxxxxxxxxxxxxxxxxx</w:t>
      </w:r>
      <w:bookmarkStart w:id="79" w:name="_GoBack"/>
      <w:bookmarkEnd w:id="79"/>
      <w:r w:rsidRPr="00780937">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80937">
        <w:rPr>
          <w:rFonts w:ascii="Palatino Linotype" w:eastAsia="MS Mincho" w:hAnsi="Palatino Linotype"/>
          <w:bCs/>
          <w:sz w:val="24"/>
          <w:lang w:val="es-ES"/>
        </w:rPr>
        <w:t>vía juicio de amparo</w:t>
      </w:r>
      <w:r w:rsidRPr="00780937">
        <w:rPr>
          <w:rFonts w:ascii="Palatino Linotype" w:eastAsia="MS Mincho" w:hAnsi="Palatino Linotype"/>
          <w:sz w:val="24"/>
          <w:lang w:val="es-ES"/>
        </w:rPr>
        <w:t> en los términos de las leyes aplicables.</w:t>
      </w:r>
    </w:p>
    <w:p w:rsidR="00C00029" w:rsidRPr="00780937" w:rsidRDefault="00C00029" w:rsidP="00C00029">
      <w:pPr>
        <w:spacing w:after="0" w:line="360" w:lineRule="auto"/>
        <w:jc w:val="both"/>
        <w:rPr>
          <w:rFonts w:ascii="Palatino Linotype" w:eastAsia="MS Mincho" w:hAnsi="Palatino Linotype" w:cs="Times New Roman"/>
          <w:b/>
          <w:sz w:val="24"/>
          <w:szCs w:val="24"/>
          <w:lang w:val="es-ES_tradnl" w:eastAsia="es-ES"/>
        </w:rPr>
      </w:pPr>
      <w:r w:rsidRPr="00780937">
        <w:rPr>
          <w:rFonts w:ascii="Palatino Linotype" w:eastAsia="MS Mincho" w:hAnsi="Palatino Linotype" w:cs="Times New Roman"/>
          <w:b/>
          <w:sz w:val="24"/>
          <w:szCs w:val="24"/>
          <w:lang w:val="es-ES_tradnl" w:eastAsia="es-ES"/>
        </w:rPr>
        <w:t>OCTAVO.</w:t>
      </w:r>
      <w:r w:rsidRPr="00780937">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80937">
        <w:rPr>
          <w:rFonts w:ascii="Palatino Linotype" w:eastAsia="MS Mincho" w:hAnsi="Palatino Linotype" w:cs="Times New Roman"/>
          <w:b/>
          <w:sz w:val="24"/>
          <w:szCs w:val="24"/>
          <w:lang w:val="es-ES_tradnl" w:eastAsia="es-ES"/>
        </w:rPr>
        <w:t>Considerando SÉPTIMO.</w:t>
      </w:r>
    </w:p>
    <w:p w:rsidR="00C00029" w:rsidRPr="00780937" w:rsidRDefault="00C00029" w:rsidP="00C00029">
      <w:pPr>
        <w:shd w:val="clear" w:color="auto" w:fill="FFFFFF"/>
        <w:spacing w:before="240" w:after="360" w:line="360" w:lineRule="auto"/>
        <w:jc w:val="both"/>
        <w:rPr>
          <w:rFonts w:ascii="Palatino Linotype" w:eastAsia="MS Mincho" w:hAnsi="Palatino Linotype"/>
          <w:b/>
          <w:sz w:val="24"/>
        </w:rPr>
      </w:pPr>
      <w:r w:rsidRPr="00780937">
        <w:rPr>
          <w:rFonts w:ascii="Palatino Linotype" w:hAnsi="Palatino Linotype"/>
          <w:b/>
          <w:sz w:val="24"/>
        </w:rPr>
        <w:t xml:space="preserve">SEXTO. </w:t>
      </w:r>
      <w:r w:rsidRPr="00780937">
        <w:rPr>
          <w:rFonts w:ascii="Palatino Linotype" w:eastAsia="MS Mincho" w:hAnsi="Palatino Linotype"/>
          <w:sz w:val="24"/>
        </w:rPr>
        <w:t xml:space="preserve">Gírese oficio a la Dirección General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 </w:t>
      </w:r>
      <w:r w:rsidRPr="00780937">
        <w:rPr>
          <w:rFonts w:ascii="Palatino Linotype" w:eastAsia="MS Mincho" w:hAnsi="Palatino Linotype"/>
          <w:b/>
          <w:sz w:val="24"/>
        </w:rPr>
        <w:t>Considerando OCTAVO.</w:t>
      </w:r>
    </w:p>
    <w:p w:rsidR="00EF7AC9" w:rsidRPr="00780937" w:rsidRDefault="00EF7AC9" w:rsidP="00EF7AC9">
      <w:pPr>
        <w:spacing w:after="0" w:line="360" w:lineRule="auto"/>
        <w:ind w:right="48"/>
        <w:jc w:val="both"/>
        <w:rPr>
          <w:rFonts w:ascii="Palatino Linotype" w:hAnsi="Palatino Linotype"/>
          <w:color w:val="000000"/>
          <w:sz w:val="24"/>
          <w:lang w:val="es-ES" w:eastAsia="es-MX"/>
        </w:rPr>
      </w:pPr>
      <w:r w:rsidRPr="00780937">
        <w:rPr>
          <w:rFonts w:ascii="Palatino Linotype" w:eastAsia="Calibri" w:hAnsi="Palatino Linotype" w:cs="Arial"/>
          <w:b/>
          <w:bCs/>
          <w:sz w:val="24"/>
          <w:szCs w:val="24"/>
        </w:rPr>
        <w:t xml:space="preserve">SÉPTIMO. </w:t>
      </w:r>
      <w:r w:rsidRPr="00780937">
        <w:rPr>
          <w:rFonts w:ascii="Palatino Linotype" w:hAnsi="Palatino Linotype"/>
          <w:color w:val="000000"/>
          <w:sz w:val="24"/>
          <w:lang w:val="es-ES" w:eastAsia="es-MX"/>
        </w:rPr>
        <w:t xml:space="preserve">Gírese oficio al Titular de la Dirección General Jurídica y Verificación de este Instituto, con fundamento en lo dispuesto por el artículo 23, fracción XIV del Reglamento Interior del Instituto de Transparencia, Acceso a la Información </w:t>
      </w:r>
      <w:r w:rsidRPr="00780937">
        <w:rPr>
          <w:rFonts w:ascii="Palatino Linotype" w:hAnsi="Palatino Linotype"/>
          <w:color w:val="000000"/>
          <w:sz w:val="24"/>
          <w:lang w:val="es-ES" w:eastAsia="es-MX"/>
        </w:rPr>
        <w:lastRenderedPageBreak/>
        <w:t xml:space="preserve">Pública y Protección de Datos Personales del Estado de México y Municipios y determine lo conducente en términos del Considerando </w:t>
      </w:r>
      <w:r w:rsidRPr="00780937">
        <w:rPr>
          <w:rFonts w:ascii="Palatino Linotype" w:hAnsi="Palatino Linotype"/>
          <w:b/>
          <w:color w:val="000000"/>
          <w:sz w:val="24"/>
          <w:lang w:val="es-ES" w:eastAsia="es-MX"/>
        </w:rPr>
        <w:t xml:space="preserve">NOVENO </w:t>
      </w:r>
      <w:r w:rsidRPr="00780937">
        <w:rPr>
          <w:rFonts w:ascii="Palatino Linotype" w:hAnsi="Palatino Linotype"/>
          <w:color w:val="000000"/>
          <w:sz w:val="24"/>
          <w:lang w:val="es-ES" w:eastAsia="es-MX"/>
        </w:rPr>
        <w:t>de la presente resolución.</w:t>
      </w:r>
    </w:p>
    <w:p w:rsidR="00C00029" w:rsidRPr="00780937" w:rsidRDefault="00EF7AC9" w:rsidP="00C00029">
      <w:pPr>
        <w:shd w:val="clear" w:color="auto" w:fill="FFFFFF"/>
        <w:spacing w:before="240" w:after="360" w:line="360" w:lineRule="auto"/>
        <w:jc w:val="both"/>
        <w:rPr>
          <w:rFonts w:ascii="Palatino Linotype" w:eastAsia="MS Mincho" w:hAnsi="Palatino Linotype"/>
          <w:sz w:val="24"/>
        </w:rPr>
      </w:pPr>
      <w:r w:rsidRPr="00780937">
        <w:rPr>
          <w:rFonts w:ascii="Palatino Linotype" w:eastAsia="MS Mincho" w:hAnsi="Palatino Linotype"/>
          <w:b/>
          <w:sz w:val="24"/>
        </w:rPr>
        <w:t>OCTAV</w:t>
      </w:r>
      <w:r w:rsidR="00C00029" w:rsidRPr="00780937">
        <w:rPr>
          <w:rFonts w:ascii="Palatino Linotype" w:eastAsia="MS Mincho" w:hAnsi="Palatino Linotype"/>
          <w:b/>
          <w:sz w:val="24"/>
        </w:rPr>
        <w:t xml:space="preserve">O. </w:t>
      </w:r>
      <w:r w:rsidR="00C00029" w:rsidRPr="00780937">
        <w:rPr>
          <w:rFonts w:ascii="Palatino Linotype" w:eastAsia="MS Mincho" w:hAnsi="Palatino Linotype"/>
          <w:sz w:val="24"/>
        </w:rPr>
        <w:t>Con fundamento</w:t>
      </w:r>
      <w:r w:rsidR="00C00029" w:rsidRPr="00780937">
        <w:rPr>
          <w:rFonts w:ascii="Palatino Linotype" w:eastAsia="MS Mincho" w:hAnsi="Palatino Linotype"/>
          <w:b/>
          <w:sz w:val="24"/>
        </w:rPr>
        <w:t xml:space="preserve"> </w:t>
      </w:r>
      <w:r w:rsidR="00C00029" w:rsidRPr="00780937">
        <w:rPr>
          <w:rFonts w:ascii="Palatino Linotype" w:hAnsi="Palatino Linotype"/>
          <w:color w:val="000000"/>
          <w:sz w:val="24"/>
          <w:shd w:val="clear" w:color="auto" w:fill="FFFFFF"/>
        </w:rPr>
        <w:t>en el artículo 198 de la Ley de Transparencia y Acceso a la Información Pública del Estado de México y Municipios, se apercibe al </w:t>
      </w:r>
      <w:r w:rsidR="00C00029" w:rsidRPr="00780937">
        <w:rPr>
          <w:rFonts w:ascii="Palatino Linotype" w:hAnsi="Palatino Linotype"/>
          <w:b/>
          <w:bCs/>
          <w:color w:val="000000"/>
          <w:sz w:val="24"/>
          <w:shd w:val="clear" w:color="auto" w:fill="FFFFFF"/>
        </w:rPr>
        <w:t>SUJETO OBLIGADO</w:t>
      </w:r>
      <w:r w:rsidR="00C00029" w:rsidRPr="00780937">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C00029" w:rsidRPr="00321AF7" w:rsidRDefault="00C00029" w:rsidP="00C00029">
      <w:pPr>
        <w:spacing w:before="240" w:after="240" w:line="360" w:lineRule="auto"/>
        <w:ind w:firstLine="1"/>
        <w:jc w:val="both"/>
        <w:rPr>
          <w:rFonts w:ascii="Palatino Linotype" w:eastAsiaTheme="minorEastAsia" w:hAnsi="Palatino Linotype"/>
          <w:sz w:val="24"/>
          <w:szCs w:val="24"/>
          <w:lang w:val="es-ES_tradnl" w:eastAsia="es-ES"/>
        </w:rPr>
      </w:pPr>
      <w:r w:rsidRPr="00780937">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w:t>
      </w:r>
      <w:r w:rsidR="008629BC">
        <w:rPr>
          <w:rFonts w:ascii="Palatino Linotype" w:eastAsiaTheme="minorEastAsia" w:hAnsi="Palatino Linotype"/>
          <w:sz w:val="24"/>
          <w:szCs w:val="24"/>
          <w:lang w:val="es-ES_tradnl" w:eastAsia="es-ES"/>
        </w:rPr>
        <w:t xml:space="preserve">TÍNEZ SÁNCHEZ; EVA ABAID YAPUR; </w:t>
      </w:r>
      <w:r w:rsidRPr="00780937">
        <w:rPr>
          <w:rFonts w:ascii="Palatino Linotype" w:eastAsiaTheme="minorEastAsia" w:hAnsi="Palatino Linotype"/>
          <w:sz w:val="24"/>
          <w:szCs w:val="24"/>
          <w:lang w:val="es-ES_tradnl" w:eastAsia="es-ES"/>
        </w:rPr>
        <w:t>JAVIER MARTÍNEZ CRUZ</w:t>
      </w:r>
      <w:r w:rsidR="008629BC">
        <w:rPr>
          <w:rFonts w:ascii="Palatino Linotype" w:eastAsiaTheme="minorEastAsia" w:hAnsi="Palatino Linotype"/>
          <w:sz w:val="24"/>
          <w:szCs w:val="24"/>
          <w:lang w:val="es-ES_tradnl" w:eastAsia="es-ES"/>
        </w:rPr>
        <w:t xml:space="preserve"> </w:t>
      </w:r>
      <w:r w:rsidR="008629BC" w:rsidRPr="002E56DE">
        <w:rPr>
          <w:rFonts w:ascii="Palatino Linotype" w:hAnsi="Palatino Linotype" w:cs="Arial"/>
          <w:sz w:val="24"/>
          <w:szCs w:val="24"/>
        </w:rPr>
        <w:t xml:space="preserve">(EMITIENDO VOTO </w:t>
      </w:r>
      <w:r w:rsidR="008629BC">
        <w:rPr>
          <w:rFonts w:ascii="Palatino Linotype" w:hAnsi="Palatino Linotype" w:cs="Arial"/>
          <w:sz w:val="24"/>
          <w:szCs w:val="24"/>
        </w:rPr>
        <w:t>PARTICULAR</w:t>
      </w:r>
      <w:r w:rsidR="008629BC" w:rsidRPr="002E56DE">
        <w:rPr>
          <w:rFonts w:ascii="Palatino Linotype" w:hAnsi="Palatino Linotype" w:cs="Arial"/>
          <w:sz w:val="24"/>
          <w:szCs w:val="24"/>
        </w:rPr>
        <w:t>)</w:t>
      </w:r>
      <w:r w:rsidRPr="00780937">
        <w:rPr>
          <w:rFonts w:ascii="Palatino Linotype" w:eastAsiaTheme="minorEastAsia" w:hAnsi="Palatino Linotype"/>
          <w:sz w:val="24"/>
          <w:szCs w:val="24"/>
          <w:lang w:val="es-ES_tradnl" w:eastAsia="es-ES"/>
        </w:rPr>
        <w:t xml:space="preserve"> Y LUIS GUSTAVO PARRA NORIEGA</w:t>
      </w:r>
      <w:r w:rsidR="008629BC">
        <w:rPr>
          <w:rFonts w:ascii="Palatino Linotype" w:eastAsiaTheme="minorEastAsia" w:hAnsi="Palatino Linotype"/>
          <w:sz w:val="24"/>
          <w:szCs w:val="24"/>
          <w:lang w:val="es-ES_tradnl" w:eastAsia="es-ES"/>
        </w:rPr>
        <w:t xml:space="preserve"> </w:t>
      </w:r>
      <w:r w:rsidR="008629BC" w:rsidRPr="002E56DE">
        <w:rPr>
          <w:rFonts w:ascii="Palatino Linotype" w:hAnsi="Palatino Linotype" w:cs="Arial"/>
          <w:sz w:val="24"/>
          <w:szCs w:val="24"/>
        </w:rPr>
        <w:t xml:space="preserve">(EMITIENDO VOTO </w:t>
      </w:r>
      <w:r w:rsidR="008629BC">
        <w:rPr>
          <w:rFonts w:ascii="Palatino Linotype" w:hAnsi="Palatino Linotype" w:cs="Arial"/>
          <w:sz w:val="24"/>
          <w:szCs w:val="24"/>
        </w:rPr>
        <w:t>PARTICULAR</w:t>
      </w:r>
      <w:r w:rsidR="008629BC" w:rsidRPr="002E56DE">
        <w:rPr>
          <w:rFonts w:ascii="Palatino Linotype" w:hAnsi="Palatino Linotype" w:cs="Arial"/>
          <w:sz w:val="24"/>
          <w:szCs w:val="24"/>
        </w:rPr>
        <w:t>)</w:t>
      </w:r>
      <w:r w:rsidRPr="00780937">
        <w:rPr>
          <w:rFonts w:ascii="Palatino Linotype" w:eastAsiaTheme="minorEastAsia" w:hAnsi="Palatino Linotype"/>
          <w:sz w:val="24"/>
          <w:szCs w:val="24"/>
          <w:lang w:val="es-ES_tradnl" w:eastAsia="es-ES"/>
        </w:rPr>
        <w:t xml:space="preserve"> EN LA VIGÉSIMA SEGUNDA SESIÓN ORDINARIA CELEBRADA EL VEINTITRÉS DE JUNIO  DE DOS MIL VEINTIUNO, ANTE EL SECRETARIO TÉCNICO DEL PLENO ALEXIS TAPIA RAMÍREZ.</w:t>
      </w:r>
    </w:p>
    <w:bookmarkEnd w:id="18"/>
    <w:bookmarkEnd w:id="19"/>
    <w:bookmarkEnd w:id="20"/>
    <w:bookmarkEnd w:id="21"/>
    <w:bookmarkEnd w:id="22"/>
    <w:bookmarkEnd w:id="23"/>
    <w:bookmarkEnd w:id="25"/>
    <w:p w:rsidR="00C00029" w:rsidRDefault="00C00029"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Default="00A95B60" w:rsidP="00C00029"/>
    <w:p w:rsidR="00A95B60" w:rsidRPr="00CF7458" w:rsidRDefault="00A95B60" w:rsidP="00C00029"/>
    <w:p w:rsidR="00C00029" w:rsidRDefault="00C00029" w:rsidP="00C00029"/>
    <w:p w:rsidR="00C00029" w:rsidRDefault="00C00029" w:rsidP="00C00029"/>
    <w:p w:rsidR="00656EF9" w:rsidRDefault="00656EF9"/>
    <w:sectPr w:rsidR="00656EF9" w:rsidSect="00D61447">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BE4" w:rsidRDefault="00F10BE4" w:rsidP="00C00029">
      <w:pPr>
        <w:spacing w:after="0" w:line="240" w:lineRule="auto"/>
      </w:pPr>
      <w:r>
        <w:separator/>
      </w:r>
    </w:p>
  </w:endnote>
  <w:endnote w:type="continuationSeparator" w:id="0">
    <w:p w:rsidR="00F10BE4" w:rsidRDefault="00F10BE4" w:rsidP="00C0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61447" w:rsidRPr="00883450" w:rsidRDefault="00A809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2B11">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2B11">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rsidR="00D61447" w:rsidRDefault="00F10B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47" w:rsidRPr="00883450" w:rsidRDefault="00A80960" w:rsidP="00D61447">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2B11" w:rsidRPr="000F2B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2B11" w:rsidRPr="000F2B11">
      <w:rPr>
        <w:rFonts w:ascii="Palatino Linotype" w:hAnsi="Palatino Linotype"/>
        <w:noProof/>
        <w:sz w:val="22"/>
        <w:szCs w:val="22"/>
        <w:lang w:val="es-ES"/>
      </w:rPr>
      <w:t>43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BE4" w:rsidRDefault="00F10BE4" w:rsidP="00C00029">
      <w:pPr>
        <w:spacing w:after="0" w:line="240" w:lineRule="auto"/>
      </w:pPr>
      <w:r>
        <w:separator/>
      </w:r>
    </w:p>
  </w:footnote>
  <w:footnote w:type="continuationSeparator" w:id="0">
    <w:p w:rsidR="00F10BE4" w:rsidRDefault="00F10BE4" w:rsidP="00C00029">
      <w:pPr>
        <w:spacing w:after="0" w:line="240" w:lineRule="auto"/>
      </w:pPr>
      <w:r>
        <w:continuationSeparator/>
      </w:r>
    </w:p>
  </w:footnote>
  <w:footnote w:id="1">
    <w:p w:rsidR="00C00029" w:rsidRDefault="00C00029" w:rsidP="00C00029">
      <w:pPr>
        <w:pStyle w:val="Textonotapie"/>
      </w:pPr>
      <w:r>
        <w:rPr>
          <w:rStyle w:val="Refdenotaalpie"/>
        </w:rPr>
        <w:footnoteRef/>
      </w:r>
      <w:r>
        <w:t xml:space="preserve"> Convención Americana sobre Derechos Humanos. Artículo 13.</w:t>
      </w:r>
    </w:p>
  </w:footnote>
  <w:footnote w:id="2">
    <w:p w:rsidR="00C00029" w:rsidRDefault="00C00029" w:rsidP="00C00029">
      <w:pPr>
        <w:pStyle w:val="Textonotapie"/>
      </w:pPr>
      <w:r>
        <w:rPr>
          <w:rStyle w:val="Refdenotaalpie"/>
        </w:rPr>
        <w:footnoteRef/>
      </w:r>
      <w:r>
        <w:t xml:space="preserve"> Constitución Política de los Estados Unidos Mexicanos. Artículo sexto, sección A, fracción I.</w:t>
      </w:r>
    </w:p>
  </w:footnote>
  <w:footnote w:id="3">
    <w:p w:rsidR="00C00029" w:rsidRDefault="00C00029" w:rsidP="00C000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00029" w:rsidRDefault="00C00029" w:rsidP="00C00029">
      <w:pPr>
        <w:pStyle w:val="Textonotapie"/>
      </w:pPr>
      <w:r>
        <w:rPr>
          <w:rStyle w:val="Refdenotaalpie"/>
        </w:rPr>
        <w:footnoteRef/>
      </w:r>
      <w:r>
        <w:t xml:space="preserve"> Ibídem. Parr. 87.</w:t>
      </w:r>
    </w:p>
  </w:footnote>
  <w:footnote w:id="5">
    <w:p w:rsidR="00C00029" w:rsidRDefault="00C00029" w:rsidP="00C000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00029" w:rsidRDefault="00C00029" w:rsidP="00C000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C00029" w:rsidRDefault="00C00029" w:rsidP="00C000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C00029" w:rsidRDefault="00C00029" w:rsidP="00C000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00029" w:rsidRDefault="00C00029" w:rsidP="00C000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00029" w:rsidRDefault="00C00029" w:rsidP="00C000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C00029" w:rsidRDefault="00C00029" w:rsidP="00C000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C00029" w:rsidRDefault="00C00029" w:rsidP="00C000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C00029" w:rsidRDefault="00C00029" w:rsidP="00C00029">
      <w:pPr>
        <w:pStyle w:val="Textonotapie"/>
        <w:jc w:val="both"/>
        <w:rPr>
          <w:rFonts w:ascii="Palatino Linotype" w:hAnsi="Palatino Linotype"/>
          <w:sz w:val="18"/>
        </w:rPr>
      </w:pPr>
      <w:r>
        <w:rPr>
          <w:rFonts w:ascii="Palatino Linotype" w:hAnsi="Palatino Linotype"/>
          <w:sz w:val="18"/>
        </w:rPr>
        <w:t xml:space="preserve"> (…)</w:t>
      </w:r>
    </w:p>
    <w:p w:rsidR="00C00029" w:rsidRDefault="00C00029" w:rsidP="00C000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0">
    <w:p w:rsidR="00C00029" w:rsidRDefault="00C00029" w:rsidP="00C000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37" w:rsidRDefault="00F10B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0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47" w:rsidRDefault="00F10B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0205" o:spid="_x0000_s2051" type="#_x0000_t75" style="position:absolute;margin-left:-84.3pt;margin-top:-123.45pt;width:609.4pt;height:793.75pt;z-index:-251656192;mso-position-horizontal-relative:margin;mso-position-vertical-relative:margin" o:allowincell="f">
          <v:imagedata r:id="rId1" o:title="resolución"/>
          <w10:wrap anchorx="margin" anchory="margin"/>
        </v:shape>
      </w:pict>
    </w:r>
  </w:p>
  <w:p w:rsidR="00D61447" w:rsidRDefault="00F10BE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61447" w:rsidRPr="00EF13C1" w:rsidTr="00D61447">
      <w:trPr>
        <w:trHeight w:val="138"/>
      </w:trPr>
      <w:tc>
        <w:tcPr>
          <w:tcW w:w="2551" w:type="dxa"/>
          <w:vAlign w:val="center"/>
        </w:tcPr>
        <w:p w:rsidR="00D61447" w:rsidRPr="00EF13C1" w:rsidRDefault="00A80960" w:rsidP="00D61447">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61447" w:rsidRPr="00EF13C1" w:rsidRDefault="00A80960" w:rsidP="00D61447">
          <w:pPr>
            <w:pStyle w:val="Encabezado"/>
            <w:rPr>
              <w:rFonts w:ascii="Palatino Linotype" w:hAnsi="Palatino Linotype"/>
              <w:b/>
              <w:sz w:val="22"/>
              <w:szCs w:val="22"/>
            </w:rPr>
          </w:pPr>
          <w:r>
            <w:rPr>
              <w:rFonts w:ascii="Palatino Linotype" w:hAnsi="Palatino Linotype"/>
              <w:b/>
              <w:sz w:val="22"/>
              <w:szCs w:val="22"/>
            </w:rPr>
            <w:t xml:space="preserve">02068/INFOEM/IP/RR/2021 </w:t>
          </w:r>
        </w:p>
      </w:tc>
    </w:tr>
    <w:tr w:rsidR="00D61447" w:rsidRPr="00EF13C1" w:rsidTr="00D61447">
      <w:trPr>
        <w:gridAfter w:val="1"/>
        <w:wAfter w:w="284" w:type="dxa"/>
        <w:trHeight w:val="321"/>
      </w:trPr>
      <w:tc>
        <w:tcPr>
          <w:tcW w:w="2551" w:type="dxa"/>
          <w:vAlign w:val="center"/>
        </w:tcPr>
        <w:p w:rsidR="00D61447" w:rsidRPr="00EF13C1" w:rsidRDefault="00A80960" w:rsidP="00D61447">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61447" w:rsidRPr="00EF13C1" w:rsidRDefault="00A80960" w:rsidP="00D61447">
          <w:pPr>
            <w:pStyle w:val="Encabezado"/>
            <w:ind w:right="21"/>
            <w:rPr>
              <w:rFonts w:ascii="Palatino Linotype" w:hAnsi="Palatino Linotype"/>
              <w:b/>
              <w:sz w:val="22"/>
              <w:szCs w:val="22"/>
            </w:rPr>
          </w:pPr>
          <w:r>
            <w:rPr>
              <w:rFonts w:ascii="Palatino Linotype" w:hAnsi="Palatino Linotype"/>
              <w:b/>
              <w:sz w:val="22"/>
              <w:szCs w:val="22"/>
            </w:rPr>
            <w:t>Ayuntamiento de Ixtapan del Oro</w:t>
          </w:r>
        </w:p>
      </w:tc>
    </w:tr>
    <w:tr w:rsidR="00D61447" w:rsidRPr="00EF13C1" w:rsidTr="00D61447">
      <w:trPr>
        <w:trHeight w:val="321"/>
      </w:trPr>
      <w:tc>
        <w:tcPr>
          <w:tcW w:w="2551" w:type="dxa"/>
          <w:vAlign w:val="center"/>
        </w:tcPr>
        <w:p w:rsidR="00D61447" w:rsidRPr="00EF13C1" w:rsidRDefault="00A80960" w:rsidP="00D61447">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61447" w:rsidRPr="00EF13C1" w:rsidRDefault="00C00029" w:rsidP="00D61447">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D61447" w:rsidRDefault="00F10BE4" w:rsidP="00D614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47" w:rsidRDefault="00F10BE4" w:rsidP="00D61447">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0203" o:spid="_x0000_s2049" type="#_x0000_t75" style="position:absolute;margin-left:-85.15pt;margin-top:-127.05pt;width:609.4pt;height:793.75pt;z-index:-251658240;mso-position-horizontal-relative:margin;mso-position-vertical-relative:margin" o:allowincell="f">
          <v:imagedata r:id="rId1" o:title="resolución"/>
          <w10:wrap anchorx="margin" anchory="margin"/>
        </v:shape>
      </w:pict>
    </w:r>
    <w:r w:rsidR="00A80960">
      <w:tab/>
    </w:r>
    <w:r w:rsidR="00A80960">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61447" w:rsidRPr="00182113" w:rsidTr="00D61447">
      <w:trPr>
        <w:trHeight w:val="138"/>
      </w:trPr>
      <w:tc>
        <w:tcPr>
          <w:tcW w:w="2552" w:type="dxa"/>
          <w:vAlign w:val="center"/>
        </w:tcPr>
        <w:p w:rsidR="00D61447" w:rsidRPr="00182113" w:rsidRDefault="00A80960" w:rsidP="00D61447">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61447" w:rsidRPr="005143E6" w:rsidRDefault="00A80960" w:rsidP="00D61447">
          <w:pPr>
            <w:pStyle w:val="Encabezado"/>
            <w:rPr>
              <w:rFonts w:ascii="Palatino Linotype" w:hAnsi="Palatino Linotype" w:cs="Arial"/>
              <w:b/>
              <w:bCs/>
              <w:lang w:eastAsia="es-MX"/>
            </w:rPr>
          </w:pPr>
          <w:r>
            <w:rPr>
              <w:rFonts w:ascii="Palatino Linotype" w:hAnsi="Palatino Linotype" w:cs="Arial"/>
              <w:b/>
              <w:bCs/>
              <w:lang w:eastAsia="es-MX"/>
            </w:rPr>
            <w:t>02068/INFOEM/IP/RR/2021</w:t>
          </w:r>
        </w:p>
      </w:tc>
    </w:tr>
    <w:tr w:rsidR="00D61447" w:rsidRPr="00182113" w:rsidTr="00D61447">
      <w:trPr>
        <w:trHeight w:val="227"/>
      </w:trPr>
      <w:tc>
        <w:tcPr>
          <w:tcW w:w="2552" w:type="dxa"/>
          <w:vAlign w:val="center"/>
        </w:tcPr>
        <w:p w:rsidR="00D61447" w:rsidRPr="00182113" w:rsidRDefault="00A80960" w:rsidP="00D61447">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61447" w:rsidRPr="00182113" w:rsidRDefault="000F2B11" w:rsidP="00D61447">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xxxxxxxxxxxxxxxxx</w:t>
          </w:r>
        </w:p>
      </w:tc>
    </w:tr>
    <w:tr w:rsidR="00D61447" w:rsidRPr="00182113" w:rsidTr="00D61447">
      <w:trPr>
        <w:trHeight w:val="232"/>
      </w:trPr>
      <w:tc>
        <w:tcPr>
          <w:tcW w:w="2552" w:type="dxa"/>
          <w:vAlign w:val="center"/>
        </w:tcPr>
        <w:p w:rsidR="00D61447" w:rsidRPr="00182113" w:rsidRDefault="00A80960" w:rsidP="00D61447">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61447" w:rsidRPr="00182113" w:rsidRDefault="00A80960" w:rsidP="00D61447">
          <w:pPr>
            <w:pStyle w:val="Encabezado"/>
            <w:rPr>
              <w:rFonts w:ascii="Palatino Linotype" w:hAnsi="Palatino Linotype"/>
              <w:b/>
              <w:sz w:val="22"/>
              <w:szCs w:val="22"/>
            </w:rPr>
          </w:pPr>
          <w:r>
            <w:rPr>
              <w:rFonts w:ascii="Palatino Linotype" w:hAnsi="Palatino Linotype"/>
              <w:b/>
              <w:sz w:val="22"/>
              <w:szCs w:val="22"/>
            </w:rPr>
            <w:t>Ayuntamiento de Ixtapan del Oro</w:t>
          </w:r>
        </w:p>
      </w:tc>
    </w:tr>
    <w:tr w:rsidR="00D61447" w:rsidRPr="00182113" w:rsidTr="00D61447">
      <w:trPr>
        <w:trHeight w:val="320"/>
      </w:trPr>
      <w:tc>
        <w:tcPr>
          <w:tcW w:w="2552" w:type="dxa"/>
          <w:vAlign w:val="center"/>
        </w:tcPr>
        <w:p w:rsidR="00D61447" w:rsidRPr="00182113" w:rsidRDefault="00A80960" w:rsidP="00D61447">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61447" w:rsidRPr="00182113" w:rsidRDefault="00C00029" w:rsidP="00D61447">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D61447" w:rsidRDefault="00F10B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29"/>
    <w:rsid w:val="00044C9F"/>
    <w:rsid w:val="00066EB4"/>
    <w:rsid w:val="000F2B11"/>
    <w:rsid w:val="00306699"/>
    <w:rsid w:val="00595C1C"/>
    <w:rsid w:val="005E6F51"/>
    <w:rsid w:val="00656EF9"/>
    <w:rsid w:val="00712340"/>
    <w:rsid w:val="00773456"/>
    <w:rsid w:val="00780937"/>
    <w:rsid w:val="008629BC"/>
    <w:rsid w:val="00887900"/>
    <w:rsid w:val="009C36AF"/>
    <w:rsid w:val="00A80960"/>
    <w:rsid w:val="00A95B60"/>
    <w:rsid w:val="00AB573C"/>
    <w:rsid w:val="00C00029"/>
    <w:rsid w:val="00C269A8"/>
    <w:rsid w:val="00C347E7"/>
    <w:rsid w:val="00C368D6"/>
    <w:rsid w:val="00C45C19"/>
    <w:rsid w:val="00CA065C"/>
    <w:rsid w:val="00D220B3"/>
    <w:rsid w:val="00DE1CD6"/>
    <w:rsid w:val="00E82A26"/>
    <w:rsid w:val="00EA4F3B"/>
    <w:rsid w:val="00EF7AC9"/>
    <w:rsid w:val="00F10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1D47F09-49A5-4925-937A-D11DA731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29"/>
  </w:style>
  <w:style w:type="paragraph" w:styleId="Ttulo1">
    <w:name w:val="heading 1"/>
    <w:basedOn w:val="Normal"/>
    <w:next w:val="Normal"/>
    <w:link w:val="Ttulo1Car"/>
    <w:uiPriority w:val="9"/>
    <w:qFormat/>
    <w:rsid w:val="00C00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00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02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0002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0002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00029"/>
    <w:rPr>
      <w:rFonts w:eastAsiaTheme="minorEastAsia"/>
      <w:sz w:val="24"/>
      <w:szCs w:val="24"/>
      <w:lang w:val="es-ES_tradnl" w:eastAsia="es-ES"/>
    </w:rPr>
  </w:style>
  <w:style w:type="paragraph" w:styleId="Piedepgina">
    <w:name w:val="footer"/>
    <w:basedOn w:val="Normal"/>
    <w:link w:val="PiedepginaCar"/>
    <w:uiPriority w:val="99"/>
    <w:unhideWhenUsed/>
    <w:rsid w:val="00C0002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00029"/>
    <w:rPr>
      <w:rFonts w:eastAsiaTheme="minorEastAsia"/>
      <w:sz w:val="24"/>
      <w:szCs w:val="24"/>
      <w:lang w:val="es-ES_tradnl" w:eastAsia="es-ES"/>
    </w:rPr>
  </w:style>
  <w:style w:type="table" w:styleId="Tablaconcuadrcula">
    <w:name w:val="Table Grid"/>
    <w:basedOn w:val="Tablanormal"/>
    <w:uiPriority w:val="39"/>
    <w:rsid w:val="00C0002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002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0029"/>
    <w:rPr>
      <w:rFonts w:eastAsiaTheme="minorEastAsia"/>
      <w:sz w:val="24"/>
      <w:szCs w:val="24"/>
      <w:lang w:val="es-ES_tradnl" w:eastAsia="es-ES"/>
    </w:rPr>
  </w:style>
  <w:style w:type="character" w:styleId="Hipervnculo">
    <w:name w:val="Hyperlink"/>
    <w:basedOn w:val="Fuentedeprrafopredeter"/>
    <w:uiPriority w:val="99"/>
    <w:unhideWhenUsed/>
    <w:rsid w:val="00C00029"/>
    <w:rPr>
      <w:color w:val="0563C1" w:themeColor="hyperlink"/>
      <w:u w:val="single"/>
    </w:rPr>
  </w:style>
  <w:style w:type="paragraph" w:styleId="TDC1">
    <w:name w:val="toc 1"/>
    <w:basedOn w:val="Normal"/>
    <w:next w:val="Normal"/>
    <w:autoRedefine/>
    <w:uiPriority w:val="39"/>
    <w:unhideWhenUsed/>
    <w:rsid w:val="00C0002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C00029"/>
    <w:pPr>
      <w:tabs>
        <w:tab w:val="left" w:pos="480"/>
        <w:tab w:val="right" w:leader="dot" w:pos="8779"/>
      </w:tabs>
      <w:spacing w:after="100" w:line="240" w:lineRule="auto"/>
      <w:ind w:left="426" w:hanging="426"/>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000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0002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00029"/>
    <w:rPr>
      <w:vertAlign w:val="superscript"/>
    </w:rPr>
  </w:style>
  <w:style w:type="table" w:customStyle="1" w:styleId="Tablaconcuadrcula11">
    <w:name w:val="Tabla con cuadrícula11"/>
    <w:basedOn w:val="Tablanormal"/>
    <w:next w:val="Tablaconcuadrcula"/>
    <w:uiPriority w:val="59"/>
    <w:rsid w:val="00C0002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C0002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8869</Words>
  <Characters>48785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2021-06-17T22:09:00Z</dcterms:created>
  <dcterms:modified xsi:type="dcterms:W3CDTF">2021-08-03T23:18:00Z</dcterms:modified>
</cp:coreProperties>
</file>