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07" w:rsidRPr="004B5D57" w:rsidRDefault="00766C07" w:rsidP="00766C07">
      <w:pPr>
        <w:spacing w:line="360" w:lineRule="auto"/>
        <w:jc w:val="both"/>
        <w:rPr>
          <w:rFonts w:ascii="Palatino Linotype" w:hAnsi="Palatino Linotype"/>
          <w:lang w:val="es-ES_tradnl" w:eastAsia="es-ES"/>
        </w:rPr>
      </w:pPr>
    </w:p>
    <w:p w:rsidR="00766C07" w:rsidRPr="001431BD" w:rsidRDefault="00766C07" w:rsidP="00766C07">
      <w:pPr>
        <w:spacing w:line="360" w:lineRule="auto"/>
        <w:jc w:val="center"/>
        <w:rPr>
          <w:rFonts w:ascii="Palatino Linotype" w:eastAsiaTheme="minorEastAsia" w:hAnsi="Palatino Linotype"/>
          <w:lang w:val="es-ES_tradnl" w:eastAsia="es-ES"/>
        </w:rPr>
      </w:pPr>
      <w:r w:rsidRPr="001431BD">
        <w:rPr>
          <w:rFonts w:ascii="Palatino Linotype" w:eastAsiaTheme="minorEastAsia" w:hAnsi="Palatino Linotype"/>
          <w:b/>
          <w:lang w:val="es-ES_tradnl" w:eastAsia="es-ES"/>
        </w:rPr>
        <w:t>ÍNDICE</w:t>
      </w:r>
      <w:r w:rsidRPr="001431BD">
        <w:rPr>
          <w:rFonts w:ascii="Palatino Linotype" w:eastAsiaTheme="minorEastAsia" w:hAnsi="Palatino Linotype"/>
          <w:lang w:val="es-ES_tradnl" w:eastAsia="es-ES"/>
        </w:rPr>
        <w:t>.</w:t>
      </w:r>
    </w:p>
    <w:sdt>
      <w:sdtPr>
        <w:rPr>
          <w:rFonts w:ascii="Palatino Linotype" w:eastAsiaTheme="minorEastAsia" w:hAnsi="Palatino Linotype"/>
          <w:lang w:val="es-ES" w:eastAsia="es-ES"/>
        </w:rPr>
        <w:id w:val="1703668029"/>
        <w:docPartObj>
          <w:docPartGallery w:val="Table of Contents"/>
          <w:docPartUnique/>
        </w:docPartObj>
      </w:sdtPr>
      <w:sdtEndPr>
        <w:rPr>
          <w:bCs/>
        </w:rPr>
      </w:sdtEndPr>
      <w:sdtContent>
        <w:p w:rsidR="00766C07" w:rsidRPr="001431BD" w:rsidRDefault="00766C07" w:rsidP="001431BD">
          <w:pPr>
            <w:keepNext/>
            <w:keepLines/>
            <w:spacing w:line="360" w:lineRule="auto"/>
            <w:rPr>
              <w:rFonts w:ascii="Palatino Linotype" w:eastAsiaTheme="majorEastAsia" w:hAnsi="Palatino Linotype" w:cstheme="majorBidi"/>
              <w:b/>
              <w:szCs w:val="32"/>
            </w:rPr>
          </w:pPr>
        </w:p>
        <w:p w:rsidR="001431BD" w:rsidRPr="001431BD" w:rsidRDefault="00766C07" w:rsidP="001431BD">
          <w:pPr>
            <w:pStyle w:val="TDC1"/>
            <w:tabs>
              <w:tab w:val="right" w:leader="dot" w:pos="9034"/>
            </w:tabs>
            <w:spacing w:line="360" w:lineRule="auto"/>
            <w:rPr>
              <w:rFonts w:ascii="Palatino Linotype" w:eastAsiaTheme="minorEastAsia" w:hAnsi="Palatino Linotype"/>
              <w:b/>
              <w:noProof/>
              <w:sz w:val="24"/>
              <w:szCs w:val="24"/>
              <w:lang w:val="es-ES" w:eastAsia="es-ES"/>
            </w:rPr>
          </w:pPr>
          <w:r w:rsidRPr="001431BD">
            <w:rPr>
              <w:rFonts w:ascii="Palatino Linotype" w:eastAsiaTheme="minorEastAsia" w:hAnsi="Palatino Linotype"/>
              <w:b/>
              <w:sz w:val="24"/>
              <w:szCs w:val="24"/>
              <w:lang w:val="es-ES_tradnl" w:eastAsia="es-ES"/>
            </w:rPr>
            <w:fldChar w:fldCharType="begin"/>
          </w:r>
          <w:r w:rsidRPr="001431BD">
            <w:rPr>
              <w:rFonts w:ascii="Palatino Linotype" w:eastAsiaTheme="minorEastAsia" w:hAnsi="Palatino Linotype"/>
              <w:b/>
              <w:sz w:val="24"/>
              <w:szCs w:val="24"/>
              <w:lang w:val="es-ES_tradnl" w:eastAsia="es-ES"/>
            </w:rPr>
            <w:instrText xml:space="preserve"> TOC \o "1-3" \h \z \u </w:instrText>
          </w:r>
          <w:r w:rsidRPr="001431BD">
            <w:rPr>
              <w:rFonts w:ascii="Palatino Linotype" w:eastAsiaTheme="minorEastAsia" w:hAnsi="Palatino Linotype"/>
              <w:b/>
              <w:sz w:val="24"/>
              <w:szCs w:val="24"/>
              <w:lang w:val="es-ES_tradnl" w:eastAsia="es-ES"/>
            </w:rPr>
            <w:fldChar w:fldCharType="separate"/>
          </w:r>
          <w:hyperlink w:anchor="_Toc82006060" w:history="1">
            <w:r w:rsidR="001431BD" w:rsidRPr="001431BD">
              <w:rPr>
                <w:rStyle w:val="Hipervnculo"/>
                <w:rFonts w:ascii="Palatino Linotype" w:eastAsiaTheme="majorEastAsia" w:hAnsi="Palatino Linotype" w:cstheme="majorBidi"/>
                <w:b/>
                <w:noProof/>
                <w:color w:val="auto"/>
                <w:sz w:val="24"/>
                <w:szCs w:val="24"/>
              </w:rPr>
              <w:t>ANTECEDENTES</w:t>
            </w:r>
            <w:r w:rsidR="001431BD" w:rsidRPr="001431BD">
              <w:rPr>
                <w:rFonts w:ascii="Palatino Linotype" w:hAnsi="Palatino Linotype"/>
                <w:b/>
                <w:noProof/>
                <w:webHidden/>
                <w:sz w:val="24"/>
                <w:szCs w:val="24"/>
              </w:rPr>
              <w:tab/>
            </w:r>
            <w:r w:rsidR="001431BD" w:rsidRPr="001431BD">
              <w:rPr>
                <w:rFonts w:ascii="Palatino Linotype" w:hAnsi="Palatino Linotype"/>
                <w:b/>
                <w:noProof/>
                <w:webHidden/>
                <w:sz w:val="24"/>
                <w:szCs w:val="24"/>
              </w:rPr>
              <w:fldChar w:fldCharType="begin"/>
            </w:r>
            <w:r w:rsidR="001431BD" w:rsidRPr="001431BD">
              <w:rPr>
                <w:rFonts w:ascii="Palatino Linotype" w:hAnsi="Palatino Linotype"/>
                <w:b/>
                <w:noProof/>
                <w:webHidden/>
                <w:sz w:val="24"/>
                <w:szCs w:val="24"/>
              </w:rPr>
              <w:instrText xml:space="preserve"> PAGEREF _Toc82006060 \h </w:instrText>
            </w:r>
            <w:r w:rsidR="001431BD" w:rsidRPr="001431BD">
              <w:rPr>
                <w:rFonts w:ascii="Palatino Linotype" w:hAnsi="Palatino Linotype"/>
                <w:b/>
                <w:noProof/>
                <w:webHidden/>
                <w:sz w:val="24"/>
                <w:szCs w:val="24"/>
              </w:rPr>
            </w:r>
            <w:r w:rsidR="001431BD" w:rsidRPr="001431BD">
              <w:rPr>
                <w:rFonts w:ascii="Palatino Linotype" w:hAnsi="Palatino Linotype"/>
                <w:b/>
                <w:noProof/>
                <w:webHidden/>
                <w:sz w:val="24"/>
                <w:szCs w:val="24"/>
              </w:rPr>
              <w:fldChar w:fldCharType="separate"/>
            </w:r>
            <w:r w:rsidR="001431BD" w:rsidRPr="001431BD">
              <w:rPr>
                <w:rFonts w:ascii="Palatino Linotype" w:hAnsi="Palatino Linotype"/>
                <w:b/>
                <w:noProof/>
                <w:webHidden/>
                <w:sz w:val="24"/>
                <w:szCs w:val="24"/>
              </w:rPr>
              <w:t>2</w:t>
            </w:r>
            <w:r w:rsidR="001431BD" w:rsidRPr="001431BD">
              <w:rPr>
                <w:rFonts w:ascii="Palatino Linotype" w:hAnsi="Palatino Linotype"/>
                <w:b/>
                <w:noProof/>
                <w:webHidden/>
                <w:sz w:val="24"/>
                <w:szCs w:val="24"/>
              </w:rPr>
              <w:fldChar w:fldCharType="end"/>
            </w:r>
          </w:hyperlink>
        </w:p>
        <w:p w:rsidR="001431BD" w:rsidRPr="001431BD" w:rsidRDefault="00D456B5" w:rsidP="001431BD">
          <w:pPr>
            <w:pStyle w:val="TDC1"/>
            <w:tabs>
              <w:tab w:val="right" w:leader="dot" w:pos="9034"/>
            </w:tabs>
            <w:spacing w:line="360" w:lineRule="auto"/>
            <w:rPr>
              <w:rFonts w:ascii="Palatino Linotype" w:eastAsiaTheme="minorEastAsia" w:hAnsi="Palatino Linotype"/>
              <w:b/>
              <w:noProof/>
              <w:sz w:val="24"/>
              <w:szCs w:val="24"/>
              <w:lang w:val="es-ES" w:eastAsia="es-ES"/>
            </w:rPr>
          </w:pPr>
          <w:hyperlink w:anchor="_Toc82006061" w:history="1">
            <w:r w:rsidR="001431BD" w:rsidRPr="001431BD">
              <w:rPr>
                <w:rStyle w:val="Hipervnculo"/>
                <w:rFonts w:ascii="Palatino Linotype" w:eastAsiaTheme="majorEastAsia" w:hAnsi="Palatino Linotype" w:cstheme="majorBidi"/>
                <w:b/>
                <w:noProof/>
                <w:color w:val="auto"/>
                <w:sz w:val="24"/>
                <w:szCs w:val="24"/>
              </w:rPr>
              <w:t>CONSIDERANDO</w:t>
            </w:r>
            <w:r w:rsidR="001431BD" w:rsidRPr="001431BD">
              <w:rPr>
                <w:rFonts w:ascii="Palatino Linotype" w:hAnsi="Palatino Linotype"/>
                <w:b/>
                <w:noProof/>
                <w:webHidden/>
                <w:sz w:val="24"/>
                <w:szCs w:val="24"/>
              </w:rPr>
              <w:tab/>
            </w:r>
            <w:r w:rsidR="001431BD" w:rsidRPr="001431BD">
              <w:rPr>
                <w:rFonts w:ascii="Palatino Linotype" w:hAnsi="Palatino Linotype"/>
                <w:b/>
                <w:noProof/>
                <w:webHidden/>
                <w:sz w:val="24"/>
                <w:szCs w:val="24"/>
              </w:rPr>
              <w:fldChar w:fldCharType="begin"/>
            </w:r>
            <w:r w:rsidR="001431BD" w:rsidRPr="001431BD">
              <w:rPr>
                <w:rFonts w:ascii="Palatino Linotype" w:hAnsi="Palatino Linotype"/>
                <w:b/>
                <w:noProof/>
                <w:webHidden/>
                <w:sz w:val="24"/>
                <w:szCs w:val="24"/>
              </w:rPr>
              <w:instrText xml:space="preserve"> PAGEREF _Toc82006061 \h </w:instrText>
            </w:r>
            <w:r w:rsidR="001431BD" w:rsidRPr="001431BD">
              <w:rPr>
                <w:rFonts w:ascii="Palatino Linotype" w:hAnsi="Palatino Linotype"/>
                <w:b/>
                <w:noProof/>
                <w:webHidden/>
                <w:sz w:val="24"/>
                <w:szCs w:val="24"/>
              </w:rPr>
            </w:r>
            <w:r w:rsidR="001431BD" w:rsidRPr="001431BD">
              <w:rPr>
                <w:rFonts w:ascii="Palatino Linotype" w:hAnsi="Palatino Linotype"/>
                <w:b/>
                <w:noProof/>
                <w:webHidden/>
                <w:sz w:val="24"/>
                <w:szCs w:val="24"/>
              </w:rPr>
              <w:fldChar w:fldCharType="separate"/>
            </w:r>
            <w:r w:rsidR="001431BD" w:rsidRPr="001431BD">
              <w:rPr>
                <w:rFonts w:ascii="Palatino Linotype" w:hAnsi="Palatino Linotype"/>
                <w:b/>
                <w:noProof/>
                <w:webHidden/>
                <w:sz w:val="24"/>
                <w:szCs w:val="24"/>
              </w:rPr>
              <w:t>8</w:t>
            </w:r>
            <w:r w:rsidR="001431BD" w:rsidRPr="001431BD">
              <w:rPr>
                <w:rFonts w:ascii="Palatino Linotype" w:hAnsi="Palatino Linotype"/>
                <w:b/>
                <w:noProof/>
                <w:webHidden/>
                <w:sz w:val="24"/>
                <w:szCs w:val="24"/>
              </w:rPr>
              <w:fldChar w:fldCharType="end"/>
            </w:r>
          </w:hyperlink>
        </w:p>
        <w:p w:rsidR="001431BD" w:rsidRPr="001431BD" w:rsidRDefault="00D456B5" w:rsidP="001431BD">
          <w:pPr>
            <w:pStyle w:val="TDC2"/>
            <w:spacing w:line="360" w:lineRule="auto"/>
            <w:rPr>
              <w:rFonts w:ascii="Palatino Linotype" w:eastAsiaTheme="minorEastAsia" w:hAnsi="Palatino Linotype"/>
              <w:b/>
              <w:noProof/>
              <w:sz w:val="24"/>
              <w:szCs w:val="24"/>
              <w:lang w:val="es-ES" w:eastAsia="es-ES"/>
            </w:rPr>
          </w:pPr>
          <w:hyperlink w:anchor="_Toc82006062" w:history="1">
            <w:r w:rsidR="001431BD" w:rsidRPr="001431BD">
              <w:rPr>
                <w:rStyle w:val="Hipervnculo"/>
                <w:rFonts w:ascii="Palatino Linotype" w:eastAsiaTheme="majorEastAsia" w:hAnsi="Palatino Linotype" w:cstheme="majorBidi"/>
                <w:b/>
                <w:noProof/>
                <w:color w:val="auto"/>
                <w:sz w:val="24"/>
                <w:szCs w:val="24"/>
              </w:rPr>
              <w:t>PRIMERO. De la competencia</w:t>
            </w:r>
            <w:r w:rsidR="001431BD" w:rsidRPr="001431BD">
              <w:rPr>
                <w:rFonts w:ascii="Palatino Linotype" w:hAnsi="Palatino Linotype"/>
                <w:b/>
                <w:noProof/>
                <w:webHidden/>
                <w:sz w:val="24"/>
                <w:szCs w:val="24"/>
              </w:rPr>
              <w:tab/>
            </w:r>
            <w:r w:rsidR="001431BD" w:rsidRPr="001431BD">
              <w:rPr>
                <w:rFonts w:ascii="Palatino Linotype" w:hAnsi="Palatino Linotype"/>
                <w:b/>
                <w:noProof/>
                <w:webHidden/>
                <w:sz w:val="24"/>
                <w:szCs w:val="24"/>
              </w:rPr>
              <w:fldChar w:fldCharType="begin"/>
            </w:r>
            <w:r w:rsidR="001431BD" w:rsidRPr="001431BD">
              <w:rPr>
                <w:rFonts w:ascii="Palatino Linotype" w:hAnsi="Palatino Linotype"/>
                <w:b/>
                <w:noProof/>
                <w:webHidden/>
                <w:sz w:val="24"/>
                <w:szCs w:val="24"/>
              </w:rPr>
              <w:instrText xml:space="preserve"> PAGEREF _Toc82006062 \h </w:instrText>
            </w:r>
            <w:r w:rsidR="001431BD" w:rsidRPr="001431BD">
              <w:rPr>
                <w:rFonts w:ascii="Palatino Linotype" w:hAnsi="Palatino Linotype"/>
                <w:b/>
                <w:noProof/>
                <w:webHidden/>
                <w:sz w:val="24"/>
                <w:szCs w:val="24"/>
              </w:rPr>
            </w:r>
            <w:r w:rsidR="001431BD" w:rsidRPr="001431BD">
              <w:rPr>
                <w:rFonts w:ascii="Palatino Linotype" w:hAnsi="Palatino Linotype"/>
                <w:b/>
                <w:noProof/>
                <w:webHidden/>
                <w:sz w:val="24"/>
                <w:szCs w:val="24"/>
              </w:rPr>
              <w:fldChar w:fldCharType="separate"/>
            </w:r>
            <w:r w:rsidR="001431BD" w:rsidRPr="001431BD">
              <w:rPr>
                <w:rFonts w:ascii="Palatino Linotype" w:hAnsi="Palatino Linotype"/>
                <w:b/>
                <w:noProof/>
                <w:webHidden/>
                <w:sz w:val="24"/>
                <w:szCs w:val="24"/>
              </w:rPr>
              <w:t>8</w:t>
            </w:r>
            <w:r w:rsidR="001431BD" w:rsidRPr="001431BD">
              <w:rPr>
                <w:rFonts w:ascii="Palatino Linotype" w:hAnsi="Palatino Linotype"/>
                <w:b/>
                <w:noProof/>
                <w:webHidden/>
                <w:sz w:val="24"/>
                <w:szCs w:val="24"/>
              </w:rPr>
              <w:fldChar w:fldCharType="end"/>
            </w:r>
          </w:hyperlink>
        </w:p>
        <w:p w:rsidR="001431BD" w:rsidRPr="001431BD" w:rsidRDefault="00D456B5" w:rsidP="001431BD">
          <w:pPr>
            <w:pStyle w:val="TDC2"/>
            <w:spacing w:line="360" w:lineRule="auto"/>
            <w:rPr>
              <w:rFonts w:ascii="Palatino Linotype" w:eastAsiaTheme="minorEastAsia" w:hAnsi="Palatino Linotype"/>
              <w:b/>
              <w:noProof/>
              <w:sz w:val="24"/>
              <w:szCs w:val="24"/>
              <w:lang w:val="es-ES" w:eastAsia="es-ES"/>
            </w:rPr>
          </w:pPr>
          <w:hyperlink w:anchor="_Toc82006063" w:history="1">
            <w:r w:rsidR="001431BD" w:rsidRPr="001431BD">
              <w:rPr>
                <w:rStyle w:val="Hipervnculo"/>
                <w:rFonts w:ascii="Palatino Linotype" w:eastAsiaTheme="majorEastAsia" w:hAnsi="Palatino Linotype" w:cstheme="majorBidi"/>
                <w:b/>
                <w:noProof/>
                <w:color w:val="auto"/>
                <w:sz w:val="24"/>
                <w:szCs w:val="24"/>
              </w:rPr>
              <w:t>SEGUNDO. De la oportunidad y procedencia.</w:t>
            </w:r>
            <w:r w:rsidR="001431BD" w:rsidRPr="001431BD">
              <w:rPr>
                <w:rFonts w:ascii="Palatino Linotype" w:hAnsi="Palatino Linotype"/>
                <w:b/>
                <w:noProof/>
                <w:webHidden/>
                <w:sz w:val="24"/>
                <w:szCs w:val="24"/>
              </w:rPr>
              <w:tab/>
            </w:r>
            <w:r w:rsidR="001431BD" w:rsidRPr="001431BD">
              <w:rPr>
                <w:rFonts w:ascii="Palatino Linotype" w:hAnsi="Palatino Linotype"/>
                <w:b/>
                <w:noProof/>
                <w:webHidden/>
                <w:sz w:val="24"/>
                <w:szCs w:val="24"/>
              </w:rPr>
              <w:fldChar w:fldCharType="begin"/>
            </w:r>
            <w:r w:rsidR="001431BD" w:rsidRPr="001431BD">
              <w:rPr>
                <w:rFonts w:ascii="Palatino Linotype" w:hAnsi="Palatino Linotype"/>
                <w:b/>
                <w:noProof/>
                <w:webHidden/>
                <w:sz w:val="24"/>
                <w:szCs w:val="24"/>
              </w:rPr>
              <w:instrText xml:space="preserve"> PAGEREF _Toc82006063 \h </w:instrText>
            </w:r>
            <w:r w:rsidR="001431BD" w:rsidRPr="001431BD">
              <w:rPr>
                <w:rFonts w:ascii="Palatino Linotype" w:hAnsi="Palatino Linotype"/>
                <w:b/>
                <w:noProof/>
                <w:webHidden/>
                <w:sz w:val="24"/>
                <w:szCs w:val="24"/>
              </w:rPr>
            </w:r>
            <w:r w:rsidR="001431BD" w:rsidRPr="001431BD">
              <w:rPr>
                <w:rFonts w:ascii="Palatino Linotype" w:hAnsi="Palatino Linotype"/>
                <w:b/>
                <w:noProof/>
                <w:webHidden/>
                <w:sz w:val="24"/>
                <w:szCs w:val="24"/>
              </w:rPr>
              <w:fldChar w:fldCharType="separate"/>
            </w:r>
            <w:r w:rsidR="001431BD" w:rsidRPr="001431BD">
              <w:rPr>
                <w:rFonts w:ascii="Palatino Linotype" w:hAnsi="Palatino Linotype"/>
                <w:b/>
                <w:noProof/>
                <w:webHidden/>
                <w:sz w:val="24"/>
                <w:szCs w:val="24"/>
              </w:rPr>
              <w:t>9</w:t>
            </w:r>
            <w:r w:rsidR="001431BD" w:rsidRPr="001431BD">
              <w:rPr>
                <w:rFonts w:ascii="Palatino Linotype" w:hAnsi="Palatino Linotype"/>
                <w:b/>
                <w:noProof/>
                <w:webHidden/>
                <w:sz w:val="24"/>
                <w:szCs w:val="24"/>
              </w:rPr>
              <w:fldChar w:fldCharType="end"/>
            </w:r>
          </w:hyperlink>
        </w:p>
        <w:p w:rsidR="001431BD" w:rsidRPr="001431BD" w:rsidRDefault="00D456B5" w:rsidP="001431BD">
          <w:pPr>
            <w:pStyle w:val="TDC2"/>
            <w:spacing w:line="360" w:lineRule="auto"/>
            <w:rPr>
              <w:rFonts w:ascii="Palatino Linotype" w:eastAsiaTheme="minorEastAsia" w:hAnsi="Palatino Linotype"/>
              <w:b/>
              <w:noProof/>
              <w:sz w:val="24"/>
              <w:szCs w:val="24"/>
              <w:lang w:val="es-ES" w:eastAsia="es-ES"/>
            </w:rPr>
          </w:pPr>
          <w:hyperlink w:anchor="_Toc82006064" w:history="1">
            <w:r w:rsidR="001431BD" w:rsidRPr="001431BD">
              <w:rPr>
                <w:rStyle w:val="Hipervnculo"/>
                <w:rFonts w:ascii="Palatino Linotype" w:eastAsiaTheme="majorEastAsia" w:hAnsi="Palatino Linotype" w:cstheme="majorBidi"/>
                <w:b/>
                <w:noProof/>
                <w:color w:val="auto"/>
                <w:sz w:val="24"/>
                <w:szCs w:val="24"/>
              </w:rPr>
              <w:t>CUARTO. Planteamiento de la Litis.</w:t>
            </w:r>
            <w:r w:rsidR="001431BD" w:rsidRPr="001431BD">
              <w:rPr>
                <w:rFonts w:ascii="Palatino Linotype" w:hAnsi="Palatino Linotype"/>
                <w:b/>
                <w:noProof/>
                <w:webHidden/>
                <w:sz w:val="24"/>
                <w:szCs w:val="24"/>
              </w:rPr>
              <w:tab/>
            </w:r>
            <w:r w:rsidR="001431BD" w:rsidRPr="001431BD">
              <w:rPr>
                <w:rFonts w:ascii="Palatino Linotype" w:hAnsi="Palatino Linotype"/>
                <w:b/>
                <w:noProof/>
                <w:webHidden/>
                <w:sz w:val="24"/>
                <w:szCs w:val="24"/>
              </w:rPr>
              <w:fldChar w:fldCharType="begin"/>
            </w:r>
            <w:r w:rsidR="001431BD" w:rsidRPr="001431BD">
              <w:rPr>
                <w:rFonts w:ascii="Palatino Linotype" w:hAnsi="Palatino Linotype"/>
                <w:b/>
                <w:noProof/>
                <w:webHidden/>
                <w:sz w:val="24"/>
                <w:szCs w:val="24"/>
              </w:rPr>
              <w:instrText xml:space="preserve"> PAGEREF _Toc82006064 \h </w:instrText>
            </w:r>
            <w:r w:rsidR="001431BD" w:rsidRPr="001431BD">
              <w:rPr>
                <w:rFonts w:ascii="Palatino Linotype" w:hAnsi="Palatino Linotype"/>
                <w:b/>
                <w:noProof/>
                <w:webHidden/>
                <w:sz w:val="24"/>
                <w:szCs w:val="24"/>
              </w:rPr>
            </w:r>
            <w:r w:rsidR="001431BD" w:rsidRPr="001431BD">
              <w:rPr>
                <w:rFonts w:ascii="Palatino Linotype" w:hAnsi="Palatino Linotype"/>
                <w:b/>
                <w:noProof/>
                <w:webHidden/>
                <w:sz w:val="24"/>
                <w:szCs w:val="24"/>
              </w:rPr>
              <w:fldChar w:fldCharType="separate"/>
            </w:r>
            <w:r w:rsidR="001431BD" w:rsidRPr="001431BD">
              <w:rPr>
                <w:rFonts w:ascii="Palatino Linotype" w:hAnsi="Palatino Linotype"/>
                <w:b/>
                <w:noProof/>
                <w:webHidden/>
                <w:sz w:val="24"/>
                <w:szCs w:val="24"/>
              </w:rPr>
              <w:t>10</w:t>
            </w:r>
            <w:r w:rsidR="001431BD" w:rsidRPr="001431BD">
              <w:rPr>
                <w:rFonts w:ascii="Palatino Linotype" w:hAnsi="Palatino Linotype"/>
                <w:b/>
                <w:noProof/>
                <w:webHidden/>
                <w:sz w:val="24"/>
                <w:szCs w:val="24"/>
              </w:rPr>
              <w:fldChar w:fldCharType="end"/>
            </w:r>
          </w:hyperlink>
        </w:p>
        <w:p w:rsidR="001431BD" w:rsidRPr="001431BD" w:rsidRDefault="00D456B5" w:rsidP="001431BD">
          <w:pPr>
            <w:pStyle w:val="TDC1"/>
            <w:tabs>
              <w:tab w:val="right" w:leader="dot" w:pos="9034"/>
            </w:tabs>
            <w:spacing w:line="360" w:lineRule="auto"/>
            <w:rPr>
              <w:rFonts w:ascii="Palatino Linotype" w:eastAsiaTheme="minorEastAsia" w:hAnsi="Palatino Linotype"/>
              <w:b/>
              <w:noProof/>
              <w:sz w:val="24"/>
              <w:szCs w:val="24"/>
              <w:lang w:val="es-ES" w:eastAsia="es-ES"/>
            </w:rPr>
          </w:pPr>
          <w:hyperlink w:anchor="_Toc82006065" w:history="1">
            <w:r w:rsidR="001431BD" w:rsidRPr="001431BD">
              <w:rPr>
                <w:rStyle w:val="Hipervnculo"/>
                <w:rFonts w:ascii="Palatino Linotype" w:eastAsiaTheme="majorEastAsia" w:hAnsi="Palatino Linotype" w:cstheme="majorBidi"/>
                <w:b/>
                <w:noProof/>
                <w:color w:val="auto"/>
                <w:sz w:val="24"/>
                <w:szCs w:val="24"/>
              </w:rPr>
              <w:t>QUINTO. Del estudio y resolución del asunto.</w:t>
            </w:r>
            <w:r w:rsidR="001431BD" w:rsidRPr="001431BD">
              <w:rPr>
                <w:rFonts w:ascii="Palatino Linotype" w:hAnsi="Palatino Linotype"/>
                <w:b/>
                <w:noProof/>
                <w:webHidden/>
                <w:sz w:val="24"/>
                <w:szCs w:val="24"/>
              </w:rPr>
              <w:tab/>
            </w:r>
            <w:r w:rsidR="001431BD" w:rsidRPr="001431BD">
              <w:rPr>
                <w:rFonts w:ascii="Palatino Linotype" w:hAnsi="Palatino Linotype"/>
                <w:b/>
                <w:noProof/>
                <w:webHidden/>
                <w:sz w:val="24"/>
                <w:szCs w:val="24"/>
              </w:rPr>
              <w:fldChar w:fldCharType="begin"/>
            </w:r>
            <w:r w:rsidR="001431BD" w:rsidRPr="001431BD">
              <w:rPr>
                <w:rFonts w:ascii="Palatino Linotype" w:hAnsi="Palatino Linotype"/>
                <w:b/>
                <w:noProof/>
                <w:webHidden/>
                <w:sz w:val="24"/>
                <w:szCs w:val="24"/>
              </w:rPr>
              <w:instrText xml:space="preserve"> PAGEREF _Toc82006065 \h </w:instrText>
            </w:r>
            <w:r w:rsidR="001431BD" w:rsidRPr="001431BD">
              <w:rPr>
                <w:rFonts w:ascii="Palatino Linotype" w:hAnsi="Palatino Linotype"/>
                <w:b/>
                <w:noProof/>
                <w:webHidden/>
                <w:sz w:val="24"/>
                <w:szCs w:val="24"/>
              </w:rPr>
            </w:r>
            <w:r w:rsidR="001431BD" w:rsidRPr="001431BD">
              <w:rPr>
                <w:rFonts w:ascii="Palatino Linotype" w:hAnsi="Palatino Linotype"/>
                <w:b/>
                <w:noProof/>
                <w:webHidden/>
                <w:sz w:val="24"/>
                <w:szCs w:val="24"/>
              </w:rPr>
              <w:fldChar w:fldCharType="separate"/>
            </w:r>
            <w:r w:rsidR="001431BD" w:rsidRPr="001431BD">
              <w:rPr>
                <w:rFonts w:ascii="Palatino Linotype" w:hAnsi="Palatino Linotype"/>
                <w:b/>
                <w:noProof/>
                <w:webHidden/>
                <w:sz w:val="24"/>
                <w:szCs w:val="24"/>
              </w:rPr>
              <w:t>11</w:t>
            </w:r>
            <w:r w:rsidR="001431BD" w:rsidRPr="001431BD">
              <w:rPr>
                <w:rFonts w:ascii="Palatino Linotype" w:hAnsi="Palatino Linotype"/>
                <w:b/>
                <w:noProof/>
                <w:webHidden/>
                <w:sz w:val="24"/>
                <w:szCs w:val="24"/>
              </w:rPr>
              <w:fldChar w:fldCharType="end"/>
            </w:r>
          </w:hyperlink>
        </w:p>
        <w:p w:rsidR="001431BD" w:rsidRPr="001431BD" w:rsidRDefault="00D456B5" w:rsidP="001431BD">
          <w:pPr>
            <w:pStyle w:val="TDC1"/>
            <w:tabs>
              <w:tab w:val="right" w:leader="dot" w:pos="9034"/>
            </w:tabs>
            <w:spacing w:line="360" w:lineRule="auto"/>
            <w:rPr>
              <w:rFonts w:ascii="Palatino Linotype" w:eastAsiaTheme="minorEastAsia" w:hAnsi="Palatino Linotype"/>
              <w:b/>
              <w:noProof/>
              <w:sz w:val="24"/>
              <w:szCs w:val="24"/>
              <w:lang w:val="es-ES" w:eastAsia="es-ES"/>
            </w:rPr>
          </w:pPr>
          <w:hyperlink w:anchor="_Toc82006066" w:history="1">
            <w:r w:rsidR="001431BD" w:rsidRPr="001431BD">
              <w:rPr>
                <w:rStyle w:val="Hipervnculo"/>
                <w:rFonts w:ascii="Palatino Linotype" w:hAnsi="Palatino Linotype" w:cstheme="majorBidi"/>
                <w:b/>
                <w:bCs/>
                <w:noProof/>
                <w:color w:val="auto"/>
                <w:sz w:val="24"/>
                <w:szCs w:val="24"/>
                <w:lang w:val="es-ES_tradnl" w:eastAsia="es-ES"/>
              </w:rPr>
              <w:t>R E S O L U T I V O S</w:t>
            </w:r>
            <w:r w:rsidR="001431BD" w:rsidRPr="001431BD">
              <w:rPr>
                <w:rFonts w:ascii="Palatino Linotype" w:hAnsi="Palatino Linotype"/>
                <w:b/>
                <w:noProof/>
                <w:webHidden/>
                <w:sz w:val="24"/>
                <w:szCs w:val="24"/>
              </w:rPr>
              <w:tab/>
            </w:r>
            <w:r w:rsidR="001431BD" w:rsidRPr="001431BD">
              <w:rPr>
                <w:rFonts w:ascii="Palatino Linotype" w:hAnsi="Palatino Linotype"/>
                <w:b/>
                <w:noProof/>
                <w:webHidden/>
                <w:sz w:val="24"/>
                <w:szCs w:val="24"/>
              </w:rPr>
              <w:fldChar w:fldCharType="begin"/>
            </w:r>
            <w:r w:rsidR="001431BD" w:rsidRPr="001431BD">
              <w:rPr>
                <w:rFonts w:ascii="Palatino Linotype" w:hAnsi="Palatino Linotype"/>
                <w:b/>
                <w:noProof/>
                <w:webHidden/>
                <w:sz w:val="24"/>
                <w:szCs w:val="24"/>
              </w:rPr>
              <w:instrText xml:space="preserve"> PAGEREF _Toc82006066 \h </w:instrText>
            </w:r>
            <w:r w:rsidR="001431BD" w:rsidRPr="001431BD">
              <w:rPr>
                <w:rFonts w:ascii="Palatino Linotype" w:hAnsi="Palatino Linotype"/>
                <w:b/>
                <w:noProof/>
                <w:webHidden/>
                <w:sz w:val="24"/>
                <w:szCs w:val="24"/>
              </w:rPr>
            </w:r>
            <w:r w:rsidR="001431BD" w:rsidRPr="001431BD">
              <w:rPr>
                <w:rFonts w:ascii="Palatino Linotype" w:hAnsi="Palatino Linotype"/>
                <w:b/>
                <w:noProof/>
                <w:webHidden/>
                <w:sz w:val="24"/>
                <w:szCs w:val="24"/>
              </w:rPr>
              <w:fldChar w:fldCharType="separate"/>
            </w:r>
            <w:r w:rsidR="001431BD" w:rsidRPr="001431BD">
              <w:rPr>
                <w:rFonts w:ascii="Palatino Linotype" w:hAnsi="Palatino Linotype"/>
                <w:b/>
                <w:noProof/>
                <w:webHidden/>
                <w:sz w:val="24"/>
                <w:szCs w:val="24"/>
              </w:rPr>
              <w:t>18</w:t>
            </w:r>
            <w:r w:rsidR="001431BD" w:rsidRPr="001431BD">
              <w:rPr>
                <w:rFonts w:ascii="Palatino Linotype" w:hAnsi="Palatino Linotype"/>
                <w:b/>
                <w:noProof/>
                <w:webHidden/>
                <w:sz w:val="24"/>
                <w:szCs w:val="24"/>
              </w:rPr>
              <w:fldChar w:fldCharType="end"/>
            </w:r>
          </w:hyperlink>
        </w:p>
        <w:p w:rsidR="00766C07" w:rsidRPr="001431BD" w:rsidRDefault="00766C07" w:rsidP="001431BD">
          <w:pPr>
            <w:spacing w:line="360" w:lineRule="auto"/>
            <w:rPr>
              <w:rFonts w:ascii="Palatino Linotype" w:eastAsiaTheme="minorEastAsia" w:hAnsi="Palatino Linotype"/>
              <w:lang w:val="es-ES_tradnl" w:eastAsia="es-ES"/>
            </w:rPr>
          </w:pPr>
          <w:r w:rsidRPr="001431BD">
            <w:rPr>
              <w:rFonts w:ascii="Palatino Linotype" w:eastAsiaTheme="minorEastAsia" w:hAnsi="Palatino Linotype"/>
              <w:b/>
              <w:bCs/>
              <w:lang w:val="es-ES" w:eastAsia="es-ES"/>
            </w:rPr>
            <w:fldChar w:fldCharType="end"/>
          </w:r>
        </w:p>
      </w:sdtContent>
    </w:sdt>
    <w:p w:rsidR="00766C07" w:rsidRPr="001431BD" w:rsidRDefault="00766C07"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eastAsiaTheme="minorEastAsia" w:hAnsi="Palatino Linotype"/>
          <w:lang w:val="es-ES_tradnl" w:eastAsia="es-ES"/>
        </w:rPr>
      </w:pPr>
    </w:p>
    <w:p w:rsidR="001431BD" w:rsidRDefault="001431BD"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eastAsiaTheme="minorEastAsia" w:hAnsi="Palatino Linotype"/>
          <w:lang w:val="es-ES_tradnl" w:eastAsia="es-ES"/>
        </w:rPr>
      </w:pPr>
      <w:r w:rsidRPr="001431BD">
        <w:rPr>
          <w:rFonts w:ascii="Palatino Linotype" w:eastAsiaTheme="minorEastAsia" w:hAnsi="Palatino Linotype"/>
          <w:lang w:val="es-ES_tradnl" w:eastAsia="es-ES"/>
        </w:rPr>
        <w:lastRenderedPageBreak/>
        <w:t>Resolución del Pleno del Instituto de Transparencia, Acceso a la Información Pública y Protección de Datos Personales del Estado de México y Municipios, con domicilio en Metepec, Estado de México; de fecha quince (15) de septiembre  de dos mil veintiuno.</w:t>
      </w:r>
    </w:p>
    <w:p w:rsidR="00766C07" w:rsidRPr="001431BD" w:rsidRDefault="00766C07" w:rsidP="00766C07">
      <w:pPr>
        <w:spacing w:line="360" w:lineRule="auto"/>
        <w:jc w:val="both"/>
        <w:rPr>
          <w:rFonts w:ascii="Palatino Linotype" w:eastAsiaTheme="minorEastAsia" w:hAnsi="Palatino Linotype"/>
          <w:lang w:val="es-ES_tradnl" w:eastAsia="es-ES"/>
        </w:rPr>
      </w:pPr>
    </w:p>
    <w:p w:rsidR="00766C07" w:rsidRPr="001431BD" w:rsidRDefault="00766C07" w:rsidP="00766C07">
      <w:pPr>
        <w:spacing w:line="360" w:lineRule="auto"/>
        <w:jc w:val="both"/>
        <w:rPr>
          <w:rFonts w:ascii="Palatino Linotype" w:hAnsi="Palatino Linotype"/>
        </w:rPr>
      </w:pPr>
      <w:r w:rsidRPr="001431BD">
        <w:rPr>
          <w:rFonts w:ascii="Palatino Linotype" w:hAnsi="Palatino Linotype"/>
          <w:b/>
        </w:rPr>
        <w:t>VISTO</w:t>
      </w:r>
      <w:r w:rsidRPr="001431BD">
        <w:rPr>
          <w:rFonts w:ascii="Palatino Linotype" w:hAnsi="Palatino Linotype"/>
        </w:rPr>
        <w:t xml:space="preserve"> el expediente electrónico formado con motivo del recurso de revisión </w:t>
      </w:r>
      <w:r w:rsidRPr="001431BD">
        <w:rPr>
          <w:rFonts w:ascii="Palatino Linotype" w:hAnsi="Palatino Linotype"/>
          <w:b/>
        </w:rPr>
        <w:t>03538/INFOEM/IP/RR/2021,</w:t>
      </w:r>
      <w:r w:rsidRPr="001431BD">
        <w:rPr>
          <w:rFonts w:ascii="Palatino Linotype" w:hAnsi="Palatino Linotype" w:cs="Arial"/>
          <w:b/>
          <w:bCs/>
        </w:rPr>
        <w:t xml:space="preserve"> </w:t>
      </w:r>
      <w:r w:rsidR="0031050C">
        <w:rPr>
          <w:rFonts w:ascii="Palatino Linotype" w:eastAsiaTheme="minorEastAsia" w:hAnsi="Palatino Linotype"/>
          <w:lang w:val="es-ES_tradnl" w:eastAsia="es-ES"/>
        </w:rPr>
        <w:t xml:space="preserve">promovido </w:t>
      </w:r>
      <w:r w:rsidR="0031050C" w:rsidRPr="0031050C">
        <w:rPr>
          <w:rFonts w:ascii="Palatino Linotype" w:eastAsiaTheme="minorEastAsia" w:hAnsi="Palatino Linotype"/>
          <w:highlight w:val="black"/>
          <w:lang w:val="es-ES_tradnl" w:eastAsia="es-ES"/>
        </w:rPr>
        <w:t>XXXXXXXXXXXXXXX</w:t>
      </w:r>
      <w:r w:rsidRPr="001431BD">
        <w:rPr>
          <w:rFonts w:ascii="Palatino Linotype" w:hAnsi="Palatino Linotype"/>
        </w:rPr>
        <w:t xml:space="preserve">, quien en lo sucesivo se identificará como </w:t>
      </w:r>
      <w:r w:rsidRPr="001431BD">
        <w:rPr>
          <w:rFonts w:ascii="Palatino Linotype" w:hAnsi="Palatino Linotype"/>
          <w:b/>
        </w:rPr>
        <w:t xml:space="preserve">EL </w:t>
      </w:r>
      <w:r w:rsidRPr="001431BD">
        <w:rPr>
          <w:rFonts w:ascii="Palatino Linotype" w:hAnsi="Palatino Linotype" w:cs="Arial"/>
          <w:b/>
        </w:rPr>
        <w:t>RECURRENTE</w:t>
      </w:r>
      <w:r w:rsidRPr="001431BD">
        <w:rPr>
          <w:rFonts w:ascii="Palatino Linotype" w:hAnsi="Palatino Linotype" w:cs="Arial"/>
        </w:rPr>
        <w:t xml:space="preserve">, en contra de la respuesta del </w:t>
      </w:r>
      <w:r w:rsidRPr="001431BD">
        <w:rPr>
          <w:rFonts w:ascii="Palatino Linotype" w:hAnsi="Palatino Linotype" w:cs="Arial"/>
          <w:b/>
        </w:rPr>
        <w:t>Ayuntamiento de Tlalnepantla de Baz,</w:t>
      </w:r>
      <w:r w:rsidRPr="001431BD">
        <w:rPr>
          <w:rFonts w:ascii="Palatino Linotype" w:hAnsi="Palatino Linotype"/>
          <w:b/>
        </w:rPr>
        <w:t xml:space="preserve"> </w:t>
      </w:r>
      <w:r w:rsidRPr="001431BD">
        <w:rPr>
          <w:rFonts w:ascii="Palatino Linotype" w:hAnsi="Palatino Linotype"/>
        </w:rPr>
        <w:t>en lo sucesivo el</w:t>
      </w:r>
      <w:r w:rsidRPr="001431BD">
        <w:rPr>
          <w:rFonts w:ascii="Palatino Linotype" w:hAnsi="Palatino Linotype"/>
          <w:b/>
        </w:rPr>
        <w:t xml:space="preserve"> SUJETO OBLIGADO</w:t>
      </w:r>
      <w:r w:rsidRPr="001431BD">
        <w:rPr>
          <w:rFonts w:ascii="Palatino Linotype" w:hAnsi="Palatino Linotype"/>
        </w:rPr>
        <w:t>, por lo que se procede a dictar la presente resolución, con base en los siguientes:</w:t>
      </w:r>
      <w:bookmarkStart w:id="0" w:name="_GoBack"/>
      <w:bookmarkEnd w:id="0"/>
    </w:p>
    <w:p w:rsidR="00766C07" w:rsidRPr="001431BD" w:rsidRDefault="00766C07" w:rsidP="00766C07">
      <w:pPr>
        <w:spacing w:line="360" w:lineRule="auto"/>
        <w:jc w:val="both"/>
        <w:rPr>
          <w:rFonts w:ascii="Palatino Linotype" w:hAnsi="Palatino Linotype"/>
          <w:b/>
        </w:rPr>
      </w:pPr>
    </w:p>
    <w:p w:rsidR="00766C07" w:rsidRPr="001431BD" w:rsidRDefault="00766C07" w:rsidP="00766C07">
      <w:pPr>
        <w:keepNext/>
        <w:keepLines/>
        <w:spacing w:line="360" w:lineRule="auto"/>
        <w:jc w:val="center"/>
        <w:outlineLvl w:val="0"/>
        <w:rPr>
          <w:rFonts w:ascii="Palatino Linotype" w:eastAsiaTheme="majorEastAsia" w:hAnsi="Palatino Linotype" w:cstheme="majorBidi"/>
          <w:b/>
          <w:szCs w:val="32"/>
        </w:rPr>
      </w:pPr>
      <w:bookmarkStart w:id="1" w:name="_Toc82006060"/>
      <w:r w:rsidRPr="001431BD">
        <w:rPr>
          <w:rFonts w:ascii="Palatino Linotype" w:eastAsiaTheme="majorEastAsia" w:hAnsi="Palatino Linotype" w:cstheme="majorBidi"/>
          <w:b/>
          <w:szCs w:val="32"/>
        </w:rPr>
        <w:t>ANTECEDENTES</w:t>
      </w:r>
      <w:bookmarkEnd w:id="1"/>
    </w:p>
    <w:p w:rsidR="00766C07" w:rsidRPr="001431BD" w:rsidRDefault="00766C07" w:rsidP="00766C07">
      <w:pPr>
        <w:spacing w:line="360" w:lineRule="auto"/>
        <w:rPr>
          <w:rFonts w:ascii="Palatino Linotype" w:eastAsiaTheme="minorEastAsia" w:hAnsi="Palatino Linotype"/>
        </w:rPr>
      </w:pPr>
    </w:p>
    <w:p w:rsidR="00766C07" w:rsidRPr="001431BD" w:rsidRDefault="00766C07" w:rsidP="00766C07">
      <w:pPr>
        <w:numPr>
          <w:ilvl w:val="0"/>
          <w:numId w:val="9"/>
        </w:numPr>
        <w:spacing w:line="360" w:lineRule="auto"/>
        <w:ind w:left="0" w:firstLine="0"/>
        <w:contextualSpacing/>
        <w:jc w:val="both"/>
        <w:rPr>
          <w:rFonts w:ascii="Palatino Linotype" w:hAnsi="Palatino Linotype" w:cs="Arial"/>
          <w:lang w:val="es-ES" w:eastAsia="es-ES"/>
        </w:rPr>
      </w:pPr>
      <w:r w:rsidRPr="001431BD">
        <w:rPr>
          <w:rFonts w:ascii="Palatino Linotype" w:eastAsia="Calibri" w:hAnsi="Palatino Linotype" w:cs="Arial"/>
          <w:lang w:val="es-ES" w:eastAsia="es-ES"/>
        </w:rPr>
        <w:t>El día treinta y uno (31) de mayo  de dos mil veintiuno,</w:t>
      </w:r>
      <w:r w:rsidRPr="001431BD">
        <w:rPr>
          <w:rFonts w:ascii="Palatino Linotype" w:eastAsia="Calibri" w:hAnsi="Palatino Linotype"/>
          <w:lang w:val="es-ES" w:eastAsia="es-ES"/>
        </w:rPr>
        <w:t xml:space="preserve"> </w:t>
      </w:r>
      <w:r w:rsidRPr="001431BD">
        <w:rPr>
          <w:rFonts w:ascii="Palatino Linotype" w:eastAsia="Calibri" w:hAnsi="Palatino Linotype"/>
          <w:b/>
          <w:lang w:val="es-ES" w:eastAsia="es-ES"/>
        </w:rPr>
        <w:t>EL RECURRENTE</w:t>
      </w:r>
      <w:r w:rsidRPr="001431BD">
        <w:rPr>
          <w:rFonts w:ascii="Palatino Linotype" w:eastAsiaTheme="minorEastAsia" w:hAnsi="Palatino Linotype"/>
          <w:b/>
          <w:lang w:val="es-ES_tradnl" w:eastAsia="es-ES"/>
        </w:rPr>
        <w:t>,</w:t>
      </w:r>
      <w:r w:rsidRPr="001431BD">
        <w:rPr>
          <w:rFonts w:ascii="Palatino Linotype" w:eastAsia="Calibri" w:hAnsi="Palatino Linotype" w:cs="Arial"/>
          <w:lang w:val="es-ES" w:eastAsia="es-ES"/>
        </w:rPr>
        <w:t xml:space="preserve"> ante el </w:t>
      </w:r>
      <w:r w:rsidRPr="001431BD">
        <w:rPr>
          <w:rFonts w:ascii="Palatino Linotype" w:eastAsia="Calibri" w:hAnsi="Palatino Linotype" w:cs="Arial"/>
          <w:b/>
          <w:lang w:val="es-ES" w:eastAsia="es-ES"/>
        </w:rPr>
        <w:t>SUJETO OBLIGADO</w:t>
      </w:r>
      <w:r w:rsidRPr="001431BD">
        <w:rPr>
          <w:rFonts w:ascii="Palatino Linotype" w:eastAsia="Calibri" w:hAnsi="Palatino Linotype" w:cs="Arial"/>
          <w:lang w:val="es-ES_tradnl" w:eastAsia="es-ES"/>
        </w:rPr>
        <w:t xml:space="preserve"> vía </w:t>
      </w:r>
      <w:r w:rsidRPr="001431BD">
        <w:rPr>
          <w:rFonts w:ascii="Palatino Linotype" w:eastAsia="Calibri" w:hAnsi="Palatino Linotype" w:cs="Arial"/>
          <w:lang w:val="es-ES" w:eastAsia="es-ES"/>
        </w:rPr>
        <w:t>Sistema de Acceso a la Información Mexiquense (</w:t>
      </w:r>
      <w:r w:rsidRPr="001431BD">
        <w:rPr>
          <w:rFonts w:ascii="Palatino Linotype" w:eastAsia="Calibri" w:hAnsi="Palatino Linotype" w:cs="Arial"/>
          <w:b/>
          <w:lang w:val="es-ES" w:eastAsia="es-ES"/>
        </w:rPr>
        <w:t>SAIMEX)</w:t>
      </w:r>
      <w:r w:rsidRPr="001431BD">
        <w:rPr>
          <w:rFonts w:ascii="Palatino Linotype" w:eastAsia="Calibri" w:hAnsi="Palatino Linotype" w:cs="Arial"/>
          <w:lang w:val="es-ES" w:eastAsia="es-ES"/>
        </w:rPr>
        <w:t xml:space="preserve">, presentó una solicitud de información registrada con el número </w:t>
      </w:r>
      <w:r w:rsidRPr="001431BD">
        <w:rPr>
          <w:rFonts w:ascii="Palatino Linotype" w:hAnsi="Palatino Linotype"/>
          <w:b/>
          <w:bCs/>
        </w:rPr>
        <w:t>00408/TLALNEPA/IP/2021</w:t>
      </w:r>
      <w:r w:rsidRPr="001431BD">
        <w:rPr>
          <w:rFonts w:ascii="Palatino Linotype" w:eastAsiaTheme="minorEastAsia" w:hAnsi="Palatino Linotype"/>
          <w:b/>
          <w:lang w:val="es-ES_tradnl" w:eastAsia="es-ES"/>
        </w:rPr>
        <w:t xml:space="preserve">, </w:t>
      </w:r>
      <w:r w:rsidRPr="001431BD">
        <w:rPr>
          <w:rFonts w:ascii="Palatino Linotype" w:eastAsia="Calibri" w:hAnsi="Palatino Linotype" w:cs="Arial"/>
          <w:lang w:val="es-ES" w:eastAsia="es-ES"/>
        </w:rPr>
        <w:t>mediante la cual solicitó lo siguiente:</w:t>
      </w:r>
    </w:p>
    <w:p w:rsidR="00766C07" w:rsidRPr="001431BD" w:rsidRDefault="00766C07" w:rsidP="00766C07">
      <w:pPr>
        <w:spacing w:line="360" w:lineRule="auto"/>
        <w:contextualSpacing/>
        <w:jc w:val="both"/>
        <w:rPr>
          <w:rFonts w:ascii="Palatino Linotype" w:hAnsi="Palatino Linotype" w:cs="Arial"/>
          <w:lang w:val="es-ES" w:eastAsia="es-ES"/>
        </w:rPr>
      </w:pPr>
    </w:p>
    <w:p w:rsidR="00766C07" w:rsidRPr="001431BD" w:rsidRDefault="00766C07" w:rsidP="00766C07">
      <w:pPr>
        <w:pStyle w:val="Prrafodelista"/>
        <w:spacing w:line="360" w:lineRule="auto"/>
        <w:ind w:left="1069" w:right="567"/>
        <w:jc w:val="both"/>
        <w:rPr>
          <w:rFonts w:ascii="Palatino Linotype" w:hAnsi="Palatino Linotype"/>
          <w:i/>
          <w:color w:val="000000"/>
        </w:rPr>
      </w:pPr>
      <w:r w:rsidRPr="001431BD">
        <w:rPr>
          <w:rFonts w:ascii="Palatino Linotype" w:hAnsi="Palatino Linotype"/>
          <w:i/>
          <w:color w:val="000000"/>
        </w:rPr>
        <w:t xml:space="preserve"> “DE CONFORMIDAD CON el artículo 6 segundo párrafo, apartado A de la Constitución Política de Los Estados Unidos Mexicanos, 12 y el TITULO QUINTO, artículo 92, entre otras de la Ley de Transparencia y Acceso a la Información Pública del Estado de México y Municipios, a los LINEAMIENTOS GENERALES EN MATERIA DE CLASIFICACIÓN Y DESCLASIFICACIÓN DE LA INFORMACIÓN, PARA LA ELABORACIÓN DE VERSIONES PÚBLICAS; Capítulos IX, con el 344 del Código Financiero del Estado de México y Municipios, </w:t>
      </w:r>
      <w:r w:rsidRPr="001431BD">
        <w:rPr>
          <w:rFonts w:ascii="Palatino Linotype" w:hAnsi="Palatino Linotype"/>
          <w:i/>
          <w:color w:val="000000"/>
        </w:rPr>
        <w:lastRenderedPageBreak/>
        <w:t xml:space="preserve">a los LINEAMIENTOS PARA LA ENTREGA DEL INFORME MENSUAL MUNICIPAL 2020, a los Lineamientos de Control Financiero y Administrativo para las Entidades Fiscalizables Municipales del Estado de México; articulo DÉCIMO PRIMERO fracción IV del Capítulo V, Titulo Primero que a la letra señala;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entre otras normatividades aplicables,…”, solicito SE ME ENVIÉ VÍA SAIMEX LA INFORMACIÓN PÚBLICA CONTENIDA EN EL DISCO DENOMINADO 5 (Imágenes Digitalizadas) en forma precisa y entendible DEL MES DE DICIEMBRE DEL AÑO 2020 DEL AYUNTAMIENTO MUNICIPAL DE TLALNEPANTLA DE BAZ, ENVIADA AL OSFEM Y QUE CONSISTE EN LO SIGUIENTE; 1.- Pólizas de Cheques con la documentación, justificativa, comprobatoria, suficiente, competente, pertinente y relevante,” (Sic) </w:t>
      </w:r>
    </w:p>
    <w:p w:rsidR="00766C07" w:rsidRPr="001431BD" w:rsidRDefault="00766C07" w:rsidP="00766C07">
      <w:pPr>
        <w:pStyle w:val="Prrafodelista"/>
        <w:spacing w:line="360" w:lineRule="auto"/>
        <w:ind w:left="1069" w:right="567"/>
        <w:jc w:val="both"/>
        <w:rPr>
          <w:rFonts w:ascii="Palatino Linotype" w:eastAsia="Calibri" w:hAnsi="Palatino Linotype" w:cs="Arial"/>
          <w:i/>
          <w:lang w:val="es-ES" w:eastAsia="es-ES"/>
        </w:rPr>
      </w:pPr>
    </w:p>
    <w:p w:rsidR="00766C07" w:rsidRPr="001431BD" w:rsidRDefault="00766C07" w:rsidP="00766C07">
      <w:pPr>
        <w:numPr>
          <w:ilvl w:val="0"/>
          <w:numId w:val="9"/>
        </w:numPr>
        <w:spacing w:line="360" w:lineRule="auto"/>
        <w:ind w:left="0" w:firstLine="0"/>
        <w:contextualSpacing/>
        <w:jc w:val="both"/>
        <w:rPr>
          <w:rFonts w:ascii="Palatino Linotype" w:eastAsia="Calibri" w:hAnsi="Palatino Linotype"/>
          <w:lang w:val="es-ES" w:eastAsia="es-ES"/>
        </w:rPr>
      </w:pPr>
      <w:r w:rsidRPr="001431BD">
        <w:rPr>
          <w:rFonts w:ascii="Palatino Linotype" w:eastAsia="Calibri" w:hAnsi="Palatino Linotype"/>
          <w:lang w:val="es-ES" w:eastAsia="es-ES"/>
        </w:rPr>
        <w:t>De las constancias que obran en el expediente electrónico SAIMEX, se observa que el siete (07) de junio  de dos mil veintiuno, se realizó un requerimiento al servidor público habilitado, al cual se le dio respuesta en la misma fecha:</w:t>
      </w:r>
    </w:p>
    <w:p w:rsidR="00766C07" w:rsidRPr="001431BD" w:rsidRDefault="00766C07" w:rsidP="00766C07">
      <w:pPr>
        <w:spacing w:line="360" w:lineRule="auto"/>
        <w:contextualSpacing/>
        <w:jc w:val="both"/>
        <w:rPr>
          <w:noProof/>
          <w:lang w:val="es-ES" w:eastAsia="es-ES"/>
        </w:rPr>
      </w:pPr>
    </w:p>
    <w:p w:rsidR="00766C07" w:rsidRDefault="00766C07" w:rsidP="00766C07">
      <w:pPr>
        <w:spacing w:line="360" w:lineRule="auto"/>
        <w:contextualSpacing/>
        <w:jc w:val="center"/>
        <w:rPr>
          <w:rFonts w:ascii="Palatino Linotype" w:eastAsia="Calibri" w:hAnsi="Palatino Linotype"/>
          <w:lang w:val="es-ES" w:eastAsia="es-ES"/>
        </w:rPr>
      </w:pPr>
      <w:r w:rsidRPr="001431BD">
        <w:rPr>
          <w:noProof/>
          <w:lang w:val="es-ES" w:eastAsia="es-ES"/>
        </w:rPr>
        <w:drawing>
          <wp:inline distT="0" distB="0" distL="0" distR="0" wp14:anchorId="340FFBF1" wp14:editId="6441153B">
            <wp:extent cx="5651630" cy="1428108"/>
            <wp:effectExtent l="0" t="0" r="635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030" t="19226" r="23426" b="60303"/>
                    <a:stretch/>
                  </pic:blipFill>
                  <pic:spPr bwMode="auto">
                    <a:xfrm>
                      <a:off x="0" y="0"/>
                      <a:ext cx="5731043" cy="1448175"/>
                    </a:xfrm>
                    <a:prstGeom prst="rect">
                      <a:avLst/>
                    </a:prstGeom>
                    <a:ln>
                      <a:noFill/>
                    </a:ln>
                    <a:extLst>
                      <a:ext uri="{53640926-AAD7-44D8-BBD7-CCE9431645EC}">
                        <a14:shadowObscured xmlns:a14="http://schemas.microsoft.com/office/drawing/2010/main"/>
                      </a:ext>
                    </a:extLst>
                  </pic:spPr>
                </pic:pic>
              </a:graphicData>
            </a:graphic>
          </wp:inline>
        </w:drawing>
      </w:r>
    </w:p>
    <w:p w:rsidR="00060137" w:rsidRPr="001431BD" w:rsidRDefault="00060137" w:rsidP="00766C07">
      <w:pPr>
        <w:spacing w:line="360" w:lineRule="auto"/>
        <w:contextualSpacing/>
        <w:jc w:val="center"/>
        <w:rPr>
          <w:rFonts w:ascii="Palatino Linotype" w:eastAsia="Calibri" w:hAnsi="Palatino Linotype"/>
          <w:lang w:val="es-ES" w:eastAsia="es-ES"/>
        </w:rPr>
      </w:pPr>
    </w:p>
    <w:p w:rsidR="00766C07" w:rsidRPr="001431BD" w:rsidRDefault="00766C07" w:rsidP="00766C07">
      <w:pPr>
        <w:spacing w:line="360" w:lineRule="auto"/>
        <w:contextualSpacing/>
        <w:jc w:val="both"/>
        <w:rPr>
          <w:rFonts w:ascii="Palatino Linotype" w:eastAsia="Calibri" w:hAnsi="Palatino Linotype"/>
          <w:lang w:val="es-ES" w:eastAsia="es-ES"/>
        </w:rPr>
      </w:pPr>
    </w:p>
    <w:p w:rsidR="00766C07" w:rsidRPr="001431BD" w:rsidRDefault="00766C07" w:rsidP="00766C07">
      <w:pPr>
        <w:numPr>
          <w:ilvl w:val="0"/>
          <w:numId w:val="9"/>
        </w:numPr>
        <w:spacing w:line="360" w:lineRule="auto"/>
        <w:ind w:left="0" w:firstLine="0"/>
        <w:contextualSpacing/>
        <w:jc w:val="both"/>
        <w:rPr>
          <w:rFonts w:ascii="Palatino Linotype" w:eastAsia="Calibri" w:hAnsi="Palatino Linotype"/>
          <w:lang w:val="es-ES" w:eastAsia="es-ES"/>
        </w:rPr>
      </w:pPr>
      <w:r w:rsidRPr="001431BD">
        <w:rPr>
          <w:rFonts w:ascii="Palatino Linotype" w:eastAsiaTheme="minorEastAsia" w:hAnsi="Palatino Linotype"/>
          <w:lang w:val="es-ES_tradnl" w:eastAsia="es-ES"/>
        </w:rPr>
        <w:lastRenderedPageBreak/>
        <w:t xml:space="preserve">El siete (07) de junio de dos mil veintiuno, </w:t>
      </w:r>
      <w:r w:rsidRPr="001431BD">
        <w:rPr>
          <w:rFonts w:ascii="Palatino Linotype" w:eastAsia="Calibri" w:hAnsi="Palatino Linotype"/>
          <w:lang w:val="es-ES" w:eastAsia="es-ES"/>
        </w:rPr>
        <w:t xml:space="preserve">el </w:t>
      </w:r>
      <w:r w:rsidRPr="001431BD">
        <w:rPr>
          <w:rFonts w:ascii="Palatino Linotype" w:eastAsia="Calibri" w:hAnsi="Palatino Linotype" w:cs="Arial"/>
          <w:b/>
          <w:lang w:val="es-AR" w:eastAsia="es-ES"/>
        </w:rPr>
        <w:t>SUJETO OBLIGADO</w:t>
      </w:r>
      <w:r w:rsidRPr="001431BD">
        <w:rPr>
          <w:rFonts w:ascii="Palatino Linotype" w:eastAsia="Calibri" w:hAnsi="Palatino Linotype" w:cs="Arial"/>
          <w:b/>
          <w:i/>
          <w:lang w:val="es-AR" w:eastAsia="es-ES"/>
        </w:rPr>
        <w:t xml:space="preserve"> </w:t>
      </w:r>
      <w:r w:rsidRPr="001431BD">
        <w:rPr>
          <w:rFonts w:ascii="Palatino Linotype" w:hAnsi="Palatino Linotype" w:cs="Arial"/>
          <w:lang w:val="es-ES" w:eastAsia="es-ES"/>
        </w:rPr>
        <w:t>dio respuestas a la solicitud de información en los siguientes términos:</w:t>
      </w:r>
    </w:p>
    <w:p w:rsidR="00766C07" w:rsidRPr="001431BD" w:rsidRDefault="00766C07" w:rsidP="00766C07">
      <w:pPr>
        <w:spacing w:line="360" w:lineRule="auto"/>
        <w:ind w:left="720"/>
        <w:contextualSpacing/>
        <w:rPr>
          <w:rFonts w:ascii="Palatino Linotype" w:hAnsi="Palatino Linotype" w:cs="Arial"/>
          <w:lang w:val="es-ES" w:eastAsia="es-ES"/>
        </w:rPr>
      </w:pPr>
    </w:p>
    <w:tbl>
      <w:tblPr>
        <w:tblW w:w="7205" w:type="dxa"/>
        <w:jc w:val="center"/>
        <w:tblCellSpacing w:w="0" w:type="dxa"/>
        <w:tblCellMar>
          <w:left w:w="0" w:type="dxa"/>
          <w:right w:w="0" w:type="dxa"/>
        </w:tblCellMar>
        <w:tblLook w:val="04A0" w:firstRow="1" w:lastRow="0" w:firstColumn="1" w:lastColumn="0" w:noHBand="0" w:noVBand="1"/>
      </w:tblPr>
      <w:tblGrid>
        <w:gridCol w:w="7205"/>
      </w:tblGrid>
      <w:tr w:rsidR="00766C07" w:rsidRPr="001431BD" w:rsidTr="007B1226">
        <w:trPr>
          <w:trHeight w:val="618"/>
          <w:tblCellSpacing w:w="0" w:type="dxa"/>
          <w:jc w:val="center"/>
        </w:trPr>
        <w:tc>
          <w:tcPr>
            <w:tcW w:w="0" w:type="auto"/>
            <w:vAlign w:val="center"/>
            <w:hideMark/>
          </w:tcPr>
          <w:p w:rsidR="00766C07" w:rsidRPr="001431BD" w:rsidRDefault="00766C07" w:rsidP="007B1226">
            <w:pPr>
              <w:jc w:val="right"/>
              <w:rPr>
                <w:rFonts w:ascii="Palatino Linotype" w:hAnsi="Palatino Linotype"/>
                <w:i/>
                <w:sz w:val="22"/>
                <w:szCs w:val="22"/>
                <w:lang w:val="es-ES" w:eastAsia="es-ES"/>
              </w:rPr>
            </w:pPr>
            <w:r w:rsidRPr="001431BD">
              <w:rPr>
                <w:rFonts w:ascii="Palatino Linotype" w:hAnsi="Palatino Linotype"/>
                <w:i/>
                <w:sz w:val="22"/>
                <w:szCs w:val="22"/>
                <w:lang w:val="es-ES" w:eastAsia="es-ES"/>
              </w:rPr>
              <w:t>Tlalnepantla de Baz, México a 07 de Junio de 2021</w:t>
            </w:r>
          </w:p>
        </w:tc>
      </w:tr>
      <w:tr w:rsidR="00766C07" w:rsidRPr="001431BD" w:rsidTr="007B1226">
        <w:trPr>
          <w:trHeight w:val="618"/>
          <w:tblCellSpacing w:w="0" w:type="dxa"/>
          <w:jc w:val="center"/>
        </w:trPr>
        <w:tc>
          <w:tcPr>
            <w:tcW w:w="0" w:type="auto"/>
            <w:vAlign w:val="center"/>
            <w:hideMark/>
          </w:tcPr>
          <w:p w:rsidR="00766C07" w:rsidRPr="001431BD" w:rsidRDefault="00766C07" w:rsidP="007B1226">
            <w:pPr>
              <w:jc w:val="right"/>
              <w:rPr>
                <w:rFonts w:ascii="Palatino Linotype" w:hAnsi="Palatino Linotype"/>
                <w:i/>
                <w:sz w:val="22"/>
                <w:szCs w:val="22"/>
                <w:lang w:val="es-ES" w:eastAsia="es-ES"/>
              </w:rPr>
            </w:pPr>
            <w:r w:rsidRPr="001431BD">
              <w:rPr>
                <w:rFonts w:ascii="Palatino Linotype" w:hAnsi="Palatino Linotype"/>
                <w:i/>
                <w:sz w:val="22"/>
                <w:szCs w:val="22"/>
                <w:lang w:val="es-ES" w:eastAsia="es-ES"/>
              </w:rPr>
              <w:t>Nombre del solicitante: JOSÉ LUIS CORTÉS TREJO</w:t>
            </w:r>
          </w:p>
        </w:tc>
      </w:tr>
      <w:tr w:rsidR="00766C07" w:rsidRPr="001431BD" w:rsidTr="007B1226">
        <w:trPr>
          <w:trHeight w:val="618"/>
          <w:tblCellSpacing w:w="0" w:type="dxa"/>
          <w:jc w:val="center"/>
        </w:trPr>
        <w:tc>
          <w:tcPr>
            <w:tcW w:w="0" w:type="auto"/>
            <w:vAlign w:val="center"/>
            <w:hideMark/>
          </w:tcPr>
          <w:p w:rsidR="00766C07" w:rsidRPr="001431BD" w:rsidRDefault="00766C07" w:rsidP="007B1226">
            <w:pPr>
              <w:jc w:val="right"/>
              <w:rPr>
                <w:rFonts w:ascii="Palatino Linotype" w:hAnsi="Palatino Linotype"/>
                <w:i/>
                <w:sz w:val="22"/>
                <w:szCs w:val="22"/>
                <w:lang w:val="es-ES" w:eastAsia="es-ES"/>
              </w:rPr>
            </w:pPr>
            <w:r w:rsidRPr="001431BD">
              <w:rPr>
                <w:rFonts w:ascii="Palatino Linotype" w:hAnsi="Palatino Linotype"/>
                <w:i/>
                <w:sz w:val="22"/>
                <w:szCs w:val="22"/>
                <w:lang w:val="es-ES" w:eastAsia="es-ES"/>
              </w:rPr>
              <w:t>Folio de la solicitud: 00408/TLALNEPA/IP/2021</w:t>
            </w:r>
          </w:p>
        </w:tc>
      </w:tr>
      <w:tr w:rsidR="00766C07" w:rsidRPr="001431BD" w:rsidTr="007B1226">
        <w:trPr>
          <w:trHeight w:val="927"/>
          <w:tblCellSpacing w:w="0" w:type="dxa"/>
          <w:jc w:val="center"/>
        </w:trPr>
        <w:tc>
          <w:tcPr>
            <w:tcW w:w="0" w:type="auto"/>
            <w:vAlign w:val="center"/>
            <w:hideMark/>
          </w:tcPr>
          <w:p w:rsidR="00766C07" w:rsidRPr="001431BD" w:rsidRDefault="00766C07" w:rsidP="007B1226">
            <w:pPr>
              <w:jc w:val="right"/>
              <w:rPr>
                <w:rFonts w:ascii="Palatino Linotype" w:hAnsi="Palatino Linotype"/>
                <w:i/>
                <w:sz w:val="22"/>
                <w:szCs w:val="22"/>
                <w:lang w:val="es-ES" w:eastAsia="es-ES"/>
              </w:rPr>
            </w:pPr>
          </w:p>
        </w:tc>
      </w:tr>
      <w:tr w:rsidR="00766C07" w:rsidRPr="001431BD" w:rsidTr="007B1226">
        <w:trPr>
          <w:trHeight w:val="309"/>
          <w:tblCellSpacing w:w="0" w:type="dxa"/>
          <w:jc w:val="center"/>
        </w:trPr>
        <w:tc>
          <w:tcPr>
            <w:tcW w:w="0" w:type="auto"/>
            <w:vAlign w:val="center"/>
            <w:hideMark/>
          </w:tcPr>
          <w:p w:rsidR="00766C07" w:rsidRPr="001431BD" w:rsidRDefault="00766C07" w:rsidP="007B1226">
            <w:pPr>
              <w:rPr>
                <w:rFonts w:ascii="Palatino Linotype" w:hAnsi="Palatino Linotype"/>
                <w:i/>
                <w:lang w:val="es-ES" w:eastAsia="es-ES"/>
              </w:rPr>
            </w:pPr>
            <w:r w:rsidRPr="001431BD">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66C07" w:rsidRPr="001431BD" w:rsidRDefault="00766C07" w:rsidP="007B1226">
            <w:pPr>
              <w:rPr>
                <w:rFonts w:ascii="Palatino Linotype" w:hAnsi="Palatino Linotype"/>
                <w:i/>
                <w:sz w:val="22"/>
                <w:szCs w:val="22"/>
                <w:lang w:val="es-ES" w:eastAsia="es-ES"/>
              </w:rPr>
            </w:pPr>
          </w:p>
        </w:tc>
      </w:tr>
      <w:tr w:rsidR="00766C07" w:rsidRPr="001431BD" w:rsidTr="007B1226">
        <w:trPr>
          <w:trHeight w:val="309"/>
          <w:tblCellSpacing w:w="0" w:type="dxa"/>
          <w:jc w:val="center"/>
        </w:trPr>
        <w:tc>
          <w:tcPr>
            <w:tcW w:w="0" w:type="auto"/>
            <w:vAlign w:val="center"/>
            <w:hideMark/>
          </w:tcPr>
          <w:p w:rsidR="00766C07" w:rsidRPr="001431BD" w:rsidRDefault="00766C07" w:rsidP="007B1226">
            <w:pPr>
              <w:rPr>
                <w:rFonts w:ascii="Palatino Linotype" w:hAnsi="Palatino Linotype"/>
                <w:i/>
                <w:lang w:val="es-ES" w:eastAsia="es-ES"/>
              </w:rPr>
            </w:pPr>
            <w:r w:rsidRPr="001431BD">
              <w:rPr>
                <w:rFonts w:ascii="Palatino Linotype" w:hAnsi="Palatino Linotype"/>
                <w:i/>
                <w:sz w:val="22"/>
                <w:szCs w:val="22"/>
                <w:lang w:val="es-ES" w:eastAsia="es-ES"/>
              </w:rPr>
              <w:t>Se anexa respuesta respectiva.</w:t>
            </w:r>
          </w:p>
          <w:p w:rsidR="00766C07" w:rsidRPr="001431BD" w:rsidRDefault="00766C07" w:rsidP="007B1226">
            <w:pPr>
              <w:rPr>
                <w:rFonts w:ascii="Palatino Linotype" w:hAnsi="Palatino Linotype"/>
                <w:i/>
                <w:sz w:val="22"/>
                <w:szCs w:val="22"/>
                <w:lang w:val="es-ES" w:eastAsia="es-ES"/>
              </w:rPr>
            </w:pPr>
          </w:p>
        </w:tc>
      </w:tr>
      <w:tr w:rsidR="00766C07" w:rsidRPr="001431BD" w:rsidTr="007B1226">
        <w:trPr>
          <w:trHeight w:val="309"/>
          <w:tblCellSpacing w:w="0" w:type="dxa"/>
          <w:jc w:val="center"/>
        </w:trPr>
        <w:tc>
          <w:tcPr>
            <w:tcW w:w="0" w:type="auto"/>
            <w:vAlign w:val="center"/>
            <w:hideMark/>
          </w:tcPr>
          <w:p w:rsidR="00766C07" w:rsidRPr="001431BD" w:rsidRDefault="00766C07" w:rsidP="007B1226">
            <w:pPr>
              <w:rPr>
                <w:rFonts w:ascii="Palatino Linotype" w:hAnsi="Palatino Linotype"/>
                <w:i/>
                <w:sz w:val="22"/>
                <w:szCs w:val="22"/>
                <w:lang w:val="es-ES" w:eastAsia="es-ES"/>
              </w:rPr>
            </w:pPr>
            <w:r w:rsidRPr="001431BD">
              <w:rPr>
                <w:rFonts w:ascii="Palatino Linotype" w:hAnsi="Palatino Linotype"/>
                <w:i/>
                <w:sz w:val="22"/>
                <w:szCs w:val="22"/>
                <w:lang w:val="es-ES" w:eastAsia="es-ES"/>
              </w:rPr>
              <w:t>ATENTAMENTE</w:t>
            </w:r>
          </w:p>
        </w:tc>
      </w:tr>
      <w:tr w:rsidR="00766C07" w:rsidRPr="001431BD" w:rsidTr="007B1226">
        <w:trPr>
          <w:trHeight w:val="463"/>
          <w:tblCellSpacing w:w="0" w:type="dxa"/>
          <w:jc w:val="center"/>
        </w:trPr>
        <w:tc>
          <w:tcPr>
            <w:tcW w:w="0" w:type="auto"/>
            <w:vAlign w:val="center"/>
            <w:hideMark/>
          </w:tcPr>
          <w:p w:rsidR="00766C07" w:rsidRPr="001431BD" w:rsidRDefault="00766C07" w:rsidP="007B1226">
            <w:pPr>
              <w:rPr>
                <w:rFonts w:ascii="Palatino Linotype" w:hAnsi="Palatino Linotype"/>
                <w:i/>
                <w:sz w:val="22"/>
                <w:szCs w:val="22"/>
                <w:lang w:val="es-ES" w:eastAsia="es-ES"/>
              </w:rPr>
            </w:pPr>
          </w:p>
        </w:tc>
      </w:tr>
      <w:tr w:rsidR="00766C07" w:rsidRPr="001431BD" w:rsidTr="007B1226">
        <w:trPr>
          <w:trHeight w:val="309"/>
          <w:tblCellSpacing w:w="0" w:type="dxa"/>
          <w:jc w:val="center"/>
        </w:trPr>
        <w:tc>
          <w:tcPr>
            <w:tcW w:w="0" w:type="auto"/>
            <w:vAlign w:val="center"/>
            <w:hideMark/>
          </w:tcPr>
          <w:p w:rsidR="00766C07" w:rsidRPr="001431BD" w:rsidRDefault="00766C07" w:rsidP="007B1226">
            <w:pPr>
              <w:rPr>
                <w:rFonts w:ascii="Palatino Linotype" w:hAnsi="Palatino Linotype"/>
                <w:i/>
                <w:sz w:val="22"/>
                <w:szCs w:val="22"/>
                <w:lang w:val="es-ES" w:eastAsia="es-ES"/>
              </w:rPr>
            </w:pPr>
            <w:r w:rsidRPr="001431BD">
              <w:rPr>
                <w:rFonts w:ascii="Palatino Linotype" w:hAnsi="Palatino Linotype"/>
                <w:i/>
                <w:sz w:val="22"/>
                <w:szCs w:val="22"/>
                <w:lang w:val="es-ES" w:eastAsia="es-ES"/>
              </w:rPr>
              <w:t>MTRA. SANDRA MARÍA HERNÁNDEZ LÓPEZ</w:t>
            </w:r>
          </w:p>
        </w:tc>
      </w:tr>
    </w:tbl>
    <w:p w:rsidR="00766C07" w:rsidRPr="001431BD" w:rsidRDefault="00766C07" w:rsidP="00766C07">
      <w:pPr>
        <w:spacing w:line="360" w:lineRule="auto"/>
        <w:ind w:right="567"/>
        <w:jc w:val="both"/>
        <w:rPr>
          <w:rFonts w:ascii="Palatino Linotype" w:hAnsi="Palatino Linotype"/>
        </w:rPr>
      </w:pPr>
    </w:p>
    <w:p w:rsidR="00766C07" w:rsidRPr="001431BD" w:rsidRDefault="00766C07" w:rsidP="00766C07">
      <w:pPr>
        <w:spacing w:line="360" w:lineRule="auto"/>
        <w:ind w:right="567"/>
        <w:jc w:val="both"/>
        <w:rPr>
          <w:rFonts w:ascii="Palatino Linotype" w:hAnsi="Palatino Linotype"/>
        </w:rPr>
      </w:pPr>
    </w:p>
    <w:p w:rsidR="00766C07" w:rsidRPr="001431BD" w:rsidRDefault="00766C07" w:rsidP="00766C07">
      <w:pPr>
        <w:spacing w:line="360" w:lineRule="auto"/>
        <w:ind w:right="567"/>
        <w:jc w:val="both"/>
        <w:rPr>
          <w:rFonts w:ascii="Palatino Linotype" w:hAnsi="Palatino Linotype"/>
        </w:rPr>
      </w:pPr>
      <w:r w:rsidRPr="001431BD">
        <w:rPr>
          <w:rFonts w:ascii="Palatino Linotype" w:hAnsi="Palatino Linotype"/>
        </w:rPr>
        <w:t>Documentos adjuntos:</w:t>
      </w:r>
    </w:p>
    <w:p w:rsidR="00766C07" w:rsidRPr="001431BD" w:rsidRDefault="00766C07" w:rsidP="00766C07">
      <w:pPr>
        <w:spacing w:line="360" w:lineRule="auto"/>
        <w:ind w:right="567"/>
        <w:jc w:val="both"/>
        <w:rPr>
          <w:rFonts w:ascii="Palatino Linotype" w:hAnsi="Palatino Linotype"/>
        </w:rPr>
      </w:pPr>
    </w:p>
    <w:p w:rsidR="00766C07" w:rsidRPr="001431BD" w:rsidRDefault="00D456B5" w:rsidP="00766C07">
      <w:pPr>
        <w:pStyle w:val="Prrafodelista"/>
        <w:numPr>
          <w:ilvl w:val="0"/>
          <w:numId w:val="10"/>
        </w:numPr>
        <w:spacing w:line="360" w:lineRule="auto"/>
        <w:ind w:right="567"/>
        <w:jc w:val="both"/>
        <w:rPr>
          <w:rFonts w:ascii="Palatino Linotype" w:eastAsiaTheme="minorEastAsia" w:hAnsi="Palatino Linotype"/>
          <w:b/>
          <w:szCs w:val="22"/>
          <w:lang w:val="es-ES_tradnl" w:eastAsia="es-ES"/>
        </w:rPr>
      </w:pPr>
      <w:hyperlink r:id="rId9" w:tgtFrame="_blank" w:history="1">
        <w:r w:rsidR="00766C07" w:rsidRPr="001431BD">
          <w:rPr>
            <w:rStyle w:val="Hipervnculo"/>
            <w:rFonts w:ascii="Palatino Linotype" w:hAnsi="Palatino Linotype" w:cs="Arial"/>
            <w:b/>
            <w:bCs/>
            <w:color w:val="auto"/>
            <w:szCs w:val="22"/>
          </w:rPr>
          <w:t>ANEXO_01_SAIMEX_00408.zip</w:t>
        </w:r>
      </w:hyperlink>
      <w:r w:rsidR="007E4C6F" w:rsidRPr="001431BD">
        <w:rPr>
          <w:rFonts w:ascii="Palatino Linotype" w:hAnsi="Palatino Linotype"/>
          <w:b/>
          <w:szCs w:val="22"/>
        </w:rPr>
        <w:t xml:space="preserve">: </w:t>
      </w:r>
      <w:r w:rsidR="007E4C6F" w:rsidRPr="001431BD">
        <w:rPr>
          <w:rFonts w:ascii="Palatino Linotype" w:hAnsi="Palatino Linotype"/>
          <w:szCs w:val="22"/>
        </w:rPr>
        <w:t xml:space="preserve">Contiene una carpeta </w:t>
      </w:r>
      <w:r w:rsidR="00060B18" w:rsidRPr="001431BD">
        <w:rPr>
          <w:rFonts w:ascii="Palatino Linotype" w:hAnsi="Palatino Linotype"/>
          <w:szCs w:val="22"/>
        </w:rPr>
        <w:t xml:space="preserve">con </w:t>
      </w:r>
      <w:r w:rsidR="000C7E1B" w:rsidRPr="001431BD">
        <w:rPr>
          <w:rFonts w:ascii="Palatino Linotype" w:hAnsi="Palatino Linotype"/>
          <w:szCs w:val="22"/>
        </w:rPr>
        <w:t xml:space="preserve">300 documentos en formato PDF, </w:t>
      </w:r>
      <w:r w:rsidR="00060B18" w:rsidRPr="001431BD">
        <w:rPr>
          <w:rFonts w:ascii="Palatino Linotype" w:hAnsi="Palatino Linotype"/>
          <w:szCs w:val="22"/>
        </w:rPr>
        <w:t xml:space="preserve">los cuales a su vez </w:t>
      </w:r>
      <w:r w:rsidR="000C7E1B" w:rsidRPr="001431BD">
        <w:rPr>
          <w:rFonts w:ascii="Palatino Linotype" w:hAnsi="Palatino Linotype"/>
          <w:szCs w:val="22"/>
        </w:rPr>
        <w:t xml:space="preserve"> contiene imágenes digitalizadas; dentro de este archivo, también se encuentra contenida el acta de la octava sesión ordinaria del comité de transparencia del Municipio de Tlalnepantla de Baz, del dieciocho de mayo de dos mil veintiuno</w:t>
      </w:r>
      <w:r w:rsidR="00ED6A9C" w:rsidRPr="001431BD">
        <w:rPr>
          <w:rFonts w:ascii="Palatino Linotype" w:hAnsi="Palatino Linotype"/>
          <w:szCs w:val="22"/>
        </w:rPr>
        <w:t>; Gaceta del Gobierno del Estado Libre y Soberano de México del doce de marzo de dos mil veintiuno</w:t>
      </w:r>
      <w:r w:rsidR="00F859AB" w:rsidRPr="001431BD">
        <w:rPr>
          <w:rFonts w:ascii="Palatino Linotype" w:hAnsi="Palatino Linotype"/>
          <w:szCs w:val="22"/>
        </w:rPr>
        <w:t xml:space="preserve">; y el oficio número </w:t>
      </w:r>
      <w:r w:rsidR="00F859AB" w:rsidRPr="001431BD">
        <w:rPr>
          <w:rFonts w:ascii="Palatino Linotype" w:hAnsi="Palatino Linotype"/>
          <w:szCs w:val="22"/>
        </w:rPr>
        <w:lastRenderedPageBreak/>
        <w:t>TM/2284/2021, del dos de junio de dos mil veintiuno, emitido por el Tesorero Municipal a l Titular de la Unidad de Transparencia en respuesta a la solicitud de información.</w:t>
      </w:r>
    </w:p>
    <w:p w:rsidR="00F859AB" w:rsidRPr="001431BD" w:rsidRDefault="00F859AB" w:rsidP="00F859AB">
      <w:pPr>
        <w:pStyle w:val="Prrafodelista"/>
        <w:spacing w:line="360" w:lineRule="auto"/>
        <w:ind w:right="567"/>
        <w:jc w:val="both"/>
        <w:rPr>
          <w:rFonts w:ascii="Palatino Linotype" w:eastAsiaTheme="minorEastAsia" w:hAnsi="Palatino Linotype"/>
          <w:b/>
          <w:szCs w:val="22"/>
          <w:lang w:val="es-ES_tradnl" w:eastAsia="es-ES"/>
        </w:rPr>
      </w:pPr>
    </w:p>
    <w:p w:rsidR="00766C07" w:rsidRPr="001431BD" w:rsidRDefault="00D456B5" w:rsidP="00766C07">
      <w:pPr>
        <w:pStyle w:val="Prrafodelista"/>
        <w:numPr>
          <w:ilvl w:val="0"/>
          <w:numId w:val="10"/>
        </w:numPr>
        <w:spacing w:line="360" w:lineRule="auto"/>
        <w:ind w:right="567"/>
        <w:jc w:val="both"/>
        <w:rPr>
          <w:rFonts w:ascii="Palatino Linotype" w:eastAsiaTheme="minorEastAsia" w:hAnsi="Palatino Linotype"/>
          <w:b/>
          <w:szCs w:val="22"/>
          <w:lang w:val="es-ES_tradnl" w:eastAsia="es-ES"/>
        </w:rPr>
      </w:pPr>
      <w:hyperlink r:id="rId10" w:tgtFrame="_blank" w:history="1">
        <w:r w:rsidR="00766C07" w:rsidRPr="001431BD">
          <w:rPr>
            <w:rStyle w:val="Hipervnculo"/>
            <w:rFonts w:ascii="Palatino Linotype" w:hAnsi="Palatino Linotype" w:cs="Arial"/>
            <w:b/>
            <w:bCs/>
            <w:color w:val="auto"/>
            <w:szCs w:val="22"/>
          </w:rPr>
          <w:t>ANEXO_02_SAIMEX00408.zip</w:t>
        </w:r>
      </w:hyperlink>
      <w:r w:rsidR="00766C07" w:rsidRPr="001431BD">
        <w:rPr>
          <w:rFonts w:ascii="Palatino Linotype" w:hAnsi="Palatino Linotype"/>
          <w:szCs w:val="22"/>
        </w:rPr>
        <w:t>:</w:t>
      </w:r>
      <w:r w:rsidR="00F859AB" w:rsidRPr="001431BD">
        <w:rPr>
          <w:rFonts w:ascii="Palatino Linotype" w:hAnsi="Palatino Linotype"/>
          <w:szCs w:val="22"/>
        </w:rPr>
        <w:t xml:space="preserve"> </w:t>
      </w:r>
      <w:r w:rsidR="00F55748" w:rsidRPr="001431BD">
        <w:rPr>
          <w:rFonts w:ascii="Palatino Linotype" w:hAnsi="Palatino Linotype"/>
          <w:szCs w:val="22"/>
        </w:rPr>
        <w:t>Carpeta con 49 documentos en formato PDF, los cuales a su vez contiene imágenes digitalizadas.</w:t>
      </w:r>
    </w:p>
    <w:p w:rsidR="00F55748" w:rsidRPr="001431BD" w:rsidRDefault="00F55748" w:rsidP="00F55748">
      <w:pPr>
        <w:spacing w:line="360" w:lineRule="auto"/>
        <w:ind w:right="567"/>
        <w:jc w:val="both"/>
        <w:rPr>
          <w:rFonts w:ascii="Palatino Linotype" w:eastAsiaTheme="minorEastAsia" w:hAnsi="Palatino Linotype"/>
          <w:b/>
          <w:szCs w:val="22"/>
          <w:lang w:val="es-ES_tradnl" w:eastAsia="es-ES"/>
        </w:rPr>
      </w:pPr>
    </w:p>
    <w:p w:rsidR="00766C07" w:rsidRPr="001431BD" w:rsidRDefault="00D456B5" w:rsidP="00766C07">
      <w:pPr>
        <w:pStyle w:val="Prrafodelista"/>
        <w:numPr>
          <w:ilvl w:val="0"/>
          <w:numId w:val="10"/>
        </w:numPr>
        <w:spacing w:line="360" w:lineRule="auto"/>
        <w:ind w:right="567"/>
        <w:jc w:val="both"/>
        <w:rPr>
          <w:rFonts w:ascii="Palatino Linotype" w:eastAsiaTheme="minorEastAsia" w:hAnsi="Palatino Linotype"/>
          <w:b/>
          <w:szCs w:val="22"/>
          <w:lang w:val="es-ES_tradnl" w:eastAsia="es-ES"/>
        </w:rPr>
      </w:pPr>
      <w:hyperlink r:id="rId11" w:tgtFrame="_blank" w:history="1">
        <w:r w:rsidR="00766C07" w:rsidRPr="001431BD">
          <w:rPr>
            <w:rStyle w:val="Hipervnculo"/>
            <w:rFonts w:ascii="Palatino Linotype" w:hAnsi="Palatino Linotype" w:cs="Arial"/>
            <w:b/>
            <w:bCs/>
            <w:color w:val="auto"/>
            <w:szCs w:val="22"/>
          </w:rPr>
          <w:t>ANEXO_03_SAIMEX00408.zip</w:t>
        </w:r>
      </w:hyperlink>
      <w:r w:rsidR="00766C07" w:rsidRPr="001431BD">
        <w:rPr>
          <w:rFonts w:ascii="Palatino Linotype" w:hAnsi="Palatino Linotype"/>
          <w:szCs w:val="22"/>
        </w:rPr>
        <w:t>:</w:t>
      </w:r>
      <w:r w:rsidR="00F55748" w:rsidRPr="001431BD">
        <w:rPr>
          <w:rFonts w:ascii="Palatino Linotype" w:hAnsi="Palatino Linotype"/>
          <w:szCs w:val="22"/>
        </w:rPr>
        <w:t xml:space="preserve"> carpeta con 270 documentos en formato PDF, los cuales a su vez contienen imágenes digitalizadas.</w:t>
      </w:r>
    </w:p>
    <w:p w:rsidR="00766C07" w:rsidRPr="001431BD" w:rsidRDefault="00766C07" w:rsidP="00766C07">
      <w:pPr>
        <w:pStyle w:val="Prrafodelista"/>
        <w:spacing w:line="360" w:lineRule="auto"/>
        <w:ind w:right="567"/>
        <w:jc w:val="both"/>
        <w:rPr>
          <w:rFonts w:ascii="Palatino Linotype" w:eastAsiaTheme="minorEastAsia" w:hAnsi="Palatino Linotype"/>
          <w:b/>
          <w:sz w:val="24"/>
          <w:lang w:val="es-ES_tradnl" w:eastAsia="es-ES"/>
        </w:rPr>
      </w:pPr>
    </w:p>
    <w:p w:rsidR="00766C07" w:rsidRPr="001431BD" w:rsidRDefault="00766C07" w:rsidP="00766C07">
      <w:pPr>
        <w:numPr>
          <w:ilvl w:val="0"/>
          <w:numId w:val="9"/>
        </w:numPr>
        <w:spacing w:line="360" w:lineRule="auto"/>
        <w:ind w:left="0" w:firstLine="0"/>
        <w:contextualSpacing/>
        <w:jc w:val="both"/>
        <w:rPr>
          <w:rFonts w:ascii="Palatino Linotype" w:eastAsiaTheme="minorEastAsia" w:hAnsi="Palatino Linotype" w:cs="Arial"/>
          <w:i/>
          <w:lang w:val="es-ES_tradnl" w:eastAsia="es-ES"/>
        </w:rPr>
      </w:pPr>
      <w:r w:rsidRPr="001431BD">
        <w:rPr>
          <w:rFonts w:ascii="Palatino Linotype" w:eastAsia="Calibri" w:hAnsi="Palatino Linotype" w:cs="Arial"/>
          <w:lang w:val="es-AR" w:eastAsia="es-ES"/>
        </w:rPr>
        <w:t>El veintiocho (28) de junio  de dos mil veintiuno</w:t>
      </w:r>
      <w:r w:rsidRPr="001431BD">
        <w:rPr>
          <w:rFonts w:ascii="Palatino Linotype" w:hAnsi="Palatino Linotype" w:cs="Arial"/>
          <w:lang w:val="es-ES" w:eastAsia="es-ES"/>
        </w:rPr>
        <w:t xml:space="preserve">, </w:t>
      </w:r>
      <w:r w:rsidRPr="001431BD">
        <w:rPr>
          <w:rFonts w:ascii="Palatino Linotype" w:eastAsiaTheme="minorEastAsia" w:hAnsi="Palatino Linotype"/>
          <w:b/>
          <w:lang w:val="es-ES_tradnl" w:eastAsia="es-ES"/>
        </w:rPr>
        <w:t>EL RECURRENTE</w:t>
      </w:r>
      <w:r w:rsidRPr="001431BD">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766C07" w:rsidRPr="001431BD" w:rsidRDefault="00766C07" w:rsidP="00766C07">
      <w:pPr>
        <w:spacing w:line="360" w:lineRule="auto"/>
        <w:ind w:left="567" w:right="567"/>
        <w:contextualSpacing/>
        <w:rPr>
          <w:rFonts w:ascii="Palatino Linotype" w:eastAsiaTheme="minorEastAsia" w:hAnsi="Palatino Linotype" w:cs="Arial"/>
          <w:i/>
          <w:lang w:val="es-ES_tradnl" w:eastAsia="es-ES"/>
        </w:rPr>
      </w:pPr>
    </w:p>
    <w:p w:rsidR="00766C07" w:rsidRPr="001431BD" w:rsidRDefault="00766C07" w:rsidP="00766C07">
      <w:pPr>
        <w:spacing w:line="360" w:lineRule="auto"/>
        <w:ind w:left="567" w:right="567"/>
        <w:contextualSpacing/>
        <w:jc w:val="both"/>
        <w:rPr>
          <w:rFonts w:ascii="Palatino Linotype" w:eastAsia="Calibri" w:hAnsi="Palatino Linotype" w:cs="Arial"/>
          <w:i/>
          <w:lang w:val="es-ES" w:eastAsia="es-ES"/>
        </w:rPr>
      </w:pPr>
      <w:r w:rsidRPr="001431BD">
        <w:rPr>
          <w:rFonts w:ascii="Palatino Linotype" w:eastAsiaTheme="minorEastAsia" w:hAnsi="Palatino Linotype"/>
          <w:b/>
          <w:lang w:val="es-ES_tradnl" w:eastAsia="es-ES"/>
        </w:rPr>
        <w:t>Acto impugnado</w:t>
      </w:r>
      <w:r w:rsidRPr="001431BD">
        <w:rPr>
          <w:rFonts w:ascii="Palatino Linotype" w:eastAsiaTheme="minorEastAsia" w:hAnsi="Palatino Linotype"/>
          <w:b/>
          <w:i/>
          <w:lang w:val="es-ES_tradnl" w:eastAsia="es-ES"/>
        </w:rPr>
        <w:t>:</w:t>
      </w:r>
      <w:r w:rsidRPr="001431BD">
        <w:rPr>
          <w:rFonts w:ascii="Palatino Linotype" w:hAnsi="Palatino Linotype"/>
          <w:i/>
          <w:color w:val="000000"/>
        </w:rPr>
        <w:t xml:space="preserve"> “SE ME ENTREGA INFORMACIÓN PUBLICA SOLICITADA INCOMPLETA” (Sic); </w:t>
      </w:r>
      <w:r w:rsidRPr="001431BD">
        <w:rPr>
          <w:rFonts w:ascii="Palatino Linotype" w:eastAsia="Calibri" w:hAnsi="Palatino Linotype" w:cs="Arial"/>
          <w:i/>
          <w:lang w:val="es-ES" w:eastAsia="es-ES"/>
        </w:rPr>
        <w:t>Y</w:t>
      </w:r>
    </w:p>
    <w:p w:rsidR="00766C07" w:rsidRPr="001431BD" w:rsidRDefault="00766C07" w:rsidP="00766C07">
      <w:pPr>
        <w:spacing w:line="360" w:lineRule="auto"/>
        <w:ind w:left="567" w:right="567"/>
        <w:contextualSpacing/>
        <w:jc w:val="both"/>
        <w:rPr>
          <w:rFonts w:ascii="Palatino Linotype" w:eastAsia="Calibri" w:hAnsi="Palatino Linotype" w:cs="Arial"/>
          <w:lang w:val="es-ES" w:eastAsia="es-ES"/>
        </w:rPr>
      </w:pPr>
    </w:p>
    <w:p w:rsidR="00766C07" w:rsidRPr="001431BD" w:rsidRDefault="00766C07" w:rsidP="00766C07">
      <w:pPr>
        <w:spacing w:line="360" w:lineRule="auto"/>
        <w:ind w:left="567" w:right="567"/>
        <w:contextualSpacing/>
        <w:jc w:val="both"/>
        <w:rPr>
          <w:rFonts w:ascii="Palatino Linotype" w:hAnsi="Palatino Linotype"/>
          <w:i/>
          <w:color w:val="000000"/>
        </w:rPr>
      </w:pPr>
      <w:r w:rsidRPr="001431BD">
        <w:rPr>
          <w:rFonts w:ascii="Palatino Linotype" w:eastAsiaTheme="minorEastAsia" w:hAnsi="Palatino Linotype"/>
          <w:b/>
          <w:lang w:val="es-ES_tradnl" w:eastAsia="es-ES"/>
        </w:rPr>
        <w:t>Razones o Motivos de inconformidad:</w:t>
      </w:r>
      <w:r w:rsidRPr="001431BD">
        <w:rPr>
          <w:rFonts w:ascii="Palatino Linotype" w:eastAsiaTheme="majorEastAsia" w:hAnsi="Palatino Linotype" w:cstheme="majorBidi"/>
          <w:b/>
          <w:color w:val="2E74B5" w:themeColor="accent1" w:themeShade="BF"/>
          <w:sz w:val="26"/>
          <w:szCs w:val="26"/>
          <w:lang w:val="es-ES" w:eastAsia="es-ES"/>
        </w:rPr>
        <w:t xml:space="preserve"> </w:t>
      </w:r>
      <w:r w:rsidRPr="001431BD">
        <w:rPr>
          <w:rFonts w:ascii="Palatino Linotype" w:eastAsiaTheme="majorEastAsia" w:hAnsi="Palatino Linotype" w:cstheme="majorBidi"/>
          <w:i/>
          <w:lang w:val="es-ES" w:eastAsia="es-ES"/>
        </w:rPr>
        <w:t>“</w:t>
      </w:r>
      <w:r w:rsidRPr="001431BD">
        <w:rPr>
          <w:rFonts w:ascii="Palatino Linotype" w:hAnsi="Palatino Linotype"/>
          <w:i/>
          <w:color w:val="000000"/>
        </w:rPr>
        <w:t>Varias de las pólizas de egresos o cheques no cumplen con lo señalado en el artículo 344 del Código Financiero del Estado de México y con a los Lineamientos de Control Financiero y Administrativo para las Entidades Fiscalizables Municipales del Estado de México, ejemplos E1917000001.pdf E1627000001.PDF entre otras mas.” (Sic).</w:t>
      </w:r>
    </w:p>
    <w:bookmarkEnd w:id="2"/>
    <w:bookmarkEnd w:id="3"/>
    <w:bookmarkEnd w:id="4"/>
    <w:p w:rsidR="00766C07" w:rsidRPr="001431BD" w:rsidRDefault="00766C07" w:rsidP="00766C07">
      <w:pPr>
        <w:spacing w:line="360" w:lineRule="auto"/>
        <w:jc w:val="both"/>
        <w:rPr>
          <w:rFonts w:ascii="Palatino Linotype" w:eastAsia="Calibri" w:hAnsi="Palatino Linotype" w:cs="Arial"/>
          <w:lang w:val="es-AR" w:eastAsia="es-ES"/>
        </w:rPr>
      </w:pPr>
    </w:p>
    <w:p w:rsidR="00766C07" w:rsidRPr="001431BD" w:rsidRDefault="00766C07" w:rsidP="00766C07">
      <w:pPr>
        <w:numPr>
          <w:ilvl w:val="0"/>
          <w:numId w:val="9"/>
        </w:numPr>
        <w:spacing w:line="360" w:lineRule="auto"/>
        <w:ind w:left="0" w:firstLine="0"/>
        <w:contextualSpacing/>
        <w:jc w:val="both"/>
        <w:rPr>
          <w:rFonts w:ascii="Palatino Linotype" w:eastAsia="Calibri" w:hAnsi="Palatino Linotype" w:cs="Arial"/>
          <w:lang w:val="es-AR" w:eastAsia="es-ES"/>
        </w:rPr>
      </w:pPr>
      <w:r w:rsidRPr="001431BD">
        <w:rPr>
          <w:rFonts w:ascii="Palatino Linotype" w:hAnsi="Palatino Linotype" w:cs="Arial"/>
          <w:lang w:val="es-ES" w:eastAsia="es-ES"/>
        </w:rPr>
        <w:t xml:space="preserve">Se registró el recurso de revisión bajo el número de expediente </w:t>
      </w:r>
      <w:r w:rsidRPr="001431BD">
        <w:rPr>
          <w:rFonts w:ascii="Palatino Linotype" w:eastAsiaTheme="minorEastAsia" w:hAnsi="Palatino Linotype" w:cs="Arial"/>
          <w:bCs/>
          <w:lang w:val="es-ES_tradnl" w:eastAsia="es-ES"/>
        </w:rPr>
        <w:t xml:space="preserve">al rubro indicado, asimismo con fundamento en lo dispuesto por el </w:t>
      </w:r>
      <w:r w:rsidRPr="001431BD">
        <w:rPr>
          <w:rFonts w:ascii="Palatino Linotype" w:eastAsia="Calibri" w:hAnsi="Palatino Linotype" w:cs="Arial"/>
          <w:lang w:val="es-ES" w:eastAsia="es-ES"/>
        </w:rPr>
        <w:t xml:space="preserve">artículo 185 fracción I de la </w:t>
      </w:r>
      <w:r w:rsidRPr="001431BD">
        <w:rPr>
          <w:rFonts w:ascii="Palatino Linotype" w:eastAsia="Calibri" w:hAnsi="Palatino Linotype" w:cs="Arial"/>
          <w:b/>
          <w:lang w:val="es-ES" w:eastAsia="es-ES"/>
        </w:rPr>
        <w:lastRenderedPageBreak/>
        <w:t xml:space="preserve">Ley de Transparencia y Acceso a la Información Pública del Estado de México y Municipios </w:t>
      </w:r>
      <w:r w:rsidRPr="001431BD">
        <w:rPr>
          <w:rFonts w:ascii="Palatino Linotype" w:hAnsi="Palatino Linotype" w:cs="Arial"/>
          <w:lang w:val="es-ES" w:eastAsia="es-ES"/>
        </w:rPr>
        <w:t xml:space="preserve">se turnó al </w:t>
      </w:r>
      <w:r w:rsidRPr="001431BD">
        <w:rPr>
          <w:rFonts w:ascii="Palatino Linotype" w:hAnsi="Palatino Linotype" w:cs="Arial"/>
          <w:b/>
          <w:lang w:val="es-ES" w:eastAsia="es-ES"/>
        </w:rPr>
        <w:t xml:space="preserve">Javier Martínez Cruz, </w:t>
      </w:r>
      <w:r w:rsidRPr="001431BD">
        <w:rPr>
          <w:rFonts w:ascii="Palatino Linotype" w:hAnsi="Palatino Linotype" w:cs="Arial"/>
          <w:lang w:val="es-ES" w:eastAsia="es-ES"/>
        </w:rPr>
        <w:t xml:space="preserve">con el objeto de </w:t>
      </w:r>
      <w:r w:rsidRPr="001431BD">
        <w:rPr>
          <w:rFonts w:ascii="Palatino Linotype" w:hAnsi="Palatino Linotype" w:cs="Arial"/>
          <w:lang w:eastAsia="es-ES"/>
        </w:rPr>
        <w:t xml:space="preserve">su análisis. </w:t>
      </w:r>
    </w:p>
    <w:p w:rsidR="00766C07" w:rsidRPr="001431BD" w:rsidRDefault="00766C07" w:rsidP="00766C07">
      <w:pPr>
        <w:spacing w:line="360" w:lineRule="auto"/>
        <w:contextualSpacing/>
        <w:jc w:val="both"/>
        <w:rPr>
          <w:rFonts w:ascii="Palatino Linotype" w:eastAsia="Calibri" w:hAnsi="Palatino Linotype" w:cs="Arial"/>
          <w:lang w:val="es-AR" w:eastAsia="es-ES"/>
        </w:rPr>
      </w:pPr>
    </w:p>
    <w:p w:rsidR="00766C07" w:rsidRPr="001431BD" w:rsidRDefault="00766C07" w:rsidP="00766C07">
      <w:pPr>
        <w:numPr>
          <w:ilvl w:val="0"/>
          <w:numId w:val="9"/>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431BD">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uno (01) de julio de dos mil veintiuno, puso a disposición de las partes el expediente electrónico </w:t>
      </w:r>
      <w:r w:rsidRPr="001431BD">
        <w:rPr>
          <w:rFonts w:ascii="Palatino Linotype" w:eastAsia="Calibri" w:hAnsi="Palatino Linotype" w:cs="Arial"/>
          <w:lang w:val="es-ES_tradnl" w:eastAsia="es-ES"/>
        </w:rPr>
        <w:t xml:space="preserve">vía </w:t>
      </w:r>
      <w:r w:rsidRPr="001431BD">
        <w:rPr>
          <w:rFonts w:ascii="Palatino Linotype" w:eastAsia="Calibri" w:hAnsi="Palatino Linotype" w:cs="Arial"/>
          <w:b/>
          <w:lang w:val="es-ES" w:eastAsia="es-ES"/>
        </w:rPr>
        <w:t xml:space="preserve">SAIMEX </w:t>
      </w:r>
      <w:r w:rsidRPr="001431BD">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431BD">
        <w:rPr>
          <w:rFonts w:ascii="Palatino Linotype" w:eastAsia="Calibri" w:hAnsi="Palatino Linotype" w:cs="Arial"/>
          <w:b/>
          <w:lang w:val="es-ES" w:eastAsia="es-ES"/>
        </w:rPr>
        <w:t>SUJETO OBLIGADO</w:t>
      </w:r>
      <w:r w:rsidRPr="001431BD">
        <w:rPr>
          <w:rFonts w:ascii="Palatino Linotype" w:eastAsia="Calibri" w:hAnsi="Palatino Linotype" w:cs="Arial"/>
          <w:lang w:val="es-ES" w:eastAsia="es-ES"/>
        </w:rPr>
        <w:t xml:space="preserve"> presentara el informe justificado procedente. </w:t>
      </w:r>
    </w:p>
    <w:p w:rsidR="00766C07" w:rsidRPr="001431BD" w:rsidRDefault="00766C07" w:rsidP="00766C07">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766C07" w:rsidRPr="001431BD" w:rsidRDefault="00060137" w:rsidP="00766C07">
      <w:pPr>
        <w:numPr>
          <w:ilvl w:val="0"/>
          <w:numId w:val="9"/>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El cinco (05) de julio de dos mil veintiuno, el particular realizó las siguientes manifestaciones:</w:t>
      </w:r>
    </w:p>
    <w:p w:rsidR="00766C07" w:rsidRPr="001431BD" w:rsidRDefault="00766C07" w:rsidP="00766C07">
      <w:pPr>
        <w:spacing w:line="360" w:lineRule="auto"/>
        <w:contextualSpacing/>
        <w:jc w:val="both"/>
        <w:rPr>
          <w:rFonts w:ascii="Palatino Linotype" w:eastAsia="Calibri" w:hAnsi="Palatino Linotype" w:cs="Arial"/>
          <w:lang w:val="es-ES" w:eastAsia="es-ES"/>
        </w:rPr>
      </w:pPr>
    </w:p>
    <w:p w:rsidR="00766C07" w:rsidRPr="001431BD" w:rsidRDefault="00766C07" w:rsidP="00766C07">
      <w:pPr>
        <w:spacing w:line="360" w:lineRule="auto"/>
        <w:contextualSpacing/>
        <w:jc w:val="center"/>
        <w:rPr>
          <w:rFonts w:ascii="Palatino Linotype" w:eastAsiaTheme="minorEastAsia" w:hAnsi="Palatino Linotype"/>
          <w:i/>
          <w:color w:val="000000"/>
          <w:lang w:val="es-ES_tradnl" w:eastAsia="es-ES"/>
        </w:rPr>
      </w:pPr>
      <w:r w:rsidRPr="001431BD">
        <w:rPr>
          <w:noProof/>
          <w:lang w:val="es-ES" w:eastAsia="es-ES"/>
        </w:rPr>
        <w:drawing>
          <wp:inline distT="0" distB="0" distL="0" distR="0" wp14:anchorId="2FD8599E" wp14:editId="19F2CC6E">
            <wp:extent cx="5325627" cy="3144249"/>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957" t="25118" r="29705" b="31156"/>
                    <a:stretch/>
                  </pic:blipFill>
                  <pic:spPr bwMode="auto">
                    <a:xfrm>
                      <a:off x="0" y="0"/>
                      <a:ext cx="5390389" cy="3182484"/>
                    </a:xfrm>
                    <a:prstGeom prst="rect">
                      <a:avLst/>
                    </a:prstGeom>
                    <a:ln>
                      <a:noFill/>
                    </a:ln>
                    <a:extLst>
                      <a:ext uri="{53640926-AAD7-44D8-BBD7-CCE9431645EC}">
                        <a14:shadowObscured xmlns:a14="http://schemas.microsoft.com/office/drawing/2010/main"/>
                      </a:ext>
                    </a:extLst>
                  </pic:spPr>
                </pic:pic>
              </a:graphicData>
            </a:graphic>
          </wp:inline>
        </w:drawing>
      </w:r>
    </w:p>
    <w:p w:rsidR="00766C07" w:rsidRPr="001431BD" w:rsidRDefault="00766C07" w:rsidP="00766C07">
      <w:pPr>
        <w:spacing w:line="360" w:lineRule="auto"/>
        <w:contextualSpacing/>
        <w:jc w:val="center"/>
        <w:rPr>
          <w:rFonts w:ascii="Palatino Linotype" w:eastAsiaTheme="minorEastAsia" w:hAnsi="Palatino Linotype"/>
          <w:i/>
          <w:color w:val="000000"/>
          <w:lang w:val="es-ES_tradnl" w:eastAsia="es-ES"/>
        </w:rPr>
      </w:pPr>
    </w:p>
    <w:p w:rsidR="00766C07" w:rsidRPr="001431BD" w:rsidRDefault="00D456B5" w:rsidP="00766C07">
      <w:pPr>
        <w:pStyle w:val="Prrafodelista"/>
        <w:numPr>
          <w:ilvl w:val="0"/>
          <w:numId w:val="11"/>
        </w:numPr>
        <w:spacing w:line="360" w:lineRule="auto"/>
        <w:jc w:val="both"/>
        <w:rPr>
          <w:rFonts w:ascii="Palatino Linotype" w:hAnsi="Palatino Linotype"/>
        </w:rPr>
      </w:pPr>
      <w:hyperlink r:id="rId13" w:history="1">
        <w:r w:rsidR="00766C07" w:rsidRPr="001431BD">
          <w:rPr>
            <w:rStyle w:val="Hipervnculo"/>
            <w:rFonts w:ascii="Palatino Linotype" w:hAnsi="Palatino Linotype" w:cs="Arial"/>
            <w:b/>
            <w:bCs/>
            <w:color w:val="auto"/>
            <w:szCs w:val="22"/>
          </w:rPr>
          <w:t>OFICIO DE TRANSFORMACION URBANA.PDF</w:t>
        </w:r>
      </w:hyperlink>
      <w:r w:rsidR="00766C07" w:rsidRPr="001431BD">
        <w:rPr>
          <w:rFonts w:ascii="Palatino Linotype" w:hAnsi="Palatino Linotype"/>
          <w:szCs w:val="22"/>
        </w:rPr>
        <w:t>:</w:t>
      </w:r>
      <w:r w:rsidR="00766C07" w:rsidRPr="001431BD">
        <w:rPr>
          <w:rFonts w:ascii="Palatino Linotype" w:hAnsi="Palatino Linotype"/>
        </w:rPr>
        <w:t xml:space="preserve"> Documentos en formato PDF, consta de veinte fojas, contiene un acuerdo del Director de Transformación Urbana mediante el cual da respuesta a la solicitud de información 00648/TLALNEPA/IP/2019; Convenio de Concentración que celebra el Municipio de Tlalnepantla de Baz CON EL Núcleo Agrario San Juan Ixhuatepec; y la Gaceta Municipal del treinta y uno de mayo de dos mil diecinueve con el Programa de Seguridad del Patrimonio Familiar, para la regularización de la tenencia de la tierra del ejido de San Juan Ixhuatepec del Municipio de Tlalnepantla de Baz. </w:t>
      </w:r>
    </w:p>
    <w:p w:rsidR="00766C07" w:rsidRPr="001431BD" w:rsidRDefault="00766C07" w:rsidP="00766C07">
      <w:pPr>
        <w:pStyle w:val="Prrafodelista"/>
        <w:spacing w:line="360" w:lineRule="auto"/>
        <w:jc w:val="both"/>
        <w:rPr>
          <w:rFonts w:ascii="Palatino Linotype" w:hAnsi="Palatino Linotype"/>
          <w:szCs w:val="22"/>
        </w:rPr>
      </w:pPr>
    </w:p>
    <w:p w:rsidR="00766C07" w:rsidRPr="001431BD" w:rsidRDefault="00D456B5" w:rsidP="00766C07">
      <w:pPr>
        <w:pStyle w:val="Prrafodelista"/>
        <w:numPr>
          <w:ilvl w:val="0"/>
          <w:numId w:val="11"/>
        </w:numPr>
        <w:spacing w:line="360" w:lineRule="auto"/>
        <w:jc w:val="both"/>
        <w:rPr>
          <w:rFonts w:ascii="Palatino Linotype" w:hAnsi="Palatino Linotype"/>
        </w:rPr>
      </w:pPr>
      <w:hyperlink r:id="rId14" w:history="1">
        <w:r w:rsidR="00766C07" w:rsidRPr="001431BD">
          <w:rPr>
            <w:rStyle w:val="Hipervnculo"/>
            <w:rFonts w:ascii="Palatino Linotype" w:hAnsi="Palatino Linotype" w:cs="Arial"/>
            <w:b/>
            <w:bCs/>
            <w:color w:val="auto"/>
            <w:szCs w:val="22"/>
          </w:rPr>
          <w:t>PROGASEGPATRIM.pdf</w:t>
        </w:r>
      </w:hyperlink>
      <w:r w:rsidR="00766C07" w:rsidRPr="001431BD">
        <w:rPr>
          <w:rFonts w:ascii="Palatino Linotype" w:hAnsi="Palatino Linotype"/>
          <w:szCs w:val="22"/>
        </w:rPr>
        <w:t>:</w:t>
      </w:r>
      <w:r w:rsidR="00766C07" w:rsidRPr="001431BD">
        <w:rPr>
          <w:rFonts w:ascii="Palatino Linotype" w:hAnsi="Palatino Linotype"/>
        </w:rPr>
        <w:t xml:space="preserve"> Gaceta Municipal del treinta y uno de mayo de dos mil diecinueve con el Programa de Seguridad del Patrimonio Familiar, para la regularización de la tenencia de la tierra del ejido de San Juan Ixhuatepec del Municipio de Tlalnepantla de Baz. </w:t>
      </w:r>
    </w:p>
    <w:p w:rsidR="00766C07" w:rsidRPr="001431BD" w:rsidRDefault="00766C07" w:rsidP="00766C07">
      <w:pPr>
        <w:spacing w:line="360" w:lineRule="auto"/>
        <w:jc w:val="both"/>
        <w:rPr>
          <w:rFonts w:ascii="Palatino Linotype" w:hAnsi="Palatino Linotype"/>
        </w:rPr>
      </w:pPr>
    </w:p>
    <w:p w:rsidR="00766C07" w:rsidRPr="001431BD" w:rsidRDefault="00D456B5" w:rsidP="00766C07">
      <w:pPr>
        <w:pStyle w:val="Prrafodelista"/>
        <w:numPr>
          <w:ilvl w:val="0"/>
          <w:numId w:val="11"/>
        </w:numPr>
        <w:spacing w:line="360" w:lineRule="auto"/>
        <w:jc w:val="both"/>
        <w:rPr>
          <w:rFonts w:ascii="Palatino Linotype" w:hAnsi="Palatino Linotype"/>
        </w:rPr>
      </w:pPr>
      <w:hyperlink r:id="rId15" w:history="1">
        <w:r w:rsidR="00766C07" w:rsidRPr="001431BD">
          <w:rPr>
            <w:rStyle w:val="Hipervnculo"/>
            <w:rFonts w:ascii="Palatino Linotype" w:hAnsi="Palatino Linotype" w:cs="Arial"/>
            <w:b/>
            <w:bCs/>
            <w:color w:val="auto"/>
            <w:szCs w:val="22"/>
          </w:rPr>
          <w:t>EXPEDICOMPLE.pdf</w:t>
        </w:r>
      </w:hyperlink>
      <w:r w:rsidR="00766C07" w:rsidRPr="001431BD">
        <w:rPr>
          <w:rFonts w:ascii="Palatino Linotype" w:hAnsi="Palatino Linotype"/>
          <w:szCs w:val="22"/>
        </w:rPr>
        <w:t>:</w:t>
      </w:r>
      <w:r w:rsidR="00766C07" w:rsidRPr="001431BD">
        <w:rPr>
          <w:rFonts w:ascii="Palatino Linotype" w:hAnsi="Palatino Linotype"/>
        </w:rPr>
        <w:t xml:space="preserve"> Documentos en formato PDF, consta de treinta y seis fojas y contiene información sobre personas beneficiadas con el programa “Seguridad del Patrimonio Familiar.</w:t>
      </w:r>
    </w:p>
    <w:p w:rsidR="00766C07" w:rsidRPr="001431BD" w:rsidRDefault="00766C07" w:rsidP="00766C07">
      <w:pPr>
        <w:pStyle w:val="Prrafodelista"/>
        <w:spacing w:line="360" w:lineRule="auto"/>
        <w:jc w:val="both"/>
        <w:rPr>
          <w:rFonts w:ascii="Palatino Linotype" w:hAnsi="Palatino Linotype"/>
          <w:szCs w:val="22"/>
        </w:rPr>
      </w:pPr>
    </w:p>
    <w:p w:rsidR="00766C07" w:rsidRPr="001431BD" w:rsidRDefault="00D456B5" w:rsidP="00766C07">
      <w:pPr>
        <w:pStyle w:val="Prrafodelista"/>
        <w:numPr>
          <w:ilvl w:val="0"/>
          <w:numId w:val="11"/>
        </w:numPr>
        <w:spacing w:line="360" w:lineRule="auto"/>
        <w:jc w:val="both"/>
        <w:rPr>
          <w:rFonts w:ascii="Palatino Linotype" w:hAnsi="Palatino Linotype"/>
        </w:rPr>
      </w:pPr>
      <w:hyperlink r:id="rId16" w:history="1">
        <w:r w:rsidR="00766C07" w:rsidRPr="001431BD">
          <w:rPr>
            <w:rStyle w:val="Hipervnculo"/>
            <w:rFonts w:ascii="Palatino Linotype" w:hAnsi="Palatino Linotype" w:cs="Arial"/>
            <w:b/>
            <w:bCs/>
            <w:color w:val="auto"/>
            <w:szCs w:val="22"/>
          </w:rPr>
          <w:t>ACTA DECIMA CUARTA SESION ORDINARIA.pdf</w:t>
        </w:r>
      </w:hyperlink>
      <w:r w:rsidR="00766C07" w:rsidRPr="001431BD">
        <w:rPr>
          <w:rFonts w:ascii="Palatino Linotype" w:hAnsi="Palatino Linotype"/>
          <w:szCs w:val="22"/>
        </w:rPr>
        <w:t>:</w:t>
      </w:r>
      <w:r w:rsidR="00766C07" w:rsidRPr="001431BD">
        <w:rPr>
          <w:rFonts w:ascii="Palatino Linotype" w:hAnsi="Palatino Linotype"/>
        </w:rPr>
        <w:t xml:space="preserve"> Documento en formato PDF, que consta de veinticuatro fojas, con el acta de la Décima Cuarta Sesión Ordinario del Ayuntamiento de fecha veintitrés de mayo de dos mil diecinueve.</w:t>
      </w:r>
    </w:p>
    <w:p w:rsidR="00766C07" w:rsidRPr="001431BD" w:rsidRDefault="00766C07" w:rsidP="00766C07">
      <w:pPr>
        <w:spacing w:line="360" w:lineRule="auto"/>
        <w:contextualSpacing/>
        <w:jc w:val="both"/>
        <w:rPr>
          <w:rFonts w:ascii="Palatino Linotype" w:eastAsiaTheme="minorEastAsia" w:hAnsi="Palatino Linotype"/>
          <w:i/>
          <w:color w:val="000000"/>
          <w:lang w:val="es-ES_tradnl" w:eastAsia="es-ES"/>
        </w:rPr>
      </w:pPr>
    </w:p>
    <w:p w:rsidR="00766C07" w:rsidRPr="001431BD" w:rsidRDefault="00766C07" w:rsidP="00766C07">
      <w:pPr>
        <w:numPr>
          <w:ilvl w:val="0"/>
          <w:numId w:val="9"/>
        </w:numPr>
        <w:spacing w:line="360" w:lineRule="auto"/>
        <w:ind w:left="0" w:firstLine="0"/>
        <w:contextualSpacing/>
        <w:jc w:val="both"/>
        <w:rPr>
          <w:rFonts w:ascii="Palatino Linotype" w:eastAsia="Calibri" w:hAnsi="Palatino Linotype" w:cs="Arial"/>
          <w:lang w:val="es-ES" w:eastAsia="es-ES"/>
        </w:rPr>
      </w:pPr>
      <w:r w:rsidRPr="001431BD">
        <w:rPr>
          <w:rFonts w:ascii="Palatino Linotype" w:eastAsia="Calibri" w:hAnsi="Palatino Linotype" w:cs="Arial"/>
          <w:lang w:val="es-ES" w:eastAsia="es-ES"/>
        </w:rPr>
        <w:t xml:space="preserve">El día doce (12) y diecinueve (19) de julio de dos mil veintiuno, el </w:t>
      </w:r>
      <w:r w:rsidRPr="001431BD">
        <w:rPr>
          <w:rFonts w:ascii="Palatino Linotype" w:eastAsia="Calibri" w:hAnsi="Palatino Linotype" w:cs="Arial"/>
          <w:b/>
          <w:lang w:val="es-ES" w:eastAsia="es-ES"/>
        </w:rPr>
        <w:t>SUJETO OBLIGADO</w:t>
      </w:r>
      <w:r w:rsidRPr="001431BD">
        <w:rPr>
          <w:rFonts w:ascii="Palatino Linotype" w:eastAsia="Calibri" w:hAnsi="Palatino Linotype" w:cs="Arial"/>
          <w:lang w:val="es-ES" w:eastAsia="es-ES"/>
        </w:rPr>
        <w:t xml:space="preserve"> rindió informe justificado que se puso a la vista el veintiséis de agosto de dos mil veintiuno, y que consta de los siguientes documentos:</w:t>
      </w:r>
    </w:p>
    <w:p w:rsidR="00766C07" w:rsidRPr="001431BD" w:rsidRDefault="00766C07" w:rsidP="00766C07">
      <w:pPr>
        <w:spacing w:line="360" w:lineRule="auto"/>
        <w:contextualSpacing/>
        <w:jc w:val="both"/>
        <w:rPr>
          <w:rFonts w:ascii="Palatino Linotype" w:eastAsia="Calibri" w:hAnsi="Palatino Linotype" w:cs="Arial"/>
          <w:lang w:val="es-ES" w:eastAsia="es-ES"/>
        </w:rPr>
      </w:pPr>
    </w:p>
    <w:p w:rsidR="00766C07" w:rsidRPr="001431BD" w:rsidRDefault="00D456B5" w:rsidP="00766C07">
      <w:pPr>
        <w:pStyle w:val="Prrafodelista"/>
        <w:numPr>
          <w:ilvl w:val="0"/>
          <w:numId w:val="12"/>
        </w:numPr>
        <w:spacing w:line="360" w:lineRule="auto"/>
        <w:jc w:val="both"/>
        <w:rPr>
          <w:rFonts w:ascii="Palatino Linotype" w:eastAsia="Calibri" w:hAnsi="Palatino Linotype" w:cs="Arial"/>
          <w:lang w:val="es-ES" w:eastAsia="es-ES"/>
        </w:rPr>
      </w:pPr>
      <w:hyperlink r:id="rId17" w:history="1">
        <w:r w:rsidR="00766C07" w:rsidRPr="001431BD">
          <w:rPr>
            <w:rStyle w:val="Hipervnculo"/>
            <w:rFonts w:ascii="Palatino Linotype" w:hAnsi="Palatino Linotype" w:cs="Arial"/>
            <w:b/>
            <w:bCs/>
            <w:color w:val="auto"/>
            <w:szCs w:val="22"/>
          </w:rPr>
          <w:t>MANIFESTACIONES_RR_03538_TESORERIA.pdf</w:t>
        </w:r>
      </w:hyperlink>
      <w:r w:rsidR="00766C07" w:rsidRPr="001431BD">
        <w:rPr>
          <w:rFonts w:ascii="Palatino Linotype" w:hAnsi="Palatino Linotype"/>
          <w:szCs w:val="22"/>
        </w:rPr>
        <w:t>:</w:t>
      </w:r>
      <w:r w:rsidR="00766C07" w:rsidRPr="001431BD">
        <w:rPr>
          <w:rFonts w:ascii="Palatino Linotype" w:hAnsi="Palatino Linotype"/>
        </w:rPr>
        <w:t xml:space="preserve"> Oficio número TM/3045/2021, emitido por el Tesorero Municipal al titular de la Unidad de Transparencia como informe justificado al recurso de revisión.</w:t>
      </w:r>
    </w:p>
    <w:p w:rsidR="00766C07" w:rsidRPr="001431BD" w:rsidRDefault="00766C07" w:rsidP="00766C07">
      <w:pPr>
        <w:pStyle w:val="Prrafodelista"/>
        <w:spacing w:line="360" w:lineRule="auto"/>
        <w:jc w:val="both"/>
        <w:rPr>
          <w:rFonts w:ascii="Palatino Linotype" w:eastAsia="Calibri" w:hAnsi="Palatino Linotype" w:cs="Arial"/>
          <w:szCs w:val="22"/>
          <w:lang w:val="es-ES" w:eastAsia="es-ES"/>
        </w:rPr>
      </w:pPr>
    </w:p>
    <w:p w:rsidR="00766C07" w:rsidRPr="001431BD" w:rsidRDefault="00D456B5" w:rsidP="00766C07">
      <w:pPr>
        <w:pStyle w:val="Prrafodelista"/>
        <w:numPr>
          <w:ilvl w:val="0"/>
          <w:numId w:val="12"/>
        </w:numPr>
        <w:spacing w:line="360" w:lineRule="auto"/>
        <w:jc w:val="both"/>
        <w:rPr>
          <w:rFonts w:ascii="Palatino Linotype" w:eastAsia="Calibri" w:hAnsi="Palatino Linotype" w:cs="Arial"/>
          <w:szCs w:val="22"/>
          <w:lang w:val="es-ES" w:eastAsia="es-ES"/>
        </w:rPr>
      </w:pPr>
      <w:hyperlink r:id="rId18" w:history="1">
        <w:r w:rsidR="00766C07" w:rsidRPr="001431BD">
          <w:rPr>
            <w:rStyle w:val="Hipervnculo"/>
            <w:rFonts w:ascii="Palatino Linotype" w:hAnsi="Palatino Linotype" w:cs="Arial"/>
            <w:b/>
            <w:bCs/>
            <w:color w:val="auto"/>
            <w:szCs w:val="22"/>
          </w:rPr>
          <w:t>RESP_RR_03538_TESORERIA.pdf</w:t>
        </w:r>
      </w:hyperlink>
      <w:r w:rsidR="00766C07" w:rsidRPr="001431BD">
        <w:rPr>
          <w:rFonts w:ascii="Palatino Linotype" w:hAnsi="Palatino Linotype"/>
          <w:szCs w:val="22"/>
        </w:rPr>
        <w:t>:</w:t>
      </w:r>
      <w:r w:rsidR="00766C07" w:rsidRPr="001431BD">
        <w:rPr>
          <w:rFonts w:ascii="Palatino Linotype" w:hAnsi="Palatino Linotype"/>
        </w:rPr>
        <w:t xml:space="preserve"> Oficio TM/3098/2021, emitido por el Tesorero Municipal al Titular de la Unidad de Transparencia con las manifestaciones en razón del recurso de revisión.</w:t>
      </w:r>
    </w:p>
    <w:p w:rsidR="00766C07" w:rsidRPr="001431BD" w:rsidRDefault="00766C07" w:rsidP="00766C07">
      <w:pPr>
        <w:spacing w:line="360" w:lineRule="auto"/>
        <w:contextualSpacing/>
        <w:jc w:val="both"/>
        <w:rPr>
          <w:rFonts w:ascii="Palatino Linotype" w:eastAsia="Calibri" w:hAnsi="Palatino Linotype" w:cs="Arial"/>
          <w:lang w:val="es-ES" w:eastAsia="es-ES"/>
        </w:rPr>
      </w:pPr>
    </w:p>
    <w:p w:rsidR="00766C07" w:rsidRPr="001431BD" w:rsidRDefault="00766C07" w:rsidP="00766C07">
      <w:pPr>
        <w:pStyle w:val="Prrafodelista"/>
        <w:numPr>
          <w:ilvl w:val="0"/>
          <w:numId w:val="9"/>
        </w:numPr>
        <w:spacing w:line="360" w:lineRule="auto"/>
        <w:ind w:left="0" w:right="48" w:firstLine="0"/>
        <w:jc w:val="both"/>
        <w:rPr>
          <w:rFonts w:ascii="Palatino Linotype" w:hAnsi="Palatino Linotype"/>
          <w:b/>
          <w:sz w:val="24"/>
        </w:rPr>
      </w:pPr>
      <w:r w:rsidRPr="001431BD">
        <w:rPr>
          <w:rFonts w:ascii="Palatino Linotype" w:hAnsi="Palatino Linotype"/>
          <w:sz w:val="24"/>
        </w:rPr>
        <w:t xml:space="preserve">El veintitrés (23) de agosto de dos mil veintiuno, en la Segunda Sesión Extraordinaria, el Pleno de este Órgano Garante aprobó el returno del recurso de revisión al rubro indicado, a la Ponencia de la </w:t>
      </w:r>
      <w:r w:rsidRPr="001431BD">
        <w:rPr>
          <w:rFonts w:ascii="Palatino Linotype" w:hAnsi="Palatino Linotype"/>
          <w:b/>
          <w:sz w:val="24"/>
        </w:rPr>
        <w:t>Comisionada María del Rosario Mejía Ayala.</w:t>
      </w:r>
    </w:p>
    <w:p w:rsidR="00766C07" w:rsidRPr="001431BD" w:rsidRDefault="00766C07" w:rsidP="00766C07">
      <w:pPr>
        <w:spacing w:line="360" w:lineRule="auto"/>
        <w:contextualSpacing/>
        <w:jc w:val="both"/>
        <w:rPr>
          <w:rFonts w:ascii="Palatino Linotype" w:eastAsiaTheme="minorEastAsia" w:hAnsi="Palatino Linotype"/>
          <w:b/>
          <w:u w:val="single"/>
          <w:lang w:val="es-ES_tradnl" w:eastAsia="es-ES"/>
        </w:rPr>
      </w:pPr>
    </w:p>
    <w:p w:rsidR="00766C07" w:rsidRPr="001431BD" w:rsidRDefault="00766C07" w:rsidP="00766C07">
      <w:pPr>
        <w:numPr>
          <w:ilvl w:val="0"/>
          <w:numId w:val="9"/>
        </w:numPr>
        <w:spacing w:line="360" w:lineRule="auto"/>
        <w:ind w:left="0" w:firstLine="0"/>
        <w:contextualSpacing/>
        <w:jc w:val="both"/>
        <w:rPr>
          <w:rFonts w:ascii="Palatino Linotype" w:eastAsiaTheme="minorEastAsia" w:hAnsi="Palatino Linotype"/>
          <w:b/>
          <w:u w:val="single"/>
          <w:lang w:val="es-ES_tradnl" w:eastAsia="es-ES"/>
        </w:rPr>
      </w:pPr>
      <w:r w:rsidRPr="001431BD">
        <w:rPr>
          <w:rFonts w:ascii="Palatino Linotype" w:eastAsiaTheme="minorEastAsia" w:hAnsi="Palatino Linotype"/>
          <w:lang w:val="es-ES_tradnl" w:eastAsia="es-ES"/>
        </w:rPr>
        <w:t>El Comisionado Ponente decretó el cierre de instrucción</w:t>
      </w:r>
      <w:r w:rsidRPr="001431BD">
        <w:rPr>
          <w:rFonts w:ascii="Palatino Linotype" w:eastAsiaTheme="minorEastAsia" w:hAnsi="Palatino Linotype" w:cs="Arial"/>
          <w:lang w:val="es-ES_tradnl" w:eastAsia="es-ES"/>
        </w:rPr>
        <w:t xml:space="preserve"> </w:t>
      </w:r>
      <w:r w:rsidRPr="001431BD">
        <w:rPr>
          <w:rFonts w:ascii="Palatino Linotype" w:eastAsiaTheme="minorEastAsia" w:hAnsi="Palatino Linotype"/>
          <w:lang w:val="es-ES_tradnl" w:eastAsia="es-ES"/>
        </w:rPr>
        <w:t>mediante el acuerdo de fecha uno (01) de septiembre de dos mil veintiuno.</w:t>
      </w:r>
      <w:r w:rsidRPr="001431BD">
        <w:rPr>
          <w:rFonts w:ascii="Palatino Linotype" w:eastAsiaTheme="minorEastAsia" w:hAnsi="Palatino Linotype" w:cs="Arial"/>
          <w:lang w:val="es-ES_tradnl" w:eastAsia="es-ES"/>
        </w:rPr>
        <w:t xml:space="preserve"> </w:t>
      </w:r>
    </w:p>
    <w:p w:rsidR="00766C07" w:rsidRPr="001431BD" w:rsidRDefault="00766C07" w:rsidP="00766C07">
      <w:pPr>
        <w:spacing w:line="360" w:lineRule="auto"/>
        <w:contextualSpacing/>
        <w:jc w:val="both"/>
        <w:rPr>
          <w:rFonts w:ascii="Palatino Linotype" w:eastAsiaTheme="minorEastAsia" w:hAnsi="Palatino Linotype"/>
          <w:b/>
          <w:u w:val="single"/>
          <w:lang w:val="es-ES_tradnl" w:eastAsia="es-ES"/>
        </w:rPr>
      </w:pPr>
    </w:p>
    <w:p w:rsidR="00766C07" w:rsidRPr="001431BD" w:rsidRDefault="00766C07" w:rsidP="00766C07">
      <w:pPr>
        <w:keepNext/>
        <w:keepLines/>
        <w:spacing w:line="360" w:lineRule="auto"/>
        <w:jc w:val="center"/>
        <w:outlineLvl w:val="0"/>
        <w:rPr>
          <w:rFonts w:ascii="Palatino Linotype" w:eastAsiaTheme="majorEastAsia" w:hAnsi="Palatino Linotype" w:cstheme="majorBidi"/>
        </w:rPr>
      </w:pPr>
      <w:bookmarkStart w:id="5" w:name="_Toc82006061"/>
      <w:r w:rsidRPr="001431BD">
        <w:rPr>
          <w:rFonts w:ascii="Palatino Linotype" w:eastAsiaTheme="majorEastAsia" w:hAnsi="Palatino Linotype" w:cstheme="majorBidi"/>
          <w:b/>
        </w:rPr>
        <w:t>CONSIDERANDO</w:t>
      </w:r>
      <w:bookmarkEnd w:id="5"/>
      <w:r w:rsidRPr="001431BD">
        <w:rPr>
          <w:rFonts w:ascii="Palatino Linotype" w:eastAsiaTheme="majorEastAsia" w:hAnsi="Palatino Linotype" w:cstheme="majorBidi"/>
          <w:b/>
        </w:rPr>
        <w:t xml:space="preserve"> </w:t>
      </w:r>
    </w:p>
    <w:p w:rsidR="00766C07" w:rsidRPr="001431BD" w:rsidRDefault="00766C07" w:rsidP="00766C07">
      <w:pPr>
        <w:spacing w:line="360" w:lineRule="auto"/>
        <w:rPr>
          <w:rFonts w:ascii="Palatino Linotype" w:eastAsiaTheme="minorEastAsia" w:hAnsi="Palatino Linotype"/>
        </w:rPr>
      </w:pPr>
    </w:p>
    <w:p w:rsidR="00766C07" w:rsidRPr="001431BD" w:rsidRDefault="00766C07" w:rsidP="00766C07">
      <w:pPr>
        <w:keepNext/>
        <w:keepLines/>
        <w:spacing w:line="360" w:lineRule="auto"/>
        <w:outlineLvl w:val="1"/>
        <w:rPr>
          <w:rFonts w:ascii="Palatino Linotype" w:eastAsiaTheme="majorEastAsia" w:hAnsi="Palatino Linotype" w:cstheme="majorBidi"/>
          <w:b/>
          <w:szCs w:val="26"/>
        </w:rPr>
      </w:pPr>
      <w:bookmarkStart w:id="6" w:name="_Toc82006062"/>
      <w:r w:rsidRPr="001431BD">
        <w:rPr>
          <w:rFonts w:ascii="Palatino Linotype" w:eastAsiaTheme="majorEastAsia" w:hAnsi="Palatino Linotype" w:cstheme="majorBidi"/>
          <w:b/>
          <w:szCs w:val="26"/>
        </w:rPr>
        <w:t>PRIMERO. De la competencia</w:t>
      </w:r>
      <w:bookmarkEnd w:id="6"/>
    </w:p>
    <w:p w:rsidR="00766C07" w:rsidRPr="001431BD" w:rsidRDefault="00766C07" w:rsidP="00766C07">
      <w:pPr>
        <w:keepNext/>
        <w:keepLines/>
        <w:spacing w:line="360" w:lineRule="auto"/>
        <w:outlineLvl w:val="1"/>
        <w:rPr>
          <w:rFonts w:ascii="Palatino Linotype" w:eastAsiaTheme="majorEastAsia" w:hAnsi="Palatino Linotype" w:cstheme="majorBidi"/>
          <w:b/>
          <w:bCs/>
          <w:spacing w:val="60"/>
          <w:szCs w:val="26"/>
        </w:rPr>
      </w:pPr>
    </w:p>
    <w:p w:rsidR="00766C07" w:rsidRPr="001431BD" w:rsidRDefault="00766C07" w:rsidP="00766C07">
      <w:pPr>
        <w:numPr>
          <w:ilvl w:val="0"/>
          <w:numId w:val="9"/>
        </w:numPr>
        <w:spacing w:line="360" w:lineRule="auto"/>
        <w:ind w:left="0" w:firstLine="0"/>
        <w:contextualSpacing/>
        <w:jc w:val="both"/>
        <w:rPr>
          <w:rFonts w:ascii="Palatino Linotype" w:eastAsiaTheme="minorEastAsia" w:hAnsi="Palatino Linotype"/>
          <w:lang w:val="es-ES_tradnl" w:eastAsia="es-ES"/>
        </w:rPr>
      </w:pPr>
      <w:r w:rsidRPr="001431BD">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431BD">
        <w:rPr>
          <w:rFonts w:ascii="Palatino Linotype" w:eastAsia="Calibri" w:hAnsi="Palatino Linotype"/>
          <w:b/>
          <w:lang w:val="es-ES" w:eastAsia="es-ES"/>
        </w:rPr>
        <w:t>Constitución Política de los Estados Unidos Mexicanos</w:t>
      </w:r>
      <w:r w:rsidRPr="001431BD">
        <w:rPr>
          <w:rFonts w:ascii="Palatino Linotype" w:eastAsia="Calibri" w:hAnsi="Palatino Linotype"/>
          <w:lang w:val="es-ES" w:eastAsia="es-ES"/>
        </w:rPr>
        <w:t xml:space="preserve">; 5, párrafos </w:t>
      </w:r>
      <w:r w:rsidRPr="001431BD">
        <w:rPr>
          <w:rFonts w:ascii="Palatino Linotype" w:eastAsiaTheme="minorEastAsia" w:hAnsi="Palatino Linotype" w:cs="Arial"/>
          <w:bCs/>
          <w:color w:val="222222"/>
          <w:lang w:val="es-ES" w:eastAsia="es-ES"/>
        </w:rPr>
        <w:t xml:space="preserve">vigésimo, </w:t>
      </w:r>
      <w:r w:rsidRPr="001431BD">
        <w:rPr>
          <w:rFonts w:ascii="Palatino Linotype" w:eastAsiaTheme="minorEastAsia" w:hAnsi="Palatino Linotype" w:cs="Arial"/>
          <w:bCs/>
          <w:color w:val="222222"/>
          <w:lang w:val="es-ES" w:eastAsia="es-ES"/>
        </w:rPr>
        <w:lastRenderedPageBreak/>
        <w:t xml:space="preserve">vigésimo primero y vigésimo segundo </w:t>
      </w:r>
      <w:r w:rsidRPr="001431BD">
        <w:rPr>
          <w:rFonts w:ascii="Palatino Linotype" w:eastAsia="Calibri" w:hAnsi="Palatino Linotype"/>
          <w:lang w:val="es-ES" w:eastAsia="es-ES"/>
        </w:rPr>
        <w:t xml:space="preserve">fracciones IV y V de la </w:t>
      </w:r>
      <w:r w:rsidRPr="001431BD">
        <w:rPr>
          <w:rFonts w:ascii="Palatino Linotype" w:eastAsia="Calibri" w:hAnsi="Palatino Linotype"/>
          <w:b/>
          <w:lang w:val="es-ES" w:eastAsia="es-ES"/>
        </w:rPr>
        <w:t>Constitución Política del Estado Libre y Soberano de México</w:t>
      </w:r>
      <w:r w:rsidRPr="001431BD">
        <w:rPr>
          <w:rFonts w:ascii="Palatino Linotype" w:eastAsia="Calibri" w:hAnsi="Palatino Linotype"/>
          <w:lang w:val="es-ES" w:eastAsia="es-ES"/>
        </w:rPr>
        <w:t xml:space="preserve">; artículos 1, 2 fracción II, 13, 29, 36 fracciones I y II, 176, 178, 179, 181 párrafo tercero y 185 </w:t>
      </w:r>
      <w:r w:rsidRPr="001431BD">
        <w:rPr>
          <w:rFonts w:ascii="Palatino Linotype" w:eastAsia="Calibri" w:hAnsi="Palatino Linotype" w:cs="Arial"/>
          <w:lang w:val="es-ES" w:eastAsia="es-ES"/>
        </w:rPr>
        <w:t xml:space="preserve">de la </w:t>
      </w:r>
      <w:r w:rsidRPr="001431BD">
        <w:rPr>
          <w:rFonts w:ascii="Palatino Linotype" w:eastAsia="Calibri" w:hAnsi="Palatino Linotype" w:cs="Arial"/>
          <w:b/>
          <w:lang w:val="es-ES" w:eastAsia="es-ES"/>
        </w:rPr>
        <w:t>Ley de Transparencia y Acceso a la Información Pública del Estado de México y Municipios</w:t>
      </w:r>
      <w:r w:rsidRPr="001431BD">
        <w:rPr>
          <w:rFonts w:ascii="Palatino Linotype" w:eastAsia="Calibri" w:hAnsi="Palatino Linotype" w:cs="Arial"/>
          <w:lang w:val="es-ES" w:eastAsia="es-ES"/>
        </w:rPr>
        <w:t xml:space="preserve">; y 7, 9 fracciones I y XXIV, y 11 del </w:t>
      </w:r>
      <w:r w:rsidRPr="001431BD">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1431BD">
        <w:rPr>
          <w:rFonts w:ascii="Palatino Linotype" w:eastAsiaTheme="minorEastAsia" w:hAnsi="Palatino Linotype"/>
          <w:lang w:val="es-ES_tradnl" w:eastAsia="es-ES"/>
        </w:rPr>
        <w:t>.</w:t>
      </w:r>
    </w:p>
    <w:p w:rsidR="00766C07" w:rsidRPr="001431BD" w:rsidRDefault="00766C07" w:rsidP="00766C07">
      <w:pPr>
        <w:spacing w:line="360" w:lineRule="auto"/>
        <w:contextualSpacing/>
        <w:jc w:val="both"/>
        <w:rPr>
          <w:rFonts w:ascii="Palatino Linotype" w:eastAsiaTheme="minorEastAsia" w:hAnsi="Palatino Linotype"/>
          <w:lang w:val="es-ES_tradnl" w:eastAsia="es-ES"/>
        </w:rPr>
      </w:pPr>
    </w:p>
    <w:p w:rsidR="00766C07" w:rsidRPr="001431BD" w:rsidRDefault="00766C07" w:rsidP="00766C07">
      <w:pPr>
        <w:pStyle w:val="Prrafodelista"/>
        <w:numPr>
          <w:ilvl w:val="0"/>
          <w:numId w:val="9"/>
        </w:numPr>
        <w:spacing w:after="160" w:line="360" w:lineRule="auto"/>
        <w:ind w:left="0" w:firstLine="0"/>
        <w:jc w:val="both"/>
        <w:rPr>
          <w:rFonts w:ascii="Palatino Linotype" w:eastAsiaTheme="minorHAnsi" w:hAnsi="Palatino Linotype" w:cs="Arial"/>
          <w:sz w:val="24"/>
          <w:szCs w:val="22"/>
          <w:lang w:eastAsia="en-US"/>
        </w:rPr>
      </w:pPr>
      <w:r w:rsidRPr="001431BD">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766C07" w:rsidRPr="001431BD" w:rsidRDefault="00766C07" w:rsidP="00766C07">
      <w:pPr>
        <w:spacing w:line="360" w:lineRule="auto"/>
        <w:contextualSpacing/>
        <w:jc w:val="both"/>
        <w:rPr>
          <w:rFonts w:ascii="Palatino Linotype" w:eastAsiaTheme="minorEastAsia" w:hAnsi="Palatino Linotype"/>
          <w:lang w:val="es-ES_tradnl" w:eastAsia="es-ES"/>
        </w:rPr>
      </w:pPr>
    </w:p>
    <w:p w:rsidR="00766C07" w:rsidRPr="001431BD" w:rsidRDefault="00766C07" w:rsidP="00766C07">
      <w:pPr>
        <w:keepNext/>
        <w:keepLines/>
        <w:spacing w:line="360" w:lineRule="auto"/>
        <w:outlineLvl w:val="1"/>
        <w:rPr>
          <w:rFonts w:ascii="Palatino Linotype" w:eastAsiaTheme="majorEastAsia" w:hAnsi="Palatino Linotype" w:cstheme="majorBidi"/>
          <w:b/>
          <w:szCs w:val="26"/>
        </w:rPr>
      </w:pPr>
      <w:bookmarkStart w:id="7" w:name="_Toc82006063"/>
      <w:r w:rsidRPr="001431BD">
        <w:rPr>
          <w:rFonts w:ascii="Palatino Linotype" w:eastAsiaTheme="majorEastAsia" w:hAnsi="Palatino Linotype" w:cstheme="majorBidi"/>
          <w:b/>
          <w:szCs w:val="26"/>
        </w:rPr>
        <w:t>SEGUNDO. De la oportunidad y procedencia.</w:t>
      </w:r>
      <w:bookmarkEnd w:id="7"/>
    </w:p>
    <w:p w:rsidR="00766C07" w:rsidRPr="001431BD" w:rsidRDefault="00766C07" w:rsidP="00766C07">
      <w:pPr>
        <w:spacing w:line="360" w:lineRule="auto"/>
        <w:rPr>
          <w:rFonts w:ascii="Palatino Linotype" w:eastAsiaTheme="minorEastAsia" w:hAnsi="Palatino Linotype"/>
        </w:rPr>
      </w:pPr>
    </w:p>
    <w:p w:rsidR="00766C07" w:rsidRPr="001431BD" w:rsidRDefault="00766C07" w:rsidP="00766C07">
      <w:pPr>
        <w:numPr>
          <w:ilvl w:val="0"/>
          <w:numId w:val="9"/>
        </w:numPr>
        <w:spacing w:line="360" w:lineRule="auto"/>
        <w:ind w:left="0" w:right="49" w:firstLine="0"/>
        <w:contextualSpacing/>
        <w:jc w:val="both"/>
        <w:rPr>
          <w:rFonts w:ascii="Palatino Linotype" w:eastAsiaTheme="minorEastAsia" w:hAnsi="Palatino Linotype"/>
          <w:lang w:val="es-ES_tradnl" w:eastAsia="es-ES"/>
        </w:rPr>
      </w:pPr>
      <w:r w:rsidRPr="001431BD">
        <w:rPr>
          <w:rFonts w:ascii="Palatino Linotype" w:eastAsia="Calibri" w:hAnsi="Palatino Linotype" w:cs="Arial"/>
          <w:lang w:val="es-ES_tradnl" w:eastAsia="es-ES"/>
        </w:rPr>
        <w:t xml:space="preserve">El medio de impugnación fue presentado a través del </w:t>
      </w:r>
      <w:r w:rsidRPr="001431BD">
        <w:rPr>
          <w:rFonts w:ascii="Palatino Linotype" w:eastAsia="Calibri" w:hAnsi="Palatino Linotype" w:cs="Arial"/>
          <w:b/>
          <w:lang w:val="es-ES_tradnl" w:eastAsia="es-ES"/>
        </w:rPr>
        <w:t>SAIMEX,</w:t>
      </w:r>
      <w:r w:rsidRPr="001431BD">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431BD">
        <w:rPr>
          <w:rFonts w:ascii="Palatino Linotype" w:eastAsia="Calibri" w:hAnsi="Palatino Linotype" w:cs="Arial"/>
          <w:b/>
          <w:lang w:val="es-ES_tradnl" w:eastAsia="es-ES"/>
        </w:rPr>
        <w:t>SUJETO OBLIGADO</w:t>
      </w:r>
      <w:r w:rsidRPr="001431BD">
        <w:rPr>
          <w:rFonts w:ascii="Palatino Linotype" w:eastAsia="Calibri" w:hAnsi="Palatino Linotype" w:cs="Arial"/>
          <w:lang w:val="es-ES_tradnl" w:eastAsia="es-ES"/>
        </w:rPr>
        <w:t xml:space="preserve"> entregó respuesta a la solicitud el día siete (07) de junio  de dos mil veintiuno, </w:t>
      </w:r>
      <w:r w:rsidRPr="001431BD">
        <w:rPr>
          <w:rFonts w:ascii="Palatino Linotype" w:eastAsiaTheme="minorEastAsia" w:hAnsi="Palatino Linotype" w:cs="Arial"/>
          <w:lang w:val="es-ES_tradnl" w:eastAsia="es-ES"/>
        </w:rPr>
        <w:t xml:space="preserve">de tal forma que el plazo para interponer el recurso de revisión transcurrió del ocho (08) de junio  al veintiocho (28) de junio  de dos mil veintiuno; en consecuencia, presentó su inconformidad el día veintiocho (28) </w:t>
      </w:r>
      <w:r w:rsidRPr="001431BD">
        <w:rPr>
          <w:rFonts w:ascii="Palatino Linotype" w:eastAsiaTheme="minorEastAsia" w:hAnsi="Palatino Linotype" w:cs="Arial"/>
          <w:lang w:val="es-ES_tradnl" w:eastAsia="es-ES"/>
        </w:rPr>
        <w:lastRenderedPageBreak/>
        <w:t xml:space="preserve">de junio de dos mil veintiuno, por lo que se encuentra dentro de los márgenes temporales previstos en el artículo 178 de la </w:t>
      </w:r>
      <w:r w:rsidRPr="001431BD">
        <w:rPr>
          <w:rFonts w:ascii="Palatino Linotype" w:eastAsiaTheme="minorEastAsia" w:hAnsi="Palatino Linotype" w:cs="Arial"/>
          <w:b/>
          <w:lang w:val="es-ES_tradnl" w:eastAsia="es-ES"/>
        </w:rPr>
        <w:t xml:space="preserve">Ley de Transparencia y Acceso a la Información Pública del Estado de México y Municipios </w:t>
      </w:r>
      <w:r w:rsidRPr="001431BD">
        <w:rPr>
          <w:rFonts w:ascii="Palatino Linotype" w:eastAsiaTheme="minorEastAsia" w:hAnsi="Palatino Linotype" w:cs="Arial"/>
          <w:lang w:val="es-ES_tradnl" w:eastAsia="es-ES"/>
        </w:rPr>
        <w:t>vigente.</w:t>
      </w:r>
    </w:p>
    <w:p w:rsidR="00766C07" w:rsidRPr="001431BD" w:rsidRDefault="00766C07" w:rsidP="00766C07">
      <w:pPr>
        <w:spacing w:line="360" w:lineRule="auto"/>
        <w:ind w:right="49"/>
        <w:contextualSpacing/>
        <w:jc w:val="both"/>
        <w:rPr>
          <w:rFonts w:ascii="Palatino Linotype" w:eastAsiaTheme="minorEastAsia" w:hAnsi="Palatino Linotype" w:cs="Arial"/>
          <w:lang w:val="es-ES_tradnl" w:eastAsia="es-ES"/>
        </w:rPr>
      </w:pPr>
    </w:p>
    <w:p w:rsidR="00F05ED0" w:rsidRPr="001431BD" w:rsidRDefault="00766C07" w:rsidP="00766C07">
      <w:pPr>
        <w:numPr>
          <w:ilvl w:val="0"/>
          <w:numId w:val="9"/>
        </w:numPr>
        <w:spacing w:line="360" w:lineRule="auto"/>
        <w:ind w:left="0" w:right="49" w:firstLine="0"/>
        <w:contextualSpacing/>
        <w:jc w:val="both"/>
        <w:rPr>
          <w:rFonts w:ascii="Palatino Linotype" w:eastAsiaTheme="minorEastAsia" w:hAnsi="Palatino Linotype"/>
          <w:lang w:val="es-ES_tradnl" w:eastAsia="es-ES"/>
        </w:rPr>
      </w:pPr>
      <w:r w:rsidRPr="001431BD">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05ED0" w:rsidRPr="001431BD" w:rsidRDefault="00F05ED0" w:rsidP="00F05ED0">
      <w:pPr>
        <w:spacing w:line="360" w:lineRule="auto"/>
        <w:ind w:right="49"/>
        <w:contextualSpacing/>
        <w:jc w:val="both"/>
        <w:rPr>
          <w:rFonts w:ascii="Palatino Linotype" w:eastAsiaTheme="minorEastAsia" w:hAnsi="Palatino Linotype"/>
          <w:lang w:val="es-ES_tradnl" w:eastAsia="es-ES"/>
        </w:rPr>
      </w:pPr>
    </w:p>
    <w:p w:rsidR="00766C07" w:rsidRPr="001431BD" w:rsidRDefault="00766C07" w:rsidP="00766C07">
      <w:pPr>
        <w:keepNext/>
        <w:keepLines/>
        <w:spacing w:line="360" w:lineRule="auto"/>
        <w:outlineLvl w:val="1"/>
        <w:rPr>
          <w:rFonts w:ascii="Palatino Linotype" w:eastAsiaTheme="majorEastAsia" w:hAnsi="Palatino Linotype" w:cstheme="majorBidi"/>
          <w:b/>
          <w:szCs w:val="26"/>
        </w:rPr>
      </w:pPr>
      <w:bookmarkStart w:id="8" w:name="_Toc486525253"/>
      <w:bookmarkStart w:id="9" w:name="_Toc82006064"/>
      <w:r w:rsidRPr="001431BD">
        <w:rPr>
          <w:rFonts w:ascii="Palatino Linotype" w:eastAsiaTheme="majorEastAsia" w:hAnsi="Palatino Linotype" w:cstheme="majorBidi"/>
          <w:b/>
          <w:szCs w:val="26"/>
        </w:rPr>
        <w:t xml:space="preserve">CUARTO. </w:t>
      </w:r>
      <w:bookmarkEnd w:id="8"/>
      <w:r w:rsidRPr="001431BD">
        <w:rPr>
          <w:rFonts w:ascii="Palatino Linotype" w:eastAsiaTheme="majorEastAsia" w:hAnsi="Palatino Linotype" w:cstheme="majorBidi"/>
          <w:b/>
          <w:szCs w:val="26"/>
        </w:rPr>
        <w:t>Planteamiento de la Litis.</w:t>
      </w:r>
      <w:bookmarkEnd w:id="9"/>
    </w:p>
    <w:p w:rsidR="00766C07" w:rsidRPr="001431BD" w:rsidRDefault="00766C07" w:rsidP="00766C07">
      <w:pPr>
        <w:spacing w:line="360" w:lineRule="auto"/>
        <w:rPr>
          <w:rFonts w:ascii="Palatino Linotype" w:eastAsiaTheme="minorEastAsia" w:hAnsi="Palatino Linotype"/>
        </w:rPr>
      </w:pPr>
    </w:p>
    <w:p w:rsidR="00766C07" w:rsidRPr="001431BD" w:rsidRDefault="00F05ED0" w:rsidP="00766C07">
      <w:pPr>
        <w:pStyle w:val="Prrafodelista"/>
        <w:numPr>
          <w:ilvl w:val="0"/>
          <w:numId w:val="9"/>
        </w:numPr>
        <w:spacing w:line="360" w:lineRule="auto"/>
        <w:ind w:left="0" w:firstLine="0"/>
        <w:jc w:val="both"/>
        <w:rPr>
          <w:rFonts w:ascii="Palatino Linotype" w:eastAsia="MS Gothic" w:hAnsi="Palatino Linotype"/>
          <w:sz w:val="24"/>
        </w:rPr>
      </w:pPr>
      <w:r w:rsidRPr="001431BD">
        <w:rPr>
          <w:rFonts w:ascii="Palatino Linotype" w:eastAsia="MS Gothic" w:hAnsi="Palatino Linotype"/>
          <w:sz w:val="24"/>
        </w:rPr>
        <w:t xml:space="preserve">El </w:t>
      </w:r>
      <w:r w:rsidR="00766C07" w:rsidRPr="001431BD">
        <w:rPr>
          <w:rFonts w:ascii="Palatino Linotype" w:eastAsia="MS Gothic" w:hAnsi="Palatino Linotype"/>
          <w:sz w:val="24"/>
        </w:rPr>
        <w:t xml:space="preserve">particular solicitó </w:t>
      </w:r>
      <w:r w:rsidRPr="001431BD">
        <w:rPr>
          <w:rFonts w:ascii="Palatino Linotype" w:eastAsia="MS Gothic" w:hAnsi="Palatino Linotype"/>
          <w:sz w:val="24"/>
        </w:rPr>
        <w:t xml:space="preserve">la información pública contenida en el disco 5, Imágenes Digitalizadas, en forma precisa y clara, del mes de diciembre del año 2020 del Ayuntamiento de Tlalnepantla de Baz enviada al Órgano Superior de Fiscalización </w:t>
      </w:r>
      <w:r w:rsidR="00727A52" w:rsidRPr="001431BD">
        <w:rPr>
          <w:rFonts w:ascii="Palatino Linotype" w:eastAsia="MS Gothic" w:hAnsi="Palatino Linotype"/>
          <w:sz w:val="24"/>
        </w:rPr>
        <w:t>(OSFEM)</w:t>
      </w:r>
      <w:r w:rsidR="00C66454" w:rsidRPr="001431BD">
        <w:rPr>
          <w:rFonts w:ascii="Palatino Linotype" w:eastAsia="MS Gothic" w:hAnsi="Palatino Linotype"/>
          <w:sz w:val="24"/>
        </w:rPr>
        <w:t>, y</w:t>
      </w:r>
      <w:r w:rsidR="00727A52" w:rsidRPr="001431BD">
        <w:rPr>
          <w:rFonts w:ascii="Palatino Linotype" w:eastAsia="MS Gothic" w:hAnsi="Palatino Linotype"/>
          <w:sz w:val="24"/>
        </w:rPr>
        <w:t xml:space="preserve"> que consiste en Pólizas de cheques con la documentación justificativa, comprobatoria, suficiente, competente, pertinente y relevante.</w:t>
      </w:r>
    </w:p>
    <w:p w:rsidR="00727A52" w:rsidRPr="001431BD" w:rsidRDefault="00727A52" w:rsidP="00727A52">
      <w:pPr>
        <w:pStyle w:val="Prrafodelista"/>
        <w:spacing w:line="360" w:lineRule="auto"/>
        <w:ind w:left="0"/>
        <w:jc w:val="both"/>
        <w:rPr>
          <w:rFonts w:ascii="Palatino Linotype" w:eastAsia="MS Gothic" w:hAnsi="Palatino Linotype"/>
          <w:sz w:val="24"/>
        </w:rPr>
      </w:pPr>
    </w:p>
    <w:p w:rsidR="00766C07" w:rsidRPr="001431BD" w:rsidRDefault="00766C07" w:rsidP="00766C07">
      <w:pPr>
        <w:pStyle w:val="Prrafodelista"/>
        <w:numPr>
          <w:ilvl w:val="0"/>
          <w:numId w:val="9"/>
        </w:numPr>
        <w:spacing w:line="360" w:lineRule="auto"/>
        <w:ind w:left="0" w:firstLine="0"/>
        <w:jc w:val="both"/>
        <w:rPr>
          <w:rFonts w:ascii="Palatino Linotype" w:eastAsia="MS Gothic" w:hAnsi="Palatino Linotype"/>
          <w:sz w:val="24"/>
        </w:rPr>
      </w:pPr>
      <w:r w:rsidRPr="001431BD">
        <w:rPr>
          <w:rFonts w:ascii="Palatino Linotype" w:eastAsia="MS Gothic" w:hAnsi="Palatino Linotype"/>
          <w:sz w:val="24"/>
        </w:rPr>
        <w:t xml:space="preserve">El </w:t>
      </w:r>
      <w:r w:rsidRPr="001431BD">
        <w:rPr>
          <w:rFonts w:ascii="Palatino Linotype" w:eastAsia="MS Gothic" w:hAnsi="Palatino Linotype"/>
          <w:b/>
          <w:sz w:val="24"/>
        </w:rPr>
        <w:t>SUJETO OBLIGADO</w:t>
      </w:r>
      <w:r w:rsidRPr="001431BD">
        <w:rPr>
          <w:rFonts w:ascii="Palatino Linotype" w:eastAsia="MS Gothic" w:hAnsi="Palatino Linotype"/>
          <w:sz w:val="24"/>
        </w:rPr>
        <w:t xml:space="preserve"> en respuesta </w:t>
      </w:r>
      <w:r w:rsidR="00727A52" w:rsidRPr="001431BD">
        <w:rPr>
          <w:rFonts w:ascii="Palatino Linotype" w:eastAsia="MS Gothic" w:hAnsi="Palatino Linotype"/>
          <w:sz w:val="24"/>
        </w:rPr>
        <w:t xml:space="preserve">adjuntó tres </w:t>
      </w:r>
      <w:r w:rsidR="00C66454">
        <w:rPr>
          <w:rFonts w:ascii="Palatino Linotype" w:eastAsia="MS Gothic" w:hAnsi="Palatino Linotype"/>
          <w:sz w:val="24"/>
        </w:rPr>
        <w:t xml:space="preserve">carpetas, que incluían </w:t>
      </w:r>
      <w:r w:rsidR="00727A52" w:rsidRPr="001431BD">
        <w:rPr>
          <w:rFonts w:ascii="Palatino Linotype" w:eastAsia="MS Gothic" w:hAnsi="Palatino Linotype"/>
          <w:sz w:val="24"/>
        </w:rPr>
        <w:t xml:space="preserve">archivos </w:t>
      </w:r>
      <w:r w:rsidR="00C66454">
        <w:rPr>
          <w:rFonts w:ascii="Palatino Linotype" w:eastAsia="MS Gothic" w:hAnsi="Palatino Linotype"/>
          <w:sz w:val="24"/>
        </w:rPr>
        <w:t>con imágenes digitalizadas referentes al disco 5, del mes de diciembre de dos mi veinte.</w:t>
      </w:r>
      <w:r w:rsidR="00727A52" w:rsidRPr="001431BD">
        <w:rPr>
          <w:rFonts w:ascii="Palatino Linotype" w:eastAsia="MS Gothic" w:hAnsi="Palatino Linotype"/>
          <w:sz w:val="24"/>
        </w:rPr>
        <w:t xml:space="preserve"> </w:t>
      </w:r>
    </w:p>
    <w:p w:rsidR="00766C07" w:rsidRPr="001431BD" w:rsidRDefault="00766C07" w:rsidP="00766C07">
      <w:pPr>
        <w:pStyle w:val="Prrafodelista"/>
        <w:rPr>
          <w:rFonts w:ascii="Palatino Linotype" w:eastAsia="MS Gothic" w:hAnsi="Palatino Linotype"/>
          <w:sz w:val="24"/>
        </w:rPr>
      </w:pPr>
    </w:p>
    <w:p w:rsidR="00F70841" w:rsidRPr="001431BD" w:rsidRDefault="00766C07" w:rsidP="00F70841">
      <w:pPr>
        <w:pStyle w:val="Prrafodelista"/>
        <w:numPr>
          <w:ilvl w:val="0"/>
          <w:numId w:val="9"/>
        </w:numPr>
        <w:spacing w:line="360" w:lineRule="auto"/>
        <w:ind w:left="0" w:firstLine="0"/>
        <w:jc w:val="both"/>
        <w:rPr>
          <w:rFonts w:ascii="Palatino Linotype" w:eastAsia="MS Gothic" w:hAnsi="Palatino Linotype"/>
          <w:sz w:val="24"/>
        </w:rPr>
      </w:pPr>
      <w:r w:rsidRPr="001431BD">
        <w:rPr>
          <w:rFonts w:ascii="Palatino Linotype" w:eastAsia="MS Gothic" w:hAnsi="Palatino Linotype"/>
          <w:sz w:val="24"/>
        </w:rPr>
        <w:t>Derivado de la respuesta, el particular se inconformó mediante el recurso de revisi</w:t>
      </w:r>
      <w:r w:rsidR="00F70841" w:rsidRPr="001431BD">
        <w:rPr>
          <w:rFonts w:ascii="Palatino Linotype" w:eastAsia="MS Gothic" w:hAnsi="Palatino Linotype"/>
          <w:sz w:val="24"/>
        </w:rPr>
        <w:t>ón; manifestó</w:t>
      </w:r>
      <w:r w:rsidRPr="001431BD">
        <w:rPr>
          <w:rFonts w:ascii="Palatino Linotype" w:eastAsia="MS Gothic" w:hAnsi="Palatino Linotype"/>
          <w:sz w:val="24"/>
        </w:rPr>
        <w:t xml:space="preserve"> en sus motivos de inconformidad </w:t>
      </w:r>
      <w:r w:rsidR="00F70841" w:rsidRPr="001431BD">
        <w:rPr>
          <w:rFonts w:ascii="Palatino Linotype" w:eastAsia="MS Gothic" w:hAnsi="Palatino Linotype"/>
          <w:sz w:val="24"/>
        </w:rPr>
        <w:t xml:space="preserve">que </w:t>
      </w:r>
      <w:r w:rsidR="00F70841" w:rsidRPr="001431BD">
        <w:rPr>
          <w:rFonts w:ascii="Palatino Linotype" w:hAnsi="Palatino Linotype"/>
          <w:color w:val="000000"/>
          <w:sz w:val="24"/>
        </w:rPr>
        <w:t xml:space="preserve">varias de las pólizas de egresos o cheques no cumplen con lo señalado en el artículo 344 del Código Financiero del Estado de México y con a los Lineamientos de Control Financiero y Administrativo </w:t>
      </w:r>
      <w:r w:rsidR="00F70841" w:rsidRPr="001431BD">
        <w:rPr>
          <w:rFonts w:ascii="Palatino Linotype" w:hAnsi="Palatino Linotype"/>
          <w:color w:val="000000"/>
          <w:sz w:val="24"/>
        </w:rPr>
        <w:lastRenderedPageBreak/>
        <w:t>para las Entidades Fiscalizables Municipales del Estado de México, ejemplos E1917000001.pdf,  E1627000001.PDF entre otras más.</w:t>
      </w:r>
    </w:p>
    <w:p w:rsidR="00F70841" w:rsidRPr="001431BD" w:rsidRDefault="00F70841" w:rsidP="00F70841">
      <w:pPr>
        <w:pStyle w:val="Prrafodelista"/>
        <w:spacing w:line="360" w:lineRule="auto"/>
        <w:ind w:left="0"/>
        <w:jc w:val="both"/>
        <w:rPr>
          <w:rFonts w:ascii="Palatino Linotype" w:eastAsia="MS Gothic" w:hAnsi="Palatino Linotype"/>
          <w:sz w:val="24"/>
        </w:rPr>
      </w:pPr>
    </w:p>
    <w:p w:rsidR="00766C07" w:rsidRPr="001431BD" w:rsidRDefault="00766C07" w:rsidP="00766C07">
      <w:pPr>
        <w:pStyle w:val="Prrafodelista"/>
        <w:numPr>
          <w:ilvl w:val="0"/>
          <w:numId w:val="9"/>
        </w:numPr>
        <w:spacing w:line="360" w:lineRule="auto"/>
        <w:ind w:left="0" w:firstLine="0"/>
        <w:jc w:val="both"/>
        <w:rPr>
          <w:rFonts w:ascii="Palatino Linotype" w:eastAsia="MS Gothic" w:hAnsi="Palatino Linotype"/>
          <w:sz w:val="24"/>
        </w:rPr>
      </w:pPr>
      <w:r w:rsidRPr="001431BD">
        <w:rPr>
          <w:rFonts w:ascii="Palatino Linotype" w:eastAsia="MS Gothic" w:hAnsi="Palatino Linotype"/>
          <w:sz w:val="24"/>
        </w:rPr>
        <w:t xml:space="preserve">En consecuencia, la Litis del presente asunto corresponde en resolver si el </w:t>
      </w:r>
      <w:r w:rsidRPr="001431BD">
        <w:rPr>
          <w:rFonts w:ascii="Palatino Linotype" w:eastAsia="MS Gothic" w:hAnsi="Palatino Linotype"/>
          <w:b/>
          <w:sz w:val="24"/>
        </w:rPr>
        <w:t>SUJETO OBLIGADO</w:t>
      </w:r>
      <w:r w:rsidRPr="001431BD">
        <w:rPr>
          <w:rFonts w:ascii="Palatino Linotype" w:eastAsia="MS Gothic" w:hAnsi="Palatino Linotype"/>
          <w:sz w:val="24"/>
        </w:rPr>
        <w:t xml:space="preserve"> atendió la solicitud con apego a los principios establecidos en el artículo 11 de la Ley de Transparencia Local, si con la entrega de los documentos en respuesta se garantiza que la información sea confiable.</w:t>
      </w:r>
    </w:p>
    <w:p w:rsidR="00766C07" w:rsidRPr="001431BD" w:rsidRDefault="00766C07" w:rsidP="00766C07">
      <w:pPr>
        <w:pStyle w:val="Prrafodelista"/>
        <w:spacing w:line="360" w:lineRule="auto"/>
        <w:ind w:left="0"/>
        <w:jc w:val="both"/>
        <w:rPr>
          <w:rFonts w:ascii="Palatino Linotype" w:eastAsia="MS Gothic" w:hAnsi="Palatino Linotype"/>
          <w:sz w:val="24"/>
        </w:rPr>
      </w:pPr>
    </w:p>
    <w:p w:rsidR="00766C07" w:rsidRPr="001431BD" w:rsidRDefault="00766C07" w:rsidP="00766C07">
      <w:pPr>
        <w:pStyle w:val="Prrafodelista"/>
        <w:numPr>
          <w:ilvl w:val="0"/>
          <w:numId w:val="9"/>
        </w:numPr>
        <w:spacing w:line="360" w:lineRule="auto"/>
        <w:ind w:left="0" w:firstLine="0"/>
        <w:jc w:val="both"/>
        <w:rPr>
          <w:rFonts w:ascii="Palatino Linotype" w:eastAsia="MS Gothic" w:hAnsi="Palatino Linotype"/>
          <w:sz w:val="24"/>
        </w:rPr>
      </w:pPr>
      <w:r w:rsidRPr="001431BD">
        <w:rPr>
          <w:rFonts w:ascii="Palatino Linotype" w:eastAsia="MS Gothic" w:hAnsi="Palatino Linotype"/>
          <w:sz w:val="24"/>
        </w:rPr>
        <w:t xml:space="preserve">Así mismo determinar si se actualizan la causal de procedencia previstas en las fracciones I y III del artículo 179 de la Ley de Transparencia y Acceso a la Información Pública del Estado de México y sus Municipios, que establecen la negativa de la información solicitada </w:t>
      </w:r>
    </w:p>
    <w:p w:rsidR="00766C07" w:rsidRPr="001431BD" w:rsidRDefault="00766C07" w:rsidP="00766C07">
      <w:pPr>
        <w:pStyle w:val="Prrafodelista"/>
        <w:spacing w:line="360" w:lineRule="auto"/>
        <w:ind w:left="0"/>
        <w:jc w:val="both"/>
        <w:rPr>
          <w:rFonts w:ascii="Palatino Linotype" w:eastAsia="MS Gothic" w:hAnsi="Palatino Linotype"/>
          <w:sz w:val="24"/>
        </w:rPr>
      </w:pPr>
    </w:p>
    <w:p w:rsidR="00766C07" w:rsidRPr="001431BD" w:rsidRDefault="00766C07" w:rsidP="00766C07">
      <w:pPr>
        <w:keepNext/>
        <w:keepLines/>
        <w:spacing w:line="360" w:lineRule="auto"/>
        <w:outlineLvl w:val="0"/>
        <w:rPr>
          <w:rFonts w:ascii="Palatino Linotype" w:eastAsiaTheme="majorEastAsia" w:hAnsi="Palatino Linotype" w:cstheme="majorBidi"/>
          <w:b/>
          <w:szCs w:val="32"/>
        </w:rPr>
      </w:pPr>
      <w:bookmarkStart w:id="10" w:name="_Toc82006065"/>
      <w:r w:rsidRPr="001431BD">
        <w:rPr>
          <w:rFonts w:ascii="Palatino Linotype" w:eastAsiaTheme="majorEastAsia" w:hAnsi="Palatino Linotype" w:cstheme="majorBidi"/>
          <w:b/>
          <w:szCs w:val="32"/>
        </w:rPr>
        <w:t>QUINTO. Del estudio y resolución del asunto.</w:t>
      </w:r>
      <w:bookmarkEnd w:id="10"/>
    </w:p>
    <w:p w:rsidR="00766C07" w:rsidRPr="001431BD" w:rsidRDefault="00766C07" w:rsidP="00766C07">
      <w:pPr>
        <w:spacing w:line="360" w:lineRule="auto"/>
        <w:jc w:val="both"/>
        <w:rPr>
          <w:rFonts w:ascii="Palatino Linotype" w:eastAsia="MS Mincho" w:hAnsi="Palatino Linotype"/>
          <w:lang w:val="es-ES" w:eastAsia="es-ES"/>
        </w:rPr>
      </w:pPr>
      <w:bookmarkStart w:id="11" w:name="_Toc452722829"/>
      <w:bookmarkStart w:id="12" w:name="_Toc454373811"/>
      <w:bookmarkStart w:id="13" w:name="_Toc476675991"/>
    </w:p>
    <w:p w:rsidR="000E4E03" w:rsidRPr="001431BD" w:rsidRDefault="002655B3" w:rsidP="002655B3">
      <w:pPr>
        <w:pStyle w:val="Prrafodelista"/>
        <w:numPr>
          <w:ilvl w:val="0"/>
          <w:numId w:val="9"/>
        </w:numPr>
        <w:autoSpaceDE w:val="0"/>
        <w:autoSpaceDN w:val="0"/>
        <w:adjustRightInd w:val="0"/>
        <w:spacing w:before="240" w:after="160" w:line="360" w:lineRule="auto"/>
        <w:ind w:left="0" w:firstLine="0"/>
        <w:jc w:val="both"/>
        <w:rPr>
          <w:rFonts w:ascii="Palatino Linotype" w:hAnsi="Palatino Linotype" w:cs="Arial"/>
          <w:sz w:val="24"/>
        </w:rPr>
      </w:pPr>
      <w:r w:rsidRPr="001431BD">
        <w:rPr>
          <w:rFonts w:ascii="Palatino Linotype" w:hAnsi="Palatino Linotype"/>
          <w:bCs/>
          <w:sz w:val="24"/>
        </w:rPr>
        <w:t xml:space="preserve">Una vez sentado lo anterior, es procedente mencionar que mediante la solicitud de información </w:t>
      </w:r>
      <w:r w:rsidR="000E4E03" w:rsidRPr="001431BD">
        <w:rPr>
          <w:rFonts w:ascii="Palatino Linotype" w:hAnsi="Palatino Linotype"/>
          <w:bCs/>
          <w:sz w:val="24"/>
        </w:rPr>
        <w:t>el RECURRENTE formuló el siguiente requerimiento:</w:t>
      </w:r>
    </w:p>
    <w:p w:rsidR="000E4E03" w:rsidRPr="001431BD" w:rsidRDefault="000E4E03" w:rsidP="000E4E03">
      <w:pPr>
        <w:pStyle w:val="Prrafodelista"/>
        <w:autoSpaceDE w:val="0"/>
        <w:autoSpaceDN w:val="0"/>
        <w:adjustRightInd w:val="0"/>
        <w:spacing w:before="240" w:after="160" w:line="360" w:lineRule="auto"/>
        <w:ind w:left="0"/>
        <w:jc w:val="both"/>
        <w:rPr>
          <w:rFonts w:ascii="Palatino Linotype" w:hAnsi="Palatino Linotype" w:cs="Arial"/>
          <w:sz w:val="24"/>
        </w:rPr>
      </w:pPr>
    </w:p>
    <w:p w:rsidR="000E4E03" w:rsidRPr="001431BD" w:rsidRDefault="000E4E03" w:rsidP="000E4E03">
      <w:pPr>
        <w:pStyle w:val="Prrafodelista"/>
        <w:numPr>
          <w:ilvl w:val="0"/>
          <w:numId w:val="15"/>
        </w:numPr>
        <w:spacing w:line="360" w:lineRule="auto"/>
        <w:jc w:val="both"/>
        <w:rPr>
          <w:rFonts w:ascii="Palatino Linotype" w:eastAsia="MS Gothic" w:hAnsi="Palatino Linotype"/>
          <w:sz w:val="24"/>
        </w:rPr>
      </w:pPr>
      <w:r w:rsidRPr="001431BD">
        <w:rPr>
          <w:rFonts w:ascii="Palatino Linotype" w:eastAsia="MS Gothic" w:hAnsi="Palatino Linotype"/>
          <w:sz w:val="24"/>
        </w:rPr>
        <w:t>La información pública contenida en el disco 5, Imágenes Digitalizadas, en forma precisa y clara, del mes de diciembre del año 2020 del Ayuntamiento de Tlalnepantla de Baz enviada al Órgano Superior de Fiscalización (OSFEM), y que consiste en Pólizas de cheques con la documentación justificativa, comprobatoria, suficiente, competente, pertinente y relevante.</w:t>
      </w:r>
    </w:p>
    <w:p w:rsidR="000E4E03" w:rsidRPr="001431BD" w:rsidRDefault="000E4E03" w:rsidP="000E4E03">
      <w:pPr>
        <w:pStyle w:val="Prrafodelista"/>
        <w:autoSpaceDE w:val="0"/>
        <w:autoSpaceDN w:val="0"/>
        <w:adjustRightInd w:val="0"/>
        <w:spacing w:before="240" w:after="160" w:line="360" w:lineRule="auto"/>
        <w:jc w:val="both"/>
        <w:rPr>
          <w:rFonts w:ascii="Palatino Linotype" w:hAnsi="Palatino Linotype" w:cs="Arial"/>
          <w:sz w:val="24"/>
        </w:rPr>
      </w:pPr>
    </w:p>
    <w:p w:rsidR="000E4E03" w:rsidRPr="001431BD" w:rsidRDefault="000E4E03" w:rsidP="000E4E03">
      <w:pPr>
        <w:pStyle w:val="Prrafodelista"/>
        <w:autoSpaceDE w:val="0"/>
        <w:autoSpaceDN w:val="0"/>
        <w:adjustRightInd w:val="0"/>
        <w:spacing w:before="240" w:after="160" w:line="360" w:lineRule="auto"/>
        <w:ind w:left="0"/>
        <w:jc w:val="both"/>
        <w:rPr>
          <w:rFonts w:ascii="Palatino Linotype" w:hAnsi="Palatino Linotype" w:cs="Arial"/>
          <w:sz w:val="24"/>
        </w:rPr>
      </w:pPr>
    </w:p>
    <w:p w:rsidR="002655B3" w:rsidRPr="001431BD" w:rsidRDefault="002655B3" w:rsidP="000E4E03">
      <w:pPr>
        <w:pStyle w:val="Prrafodelista"/>
        <w:autoSpaceDE w:val="0"/>
        <w:autoSpaceDN w:val="0"/>
        <w:adjustRightInd w:val="0"/>
        <w:spacing w:before="240" w:after="160" w:line="360" w:lineRule="auto"/>
        <w:ind w:left="0"/>
        <w:jc w:val="both"/>
        <w:rPr>
          <w:rFonts w:ascii="Palatino Linotype" w:hAnsi="Palatino Linotype" w:cs="Arial"/>
          <w:sz w:val="24"/>
        </w:rPr>
      </w:pPr>
      <w:r w:rsidRPr="001431BD">
        <w:rPr>
          <w:rFonts w:ascii="Palatino Linotype" w:hAnsi="Palatino Linotype" w:cs="Arial"/>
          <w:sz w:val="24"/>
        </w:rPr>
        <w:t xml:space="preserve"> </w:t>
      </w:r>
    </w:p>
    <w:p w:rsidR="002655B3" w:rsidRPr="001431BD" w:rsidRDefault="002655B3" w:rsidP="002655B3">
      <w:pPr>
        <w:spacing w:line="360" w:lineRule="auto"/>
        <w:jc w:val="both"/>
        <w:rPr>
          <w:rFonts w:ascii="Palatino Linotype" w:eastAsia="MS Mincho" w:hAnsi="Palatino Linotype"/>
          <w:lang w:val="es-ES" w:eastAsia="es-ES"/>
        </w:rPr>
      </w:pPr>
    </w:p>
    <w:p w:rsidR="008D0AE7" w:rsidRPr="001431BD" w:rsidRDefault="000E4E03" w:rsidP="008D0AE7">
      <w:pPr>
        <w:numPr>
          <w:ilvl w:val="0"/>
          <w:numId w:val="9"/>
        </w:numPr>
        <w:spacing w:line="360" w:lineRule="auto"/>
        <w:ind w:left="0" w:firstLine="0"/>
        <w:jc w:val="both"/>
        <w:rPr>
          <w:rFonts w:ascii="Palatino Linotype" w:eastAsia="MS Mincho" w:hAnsi="Palatino Linotype"/>
          <w:i/>
          <w:lang w:eastAsia="es-ES"/>
        </w:rPr>
      </w:pPr>
      <w:r w:rsidRPr="001431BD">
        <w:rPr>
          <w:rFonts w:ascii="Palatino Linotype" w:eastAsia="MS Mincho" w:hAnsi="Palatino Linotype"/>
          <w:lang w:val="es-ES" w:eastAsia="es-ES"/>
        </w:rPr>
        <w:t xml:space="preserve">Mediante respuesta, el Sujeto Obligado remitió </w:t>
      </w:r>
      <w:r w:rsidR="008D0AE7" w:rsidRPr="001431BD">
        <w:rPr>
          <w:rFonts w:ascii="Palatino Linotype" w:eastAsia="MS Mincho" w:hAnsi="Palatino Linotype"/>
          <w:lang w:val="es-ES" w:eastAsia="es-ES"/>
        </w:rPr>
        <w:t>tres carpetas</w:t>
      </w:r>
      <w:r w:rsidRPr="001431BD">
        <w:rPr>
          <w:rFonts w:ascii="Palatino Linotype" w:eastAsia="MS Mincho" w:hAnsi="Palatino Linotype"/>
          <w:lang w:val="es-ES" w:eastAsia="es-ES"/>
        </w:rPr>
        <w:t xml:space="preserve"> con imágenes digitalizas </w:t>
      </w:r>
      <w:r w:rsidR="008D0AE7" w:rsidRPr="001431BD">
        <w:rPr>
          <w:rFonts w:ascii="Palatino Linotype" w:eastAsia="MS Mincho" w:hAnsi="Palatino Linotype"/>
          <w:lang w:val="es-ES" w:eastAsia="es-ES"/>
        </w:rPr>
        <w:t xml:space="preserve">referentes al Disco 5 que se remiten al Órgano Superior de Fiscalización; en consecuencia, el particular interpuso recurso de revisión mediante el que manifestó en sus motivos de inconformidad </w:t>
      </w:r>
      <w:r w:rsidR="008D0AE7" w:rsidRPr="001431BD">
        <w:rPr>
          <w:rFonts w:ascii="Palatino Linotype" w:eastAsia="MS Mincho" w:hAnsi="Palatino Linotype"/>
          <w:i/>
          <w:lang w:val="es-ES" w:eastAsia="es-ES"/>
        </w:rPr>
        <w:t>“</w:t>
      </w:r>
      <w:r w:rsidR="008D0AE7" w:rsidRPr="001431BD">
        <w:rPr>
          <w:rFonts w:ascii="Palatino Linotype" w:eastAsia="MS Mincho" w:hAnsi="Palatino Linotype"/>
          <w:i/>
          <w:lang w:eastAsia="es-ES"/>
        </w:rPr>
        <w:t>Varias de las pólizas de egresos o cheques no cumplen con lo señalado en el artículo 344 del Código Financiero del Estado de México y con a los Lineamientos de Control Financiero y Administrativo para las Entidades Fiscalizables Municipales del Estado de México, ejemplos E1917000001.pdf E1627000001.PDF entre otras mas.”.</w:t>
      </w:r>
    </w:p>
    <w:p w:rsidR="000E4E03" w:rsidRPr="001431BD" w:rsidRDefault="000E4E03" w:rsidP="008D0AE7">
      <w:pPr>
        <w:spacing w:line="360" w:lineRule="auto"/>
        <w:jc w:val="both"/>
        <w:rPr>
          <w:rFonts w:ascii="Palatino Linotype" w:eastAsia="MS Mincho" w:hAnsi="Palatino Linotype"/>
          <w:lang w:val="es-ES" w:eastAsia="es-ES"/>
        </w:rPr>
      </w:pPr>
    </w:p>
    <w:p w:rsidR="008E6A88" w:rsidRPr="001431BD" w:rsidRDefault="008E6A88" w:rsidP="00766C07">
      <w:pPr>
        <w:numPr>
          <w:ilvl w:val="0"/>
          <w:numId w:val="9"/>
        </w:numPr>
        <w:spacing w:line="360" w:lineRule="auto"/>
        <w:ind w:left="0" w:firstLine="0"/>
        <w:jc w:val="both"/>
        <w:rPr>
          <w:rFonts w:ascii="Palatino Linotype" w:eastAsia="MS Mincho" w:hAnsi="Palatino Linotype"/>
          <w:lang w:val="es-ES" w:eastAsia="es-ES"/>
        </w:rPr>
      </w:pPr>
      <w:r w:rsidRPr="001431BD">
        <w:rPr>
          <w:rFonts w:ascii="Palatino Linotype" w:eastAsia="MS Mincho" w:hAnsi="Palatino Linotype"/>
          <w:lang w:val="es-ES" w:eastAsia="es-ES"/>
        </w:rPr>
        <w:t>Cabe señalar que el particular realizó manifestaciones, adjuntando documentos que el Sujeto Obligado remitió en respuesta, y en los cuales refirió lo siguiente:</w:t>
      </w:r>
    </w:p>
    <w:p w:rsidR="00DA0C22" w:rsidRPr="001431BD" w:rsidRDefault="00DA0C22" w:rsidP="00DA0C22">
      <w:pPr>
        <w:spacing w:line="360" w:lineRule="auto"/>
        <w:jc w:val="both"/>
        <w:rPr>
          <w:rFonts w:ascii="Palatino Linotype" w:eastAsia="MS Mincho" w:hAnsi="Palatino Linotype"/>
          <w:lang w:val="es-ES" w:eastAsia="es-ES"/>
        </w:rPr>
      </w:pPr>
    </w:p>
    <w:p w:rsidR="00DA0C22" w:rsidRDefault="00DA0C22" w:rsidP="00DA0C22">
      <w:pPr>
        <w:spacing w:line="360" w:lineRule="auto"/>
        <w:jc w:val="center"/>
        <w:rPr>
          <w:rFonts w:ascii="Palatino Linotype" w:eastAsia="MS Mincho" w:hAnsi="Palatino Linotype"/>
          <w:lang w:val="es-ES" w:eastAsia="es-ES"/>
        </w:rPr>
      </w:pPr>
      <w:r w:rsidRPr="001431BD">
        <w:rPr>
          <w:noProof/>
          <w:lang w:val="es-ES" w:eastAsia="es-ES"/>
        </w:rPr>
        <w:lastRenderedPageBreak/>
        <mc:AlternateContent>
          <mc:Choice Requires="wps">
            <w:drawing>
              <wp:anchor distT="0" distB="0" distL="114300" distR="114300" simplePos="0" relativeHeight="251660288" behindDoc="0" locked="0" layoutInCell="1" allowOverlap="1">
                <wp:simplePos x="0" y="0"/>
                <wp:positionH relativeFrom="column">
                  <wp:posOffset>2001948</wp:posOffset>
                </wp:positionH>
                <wp:positionV relativeFrom="paragraph">
                  <wp:posOffset>663375</wp:posOffset>
                </wp:positionV>
                <wp:extent cx="3359650" cy="2815119"/>
                <wp:effectExtent l="19050" t="19050" r="12700" b="23495"/>
                <wp:wrapNone/>
                <wp:docPr id="5" name="Rectángulo redondeado 5"/>
                <wp:cNvGraphicFramePr/>
                <a:graphic xmlns:a="http://schemas.openxmlformats.org/drawingml/2006/main">
                  <a:graphicData uri="http://schemas.microsoft.com/office/word/2010/wordprocessingShape">
                    <wps:wsp>
                      <wps:cNvSpPr/>
                      <wps:spPr>
                        <a:xfrm>
                          <a:off x="0" y="0"/>
                          <a:ext cx="3359650" cy="2815119"/>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D8078A" id="Rectángulo redondeado 5" o:spid="_x0000_s1026" style="position:absolute;margin-left:157.65pt;margin-top:52.25pt;width:264.55pt;height:22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" filled="f" strokecolor="red" strokeweight="2.25pt">
                <v:stroke joinstyle="miter"/>
              </v:roundrect>
            </w:pict>
          </mc:Fallback>
        </mc:AlternateContent>
      </w:r>
      <w:r w:rsidR="008E6A88" w:rsidRPr="001431BD">
        <w:rPr>
          <w:noProof/>
          <w:lang w:val="es-ES" w:eastAsia="es-ES"/>
        </w:rPr>
        <w:drawing>
          <wp:inline distT="0" distB="0" distL="0" distR="0" wp14:anchorId="6CCA1D26" wp14:editId="40DA42A7">
            <wp:extent cx="5175090" cy="3431568"/>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8628" t="16858" r="29513" b="29814"/>
                    <a:stretch/>
                  </pic:blipFill>
                  <pic:spPr bwMode="auto">
                    <a:xfrm>
                      <a:off x="0" y="0"/>
                      <a:ext cx="5201040" cy="3448776"/>
                    </a:xfrm>
                    <a:prstGeom prst="rect">
                      <a:avLst/>
                    </a:prstGeom>
                    <a:ln>
                      <a:noFill/>
                    </a:ln>
                    <a:extLst>
                      <a:ext uri="{53640926-AAD7-44D8-BBD7-CCE9431645EC}">
                        <a14:shadowObscured xmlns:a14="http://schemas.microsoft.com/office/drawing/2010/main"/>
                      </a:ext>
                    </a:extLst>
                  </pic:spPr>
                </pic:pic>
              </a:graphicData>
            </a:graphic>
          </wp:inline>
        </w:drawing>
      </w:r>
    </w:p>
    <w:p w:rsidR="00C66454" w:rsidRPr="001431BD" w:rsidRDefault="00C66454" w:rsidP="00DA0C22">
      <w:pPr>
        <w:spacing w:line="360" w:lineRule="auto"/>
        <w:jc w:val="center"/>
        <w:rPr>
          <w:rFonts w:ascii="Palatino Linotype" w:eastAsia="MS Mincho" w:hAnsi="Palatino Linotype"/>
          <w:lang w:val="es-ES" w:eastAsia="es-ES"/>
        </w:rPr>
      </w:pPr>
    </w:p>
    <w:p w:rsidR="0054485A" w:rsidRPr="00D0547C" w:rsidRDefault="0054485A" w:rsidP="0054485A">
      <w:pPr>
        <w:pStyle w:val="Prrafodelista"/>
        <w:numPr>
          <w:ilvl w:val="0"/>
          <w:numId w:val="9"/>
        </w:numPr>
        <w:tabs>
          <w:tab w:val="left" w:pos="426"/>
        </w:tabs>
        <w:spacing w:after="160" w:line="360" w:lineRule="auto"/>
        <w:ind w:left="0" w:right="51" w:firstLine="0"/>
        <w:jc w:val="both"/>
        <w:rPr>
          <w:rFonts w:ascii="Palatino Linotype" w:hAnsi="Palatino Linotype" w:cs="Tahoma"/>
          <w:sz w:val="24"/>
          <w:szCs w:val="22"/>
          <w:lang w:val="es-ES"/>
        </w:rPr>
      </w:pPr>
      <w:r w:rsidRPr="00D0547C">
        <w:rPr>
          <w:rFonts w:ascii="Palatino Linotype" w:hAnsi="Palatino Linotype" w:cs="Arial"/>
          <w:noProof/>
          <w:sz w:val="24"/>
        </w:rPr>
        <w:t xml:space="preserve">Ahora bien, cabe señalar que el acuerdo de clasificación remitido en respuesta, no corresponde con la clasificación que se realizó de la información, es decir, </w:t>
      </w:r>
      <w:r w:rsidRPr="00D0547C">
        <w:rPr>
          <w:rFonts w:ascii="Palatino Linotype" w:hAnsi="Palatino Linotype" w:cs="Tahoma"/>
          <w:sz w:val="24"/>
          <w:lang w:val="es-ES"/>
        </w:rPr>
        <w:t xml:space="preserve">que la respuesta primigenia respecto al acta de la cuarta sesión ordinaria, resulta incongruente; sobre dicha situación, el artículo 1.8, fracción IX, del Código Administrativo del Estado de México, establece que para que un acto administrativo tenga validez, deberá guardar congruencia con lo solicitado. </w:t>
      </w:r>
      <w:r w:rsidRPr="00D0547C">
        <w:rPr>
          <w:rFonts w:ascii="Palatino Linotype" w:hAnsi="Palatino Linotype"/>
          <w:sz w:val="24"/>
          <w:szCs w:val="22"/>
          <w:lang w:val="es-ES"/>
        </w:rPr>
        <w:t>Asimismo,</w:t>
      </w:r>
      <w:r w:rsidRPr="00D0547C">
        <w:rPr>
          <w:rFonts w:ascii="Palatino Linotype" w:hAnsi="Palatino Linotype" w:cs="Tahoma"/>
          <w:sz w:val="24"/>
        </w:rPr>
        <w:t xml:space="preserve"> resulta necesario traer</w:t>
      </w:r>
      <w:r w:rsidRPr="00D0547C">
        <w:rPr>
          <w:rFonts w:ascii="Palatino Linotype" w:eastAsia="Calibri" w:hAnsi="Palatino Linotype" w:cs="Tahoma"/>
          <w:bCs/>
          <w:sz w:val="24"/>
          <w:szCs w:val="22"/>
          <w:lang w:val="es-ES" w:eastAsia="en-US"/>
        </w:rPr>
        <w:t xml:space="preserve"> por analogía, el Criterio 02/17, emitido por el Instituto Nacional de Transparencia, Acceso a la Información y Protección de Datos Personales, que señala lo siguiente:</w:t>
      </w:r>
    </w:p>
    <w:p w:rsidR="0054485A" w:rsidRPr="00D0547C" w:rsidRDefault="0054485A" w:rsidP="0054485A">
      <w:pPr>
        <w:pStyle w:val="Prrafodelista"/>
        <w:spacing w:line="360" w:lineRule="auto"/>
        <w:ind w:left="786"/>
        <w:jc w:val="both"/>
        <w:rPr>
          <w:rFonts w:ascii="Palatino Linotype" w:eastAsia="Calibri" w:hAnsi="Palatino Linotype" w:cs="Tahoma"/>
          <w:bCs/>
          <w:szCs w:val="22"/>
          <w:lang w:val="es-ES" w:eastAsia="en-US"/>
        </w:rPr>
      </w:pPr>
    </w:p>
    <w:p w:rsidR="0054485A" w:rsidRPr="00D0547C" w:rsidRDefault="0054485A" w:rsidP="0054485A">
      <w:pPr>
        <w:pStyle w:val="Prrafodelista"/>
        <w:spacing w:line="360" w:lineRule="auto"/>
        <w:ind w:left="786" w:right="567"/>
        <w:jc w:val="both"/>
        <w:rPr>
          <w:rFonts w:ascii="Palatino Linotype" w:eastAsia="Calibri" w:hAnsi="Palatino Linotype" w:cs="Tahoma"/>
          <w:i/>
          <w:lang w:eastAsia="en-US"/>
        </w:rPr>
      </w:pPr>
      <w:r w:rsidRPr="00D0547C">
        <w:rPr>
          <w:rFonts w:ascii="Palatino Linotype" w:eastAsia="Calibri" w:hAnsi="Palatino Linotype" w:cs="Tahoma"/>
          <w:b/>
          <w:bCs/>
          <w:i/>
          <w:lang w:eastAsia="en-US"/>
        </w:rPr>
        <w:t xml:space="preserve">“Congruencia y exhaustividad. Sus alcances para garantizar el derecho de acceso a la información. </w:t>
      </w:r>
      <w:r w:rsidRPr="00D0547C">
        <w:rPr>
          <w:rFonts w:ascii="Palatino Linotype" w:eastAsia="Calibri" w:hAnsi="Palatino Linotype" w:cs="Tahoma"/>
          <w:bCs/>
          <w:i/>
          <w:lang w:eastAsia="en-US"/>
        </w:rPr>
        <w:t xml:space="preserve">De conformidad con el artículo </w:t>
      </w:r>
      <w:r w:rsidRPr="00D0547C">
        <w:rPr>
          <w:rFonts w:ascii="Palatino Linotype" w:eastAsia="Calibri" w:hAnsi="Palatino Linotype" w:cs="Tahoma"/>
          <w:bCs/>
          <w:i/>
          <w:lang w:val="es-ES_tradnl" w:eastAsia="en-US"/>
        </w:rPr>
        <w:t>3 de la Ley Federal de Procedimiento Administrativo</w:t>
      </w:r>
      <w:r w:rsidRPr="00D0547C">
        <w:rPr>
          <w:rFonts w:ascii="Palatino Linotype" w:eastAsia="Calibri" w:hAnsi="Palatino Linotype" w:cs="Tahoma"/>
          <w:bCs/>
          <w:i/>
          <w:lang w:eastAsia="en-US"/>
        </w:rPr>
        <w:t xml:space="preserve">, de aplicación supletoria a la Ley Federal de </w:t>
      </w:r>
      <w:r w:rsidRPr="00D0547C">
        <w:rPr>
          <w:rFonts w:ascii="Palatino Linotype" w:eastAsia="Calibri" w:hAnsi="Palatino Linotype" w:cs="Tahoma"/>
          <w:bCs/>
          <w:i/>
          <w:lang w:eastAsia="en-US"/>
        </w:rPr>
        <w:lastRenderedPageBreak/>
        <w:t xml:space="preserve">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D0547C">
        <w:rPr>
          <w:rFonts w:ascii="Palatino Linotype" w:eastAsia="Calibri" w:hAnsi="Palatino Linotype"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54485A" w:rsidRPr="00D0547C" w:rsidRDefault="0054485A" w:rsidP="0054485A">
      <w:pPr>
        <w:spacing w:line="360" w:lineRule="auto"/>
        <w:jc w:val="both"/>
        <w:rPr>
          <w:rFonts w:ascii="Palatino Linotype" w:hAnsi="Palatino Linotype"/>
          <w:szCs w:val="22"/>
          <w:lang w:val="es-ES"/>
        </w:rPr>
      </w:pPr>
    </w:p>
    <w:p w:rsidR="0054485A" w:rsidRPr="00D0547C" w:rsidRDefault="0054485A" w:rsidP="0054485A">
      <w:pPr>
        <w:pStyle w:val="Prrafodelista"/>
        <w:numPr>
          <w:ilvl w:val="0"/>
          <w:numId w:val="9"/>
        </w:numPr>
        <w:spacing w:line="360" w:lineRule="auto"/>
        <w:ind w:left="0" w:firstLine="0"/>
        <w:jc w:val="both"/>
        <w:rPr>
          <w:rFonts w:ascii="Palatino Linotype" w:hAnsi="Palatino Linotype"/>
          <w:sz w:val="24"/>
          <w:szCs w:val="22"/>
          <w:lang w:val="es-ES"/>
        </w:rPr>
      </w:pPr>
      <w:r w:rsidRPr="00D0547C">
        <w:rPr>
          <w:rFonts w:ascii="Palatino Linotype" w:hAnsi="Palatino Linotype"/>
          <w:sz w:val="24"/>
          <w:szCs w:val="22"/>
        </w:rPr>
        <w:t xml:space="preserve">Del citado criterio, se desprende que </w:t>
      </w:r>
      <w:r w:rsidRPr="00D0547C">
        <w:rPr>
          <w:rFonts w:ascii="Palatino Linotype" w:hAnsi="Palatino Linotype"/>
          <w:bCs/>
          <w:sz w:val="24"/>
          <w:szCs w:val="22"/>
        </w:rPr>
        <w:t>todo acto administrativo debe apegarse al</w:t>
      </w:r>
      <w:r w:rsidRPr="00D0547C">
        <w:rPr>
          <w:rFonts w:ascii="Palatino Linotype" w:hAnsi="Palatino Linotype"/>
          <w:sz w:val="24"/>
          <w:szCs w:val="22"/>
          <w:lang w:val="es-ES"/>
        </w:rPr>
        <w:t xml:space="preserve"> </w:t>
      </w:r>
      <w:r w:rsidRPr="00D0547C">
        <w:rPr>
          <w:rFonts w:ascii="Palatino Linotype" w:hAnsi="Palatino Linotype"/>
          <w:b/>
          <w:sz w:val="24"/>
          <w:szCs w:val="22"/>
          <w:lang w:val="es-ES"/>
        </w:rPr>
        <w:t xml:space="preserve">Principio de Congruencia, </w:t>
      </w:r>
      <w:r w:rsidRPr="00D0547C">
        <w:rPr>
          <w:rFonts w:ascii="Palatino Linotype" w:hAnsi="Palatino Linotype"/>
          <w:sz w:val="24"/>
          <w:szCs w:val="22"/>
          <w:lang w:val="es-ES"/>
        </w:rPr>
        <w:t>el cual</w:t>
      </w:r>
      <w:r w:rsidRPr="00D0547C">
        <w:rPr>
          <w:rFonts w:ascii="Palatino Linotype" w:hAnsi="Palatino Linotype"/>
          <w:b/>
          <w:sz w:val="24"/>
          <w:szCs w:val="22"/>
          <w:lang w:val="es-ES"/>
        </w:rPr>
        <w:t xml:space="preserve"> </w:t>
      </w:r>
      <w:r w:rsidRPr="00D0547C">
        <w:rPr>
          <w:rFonts w:ascii="Palatino Linotype" w:hAnsi="Palatino Linotype"/>
          <w:sz w:val="24"/>
          <w:szCs w:val="22"/>
          <w:lang w:val="es-ES"/>
        </w:rPr>
        <w:t>implica que exista concordancia entre el requerimiento formulado y la respuesta entregada.</w:t>
      </w:r>
    </w:p>
    <w:p w:rsidR="0054485A" w:rsidRPr="00D0547C" w:rsidRDefault="0054485A" w:rsidP="0054485A">
      <w:pPr>
        <w:spacing w:line="360" w:lineRule="auto"/>
        <w:jc w:val="both"/>
        <w:rPr>
          <w:rFonts w:ascii="Palatino Linotype" w:eastAsia="MS Mincho" w:hAnsi="Palatino Linotype"/>
          <w:lang w:val="es-ES" w:eastAsia="es-ES"/>
        </w:rPr>
      </w:pPr>
    </w:p>
    <w:p w:rsidR="0072766B" w:rsidRPr="00D0547C" w:rsidRDefault="0072766B" w:rsidP="0072766B">
      <w:pPr>
        <w:numPr>
          <w:ilvl w:val="0"/>
          <w:numId w:val="9"/>
        </w:numPr>
        <w:spacing w:line="360" w:lineRule="auto"/>
        <w:ind w:left="0" w:firstLine="0"/>
        <w:jc w:val="both"/>
        <w:rPr>
          <w:rFonts w:ascii="Palatino Linotype" w:eastAsia="MS Mincho" w:hAnsi="Palatino Linotype"/>
          <w:lang w:val="es-ES" w:eastAsia="es-ES"/>
        </w:rPr>
      </w:pPr>
      <w:r w:rsidRPr="00D0547C">
        <w:rPr>
          <w:rFonts w:ascii="Palatino Linotype" w:eastAsia="MS Mincho" w:hAnsi="Palatino Linotype"/>
          <w:lang w:val="es-ES" w:eastAsia="es-ES"/>
        </w:rPr>
        <w:t>Por otra parte, se logra vislumbrar que el ahora Recurrente, únicamente se inconformó porque varias de las pólizas de egresos o cheques no cumplen con lo señalado en el artículo 344 del Código Financiero del Estado de México y con a los Lineamientos de Control Financiero y Administrativo para las Entidades Fiscalizables Municipales del Est</w:t>
      </w:r>
      <w:r w:rsidR="00305F23" w:rsidRPr="00D0547C">
        <w:rPr>
          <w:rFonts w:ascii="Palatino Linotype" w:eastAsia="MS Mincho" w:hAnsi="Palatino Linotype"/>
          <w:lang w:val="es-ES" w:eastAsia="es-ES"/>
        </w:rPr>
        <w:t>ado de México; y no por la versión pública que se hace de los documentos</w:t>
      </w:r>
      <w:r w:rsidRPr="00D0547C">
        <w:rPr>
          <w:rFonts w:ascii="Palatino Linotype" w:eastAsia="MS Mincho" w:hAnsi="Palatino Linotype"/>
          <w:lang w:val="es-ES" w:eastAsia="es-ES"/>
        </w:rPr>
        <w:t>,</w:t>
      </w:r>
      <w:r w:rsidR="00305F23" w:rsidRPr="00D0547C">
        <w:rPr>
          <w:rFonts w:ascii="Palatino Linotype" w:eastAsia="MS Mincho" w:hAnsi="Palatino Linotype"/>
          <w:lang w:val="es-ES" w:eastAsia="es-ES"/>
        </w:rPr>
        <w:t xml:space="preserve"> razón por la cual, </w:t>
      </w:r>
      <w:r w:rsidRPr="00D0547C">
        <w:rPr>
          <w:rFonts w:ascii="Palatino Linotype" w:eastAsia="MS Mincho" w:hAnsi="Palatino Linotype"/>
          <w:lang w:val="es-ES" w:eastAsia="es-ES"/>
        </w:rPr>
        <w:t xml:space="preserv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w:t>
      </w:r>
      <w:r w:rsidRPr="00D0547C">
        <w:rPr>
          <w:rFonts w:ascii="Palatino Linotype" w:eastAsia="MS Mincho" w:hAnsi="Palatino Linotype"/>
          <w:lang w:val="es-ES" w:eastAsia="es-ES"/>
        </w:rPr>
        <w:lastRenderedPageBreak/>
        <w:t>entendiéndose por estos cuando el agravio no se haya promovido en el plazo señalado para el efecto.</w:t>
      </w:r>
    </w:p>
    <w:p w:rsidR="0054485A" w:rsidRPr="00D0547C" w:rsidRDefault="0054485A" w:rsidP="0054485A">
      <w:pPr>
        <w:spacing w:line="360" w:lineRule="auto"/>
        <w:jc w:val="both"/>
        <w:rPr>
          <w:rFonts w:ascii="Palatino Linotype" w:eastAsia="MS Mincho" w:hAnsi="Palatino Linotype"/>
          <w:lang w:val="es-ES" w:eastAsia="es-ES"/>
        </w:rPr>
      </w:pPr>
    </w:p>
    <w:p w:rsidR="0072766B" w:rsidRPr="00D0547C" w:rsidRDefault="0072766B" w:rsidP="0072766B">
      <w:pPr>
        <w:numPr>
          <w:ilvl w:val="0"/>
          <w:numId w:val="9"/>
        </w:numPr>
        <w:spacing w:line="360" w:lineRule="auto"/>
        <w:ind w:left="0" w:firstLine="0"/>
        <w:jc w:val="both"/>
        <w:rPr>
          <w:rFonts w:ascii="Palatino Linotype" w:eastAsia="MS Mincho" w:hAnsi="Palatino Linotype"/>
          <w:lang w:val="es-ES" w:eastAsia="es-ES"/>
        </w:rPr>
      </w:pPr>
      <w:r w:rsidRPr="00D0547C">
        <w:rPr>
          <w:rFonts w:ascii="Palatino Linotype" w:eastAsia="MS Mincho" w:hAnsi="Palatino Linotype"/>
          <w:lang w:val="es-ES" w:eastAsia="es-ES"/>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72766B" w:rsidRPr="00D0547C" w:rsidRDefault="0072766B" w:rsidP="0072766B">
      <w:pPr>
        <w:spacing w:line="360" w:lineRule="auto"/>
        <w:jc w:val="both"/>
        <w:rPr>
          <w:rFonts w:ascii="Palatino Linotype" w:eastAsia="MS Mincho" w:hAnsi="Palatino Linotype"/>
          <w:lang w:val="es-ES" w:eastAsia="es-ES"/>
        </w:rPr>
      </w:pPr>
    </w:p>
    <w:p w:rsidR="0072766B" w:rsidRPr="00D0547C" w:rsidRDefault="0072766B" w:rsidP="0072766B">
      <w:pPr>
        <w:numPr>
          <w:ilvl w:val="0"/>
          <w:numId w:val="9"/>
        </w:numPr>
        <w:spacing w:line="360" w:lineRule="auto"/>
        <w:ind w:left="0" w:firstLine="0"/>
        <w:jc w:val="both"/>
        <w:rPr>
          <w:rFonts w:ascii="Palatino Linotype" w:eastAsia="MS Mincho" w:hAnsi="Palatino Linotype"/>
          <w:lang w:val="es-ES" w:eastAsia="es-ES"/>
        </w:rPr>
      </w:pPr>
      <w:r w:rsidRPr="00D0547C">
        <w:rPr>
          <w:rFonts w:ascii="Palatino Linotype" w:eastAsia="MS Mincho" w:hAnsi="Palatino Linotype"/>
          <w:lang w:val="es-ES" w:eastAsia="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0072766B" w:rsidRPr="00D0547C" w:rsidRDefault="0072766B" w:rsidP="0072766B">
      <w:pPr>
        <w:spacing w:line="360" w:lineRule="auto"/>
        <w:jc w:val="both"/>
        <w:rPr>
          <w:rFonts w:ascii="Palatino Linotype" w:eastAsia="MS Mincho" w:hAnsi="Palatino Linotype"/>
          <w:lang w:val="es-ES" w:eastAsia="es-ES"/>
        </w:rPr>
      </w:pPr>
    </w:p>
    <w:p w:rsidR="0072766B" w:rsidRPr="00D0547C" w:rsidRDefault="0072766B" w:rsidP="0072766B">
      <w:pPr>
        <w:numPr>
          <w:ilvl w:val="0"/>
          <w:numId w:val="9"/>
        </w:numPr>
        <w:spacing w:line="360" w:lineRule="auto"/>
        <w:ind w:left="0" w:firstLine="0"/>
        <w:jc w:val="both"/>
        <w:rPr>
          <w:rFonts w:ascii="Palatino Linotype" w:eastAsia="MS Mincho" w:hAnsi="Palatino Linotype"/>
          <w:lang w:val="es-ES" w:eastAsia="es-ES"/>
        </w:rPr>
      </w:pPr>
      <w:r w:rsidRPr="00D0547C">
        <w:rPr>
          <w:rFonts w:ascii="Palatino Linotype" w:eastAsia="MS Mincho" w:hAnsi="Palatino Linotype"/>
          <w:lang w:val="es-ES" w:eastAsia="es-ES"/>
        </w:rPr>
        <w:t>Asimismo, resulta relevante traer a colación el Criterio 01/20, emitido por el Instituto Nacional de Transparencia, Acceso a la Información y Protección de Datos Personales, que establece lo siguiente:</w:t>
      </w:r>
    </w:p>
    <w:p w:rsidR="0072766B" w:rsidRPr="00D0547C" w:rsidRDefault="0072766B" w:rsidP="0072766B">
      <w:pPr>
        <w:spacing w:line="360" w:lineRule="auto"/>
        <w:jc w:val="both"/>
        <w:rPr>
          <w:rFonts w:ascii="Palatino Linotype" w:eastAsia="MS Mincho" w:hAnsi="Palatino Linotype"/>
          <w:lang w:val="es-ES" w:eastAsia="es-ES"/>
        </w:rPr>
      </w:pPr>
    </w:p>
    <w:p w:rsidR="0072766B" w:rsidRPr="00D0547C" w:rsidRDefault="0072766B" w:rsidP="0054485A">
      <w:pPr>
        <w:spacing w:line="360" w:lineRule="auto"/>
        <w:ind w:left="851" w:right="822"/>
        <w:jc w:val="both"/>
        <w:rPr>
          <w:rFonts w:ascii="Palatino Linotype" w:eastAsia="MS Mincho" w:hAnsi="Palatino Linotype"/>
          <w:i/>
          <w:lang w:val="es-ES" w:eastAsia="es-ES"/>
        </w:rPr>
      </w:pPr>
      <w:r w:rsidRPr="00D0547C">
        <w:rPr>
          <w:rFonts w:ascii="Palatino Linotype" w:eastAsia="MS Mincho" w:hAnsi="Palatino Linotype"/>
          <w:i/>
          <w:lang w:val="es-ES" w:eastAsia="es-ES"/>
        </w:rPr>
        <w:t xml:space="preserve">“Actos consentidos tácitamente. Improcedencia de su análisis. Si en su recurso de revisión, la persona recurrente no expresó inconformidad alguna con ciertas partes de la respuesta otorgada, se entienden tácitamente </w:t>
      </w:r>
      <w:r w:rsidRPr="00D0547C">
        <w:rPr>
          <w:rFonts w:ascii="Palatino Linotype" w:eastAsia="MS Mincho" w:hAnsi="Palatino Linotype"/>
          <w:i/>
          <w:lang w:val="es-ES" w:eastAsia="es-ES"/>
        </w:rPr>
        <w:lastRenderedPageBreak/>
        <w:t>consentidas, por ende, no deben formar parte del estudio de fondo de la resolución que emite el Instituto.”</w:t>
      </w:r>
    </w:p>
    <w:p w:rsidR="0072766B" w:rsidRPr="00D0547C" w:rsidRDefault="0072766B" w:rsidP="0072766B">
      <w:pPr>
        <w:spacing w:line="360" w:lineRule="auto"/>
        <w:jc w:val="both"/>
        <w:rPr>
          <w:rFonts w:ascii="Palatino Linotype" w:eastAsia="MS Mincho" w:hAnsi="Palatino Linotype"/>
          <w:lang w:val="es-ES" w:eastAsia="es-ES"/>
        </w:rPr>
      </w:pPr>
    </w:p>
    <w:p w:rsidR="0072766B" w:rsidRPr="00D0547C" w:rsidRDefault="0072766B" w:rsidP="0072766B">
      <w:pPr>
        <w:numPr>
          <w:ilvl w:val="0"/>
          <w:numId w:val="9"/>
        </w:numPr>
        <w:spacing w:line="360" w:lineRule="auto"/>
        <w:ind w:left="0" w:firstLine="0"/>
        <w:jc w:val="both"/>
        <w:rPr>
          <w:rFonts w:ascii="Palatino Linotype" w:eastAsia="MS Mincho" w:hAnsi="Palatino Linotype"/>
          <w:lang w:val="es-ES" w:eastAsia="es-ES"/>
        </w:rPr>
      </w:pPr>
      <w:r w:rsidRPr="00D0547C">
        <w:rPr>
          <w:rFonts w:ascii="Palatino Linotype" w:eastAsia="MS Mincho" w:hAnsi="Palatino Linotype"/>
          <w:lang w:val="es-ES" w:eastAsia="es-ES"/>
        </w:rPr>
        <w:t>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w:t>
      </w:r>
    </w:p>
    <w:p w:rsidR="0072766B" w:rsidRDefault="0072766B" w:rsidP="0072766B">
      <w:pPr>
        <w:spacing w:line="360" w:lineRule="auto"/>
        <w:jc w:val="both"/>
        <w:rPr>
          <w:rFonts w:ascii="Palatino Linotype" w:eastAsia="MS Mincho" w:hAnsi="Palatino Linotype"/>
          <w:lang w:val="es-ES" w:eastAsia="es-ES"/>
        </w:rPr>
      </w:pPr>
    </w:p>
    <w:p w:rsidR="00766C07" w:rsidRPr="001431BD" w:rsidRDefault="008D0AE7" w:rsidP="00766C07">
      <w:pPr>
        <w:numPr>
          <w:ilvl w:val="0"/>
          <w:numId w:val="9"/>
        </w:numPr>
        <w:spacing w:line="360" w:lineRule="auto"/>
        <w:ind w:left="0" w:firstLine="0"/>
        <w:jc w:val="both"/>
        <w:rPr>
          <w:rFonts w:ascii="Palatino Linotype" w:eastAsia="MS Mincho" w:hAnsi="Palatino Linotype"/>
          <w:lang w:val="es-ES" w:eastAsia="es-ES"/>
        </w:rPr>
      </w:pPr>
      <w:r w:rsidRPr="001431BD">
        <w:rPr>
          <w:rFonts w:ascii="Palatino Linotype" w:eastAsia="MS Mincho" w:hAnsi="Palatino Linotype"/>
          <w:lang w:val="es-ES" w:eastAsia="es-ES"/>
        </w:rPr>
        <w:t xml:space="preserve">Ahora bien, conforme con el </w:t>
      </w:r>
      <w:r w:rsidR="00766C07" w:rsidRPr="001431BD">
        <w:rPr>
          <w:rFonts w:ascii="Palatino Linotype" w:eastAsia="MS Mincho" w:hAnsi="Palatino Linotype"/>
          <w:lang w:val="es-ES" w:eastAsia="es-ES"/>
        </w:rPr>
        <w:t>artículo 50 de la Ley de Transparencia y Acceso a la Información Pública del Estado de México y Municipios, los sujetos obligados contarán con un área responsable para la atención a las solicitudes de información, a la que se le denominará Unidad de Transparencia, la cual, de acuerdo al artículo 50 de la Ley referida, tiene entre otras, la función de recibir, tramitar y dar respuesta a las solicitudes de acceso a la información, así como realizar, con efectividad, los trámites internos necesarios para la atención de las solicitudes.</w:t>
      </w:r>
    </w:p>
    <w:p w:rsidR="00766C07" w:rsidRPr="001431BD" w:rsidRDefault="00766C07" w:rsidP="00766C07">
      <w:pPr>
        <w:spacing w:line="360" w:lineRule="auto"/>
        <w:jc w:val="both"/>
        <w:rPr>
          <w:rFonts w:ascii="Palatino Linotype" w:eastAsia="MS Mincho" w:hAnsi="Palatino Linotype"/>
          <w:lang w:val="es-ES" w:eastAsia="es-ES"/>
        </w:rPr>
      </w:pPr>
    </w:p>
    <w:p w:rsidR="00766C07" w:rsidRPr="001431BD" w:rsidRDefault="00766C07" w:rsidP="00766C07">
      <w:pPr>
        <w:numPr>
          <w:ilvl w:val="0"/>
          <w:numId w:val="9"/>
        </w:numPr>
        <w:spacing w:line="360" w:lineRule="auto"/>
        <w:ind w:left="0" w:firstLine="0"/>
        <w:jc w:val="both"/>
        <w:rPr>
          <w:rFonts w:ascii="Palatino Linotype" w:eastAsia="MS Mincho" w:hAnsi="Palatino Linotype"/>
          <w:lang w:val="es-ES" w:eastAsia="es-ES"/>
        </w:rPr>
      </w:pPr>
      <w:r w:rsidRPr="001431BD">
        <w:rPr>
          <w:rFonts w:ascii="Palatino Linotype" w:eastAsia="MS Mincho" w:hAnsi="Palatino Linotype"/>
          <w:lang w:val="es-ES" w:eastAsia="es-ES"/>
        </w:rPr>
        <w:t>De acuerdo al artículo 162 de la Ley de Transparencia y Acceso a la Información Pública del Estado de México y Municipios, la unidades de transparencia deberán garantizar que las solicitudes de información se turnen a todas las áreas competentes que cuenten con la información o deban tenerla de acuerdo a sus facultades, competencias y funciones, con el objeto de que realicen la búsqueda exhaustiva y razonable de la información.</w:t>
      </w:r>
    </w:p>
    <w:p w:rsidR="00766C07" w:rsidRPr="001431BD" w:rsidRDefault="00766C07" w:rsidP="00766C07">
      <w:pPr>
        <w:pStyle w:val="Prrafodelista"/>
        <w:rPr>
          <w:rFonts w:ascii="Palatino Linotype" w:eastAsia="MS Mincho" w:hAnsi="Palatino Linotype"/>
          <w:sz w:val="24"/>
          <w:lang w:val="es-ES" w:eastAsia="es-ES"/>
        </w:rPr>
      </w:pPr>
    </w:p>
    <w:p w:rsidR="008D0AE7" w:rsidRDefault="00F70841" w:rsidP="008D0AE7">
      <w:pPr>
        <w:numPr>
          <w:ilvl w:val="0"/>
          <w:numId w:val="9"/>
        </w:numPr>
        <w:spacing w:line="360" w:lineRule="auto"/>
        <w:ind w:left="0" w:firstLine="0"/>
        <w:jc w:val="both"/>
        <w:rPr>
          <w:rFonts w:ascii="Palatino Linotype" w:eastAsia="MS Mincho" w:hAnsi="Palatino Linotype"/>
          <w:lang w:val="es-ES" w:eastAsia="es-ES"/>
        </w:rPr>
      </w:pPr>
      <w:r w:rsidRPr="001431BD">
        <w:rPr>
          <w:rFonts w:ascii="Palatino Linotype" w:eastAsia="MS Mincho" w:hAnsi="Palatino Linotype"/>
          <w:lang w:val="es-ES" w:eastAsia="es-ES"/>
        </w:rPr>
        <w:t>En este caso</w:t>
      </w:r>
      <w:r w:rsidR="00766C07" w:rsidRPr="001431BD">
        <w:rPr>
          <w:rFonts w:ascii="Palatino Linotype" w:eastAsia="MS Mincho" w:hAnsi="Palatino Linotype"/>
          <w:lang w:val="es-ES" w:eastAsia="es-ES"/>
        </w:rPr>
        <w:t>, de las constancias que obran en el expediente electrónico SAIMEX, se realizó un requerimient</w:t>
      </w:r>
      <w:r w:rsidR="00DA0C22" w:rsidRPr="001431BD">
        <w:rPr>
          <w:rFonts w:ascii="Palatino Linotype" w:eastAsia="MS Mincho" w:hAnsi="Palatino Linotype"/>
          <w:lang w:val="es-ES" w:eastAsia="es-ES"/>
        </w:rPr>
        <w:t>o al servidor público habilitado</w:t>
      </w:r>
      <w:r w:rsidR="00526A89" w:rsidRPr="001431BD">
        <w:rPr>
          <w:rFonts w:ascii="Palatino Linotype" w:eastAsia="MS Mincho" w:hAnsi="Palatino Linotype"/>
          <w:lang w:val="es-ES" w:eastAsia="es-ES"/>
        </w:rPr>
        <w:t xml:space="preserve"> y</w:t>
      </w:r>
      <w:r w:rsidR="00DA0C22" w:rsidRPr="001431BD">
        <w:rPr>
          <w:rFonts w:ascii="Palatino Linotype" w:eastAsia="MS Mincho" w:hAnsi="Palatino Linotype"/>
          <w:lang w:val="es-ES" w:eastAsia="es-ES"/>
        </w:rPr>
        <w:t xml:space="preserve"> emitió respuesta </w:t>
      </w:r>
      <w:r w:rsidR="007B5F19" w:rsidRPr="001431BD">
        <w:rPr>
          <w:rFonts w:ascii="Palatino Linotype" w:eastAsia="MS Mincho" w:hAnsi="Palatino Linotype"/>
          <w:lang w:val="es-ES" w:eastAsia="es-ES"/>
        </w:rPr>
        <w:t xml:space="preserve">el </w:t>
      </w:r>
      <w:r w:rsidR="007B5F19" w:rsidRPr="001431BD">
        <w:rPr>
          <w:rFonts w:ascii="Palatino Linotype" w:eastAsia="MS Mincho" w:hAnsi="Palatino Linotype"/>
          <w:lang w:val="es-ES" w:eastAsia="es-ES"/>
        </w:rPr>
        <w:lastRenderedPageBreak/>
        <w:t>Tesorero Municipal, quien en este caso es el encargado de remitir dicha información al Órgano Superior de Fiscalización.</w:t>
      </w:r>
    </w:p>
    <w:p w:rsidR="00C66454" w:rsidRDefault="00C66454" w:rsidP="00C66454">
      <w:pPr>
        <w:spacing w:line="360" w:lineRule="auto"/>
        <w:jc w:val="both"/>
        <w:rPr>
          <w:rFonts w:ascii="Palatino Linotype" w:eastAsia="MS Mincho" w:hAnsi="Palatino Linotype"/>
          <w:lang w:val="es-ES" w:eastAsia="es-ES"/>
        </w:rPr>
      </w:pPr>
    </w:p>
    <w:p w:rsidR="00C66454" w:rsidRPr="001431BD" w:rsidRDefault="00C66454" w:rsidP="008D0AE7">
      <w:pPr>
        <w:numPr>
          <w:ilvl w:val="0"/>
          <w:numId w:val="9"/>
        </w:numPr>
        <w:spacing w:line="360" w:lineRule="auto"/>
        <w:ind w:left="0" w:firstLine="0"/>
        <w:jc w:val="both"/>
        <w:rPr>
          <w:rFonts w:ascii="Palatino Linotype" w:eastAsia="MS Mincho" w:hAnsi="Palatino Linotype"/>
          <w:lang w:val="es-ES" w:eastAsia="es-ES"/>
        </w:rPr>
      </w:pPr>
      <w:r>
        <w:rPr>
          <w:rFonts w:ascii="Palatino Linotype" w:eastAsia="MS Mincho" w:hAnsi="Palatino Linotype"/>
          <w:lang w:val="es-ES" w:eastAsia="es-ES"/>
        </w:rPr>
        <w:t xml:space="preserve">Cabe señalar que la información del disco 5, de </w:t>
      </w:r>
      <w:r w:rsidR="008941F0">
        <w:rPr>
          <w:rFonts w:ascii="Palatino Linotype" w:eastAsia="MS Mincho" w:hAnsi="Palatino Linotype"/>
          <w:lang w:val="es-ES" w:eastAsia="es-ES"/>
        </w:rPr>
        <w:t>acuerdo a</w:t>
      </w:r>
      <w:r>
        <w:rPr>
          <w:rFonts w:ascii="Palatino Linotype" w:eastAsia="MS Mincho" w:hAnsi="Palatino Linotype"/>
          <w:lang w:val="es-ES" w:eastAsia="es-ES"/>
        </w:rPr>
        <w:t xml:space="preserve"> los Lineamientos para la entrega del Informe Mensual Municipal para el ejercicio fiscal 2020</w:t>
      </w:r>
      <w:r w:rsidR="008941F0">
        <w:rPr>
          <w:rFonts w:ascii="Palatino Linotype" w:eastAsia="MS Mincho" w:hAnsi="Palatino Linotype"/>
          <w:lang w:val="es-ES" w:eastAsia="es-ES"/>
        </w:rPr>
        <w:t>, contiene las imágenes digitalizadas, que refieren que todo registro contable y presupuestal deberá estar soportado con los documentos comprobatorios originales; se integran por las pólizas de ingresos, pólizas de diario, pólizas de egresos, pólizas de cheques y pólizas de cuentas por pagar, todos ellos con documentos comprobatorios.</w:t>
      </w:r>
    </w:p>
    <w:p w:rsidR="007B5F19" w:rsidRPr="001431BD" w:rsidRDefault="007B5F19" w:rsidP="007B5F19">
      <w:pPr>
        <w:spacing w:line="360" w:lineRule="auto"/>
        <w:jc w:val="both"/>
        <w:rPr>
          <w:rFonts w:ascii="Palatino Linotype" w:eastAsia="MS Mincho" w:hAnsi="Palatino Linotype"/>
          <w:lang w:val="es-ES" w:eastAsia="es-ES"/>
        </w:rPr>
      </w:pPr>
    </w:p>
    <w:p w:rsidR="00766C07" w:rsidRPr="001431BD" w:rsidRDefault="008941F0" w:rsidP="001431BD">
      <w:pPr>
        <w:numPr>
          <w:ilvl w:val="0"/>
          <w:numId w:val="9"/>
        </w:numPr>
        <w:spacing w:line="360" w:lineRule="auto"/>
        <w:ind w:left="0" w:firstLine="0"/>
        <w:jc w:val="both"/>
        <w:rPr>
          <w:rFonts w:ascii="Palatino Linotype" w:eastAsia="MS Mincho" w:hAnsi="Palatino Linotype"/>
          <w:lang w:val="es-ES" w:eastAsia="es-ES"/>
        </w:rPr>
      </w:pPr>
      <w:r>
        <w:rPr>
          <w:rFonts w:ascii="Palatino Linotype" w:eastAsia="MS Mincho" w:hAnsi="Palatino Linotype"/>
          <w:lang w:val="es-ES" w:eastAsia="es-ES"/>
        </w:rPr>
        <w:t>Así</w:t>
      </w:r>
      <w:r w:rsidR="008D0AE7" w:rsidRPr="001431BD">
        <w:rPr>
          <w:rFonts w:ascii="Palatino Linotype" w:eastAsia="MS Mincho" w:hAnsi="Palatino Linotype"/>
          <w:lang w:val="es-ES" w:eastAsia="es-ES"/>
        </w:rPr>
        <w:t>, atendiendo a</w:t>
      </w:r>
      <w:r w:rsidR="00526A89" w:rsidRPr="001431BD">
        <w:rPr>
          <w:rFonts w:ascii="Palatino Linotype" w:eastAsia="MS Mincho" w:hAnsi="Palatino Linotype"/>
          <w:lang w:val="es-ES" w:eastAsia="es-ES"/>
        </w:rPr>
        <w:t xml:space="preserve"> las manifestaciones y</w:t>
      </w:r>
      <w:r w:rsidR="008D0AE7" w:rsidRPr="001431BD">
        <w:rPr>
          <w:rFonts w:ascii="Palatino Linotype" w:eastAsia="MS Mincho" w:hAnsi="Palatino Linotype"/>
          <w:lang w:val="es-ES" w:eastAsia="es-ES"/>
        </w:rPr>
        <w:t xml:space="preserve"> los motivos de inconformidad </w:t>
      </w:r>
      <w:r w:rsidR="00096A95" w:rsidRPr="001431BD">
        <w:rPr>
          <w:rFonts w:ascii="Palatino Linotype" w:eastAsia="MS Mincho" w:hAnsi="Palatino Linotype"/>
          <w:lang w:val="es-ES" w:eastAsia="es-ES"/>
        </w:rPr>
        <w:t xml:space="preserve">del RECURRENTE, en el que manifestó que varias pólizas de egresos no cumplen con lo señalado en el artículo 344 del Código Financiero del Estado de México, </w:t>
      </w:r>
      <w:r w:rsidR="007B5F19" w:rsidRPr="001431BD">
        <w:rPr>
          <w:rFonts w:ascii="Palatino Linotype" w:eastAsia="MS Mincho" w:hAnsi="Palatino Linotype"/>
          <w:lang w:val="es-ES" w:eastAsia="es-ES"/>
        </w:rPr>
        <w:t xml:space="preserve">cabe señalar que este órgano Garante no está facultado para determinar si la información que se remite al Órgano Superior de Fiscalización cumple con los requisitos establecidos para </w:t>
      </w:r>
      <w:r w:rsidR="001431BD" w:rsidRPr="001431BD">
        <w:rPr>
          <w:rFonts w:ascii="Palatino Linotype" w:eastAsia="MS Mincho" w:hAnsi="Palatino Linotype"/>
          <w:lang w:val="es-ES" w:eastAsia="es-ES"/>
        </w:rPr>
        <w:t>su entrega; además,</w:t>
      </w:r>
      <w:r w:rsidR="00766C07" w:rsidRPr="001431BD">
        <w:rPr>
          <w:rFonts w:ascii="Palatino Linotype" w:hAnsi="Palatino Linotype" w:cs="Arial"/>
        </w:rPr>
        <w:t xml:space="preserve"> es necesario señalar que éste Órgano Garante no está facultado para pronunciarse sobre la veracidad de la información que los Sujetos Obligados ponen a disposición de los solicitantes; situación que se aleja de las atribuciones de este Instituto </w:t>
      </w:r>
      <w:r w:rsidR="00766C07" w:rsidRPr="001431BD">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766C07" w:rsidRPr="001431BD" w:rsidRDefault="00766C07" w:rsidP="00766C07">
      <w:pPr>
        <w:pStyle w:val="Default"/>
        <w:numPr>
          <w:ilvl w:val="0"/>
          <w:numId w:val="9"/>
        </w:numPr>
        <w:spacing w:before="240" w:after="360" w:line="360" w:lineRule="auto"/>
        <w:ind w:left="0" w:firstLine="0"/>
        <w:jc w:val="both"/>
        <w:rPr>
          <w:rFonts w:ascii="Palatino Linotype" w:hAnsi="Palatino Linotype"/>
        </w:rPr>
      </w:pPr>
      <w:r w:rsidRPr="001431BD">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766C07" w:rsidRPr="001431BD" w:rsidRDefault="00766C07" w:rsidP="00766C07">
      <w:pPr>
        <w:pStyle w:val="Default"/>
        <w:spacing w:before="240" w:after="360" w:line="360" w:lineRule="auto"/>
        <w:ind w:left="786" w:right="850"/>
        <w:jc w:val="both"/>
        <w:rPr>
          <w:rFonts w:ascii="Palatino Linotype" w:hAnsi="Palatino Linotype"/>
          <w:i/>
          <w:sz w:val="22"/>
          <w:szCs w:val="20"/>
        </w:rPr>
      </w:pPr>
      <w:r w:rsidRPr="001431BD">
        <w:rPr>
          <w:rFonts w:ascii="Palatino Linotype" w:hAnsi="Palatino Linotype"/>
          <w:i/>
          <w:sz w:val="22"/>
          <w:szCs w:val="20"/>
        </w:rPr>
        <w:lastRenderedPageBreak/>
        <w:t xml:space="preserve">El Instituto Federal de Acceso a la Información y Protección de Datos </w:t>
      </w:r>
      <w:r w:rsidRPr="001431BD">
        <w:rPr>
          <w:rFonts w:ascii="Palatino Linotype" w:hAnsi="Palatino Linotype"/>
          <w:b/>
          <w:i/>
          <w:sz w:val="22"/>
          <w:szCs w:val="20"/>
        </w:rPr>
        <w:t>no cuenta con facultades para pronunciarse respecto de la veracidad de los documentos proporcionados por los sujetos obligados.</w:t>
      </w:r>
      <w:r w:rsidRPr="001431BD">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66C07" w:rsidRPr="001431BD" w:rsidRDefault="00766C07" w:rsidP="00766C07">
      <w:pPr>
        <w:pStyle w:val="Prrafodelista"/>
        <w:numPr>
          <w:ilvl w:val="0"/>
          <w:numId w:val="9"/>
        </w:numPr>
        <w:spacing w:line="360" w:lineRule="auto"/>
        <w:ind w:left="0" w:firstLine="0"/>
        <w:jc w:val="both"/>
        <w:rPr>
          <w:rFonts w:ascii="Palatino Linotype" w:hAnsi="Palatino Linotype" w:cs="Arial"/>
          <w:sz w:val="24"/>
        </w:rPr>
      </w:pPr>
      <w:r w:rsidRPr="001431BD">
        <w:rPr>
          <w:rFonts w:ascii="Palatino Linotype" w:hAnsi="Palatino Linotype" w:cs="Arial"/>
          <w:sz w:val="24"/>
        </w:rPr>
        <w:t xml:space="preserve">Así mismo, la </w:t>
      </w:r>
      <w:r w:rsidRPr="001431BD">
        <w:rPr>
          <w:rFonts w:ascii="Palatino Linotype" w:hAnsi="Palatino Linotype" w:cs="Arial"/>
          <w:b/>
          <w:sz w:val="24"/>
        </w:rPr>
        <w:t>Ley de Transparencia y Acceso a la Información Pública del Estado de México y Municipios</w:t>
      </w:r>
      <w:r w:rsidRPr="001431BD">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66C07" w:rsidRPr="001431BD" w:rsidRDefault="00766C07" w:rsidP="00766C07">
      <w:pPr>
        <w:pStyle w:val="Prrafodelista"/>
        <w:spacing w:line="360" w:lineRule="auto"/>
        <w:ind w:left="786"/>
        <w:jc w:val="both"/>
        <w:rPr>
          <w:rFonts w:ascii="Palatino Linotype" w:hAnsi="Palatino Linotype" w:cs="Arial"/>
          <w:sz w:val="24"/>
        </w:rPr>
      </w:pPr>
    </w:p>
    <w:p w:rsidR="00766C07" w:rsidRPr="001431BD" w:rsidRDefault="00766C07" w:rsidP="00766C07">
      <w:pPr>
        <w:pStyle w:val="Prrafodelista"/>
        <w:spacing w:line="360" w:lineRule="auto"/>
        <w:ind w:left="786" w:right="902"/>
        <w:jc w:val="both"/>
        <w:rPr>
          <w:rFonts w:ascii="Palatino Linotype" w:hAnsi="Palatino Linotype" w:cs="Arial"/>
          <w:b/>
          <w:i/>
        </w:rPr>
      </w:pPr>
      <w:r w:rsidRPr="001431B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w:t>
      </w:r>
      <w:r w:rsidRPr="001431BD">
        <w:rPr>
          <w:rFonts w:ascii="Palatino Linotype" w:hAnsi="Palatino Linotype" w:cs="Arial"/>
          <w:i/>
        </w:rPr>
        <w:lastRenderedPageBreak/>
        <w:t xml:space="preserve">la información. </w:t>
      </w:r>
      <w:r w:rsidRPr="001431B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766C07" w:rsidRPr="001431BD" w:rsidRDefault="00766C07" w:rsidP="00766C07">
      <w:pPr>
        <w:pStyle w:val="Prrafodelista"/>
        <w:tabs>
          <w:tab w:val="left" w:pos="709"/>
        </w:tabs>
        <w:spacing w:line="360" w:lineRule="auto"/>
        <w:ind w:left="786" w:right="51"/>
        <w:jc w:val="both"/>
        <w:rPr>
          <w:rFonts w:ascii="Palatino Linotype" w:hAnsi="Palatino Linotype" w:cs="Arial"/>
          <w:noProof/>
          <w:sz w:val="24"/>
        </w:rPr>
      </w:pPr>
    </w:p>
    <w:p w:rsidR="0072766B" w:rsidRDefault="00766C07" w:rsidP="0072766B">
      <w:pPr>
        <w:pStyle w:val="Prrafodelista"/>
        <w:numPr>
          <w:ilvl w:val="0"/>
          <w:numId w:val="9"/>
        </w:numPr>
        <w:tabs>
          <w:tab w:val="left" w:pos="426"/>
        </w:tabs>
        <w:spacing w:after="160" w:line="360" w:lineRule="auto"/>
        <w:ind w:left="0" w:right="51" w:firstLine="0"/>
        <w:jc w:val="both"/>
        <w:rPr>
          <w:rFonts w:ascii="Palatino Linotype" w:hAnsi="Palatino Linotype" w:cs="Arial"/>
          <w:noProof/>
          <w:sz w:val="24"/>
        </w:rPr>
      </w:pPr>
      <w:r w:rsidRPr="001431BD">
        <w:rPr>
          <w:rFonts w:ascii="Palatino Linotype" w:hAnsi="Palatino Linotype" w:cs="Arial"/>
          <w:noProof/>
          <w:sz w:val="24"/>
        </w:rPr>
        <w:t xml:space="preserve">Numerales que compelen al </w:t>
      </w:r>
      <w:r w:rsidRPr="001431BD">
        <w:rPr>
          <w:rFonts w:ascii="Palatino Linotype" w:hAnsi="Palatino Linotype" w:cs="Arial"/>
          <w:b/>
          <w:noProof/>
          <w:sz w:val="24"/>
        </w:rPr>
        <w:t>SUJETO OBLIGADO</w:t>
      </w:r>
      <w:r w:rsidRPr="001431BD">
        <w:rPr>
          <w:rFonts w:ascii="Palatino Linotype" w:hAnsi="Palatino Linotype" w:cs="Arial"/>
          <w:noProof/>
          <w:sz w:val="24"/>
        </w:rPr>
        <w:t xml:space="preserve"> a apegarse en todo momento a los criterios ya expuestos, imipidiendo a este Órgano Colegiado cuestionar la veracidad de la información.</w:t>
      </w:r>
    </w:p>
    <w:p w:rsidR="005741A1" w:rsidRPr="001431BD" w:rsidRDefault="005741A1" w:rsidP="005741A1">
      <w:pPr>
        <w:pStyle w:val="Prrafodelista"/>
        <w:tabs>
          <w:tab w:val="left" w:pos="426"/>
        </w:tabs>
        <w:spacing w:before="240" w:after="240" w:line="360" w:lineRule="auto"/>
        <w:ind w:left="0" w:right="49"/>
        <w:jc w:val="both"/>
        <w:rPr>
          <w:rFonts w:ascii="Palatino Linotype" w:hAnsi="Palatino Linotype" w:cs="Arial"/>
          <w:sz w:val="24"/>
        </w:rPr>
      </w:pPr>
    </w:p>
    <w:p w:rsidR="005741A1" w:rsidRPr="001431BD" w:rsidRDefault="00526A89" w:rsidP="005741A1">
      <w:pPr>
        <w:pStyle w:val="Prrafodelista"/>
        <w:numPr>
          <w:ilvl w:val="0"/>
          <w:numId w:val="9"/>
        </w:numPr>
        <w:tabs>
          <w:tab w:val="left" w:pos="426"/>
        </w:tabs>
        <w:spacing w:before="240" w:after="240" w:line="360" w:lineRule="auto"/>
        <w:ind w:left="0" w:right="49" w:firstLine="0"/>
        <w:jc w:val="both"/>
        <w:rPr>
          <w:rFonts w:ascii="Palatino Linotype" w:hAnsi="Palatino Linotype" w:cs="Arial"/>
          <w:sz w:val="24"/>
        </w:rPr>
      </w:pPr>
      <w:r w:rsidRPr="001431BD">
        <w:rPr>
          <w:rFonts w:ascii="Palatino Linotype" w:hAnsi="Palatino Linotype" w:cs="Arial"/>
          <w:sz w:val="24"/>
        </w:rPr>
        <w:t xml:space="preserve">Por otro lado, dentro de </w:t>
      </w:r>
      <w:r w:rsidR="005741A1" w:rsidRPr="001431BD">
        <w:rPr>
          <w:rFonts w:ascii="Palatino Linotype" w:hAnsi="Palatino Linotype"/>
          <w:sz w:val="24"/>
        </w:rPr>
        <w:t>la información entregada en respuesta</w:t>
      </w:r>
      <w:r w:rsidRPr="001431BD">
        <w:rPr>
          <w:rFonts w:ascii="Palatino Linotype" w:hAnsi="Palatino Linotype"/>
          <w:sz w:val="24"/>
        </w:rPr>
        <w:t xml:space="preserve"> por el SUJETO OBLIGADO,</w:t>
      </w:r>
      <w:r w:rsidR="005741A1" w:rsidRPr="001431BD">
        <w:rPr>
          <w:rFonts w:ascii="Palatino Linotype" w:hAnsi="Palatino Linotype"/>
          <w:sz w:val="24"/>
        </w:rPr>
        <w:t xml:space="preserve"> se aprecia que varios de estos </w:t>
      </w:r>
      <w:r w:rsidRPr="001431BD">
        <w:rPr>
          <w:rFonts w:ascii="Palatino Linotype" w:hAnsi="Palatino Linotype"/>
          <w:sz w:val="24"/>
        </w:rPr>
        <w:t>documentos se</w:t>
      </w:r>
      <w:r w:rsidR="005741A1" w:rsidRPr="001431BD">
        <w:rPr>
          <w:rFonts w:ascii="Palatino Linotype" w:hAnsi="Palatino Linotype"/>
          <w:sz w:val="24"/>
        </w:rPr>
        <w:t xml:space="preserve"> exponen datos personales como </w:t>
      </w:r>
      <w:r w:rsidR="005741A1" w:rsidRPr="001431BD">
        <w:rPr>
          <w:rFonts w:ascii="Palatino Linotype" w:hAnsi="Palatino Linotype"/>
          <w:bCs/>
          <w:color w:val="222222"/>
          <w:sz w:val="24"/>
          <w:shd w:val="clear" w:color="auto" w:fill="FFFFFF"/>
        </w:rPr>
        <w:t>nombre de particulares,</w:t>
      </w:r>
      <w:r w:rsidR="005741A1" w:rsidRPr="001431BD">
        <w:rPr>
          <w:rFonts w:ascii="Palatino Linotype" w:hAnsi="Palatino Linotype"/>
          <w:color w:val="222222"/>
          <w:sz w:val="24"/>
          <w:shd w:val="clear" w:color="auto" w:fill="FFFFFF"/>
        </w:rPr>
        <w:t> </w:t>
      </w:r>
      <w:r w:rsidR="005741A1" w:rsidRPr="001431BD">
        <w:rPr>
          <w:rFonts w:ascii="Palatino Linotype" w:hAnsi="Palatino Linotype"/>
          <w:bCs/>
          <w:color w:val="222222"/>
          <w:sz w:val="24"/>
          <w:shd w:val="clear" w:color="auto" w:fill="FFFFFF"/>
        </w:rPr>
        <w:t xml:space="preserve">firma de particulares, número de cédula profesional de particular, deducciones por pensión alimenticia </w:t>
      </w:r>
      <w:r w:rsidR="008941F0" w:rsidRPr="001431BD">
        <w:rPr>
          <w:rFonts w:ascii="Palatino Linotype" w:hAnsi="Palatino Linotype"/>
          <w:bCs/>
          <w:color w:val="222222"/>
          <w:sz w:val="24"/>
          <w:shd w:val="clear" w:color="auto" w:fill="FFFFFF"/>
        </w:rPr>
        <w:t>y clave</w:t>
      </w:r>
      <w:r w:rsidR="005741A1" w:rsidRPr="001431BD">
        <w:rPr>
          <w:rFonts w:ascii="Palatino Linotype" w:hAnsi="Palatino Linotype"/>
          <w:bCs/>
          <w:color w:val="222222"/>
          <w:sz w:val="24"/>
          <w:shd w:val="clear" w:color="auto" w:fill="FFFFFF"/>
        </w:rPr>
        <w:t xml:space="preserve"> de elector</w:t>
      </w:r>
      <w:r w:rsidR="005741A1" w:rsidRPr="001431BD">
        <w:rPr>
          <w:rFonts w:ascii="Palatino Linotype" w:hAnsi="Palatino Linotype"/>
          <w:sz w:val="24"/>
        </w:rPr>
        <w:t>, datos que por naturaleza son susceptibles de clasificarse como confidenciales.</w:t>
      </w:r>
    </w:p>
    <w:p w:rsidR="005741A1" w:rsidRPr="001431BD" w:rsidRDefault="005741A1" w:rsidP="005741A1">
      <w:pPr>
        <w:pStyle w:val="Prrafodelista"/>
        <w:tabs>
          <w:tab w:val="left" w:pos="426"/>
        </w:tabs>
        <w:spacing w:before="240" w:after="240" w:line="360" w:lineRule="auto"/>
        <w:ind w:left="0" w:right="49"/>
        <w:jc w:val="both"/>
        <w:rPr>
          <w:rFonts w:ascii="Palatino Linotype" w:hAnsi="Palatino Linotype" w:cs="Arial"/>
          <w:sz w:val="24"/>
        </w:rPr>
      </w:pPr>
    </w:p>
    <w:p w:rsidR="005741A1" w:rsidRPr="001431BD" w:rsidRDefault="005741A1" w:rsidP="005741A1">
      <w:pPr>
        <w:pStyle w:val="Prrafodelista"/>
        <w:numPr>
          <w:ilvl w:val="0"/>
          <w:numId w:val="9"/>
        </w:numPr>
        <w:tabs>
          <w:tab w:val="left" w:pos="426"/>
        </w:tabs>
        <w:spacing w:before="240" w:after="240" w:line="360" w:lineRule="auto"/>
        <w:ind w:left="0" w:right="49" w:firstLine="0"/>
        <w:jc w:val="both"/>
        <w:rPr>
          <w:rFonts w:ascii="Palatino Linotype" w:hAnsi="Palatino Linotype" w:cs="Arial"/>
          <w:sz w:val="24"/>
        </w:rPr>
      </w:pPr>
      <w:r w:rsidRPr="001431BD">
        <w:rPr>
          <w:rFonts w:ascii="Palatino Linotype" w:hAnsi="Palatino Linotype"/>
          <w:sz w:val="24"/>
        </w:rPr>
        <w:t xml:space="preserve">Por lo anterior, esta Ponencia Resolutora advierte que el actuar del </w:t>
      </w:r>
      <w:r w:rsidRPr="001431BD">
        <w:rPr>
          <w:rFonts w:ascii="Palatino Linotype" w:hAnsi="Palatino Linotype"/>
          <w:b/>
          <w:sz w:val="24"/>
        </w:rPr>
        <w:t>SUJETO OBLIGADO</w:t>
      </w:r>
      <w:r w:rsidRPr="001431BD">
        <w:rPr>
          <w:rFonts w:ascii="Palatino Linotype" w:hAnsi="Palatino Linotype"/>
          <w:sz w:val="24"/>
        </w:rPr>
        <w:t xml:space="preserve">, al entregar documentos con datos personales, </w:t>
      </w:r>
      <w:r w:rsidRPr="001431BD">
        <w:rPr>
          <w:rFonts w:ascii="Palatino Linotype" w:hAnsi="Palatino Linotype"/>
          <w:b/>
          <w:bCs/>
          <w:sz w:val="24"/>
        </w:rPr>
        <w:t>fue negligente y descuidada</w:t>
      </w:r>
      <w:r w:rsidRPr="001431BD">
        <w:rPr>
          <w:rFonts w:ascii="Palatino Linotype" w:hAnsi="Palatino Linotype"/>
          <w:sz w:val="24"/>
        </w:rPr>
        <w:t>, actualizando las causales de responsabilidad administrativa contenidas en las fracciones IV y V de la Ley de Transparencia y Acceso a la Información del Estado de México y Municipios, cuyo contenido es el siguiente:</w:t>
      </w:r>
    </w:p>
    <w:p w:rsidR="005741A1" w:rsidRPr="001431BD" w:rsidRDefault="005741A1" w:rsidP="005741A1">
      <w:pPr>
        <w:pStyle w:val="Prrafodelista"/>
        <w:tabs>
          <w:tab w:val="left" w:pos="426"/>
        </w:tabs>
        <w:spacing w:before="240" w:after="240" w:line="360" w:lineRule="auto"/>
        <w:ind w:left="0" w:right="49"/>
        <w:jc w:val="both"/>
        <w:rPr>
          <w:rFonts w:ascii="Palatino Linotype" w:hAnsi="Palatino Linotype" w:cs="Arial"/>
          <w:sz w:val="24"/>
        </w:rPr>
      </w:pPr>
    </w:p>
    <w:p w:rsidR="005741A1" w:rsidRPr="001431BD" w:rsidRDefault="005741A1" w:rsidP="005741A1">
      <w:pPr>
        <w:pStyle w:val="Sinespaciado"/>
        <w:spacing w:line="276" w:lineRule="auto"/>
        <w:ind w:left="567" w:right="567"/>
        <w:jc w:val="both"/>
        <w:rPr>
          <w:rFonts w:ascii="Palatino Linotype" w:eastAsia="MS Mincho" w:hAnsi="Palatino Linotype"/>
          <w:i/>
          <w:sz w:val="24"/>
          <w:szCs w:val="24"/>
        </w:rPr>
      </w:pPr>
      <w:r w:rsidRPr="001431BD">
        <w:rPr>
          <w:rFonts w:ascii="Palatino Linotype" w:eastAsia="MS Mincho" w:hAnsi="Palatino Linotype"/>
          <w:i/>
          <w:sz w:val="24"/>
          <w:szCs w:val="24"/>
        </w:rPr>
        <w:t>“</w:t>
      </w:r>
      <w:r w:rsidRPr="001431BD">
        <w:rPr>
          <w:rFonts w:ascii="Palatino Linotype" w:eastAsia="MS Mincho" w:hAnsi="Palatino Linotype"/>
          <w:b/>
          <w:i/>
          <w:sz w:val="24"/>
          <w:szCs w:val="24"/>
        </w:rPr>
        <w:t>Artículo 222.</w:t>
      </w:r>
      <w:r w:rsidRPr="001431BD">
        <w:rPr>
          <w:rFonts w:ascii="Palatino Linotype" w:eastAsia="MS Mincho" w:hAnsi="Palatino Linotype"/>
          <w:i/>
          <w:sz w:val="24"/>
          <w:szCs w:val="24"/>
        </w:rPr>
        <w:t xml:space="preserve"> Son causas de responsabilidad administrativa de los servidores públicos de los sujetos obligados, por incumplimiento de las obligaciones establecidas en la materia de la presente Ley, las siguientes:</w:t>
      </w:r>
    </w:p>
    <w:p w:rsidR="005741A1" w:rsidRPr="001431BD" w:rsidRDefault="005741A1" w:rsidP="005741A1">
      <w:pPr>
        <w:pStyle w:val="Sinespaciado"/>
        <w:spacing w:line="276" w:lineRule="auto"/>
        <w:ind w:left="567" w:right="567"/>
        <w:jc w:val="both"/>
        <w:rPr>
          <w:rFonts w:ascii="Palatino Linotype" w:eastAsia="MS Mincho" w:hAnsi="Palatino Linotype"/>
          <w:i/>
          <w:sz w:val="24"/>
          <w:szCs w:val="24"/>
        </w:rPr>
      </w:pPr>
      <w:r w:rsidRPr="001431BD">
        <w:rPr>
          <w:rFonts w:ascii="Palatino Linotype" w:eastAsia="MS Mincho" w:hAnsi="Palatino Linotype"/>
          <w:i/>
          <w:sz w:val="24"/>
          <w:szCs w:val="24"/>
        </w:rPr>
        <w:t>(…)</w:t>
      </w:r>
    </w:p>
    <w:p w:rsidR="005741A1" w:rsidRPr="001431BD" w:rsidRDefault="005741A1" w:rsidP="005741A1">
      <w:pPr>
        <w:pStyle w:val="Sinespaciado"/>
        <w:spacing w:line="276" w:lineRule="auto"/>
        <w:ind w:left="567" w:right="567"/>
        <w:jc w:val="both"/>
        <w:rPr>
          <w:rFonts w:ascii="Palatino Linotype" w:eastAsia="MS Mincho" w:hAnsi="Palatino Linotype"/>
          <w:i/>
          <w:sz w:val="24"/>
          <w:szCs w:val="24"/>
        </w:rPr>
      </w:pPr>
      <w:r w:rsidRPr="001431BD">
        <w:rPr>
          <w:rFonts w:ascii="Palatino Linotype" w:eastAsia="MS Mincho" w:hAnsi="Palatino Linotype"/>
          <w:b/>
          <w:i/>
          <w:sz w:val="24"/>
          <w:szCs w:val="24"/>
        </w:rPr>
        <w:lastRenderedPageBreak/>
        <w:t xml:space="preserve">IV. </w:t>
      </w:r>
      <w:r w:rsidRPr="001431BD">
        <w:rPr>
          <w:rFonts w:ascii="Palatino Linotype" w:eastAsia="MS Mincho" w:hAnsi="Palatino Linotype"/>
          <w:i/>
          <w:sz w:val="24"/>
          <w:szCs w:val="24"/>
        </w:rPr>
        <w:t>Entregar información clasificada como reservada;</w:t>
      </w:r>
    </w:p>
    <w:p w:rsidR="005741A1" w:rsidRPr="001431BD" w:rsidRDefault="005741A1" w:rsidP="005741A1">
      <w:pPr>
        <w:pStyle w:val="Sinespaciado"/>
        <w:spacing w:line="276" w:lineRule="auto"/>
        <w:ind w:left="567" w:right="567"/>
        <w:jc w:val="both"/>
        <w:rPr>
          <w:rFonts w:ascii="Palatino Linotype" w:eastAsia="MS Mincho" w:hAnsi="Palatino Linotype"/>
          <w:i/>
          <w:sz w:val="24"/>
          <w:szCs w:val="24"/>
        </w:rPr>
      </w:pPr>
      <w:r w:rsidRPr="001431BD">
        <w:rPr>
          <w:rFonts w:ascii="Palatino Linotype" w:eastAsia="MS Mincho" w:hAnsi="Palatino Linotype"/>
          <w:b/>
          <w:i/>
          <w:sz w:val="24"/>
          <w:szCs w:val="24"/>
        </w:rPr>
        <w:t>V.</w:t>
      </w:r>
      <w:r w:rsidRPr="001431BD">
        <w:rPr>
          <w:rFonts w:ascii="Palatino Linotype" w:eastAsia="MS Mincho" w:hAnsi="Palatino Linotype"/>
          <w:i/>
          <w:sz w:val="24"/>
          <w:szCs w:val="24"/>
        </w:rPr>
        <w:t xml:space="preserve"> Entregar información clasificada como confidencial fuera de los casos previstos por esta Ley;</w:t>
      </w:r>
    </w:p>
    <w:p w:rsidR="005741A1" w:rsidRPr="001431BD" w:rsidRDefault="005741A1" w:rsidP="005741A1">
      <w:pPr>
        <w:pStyle w:val="Sinespaciado"/>
        <w:spacing w:line="276" w:lineRule="auto"/>
        <w:ind w:left="567" w:right="567"/>
        <w:jc w:val="both"/>
        <w:rPr>
          <w:rFonts w:ascii="Palatino Linotype" w:eastAsia="MS Mincho" w:hAnsi="Palatino Linotype"/>
          <w:i/>
          <w:sz w:val="24"/>
          <w:szCs w:val="24"/>
        </w:rPr>
      </w:pPr>
      <w:r w:rsidRPr="001431BD">
        <w:rPr>
          <w:rFonts w:ascii="Palatino Linotype" w:eastAsia="MS Mincho" w:hAnsi="Palatino Linotype"/>
          <w:i/>
          <w:sz w:val="24"/>
          <w:szCs w:val="24"/>
        </w:rPr>
        <w:t>(…)</w:t>
      </w:r>
    </w:p>
    <w:p w:rsidR="005741A1" w:rsidRPr="001431BD" w:rsidRDefault="005741A1" w:rsidP="005741A1">
      <w:pPr>
        <w:pStyle w:val="Prrafodelista"/>
        <w:tabs>
          <w:tab w:val="left" w:pos="0"/>
          <w:tab w:val="left" w:pos="426"/>
        </w:tabs>
        <w:spacing w:line="276" w:lineRule="auto"/>
        <w:ind w:left="567" w:right="567"/>
        <w:jc w:val="both"/>
        <w:rPr>
          <w:rFonts w:ascii="Palatino Linotype" w:eastAsia="MS Mincho" w:hAnsi="Palatino Linotype"/>
          <w:sz w:val="24"/>
        </w:rPr>
      </w:pPr>
      <w:r w:rsidRPr="001431BD">
        <w:rPr>
          <w:rFonts w:ascii="Palatino Linotype" w:hAnsi="Palatino Linotype"/>
          <w:sz w:val="24"/>
        </w:rPr>
        <w:t>(Énfasis añadido)</w:t>
      </w:r>
    </w:p>
    <w:p w:rsidR="005741A1" w:rsidRPr="001431BD" w:rsidRDefault="005741A1" w:rsidP="005741A1">
      <w:pPr>
        <w:pStyle w:val="Prrafodelista"/>
        <w:tabs>
          <w:tab w:val="left" w:pos="426"/>
        </w:tabs>
        <w:spacing w:before="240" w:after="240" w:line="360" w:lineRule="auto"/>
        <w:ind w:left="0" w:right="49"/>
        <w:jc w:val="both"/>
        <w:rPr>
          <w:rFonts w:ascii="Palatino Linotype" w:hAnsi="Palatino Linotype" w:cs="Arial"/>
          <w:sz w:val="24"/>
        </w:rPr>
      </w:pPr>
    </w:p>
    <w:p w:rsidR="005741A1" w:rsidRPr="001431BD" w:rsidRDefault="005741A1" w:rsidP="005741A1">
      <w:pPr>
        <w:pStyle w:val="Prrafodelista"/>
        <w:numPr>
          <w:ilvl w:val="0"/>
          <w:numId w:val="9"/>
        </w:numPr>
        <w:tabs>
          <w:tab w:val="left" w:pos="426"/>
        </w:tabs>
        <w:spacing w:before="240" w:after="240" w:line="360" w:lineRule="auto"/>
        <w:ind w:left="0" w:right="49" w:firstLine="0"/>
        <w:jc w:val="both"/>
        <w:rPr>
          <w:rFonts w:ascii="Palatino Linotype" w:hAnsi="Palatino Linotype" w:cs="Arial"/>
          <w:sz w:val="24"/>
        </w:rPr>
      </w:pPr>
      <w:r w:rsidRPr="001431BD">
        <w:rPr>
          <w:rFonts w:ascii="Palatino Linotype" w:hAnsi="Palatino Linotype" w:cs="Arial"/>
          <w:sz w:val="24"/>
        </w:rPr>
        <w:t xml:space="preserve">De tal </w:t>
      </w:r>
      <w:r w:rsidRPr="001431BD">
        <w:rPr>
          <w:rFonts w:ascii="Palatino Linotype" w:hAnsi="Palatino Linotype"/>
          <w:sz w:val="24"/>
        </w:rPr>
        <w:t>manera que la exhibición de los dat</w:t>
      </w:r>
      <w:r w:rsidR="00242A0F" w:rsidRPr="001431BD">
        <w:rPr>
          <w:rFonts w:ascii="Palatino Linotype" w:hAnsi="Palatino Linotype"/>
          <w:sz w:val="24"/>
        </w:rPr>
        <w:t>os personales contenidos en los documentos</w:t>
      </w:r>
      <w:r w:rsidRPr="001431BD">
        <w:rPr>
          <w:rFonts w:ascii="Palatino Linotype" w:hAnsi="Palatino Linotype"/>
          <w:sz w:val="24"/>
        </w:rPr>
        <w:t xml:space="preserve"> entregados en respuesta a la solicitud de información </w:t>
      </w:r>
      <w:r w:rsidR="00242A0F" w:rsidRPr="001431BD">
        <w:rPr>
          <w:rFonts w:ascii="Palatino Linotype" w:hAnsi="Palatino Linotype"/>
          <w:b/>
          <w:bCs/>
          <w:sz w:val="24"/>
        </w:rPr>
        <w:t xml:space="preserve">00408/TLALNEPA/IP/2021 </w:t>
      </w:r>
      <w:r w:rsidRPr="001431BD">
        <w:rPr>
          <w:rFonts w:ascii="Palatino Linotype" w:hAnsi="Palatino Linotype"/>
          <w:sz w:val="24"/>
        </w:rPr>
        <w:t>muestran una total negligencia en el tratamiento de éstos por parte de sus responsables, así como el fehaciente incumplimiento del deber de confidencialidad derivado de su divulgación. Por lo que este Órgano Garante, en cumplimiento con el artículo 168 de la Ley de Protección de Datos Personales en Posesión de Sujetos Obligados del Estado de México y Municipios, dará vista al Órgano Interno de Control a efecto de que se inicie la investigación y sustanciación de las responsabilidades antes mencionadas.</w:t>
      </w:r>
    </w:p>
    <w:p w:rsidR="005741A1" w:rsidRPr="001431BD" w:rsidRDefault="005741A1" w:rsidP="005741A1">
      <w:pPr>
        <w:pStyle w:val="Prrafodelista"/>
        <w:tabs>
          <w:tab w:val="left" w:pos="426"/>
        </w:tabs>
        <w:spacing w:before="240" w:after="240" w:line="360" w:lineRule="auto"/>
        <w:ind w:left="0" w:right="49"/>
        <w:jc w:val="both"/>
        <w:rPr>
          <w:rFonts w:ascii="Palatino Linotype" w:hAnsi="Palatino Linotype" w:cs="Arial"/>
          <w:sz w:val="24"/>
        </w:rPr>
      </w:pPr>
    </w:p>
    <w:p w:rsidR="005741A1" w:rsidRPr="001431BD" w:rsidRDefault="005741A1" w:rsidP="005741A1">
      <w:pPr>
        <w:pStyle w:val="Prrafodelista"/>
        <w:numPr>
          <w:ilvl w:val="0"/>
          <w:numId w:val="9"/>
        </w:numPr>
        <w:tabs>
          <w:tab w:val="left" w:pos="426"/>
        </w:tabs>
        <w:spacing w:before="240" w:after="240" w:line="360" w:lineRule="auto"/>
        <w:ind w:left="0" w:right="49" w:firstLine="0"/>
        <w:jc w:val="both"/>
        <w:rPr>
          <w:rFonts w:ascii="Palatino Linotype" w:hAnsi="Palatino Linotype" w:cs="Arial"/>
          <w:sz w:val="24"/>
        </w:rPr>
      </w:pPr>
      <w:r w:rsidRPr="001431BD">
        <w:rPr>
          <w:rFonts w:ascii="Palatino Linotype" w:hAnsi="Palatino Linotype" w:cs="Arial"/>
          <w:sz w:val="24"/>
        </w:rPr>
        <w:t xml:space="preserve">Por </w:t>
      </w:r>
      <w:r w:rsidRPr="001431BD">
        <w:rPr>
          <w:rFonts w:ascii="Palatino Linotype" w:eastAsia="MS Mincho" w:hAnsi="Palatino Linotype"/>
          <w:sz w:val="24"/>
        </w:rPr>
        <w:t>otro lado, no se pierde de vista que la exposición de los datos en comento trae como consecuencia a la particular una serie de responsabilidades y obligaciones para salvaguardar la información relativa a los datos personales que, por mera negligencia, le fue entregada.</w:t>
      </w:r>
    </w:p>
    <w:p w:rsidR="005741A1" w:rsidRPr="001431BD" w:rsidRDefault="005741A1" w:rsidP="005741A1">
      <w:pPr>
        <w:pStyle w:val="Prrafodelista"/>
        <w:tabs>
          <w:tab w:val="left" w:pos="426"/>
        </w:tabs>
        <w:spacing w:before="240" w:after="240" w:line="360" w:lineRule="auto"/>
        <w:ind w:left="0" w:right="49"/>
        <w:jc w:val="both"/>
        <w:rPr>
          <w:rFonts w:ascii="Palatino Linotype" w:hAnsi="Palatino Linotype" w:cs="Arial"/>
          <w:sz w:val="24"/>
        </w:rPr>
      </w:pPr>
    </w:p>
    <w:p w:rsidR="00166CE8" w:rsidRPr="00166CE8" w:rsidRDefault="005741A1" w:rsidP="00166CE8">
      <w:pPr>
        <w:pStyle w:val="Prrafodelista"/>
        <w:numPr>
          <w:ilvl w:val="0"/>
          <w:numId w:val="9"/>
        </w:numPr>
        <w:tabs>
          <w:tab w:val="left" w:pos="426"/>
        </w:tabs>
        <w:spacing w:before="240" w:after="240" w:line="360" w:lineRule="auto"/>
        <w:ind w:left="0" w:right="49" w:firstLine="0"/>
        <w:jc w:val="both"/>
        <w:rPr>
          <w:rFonts w:ascii="Palatino Linotype" w:hAnsi="Palatino Linotype" w:cs="Arial"/>
          <w:sz w:val="24"/>
        </w:rPr>
      </w:pPr>
      <w:r w:rsidRPr="001431BD">
        <w:rPr>
          <w:rFonts w:ascii="Palatino Linotype" w:hAnsi="Palatino Linotype" w:cs="Arial"/>
          <w:sz w:val="24"/>
        </w:rPr>
        <w:t xml:space="preserve">Por </w:t>
      </w:r>
      <w:r w:rsidRPr="001431BD">
        <w:rPr>
          <w:rFonts w:ascii="Palatino Linotype" w:eastAsia="MS Mincho" w:hAnsi="Palatino Linotype"/>
          <w:sz w:val="24"/>
        </w:rPr>
        <w:t xml:space="preserve">ello, esta Ponencia Resolutora hace del conocimiento de la </w:t>
      </w:r>
      <w:r w:rsidRPr="001431BD">
        <w:rPr>
          <w:rFonts w:ascii="Palatino Linotype" w:eastAsia="MS Mincho" w:hAnsi="Palatino Linotype"/>
          <w:b/>
          <w:sz w:val="24"/>
        </w:rPr>
        <w:t>RECURRENTE</w:t>
      </w:r>
      <w:r w:rsidRPr="001431BD">
        <w:rPr>
          <w:rFonts w:ascii="Palatino Linotype" w:eastAsia="MS Mincho" w:hAnsi="Palatino Linotype"/>
          <w:sz w:val="24"/>
        </w:rPr>
        <w:t xml:space="preserve"> que ahora, por cuanto hace a la información relativa a los datos personales que descansan en su poder, deberá regir su actuar, uso y cuidado en estricta observancia de la </w:t>
      </w:r>
      <w:r w:rsidRPr="001431BD">
        <w:rPr>
          <w:rFonts w:ascii="Palatino Linotype" w:eastAsia="MS Mincho" w:hAnsi="Palatino Linotype"/>
          <w:b/>
          <w:sz w:val="24"/>
        </w:rPr>
        <w:t xml:space="preserve">Ley de Transparencia y Acceso a la Información Pública del Estado de México </w:t>
      </w:r>
      <w:r w:rsidRPr="001431BD">
        <w:rPr>
          <w:rFonts w:ascii="Palatino Linotype" w:eastAsia="MS Mincho" w:hAnsi="Palatino Linotype"/>
          <w:b/>
          <w:sz w:val="24"/>
        </w:rPr>
        <w:lastRenderedPageBreak/>
        <w:t xml:space="preserve">y Municipios, </w:t>
      </w:r>
      <w:r w:rsidRPr="001431BD">
        <w:rPr>
          <w:rFonts w:ascii="Palatino Linotype" w:eastAsia="MS Mincho" w:hAnsi="Palatino Linotype"/>
          <w:bCs/>
          <w:sz w:val="24"/>
        </w:rPr>
        <w:t xml:space="preserve">así como la </w:t>
      </w:r>
      <w:r w:rsidRPr="001431BD">
        <w:rPr>
          <w:rFonts w:ascii="Palatino Linotype" w:eastAsia="MS Mincho" w:hAnsi="Palatino Linotype"/>
          <w:b/>
          <w:sz w:val="24"/>
        </w:rPr>
        <w:t>Ley Federal de Protección de Datos Personales en Posesión de Particulares</w:t>
      </w:r>
      <w:r w:rsidRPr="001431BD">
        <w:rPr>
          <w:rFonts w:ascii="Palatino Linotype" w:eastAsia="MS Mincho" w:hAnsi="Palatino Linotype"/>
          <w:sz w:val="24"/>
        </w:rPr>
        <w:t>, para su adecuado resguardo.</w:t>
      </w:r>
    </w:p>
    <w:p w:rsidR="00766C07" w:rsidRPr="001431BD" w:rsidRDefault="00766C07" w:rsidP="007B5F19">
      <w:pPr>
        <w:pStyle w:val="Default"/>
        <w:spacing w:line="360" w:lineRule="auto"/>
        <w:ind w:right="850"/>
        <w:jc w:val="both"/>
        <w:rPr>
          <w:rFonts w:ascii="Palatino Linotype" w:hAnsi="Palatino Linotype"/>
          <w:i/>
          <w:sz w:val="22"/>
          <w:szCs w:val="20"/>
        </w:rPr>
      </w:pPr>
    </w:p>
    <w:p w:rsidR="00766C07" w:rsidRPr="001431BD" w:rsidRDefault="00242A0F" w:rsidP="00766C07">
      <w:pPr>
        <w:pStyle w:val="Prrafodelista"/>
        <w:numPr>
          <w:ilvl w:val="0"/>
          <w:numId w:val="9"/>
        </w:numPr>
        <w:shd w:val="clear" w:color="auto" w:fill="FFFFFF"/>
        <w:spacing w:line="360" w:lineRule="auto"/>
        <w:ind w:left="0" w:firstLine="0"/>
        <w:jc w:val="both"/>
        <w:rPr>
          <w:rFonts w:ascii="Palatino Linotype" w:hAnsi="Palatino Linotype" w:cs="Arial"/>
          <w:sz w:val="24"/>
        </w:rPr>
      </w:pPr>
      <w:r w:rsidRPr="001431BD">
        <w:rPr>
          <w:rFonts w:ascii="Palatino Linotype" w:hAnsi="Palatino Linotype" w:cs="Arial"/>
          <w:sz w:val="24"/>
        </w:rPr>
        <w:t>Así</w:t>
      </w:r>
      <w:r w:rsidR="00766C07" w:rsidRPr="001431BD">
        <w:rPr>
          <w:rFonts w:ascii="Palatino Linotype" w:hAnsi="Palatino Linotype" w:cs="Arial"/>
          <w:sz w:val="24"/>
        </w:rPr>
        <w:t xml:space="preserve">, una vez analizada la información remitida por el sujeto Obligado en respuesta, se concluye que las razones y motivos de inconformidad resultan infundados, por lo que este Órgano Garante determina </w:t>
      </w:r>
      <w:r w:rsidR="00766C07" w:rsidRPr="001431BD">
        <w:rPr>
          <w:rFonts w:ascii="Palatino Linotype" w:hAnsi="Palatino Linotype" w:cs="Arial"/>
          <w:b/>
          <w:sz w:val="24"/>
        </w:rPr>
        <w:t>CONFIRMAR</w:t>
      </w:r>
      <w:r w:rsidR="00766C07" w:rsidRPr="001431BD">
        <w:rPr>
          <w:rFonts w:ascii="Palatino Linotype" w:hAnsi="Palatino Linotype" w:cs="Arial"/>
          <w:sz w:val="24"/>
        </w:rPr>
        <w:t xml:space="preserve"> la respuesta del </w:t>
      </w:r>
      <w:r w:rsidR="00766C07" w:rsidRPr="001431BD">
        <w:rPr>
          <w:rFonts w:ascii="Palatino Linotype" w:hAnsi="Palatino Linotype" w:cs="Arial"/>
          <w:b/>
          <w:sz w:val="24"/>
        </w:rPr>
        <w:t>SUJETO OBLIGADO</w:t>
      </w:r>
      <w:r w:rsidR="00766C07" w:rsidRPr="001431BD">
        <w:rPr>
          <w:rFonts w:ascii="Palatino Linotype" w:hAnsi="Palatino Linotype" w:cs="Arial"/>
          <w:sz w:val="24"/>
        </w:rPr>
        <w:t>.</w:t>
      </w:r>
    </w:p>
    <w:p w:rsidR="00766C07" w:rsidRPr="001431BD" w:rsidRDefault="00766C07" w:rsidP="00766C07">
      <w:pPr>
        <w:spacing w:line="360" w:lineRule="auto"/>
        <w:jc w:val="both"/>
        <w:rPr>
          <w:rFonts w:ascii="Palatino Linotype" w:eastAsiaTheme="minorEastAsia" w:hAnsi="Palatino Linotype"/>
        </w:rPr>
      </w:pPr>
    </w:p>
    <w:p w:rsidR="00766C07" w:rsidRPr="001431BD" w:rsidRDefault="00766C07" w:rsidP="00766C07">
      <w:pPr>
        <w:numPr>
          <w:ilvl w:val="0"/>
          <w:numId w:val="9"/>
        </w:numPr>
        <w:spacing w:line="360" w:lineRule="auto"/>
        <w:ind w:left="0" w:firstLine="0"/>
        <w:contextualSpacing/>
        <w:jc w:val="both"/>
        <w:rPr>
          <w:rFonts w:ascii="Palatino Linotype" w:eastAsiaTheme="minorEastAsia" w:hAnsi="Palatino Linotype" w:cs="Arial"/>
          <w:lang w:val="es-ES_tradnl" w:eastAsia="es-ES"/>
        </w:rPr>
      </w:pPr>
      <w:r w:rsidRPr="001431BD">
        <w:rPr>
          <w:rFonts w:ascii="Palatino Linotype" w:eastAsiaTheme="minorEastAsia" w:hAnsi="Palatino Linotype"/>
          <w:color w:val="000000"/>
          <w:lang w:val="es-ES"/>
        </w:rPr>
        <w:t xml:space="preserve">Por lo anteriormente expuesto y fundado, este </w:t>
      </w:r>
      <w:r w:rsidRPr="001431BD">
        <w:rPr>
          <w:rFonts w:ascii="Palatino Linotype" w:eastAsiaTheme="minorEastAsia" w:hAnsi="Palatino Linotype"/>
          <w:b/>
          <w:bCs/>
          <w:color w:val="000000"/>
          <w:lang w:val="es-ES"/>
        </w:rPr>
        <w:t>ÓRGANO GARANTE</w:t>
      </w:r>
      <w:r w:rsidRPr="001431BD">
        <w:rPr>
          <w:rFonts w:ascii="Palatino Linotype" w:eastAsiaTheme="minorEastAsia" w:hAnsi="Palatino Linotype"/>
          <w:color w:val="000000"/>
          <w:lang w:val="es-ES"/>
        </w:rPr>
        <w:t xml:space="preserve"> emite los siguientes: </w:t>
      </w:r>
    </w:p>
    <w:p w:rsidR="00766C07" w:rsidRPr="001431BD" w:rsidRDefault="00766C07" w:rsidP="00766C07">
      <w:pPr>
        <w:spacing w:line="360" w:lineRule="auto"/>
        <w:contextualSpacing/>
        <w:jc w:val="both"/>
        <w:rPr>
          <w:rFonts w:ascii="Palatino Linotype" w:eastAsiaTheme="minorEastAsia" w:hAnsi="Palatino Linotype" w:cs="Arial"/>
          <w:lang w:val="es-ES_tradnl" w:eastAsia="es-ES"/>
        </w:rPr>
      </w:pPr>
    </w:p>
    <w:p w:rsidR="00766C07" w:rsidRPr="001431BD" w:rsidRDefault="00766C07" w:rsidP="00766C07">
      <w:pPr>
        <w:keepNext/>
        <w:keepLines/>
        <w:spacing w:line="360" w:lineRule="auto"/>
        <w:jc w:val="center"/>
        <w:outlineLvl w:val="0"/>
        <w:rPr>
          <w:rFonts w:ascii="Palatino Linotype" w:hAnsi="Palatino Linotype" w:cstheme="majorBidi"/>
          <w:b/>
          <w:bCs/>
          <w:lang w:val="es-ES_tradnl" w:eastAsia="es-ES"/>
        </w:rPr>
      </w:pPr>
      <w:bookmarkStart w:id="14" w:name="_Toc82006066"/>
      <w:r w:rsidRPr="001431BD">
        <w:rPr>
          <w:rFonts w:ascii="Palatino Linotype" w:hAnsi="Palatino Linotype" w:cstheme="majorBidi"/>
          <w:b/>
          <w:bCs/>
          <w:lang w:val="es-ES_tradnl" w:eastAsia="es-ES"/>
        </w:rPr>
        <w:t>R E S O L U T I V O S</w:t>
      </w:r>
      <w:bookmarkEnd w:id="14"/>
    </w:p>
    <w:p w:rsidR="00766C07" w:rsidRPr="001431BD" w:rsidRDefault="00766C07" w:rsidP="00766C07">
      <w:pPr>
        <w:shd w:val="clear" w:color="auto" w:fill="FFFFFF"/>
        <w:spacing w:line="360" w:lineRule="auto"/>
        <w:contextualSpacing/>
        <w:jc w:val="both"/>
        <w:rPr>
          <w:rFonts w:ascii="Palatino Linotype" w:eastAsiaTheme="minorEastAsia" w:hAnsi="Palatino Linotype" w:cs="Arial"/>
          <w:lang w:val="es-ES_tradnl" w:eastAsia="es-ES"/>
        </w:rPr>
      </w:pPr>
    </w:p>
    <w:p w:rsidR="00766C07" w:rsidRPr="001431BD" w:rsidRDefault="00766C07" w:rsidP="00766C07">
      <w:pPr>
        <w:spacing w:line="360" w:lineRule="auto"/>
        <w:jc w:val="both"/>
        <w:rPr>
          <w:rFonts w:ascii="Palatino Linotype" w:eastAsiaTheme="minorEastAsia" w:hAnsi="Palatino Linotype" w:cs="Arial"/>
          <w:bCs/>
          <w:lang w:val="es-ES_tradnl" w:eastAsia="es-ES"/>
        </w:rPr>
      </w:pPr>
      <w:r w:rsidRPr="001431BD">
        <w:rPr>
          <w:rFonts w:ascii="Palatino Linotype" w:hAnsi="Palatino Linotype" w:cs="Arial"/>
          <w:b/>
          <w:lang w:val="es-ES_tradnl" w:eastAsia="es-ES"/>
        </w:rPr>
        <w:t xml:space="preserve">PRIMERO. </w:t>
      </w:r>
      <w:r w:rsidRPr="001431BD">
        <w:rPr>
          <w:rFonts w:ascii="Palatino Linotype" w:hAnsi="Palatino Linotype" w:cs="Arial"/>
          <w:lang w:val="es-ES_tradnl" w:eastAsia="es-ES"/>
        </w:rPr>
        <w:t>Resultan infundadas las</w:t>
      </w:r>
      <w:r w:rsidRPr="001431BD">
        <w:rPr>
          <w:rFonts w:ascii="Palatino Linotype" w:hAnsi="Palatino Linotype" w:cs="Arial"/>
          <w:b/>
          <w:lang w:val="es-ES_tradnl" w:eastAsia="es-ES"/>
        </w:rPr>
        <w:t xml:space="preserve"> </w:t>
      </w:r>
      <w:r w:rsidRPr="001431BD">
        <w:rPr>
          <w:rFonts w:ascii="Palatino Linotype" w:hAnsi="Palatino Linotype" w:cs="Arial"/>
          <w:lang w:val="es-ES" w:eastAsia="es-ES"/>
        </w:rPr>
        <w:t xml:space="preserve">razones o motivos de inconformidad hechos valer </w:t>
      </w:r>
      <w:r w:rsidRPr="001431BD">
        <w:rPr>
          <w:rFonts w:ascii="Palatino Linotype" w:eastAsia="Calibri" w:hAnsi="Palatino Linotype" w:cs="Arial"/>
          <w:lang w:val="es-ES" w:eastAsia="es-ES"/>
        </w:rPr>
        <w:t xml:space="preserve">en el recurso de revisión </w:t>
      </w:r>
      <w:r w:rsidR="00242A0F" w:rsidRPr="001431BD">
        <w:rPr>
          <w:rFonts w:ascii="Palatino Linotype" w:eastAsiaTheme="minorEastAsia" w:hAnsi="Palatino Linotype" w:cs="Arial"/>
          <w:b/>
          <w:bCs/>
          <w:lang w:val="es-ES_tradnl" w:eastAsia="es-ES"/>
        </w:rPr>
        <w:t>03538</w:t>
      </w:r>
      <w:r w:rsidRPr="001431BD">
        <w:rPr>
          <w:rFonts w:ascii="Palatino Linotype" w:eastAsiaTheme="minorEastAsia" w:hAnsi="Palatino Linotype" w:cs="Arial"/>
          <w:b/>
          <w:bCs/>
          <w:lang w:val="es-ES_tradnl" w:eastAsia="es-ES"/>
        </w:rPr>
        <w:t xml:space="preserve">/INFOEM/IP/RR/2021, </w:t>
      </w:r>
      <w:r w:rsidRPr="001431BD">
        <w:rPr>
          <w:rFonts w:ascii="Palatino Linotype" w:eastAsiaTheme="minorEastAsia" w:hAnsi="Palatino Linotype" w:cs="Arial"/>
          <w:bCs/>
          <w:lang w:val="es-ES_tradnl" w:eastAsia="es-ES"/>
        </w:rPr>
        <w:t xml:space="preserve">en términos del </w:t>
      </w:r>
      <w:r w:rsidRPr="001431BD">
        <w:rPr>
          <w:rFonts w:ascii="Palatino Linotype" w:eastAsiaTheme="minorEastAsia" w:hAnsi="Palatino Linotype" w:cs="Arial"/>
          <w:b/>
          <w:bCs/>
          <w:lang w:val="es-ES_tradnl" w:eastAsia="es-ES"/>
        </w:rPr>
        <w:t>Considerando</w:t>
      </w:r>
      <w:r w:rsidR="00242A0F" w:rsidRPr="001431BD">
        <w:rPr>
          <w:rFonts w:ascii="Palatino Linotype" w:eastAsiaTheme="minorEastAsia" w:hAnsi="Palatino Linotype" w:cs="Arial"/>
          <w:bCs/>
          <w:lang w:val="es-ES_tradnl" w:eastAsia="es-ES"/>
        </w:rPr>
        <w:t xml:space="preserve"> </w:t>
      </w:r>
      <w:r w:rsidR="00242A0F" w:rsidRPr="001431BD">
        <w:rPr>
          <w:rFonts w:ascii="Palatino Linotype" w:eastAsiaTheme="minorEastAsia" w:hAnsi="Palatino Linotype" w:cs="Arial"/>
          <w:b/>
          <w:bCs/>
          <w:lang w:val="es-ES_tradnl" w:eastAsia="es-ES"/>
        </w:rPr>
        <w:t>CUART</w:t>
      </w:r>
      <w:r w:rsidRPr="001431BD">
        <w:rPr>
          <w:rFonts w:ascii="Palatino Linotype" w:eastAsiaTheme="minorEastAsia" w:hAnsi="Palatino Linotype" w:cs="Arial"/>
          <w:b/>
          <w:bCs/>
          <w:lang w:val="es-ES_tradnl" w:eastAsia="es-ES"/>
        </w:rPr>
        <w:t>O</w:t>
      </w:r>
      <w:r w:rsidRPr="001431BD">
        <w:rPr>
          <w:rFonts w:ascii="Palatino Linotype" w:eastAsiaTheme="minorEastAsia" w:hAnsi="Palatino Linotype" w:cs="Arial"/>
          <w:bCs/>
          <w:lang w:val="es-ES_tradnl" w:eastAsia="es-ES"/>
        </w:rPr>
        <w:t xml:space="preserve"> de la presente resolución.</w:t>
      </w:r>
    </w:p>
    <w:p w:rsidR="00766C07" w:rsidRPr="001431BD" w:rsidRDefault="00766C07" w:rsidP="00766C07">
      <w:pPr>
        <w:spacing w:line="360" w:lineRule="auto"/>
        <w:jc w:val="both"/>
        <w:rPr>
          <w:rFonts w:ascii="Palatino Linotype" w:hAnsi="Palatino Linotype"/>
          <w:lang w:val="es-ES_tradnl" w:eastAsia="es-ES"/>
        </w:rPr>
      </w:pPr>
    </w:p>
    <w:p w:rsidR="00766C07" w:rsidRPr="001431BD" w:rsidRDefault="00766C07" w:rsidP="00766C07">
      <w:pPr>
        <w:spacing w:line="360" w:lineRule="auto"/>
        <w:jc w:val="both"/>
        <w:rPr>
          <w:rFonts w:ascii="Palatino Linotype" w:eastAsia="Calibri" w:hAnsi="Palatino Linotype" w:cs="Arial"/>
          <w:sz w:val="28"/>
          <w:lang w:val="es-ES" w:eastAsia="es-ES"/>
        </w:rPr>
      </w:pPr>
      <w:r w:rsidRPr="001431BD">
        <w:rPr>
          <w:rFonts w:ascii="Palatino Linotype" w:eastAsiaTheme="minorEastAsia" w:hAnsi="Palatino Linotype"/>
          <w:b/>
          <w:lang w:val="es-ES_tradnl" w:eastAsia="es-ES"/>
        </w:rPr>
        <w:t>SEGUNDO.</w:t>
      </w:r>
      <w:r w:rsidRPr="001431BD">
        <w:rPr>
          <w:rFonts w:ascii="Palatino Linotype" w:eastAsiaTheme="majorEastAsia" w:hAnsi="Palatino Linotype" w:cstheme="majorBidi"/>
          <w:b/>
          <w:color w:val="2E74B5" w:themeColor="accent1" w:themeShade="BF"/>
          <w:sz w:val="26"/>
          <w:szCs w:val="26"/>
          <w:lang w:val="es-ES_tradnl" w:eastAsia="es-ES"/>
        </w:rPr>
        <w:t xml:space="preserve"> </w:t>
      </w:r>
      <w:r w:rsidRPr="001431BD">
        <w:rPr>
          <w:rFonts w:ascii="Palatino Linotype" w:eastAsia="Calibri" w:hAnsi="Palatino Linotype" w:cs="Arial"/>
          <w:lang w:val="es-ES" w:eastAsia="es-ES"/>
        </w:rPr>
        <w:t>Se</w:t>
      </w:r>
      <w:r w:rsidRPr="001431BD">
        <w:rPr>
          <w:rFonts w:ascii="Palatino Linotype" w:eastAsia="Calibri" w:hAnsi="Palatino Linotype" w:cs="Arial"/>
          <w:b/>
          <w:lang w:val="es-ES" w:eastAsia="es-ES"/>
        </w:rPr>
        <w:t xml:space="preserve"> CONFIRMA </w:t>
      </w:r>
      <w:r w:rsidRPr="001431BD">
        <w:rPr>
          <w:rFonts w:ascii="Palatino Linotype" w:eastAsia="Calibri" w:hAnsi="Palatino Linotype" w:cs="Arial"/>
          <w:lang w:val="es-ES" w:eastAsia="es-ES"/>
        </w:rPr>
        <w:t xml:space="preserve">la respuesta emitida por la </w:t>
      </w:r>
      <w:r w:rsidR="00242A0F" w:rsidRPr="001431BD">
        <w:rPr>
          <w:rFonts w:ascii="Palatino Linotype" w:eastAsiaTheme="minorEastAsia" w:hAnsi="Palatino Linotype" w:cs="Arial"/>
          <w:b/>
          <w:lang w:val="es-ES_tradnl" w:eastAsia="es-ES"/>
        </w:rPr>
        <w:t>Ayuntamiento de Tlalnepantla de Baz</w:t>
      </w:r>
      <w:r w:rsidRPr="001431BD">
        <w:rPr>
          <w:rFonts w:ascii="Palatino Linotype" w:eastAsia="Calibri" w:hAnsi="Palatino Linotype" w:cs="Arial"/>
          <w:lang w:val="es-ES" w:eastAsia="es-ES"/>
        </w:rPr>
        <w:t xml:space="preserve"> a la </w:t>
      </w:r>
      <w:r w:rsidR="00242A0F" w:rsidRPr="001431BD">
        <w:rPr>
          <w:rFonts w:ascii="Palatino Linotype" w:eastAsia="Calibri" w:hAnsi="Palatino Linotype" w:cs="Arial"/>
          <w:lang w:val="es-ES" w:eastAsia="es-ES"/>
        </w:rPr>
        <w:t xml:space="preserve">solicitud </w:t>
      </w:r>
      <w:r w:rsidR="00242A0F" w:rsidRPr="001431BD">
        <w:rPr>
          <w:rFonts w:ascii="Palatino Linotype" w:hAnsi="Palatino Linotype"/>
          <w:b/>
          <w:bCs/>
        </w:rPr>
        <w:t>00408/TLALNEPA/IP/2021</w:t>
      </w:r>
      <w:r w:rsidRPr="001431BD">
        <w:rPr>
          <w:rFonts w:ascii="Palatino Linotype" w:eastAsia="Calibri" w:hAnsi="Palatino Linotype" w:cs="Arial"/>
          <w:b/>
          <w:lang w:val="es-ES" w:eastAsia="es-ES"/>
        </w:rPr>
        <w:t>.</w:t>
      </w:r>
      <w:r w:rsidRPr="001431BD">
        <w:rPr>
          <w:rFonts w:ascii="Palatino Linotype" w:eastAsia="Calibri" w:hAnsi="Palatino Linotype" w:cs="Arial"/>
          <w:sz w:val="28"/>
          <w:lang w:val="es-ES" w:eastAsia="es-ES"/>
        </w:rPr>
        <w:t xml:space="preserve"> </w:t>
      </w:r>
    </w:p>
    <w:p w:rsidR="00766C07" w:rsidRPr="001431BD" w:rsidRDefault="00766C07" w:rsidP="00766C07">
      <w:pPr>
        <w:spacing w:line="360" w:lineRule="auto"/>
        <w:jc w:val="both"/>
        <w:rPr>
          <w:rFonts w:ascii="Palatino Linotype" w:eastAsia="Calibri" w:hAnsi="Palatino Linotype" w:cs="Arial"/>
          <w:lang w:val="es-ES" w:eastAsia="es-ES"/>
        </w:rPr>
      </w:pPr>
    </w:p>
    <w:p w:rsidR="00766C07" w:rsidRPr="001431BD" w:rsidRDefault="00766C07" w:rsidP="00766C0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1431BD">
        <w:rPr>
          <w:rFonts w:ascii="Palatino Linotype" w:eastAsia="Palatino Linotype" w:hAnsi="Palatino Linotype" w:cs="Palatino Linotype"/>
          <w:b/>
          <w:lang w:val="es-ES_tradnl" w:eastAsia="es-ES"/>
        </w:rPr>
        <w:t xml:space="preserve">TERCERO. REMÍTASE, </w:t>
      </w:r>
      <w:r w:rsidRPr="001431BD">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1431BD">
        <w:rPr>
          <w:rFonts w:ascii="Palatino Linotype" w:eastAsia="Palatino Linotype" w:hAnsi="Palatino Linotype" w:cs="Palatino Linotype"/>
          <w:b/>
          <w:lang w:val="es-ES_tradnl" w:eastAsia="es-ES"/>
        </w:rPr>
        <w:t>SUJETO OBLIGADO.</w:t>
      </w:r>
    </w:p>
    <w:p w:rsidR="00766C07" w:rsidRPr="001431BD" w:rsidRDefault="00766C07" w:rsidP="00766C07">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766C07" w:rsidRPr="001431BD" w:rsidRDefault="00766C07" w:rsidP="00766C07">
      <w:pPr>
        <w:shd w:val="clear" w:color="auto" w:fill="FFFFFF"/>
        <w:spacing w:line="360" w:lineRule="auto"/>
        <w:jc w:val="both"/>
        <w:rPr>
          <w:rFonts w:ascii="Palatino Linotype" w:eastAsiaTheme="minorEastAsia" w:hAnsi="Palatino Linotype"/>
          <w:lang w:val="es-ES_tradnl" w:eastAsia="es-ES"/>
        </w:rPr>
      </w:pPr>
      <w:r w:rsidRPr="001431BD">
        <w:rPr>
          <w:rFonts w:ascii="Palatino Linotype" w:hAnsi="Palatino Linotype" w:cs="Arial"/>
          <w:b/>
          <w:lang w:val="es-ES_tradnl" w:eastAsia="es-ES"/>
        </w:rPr>
        <w:lastRenderedPageBreak/>
        <w:t xml:space="preserve">CUARTO. </w:t>
      </w:r>
      <w:r w:rsidRPr="001431BD">
        <w:rPr>
          <w:rFonts w:ascii="Palatino Linotype" w:hAnsi="Palatino Linotype"/>
          <w:b/>
          <w:bCs/>
          <w:color w:val="222222"/>
          <w:lang w:val="es-ES" w:eastAsia="es-ES"/>
        </w:rPr>
        <w:t>Notifíquese al RECURRENTE</w:t>
      </w:r>
      <w:r w:rsidRPr="001431BD">
        <w:rPr>
          <w:rFonts w:ascii="Palatino Linotype" w:eastAsiaTheme="minorEastAsia" w:hAnsi="Palatino Linotype"/>
          <w:b/>
          <w:lang w:val="es-ES_tradnl" w:eastAsia="es-ES"/>
        </w:rPr>
        <w:t xml:space="preserve"> </w:t>
      </w:r>
      <w:r w:rsidR="00242A0F" w:rsidRPr="001431BD">
        <w:rPr>
          <w:rFonts w:ascii="Palatino Linotype" w:eastAsiaTheme="minorEastAsia" w:hAnsi="Palatino Linotype"/>
          <w:lang w:val="es-ES_tradnl" w:eastAsia="es-ES"/>
        </w:rPr>
        <w:t>la presente resolución.</w:t>
      </w:r>
    </w:p>
    <w:p w:rsidR="00242A0F" w:rsidRPr="001431BD" w:rsidRDefault="00242A0F" w:rsidP="00766C07">
      <w:pPr>
        <w:shd w:val="clear" w:color="auto" w:fill="FFFFFF"/>
        <w:spacing w:line="360" w:lineRule="auto"/>
        <w:jc w:val="both"/>
        <w:rPr>
          <w:rFonts w:ascii="Palatino Linotype" w:eastAsiaTheme="minorEastAsia" w:hAnsi="Palatino Linotype"/>
          <w:lang w:val="es-ES_tradnl" w:eastAsia="es-ES"/>
        </w:rPr>
      </w:pPr>
    </w:p>
    <w:p w:rsidR="00242A0F" w:rsidRPr="001431BD" w:rsidRDefault="00766C07" w:rsidP="00242A0F">
      <w:pPr>
        <w:spacing w:line="360" w:lineRule="auto"/>
        <w:jc w:val="both"/>
        <w:rPr>
          <w:rFonts w:ascii="Palatino Linotype" w:eastAsia="MS Mincho" w:hAnsi="Palatino Linotype"/>
          <w:lang w:val="es-ES" w:eastAsia="es-ES"/>
        </w:rPr>
      </w:pPr>
      <w:r w:rsidRPr="001431BD">
        <w:rPr>
          <w:rFonts w:ascii="Palatino Linotype" w:eastAsia="MS Mincho" w:hAnsi="Palatino Linotype"/>
          <w:b/>
          <w:lang w:eastAsia="es-ES"/>
        </w:rPr>
        <w:t>QUINTO.</w:t>
      </w:r>
      <w:r w:rsidRPr="001431BD">
        <w:rPr>
          <w:rFonts w:ascii="Palatino Linotype" w:eastAsia="MS Mincho" w:hAnsi="Palatino Linotype"/>
          <w:lang w:eastAsia="es-ES"/>
        </w:rPr>
        <w:t xml:space="preserve"> </w:t>
      </w:r>
      <w:r w:rsidRPr="001431BD">
        <w:rPr>
          <w:rFonts w:ascii="Palatino Linotype" w:eastAsia="MS Mincho" w:hAnsi="Palatino Linotype"/>
          <w:lang w:val="es-ES" w:eastAsia="es-ES"/>
        </w:rPr>
        <w:t xml:space="preserve">Se hace del conocimiento del </w:t>
      </w:r>
      <w:r w:rsidRPr="001431BD">
        <w:rPr>
          <w:rFonts w:ascii="Palatino Linotype" w:hAnsi="Palatino Linotype"/>
          <w:b/>
          <w:bCs/>
          <w:color w:val="222222"/>
          <w:lang w:val="es-ES" w:eastAsia="es-ES"/>
        </w:rPr>
        <w:t>RECURRENTE</w:t>
      </w:r>
      <w:r w:rsidRPr="001431BD">
        <w:rPr>
          <w:rFonts w:ascii="Palatino Linotype" w:eastAsiaTheme="minorEastAsia" w:hAnsi="Palatino Linotype"/>
          <w:b/>
          <w:lang w:val="es-ES_tradnl" w:eastAsia="es-ES"/>
        </w:rPr>
        <w:t xml:space="preserve"> </w:t>
      </w:r>
      <w:r w:rsidRPr="001431BD">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431BD">
        <w:rPr>
          <w:rFonts w:ascii="Palatino Linotype" w:eastAsia="MS Mincho" w:hAnsi="Palatino Linotype"/>
          <w:bCs/>
          <w:lang w:val="es-ES" w:eastAsia="es-ES"/>
        </w:rPr>
        <w:t>vía juicio de amparo</w:t>
      </w:r>
      <w:r w:rsidRPr="001431BD">
        <w:rPr>
          <w:rFonts w:ascii="Palatino Linotype" w:eastAsia="MS Mincho" w:hAnsi="Palatino Linotype"/>
          <w:lang w:val="es-ES" w:eastAsia="es-ES"/>
        </w:rPr>
        <w:t> en los términos de las leyes aplicables.</w:t>
      </w:r>
    </w:p>
    <w:p w:rsidR="00242A0F" w:rsidRPr="001431BD" w:rsidRDefault="00242A0F" w:rsidP="00242A0F">
      <w:pPr>
        <w:spacing w:line="360" w:lineRule="auto"/>
        <w:jc w:val="both"/>
        <w:rPr>
          <w:rFonts w:ascii="Palatino Linotype" w:eastAsia="MS Mincho" w:hAnsi="Palatino Linotype"/>
          <w:lang w:val="es-ES" w:eastAsia="es-ES"/>
        </w:rPr>
      </w:pPr>
    </w:p>
    <w:p w:rsidR="00242A0F" w:rsidRPr="001431BD" w:rsidRDefault="00242A0F" w:rsidP="00242A0F">
      <w:pPr>
        <w:spacing w:line="360" w:lineRule="auto"/>
        <w:jc w:val="both"/>
        <w:rPr>
          <w:rFonts w:ascii="Palatino Linotype" w:eastAsia="MS Mincho" w:hAnsi="Palatino Linotype"/>
          <w:lang w:val="es-ES" w:eastAsia="es-ES"/>
        </w:rPr>
      </w:pPr>
      <w:r w:rsidRPr="001431BD">
        <w:rPr>
          <w:rFonts w:ascii="Palatino Linotype" w:eastAsia="MS Mincho" w:hAnsi="Palatino Linotype"/>
          <w:b/>
          <w:lang w:val="es-ES" w:eastAsia="es-ES"/>
        </w:rPr>
        <w:t>SEXTO.</w:t>
      </w:r>
      <w:r w:rsidRPr="001431BD">
        <w:rPr>
          <w:rFonts w:ascii="Palatino Linotype" w:eastAsia="MS Mincho" w:hAnsi="Palatino Linotype"/>
          <w:lang w:val="es-ES" w:eastAsia="es-ES"/>
        </w:rPr>
        <w:t xml:space="preserve"> </w:t>
      </w:r>
      <w:r w:rsidRPr="001431BD">
        <w:rPr>
          <w:rFonts w:ascii="Palatino Linotype" w:hAnsi="Palatino Linotype"/>
          <w:b/>
          <w:color w:val="222222"/>
          <w:szCs w:val="17"/>
          <w:lang w:eastAsia="es-ES_tradnl"/>
        </w:rPr>
        <w:t xml:space="preserve">Gírese oficio </w:t>
      </w:r>
      <w:r w:rsidRPr="001431BD">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526A89" w:rsidRPr="001431BD">
        <w:rPr>
          <w:rFonts w:ascii="Palatino Linotype" w:hAnsi="Palatino Linotype"/>
          <w:b/>
          <w:color w:val="222222"/>
          <w:szCs w:val="17"/>
          <w:lang w:eastAsia="es-ES_tradnl"/>
        </w:rPr>
        <w:t>CUARTO</w:t>
      </w:r>
      <w:r w:rsidRPr="001431BD">
        <w:rPr>
          <w:rFonts w:ascii="Palatino Linotype" w:hAnsi="Palatino Linotype"/>
          <w:color w:val="222222"/>
          <w:szCs w:val="17"/>
          <w:lang w:eastAsia="es-ES_tradnl"/>
        </w:rPr>
        <w:t xml:space="preserve"> de la presente resolución.</w:t>
      </w:r>
    </w:p>
    <w:p w:rsidR="00242A0F" w:rsidRPr="001431BD" w:rsidRDefault="00242A0F" w:rsidP="00766C07">
      <w:pPr>
        <w:spacing w:line="360" w:lineRule="auto"/>
        <w:jc w:val="both"/>
        <w:rPr>
          <w:rFonts w:ascii="Palatino Linotype" w:eastAsia="MS Mincho" w:hAnsi="Palatino Linotype"/>
          <w:lang w:val="es-ES" w:eastAsia="es-ES"/>
        </w:rPr>
      </w:pPr>
    </w:p>
    <w:p w:rsidR="00766C07" w:rsidRPr="001431BD" w:rsidRDefault="00766C07" w:rsidP="00766C07">
      <w:pPr>
        <w:shd w:val="clear" w:color="auto" w:fill="FFFFFF"/>
        <w:spacing w:line="360" w:lineRule="auto"/>
        <w:contextualSpacing/>
        <w:jc w:val="both"/>
        <w:rPr>
          <w:rFonts w:ascii="Palatino Linotype" w:eastAsiaTheme="minorEastAsia" w:hAnsi="Palatino Linotype" w:cs="Arial"/>
          <w:lang w:val="es-ES_tradnl" w:eastAsia="es-ES"/>
        </w:rPr>
      </w:pPr>
    </w:p>
    <w:bookmarkEnd w:id="11"/>
    <w:bookmarkEnd w:id="12"/>
    <w:bookmarkEnd w:id="13"/>
    <w:p w:rsidR="001431BD" w:rsidRPr="004E33B5" w:rsidRDefault="001431BD" w:rsidP="001431BD">
      <w:pPr>
        <w:spacing w:line="360" w:lineRule="auto"/>
        <w:ind w:right="48"/>
        <w:jc w:val="both"/>
        <w:rPr>
          <w:rFonts w:ascii="Palatino Linotype" w:hAnsi="Palatino Linotype"/>
        </w:rPr>
      </w:pPr>
      <w:r w:rsidRPr="00FA653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060137">
        <w:rPr>
          <w:rFonts w:ascii="Palatino Linotype" w:hAnsi="Palatino Linotype"/>
        </w:rPr>
        <w:t xml:space="preserve">SEGUNDA </w:t>
      </w:r>
      <w:r w:rsidRPr="00FA6533">
        <w:rPr>
          <w:rFonts w:ascii="Palatino Linotype" w:hAnsi="Palatino Linotype"/>
        </w:rPr>
        <w:t>SESIÓ</w:t>
      </w:r>
      <w:r>
        <w:rPr>
          <w:rFonts w:ascii="Palatino Linotype" w:hAnsi="Palatino Linotype"/>
        </w:rPr>
        <w:t xml:space="preserve">N ORDINARIA CELEBRADA EL </w:t>
      </w:r>
      <w:r w:rsidR="00D0547C">
        <w:rPr>
          <w:rFonts w:ascii="Palatino Linotype" w:hAnsi="Palatino Linotype"/>
        </w:rPr>
        <w:t>DÍA QUINCE</w:t>
      </w:r>
      <w:r w:rsidR="00D0547C" w:rsidRPr="00FA6533">
        <w:rPr>
          <w:rFonts w:ascii="Palatino Linotype" w:hAnsi="Palatino Linotype"/>
        </w:rPr>
        <w:t xml:space="preserve"> DE </w:t>
      </w:r>
      <w:r w:rsidRPr="00FA6533">
        <w:rPr>
          <w:rFonts w:ascii="Palatino Linotype" w:hAnsi="Palatino Linotype"/>
        </w:rPr>
        <w:t>SEPTIEMBRE   DE DOS MIL VEINTIUNO, ANTE EL SECRETARIO TÉCNICO DEL PLENO, ALEXIS TAPIA RAMÍREZ.</w:t>
      </w:r>
      <w:r w:rsidRPr="004E33B5">
        <w:rPr>
          <w:rFonts w:ascii="Palatino Linotype" w:hAnsi="Palatino Linotype"/>
        </w:rPr>
        <w:t xml:space="preserve"> </w:t>
      </w:r>
    </w:p>
    <w:p w:rsidR="001431BD" w:rsidRDefault="001431BD" w:rsidP="001431BD">
      <w:pPr>
        <w:ind w:right="48"/>
      </w:pPr>
    </w:p>
    <w:p w:rsidR="00766C07" w:rsidRDefault="00766C07" w:rsidP="00766C07">
      <w:pPr>
        <w:spacing w:line="360" w:lineRule="auto"/>
        <w:ind w:right="49"/>
        <w:jc w:val="both"/>
        <w:rPr>
          <w:rFonts w:ascii="Palatino Linotype" w:eastAsiaTheme="minorEastAsia" w:hAnsi="Palatino Linotype" w:cs="Arial"/>
          <w:lang w:val="es-ES_tradnl" w:eastAsia="es-ES"/>
        </w:rPr>
      </w:pPr>
    </w:p>
    <w:p w:rsidR="001431BD" w:rsidRDefault="001431BD" w:rsidP="00766C07">
      <w:pPr>
        <w:spacing w:line="360" w:lineRule="auto"/>
        <w:ind w:right="49"/>
        <w:jc w:val="both"/>
        <w:rPr>
          <w:rFonts w:ascii="Palatino Linotype" w:eastAsiaTheme="minorEastAsia" w:hAnsi="Palatino Linotype" w:cs="Arial"/>
          <w:lang w:val="es-ES_tradnl" w:eastAsia="es-ES"/>
        </w:rPr>
      </w:pPr>
    </w:p>
    <w:p w:rsidR="001431BD" w:rsidRDefault="001431BD" w:rsidP="00766C07">
      <w:pPr>
        <w:spacing w:line="360" w:lineRule="auto"/>
        <w:ind w:right="49"/>
        <w:jc w:val="both"/>
        <w:rPr>
          <w:rFonts w:ascii="Palatino Linotype" w:eastAsiaTheme="minorEastAsia" w:hAnsi="Palatino Linotype" w:cs="Arial"/>
          <w:lang w:val="es-ES_tradnl" w:eastAsia="es-ES"/>
        </w:rPr>
      </w:pPr>
    </w:p>
    <w:p w:rsidR="001431BD" w:rsidRDefault="001431BD" w:rsidP="00766C07">
      <w:pPr>
        <w:spacing w:line="360" w:lineRule="auto"/>
        <w:ind w:right="49"/>
        <w:jc w:val="both"/>
        <w:rPr>
          <w:rFonts w:ascii="Palatino Linotype" w:eastAsiaTheme="minorEastAsia" w:hAnsi="Palatino Linotype" w:cs="Arial"/>
          <w:lang w:val="es-ES_tradnl" w:eastAsia="es-ES"/>
        </w:rPr>
      </w:pPr>
    </w:p>
    <w:p w:rsidR="001431BD" w:rsidRDefault="001431BD" w:rsidP="00766C07">
      <w:pPr>
        <w:spacing w:line="360" w:lineRule="auto"/>
        <w:ind w:right="49"/>
        <w:jc w:val="both"/>
        <w:rPr>
          <w:rFonts w:ascii="Palatino Linotype" w:eastAsiaTheme="minorEastAsia" w:hAnsi="Palatino Linotype" w:cs="Arial"/>
          <w:lang w:val="es-ES_tradnl" w:eastAsia="es-ES"/>
        </w:rPr>
      </w:pPr>
    </w:p>
    <w:p w:rsidR="001431BD" w:rsidRDefault="001431BD" w:rsidP="00766C07">
      <w:pPr>
        <w:spacing w:line="360" w:lineRule="auto"/>
        <w:ind w:right="49"/>
        <w:jc w:val="both"/>
        <w:rPr>
          <w:rFonts w:ascii="Palatino Linotype" w:eastAsiaTheme="minorEastAsia" w:hAnsi="Palatino Linotype" w:cs="Arial"/>
          <w:lang w:val="es-ES_tradnl" w:eastAsia="es-ES"/>
        </w:rPr>
      </w:pPr>
    </w:p>
    <w:p w:rsidR="001431BD" w:rsidRDefault="001431BD" w:rsidP="00766C07">
      <w:pPr>
        <w:spacing w:line="360" w:lineRule="auto"/>
        <w:ind w:right="49"/>
        <w:jc w:val="both"/>
        <w:rPr>
          <w:rFonts w:ascii="Palatino Linotype" w:eastAsiaTheme="minorEastAsia" w:hAnsi="Palatino Linotype" w:cs="Arial"/>
          <w:lang w:val="es-ES_tradnl" w:eastAsia="es-ES"/>
        </w:rPr>
      </w:pPr>
    </w:p>
    <w:p w:rsidR="001431BD" w:rsidRDefault="001431BD" w:rsidP="00766C07">
      <w:pPr>
        <w:spacing w:line="360" w:lineRule="auto"/>
        <w:ind w:right="49"/>
        <w:jc w:val="both"/>
        <w:rPr>
          <w:rFonts w:ascii="Palatino Linotype" w:eastAsiaTheme="minorEastAsia" w:hAnsi="Palatino Linotype" w:cs="Arial"/>
          <w:lang w:val="es-ES_tradnl" w:eastAsia="es-ES"/>
        </w:rPr>
      </w:pPr>
    </w:p>
    <w:p w:rsidR="001431BD" w:rsidRDefault="001431BD" w:rsidP="00766C07">
      <w:pPr>
        <w:spacing w:line="360" w:lineRule="auto"/>
        <w:ind w:right="49"/>
        <w:jc w:val="both"/>
        <w:rPr>
          <w:rFonts w:ascii="Palatino Linotype" w:eastAsiaTheme="minorEastAsia" w:hAnsi="Palatino Linotype" w:cs="Arial"/>
          <w:lang w:val="es-ES_tradnl" w:eastAsia="es-ES"/>
        </w:rPr>
      </w:pPr>
    </w:p>
    <w:p w:rsidR="001431BD" w:rsidRDefault="001431BD" w:rsidP="00766C07">
      <w:pPr>
        <w:spacing w:line="360" w:lineRule="auto"/>
        <w:ind w:right="49"/>
        <w:jc w:val="both"/>
        <w:rPr>
          <w:rFonts w:ascii="Palatino Linotype" w:eastAsiaTheme="minorEastAsia" w:hAnsi="Palatino Linotype" w:cs="Arial"/>
          <w:lang w:val="es-ES_tradnl" w:eastAsia="es-ES"/>
        </w:rPr>
      </w:pPr>
    </w:p>
    <w:p w:rsidR="001431BD" w:rsidRDefault="001431BD" w:rsidP="00766C07">
      <w:pPr>
        <w:spacing w:line="360" w:lineRule="auto"/>
        <w:ind w:right="49"/>
        <w:jc w:val="both"/>
        <w:rPr>
          <w:rFonts w:ascii="Palatino Linotype" w:eastAsiaTheme="minorEastAsia" w:hAnsi="Palatino Linotype" w:cs="Arial"/>
          <w:lang w:val="es-ES_tradnl" w:eastAsia="es-ES"/>
        </w:rPr>
      </w:pPr>
    </w:p>
    <w:p w:rsidR="001431BD" w:rsidRPr="001431BD" w:rsidRDefault="001431BD" w:rsidP="00766C07">
      <w:pPr>
        <w:spacing w:line="360" w:lineRule="auto"/>
        <w:ind w:right="49"/>
        <w:jc w:val="both"/>
        <w:rPr>
          <w:rFonts w:ascii="Palatino Linotype" w:eastAsiaTheme="minorEastAsia" w:hAnsi="Palatino Linotype" w:cs="Arial"/>
          <w:lang w:val="es-ES_tradnl" w:eastAsia="es-ES"/>
        </w:rPr>
      </w:pPr>
    </w:p>
    <w:p w:rsidR="00766C07" w:rsidRPr="001431BD" w:rsidRDefault="00766C07" w:rsidP="00766C07">
      <w:pPr>
        <w:spacing w:line="360" w:lineRule="auto"/>
        <w:ind w:right="49"/>
        <w:jc w:val="both"/>
        <w:rPr>
          <w:rFonts w:ascii="Palatino Linotype" w:eastAsiaTheme="minorEastAsia" w:hAnsi="Palatino Linotype" w:cs="Arial"/>
          <w:lang w:val="es-ES_tradnl" w:eastAsia="es-ES"/>
        </w:rPr>
      </w:pPr>
    </w:p>
    <w:p w:rsidR="00766C07" w:rsidRPr="008A1B86" w:rsidRDefault="00766C07" w:rsidP="00766C07">
      <w:pPr>
        <w:spacing w:line="360" w:lineRule="auto"/>
        <w:rPr>
          <w:rFonts w:ascii="Palatino Linotype" w:hAnsi="Palatino Linotype"/>
        </w:rPr>
      </w:pPr>
    </w:p>
    <w:p w:rsidR="00766C07" w:rsidRDefault="00766C07" w:rsidP="00766C07"/>
    <w:p w:rsidR="00766C07" w:rsidRDefault="00766C07" w:rsidP="00766C07"/>
    <w:p w:rsidR="00766C07" w:rsidRDefault="00766C07" w:rsidP="00766C07"/>
    <w:p w:rsidR="00766C07" w:rsidRDefault="00766C07" w:rsidP="00766C07"/>
    <w:p w:rsidR="000372B4" w:rsidRPr="00766C07" w:rsidRDefault="000372B4" w:rsidP="00766C07"/>
    <w:sectPr w:rsidR="000372B4" w:rsidRPr="00766C07" w:rsidSect="00551123">
      <w:headerReference w:type="even" r:id="rId20"/>
      <w:headerReference w:type="default" r:id="rId21"/>
      <w:footerReference w:type="default" r:id="rId22"/>
      <w:headerReference w:type="first" r:id="rId23"/>
      <w:footerReference w:type="first" r:id="rId2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6B5" w:rsidRDefault="00D456B5" w:rsidP="00582A93">
      <w:r>
        <w:separator/>
      </w:r>
    </w:p>
  </w:endnote>
  <w:endnote w:type="continuationSeparator" w:id="0">
    <w:p w:rsidR="00D456B5" w:rsidRDefault="00D456B5" w:rsidP="0058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23" w:rsidRDefault="000C0EC6">
    <w:pPr>
      <w:pStyle w:val="Piedepgina"/>
      <w:jc w:val="right"/>
    </w:pPr>
    <w:r>
      <w:rPr>
        <w:lang w:val="es-ES"/>
      </w:rPr>
      <w:t xml:space="preserve">Página </w:t>
    </w:r>
    <w:r>
      <w:rPr>
        <w:b/>
        <w:bCs/>
      </w:rPr>
      <w:fldChar w:fldCharType="begin"/>
    </w:r>
    <w:r>
      <w:rPr>
        <w:b/>
        <w:bCs/>
      </w:rPr>
      <w:instrText>PAGE</w:instrText>
    </w:r>
    <w:r>
      <w:rPr>
        <w:b/>
        <w:bCs/>
      </w:rPr>
      <w:fldChar w:fldCharType="separate"/>
    </w:r>
    <w:r w:rsidR="0031050C">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050C">
      <w:rPr>
        <w:b/>
        <w:bCs/>
        <w:noProof/>
      </w:rPr>
      <w:t>23</w:t>
    </w:r>
    <w:r>
      <w:rPr>
        <w:b/>
        <w:bCs/>
      </w:rPr>
      <w:fldChar w:fldCharType="end"/>
    </w:r>
  </w:p>
  <w:p w:rsidR="00551123" w:rsidRDefault="00D456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23" w:rsidRDefault="000C0EC6">
    <w:pPr>
      <w:pStyle w:val="Piedepgina"/>
      <w:jc w:val="right"/>
    </w:pPr>
    <w:r>
      <w:rPr>
        <w:lang w:val="es-ES"/>
      </w:rPr>
      <w:t xml:space="preserve">Página </w:t>
    </w:r>
    <w:r>
      <w:rPr>
        <w:b/>
        <w:bCs/>
      </w:rPr>
      <w:fldChar w:fldCharType="begin"/>
    </w:r>
    <w:r>
      <w:rPr>
        <w:b/>
        <w:bCs/>
      </w:rPr>
      <w:instrText>PAGE</w:instrText>
    </w:r>
    <w:r>
      <w:rPr>
        <w:b/>
        <w:bCs/>
      </w:rPr>
      <w:fldChar w:fldCharType="separate"/>
    </w:r>
    <w:r w:rsidR="0031050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050C">
      <w:rPr>
        <w:b/>
        <w:bCs/>
        <w:noProof/>
      </w:rPr>
      <w:t>23</w:t>
    </w:r>
    <w:r>
      <w:rPr>
        <w:b/>
        <w:bCs/>
      </w:rPr>
      <w:fldChar w:fldCharType="end"/>
    </w:r>
  </w:p>
  <w:p w:rsidR="00551123" w:rsidRDefault="00D456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6B5" w:rsidRDefault="00D456B5" w:rsidP="00582A93">
      <w:r>
        <w:separator/>
      </w:r>
    </w:p>
  </w:footnote>
  <w:footnote w:type="continuationSeparator" w:id="0">
    <w:p w:rsidR="00D456B5" w:rsidRDefault="00D456B5" w:rsidP="00582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23" w:rsidRDefault="00D456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551123" w:rsidRPr="005C106F" w:rsidTr="00551123">
      <w:trPr>
        <w:trHeight w:val="1435"/>
      </w:trPr>
      <w:tc>
        <w:tcPr>
          <w:tcW w:w="2268" w:type="dxa"/>
          <w:shd w:val="clear" w:color="auto" w:fill="auto"/>
        </w:tcPr>
        <w:p w:rsidR="00551123" w:rsidRPr="005C106F" w:rsidRDefault="00D456B5" w:rsidP="00551123">
          <w:pPr>
            <w:tabs>
              <w:tab w:val="right" w:pos="4273"/>
            </w:tabs>
            <w:rPr>
              <w:rFonts w:ascii="Garamond" w:eastAsia="Calibri" w:hAnsi="Garamond"/>
              <w:sz w:val="16"/>
              <w:szCs w:val="16"/>
              <w:lang w:eastAsia="en-US"/>
            </w:rPr>
          </w:pPr>
        </w:p>
      </w:tc>
      <w:tc>
        <w:tcPr>
          <w:tcW w:w="6946" w:type="dxa"/>
          <w:shd w:val="clear" w:color="auto" w:fill="auto"/>
        </w:tcPr>
        <w:p w:rsidR="00551123" w:rsidRDefault="00D456B5" w:rsidP="00551123"/>
        <w:tbl>
          <w:tblPr>
            <w:tblW w:w="6662" w:type="dxa"/>
            <w:tblInd w:w="40" w:type="dxa"/>
            <w:tblLayout w:type="fixed"/>
            <w:tblLook w:val="0420" w:firstRow="1" w:lastRow="0" w:firstColumn="0" w:lastColumn="0" w:noHBand="0" w:noVBand="1"/>
          </w:tblPr>
          <w:tblGrid>
            <w:gridCol w:w="2551"/>
            <w:gridCol w:w="4111"/>
          </w:tblGrid>
          <w:tr w:rsidR="00551123" w:rsidTr="00551123">
            <w:trPr>
              <w:trHeight w:val="150"/>
            </w:trPr>
            <w:tc>
              <w:tcPr>
                <w:tcW w:w="2551" w:type="dxa"/>
                <w:shd w:val="clear" w:color="auto" w:fill="auto"/>
              </w:tcPr>
              <w:p w:rsidR="00551123" w:rsidRPr="00020E73" w:rsidRDefault="000C0EC6" w:rsidP="005511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551123" w:rsidRPr="00020E73" w:rsidRDefault="00766C07" w:rsidP="0055112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03538</w:t>
                </w:r>
                <w:r w:rsidR="000C0EC6" w:rsidRPr="009E7B0A">
                  <w:rPr>
                    <w:rFonts w:ascii="Palatino Linotype" w:eastAsia="Calibri" w:hAnsi="Palatino Linotype" w:cs="Tahoma"/>
                    <w:bCs/>
                    <w:sz w:val="22"/>
                    <w:szCs w:val="22"/>
                    <w:lang w:eastAsia="en-US"/>
                  </w:rPr>
                  <w:t>/INFOEM/IP/RR/2021</w:t>
                </w:r>
                <w:r w:rsidR="000C0EC6" w:rsidRPr="009E7B0A">
                  <w:rPr>
                    <w:rFonts w:ascii="Palatino Linotype" w:eastAsia="Calibri" w:hAnsi="Palatino Linotype" w:cs="Tahoma"/>
                    <w:b/>
                    <w:bCs/>
                    <w:sz w:val="22"/>
                    <w:szCs w:val="22"/>
                    <w:lang w:eastAsia="en-US"/>
                  </w:rPr>
                  <w:t xml:space="preserve"> </w:t>
                </w:r>
              </w:p>
            </w:tc>
          </w:tr>
          <w:tr w:rsidR="00551123" w:rsidTr="00551123">
            <w:trPr>
              <w:trHeight w:val="295"/>
            </w:trPr>
            <w:tc>
              <w:tcPr>
                <w:tcW w:w="2551" w:type="dxa"/>
                <w:shd w:val="clear" w:color="auto" w:fill="auto"/>
              </w:tcPr>
              <w:p w:rsidR="00551123" w:rsidRPr="00020E73" w:rsidRDefault="000C0EC6" w:rsidP="005511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551123" w:rsidRPr="00020E73" w:rsidRDefault="00766C07" w:rsidP="00551123">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Tlalnepantla de Baz</w:t>
                </w:r>
              </w:p>
            </w:tc>
          </w:tr>
          <w:tr w:rsidR="00551123" w:rsidTr="00551123">
            <w:trPr>
              <w:trHeight w:val="295"/>
            </w:trPr>
            <w:tc>
              <w:tcPr>
                <w:tcW w:w="2551" w:type="dxa"/>
                <w:shd w:val="clear" w:color="auto" w:fill="auto"/>
              </w:tcPr>
              <w:p w:rsidR="00551123" w:rsidRPr="00020E73" w:rsidRDefault="00582A93" w:rsidP="0055112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000C0EC6" w:rsidRPr="00020E73">
                  <w:rPr>
                    <w:rFonts w:ascii="Palatino Linotype" w:eastAsia="Calibri" w:hAnsi="Palatino Linotype" w:cs="Tahoma"/>
                    <w:b/>
                    <w:sz w:val="22"/>
                    <w:szCs w:val="22"/>
                    <w:lang w:val="es-ES" w:eastAsia="en-US"/>
                  </w:rPr>
                  <w:t>:</w:t>
                </w:r>
              </w:p>
            </w:tc>
            <w:tc>
              <w:tcPr>
                <w:tcW w:w="4111" w:type="dxa"/>
                <w:shd w:val="clear" w:color="auto" w:fill="auto"/>
              </w:tcPr>
              <w:p w:rsidR="00551123" w:rsidRPr="00020E73" w:rsidRDefault="00766C07" w:rsidP="00551123">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551123" w:rsidRPr="00020E73" w:rsidRDefault="00D456B5" w:rsidP="00551123">
                <w:pPr>
                  <w:tabs>
                    <w:tab w:val="right" w:pos="8838"/>
                  </w:tabs>
                  <w:ind w:left="-108" w:right="171"/>
                  <w:jc w:val="both"/>
                  <w:rPr>
                    <w:rFonts w:ascii="Palatino Linotype" w:eastAsia="Calibri" w:hAnsi="Palatino Linotype" w:cs="Tahoma"/>
                    <w:b/>
                    <w:sz w:val="22"/>
                    <w:szCs w:val="22"/>
                    <w:lang w:val="es-ES" w:eastAsia="en-US"/>
                  </w:rPr>
                </w:pPr>
              </w:p>
            </w:tc>
          </w:tr>
        </w:tbl>
        <w:p w:rsidR="00551123" w:rsidRPr="005C106F" w:rsidRDefault="00D456B5" w:rsidP="00551123">
          <w:pPr>
            <w:tabs>
              <w:tab w:val="right" w:pos="8838"/>
            </w:tabs>
            <w:ind w:left="-28"/>
            <w:jc w:val="both"/>
            <w:rPr>
              <w:rFonts w:ascii="Arial" w:eastAsia="Calibri" w:hAnsi="Arial" w:cs="Arial"/>
              <w:b/>
              <w:sz w:val="22"/>
              <w:szCs w:val="22"/>
              <w:lang w:eastAsia="en-US"/>
            </w:rPr>
          </w:pPr>
        </w:p>
      </w:tc>
    </w:tr>
  </w:tbl>
  <w:p w:rsidR="00551123" w:rsidRPr="00443C6B" w:rsidRDefault="00D456B5" w:rsidP="0055112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551123" w:rsidRPr="00330DA7" w:rsidTr="00551123">
      <w:trPr>
        <w:trHeight w:val="1435"/>
      </w:trPr>
      <w:tc>
        <w:tcPr>
          <w:tcW w:w="2268" w:type="dxa"/>
          <w:shd w:val="clear" w:color="auto" w:fill="auto"/>
        </w:tcPr>
        <w:p w:rsidR="00551123" w:rsidRPr="00330DA7" w:rsidRDefault="00D456B5" w:rsidP="0055112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551123" w:rsidRPr="00330DA7" w:rsidTr="00551123">
            <w:trPr>
              <w:trHeight w:val="144"/>
            </w:trPr>
            <w:tc>
              <w:tcPr>
                <w:tcW w:w="2444" w:type="dxa"/>
                <w:shd w:val="clear" w:color="auto" w:fill="auto"/>
              </w:tcPr>
              <w:p w:rsidR="00551123" w:rsidRPr="00020E73" w:rsidRDefault="000C0EC6" w:rsidP="0055112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551123" w:rsidRPr="00020E73" w:rsidRDefault="00766C07" w:rsidP="0055112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03538</w:t>
                </w:r>
                <w:r w:rsidR="000C0EC6" w:rsidRPr="009E7B0A">
                  <w:rPr>
                    <w:rFonts w:ascii="Palatino Linotype" w:eastAsia="Calibri" w:hAnsi="Palatino Linotype" w:cs="Tahoma"/>
                    <w:sz w:val="22"/>
                    <w:szCs w:val="22"/>
                    <w:lang w:eastAsia="en-US"/>
                  </w:rPr>
                  <w:t>/INFOEM/IP/RR/2021</w:t>
                </w:r>
                <w:r w:rsidR="000C0EC6">
                  <w:rPr>
                    <w:rFonts w:ascii="Palatino Linotype" w:eastAsia="Calibri" w:hAnsi="Palatino Linotype" w:cs="Tahoma"/>
                    <w:b/>
                    <w:bCs/>
                    <w:sz w:val="22"/>
                    <w:szCs w:val="22"/>
                    <w:lang w:eastAsia="en-US"/>
                  </w:rPr>
                  <w:t xml:space="preserve"> </w:t>
                </w:r>
              </w:p>
            </w:tc>
          </w:tr>
          <w:tr w:rsidR="00551123" w:rsidRPr="00330DA7" w:rsidTr="00551123">
            <w:trPr>
              <w:trHeight w:val="144"/>
            </w:trPr>
            <w:tc>
              <w:tcPr>
                <w:tcW w:w="2444" w:type="dxa"/>
                <w:shd w:val="clear" w:color="auto" w:fill="auto"/>
              </w:tcPr>
              <w:p w:rsidR="00551123" w:rsidRPr="00020E73" w:rsidRDefault="000C0EC6" w:rsidP="005511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551123" w:rsidRPr="00020E73" w:rsidRDefault="0031050C" w:rsidP="00551123">
                <w:pPr>
                  <w:tabs>
                    <w:tab w:val="left" w:pos="3122"/>
                    <w:tab w:val="right" w:pos="8838"/>
                  </w:tabs>
                  <w:ind w:left="-74" w:right="-105"/>
                  <w:jc w:val="both"/>
                  <w:rPr>
                    <w:rFonts w:ascii="Palatino Linotype" w:eastAsia="Calibri" w:hAnsi="Palatino Linotype" w:cs="Tahoma"/>
                    <w:sz w:val="22"/>
                    <w:szCs w:val="22"/>
                    <w:lang w:val="es-ES" w:eastAsia="en-US"/>
                  </w:rPr>
                </w:pPr>
                <w:r w:rsidRPr="0031050C">
                  <w:rPr>
                    <w:rFonts w:ascii="Palatino Linotype" w:eastAsia="Calibri" w:hAnsi="Palatino Linotype" w:cs="Tahoma"/>
                    <w:sz w:val="22"/>
                    <w:szCs w:val="22"/>
                    <w:highlight w:val="black"/>
                    <w:lang w:val="es-ES" w:eastAsia="en-US"/>
                  </w:rPr>
                  <w:t>XXXXXXXXXXXXXXX</w:t>
                </w:r>
              </w:p>
            </w:tc>
          </w:tr>
          <w:tr w:rsidR="00551123" w:rsidRPr="00330DA7" w:rsidTr="00551123">
            <w:trPr>
              <w:trHeight w:val="283"/>
            </w:trPr>
            <w:tc>
              <w:tcPr>
                <w:tcW w:w="2444" w:type="dxa"/>
                <w:shd w:val="clear" w:color="auto" w:fill="auto"/>
              </w:tcPr>
              <w:p w:rsidR="00551123" w:rsidRPr="00020E73" w:rsidRDefault="000C0EC6" w:rsidP="005511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551123" w:rsidRPr="009E7B0A" w:rsidRDefault="00766C07" w:rsidP="0055112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Tlalnepantla de Baz</w:t>
                </w:r>
              </w:p>
            </w:tc>
          </w:tr>
          <w:tr w:rsidR="00551123" w:rsidRPr="00330DA7" w:rsidTr="00551123">
            <w:trPr>
              <w:trHeight w:val="283"/>
            </w:trPr>
            <w:tc>
              <w:tcPr>
                <w:tcW w:w="2444" w:type="dxa"/>
                <w:shd w:val="clear" w:color="auto" w:fill="auto"/>
              </w:tcPr>
              <w:p w:rsidR="00551123" w:rsidRPr="00020E73" w:rsidRDefault="00582A93" w:rsidP="0055112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000C0EC6" w:rsidRPr="00020E73">
                  <w:rPr>
                    <w:rFonts w:ascii="Palatino Linotype" w:eastAsia="Calibri" w:hAnsi="Palatino Linotype" w:cs="Tahoma"/>
                    <w:b/>
                    <w:sz w:val="22"/>
                    <w:szCs w:val="22"/>
                    <w:lang w:val="es-ES" w:eastAsia="en-US"/>
                  </w:rPr>
                  <w:t>:</w:t>
                </w:r>
              </w:p>
            </w:tc>
            <w:tc>
              <w:tcPr>
                <w:tcW w:w="4218" w:type="dxa"/>
                <w:shd w:val="clear" w:color="auto" w:fill="auto"/>
              </w:tcPr>
              <w:p w:rsidR="00551123" w:rsidRPr="00020E73" w:rsidRDefault="00766C07" w:rsidP="00551123">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551123" w:rsidRPr="00020E73" w:rsidRDefault="00D456B5" w:rsidP="00551123">
                <w:pPr>
                  <w:tabs>
                    <w:tab w:val="right" w:pos="8838"/>
                  </w:tabs>
                  <w:ind w:left="-74" w:right="-105"/>
                  <w:jc w:val="both"/>
                  <w:rPr>
                    <w:rFonts w:ascii="Palatino Linotype" w:eastAsia="Calibri" w:hAnsi="Palatino Linotype" w:cs="Tahoma"/>
                    <w:b/>
                    <w:sz w:val="22"/>
                    <w:szCs w:val="22"/>
                    <w:lang w:val="es-ES" w:eastAsia="en-US"/>
                  </w:rPr>
                </w:pPr>
              </w:p>
            </w:tc>
          </w:tr>
        </w:tbl>
        <w:p w:rsidR="00551123" w:rsidRPr="00330DA7" w:rsidRDefault="00D456B5" w:rsidP="00551123">
          <w:pPr>
            <w:tabs>
              <w:tab w:val="right" w:pos="8838"/>
            </w:tabs>
            <w:ind w:left="-28"/>
            <w:jc w:val="both"/>
            <w:rPr>
              <w:rFonts w:ascii="Arial" w:eastAsia="Calibri" w:hAnsi="Arial" w:cs="Arial"/>
              <w:b/>
              <w:sz w:val="22"/>
              <w:szCs w:val="22"/>
              <w:lang w:eastAsia="en-US"/>
            </w:rPr>
          </w:pPr>
        </w:p>
      </w:tc>
    </w:tr>
  </w:tbl>
  <w:p w:rsidR="00551123" w:rsidRPr="00827FA0" w:rsidRDefault="00D456B5" w:rsidP="0055112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95385"/>
    <w:multiLevelType w:val="hybridMultilevel"/>
    <w:tmpl w:val="CE00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7B0C19"/>
    <w:multiLevelType w:val="hybridMultilevel"/>
    <w:tmpl w:val="76646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4317490"/>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AA5D73"/>
    <w:multiLevelType w:val="hybridMultilevel"/>
    <w:tmpl w:val="92262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152F8A"/>
    <w:multiLevelType w:val="hybridMultilevel"/>
    <w:tmpl w:val="DA96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A731B01"/>
    <w:multiLevelType w:val="hybridMultilevel"/>
    <w:tmpl w:val="6E5E9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0D60510"/>
    <w:multiLevelType w:val="hybridMultilevel"/>
    <w:tmpl w:val="94BA49B0"/>
    <w:lvl w:ilvl="0" w:tplc="7A905756">
      <w:start w:val="1"/>
      <w:numFmt w:val="ordinalText"/>
      <w:lvlText w:val="%1."/>
      <w:lvlJc w:val="left"/>
      <w:pPr>
        <w:ind w:left="8724"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75AD3C3D"/>
    <w:multiLevelType w:val="hybridMultilevel"/>
    <w:tmpl w:val="7714A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6" w15:restartNumberingAfterBreak="0">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9"/>
  </w:num>
  <w:num w:numId="5">
    <w:abstractNumId w:val="2"/>
  </w:num>
  <w:num w:numId="6">
    <w:abstractNumId w:val="5"/>
  </w:num>
  <w:num w:numId="7">
    <w:abstractNumId w:val="16"/>
  </w:num>
  <w:num w:numId="8">
    <w:abstractNumId w:val="7"/>
  </w:num>
  <w:num w:numId="9">
    <w:abstractNumId w:val="4"/>
  </w:num>
  <w:num w:numId="10">
    <w:abstractNumId w:val="6"/>
  </w:num>
  <w:num w:numId="11">
    <w:abstractNumId w:val="12"/>
  </w:num>
  <w:num w:numId="12">
    <w:abstractNumId w:val="0"/>
  </w:num>
  <w:num w:numId="13">
    <w:abstractNumId w:val="13"/>
  </w:num>
  <w:num w:numId="14">
    <w:abstractNumId w:val="8"/>
  </w:num>
  <w:num w:numId="15">
    <w:abstractNumId w:val="10"/>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93"/>
    <w:rsid w:val="00001FA6"/>
    <w:rsid w:val="000372B4"/>
    <w:rsid w:val="00060137"/>
    <w:rsid w:val="00060B18"/>
    <w:rsid w:val="0007307D"/>
    <w:rsid w:val="00096A95"/>
    <w:rsid w:val="000C0EC6"/>
    <w:rsid w:val="000C1728"/>
    <w:rsid w:val="000C7E1B"/>
    <w:rsid w:val="000E4E03"/>
    <w:rsid w:val="001431BD"/>
    <w:rsid w:val="00166CE8"/>
    <w:rsid w:val="001F6003"/>
    <w:rsid w:val="00242A0F"/>
    <w:rsid w:val="002655B3"/>
    <w:rsid w:val="00305F23"/>
    <w:rsid w:val="0031050C"/>
    <w:rsid w:val="004545F0"/>
    <w:rsid w:val="00526A89"/>
    <w:rsid w:val="0054485A"/>
    <w:rsid w:val="005741A1"/>
    <w:rsid w:val="00582A93"/>
    <w:rsid w:val="00697832"/>
    <w:rsid w:val="0072766B"/>
    <w:rsid w:val="00727A52"/>
    <w:rsid w:val="00766C07"/>
    <w:rsid w:val="0077584D"/>
    <w:rsid w:val="007B5F19"/>
    <w:rsid w:val="007E3ECC"/>
    <w:rsid w:val="007E4C6F"/>
    <w:rsid w:val="008941F0"/>
    <w:rsid w:val="008B1EFF"/>
    <w:rsid w:val="008D0AE7"/>
    <w:rsid w:val="008E6A88"/>
    <w:rsid w:val="009A1396"/>
    <w:rsid w:val="00A26311"/>
    <w:rsid w:val="00A371C8"/>
    <w:rsid w:val="00A4257C"/>
    <w:rsid w:val="00AB7114"/>
    <w:rsid w:val="00AC38DB"/>
    <w:rsid w:val="00AD7A0B"/>
    <w:rsid w:val="00BF690A"/>
    <w:rsid w:val="00C0368E"/>
    <w:rsid w:val="00C66454"/>
    <w:rsid w:val="00D0547C"/>
    <w:rsid w:val="00D456B5"/>
    <w:rsid w:val="00D85102"/>
    <w:rsid w:val="00DA0C22"/>
    <w:rsid w:val="00DE3E78"/>
    <w:rsid w:val="00ED6A9C"/>
    <w:rsid w:val="00EE3953"/>
    <w:rsid w:val="00F05ED0"/>
    <w:rsid w:val="00F55748"/>
    <w:rsid w:val="00F70841"/>
    <w:rsid w:val="00F859AB"/>
    <w:rsid w:val="00FF6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DCB23D4-51D0-4C4E-A57A-8D08B14C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A93"/>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582A9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2A93"/>
    <w:pPr>
      <w:tabs>
        <w:tab w:val="center" w:pos="4419"/>
        <w:tab w:val="right" w:pos="8838"/>
      </w:tabs>
    </w:pPr>
  </w:style>
  <w:style w:type="character" w:customStyle="1" w:styleId="EncabezadoCar">
    <w:name w:val="Encabezado Car"/>
    <w:basedOn w:val="Fuentedeprrafopredeter"/>
    <w:link w:val="Encabezado"/>
    <w:uiPriority w:val="99"/>
    <w:rsid w:val="00582A9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82A93"/>
    <w:pPr>
      <w:tabs>
        <w:tab w:val="center" w:pos="4419"/>
        <w:tab w:val="right" w:pos="8838"/>
      </w:tabs>
    </w:pPr>
  </w:style>
  <w:style w:type="character" w:customStyle="1" w:styleId="PiedepginaCar">
    <w:name w:val="Pie de página Car"/>
    <w:basedOn w:val="Fuentedeprrafopredeter"/>
    <w:link w:val="Piedepgina"/>
    <w:uiPriority w:val="99"/>
    <w:rsid w:val="00582A9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2A9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82A9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582A93"/>
    <w:rPr>
      <w:color w:val="0563C1"/>
      <w:u w:val="single"/>
    </w:rPr>
  </w:style>
  <w:style w:type="paragraph" w:styleId="Sinespaciado">
    <w:name w:val="No Spacing"/>
    <w:aliases w:val="Francesa,INAI"/>
    <w:link w:val="SinespaciadoCar"/>
    <w:uiPriority w:val="1"/>
    <w:qFormat/>
    <w:rsid w:val="00582A93"/>
    <w:pPr>
      <w:spacing w:after="0" w:line="240" w:lineRule="auto"/>
    </w:pPr>
  </w:style>
  <w:style w:type="character" w:customStyle="1" w:styleId="Ttulo2Car">
    <w:name w:val="Título 2 Car"/>
    <w:basedOn w:val="Fuentedeprrafopredeter"/>
    <w:link w:val="Ttulo2"/>
    <w:uiPriority w:val="9"/>
    <w:rsid w:val="00582A93"/>
    <w:rPr>
      <w:rFonts w:asciiTheme="majorHAnsi" w:eastAsiaTheme="majorEastAsia" w:hAnsiTheme="majorHAnsi" w:cstheme="majorBidi"/>
      <w:color w:val="2E74B5" w:themeColor="accent1" w:themeShade="BF"/>
      <w:sz w:val="26"/>
      <w:szCs w:val="26"/>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82A93"/>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582A93"/>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82A93"/>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82A93"/>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582A93"/>
  </w:style>
  <w:style w:type="paragraph" w:styleId="TDC1">
    <w:name w:val="toc 1"/>
    <w:basedOn w:val="Normal"/>
    <w:next w:val="Normal"/>
    <w:autoRedefine/>
    <w:uiPriority w:val="39"/>
    <w:unhideWhenUsed/>
    <w:rsid w:val="00766C0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66C07"/>
    <w:pPr>
      <w:tabs>
        <w:tab w:val="right" w:leader="dot" w:pos="8637"/>
      </w:tabs>
      <w:spacing w:line="480" w:lineRule="auto"/>
    </w:pPr>
    <w:rPr>
      <w:rFonts w:asciiTheme="minorHAnsi" w:eastAsiaTheme="minorHAnsi" w:hAnsiTheme="minorHAnsi" w:cstheme="minorBidi"/>
      <w:sz w:val="22"/>
      <w:szCs w:val="22"/>
      <w:lang w:eastAsia="en-US"/>
    </w:rPr>
  </w:style>
  <w:style w:type="paragraph" w:customStyle="1" w:styleId="Default">
    <w:name w:val="Default"/>
    <w:rsid w:val="00766C0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169355.page" TargetMode="External"/><Relationship Id="rId18" Type="http://schemas.openxmlformats.org/officeDocument/2006/relationships/hyperlink" Target="https://www.saimex.org.mx/saimex/solicitud/downloadAttach/1178631.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aimex.org.mx/saimex/solicitud/downloadAttach/1175044.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imex.org.mx/saimex/solicitud/downloadAttach/1169360.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49403.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imex.org.mx/saimex/solicitud/downloadAttach/1169359.page" TargetMode="External"/><Relationship Id="rId23" Type="http://schemas.openxmlformats.org/officeDocument/2006/relationships/header" Target="header3.xml"/><Relationship Id="rId10" Type="http://schemas.openxmlformats.org/officeDocument/2006/relationships/hyperlink" Target="https://www.saimex.org.mx/saimex/solicitud/downloadAttach/1149399.pag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saimex.org.mx/saimex/solicitud/downloadAttach/1149398.page" TargetMode="External"/><Relationship Id="rId14" Type="http://schemas.openxmlformats.org/officeDocument/2006/relationships/hyperlink" Target="https://www.saimex.org.mx/saimex/solicitud/downloadAttach/1169358.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5795B-A092-4D51-8666-CDDCDA6F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4520</Words>
  <Characters>24860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2021-09-27T18:38:00Z</dcterms:created>
  <dcterms:modified xsi:type="dcterms:W3CDTF">2021-09-27T18:38:00Z</dcterms:modified>
</cp:coreProperties>
</file>