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93" w:rsidRDefault="004D5693">
      <w:pPr>
        <w:widowControl w:val="0"/>
        <w:pBdr>
          <w:top w:val="nil"/>
          <w:left w:val="nil"/>
          <w:bottom w:val="nil"/>
          <w:right w:val="nil"/>
          <w:between w:val="nil"/>
        </w:pBdr>
        <w:spacing w:line="276" w:lineRule="auto"/>
      </w:pPr>
    </w:p>
    <w:p w:rsidR="004D5693" w:rsidRDefault="00A64855">
      <w:pPr>
        <w:spacing w:before="240" w:after="24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Índice</w:t>
      </w:r>
      <w:r>
        <w:rPr>
          <w:rFonts w:ascii="Palatino Linotype" w:eastAsia="Palatino Linotype" w:hAnsi="Palatino Linotype" w:cs="Palatino Linotype"/>
          <w:sz w:val="24"/>
          <w:szCs w:val="24"/>
        </w:rPr>
        <w:t>.</w:t>
      </w:r>
    </w:p>
    <w:p w:rsidR="004D5693" w:rsidRDefault="004D5693">
      <w:pPr>
        <w:keepNext/>
        <w:keepLines/>
        <w:pBdr>
          <w:top w:val="nil"/>
          <w:left w:val="nil"/>
          <w:bottom w:val="nil"/>
          <w:right w:val="nil"/>
          <w:between w:val="nil"/>
        </w:pBdr>
        <w:spacing w:before="240" w:line="480" w:lineRule="auto"/>
        <w:rPr>
          <w:rFonts w:ascii="Palatino Linotype" w:eastAsia="Palatino Linotype" w:hAnsi="Palatino Linotype" w:cs="Palatino Linotype"/>
          <w:b/>
          <w:color w:val="000000"/>
          <w:sz w:val="24"/>
          <w:szCs w:val="24"/>
        </w:rPr>
      </w:pPr>
    </w:p>
    <w:sdt>
      <w:sdtPr>
        <w:id w:val="1848980265"/>
        <w:docPartObj>
          <w:docPartGallery w:val="Table of Contents"/>
          <w:docPartUnique/>
        </w:docPartObj>
      </w:sdtPr>
      <w:sdtEndPr/>
      <w:sdtContent>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rFonts w:ascii="Palatino Linotype" w:eastAsia="Palatino Linotype" w:hAnsi="Palatino Linotype" w:cs="Palatino Linotype"/>
                <w:b/>
                <w:color w:val="000000"/>
                <w:sz w:val="24"/>
                <w:szCs w:val="24"/>
              </w:rPr>
              <w:t>ANTECEDENTES</w:t>
            </w:r>
            <w:r>
              <w:rPr>
                <w:rFonts w:ascii="Palatino Linotype" w:eastAsia="Palatino Linotype" w:hAnsi="Palatino Linotype" w:cs="Palatino Linotype"/>
                <w:b/>
                <w:color w:val="000000"/>
                <w:sz w:val="24"/>
                <w:szCs w:val="24"/>
              </w:rPr>
              <w:tab/>
              <w:t>2</w:t>
            </w:r>
          </w:hyperlink>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1fob9te">
            <w:r>
              <w:rPr>
                <w:rFonts w:ascii="Palatino Linotype" w:eastAsia="Palatino Linotype" w:hAnsi="Palatino Linotype" w:cs="Palatino Linotype"/>
                <w:b/>
                <w:color w:val="000000"/>
                <w:sz w:val="24"/>
                <w:szCs w:val="24"/>
              </w:rPr>
              <w:t>CONSIDERANDO</w:t>
            </w:r>
            <w:r>
              <w:rPr>
                <w:rFonts w:ascii="Palatino Linotype" w:eastAsia="Palatino Linotype" w:hAnsi="Palatino Linotype" w:cs="Palatino Linotype"/>
                <w:b/>
                <w:color w:val="000000"/>
                <w:sz w:val="24"/>
                <w:szCs w:val="24"/>
              </w:rPr>
              <w:tab/>
              <w:t>7</w:t>
            </w:r>
          </w:hyperlink>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3znysh7">
            <w:r>
              <w:rPr>
                <w:rFonts w:ascii="Palatino Linotype" w:eastAsia="Palatino Linotype" w:hAnsi="Palatino Linotype" w:cs="Palatino Linotype"/>
                <w:b/>
                <w:color w:val="000000"/>
                <w:sz w:val="24"/>
                <w:szCs w:val="24"/>
              </w:rPr>
              <w:t>PRIMERO. De la competencia</w:t>
            </w:r>
          </w:hyperlink>
          <w:hyperlink w:anchor="_heading=h.3znysh7">
            <w:r>
              <w:rPr>
                <w:rFonts w:ascii="Calibri" w:eastAsia="Calibri" w:hAnsi="Calibri" w:cs="Calibri"/>
                <w:color w:val="000000"/>
                <w:sz w:val="24"/>
                <w:szCs w:val="24"/>
              </w:rPr>
              <w:tab/>
              <w:t>7</w:t>
            </w:r>
          </w:hyperlink>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2et92p0">
            <w:r>
              <w:rPr>
                <w:rFonts w:ascii="Palatino Linotype" w:eastAsia="Palatino Linotype" w:hAnsi="Palatino Linotype" w:cs="Palatino Linotype"/>
                <w:b/>
                <w:color w:val="000000"/>
                <w:sz w:val="24"/>
                <w:szCs w:val="24"/>
              </w:rPr>
              <w:t>SEGUNDO. De la oportunidad y procedencia.</w:t>
            </w:r>
          </w:hyperlink>
          <w:hyperlink w:anchor="_heading=h.2et92p0">
            <w:r>
              <w:rPr>
                <w:rFonts w:ascii="Calibri" w:eastAsia="Calibri" w:hAnsi="Calibri" w:cs="Calibri"/>
                <w:color w:val="000000"/>
                <w:sz w:val="24"/>
                <w:szCs w:val="24"/>
              </w:rPr>
              <w:tab/>
              <w:t>8</w:t>
            </w:r>
          </w:hyperlink>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tyjcwt">
            <w:r>
              <w:rPr>
                <w:rFonts w:ascii="Palatino Linotype" w:eastAsia="Palatino Linotype" w:hAnsi="Palatino Linotype" w:cs="Palatino Linotype"/>
                <w:b/>
                <w:color w:val="000000"/>
                <w:sz w:val="24"/>
                <w:szCs w:val="24"/>
              </w:rPr>
              <w:t>TERCERO. Planteamiento de la Litis</w:t>
            </w:r>
            <w:r>
              <w:rPr>
                <w:rFonts w:ascii="Palatino Linotype" w:eastAsia="Palatino Linotype" w:hAnsi="Palatino Linotype" w:cs="Palatino Linotype"/>
                <w:b/>
                <w:color w:val="000000"/>
                <w:sz w:val="24"/>
                <w:szCs w:val="24"/>
              </w:rPr>
              <w:tab/>
              <w:t>9</w:t>
            </w:r>
          </w:hyperlink>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1t3h5sf">
            <w:r>
              <w:rPr>
                <w:rFonts w:ascii="Palatino Linotype" w:eastAsia="Palatino Linotype" w:hAnsi="Palatino Linotype" w:cs="Palatino Linotype"/>
                <w:b/>
                <w:color w:val="000000"/>
                <w:sz w:val="24"/>
                <w:szCs w:val="24"/>
              </w:rPr>
              <w:t>CUARTO. Estudio y resolución del asunto</w:t>
            </w:r>
            <w:r>
              <w:rPr>
                <w:rFonts w:ascii="Palatino Linotype" w:eastAsia="Palatino Linotype" w:hAnsi="Palatino Linotype" w:cs="Palatino Linotype"/>
                <w:b/>
                <w:color w:val="000000"/>
                <w:sz w:val="24"/>
                <w:szCs w:val="24"/>
              </w:rPr>
              <w:tab/>
              <w:t>10</w:t>
            </w:r>
          </w:hyperlink>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4d34og8">
            <w:r>
              <w:rPr>
                <w:rFonts w:ascii="Palatino Linotype" w:eastAsia="Palatino Linotype" w:hAnsi="Palatino Linotype" w:cs="Palatino Linotype"/>
                <w:b/>
                <w:color w:val="000000"/>
                <w:sz w:val="24"/>
                <w:szCs w:val="24"/>
              </w:rPr>
              <w:t>I.</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rFonts w:ascii="Palatino Linotype" w:eastAsia="Palatino Linotype" w:hAnsi="Palatino Linotype" w:cs="Palatino Linotype"/>
              <w:b/>
              <w:color w:val="000000"/>
              <w:sz w:val="24"/>
              <w:szCs w:val="24"/>
            </w:rPr>
            <w:t>De la fuente obligacional</w:t>
          </w:r>
          <w:r>
            <w:rPr>
              <w:rFonts w:ascii="Calibri" w:eastAsia="Calibri" w:hAnsi="Calibri" w:cs="Calibri"/>
              <w:color w:val="000000"/>
              <w:sz w:val="24"/>
              <w:szCs w:val="24"/>
            </w:rPr>
            <w:tab/>
            <w:t>10</w:t>
          </w:r>
          <w:r>
            <w:fldChar w:fldCharType="end"/>
          </w:r>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2s8eyo1">
            <w:r>
              <w:rPr>
                <w:rFonts w:ascii="Palatino Linotype" w:eastAsia="Palatino Linotype" w:hAnsi="Palatino Linotype" w:cs="Palatino Linotype"/>
                <w:b/>
                <w:color w:val="000000"/>
                <w:sz w:val="24"/>
                <w:szCs w:val="24"/>
              </w:rPr>
              <w:t>II. El derecho de petición y de acceso a la información.</w:t>
            </w:r>
          </w:hyperlink>
          <w:hyperlink w:anchor="_heading=h.2s8eyo1">
            <w:r>
              <w:rPr>
                <w:rFonts w:ascii="Calibri" w:eastAsia="Calibri" w:hAnsi="Calibri" w:cs="Calibri"/>
                <w:color w:val="000000"/>
                <w:sz w:val="24"/>
                <w:szCs w:val="24"/>
              </w:rPr>
              <w:tab/>
              <w:t>21</w:t>
            </w:r>
          </w:hyperlink>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17dp8vu">
            <w:r>
              <w:rPr>
                <w:rFonts w:ascii="Palatino Linotype" w:eastAsia="Palatino Linotype" w:hAnsi="Palatino Linotype" w:cs="Palatino Linotype"/>
                <w:b/>
                <w:color w:val="000000"/>
                <w:sz w:val="24"/>
                <w:szCs w:val="24"/>
              </w:rPr>
              <w:t>III. De la declaración de incompetencia.</w:t>
            </w:r>
          </w:hyperlink>
          <w:hyperlink w:anchor="_heading=h.17dp8vu">
            <w:r>
              <w:rPr>
                <w:rFonts w:ascii="Calibri" w:eastAsia="Calibri" w:hAnsi="Calibri" w:cs="Calibri"/>
                <w:color w:val="000000"/>
                <w:sz w:val="24"/>
                <w:szCs w:val="24"/>
              </w:rPr>
              <w:tab/>
              <w:t>26</w:t>
            </w:r>
          </w:hyperlink>
        </w:p>
        <w:p w:rsidR="004D5693" w:rsidRDefault="00A64855">
          <w:pPr>
            <w:pBdr>
              <w:top w:val="nil"/>
              <w:left w:val="nil"/>
              <w:bottom w:val="nil"/>
              <w:right w:val="nil"/>
              <w:between w:val="nil"/>
            </w:pBdr>
            <w:tabs>
              <w:tab w:val="left" w:pos="567"/>
              <w:tab w:val="right" w:pos="8779"/>
            </w:tabs>
            <w:spacing w:after="100"/>
            <w:ind w:left="142"/>
            <w:rPr>
              <w:rFonts w:ascii="Calibri" w:eastAsia="Calibri" w:hAnsi="Calibri" w:cs="Calibri"/>
              <w:color w:val="000000"/>
              <w:sz w:val="22"/>
              <w:szCs w:val="22"/>
            </w:rPr>
          </w:pPr>
          <w:hyperlink w:anchor="_heading=h.3rdcrjn">
            <w:r>
              <w:rPr>
                <w:rFonts w:ascii="Palatino Linotype" w:eastAsia="Palatino Linotype" w:hAnsi="Palatino Linotype" w:cs="Palatino Linotype"/>
                <w:b/>
                <w:color w:val="000000"/>
                <w:sz w:val="24"/>
                <w:szCs w:val="24"/>
              </w:rPr>
              <w:t>IV. de la Contraloría Interna.</w:t>
            </w:r>
          </w:hyperlink>
          <w:hyperlink w:anchor="_heading=h.3rdcrjn">
            <w:r>
              <w:rPr>
                <w:rFonts w:ascii="Calibri" w:eastAsia="Calibri" w:hAnsi="Calibri" w:cs="Calibri"/>
                <w:color w:val="000000"/>
                <w:sz w:val="24"/>
                <w:szCs w:val="24"/>
              </w:rPr>
              <w:tab/>
              <w:t>28</w:t>
            </w:r>
          </w:hyperlink>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26in1rg">
            <w:r>
              <w:rPr>
                <w:rFonts w:ascii="Palatino Linotype" w:eastAsia="Palatino Linotype" w:hAnsi="Palatino Linotype" w:cs="Palatino Linotype"/>
                <w:b/>
                <w:color w:val="000000"/>
                <w:sz w:val="24"/>
                <w:szCs w:val="24"/>
              </w:rPr>
              <w:t>QUINTO. VERSIÓN PÚBLICA.</w:t>
            </w:r>
            <w:r>
              <w:rPr>
                <w:rFonts w:ascii="Palatino Linotype" w:eastAsia="Palatino Linotype" w:hAnsi="Palatino Linotype" w:cs="Palatino Linotype"/>
                <w:b/>
                <w:color w:val="000000"/>
                <w:sz w:val="24"/>
                <w:szCs w:val="24"/>
              </w:rPr>
              <w:tab/>
              <w:t>39</w:t>
            </w:r>
          </w:hyperlink>
        </w:p>
        <w:p w:rsidR="004D5693" w:rsidRDefault="00A64855">
          <w:pPr>
            <w:pBdr>
              <w:top w:val="nil"/>
              <w:left w:val="nil"/>
              <w:bottom w:val="nil"/>
              <w:right w:val="nil"/>
              <w:between w:val="nil"/>
            </w:pBdr>
            <w:tabs>
              <w:tab w:val="right" w:pos="8779"/>
              <w:tab w:val="left" w:pos="660"/>
            </w:tabs>
            <w:spacing w:after="100"/>
            <w:ind w:left="142"/>
            <w:rPr>
              <w:rFonts w:ascii="Calibri" w:eastAsia="Calibri" w:hAnsi="Calibri" w:cs="Calibri"/>
              <w:color w:val="000000"/>
              <w:sz w:val="22"/>
              <w:szCs w:val="22"/>
            </w:rPr>
          </w:pPr>
          <w:hyperlink w:anchor="_heading=h.lnxbz9">
            <w:r>
              <w:rPr>
                <w:rFonts w:ascii="Palatino Linotype" w:eastAsia="Palatino Linotype" w:hAnsi="Palatino Linotype" w:cs="Palatino Linotype"/>
                <w:b/>
                <w:color w:val="000000"/>
                <w:sz w:val="24"/>
                <w:szCs w:val="24"/>
              </w:rPr>
              <w:t>I.</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rFonts w:ascii="Palatino Linotype" w:eastAsia="Palatino Linotype" w:hAnsi="Palatino Linotype" w:cs="Palatino Linotype"/>
              <w:b/>
              <w:color w:val="000000"/>
              <w:sz w:val="24"/>
              <w:szCs w:val="24"/>
            </w:rPr>
            <w:t>Nociones generales.</w:t>
          </w:r>
          <w:r>
            <w:rPr>
              <w:rFonts w:ascii="Palatino Linotype" w:eastAsia="Palatino Linotype" w:hAnsi="Palatino Linotype" w:cs="Palatino Linotype"/>
              <w:b/>
              <w:color w:val="000000"/>
              <w:sz w:val="24"/>
              <w:szCs w:val="24"/>
            </w:rPr>
            <w:tab/>
            <w:t>39</w:t>
          </w:r>
          <w:r>
            <w:fldChar w:fldCharType="end"/>
          </w:r>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35nkun2">
            <w:r>
              <w:rPr>
                <w:rFonts w:ascii="Palatino Linotype" w:eastAsia="Palatino Linotype" w:hAnsi="Palatino Linotype" w:cs="Palatino Linotype"/>
                <w:b/>
                <w:color w:val="000000"/>
                <w:sz w:val="24"/>
                <w:szCs w:val="24"/>
              </w:rPr>
              <w:t>SEXTO. DECISIÓN.</w:t>
            </w:r>
            <w:r>
              <w:rPr>
                <w:rFonts w:ascii="Palatino Linotype" w:eastAsia="Palatino Linotype" w:hAnsi="Palatino Linotype" w:cs="Palatino Linotype"/>
                <w:b/>
                <w:color w:val="000000"/>
                <w:sz w:val="24"/>
                <w:szCs w:val="24"/>
              </w:rPr>
              <w:tab/>
              <w:t>44</w:t>
            </w:r>
          </w:hyperlink>
        </w:p>
        <w:p w:rsidR="004D5693" w:rsidRDefault="00A64855">
          <w:pPr>
            <w:pBdr>
              <w:top w:val="nil"/>
              <w:left w:val="nil"/>
              <w:bottom w:val="nil"/>
              <w:right w:val="nil"/>
              <w:between w:val="nil"/>
            </w:pBdr>
            <w:tabs>
              <w:tab w:val="right" w:pos="8779"/>
            </w:tabs>
            <w:spacing w:after="100"/>
            <w:ind w:left="142"/>
            <w:rPr>
              <w:rFonts w:ascii="Calibri" w:eastAsia="Calibri" w:hAnsi="Calibri" w:cs="Calibri"/>
              <w:color w:val="000000"/>
              <w:sz w:val="22"/>
              <w:szCs w:val="22"/>
            </w:rPr>
          </w:pPr>
          <w:hyperlink w:anchor="_heading=h.1ksv4uv">
            <w:r>
              <w:rPr>
                <w:rFonts w:ascii="Palatino Linotype" w:eastAsia="Palatino Linotype" w:hAnsi="Palatino Linotype" w:cs="Palatino Linotype"/>
                <w:b/>
                <w:color w:val="000000"/>
                <w:sz w:val="24"/>
                <w:szCs w:val="24"/>
              </w:rPr>
              <w:t>R E S O L U T I V O S</w:t>
            </w:r>
            <w:r>
              <w:rPr>
                <w:rFonts w:ascii="Palatino Linotype" w:eastAsia="Palatino Linotype" w:hAnsi="Palatino Linotype" w:cs="Palatino Linotype"/>
                <w:b/>
                <w:color w:val="000000"/>
                <w:sz w:val="24"/>
                <w:szCs w:val="24"/>
              </w:rPr>
              <w:tab/>
              <w:t>45</w:t>
            </w:r>
          </w:hyperlink>
        </w:p>
        <w:p w:rsidR="004D5693" w:rsidRDefault="00A64855">
          <w:pPr>
            <w:spacing w:line="480" w:lineRule="auto"/>
            <w:rPr>
              <w:rFonts w:ascii="Palatino Linotype" w:eastAsia="Palatino Linotype" w:hAnsi="Palatino Linotype" w:cs="Palatino Linotype"/>
              <w:sz w:val="24"/>
              <w:szCs w:val="24"/>
            </w:rPr>
          </w:pPr>
          <w:r>
            <w:fldChar w:fldCharType="end"/>
          </w:r>
        </w:p>
      </w:sdtContent>
    </w:sdt>
    <w:p w:rsidR="004D5693" w:rsidRDefault="004D5693">
      <w:pPr>
        <w:spacing w:before="240" w:after="240" w:line="360" w:lineRule="auto"/>
        <w:jc w:val="both"/>
        <w:rPr>
          <w:rFonts w:ascii="Palatino Linotype" w:eastAsia="Palatino Linotype" w:hAnsi="Palatino Linotype" w:cs="Palatino Linotype"/>
          <w:sz w:val="24"/>
          <w:szCs w:val="24"/>
        </w:rPr>
      </w:pPr>
    </w:p>
    <w:p w:rsidR="004D5693" w:rsidRDefault="004D5693">
      <w:pPr>
        <w:spacing w:before="240" w:after="240" w:line="360" w:lineRule="auto"/>
        <w:jc w:val="both"/>
        <w:rPr>
          <w:rFonts w:ascii="Palatino Linotype" w:eastAsia="Palatino Linotype" w:hAnsi="Palatino Linotype" w:cs="Palatino Linotype"/>
          <w:sz w:val="24"/>
          <w:szCs w:val="24"/>
        </w:rPr>
      </w:pPr>
    </w:p>
    <w:p w:rsidR="004D5693" w:rsidRDefault="004D5693">
      <w:pPr>
        <w:spacing w:before="240" w:after="240" w:line="360" w:lineRule="auto"/>
        <w:jc w:val="both"/>
        <w:rPr>
          <w:rFonts w:ascii="Palatino Linotype" w:eastAsia="Palatino Linotype" w:hAnsi="Palatino Linotype" w:cs="Palatino Linotype"/>
          <w:sz w:val="24"/>
          <w:szCs w:val="24"/>
        </w:rPr>
      </w:pPr>
    </w:p>
    <w:p w:rsidR="004D5693" w:rsidRDefault="004D5693">
      <w:pPr>
        <w:spacing w:before="240" w:after="240" w:line="360" w:lineRule="auto"/>
        <w:jc w:val="both"/>
        <w:rPr>
          <w:rFonts w:ascii="Palatino Linotype" w:eastAsia="Palatino Linotype" w:hAnsi="Palatino Linotype" w:cs="Palatino Linotype"/>
          <w:sz w:val="24"/>
          <w:szCs w:val="24"/>
        </w:rPr>
      </w:pPr>
    </w:p>
    <w:p w:rsidR="004D5693" w:rsidRDefault="004D5693">
      <w:pPr>
        <w:spacing w:before="240" w:after="240" w:line="360" w:lineRule="auto"/>
        <w:jc w:val="both"/>
        <w:rPr>
          <w:rFonts w:ascii="Palatino Linotype" w:eastAsia="Palatino Linotype" w:hAnsi="Palatino Linotype" w:cs="Palatino Linotype"/>
          <w:sz w:val="24"/>
          <w:szCs w:val="24"/>
        </w:rPr>
      </w:pPr>
    </w:p>
    <w:p w:rsidR="004D5693" w:rsidRDefault="00A6485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w:t>
      </w:r>
      <w:r>
        <w:rPr>
          <w:rFonts w:ascii="Palatino Linotype" w:eastAsia="Palatino Linotype" w:hAnsi="Palatino Linotype" w:cs="Palatino Linotype"/>
          <w:sz w:val="24"/>
          <w:szCs w:val="24"/>
        </w:rPr>
        <w:t>tado de México; de veinte (20) de octubre de dos mil veintiuno.</w:t>
      </w:r>
    </w:p>
    <w:p w:rsidR="004D5693" w:rsidRDefault="00A6485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 el</w:t>
      </w:r>
      <w:r>
        <w:rPr>
          <w:rFonts w:ascii="Palatino Linotype" w:eastAsia="Palatino Linotype" w:hAnsi="Palatino Linotype" w:cs="Palatino Linotype"/>
          <w:color w:val="000000"/>
          <w:sz w:val="24"/>
          <w:szCs w:val="24"/>
        </w:rPr>
        <w:t xml:space="preserve"> expediente electrónico formado con motivo del recurso de revisión </w:t>
      </w:r>
      <w:r>
        <w:rPr>
          <w:rFonts w:ascii="Palatino Linotype" w:eastAsia="Palatino Linotype" w:hAnsi="Palatino Linotype" w:cs="Palatino Linotype"/>
          <w:b/>
          <w:color w:val="000000"/>
          <w:sz w:val="24"/>
          <w:szCs w:val="24"/>
        </w:rPr>
        <w:t xml:space="preserve">04348/INFOEM/IP/RR/2021, </w:t>
      </w:r>
      <w:r>
        <w:rPr>
          <w:rFonts w:ascii="Palatino Linotype" w:eastAsia="Palatino Linotype" w:hAnsi="Palatino Linotype" w:cs="Palatino Linotype"/>
          <w:color w:val="000000"/>
          <w:sz w:val="24"/>
          <w:szCs w:val="24"/>
        </w:rPr>
        <w:t xml:space="preserve">promovido por </w:t>
      </w:r>
      <w:r w:rsidR="00BC46D5" w:rsidRPr="00BC46D5">
        <w:rPr>
          <w:rFonts w:ascii="Palatino Linotype" w:eastAsia="Palatino Linotype" w:hAnsi="Palatino Linotype" w:cs="Palatino Linotype"/>
          <w:b/>
          <w:sz w:val="24"/>
          <w:szCs w:val="22"/>
        </w:rPr>
        <w:t xml:space="preserve">XXXXXXX </w:t>
      </w:r>
      <w:proofErr w:type="spellStart"/>
      <w:r w:rsidR="00BC46D5" w:rsidRPr="00BC46D5">
        <w:rPr>
          <w:rFonts w:ascii="Palatino Linotype" w:eastAsia="Palatino Linotype" w:hAnsi="Palatino Linotype" w:cs="Palatino Linotype"/>
          <w:b/>
          <w:sz w:val="24"/>
          <w:szCs w:val="22"/>
        </w:rPr>
        <w:t>XXXXXXX</w:t>
      </w:r>
      <w:proofErr w:type="spellEnd"/>
      <w:r w:rsidR="00BC46D5" w:rsidRPr="00BC46D5">
        <w:rPr>
          <w:rFonts w:ascii="Palatino Linotype" w:eastAsia="Palatino Linotype" w:hAnsi="Palatino Linotype" w:cs="Palatino Linotype"/>
          <w:b/>
          <w:sz w:val="24"/>
          <w:szCs w:val="22"/>
        </w:rPr>
        <w:t xml:space="preserve"> XXXXX</w:t>
      </w:r>
      <w:r>
        <w:rPr>
          <w:rFonts w:ascii="Palatino Linotype" w:eastAsia="Palatino Linotype" w:hAnsi="Palatino Linotype" w:cs="Palatino Linotype"/>
          <w:color w:val="000000"/>
          <w:sz w:val="24"/>
          <w:szCs w:val="24"/>
        </w:rPr>
        <w:t xml:space="preserve">, en su calidad de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 la </w:t>
      </w:r>
      <w:r>
        <w:rPr>
          <w:rFonts w:ascii="Palatino Linotype" w:eastAsia="Palatino Linotype" w:hAnsi="Palatino Linotype" w:cs="Palatino Linotype"/>
          <w:b/>
          <w:color w:val="000000"/>
          <w:sz w:val="24"/>
          <w:szCs w:val="24"/>
        </w:rPr>
        <w:t>Comisión Estatal de Parques Naturales y de la Fauna</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en lo sucesivo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 con base en los siguientes:</w:t>
      </w:r>
    </w:p>
    <w:p w:rsidR="004D5693" w:rsidRDefault="00A64855">
      <w:pPr>
        <w:pStyle w:val="Ttulo1"/>
        <w:jc w:val="center"/>
        <w:rPr>
          <w:rFonts w:ascii="Palatino Linotype" w:eastAsia="Palatino Linotype" w:hAnsi="Palatino Linotype" w:cs="Palatino Linotype"/>
          <w:b/>
          <w:color w:val="000000"/>
          <w:sz w:val="24"/>
          <w:szCs w:val="24"/>
        </w:rPr>
      </w:pPr>
      <w:bookmarkStart w:id="0" w:name="_heading=h.gjdgxs" w:colFirst="0" w:colLast="0"/>
      <w:bookmarkEnd w:id="0"/>
      <w:r>
        <w:rPr>
          <w:rFonts w:ascii="Palatino Linotype" w:eastAsia="Palatino Linotype" w:hAnsi="Palatino Linotype" w:cs="Palatino Linotype"/>
          <w:b/>
          <w:color w:val="000000"/>
          <w:sz w:val="24"/>
          <w:szCs w:val="24"/>
        </w:rPr>
        <w:t>ANTECEDENTES</w:t>
      </w:r>
    </w:p>
    <w:p w:rsidR="004D5693" w:rsidRDefault="004D5693">
      <w:pPr>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día veinticinco (25) de agosto de dos mil veintiuno,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presentó</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ante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vía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la solicitud de información pública registrada con el número </w:t>
      </w:r>
      <w:r>
        <w:rPr>
          <w:rFonts w:ascii="Palatino Linotype" w:eastAsia="Palatino Linotype" w:hAnsi="Palatino Linotype" w:cs="Palatino Linotype"/>
          <w:b/>
          <w:color w:val="000000"/>
          <w:sz w:val="24"/>
          <w:szCs w:val="24"/>
        </w:rPr>
        <w:t xml:space="preserve">00049/CEPANAF/IP/2021 </w:t>
      </w:r>
      <w:r>
        <w:rPr>
          <w:rFonts w:ascii="Palatino Linotype" w:eastAsia="Palatino Linotype" w:hAnsi="Palatino Linotype" w:cs="Palatino Linotype"/>
          <w:color w:val="000000"/>
          <w:sz w:val="24"/>
          <w:szCs w:val="24"/>
        </w:rPr>
        <w:t xml:space="preserve">mediante </w:t>
      </w:r>
      <w:r>
        <w:rPr>
          <w:rFonts w:ascii="Palatino Linotype" w:eastAsia="Palatino Linotype" w:hAnsi="Palatino Linotype" w:cs="Palatino Linotype"/>
          <w:color w:val="000000"/>
          <w:sz w:val="24"/>
          <w:szCs w:val="24"/>
        </w:rPr>
        <w:t>la cual solicitó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“¿Cuál es la función del Órgano Interno de Control de la CEPANAF? ¿Qué licenciatura se requiere para ser auditor del Órgano Interno de Control de la CEPANAF? ¿Los auditores del Órgano Interno de Control de la CEPANAF cuentan con licenciatura acorde? ¿Con c</w:t>
      </w:r>
      <w:r>
        <w:rPr>
          <w:rFonts w:ascii="Palatino Linotype" w:eastAsia="Palatino Linotype" w:hAnsi="Palatino Linotype" w:cs="Palatino Linotype"/>
          <w:i/>
          <w:sz w:val="24"/>
          <w:szCs w:val="24"/>
        </w:rPr>
        <w:t xml:space="preserve">uántos auditores cuenta del Órgano Interno de Control de la CEPANAF? ¿Cuantas sanciones de servidores públicos que han incumplido con sus obligaciones ha impuesto el Órgano Interno de Control </w:t>
      </w:r>
      <w:r>
        <w:rPr>
          <w:rFonts w:ascii="Palatino Linotype" w:eastAsia="Palatino Linotype" w:hAnsi="Palatino Linotype" w:cs="Palatino Linotype"/>
          <w:i/>
          <w:sz w:val="24"/>
          <w:szCs w:val="24"/>
        </w:rPr>
        <w:lastRenderedPageBreak/>
        <w:t>de la CEPANAF? ¿Cuánto tiempo tarda Órgano Interno de Control de</w:t>
      </w:r>
      <w:r>
        <w:rPr>
          <w:rFonts w:ascii="Palatino Linotype" w:eastAsia="Palatino Linotype" w:hAnsi="Palatino Linotype" w:cs="Palatino Linotype"/>
          <w:i/>
          <w:sz w:val="24"/>
          <w:szCs w:val="24"/>
        </w:rPr>
        <w:t xml:space="preserve"> la CEPANAF en emitir sanciones por denuncias o quejas?” (Sic)</w:t>
      </w:r>
    </w:p>
    <w:p w:rsidR="004D5693" w:rsidRDefault="004D5693">
      <w:pPr>
        <w:ind w:left="567" w:right="567"/>
        <w:jc w:val="both"/>
        <w:rPr>
          <w:rFonts w:ascii="Palatino Linotype" w:eastAsia="Palatino Linotype" w:hAnsi="Palatino Linotype" w:cs="Palatino Linotype"/>
          <w:i/>
          <w:sz w:val="24"/>
          <w:szCs w:val="24"/>
        </w:rPr>
      </w:pPr>
    </w:p>
    <w:p w:rsidR="004D5693" w:rsidRDefault="004D5693">
      <w:pPr>
        <w:ind w:left="567" w:right="567"/>
        <w:jc w:val="both"/>
        <w:rPr>
          <w:rFonts w:ascii="Palatino Linotype" w:eastAsia="Palatino Linotype" w:hAnsi="Palatino Linotype" w:cs="Palatino Linotype"/>
          <w:i/>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Señaló como modalidad de entrega de la información a través del </w:t>
      </w:r>
      <w:r>
        <w:rPr>
          <w:rFonts w:ascii="Palatino Linotype" w:eastAsia="Palatino Linotype" w:hAnsi="Palatino Linotype" w:cs="Palatino Linotype"/>
          <w:b/>
          <w:color w:val="000000"/>
          <w:sz w:val="24"/>
          <w:szCs w:val="24"/>
        </w:rPr>
        <w:t>SAIMEX.</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color w:val="000000"/>
          <w:sz w:val="24"/>
          <w:szCs w:val="24"/>
        </w:rPr>
        <w:t xml:space="preserve">El veintisiete (27) de agosto de dos mil veintiuno,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dio respuesta a la solicitud de información, en</w:t>
      </w:r>
      <w:r>
        <w:rPr>
          <w:rFonts w:ascii="Palatino Linotype" w:eastAsia="Palatino Linotype" w:hAnsi="Palatino Linotype" w:cs="Palatino Linotype"/>
          <w:color w:val="000000"/>
          <w:sz w:val="24"/>
          <w:szCs w:val="24"/>
        </w:rPr>
        <w:t xml:space="preserve"> los siguientes términos: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“Metepec, México a 27 de Agosto de 2021</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Nombre del solicitante: </w:t>
      </w:r>
      <w:r w:rsidR="00BC46D5" w:rsidRPr="00BC46D5">
        <w:rPr>
          <w:rFonts w:ascii="Palatino Linotype" w:eastAsia="Palatino Linotype" w:hAnsi="Palatino Linotype" w:cs="Palatino Linotype"/>
          <w:b/>
          <w:sz w:val="24"/>
          <w:szCs w:val="22"/>
        </w:rPr>
        <w:t xml:space="preserve">XXXXXXX </w:t>
      </w:r>
      <w:proofErr w:type="spellStart"/>
      <w:r w:rsidR="00BC46D5" w:rsidRPr="00BC46D5">
        <w:rPr>
          <w:rFonts w:ascii="Palatino Linotype" w:eastAsia="Palatino Linotype" w:hAnsi="Palatino Linotype" w:cs="Palatino Linotype"/>
          <w:b/>
          <w:sz w:val="24"/>
          <w:szCs w:val="22"/>
        </w:rPr>
        <w:t>XXXXXXX</w:t>
      </w:r>
      <w:proofErr w:type="spellEnd"/>
      <w:r w:rsidR="00BC46D5" w:rsidRPr="00BC46D5">
        <w:rPr>
          <w:rFonts w:ascii="Palatino Linotype" w:eastAsia="Palatino Linotype" w:hAnsi="Palatino Linotype" w:cs="Palatino Linotype"/>
          <w:b/>
          <w:sz w:val="24"/>
          <w:szCs w:val="22"/>
        </w:rPr>
        <w:t xml:space="preserve"> XXXXX</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Folio de la solicitud: 00049/CEPANAF/IP/2021</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S</w:t>
      </w:r>
      <w:r>
        <w:rPr>
          <w:rFonts w:ascii="Palatino Linotype" w:eastAsia="Palatino Linotype" w:hAnsi="Palatino Linotype" w:cs="Palatino Linotype"/>
          <w:i/>
          <w:color w:val="000000"/>
          <w:sz w:val="24"/>
          <w:szCs w:val="24"/>
        </w:rPr>
        <w:t>e da atención a la Solicitud mediante el Oficio Ref.221C0101000002S-0282/2021, de fecha 27 de agosto de 2021.</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ATENTAMENTE</w:t>
      </w:r>
    </w:p>
    <w:p w:rsidR="004D5693" w:rsidRDefault="00A64855">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C. LETICIA VIESCA GONZÁLEZ” (sic)</w:t>
      </w:r>
    </w:p>
    <w:p w:rsidR="004D5693" w:rsidRDefault="004D5693">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p>
    <w:p w:rsidR="004D5693" w:rsidRDefault="00A64855">
      <w:pPr>
        <w:numPr>
          <w:ilvl w:val="0"/>
          <w:numId w:val="5"/>
        </w:numPr>
        <w:pBdr>
          <w:top w:val="nil"/>
          <w:left w:val="nil"/>
          <w:bottom w:val="nil"/>
          <w:right w:val="nil"/>
          <w:between w:val="nil"/>
        </w:pBdr>
        <w:spacing w:line="360" w:lineRule="auto"/>
        <w:ind w:left="284" w:right="567"/>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SAIMEX 00049.pdf: </w:t>
      </w:r>
      <w:r>
        <w:rPr>
          <w:rFonts w:ascii="Palatino Linotype" w:eastAsia="Palatino Linotype" w:hAnsi="Palatino Linotype" w:cs="Palatino Linotype"/>
          <w:color w:val="000000"/>
          <w:sz w:val="24"/>
          <w:szCs w:val="24"/>
        </w:rPr>
        <w:t>Contiene el oficio 221C0101000002S-0282/2021 suscrito por el Titular de</w:t>
      </w:r>
      <w:r>
        <w:rPr>
          <w:rFonts w:ascii="Palatino Linotype" w:eastAsia="Palatino Linotype" w:hAnsi="Palatino Linotype" w:cs="Palatino Linotype"/>
          <w:color w:val="000000"/>
          <w:sz w:val="24"/>
          <w:szCs w:val="24"/>
        </w:rPr>
        <w:t xml:space="preserve"> la Unidad de Transparencia mediante el </w:t>
      </w:r>
      <w:r>
        <w:rPr>
          <w:rFonts w:ascii="Palatino Linotype" w:eastAsia="Palatino Linotype" w:hAnsi="Palatino Linotype" w:cs="Palatino Linotype"/>
          <w:color w:val="000000"/>
          <w:sz w:val="24"/>
          <w:szCs w:val="24"/>
        </w:rPr>
        <w:lastRenderedPageBreak/>
        <w:t>cual refiere que el Recurrente debe remitir su solicitud a la Secretaría de la Contraloría, porque es la instancia adecuada para dar atención a su solicitud.</w:t>
      </w:r>
    </w:p>
    <w:p w:rsidR="004D5693" w:rsidRDefault="004D5693">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1" w:name="_heading=h.30j0zll" w:colFirst="0" w:colLast="0"/>
      <w:bookmarkEnd w:id="1"/>
      <w:r>
        <w:rPr>
          <w:rFonts w:ascii="Palatino Linotype" w:eastAsia="Palatino Linotype" w:hAnsi="Palatino Linotype" w:cs="Palatino Linotype"/>
          <w:color w:val="000000"/>
          <w:sz w:val="24"/>
          <w:szCs w:val="24"/>
        </w:rPr>
        <w:t xml:space="preserve">El treinta (30) de agosto de dos mil veintiuno,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interpuso el recurso de revisión, en contra de la respuesta y, señaló como:</w:t>
      </w:r>
    </w:p>
    <w:p w:rsidR="004D5693" w:rsidRDefault="004D5693">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sz w:val="24"/>
          <w:szCs w:val="24"/>
        </w:rPr>
        <w:t>“Folio No. 00049/CEPANAF/IP/2021 22C0101000002S-0282/2021” (sic) y,</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b/>
          <w:i/>
          <w:color w:val="2F5496"/>
          <w:sz w:val="24"/>
          <w:szCs w:val="24"/>
        </w:rPr>
        <w:t xml:space="preserve"> </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i/>
          <w:color w:val="000000"/>
          <w:sz w:val="24"/>
          <w:szCs w:val="24"/>
        </w:rPr>
        <w:t>Toda vez que la Titular de Transparencia no fue clara y precisa en el ámbito de incompetencia en la solicitud y con fundamento en el artículo 12 de la Ley de Transparencia y Acceso a la Información Pública del Estado de México y Municipios que a la letra d</w:t>
      </w:r>
      <w:r>
        <w:rPr>
          <w:rFonts w:ascii="Palatino Linotype" w:eastAsia="Palatino Linotype" w:hAnsi="Palatino Linotype" w:cs="Palatino Linotype"/>
          <w:i/>
          <w:color w:val="000000"/>
          <w:sz w:val="24"/>
          <w:szCs w:val="24"/>
        </w:rPr>
        <w:t>ice “Quienes generen, recopilen, administren, manejen, procesen, archiven o conserven información pública serán responsables de la misma en los términos de las disposiciones jurídicas aplicables. Los sujetos obligados sólo proporcionarán la información púb</w:t>
      </w:r>
      <w:r>
        <w:rPr>
          <w:rFonts w:ascii="Palatino Linotype" w:eastAsia="Palatino Linotype" w:hAnsi="Palatino Linotype" w:cs="Palatino Linotype"/>
          <w:i/>
          <w:color w:val="000000"/>
          <w:sz w:val="24"/>
          <w:szCs w:val="24"/>
        </w:rPr>
        <w:t xml:space="preserve">lica que se les requiera y que obre en sus archivos y en el estado en que ésta se encuentre. La obligación de proporcionar información no comprende el procesamiento de la misma, ni el presentarla conforme al interés del solicitante; no estarán obligados a </w:t>
      </w:r>
      <w:r>
        <w:rPr>
          <w:rFonts w:ascii="Palatino Linotype" w:eastAsia="Palatino Linotype" w:hAnsi="Palatino Linotype" w:cs="Palatino Linotype"/>
          <w:i/>
          <w:color w:val="000000"/>
          <w:sz w:val="24"/>
          <w:szCs w:val="24"/>
        </w:rPr>
        <w:t>generarla, resumirla, efectuar cálculos o practicar investigaciones.” Por lo tanto la información solicitada es pública y obra la información en el Órgano Interno de Control de la CEPANAF, toda vez que las preguntas solicitadas vía SAIMEX fueron precisas e</w:t>
      </w:r>
      <w:r>
        <w:rPr>
          <w:rFonts w:ascii="Palatino Linotype" w:eastAsia="Palatino Linotype" w:hAnsi="Palatino Linotype" w:cs="Palatino Linotype"/>
          <w:i/>
          <w:color w:val="000000"/>
          <w:sz w:val="24"/>
          <w:szCs w:val="24"/>
        </w:rPr>
        <w:t xml:space="preserve">n ámbito interno de la contraloría de la CEPANAF Por otra parte y con fundamento en el artículo de 19 de la </w:t>
      </w:r>
      <w:r>
        <w:rPr>
          <w:rFonts w:ascii="Palatino Linotype" w:eastAsia="Palatino Linotype" w:hAnsi="Palatino Linotype" w:cs="Palatino Linotype"/>
          <w:i/>
          <w:color w:val="000000"/>
          <w:sz w:val="24"/>
          <w:szCs w:val="24"/>
        </w:rPr>
        <w:lastRenderedPageBreak/>
        <w:t>Ley de Transparencia y Acceso a la Información Pública del Estado de México y Municipios no actuó conforme a derecho toda vez que no motivo la incom</w:t>
      </w:r>
      <w:r>
        <w:rPr>
          <w:rFonts w:ascii="Palatino Linotype" w:eastAsia="Palatino Linotype" w:hAnsi="Palatino Linotype" w:cs="Palatino Linotype"/>
          <w:i/>
          <w:color w:val="000000"/>
          <w:sz w:val="24"/>
          <w:szCs w:val="24"/>
        </w:rPr>
        <w:t>petencia de la solitud declarando la incompetencia a mi solicitud sin razón alguna, toda vez que por ser información interna debe obrar dicha información que administra, maneja o procesa el Órgano Interno de Control de la CEPANAF. En virtud y con fundament</w:t>
      </w:r>
      <w:r>
        <w:rPr>
          <w:rFonts w:ascii="Palatino Linotype" w:eastAsia="Palatino Linotype" w:hAnsi="Palatino Linotype" w:cs="Palatino Linotype"/>
          <w:i/>
          <w:color w:val="000000"/>
          <w:sz w:val="24"/>
          <w:szCs w:val="24"/>
        </w:rPr>
        <w:t>o en el artículo 24 no me fue proporcionada la información pública que genera, administra y posee en el ejercicio de sus atribuciones el Órgano Interno de Control de la CEPANAF. Por lo anteriormente expuesto y fundado, PRIMERO. - Se me tenga por interpuest</w:t>
      </w:r>
      <w:r>
        <w:rPr>
          <w:rFonts w:ascii="Palatino Linotype" w:eastAsia="Palatino Linotype" w:hAnsi="Palatino Linotype" w:cs="Palatino Linotype"/>
          <w:i/>
          <w:color w:val="000000"/>
          <w:sz w:val="24"/>
          <w:szCs w:val="24"/>
        </w:rPr>
        <w:t>o el Recurso de Inconformidad, toda vez que no fue fundado y motivado correctamente, así no me fue entregada la información pública y no me fue informado donde buscarla o en su caso si la Secretaria de la Contraloría del Estado de México en el ejercicio de</w:t>
      </w:r>
      <w:r>
        <w:rPr>
          <w:rFonts w:ascii="Palatino Linotype" w:eastAsia="Palatino Linotype" w:hAnsi="Palatino Linotype" w:cs="Palatino Linotype"/>
          <w:i/>
          <w:color w:val="000000"/>
          <w:sz w:val="24"/>
          <w:szCs w:val="24"/>
        </w:rPr>
        <w:t xml:space="preserve"> sus facultades y atribuciones sea la responsable de dar respuesta a mi petición. SEGUNDO. - Se declare procedente el presente Recurso de Inconformidad a fin de que se me otorgue respuesta a mi petición de cada una de las preguntas solicitadas. "</w:t>
      </w:r>
      <w:r>
        <w:rPr>
          <w:rFonts w:ascii="Palatino Linotype" w:eastAsia="Palatino Linotype" w:hAnsi="Palatino Linotype" w:cs="Palatino Linotype"/>
          <w:color w:val="000000"/>
          <w:sz w:val="24"/>
          <w:szCs w:val="24"/>
        </w:rPr>
        <w:t>(Sic)</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color w:val="000000"/>
          <w:sz w:val="24"/>
          <w:szCs w:val="24"/>
        </w:rPr>
        <w:t xml:space="preserve">registró el recurso de revisión bajo el número de expediente al rubro indicado, asimismo con fundamento en lo dispuesto por el artículo 185 fracción I de la </w:t>
      </w:r>
      <w:r>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Pr>
          <w:rFonts w:ascii="Palatino Linotype" w:eastAsia="Palatino Linotype" w:hAnsi="Palatino Linotype" w:cs="Palatino Linotype"/>
          <w:color w:val="000000"/>
          <w:sz w:val="24"/>
          <w:szCs w:val="24"/>
        </w:rPr>
        <w:t>se turnó a</w:t>
      </w:r>
      <w:r>
        <w:rPr>
          <w:rFonts w:ascii="Palatino Linotype" w:eastAsia="Palatino Linotype" w:hAnsi="Palatino Linotype" w:cs="Palatino Linotype"/>
          <w:color w:val="000000"/>
          <w:sz w:val="24"/>
          <w:szCs w:val="24"/>
        </w:rPr>
        <w:t xml:space="preserve"> la </w:t>
      </w:r>
      <w:r>
        <w:rPr>
          <w:rFonts w:ascii="Palatino Linotype" w:eastAsia="Palatino Linotype" w:hAnsi="Palatino Linotype" w:cs="Palatino Linotype"/>
          <w:b/>
          <w:color w:val="000000"/>
          <w:sz w:val="24"/>
          <w:szCs w:val="24"/>
        </w:rPr>
        <w:t xml:space="preserve">Comisionada María del Rosario Mejía Ayala, </w:t>
      </w:r>
      <w:r>
        <w:rPr>
          <w:rFonts w:ascii="Palatino Linotype" w:eastAsia="Palatino Linotype" w:hAnsi="Palatino Linotype" w:cs="Palatino Linotype"/>
          <w:color w:val="000000"/>
          <w:sz w:val="24"/>
          <w:szCs w:val="24"/>
        </w:rPr>
        <w:t>con el objeto de su análisis.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El Comisionado Ponente con fundamento en lo dispuesto por el artículo 185 fracción II de la ley de la materia, a través del acuerdo de admisión de fecha dos (2) de </w:t>
      </w:r>
      <w:r>
        <w:rPr>
          <w:rFonts w:ascii="Palatino Linotype" w:eastAsia="Palatino Linotype" w:hAnsi="Palatino Linotype" w:cs="Palatino Linotype"/>
          <w:color w:val="000000"/>
          <w:sz w:val="24"/>
          <w:szCs w:val="24"/>
        </w:rPr>
        <w:lastRenderedPageBreak/>
        <w:t xml:space="preserve">septiembre de dos mil veintiuno, puso a disposición de las partes el expediente electrónico </w:t>
      </w:r>
      <w:r>
        <w:rPr>
          <w:rFonts w:ascii="Palatino Linotype" w:eastAsia="Palatino Linotype" w:hAnsi="Palatino Linotype" w:cs="Palatino Linotype"/>
          <w:color w:val="000000"/>
          <w:sz w:val="24"/>
          <w:szCs w:val="24"/>
        </w:rPr>
        <w:t xml:space="preserve">vía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presentara el informe justificado procedente.</w:t>
      </w:r>
    </w:p>
    <w:p w:rsidR="004D5693" w:rsidRDefault="004D5693">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del SAIMEX se aprecia que el Sujeto Obligado, el tres (3) y trece (13) de septiembre de dos mil veintiuno, remitió los documentos electrónicos denominados </w:t>
      </w:r>
      <w:proofErr w:type="spellStart"/>
      <w:r>
        <w:rPr>
          <w:rFonts w:ascii="Palatino Linotype" w:eastAsia="Palatino Linotype" w:hAnsi="Palatino Linotype" w:cs="Palatino Linotype"/>
          <w:b/>
          <w:i/>
          <w:color w:val="000000"/>
          <w:sz w:val="24"/>
          <w:szCs w:val="24"/>
        </w:rPr>
        <w:t>Manifestacion</w:t>
      </w:r>
      <w:proofErr w:type="spellEnd"/>
      <w:r>
        <w:rPr>
          <w:rFonts w:ascii="Palatino Linotype" w:eastAsia="Palatino Linotype" w:hAnsi="Palatino Linotype" w:cs="Palatino Linotype"/>
          <w:b/>
          <w:i/>
          <w:color w:val="000000"/>
          <w:sz w:val="24"/>
          <w:szCs w:val="24"/>
        </w:rPr>
        <w:t xml:space="preserve"> RR 04348.pdf; y, Comisionad</w:t>
      </w:r>
      <w:r>
        <w:rPr>
          <w:rFonts w:ascii="Palatino Linotype" w:eastAsia="Palatino Linotype" w:hAnsi="Palatino Linotype" w:cs="Palatino Linotype"/>
          <w:b/>
          <w:i/>
          <w:color w:val="000000"/>
          <w:sz w:val="24"/>
          <w:szCs w:val="24"/>
        </w:rPr>
        <w:t xml:space="preserve">os de INFOEM considerar esta </w:t>
      </w:r>
      <w:proofErr w:type="spellStart"/>
      <w:r>
        <w:rPr>
          <w:rFonts w:ascii="Palatino Linotype" w:eastAsia="Palatino Linotype" w:hAnsi="Palatino Linotype" w:cs="Palatino Linotype"/>
          <w:b/>
          <w:i/>
          <w:color w:val="000000"/>
          <w:sz w:val="24"/>
          <w:szCs w:val="24"/>
        </w:rPr>
        <w:t>Manifestacion</w:t>
      </w:r>
      <w:proofErr w:type="spellEnd"/>
      <w:r>
        <w:rPr>
          <w:rFonts w:ascii="Palatino Linotype" w:eastAsia="Palatino Linotype" w:hAnsi="Palatino Linotype" w:cs="Palatino Linotype"/>
          <w:b/>
          <w:i/>
          <w:color w:val="000000"/>
          <w:sz w:val="24"/>
          <w:szCs w:val="24"/>
        </w:rPr>
        <w:t xml:space="preserve"> RR. 04348</w:t>
      </w:r>
      <w:proofErr w:type="gramStart"/>
      <w:r>
        <w:rPr>
          <w:rFonts w:ascii="Palatino Linotype" w:eastAsia="Palatino Linotype" w:hAnsi="Palatino Linotype" w:cs="Palatino Linotype"/>
          <w:b/>
          <w:i/>
          <w:color w:val="000000"/>
          <w:sz w:val="24"/>
          <w:szCs w:val="24"/>
        </w:rPr>
        <w:t>.pdf</w:t>
      </w:r>
      <w:proofErr w:type="gramEnd"/>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los cuales se pusieron a la vista del Recurrente en fecha veintiocho (28) septiembre de dos mil veintiuno, no obstante, se procede a describir su contenido medular.</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b/>
          <w:i/>
          <w:color w:val="000000"/>
          <w:sz w:val="24"/>
          <w:szCs w:val="24"/>
        </w:rPr>
        <w:t>Manifestacion</w:t>
      </w:r>
      <w:proofErr w:type="spellEnd"/>
      <w:r>
        <w:rPr>
          <w:rFonts w:ascii="Palatino Linotype" w:eastAsia="Palatino Linotype" w:hAnsi="Palatino Linotype" w:cs="Palatino Linotype"/>
          <w:b/>
          <w:i/>
          <w:color w:val="000000"/>
          <w:sz w:val="24"/>
          <w:szCs w:val="24"/>
        </w:rPr>
        <w:t xml:space="preserve"> RR 04348.pdf y Comisionados de INFOEM considerar esta </w:t>
      </w:r>
      <w:proofErr w:type="spellStart"/>
      <w:r>
        <w:rPr>
          <w:rFonts w:ascii="Palatino Linotype" w:eastAsia="Palatino Linotype" w:hAnsi="Palatino Linotype" w:cs="Palatino Linotype"/>
          <w:b/>
          <w:i/>
          <w:color w:val="000000"/>
          <w:sz w:val="24"/>
          <w:szCs w:val="24"/>
        </w:rPr>
        <w:t>Manifestacion</w:t>
      </w:r>
      <w:proofErr w:type="spellEnd"/>
      <w:r>
        <w:rPr>
          <w:rFonts w:ascii="Palatino Linotype" w:eastAsia="Palatino Linotype" w:hAnsi="Palatino Linotype" w:cs="Palatino Linotype"/>
          <w:b/>
          <w:i/>
          <w:color w:val="000000"/>
          <w:sz w:val="24"/>
          <w:szCs w:val="24"/>
        </w:rPr>
        <w:t xml:space="preserve"> RR. 04348</w:t>
      </w:r>
      <w:proofErr w:type="gramStart"/>
      <w:r>
        <w:rPr>
          <w:rFonts w:ascii="Palatino Linotype" w:eastAsia="Palatino Linotype" w:hAnsi="Palatino Linotype" w:cs="Palatino Linotype"/>
          <w:b/>
          <w:i/>
          <w:color w:val="000000"/>
          <w:sz w:val="24"/>
          <w:szCs w:val="24"/>
        </w:rPr>
        <w:t>.pdf</w:t>
      </w:r>
      <w:proofErr w:type="gramEnd"/>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Ambos documentos contienen la misma información;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Documento suscrito por la Unidad de Transparencia del Sujeto Obligado mediante el cual pide que se ratifique l</w:t>
      </w:r>
      <w:r>
        <w:rPr>
          <w:rFonts w:ascii="Palatino Linotype" w:eastAsia="Palatino Linotype" w:hAnsi="Palatino Linotype" w:cs="Palatino Linotype"/>
          <w:color w:val="000000"/>
          <w:sz w:val="24"/>
          <w:szCs w:val="24"/>
        </w:rPr>
        <w:t>a respuesta emitida a la solicitud.</w:t>
      </w:r>
    </w:p>
    <w:p w:rsidR="004D5693" w:rsidRDefault="004D5693">
      <w:pPr>
        <w:pBdr>
          <w:top w:val="nil"/>
          <w:left w:val="nil"/>
          <w:bottom w:val="nil"/>
          <w:right w:val="nil"/>
          <w:between w:val="nil"/>
        </w:pBdr>
        <w:spacing w:line="360" w:lineRule="auto"/>
        <w:ind w:left="426"/>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222222"/>
          <w:sz w:val="24"/>
          <w:szCs w:val="24"/>
        </w:rPr>
        <w:t xml:space="preserve">Por su parte, el Recurrente, el diez (10) de septiembre de dos mil veintiuno, remitió los documentos electrónicos denominados </w:t>
      </w:r>
      <w:r>
        <w:rPr>
          <w:rFonts w:ascii="Palatino Linotype" w:eastAsia="Palatino Linotype" w:hAnsi="Palatino Linotype" w:cs="Palatino Linotype"/>
          <w:b/>
          <w:i/>
          <w:color w:val="222222"/>
          <w:sz w:val="24"/>
          <w:szCs w:val="24"/>
        </w:rPr>
        <w:t>RESPUESTA SAIMEX.pdf; RESPUESTA SAIMEX.pdf; leyvig233.pdf; alegatos.docx; y MANUAL GENERAL DE</w:t>
      </w:r>
      <w:r>
        <w:rPr>
          <w:rFonts w:ascii="Palatino Linotype" w:eastAsia="Palatino Linotype" w:hAnsi="Palatino Linotype" w:cs="Palatino Linotype"/>
          <w:b/>
          <w:i/>
          <w:color w:val="222222"/>
          <w:sz w:val="24"/>
          <w:szCs w:val="24"/>
        </w:rPr>
        <w:t xml:space="preserve"> ORGANIZACIÓN DE LA CEPANAF.PDF: </w:t>
      </w:r>
      <w:r>
        <w:rPr>
          <w:rFonts w:ascii="Palatino Linotype" w:eastAsia="Palatino Linotype" w:hAnsi="Palatino Linotype" w:cs="Palatino Linotype"/>
          <w:color w:val="222222"/>
          <w:sz w:val="24"/>
          <w:szCs w:val="24"/>
        </w:rPr>
        <w:t>los cuales contienen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4D5693" w:rsidRDefault="00A64855">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i/>
          <w:color w:val="222222"/>
          <w:sz w:val="24"/>
          <w:szCs w:val="24"/>
        </w:rPr>
        <w:lastRenderedPageBreak/>
        <w:t xml:space="preserve">RESPUESTA SAIMEX.pdf: </w:t>
      </w:r>
      <w:r>
        <w:rPr>
          <w:rFonts w:ascii="Palatino Linotype" w:eastAsia="Palatino Linotype" w:hAnsi="Palatino Linotype" w:cs="Palatino Linotype"/>
          <w:color w:val="222222"/>
          <w:sz w:val="24"/>
          <w:szCs w:val="24"/>
        </w:rPr>
        <w:t>El Recurrente remitió en dos ocasiones el mismo archivo, el cual es la respuesta integra del Sujeto Obligado.</w:t>
      </w:r>
    </w:p>
    <w:p w:rsidR="004D5693" w:rsidRDefault="00A64855">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i/>
          <w:color w:val="222222"/>
          <w:sz w:val="24"/>
          <w:szCs w:val="24"/>
        </w:rPr>
        <w:t xml:space="preserve">leyvig233.pdf: </w:t>
      </w:r>
      <w:r>
        <w:rPr>
          <w:rFonts w:ascii="Palatino Linotype" w:eastAsia="Palatino Linotype" w:hAnsi="Palatino Linotype" w:cs="Palatino Linotype"/>
          <w:color w:val="222222"/>
          <w:sz w:val="24"/>
          <w:szCs w:val="24"/>
        </w:rPr>
        <w:t>Contiene la Ley de Transparencia y Acceso a la Información Pública del Estado de México y Municipios</w:t>
      </w:r>
    </w:p>
    <w:p w:rsidR="004D5693" w:rsidRDefault="00A64855">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i/>
          <w:color w:val="222222"/>
          <w:sz w:val="24"/>
          <w:szCs w:val="24"/>
        </w:rPr>
        <w:t xml:space="preserve">alegatos.docx: </w:t>
      </w:r>
      <w:r>
        <w:rPr>
          <w:rFonts w:ascii="Palatino Linotype" w:eastAsia="Palatino Linotype" w:hAnsi="Palatino Linotype" w:cs="Palatino Linotype"/>
          <w:color w:val="222222"/>
          <w:sz w:val="24"/>
          <w:szCs w:val="24"/>
        </w:rPr>
        <w:t>El Recurrente manifestó que el Sujeto Obligado no fundamentó ni motivó su respuesta, asimismo, refirió que existió una negativa a entregar l</w:t>
      </w:r>
      <w:r>
        <w:rPr>
          <w:rFonts w:ascii="Palatino Linotype" w:eastAsia="Palatino Linotype" w:hAnsi="Palatino Linotype" w:cs="Palatino Linotype"/>
          <w:color w:val="222222"/>
          <w:sz w:val="24"/>
          <w:szCs w:val="24"/>
        </w:rPr>
        <w:t>a información requerida.</w:t>
      </w:r>
    </w:p>
    <w:p w:rsidR="004D5693" w:rsidRDefault="00A64855">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i/>
          <w:color w:val="222222"/>
          <w:sz w:val="24"/>
          <w:szCs w:val="24"/>
        </w:rPr>
        <w:t xml:space="preserve">MANUAL GENERAL DE ORGANIZACIÓN DE LA CEPANAF.PDF: </w:t>
      </w:r>
      <w:r>
        <w:rPr>
          <w:rFonts w:ascii="Palatino Linotype" w:eastAsia="Palatino Linotype" w:hAnsi="Palatino Linotype" w:cs="Palatino Linotype"/>
          <w:color w:val="222222"/>
          <w:sz w:val="24"/>
          <w:szCs w:val="24"/>
        </w:rPr>
        <w:t xml:space="preserve">Contiene el Manual General de Organización de la Comisión Estatal de Parques Naturales y de la Fauna. </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día doce (12) de octubre de dos mil veintiuno, se notificó el acuerdo mediante el cual se amplió el plazo para emitir resolución por un periodo de quince días hábiles.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trece (13) de octubre de dos mil veintiuno, el Comisionado Ponente decretó el cie</w:t>
      </w:r>
      <w:r>
        <w:rPr>
          <w:rFonts w:ascii="Palatino Linotype" w:eastAsia="Palatino Linotype" w:hAnsi="Palatino Linotype" w:cs="Palatino Linotype"/>
          <w:color w:val="000000"/>
          <w:sz w:val="24"/>
          <w:szCs w:val="24"/>
        </w:rPr>
        <w:t>rre de instrucción y procedió a emitir la resolución que a continuación se pronuncia; y - - - - - - - - - - - - - - - - - - - - - - - - - - - - - -- - - - - - - - - - - - - - - - - - - - - - - - -</w:t>
      </w:r>
    </w:p>
    <w:p w:rsidR="004D5693" w:rsidRDefault="00A64855">
      <w:pPr>
        <w:pStyle w:val="Ttulo1"/>
        <w:jc w:val="center"/>
        <w:rPr>
          <w:rFonts w:ascii="Palatino Linotype" w:eastAsia="Palatino Linotype" w:hAnsi="Palatino Linotype" w:cs="Palatino Linotype"/>
          <w:b/>
          <w:color w:val="000000"/>
          <w:sz w:val="24"/>
          <w:szCs w:val="24"/>
        </w:rPr>
      </w:pPr>
      <w:bookmarkStart w:id="2" w:name="_heading=h.1fob9te" w:colFirst="0" w:colLast="0"/>
      <w:bookmarkEnd w:id="2"/>
      <w:r>
        <w:rPr>
          <w:rFonts w:ascii="Palatino Linotype" w:eastAsia="Palatino Linotype" w:hAnsi="Palatino Linotype" w:cs="Palatino Linotype"/>
          <w:b/>
          <w:color w:val="000000"/>
          <w:sz w:val="24"/>
          <w:szCs w:val="24"/>
        </w:rPr>
        <w:t xml:space="preserve">CONSIDERANDO </w:t>
      </w:r>
    </w:p>
    <w:p w:rsidR="004D5693" w:rsidRDefault="004D5693">
      <w:pPr>
        <w:rPr>
          <w:rFonts w:ascii="Palatino Linotype" w:eastAsia="Palatino Linotype" w:hAnsi="Palatino Linotype" w:cs="Palatino Linotype"/>
          <w:sz w:val="24"/>
          <w:szCs w:val="24"/>
        </w:rPr>
      </w:pPr>
    </w:p>
    <w:p w:rsidR="004D5693" w:rsidRDefault="00A64855">
      <w:pPr>
        <w:pStyle w:val="Ttulo2"/>
        <w:rPr>
          <w:rFonts w:ascii="Palatino Linotype" w:eastAsia="Palatino Linotype" w:hAnsi="Palatino Linotype" w:cs="Palatino Linotype"/>
          <w:b/>
          <w:color w:val="000000"/>
          <w:sz w:val="24"/>
          <w:szCs w:val="24"/>
        </w:rPr>
      </w:pPr>
      <w:bookmarkStart w:id="3" w:name="_heading=h.3znysh7" w:colFirst="0" w:colLast="0"/>
      <w:bookmarkEnd w:id="3"/>
      <w:r>
        <w:rPr>
          <w:rFonts w:ascii="Palatino Linotype" w:eastAsia="Palatino Linotype" w:hAnsi="Palatino Linotype" w:cs="Palatino Linotype"/>
          <w:b/>
          <w:color w:val="000000"/>
          <w:sz w:val="24"/>
          <w:szCs w:val="24"/>
        </w:rPr>
        <w:t>PRIMERO. De la competencia</w:t>
      </w:r>
    </w:p>
    <w:p w:rsidR="004D5693" w:rsidRDefault="00A64855">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w:t>
      </w:r>
      <w:r>
        <w:rPr>
          <w:rFonts w:ascii="Palatino Linotype" w:eastAsia="Palatino Linotype" w:hAnsi="Palatino Linotype" w:cs="Palatino Linotype"/>
          <w:color w:val="000000"/>
          <w:sz w:val="24"/>
          <w:szCs w:val="24"/>
        </w:rPr>
        <w:lastRenderedPageBreak/>
        <w:t>y resolver del presente recurso de conformidad con el artículo: 6, apartado A, fracción IV de la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Constitución Política de los Estados Unidos Mexicanos</w:t>
      </w:r>
      <w:r>
        <w:rPr>
          <w:rFonts w:ascii="Palatino Linotype" w:eastAsia="Palatino Linotype" w:hAnsi="Palatino Linotype" w:cs="Palatino Linotype"/>
          <w:color w:val="000000"/>
          <w:sz w:val="24"/>
          <w:szCs w:val="24"/>
        </w:rPr>
        <w:t>; 5, párrafos</w:t>
      </w:r>
      <w:r>
        <w:rPr>
          <w:rFonts w:ascii="Palatino Linotype" w:eastAsia="Palatino Linotype" w:hAnsi="Palatino Linotype" w:cs="Palatino Linotype"/>
          <w:color w:val="222222"/>
          <w:sz w:val="24"/>
          <w:szCs w:val="24"/>
        </w:rPr>
        <w:t xml:space="preserve"> trigésimo y trigésimo primero fracciones</w:t>
      </w:r>
      <w:r>
        <w:rPr>
          <w:rFonts w:ascii="Palatino Linotype" w:eastAsia="Palatino Linotype" w:hAnsi="Palatino Linotype" w:cs="Palatino Linotype"/>
          <w:color w:val="000000"/>
          <w:sz w:val="24"/>
          <w:szCs w:val="24"/>
        </w:rPr>
        <w:t xml:space="preserve"> IV y V de la </w:t>
      </w:r>
      <w:r>
        <w:rPr>
          <w:rFonts w:ascii="Palatino Linotype" w:eastAsia="Palatino Linotype" w:hAnsi="Palatino Linotype" w:cs="Palatino Linotype"/>
          <w:b/>
          <w:color w:val="000000"/>
          <w:sz w:val="24"/>
          <w:szCs w:val="24"/>
        </w:rPr>
        <w:t>Constitución Política del Estado Libre y Soberano de México</w:t>
      </w:r>
      <w:r>
        <w:rPr>
          <w:rFonts w:ascii="Palatino Linotype" w:eastAsia="Palatino Linotype" w:hAnsi="Palatino Linotype" w:cs="Palatino Linotype"/>
          <w:color w:val="000000"/>
          <w:sz w:val="24"/>
          <w:szCs w:val="24"/>
        </w:rPr>
        <w:t xml:space="preserve">; artículos 1, 2 fracción II, 13, 29, 36 fracciones I y II, 176, 178, 179, 181 párrafo tercero y 185 de la </w:t>
      </w:r>
      <w:r>
        <w:rPr>
          <w:rFonts w:ascii="Palatino Linotype" w:eastAsia="Palatino Linotype" w:hAnsi="Palatino Linotype" w:cs="Palatino Linotype"/>
          <w:b/>
          <w:color w:val="000000"/>
          <w:sz w:val="24"/>
          <w:szCs w:val="24"/>
        </w:rPr>
        <w:t>Ley de Transparencia y Acceso a la Información Pública del Estado de México y Municipios</w:t>
      </w:r>
      <w:r>
        <w:rPr>
          <w:rFonts w:ascii="Palatino Linotype" w:eastAsia="Palatino Linotype" w:hAnsi="Palatino Linotype" w:cs="Palatino Linotype"/>
          <w:color w:val="000000"/>
          <w:sz w:val="24"/>
          <w:szCs w:val="24"/>
        </w:rPr>
        <w:t xml:space="preserve">; y 7, 9 fracciones I y XXIV, y 11 del </w:t>
      </w:r>
      <w:r>
        <w:rPr>
          <w:rFonts w:ascii="Palatino Linotype" w:eastAsia="Palatino Linotype" w:hAnsi="Palatino Linotype" w:cs="Palatino Linotype"/>
          <w:b/>
          <w:color w:val="000000"/>
          <w:sz w:val="24"/>
          <w:szCs w:val="24"/>
        </w:rPr>
        <w:t>Reglamento Interior de</w:t>
      </w:r>
      <w:r>
        <w:rPr>
          <w:rFonts w:ascii="Palatino Linotype" w:eastAsia="Palatino Linotype" w:hAnsi="Palatino Linotype" w:cs="Palatino Linotype"/>
          <w:b/>
          <w:color w:val="000000"/>
          <w:sz w:val="24"/>
          <w:szCs w:val="24"/>
        </w:rPr>
        <w:t>l Instituto de Transparencia, Acceso a la Información Pública y Protección de Datos Personales del Estado de México y Municipios</w:t>
      </w:r>
      <w:r>
        <w:rPr>
          <w:rFonts w:ascii="Palatino Linotype" w:eastAsia="Palatino Linotype" w:hAnsi="Palatino Linotype" w:cs="Palatino Linotype"/>
          <w:color w:val="000000"/>
          <w:sz w:val="24"/>
          <w:szCs w:val="24"/>
        </w:rPr>
        <w:t>.</w:t>
      </w:r>
    </w:p>
    <w:p w:rsidR="004D5693" w:rsidRDefault="00A64855">
      <w:pPr>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a lo anterior, este Órgano Garante estima pertinente realizar un pronunciamiento ya que consientes de la situación que </w:t>
      </w:r>
      <w:r>
        <w:rPr>
          <w:rFonts w:ascii="Palatino Linotype" w:eastAsia="Palatino Linotype" w:hAnsi="Palatino Linotype" w:cs="Palatino Linotype"/>
          <w:color w:val="000000"/>
          <w:sz w:val="24"/>
          <w:szCs w:val="24"/>
        </w:rPr>
        <w:t>se vive en la actualidad a fin de otorgarle a los ciudadanos herramientas ágiles y accesibles para el ejercicio de los derechos humanos que se tutelan, se considera que a pesar de las condiciones a las que nos enfrentamos, se cuentan con las herramientas t</w:t>
      </w:r>
      <w:r>
        <w:rPr>
          <w:rFonts w:ascii="Palatino Linotype" w:eastAsia="Palatino Linotype" w:hAnsi="Palatino Linotype" w:cs="Palatino Linotype"/>
          <w:color w:val="000000"/>
          <w:sz w:val="24"/>
          <w:szCs w:val="24"/>
        </w:rPr>
        <w:t>écnicas y tecnológicas necesarias que eviten mermar el ejercicio de los derechos correspondientes, sin que ello implique el poner en riesgo el diverso derecho a la salud de todos los partícipes en los procesos que conllevan.</w:t>
      </w:r>
    </w:p>
    <w:p w:rsidR="004D5693" w:rsidRDefault="00A64855">
      <w:pPr>
        <w:pStyle w:val="Ttulo2"/>
        <w:rPr>
          <w:rFonts w:ascii="Palatino Linotype" w:eastAsia="Palatino Linotype" w:hAnsi="Palatino Linotype" w:cs="Palatino Linotype"/>
          <w:b/>
          <w:color w:val="000000"/>
          <w:sz w:val="24"/>
          <w:szCs w:val="24"/>
        </w:rPr>
      </w:pPr>
      <w:bookmarkStart w:id="4" w:name="_heading=h.2et92p0" w:colFirst="0" w:colLast="0"/>
      <w:bookmarkEnd w:id="4"/>
      <w:r>
        <w:rPr>
          <w:rFonts w:ascii="Palatino Linotype" w:eastAsia="Palatino Linotype" w:hAnsi="Palatino Linotype" w:cs="Palatino Linotype"/>
          <w:b/>
          <w:color w:val="000000"/>
          <w:sz w:val="24"/>
          <w:szCs w:val="24"/>
        </w:rPr>
        <w:t>SEGUNDO. De la oportunidad y pr</w:t>
      </w:r>
      <w:r>
        <w:rPr>
          <w:rFonts w:ascii="Palatino Linotype" w:eastAsia="Palatino Linotype" w:hAnsi="Palatino Linotype" w:cs="Palatino Linotype"/>
          <w:b/>
          <w:color w:val="000000"/>
          <w:sz w:val="24"/>
          <w:szCs w:val="24"/>
        </w:rPr>
        <w:t>ocedencia.</w:t>
      </w:r>
    </w:p>
    <w:p w:rsidR="004D5693" w:rsidRDefault="004D5693"/>
    <w:p w:rsidR="004D5693" w:rsidRDefault="00A64855">
      <w:pPr>
        <w:numPr>
          <w:ilvl w:val="0"/>
          <w:numId w:val="6"/>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medio de impugnación fue presentado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siendo así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entregó respuesta a la solicitud el veintisiete (27) de agosto de dos mil veintiuno, de tal forma que el plazo para </w:t>
      </w:r>
      <w:r>
        <w:rPr>
          <w:rFonts w:ascii="Palatino Linotype" w:eastAsia="Palatino Linotype" w:hAnsi="Palatino Linotype" w:cs="Palatino Linotype"/>
          <w:color w:val="000000"/>
          <w:sz w:val="24"/>
          <w:szCs w:val="24"/>
        </w:rPr>
        <w:lastRenderedPageBreak/>
        <w:t>interponer el recurso de revisión transcurrió del treinta (30) de agosto al veinte (20) de septiembre de dos mil veintiuno; en consecuencia</w:t>
      </w:r>
      <w:r>
        <w:rPr>
          <w:rFonts w:ascii="Palatino Linotype" w:eastAsia="Palatino Linotype" w:hAnsi="Palatino Linotype" w:cs="Palatino Linotype"/>
          <w:color w:val="000000"/>
          <w:sz w:val="24"/>
          <w:szCs w:val="24"/>
        </w:rPr>
        <w:t xml:space="preserve">, presentó su inconformidad el día treinta (30) de agosto de dos mil veintiuno, por lo que se encuentra dentro de los márgenes temporales previstos en el artículo 178 de la </w:t>
      </w:r>
      <w:r>
        <w:rPr>
          <w:rFonts w:ascii="Palatino Linotype" w:eastAsia="Palatino Linotype" w:hAnsi="Palatino Linotype" w:cs="Palatino Linotype"/>
          <w:b/>
          <w:color w:val="000000"/>
          <w:sz w:val="24"/>
          <w:szCs w:val="24"/>
        </w:rPr>
        <w:t>Ley de Transparencia y Acceso a la Información Pública del Estado de México y Munic</w:t>
      </w:r>
      <w:r>
        <w:rPr>
          <w:rFonts w:ascii="Palatino Linotype" w:eastAsia="Palatino Linotype" w:hAnsi="Palatino Linotype" w:cs="Palatino Linotype"/>
          <w:b/>
          <w:color w:val="000000"/>
          <w:sz w:val="24"/>
          <w:szCs w:val="24"/>
        </w:rPr>
        <w:t>ipios vigente.</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otro lado, el escrito contiene las formalidades previstas por el artículo 180 último párrafo de la Ley de la materia actual, por lo que es procedente que este Instituto de Transparencia, Acceso a la Información Pública y Protección de D</w:t>
      </w:r>
      <w:r>
        <w:rPr>
          <w:rFonts w:ascii="Palatino Linotype" w:eastAsia="Palatino Linotype" w:hAnsi="Palatino Linotype" w:cs="Palatino Linotype"/>
          <w:color w:val="000000"/>
          <w:sz w:val="24"/>
          <w:szCs w:val="24"/>
        </w:rPr>
        <w:t>atos Personales del Estado de México y Municipios, conozca y resuelva el presente recurso.</w:t>
      </w:r>
    </w:p>
    <w:p w:rsidR="004D5693" w:rsidRDefault="00A64855">
      <w:pPr>
        <w:pStyle w:val="Ttulo1"/>
        <w:rPr>
          <w:rFonts w:ascii="Palatino Linotype" w:eastAsia="Palatino Linotype" w:hAnsi="Palatino Linotype" w:cs="Palatino Linotype"/>
          <w:b/>
          <w:color w:val="000000"/>
          <w:sz w:val="24"/>
          <w:szCs w:val="24"/>
        </w:rPr>
      </w:pPr>
      <w:bookmarkStart w:id="5" w:name="_heading=h.tyjcwt" w:colFirst="0" w:colLast="0"/>
      <w:bookmarkEnd w:id="5"/>
      <w:r>
        <w:rPr>
          <w:rFonts w:ascii="Palatino Linotype" w:eastAsia="Palatino Linotype" w:hAnsi="Palatino Linotype" w:cs="Palatino Linotype"/>
          <w:b/>
          <w:color w:val="000000"/>
          <w:sz w:val="24"/>
          <w:szCs w:val="24"/>
        </w:rPr>
        <w:t xml:space="preserve">TERCERO. Planteamiento de la Litis </w:t>
      </w:r>
    </w:p>
    <w:p w:rsidR="004D5693" w:rsidRDefault="004D5693"/>
    <w:p w:rsidR="004D5693" w:rsidRDefault="00A64855">
      <w:pPr>
        <w:numPr>
          <w:ilvl w:val="0"/>
          <w:numId w:val="6"/>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El recurrente solicitó la siguiente información:</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4"/>
          <w:szCs w:val="24"/>
        </w:rPr>
      </w:pP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¿Cuál es la función del Órgano Interno de Control de la CEPANAF? </w:t>
      </w: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¿Qué licenciatura se requiere para ser auditor del Órgano Interno de Control de la CEPANAF?</w:t>
      </w: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¿Los auditores del Órgano Interno de Control de la CEPANAF cuentan con licenciatura acorde? </w:t>
      </w: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¿Con cuántos auditores cuenta del Órgano Interno de Control de la CEPAN</w:t>
      </w:r>
      <w:r>
        <w:rPr>
          <w:rFonts w:ascii="Palatino Linotype" w:eastAsia="Palatino Linotype" w:hAnsi="Palatino Linotype" w:cs="Palatino Linotype"/>
          <w:b/>
          <w:color w:val="000000"/>
          <w:sz w:val="24"/>
          <w:szCs w:val="24"/>
        </w:rPr>
        <w:t xml:space="preserve">AF? </w:t>
      </w: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¿Cuantas sanciones de servidores públicos que han incumplido con sus obligaciones ha impuesto el Órgano Interno de Control de la CEPANAF? </w:t>
      </w: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¿Cuánto tiempo tarda Órgano Interno de Control de la CEPANAF en emitir sanciones por denuncias o quejas?</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p>
    <w:p w:rsidR="004D5693" w:rsidRDefault="00A64855">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Suj</w:t>
      </w:r>
      <w:r>
        <w:rPr>
          <w:rFonts w:ascii="Palatino Linotype" w:eastAsia="Palatino Linotype" w:hAnsi="Palatino Linotype" w:cs="Palatino Linotype"/>
          <w:color w:val="000000"/>
          <w:sz w:val="24"/>
          <w:szCs w:val="24"/>
        </w:rPr>
        <w:t>eto Obligado manifestó que es incompetente para atender la solicitud, orientando al particular para que presente una solicitud ante la Secretaría de la Contraloría.</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p>
    <w:p w:rsidR="004D5693" w:rsidRDefault="00A64855">
      <w:pPr>
        <w:numPr>
          <w:ilvl w:val="1"/>
          <w:numId w:val="6"/>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recurrente se inconformó por la negativa a la entrega de la información.</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color w:val="000000"/>
          <w:sz w:val="24"/>
          <w:szCs w:val="24"/>
        </w:rPr>
      </w:pPr>
      <w:bookmarkStart w:id="6" w:name="_heading=h.3dy6vkm" w:colFirst="0" w:colLast="0"/>
      <w:bookmarkEnd w:id="6"/>
      <w:r>
        <w:rPr>
          <w:rFonts w:ascii="Palatino Linotype" w:eastAsia="Palatino Linotype" w:hAnsi="Palatino Linotype" w:cs="Palatino Linotype"/>
          <w:color w:val="000000"/>
          <w:sz w:val="24"/>
          <w:szCs w:val="24"/>
        </w:rPr>
        <w:t>Por lo anterior, en este recurso de revisión se analizará si se actualiza la causal de procedencia de las fracciones I y IV del artículo 179 de la Ley de Transparencia y Acceso a la Información Pública del Estado de México y Municipios, relativos a la nega</w:t>
      </w:r>
      <w:r>
        <w:rPr>
          <w:rFonts w:ascii="Palatino Linotype" w:eastAsia="Palatino Linotype" w:hAnsi="Palatino Linotype" w:cs="Palatino Linotype"/>
          <w:color w:val="000000"/>
          <w:sz w:val="24"/>
          <w:szCs w:val="24"/>
        </w:rPr>
        <w:t>tiva de la información y la declaración de incompetencia.</w:t>
      </w:r>
    </w:p>
    <w:p w:rsidR="004D5693" w:rsidRDefault="00A64855">
      <w:pPr>
        <w:pStyle w:val="Ttulo1"/>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Pr>
          <w:rFonts w:ascii="Palatino Linotype" w:eastAsia="Palatino Linotype" w:hAnsi="Palatino Linotype" w:cs="Palatino Linotype"/>
          <w:b/>
          <w:color w:val="000000"/>
          <w:sz w:val="24"/>
          <w:szCs w:val="24"/>
        </w:rPr>
        <w:t>CUARTO. Estudio y resolución del asunto</w:t>
      </w:r>
    </w:p>
    <w:p w:rsidR="004D5693" w:rsidRDefault="004D5693">
      <w:pPr>
        <w:rPr>
          <w:rFonts w:ascii="Palatino Linotype" w:eastAsia="Palatino Linotype" w:hAnsi="Palatino Linotype" w:cs="Palatino Linotype"/>
          <w:sz w:val="24"/>
          <w:szCs w:val="24"/>
        </w:rPr>
      </w:pPr>
    </w:p>
    <w:p w:rsidR="004D5693" w:rsidRDefault="00A64855">
      <w:pPr>
        <w:pStyle w:val="Ttulo2"/>
        <w:numPr>
          <w:ilvl w:val="1"/>
          <w:numId w:val="6"/>
        </w:numPr>
        <w:spacing w:line="259" w:lineRule="auto"/>
        <w:ind w:left="993"/>
        <w:rPr>
          <w:rFonts w:ascii="Palatino Linotype" w:eastAsia="Palatino Linotype" w:hAnsi="Palatino Linotype" w:cs="Palatino Linotype"/>
          <w:b/>
          <w:color w:val="000000"/>
          <w:sz w:val="24"/>
          <w:szCs w:val="24"/>
        </w:rPr>
      </w:pPr>
      <w:bookmarkStart w:id="8" w:name="_heading=h.4d34og8" w:colFirst="0" w:colLast="0"/>
      <w:bookmarkEnd w:id="8"/>
      <w:r>
        <w:rPr>
          <w:rFonts w:ascii="Palatino Linotype" w:eastAsia="Palatino Linotype" w:hAnsi="Palatino Linotype" w:cs="Palatino Linotype"/>
          <w:b/>
          <w:color w:val="000000"/>
          <w:sz w:val="24"/>
          <w:szCs w:val="24"/>
        </w:rPr>
        <w:t>De la fuente obligacional</w:t>
      </w:r>
    </w:p>
    <w:p w:rsidR="004D5693" w:rsidRDefault="004D5693"/>
    <w:p w:rsidR="004D5693" w:rsidRDefault="00A64855">
      <w:pPr>
        <w:numPr>
          <w:ilvl w:val="0"/>
          <w:numId w:val="6"/>
        </w:numPr>
        <w:spacing w:line="360" w:lineRule="auto"/>
        <w:ind w:left="0" w:right="34"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El Derecho de Acceso a la Información Pública, es un derecho humano reconocido en el Pacto de Derechos Civiles y Políticos en su a</w:t>
      </w:r>
      <w:r>
        <w:rPr>
          <w:rFonts w:ascii="Palatino Linotype" w:eastAsia="Palatino Linotype" w:hAnsi="Palatino Linotype" w:cs="Palatino Linotype"/>
          <w:color w:val="000000"/>
          <w:sz w:val="24"/>
          <w:szCs w:val="24"/>
        </w:rPr>
        <w:t xml:space="preserve">rtículo 19.2; en la Convención Americana sobre Derechos Humanos en su artículo 13.1; en el artículo </w:t>
      </w:r>
      <w:r>
        <w:rPr>
          <w:rFonts w:ascii="Palatino Linotype" w:eastAsia="Palatino Linotype" w:hAnsi="Palatino Linotype" w:cs="Palatino Linotype"/>
          <w:color w:val="000000"/>
          <w:sz w:val="24"/>
          <w:szCs w:val="24"/>
        </w:rPr>
        <w:lastRenderedPageBreak/>
        <w:t xml:space="preserve">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sz w:val="24"/>
          <w:szCs w:val="24"/>
        </w:rPr>
        <w:t>Const</w:t>
      </w:r>
      <w:r>
        <w:rPr>
          <w:rFonts w:ascii="Palatino Linotype" w:eastAsia="Palatino Linotype" w:hAnsi="Palatino Linotype" w:cs="Palatino Linotype"/>
          <w:b/>
          <w:color w:val="000000"/>
          <w:sz w:val="24"/>
          <w:szCs w:val="24"/>
        </w:rPr>
        <w:t xml:space="preserve">itución Política de los Estados Unidos Mexicanos </w:t>
      </w:r>
      <w:r>
        <w:rPr>
          <w:rFonts w:ascii="Palatino Linotype" w:eastAsia="Palatino Linotype" w:hAnsi="Palatino Linotype" w:cs="Palatino Linotype"/>
          <w:color w:val="000000"/>
          <w:sz w:val="24"/>
          <w:szCs w:val="24"/>
        </w:rPr>
        <w:t xml:space="preserve">al señalar la obligación de “promover, </w:t>
      </w:r>
      <w:r>
        <w:rPr>
          <w:rFonts w:ascii="Palatino Linotype" w:eastAsia="Palatino Linotype" w:hAnsi="Palatino Linotype" w:cs="Palatino Linotype"/>
          <w:b/>
          <w:color w:val="000000"/>
          <w:sz w:val="24"/>
          <w:szCs w:val="24"/>
        </w:rPr>
        <w:t>respetar</w:t>
      </w:r>
      <w:r>
        <w:rPr>
          <w:rFonts w:ascii="Palatino Linotype" w:eastAsia="Palatino Linotype" w:hAnsi="Palatino Linotype" w:cs="Palatino Linotype"/>
          <w:color w:val="000000"/>
          <w:sz w:val="24"/>
          <w:szCs w:val="24"/>
        </w:rPr>
        <w:t xml:space="preserve">, proteger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entre los cuales se encuentra dicho derecho. </w:t>
      </w:r>
    </w:p>
    <w:p w:rsidR="004D5693" w:rsidRDefault="004D5693">
      <w:pPr>
        <w:tabs>
          <w:tab w:val="left" w:pos="284"/>
        </w:tabs>
        <w:spacing w:line="360" w:lineRule="auto"/>
        <w:ind w:right="49"/>
        <w:jc w:val="both"/>
        <w:rPr>
          <w:rFonts w:ascii="Palatino Linotype" w:eastAsia="Palatino Linotype" w:hAnsi="Palatino Linotype" w:cs="Palatino Linotype"/>
          <w:color w:val="000000"/>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t>Definiendo el Derecho de Acceso a la Información Pública como</w:t>
      </w:r>
      <w:r>
        <w:rPr>
          <w:rFonts w:ascii="Palatino Linotype" w:eastAsia="Palatino Linotype" w:hAnsi="Palatino Linotype" w:cs="Palatino Linotype"/>
        </w:rPr>
        <w:t xml:space="preserve">: </w:t>
      </w:r>
      <w:r>
        <w:rPr>
          <w:rFonts w:ascii="Palatino Linotype" w:eastAsia="Palatino Linotype" w:hAnsi="Palatino Linotype" w:cs="Palatino Linotype"/>
          <w:i/>
          <w:color w:val="000000"/>
          <w:sz w:val="22"/>
          <w:szCs w:val="22"/>
        </w:rPr>
        <w:t xml:space="preserve">La </w:t>
      </w:r>
      <w:r>
        <w:rPr>
          <w:rFonts w:ascii="Palatino Linotype" w:eastAsia="Palatino Linotype" w:hAnsi="Palatino Linotype" w:cs="Palatino Linotype"/>
          <w:i/>
          <w:color w:val="000000"/>
          <w:sz w:val="22"/>
          <w:szCs w:val="22"/>
        </w:rPr>
        <w:t>igualdad de oportunidades para recibir, buscar e impartir información</w:t>
      </w:r>
      <w:r>
        <w:rPr>
          <w:rFonts w:ascii="Palatino Linotype" w:eastAsia="Palatino Linotype" w:hAnsi="Palatino Linotype" w:cs="Palatino Linotype"/>
          <w:i/>
          <w:color w:val="000000"/>
          <w:sz w:val="22"/>
          <w:szCs w:val="22"/>
          <w:vertAlign w:val="superscript"/>
        </w:rPr>
        <w:footnoteReference w:id="1"/>
      </w:r>
      <w:r>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w:t>
      </w:r>
      <w:r>
        <w:rPr>
          <w:rFonts w:ascii="Palatino Linotype" w:eastAsia="Palatino Linotype" w:hAnsi="Palatino Linotype" w:cs="Palatino Linotype"/>
          <w:i/>
          <w:color w:val="000000"/>
          <w:sz w:val="22"/>
          <w:szCs w:val="22"/>
        </w:rPr>
        <w:t>sí como de cualquier persona física, moral o sindicato que reciba y ejerza recursos públicos o realice actos de autoridad en el ámbito federal, estatal y municipal,</w:t>
      </w:r>
      <w:r>
        <w:rPr>
          <w:rFonts w:ascii="Palatino Linotype" w:eastAsia="Palatino Linotype" w:hAnsi="Palatino Linotype" w:cs="Palatino Linotype"/>
          <w:i/>
          <w:color w:val="000000"/>
          <w:sz w:val="22"/>
          <w:szCs w:val="22"/>
          <w:vertAlign w:val="superscript"/>
        </w:rPr>
        <w:footnoteReference w:id="2"/>
      </w:r>
      <w:r>
        <w:rPr>
          <w:rFonts w:ascii="Palatino Linotype" w:eastAsia="Palatino Linotype" w:hAnsi="Palatino Linotype" w:cs="Palatino Linotype"/>
          <w:color w:val="000000"/>
          <w:sz w:val="22"/>
          <w:szCs w:val="22"/>
        </w:rPr>
        <w:t>que se constituye como una herramienta fundamental para ejercer</w:t>
      </w:r>
      <w:r>
        <w:rPr>
          <w:rFonts w:ascii="Palatino Linotype" w:eastAsia="Palatino Linotype" w:hAnsi="Palatino Linotype" w:cs="Palatino Linotype"/>
          <w:i/>
          <w:color w:val="000000"/>
          <w:sz w:val="22"/>
          <w:szCs w:val="22"/>
        </w:rPr>
        <w:t xml:space="preserve"> el control democrático de l</w:t>
      </w:r>
      <w:r>
        <w:rPr>
          <w:rFonts w:ascii="Palatino Linotype" w:eastAsia="Palatino Linotype" w:hAnsi="Palatino Linotype" w:cs="Palatino Linotype"/>
          <w:i/>
          <w:color w:val="000000"/>
          <w:sz w:val="22"/>
          <w:szCs w:val="22"/>
        </w:rPr>
        <w:t>as gestiones estatales, de forma tal que puedan cuestionar, indagar y considerar si se está dando un adecuado cumplimiento a las funciones públicas,</w:t>
      </w:r>
      <w:r>
        <w:rPr>
          <w:rFonts w:ascii="Palatino Linotype" w:eastAsia="Palatino Linotype" w:hAnsi="Palatino Linotype" w:cs="Palatino Linotype"/>
          <w:i/>
          <w:color w:val="000000"/>
          <w:sz w:val="22"/>
          <w:szCs w:val="22"/>
          <w:vertAlign w:val="superscript"/>
        </w:rPr>
        <w:footnoteReference w:id="3"/>
      </w:r>
      <w:r>
        <w:rPr>
          <w:rFonts w:ascii="Palatino Linotype" w:eastAsia="Palatino Linotype" w:hAnsi="Palatino Linotype" w:cs="Palatino Linotype"/>
          <w:color w:val="000000"/>
          <w:sz w:val="22"/>
          <w:szCs w:val="22"/>
        </w:rPr>
        <w:t>fomentando</w:t>
      </w:r>
      <w:r>
        <w:rPr>
          <w:rFonts w:ascii="Palatino Linotype" w:eastAsia="Palatino Linotype" w:hAnsi="Palatino Linotype" w:cs="Palatino Linotype"/>
          <w:i/>
          <w:color w:val="000000"/>
          <w:sz w:val="22"/>
          <w:szCs w:val="22"/>
        </w:rPr>
        <w:t xml:space="preserve"> la transparencia de las actividades estatales y </w:t>
      </w:r>
      <w:r>
        <w:rPr>
          <w:rFonts w:ascii="Palatino Linotype" w:eastAsia="Palatino Linotype" w:hAnsi="Palatino Linotype" w:cs="Palatino Linotype"/>
          <w:color w:val="000000"/>
          <w:sz w:val="22"/>
          <w:szCs w:val="22"/>
        </w:rPr>
        <w:t>promoviendo</w:t>
      </w:r>
      <w:r>
        <w:rPr>
          <w:rFonts w:ascii="Palatino Linotype" w:eastAsia="Palatino Linotype" w:hAnsi="Palatino Linotype" w:cs="Palatino Linotype"/>
          <w:i/>
          <w:color w:val="000000"/>
          <w:sz w:val="22"/>
          <w:szCs w:val="22"/>
        </w:rPr>
        <w:t xml:space="preserve"> la responsabilidad de los funcionari</w:t>
      </w:r>
      <w:r>
        <w:rPr>
          <w:rFonts w:ascii="Palatino Linotype" w:eastAsia="Palatino Linotype" w:hAnsi="Palatino Linotype" w:cs="Palatino Linotype"/>
          <w:i/>
          <w:color w:val="000000"/>
          <w:sz w:val="22"/>
          <w:szCs w:val="22"/>
        </w:rPr>
        <w:t>os sobre su gestión pública,</w:t>
      </w:r>
      <w:r>
        <w:rPr>
          <w:rFonts w:ascii="Palatino Linotype" w:eastAsia="Palatino Linotype" w:hAnsi="Palatino Linotype" w:cs="Palatino Linotype"/>
          <w:i/>
          <w:color w:val="000000"/>
          <w:sz w:val="22"/>
          <w:szCs w:val="22"/>
          <w:vertAlign w:val="superscript"/>
        </w:rPr>
        <w:footnoteReference w:id="4"/>
      </w:r>
      <w:r>
        <w:rPr>
          <w:rFonts w:ascii="Palatino Linotype" w:eastAsia="Palatino Linotype" w:hAnsi="Palatino Linotype" w:cs="Palatino Linotype"/>
          <w:color w:val="000000"/>
          <w:sz w:val="22"/>
          <w:szCs w:val="22"/>
        </w:rPr>
        <w:t>que permite</w:t>
      </w:r>
      <w:r>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4D5693" w:rsidRDefault="004D5693">
      <w:pPr>
        <w:tabs>
          <w:tab w:val="left" w:pos="284"/>
        </w:tabs>
        <w:rPr>
          <w:rFonts w:ascii="Palatino Linotype" w:eastAsia="Palatino Linotype" w:hAnsi="Palatino Linotype" w:cs="Palatino Linotype"/>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Se deduce que el derecho de acceso a la información pública es</w:t>
      </w:r>
      <w:r>
        <w:rPr>
          <w:rFonts w:ascii="Palatino Linotype" w:eastAsia="Palatino Linotype" w:hAnsi="Palatino Linotype" w:cs="Palatino Linotype"/>
          <w:sz w:val="24"/>
          <w:szCs w:val="24"/>
        </w:rPr>
        <w:t xml:space="preserve"> un derecho humano constitucionalmente reconocido, en consecuencia todas las autoridades en el ámbito de sus competencias, funciones y atribuciones tienen la obligación de respetarlo, protegerlo y garantizarlo.</w:t>
      </w:r>
    </w:p>
    <w:p w:rsidR="004D5693" w:rsidRDefault="00A64855">
      <w:pPr>
        <w:tabs>
          <w:tab w:val="left" w:pos="284"/>
        </w:tabs>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Pr>
          <w:rFonts w:ascii="Palatino Linotype" w:eastAsia="Palatino Linotype" w:hAnsi="Palatino Linotype" w:cs="Palatino Linotype"/>
          <w:i/>
          <w:sz w:val="22"/>
          <w:szCs w:val="22"/>
        </w:rPr>
        <w:t>por los</w:t>
      </w:r>
      <w:r>
        <w:rPr>
          <w:rFonts w:ascii="Palatino Linotype" w:eastAsia="Palatino Linotype" w:hAnsi="Palatino Linotype" w:cs="Palatino Linotype"/>
          <w:i/>
          <w:sz w:val="22"/>
          <w:szCs w:val="22"/>
        </w:rPr>
        <w:t xml:space="preserve"> principios de simplicidad, rapidez gratuidad del procedimiento, auxilio y orientación a los particulares</w:t>
      </w:r>
      <w:r>
        <w:rPr>
          <w:rFonts w:ascii="Palatino Linotype" w:eastAsia="Palatino Linotype" w:hAnsi="Palatino Linotype" w:cs="Palatino Linotype"/>
          <w:sz w:val="22"/>
          <w:szCs w:val="22"/>
        </w:rPr>
        <w:t xml:space="preserve">, contemplando el derecho de las personas con discapacidad y hablantes de lengua indígena. </w:t>
      </w:r>
    </w:p>
    <w:p w:rsidR="004D5693" w:rsidRDefault="004D5693">
      <w:pPr>
        <w:tabs>
          <w:tab w:val="left" w:pos="284"/>
        </w:tabs>
        <w:spacing w:line="360" w:lineRule="auto"/>
        <w:jc w:val="both"/>
        <w:rPr>
          <w:rFonts w:ascii="Palatino Linotype" w:eastAsia="Palatino Linotype" w:hAnsi="Palatino Linotype" w:cs="Palatino Linotype"/>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Es así que la </w:t>
      </w:r>
      <w:r>
        <w:rPr>
          <w:rFonts w:ascii="Palatino Linotype" w:eastAsia="Palatino Linotype" w:hAnsi="Palatino Linotype" w:cs="Palatino Linotype"/>
          <w:b/>
          <w:sz w:val="24"/>
          <w:szCs w:val="24"/>
        </w:rPr>
        <w:t>Ley de Transparencia y Acceso a la Informaci</w:t>
      </w:r>
      <w:r>
        <w:rPr>
          <w:rFonts w:ascii="Palatino Linotype" w:eastAsia="Palatino Linotype" w:hAnsi="Palatino Linotype" w:cs="Palatino Linotype"/>
          <w:b/>
          <w:sz w:val="24"/>
          <w:szCs w:val="24"/>
        </w:rPr>
        <w:t xml:space="preserve">ón Pública del Estado de México y Municipios, </w:t>
      </w:r>
      <w:r>
        <w:rPr>
          <w:rFonts w:ascii="Palatino Linotype" w:eastAsia="Palatino Linotype" w:hAnsi="Palatino Linotype" w:cs="Palatino Linotype"/>
          <w:sz w:val="24"/>
          <w:szCs w:val="24"/>
        </w:rPr>
        <w:t xml:space="preserve">cuyo objeto es establecer principios, bases generales y procedimientos para tutelar y garantizar la transparencia y el derecho humano de acceso a la información pública en posesión de los sujetos obligados; en </w:t>
      </w:r>
      <w:r>
        <w:rPr>
          <w:rFonts w:ascii="Palatino Linotype" w:eastAsia="Palatino Linotype" w:hAnsi="Palatino Linotype" w:cs="Palatino Linotype"/>
          <w:sz w:val="24"/>
          <w:szCs w:val="24"/>
        </w:rPr>
        <w:t>su artículo 176</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establece que </w:t>
      </w:r>
      <w:r>
        <w:rPr>
          <w:rFonts w:ascii="Palatino Linotype" w:eastAsia="Palatino Linotype" w:hAnsi="Palatino Linotype" w:cs="Palatino Linotype"/>
          <w:b/>
          <w:i/>
          <w:sz w:val="22"/>
          <w:szCs w:val="22"/>
          <w:u w:val="single"/>
        </w:rPr>
        <w:t>el recurso de revisión es la garantía secundaria</w:t>
      </w:r>
      <w:r>
        <w:rPr>
          <w:rFonts w:ascii="Palatino Linotype" w:eastAsia="Palatino Linotype" w:hAnsi="Palatino Linotype" w:cs="Palatino Linotype"/>
          <w:b/>
          <w:i/>
          <w:sz w:val="22"/>
          <w:szCs w:val="22"/>
        </w:rPr>
        <w:t xml:space="preserve"> mediante la cual se pretende reparar cualquier posible afectación al derecho de acceso a la información pública</w:t>
      </w:r>
      <w:r>
        <w:rPr>
          <w:rFonts w:ascii="Palatino Linotype" w:eastAsia="Palatino Linotype" w:hAnsi="Palatino Linotype" w:cs="Palatino Linotype"/>
          <w:b/>
          <w:sz w:val="22"/>
          <w:szCs w:val="22"/>
        </w:rPr>
        <w:t>, s</w:t>
      </w:r>
      <w:r>
        <w:rPr>
          <w:rFonts w:ascii="Palatino Linotype" w:eastAsia="Palatino Linotype" w:hAnsi="Palatino Linotype" w:cs="Palatino Linotype"/>
          <w:sz w:val="22"/>
          <w:szCs w:val="22"/>
        </w:rPr>
        <w:t>iendo éste el medio a través del cual, este Órgano Garante desp</w:t>
      </w:r>
      <w:r>
        <w:rPr>
          <w:rFonts w:ascii="Palatino Linotype" w:eastAsia="Palatino Linotype" w:hAnsi="Palatino Linotype" w:cs="Palatino Linotype"/>
          <w:sz w:val="22"/>
          <w:szCs w:val="22"/>
        </w:rPr>
        <w:t xml:space="preserve">ués de realizar el análisis al procedimiento de acceso a la información, podrá determinar la posible afectación y de ser el caso ordenar la reparación a la violación del derecho en cuestión. </w:t>
      </w:r>
    </w:p>
    <w:p w:rsidR="004D5693" w:rsidRDefault="004D5693">
      <w:pPr>
        <w:tabs>
          <w:tab w:val="left" w:pos="284"/>
        </w:tabs>
        <w:rPr>
          <w:rFonts w:ascii="Palatino Linotype" w:eastAsia="Palatino Linotype" w:hAnsi="Palatino Linotype" w:cs="Palatino Linotype"/>
        </w:rPr>
      </w:pPr>
    </w:p>
    <w:p w:rsidR="004D5693" w:rsidRDefault="00A64855">
      <w:pPr>
        <w:numPr>
          <w:ilvl w:val="0"/>
          <w:numId w:val="6"/>
        </w:numPr>
        <w:tabs>
          <w:tab w:val="left" w:pos="284"/>
        </w:tabs>
        <w:spacing w:after="24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Establecido lo anterior, resulta evidente que las razones o mot</w:t>
      </w:r>
      <w:r>
        <w:rPr>
          <w:rFonts w:ascii="Palatino Linotype" w:eastAsia="Palatino Linotype" w:hAnsi="Palatino Linotype" w:cs="Palatino Linotype"/>
          <w:sz w:val="24"/>
          <w:szCs w:val="24"/>
        </w:rPr>
        <w:t xml:space="preserve">ivos de inconformidad hechos valer en el recurso de revisión resultan </w:t>
      </w:r>
      <w:r>
        <w:rPr>
          <w:rFonts w:ascii="Palatino Linotype" w:eastAsia="Palatino Linotype" w:hAnsi="Palatino Linotype" w:cs="Palatino Linotype"/>
          <w:b/>
          <w:sz w:val="24"/>
          <w:szCs w:val="24"/>
        </w:rPr>
        <w:t xml:space="preserve">fundadas y </w:t>
      </w:r>
      <w:r>
        <w:rPr>
          <w:rFonts w:ascii="Palatino Linotype" w:eastAsia="Palatino Linotype" w:hAnsi="Palatino Linotype" w:cs="Palatino Linotype"/>
          <w:b/>
          <w:sz w:val="24"/>
          <w:szCs w:val="24"/>
        </w:rPr>
        <w:lastRenderedPageBreak/>
        <w:t>procedentes</w:t>
      </w:r>
      <w:r>
        <w:rPr>
          <w:rFonts w:ascii="Palatino Linotype" w:eastAsia="Palatino Linotype" w:hAnsi="Palatino Linotype" w:cs="Palatino Linotype"/>
          <w:sz w:val="24"/>
          <w:szCs w:val="24"/>
        </w:rPr>
        <w:t xml:space="preserve">, debido 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proporcionó información que no corresponde con lo solicitado.</w:t>
      </w:r>
    </w:p>
    <w:p w:rsidR="004D5693" w:rsidRDefault="00A64855">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Ahora bien para entender los alcances de la información pública se c</w:t>
      </w:r>
      <w:r>
        <w:rPr>
          <w:rFonts w:ascii="Palatino Linotype" w:eastAsia="Palatino Linotype" w:hAnsi="Palatino Linotype" w:cs="Palatino Linotype"/>
          <w:color w:val="000000"/>
          <w:sz w:val="24"/>
          <w:szCs w:val="24"/>
        </w:rPr>
        <w:t>onsidera importante citar el criterio de interpretación en el orden administrativo número 0002-11, emitido por Acuerdo del Pleno de este Instituto de Transparencia y Acceso a la Información Pública del Estado de México y Municipios, publicado en el Periódi</w:t>
      </w:r>
      <w:r>
        <w:rPr>
          <w:rFonts w:ascii="Palatino Linotype" w:eastAsia="Palatino Linotype" w:hAnsi="Palatino Linotype" w:cs="Palatino Linotype"/>
          <w:color w:val="000000"/>
          <w:sz w:val="24"/>
          <w:szCs w:val="24"/>
        </w:rPr>
        <w:t>co Oficial del Gobierno del Estado Libre y Soberano de México “Gaceta del Gobierno” el diecinueve de octubre de dos mil once, cuyo rubro y texto dispone: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0002-11</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w:t>
      </w:r>
      <w:r>
        <w:rPr>
          <w:rFonts w:ascii="Palatino Linotype" w:eastAsia="Palatino Linotype" w:hAnsi="Palatino Linotype" w:cs="Palatino Linotype"/>
          <w:i/>
          <w:sz w:val="22"/>
          <w:szCs w:val="22"/>
        </w:rPr>
        <w:t>anto a su alcance y resultado material, el acceso a los archivos, registros y documentos públicos, administrados, generados o en posesión de los órganos u organismos públicos, en virtud del ejercicio de sus funciones de derecho público, sin importar su fue</w:t>
      </w:r>
      <w:r>
        <w:rPr>
          <w:rFonts w:ascii="Palatino Linotype" w:eastAsia="Palatino Linotype" w:hAnsi="Palatino Linotype" w:cs="Palatino Linotype"/>
          <w:i/>
          <w:sz w:val="22"/>
          <w:szCs w:val="22"/>
        </w:rPr>
        <w:t>nte, soporte o fecha de elaboración.</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w:t>
      </w:r>
      <w:r>
        <w:rPr>
          <w:rFonts w:ascii="Palatino Linotype" w:eastAsia="Palatino Linotype" w:hAnsi="Palatino Linotype" w:cs="Palatino Linotype"/>
          <w:i/>
          <w:sz w:val="22"/>
          <w:szCs w:val="22"/>
        </w:rPr>
        <w:t>iones conferidas, sea generada por los Sujetos Obligados;</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4D5693" w:rsidRDefault="00A64855">
      <w:pP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Que se trate de información reg</w:t>
      </w:r>
      <w:r>
        <w:rPr>
          <w:rFonts w:ascii="Palatino Linotype" w:eastAsia="Palatino Linotype" w:hAnsi="Palatino Linotype" w:cs="Palatino Linotype"/>
          <w:i/>
          <w:sz w:val="22"/>
          <w:szCs w:val="22"/>
        </w:rPr>
        <w:t>istrada en cualquier soporte documental, que en ejercicio de las atribuciones conferidas, se encuentre en posesión de los Sujetos Obligados.”</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color w:val="000000"/>
          <w:sz w:val="36"/>
          <w:szCs w:val="36"/>
        </w:rPr>
      </w:pPr>
      <w:r>
        <w:rPr>
          <w:rFonts w:ascii="Palatino Linotype" w:eastAsia="Palatino Linotype" w:hAnsi="Palatino Linotype" w:cs="Palatino Linotype"/>
          <w:color w:val="000000"/>
          <w:sz w:val="24"/>
          <w:szCs w:val="24"/>
        </w:rPr>
        <w:lastRenderedPageBreak/>
        <w:t>El derecho de acceso a la información encuentra su materia elemental en los documentos, y la Ley de Transparencia</w:t>
      </w:r>
      <w:r>
        <w:rPr>
          <w:rFonts w:ascii="Palatino Linotype" w:eastAsia="Palatino Linotype" w:hAnsi="Palatino Linotype" w:cs="Palatino Linotype"/>
          <w:color w:val="000000"/>
          <w:sz w:val="24"/>
          <w:szCs w:val="24"/>
        </w:rPr>
        <w:t xml:space="preserve"> local  nos brinda el siguiente concepto, para darnos un mejor panorama:</w:t>
      </w:r>
    </w:p>
    <w:p w:rsidR="004D5693" w:rsidRDefault="00A64855">
      <w:pPr>
        <w:ind w:left="567" w:right="567"/>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 xml:space="preserve">Los expedientes, reportes, estudios, actas, resoluciones, </w:t>
      </w:r>
      <w:r>
        <w:rPr>
          <w:rFonts w:ascii="Palatino Linotype" w:eastAsia="Palatino Linotype" w:hAnsi="Palatino Linotype" w:cs="Palatino Linotype"/>
          <w:b/>
          <w:i/>
          <w:sz w:val="22"/>
          <w:szCs w:val="22"/>
        </w:rPr>
        <w:t>oficios,</w:t>
      </w:r>
      <w:r>
        <w:rPr>
          <w:rFonts w:ascii="Palatino Linotype" w:eastAsia="Palatino Linotype" w:hAnsi="Palatino Linotype" w:cs="Palatino Linotype"/>
          <w:i/>
          <w:sz w:val="22"/>
          <w:szCs w:val="22"/>
        </w:rPr>
        <w:t xml:space="preserve"> correspondencia, acuerdos, directivas, directrices, circulares, contratos, convenios, instructivos, n</w:t>
      </w:r>
      <w:r>
        <w:rPr>
          <w:rFonts w:ascii="Palatino Linotype" w:eastAsia="Palatino Linotype" w:hAnsi="Palatino Linotype" w:cs="Palatino Linotype"/>
          <w:i/>
          <w:sz w:val="22"/>
          <w:szCs w:val="22"/>
        </w:rPr>
        <w:t xml:space="preserve">otas, memorandos, estadísticas o bien, </w:t>
      </w:r>
      <w:r>
        <w:rPr>
          <w:rFonts w:ascii="Palatino Linotype" w:eastAsia="Palatino Linotype" w:hAnsi="Palatino Linotype" w:cs="Palatino Linotype"/>
          <w:b/>
          <w:i/>
          <w:sz w:val="22"/>
          <w:szCs w:val="22"/>
        </w:rPr>
        <w:t>cualquier otro registro</w:t>
      </w:r>
      <w:r>
        <w:rPr>
          <w:rFonts w:ascii="Palatino Linotype" w:eastAsia="Palatino Linotype" w:hAnsi="Palatino Linotype" w:cs="Palatino Linotype"/>
          <w:i/>
          <w:sz w:val="22"/>
          <w:szCs w:val="22"/>
        </w:rPr>
        <w:t xml:space="preserve"> que documente el ejercicio de las facultades, funciones y competencias de los sujetos obligados, sus servidores públicos e integrantes, sin importar su fuente o fecha de elaboración. Los docume</w:t>
      </w:r>
      <w:r>
        <w:rPr>
          <w:rFonts w:ascii="Palatino Linotype" w:eastAsia="Palatino Linotype" w:hAnsi="Palatino Linotype" w:cs="Palatino Linotype"/>
          <w:i/>
          <w:sz w:val="22"/>
          <w:szCs w:val="22"/>
        </w:rPr>
        <w:t>ntos podrán estar en cualquier medio, sea escrito, impreso,  sonoro, visual, electrónico, informático u holográfico;</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w:t>
      </w:r>
      <w:r>
        <w:rPr>
          <w:rFonts w:ascii="Palatino Linotype" w:eastAsia="Palatino Linotype" w:hAnsi="Palatino Linotype" w:cs="Palatino Linotype"/>
          <w:color w:val="000000"/>
          <w:sz w:val="24"/>
          <w:szCs w:val="24"/>
        </w:rPr>
        <w:t>oliciten.</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Resulta necesario referir que, el artículo 6° apartado A fracción I, de la Constitución Política de los Estados Unidos Mexicanos, artículo 5 fracción I de la Constitución Política del Estado Libre y Soberano de México y el artículo 18 de la Ley </w:t>
      </w:r>
      <w:r>
        <w:rPr>
          <w:rFonts w:ascii="Palatino Linotype" w:eastAsia="Palatino Linotype" w:hAnsi="Palatino Linotype" w:cs="Palatino Linotype"/>
          <w:color w:val="000000"/>
          <w:sz w:val="24"/>
          <w:szCs w:val="24"/>
        </w:rPr>
        <w:t xml:space="preserve">de Transparencia y Acceso a la Información Pública del Estado de México y Municipios, guardan una estrecha relación, puesto que los ordenamientos citados concurren refiriendo que </w:t>
      </w:r>
      <w:r>
        <w:rPr>
          <w:rFonts w:ascii="Palatino Linotype" w:eastAsia="Palatino Linotype" w:hAnsi="Palatino Linotype" w:cs="Palatino Linotype"/>
          <w:b/>
          <w:color w:val="000000"/>
          <w:sz w:val="24"/>
          <w:szCs w:val="24"/>
        </w:rPr>
        <w:t>los Sujetos Obligados deberán documentar todo acto que se derive del ejercici</w:t>
      </w:r>
      <w:r>
        <w:rPr>
          <w:rFonts w:ascii="Palatino Linotype" w:eastAsia="Palatino Linotype" w:hAnsi="Palatino Linotype" w:cs="Palatino Linotype"/>
          <w:b/>
          <w:color w:val="000000"/>
          <w:sz w:val="24"/>
          <w:szCs w:val="24"/>
        </w:rPr>
        <w:t>o de sus facultades, competencias o funciones,</w:t>
      </w:r>
      <w:r>
        <w:rPr>
          <w:rFonts w:ascii="Palatino Linotype" w:eastAsia="Palatino Linotype" w:hAnsi="Palatino Linotype" w:cs="Palatino Linotype"/>
          <w:color w:val="000000"/>
          <w:sz w:val="24"/>
          <w:szCs w:val="24"/>
        </w:rPr>
        <w:t xml:space="preserve"> considerando desde su origen la eventual publicidad y reutilización de la información que generen, posean o administren.</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Además, debemos tomar en cuenta los artículos 4 y 12, de la Ley de Transparencia y Acceso a la Información Pública del Estado de México y Municipios, los cuales establecen lo siguiente:</w:t>
      </w: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w:t>
      </w:r>
      <w:r>
        <w:rPr>
          <w:rFonts w:ascii="Palatino Linotype" w:eastAsia="Palatino Linotype" w:hAnsi="Palatino Linotype" w:cs="Palatino Linotype"/>
          <w:i/>
          <w:sz w:val="22"/>
          <w:szCs w:val="22"/>
        </w:rPr>
        <w:t>a prerrogativa de las personas para buscar, difundir, investigar, recabar, recibir y solicitar información pública, sin necesidad de acreditar personalidad ni interés jurídico.</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Toda la información generada, obtenida, adquirida, transformada, administrada </w:t>
      </w:r>
      <w:r>
        <w:rPr>
          <w:rFonts w:ascii="Palatino Linotype" w:eastAsia="Palatino Linotype" w:hAnsi="Palatino Linotype" w:cs="Palatino Linotype"/>
          <w:i/>
          <w:sz w:val="22"/>
          <w:szCs w:val="22"/>
        </w:rPr>
        <w:t>o en posesión de los sujetos obligados es pública y accesible de manera permanente a cualquier persona, en los términos y condiciones que se establezcan en los tratados internacionales de los que el Estado mexicano sea parte, en la Ley General, la presente</w:t>
      </w:r>
      <w:r>
        <w:rPr>
          <w:rFonts w:ascii="Palatino Linotype" w:eastAsia="Palatino Linotype" w:hAnsi="Palatino Linotype" w:cs="Palatino Linotype"/>
          <w:i/>
          <w:sz w:val="22"/>
          <w:szCs w:val="22"/>
        </w:rPr>
        <w:t xml:space="preserve"> Ley y demás disposiciones de la materia, privilegiando el principio de máxima publicidad de la información. Solo podrá ser clasificada excepcionalmente como reservada temporalmente por razones de interés público, en los términos de las causas legítimas y </w:t>
      </w:r>
      <w:r>
        <w:rPr>
          <w:rFonts w:ascii="Palatino Linotype" w:eastAsia="Palatino Linotype" w:hAnsi="Palatino Linotype" w:cs="Palatino Linotype"/>
          <w:i/>
          <w:sz w:val="22"/>
          <w:szCs w:val="22"/>
        </w:rPr>
        <w:t>estrictamente necesarias previstas por esta Ley.</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w:t>
      </w:r>
      <w:r>
        <w:rPr>
          <w:rFonts w:ascii="Palatino Linotype" w:eastAsia="Palatino Linotype" w:hAnsi="Palatino Linotype" w:cs="Palatino Linotype"/>
          <w:i/>
          <w:sz w:val="22"/>
          <w:szCs w:val="22"/>
        </w:rPr>
        <w:t>solicitantes.</w:t>
      </w:r>
    </w:p>
    <w:p w:rsidR="004D5693" w:rsidRDefault="004D5693">
      <w:pPr>
        <w:ind w:left="567" w:right="567"/>
        <w:jc w:val="both"/>
        <w:rPr>
          <w:rFonts w:ascii="Palatino Linotype" w:eastAsia="Palatino Linotype" w:hAnsi="Palatino Linotype" w:cs="Palatino Linotype"/>
          <w:i/>
          <w:color w:val="000000"/>
          <w:sz w:val="28"/>
          <w:szCs w:val="28"/>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 </w:t>
      </w:r>
      <w:r>
        <w:rPr>
          <w:rFonts w:ascii="Palatino Linotype" w:eastAsia="Palatino Linotype" w:hAnsi="Palatino Linotype" w:cs="Palatino Linotype"/>
          <w:i/>
          <w:sz w:val="22"/>
          <w:szCs w:val="22"/>
        </w:rPr>
        <w:t xml:space="preserve">Quienes generen, recopilen, administren, manejen, procesen, archiven o conserven información pública serán responsables de la misma en los términos de las disposiciones jurídicas aplicables.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w:t>
      </w:r>
      <w:r>
        <w:rPr>
          <w:rFonts w:ascii="Palatino Linotype" w:eastAsia="Palatino Linotype" w:hAnsi="Palatino Linotype" w:cs="Palatino Linotype"/>
          <w:b/>
          <w:i/>
          <w:sz w:val="22"/>
          <w:szCs w:val="22"/>
        </w:rPr>
        <w:t xml:space="preserve">La obligación de proporcionar información no comprende el procesamiento de la misma, ni el presentarla </w:t>
      </w:r>
      <w:r>
        <w:rPr>
          <w:rFonts w:ascii="Palatino Linotype" w:eastAsia="Palatino Linotype" w:hAnsi="Palatino Linotype" w:cs="Palatino Linotype"/>
          <w:b/>
          <w:i/>
          <w:sz w:val="22"/>
          <w:szCs w:val="22"/>
        </w:rPr>
        <w:t>conforme al interés del solicitante; no estarán obligados a generarla, resumirla, efectuar cálculos o practicar investigaciones.</w:t>
      </w:r>
    </w:p>
    <w:p w:rsidR="004D5693" w:rsidRDefault="004D5693">
      <w:pPr>
        <w:spacing w:line="360" w:lineRule="auto"/>
        <w:ind w:left="567" w:right="567"/>
        <w:jc w:val="both"/>
        <w:rPr>
          <w:rFonts w:ascii="Palatino Linotype" w:eastAsia="Palatino Linotype" w:hAnsi="Palatino Linotype" w:cs="Palatino Linotype"/>
          <w:i/>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por un lado se tiene la obligación de documentar todos los actos que se lleven a cabo en el ejercicio de sus funci</w:t>
      </w:r>
      <w:r>
        <w:rPr>
          <w:rFonts w:ascii="Palatino Linotype" w:eastAsia="Palatino Linotype" w:hAnsi="Palatino Linotype" w:cs="Palatino Linotype"/>
          <w:color w:val="000000"/>
          <w:sz w:val="24"/>
          <w:szCs w:val="24"/>
        </w:rPr>
        <w:t>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sz w:val="24"/>
          <w:szCs w:val="24"/>
          <w:vertAlign w:val="superscript"/>
        </w:rPr>
        <w:footnoteReference w:id="5"/>
      </w:r>
      <w:r>
        <w:rPr>
          <w:rFonts w:ascii="Palatino Linotype" w:eastAsia="Palatino Linotype" w:hAnsi="Palatino Linotype" w:cs="Palatino Linotype"/>
          <w:color w:val="000000"/>
          <w:sz w:val="24"/>
          <w:szCs w:val="24"/>
        </w:rPr>
        <w:t xml:space="preserve"> y máxima publicidad, sobre éste último se</w:t>
      </w:r>
      <w:r>
        <w:rPr>
          <w:rFonts w:ascii="Palatino Linotype" w:eastAsia="Palatino Linotype" w:hAnsi="Palatino Linotype" w:cs="Palatino Linotype"/>
          <w:color w:val="000000"/>
          <w:sz w:val="24"/>
          <w:szCs w:val="24"/>
        </w:rPr>
        <w:t xml:space="preserve"> debe poner mayor énfasis, puesto que establece que toda la información en posesión de los Sujetos Obligados será pública, completa, oportuna y accesible, lo que permite que la ciudadanía tenga un amplio acceso sobre lo que es el actuar de las autoridades.</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w:t>
      </w:r>
      <w:r>
        <w:rPr>
          <w:rFonts w:ascii="Palatino Linotype" w:eastAsia="Palatino Linotype" w:hAnsi="Palatino Linotype" w:cs="Palatino Linotype"/>
          <w:color w:val="000000"/>
          <w:sz w:val="24"/>
          <w:szCs w:val="24"/>
        </w:rPr>
        <w:t>a 1899.</w:t>
      </w: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w:t>
      </w:r>
      <w:r>
        <w:rPr>
          <w:rFonts w:ascii="Palatino Linotype" w:eastAsia="Palatino Linotype" w:hAnsi="Palatino Linotype" w:cs="Palatino Linotype"/>
          <w:i/>
          <w:color w:val="000000"/>
          <w:sz w:val="22"/>
          <w:szCs w:val="22"/>
        </w:rPr>
        <w:t xml:space="preserve"> de la autoridad, que como lo ha expuesto el Pleno de la Suprema Corte de Justicia de la Nación en la tesis P./J. 54/2008, publicada en el Semanario Judicial de la Federación y su Gaceta, Novena Época, Tomo XXVII, junio de 2008, página 743, de rubro: "ACCE</w:t>
      </w:r>
      <w:r>
        <w:rPr>
          <w:rFonts w:ascii="Palatino Linotype" w:eastAsia="Palatino Linotype" w:hAnsi="Palatino Linotype" w:cs="Palatino Linotype"/>
          <w:i/>
          <w:color w:val="000000"/>
          <w:sz w:val="22"/>
          <w:szCs w:val="22"/>
        </w:rPr>
        <w:t xml:space="preserve">SO A LA INFORMACIÓN. SU NATURALEZA COMO GARANTÍAS INDIVIDUAL Y SOCIAL.", contiene una doble dimensión: individual y social. En su primer aspecto, cumple con la función de maximizar el campo de la autonomía personal, posibilitando el </w:t>
      </w:r>
      <w:r>
        <w:rPr>
          <w:rFonts w:ascii="Palatino Linotype" w:eastAsia="Palatino Linotype" w:hAnsi="Palatino Linotype" w:cs="Palatino Linotype"/>
          <w:i/>
          <w:color w:val="000000"/>
          <w:sz w:val="22"/>
          <w:szCs w:val="22"/>
        </w:rPr>
        <w:lastRenderedPageBreak/>
        <w:t>ejercicio de la liberta</w:t>
      </w:r>
      <w:r>
        <w:rPr>
          <w:rFonts w:ascii="Palatino Linotype" w:eastAsia="Palatino Linotype" w:hAnsi="Palatino Linotype" w:cs="Palatino Linotype"/>
          <w:i/>
          <w:color w:val="000000"/>
          <w:sz w:val="22"/>
          <w:szCs w:val="22"/>
        </w:rPr>
        <w:t xml:space="preserve">d de expresión en un contexto de mayor diversidad de datos, voces y opiniones, mientras que en el segundo, brinda un derecho colectivo o social que tiende a revelar el empleo instrumental de la información no sólo como factor de autorrealización personal, </w:t>
      </w:r>
      <w:r>
        <w:rPr>
          <w:rFonts w:ascii="Palatino Linotype" w:eastAsia="Palatino Linotype" w:hAnsi="Palatino Linotype" w:cs="Palatino Linotype"/>
          <w:i/>
          <w:color w:val="000000"/>
          <w:sz w:val="22"/>
          <w:szCs w:val="22"/>
        </w:rPr>
        <w:t>sino como un mecanismo de control institucional, pues se trata de un derecho fundado en una de las características principales del gobierno republicano, que es la publicidad de los actos de gobierno y la transparencia en el actuar de la administración, con</w:t>
      </w:r>
      <w:r>
        <w:rPr>
          <w:rFonts w:ascii="Palatino Linotype" w:eastAsia="Palatino Linotype" w:hAnsi="Palatino Linotype" w:cs="Palatino Linotype"/>
          <w:i/>
          <w:color w:val="000000"/>
          <w:sz w:val="22"/>
          <w:szCs w:val="22"/>
        </w:rPr>
        <w:t xml:space="preserve">ducente y necesaria para la rendición de cuentas. Por ello, el principio de máxima publicidad incorporado en el texto constitucional, implica para cualquier autoridad, realizar un manejo de la información bajo la premisa inicial que toda ella es pública y </w:t>
      </w:r>
      <w:r>
        <w:rPr>
          <w:rFonts w:ascii="Palatino Linotype" w:eastAsia="Palatino Linotype" w:hAnsi="Palatino Linotype" w:cs="Palatino Linotype"/>
          <w:i/>
          <w:color w:val="000000"/>
          <w:sz w:val="22"/>
          <w:szCs w:val="22"/>
        </w:rPr>
        <w:t xml:space="preserve">sólo por excepción, en los casos expresamente previstos en la legislación secundaria y justificados bajo determinadas circunstancias, se podrá clasificar como confidencial o reservada, esto es, considerarla con una calidad diversa. </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CUARTO TRIBUNAL COLEGI</w:t>
      </w:r>
      <w:r>
        <w:rPr>
          <w:rFonts w:ascii="Palatino Linotype" w:eastAsia="Palatino Linotype" w:hAnsi="Palatino Linotype" w:cs="Palatino Linotype"/>
          <w:i/>
          <w:color w:val="000000"/>
          <w:sz w:val="22"/>
          <w:szCs w:val="22"/>
        </w:rPr>
        <w:t xml:space="preserve">ADO EN MATERIA ADMINISTRATIVA DEL PRIMER CIRCUITO. </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Amparo en revisión 257/2012. Ruth Corona Muñoz. 6 de diciembre de 2012. Unanimidad de votos. Ponente: Jean Claude </w:t>
      </w:r>
      <w:proofErr w:type="spellStart"/>
      <w:r>
        <w:rPr>
          <w:rFonts w:ascii="Palatino Linotype" w:eastAsia="Palatino Linotype" w:hAnsi="Palatino Linotype" w:cs="Palatino Linotype"/>
          <w:i/>
          <w:color w:val="000000"/>
          <w:sz w:val="22"/>
          <w:szCs w:val="22"/>
        </w:rPr>
        <w:t>Tron</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Petit</w:t>
      </w:r>
      <w:proofErr w:type="spellEnd"/>
      <w:r>
        <w:rPr>
          <w:rFonts w:ascii="Palatino Linotype" w:eastAsia="Palatino Linotype" w:hAnsi="Palatino Linotype" w:cs="Palatino Linotype"/>
          <w:i/>
          <w:color w:val="000000"/>
          <w:sz w:val="22"/>
          <w:szCs w:val="22"/>
        </w:rPr>
        <w:t>. Secretaria: Mayra Susana Martínez López.</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Como se ha señalado, los Sujetos Obligados deberán proporcionar toda la información que se encuentre en su posesión bajo los estándares más altos de transparencia y máxima publicidad. </w:t>
      </w:r>
    </w:p>
    <w:p w:rsidR="004D5693" w:rsidRDefault="004D5693">
      <w:pPr>
        <w:tabs>
          <w:tab w:val="left" w:pos="851"/>
        </w:tabs>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pertinente enfatizar lo que respecto al derecho de acceso a la info</w:t>
      </w:r>
      <w:r>
        <w:rPr>
          <w:rFonts w:ascii="Palatino Linotype" w:eastAsia="Palatino Linotype" w:hAnsi="Palatino Linotype" w:cs="Palatino Linotype"/>
          <w:color w:val="000000"/>
          <w:sz w:val="24"/>
          <w:szCs w:val="24"/>
        </w:rPr>
        <w:t>rmación pública, refiere el artículo 6° de la Constitución Política de los Estados Unidos Mexicanos, que en su parte conducente señala:</w:t>
      </w:r>
    </w:p>
    <w:p w:rsidR="004D5693" w:rsidRDefault="004D5693">
      <w:pPr>
        <w:spacing w:line="360" w:lineRule="auto"/>
        <w:jc w:val="both"/>
        <w:rPr>
          <w:rFonts w:ascii="Palatino Linotype" w:eastAsia="Palatino Linotype" w:hAnsi="Palatino Linotype" w:cs="Palatino Linotype"/>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r>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w:t>
      </w:r>
      <w:r>
        <w:rPr>
          <w:rFonts w:ascii="Palatino Linotype" w:eastAsia="Palatino Linotype" w:hAnsi="Palatino Linotype" w:cs="Palatino Linotype"/>
          <w:i/>
          <w:sz w:val="22"/>
          <w:szCs w:val="22"/>
        </w:rPr>
        <w:t xml:space="preserve">será </w:t>
      </w:r>
      <w:r>
        <w:rPr>
          <w:rFonts w:ascii="Palatino Linotype" w:eastAsia="Palatino Linotype" w:hAnsi="Palatino Linotype" w:cs="Palatino Linotype"/>
          <w:i/>
          <w:sz w:val="22"/>
          <w:szCs w:val="22"/>
        </w:rPr>
        <w:lastRenderedPageBreak/>
        <w:t xml:space="preserve">ejercido en los términos dispuestos por la ley. </w:t>
      </w: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w:t>
      </w:r>
      <w:r>
        <w:rPr>
          <w:rFonts w:ascii="Palatino Linotype" w:eastAsia="Palatino Linotype" w:hAnsi="Palatino Linotype" w:cs="Palatino Linotype"/>
          <w:i/>
          <w:sz w:val="22"/>
          <w:szCs w:val="22"/>
        </w:rPr>
        <w:t xml:space="preserve"> índole por cualquier medio de expresión.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cualquier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w:t>
      </w:r>
      <w:r>
        <w:rPr>
          <w:rFonts w:ascii="Palatino Linotype" w:eastAsia="Palatino Linotype" w:hAnsi="Palatino Linotype" w:cs="Palatino Linotype"/>
          <w:i/>
          <w:sz w:val="22"/>
          <w:szCs w:val="22"/>
        </w:rPr>
        <w:t xml:space="preserve">realice actos de autoridad en el ámbito federal,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w:t>
      </w:r>
      <w:r>
        <w:rPr>
          <w:rFonts w:ascii="Palatino Linotype" w:eastAsia="Palatino Linotype" w:hAnsi="Palatino Linotype" w:cs="Palatino Linotype"/>
          <w:i/>
          <w:sz w:val="22"/>
          <w:szCs w:val="22"/>
        </w:rPr>
        <w:t xml:space="preserve">prevalecer el principio de máxima publicidad. </w:t>
      </w:r>
      <w:r>
        <w:rPr>
          <w:rFonts w:ascii="Palatino Linotype" w:eastAsia="Palatino Linotype" w:hAnsi="Palatino Linotype" w:cs="Palatino Linotype"/>
          <w:b/>
          <w:i/>
          <w:sz w:val="22"/>
          <w:szCs w:val="22"/>
        </w:rPr>
        <w:t>Los sujetos obligados deberán documentar todo acto que derive del ejercicio de sus facultades, competencias o funciones</w:t>
      </w:r>
      <w:r>
        <w:rPr>
          <w:rFonts w:ascii="Palatino Linotype" w:eastAsia="Palatino Linotype" w:hAnsi="Palatino Linotype" w:cs="Palatino Linotype"/>
          <w:i/>
          <w:sz w:val="22"/>
          <w:szCs w:val="22"/>
        </w:rPr>
        <w:t xml:space="preserve">, la ley determinará los supuestos específicos bajo los cuales procederá la declaración de </w:t>
      </w:r>
      <w:r>
        <w:rPr>
          <w:rFonts w:ascii="Palatino Linotype" w:eastAsia="Palatino Linotype" w:hAnsi="Palatino Linotype" w:cs="Palatino Linotype"/>
          <w:i/>
          <w:sz w:val="22"/>
          <w:szCs w:val="22"/>
        </w:rPr>
        <w:t>inexistencia de la información.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w:t>
      </w:r>
      <w:r>
        <w:rPr>
          <w:rFonts w:ascii="Palatino Linotype" w:eastAsia="Palatino Linotype" w:hAnsi="Palatino Linotype" w:cs="Palatino Linotype"/>
          <w:i/>
          <w:sz w:val="22"/>
          <w:szCs w:val="22"/>
        </w:rPr>
        <w:t xml:space="preserve"> su utilización, tendrá acceso gratuito a la información pública, a sus datos personales o a la rectificación de éstos.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w:t>
      </w:r>
      <w:r>
        <w:rPr>
          <w:rFonts w:ascii="Palatino Linotype" w:eastAsia="Palatino Linotype" w:hAnsi="Palatino Linotype" w:cs="Palatino Linotype"/>
          <w:i/>
          <w:sz w:val="22"/>
          <w:szCs w:val="22"/>
        </w:rPr>
        <w:t>mos autónomos especializados e imparciales que establece esta Constitución.</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Los sujetos obligados deberán preservar sus documentos en archivos administrativos actualizados y publicarán, a través de los medios electrónicos </w:t>
      </w:r>
      <w:r>
        <w:rPr>
          <w:rFonts w:ascii="Palatino Linotype" w:eastAsia="Palatino Linotype" w:hAnsi="Palatino Linotype" w:cs="Palatino Linotype"/>
          <w:b/>
          <w:i/>
          <w:sz w:val="22"/>
          <w:szCs w:val="22"/>
        </w:rPr>
        <w:lastRenderedPageBreak/>
        <w:t>disponibles</w:t>
      </w:r>
      <w:r>
        <w:rPr>
          <w:rFonts w:ascii="Palatino Linotype" w:eastAsia="Palatino Linotype" w:hAnsi="Palatino Linotype" w:cs="Palatino Linotype"/>
          <w:i/>
          <w:sz w:val="22"/>
          <w:szCs w:val="22"/>
        </w:rPr>
        <w:t>, la información co</w:t>
      </w:r>
      <w:r>
        <w:rPr>
          <w:rFonts w:ascii="Palatino Linotype" w:eastAsia="Palatino Linotype" w:hAnsi="Palatino Linotype" w:cs="Palatino Linotype"/>
          <w:i/>
          <w:sz w:val="22"/>
          <w:szCs w:val="22"/>
        </w:rPr>
        <w:t>mpleta y actualizada sobre el ejercicio de los recursos públicos y los indicadores que permitan rendir cuenta del cumplimiento de sus objetivos y de los resultados obtenidos.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Las leyes determinarán la manera en que los sujetos obligados deberán hacer </w:t>
      </w:r>
      <w:r>
        <w:rPr>
          <w:rFonts w:ascii="Palatino Linotype" w:eastAsia="Palatino Linotype" w:hAnsi="Palatino Linotype" w:cs="Palatino Linotype"/>
          <w:i/>
          <w:sz w:val="22"/>
          <w:szCs w:val="22"/>
        </w:rPr>
        <w:t>pública la información relativa a los recursos públicos que entreguen a personas físicas o morales.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Fed</w:t>
      </w:r>
      <w:r>
        <w:rPr>
          <w:rFonts w:ascii="Palatino Linotype" w:eastAsia="Palatino Linotype" w:hAnsi="Palatino Linotype" w:cs="Palatino Linotype"/>
          <w:i/>
          <w:sz w:val="22"/>
          <w:szCs w:val="22"/>
        </w:rPr>
        <w:t>eración contará con un organismo autónomo, especializado, imparcial, colegiado, con personalidad jurídica y patrimonio propio, con plena autonomía técnica, de gestión, capacidad para decidir sobre el ejercicio de su presupuesto y determinar su organización</w:t>
      </w:r>
      <w:r>
        <w:rPr>
          <w:rFonts w:ascii="Palatino Linotype" w:eastAsia="Palatino Linotype" w:hAnsi="Palatino Linotype" w:cs="Palatino Linotype"/>
          <w:i/>
          <w:sz w:val="22"/>
          <w:szCs w:val="22"/>
        </w:rPr>
        <w:t xml:space="preserve"> interna, responsable de garantizar el cumplimiento del derecho de acceso a la información pública y a la protección de datos personales en posesión de los sujetos obligados en los términos que establezca la ley.</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ley establecerá aquella información qu</w:t>
      </w:r>
      <w:r>
        <w:rPr>
          <w:rFonts w:ascii="Palatino Linotype" w:eastAsia="Palatino Linotype" w:hAnsi="Palatino Linotype" w:cs="Palatino Linotype"/>
          <w:i/>
          <w:sz w:val="22"/>
          <w:szCs w:val="22"/>
        </w:rPr>
        <w:t>e se considere reservada o confidencial.”</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D5693" w:rsidRDefault="004D5693">
      <w:pPr>
        <w:spacing w:line="360" w:lineRule="auto"/>
        <w:ind w:left="709" w:right="757"/>
        <w:jc w:val="both"/>
        <w:rPr>
          <w:rFonts w:ascii="Palatino Linotype" w:eastAsia="Palatino Linotype" w:hAnsi="Palatino Linotype" w:cs="Palatino Linotype"/>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4D5693" w:rsidRDefault="004D5693">
      <w:pPr>
        <w:spacing w:line="360" w:lineRule="auto"/>
        <w:ind w:left="709" w:right="757"/>
        <w:jc w:val="both"/>
        <w:rPr>
          <w:rFonts w:ascii="Palatino Linotype" w:eastAsia="Palatino Linotype" w:hAnsi="Palatino Linotype" w:cs="Palatino Linotype"/>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 … </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La ley establecerá las previsiones que permitan asegurar la protección, el respeto y la difusión de este derecho. </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garantizar el ejercicio del derecho de transparencia, acceso a la informació</w:t>
      </w:r>
      <w:r>
        <w:rPr>
          <w:rFonts w:ascii="Palatino Linotype" w:eastAsia="Palatino Linotype" w:hAnsi="Palatino Linotype" w:cs="Palatino Linotype"/>
          <w:i/>
          <w:sz w:val="22"/>
          <w:szCs w:val="22"/>
        </w:rPr>
        <w:t xml:space="preserve">n pública y protección de datos personales, los poderes públicos y los organismos autónomos, transparentarán sus acciones, en términos de las disposiciones aplicables, la información será oportuna, clara, veraz y de fácil acceso.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derecho se regirá p</w:t>
      </w:r>
      <w:r>
        <w:rPr>
          <w:rFonts w:ascii="Palatino Linotype" w:eastAsia="Palatino Linotype" w:hAnsi="Palatino Linotype" w:cs="Palatino Linotype"/>
          <w:i/>
          <w:sz w:val="22"/>
          <w:szCs w:val="22"/>
        </w:rPr>
        <w:t>or los principios y bases siguientes:</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Toda la información en posesión </w:t>
      </w:r>
      <w:r>
        <w:rPr>
          <w:rFonts w:ascii="Palatino Linotype" w:eastAsia="Palatino Linotype" w:hAnsi="Palatino Linotype" w:cs="Palatino Linotype"/>
          <w:i/>
          <w:sz w:val="22"/>
          <w:szCs w:val="22"/>
        </w:rPr>
        <w:t>de cualquier autoridad, entidad, órgano y organismos de los Poderes Ejecutivo, Legislativo y Judicial, órganos autónomos, partidos políticos, fideicomisos y fondos públicos estatales</w:t>
      </w:r>
      <w:r>
        <w:rPr>
          <w:rFonts w:ascii="Palatino Linotype" w:eastAsia="Palatino Linotype" w:hAnsi="Palatino Linotype" w:cs="Palatino Linotype"/>
          <w:i/>
          <w:sz w:val="22"/>
          <w:szCs w:val="22"/>
        </w:rPr>
        <w:t xml:space="preserve"> y municipales, así como </w:t>
      </w:r>
      <w:r>
        <w:rPr>
          <w:rFonts w:ascii="Palatino Linotype" w:eastAsia="Palatino Linotype" w:hAnsi="Palatino Linotype" w:cs="Palatino Linotype"/>
          <w:b/>
          <w:i/>
          <w:sz w:val="22"/>
          <w:szCs w:val="22"/>
        </w:rPr>
        <w:t>del gobierno y de la administración pública municipal y sus organismos descentralizados</w:t>
      </w:r>
      <w:r>
        <w:rPr>
          <w:rFonts w:ascii="Palatino Linotype" w:eastAsia="Palatino Linotype" w:hAnsi="Palatino Linotype" w:cs="Palatino Linotype"/>
          <w:i/>
          <w:sz w:val="22"/>
          <w:szCs w:val="22"/>
        </w:rPr>
        <w:t xml:space="preserve">, asimismo de cualquier persona física, jurídica colectiva o sindicato que reciba y ejerza recursos públicos o realice actos de autoridad en el </w:t>
      </w:r>
      <w:r>
        <w:rPr>
          <w:rFonts w:ascii="Palatino Linotype" w:eastAsia="Palatino Linotype" w:hAnsi="Palatino Linotype" w:cs="Palatino Linotype"/>
          <w:i/>
          <w:sz w:val="22"/>
          <w:szCs w:val="22"/>
        </w:rPr>
        <w:t xml:space="preserve">ámbito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w:t>
      </w:r>
      <w:r>
        <w:rPr>
          <w:rFonts w:ascii="Palatino Linotype" w:eastAsia="Palatino Linotype" w:hAnsi="Palatino Linotype" w:cs="Palatino Linotype"/>
          <w:i/>
          <w:sz w:val="22"/>
          <w:szCs w:val="22"/>
        </w:rPr>
        <w:t>ste derecho deberá prevalecer el principio de máxima publicidad. Los sujetos obligados deberán documentar todo acto que derive del ejercicio de sus facultades, competencias o funciones, la ley determinará los supuestos específicos bajo los cuales procederá</w:t>
      </w:r>
      <w:r>
        <w:rPr>
          <w:rFonts w:ascii="Palatino Linotype" w:eastAsia="Palatino Linotype" w:hAnsi="Palatino Linotype" w:cs="Palatino Linotype"/>
          <w:i/>
          <w:sz w:val="22"/>
          <w:szCs w:val="22"/>
        </w:rPr>
        <w:t xml:space="preserve"> la declaración de inexistencia de la información.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w:t>
      </w:r>
      <w:r>
        <w:rPr>
          <w:rFonts w:ascii="Palatino Linotype" w:eastAsia="Palatino Linotype" w:hAnsi="Palatino Linotype" w:cs="Palatino Linotype"/>
          <w:i/>
          <w:sz w:val="22"/>
          <w:szCs w:val="22"/>
        </w:rPr>
        <w:t>nes que establezca la ley reglamentaria.</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Se establecerán </w:t>
      </w:r>
      <w:r>
        <w:rPr>
          <w:rFonts w:ascii="Palatino Linotype" w:eastAsia="Palatino Linotype" w:hAnsi="Palatino Linotype" w:cs="Palatino Linotype"/>
          <w:i/>
          <w:sz w:val="22"/>
          <w:szCs w:val="22"/>
        </w:rPr>
        <w:t>mecanismos de acceso a la información y procedimientos de revisión expeditos que se sustanciarán ante el organismo autónomo especializado e imparcial que establece esta Constitución.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procedimientos de acceso a la información pública, de acceso, cor</w:t>
      </w:r>
      <w:r>
        <w:rPr>
          <w:rFonts w:ascii="Palatino Linotype" w:eastAsia="Palatino Linotype" w:hAnsi="Palatino Linotype" w:cs="Palatino Linotype"/>
          <w:i/>
          <w:sz w:val="22"/>
          <w:szCs w:val="22"/>
        </w:rPr>
        <w:t>rección y supresión de datos personales, así como los recursos de revisión derivados de los mismos, podrán tramitarse por medios electrónicos, a través de un sistema automatizado que para tal efecto establezca la ley reglamentaria y el organismo autónomo g</w:t>
      </w:r>
      <w:r>
        <w:rPr>
          <w:rFonts w:ascii="Palatino Linotype" w:eastAsia="Palatino Linotype" w:hAnsi="Palatino Linotype" w:cs="Palatino Linotype"/>
          <w:i/>
          <w:sz w:val="22"/>
          <w:szCs w:val="22"/>
        </w:rPr>
        <w:t>arante en el ámbito de su competencia. Las resoluciones que correspondan a estos procedimientos se sistematizarán para favorecer su consulta.</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 Los sujetos obligados deberán preservar sus documentos en archivos administrativos actualizados y publicarán,</w:t>
      </w:r>
      <w:r>
        <w:rPr>
          <w:rFonts w:ascii="Palatino Linotype" w:eastAsia="Palatino Linotype" w:hAnsi="Palatino Linotype" w:cs="Palatino Linotype"/>
          <w:b/>
          <w:i/>
          <w:sz w:val="22"/>
          <w:szCs w:val="22"/>
        </w:rPr>
        <w:t xml:space="preserve"> a través de los medios electrónicos disponibles, la información completa y actualizada sobre el ejercicio de los recursos públicos</w:t>
      </w:r>
      <w:r>
        <w:rPr>
          <w:rFonts w:ascii="Palatino Linotype" w:eastAsia="Palatino Linotype" w:hAnsi="Palatino Linotype" w:cs="Palatino Linotype"/>
          <w:i/>
          <w:sz w:val="22"/>
          <w:szCs w:val="22"/>
        </w:rPr>
        <w:t xml:space="preserve"> y los indicadores que permitan rendir cuenta del cumplimiento de sus objetivos y los resultados obtenidos.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4D5693" w:rsidRDefault="004D5693">
      <w:pPr>
        <w:ind w:left="567" w:right="567"/>
        <w:jc w:val="both"/>
        <w:rPr>
          <w:rFonts w:ascii="Palatino Linotype" w:eastAsia="Palatino Linotype" w:hAnsi="Palatino Linotype" w:cs="Palatino Linotype"/>
          <w:sz w:val="22"/>
          <w:szCs w:val="22"/>
        </w:rPr>
      </w:pPr>
    </w:p>
    <w:p w:rsidR="004D5693" w:rsidRDefault="00A64855">
      <w:pPr>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4D5693" w:rsidRDefault="004D5693">
      <w:pPr>
        <w:spacing w:line="360" w:lineRule="auto"/>
        <w:ind w:left="567" w:right="567"/>
        <w:jc w:val="both"/>
        <w:rPr>
          <w:rFonts w:ascii="Palatino Linotype" w:eastAsia="Palatino Linotype" w:hAnsi="Palatino Linotype" w:cs="Palatino Linotype"/>
          <w:sz w:val="22"/>
          <w:szCs w:val="22"/>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Adicional, tenemos que la Ley </w:t>
      </w:r>
      <w:r>
        <w:rPr>
          <w:rFonts w:ascii="Palatino Linotype" w:eastAsia="Palatino Linotype" w:hAnsi="Palatino Linotype" w:cs="Palatino Linotype"/>
          <w:color w:val="000000"/>
          <w:sz w:val="24"/>
          <w:szCs w:val="24"/>
        </w:rPr>
        <w:t>de Transparencia y Acceso a la Información Pública del Estado de México y Municipios, prevé en su artículo 23 fracción IV, lo siguiente:</w:t>
      </w:r>
    </w:p>
    <w:p w:rsidR="004D5693" w:rsidRDefault="004D5693">
      <w:pPr>
        <w:spacing w:line="360" w:lineRule="auto"/>
        <w:jc w:val="both"/>
        <w:rPr>
          <w:rFonts w:ascii="Palatino Linotype" w:eastAsia="Palatino Linotype" w:hAnsi="Palatino Linotype" w:cs="Palatino Linotype"/>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Pr>
          <w:rFonts w:ascii="Palatino Linotype" w:eastAsia="Palatino Linotype" w:hAnsi="Palatino Linotype" w:cs="Palatino Linotype"/>
          <w:i/>
          <w:sz w:val="22"/>
          <w:szCs w:val="22"/>
        </w:rPr>
        <w:t>:</w:t>
      </w:r>
    </w:p>
    <w:p w:rsidR="004D5693" w:rsidRDefault="004D5693">
      <w:pPr>
        <w:ind w:left="567" w:right="822"/>
        <w:jc w:val="both"/>
        <w:rPr>
          <w:rFonts w:ascii="Palatino Linotype" w:eastAsia="Palatino Linotype" w:hAnsi="Palatino Linotype" w:cs="Palatino Linotype"/>
          <w:i/>
          <w:sz w:val="22"/>
          <w:szCs w:val="22"/>
        </w:rPr>
      </w:pPr>
    </w:p>
    <w:p w:rsidR="004D5693" w:rsidRDefault="00A64855">
      <w:pPr>
        <w:ind w:left="567"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 El Poder Ejecutivo del Estado de México, las dependencias, organismos auxiliares, órganos, entidades, fidei</w:t>
      </w:r>
      <w:r>
        <w:rPr>
          <w:rFonts w:ascii="Palatino Linotype" w:eastAsia="Palatino Linotype" w:hAnsi="Palatino Linotype" w:cs="Palatino Linotype"/>
          <w:i/>
          <w:sz w:val="22"/>
          <w:szCs w:val="22"/>
        </w:rPr>
        <w:t>comisos y fondos públicos, así como la Procuraduría General de Justicia;</w:t>
      </w:r>
      <w:r>
        <w:rPr>
          <w:rFonts w:ascii="Palatino Linotype" w:eastAsia="Palatino Linotype" w:hAnsi="Palatino Linotype" w:cs="Palatino Linotype"/>
          <w:b/>
          <w:i/>
          <w:sz w:val="22"/>
          <w:szCs w:val="22"/>
        </w:rPr>
        <w:t xml:space="preserve"> </w:t>
      </w:r>
    </w:p>
    <w:p w:rsidR="004D5693" w:rsidRDefault="00A64855">
      <w:pPr>
        <w:ind w:left="567"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4D5693" w:rsidRDefault="00A64855">
      <w:pPr>
        <w:ind w:left="567"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sz w:val="22"/>
          <w:szCs w:val="22"/>
        </w:rPr>
        <w:t xml:space="preserve"> informes que dichas personas les entreguen sobre el uso y destino de dichos recursos.</w:t>
      </w:r>
    </w:p>
    <w:p w:rsidR="004D5693" w:rsidRDefault="004D5693">
      <w:pPr>
        <w:ind w:left="567" w:right="822"/>
        <w:jc w:val="both"/>
        <w:rPr>
          <w:rFonts w:ascii="Palatino Linotype" w:eastAsia="Palatino Linotype" w:hAnsi="Palatino Linotype" w:cs="Palatino Linotype"/>
          <w:b/>
          <w:i/>
          <w:sz w:val="22"/>
          <w:szCs w:val="22"/>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D5693" w:rsidRDefault="004D5693">
      <w:pPr>
        <w:spacing w:line="360" w:lineRule="auto"/>
        <w:jc w:val="both"/>
        <w:rPr>
          <w:rFonts w:ascii="Palatino Linotype" w:eastAsia="Palatino Linotype" w:hAnsi="Palatino Linotype" w:cs="Palatino Linotype"/>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Pr>
          <w:rFonts w:ascii="Palatino Linotype" w:eastAsia="Palatino Linotype" w:hAnsi="Palatino Linotype" w:cs="Palatino Linotype"/>
          <w:color w:val="000000"/>
          <w:sz w:val="24"/>
          <w:szCs w:val="24"/>
        </w:rPr>
        <w:lastRenderedPageBreak/>
        <w:t xml:space="preserve">estatales, de </w:t>
      </w:r>
      <w:r>
        <w:rPr>
          <w:rFonts w:ascii="Palatino Linotype" w:eastAsia="Palatino Linotype" w:hAnsi="Palatino Linotype" w:cs="Palatino Linotype"/>
          <w:color w:val="000000"/>
          <w:sz w:val="24"/>
          <w:szCs w:val="24"/>
        </w:rPr>
        <w:t xml:space="preserve">la Ciudad de México, o Municipales, con el fin de que los particulares conozcan toda aquella información que es considerada como pública. </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4"/>
          <w:szCs w:val="24"/>
        </w:rPr>
        <w:t>Por lo anterior, es de referir que,</w:t>
      </w:r>
      <w:r>
        <w:rPr>
          <w:rFonts w:ascii="Palatino Linotype" w:eastAsia="Palatino Linotype" w:hAnsi="Palatino Linotype" w:cs="Palatino Linotype"/>
          <w:b/>
          <w:color w:val="000000"/>
          <w:sz w:val="24"/>
          <w:szCs w:val="24"/>
        </w:rPr>
        <w:t xml:space="preserve"> la Comisión Estatal de Parques Naturales y de la Fauna</w:t>
      </w:r>
      <w:r>
        <w:rPr>
          <w:rFonts w:ascii="Palatino Linotype" w:eastAsia="Palatino Linotype" w:hAnsi="Palatino Linotype" w:cs="Palatino Linotype"/>
          <w:color w:val="000000"/>
          <w:sz w:val="24"/>
          <w:szCs w:val="24"/>
        </w:rPr>
        <w:t>, al ser un Sujeto Obligado comprendido por la Legislación Local en materia de Transparencia, se encuentra obligado a hacer pública toda aquella información que genere, administre o posea</w:t>
      </w:r>
      <w:r>
        <w:rPr>
          <w:rFonts w:ascii="Palatino Linotype" w:eastAsia="Palatino Linotype" w:hAnsi="Palatino Linotype" w:cs="Palatino Linotype"/>
          <w:color w:val="000000"/>
          <w:sz w:val="22"/>
          <w:szCs w:val="22"/>
        </w:rPr>
        <w:t>.</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4D5693" w:rsidRDefault="00A64855">
      <w:pPr>
        <w:pStyle w:val="Ttulo2"/>
        <w:spacing w:line="259" w:lineRule="auto"/>
        <w:rPr>
          <w:rFonts w:ascii="Palatino Linotype" w:eastAsia="Palatino Linotype" w:hAnsi="Palatino Linotype" w:cs="Palatino Linotype"/>
          <w:b/>
          <w:color w:val="000000"/>
          <w:sz w:val="24"/>
          <w:szCs w:val="24"/>
        </w:rPr>
      </w:pPr>
      <w:bookmarkStart w:id="9" w:name="_heading=h.2s8eyo1" w:colFirst="0" w:colLast="0"/>
      <w:bookmarkEnd w:id="9"/>
      <w:r>
        <w:rPr>
          <w:rFonts w:ascii="Palatino Linotype" w:eastAsia="Palatino Linotype" w:hAnsi="Palatino Linotype" w:cs="Palatino Linotype"/>
          <w:b/>
          <w:color w:val="000000"/>
          <w:sz w:val="24"/>
          <w:szCs w:val="24"/>
        </w:rPr>
        <w:t>II. El derecho de petición y de acceso a la información.</w:t>
      </w:r>
      <w:r>
        <w:rPr>
          <w:rFonts w:ascii="Palatino Linotype" w:eastAsia="Palatino Linotype" w:hAnsi="Palatino Linotype" w:cs="Palatino Linotype"/>
          <w:b/>
          <w:i/>
          <w:color w:val="000000"/>
          <w:sz w:val="24"/>
          <w:szCs w:val="24"/>
        </w:rPr>
        <w:t xml:space="preserve"> </w:t>
      </w:r>
    </w:p>
    <w:p w:rsidR="004D5693" w:rsidRDefault="004D5693">
      <w:pPr>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Previo al análisis de las actuaciones de las partes, es necesario verificar si los requerimientos del particular son materia del derecho de acceso a la información pública, o bien, si estamos en presencia del ejercicio de un derecho de petición, toda vez q</w:t>
      </w:r>
      <w:r>
        <w:rPr>
          <w:rFonts w:ascii="Palatino Linotype" w:eastAsia="Palatino Linotype" w:hAnsi="Palatino Linotype" w:cs="Palatino Linotype"/>
          <w:sz w:val="24"/>
          <w:szCs w:val="24"/>
        </w:rPr>
        <w:t>ue formuló una serie de cuestionamientos.</w:t>
      </w:r>
    </w:p>
    <w:p w:rsidR="004D5693" w:rsidRDefault="004D5693">
      <w:pPr>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respecta a la definición de derecho de petición, el Maestro Ignacio Burgoa Orihuela refiere: </w:t>
      </w: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w:t>
      </w:r>
      <w:r>
        <w:rPr>
          <w:rFonts w:ascii="Palatino Linotype" w:eastAsia="Palatino Linotype" w:hAnsi="Palatino Linotype" w:cs="Palatino Linotype"/>
          <w:i/>
          <w:sz w:val="22"/>
          <w:szCs w:val="22"/>
        </w:rPr>
        <w:t>ndole, la cual adopta, específicamente, el carácter de simple petición administrativa, acción o recurso, etc.</w:t>
      </w:r>
      <w:r>
        <w:rPr>
          <w:rFonts w:ascii="Palatino Linotype" w:eastAsia="Palatino Linotype" w:hAnsi="Palatino Linotype" w:cs="Palatino Linotype"/>
          <w:i/>
          <w:sz w:val="22"/>
          <w:szCs w:val="22"/>
          <w:vertAlign w:val="superscript"/>
        </w:rPr>
        <w:footnoteReference w:id="6"/>
      </w:r>
      <w:r>
        <w:rPr>
          <w:rFonts w:ascii="Palatino Linotype" w:eastAsia="Palatino Linotype" w:hAnsi="Palatino Linotype" w:cs="Palatino Linotype"/>
          <w:i/>
          <w:sz w:val="22"/>
          <w:szCs w:val="22"/>
        </w:rPr>
        <w:t xml:space="preserve">  “(Sic)</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su parte, David Cienfuegos Salgado, concibe al derecho de petición como </w:t>
      </w:r>
      <w:r>
        <w:rPr>
          <w:rFonts w:ascii="Palatino Linotype" w:eastAsia="Palatino Linotype" w:hAnsi="Palatino Linotype" w:cs="Palatino Linotype"/>
          <w:i/>
          <w:sz w:val="22"/>
          <w:szCs w:val="22"/>
        </w:rPr>
        <w:t>“el derecho de toda persona a ser escuchado por quienes ejer</w:t>
      </w:r>
      <w:r>
        <w:rPr>
          <w:rFonts w:ascii="Palatino Linotype" w:eastAsia="Palatino Linotype" w:hAnsi="Palatino Linotype" w:cs="Palatino Linotype"/>
          <w:i/>
          <w:sz w:val="22"/>
          <w:szCs w:val="22"/>
        </w:rPr>
        <w:t>cen el poder público</w:t>
      </w:r>
      <w:proofErr w:type="gramStart"/>
      <w:r>
        <w:rPr>
          <w:rFonts w:ascii="Palatino Linotype" w:eastAsia="Palatino Linotype" w:hAnsi="Palatino Linotype" w:cs="Palatino Linotype"/>
          <w:i/>
          <w:sz w:val="22"/>
          <w:szCs w:val="22"/>
        </w:rPr>
        <w:t xml:space="preserve">. </w:t>
      </w:r>
      <w:proofErr w:type="gramEnd"/>
      <w:r>
        <w:rPr>
          <w:rFonts w:ascii="Palatino Linotype" w:eastAsia="Palatino Linotype" w:hAnsi="Palatino Linotype" w:cs="Palatino Linotype"/>
          <w:i/>
          <w:sz w:val="22"/>
          <w:szCs w:val="22"/>
          <w:vertAlign w:val="superscript"/>
        </w:rPr>
        <w:footnoteReference w:id="7"/>
      </w:r>
      <w:r>
        <w:rPr>
          <w:rFonts w:ascii="Palatino Linotype" w:eastAsia="Palatino Linotype" w:hAnsi="Palatino Linotype" w:cs="Palatino Linotype"/>
          <w:i/>
          <w:sz w:val="22"/>
          <w:szCs w:val="22"/>
        </w:rPr>
        <w:t>” (Sic)</w:t>
      </w:r>
      <w:r>
        <w:rPr>
          <w:rFonts w:ascii="Palatino Linotype" w:eastAsia="Palatino Linotype" w:hAnsi="Palatino Linotype" w:cs="Palatino Linotype"/>
          <w:sz w:val="22"/>
          <w:szCs w:val="22"/>
        </w:rPr>
        <w:t xml:space="preserve"> </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4"/>
          <w:szCs w:val="24"/>
        </w:rPr>
        <w:t xml:space="preserve">Luego entonces, para diferenciar el derecho de petición al derecho de acceso a la información, resulta conducente señalar que José Guadalupe Robles, conceptualiza el derecho a la información como </w:t>
      </w:r>
      <w:r>
        <w:rPr>
          <w:rFonts w:ascii="Palatino Linotype" w:eastAsia="Palatino Linotype" w:hAnsi="Palatino Linotype" w:cs="Palatino Linotype"/>
          <w:i/>
          <w:sz w:val="22"/>
          <w:szCs w:val="22"/>
        </w:rPr>
        <w:t>“un derecho fundamental tan</w:t>
      </w:r>
      <w:r>
        <w:rPr>
          <w:rFonts w:ascii="Palatino Linotype" w:eastAsia="Palatino Linotype" w:hAnsi="Palatino Linotype" w:cs="Palatino Linotype"/>
          <w:i/>
          <w:sz w:val="22"/>
          <w:szCs w:val="22"/>
        </w:rPr>
        <w:t xml:space="preserve">to de carácter individual como colectivo, cuyas limitaciones deben estar establecidas en la ley, así como una garantía de que la información sea transmitida con claridad y objetividad, por cuanto a que es un bien jurídico que coadyuva al desarrollo de las </w:t>
      </w:r>
      <w:r>
        <w:rPr>
          <w:rFonts w:ascii="Palatino Linotype" w:eastAsia="Palatino Linotype" w:hAnsi="Palatino Linotype" w:cs="Palatino Linotype"/>
          <w:i/>
          <w:sz w:val="22"/>
          <w:szCs w:val="22"/>
        </w:rPr>
        <w:t xml:space="preserve">personas y a la formación de opinión pública de calidad para poder participar y luego influir en la vida pública. </w:t>
      </w:r>
      <w:r>
        <w:rPr>
          <w:rFonts w:ascii="Palatino Linotype" w:eastAsia="Palatino Linotype" w:hAnsi="Palatino Linotype" w:cs="Palatino Linotype"/>
          <w:i/>
          <w:sz w:val="22"/>
          <w:szCs w:val="22"/>
          <w:vertAlign w:val="superscript"/>
        </w:rPr>
        <w:footnoteReference w:id="8"/>
      </w:r>
      <w:r>
        <w:rPr>
          <w:rFonts w:ascii="Palatino Linotype" w:eastAsia="Palatino Linotype" w:hAnsi="Palatino Linotype" w:cs="Palatino Linotype"/>
          <w:i/>
          <w:sz w:val="22"/>
          <w:szCs w:val="22"/>
        </w:rPr>
        <w:t>“(Sic)</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el derecho a la información constituye una prerrogativa a acceder a documentación en poder de los Sujetos Obligados, no así a</w:t>
      </w:r>
      <w:r>
        <w:rPr>
          <w:rFonts w:ascii="Palatino Linotype" w:eastAsia="Palatino Linotype" w:hAnsi="Palatino Linotype" w:cs="Palatino Linotype"/>
          <w:sz w:val="24"/>
          <w:szCs w:val="24"/>
        </w:rPr>
        <w:t xml:space="preserve"> realizar cuestionamientos, o manifestaciones subjetivas. Sirve de apoyo a lo anterior la definición de derecho a la información de Ernesto Villanueva </w:t>
      </w:r>
      <w:proofErr w:type="spellStart"/>
      <w:r>
        <w:rPr>
          <w:rFonts w:ascii="Palatino Linotype" w:eastAsia="Palatino Linotype" w:hAnsi="Palatino Linotype" w:cs="Palatino Linotype"/>
          <w:sz w:val="24"/>
          <w:szCs w:val="24"/>
        </w:rPr>
        <w:t>Villanueva</w:t>
      </w:r>
      <w:proofErr w:type="spellEnd"/>
      <w:r>
        <w:rPr>
          <w:rFonts w:ascii="Palatino Linotype" w:eastAsia="Palatino Linotype" w:hAnsi="Palatino Linotype" w:cs="Palatino Linotype"/>
          <w:sz w:val="24"/>
          <w:szCs w:val="24"/>
        </w:rPr>
        <w:t xml:space="preserve"> que dice: </w:t>
      </w:r>
      <w:r>
        <w:rPr>
          <w:rFonts w:ascii="Palatino Linotype" w:eastAsia="Palatino Linotype" w:hAnsi="Palatino Linotype" w:cs="Palatino Linotype"/>
          <w:i/>
          <w:sz w:val="22"/>
          <w:szCs w:val="22"/>
        </w:rPr>
        <w:t>“la prerrogativa de la persona para acceder a datos, registros y todo tipo de inform</w:t>
      </w:r>
      <w:r>
        <w:rPr>
          <w:rFonts w:ascii="Palatino Linotype" w:eastAsia="Palatino Linotype" w:hAnsi="Palatino Linotype" w:cs="Palatino Linotype"/>
          <w:i/>
          <w:sz w:val="22"/>
          <w:szCs w:val="22"/>
        </w:rPr>
        <w:t>aciones en poder de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i/>
          <w:sz w:val="22"/>
          <w:szCs w:val="22"/>
          <w:vertAlign w:val="superscript"/>
        </w:rPr>
        <w:footnoteReference w:id="9"/>
      </w:r>
      <w:r>
        <w:rPr>
          <w:rFonts w:ascii="Palatino Linotype" w:eastAsia="Palatino Linotype" w:hAnsi="Palatino Linotype" w:cs="Palatino Linotype"/>
          <w:i/>
          <w:sz w:val="22"/>
          <w:szCs w:val="22"/>
        </w:rPr>
        <w:t xml:space="preserve">” (Sic)  </w:t>
      </w:r>
    </w:p>
    <w:p w:rsidR="004D5693" w:rsidRDefault="004D5693">
      <w:pPr>
        <w:spacing w:line="360" w:lineRule="auto"/>
        <w:ind w:left="360" w:right="49"/>
        <w:jc w:val="both"/>
        <w:rPr>
          <w:rFonts w:ascii="Palatino Linotype" w:eastAsia="Palatino Linotype" w:hAnsi="Palatino Linotype" w:cs="Palatino Linotype"/>
          <w:sz w:val="24"/>
          <w:szCs w:val="24"/>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puede concluir que la dist</w:t>
      </w:r>
      <w:r>
        <w:rPr>
          <w:rFonts w:ascii="Palatino Linotype" w:eastAsia="Palatino Linotype" w:hAnsi="Palatino Linotype" w:cs="Palatino Linotype"/>
          <w:sz w:val="24"/>
          <w:szCs w:val="24"/>
        </w:rPr>
        <w:t xml:space="preserve">inción entre el derecho de petición y el derecho de acceso a la información estriba, principalmente, en que en el primero </w:t>
      </w:r>
      <w:r>
        <w:rPr>
          <w:rFonts w:ascii="Palatino Linotype" w:eastAsia="Palatino Linotype" w:hAnsi="Palatino Linotype" w:cs="Palatino Linotype"/>
          <w:sz w:val="24"/>
          <w:szCs w:val="24"/>
        </w:rPr>
        <w:lastRenderedPageBreak/>
        <w:t xml:space="preserve">de ellos la pretensión del peticionario consiste generalmente </w:t>
      </w:r>
      <w:r>
        <w:rPr>
          <w:rFonts w:ascii="Palatino Linotype" w:eastAsia="Palatino Linotype" w:hAnsi="Palatino Linotype" w:cs="Palatino Linotype"/>
          <w:b/>
          <w:sz w:val="24"/>
          <w:szCs w:val="24"/>
        </w:rPr>
        <w:t>en obligar a la autoridad responsable a que actúe en el sentido de conte</w:t>
      </w:r>
      <w:r>
        <w:rPr>
          <w:rFonts w:ascii="Palatino Linotype" w:eastAsia="Palatino Linotype" w:hAnsi="Palatino Linotype" w:cs="Palatino Linotype"/>
          <w:b/>
          <w:sz w:val="24"/>
          <w:szCs w:val="24"/>
        </w:rPr>
        <w:t>star lo solicitado;</w:t>
      </w:r>
      <w:r>
        <w:rPr>
          <w:rFonts w:ascii="Palatino Linotype" w:eastAsia="Palatino Linotype" w:hAnsi="Palatino Linotype" w:cs="Palatino Linotype"/>
          <w:sz w:val="24"/>
          <w:szCs w:val="24"/>
        </w:rPr>
        <w:t xml:space="preserve"> mientras que en el segundo supuesto, la petición se encamina primordialmente a permitir el acceso a datos, registros y todo tipo de información pública que conste en documentos, sea generada o se encuentre en posesión de la autoridad.</w:t>
      </w:r>
    </w:p>
    <w:p w:rsidR="004D5693" w:rsidRDefault="004D5693">
      <w:pPr>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 simple lectura a la solicitud, se advierte que los requerimientos del particular pudieran encuadrar en un ejercicio del Derecho de Petición, dado que, para atender literalmente la solicitud, es necesario dar una contestación al cuestionamiento. Por t</w:t>
      </w:r>
      <w:r>
        <w:rPr>
          <w:rFonts w:ascii="Palatino Linotype" w:eastAsia="Palatino Linotype" w:hAnsi="Palatino Linotype" w:cs="Palatino Linotype"/>
          <w:color w:val="000000"/>
          <w:sz w:val="24"/>
          <w:szCs w:val="24"/>
        </w:rPr>
        <w:t>al motivo es necesario precisar que, de acuerdo a los artículos 4 y 12 de la Ley de Transparencia y Acceso a la Información Pública del Estado de México y Municipios, los Sujetos Obligados se encuentran constreñidos a proporcionar la información que obre e</w:t>
      </w:r>
      <w:r>
        <w:rPr>
          <w:rFonts w:ascii="Palatino Linotype" w:eastAsia="Palatino Linotype" w:hAnsi="Palatino Linotype" w:cs="Palatino Linotype"/>
          <w:color w:val="000000"/>
          <w:sz w:val="24"/>
          <w:szCs w:val="24"/>
        </w:rPr>
        <w:t xml:space="preserve">n sus archivos y en el estado en el que se encuentran, </w:t>
      </w:r>
      <w:r>
        <w:rPr>
          <w:rFonts w:ascii="Palatino Linotype" w:eastAsia="Palatino Linotype" w:hAnsi="Palatino Linotype" w:cs="Palatino Linotype"/>
          <w:b/>
          <w:color w:val="000000"/>
          <w:sz w:val="24"/>
          <w:szCs w:val="24"/>
        </w:rPr>
        <w:t>no tienen la obligación de procesarla, resumirla o efectuar cálculos a fin de dar atención a las solicitudes que formulen los particulares.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el criterio 13/17 de la Segunda Época emitido por el Instituto Nacional de Transparencia, Acceso a la Información y Protección de Datos personales:</w:t>
      </w:r>
    </w:p>
    <w:p w:rsidR="004D5693" w:rsidRDefault="004D5693">
      <w:p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4"/>
          <w:szCs w:val="24"/>
        </w:rPr>
      </w:pPr>
    </w:p>
    <w:p w:rsidR="004D5693" w:rsidRDefault="00A64855">
      <w:pPr>
        <w:pBdr>
          <w:top w:val="nil"/>
          <w:left w:val="nil"/>
          <w:bottom w:val="nil"/>
          <w:right w:val="nil"/>
          <w:between w:val="nil"/>
        </w:pBdr>
        <w:tabs>
          <w:tab w:val="left" w:pos="2430"/>
        </w:tabs>
        <w:spacing w:line="276" w:lineRule="auto"/>
        <w:ind w:left="72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Los artículos 129 de la Ley General de Transparencia y Acceso a la Información Pública y 130, párrafo cuarto, de la Ley Federal de Transparencia y A</w:t>
      </w:r>
      <w:r>
        <w:rPr>
          <w:rFonts w:ascii="Palatino Linotype" w:eastAsia="Palatino Linotype" w:hAnsi="Palatino Linotype" w:cs="Palatino Linotype"/>
          <w:i/>
          <w:color w:val="000000"/>
          <w:sz w:val="22"/>
          <w:szCs w:val="22"/>
        </w:rPr>
        <w:t xml:space="preserve">cceso a la Información Pública, señalan que los sujetos obligados deberán otorgar </w:t>
      </w:r>
      <w:r>
        <w:rPr>
          <w:rFonts w:ascii="Palatino Linotype" w:eastAsia="Palatino Linotype" w:hAnsi="Palatino Linotype" w:cs="Palatino Linotype"/>
          <w:i/>
          <w:color w:val="000000"/>
          <w:sz w:val="22"/>
          <w:szCs w:val="22"/>
        </w:rPr>
        <w:lastRenderedPageBreak/>
        <w:t>acceso a los documentos que se encuentren en sus archivos o que estén obligados a documentar, de acuerdo con sus facultades, competencias o funciones, conforme a las caracter</w:t>
      </w:r>
      <w:r>
        <w:rPr>
          <w:rFonts w:ascii="Palatino Linotype" w:eastAsia="Palatino Linotype" w:hAnsi="Palatino Linotype" w:cs="Palatino Linotype"/>
          <w:i/>
          <w:color w:val="000000"/>
          <w:sz w:val="22"/>
          <w:szCs w:val="22"/>
        </w:rPr>
        <w:t>ísticas físicas de la información o del lugar donde se encuentre. Por lo anterior, los sujetos obligados deben garantizar el derecho de acceso a la información del particular, proporcionando la información con la que cuentan en el formato en que la misma o</w:t>
      </w:r>
      <w:r>
        <w:rPr>
          <w:rFonts w:ascii="Palatino Linotype" w:eastAsia="Palatino Linotype" w:hAnsi="Palatino Linotype" w:cs="Palatino Linotype"/>
          <w:i/>
          <w:color w:val="000000"/>
          <w:sz w:val="22"/>
          <w:szCs w:val="22"/>
        </w:rPr>
        <w:t>bre en sus archivos; sin necesidad de elaborar documentos ad hoc para atender las solicitudes de información.</w:t>
      </w:r>
    </w:p>
    <w:p w:rsidR="004D5693" w:rsidRDefault="00A64855">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4D5693" w:rsidRDefault="00A64855">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RRA 0050/16. Instituto Nacional para la Evaluación de la Educación. 13 julio de 2016. Por unanimidad. Comisionado Ponente: Francisco Javier Acuña Llamas.</w:t>
      </w:r>
    </w:p>
    <w:p w:rsidR="004D5693" w:rsidRDefault="00A64855">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0310/16. Instituto Nacional de Transparencia, Acceso a la Información y Protección de Datos Pers</w:t>
      </w:r>
      <w:r>
        <w:rPr>
          <w:rFonts w:ascii="Palatino Linotype" w:eastAsia="Palatino Linotype" w:hAnsi="Palatino Linotype" w:cs="Palatino Linotype"/>
          <w:i/>
          <w:sz w:val="22"/>
          <w:szCs w:val="22"/>
        </w:rPr>
        <w:t>onales. 10 de agosto de 2016. Por unanimidad. Comisionada Ponente. Areli Cano Guadiana.</w:t>
      </w:r>
    </w:p>
    <w:p w:rsidR="004D5693" w:rsidRDefault="00A64855">
      <w:pPr>
        <w:spacing w:line="276" w:lineRule="auto"/>
        <w:ind w:left="1416" w:right="567" w:hanging="6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1889/16. Secretaría de Hacienda y Crédito Público. 05 de octubre de 2016. Por unanimidad. Comisionada Ponente. Ximena Puente de la Mora.</w:t>
      </w:r>
    </w:p>
    <w:p w:rsidR="004D5693" w:rsidRDefault="004D5693">
      <w:pPr>
        <w:spacing w:line="276" w:lineRule="auto"/>
        <w:ind w:left="1416" w:right="567" w:hanging="696"/>
        <w:jc w:val="both"/>
        <w:rPr>
          <w:rFonts w:ascii="Palatino Linotype" w:eastAsia="Palatino Linotype" w:hAnsi="Palatino Linotype" w:cs="Palatino Linotype"/>
          <w:i/>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el Recurrente en su solicitud no precisó un documento específico al que desee acceder. En repetidas ocasiones este Órgano Garante ha dejado en claro que cuando en una solicitud de información no se identifique un documento en específico, </w:t>
      </w:r>
      <w:r>
        <w:rPr>
          <w:rFonts w:ascii="Palatino Linotype" w:eastAsia="Palatino Linotype" w:hAnsi="Palatino Linotype" w:cs="Palatino Linotype"/>
          <w:b/>
          <w:color w:val="000000"/>
          <w:sz w:val="24"/>
          <w:szCs w:val="24"/>
          <w:u w:val="single"/>
        </w:rPr>
        <w:t>si ést</w:t>
      </w:r>
      <w:r>
        <w:rPr>
          <w:rFonts w:ascii="Palatino Linotype" w:eastAsia="Palatino Linotype" w:hAnsi="Palatino Linotype" w:cs="Palatino Linotype"/>
          <w:b/>
          <w:color w:val="000000"/>
          <w:sz w:val="24"/>
          <w:szCs w:val="24"/>
          <w:u w:val="single"/>
        </w:rPr>
        <w:t>a tiene una expresión documental</w:t>
      </w:r>
      <w:r>
        <w:rPr>
          <w:rFonts w:ascii="Palatino Linotype" w:eastAsia="Palatino Linotype" w:hAnsi="Palatino Linotype" w:cs="Palatino Linotype"/>
          <w:color w:val="000000"/>
          <w:sz w:val="24"/>
          <w:szCs w:val="24"/>
        </w:rPr>
        <w:t>, el sujeto obligado deberá entregar al particular el documento mediante el cual se pueda colmar aquella.</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sentido el Criterio 028-10 emitido por el Pleno del entonces llamado Instituto Federal de Acceso a la Informac</w:t>
      </w:r>
      <w:r>
        <w:rPr>
          <w:rFonts w:ascii="Palatino Linotype" w:eastAsia="Palatino Linotype" w:hAnsi="Palatino Linotype" w:cs="Palatino Linotype"/>
          <w:color w:val="000000"/>
          <w:sz w:val="24"/>
          <w:szCs w:val="24"/>
        </w:rPr>
        <w:t>ión y Protección de Datos, ahora Instituto Nacional de Transparencia, Acceso a la Información y Protección de Datos Personales que establece que se deberá garantizar el acceso a la información contenida en documentos que los sujetos obligados generen, obte</w:t>
      </w:r>
      <w:r>
        <w:rPr>
          <w:rFonts w:ascii="Palatino Linotype" w:eastAsia="Palatino Linotype" w:hAnsi="Palatino Linotype" w:cs="Palatino Linotype"/>
          <w:color w:val="000000"/>
          <w:sz w:val="24"/>
          <w:szCs w:val="24"/>
        </w:rPr>
        <w:t xml:space="preserve">ngan, adquieran, transformen o conserven por cualquier título; que se entienden como cualquier registro que </w:t>
      </w:r>
      <w:r>
        <w:rPr>
          <w:rFonts w:ascii="Palatino Linotype" w:eastAsia="Palatino Linotype" w:hAnsi="Palatino Linotype" w:cs="Palatino Linotype"/>
          <w:color w:val="000000"/>
          <w:sz w:val="24"/>
          <w:szCs w:val="24"/>
        </w:rPr>
        <w:lastRenderedPageBreak/>
        <w:t xml:space="preserve">documente el ejercicio de las facultades o la actividad de los sujetos obligados sin importar su fuente o fecha de elaboración aunque el particular </w:t>
      </w:r>
      <w:r>
        <w:rPr>
          <w:rFonts w:ascii="Palatino Linotype" w:eastAsia="Palatino Linotype" w:hAnsi="Palatino Linotype" w:cs="Palatino Linotype"/>
          <w:color w:val="000000"/>
          <w:sz w:val="24"/>
          <w:szCs w:val="24"/>
        </w:rPr>
        <w:t>lleve a cabo una solicitud de información sin identificar de forma precisa la documentación, el Sujeto Obligado deberá entregar del mismo al solicitante mismo que a continuación se cita:</w:t>
      </w:r>
    </w:p>
    <w:p w:rsidR="004D5693" w:rsidRDefault="00A64855">
      <w:pPr>
        <w:pBdr>
          <w:top w:val="nil"/>
          <w:left w:val="nil"/>
          <w:bottom w:val="nil"/>
          <w:right w:val="nil"/>
          <w:between w:val="nil"/>
        </w:pBdr>
        <w:shd w:val="clear" w:color="auto" w:fill="FFFFFF"/>
        <w:spacing w:before="240" w:after="360" w:line="276" w:lineRule="auto"/>
        <w:ind w:left="567" w:right="616"/>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“Cuando en una solicitud de información no se identifique un document</w:t>
      </w:r>
      <w:r>
        <w:rPr>
          <w:rFonts w:ascii="Palatino Linotype" w:eastAsia="Palatino Linotype" w:hAnsi="Palatino Linotype" w:cs="Palatino Linotype"/>
          <w:b/>
          <w:i/>
          <w:color w:val="222222"/>
          <w:sz w:val="22"/>
          <w:szCs w:val="22"/>
        </w:rPr>
        <w:t>o en específico, si ésta tiene una expresión documental, el sujeto obligado deberá entregar al particular el documento en específico.</w:t>
      </w:r>
      <w:r>
        <w:rPr>
          <w:rFonts w:ascii="Palatino Linotype" w:eastAsia="Palatino Linotype" w:hAnsi="Palatino Linotype" w:cs="Palatino Linotype"/>
          <w:i/>
          <w:color w:val="222222"/>
          <w:sz w:val="22"/>
          <w:szCs w:val="22"/>
        </w:rPr>
        <w:t xml:space="preserve"> La Ley Federal de Transparencia y Acceso a la Información Pública Gubernamental tiene por objeto garantizar el acceso a la</w:t>
      </w:r>
      <w:r>
        <w:rPr>
          <w:rFonts w:ascii="Palatino Linotype" w:eastAsia="Palatino Linotype" w:hAnsi="Palatino Linotype" w:cs="Palatino Linotype"/>
          <w:i/>
          <w:color w:val="222222"/>
          <w:sz w:val="22"/>
          <w:szCs w:val="22"/>
        </w:rPr>
        <w:t xml:space="preserve"> información contenida en documentos que los sujetos obligados generen, obtengan, adquieran, transformen o conserven por cualquier título; que se entienden como cualquier registro que documente el ejercicio de las facultades o la actividad de los sujetos o</w:t>
      </w:r>
      <w:r>
        <w:rPr>
          <w:rFonts w:ascii="Palatino Linotype" w:eastAsia="Palatino Linotype" w:hAnsi="Palatino Linotype" w:cs="Palatino Linotype"/>
          <w:i/>
          <w:color w:val="222222"/>
          <w:sz w:val="22"/>
          <w:szCs w:val="22"/>
        </w:rPr>
        <w:t>bligados sin importar su fuente o fecha de elaboración. En este sentido, cuando el particular lleve a cabo una solicitud de información sin identificar de forma precisa la documentación específica que pudiera contener dicha información, o bien pareciera qu</w:t>
      </w:r>
      <w:r>
        <w:rPr>
          <w:rFonts w:ascii="Palatino Linotype" w:eastAsia="Palatino Linotype" w:hAnsi="Palatino Linotype" w:cs="Palatino Linotype"/>
          <w:i/>
          <w:color w:val="222222"/>
          <w:sz w:val="22"/>
          <w:szCs w:val="22"/>
        </w:rPr>
        <w:t>e más bien la solicitud se constituye como una consulta y no como una solicitud de acceso en términos de la Ley Federal de Transparencia y Acceso a la Información Pública Gubernamental, pero su respuesta puede obrar en algún documento, el sujeto obligado d</w:t>
      </w:r>
      <w:r>
        <w:rPr>
          <w:rFonts w:ascii="Palatino Linotype" w:eastAsia="Palatino Linotype" w:hAnsi="Palatino Linotype" w:cs="Palatino Linotype"/>
          <w:i/>
          <w:color w:val="222222"/>
          <w:sz w:val="22"/>
          <w:szCs w:val="22"/>
        </w:rPr>
        <w:t>ebe dar a la solicitud una interpretación que le dé una expresión documental. Es decir, si la respuesta a la solicitud obra en algún documento en poder de la autoridad, pero el particular no hace referencia específica a tal documento, se deberá hacer entre</w:t>
      </w:r>
      <w:r>
        <w:rPr>
          <w:rFonts w:ascii="Palatino Linotype" w:eastAsia="Palatino Linotype" w:hAnsi="Palatino Linotype" w:cs="Palatino Linotype"/>
          <w:i/>
          <w:color w:val="222222"/>
          <w:sz w:val="22"/>
          <w:szCs w:val="22"/>
        </w:rPr>
        <w:t>ga del mismo al solicitante.”</w:t>
      </w:r>
    </w:p>
    <w:p w:rsidR="004D5693" w:rsidRDefault="004D5693">
      <w:pPr>
        <w:pBdr>
          <w:top w:val="nil"/>
          <w:left w:val="nil"/>
          <w:bottom w:val="nil"/>
          <w:right w:val="nil"/>
          <w:between w:val="nil"/>
        </w:pBdr>
        <w:shd w:val="clear" w:color="auto" w:fill="FFFFFF"/>
        <w:spacing w:before="240" w:after="360" w:line="276" w:lineRule="auto"/>
        <w:ind w:left="567" w:right="616"/>
        <w:jc w:val="both"/>
        <w:rPr>
          <w:rFonts w:ascii="Palatino Linotype" w:eastAsia="Palatino Linotype" w:hAnsi="Palatino Linotype" w:cs="Palatino Linotype"/>
          <w:color w:val="222222"/>
          <w:sz w:val="22"/>
          <w:szCs w:val="22"/>
        </w:rPr>
      </w:pPr>
    </w:p>
    <w:p w:rsidR="004D5693" w:rsidRDefault="00A64855">
      <w:pPr>
        <w:numPr>
          <w:ilvl w:val="0"/>
          <w:numId w:val="6"/>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el criterio orientador 16/17 emitido de igual forma por el Instituto Nacional de Transparencia, Acceso a la Información y Protección de Datos Personales que a la literalidad prevé:</w:t>
      </w:r>
    </w:p>
    <w:p w:rsidR="004D5693" w:rsidRDefault="00A64855">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“Expresión documental</w:t>
      </w:r>
      <w:r>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w:t>
      </w:r>
      <w:r>
        <w:rPr>
          <w:rFonts w:ascii="Palatino Linotype" w:eastAsia="Palatino Linotype" w:hAnsi="Palatino Linotype" w:cs="Palatino Linotype"/>
          <w:i/>
          <w:sz w:val="22"/>
          <w:szCs w:val="22"/>
        </w:rPr>
        <w:lastRenderedPageBreak/>
        <w:t>información de su interés, o bien, la solicitud constituya una consulta, pero la respuesta pudiera obrar en</w:t>
      </w:r>
      <w:r>
        <w:rPr>
          <w:rFonts w:ascii="Palatino Linotype" w:eastAsia="Palatino Linotype" w:hAnsi="Palatino Linotype" w:cs="Palatino Linotype"/>
          <w:i/>
          <w:sz w:val="22"/>
          <w:szCs w:val="22"/>
        </w:rPr>
        <w:t xml:space="preserve"> algún documento en poder de los sujetos obligados, éstos deben dar a dichas solicitudes una interpretación que les otorgue una expresión documental. </w:t>
      </w:r>
    </w:p>
    <w:p w:rsidR="004D5693" w:rsidRDefault="00A6485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4D5693" w:rsidRDefault="00A6485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0774/16. Secretaría de Salud. 31 de agosto de 2016. Por unanimidad. Comisionada Ponen</w:t>
      </w:r>
      <w:r>
        <w:rPr>
          <w:rFonts w:ascii="Palatino Linotype" w:eastAsia="Palatino Linotype" w:hAnsi="Palatino Linotype" w:cs="Palatino Linotype"/>
          <w:i/>
          <w:sz w:val="22"/>
          <w:szCs w:val="22"/>
        </w:rPr>
        <w:t xml:space="preserve">te María Patricia </w:t>
      </w:r>
      <w:proofErr w:type="spellStart"/>
      <w:r>
        <w:rPr>
          <w:rFonts w:ascii="Palatino Linotype" w:eastAsia="Palatino Linotype" w:hAnsi="Palatino Linotype" w:cs="Palatino Linotype"/>
          <w:i/>
          <w:sz w:val="22"/>
          <w:szCs w:val="22"/>
        </w:rPr>
        <w:t>Kurczyn</w:t>
      </w:r>
      <w:proofErr w:type="spellEnd"/>
      <w:r>
        <w:rPr>
          <w:rFonts w:ascii="Palatino Linotype" w:eastAsia="Palatino Linotype" w:hAnsi="Palatino Linotype" w:cs="Palatino Linotype"/>
          <w:i/>
          <w:sz w:val="22"/>
          <w:szCs w:val="22"/>
        </w:rPr>
        <w:t xml:space="preserve"> Villalobos.</w:t>
      </w:r>
    </w:p>
    <w:p w:rsidR="004D5693" w:rsidRDefault="00A6485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RRA 0143/17. Universidad Autónoma Agraria Antonio Narro. 22 de febrero de 2017. Por unanimidad. Comisionado Ponente Oscar Mauricio Guerra Ford. </w:t>
      </w:r>
    </w:p>
    <w:p w:rsidR="004D5693" w:rsidRDefault="00A6485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0540/17. Secretaría de Economía. 08 de marzo del 2017. Por unanim</w:t>
      </w:r>
      <w:r>
        <w:rPr>
          <w:rFonts w:ascii="Palatino Linotype" w:eastAsia="Palatino Linotype" w:hAnsi="Palatino Linotype" w:cs="Palatino Linotype"/>
          <w:i/>
          <w:sz w:val="22"/>
          <w:szCs w:val="22"/>
        </w:rPr>
        <w:t>idad. Comisionado Ponente Francisco Javier Acuña Llamas”</w:t>
      </w: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esa tesitura si bien es cierto en la solicitud no se identifica un documento específico, también lo es que, se debe realizar una expresión documental y, en su caso, entregar el soporte documental </w:t>
      </w:r>
      <w:r>
        <w:rPr>
          <w:rFonts w:ascii="Palatino Linotype" w:eastAsia="Palatino Linotype" w:hAnsi="Palatino Linotype" w:cs="Palatino Linotype"/>
          <w:color w:val="000000"/>
          <w:sz w:val="22"/>
          <w:szCs w:val="22"/>
        </w:rPr>
        <w:t>en donde obre la información requerida por el particular.</w:t>
      </w:r>
    </w:p>
    <w:p w:rsidR="004D5693" w:rsidRDefault="004D5693">
      <w:pPr>
        <w:spacing w:line="360" w:lineRule="auto"/>
        <w:jc w:val="both"/>
        <w:rPr>
          <w:rFonts w:ascii="Palatino Linotype" w:eastAsia="Palatino Linotype" w:hAnsi="Palatino Linotype" w:cs="Palatino Linotype"/>
        </w:rPr>
      </w:pPr>
    </w:p>
    <w:p w:rsidR="004D5693" w:rsidRDefault="00A64855">
      <w:pPr>
        <w:pStyle w:val="Ttulo2"/>
        <w:spacing w:line="259" w:lineRule="auto"/>
        <w:rPr>
          <w:rFonts w:ascii="Palatino Linotype" w:eastAsia="Palatino Linotype" w:hAnsi="Palatino Linotype" w:cs="Palatino Linotype"/>
          <w:b/>
          <w:color w:val="000000"/>
          <w:sz w:val="24"/>
          <w:szCs w:val="24"/>
        </w:rPr>
      </w:pPr>
      <w:bookmarkStart w:id="10" w:name="_heading=h.17dp8vu" w:colFirst="0" w:colLast="0"/>
      <w:bookmarkEnd w:id="10"/>
      <w:r>
        <w:rPr>
          <w:rFonts w:ascii="Palatino Linotype" w:eastAsia="Palatino Linotype" w:hAnsi="Palatino Linotype" w:cs="Palatino Linotype"/>
          <w:b/>
          <w:color w:val="000000"/>
          <w:sz w:val="24"/>
          <w:szCs w:val="24"/>
        </w:rPr>
        <w:t>III. De la declaración de incompetencia.</w:t>
      </w:r>
      <w:r>
        <w:rPr>
          <w:rFonts w:ascii="Palatino Linotype" w:eastAsia="Palatino Linotype" w:hAnsi="Palatino Linotype" w:cs="Palatino Linotype"/>
          <w:b/>
          <w:i/>
          <w:color w:val="000000"/>
          <w:sz w:val="24"/>
          <w:szCs w:val="24"/>
        </w:rPr>
        <w:t xml:space="preserve"> </w:t>
      </w:r>
    </w:p>
    <w:p w:rsidR="004D5693" w:rsidRDefault="004D5693">
      <w:pPr>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Debemos mencionar que el acceso a la información es un derecho humano constitucional y convencionalmente reconocido y para tal efecto el párrafo tercero del artículo primero de la Constitución Política de los Estados Unidos Mexicanos establece que el deber</w:t>
      </w:r>
      <w:r>
        <w:rPr>
          <w:rFonts w:ascii="Palatino Linotype" w:eastAsia="Palatino Linotype" w:hAnsi="Palatino Linotype" w:cs="Palatino Linotype"/>
          <w:color w:val="000000"/>
          <w:sz w:val="24"/>
          <w:szCs w:val="24"/>
        </w:rPr>
        <w:t xml:space="preserve"> de todas las autoridades, </w:t>
      </w:r>
      <w:r>
        <w:rPr>
          <w:rFonts w:ascii="Palatino Linotype" w:eastAsia="Palatino Linotype" w:hAnsi="Palatino Linotype" w:cs="Palatino Linotype"/>
          <w:i/>
          <w:color w:val="000000"/>
          <w:sz w:val="24"/>
          <w:szCs w:val="24"/>
        </w:rPr>
        <w:t xml:space="preserve">en el ámbito de sus atribuciones, de promover, respetar, proteger y </w:t>
      </w:r>
      <w:r>
        <w:rPr>
          <w:rFonts w:ascii="Palatino Linotype" w:eastAsia="Palatino Linotype" w:hAnsi="Palatino Linotype" w:cs="Palatino Linotype"/>
          <w:b/>
          <w:i/>
          <w:color w:val="000000"/>
          <w:sz w:val="24"/>
          <w:szCs w:val="24"/>
        </w:rPr>
        <w:t>garantizar</w:t>
      </w:r>
      <w:r>
        <w:rPr>
          <w:rFonts w:ascii="Palatino Linotype" w:eastAsia="Palatino Linotype" w:hAnsi="Palatino Linotype" w:cs="Palatino Linotype"/>
          <w:i/>
          <w:color w:val="000000"/>
          <w:sz w:val="24"/>
          <w:szCs w:val="24"/>
        </w:rPr>
        <w:t xml:space="preserve"> los derechos humanos. </w:t>
      </w:r>
      <w:r>
        <w:rPr>
          <w:rFonts w:ascii="Palatino Linotype" w:eastAsia="Palatino Linotype" w:hAnsi="Palatino Linotype" w:cs="Palatino Linotype"/>
          <w:b/>
          <w:i/>
          <w:color w:val="000000"/>
          <w:sz w:val="22"/>
          <w:szCs w:val="22"/>
        </w:rPr>
        <w:t>En cuanto al derecho de acceso a la información, la Ley de Transparencia y Acceso a la Información Pública del Estado de México y Municipios prevé establece que e</w:t>
      </w:r>
      <w:r>
        <w:rPr>
          <w:rFonts w:ascii="Palatino Linotype" w:eastAsia="Palatino Linotype" w:hAnsi="Palatino Linotype" w:cs="Palatino Linotype"/>
          <w:i/>
          <w:color w:val="000000"/>
          <w:sz w:val="22"/>
          <w:szCs w:val="22"/>
        </w:rPr>
        <w:t>l procedimiento de acceso a la información es la garantía primaria del derecho en cuestión y s</w:t>
      </w:r>
      <w:r>
        <w:rPr>
          <w:rFonts w:ascii="Palatino Linotype" w:eastAsia="Palatino Linotype" w:hAnsi="Palatino Linotype" w:cs="Palatino Linotype"/>
          <w:i/>
          <w:color w:val="000000"/>
          <w:sz w:val="22"/>
          <w:szCs w:val="22"/>
        </w:rPr>
        <w:t xml:space="preserve">e rige por los principios de simplicidad, rapidez y gratuidad del procedimiento, </w:t>
      </w:r>
      <w:r>
        <w:rPr>
          <w:rFonts w:ascii="Palatino Linotype" w:eastAsia="Palatino Linotype" w:hAnsi="Palatino Linotype" w:cs="Palatino Linotype"/>
          <w:i/>
          <w:color w:val="000000"/>
          <w:sz w:val="22"/>
          <w:szCs w:val="22"/>
        </w:rPr>
        <w:lastRenderedPageBreak/>
        <w:t>auxilio y orientación a los particulares</w:t>
      </w:r>
      <w:r>
        <w:rPr>
          <w:rFonts w:ascii="Palatino Linotype" w:eastAsia="Palatino Linotype" w:hAnsi="Palatino Linotype" w:cs="Palatino Linotype"/>
          <w:i/>
          <w:color w:val="000000"/>
          <w:sz w:val="22"/>
          <w:szCs w:val="22"/>
          <w:vertAlign w:val="superscript"/>
        </w:rPr>
        <w:footnoteReference w:id="10"/>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sz w:val="24"/>
          <w:szCs w:val="24"/>
        </w:rPr>
        <w:t>asimismo establece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sz w:val="22"/>
          <w:szCs w:val="22"/>
        </w:rPr>
        <w:t>que las unidades de transparencia de los Sujetos Obligados deberán garantizar las medidas y condiciones de accesi</w:t>
      </w:r>
      <w:r>
        <w:rPr>
          <w:rFonts w:ascii="Palatino Linotype" w:eastAsia="Palatino Linotype" w:hAnsi="Palatino Linotype" w:cs="Palatino Linotype"/>
          <w:i/>
          <w:color w:val="000000"/>
          <w:sz w:val="22"/>
          <w:szCs w:val="22"/>
        </w:rPr>
        <w:t>bilidad para que toda persona pueda ejercer el derecho de acceso a la información, mediante solicitudes de información y deberá apoyar al solicitante en la elaboración de las mismas.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las actuaciones diligentes que lleven a cabo en un primer mo</w:t>
      </w:r>
      <w:r>
        <w:rPr>
          <w:rFonts w:ascii="Palatino Linotype" w:eastAsia="Palatino Linotype" w:hAnsi="Palatino Linotype" w:cs="Palatino Linotype"/>
          <w:color w:val="000000"/>
          <w:sz w:val="24"/>
          <w:szCs w:val="24"/>
        </w:rPr>
        <w:t>mento las Unidades de Transparencia y posteriormente  cada servidor público en su área es fundamental para la correcta tutela y el eficaz cumplimiento al derecho de acceso a la información, pues los primeros son el vínculo entre los particulares y los serv</w:t>
      </w:r>
      <w:r>
        <w:rPr>
          <w:rFonts w:ascii="Palatino Linotype" w:eastAsia="Palatino Linotype" w:hAnsi="Palatino Linotype" w:cs="Palatino Linotype"/>
          <w:color w:val="000000"/>
          <w:sz w:val="24"/>
          <w:szCs w:val="24"/>
        </w:rPr>
        <w:t>idores públicos que generan, administra o poseen la información, mientras que los segundos tienen la responsabilidad de realizar una correcta gestión documental que permita localizar de manera rápida los documentos que se soliciten o bien, simplemente para</w:t>
      </w:r>
      <w:r>
        <w:rPr>
          <w:rFonts w:ascii="Palatino Linotype" w:eastAsia="Palatino Linotype" w:hAnsi="Palatino Linotype" w:cs="Palatino Linotype"/>
          <w:color w:val="000000"/>
          <w:sz w:val="24"/>
          <w:szCs w:val="24"/>
        </w:rPr>
        <w:t xml:space="preserve"> el desarrollo de sus facultades, competencias y atribuciones que a diario desempeñan.</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su obligación es </w:t>
      </w:r>
      <w:r>
        <w:rPr>
          <w:rFonts w:ascii="Palatino Linotype" w:eastAsia="Palatino Linotype" w:hAnsi="Palatino Linotype" w:cs="Palatino Linotype"/>
          <w:i/>
          <w:color w:val="000000"/>
          <w:sz w:val="22"/>
          <w:szCs w:val="22"/>
        </w:rPr>
        <w:t>realizar, con efectividad, los trámites internos necesarios para la atención de las solicitudes de información</w:t>
      </w:r>
      <w:r>
        <w:rPr>
          <w:rFonts w:ascii="Palatino Linotype" w:eastAsia="Palatino Linotype" w:hAnsi="Palatino Linotype" w:cs="Palatino Linotype"/>
          <w:color w:val="000000"/>
          <w:sz w:val="22"/>
          <w:szCs w:val="22"/>
          <w:vertAlign w:val="superscript"/>
        </w:rPr>
        <w:footnoteReference w:id="11"/>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4"/>
          <w:szCs w:val="24"/>
        </w:rPr>
        <w:t>es decir, deben otorgar respuestas concisas, contundentes y sobre todo que den la certeza de los actos que realizan.</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presente asunto, se tiene que la solicitud de acceso a la información se presentó el día veinticinco (25) de agosto de dos mil veintiuno, y la declaración de incompetencia se efectuó el día veintisiete (27) de agosto del mismo año, en </w:t>
      </w:r>
      <w:r>
        <w:rPr>
          <w:rFonts w:ascii="Palatino Linotype" w:eastAsia="Palatino Linotype" w:hAnsi="Palatino Linotype" w:cs="Palatino Linotype"/>
          <w:color w:val="000000"/>
          <w:sz w:val="24"/>
          <w:szCs w:val="24"/>
        </w:rPr>
        <w:lastRenderedPageBreak/>
        <w:t>consecuencia, s</w:t>
      </w:r>
      <w:r>
        <w:rPr>
          <w:rFonts w:ascii="Palatino Linotype" w:eastAsia="Palatino Linotype" w:hAnsi="Palatino Linotype" w:cs="Palatino Linotype"/>
          <w:color w:val="000000"/>
          <w:sz w:val="24"/>
          <w:szCs w:val="24"/>
        </w:rPr>
        <w:t>e tiene que estuvieron en estricto apego a lo dispuesto en el artículo 167 de la Ley de Transparencia y Acceso a la Información Pública del Estado de México y Municipios que establece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167. </w:t>
      </w:r>
      <w:r>
        <w:rPr>
          <w:rFonts w:ascii="Palatino Linotype" w:eastAsia="Palatino Linotype" w:hAnsi="Palatino Linotype" w:cs="Palatino Linotype"/>
          <w:i/>
          <w:sz w:val="22"/>
          <w:szCs w:val="22"/>
          <w:u w:val="single"/>
        </w:rPr>
        <w:t xml:space="preserve">Cuando las </w:t>
      </w:r>
      <w:r>
        <w:rPr>
          <w:rFonts w:ascii="Palatino Linotype" w:eastAsia="Palatino Linotype" w:hAnsi="Palatino Linotype" w:cs="Palatino Linotype"/>
          <w:b/>
          <w:i/>
          <w:sz w:val="22"/>
          <w:szCs w:val="22"/>
          <w:u w:val="single"/>
        </w:rPr>
        <w:t>unidades de transparencia determ</w:t>
      </w:r>
      <w:r>
        <w:rPr>
          <w:rFonts w:ascii="Palatino Linotype" w:eastAsia="Palatino Linotype" w:hAnsi="Palatino Linotype" w:cs="Palatino Linotype"/>
          <w:b/>
          <w:i/>
          <w:sz w:val="22"/>
          <w:szCs w:val="22"/>
          <w:u w:val="single"/>
        </w:rPr>
        <w:t>inen la notoria incompetencia por parte de los sujetos obligado</w:t>
      </w:r>
      <w:r>
        <w:rPr>
          <w:rFonts w:ascii="Palatino Linotype" w:eastAsia="Palatino Linotype" w:hAnsi="Palatino Linotype" w:cs="Palatino Linotype"/>
          <w:i/>
          <w:sz w:val="22"/>
          <w:szCs w:val="22"/>
          <w:u w:val="single"/>
        </w:rPr>
        <w:t xml:space="preserve">s, </w:t>
      </w:r>
      <w:r>
        <w:rPr>
          <w:rFonts w:ascii="Palatino Linotype" w:eastAsia="Palatino Linotype" w:hAnsi="Palatino Linotype" w:cs="Palatino Linotype"/>
          <w:i/>
          <w:sz w:val="22"/>
          <w:szCs w:val="22"/>
        </w:rPr>
        <w:t xml:space="preserve">dentro del ámbito de aplicación, para atender la solicitud de acceso a la información, deberán comunicarlo al solicitante, dentro de los </w:t>
      </w:r>
      <w:r>
        <w:rPr>
          <w:rFonts w:ascii="Palatino Linotype" w:eastAsia="Palatino Linotype" w:hAnsi="Palatino Linotype" w:cs="Palatino Linotype"/>
          <w:b/>
          <w:i/>
          <w:sz w:val="22"/>
          <w:szCs w:val="22"/>
          <w:u w:val="single"/>
        </w:rPr>
        <w:t>tres días hábiles posteriores a la recepción de la solicitud</w:t>
      </w:r>
      <w:r>
        <w:rPr>
          <w:rFonts w:ascii="Palatino Linotype" w:eastAsia="Palatino Linotype" w:hAnsi="Palatino Linotype" w:cs="Palatino Linotype"/>
          <w:i/>
          <w:sz w:val="22"/>
          <w:szCs w:val="22"/>
        </w:rPr>
        <w:t xml:space="preserve"> y, en su caso orientar al solicitante, el o los sujetos obligados competentes.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Tal y como se aprecia en líneas anteriores, la declaración de incompetencia que realizó el Sujeto Obligado se encue</w:t>
      </w:r>
      <w:r>
        <w:rPr>
          <w:rFonts w:ascii="Palatino Linotype" w:eastAsia="Palatino Linotype" w:hAnsi="Palatino Linotype" w:cs="Palatino Linotype"/>
          <w:color w:val="000000"/>
          <w:sz w:val="24"/>
          <w:szCs w:val="24"/>
        </w:rPr>
        <w:t xml:space="preserve">ntra dentro de los límites temporales que establece la normatividad en materia para tal efecto; no obstante, se verificarán las atribuciones, funciones y competencias del Sujeto Obligado para determinar si cuenta o no con fuente obligacional para generar, </w:t>
      </w:r>
      <w:r>
        <w:rPr>
          <w:rFonts w:ascii="Palatino Linotype" w:eastAsia="Palatino Linotype" w:hAnsi="Palatino Linotype" w:cs="Palatino Linotype"/>
          <w:color w:val="000000"/>
          <w:sz w:val="24"/>
          <w:szCs w:val="24"/>
        </w:rPr>
        <w:t>administrar y/o poseer la información solicitada.</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que la declaración de incompetencia surta efectos, es necesario cumplir con dos elementos indispensables, estar en tiempo y forma. Una vez que se ha dicho que cumplió con el primer elemento, se proced</w:t>
      </w:r>
      <w:r>
        <w:rPr>
          <w:rFonts w:ascii="Palatino Linotype" w:eastAsia="Palatino Linotype" w:hAnsi="Palatino Linotype" w:cs="Palatino Linotype"/>
          <w:color w:val="000000"/>
          <w:sz w:val="24"/>
          <w:szCs w:val="24"/>
        </w:rPr>
        <w:t>erá a verificar si la Comisión Estatal de Parques Naturales y de la Fauna tiene atribuciones o no, para generar, administrar y/o poseer los documentos requeridos.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pStyle w:val="Ttulo2"/>
        <w:rPr>
          <w:rFonts w:ascii="Palatino Linotype" w:eastAsia="Palatino Linotype" w:hAnsi="Palatino Linotype" w:cs="Palatino Linotype"/>
          <w:b/>
          <w:color w:val="000000"/>
          <w:sz w:val="24"/>
          <w:szCs w:val="24"/>
        </w:rPr>
      </w:pPr>
      <w:bookmarkStart w:id="11" w:name="_heading=h.3rdcrjn" w:colFirst="0" w:colLast="0"/>
      <w:bookmarkEnd w:id="11"/>
      <w:r>
        <w:rPr>
          <w:rFonts w:ascii="Palatino Linotype" w:eastAsia="Palatino Linotype" w:hAnsi="Palatino Linotype" w:cs="Palatino Linotype"/>
          <w:b/>
          <w:color w:val="000000"/>
          <w:sz w:val="24"/>
          <w:szCs w:val="24"/>
        </w:rPr>
        <w:t>IV. De la Contraloría Interna.</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Manual General de Organización de la Comisión Estatal de Parques Naturales y de la Fauna</w:t>
      </w:r>
      <w:r>
        <w:rPr>
          <w:rFonts w:ascii="Palatino Linotype" w:eastAsia="Palatino Linotype" w:hAnsi="Palatino Linotype" w:cs="Palatino Linotype"/>
          <w:color w:val="000000"/>
          <w:sz w:val="24"/>
          <w:szCs w:val="24"/>
          <w:vertAlign w:val="superscript"/>
        </w:rPr>
        <w:footnoteReference w:id="12"/>
      </w:r>
      <w:r>
        <w:rPr>
          <w:rFonts w:ascii="Palatino Linotype" w:eastAsia="Palatino Linotype" w:hAnsi="Palatino Linotype" w:cs="Palatino Linotype"/>
          <w:color w:val="000000"/>
          <w:sz w:val="24"/>
          <w:szCs w:val="24"/>
        </w:rPr>
        <w:t xml:space="preserve"> establece, al igual que su Estructura Orgánica</w:t>
      </w:r>
      <w:r>
        <w:rPr>
          <w:rFonts w:ascii="Palatino Linotype" w:eastAsia="Palatino Linotype" w:hAnsi="Palatino Linotype" w:cs="Palatino Linotype"/>
          <w:color w:val="000000"/>
          <w:sz w:val="24"/>
          <w:szCs w:val="24"/>
          <w:vertAlign w:val="superscript"/>
        </w:rPr>
        <w:footnoteReference w:id="13"/>
      </w:r>
      <w:r>
        <w:rPr>
          <w:rFonts w:ascii="Palatino Linotype" w:eastAsia="Palatino Linotype" w:hAnsi="Palatino Linotype" w:cs="Palatino Linotype"/>
          <w:color w:val="000000"/>
          <w:sz w:val="24"/>
          <w:szCs w:val="24"/>
        </w:rPr>
        <w:t xml:space="preserve"> que la Comisión debe contar con un Órgano Interno de Control, del cual, el Manual contiene el objetivo y sus funcio</w:t>
      </w:r>
      <w:r>
        <w:rPr>
          <w:rFonts w:ascii="Palatino Linotype" w:eastAsia="Palatino Linotype" w:hAnsi="Palatino Linotype" w:cs="Palatino Linotype"/>
          <w:color w:val="000000"/>
          <w:sz w:val="24"/>
          <w:szCs w:val="24"/>
        </w:rPr>
        <w:t>nes de dicha área.</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Como se puede apreciar de dicho manual, todas las acciones que realiza la Contraloría Interna son relativas al funcionamiento del Sujeto Obligado. No pasa desapercibido que la solicitud que formuló el Recurrente parte de dos aspectos, uno en cuanto a conoc</w:t>
      </w:r>
      <w:r>
        <w:rPr>
          <w:rFonts w:ascii="Palatino Linotype" w:eastAsia="Palatino Linotype" w:hAnsi="Palatino Linotype" w:cs="Palatino Linotype"/>
          <w:color w:val="000000"/>
          <w:sz w:val="24"/>
          <w:szCs w:val="24"/>
        </w:rPr>
        <w:t>er información del personal administrativo, lo cual pudiera obrar en el expediente correspondiente y, el otro, a las funciones, atribuciones y competencias propias de la Contraloría Interna, tal y como son los plazos y términos de los procedimientos a su c</w:t>
      </w:r>
      <w:r>
        <w:rPr>
          <w:rFonts w:ascii="Palatino Linotype" w:eastAsia="Palatino Linotype" w:hAnsi="Palatino Linotype" w:cs="Palatino Linotype"/>
          <w:color w:val="000000"/>
          <w:sz w:val="24"/>
          <w:szCs w:val="24"/>
        </w:rPr>
        <w:t xml:space="preserve">argo, así como información meramente estadística. </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los puntos relativos a la Función de la Contraloría Interna, es necesario mencionar que, la declaración de incompetencia que manifiesto el Sujeto Obligado resulta improcedente por lo que corresponde al primer requerimiento, es decir, funciones de la </w:t>
      </w:r>
      <w:r>
        <w:rPr>
          <w:rFonts w:ascii="Palatino Linotype" w:eastAsia="Palatino Linotype" w:hAnsi="Palatino Linotype" w:cs="Palatino Linotype"/>
          <w:color w:val="000000"/>
          <w:sz w:val="24"/>
          <w:szCs w:val="24"/>
        </w:rPr>
        <w:t xml:space="preserve">contraloría interna, toda vez que, tal y como se demostró en el Manual General de Organización de la Comisión Estatal de Parques Naturales y de la Fauna </w:t>
      </w:r>
      <w:r>
        <w:rPr>
          <w:rFonts w:ascii="Palatino Linotype" w:eastAsia="Palatino Linotype" w:hAnsi="Palatino Linotype" w:cs="Palatino Linotype"/>
          <w:color w:val="000000"/>
          <w:sz w:val="24"/>
          <w:szCs w:val="24"/>
        </w:rPr>
        <w:lastRenderedPageBreak/>
        <w:t>no sólo contiene el objetivo de dicha área, sino también, sus funciones, documento que resulta idóneo p</w:t>
      </w:r>
      <w:r>
        <w:rPr>
          <w:rFonts w:ascii="Palatino Linotype" w:eastAsia="Palatino Linotype" w:hAnsi="Palatino Linotype" w:cs="Palatino Linotype"/>
          <w:color w:val="000000"/>
          <w:sz w:val="24"/>
          <w:szCs w:val="24"/>
        </w:rPr>
        <w:t>ara atender el requerimiento.</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al dirigirse a la página oficial del IPOMEX del Sujeto Obligado se localizó lo siguiente:</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Century Gothic" w:eastAsia="Century Gothic" w:hAnsi="Century Gothic" w:cs="Century Gothic"/>
          <w:noProof/>
          <w:color w:val="000000"/>
          <w:sz w:val="22"/>
          <w:szCs w:val="22"/>
          <w:lang w:eastAsia="es-MX"/>
        </w:rPr>
        <w:drawing>
          <wp:inline distT="0" distB="0" distL="0" distR="0">
            <wp:extent cx="5648954" cy="387547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0473" t="20771" r="20595" b="7351"/>
                    <a:stretch>
                      <a:fillRect/>
                    </a:stretch>
                  </pic:blipFill>
                  <pic:spPr>
                    <a:xfrm>
                      <a:off x="0" y="0"/>
                      <a:ext cx="5648954" cy="3875473"/>
                    </a:xfrm>
                    <a:prstGeom prst="rect">
                      <a:avLst/>
                    </a:prstGeom>
                    <a:ln/>
                  </pic:spPr>
                </pic:pic>
              </a:graphicData>
            </a:graphic>
          </wp:inline>
        </w:drawing>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al cargar la información contenida en el IPOMEX, por voluntad propia y sin coacción, informó que la Contraloría Interna tiene las funciones contenidas en el Manual general de Organización de la CEPANAF, siendo este </w:t>
      </w:r>
      <w:r>
        <w:rPr>
          <w:rFonts w:ascii="Palatino Linotype" w:eastAsia="Palatino Linotype" w:hAnsi="Palatino Linotype" w:cs="Palatino Linotype"/>
          <w:color w:val="000000"/>
          <w:sz w:val="24"/>
          <w:szCs w:val="24"/>
        </w:rPr>
        <w:lastRenderedPageBreak/>
        <w:t>instrumento jurídico e</w:t>
      </w:r>
      <w:r>
        <w:rPr>
          <w:rFonts w:ascii="Palatino Linotype" w:eastAsia="Palatino Linotype" w:hAnsi="Palatino Linotype" w:cs="Palatino Linotype"/>
          <w:color w:val="000000"/>
          <w:sz w:val="24"/>
          <w:szCs w:val="24"/>
        </w:rPr>
        <w:t>l documento idóneo para atender el requerimiento del particular.</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corresponde a lo siguiente:</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4D5693" w:rsidRDefault="00A6485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Licenciatura requerida para ser auditor de la Contraloría Interna;</w:t>
      </w:r>
    </w:p>
    <w:p w:rsidR="004D5693" w:rsidRDefault="00A6485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Auditores con licenciatura;</w:t>
      </w:r>
    </w:p>
    <w:p w:rsidR="004D5693" w:rsidRDefault="00A6485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Número de auditores de la Contraloría Interna;</w:t>
      </w:r>
    </w:p>
    <w:p w:rsidR="004D5693" w:rsidRDefault="00A6485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Sanciones impuestas a servidores públicos que han incumplido sus obligaciones;</w:t>
      </w:r>
    </w:p>
    <w:p w:rsidR="004D5693" w:rsidRDefault="00A6485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Términos que tiene la contraloría para emitir una sanción por denuncia o queja.</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necesario traer a contexto el Manual General de Organización del Sujeto Obligado, relativo a la Subdirección de Administración y Finanzas, porque dispone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OBJETIVO: </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Programar, organizar y controlar la administración de los recursos humano</w:t>
      </w:r>
      <w:r>
        <w:rPr>
          <w:rFonts w:ascii="Palatino Linotype" w:eastAsia="Palatino Linotype" w:hAnsi="Palatino Linotype" w:cs="Palatino Linotype"/>
          <w:i/>
          <w:color w:val="000000"/>
          <w:sz w:val="22"/>
          <w:szCs w:val="22"/>
        </w:rPr>
        <w:t>s, materiales y financieros, a las unidades administradas, parques y zoológicos de la Comisión Estatal de Parques Naturales y de la Fauna, de conformidad con las normas y políticas establecidas en la materia.</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FUNCIONES:</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Gestionar los movimientos de pers</w:t>
      </w:r>
      <w:r>
        <w:rPr>
          <w:rFonts w:ascii="Palatino Linotype" w:eastAsia="Palatino Linotype" w:hAnsi="Palatino Linotype" w:cs="Palatino Linotype"/>
          <w:i/>
          <w:color w:val="000000"/>
          <w:sz w:val="22"/>
          <w:szCs w:val="22"/>
        </w:rPr>
        <w:t>onal relacionados con altas, bajas, cambios, promociones, licencias, entre otros, de acuerdo a la normatividad establecida en la materia.</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Mientras que lo relativo al Departamento de Recursos Humanos dispone: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OBJETIVO: </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Administrar los recursos humanos de la Comisión Estatal de Parques Naturales y de la Fauna, a través del reclutamiento, selección, integración y desarrollo, así como mantener actualizada la información y documentación sobre la situación laboral.</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FUNCIONES</w:t>
      </w:r>
      <w:r>
        <w:rPr>
          <w:rFonts w:ascii="Palatino Linotype" w:eastAsia="Palatino Linotype" w:hAnsi="Palatino Linotype" w:cs="Palatino Linotype"/>
          <w:i/>
          <w:color w:val="000000"/>
          <w:sz w:val="22"/>
          <w:szCs w:val="22"/>
        </w:rPr>
        <w:t xml:space="preserve">: </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Integrar y mantener actualizados los expedientes de los servidores públicos, así como la plantilla del personal adscrito.</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Tramitar los movimientos de altas, bajas, promociones, cambios de adscripción, permisos y demás incidencias del personal.</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Verificar que la documentación del personal de nuevo ingreso cumpla con las disposiciones establecidas por la Dirección General de Personal.</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corresponde a la Subdirección de Administración y Finanzas, así como al Departamento de Recursos Human</w:t>
      </w:r>
      <w:r>
        <w:rPr>
          <w:rFonts w:ascii="Palatino Linotype" w:eastAsia="Palatino Linotype" w:hAnsi="Palatino Linotype" w:cs="Palatino Linotype"/>
          <w:color w:val="000000"/>
          <w:sz w:val="24"/>
          <w:szCs w:val="24"/>
        </w:rPr>
        <w:t xml:space="preserve">os, verificar lo relativo a los expedientes </w:t>
      </w:r>
      <w:r>
        <w:rPr>
          <w:rFonts w:ascii="Palatino Linotype" w:eastAsia="Palatino Linotype" w:hAnsi="Palatino Linotype" w:cs="Palatino Linotype"/>
          <w:color w:val="000000"/>
          <w:sz w:val="24"/>
          <w:szCs w:val="24"/>
        </w:rPr>
        <w:lastRenderedPageBreak/>
        <w:t>del personal adscrito a la Comisión Estatal de Parques Naturales y de la Fauna, asimismo, verificar que la documentación del personal cumpla con las disposiciones establecidas.</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información solicitada por el p</w:t>
      </w:r>
      <w:r>
        <w:rPr>
          <w:rFonts w:ascii="Palatino Linotype" w:eastAsia="Palatino Linotype" w:hAnsi="Palatino Linotype" w:cs="Palatino Linotype"/>
          <w:color w:val="000000"/>
          <w:sz w:val="24"/>
          <w:szCs w:val="24"/>
        </w:rPr>
        <w:t>articular pudiera obrar, de manera enunciativa más no limitativa en el expediente del personal, no debemos perder de vista que, la estructura orgánica del Sujeto Obligado contempla a la Contraloría Interna, por lo que, su personal debe estar sujeto a las n</w:t>
      </w:r>
      <w:r>
        <w:rPr>
          <w:rFonts w:ascii="Palatino Linotype" w:eastAsia="Palatino Linotype" w:hAnsi="Palatino Linotype" w:cs="Palatino Linotype"/>
          <w:color w:val="000000"/>
          <w:sz w:val="24"/>
          <w:szCs w:val="24"/>
        </w:rPr>
        <w:t>ormas administrativas de la Comisión y por ende, el departamento de administración de recursos humanos pudiera generar, administrar y/o poseer la información requerida, en el sentido de que, debe verificar que la documentación del personal de nuevo ingreso</w:t>
      </w:r>
      <w:r>
        <w:rPr>
          <w:rFonts w:ascii="Palatino Linotype" w:eastAsia="Palatino Linotype" w:hAnsi="Palatino Linotype" w:cs="Palatino Linotype"/>
          <w:color w:val="000000"/>
          <w:sz w:val="24"/>
          <w:szCs w:val="24"/>
        </w:rPr>
        <w:t xml:space="preserve"> cumpla con las disposiciones legales, en otras palabras, que el personal cumpla con los requisitos para el cargo que ostenta. </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corresponde a número de sanciones que ha impuesto la Contraloría Interna a servidores públicos que incumplieron sus funciones y tiempo que tarda en emitir una sanción por denuncias o quejas, es necesario traer a colación las funciones que tiene </w:t>
      </w:r>
      <w:r>
        <w:rPr>
          <w:rFonts w:ascii="Palatino Linotype" w:eastAsia="Palatino Linotype" w:hAnsi="Palatino Linotype" w:cs="Palatino Linotype"/>
          <w:color w:val="000000"/>
          <w:sz w:val="24"/>
          <w:szCs w:val="24"/>
        </w:rPr>
        <w:t>esta área y que están plasmadas en el Manual de Organización del Sujeto Obligado, siendo las siguientes: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2"/>
          <w:szCs w:val="22"/>
        </w:rPr>
        <w:t>212B10100 CONTRALORÍA INTERNA</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OBJETIVO: </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Fiscalizar, revisar y evaluar los programas, subprogramas y proyectos del organismo, para verificar el cumpli</w:t>
      </w:r>
      <w:r>
        <w:rPr>
          <w:rFonts w:ascii="Palatino Linotype" w:eastAsia="Palatino Linotype" w:hAnsi="Palatino Linotype" w:cs="Palatino Linotype"/>
          <w:i/>
          <w:color w:val="000000"/>
          <w:sz w:val="22"/>
          <w:szCs w:val="22"/>
        </w:rPr>
        <w:t xml:space="preserve">miento de las normas, lineamientos, políticas y disposiciones </w:t>
      </w:r>
      <w:r>
        <w:rPr>
          <w:rFonts w:ascii="Palatino Linotype" w:eastAsia="Palatino Linotype" w:hAnsi="Palatino Linotype" w:cs="Palatino Linotype"/>
          <w:i/>
          <w:color w:val="000000"/>
          <w:sz w:val="22"/>
          <w:szCs w:val="22"/>
        </w:rPr>
        <w:lastRenderedPageBreak/>
        <w:t>jurídico-administrativas para el manejo y ejercicio de los recursos financieros, humanos y materiales; así como tramitar las quejas y denuncias e instrumentar y resolver los procedimientos admin</w:t>
      </w:r>
      <w:r>
        <w:rPr>
          <w:rFonts w:ascii="Palatino Linotype" w:eastAsia="Palatino Linotype" w:hAnsi="Palatino Linotype" w:cs="Palatino Linotype"/>
          <w:i/>
          <w:color w:val="000000"/>
          <w:sz w:val="22"/>
          <w:szCs w:val="22"/>
        </w:rPr>
        <w:t>istrativos de su competencia</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FUNCIONES:</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Realizar por sí, o a solicitud de parte, auditorías y evaluaciones orientadas a promover la eficacia y transparencia en las operaciones efectuadas por la Comisión Estatal de Parques Naturales y de la Fauna, así como</w:t>
      </w:r>
      <w:r>
        <w:rPr>
          <w:rFonts w:ascii="Palatino Linotype" w:eastAsia="Palatino Linotype" w:hAnsi="Palatino Linotype" w:cs="Palatino Linotype"/>
          <w:i/>
          <w:color w:val="000000"/>
          <w:sz w:val="22"/>
          <w:szCs w:val="22"/>
        </w:rPr>
        <w:t xml:space="preserve"> para verificar, de acuerdo con su competencia, el cumplimiento de los objetivos establecidos en los programas, subprogramas y proyectos.</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Inspeccionar el cumplimiento de las normas y disposiciones en los rubros de sistemas de registro y contabilidad, contratación y pago de personal, contratación de servicios, obra pública, adquisiciones, arrendamientos, conservación, uso, destino, afectación</w:t>
      </w:r>
      <w:r>
        <w:rPr>
          <w:rFonts w:ascii="Palatino Linotype" w:eastAsia="Palatino Linotype" w:hAnsi="Palatino Linotype" w:cs="Palatino Linotype"/>
          <w:i/>
          <w:color w:val="000000"/>
          <w:sz w:val="22"/>
          <w:szCs w:val="22"/>
        </w:rPr>
        <w:t>, enajenación, baja de bienes y demás activos, y recursos materiales asignados a la Comisión Estatal de Parques Naturales y de la Fauna.</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Recibir, tramitar y dar seguimiento a las quejas, denuncias </w:t>
      </w:r>
      <w:r>
        <w:rPr>
          <w:rFonts w:ascii="Palatino Linotype" w:eastAsia="Palatino Linotype" w:hAnsi="Palatino Linotype" w:cs="Palatino Linotype"/>
          <w:i/>
          <w:color w:val="000000"/>
          <w:sz w:val="22"/>
          <w:szCs w:val="22"/>
        </w:rPr>
        <w:t>e inconformidades que presenten los particulares o servidores públicos con motivo del incumplimiento de acuerdos, convenios, contratos o servicios que involucren las acciones de la Comisión Estatal de Parques Naturales y de la Fauna o c</w:t>
      </w:r>
      <w:r>
        <w:rPr>
          <w:rFonts w:ascii="Palatino Linotype" w:eastAsia="Palatino Linotype" w:hAnsi="Palatino Linotype" w:cs="Palatino Linotype"/>
          <w:b/>
          <w:i/>
          <w:color w:val="000000"/>
          <w:sz w:val="22"/>
          <w:szCs w:val="22"/>
        </w:rPr>
        <w:t>uando se infrinjan l</w:t>
      </w:r>
      <w:r>
        <w:rPr>
          <w:rFonts w:ascii="Palatino Linotype" w:eastAsia="Palatino Linotype" w:hAnsi="Palatino Linotype" w:cs="Palatino Linotype"/>
          <w:b/>
          <w:i/>
          <w:color w:val="000000"/>
          <w:sz w:val="22"/>
          <w:szCs w:val="22"/>
        </w:rPr>
        <w:t>as disposiciones contenidas en la Ley de Responsabilidades de los Servidores Públicos del Estado y Municipios.</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Dirigir, en el ámbito de su competencia, !a investigación, instrumentación de procedimientos administrativos y determinación de responsabilidade</w:t>
      </w:r>
      <w:r>
        <w:rPr>
          <w:rFonts w:ascii="Palatino Linotype" w:eastAsia="Palatino Linotype" w:hAnsi="Palatino Linotype" w:cs="Palatino Linotype"/>
          <w:b/>
          <w:i/>
          <w:color w:val="000000"/>
          <w:sz w:val="22"/>
          <w:szCs w:val="22"/>
        </w:rPr>
        <w:t>s, derivadas del incumplimiento a las obligaciones establecidas en la Ley de Responsabilidades de los Servidores Públicos del Estado y Municipios, así como imponer las sanciones conforme a la normatividad de la materia.</w:t>
      </w:r>
    </w:p>
    <w:p w:rsidR="004D5693" w:rsidRDefault="004D5693">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Fincar los pliegos preventivos de r</w:t>
      </w:r>
      <w:r>
        <w:rPr>
          <w:rFonts w:ascii="Palatino Linotype" w:eastAsia="Palatino Linotype" w:hAnsi="Palatino Linotype" w:cs="Palatino Linotype"/>
          <w:i/>
          <w:color w:val="000000"/>
          <w:sz w:val="22"/>
          <w:szCs w:val="22"/>
        </w:rPr>
        <w:t>esponsabilidades y calificar la responsabilidad administrativa resarcitoria de los servidores públicos del organismo, conforme a lo dispuesto en la Ley de Responsabilidades de los Servidores Públicos del Estado y Municipios.</w:t>
      </w:r>
    </w:p>
    <w:p w:rsidR="004D5693" w:rsidRDefault="00A64855">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Del Manual de Organización, se aprecia que la Contraloría Interna de la Comisión Estatal de Parques Naturales y de la Fauna cuenta con la atribución y función para recibir, tramitar y dar seguimiento a quejas y denuncias presentadas por particulares o serv</w:t>
      </w:r>
      <w:r>
        <w:rPr>
          <w:rFonts w:ascii="Palatino Linotype" w:eastAsia="Palatino Linotype" w:hAnsi="Palatino Linotype" w:cs="Palatino Linotype"/>
          <w:color w:val="000000"/>
          <w:sz w:val="24"/>
          <w:szCs w:val="24"/>
        </w:rPr>
        <w:t>idores públicos, asimismo, tiene la atribución para imponer sanciones por incumplimiento a obligaciones de la Ley de Responsabilidades, información que se relaciona con lo solicitado por el Particular, por lo que se infiere que el Sujeto Obligado debe gene</w:t>
      </w:r>
      <w:r>
        <w:rPr>
          <w:rFonts w:ascii="Palatino Linotype" w:eastAsia="Palatino Linotype" w:hAnsi="Palatino Linotype" w:cs="Palatino Linotype"/>
          <w:color w:val="000000"/>
          <w:sz w:val="24"/>
          <w:szCs w:val="24"/>
        </w:rPr>
        <w:t>rar, poseer y administrar dichos documentos y, en consecuencia, deben ser proporcionados al particular. Ahora bien, no debe pasar desapercibido que el Recurrente se limitó a solicitar información netamente estadística, misma que se considera pública indepe</w:t>
      </w:r>
      <w:r>
        <w:rPr>
          <w:rFonts w:ascii="Palatino Linotype" w:eastAsia="Palatino Linotype" w:hAnsi="Palatino Linotype" w:cs="Palatino Linotype"/>
          <w:color w:val="000000"/>
          <w:sz w:val="24"/>
          <w:szCs w:val="24"/>
        </w:rPr>
        <w:t xml:space="preserve">ndientemente la materia de la que se trate; sirve de sustento el criterio orientador 11/09 del entonces Instituto Federal de </w:t>
      </w:r>
      <w:r>
        <w:rPr>
          <w:rFonts w:ascii="Palatino Linotype" w:eastAsia="Palatino Linotype" w:hAnsi="Palatino Linotype" w:cs="Palatino Linotype"/>
          <w:color w:val="000000"/>
          <w:sz w:val="24"/>
          <w:szCs w:val="24"/>
        </w:rPr>
        <w:lastRenderedPageBreak/>
        <w:t>Acceso a la Información Pública ahora Instituto Nacional de Transparencia, Acceso a la Información y Protección de Datos Personales</w:t>
      </w:r>
      <w:r>
        <w:rPr>
          <w:rFonts w:ascii="Palatino Linotype" w:eastAsia="Palatino Linotype" w:hAnsi="Palatino Linotype" w:cs="Palatino Linotype"/>
          <w:color w:val="000000"/>
          <w:sz w:val="24"/>
          <w:szCs w:val="24"/>
        </w:rPr>
        <w:t>, el cual rubro y texto contienen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spacing w:before="74"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La información estadística es de naturaleza pública, independientemente de la  materia  con  la  que  se encuentre  vinculada. </w:t>
      </w:r>
      <w:r>
        <w:rPr>
          <w:rFonts w:ascii="Palatino Linotype" w:eastAsia="Palatino Linotype" w:hAnsi="Palatino Linotype" w:cs="Palatino Linotype"/>
          <w:i/>
          <w:sz w:val="22"/>
          <w:szCs w:val="22"/>
        </w:rPr>
        <w:t>Considerando que la información   estadística   es   el   producto   de   un   c</w:t>
      </w:r>
      <w:r>
        <w:rPr>
          <w:rFonts w:ascii="Palatino Linotype" w:eastAsia="Palatino Linotype" w:hAnsi="Palatino Linotype" w:cs="Palatino Linotype"/>
          <w:i/>
          <w:sz w:val="22"/>
          <w:szCs w:val="22"/>
        </w:rPr>
        <w:t>onjunto   de   resultados cuantitativos obtenidos de un proceso sistemático de captación de datos primarios obtenidos sobre hechos que constan en documentos que las dependencias y entidades poseen, derivado del ejercicio de sus atribuciones, y que el artíc</w:t>
      </w:r>
      <w:r>
        <w:rPr>
          <w:rFonts w:ascii="Palatino Linotype" w:eastAsia="Palatino Linotype" w:hAnsi="Palatino Linotype" w:cs="Palatino Linotype"/>
          <w:i/>
          <w:sz w:val="22"/>
          <w:szCs w:val="22"/>
        </w:rPr>
        <w:t>ulo 7, fracción XVII de la Ley Federal de Transparencia y Acceso a la Información Pública Gubernamental establece que los sujetos obligados deberán poner a disposición del público, entre otra, la relativa a la que con base en la información estadística, re</w:t>
      </w:r>
      <w:r>
        <w:rPr>
          <w:rFonts w:ascii="Palatino Linotype" w:eastAsia="Palatino Linotype" w:hAnsi="Palatino Linotype" w:cs="Palatino Linotype"/>
          <w:i/>
          <w:sz w:val="22"/>
          <w:szCs w:val="22"/>
        </w:rPr>
        <w:t>sponda a las preguntas hechas con más frecuencia por el público, es posible afirmar que la información estadística es de naturaleza pública. Lo anterior se debe también a que, por definición, los datos estadísticos no se encuentran individualizados o perso</w:t>
      </w:r>
      <w:r>
        <w:rPr>
          <w:rFonts w:ascii="Palatino Linotype" w:eastAsia="Palatino Linotype" w:hAnsi="Palatino Linotype" w:cs="Palatino Linotype"/>
          <w:i/>
          <w:sz w:val="22"/>
          <w:szCs w:val="22"/>
        </w:rPr>
        <w:t>nalizados a casos o situaciones específicas que pudieran llegar a justificar su clasificación.</w:t>
      </w:r>
    </w:p>
    <w:p w:rsidR="004D5693" w:rsidRDefault="004D5693">
      <w:pPr>
        <w:spacing w:line="200" w:lineRule="auto"/>
        <w:ind w:left="567" w:right="822"/>
        <w:rPr>
          <w:rFonts w:ascii="Palatino Linotype" w:eastAsia="Palatino Linotype" w:hAnsi="Palatino Linotype" w:cs="Palatino Linotype"/>
          <w:i/>
          <w:sz w:val="18"/>
          <w:szCs w:val="18"/>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Expedientes:</w:t>
      </w:r>
    </w:p>
    <w:p w:rsidR="004D5693" w:rsidRDefault="004D5693">
      <w:pPr>
        <w:spacing w:before="8"/>
        <w:ind w:left="567" w:right="822"/>
        <w:rPr>
          <w:rFonts w:ascii="Palatino Linotype" w:eastAsia="Palatino Linotype" w:hAnsi="Palatino Linotype" w:cs="Palatino Linotype"/>
          <w:i/>
          <w:sz w:val="13"/>
          <w:szCs w:val="13"/>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2593/07 Procuraduría General de la República – Alonso Gómez-Robledo V.</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4333/08 Procuraduría General de la República – Alonso Lujambio Irazábal</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2280/08 Policía Federal – Jacqueline </w:t>
      </w:r>
      <w:proofErr w:type="spellStart"/>
      <w:r>
        <w:rPr>
          <w:rFonts w:ascii="Palatino Linotype" w:eastAsia="Palatino Linotype" w:hAnsi="Palatino Linotype" w:cs="Palatino Linotype"/>
          <w:i/>
          <w:sz w:val="22"/>
          <w:szCs w:val="22"/>
        </w:rPr>
        <w:t>Peschard</w:t>
      </w:r>
      <w:proofErr w:type="spellEnd"/>
      <w:r>
        <w:rPr>
          <w:rFonts w:ascii="Palatino Linotype" w:eastAsia="Palatino Linotype" w:hAnsi="Palatino Linotype" w:cs="Palatino Linotype"/>
          <w:i/>
          <w:sz w:val="22"/>
          <w:szCs w:val="22"/>
        </w:rPr>
        <w:t xml:space="preserve"> Mariscal</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3151/09 Secretaría de Seguridad Pública – 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0547/09 Procuraduría General de la República – Juan Pablo Guerrero </w:t>
      </w:r>
      <w:proofErr w:type="spellStart"/>
      <w:r>
        <w:rPr>
          <w:rFonts w:ascii="Palatino Linotype" w:eastAsia="Palatino Linotype" w:hAnsi="Palatino Linotype" w:cs="Palatino Linotype"/>
          <w:i/>
          <w:sz w:val="22"/>
          <w:szCs w:val="22"/>
        </w:rPr>
        <w:t>Amparán</w:t>
      </w:r>
      <w:proofErr w:type="spellEnd"/>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al ser información meramente estadística, no debe estar sujeta a ningún tipo de restricción, independientemente de que pudiera tratarse de procedimientos administrativos no graves, en el sentido de que la información a entregarse debe configura</w:t>
      </w:r>
      <w:r>
        <w:rPr>
          <w:rFonts w:ascii="Palatino Linotype" w:eastAsia="Palatino Linotype" w:hAnsi="Palatino Linotype" w:cs="Palatino Linotype"/>
          <w:color w:val="000000"/>
          <w:sz w:val="24"/>
          <w:szCs w:val="24"/>
        </w:rPr>
        <w:t>rse de números que no se relacionan de ninguna forma con datos personales.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corresponde a tiempo que tarda en emitir una sanción por denuncias o quejas, es de mencionarse que, el Manual Orgánico antes citado, establece que, la Contraloría Intern</w:t>
      </w:r>
      <w:r>
        <w:rPr>
          <w:rFonts w:ascii="Palatino Linotype" w:eastAsia="Palatino Linotype" w:hAnsi="Palatino Linotype" w:cs="Palatino Linotype"/>
          <w:color w:val="000000"/>
          <w:sz w:val="24"/>
          <w:szCs w:val="24"/>
        </w:rPr>
        <w:t>a estará a lo dispuesto en la Ley de Responsabilidades Administrativas de los Servidores Públicos del Estado de México y Municipios</w:t>
      </w:r>
      <w:r>
        <w:rPr>
          <w:rFonts w:ascii="Palatino Linotype" w:eastAsia="Palatino Linotype" w:hAnsi="Palatino Linotype" w:cs="Palatino Linotype"/>
          <w:color w:val="000000"/>
          <w:sz w:val="24"/>
          <w:szCs w:val="24"/>
          <w:vertAlign w:val="superscript"/>
        </w:rPr>
        <w:footnoteReference w:id="14"/>
      </w:r>
      <w:r>
        <w:rPr>
          <w:rFonts w:ascii="Palatino Linotype" w:eastAsia="Palatino Linotype" w:hAnsi="Palatino Linotype" w:cs="Palatino Linotype"/>
          <w:color w:val="000000"/>
          <w:sz w:val="24"/>
          <w:szCs w:val="24"/>
        </w:rPr>
        <w:t xml:space="preserve"> la cual establece lo siguiente:</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LEY DE RESPONSABILIDADES ADMINISTRATIVAS DEL ESTADO DE MÉXICO Y MUNICIPIOS</w:t>
      </w: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LIBRO PRIMERO</w:t>
      </w: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LAS DISPOSICIONES GENERALES</w:t>
      </w: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TÍTULO PRIMERO GENERALIDADES</w:t>
      </w: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CAPÍTULO PRIMERO</w:t>
      </w:r>
    </w:p>
    <w:p w:rsidR="004D5693" w:rsidRDefault="00A64855">
      <w:pPr>
        <w:pBdr>
          <w:top w:val="nil"/>
          <w:left w:val="nil"/>
          <w:bottom w:val="nil"/>
          <w:right w:val="nil"/>
          <w:between w:val="nil"/>
        </w:pBdr>
        <w:spacing w:line="360" w:lineRule="auto"/>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DEL OBJETO, ÁMBITO DE APLICACIÓN Y SUJETOS DE LA LEY</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i/>
          <w:color w:val="000000"/>
          <w:sz w:val="22"/>
          <w:szCs w:val="22"/>
        </w:rPr>
      </w:pP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 La presente Ley es de orden público y de observancia general en el Estado de México y tiene por objeto distribui</w:t>
      </w:r>
      <w:r>
        <w:rPr>
          <w:rFonts w:ascii="Palatino Linotype" w:eastAsia="Palatino Linotype" w:hAnsi="Palatino Linotype" w:cs="Palatino Linotype"/>
          <w:i/>
          <w:sz w:val="22"/>
          <w:szCs w:val="22"/>
        </w:rPr>
        <w:t>r y establecer la competencia de las autoridades para determinar las responsabilidades administrativas de los servidores públicos, sus obligaciones, las sanciones aplicables por los actos u omisiones en que éstos incurran y las que correspondan a los parti</w:t>
      </w:r>
      <w:r>
        <w:rPr>
          <w:rFonts w:ascii="Palatino Linotype" w:eastAsia="Palatino Linotype" w:hAnsi="Palatino Linotype" w:cs="Palatino Linotype"/>
          <w:i/>
          <w:sz w:val="22"/>
          <w:szCs w:val="22"/>
        </w:rPr>
        <w:t>culares vinculados con faltas administrativas graves, así como los procedimientos para su aplicación.</w:t>
      </w:r>
    </w:p>
    <w:p w:rsidR="004D5693" w:rsidRDefault="004D5693">
      <w:pPr>
        <w:spacing w:line="360" w:lineRule="auto"/>
        <w:ind w:left="567" w:right="822"/>
        <w:jc w:val="both"/>
        <w:rPr>
          <w:rFonts w:ascii="Palatino Linotype" w:eastAsia="Palatino Linotype" w:hAnsi="Palatino Linotype" w:cs="Palatino Linotype"/>
          <w:i/>
          <w:sz w:val="22"/>
          <w:szCs w:val="22"/>
        </w:rPr>
      </w:pP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 Es objeto de la presente Ley:</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Establecer las faltas administrativas graves y no graves de los servidores públicos, las sanciones aplicables a las mismas, así como los procedimientos para su aplicación y las facultades de las autoridades competentes para tal efecto.</w:t>
      </w:r>
    </w:p>
    <w:p w:rsidR="004D5693" w:rsidRDefault="00A64855">
      <w:pPr>
        <w:spacing w:line="360"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TERCERO</w:t>
      </w:r>
      <w:r>
        <w:rPr>
          <w:rFonts w:ascii="Palatino Linotype" w:eastAsia="Palatino Linotype" w:hAnsi="Palatino Linotype" w:cs="Palatino Linotype"/>
          <w:b/>
          <w:i/>
          <w:sz w:val="22"/>
          <w:szCs w:val="22"/>
        </w:rPr>
        <w:t xml:space="preserve"> </w:t>
      </w:r>
    </w:p>
    <w:p w:rsidR="004D5693" w:rsidRDefault="00A64855">
      <w:pPr>
        <w:spacing w:line="360"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AUTORIDADES COMPETENTES PARA LA </w:t>
      </w:r>
    </w:p>
    <w:p w:rsidR="004D5693" w:rsidRDefault="00A64855">
      <w:pPr>
        <w:spacing w:line="360"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APLICACIÓN DE LA PRESENTE LEY</w:t>
      </w:r>
    </w:p>
    <w:p w:rsidR="004D5693" w:rsidRDefault="004D5693">
      <w:pPr>
        <w:spacing w:line="360" w:lineRule="auto"/>
        <w:jc w:val="center"/>
        <w:rPr>
          <w:rFonts w:ascii="Palatino Linotype" w:eastAsia="Palatino Linotype" w:hAnsi="Palatino Linotype" w:cs="Palatino Linotype"/>
          <w:sz w:val="22"/>
          <w:szCs w:val="22"/>
        </w:rPr>
      </w:pP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 En el ámbito de su competencia, son autoridades facultadas para aplicar la presente Ley:</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Los órganos internos de control.</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D5693" w:rsidRDefault="00A64855">
      <w:pPr>
        <w:spacing w:line="360" w:lineRule="auto"/>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10. La Secretaría de la Contraloría y </w:t>
      </w:r>
      <w:r>
        <w:rPr>
          <w:rFonts w:ascii="Palatino Linotype" w:eastAsia="Palatino Linotype" w:hAnsi="Palatino Linotype" w:cs="Palatino Linotype"/>
          <w:b/>
          <w:i/>
          <w:sz w:val="22"/>
          <w:szCs w:val="22"/>
        </w:rPr>
        <w:t xml:space="preserve">los órganos internos de control tendrán a su cargo, </w:t>
      </w:r>
      <w:r>
        <w:rPr>
          <w:rFonts w:ascii="Palatino Linotype" w:eastAsia="Palatino Linotype" w:hAnsi="Palatino Linotype" w:cs="Palatino Linotype"/>
          <w:i/>
          <w:sz w:val="22"/>
          <w:szCs w:val="22"/>
        </w:rPr>
        <w:t xml:space="preserve">en el ámbito de su competencia, </w:t>
      </w:r>
      <w:r>
        <w:rPr>
          <w:rFonts w:ascii="Palatino Linotype" w:eastAsia="Palatino Linotype" w:hAnsi="Palatino Linotype" w:cs="Palatino Linotype"/>
          <w:b/>
          <w:i/>
          <w:sz w:val="22"/>
          <w:szCs w:val="22"/>
        </w:rPr>
        <w:t>la investigación, substanciación y calificación de las faltas administrativas.</w:t>
      </w:r>
    </w:p>
    <w:p w:rsidR="004D5693" w:rsidRDefault="004D5693">
      <w:pPr>
        <w:jc w:val="center"/>
      </w:pPr>
    </w:p>
    <w:p w:rsidR="004D5693" w:rsidRDefault="004D5693">
      <w:pPr>
        <w:jc w:val="cente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 normatividad en cito, se determina que</w:t>
      </w:r>
      <w:r>
        <w:rPr>
          <w:rFonts w:ascii="Palatino Linotype" w:eastAsia="Palatino Linotype" w:hAnsi="Palatino Linotype" w:cs="Palatino Linotype"/>
          <w:color w:val="000000"/>
          <w:sz w:val="24"/>
          <w:szCs w:val="24"/>
        </w:rPr>
        <w:t>, los Órganos Internos de Control, deben observar lo dispuesto por dicha ley, al tiempo que los señala como autoridades competentes para investigar, sustanciar y calificar las faltas administrativas, es decir, al tener conocimiento de la probable existenci</w:t>
      </w:r>
      <w:r>
        <w:rPr>
          <w:rFonts w:ascii="Palatino Linotype" w:eastAsia="Palatino Linotype" w:hAnsi="Palatino Linotype" w:cs="Palatino Linotype"/>
          <w:color w:val="000000"/>
          <w:sz w:val="24"/>
          <w:szCs w:val="24"/>
        </w:rPr>
        <w:t xml:space="preserve">a de alguna falta administrativa, el órgano interno de control debe iniciar con la investigación y su sustanciación, el cual debe estar en estricto apego a lo que dispone la Ley de Responsabilidades Administrativas del Estado de México y Municipios, tanto </w:t>
      </w:r>
      <w:r>
        <w:rPr>
          <w:rFonts w:ascii="Palatino Linotype" w:eastAsia="Palatino Linotype" w:hAnsi="Palatino Linotype" w:cs="Palatino Linotype"/>
          <w:color w:val="000000"/>
          <w:sz w:val="24"/>
          <w:szCs w:val="24"/>
        </w:rPr>
        <w:t>en etapas procesales como en los plazos y términos.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Contraloría Interna del Sujeto Obligado debe generar, administrar y poseer la información relativa a los plazos y términos para emitir una sanción, derivada de los procedimientos administrativos a su cargo. Su actuar se rige por lo dispuesto en la Ley a</w:t>
      </w:r>
      <w:r>
        <w:rPr>
          <w:rFonts w:ascii="Palatino Linotype" w:eastAsia="Palatino Linotype" w:hAnsi="Palatino Linotype" w:cs="Palatino Linotype"/>
          <w:color w:val="000000"/>
          <w:sz w:val="24"/>
          <w:szCs w:val="24"/>
        </w:rPr>
        <w:t>ntes citada, la cual incluye faltas graves, no graves, etapas procesales que deben desahogarse, así como las actuaciones que han de desarrollarse, es decir, todas y cada una de las partes que debe contener el procedimiento administrativo, que va desde el i</w:t>
      </w:r>
      <w:r>
        <w:rPr>
          <w:rFonts w:ascii="Palatino Linotype" w:eastAsia="Palatino Linotype" w:hAnsi="Palatino Linotype" w:cs="Palatino Linotype"/>
          <w:color w:val="000000"/>
          <w:sz w:val="24"/>
          <w:szCs w:val="24"/>
        </w:rPr>
        <w:t>nicio de oficio o por denuncia, hasta la emisión de la sanción, en su caso.</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aprecia que la declaración de incompetencia es improcedente en su totalidad, por el hecho de que, dentro de la estructura orgánica del Sujeto Obligado se contem</w:t>
      </w:r>
      <w:r>
        <w:rPr>
          <w:rFonts w:ascii="Palatino Linotype" w:eastAsia="Palatino Linotype" w:hAnsi="Palatino Linotype" w:cs="Palatino Linotype"/>
          <w:color w:val="000000"/>
          <w:sz w:val="24"/>
          <w:szCs w:val="24"/>
        </w:rPr>
        <w:t xml:space="preserve">pla a la Contraloría Interna como un área de la Comisión Estatal de Parques Naturales y de la Fauna, incluso, dentro del Manual de Organización se contienen las funciones de la misma. </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Derivado de lo anterior, este Órgano Garante determina ORDENAR una bús</w:t>
      </w:r>
      <w:r>
        <w:rPr>
          <w:rFonts w:ascii="Palatino Linotype" w:eastAsia="Palatino Linotype" w:hAnsi="Palatino Linotype" w:cs="Palatino Linotype"/>
          <w:color w:val="000000"/>
          <w:sz w:val="24"/>
          <w:szCs w:val="24"/>
        </w:rPr>
        <w:t>queda exhaustiva y razonable a efecto de localizar y poner a disposición del recurrente los documentos en donde conste lo siguiente:</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Funciones de la Contraloría Interna;</w:t>
      </w: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Grado de estudios requerido para ser auditor de la Contraloría Interna;</w:t>
      </w: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Auditores que</w:t>
      </w:r>
      <w:r>
        <w:rPr>
          <w:rFonts w:ascii="Palatino Linotype" w:eastAsia="Palatino Linotype" w:hAnsi="Palatino Linotype" w:cs="Palatino Linotype"/>
          <w:color w:val="000000"/>
          <w:sz w:val="24"/>
          <w:szCs w:val="24"/>
        </w:rPr>
        <w:t xml:space="preserve"> cuentan con grado de licenciatura;</w:t>
      </w: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Número de auditores de la Contraloría Interna;</w:t>
      </w: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Número de sanciones emitidas por la Contraloría Interna a servidores públicos que incumplieron con sus obligaciones; y</w:t>
      </w:r>
    </w:p>
    <w:p w:rsidR="004D5693" w:rsidRDefault="00A6485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Plazos de los Procedimientos de la Contraloría Interna para emitir una sanción por denuncia o queja.</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para la entrega de la información que se ha ordenado, el Sujeto Obligado deberá estar a lo dispuesto en el Considerando Quinto de la presente </w:t>
      </w:r>
      <w:r>
        <w:rPr>
          <w:rFonts w:ascii="Palatino Linotype" w:eastAsia="Palatino Linotype" w:hAnsi="Palatino Linotype" w:cs="Palatino Linotype"/>
          <w:color w:val="000000"/>
          <w:sz w:val="24"/>
          <w:szCs w:val="24"/>
        </w:rPr>
        <w:t>resolución, en caso de que los documentos contengan información que deba ser clasificada como confidencial.</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pStyle w:val="Ttulo1"/>
        <w:rPr>
          <w:rFonts w:ascii="Palatino Linotype" w:eastAsia="Palatino Linotype" w:hAnsi="Palatino Linotype" w:cs="Palatino Linotype"/>
          <w:b/>
          <w:color w:val="000000"/>
          <w:sz w:val="24"/>
          <w:szCs w:val="24"/>
        </w:rPr>
      </w:pPr>
      <w:bookmarkStart w:id="12" w:name="_heading=h.26in1rg" w:colFirst="0" w:colLast="0"/>
      <w:bookmarkEnd w:id="12"/>
      <w:r>
        <w:rPr>
          <w:rFonts w:ascii="Palatino Linotype" w:eastAsia="Palatino Linotype" w:hAnsi="Palatino Linotype" w:cs="Palatino Linotype"/>
          <w:b/>
          <w:color w:val="000000"/>
          <w:sz w:val="24"/>
          <w:szCs w:val="24"/>
        </w:rPr>
        <w:t>QUINTO. VERSIÓN PÚBLICA.</w:t>
      </w:r>
    </w:p>
    <w:p w:rsidR="004D5693" w:rsidRDefault="004D5693"/>
    <w:p w:rsidR="004D5693" w:rsidRDefault="004D5693"/>
    <w:p w:rsidR="004D5693" w:rsidRDefault="00A64855">
      <w:pPr>
        <w:pStyle w:val="Ttulo1"/>
        <w:numPr>
          <w:ilvl w:val="0"/>
          <w:numId w:val="4"/>
        </w:numPr>
        <w:spacing w:before="0" w:line="360" w:lineRule="auto"/>
        <w:rPr>
          <w:rFonts w:ascii="Palatino Linotype" w:eastAsia="Palatino Linotype" w:hAnsi="Palatino Linotype" w:cs="Palatino Linotype"/>
          <w:b/>
          <w:color w:val="000000"/>
          <w:sz w:val="24"/>
          <w:szCs w:val="24"/>
        </w:rPr>
      </w:pPr>
      <w:bookmarkStart w:id="13" w:name="_heading=h.lnxbz9" w:colFirst="0" w:colLast="0"/>
      <w:bookmarkEnd w:id="13"/>
      <w:r>
        <w:rPr>
          <w:rFonts w:ascii="Palatino Linotype" w:eastAsia="Palatino Linotype" w:hAnsi="Palatino Linotype" w:cs="Palatino Linotype"/>
          <w:b/>
          <w:color w:val="000000"/>
          <w:sz w:val="24"/>
          <w:szCs w:val="24"/>
        </w:rPr>
        <w:t xml:space="preserve">Nociones generales. </w:t>
      </w:r>
    </w:p>
    <w:p w:rsidR="004D5693" w:rsidRDefault="004D569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Debe destacarse que, debido a la naturaleza de la información solicitada</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eventualmente pudiera obrar datos personales susceptibles de protegerse,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pasa desapercibido para este Órgano Garante que los </w:t>
      </w:r>
      <w:r>
        <w:rPr>
          <w:rFonts w:ascii="Palatino Linotype" w:eastAsia="Palatino Linotype" w:hAnsi="Palatino Linotype" w:cs="Palatino Linotype"/>
          <w:b/>
          <w:color w:val="000000"/>
        </w:rPr>
        <w:t xml:space="preserve">Sujetos Obligados </w:t>
      </w:r>
      <w:r>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Pr>
          <w:rFonts w:ascii="Palatino Linotype" w:eastAsia="Palatino Linotype" w:hAnsi="Palatino Linotype" w:cs="Palatino Linotype"/>
          <w:color w:val="000000"/>
        </w:rPr>
        <w:t>personales.  Cabe destacar que, para la realización de la clasificación de la información, se deben seguir una serie de pasos y procedimientos, por lo que es menester reiterar los mismos:</w:t>
      </w:r>
    </w:p>
    <w:p w:rsidR="004D5693" w:rsidRDefault="004D5693">
      <w:pPr>
        <w:spacing w:line="360" w:lineRule="auto"/>
        <w:ind w:right="49"/>
        <w:jc w:val="both"/>
        <w:rPr>
          <w:rFonts w:ascii="Palatino Linotype" w:eastAsia="Palatino Linotype" w:hAnsi="Palatino Linotype" w:cs="Palatino Linotype"/>
          <w:color w:val="00000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4D5693" w:rsidTr="004D56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t>a) Requisitos previos.</w:t>
            </w:r>
          </w:p>
        </w:tc>
        <w:tc>
          <w:tcPr>
            <w:tcW w:w="6990" w:type="dxa"/>
          </w:tcPr>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 xml:space="preserve">Los artículos 100 y 122 de la Ley Estatal y </w:t>
            </w:r>
            <w:r>
              <w:rPr>
                <w:rFonts w:ascii="Palatino Linotype" w:eastAsia="Palatino Linotype" w:hAnsi="Palatino Linotype" w:cs="Palatino Linotype"/>
                <w:b w:val="0"/>
              </w:rPr>
              <w:t xml:space="preserve">de la Ley General, respectivamente, señalan que si los Sujetos Obligados determinan que la información actualiza alguno de los supuestos de clasificación, es deber de los titulares de las áreas proponer su clasificación y no del Comité de Transparencia. </w:t>
            </w:r>
          </w:p>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A</w:t>
            </w:r>
            <w:r>
              <w:rPr>
                <w:rFonts w:ascii="Palatino Linotype" w:eastAsia="Palatino Linotype" w:hAnsi="Palatino Linotype" w:cs="Palatino Linotype"/>
                <w:b w:val="0"/>
              </w:rPr>
              <w:t>l hacerlo tienen que precisar de qué información se trata, señalando el supuesto de clasificación (confidencialidad o reserva).</w:t>
            </w:r>
          </w:p>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Además, se debe señalar el procedimiento, de los tres que establecen los artículos 132 y 106 de la Ley Estatal y General, respec</w:t>
            </w:r>
            <w:r>
              <w:rPr>
                <w:rFonts w:ascii="Palatino Linotype" w:eastAsia="Palatino Linotype" w:hAnsi="Palatino Linotype" w:cs="Palatino Linotype"/>
                <w:b w:val="0"/>
              </w:rPr>
              <w:t>tivamente.</w:t>
            </w:r>
          </w:p>
          <w:p w:rsidR="004D5693" w:rsidRDefault="00A6485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lastRenderedPageBreak/>
              <w:t xml:space="preserve">El último de estos requisitos previos consiste en que no se pueden emitir acuerdos de carácter general ni particular, esto es, </w:t>
            </w:r>
            <w:r>
              <w:rPr>
                <w:rFonts w:ascii="Palatino Linotype" w:eastAsia="Palatino Linotype" w:hAnsi="Palatino Linotype" w:cs="Palatino Linotype"/>
                <w:b w:val="0"/>
                <w:u w:val="single"/>
              </w:rPr>
              <w:t>no se puede hacer un acuerdo para clasificar de manera general todos los documentos de un expediente o área, sin</w:t>
            </w:r>
            <w:r>
              <w:rPr>
                <w:rFonts w:ascii="Palatino Linotype" w:eastAsia="Palatino Linotype" w:hAnsi="Palatino Linotype" w:cs="Palatino Linotype"/>
                <w:b w:val="0"/>
              </w:rPr>
              <w:t xml:space="preserve"> indiv</w:t>
            </w:r>
            <w:r>
              <w:rPr>
                <w:rFonts w:ascii="Palatino Linotype" w:eastAsia="Palatino Linotype" w:hAnsi="Palatino Linotype" w:cs="Palatino Linotype"/>
                <w:b w:val="0"/>
              </w:rPr>
              <w:t>idualizar su análisis y tampoco se puede hacer un acuerdo por cada dato que se vaya a clasificar dentro de un documento con diez datos, por ejemplo, susceptibles de ser clasificados.</w:t>
            </w:r>
          </w:p>
        </w:tc>
      </w:tr>
      <w:tr w:rsidR="004D5693" w:rsidTr="004D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lastRenderedPageBreak/>
              <w:t>b) Supuestos de clasificación.</w:t>
            </w:r>
          </w:p>
        </w:tc>
        <w:tc>
          <w:tcPr>
            <w:tcW w:w="6990" w:type="dxa"/>
          </w:tcPr>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Los artículos 116 y 143 de la Ley Estatal y de la Ley General, respectivamente, señalan lo</w:t>
            </w:r>
            <w:r>
              <w:rPr>
                <w:rFonts w:ascii="Palatino Linotype" w:eastAsia="Palatino Linotype" w:hAnsi="Palatino Linotype" w:cs="Palatino Linotype"/>
              </w:rPr>
              <w:t>s supuestos para que la información pueda ser clasificada como confidencial. Mientras que los artículos 105 y 130 de la Ley Estatal y de la Ley General, respectivamente, señalan que la aplicación de estos supuestos debe realizarse de manera restrictiva y l</w:t>
            </w:r>
            <w:r>
              <w:rPr>
                <w:rFonts w:ascii="Palatino Linotype" w:eastAsia="Palatino Linotype" w:hAnsi="Palatino Linotype" w:cs="Palatino Linotype"/>
              </w:rPr>
              <w:t>imitada, por lo que debe acreditarse que se cumple con esta condición y no se pueden ampliar las excepciones o supuestos de clasificación aduciendo analogía o mayoría de razón.</w:t>
            </w:r>
          </w:p>
          <w:p w:rsidR="004D5693" w:rsidRDefault="00A6485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identificar claramente el tipo de información y hacer u</w:t>
            </w:r>
            <w:r>
              <w:rPr>
                <w:rFonts w:ascii="Palatino Linotype" w:eastAsia="Palatino Linotype" w:hAnsi="Palatino Linotype" w:cs="Palatino Linotype"/>
              </w:rPr>
              <w:t xml:space="preserve">n juicio de subsunción o encaje para acreditar que el supuesto de hecho corresponde estrictamente </w:t>
            </w:r>
            <w:r>
              <w:rPr>
                <w:rFonts w:ascii="Palatino Linotype" w:eastAsia="Palatino Linotype" w:hAnsi="Palatino Linotype" w:cs="Palatino Linotype"/>
              </w:rPr>
              <w:lastRenderedPageBreak/>
              <w:t>con la hipótesis jurídica. Esto también lo debe de realizar el servidor público habilitado y el titular del área que administra la información.</w:t>
            </w:r>
          </w:p>
        </w:tc>
      </w:tr>
      <w:tr w:rsidR="004D5693" w:rsidTr="004D5693">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lastRenderedPageBreak/>
              <w:t>c) Formalidad</w:t>
            </w:r>
            <w:r>
              <w:rPr>
                <w:rFonts w:ascii="Palatino Linotype" w:eastAsia="Palatino Linotype" w:hAnsi="Palatino Linotype" w:cs="Palatino Linotype"/>
              </w:rPr>
              <w:t>es para emitir el acuerdo de clasificación.</w:t>
            </w:r>
          </w:p>
        </w:tc>
        <w:tc>
          <w:tcPr>
            <w:tcW w:w="6990" w:type="dxa"/>
          </w:tcPr>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Es necesario que </w:t>
            </w:r>
            <w:r>
              <w:rPr>
                <w:rFonts w:ascii="Palatino Linotype" w:eastAsia="Palatino Linotype" w:hAnsi="Palatino Linotype" w:cs="Palatino Linotype"/>
                <w:b/>
                <w:u w:val="single"/>
              </w:rPr>
              <w:t>el acto reúna c</w:t>
            </w:r>
            <w:r>
              <w:rPr>
                <w:rFonts w:ascii="Palatino Linotype" w:eastAsia="Palatino Linotype" w:hAnsi="Palatino Linotype" w:cs="Palatino Linotype"/>
                <w:b/>
                <w:u w:val="single"/>
              </w:rPr>
              <w:t>on los requisitos elementales</w:t>
            </w:r>
            <w:r>
              <w:rPr>
                <w:rFonts w:ascii="Palatino Linotype" w:eastAsia="Palatino Linotype" w:hAnsi="Palatino Linotype" w:cs="Palatino Linotype"/>
              </w:rPr>
              <w:t>, entre ellos, que la autoridad que va a emitir el acto de autoridad sea la legalmente facultada para ello.</w:t>
            </w:r>
          </w:p>
          <w:p w:rsidR="004D5693" w:rsidRDefault="00A6485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La decisión de aprobar, modificar o revocar la clasificación deberá de asentarse en un documento que registre la determ</w:t>
            </w:r>
            <w:r>
              <w:rPr>
                <w:rFonts w:ascii="Palatino Linotype" w:eastAsia="Palatino Linotype" w:hAnsi="Palatino Linotype" w:cs="Palatino Linotype"/>
              </w:rPr>
              <w:t>inación a la que se llegue después de un análisis minucioso a partir de lo propuesto por el Titular del I. área que administra la información, cuyo análisis debe integrarse en la agenda de los asuntos a tratar en las sesiones, se insiste, a partir de las d</w:t>
            </w:r>
            <w:r>
              <w:rPr>
                <w:rFonts w:ascii="Palatino Linotype" w:eastAsia="Palatino Linotype" w:hAnsi="Palatino Linotype" w:cs="Palatino Linotype"/>
              </w:rPr>
              <w:t>ecisiones adoptadas previamente por los titulares de áreas y que son sujetas a control, en primera instancia, por el Comité de Transparencia.</w:t>
            </w:r>
          </w:p>
        </w:tc>
      </w:tr>
      <w:tr w:rsidR="004D5693" w:rsidTr="004D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4D5693">
            <w:pPr>
              <w:spacing w:line="360" w:lineRule="auto"/>
              <w:rPr>
                <w:rFonts w:ascii="Palatino Linotype" w:eastAsia="Palatino Linotype" w:hAnsi="Palatino Linotype" w:cs="Palatino Linotype"/>
              </w:rPr>
            </w:pPr>
          </w:p>
          <w:p w:rsidR="004D5693" w:rsidRDefault="00A648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 Requisitos de fondo del </w:t>
            </w:r>
            <w:r>
              <w:rPr>
                <w:rFonts w:ascii="Palatino Linotype" w:eastAsia="Palatino Linotype" w:hAnsi="Palatino Linotype" w:cs="Palatino Linotype"/>
              </w:rPr>
              <w:lastRenderedPageBreak/>
              <w:t xml:space="preserve">acuerdo de clasificación. </w:t>
            </w:r>
          </w:p>
        </w:tc>
        <w:tc>
          <w:tcPr>
            <w:tcW w:w="6990" w:type="dxa"/>
          </w:tcPr>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lastRenderedPageBreak/>
              <w:t>Como se ha señalado antes, al hacer el juicio de subsunció</w:t>
            </w:r>
            <w:r>
              <w:rPr>
                <w:rFonts w:ascii="Palatino Linotype" w:eastAsia="Palatino Linotype" w:hAnsi="Palatino Linotype" w:cs="Palatino Linotype"/>
              </w:rPr>
              <w:t xml:space="preserve">n o encaje entre el supuesto de hecho y la hipótesis jurídica, se debe acreditar la estricta correspondencia entre un elemento y otro. Ahora, en esta parte del procedimiento, que se desahoga en sede </w:t>
            </w:r>
            <w:r>
              <w:rPr>
                <w:rFonts w:ascii="Palatino Linotype" w:eastAsia="Palatino Linotype" w:hAnsi="Palatino Linotype" w:cs="Palatino Linotype"/>
              </w:rPr>
              <w:lastRenderedPageBreak/>
              <w:t>del Comité de Transparencia, la ley señala que la carga d</w:t>
            </w:r>
            <w:r>
              <w:rPr>
                <w:rFonts w:ascii="Palatino Linotype" w:eastAsia="Palatino Linotype" w:hAnsi="Palatino Linotype" w:cs="Palatino Linotype"/>
              </w:rPr>
              <w:t xml:space="preserve">e la prueba, para justificar las restricciones, corresponde a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por lo que deberán fundar y motivar debidamente la clasificación. </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para una correcta </w:t>
            </w:r>
            <w:r>
              <w:rPr>
                <w:rFonts w:ascii="Palatino Linotype" w:eastAsia="Palatino Linotype" w:hAnsi="Palatino Linotype" w:cs="Palatino Linotype"/>
                <w:b/>
              </w:rPr>
              <w:t>clasificación total o parcial</w:t>
            </w:r>
            <w:r>
              <w:rPr>
                <w:rFonts w:ascii="Palatino Linotype" w:eastAsia="Palatino Linotype" w:hAnsi="Palatino Linotype" w:cs="Palatino Linotype"/>
              </w:rPr>
              <w:t>, esto es determinar los</w:t>
            </w:r>
            <w:r>
              <w:rPr>
                <w:rFonts w:ascii="Palatino Linotype" w:eastAsia="Palatino Linotype" w:hAnsi="Palatino Linotype" w:cs="Palatino Linotype"/>
              </w:rPr>
              <w:t xml:space="preserve"> datos que se suprimen en las versiones públicas, es necesario fundar y motivar, de manera correcta, la clasificación; considerando que todo acto que la autoridad pronuncie en el ejercicio de sus atribuciones, debe expresar los fundamentos legales que le d</w:t>
            </w:r>
            <w:r>
              <w:rPr>
                <w:rFonts w:ascii="Palatino Linotype" w:eastAsia="Palatino Linotype" w:hAnsi="Palatino Linotype" w:cs="Palatino Linotype"/>
              </w:rPr>
              <w:t>ieron origen y las razones por las que se deben aplicar al caso concreto.</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w:t>
            </w:r>
            <w:r>
              <w:rPr>
                <w:rFonts w:ascii="Palatino Linotype" w:eastAsia="Palatino Linotype" w:hAnsi="Palatino Linotype" w:cs="Palatino Linotype"/>
              </w:rPr>
              <w:t xml:space="preserve"> motivos o circunstancias que tomó en cuenta la autoridad para adecuar el hecho a los fundamentos de derecho. De este modo, la persona que se sienta afectada pueda impugnar la decisión, permitiéndole una real y auténtica defensa.</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En ese mismo sentido, el numeral trigésimo tercero fracción V de los Lineamientos Generales, precisa que para motivar la </w:t>
            </w:r>
            <w:r>
              <w:rPr>
                <w:rFonts w:ascii="Palatino Linotype" w:eastAsia="Palatino Linotype" w:hAnsi="Palatino Linotype" w:cs="Palatino Linotype"/>
              </w:rPr>
              <w:lastRenderedPageBreak/>
              <w:t>clasificación se deben acreditar las circunstancias de tiempo, modo y lugar.</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Ahora bien, </w:t>
            </w:r>
            <w:r>
              <w:rPr>
                <w:rFonts w:ascii="Palatino Linotype" w:eastAsia="Palatino Linotype" w:hAnsi="Palatino Linotype" w:cs="Palatino Linotype"/>
                <w:b/>
                <w:u w:val="single"/>
              </w:rPr>
              <w:t>para cada caso además de fundar y motivar</w:t>
            </w:r>
            <w:r>
              <w:rPr>
                <w:rFonts w:ascii="Palatino Linotype" w:eastAsia="Palatino Linotype" w:hAnsi="Palatino Linotype" w:cs="Palatino Linotype"/>
              </w:rPr>
              <w:t xml:space="preserve">, se </w:t>
            </w:r>
            <w:r>
              <w:rPr>
                <w:rFonts w:ascii="Palatino Linotype" w:eastAsia="Palatino Linotype" w:hAnsi="Palatino Linotype" w:cs="Palatino Linotype"/>
              </w:rPr>
              <w:t>debe identificar con claridad que datos contenidos en las documentales que son susceptibles de suprimirse, por ejemplo; Clave Única de Registro de Población (CURP), Registro Federal de Contribuyentes (R.F.C.), claves de seguros, préstamos o descuentos pers</w:t>
            </w:r>
            <w:r>
              <w:rPr>
                <w:rFonts w:ascii="Palatino Linotype" w:eastAsia="Palatino Linotype" w:hAnsi="Palatino Linotype" w:cs="Palatino Linotype"/>
              </w:rPr>
              <w:t>onales, secretos bancario, fiduciario, industrial, comercial, fiscal, bursátil y postal, cuya titularidad corresponda a particulares, entre otros.</w:t>
            </w:r>
          </w:p>
        </w:tc>
      </w:tr>
      <w:tr w:rsidR="004D5693" w:rsidTr="004D5693">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val="0"/>
              </w:rPr>
              <w:lastRenderedPageBreak/>
              <w:t>e</w:t>
            </w:r>
            <w:r>
              <w:rPr>
                <w:rFonts w:ascii="Palatino Linotype" w:eastAsia="Palatino Linotype" w:hAnsi="Palatino Linotype" w:cs="Palatino Linotype"/>
              </w:rPr>
              <w:t xml:space="preserve">) Condiciones especiales de la clasificación de la información como confidencial. </w:t>
            </w:r>
          </w:p>
        </w:tc>
        <w:tc>
          <w:tcPr>
            <w:tcW w:w="6990" w:type="dxa"/>
          </w:tcPr>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Los artículos 148 y 120 </w:t>
            </w:r>
            <w:r>
              <w:rPr>
                <w:rFonts w:ascii="Palatino Linotype" w:eastAsia="Palatino Linotype" w:hAnsi="Palatino Linotype" w:cs="Palatino Linotype"/>
              </w:rPr>
              <w:t xml:space="preserve">de la Ley Estatal y de la Ley General, respectivamente, establecen que aun tratándose de datos personales, se podrán proporcionar, incluso sin solicitar el consentimiento de su titular. </w:t>
            </w:r>
          </w:p>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En el caso de lo señalado en la fracción IV, será el Instituto quien </w:t>
            </w:r>
            <w:r>
              <w:rPr>
                <w:rFonts w:ascii="Palatino Linotype" w:eastAsia="Palatino Linotype" w:hAnsi="Palatino Linotype" w:cs="Palatino Linotype"/>
              </w:rPr>
              <w:t xml:space="preserve">deba aplicar la prueba de interés público, considerando también que como recientemente ha discutido la Suprema Corte de Justicia de la Nación, los servidores públicos nos encontramos sujetos a un régimen menor de protección. </w:t>
            </w:r>
          </w:p>
          <w:p w:rsidR="004D5693" w:rsidRDefault="00A6485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Pero si la información que se </w:t>
            </w:r>
            <w:r>
              <w:rPr>
                <w:rFonts w:ascii="Palatino Linotype" w:eastAsia="Palatino Linotype" w:hAnsi="Palatino Linotype" w:cs="Palatino Linotype"/>
              </w:rPr>
              <w:t xml:space="preserve">pretende clasificar como confidencial no se encuentra en los supuestos de los artículos señalados y es posible, se deberá consultar al titular de los </w:t>
            </w:r>
            <w:r>
              <w:rPr>
                <w:rFonts w:ascii="Palatino Linotype" w:eastAsia="Palatino Linotype" w:hAnsi="Palatino Linotype" w:cs="Palatino Linotype"/>
              </w:rPr>
              <w:lastRenderedPageBreak/>
              <w:t>datos si permite o no el acceso. De no ser posible, la realización de la consulta, procede, fundando y mot</w:t>
            </w:r>
            <w:r>
              <w:rPr>
                <w:rFonts w:ascii="Palatino Linotype" w:eastAsia="Palatino Linotype" w:hAnsi="Palatino Linotype" w:cs="Palatino Linotype"/>
              </w:rPr>
              <w:t>ivando, la clasificación.</w:t>
            </w:r>
          </w:p>
        </w:tc>
      </w:tr>
    </w:tbl>
    <w:p w:rsidR="004D5693" w:rsidRDefault="004D5693">
      <w:pPr>
        <w:spacing w:line="360" w:lineRule="auto"/>
        <w:ind w:right="49"/>
        <w:jc w:val="both"/>
        <w:rPr>
          <w:rFonts w:ascii="Palatino Linotype" w:eastAsia="Palatino Linotype" w:hAnsi="Palatino Linotype" w:cs="Palatino Linotype"/>
          <w:color w:val="000000"/>
        </w:rPr>
      </w:pPr>
    </w:p>
    <w:p w:rsidR="004D5693" w:rsidRDefault="00A64855">
      <w:pPr>
        <w:numPr>
          <w:ilvl w:val="0"/>
          <w:numId w:val="6"/>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 el servidor público incumple con estas formalidades y entrega la información sin proteger los datos personales incumple con lo que estipula las disposiciones legales establecidas, asimismo que si entrega un documento testado sin el debido acuerdo de cla</w:t>
      </w:r>
      <w:r>
        <w:rPr>
          <w:rFonts w:ascii="Palatino Linotype" w:eastAsia="Palatino Linotype" w:hAnsi="Palatino Linotype" w:cs="Palatino Linotype"/>
          <w:color w:val="000000"/>
          <w:sz w:val="22"/>
          <w:szCs w:val="22"/>
        </w:rPr>
        <w:t>sificación.</w:t>
      </w:r>
    </w:p>
    <w:p w:rsidR="004D5693" w:rsidRDefault="004D5693">
      <w:pPr>
        <w:numPr>
          <w:ilvl w:val="0"/>
          <w:numId w:val="6"/>
        </w:numPr>
        <w:pBdr>
          <w:top w:val="nil"/>
          <w:left w:val="nil"/>
          <w:bottom w:val="nil"/>
          <w:right w:val="nil"/>
          <w:between w:val="nil"/>
        </w:pBdr>
        <w:shd w:val="clear" w:color="auto" w:fill="FFFFFF"/>
        <w:spacing w:after="200" w:line="360" w:lineRule="auto"/>
        <w:ind w:left="0" w:firstLine="0"/>
        <w:jc w:val="both"/>
        <w:rPr>
          <w:rFonts w:ascii="Palatino Linotype" w:eastAsia="Palatino Linotype" w:hAnsi="Palatino Linotype" w:cs="Palatino Linotype"/>
          <w:color w:val="000000"/>
          <w:sz w:val="22"/>
          <w:szCs w:val="22"/>
        </w:rPr>
      </w:pPr>
    </w:p>
    <w:p w:rsidR="004D5693" w:rsidRDefault="00A64855">
      <w:pPr>
        <w:pStyle w:val="Ttulo1"/>
        <w:rPr>
          <w:rFonts w:ascii="Palatino Linotype" w:eastAsia="Palatino Linotype" w:hAnsi="Palatino Linotype" w:cs="Palatino Linotype"/>
          <w:b/>
          <w:color w:val="000000"/>
          <w:sz w:val="24"/>
          <w:szCs w:val="24"/>
        </w:rPr>
      </w:pPr>
      <w:bookmarkStart w:id="14" w:name="_heading=h.35nkun2" w:colFirst="0" w:colLast="0"/>
      <w:bookmarkEnd w:id="14"/>
      <w:r>
        <w:rPr>
          <w:rFonts w:ascii="Palatino Linotype" w:eastAsia="Palatino Linotype" w:hAnsi="Palatino Linotype" w:cs="Palatino Linotype"/>
          <w:b/>
          <w:color w:val="000000"/>
          <w:sz w:val="24"/>
          <w:szCs w:val="24"/>
        </w:rPr>
        <w:t>SEXTO. DECISIÓN.</w:t>
      </w:r>
    </w:p>
    <w:p w:rsidR="004D5693" w:rsidRDefault="004D5693"/>
    <w:p w:rsidR="004D5693" w:rsidRDefault="004D5693"/>
    <w:p w:rsidR="004D5693"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Sujeto Obligado refirió que es incompetente para contar con la información requerida por el particular y que se relaciona con el área de la contraloría interna. La incompetencia se realizó dentro del plazo que contempla la normatividad.</w:t>
      </w:r>
    </w:p>
    <w:p w:rsidR="004D5693" w:rsidRDefault="004D569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No obstante, se</w:t>
      </w:r>
      <w:r>
        <w:rPr>
          <w:rFonts w:ascii="Palatino Linotype" w:eastAsia="Palatino Linotype" w:hAnsi="Palatino Linotype" w:cs="Palatino Linotype"/>
          <w:color w:val="000000"/>
          <w:sz w:val="24"/>
          <w:szCs w:val="24"/>
        </w:rPr>
        <w:t xml:space="preserve"> determinó que la información requerida obra en el manual de organización del Sujeto Obligado, asimismo, al estar dentro de su estructura orgánica, se considera que la información que genere, posea o administre dicha área, debe ser proporcionada, tanto la </w:t>
      </w:r>
      <w:r>
        <w:rPr>
          <w:rFonts w:ascii="Palatino Linotype" w:eastAsia="Palatino Linotype" w:hAnsi="Palatino Linotype" w:cs="Palatino Linotype"/>
          <w:color w:val="000000"/>
          <w:sz w:val="24"/>
          <w:szCs w:val="24"/>
        </w:rPr>
        <w:t xml:space="preserve">información que se genere en el ejercicio de sus facultades, atribuciones y competencias, como la información que se genere para integrar los expedientes de personal. </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determinó que la incompetencia que manifestó el Sujeto Obligado resulta improcedente</w:t>
      </w:r>
      <w:r>
        <w:rPr>
          <w:rFonts w:ascii="Palatino Linotype" w:eastAsia="Palatino Linotype" w:hAnsi="Palatino Linotype" w:cs="Palatino Linotype"/>
          <w:color w:val="000000"/>
          <w:sz w:val="24"/>
          <w:szCs w:val="24"/>
        </w:rPr>
        <w:t xml:space="preserve">, en consecuencia, se tienen fundadas las razones o motivos de </w:t>
      </w:r>
      <w:r>
        <w:rPr>
          <w:rFonts w:ascii="Palatino Linotype" w:eastAsia="Palatino Linotype" w:hAnsi="Palatino Linotype" w:cs="Palatino Linotype"/>
          <w:color w:val="000000"/>
          <w:sz w:val="24"/>
          <w:szCs w:val="24"/>
        </w:rPr>
        <w:lastRenderedPageBreak/>
        <w:t>inconformidad hechos valer por el Recurrente y se REVOCÓ la respuesta otorgada, ordenando la entrega de la información.</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highlight w:val="yellow"/>
        </w:rPr>
      </w:pPr>
    </w:p>
    <w:p w:rsidR="004D5693"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222222"/>
          <w:sz w:val="24"/>
          <w:szCs w:val="24"/>
        </w:rPr>
        <w:t xml:space="preserve">Por lo anteriormente expuesto y fundado, este </w:t>
      </w:r>
      <w:r>
        <w:rPr>
          <w:rFonts w:ascii="Palatino Linotype" w:eastAsia="Palatino Linotype" w:hAnsi="Palatino Linotype" w:cs="Palatino Linotype"/>
          <w:b/>
          <w:color w:val="222222"/>
          <w:sz w:val="24"/>
          <w:szCs w:val="24"/>
        </w:rPr>
        <w:t>ÓRGANO GARANTE</w:t>
      </w:r>
      <w:r>
        <w:rPr>
          <w:rFonts w:ascii="Palatino Linotype" w:eastAsia="Palatino Linotype" w:hAnsi="Palatino Linotype" w:cs="Palatino Linotype"/>
          <w:color w:val="222222"/>
          <w:sz w:val="24"/>
          <w:szCs w:val="24"/>
        </w:rPr>
        <w:t xml:space="preserve"> emite los siguientes:</w:t>
      </w:r>
    </w:p>
    <w:p w:rsidR="004D5693" w:rsidRDefault="00A64855">
      <w:pPr>
        <w:pBdr>
          <w:top w:val="nil"/>
          <w:left w:val="nil"/>
          <w:bottom w:val="nil"/>
          <w:right w:val="nil"/>
          <w:between w:val="nil"/>
        </w:pBdr>
        <w:ind w:left="720"/>
        <w:rPr>
          <w:rFonts w:ascii="Palatino Linotype" w:eastAsia="Palatino Linotype" w:hAnsi="Palatino Linotype" w:cs="Palatino Linotype"/>
          <w:color w:val="000000"/>
          <w:sz w:val="24"/>
          <w:szCs w:val="24"/>
        </w:rPr>
      </w:pPr>
      <w:r>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139700</wp:posOffset>
                </wp:positionV>
                <wp:extent cx="5579052" cy="2942730"/>
                <wp:effectExtent l="0" t="0" r="0" b="0"/>
                <wp:wrapNone/>
                <wp:docPr id="3" name="Conector recto de flecha 3"/>
                <wp:cNvGraphicFramePr/>
                <a:graphic xmlns:a="http://schemas.openxmlformats.org/drawingml/2006/main">
                  <a:graphicData uri="http://schemas.microsoft.com/office/word/2010/wordprocessingShape">
                    <wps:wsp>
                      <wps:cNvCnPr/>
                      <wps:spPr>
                        <a:xfrm>
                          <a:off x="2561237" y="2313398"/>
                          <a:ext cx="5569527" cy="293320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5579052" cy="2942730"/>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579052" cy="2942730"/>
                        </a:xfrm>
                        <a:prstGeom prst="rect"/>
                        <a:ln/>
                      </pic:spPr>
                    </pic:pic>
                  </a:graphicData>
                </a:graphic>
              </wp:anchor>
            </w:drawing>
          </mc:Fallback>
        </mc:AlternateContent>
      </w: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4D5693">
      <w:pPr>
        <w:tabs>
          <w:tab w:val="left" w:pos="567"/>
        </w:tabs>
        <w:spacing w:line="360" w:lineRule="auto"/>
        <w:jc w:val="both"/>
        <w:rPr>
          <w:rFonts w:ascii="Palatino Linotype" w:eastAsia="Palatino Linotype" w:hAnsi="Palatino Linotype" w:cs="Palatino Linotype"/>
          <w:sz w:val="24"/>
          <w:szCs w:val="24"/>
        </w:rPr>
      </w:pPr>
    </w:p>
    <w:p w:rsidR="004D5693" w:rsidRDefault="00A64855">
      <w:pPr>
        <w:pStyle w:val="Ttulo1"/>
        <w:jc w:val="center"/>
        <w:rPr>
          <w:rFonts w:ascii="Palatino Linotype" w:eastAsia="Palatino Linotype" w:hAnsi="Palatino Linotype" w:cs="Palatino Linotype"/>
          <w:b/>
          <w:color w:val="000000"/>
          <w:sz w:val="24"/>
          <w:szCs w:val="24"/>
        </w:rPr>
      </w:pPr>
      <w:bookmarkStart w:id="15" w:name="_heading=h.1ksv4uv" w:colFirst="0" w:colLast="0"/>
      <w:bookmarkEnd w:id="15"/>
      <w:r>
        <w:rPr>
          <w:rFonts w:ascii="Palatino Linotype" w:eastAsia="Palatino Linotype" w:hAnsi="Palatino Linotype" w:cs="Palatino Linotype"/>
          <w:b/>
          <w:color w:val="000000"/>
          <w:sz w:val="24"/>
          <w:szCs w:val="24"/>
        </w:rPr>
        <w:t>R E S O L U T I V O S</w:t>
      </w:r>
    </w:p>
    <w:p w:rsidR="004D5693" w:rsidRDefault="004D5693"/>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Resultan fundadas las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razones o motivos de inconformidad hechos valer en el recurso de revisión </w:t>
      </w:r>
      <w:r>
        <w:rPr>
          <w:rFonts w:ascii="Palatino Linotype" w:eastAsia="Palatino Linotype" w:hAnsi="Palatino Linotype" w:cs="Palatino Linotype"/>
          <w:b/>
          <w:sz w:val="24"/>
          <w:szCs w:val="24"/>
        </w:rPr>
        <w:t xml:space="preserve">04348/INFOEM/IP/RR/2021, </w:t>
      </w:r>
      <w:r>
        <w:rPr>
          <w:rFonts w:ascii="Palatino Linotype" w:eastAsia="Palatino Linotype" w:hAnsi="Palatino Linotype" w:cs="Palatino Linotype"/>
          <w:sz w:val="24"/>
          <w:szCs w:val="24"/>
        </w:rPr>
        <w:t xml:space="preserve">en términos de los considerandos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sz w:val="24"/>
          <w:szCs w:val="24"/>
        </w:rPr>
        <w:t>de la presente resolución.</w:t>
      </w:r>
    </w:p>
    <w:p w:rsidR="004D5693" w:rsidRDefault="00A64855">
      <w:pPr>
        <w:spacing w:before="240" w:after="240" w:line="360" w:lineRule="auto"/>
        <w:jc w:val="both"/>
        <w:rPr>
          <w:rFonts w:ascii="Palatino Linotype" w:eastAsia="Palatino Linotype" w:hAnsi="Palatino Linotype" w:cs="Palatino Linotype"/>
          <w:sz w:val="24"/>
          <w:szCs w:val="24"/>
        </w:rPr>
      </w:pPr>
      <w:bookmarkStart w:id="16" w:name="_heading=h.44sinio" w:colFirst="0" w:colLast="0"/>
      <w:bookmarkEnd w:id="16"/>
      <w:r>
        <w:rPr>
          <w:rFonts w:ascii="Palatino Linotype" w:eastAsia="Palatino Linotype" w:hAnsi="Palatino Linotype" w:cs="Palatino Linotype"/>
          <w:b/>
          <w:sz w:val="24"/>
          <w:szCs w:val="24"/>
        </w:rPr>
        <w:t>SEGUNDO.</w:t>
      </w:r>
      <w:r>
        <w:rPr>
          <w:rFonts w:ascii="Palatino Linotype" w:eastAsia="Palatino Linotype" w:hAnsi="Palatino Linotype" w:cs="Palatino Linotype"/>
          <w:b/>
          <w:color w:val="2F5496"/>
          <w:sz w:val="24"/>
          <w:szCs w:val="24"/>
        </w:rPr>
        <w:t xml:space="preserve">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REVOCA</w:t>
      </w:r>
      <w:r>
        <w:rPr>
          <w:rFonts w:ascii="Palatino Linotype" w:eastAsia="Palatino Linotype" w:hAnsi="Palatino Linotype" w:cs="Palatino Linotype"/>
          <w:sz w:val="24"/>
          <w:szCs w:val="24"/>
        </w:rPr>
        <w:t xml:space="preserve"> la respuesta emitida por la </w:t>
      </w:r>
      <w:r>
        <w:rPr>
          <w:rFonts w:ascii="Palatino Linotype" w:eastAsia="Palatino Linotype" w:hAnsi="Palatino Linotype" w:cs="Palatino Linotype"/>
          <w:b/>
          <w:sz w:val="24"/>
          <w:szCs w:val="24"/>
        </w:rPr>
        <w:t xml:space="preserve">Comisión Estatal de Parques Naturales y de la Fauna </w:t>
      </w:r>
      <w:r>
        <w:rPr>
          <w:rFonts w:ascii="Palatino Linotype" w:eastAsia="Palatino Linotype" w:hAnsi="Palatino Linotype" w:cs="Palatino Linotype"/>
          <w:sz w:val="24"/>
          <w:szCs w:val="24"/>
        </w:rPr>
        <w:t xml:space="preserve">y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entregar, vía Sistema de Acceso a la </w:t>
      </w:r>
      <w:r>
        <w:rPr>
          <w:rFonts w:ascii="Palatino Linotype" w:eastAsia="Palatino Linotype" w:hAnsi="Palatino Linotype" w:cs="Palatino Linotype"/>
          <w:sz w:val="24"/>
          <w:szCs w:val="24"/>
        </w:rPr>
        <w:lastRenderedPageBreak/>
        <w:t>Información Mexiquense</w:t>
      </w:r>
      <w:r>
        <w:rPr>
          <w:rFonts w:ascii="Palatino Linotype" w:eastAsia="Palatino Linotype" w:hAnsi="Palatino Linotype" w:cs="Palatino Linotype"/>
          <w:b/>
          <w:sz w:val="24"/>
          <w:szCs w:val="24"/>
        </w:rPr>
        <w:t xml:space="preserve"> (SAIMEX)</w:t>
      </w:r>
      <w:r>
        <w:rPr>
          <w:rFonts w:ascii="Palatino Linotype" w:eastAsia="Palatino Linotype" w:hAnsi="Palatino Linotype" w:cs="Palatino Linotype"/>
          <w:sz w:val="24"/>
          <w:szCs w:val="24"/>
        </w:rPr>
        <w:t>, previa búsqueda exhaustiva y razonable, de ser el caso en versión pública, los documentos en donde conste la siguiente información:</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Funciones de la Contraloría Interna;</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Grado de estudios requerido para ser auditor de la Contraloría Interna;</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Auditores que cuentan con grado de licenciatura;</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Número de auditores de la Contraloría Interna;</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Número de sanciones emitidas por la Contraloría Interna a servidores públicos que incumplieron con sus obligaciones; y</w:t>
      </w:r>
    </w:p>
    <w:p w:rsidR="004D5693" w:rsidRDefault="00A6485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Plazos de los Procedimientos de la Contra</w:t>
      </w:r>
      <w:r>
        <w:rPr>
          <w:rFonts w:ascii="Palatino Linotype" w:eastAsia="Palatino Linotype" w:hAnsi="Palatino Linotype" w:cs="Palatino Linotype"/>
          <w:b/>
          <w:color w:val="000000"/>
          <w:sz w:val="24"/>
          <w:szCs w:val="24"/>
        </w:rPr>
        <w:t>loría Interna para emitir una sanción por denuncia o queja.</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w:t>
      </w:r>
      <w:r>
        <w:rPr>
          <w:rFonts w:ascii="Palatino Linotype" w:eastAsia="Palatino Linotype" w:hAnsi="Palatino Linotype" w:cs="Palatino Linotype"/>
          <w:sz w:val="24"/>
          <w:szCs w:val="24"/>
        </w:rPr>
        <w:t>ación Pública del Estado de México y Municipios, en el que funde y motive las razones sobre los datos que se supriman o eliminen dentro del soporte documental respectivo objeto de las versiones públicas que se formulen.</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tabs>
          <w:tab w:val="left" w:pos="8080"/>
        </w:tabs>
        <w:spacing w:line="360" w:lineRule="auto"/>
        <w:ind w:right="49"/>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 xml:space="preserve">al Titular de </w:t>
      </w:r>
      <w:r>
        <w:rPr>
          <w:rFonts w:ascii="Palatino Linotype" w:eastAsia="Palatino Linotype" w:hAnsi="Palatino Linotype" w:cs="Palatino Linotype"/>
          <w:sz w:val="24"/>
          <w:szCs w:val="24"/>
        </w:rPr>
        <w:t xml:space="preserve">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Pr>
          <w:rFonts w:ascii="Palatino Linotype" w:eastAsia="Palatino Linotype" w:hAnsi="Palatino Linotype" w:cs="Palatino Linotype"/>
          <w:color w:val="222222"/>
          <w:sz w:val="24"/>
          <w:szCs w:val="24"/>
          <w:highlight w:val="white"/>
        </w:rPr>
        <w:t>vigente, dé cumplimiento a lo or</w:t>
      </w:r>
      <w:r>
        <w:rPr>
          <w:rFonts w:ascii="Palatino Linotype" w:eastAsia="Palatino Linotype" w:hAnsi="Palatino Linotype" w:cs="Palatino Linotype"/>
          <w:color w:val="222222"/>
          <w:sz w:val="24"/>
          <w:szCs w:val="24"/>
          <w:highlight w:val="white"/>
        </w:rPr>
        <w:t xml:space="preserve">denado dentro del </w:t>
      </w:r>
      <w:r>
        <w:rPr>
          <w:rFonts w:ascii="Palatino Linotype" w:eastAsia="Palatino Linotype" w:hAnsi="Palatino Linotype" w:cs="Palatino Linotype"/>
          <w:color w:val="222222"/>
          <w:sz w:val="24"/>
          <w:szCs w:val="24"/>
          <w:highlight w:val="white"/>
        </w:rPr>
        <w:lastRenderedPageBreak/>
        <w:t>plazo de diez días hábiles, debiendo rendir a este Instituto el informe de cumplimiento de la resolución en un plazo de tres días hábiles posteriores.</w:t>
      </w:r>
    </w:p>
    <w:p w:rsidR="004D5693" w:rsidRDefault="004D5693">
      <w:pPr>
        <w:tabs>
          <w:tab w:val="left" w:pos="8080"/>
        </w:tabs>
        <w:spacing w:line="360" w:lineRule="auto"/>
        <w:ind w:right="49"/>
        <w:jc w:val="both"/>
        <w:rPr>
          <w:rFonts w:ascii="Palatino Linotype" w:eastAsia="Palatino Linotype" w:hAnsi="Palatino Linotype" w:cs="Palatino Linotype"/>
          <w:color w:val="222222"/>
          <w:sz w:val="24"/>
          <w:szCs w:val="24"/>
          <w:highlight w:val="white"/>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De conformidad con el artículo 198 de la Ley de Transparencia y Acceso a la In</w:t>
      </w:r>
      <w:r>
        <w:rPr>
          <w:rFonts w:ascii="Palatino Linotype" w:eastAsia="Palatino Linotype" w:hAnsi="Palatino Linotype" w:cs="Palatino Linotype"/>
          <w:sz w:val="24"/>
          <w:szCs w:val="24"/>
        </w:rPr>
        <w:t>formación Pública del Estado de México y Municipios, de considerarlo procedente, el Sujeto Obligado de manera fundada y motivada, podrá solicitar una ampliación de plazo para el cumplimiento de la presente resolución.</w:t>
      </w:r>
    </w:p>
    <w:p w:rsidR="004D5693" w:rsidRDefault="004D5693">
      <w:pPr>
        <w:tabs>
          <w:tab w:val="left" w:pos="8080"/>
        </w:tabs>
        <w:spacing w:line="360" w:lineRule="auto"/>
        <w:ind w:right="49"/>
        <w:jc w:val="both"/>
        <w:rPr>
          <w:rFonts w:ascii="Palatino Linotype" w:eastAsia="Palatino Linotype" w:hAnsi="Palatino Linotype" w:cs="Palatino Linotype"/>
          <w:b/>
          <w:sz w:val="24"/>
          <w:szCs w:val="24"/>
        </w:rPr>
      </w:pPr>
    </w:p>
    <w:p w:rsidR="004D5693" w:rsidRDefault="00A64855">
      <w:pPr>
        <w:shd w:val="clear" w:color="auto" w:fill="FFFFFF"/>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b/>
          <w:color w:val="222222"/>
          <w:sz w:val="24"/>
          <w:szCs w:val="24"/>
        </w:rPr>
        <w:t xml:space="preserve">Notifíquese </w:t>
      </w:r>
      <w:r>
        <w:rPr>
          <w:rFonts w:ascii="Palatino Linotype" w:eastAsia="Palatino Linotype" w:hAnsi="Palatino Linotype" w:cs="Palatino Linotype"/>
          <w:color w:val="222222"/>
          <w:sz w:val="24"/>
          <w:szCs w:val="24"/>
        </w:rPr>
        <w:t xml:space="preserve">a </w:t>
      </w:r>
      <w:bookmarkStart w:id="17" w:name="_GoBack"/>
      <w:r w:rsidR="00BC46D5" w:rsidRPr="00BC46D5">
        <w:rPr>
          <w:rFonts w:ascii="Palatino Linotype" w:eastAsia="Palatino Linotype" w:hAnsi="Palatino Linotype" w:cs="Palatino Linotype"/>
          <w:b/>
          <w:sz w:val="24"/>
          <w:szCs w:val="22"/>
        </w:rPr>
        <w:t xml:space="preserve">XXXXXXX </w:t>
      </w:r>
      <w:proofErr w:type="spellStart"/>
      <w:r w:rsidR="00BC46D5" w:rsidRPr="00BC46D5">
        <w:rPr>
          <w:rFonts w:ascii="Palatino Linotype" w:eastAsia="Palatino Linotype" w:hAnsi="Palatino Linotype" w:cs="Palatino Linotype"/>
          <w:b/>
          <w:sz w:val="24"/>
          <w:szCs w:val="22"/>
        </w:rPr>
        <w:t>XXXXXXX</w:t>
      </w:r>
      <w:proofErr w:type="spellEnd"/>
      <w:r w:rsidR="00BC46D5" w:rsidRPr="00BC46D5">
        <w:rPr>
          <w:rFonts w:ascii="Palatino Linotype" w:eastAsia="Palatino Linotype" w:hAnsi="Palatino Linotype" w:cs="Palatino Linotype"/>
          <w:b/>
          <w:sz w:val="24"/>
          <w:szCs w:val="22"/>
        </w:rPr>
        <w:t xml:space="preserve"> XXXXX</w:t>
      </w:r>
      <w:bookmarkEnd w:id="17"/>
      <w:r>
        <w:rPr>
          <w:rFonts w:ascii="Palatino Linotype" w:eastAsia="Palatino Linotype" w:hAnsi="Palatino Linotype" w:cs="Palatino Linotype"/>
          <w:sz w:val="24"/>
          <w:szCs w:val="24"/>
        </w:rPr>
        <w:t xml:space="preserve"> la presente resolución.</w:t>
      </w:r>
    </w:p>
    <w:p w:rsidR="004D5693" w:rsidRDefault="004D5693">
      <w:pPr>
        <w:shd w:val="clear" w:color="auto" w:fill="FFFFFF"/>
        <w:spacing w:line="360" w:lineRule="auto"/>
        <w:jc w:val="both"/>
        <w:rPr>
          <w:rFonts w:ascii="Palatino Linotype" w:eastAsia="Palatino Linotype" w:hAnsi="Palatino Linotype" w:cs="Palatino Linotype"/>
          <w:sz w:val="24"/>
          <w:szCs w:val="24"/>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SEXTO.</w:t>
      </w:r>
      <w:r>
        <w:rPr>
          <w:rFonts w:ascii="Palatino Linotype" w:eastAsia="Palatino Linotype" w:hAnsi="Palatino Linotype" w:cs="Palatino Linotype"/>
          <w:sz w:val="24"/>
          <w:szCs w:val="24"/>
        </w:rPr>
        <w:t xml:space="preserve"> Se hace del conocimiento de </w:t>
      </w:r>
      <w:r w:rsidR="00BC46D5" w:rsidRPr="00BC46D5">
        <w:rPr>
          <w:rFonts w:ascii="Palatino Linotype" w:eastAsia="Palatino Linotype" w:hAnsi="Palatino Linotype" w:cs="Palatino Linotype"/>
          <w:b/>
          <w:sz w:val="24"/>
          <w:szCs w:val="22"/>
        </w:rPr>
        <w:t xml:space="preserve">XXXXXXX </w:t>
      </w:r>
      <w:proofErr w:type="spellStart"/>
      <w:r w:rsidR="00BC46D5" w:rsidRPr="00BC46D5">
        <w:rPr>
          <w:rFonts w:ascii="Palatino Linotype" w:eastAsia="Palatino Linotype" w:hAnsi="Palatino Linotype" w:cs="Palatino Linotype"/>
          <w:b/>
          <w:sz w:val="24"/>
          <w:szCs w:val="22"/>
        </w:rPr>
        <w:t>XXXXXXX</w:t>
      </w:r>
      <w:proofErr w:type="spellEnd"/>
      <w:r w:rsidR="00BC46D5" w:rsidRPr="00BC46D5">
        <w:rPr>
          <w:rFonts w:ascii="Palatino Linotype" w:eastAsia="Palatino Linotype" w:hAnsi="Palatino Linotype" w:cs="Palatino Linotype"/>
          <w:b/>
          <w:sz w:val="24"/>
          <w:szCs w:val="22"/>
        </w:rPr>
        <w:t xml:space="preserve"> XXXXX</w:t>
      </w:r>
      <w:r>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highlight w:val="white"/>
        </w:rPr>
        <w:t xml:space="preserve">en caso de que considere que la resolución le cause algún perjuicio podrá impugnarla vía </w:t>
      </w:r>
      <w:r>
        <w:rPr>
          <w:rFonts w:ascii="Palatino Linotype" w:eastAsia="Palatino Linotype" w:hAnsi="Palatino Linotype" w:cs="Palatino Linotype"/>
          <w:color w:val="222222"/>
          <w:sz w:val="24"/>
          <w:szCs w:val="24"/>
          <w:highlight w:val="white"/>
        </w:rPr>
        <w:t>juicio de amparo en los términos de las leyes aplicables.</w:t>
      </w:r>
    </w:p>
    <w:p w:rsidR="004D5693" w:rsidRDefault="00A64855">
      <w:pPr>
        <w:spacing w:before="240" w:after="240" w:line="360" w:lineRule="auto"/>
        <w:ind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sz w:val="24"/>
          <w:szCs w:val="24"/>
        </w:rPr>
        <w:t xml:space="preserve">MEJÍA AYALA; SHARON CRISTINA MORALES MARTÍNEZ; LUIS GUSTAVO PARRA NORIEGA; Y GUADALUPE RAMÍREZ PEÑA EN LA TRIGÉSIMA SEPTIMA SESIÓN ORDINARIA CELEBRADA EL VEINTE DE </w:t>
      </w:r>
      <w:r>
        <w:rPr>
          <w:rFonts w:ascii="Palatino Linotype" w:eastAsia="Palatino Linotype" w:hAnsi="Palatino Linotype" w:cs="Palatino Linotype"/>
          <w:sz w:val="24"/>
          <w:szCs w:val="24"/>
        </w:rPr>
        <w:lastRenderedPageBreak/>
        <w:t xml:space="preserve">OCTUBRE DE DOS MIL VEINTIUNO, ANTE EL SECRETARIO TÉCNICO DEL PLENO ALEXIS TAPIA RAMÍREZ </w:t>
      </w: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rPr>
          <w:rFonts w:ascii="Palatino Linotype" w:eastAsia="Palatino Linotype" w:hAnsi="Palatino Linotype" w:cs="Palatino Linotype"/>
          <w:sz w:val="24"/>
          <w:szCs w:val="24"/>
        </w:rPr>
      </w:pPr>
    </w:p>
    <w:sectPr w:rsidR="004D5693">
      <w:headerReference w:type="even" r:id="rId10"/>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5" w:rsidRDefault="00A64855">
      <w:r>
        <w:separator/>
      </w:r>
    </w:p>
  </w:endnote>
  <w:endnote w:type="continuationSeparator" w:id="0">
    <w:p w:rsidR="00A64855" w:rsidRDefault="00A6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93" w:rsidRDefault="004D5693">
    <w:pPr>
      <w:pBdr>
        <w:top w:val="nil"/>
        <w:left w:val="nil"/>
        <w:bottom w:val="nil"/>
        <w:right w:val="nil"/>
        <w:between w:val="nil"/>
      </w:pBdr>
      <w:tabs>
        <w:tab w:val="center" w:pos="4419"/>
        <w:tab w:val="right" w:pos="8838"/>
      </w:tabs>
      <w:jc w:val="right"/>
      <w:rPr>
        <w:color w:val="000000"/>
      </w:rPr>
    </w:pPr>
  </w:p>
  <w:p w:rsidR="004D5693" w:rsidRDefault="00A6485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BC46D5">
      <w:rPr>
        <w:b/>
        <w:color w:val="000000"/>
        <w:sz w:val="24"/>
        <w:szCs w:val="24"/>
      </w:rPr>
      <w:fldChar w:fldCharType="separate"/>
    </w:r>
    <w:r w:rsidR="00BC46D5">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BC46D5">
      <w:rPr>
        <w:b/>
        <w:color w:val="000000"/>
        <w:sz w:val="24"/>
        <w:szCs w:val="24"/>
      </w:rPr>
      <w:fldChar w:fldCharType="separate"/>
    </w:r>
    <w:r w:rsidR="00BC46D5">
      <w:rPr>
        <w:b/>
        <w:noProof/>
        <w:color w:val="000000"/>
        <w:sz w:val="24"/>
        <w:szCs w:val="24"/>
      </w:rPr>
      <w:t>52</w:t>
    </w:r>
    <w:r>
      <w:rPr>
        <w:b/>
        <w:color w:val="000000"/>
        <w:sz w:val="24"/>
        <w:szCs w:val="24"/>
      </w:rPr>
      <w:fldChar w:fldCharType="end"/>
    </w:r>
  </w:p>
  <w:p w:rsidR="004D5693" w:rsidRDefault="004D5693">
    <w:pPr>
      <w:pBdr>
        <w:top w:val="nil"/>
        <w:left w:val="nil"/>
        <w:bottom w:val="nil"/>
        <w:right w:val="nil"/>
        <w:between w:val="nil"/>
      </w:pBdr>
      <w:tabs>
        <w:tab w:val="center" w:pos="4419"/>
        <w:tab w:val="right" w:pos="8838"/>
      </w:tabs>
      <w:rPr>
        <w:color w:val="000000"/>
      </w:rPr>
    </w:pPr>
  </w:p>
  <w:p w:rsidR="004D5693" w:rsidRDefault="004D56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93" w:rsidRDefault="00A6485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BC46D5">
      <w:rPr>
        <w:b/>
        <w:color w:val="000000"/>
        <w:sz w:val="24"/>
        <w:szCs w:val="24"/>
      </w:rPr>
      <w:fldChar w:fldCharType="separate"/>
    </w:r>
    <w:r w:rsidR="00BC46D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BC46D5">
      <w:rPr>
        <w:b/>
        <w:color w:val="000000"/>
        <w:sz w:val="24"/>
        <w:szCs w:val="24"/>
      </w:rPr>
      <w:fldChar w:fldCharType="separate"/>
    </w:r>
    <w:r w:rsidR="00BC46D5">
      <w:rPr>
        <w:b/>
        <w:noProof/>
        <w:color w:val="000000"/>
        <w:sz w:val="24"/>
        <w:szCs w:val="24"/>
      </w:rPr>
      <w:t>52</w:t>
    </w:r>
    <w:r>
      <w:rPr>
        <w:b/>
        <w:color w:val="000000"/>
        <w:sz w:val="24"/>
        <w:szCs w:val="24"/>
      </w:rPr>
      <w:fldChar w:fldCharType="end"/>
    </w:r>
  </w:p>
  <w:p w:rsidR="004D5693" w:rsidRDefault="004D5693">
    <w:pPr>
      <w:pBdr>
        <w:top w:val="nil"/>
        <w:left w:val="nil"/>
        <w:bottom w:val="nil"/>
        <w:right w:val="nil"/>
        <w:between w:val="nil"/>
      </w:pBdr>
      <w:tabs>
        <w:tab w:val="center" w:pos="4419"/>
        <w:tab w:val="right" w:pos="8838"/>
      </w:tabs>
      <w:rPr>
        <w:color w:val="000000"/>
      </w:rPr>
    </w:pPr>
  </w:p>
  <w:p w:rsidR="004D5693" w:rsidRDefault="004D5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5" w:rsidRDefault="00A64855">
      <w:r>
        <w:separator/>
      </w:r>
    </w:p>
  </w:footnote>
  <w:footnote w:type="continuationSeparator" w:id="0">
    <w:p w:rsidR="00A64855" w:rsidRDefault="00A64855">
      <w:r>
        <w:continuationSeparator/>
      </w:r>
    </w:p>
  </w:footnote>
  <w:footnote w:id="1">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Convención Americana sobre Derechos Humanos. Artículo 13.</w:t>
      </w:r>
    </w:p>
  </w:footnote>
  <w:footnote w:id="2">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Constitución Política de los Estados Unidos Mexicanos. Artículo sexto, sección A, fracción I.</w:t>
      </w:r>
    </w:p>
  </w:footnote>
  <w:footnote w:id="3">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Corte Interamericana de Derechos Humanos. Caso Claude Reyes y otros </w:t>
      </w:r>
      <w:r>
        <w:rPr>
          <w:rFonts w:ascii="Calibri" w:eastAsia="Calibri" w:hAnsi="Calibri" w:cs="Calibri"/>
          <w:color w:val="000000"/>
        </w:rPr>
        <w:t>vs. Chile. Sentencia de 19 de septiembre de 2006. Serie C. No. 151. Párr. 86.</w:t>
      </w:r>
    </w:p>
  </w:footnote>
  <w:footnote w:id="4">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Ibídem. </w:t>
      </w:r>
      <w:proofErr w:type="spellStart"/>
      <w:r>
        <w:rPr>
          <w:rFonts w:ascii="Calibri" w:eastAsia="Calibri" w:hAnsi="Calibri" w:cs="Calibri"/>
          <w:color w:val="000000"/>
        </w:rPr>
        <w:t>Parr</w:t>
      </w:r>
      <w:proofErr w:type="spellEnd"/>
      <w:r>
        <w:rPr>
          <w:rFonts w:ascii="Calibri" w:eastAsia="Calibri" w:hAnsi="Calibri" w:cs="Calibri"/>
          <w:color w:val="000000"/>
        </w:rPr>
        <w:t>. 87.</w:t>
      </w:r>
    </w:p>
  </w:footnote>
  <w:footnote w:id="5">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Ley de Transparencia y Acceso a la Información Pública del Estado de México y Municipios. Artículo 9. …</w:t>
      </w:r>
    </w:p>
    <w:p w:rsidR="004D5693" w:rsidRDefault="00A648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 Eficacia: Obligación del Instituto para tutelar,</w:t>
      </w:r>
      <w:r>
        <w:rPr>
          <w:rFonts w:ascii="Calibri" w:eastAsia="Calibri" w:hAnsi="Calibri" w:cs="Calibri"/>
          <w:color w:val="000000"/>
        </w:rPr>
        <w:t xml:space="preserve"> de manera efectiva, el derecho de acceso a la información;</w:t>
      </w:r>
    </w:p>
    <w:p w:rsidR="004D5693" w:rsidRDefault="00A648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footnote>
  <w:footnote w:id="6">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Palatino Linotype" w:eastAsia="Palatino Linotype" w:hAnsi="Palatino Linotype" w:cs="Palatino Linotype"/>
          <w:color w:val="000000"/>
          <w:sz w:val="16"/>
          <w:szCs w:val="16"/>
        </w:rPr>
        <w:t xml:space="preserve">BURGOA ORIHUELA Ignacio. </w:t>
      </w:r>
      <w:r>
        <w:rPr>
          <w:rFonts w:ascii="Palatino Linotype" w:eastAsia="Palatino Linotype" w:hAnsi="Palatino Linotype" w:cs="Palatino Linotype"/>
          <w:i/>
          <w:color w:val="000000"/>
          <w:sz w:val="16"/>
          <w:szCs w:val="16"/>
        </w:rPr>
        <w:t>Diccionario De Derecho Constitucional, Garantías y Amparo</w:t>
      </w:r>
      <w:r>
        <w:rPr>
          <w:rFonts w:ascii="Palatino Linotype" w:eastAsia="Palatino Linotype" w:hAnsi="Palatino Linotype" w:cs="Palatino Linotype"/>
          <w:color w:val="000000"/>
          <w:sz w:val="16"/>
          <w:szCs w:val="16"/>
        </w:rPr>
        <w:t>. Ed. Porrúa, S.A., México. 1992. p. 115.</w:t>
      </w:r>
    </w:p>
  </w:footnote>
  <w:footnote w:id="7">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Palatino Linotype" w:eastAsia="Palatino Linotype" w:hAnsi="Palatino Linotype" w:cs="Palatino Linotype"/>
          <w:color w:val="000000"/>
          <w:sz w:val="16"/>
          <w:szCs w:val="16"/>
        </w:rPr>
        <w:t xml:space="preserve">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8">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Palatino Linotype" w:eastAsia="Palatino Linotype" w:hAnsi="Palatino Linotype" w:cs="Palatino Linotype"/>
          <w:color w:val="000000"/>
          <w:sz w:val="16"/>
          <w:szCs w:val="16"/>
        </w:rPr>
        <w:t xml:space="preserve">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 w:id="9">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w:t>
      </w:r>
      <w:r>
        <w:rPr>
          <w:rFonts w:ascii="Palatino Linotype" w:eastAsia="Palatino Linotype" w:hAnsi="Palatino Linotype" w:cs="Palatino Linotype"/>
          <w:color w:val="000000"/>
          <w:sz w:val="16"/>
          <w:szCs w:val="16"/>
        </w:rPr>
        <w:t>ción, Ed. Porrúa. S.A., México. 2006. p. 270</w:t>
      </w:r>
    </w:p>
  </w:footnote>
  <w:footnote w:id="10">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rsidR="004D5693" w:rsidRDefault="00A648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11">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Fracción IV. Artículo 53. Ibídem.</w:t>
      </w:r>
    </w:p>
  </w:footnote>
  <w:footnote w:id="12">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Disponible para su consulta en </w:t>
      </w:r>
      <w:hyperlink r:id="rId1">
        <w:r>
          <w:rPr>
            <w:rFonts w:ascii="Calibri" w:eastAsia="Calibri" w:hAnsi="Calibri" w:cs="Calibri"/>
            <w:color w:val="0563C1"/>
            <w:u w:val="single"/>
          </w:rPr>
          <w:t>https://drive.google.com/file/d/17FHvDnxxjvii5KanYr7Xx76oh5SfMern/view</w:t>
        </w:r>
      </w:hyperlink>
    </w:p>
  </w:footnote>
  <w:footnote w:id="13">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hyperlink r:id="rId2">
        <w:r>
          <w:rPr>
            <w:rFonts w:ascii="Calibri" w:eastAsia="Calibri" w:hAnsi="Calibri" w:cs="Calibri"/>
            <w:color w:val="0563C1"/>
            <w:u w:val="single"/>
          </w:rPr>
          <w:t>https://www.ipomex.org.mx/ipo3/lgt/indice/CEPANAF/organigramas.web</w:t>
        </w:r>
      </w:hyperlink>
    </w:p>
  </w:footnote>
  <w:footnote w:id="14">
    <w:p w:rsidR="004D5693" w:rsidRDefault="00A6485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Disponible para su consulta en </w:t>
      </w:r>
      <w:hyperlink r:id="rId3">
        <w:r>
          <w:rPr>
            <w:rFonts w:ascii="Calibri" w:eastAsia="Calibri" w:hAnsi="Calibri" w:cs="Calibri"/>
            <w:color w:val="0563C1"/>
            <w:u w:val="single"/>
          </w:rPr>
          <w:t>https://legislacion.edomex.gob.mx</w:t>
        </w:r>
        <w:r>
          <w:rPr>
            <w:rFonts w:ascii="Calibri" w:eastAsia="Calibri" w:hAnsi="Calibri" w:cs="Calibri"/>
            <w:color w:val="0563C1"/>
            <w:u w:val="single"/>
          </w:rPr>
          <w:t>/sites/legislacion.edomex.gob.mx/files/files/pdf/ley/vig/leyvig241.pdf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93" w:rsidRDefault="00A6485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3"/>
          <w10:wrap anchorx="margin" anchory="margin"/>
        </v:shape>
      </w:pict>
    </w:r>
  </w:p>
  <w:p w:rsidR="004D5693" w:rsidRDefault="004D56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93" w:rsidRDefault="004D5693">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9356" w:type="dxa"/>
      <w:tblInd w:w="0" w:type="dxa"/>
      <w:tblLayout w:type="fixed"/>
      <w:tblLook w:val="0400" w:firstRow="0" w:lastRow="0" w:firstColumn="0" w:lastColumn="0" w:noHBand="0" w:noVBand="1"/>
    </w:tblPr>
    <w:tblGrid>
      <w:gridCol w:w="1843"/>
      <w:gridCol w:w="7513"/>
    </w:tblGrid>
    <w:tr w:rsidR="004D5693">
      <w:trPr>
        <w:trHeight w:val="1435"/>
      </w:trPr>
      <w:tc>
        <w:tcPr>
          <w:tcW w:w="1843" w:type="dxa"/>
          <w:shd w:val="clear" w:color="auto" w:fill="auto"/>
        </w:tcPr>
        <w:p w:rsidR="004D5693" w:rsidRDefault="00A64855">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4D5693" w:rsidRDefault="004D5693"/>
        <w:tbl>
          <w:tblPr>
            <w:tblStyle w:val="a1"/>
            <w:tblW w:w="7095"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544"/>
          </w:tblGrid>
          <w:tr w:rsidR="004D5693">
            <w:trPr>
              <w:trHeight w:val="338"/>
            </w:trPr>
            <w:tc>
              <w:tcPr>
                <w:tcW w:w="2551" w:type="dxa"/>
              </w:tcPr>
              <w:p w:rsidR="004D5693" w:rsidRDefault="004D5693">
                <w:pPr>
                  <w:tabs>
                    <w:tab w:val="right" w:pos="8838"/>
                  </w:tabs>
                  <w:ind w:right="-105"/>
                  <w:rPr>
                    <w:rFonts w:ascii="Palatino Linotype" w:eastAsia="Palatino Linotype" w:hAnsi="Palatino Linotype" w:cs="Palatino Linotype"/>
                    <w:b/>
                    <w:sz w:val="22"/>
                    <w:szCs w:val="22"/>
                  </w:rPr>
                </w:pPr>
              </w:p>
              <w:p w:rsidR="004D5693" w:rsidRDefault="00A64855">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44" w:type="dxa"/>
              </w:tcPr>
              <w:p w:rsidR="004D5693" w:rsidRDefault="004D5693">
                <w:pPr>
                  <w:tabs>
                    <w:tab w:val="right" w:pos="8838"/>
                  </w:tabs>
                  <w:ind w:right="-105" w:hanging="101"/>
                  <w:jc w:val="both"/>
                  <w:rPr>
                    <w:rFonts w:ascii="Palatino Linotype" w:eastAsia="Palatino Linotype" w:hAnsi="Palatino Linotype" w:cs="Palatino Linotype"/>
                    <w:sz w:val="22"/>
                    <w:szCs w:val="22"/>
                  </w:rPr>
                </w:pPr>
              </w:p>
              <w:p w:rsidR="004D5693" w:rsidRDefault="00A64855">
                <w:pPr>
                  <w:tabs>
                    <w:tab w:val="right" w:pos="8838"/>
                  </w:tabs>
                  <w:ind w:right="-105" w:hanging="1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04348/INFOEM/IP/RR/2021</w:t>
                </w:r>
                <w:r>
                  <w:rPr>
                    <w:rFonts w:ascii="Palatino Linotype" w:eastAsia="Palatino Linotype" w:hAnsi="Palatino Linotype" w:cs="Palatino Linotype"/>
                  </w:rPr>
                  <w:t xml:space="preserve"> </w:t>
                </w:r>
              </w:p>
            </w:tc>
          </w:tr>
          <w:tr w:rsidR="004D5693">
            <w:trPr>
              <w:trHeight w:val="283"/>
            </w:trPr>
            <w:tc>
              <w:tcPr>
                <w:tcW w:w="2551" w:type="dxa"/>
              </w:tcPr>
              <w:p w:rsidR="004D5693" w:rsidRDefault="00A64855">
                <w:pPr>
                  <w:tabs>
                    <w:tab w:val="right" w:pos="8838"/>
                  </w:tabs>
                  <w:ind w:right="-105"/>
                  <w:rPr>
                    <w:rFonts w:ascii="Palatino Linotype" w:eastAsia="Palatino Linotype" w:hAnsi="Palatino Linotype" w:cs="Palatino Linotype"/>
                    <w:b/>
                    <w:sz w:val="22"/>
                    <w:szCs w:val="22"/>
                  </w:rPr>
                </w:pPr>
                <w:bookmarkStart w:id="18" w:name="_heading=h.2jxsxqh" w:colFirst="0" w:colLast="0"/>
                <w:bookmarkEnd w:id="18"/>
                <w:r>
                  <w:rPr>
                    <w:rFonts w:ascii="Palatino Linotype" w:eastAsia="Palatino Linotype" w:hAnsi="Palatino Linotype" w:cs="Palatino Linotype"/>
                    <w:b/>
                    <w:sz w:val="22"/>
                    <w:szCs w:val="22"/>
                  </w:rPr>
                  <w:t>Sujeto Obligado:</w:t>
                </w:r>
              </w:p>
            </w:tc>
            <w:tc>
              <w:tcPr>
                <w:tcW w:w="4544" w:type="dxa"/>
              </w:tcPr>
              <w:p w:rsidR="004D5693" w:rsidRDefault="00A64855">
                <w:pPr>
                  <w:tabs>
                    <w:tab w:val="left" w:pos="2834"/>
                    <w:tab w:val="right" w:pos="8838"/>
                  </w:tabs>
                  <w:ind w:left="-113" w:right="131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Comisión Estatal de Parques Naturales y de la Fauna</w:t>
                </w:r>
              </w:p>
            </w:tc>
          </w:tr>
          <w:tr w:rsidR="004D5693">
            <w:trPr>
              <w:trHeight w:val="283"/>
            </w:trPr>
            <w:tc>
              <w:tcPr>
                <w:tcW w:w="2551" w:type="dxa"/>
              </w:tcPr>
              <w:p w:rsidR="004D5693" w:rsidRDefault="00A64855">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544" w:type="dxa"/>
              </w:tcPr>
              <w:p w:rsidR="004D5693" w:rsidRDefault="00A64855">
                <w:pPr>
                  <w:tabs>
                    <w:tab w:val="right" w:pos="8838"/>
                  </w:tabs>
                  <w:ind w:left="-11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4D5693" w:rsidRDefault="004D5693">
          <w:pPr>
            <w:tabs>
              <w:tab w:val="right" w:pos="8838"/>
            </w:tabs>
            <w:ind w:left="-28"/>
            <w:jc w:val="both"/>
            <w:rPr>
              <w:rFonts w:ascii="Arial" w:eastAsia="Arial" w:hAnsi="Arial" w:cs="Arial"/>
              <w:b/>
              <w:sz w:val="22"/>
              <w:szCs w:val="22"/>
            </w:rPr>
          </w:pPr>
        </w:p>
      </w:tc>
    </w:tr>
  </w:tbl>
  <w:p w:rsidR="004D5693" w:rsidRDefault="00A6485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3"/>
          <w10:wrap anchorx="margin" anchory="margin"/>
        </v:shape>
      </w:pict>
    </w:r>
  </w:p>
  <w:p w:rsidR="004D5693" w:rsidRDefault="004D56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93" w:rsidRDefault="004D5693">
    <w:pPr>
      <w:widowControl w:val="0"/>
      <w:pBdr>
        <w:top w:val="nil"/>
        <w:left w:val="nil"/>
        <w:bottom w:val="nil"/>
        <w:right w:val="nil"/>
        <w:between w:val="nil"/>
      </w:pBdr>
      <w:spacing w:line="276" w:lineRule="auto"/>
    </w:pPr>
  </w:p>
  <w:tbl>
    <w:tblPr>
      <w:tblStyle w:val="a2"/>
      <w:tblW w:w="9498" w:type="dxa"/>
      <w:tblInd w:w="0" w:type="dxa"/>
      <w:tblLayout w:type="fixed"/>
      <w:tblLook w:val="0400" w:firstRow="0" w:lastRow="0" w:firstColumn="0" w:lastColumn="0" w:noHBand="0" w:noVBand="1"/>
    </w:tblPr>
    <w:tblGrid>
      <w:gridCol w:w="1560"/>
      <w:gridCol w:w="7938"/>
    </w:tblGrid>
    <w:tr w:rsidR="004D5693">
      <w:trPr>
        <w:trHeight w:val="1435"/>
      </w:trPr>
      <w:tc>
        <w:tcPr>
          <w:tcW w:w="1560" w:type="dxa"/>
          <w:shd w:val="clear" w:color="auto" w:fill="auto"/>
        </w:tcPr>
        <w:p w:rsidR="004D5693" w:rsidRDefault="004D5693">
          <w:pPr>
            <w:tabs>
              <w:tab w:val="right" w:pos="4273"/>
            </w:tabs>
            <w:rPr>
              <w:rFonts w:ascii="Garamond" w:eastAsia="Garamond" w:hAnsi="Garamond" w:cs="Garamond"/>
              <w:sz w:val="22"/>
              <w:szCs w:val="22"/>
            </w:rPr>
          </w:pPr>
        </w:p>
      </w:tc>
      <w:tc>
        <w:tcPr>
          <w:tcW w:w="7938" w:type="dxa"/>
          <w:shd w:val="clear" w:color="auto" w:fill="auto"/>
        </w:tcPr>
        <w:p w:rsidR="004D5693" w:rsidRDefault="004D5693">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10492"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4"/>
            <w:gridCol w:w="4646"/>
            <w:gridCol w:w="3402"/>
          </w:tblGrid>
          <w:tr w:rsidR="004D5693">
            <w:trPr>
              <w:trHeight w:val="144"/>
            </w:trPr>
            <w:tc>
              <w:tcPr>
                <w:tcW w:w="2444" w:type="dxa"/>
              </w:tcPr>
              <w:p w:rsidR="004D5693" w:rsidRDefault="00A64855">
                <w:pPr>
                  <w:tabs>
                    <w:tab w:val="right" w:pos="8838"/>
                  </w:tabs>
                  <w:ind w:left="-74" w:right="-105"/>
                  <w:rPr>
                    <w:rFonts w:ascii="Palatino Linotype" w:eastAsia="Palatino Linotype" w:hAnsi="Palatino Linotype" w:cs="Palatino Linotype"/>
                    <w:b/>
                    <w:sz w:val="22"/>
                    <w:szCs w:val="22"/>
                  </w:rPr>
                </w:pPr>
                <w:bookmarkStart w:id="19" w:name="_heading=h.z337ya" w:colFirst="0" w:colLast="0"/>
                <w:bookmarkEnd w:id="19"/>
                <w:r>
                  <w:rPr>
                    <w:rFonts w:ascii="Palatino Linotype" w:eastAsia="Palatino Linotype" w:hAnsi="Palatino Linotype" w:cs="Palatino Linotype"/>
                    <w:b/>
                    <w:sz w:val="22"/>
                    <w:szCs w:val="22"/>
                  </w:rPr>
                  <w:t>Recurso de Revisión:</w:t>
                </w:r>
              </w:p>
            </w:tc>
            <w:tc>
              <w:tcPr>
                <w:tcW w:w="4646" w:type="dxa"/>
              </w:tcPr>
              <w:p w:rsidR="004D5693" w:rsidRDefault="00A64855">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04348/INFOEM/IP/RR/2021</w:t>
                </w:r>
              </w:p>
            </w:tc>
            <w:tc>
              <w:tcPr>
                <w:tcW w:w="3402" w:type="dxa"/>
              </w:tcPr>
              <w:p w:rsidR="004D5693" w:rsidRDefault="004D5693">
                <w:pPr>
                  <w:tabs>
                    <w:tab w:val="right" w:pos="8838"/>
                  </w:tabs>
                  <w:ind w:left="-74" w:right="-105"/>
                  <w:jc w:val="both"/>
                  <w:rPr>
                    <w:rFonts w:ascii="Palatino Linotype" w:eastAsia="Palatino Linotype" w:hAnsi="Palatino Linotype" w:cs="Palatino Linotype"/>
                    <w:sz w:val="22"/>
                    <w:szCs w:val="22"/>
                  </w:rPr>
                </w:pPr>
              </w:p>
            </w:tc>
          </w:tr>
          <w:tr w:rsidR="004D5693">
            <w:trPr>
              <w:trHeight w:val="144"/>
            </w:trPr>
            <w:tc>
              <w:tcPr>
                <w:tcW w:w="2444" w:type="dxa"/>
              </w:tcPr>
              <w:p w:rsidR="004D5693" w:rsidRDefault="00A64855">
                <w:pPr>
                  <w:tabs>
                    <w:tab w:val="right" w:pos="8838"/>
                  </w:tabs>
                  <w:ind w:left="-74" w:right="-105"/>
                  <w:rPr>
                    <w:rFonts w:ascii="Palatino Linotype" w:eastAsia="Palatino Linotype" w:hAnsi="Palatino Linotype" w:cs="Palatino Linotype"/>
                    <w:b/>
                    <w:sz w:val="22"/>
                    <w:szCs w:val="22"/>
                  </w:rPr>
                </w:pPr>
                <w:bookmarkStart w:id="20" w:name="_heading=h.3j2qqm3" w:colFirst="0" w:colLast="0"/>
                <w:bookmarkEnd w:id="20"/>
                <w:r>
                  <w:rPr>
                    <w:rFonts w:ascii="Palatino Linotype" w:eastAsia="Palatino Linotype" w:hAnsi="Palatino Linotype" w:cs="Palatino Linotype"/>
                    <w:b/>
                    <w:sz w:val="22"/>
                    <w:szCs w:val="22"/>
                  </w:rPr>
                  <w:t>Recurrente:</w:t>
                </w:r>
              </w:p>
            </w:tc>
            <w:tc>
              <w:tcPr>
                <w:tcW w:w="4646" w:type="dxa"/>
              </w:tcPr>
              <w:p w:rsidR="004D5693" w:rsidRDefault="00BC46D5" w:rsidP="00BC46D5">
                <w:pPr>
                  <w:tabs>
                    <w:tab w:val="left" w:pos="3122"/>
                    <w:tab w:val="right" w:pos="8838"/>
                  </w:tabs>
                  <w:ind w:right="145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XXXXXXX </w:t>
                </w:r>
                <w:proofErr w:type="spellStart"/>
                <w:r>
                  <w:rPr>
                    <w:rFonts w:ascii="Palatino Linotype" w:eastAsia="Palatino Linotype" w:hAnsi="Palatino Linotype" w:cs="Palatino Linotype"/>
                    <w:sz w:val="22"/>
                    <w:szCs w:val="22"/>
                  </w:rPr>
                  <w:t>XXXXXXX</w:t>
                </w:r>
                <w:proofErr w:type="spellEnd"/>
                <w:r>
                  <w:rPr>
                    <w:rFonts w:ascii="Palatino Linotype" w:eastAsia="Palatino Linotype" w:hAnsi="Palatino Linotype" w:cs="Palatino Linotype"/>
                    <w:sz w:val="22"/>
                    <w:szCs w:val="22"/>
                  </w:rPr>
                  <w:t xml:space="preserve"> XXXXX</w:t>
                </w:r>
              </w:p>
            </w:tc>
            <w:tc>
              <w:tcPr>
                <w:tcW w:w="3402" w:type="dxa"/>
              </w:tcPr>
              <w:p w:rsidR="004D5693" w:rsidRDefault="004D5693">
                <w:pPr>
                  <w:tabs>
                    <w:tab w:val="left" w:pos="3122"/>
                    <w:tab w:val="right" w:pos="8838"/>
                  </w:tabs>
                  <w:ind w:right="-105"/>
                  <w:jc w:val="both"/>
                  <w:rPr>
                    <w:rFonts w:ascii="Palatino Linotype" w:eastAsia="Palatino Linotype" w:hAnsi="Palatino Linotype" w:cs="Palatino Linotype"/>
                    <w:sz w:val="22"/>
                    <w:szCs w:val="22"/>
                  </w:rPr>
                </w:pPr>
              </w:p>
            </w:tc>
          </w:tr>
          <w:tr w:rsidR="004D5693">
            <w:trPr>
              <w:trHeight w:val="283"/>
            </w:trPr>
            <w:tc>
              <w:tcPr>
                <w:tcW w:w="2444" w:type="dxa"/>
              </w:tcPr>
              <w:p w:rsidR="004D5693" w:rsidRDefault="00A648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46" w:type="dxa"/>
              </w:tcPr>
              <w:p w:rsidR="004D5693" w:rsidRDefault="00A64855">
                <w:pPr>
                  <w:tabs>
                    <w:tab w:val="left" w:pos="2834"/>
                    <w:tab w:val="right" w:pos="8838"/>
                  </w:tabs>
                  <w:ind w:left="-3" w:right="131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Comisión Estatal de Parques Naturales y de la Fauna</w:t>
                </w:r>
              </w:p>
            </w:tc>
            <w:tc>
              <w:tcPr>
                <w:tcW w:w="3402" w:type="dxa"/>
              </w:tcPr>
              <w:p w:rsidR="004D5693" w:rsidRDefault="004D5693">
                <w:pPr>
                  <w:tabs>
                    <w:tab w:val="left" w:pos="2834"/>
                    <w:tab w:val="right" w:pos="8838"/>
                  </w:tabs>
                  <w:ind w:left="-74" w:right="-105"/>
                  <w:jc w:val="both"/>
                  <w:rPr>
                    <w:rFonts w:ascii="Palatino Linotype" w:eastAsia="Palatino Linotype" w:hAnsi="Palatino Linotype" w:cs="Palatino Linotype"/>
                    <w:sz w:val="22"/>
                    <w:szCs w:val="22"/>
                  </w:rPr>
                </w:pPr>
              </w:p>
            </w:tc>
          </w:tr>
          <w:tr w:rsidR="004D5693">
            <w:trPr>
              <w:trHeight w:val="283"/>
            </w:trPr>
            <w:tc>
              <w:tcPr>
                <w:tcW w:w="2444" w:type="dxa"/>
              </w:tcPr>
              <w:p w:rsidR="004D5693" w:rsidRDefault="00A648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646" w:type="dxa"/>
              </w:tcPr>
              <w:p w:rsidR="004D5693" w:rsidRDefault="00A64855">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3402" w:type="dxa"/>
              </w:tcPr>
              <w:p w:rsidR="004D5693" w:rsidRDefault="004D5693">
                <w:pPr>
                  <w:tabs>
                    <w:tab w:val="right" w:pos="8838"/>
                  </w:tabs>
                  <w:ind w:left="-74" w:right="-105"/>
                  <w:jc w:val="both"/>
                  <w:rPr>
                    <w:rFonts w:ascii="Palatino Linotype" w:eastAsia="Palatino Linotype" w:hAnsi="Palatino Linotype" w:cs="Palatino Linotype"/>
                    <w:sz w:val="22"/>
                    <w:szCs w:val="22"/>
                  </w:rPr>
                </w:pPr>
              </w:p>
            </w:tc>
          </w:tr>
        </w:tbl>
        <w:p w:rsidR="004D5693" w:rsidRDefault="004D5693">
          <w:pPr>
            <w:tabs>
              <w:tab w:val="right" w:pos="8838"/>
            </w:tabs>
            <w:ind w:left="-28"/>
            <w:jc w:val="both"/>
            <w:rPr>
              <w:rFonts w:ascii="Arial" w:eastAsia="Arial" w:hAnsi="Arial" w:cs="Arial"/>
              <w:b/>
              <w:sz w:val="22"/>
              <w:szCs w:val="22"/>
            </w:rPr>
          </w:pPr>
        </w:p>
      </w:tc>
    </w:tr>
  </w:tbl>
  <w:p w:rsidR="004D5693" w:rsidRDefault="00A64855">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353"/>
    <w:multiLevelType w:val="multilevel"/>
    <w:tmpl w:val="4A9A724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0B340693"/>
    <w:multiLevelType w:val="multilevel"/>
    <w:tmpl w:val="D2128D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0D7CDB"/>
    <w:multiLevelType w:val="multilevel"/>
    <w:tmpl w:val="3DC4D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75941D5"/>
    <w:multiLevelType w:val="multilevel"/>
    <w:tmpl w:val="A8B83DD4"/>
    <w:lvl w:ilvl="0">
      <w:start w:val="1"/>
      <w:numFmt w:val="upperRoman"/>
      <w:pStyle w:val="Listaconvietas2"/>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8EC3135"/>
    <w:multiLevelType w:val="multilevel"/>
    <w:tmpl w:val="0D6A0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042227"/>
    <w:multiLevelType w:val="multilevel"/>
    <w:tmpl w:val="EDA20478"/>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93"/>
    <w:rsid w:val="004D5693"/>
    <w:rsid w:val="00A64855"/>
    <w:rsid w:val="00BC46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C6C530-EF85-4A6B-BFD1-A23BA6D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241.pdf" TargetMode="External"/><Relationship Id="rId2" Type="http://schemas.openxmlformats.org/officeDocument/2006/relationships/hyperlink" Target="https://www.ipomex.org.mx/ipo3/lgt/indice/CEPANAF/organigramas.web" TargetMode="External"/><Relationship Id="rId1" Type="http://schemas.openxmlformats.org/officeDocument/2006/relationships/hyperlink" Target="https://drive.google.com/file/d/17FHvDnxxjvii5KanYr7Xx76oh5SfMern/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s5hPf1kMKutQy3Ygb+IG0xXsNQ==">AMUW2mWT9p9xvqU+aeYCP5UawDo9xZPZiX1C5eXqIyt0XWvtW2dmexew0oQdPSZ8Ye5K/VLTMnl4276VRdD8/pNzoWuPOLjsgGZC8KKBNKT3A8FET4z5Lyp/cE1JBf6CGhCaRQFWJSoN/w0eM9R/+mnaeDWvWkFY8Cb/NqoJPRUStmd/pPOG0ntn0Su2Al2xdoWdr7XpQwfr9jRyud2LY4Di/y9Im6J0SXY0Uq7bIlbojmVnlTSmwiiOw1fJGZ7cMxS1hYhMXcM4ZExaCWG1kVx0qJ3FW/aXPMXVKVEPSW/e9B55V1iK2ZSr1BJqJkEVIn7ivFBM6vT358Fgvyk03edF/OtlCvXX0pS3SEJvoXJJA1VYolgIZyWeov3m05bY9yyRiDHS35Ktzf/LOW7QqhAVCNTUSVw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11103</Words>
  <Characters>61071</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cp:lastModifiedBy>
  <cp:revision>2</cp:revision>
  <dcterms:created xsi:type="dcterms:W3CDTF">2021-10-29T19:12:00Z</dcterms:created>
  <dcterms:modified xsi:type="dcterms:W3CDTF">2021-10-29T19:12:00Z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