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450BD">
        <w:rPr>
          <w:rFonts w:ascii="Palatino Linotype" w:hAnsi="Palatino Linotype" w:cs="Arial"/>
        </w:rPr>
        <w:t>a veinticuatro</w:t>
      </w:r>
      <w:r w:rsidR="00C017AC">
        <w:rPr>
          <w:rFonts w:ascii="Palatino Linotype" w:hAnsi="Palatino Linotype" w:cs="Arial"/>
        </w:rPr>
        <w:t xml:space="preserve"> de noviembre</w:t>
      </w:r>
      <w:r w:rsidR="00B1418F">
        <w:rPr>
          <w:rFonts w:ascii="Palatino Linotype" w:hAnsi="Palatino Linotype" w:cs="Arial"/>
        </w:rPr>
        <w:t xml:space="preserve"> </w:t>
      </w:r>
      <w:r w:rsidRPr="002504B2">
        <w:rPr>
          <w:rFonts w:ascii="Palatino Linotype" w:hAnsi="Palatino Linotype" w:cs="Arial"/>
        </w:rPr>
        <w:t xml:space="preserve">del dos mil veintiuno. </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VISTO</w:t>
      </w:r>
      <w:r w:rsidR="002452DB">
        <w:rPr>
          <w:rFonts w:ascii="Palatino Linotype" w:hAnsi="Palatino Linotype" w:cs="Arial"/>
        </w:rPr>
        <w:t xml:space="preserve"> el</w:t>
      </w:r>
      <w:r w:rsidRPr="002504B2">
        <w:rPr>
          <w:rFonts w:ascii="Palatino Linotype" w:hAnsi="Palatino Linotype" w:cs="Arial"/>
        </w:rPr>
        <w:t xml:space="preserve"> expediente formado</w:t>
      </w:r>
      <w:r w:rsidR="002452DB">
        <w:rPr>
          <w:rFonts w:ascii="Palatino Linotype" w:hAnsi="Palatino Linotype" w:cs="Arial"/>
        </w:rPr>
        <w:t xml:space="preserve"> con motivo del</w:t>
      </w:r>
      <w:r w:rsidRPr="002504B2">
        <w:rPr>
          <w:rFonts w:ascii="Palatino Linotype" w:hAnsi="Palatino Linotype" w:cs="Arial"/>
        </w:rPr>
        <w:t xml:space="preserve"> recurso de revisión </w:t>
      </w:r>
      <w:r w:rsidR="008A6981">
        <w:rPr>
          <w:rFonts w:ascii="Palatino Linotype" w:hAnsi="Palatino Linotype" w:cs="Arial"/>
        </w:rPr>
        <w:t xml:space="preserve"> </w:t>
      </w:r>
      <w:r w:rsidR="006450BD">
        <w:rPr>
          <w:rFonts w:ascii="Palatino Linotype" w:hAnsi="Palatino Linotype" w:cs="Arial"/>
          <w:b/>
        </w:rPr>
        <w:t>04549</w:t>
      </w:r>
      <w:r>
        <w:rPr>
          <w:rFonts w:ascii="Palatino Linotype" w:hAnsi="Palatino Linotype" w:cs="Arial"/>
          <w:b/>
        </w:rPr>
        <w:t>/INFOEM/IP/RR/2021</w:t>
      </w:r>
      <w:r w:rsidRPr="002504B2">
        <w:rPr>
          <w:rFonts w:ascii="Palatino Linotype" w:hAnsi="Palatino Linotype" w:cs="Arial"/>
        </w:rPr>
        <w:t>,</w:t>
      </w:r>
      <w:r w:rsidR="002452DB">
        <w:rPr>
          <w:rFonts w:ascii="Palatino Linotype" w:hAnsi="Palatino Linotype" w:cs="Arial"/>
        </w:rPr>
        <w:t xml:space="preserve"> </w:t>
      </w:r>
      <w:r w:rsidR="00522EA1">
        <w:rPr>
          <w:rFonts w:ascii="Palatino Linotype" w:hAnsi="Palatino Linotype" w:cs="Arial"/>
        </w:rPr>
        <w:t>interpuesto</w:t>
      </w:r>
      <w:r w:rsidRPr="002504B2">
        <w:rPr>
          <w:rFonts w:ascii="Palatino Linotype" w:hAnsi="Palatino Linotype" w:cs="Arial"/>
        </w:rPr>
        <w:t xml:space="preserve"> por</w:t>
      </w:r>
      <w:r>
        <w:rPr>
          <w:rFonts w:ascii="Palatino Linotype" w:hAnsi="Palatino Linotype" w:cs="Arial"/>
          <w:b/>
          <w:bCs/>
        </w:rPr>
        <w:t xml:space="preserve"> </w:t>
      </w:r>
      <w:r w:rsidR="006B7848">
        <w:rPr>
          <w:rFonts w:ascii="Palatino Linotype" w:hAnsi="Palatino Linotype" w:cs="Arial"/>
          <w:b/>
          <w:bCs/>
        </w:rPr>
        <w:t xml:space="preserve">                         </w:t>
      </w:r>
      <w:r w:rsidRPr="002504B2">
        <w:rPr>
          <w:rFonts w:ascii="Palatino Linotype" w:hAnsi="Palatino Linotype" w:cs="Arial"/>
        </w:rPr>
        <w:t>en lo sucesivo</w:t>
      </w:r>
      <w:r w:rsidRPr="002504B2">
        <w:rPr>
          <w:rFonts w:ascii="Palatino Linotype" w:hAnsi="Palatino Linotype" w:cs="Arial"/>
          <w:b/>
        </w:rPr>
        <w:t xml:space="preserve"> </w:t>
      </w:r>
      <w:r w:rsidRPr="002504B2">
        <w:rPr>
          <w:rFonts w:ascii="Palatino Linotype" w:hAnsi="Palatino Linotype" w:cs="Arial"/>
        </w:rPr>
        <w:t xml:space="preserve">la parte </w:t>
      </w:r>
      <w:r w:rsidRPr="002504B2">
        <w:rPr>
          <w:rFonts w:ascii="Palatino Linotype" w:hAnsi="Palatino Linotype" w:cs="Arial"/>
          <w:b/>
        </w:rPr>
        <w:t>recurrente,</w:t>
      </w:r>
      <w:r w:rsidRPr="002504B2">
        <w:rPr>
          <w:rFonts w:ascii="Palatino Linotype" w:hAnsi="Palatino Linotype" w:cs="Arial"/>
        </w:rPr>
        <w:t xml:space="preserve"> en contra de la respuesta</w:t>
      </w:r>
      <w:r w:rsidR="002452DB">
        <w:rPr>
          <w:rFonts w:ascii="Palatino Linotype" w:hAnsi="Palatino Linotype" w:cs="Arial"/>
        </w:rPr>
        <w:t xml:space="preserve"> </w:t>
      </w:r>
      <w:r w:rsidRPr="002504B2">
        <w:rPr>
          <w:rFonts w:ascii="Palatino Linotype" w:hAnsi="Palatino Linotype" w:cs="Arial"/>
        </w:rPr>
        <w:t xml:space="preserve">a su solicitud por parte del </w:t>
      </w:r>
      <w:r w:rsidR="006450BD">
        <w:rPr>
          <w:rFonts w:ascii="Palatino Linotype" w:hAnsi="Palatino Linotype" w:cs="Arial"/>
          <w:b/>
        </w:rPr>
        <w:t>Ayuntamiento de Teoloyucan</w:t>
      </w:r>
      <w:r w:rsidRPr="002504B2">
        <w:rPr>
          <w:rFonts w:ascii="Palatino Linotype" w:hAnsi="Palatino Linotype" w:cs="Arial"/>
          <w:b/>
        </w:rPr>
        <w:t xml:space="preserve">, </w:t>
      </w:r>
      <w:r w:rsidRPr="002504B2">
        <w:rPr>
          <w:rFonts w:ascii="Palatino Linotype" w:hAnsi="Palatino Linotype" w:cs="Arial"/>
        </w:rPr>
        <w:t xml:space="preserve">en lo sucesivo el </w:t>
      </w:r>
      <w:r w:rsidR="00B972AF">
        <w:rPr>
          <w:rFonts w:ascii="Palatino Linotype" w:hAnsi="Palatino Linotype" w:cs="Arial"/>
          <w:b/>
        </w:rPr>
        <w:t>Sujeto O</w:t>
      </w:r>
      <w:r w:rsidRPr="002504B2">
        <w:rPr>
          <w:rFonts w:ascii="Palatino Linotype" w:hAnsi="Palatino Linotype" w:cs="Arial"/>
          <w:b/>
        </w:rPr>
        <w:t xml:space="preserve">bligado, </w:t>
      </w:r>
      <w:r w:rsidRPr="002504B2">
        <w:rPr>
          <w:rFonts w:ascii="Palatino Linotype" w:hAnsi="Palatino Linotype" w:cs="Arial"/>
        </w:rPr>
        <w:t xml:space="preserve">se procede a dictar la presente resolución con base en los siguientes: </w:t>
      </w:r>
    </w:p>
    <w:p w:rsidR="002E7C7B" w:rsidRPr="002504B2" w:rsidRDefault="002E7C7B" w:rsidP="002E7C7B">
      <w:pPr>
        <w:spacing w:before="240" w:after="240" w:line="360" w:lineRule="auto"/>
        <w:jc w:val="center"/>
        <w:rPr>
          <w:rFonts w:ascii="Palatino Linotype" w:hAnsi="Palatino Linotype" w:cs="Arial"/>
          <w:b/>
          <w:sz w:val="28"/>
          <w:szCs w:val="28"/>
        </w:rPr>
      </w:pPr>
      <w:r w:rsidRPr="002504B2">
        <w:rPr>
          <w:rFonts w:ascii="Palatino Linotype" w:hAnsi="Palatino Linotype"/>
          <w:b/>
        </w:rPr>
        <w:t>I. A N T E C E D E N T E S</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1. Solicitud de acceso a la información.</w:t>
      </w:r>
      <w:r w:rsidRPr="002504B2">
        <w:rPr>
          <w:rFonts w:ascii="Palatino Linotype" w:hAnsi="Palatino Linotype" w:cs="Arial"/>
        </w:rPr>
        <w:t xml:space="preserve"> Con fecha</w:t>
      </w:r>
      <w:r>
        <w:rPr>
          <w:rFonts w:ascii="Palatino Linotype" w:hAnsi="Palatino Linotype" w:cs="Arial"/>
        </w:rPr>
        <w:t xml:space="preserve"> </w:t>
      </w:r>
      <w:r w:rsidR="006450BD">
        <w:rPr>
          <w:rFonts w:ascii="Palatino Linotype" w:hAnsi="Palatino Linotype" w:cs="Arial"/>
          <w:b/>
        </w:rPr>
        <w:t>dos de agosto</w:t>
      </w:r>
      <w:r>
        <w:rPr>
          <w:rFonts w:ascii="Palatino Linotype" w:hAnsi="Palatino Linotype" w:cs="Arial"/>
          <w:b/>
        </w:rPr>
        <w:t xml:space="preserve"> de</w:t>
      </w:r>
      <w:r w:rsidR="00B972AF">
        <w:rPr>
          <w:rFonts w:ascii="Palatino Linotype" w:hAnsi="Palatino Linotype" w:cs="Arial"/>
          <w:b/>
        </w:rPr>
        <w:t>l</w:t>
      </w:r>
      <w:r>
        <w:rPr>
          <w:rFonts w:ascii="Palatino Linotype" w:hAnsi="Palatino Linotype" w:cs="Arial"/>
          <w:b/>
        </w:rPr>
        <w:t xml:space="preserve"> dos mil veintiuno</w:t>
      </w:r>
      <w:r w:rsidRPr="002504B2">
        <w:rPr>
          <w:rFonts w:ascii="Palatino Linotype" w:hAnsi="Palatino Linotype" w:cs="Arial"/>
          <w:b/>
        </w:rPr>
        <w:t>,</w:t>
      </w:r>
      <w:r w:rsidRPr="002504B2">
        <w:rPr>
          <w:rFonts w:ascii="Palatino Linotype" w:hAnsi="Palatino Linotype" w:cs="Arial"/>
        </w:rPr>
        <w:t xml:space="preserve"> la parte </w:t>
      </w:r>
      <w:r w:rsidRPr="002504B2">
        <w:rPr>
          <w:rFonts w:ascii="Palatino Linotype" w:hAnsi="Palatino Linotype" w:cs="Arial"/>
          <w:b/>
        </w:rPr>
        <w:t xml:space="preserve">recurrente </w:t>
      </w:r>
      <w:r w:rsidRPr="002504B2">
        <w:rPr>
          <w:rFonts w:ascii="Palatino Linotype" w:hAnsi="Palatino Linotype" w:cs="Arial"/>
        </w:rPr>
        <w:t xml:space="preserve">presentó a través del Sistema de Acceso a la Información Mexiquense, en lo subsecuente el </w:t>
      </w:r>
      <w:r w:rsidRPr="002504B2">
        <w:rPr>
          <w:rFonts w:ascii="Palatino Linotype" w:hAnsi="Palatino Linotype" w:cs="Arial"/>
          <w:b/>
        </w:rPr>
        <w:t>SAIMEX</w:t>
      </w:r>
      <w:r w:rsidRPr="002504B2">
        <w:rPr>
          <w:rFonts w:ascii="Palatino Linotype" w:hAnsi="Palatino Linotype" w:cs="Arial"/>
        </w:rPr>
        <w:t xml:space="preserve"> ante el </w:t>
      </w:r>
      <w:r w:rsidR="00B972AF">
        <w:rPr>
          <w:rFonts w:ascii="Palatino Linotype" w:hAnsi="Palatino Linotype" w:cs="Arial"/>
          <w:b/>
        </w:rPr>
        <w:t>Sujeto O</w:t>
      </w:r>
      <w:r w:rsidRPr="002504B2">
        <w:rPr>
          <w:rFonts w:ascii="Palatino Linotype" w:hAnsi="Palatino Linotype" w:cs="Arial"/>
          <w:b/>
        </w:rPr>
        <w:t>bligado</w:t>
      </w:r>
      <w:r w:rsidRPr="002504B2">
        <w:rPr>
          <w:rFonts w:ascii="Palatino Linotype" w:hAnsi="Palatino Linotype" w:cs="Arial"/>
        </w:rPr>
        <w:t xml:space="preserve">, la solicitud de acceso a la información pública, a la que se le asignó el número </w:t>
      </w:r>
      <w:r w:rsidR="006450BD" w:rsidRPr="006450BD">
        <w:rPr>
          <w:rFonts w:ascii="Palatino Linotype" w:hAnsi="Palatino Linotype" w:cs="Arial"/>
          <w:b/>
        </w:rPr>
        <w:t>00370/TEOLOYU/IP/2021</w:t>
      </w:r>
      <w:r w:rsidRPr="006B7848">
        <w:rPr>
          <w:rFonts w:ascii="Palatino Linotype" w:hAnsi="Palatino Linotype" w:cs="Arial"/>
          <w:b/>
        </w:rPr>
        <w:t>,</w:t>
      </w:r>
      <w:r w:rsidRPr="002504B2">
        <w:rPr>
          <w:rFonts w:ascii="Palatino Linotype" w:hAnsi="Palatino Linotype" w:cs="Arial"/>
          <w:b/>
          <w:color w:val="C00000"/>
        </w:rPr>
        <w:t xml:space="preserve"> </w:t>
      </w:r>
      <w:r w:rsidRPr="002504B2">
        <w:rPr>
          <w:rFonts w:ascii="Palatino Linotype" w:hAnsi="Palatino Linotype" w:cs="Arial"/>
        </w:rPr>
        <w:t xml:space="preserve">mediante la cual requirió la información siguiente: </w:t>
      </w:r>
    </w:p>
    <w:p w:rsidR="00B972AF" w:rsidRDefault="002452DB" w:rsidP="00B972AF">
      <w:pPr>
        <w:spacing w:line="276" w:lineRule="auto"/>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 </w:t>
      </w:r>
      <w:r w:rsidR="00B972AF">
        <w:rPr>
          <w:rFonts w:ascii="Palatino Linotype" w:hAnsi="Palatino Linotype" w:cs="Arial"/>
          <w:i/>
          <w:sz w:val="22"/>
          <w:szCs w:val="22"/>
          <w:lang w:eastAsia="es-MX"/>
        </w:rPr>
        <w:t>“</w:t>
      </w:r>
      <w:r w:rsidR="006450BD" w:rsidRPr="006450BD">
        <w:rPr>
          <w:rFonts w:ascii="Palatino Linotype" w:hAnsi="Palatino Linotype" w:cs="Arial"/>
          <w:i/>
          <w:sz w:val="22"/>
          <w:szCs w:val="22"/>
          <w:lang w:eastAsia="es-MX"/>
        </w:rPr>
        <w:t>SOLICITO CONVENIOS Y DENUNCIAS QUE LLEVA EL AREA JURIDICA DEL AYUNTAMIENTO DE TEOLOYUCASN CON DOCUMENTACION PROBATORIA DE LOS AÑOS 2019, 2020 Y 2021</w:t>
      </w:r>
      <w:proofErr w:type="gramStart"/>
      <w:r w:rsidR="006450BD">
        <w:rPr>
          <w:rFonts w:ascii="Palatino Linotype" w:hAnsi="Palatino Linotype" w:cs="Arial"/>
          <w:i/>
          <w:sz w:val="22"/>
          <w:szCs w:val="22"/>
          <w:lang w:eastAsia="es-MX"/>
        </w:rPr>
        <w:t>”</w:t>
      </w:r>
      <w:r w:rsidR="00B972AF">
        <w:rPr>
          <w:rFonts w:ascii="Palatino Linotype" w:hAnsi="Palatino Linotype" w:cs="Arial"/>
          <w:i/>
          <w:sz w:val="22"/>
          <w:szCs w:val="22"/>
          <w:lang w:eastAsia="es-MX"/>
        </w:rPr>
        <w:t>(</w:t>
      </w:r>
      <w:proofErr w:type="gramEnd"/>
      <w:r w:rsidR="00B972AF">
        <w:rPr>
          <w:rFonts w:ascii="Palatino Linotype" w:hAnsi="Palatino Linotype" w:cs="Arial"/>
          <w:i/>
          <w:sz w:val="22"/>
          <w:szCs w:val="22"/>
          <w:lang w:eastAsia="es-MX"/>
        </w:rPr>
        <w:t>Sic)</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Modalidad de Entrega:</w:t>
      </w:r>
      <w:r w:rsidRPr="002504B2">
        <w:rPr>
          <w:rFonts w:ascii="Palatino Linotype" w:hAnsi="Palatino Linotype" w:cs="Arial"/>
        </w:rPr>
        <w:t xml:space="preserve"> A través de SAIMEX.</w:t>
      </w:r>
    </w:p>
    <w:p w:rsidR="002E7C7B" w:rsidRPr="002504B2" w:rsidRDefault="00B1418F" w:rsidP="006B7848">
      <w:pPr>
        <w:spacing w:before="240" w:after="240" w:line="360" w:lineRule="auto"/>
        <w:jc w:val="both"/>
        <w:rPr>
          <w:rFonts w:ascii="Palatino Linotype" w:hAnsi="Palatino Linotype"/>
        </w:rPr>
      </w:pPr>
      <w:r>
        <w:rPr>
          <w:rFonts w:ascii="Palatino Linotype" w:hAnsi="Palatino Linotype" w:cs="Arial"/>
          <w:b/>
          <w:szCs w:val="28"/>
        </w:rPr>
        <w:t>2</w:t>
      </w:r>
      <w:r w:rsidR="002034E0">
        <w:rPr>
          <w:rFonts w:ascii="Palatino Linotype" w:hAnsi="Palatino Linotype" w:cs="Arial"/>
          <w:b/>
          <w:szCs w:val="28"/>
        </w:rPr>
        <w:t>.</w:t>
      </w:r>
      <w:r w:rsidR="002034E0" w:rsidRPr="004D4E23">
        <w:rPr>
          <w:rFonts w:ascii="Palatino Linotype" w:hAnsi="Palatino Linotype" w:cs="Arial"/>
          <w:b/>
        </w:rPr>
        <w:t xml:space="preserve"> </w:t>
      </w:r>
      <w:r w:rsidR="002E7C7B" w:rsidRPr="002504B2">
        <w:rPr>
          <w:rFonts w:ascii="Palatino Linotype" w:hAnsi="Palatino Linotype" w:cs="Arial"/>
          <w:b/>
        </w:rPr>
        <w:t xml:space="preserve">Respuesta. </w:t>
      </w:r>
      <w:r w:rsidR="002E7C7B" w:rsidRPr="002504B2">
        <w:rPr>
          <w:rFonts w:ascii="Palatino Linotype" w:hAnsi="Palatino Linotype" w:cs="Arial"/>
        </w:rPr>
        <w:t xml:space="preserve"> Con</w:t>
      </w:r>
      <w:r w:rsidR="002E7C7B" w:rsidRPr="002504B2">
        <w:rPr>
          <w:rFonts w:ascii="Palatino Linotype" w:hAnsi="Palatino Linotype"/>
        </w:rPr>
        <w:t xml:space="preserve"> fecha</w:t>
      </w:r>
      <w:r w:rsidR="002E7C7B">
        <w:rPr>
          <w:rFonts w:ascii="Palatino Linotype" w:hAnsi="Palatino Linotype"/>
        </w:rPr>
        <w:t xml:space="preserve"> </w:t>
      </w:r>
      <w:r w:rsidR="00D01912">
        <w:rPr>
          <w:rFonts w:ascii="Palatino Linotype" w:hAnsi="Palatino Linotype"/>
          <w:b/>
          <w:bCs/>
        </w:rPr>
        <w:t>veintitrés</w:t>
      </w:r>
      <w:r w:rsidR="006B7848">
        <w:rPr>
          <w:rFonts w:ascii="Palatino Linotype" w:hAnsi="Palatino Linotype"/>
          <w:b/>
          <w:bCs/>
        </w:rPr>
        <w:t xml:space="preserve"> de agosto</w:t>
      </w:r>
      <w:r>
        <w:rPr>
          <w:rFonts w:ascii="Palatino Linotype" w:hAnsi="Palatino Linotype"/>
          <w:b/>
          <w:bCs/>
        </w:rPr>
        <w:t xml:space="preserve"> </w:t>
      </w:r>
      <w:r w:rsidR="002E7C7B">
        <w:rPr>
          <w:rFonts w:ascii="Palatino Linotype" w:hAnsi="Palatino Linotype"/>
          <w:b/>
          <w:bCs/>
        </w:rPr>
        <w:t>de</w:t>
      </w:r>
      <w:r w:rsidR="00B972AF">
        <w:rPr>
          <w:rFonts w:ascii="Palatino Linotype" w:hAnsi="Palatino Linotype"/>
          <w:b/>
          <w:bCs/>
        </w:rPr>
        <w:t>l</w:t>
      </w:r>
      <w:r w:rsidR="002E7C7B">
        <w:rPr>
          <w:rFonts w:ascii="Palatino Linotype" w:hAnsi="Palatino Linotype"/>
          <w:b/>
          <w:bCs/>
        </w:rPr>
        <w:t xml:space="preserve"> dos mil veintiuno</w:t>
      </w:r>
      <w:r w:rsidR="002E7C7B" w:rsidRPr="002504B2">
        <w:rPr>
          <w:rFonts w:ascii="Palatino Linotype" w:hAnsi="Palatino Linotype"/>
        </w:rPr>
        <w:t xml:space="preserve">, el Sujeto Obligado envió su respuesta a la solicitud de acceso a la información a través del SAIMEX, sustancialmente en los términos siguientes: </w:t>
      </w:r>
    </w:p>
    <w:p w:rsidR="002E7C7B" w:rsidRPr="004C2BBF" w:rsidRDefault="002E7C7B" w:rsidP="002E7C7B">
      <w:pPr>
        <w:spacing w:line="360" w:lineRule="auto"/>
        <w:jc w:val="both"/>
        <w:rPr>
          <w:rFonts w:ascii="Palatino Linotype" w:hAnsi="Palatino Linotype" w:cs="Arial"/>
          <w:b/>
        </w:rPr>
      </w:pPr>
      <w:r w:rsidRPr="002504B2">
        <w:rPr>
          <w:rFonts w:ascii="Palatino Linotype" w:hAnsi="Palatino Linotype"/>
        </w:rPr>
        <w:lastRenderedPageBreak/>
        <w:t xml:space="preserve">  </w:t>
      </w:r>
    </w:p>
    <w:p w:rsidR="002452DB" w:rsidRPr="002452DB" w:rsidRDefault="002E7C7B" w:rsidP="00B972AF">
      <w:pPr>
        <w:ind w:left="851" w:right="900"/>
        <w:jc w:val="both"/>
        <w:rPr>
          <w:rFonts w:ascii="Palatino Linotype" w:hAnsi="Palatino Linotype" w:cs="Arial"/>
          <w:i/>
          <w:sz w:val="22"/>
          <w:szCs w:val="22"/>
        </w:rPr>
      </w:pPr>
      <w:r w:rsidRPr="002504B2">
        <w:rPr>
          <w:rFonts w:ascii="Palatino Linotype" w:hAnsi="Palatino Linotype" w:cs="Arial"/>
          <w:i/>
          <w:sz w:val="22"/>
          <w:szCs w:val="22"/>
        </w:rPr>
        <w:t>“</w:t>
      </w:r>
      <w:r w:rsidR="002452DB" w:rsidRPr="002452D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01912" w:rsidRPr="00D01912" w:rsidRDefault="00D01912" w:rsidP="002E7C7B">
      <w:pPr>
        <w:ind w:left="851" w:right="900"/>
        <w:jc w:val="both"/>
        <w:rPr>
          <w:rFonts w:ascii="Palatino Linotype" w:hAnsi="Palatino Linotype" w:cs="Arial"/>
          <w:i/>
          <w:sz w:val="22"/>
          <w:szCs w:val="22"/>
        </w:rPr>
      </w:pPr>
      <w:r w:rsidRPr="00D01912">
        <w:rPr>
          <w:rFonts w:ascii="Palatino Linotype" w:hAnsi="Palatino Linotype" w:cs="Arial"/>
          <w:i/>
          <w:sz w:val="22"/>
          <w:szCs w:val="22"/>
        </w:rPr>
        <w:t>RESPUESTA</w:t>
      </w:r>
    </w:p>
    <w:p w:rsidR="002E7C7B" w:rsidRDefault="002E7C7B" w:rsidP="002E7C7B">
      <w:pPr>
        <w:ind w:left="851" w:right="900"/>
        <w:jc w:val="both"/>
        <w:rPr>
          <w:rFonts w:ascii="Palatino Linotype" w:hAnsi="Palatino Linotype" w:cs="Arial"/>
          <w:i/>
          <w:sz w:val="22"/>
          <w:szCs w:val="22"/>
        </w:rPr>
      </w:pPr>
      <w:r w:rsidRPr="002504B2">
        <w:rPr>
          <w:rFonts w:ascii="Palatino Linotype" w:hAnsi="Palatino Linotype" w:cs="Arial"/>
          <w:i/>
          <w:sz w:val="22"/>
          <w:szCs w:val="22"/>
        </w:rPr>
        <w:t>ATENTAMENTE</w:t>
      </w:r>
    </w:p>
    <w:p w:rsidR="002E7C7B" w:rsidRPr="002504B2" w:rsidRDefault="00D01912" w:rsidP="002E7C7B">
      <w:pPr>
        <w:ind w:left="851" w:right="900"/>
        <w:jc w:val="both"/>
        <w:rPr>
          <w:rFonts w:ascii="Palatino Linotype" w:hAnsi="Palatino Linotype" w:cs="Arial"/>
          <w:i/>
          <w:sz w:val="22"/>
          <w:szCs w:val="22"/>
        </w:rPr>
      </w:pPr>
      <w:proofErr w:type="gramStart"/>
      <w:r w:rsidRPr="00D01912">
        <w:rPr>
          <w:rFonts w:ascii="Palatino Linotype" w:hAnsi="Palatino Linotype" w:cs="Arial"/>
          <w:i/>
          <w:sz w:val="22"/>
          <w:szCs w:val="22"/>
        </w:rPr>
        <w:t>c</w:t>
      </w:r>
      <w:proofErr w:type="gramEnd"/>
      <w:r w:rsidRPr="00D01912">
        <w:rPr>
          <w:rFonts w:ascii="Palatino Linotype" w:hAnsi="Palatino Linotype" w:cs="Arial"/>
          <w:i/>
          <w:sz w:val="22"/>
          <w:szCs w:val="22"/>
        </w:rPr>
        <w:t xml:space="preserve">. Brenda Anaya </w:t>
      </w:r>
      <w:proofErr w:type="spellStart"/>
      <w:r w:rsidRPr="00D01912">
        <w:rPr>
          <w:rFonts w:ascii="Palatino Linotype" w:hAnsi="Palatino Linotype" w:cs="Arial"/>
          <w:i/>
          <w:sz w:val="22"/>
          <w:szCs w:val="22"/>
        </w:rPr>
        <w:t>Beltran</w:t>
      </w:r>
      <w:proofErr w:type="spellEnd"/>
      <w:r>
        <w:rPr>
          <w:rFonts w:ascii="Palatino Linotype" w:hAnsi="Palatino Linotype" w:cs="Arial"/>
          <w:i/>
          <w:sz w:val="22"/>
          <w:szCs w:val="22"/>
        </w:rPr>
        <w:t>.</w:t>
      </w:r>
      <w:r w:rsidR="002E7C7B" w:rsidRPr="002504B2">
        <w:rPr>
          <w:rFonts w:ascii="Palatino Linotype" w:hAnsi="Palatino Linotype" w:cs="Arial"/>
          <w:i/>
          <w:sz w:val="22"/>
          <w:szCs w:val="22"/>
        </w:rPr>
        <w:t>” (</w:t>
      </w:r>
      <w:proofErr w:type="gramStart"/>
      <w:r w:rsidR="002E7C7B" w:rsidRPr="002504B2">
        <w:rPr>
          <w:rFonts w:ascii="Palatino Linotype" w:hAnsi="Palatino Linotype" w:cs="Arial"/>
          <w:i/>
          <w:sz w:val="22"/>
          <w:szCs w:val="22"/>
        </w:rPr>
        <w:t>sic</w:t>
      </w:r>
      <w:proofErr w:type="gramEnd"/>
      <w:r w:rsidR="002E7C7B" w:rsidRPr="002504B2">
        <w:rPr>
          <w:rFonts w:ascii="Palatino Linotype" w:hAnsi="Palatino Linotype" w:cs="Arial"/>
          <w:i/>
          <w:sz w:val="22"/>
          <w:szCs w:val="22"/>
        </w:rPr>
        <w:t>)</w:t>
      </w:r>
    </w:p>
    <w:p w:rsidR="002E7C7B" w:rsidRPr="002504B2" w:rsidRDefault="002E7C7B" w:rsidP="002E7C7B">
      <w:pPr>
        <w:ind w:left="851" w:right="900"/>
        <w:jc w:val="both"/>
        <w:rPr>
          <w:rFonts w:ascii="Palatino Linotype" w:hAnsi="Palatino Linotype" w:cs="Arial"/>
          <w:i/>
          <w:sz w:val="22"/>
          <w:szCs w:val="22"/>
        </w:rPr>
      </w:pPr>
    </w:p>
    <w:p w:rsidR="002E7C7B" w:rsidRPr="002504B2" w:rsidRDefault="002E7C7B" w:rsidP="002E7C7B">
      <w:pPr>
        <w:ind w:left="851" w:right="900"/>
        <w:jc w:val="both"/>
        <w:rPr>
          <w:rFonts w:ascii="Palatino Linotype" w:hAnsi="Palatino Linotype" w:cs="Arial"/>
          <w:i/>
          <w:sz w:val="22"/>
          <w:szCs w:val="22"/>
        </w:rPr>
      </w:pPr>
    </w:p>
    <w:p w:rsidR="002E7C7B" w:rsidRDefault="002452DB" w:rsidP="00B972AF">
      <w:pPr>
        <w:spacing w:line="360" w:lineRule="auto"/>
        <w:jc w:val="both"/>
        <w:rPr>
          <w:rFonts w:ascii="Palatino Linotype" w:hAnsi="Palatino Linotype"/>
        </w:rPr>
      </w:pPr>
      <w:r>
        <w:rPr>
          <w:rFonts w:ascii="Palatino Linotype" w:hAnsi="Palatino Linotype"/>
        </w:rPr>
        <w:t>El Sujeto O</w:t>
      </w:r>
      <w:r w:rsidR="002E7C7B" w:rsidRPr="00B972AF">
        <w:rPr>
          <w:rFonts w:ascii="Palatino Linotype" w:hAnsi="Palatino Linotype"/>
        </w:rPr>
        <w:t xml:space="preserve">bligado adjuntó </w:t>
      </w:r>
      <w:r>
        <w:rPr>
          <w:rFonts w:ascii="Palatino Linotype" w:hAnsi="Palatino Linotype"/>
        </w:rPr>
        <w:t>en su respuesta</w:t>
      </w:r>
      <w:r w:rsidR="00B972AF">
        <w:rPr>
          <w:rFonts w:ascii="Palatino Linotype" w:hAnsi="Palatino Linotype"/>
        </w:rPr>
        <w:t xml:space="preserve"> </w:t>
      </w:r>
      <w:r w:rsidR="00D01912">
        <w:rPr>
          <w:rFonts w:ascii="Palatino Linotype" w:hAnsi="Palatino Linotype"/>
        </w:rPr>
        <w:t>los</w:t>
      </w:r>
      <w:r w:rsidR="002E7C7B" w:rsidRPr="00B972AF">
        <w:rPr>
          <w:rFonts w:ascii="Palatino Linotype" w:hAnsi="Palatino Linotype"/>
        </w:rPr>
        <w:t xml:space="preserve"> archivo</w:t>
      </w:r>
      <w:r w:rsidR="00D01912">
        <w:rPr>
          <w:rFonts w:ascii="Palatino Linotype" w:hAnsi="Palatino Linotype"/>
        </w:rPr>
        <w:t>s</w:t>
      </w:r>
      <w:r w:rsidR="002E7C7B" w:rsidRPr="00B972AF">
        <w:rPr>
          <w:rFonts w:ascii="Palatino Linotype" w:hAnsi="Palatino Linotype"/>
        </w:rPr>
        <w:t xml:space="preserve"> electrónico</w:t>
      </w:r>
      <w:r w:rsidR="00D01912">
        <w:rPr>
          <w:rFonts w:ascii="Palatino Linotype" w:hAnsi="Palatino Linotype"/>
        </w:rPr>
        <w:t>s</w:t>
      </w:r>
      <w:r w:rsidR="002E7C7B" w:rsidRPr="00B972AF">
        <w:rPr>
          <w:rFonts w:ascii="Palatino Linotype" w:hAnsi="Palatino Linotype"/>
        </w:rPr>
        <w:t xml:space="preserve"> denominado</w:t>
      </w:r>
      <w:r w:rsidR="00D01912">
        <w:rPr>
          <w:rFonts w:ascii="Palatino Linotype" w:hAnsi="Palatino Linotype"/>
        </w:rPr>
        <w:t>s</w:t>
      </w:r>
      <w:r w:rsidR="002E7C7B" w:rsidRPr="00B972AF">
        <w:rPr>
          <w:rFonts w:ascii="Palatino Linotype" w:hAnsi="Palatino Linotype"/>
        </w:rPr>
        <w:t xml:space="preserve"> “</w:t>
      </w:r>
      <w:hyperlink r:id="rId7" w:tgtFrame="_blank" w:history="1">
        <w:r w:rsidR="00D01912" w:rsidRPr="00D01912">
          <w:rPr>
            <w:rFonts w:ascii="Palatino Linotype" w:hAnsi="Palatino Linotype"/>
          </w:rPr>
          <w:t>OFICIOS DE RESPUESTA 370.pdf</w:t>
        </w:r>
      </w:hyperlink>
      <w:r w:rsidR="000C7992">
        <w:rPr>
          <w:rFonts w:ascii="Palatino Linotype" w:hAnsi="Palatino Linotype"/>
        </w:rPr>
        <w:t>”</w:t>
      </w:r>
      <w:r w:rsidR="00D01912">
        <w:rPr>
          <w:rFonts w:ascii="Palatino Linotype" w:hAnsi="Palatino Linotype"/>
        </w:rPr>
        <w:t xml:space="preserve"> y “</w:t>
      </w:r>
      <w:hyperlink r:id="rId8" w:tgtFrame="_blank" w:history="1">
        <w:r w:rsidR="00D01912" w:rsidRPr="00D01912">
          <w:rPr>
            <w:rFonts w:ascii="Palatino Linotype" w:hAnsi="Palatino Linotype"/>
          </w:rPr>
          <w:t>370.pdf</w:t>
        </w:r>
      </w:hyperlink>
      <w:r w:rsidR="00D01912" w:rsidRPr="00D01912">
        <w:rPr>
          <w:rFonts w:ascii="Palatino Linotype" w:hAnsi="Palatino Linotype"/>
        </w:rPr>
        <w:t>”</w:t>
      </w:r>
      <w:r w:rsidR="000C7992">
        <w:rPr>
          <w:rFonts w:ascii="Palatino Linotype" w:hAnsi="Palatino Linotype"/>
        </w:rPr>
        <w:t xml:space="preserve">, </w:t>
      </w:r>
      <w:r w:rsidR="002E7C7B" w:rsidRPr="00B972AF">
        <w:rPr>
          <w:rFonts w:ascii="Palatino Linotype" w:hAnsi="Palatino Linotype"/>
        </w:rPr>
        <w:t xml:space="preserve">cuyo contenido no se detalla al ser del conocimiento de las partes, aunado a que será motivo de estudio en líneas posteriores. </w:t>
      </w:r>
    </w:p>
    <w:p w:rsidR="002E7C7B" w:rsidRPr="002504B2" w:rsidRDefault="006B7848" w:rsidP="002E7C7B">
      <w:pPr>
        <w:spacing w:before="240" w:after="240" w:line="360" w:lineRule="auto"/>
        <w:ind w:right="49"/>
        <w:jc w:val="both"/>
        <w:rPr>
          <w:rFonts w:ascii="Palatino Linotype" w:hAnsi="Palatino Linotype" w:cs="Arial"/>
          <w:b/>
        </w:rPr>
      </w:pPr>
      <w:r>
        <w:rPr>
          <w:rFonts w:ascii="Palatino Linotype" w:hAnsi="Palatino Linotype" w:cs="Arial"/>
          <w:b/>
          <w:szCs w:val="28"/>
        </w:rPr>
        <w:t>3</w:t>
      </w:r>
      <w:r w:rsidR="002452DB">
        <w:rPr>
          <w:rFonts w:ascii="Palatino Linotype" w:hAnsi="Palatino Linotype" w:cs="Arial"/>
          <w:b/>
          <w:szCs w:val="28"/>
        </w:rPr>
        <w:t>. Interposición del</w:t>
      </w:r>
      <w:r w:rsidR="002E7C7B">
        <w:rPr>
          <w:rFonts w:ascii="Palatino Linotype" w:hAnsi="Palatino Linotype" w:cs="Arial"/>
          <w:b/>
          <w:szCs w:val="28"/>
        </w:rPr>
        <w:t xml:space="preserve"> recurso </w:t>
      </w:r>
      <w:r w:rsidR="002E7C7B" w:rsidRPr="002504B2">
        <w:rPr>
          <w:rFonts w:ascii="Palatino Linotype" w:hAnsi="Palatino Linotype" w:cs="Arial"/>
          <w:b/>
          <w:szCs w:val="28"/>
        </w:rPr>
        <w:t>de revisión.</w:t>
      </w:r>
      <w:r w:rsidR="002E7C7B" w:rsidRPr="002504B2">
        <w:rPr>
          <w:rFonts w:ascii="Palatino Linotype" w:hAnsi="Palatino Linotype" w:cs="Arial"/>
          <w:b/>
        </w:rPr>
        <w:t xml:space="preserve"> </w:t>
      </w:r>
      <w:r w:rsidR="002E7C7B" w:rsidRPr="002504B2">
        <w:rPr>
          <w:rFonts w:ascii="Palatino Linotype" w:hAnsi="Palatino Linotype" w:cs="Arial"/>
        </w:rPr>
        <w:t xml:space="preserve">Inconforme con los términos de </w:t>
      </w:r>
      <w:r w:rsidR="00550F8D" w:rsidRPr="002504B2">
        <w:rPr>
          <w:rFonts w:ascii="Palatino Linotype" w:hAnsi="Palatino Linotype" w:cs="Arial"/>
        </w:rPr>
        <w:t>la</w:t>
      </w:r>
      <w:r w:rsidR="00550F8D">
        <w:rPr>
          <w:rFonts w:ascii="Palatino Linotype" w:hAnsi="Palatino Linotype" w:cs="Arial"/>
        </w:rPr>
        <w:t xml:space="preserve"> respuesta emitida</w:t>
      </w:r>
      <w:r w:rsidR="002E7C7B" w:rsidRPr="002504B2">
        <w:rPr>
          <w:rFonts w:ascii="Palatino Linotype" w:hAnsi="Palatino Linotype" w:cs="Arial"/>
        </w:rPr>
        <w:t xml:space="preserve"> por parte del Sujeto Obligado, el</w:t>
      </w:r>
      <w:r w:rsidR="00D01912">
        <w:rPr>
          <w:rFonts w:ascii="Palatino Linotype" w:hAnsi="Palatino Linotype" w:cs="Arial"/>
        </w:rPr>
        <w:t xml:space="preserve"> seis de septiembre</w:t>
      </w:r>
      <w:r w:rsidR="002E7C7B">
        <w:rPr>
          <w:rFonts w:ascii="Palatino Linotype" w:hAnsi="Palatino Linotype" w:cs="Arial"/>
        </w:rPr>
        <w:t xml:space="preserve"> de</w:t>
      </w:r>
      <w:r w:rsidR="000C7992">
        <w:rPr>
          <w:rFonts w:ascii="Palatino Linotype" w:hAnsi="Palatino Linotype" w:cs="Arial"/>
        </w:rPr>
        <w:t>l</w:t>
      </w:r>
      <w:r w:rsidR="002E7C7B">
        <w:rPr>
          <w:rFonts w:ascii="Palatino Linotype" w:hAnsi="Palatino Linotype" w:cs="Arial"/>
        </w:rPr>
        <w:t xml:space="preserve"> dos mil veintiuno</w:t>
      </w:r>
      <w:r w:rsidR="002E7C7B" w:rsidRPr="002504B2">
        <w:rPr>
          <w:rFonts w:ascii="Palatino Linotype" w:hAnsi="Palatino Linotype"/>
          <w:b/>
        </w:rPr>
        <w:t>,</w:t>
      </w:r>
      <w:r w:rsidR="002E7C7B" w:rsidRPr="002504B2">
        <w:rPr>
          <w:rFonts w:ascii="Palatino Linotype" w:hAnsi="Palatino Linotype" w:cs="Arial"/>
        </w:rPr>
        <w:t xml:space="preserve"> la parte r</w:t>
      </w:r>
      <w:r w:rsidR="002E7C7B">
        <w:rPr>
          <w:rFonts w:ascii="Palatino Linotype" w:hAnsi="Palatino Linotype" w:cs="Arial"/>
        </w:rPr>
        <w:t>ecurrente interpuso el recurso</w:t>
      </w:r>
      <w:r w:rsidR="002E7C7B" w:rsidRPr="002504B2">
        <w:rPr>
          <w:rFonts w:ascii="Palatino Linotype" w:hAnsi="Palatino Linotype" w:cs="Arial"/>
        </w:rPr>
        <w:t xml:space="preserve"> de revisión a través de </w:t>
      </w:r>
      <w:r w:rsidR="002E7C7B" w:rsidRPr="002504B2">
        <w:rPr>
          <w:rFonts w:ascii="Palatino Linotype" w:hAnsi="Palatino Linotype" w:cs="Arial"/>
          <w:b/>
        </w:rPr>
        <w:t xml:space="preserve">SAIMEX, </w:t>
      </w:r>
      <w:r w:rsidR="002E7C7B" w:rsidRPr="002504B2">
        <w:rPr>
          <w:rFonts w:ascii="Palatino Linotype" w:hAnsi="Palatino Linotype" w:cs="Arial"/>
        </w:rPr>
        <w:t xml:space="preserve">en donde se manifestó </w:t>
      </w:r>
      <w:r w:rsidR="000C7992">
        <w:rPr>
          <w:rFonts w:ascii="Palatino Linotype" w:hAnsi="Palatino Linotype" w:cs="Arial"/>
        </w:rPr>
        <w:t xml:space="preserve">lo siguiente: </w:t>
      </w:r>
    </w:p>
    <w:p w:rsidR="002E7C7B" w:rsidRPr="002504B2" w:rsidRDefault="002E7C7B" w:rsidP="002E7C7B">
      <w:pPr>
        <w:spacing w:line="360" w:lineRule="auto"/>
        <w:jc w:val="both"/>
        <w:rPr>
          <w:rFonts w:ascii="Palatino Linotype" w:hAnsi="Palatino Linotype" w:cs="Arial"/>
          <w:b/>
        </w:rPr>
      </w:pPr>
      <w:r w:rsidRPr="002504B2">
        <w:rPr>
          <w:rFonts w:ascii="Palatino Linotype" w:hAnsi="Palatino Linotype" w:cs="Arial"/>
          <w:b/>
        </w:rPr>
        <w:t xml:space="preserve">Acto impugnado: </w:t>
      </w:r>
    </w:p>
    <w:p w:rsidR="002E7C7B" w:rsidRPr="002504B2" w:rsidRDefault="002E7C7B" w:rsidP="002E7C7B">
      <w:pPr>
        <w:spacing w:line="360" w:lineRule="auto"/>
        <w:ind w:left="851" w:right="900"/>
        <w:jc w:val="both"/>
        <w:rPr>
          <w:rFonts w:ascii="Palatino Linotype" w:hAnsi="Palatino Linotype" w:cs="Arial"/>
          <w:i/>
          <w:sz w:val="2"/>
          <w:szCs w:val="22"/>
          <w:lang w:eastAsia="es-MX"/>
        </w:rPr>
      </w:pPr>
    </w:p>
    <w:p w:rsidR="000C7992" w:rsidRPr="000C7992" w:rsidRDefault="002E7C7B" w:rsidP="002452D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w:t>
      </w:r>
      <w:proofErr w:type="gramStart"/>
      <w:r w:rsidR="00D01912" w:rsidRPr="00D01912">
        <w:rPr>
          <w:rFonts w:ascii="Palatino Linotype" w:hAnsi="Palatino Linotype" w:cs="Arial"/>
          <w:i/>
          <w:sz w:val="22"/>
          <w:szCs w:val="22"/>
          <w:lang w:eastAsia="es-MX"/>
        </w:rPr>
        <w:t>respuesta ,</w:t>
      </w:r>
      <w:proofErr w:type="gramEnd"/>
      <w:r w:rsidR="00D01912" w:rsidRPr="00D01912">
        <w:rPr>
          <w:rFonts w:ascii="Palatino Linotype" w:hAnsi="Palatino Linotype" w:cs="Arial"/>
          <w:i/>
          <w:sz w:val="22"/>
          <w:szCs w:val="22"/>
          <w:lang w:eastAsia="es-MX"/>
        </w:rPr>
        <w:t xml:space="preserve"> la señora de </w:t>
      </w:r>
      <w:proofErr w:type="spellStart"/>
      <w:r w:rsidR="00D01912" w:rsidRPr="00D01912">
        <w:rPr>
          <w:rFonts w:ascii="Palatino Linotype" w:hAnsi="Palatino Linotype" w:cs="Arial"/>
          <w:i/>
          <w:sz w:val="22"/>
          <w:szCs w:val="22"/>
          <w:lang w:eastAsia="es-MX"/>
        </w:rPr>
        <w:t>juridico</w:t>
      </w:r>
      <w:proofErr w:type="spellEnd"/>
      <w:r w:rsidR="00D01912" w:rsidRPr="00D01912">
        <w:rPr>
          <w:rFonts w:ascii="Palatino Linotype" w:hAnsi="Palatino Linotype" w:cs="Arial"/>
          <w:i/>
          <w:sz w:val="22"/>
          <w:szCs w:val="22"/>
          <w:lang w:eastAsia="es-MX"/>
        </w:rPr>
        <w:t xml:space="preserve"> dice que la </w:t>
      </w:r>
      <w:proofErr w:type="spellStart"/>
      <w:r w:rsidR="00D01912" w:rsidRPr="00D01912">
        <w:rPr>
          <w:rFonts w:ascii="Palatino Linotype" w:hAnsi="Palatino Linotype" w:cs="Arial"/>
          <w:i/>
          <w:sz w:val="22"/>
          <w:szCs w:val="22"/>
          <w:lang w:eastAsia="es-MX"/>
        </w:rPr>
        <w:t>informacion</w:t>
      </w:r>
      <w:proofErr w:type="spellEnd"/>
      <w:r w:rsidR="00D01912" w:rsidRPr="00D01912">
        <w:rPr>
          <w:rFonts w:ascii="Palatino Linotype" w:hAnsi="Palatino Linotype" w:cs="Arial"/>
          <w:i/>
          <w:sz w:val="22"/>
          <w:szCs w:val="22"/>
          <w:lang w:eastAsia="es-MX"/>
        </w:rPr>
        <w:t xml:space="preserve"> es reservada quiero la prueba de daño y el acta de </w:t>
      </w:r>
      <w:proofErr w:type="spellStart"/>
      <w:r w:rsidR="00D01912" w:rsidRPr="00D01912">
        <w:rPr>
          <w:rFonts w:ascii="Palatino Linotype" w:hAnsi="Palatino Linotype" w:cs="Arial"/>
          <w:i/>
          <w:sz w:val="22"/>
          <w:szCs w:val="22"/>
          <w:lang w:eastAsia="es-MX"/>
        </w:rPr>
        <w:t>comite</w:t>
      </w:r>
      <w:proofErr w:type="spellEnd"/>
      <w:r w:rsidR="00D01912" w:rsidRPr="00D01912">
        <w:rPr>
          <w:rFonts w:ascii="Palatino Linotype" w:hAnsi="Palatino Linotype" w:cs="Arial"/>
          <w:i/>
          <w:sz w:val="22"/>
          <w:szCs w:val="22"/>
          <w:lang w:eastAsia="es-MX"/>
        </w:rPr>
        <w:t xml:space="preserve">, no </w:t>
      </w:r>
      <w:proofErr w:type="spellStart"/>
      <w:r w:rsidR="00D01912" w:rsidRPr="00D01912">
        <w:rPr>
          <w:rFonts w:ascii="Palatino Linotype" w:hAnsi="Palatino Linotype" w:cs="Arial"/>
          <w:i/>
          <w:sz w:val="22"/>
          <w:szCs w:val="22"/>
          <w:lang w:eastAsia="es-MX"/>
        </w:rPr>
        <w:t>nadamas</w:t>
      </w:r>
      <w:proofErr w:type="spellEnd"/>
      <w:r w:rsidR="00D01912" w:rsidRPr="00D01912">
        <w:rPr>
          <w:rFonts w:ascii="Palatino Linotype" w:hAnsi="Palatino Linotype" w:cs="Arial"/>
          <w:i/>
          <w:sz w:val="22"/>
          <w:szCs w:val="22"/>
          <w:lang w:eastAsia="es-MX"/>
        </w:rPr>
        <w:t xml:space="preserve"> es decir y ya </w:t>
      </w:r>
      <w:proofErr w:type="spellStart"/>
      <w:r w:rsidR="00D01912" w:rsidRPr="00D01912">
        <w:rPr>
          <w:rFonts w:ascii="Palatino Linotype" w:hAnsi="Palatino Linotype" w:cs="Arial"/>
          <w:i/>
          <w:sz w:val="22"/>
          <w:szCs w:val="22"/>
          <w:lang w:eastAsia="es-MX"/>
        </w:rPr>
        <w:t>esta</w:t>
      </w:r>
      <w:proofErr w:type="spellEnd"/>
      <w:r w:rsidR="00D01912" w:rsidRPr="00D01912">
        <w:rPr>
          <w:rFonts w:ascii="Palatino Linotype" w:hAnsi="Palatino Linotype" w:cs="Arial"/>
          <w:i/>
          <w:sz w:val="22"/>
          <w:szCs w:val="22"/>
          <w:lang w:eastAsia="es-MX"/>
        </w:rPr>
        <w:t xml:space="preserve"> en la </w:t>
      </w:r>
      <w:proofErr w:type="spellStart"/>
      <w:r w:rsidR="00D01912" w:rsidRPr="00D01912">
        <w:rPr>
          <w:rFonts w:ascii="Palatino Linotype" w:hAnsi="Palatino Linotype" w:cs="Arial"/>
          <w:i/>
          <w:sz w:val="22"/>
          <w:szCs w:val="22"/>
          <w:lang w:eastAsia="es-MX"/>
        </w:rPr>
        <w:t>constuitucion</w:t>
      </w:r>
      <w:proofErr w:type="spellEnd"/>
      <w:r w:rsidR="00D01912" w:rsidRPr="00D01912">
        <w:rPr>
          <w:rFonts w:ascii="Palatino Linotype" w:hAnsi="Palatino Linotype" w:cs="Arial"/>
          <w:i/>
          <w:sz w:val="22"/>
          <w:szCs w:val="22"/>
          <w:lang w:eastAsia="es-MX"/>
        </w:rPr>
        <w:t xml:space="preserve"> mexicana, </w:t>
      </w:r>
      <w:proofErr w:type="spellStart"/>
      <w:r w:rsidR="00D01912" w:rsidRPr="00D01912">
        <w:rPr>
          <w:rFonts w:ascii="Palatino Linotype" w:hAnsi="Palatino Linotype" w:cs="Arial"/>
          <w:i/>
          <w:sz w:val="22"/>
          <w:szCs w:val="22"/>
          <w:lang w:eastAsia="es-MX"/>
        </w:rPr>
        <w:t>deveria</w:t>
      </w:r>
      <w:proofErr w:type="spellEnd"/>
      <w:r w:rsidR="00D01912" w:rsidRPr="00D01912">
        <w:rPr>
          <w:rFonts w:ascii="Palatino Linotype" w:hAnsi="Palatino Linotype" w:cs="Arial"/>
          <w:i/>
          <w:sz w:val="22"/>
          <w:szCs w:val="22"/>
          <w:lang w:eastAsia="es-MX"/>
        </w:rPr>
        <w:t xml:space="preserve"> leer un poco </w:t>
      </w:r>
      <w:proofErr w:type="spellStart"/>
      <w:r w:rsidR="00D01912" w:rsidRPr="00D01912">
        <w:rPr>
          <w:rFonts w:ascii="Palatino Linotype" w:hAnsi="Palatino Linotype" w:cs="Arial"/>
          <w:i/>
          <w:sz w:val="22"/>
          <w:szCs w:val="22"/>
          <w:lang w:eastAsia="es-MX"/>
        </w:rPr>
        <w:t>mas</w:t>
      </w:r>
      <w:proofErr w:type="spellEnd"/>
      <w:r w:rsidR="00D01912" w:rsidRPr="00D01912">
        <w:rPr>
          <w:rFonts w:ascii="Palatino Linotype" w:hAnsi="Palatino Linotype" w:cs="Arial"/>
          <w:i/>
          <w:sz w:val="22"/>
          <w:szCs w:val="22"/>
          <w:lang w:eastAsia="es-MX"/>
        </w:rPr>
        <w:t xml:space="preserve"> por eso no gano morena en </w:t>
      </w:r>
      <w:proofErr w:type="spellStart"/>
      <w:r w:rsidR="00D01912" w:rsidRPr="00D01912">
        <w:rPr>
          <w:rFonts w:ascii="Palatino Linotype" w:hAnsi="Palatino Linotype" w:cs="Arial"/>
          <w:i/>
          <w:sz w:val="22"/>
          <w:szCs w:val="22"/>
          <w:lang w:eastAsia="es-MX"/>
        </w:rPr>
        <w:t>teoloyucan</w:t>
      </w:r>
      <w:proofErr w:type="spellEnd"/>
      <w:r w:rsidR="00D01912" w:rsidRPr="00D01912">
        <w:rPr>
          <w:rFonts w:ascii="Palatino Linotype" w:hAnsi="Palatino Linotype" w:cs="Arial"/>
          <w:i/>
          <w:sz w:val="22"/>
          <w:szCs w:val="22"/>
          <w:lang w:eastAsia="es-MX"/>
        </w:rPr>
        <w:t xml:space="preserve"> ya que si </w:t>
      </w:r>
      <w:proofErr w:type="spellStart"/>
      <w:r w:rsidR="00D01912" w:rsidRPr="00D01912">
        <w:rPr>
          <w:rFonts w:ascii="Palatino Linotype" w:hAnsi="Palatino Linotype" w:cs="Arial"/>
          <w:i/>
          <w:sz w:val="22"/>
          <w:szCs w:val="22"/>
          <w:lang w:eastAsia="es-MX"/>
        </w:rPr>
        <w:t>asi</w:t>
      </w:r>
      <w:proofErr w:type="spellEnd"/>
      <w:r w:rsidR="00D01912" w:rsidRPr="00D01912">
        <w:rPr>
          <w:rFonts w:ascii="Palatino Linotype" w:hAnsi="Palatino Linotype" w:cs="Arial"/>
          <w:i/>
          <w:sz w:val="22"/>
          <w:szCs w:val="22"/>
          <w:lang w:eastAsia="es-MX"/>
        </w:rPr>
        <w:t xml:space="preserve"> contesta me imagino como </w:t>
      </w:r>
      <w:proofErr w:type="spellStart"/>
      <w:r w:rsidR="00D01912" w:rsidRPr="00D01912">
        <w:rPr>
          <w:rFonts w:ascii="Palatino Linotype" w:hAnsi="Palatino Linotype" w:cs="Arial"/>
          <w:i/>
          <w:sz w:val="22"/>
          <w:szCs w:val="22"/>
          <w:lang w:eastAsia="es-MX"/>
        </w:rPr>
        <w:t>defendio</w:t>
      </w:r>
      <w:proofErr w:type="spellEnd"/>
      <w:r w:rsidR="00D01912" w:rsidRPr="00D01912">
        <w:rPr>
          <w:rFonts w:ascii="Palatino Linotype" w:hAnsi="Palatino Linotype" w:cs="Arial"/>
          <w:i/>
          <w:sz w:val="22"/>
          <w:szCs w:val="22"/>
          <w:lang w:eastAsia="es-MX"/>
        </w:rPr>
        <w:t xml:space="preserve"> el voto</w:t>
      </w:r>
      <w:r w:rsidR="000C7992">
        <w:rPr>
          <w:rFonts w:ascii="Palatino Linotype" w:hAnsi="Palatino Linotype" w:cs="Arial"/>
          <w:i/>
          <w:sz w:val="22"/>
          <w:szCs w:val="22"/>
          <w:lang w:eastAsia="es-MX"/>
        </w:rPr>
        <w:t>”</w:t>
      </w:r>
      <w:r w:rsidR="00D01912">
        <w:rPr>
          <w:rFonts w:ascii="Palatino Linotype" w:hAnsi="Palatino Linotype" w:cs="Arial"/>
          <w:i/>
          <w:sz w:val="22"/>
          <w:szCs w:val="22"/>
          <w:lang w:eastAsia="es-MX"/>
        </w:rPr>
        <w:t>(Sic)</w:t>
      </w:r>
    </w:p>
    <w:p w:rsidR="002E7C7B" w:rsidRPr="002504B2" w:rsidRDefault="002E7C7B" w:rsidP="002E7C7B">
      <w:pPr>
        <w:spacing w:line="360" w:lineRule="auto"/>
        <w:jc w:val="both"/>
        <w:rPr>
          <w:rFonts w:ascii="Palatino Linotype" w:hAnsi="Palatino Linotype"/>
          <w:sz w:val="2"/>
          <w:lang w:val="es-MX" w:eastAsia="es-MX"/>
        </w:rPr>
      </w:pPr>
    </w:p>
    <w:p w:rsidR="002E7C7B" w:rsidRPr="002504B2" w:rsidRDefault="002E7C7B" w:rsidP="002E7C7B">
      <w:pPr>
        <w:spacing w:line="360" w:lineRule="auto"/>
        <w:jc w:val="both"/>
        <w:rPr>
          <w:rFonts w:ascii="Palatino Linotype" w:hAnsi="Palatino Linotype" w:cs="Arial"/>
          <w:b/>
          <w:sz w:val="14"/>
        </w:rPr>
      </w:pPr>
    </w:p>
    <w:p w:rsidR="002E7C7B" w:rsidRPr="002504B2" w:rsidRDefault="002E7C7B" w:rsidP="002E7C7B">
      <w:pPr>
        <w:spacing w:line="360" w:lineRule="auto"/>
        <w:jc w:val="both"/>
        <w:rPr>
          <w:rFonts w:ascii="Palatino Linotype" w:hAnsi="Palatino Linotype" w:cs="Arial"/>
        </w:rPr>
      </w:pPr>
      <w:r w:rsidRPr="002504B2">
        <w:rPr>
          <w:rFonts w:ascii="Palatino Linotype" w:hAnsi="Palatino Linotype" w:cs="Arial"/>
          <w:b/>
        </w:rPr>
        <w:t>Razones o motivos de inconformidad</w:t>
      </w:r>
      <w:r w:rsidRPr="002504B2">
        <w:rPr>
          <w:rFonts w:ascii="Palatino Linotype" w:hAnsi="Palatino Linotype" w:cs="Arial"/>
        </w:rPr>
        <w:t>:</w:t>
      </w:r>
    </w:p>
    <w:p w:rsidR="002E7C7B" w:rsidRPr="002504B2" w:rsidRDefault="002E7C7B" w:rsidP="002E7C7B">
      <w:pPr>
        <w:spacing w:line="360" w:lineRule="auto"/>
        <w:jc w:val="both"/>
        <w:rPr>
          <w:rFonts w:ascii="Palatino Linotype" w:hAnsi="Palatino Linotype" w:cs="Arial"/>
          <w:sz w:val="2"/>
        </w:rPr>
      </w:pPr>
    </w:p>
    <w:p w:rsidR="000C7992" w:rsidRPr="002504B2" w:rsidRDefault="002E7C7B" w:rsidP="002E7C7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 xml:space="preserve"> “</w:t>
      </w:r>
      <w:r w:rsidR="00D01912" w:rsidRPr="00D01912">
        <w:rPr>
          <w:rFonts w:ascii="Palatino Linotype" w:hAnsi="Palatino Linotype" w:cs="Arial"/>
          <w:i/>
          <w:sz w:val="22"/>
          <w:szCs w:val="22"/>
          <w:lang w:eastAsia="es-MX"/>
        </w:rPr>
        <w:t xml:space="preserve">la </w:t>
      </w:r>
      <w:proofErr w:type="spellStart"/>
      <w:r w:rsidR="00D01912" w:rsidRPr="00D01912">
        <w:rPr>
          <w:rFonts w:ascii="Palatino Linotype" w:hAnsi="Palatino Linotype" w:cs="Arial"/>
          <w:i/>
          <w:sz w:val="22"/>
          <w:szCs w:val="22"/>
          <w:lang w:eastAsia="es-MX"/>
        </w:rPr>
        <w:t>mayoria</w:t>
      </w:r>
      <w:proofErr w:type="spellEnd"/>
      <w:r w:rsidR="00D01912" w:rsidRPr="00D01912">
        <w:rPr>
          <w:rFonts w:ascii="Palatino Linotype" w:hAnsi="Palatino Linotype" w:cs="Arial"/>
          <w:i/>
          <w:sz w:val="22"/>
          <w:szCs w:val="22"/>
          <w:lang w:eastAsia="es-MX"/>
        </w:rPr>
        <w:t xml:space="preserve"> de la </w:t>
      </w:r>
      <w:proofErr w:type="spellStart"/>
      <w:r w:rsidR="00D01912" w:rsidRPr="00D01912">
        <w:rPr>
          <w:rFonts w:ascii="Palatino Linotype" w:hAnsi="Palatino Linotype" w:cs="Arial"/>
          <w:i/>
          <w:sz w:val="22"/>
          <w:szCs w:val="22"/>
          <w:lang w:eastAsia="es-MX"/>
        </w:rPr>
        <w:t>direciones</w:t>
      </w:r>
      <w:proofErr w:type="spellEnd"/>
      <w:r w:rsidR="00D01912" w:rsidRPr="00D01912">
        <w:rPr>
          <w:rFonts w:ascii="Palatino Linotype" w:hAnsi="Palatino Linotype" w:cs="Arial"/>
          <w:i/>
          <w:sz w:val="22"/>
          <w:szCs w:val="22"/>
          <w:lang w:eastAsia="es-MX"/>
        </w:rPr>
        <w:t xml:space="preserve"> </w:t>
      </w:r>
      <w:proofErr w:type="spellStart"/>
      <w:r w:rsidR="00D01912" w:rsidRPr="00D01912">
        <w:rPr>
          <w:rFonts w:ascii="Palatino Linotype" w:hAnsi="Palatino Linotype" w:cs="Arial"/>
          <w:i/>
          <w:sz w:val="22"/>
          <w:szCs w:val="22"/>
          <w:lang w:eastAsia="es-MX"/>
        </w:rPr>
        <w:t>juridicas</w:t>
      </w:r>
      <w:proofErr w:type="spellEnd"/>
      <w:r w:rsidR="00D01912" w:rsidRPr="00D01912">
        <w:rPr>
          <w:rFonts w:ascii="Palatino Linotype" w:hAnsi="Palatino Linotype" w:cs="Arial"/>
          <w:i/>
          <w:sz w:val="22"/>
          <w:szCs w:val="22"/>
          <w:lang w:eastAsia="es-MX"/>
        </w:rPr>
        <w:t xml:space="preserve"> de los ayuntamientos ven los </w:t>
      </w:r>
      <w:proofErr w:type="spellStart"/>
      <w:r w:rsidR="00D01912" w:rsidRPr="00D01912">
        <w:rPr>
          <w:rFonts w:ascii="Palatino Linotype" w:hAnsi="Palatino Linotype" w:cs="Arial"/>
          <w:i/>
          <w:sz w:val="22"/>
          <w:szCs w:val="22"/>
          <w:lang w:eastAsia="es-MX"/>
        </w:rPr>
        <w:t>conbenios</w:t>
      </w:r>
      <w:proofErr w:type="spellEnd"/>
      <w:r w:rsidR="00D01912" w:rsidRPr="00D01912">
        <w:rPr>
          <w:rFonts w:ascii="Palatino Linotype" w:hAnsi="Palatino Linotype" w:cs="Arial"/>
          <w:i/>
          <w:sz w:val="22"/>
          <w:szCs w:val="22"/>
          <w:lang w:eastAsia="es-MX"/>
        </w:rPr>
        <w:t xml:space="preserve"> ya que se supone que son los abogados </w:t>
      </w:r>
      <w:proofErr w:type="spellStart"/>
      <w:r w:rsidR="00D01912" w:rsidRPr="00D01912">
        <w:rPr>
          <w:rFonts w:ascii="Palatino Linotype" w:hAnsi="Palatino Linotype" w:cs="Arial"/>
          <w:i/>
          <w:sz w:val="22"/>
          <w:szCs w:val="22"/>
          <w:lang w:eastAsia="es-MX"/>
        </w:rPr>
        <w:t>de el</w:t>
      </w:r>
      <w:proofErr w:type="spellEnd"/>
      <w:r w:rsidR="00D01912" w:rsidRPr="00D01912">
        <w:rPr>
          <w:rFonts w:ascii="Palatino Linotype" w:hAnsi="Palatino Linotype" w:cs="Arial"/>
          <w:i/>
          <w:sz w:val="22"/>
          <w:szCs w:val="22"/>
          <w:lang w:eastAsia="es-MX"/>
        </w:rPr>
        <w:t xml:space="preserve"> </w:t>
      </w:r>
      <w:proofErr w:type="spellStart"/>
      <w:r w:rsidR="00D01912" w:rsidRPr="00D01912">
        <w:rPr>
          <w:rFonts w:ascii="Palatino Linotype" w:hAnsi="Palatino Linotype" w:cs="Arial"/>
          <w:i/>
          <w:sz w:val="22"/>
          <w:szCs w:val="22"/>
          <w:lang w:eastAsia="es-MX"/>
        </w:rPr>
        <w:t>ayuntamineto</w:t>
      </w:r>
      <w:proofErr w:type="spellEnd"/>
      <w:r w:rsidR="00D01912" w:rsidRPr="00D01912">
        <w:rPr>
          <w:rFonts w:ascii="Palatino Linotype" w:hAnsi="Palatino Linotype" w:cs="Arial"/>
          <w:i/>
          <w:sz w:val="22"/>
          <w:szCs w:val="22"/>
          <w:lang w:eastAsia="es-MX"/>
        </w:rPr>
        <w:t xml:space="preserve">, pero si en efecto es mucha la incompetencia de los servidores </w:t>
      </w:r>
      <w:proofErr w:type="spellStart"/>
      <w:r w:rsidR="00D01912" w:rsidRPr="00D01912">
        <w:rPr>
          <w:rFonts w:ascii="Palatino Linotype" w:hAnsi="Palatino Linotype" w:cs="Arial"/>
          <w:i/>
          <w:sz w:val="22"/>
          <w:szCs w:val="22"/>
          <w:lang w:eastAsia="es-MX"/>
        </w:rPr>
        <w:t>puvlicos</w:t>
      </w:r>
      <w:proofErr w:type="spellEnd"/>
      <w:r w:rsidR="00D01912" w:rsidRPr="00D01912">
        <w:rPr>
          <w:rFonts w:ascii="Palatino Linotype" w:hAnsi="Palatino Linotype" w:cs="Arial"/>
          <w:i/>
          <w:sz w:val="22"/>
          <w:szCs w:val="22"/>
          <w:lang w:eastAsia="es-MX"/>
        </w:rPr>
        <w:t xml:space="preserve"> de </w:t>
      </w:r>
      <w:proofErr w:type="spellStart"/>
      <w:r w:rsidR="00D01912" w:rsidRPr="00D01912">
        <w:rPr>
          <w:rFonts w:ascii="Palatino Linotype" w:hAnsi="Palatino Linotype" w:cs="Arial"/>
          <w:i/>
          <w:sz w:val="22"/>
          <w:szCs w:val="22"/>
          <w:lang w:eastAsia="es-MX"/>
        </w:rPr>
        <w:t>teoloyucan</w:t>
      </w:r>
      <w:proofErr w:type="spellEnd"/>
      <w:r w:rsidR="00D01912" w:rsidRPr="00D01912">
        <w:rPr>
          <w:rFonts w:ascii="Palatino Linotype" w:hAnsi="Palatino Linotype" w:cs="Arial"/>
          <w:i/>
          <w:sz w:val="22"/>
          <w:szCs w:val="22"/>
          <w:lang w:eastAsia="es-MX"/>
        </w:rPr>
        <w:t xml:space="preserve"> por eso no </w:t>
      </w:r>
      <w:proofErr w:type="spellStart"/>
      <w:r w:rsidR="00D01912" w:rsidRPr="00D01912">
        <w:rPr>
          <w:rFonts w:ascii="Palatino Linotype" w:hAnsi="Palatino Linotype" w:cs="Arial"/>
          <w:i/>
          <w:sz w:val="22"/>
          <w:szCs w:val="22"/>
          <w:lang w:eastAsia="es-MX"/>
        </w:rPr>
        <w:t>ganron</w:t>
      </w:r>
      <w:proofErr w:type="spellEnd"/>
      <w:proofErr w:type="gramStart"/>
      <w:r w:rsidR="00D01912">
        <w:rPr>
          <w:rFonts w:ascii="Palatino Linotype" w:hAnsi="Palatino Linotype" w:cs="Arial"/>
          <w:i/>
          <w:sz w:val="22"/>
          <w:szCs w:val="22"/>
          <w:lang w:eastAsia="es-MX"/>
        </w:rPr>
        <w:t>”</w:t>
      </w:r>
      <w:r w:rsidR="000C7992">
        <w:rPr>
          <w:rFonts w:ascii="Palatino Linotype" w:hAnsi="Palatino Linotype" w:cs="Arial"/>
          <w:i/>
          <w:sz w:val="22"/>
          <w:szCs w:val="22"/>
          <w:lang w:eastAsia="es-MX"/>
        </w:rPr>
        <w:t>(</w:t>
      </w:r>
      <w:proofErr w:type="gramEnd"/>
      <w:r w:rsidR="000C7992">
        <w:rPr>
          <w:rFonts w:ascii="Palatino Linotype" w:hAnsi="Palatino Linotype" w:cs="Arial"/>
          <w:i/>
          <w:sz w:val="22"/>
          <w:szCs w:val="22"/>
          <w:lang w:eastAsia="es-MX"/>
        </w:rPr>
        <w:t>Sic)</w:t>
      </w:r>
    </w:p>
    <w:p w:rsidR="000C7992" w:rsidRPr="002452DB" w:rsidRDefault="000C7992" w:rsidP="002452DB">
      <w:pPr>
        <w:ind w:left="851" w:right="900"/>
        <w:jc w:val="both"/>
        <w:rPr>
          <w:rFonts w:ascii="Palatino Linotype" w:hAnsi="Palatino Linotype" w:cs="Arial"/>
          <w:i/>
          <w:sz w:val="22"/>
          <w:szCs w:val="22"/>
          <w:lang w:eastAsia="es-MX"/>
        </w:rPr>
      </w:pPr>
    </w:p>
    <w:p w:rsidR="000C7992" w:rsidRDefault="006B7848" w:rsidP="000C7992">
      <w:pPr>
        <w:spacing w:before="240" w:after="240" w:line="360" w:lineRule="auto"/>
        <w:contextualSpacing/>
        <w:jc w:val="both"/>
        <w:rPr>
          <w:rFonts w:ascii="Palatino Linotype" w:eastAsia="Calibri" w:hAnsi="Palatino Linotype" w:cs="Arial"/>
        </w:rPr>
      </w:pPr>
      <w:r>
        <w:rPr>
          <w:rFonts w:ascii="Palatino Linotype" w:hAnsi="Palatino Linotype"/>
          <w:b/>
        </w:rPr>
        <w:lastRenderedPageBreak/>
        <w:t>4</w:t>
      </w:r>
      <w:r w:rsidR="000C7992" w:rsidRPr="00080788">
        <w:rPr>
          <w:rFonts w:ascii="Palatino Linotype" w:hAnsi="Palatino Linotype"/>
          <w:b/>
        </w:rPr>
        <w:t xml:space="preserve">. Turno. </w:t>
      </w:r>
      <w:r w:rsidR="000C7992">
        <w:rPr>
          <w:rFonts w:ascii="Palatino Linotype" w:hAnsi="Palatino Linotype"/>
        </w:rPr>
        <w:t xml:space="preserve">De conformidad con el artículo 185, fracción I de la </w:t>
      </w:r>
      <w:r w:rsidR="000C7992">
        <w:rPr>
          <w:rFonts w:ascii="Palatino Linotype" w:hAnsi="Palatino Linotype" w:cs="Arial"/>
        </w:rPr>
        <w:t xml:space="preserve">Ley de Transparencia y Acceso a la Información Pública del Estado de México y Municipios, el recurso de revisión número </w:t>
      </w:r>
      <w:r w:rsidR="00D01912">
        <w:rPr>
          <w:rFonts w:ascii="Palatino Linotype" w:hAnsi="Palatino Linotype" w:cs="Arial"/>
          <w:b/>
        </w:rPr>
        <w:t>04549</w:t>
      </w:r>
      <w:r w:rsidR="000C7992">
        <w:rPr>
          <w:rFonts w:ascii="Palatino Linotype" w:hAnsi="Palatino Linotype" w:cs="Arial"/>
          <w:b/>
        </w:rPr>
        <w:t xml:space="preserve">/INFOEM/IP/RR/2021 </w:t>
      </w:r>
      <w:r w:rsidR="000C7992">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F75713">
        <w:rPr>
          <w:rFonts w:ascii="Palatino Linotype" w:hAnsi="Palatino Linotype" w:cs="Arial"/>
        </w:rPr>
        <w:t>a la</w:t>
      </w:r>
      <w:r w:rsidR="00F75713">
        <w:rPr>
          <w:rFonts w:ascii="Palatino Linotype" w:eastAsia="Calibri" w:hAnsi="Palatino Linotype" w:cs="Arial"/>
        </w:rPr>
        <w:t xml:space="preserve"> Comisionada</w:t>
      </w:r>
      <w:r w:rsidR="000C7992">
        <w:rPr>
          <w:rFonts w:ascii="Palatino Linotype" w:eastAsia="Calibri" w:hAnsi="Palatino Linotype" w:cs="Arial"/>
        </w:rPr>
        <w:t xml:space="preserve"> </w:t>
      </w:r>
      <w:r w:rsidR="00F75713">
        <w:rPr>
          <w:rFonts w:ascii="Palatino Linotype" w:eastAsia="Calibri" w:hAnsi="Palatino Linotype" w:cs="Arial"/>
          <w:b/>
        </w:rPr>
        <w:t>Guadalupe Ramírez Peña</w:t>
      </w:r>
      <w:r w:rsidR="000C7992">
        <w:rPr>
          <w:rFonts w:ascii="Palatino Linotype" w:eastAsia="Calibri" w:hAnsi="Palatino Linotype" w:cs="Arial"/>
          <w:b/>
        </w:rPr>
        <w:t>,</w:t>
      </w:r>
      <w:r w:rsidR="000C7992">
        <w:rPr>
          <w:rFonts w:ascii="Palatino Linotype" w:hAnsi="Palatino Linotype" w:cs="Arial"/>
        </w:rPr>
        <w:t xml:space="preserve"> para su análisis, estudio, elaboración del proyecto y </w:t>
      </w:r>
      <w:r w:rsidR="000C7992">
        <w:rPr>
          <w:rFonts w:ascii="Palatino Linotype" w:eastAsia="Calibri" w:hAnsi="Palatino Linotype" w:cs="Arial"/>
        </w:rPr>
        <w:t>presentación ante el Pleno de este Instituto.</w:t>
      </w:r>
    </w:p>
    <w:p w:rsidR="0070300F" w:rsidRDefault="0070300F" w:rsidP="000C7992">
      <w:pPr>
        <w:spacing w:before="240" w:after="240" w:line="360" w:lineRule="auto"/>
        <w:contextualSpacing/>
        <w:jc w:val="both"/>
        <w:rPr>
          <w:rFonts w:ascii="Palatino Linotype" w:eastAsia="Calibri" w:hAnsi="Palatino Linotype" w:cs="Arial"/>
        </w:rPr>
      </w:pPr>
    </w:p>
    <w:p w:rsidR="002E7C7B" w:rsidRDefault="0070300F" w:rsidP="002452D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5</w:t>
      </w:r>
      <w:r w:rsidR="000C7992" w:rsidRPr="00080788">
        <w:rPr>
          <w:rFonts w:ascii="Palatino Linotype" w:hAnsi="Palatino Linotype" w:cs="Arial"/>
          <w:b/>
        </w:rPr>
        <w:t xml:space="preserve">. </w:t>
      </w:r>
      <w:r w:rsidR="002452DB">
        <w:rPr>
          <w:rFonts w:ascii="Palatino Linotype" w:hAnsi="Palatino Linotype" w:cs="Arial"/>
          <w:b/>
        </w:rPr>
        <w:t>Admisión del</w:t>
      </w:r>
      <w:r w:rsidR="002E7C7B">
        <w:rPr>
          <w:rFonts w:ascii="Palatino Linotype" w:hAnsi="Palatino Linotype" w:cs="Arial"/>
          <w:b/>
        </w:rPr>
        <w:t xml:space="preserve"> Recurso</w:t>
      </w:r>
      <w:r w:rsidR="002E7C7B" w:rsidRPr="002504B2">
        <w:rPr>
          <w:rFonts w:ascii="Palatino Linotype" w:hAnsi="Palatino Linotype" w:cs="Arial"/>
          <w:b/>
        </w:rPr>
        <w:t xml:space="preserve"> de revisión.</w:t>
      </w:r>
      <w:r w:rsidR="002E7C7B" w:rsidRPr="002504B2">
        <w:rPr>
          <w:rFonts w:ascii="Palatino Linotype" w:hAnsi="Palatino Linotype" w:cs="Arial"/>
          <w:sz w:val="28"/>
          <w:szCs w:val="28"/>
        </w:rPr>
        <w:t xml:space="preserve"> </w:t>
      </w:r>
      <w:r w:rsidR="002E7C7B" w:rsidRPr="002504B2">
        <w:rPr>
          <w:rFonts w:ascii="Palatino Linotype" w:hAnsi="Palatino Linotype" w:cs="Arial"/>
          <w:szCs w:val="28"/>
        </w:rPr>
        <w:t>Con</w:t>
      </w:r>
      <w:r w:rsidR="002E7C7B" w:rsidRPr="002504B2">
        <w:rPr>
          <w:rFonts w:ascii="Palatino Linotype" w:hAnsi="Palatino Linotype" w:cs="Arial"/>
        </w:rPr>
        <w:t xml:space="preserve"> fecha</w:t>
      </w:r>
      <w:r w:rsidR="002452DB">
        <w:rPr>
          <w:rFonts w:ascii="Palatino Linotype" w:hAnsi="Palatino Linotype" w:cs="Arial"/>
        </w:rPr>
        <w:t xml:space="preserve"> </w:t>
      </w:r>
      <w:r w:rsidR="00D01912">
        <w:rPr>
          <w:rFonts w:ascii="Palatino Linotype" w:hAnsi="Palatino Linotype" w:cs="Arial"/>
          <w:b/>
        </w:rPr>
        <w:t>quince</w:t>
      </w:r>
      <w:r>
        <w:rPr>
          <w:rFonts w:ascii="Palatino Linotype" w:hAnsi="Palatino Linotype" w:cs="Arial"/>
          <w:b/>
        </w:rPr>
        <w:t xml:space="preserve"> de septiembre</w:t>
      </w:r>
      <w:r w:rsidR="002E33E4">
        <w:rPr>
          <w:rFonts w:ascii="Palatino Linotype" w:hAnsi="Palatino Linotype" w:cs="Arial"/>
          <w:b/>
        </w:rPr>
        <w:t xml:space="preserve"> </w:t>
      </w:r>
      <w:r w:rsidR="002E7C7B">
        <w:rPr>
          <w:rFonts w:ascii="Palatino Linotype" w:hAnsi="Palatino Linotype" w:cs="Arial"/>
          <w:b/>
        </w:rPr>
        <w:t>de</w:t>
      </w:r>
      <w:r w:rsidR="000C7992">
        <w:rPr>
          <w:rFonts w:ascii="Palatino Linotype" w:hAnsi="Palatino Linotype" w:cs="Arial"/>
          <w:b/>
        </w:rPr>
        <w:t>l</w:t>
      </w:r>
      <w:r w:rsidR="002E7C7B">
        <w:rPr>
          <w:rFonts w:ascii="Palatino Linotype" w:hAnsi="Palatino Linotype" w:cs="Arial"/>
          <w:b/>
        </w:rPr>
        <w:t xml:space="preserve"> dos mil veintiuno</w:t>
      </w:r>
      <w:r w:rsidR="002E7C7B" w:rsidRPr="002504B2">
        <w:rPr>
          <w:rFonts w:ascii="Palatino Linotype" w:hAnsi="Palatino Linotype" w:cs="Arial"/>
          <w:b/>
        </w:rPr>
        <w:t>,</w:t>
      </w:r>
      <w:r w:rsidR="002E7C7B" w:rsidRPr="002504B2">
        <w:rPr>
          <w:rFonts w:ascii="Palatino Linotype" w:hAnsi="Palatino Linotype" w:cs="Arial"/>
          <w:b/>
          <w:color w:val="C00000"/>
        </w:rPr>
        <w:t xml:space="preserve"> </w:t>
      </w:r>
      <w:r w:rsidR="002E7C7B" w:rsidRPr="002504B2">
        <w:rPr>
          <w:rFonts w:ascii="Palatino Linotype" w:hAnsi="Palatino Linotype" w:cs="Arial"/>
        </w:rPr>
        <w:t>este Instituto de Transparencia, Acceso a la Información Pública y Protección de Datos Personales del Estado de México y M</w:t>
      </w:r>
      <w:r w:rsidR="00A43B9A">
        <w:rPr>
          <w:rFonts w:ascii="Palatino Linotype" w:hAnsi="Palatino Linotype" w:cs="Arial"/>
        </w:rPr>
        <w:t>unicipios, admitió a trámite el recurso</w:t>
      </w:r>
      <w:r w:rsidR="002E7C7B" w:rsidRPr="002504B2">
        <w:rPr>
          <w:rFonts w:ascii="Palatino Linotype" w:hAnsi="Palatino Linotype" w:cs="Arial"/>
        </w:rPr>
        <w:t xml:space="preserve"> de revisión que ahora se resuelve, dando un plazo máximo de siete días hábiles para que las partes manifestaran lo que a su derecho resultara conveniente, ofrecieran pruebas, formularan alegatos y el Sujeto Obligado presentara su informe justificado.</w:t>
      </w:r>
    </w:p>
    <w:p w:rsidR="00AB7D46" w:rsidRDefault="00AB7D46" w:rsidP="00AB7D46">
      <w:pPr>
        <w:spacing w:after="240" w:line="360" w:lineRule="auto"/>
        <w:contextualSpacing/>
        <w:jc w:val="both"/>
        <w:rPr>
          <w:rFonts w:ascii="Palatino Linotype" w:hAnsi="Palatino Linotype" w:cs="Arial"/>
        </w:rPr>
      </w:pPr>
      <w:r>
        <w:rPr>
          <w:rFonts w:ascii="Palatino Linotype" w:hAnsi="Palatino Linotype" w:cs="Arial"/>
          <w:b/>
        </w:rPr>
        <w:t>6</w:t>
      </w:r>
      <w:r w:rsidR="002E33E4" w:rsidRPr="00D27764">
        <w:rPr>
          <w:rFonts w:ascii="Palatino Linotype" w:hAnsi="Palatino Linotype" w:cs="Arial"/>
          <w:b/>
        </w:rPr>
        <w:t>. Manifestaciones</w:t>
      </w:r>
      <w:r w:rsidR="002E33E4" w:rsidRPr="00D27764">
        <w:rPr>
          <w:rFonts w:ascii="Palatino Linotype" w:hAnsi="Palatino Linotype" w:cs="Arial"/>
        </w:rPr>
        <w:t xml:space="preserve">: </w:t>
      </w:r>
      <w:r>
        <w:rPr>
          <w:rFonts w:ascii="Palatino Linotype" w:hAnsi="Palatino Linotype" w:cs="Arial"/>
        </w:rPr>
        <w:t>De las constancias que integran el expediente en que se actúa se advierte que las partes fueron omisas en hacer valer manifestación alguna, expresar alegatos o presentar pruebas en el plazo establecido para tal efecto y rendir el informe justificado; por lo que se tiene por precluido su derecho en tal sentido.</w:t>
      </w:r>
    </w:p>
    <w:p w:rsidR="002E7C7B" w:rsidRDefault="00AB7D46" w:rsidP="00AB7D4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Pr>
          <w:rFonts w:ascii="Palatino Linotype" w:hAnsi="Palatino Linotype"/>
          <w:b/>
        </w:rPr>
        <w:t>7</w:t>
      </w:r>
      <w:r w:rsidR="00422685">
        <w:rPr>
          <w:rFonts w:ascii="Palatino Linotype" w:hAnsi="Palatino Linotype"/>
          <w:b/>
        </w:rPr>
        <w:t>.</w:t>
      </w:r>
      <w:r w:rsidR="00A43B9A">
        <w:rPr>
          <w:rFonts w:ascii="Palatino Linotype" w:hAnsi="Palatino Linotype"/>
          <w:b/>
        </w:rPr>
        <w:t xml:space="preserve"> </w:t>
      </w:r>
      <w:r w:rsidR="002E7C7B" w:rsidRPr="002504B2">
        <w:rPr>
          <w:rFonts w:ascii="Palatino Linotype" w:hAnsi="Palatino Linotype"/>
          <w:b/>
        </w:rPr>
        <w:t xml:space="preserve">Cierre de instrucción. </w:t>
      </w:r>
      <w:r w:rsidR="002E7C7B" w:rsidRPr="002504B2">
        <w:rPr>
          <w:rFonts w:ascii="Palatino Linotype" w:hAnsi="Palatino Linotype"/>
        </w:rPr>
        <w:t xml:space="preserve">Una vez transcurrido el periodo otorgado a las partes para realizar sus manifestaciones y no habiendo documentos que integrar al expediente, con </w:t>
      </w:r>
      <w:r w:rsidR="002E7C7B" w:rsidRPr="00697F40">
        <w:rPr>
          <w:rFonts w:ascii="Palatino Linotype" w:hAnsi="Palatino Linotype"/>
        </w:rPr>
        <w:t xml:space="preserve">fecha </w:t>
      </w:r>
      <w:r w:rsidR="00D01912">
        <w:rPr>
          <w:rFonts w:ascii="Palatino Linotype" w:hAnsi="Palatino Linotype"/>
          <w:b/>
        </w:rPr>
        <w:t>veinticinco</w:t>
      </w:r>
      <w:r>
        <w:rPr>
          <w:rFonts w:ascii="Palatino Linotype" w:hAnsi="Palatino Linotype"/>
          <w:b/>
        </w:rPr>
        <w:t xml:space="preserve"> de octubre</w:t>
      </w:r>
      <w:r w:rsidR="002E33E4" w:rsidRPr="00697F40">
        <w:rPr>
          <w:rFonts w:ascii="Palatino Linotype" w:hAnsi="Palatino Linotype"/>
          <w:b/>
        </w:rPr>
        <w:t xml:space="preserve"> </w:t>
      </w:r>
      <w:r w:rsidR="002E7C7B" w:rsidRPr="00697F40">
        <w:rPr>
          <w:rFonts w:ascii="Palatino Linotype" w:hAnsi="Palatino Linotype"/>
          <w:b/>
        </w:rPr>
        <w:t>d</w:t>
      </w:r>
      <w:r w:rsidR="002E7C7B" w:rsidRPr="00697F40">
        <w:rPr>
          <w:rFonts w:ascii="Palatino Linotype" w:hAnsi="Palatino Linotype" w:cs="Arial"/>
          <w:b/>
        </w:rPr>
        <w:t>e</w:t>
      </w:r>
      <w:r w:rsidR="00697F40">
        <w:rPr>
          <w:rFonts w:ascii="Palatino Linotype" w:hAnsi="Palatino Linotype" w:cs="Arial"/>
          <w:b/>
        </w:rPr>
        <w:t>l</w:t>
      </w:r>
      <w:r w:rsidR="002E7C7B" w:rsidRPr="00697F40">
        <w:rPr>
          <w:rFonts w:ascii="Palatino Linotype" w:hAnsi="Palatino Linotype" w:cs="Arial"/>
          <w:b/>
        </w:rPr>
        <w:t xml:space="preserve"> dos mil veintiuno</w:t>
      </w:r>
      <w:r w:rsidR="00A43B9A">
        <w:rPr>
          <w:rFonts w:ascii="Palatino Linotype" w:hAnsi="Palatino Linotype"/>
        </w:rPr>
        <w:t>, la Comisionada</w:t>
      </w:r>
      <w:r w:rsidR="002E7C7B" w:rsidRPr="00697F40">
        <w:rPr>
          <w:rFonts w:ascii="Palatino Linotype" w:hAnsi="Palatino Linotype"/>
        </w:rPr>
        <w:t xml:space="preserve"> </w:t>
      </w:r>
      <w:r w:rsidR="00695CB9">
        <w:rPr>
          <w:rFonts w:ascii="Palatino Linotype" w:hAnsi="Palatino Linotype"/>
        </w:rPr>
        <w:t>ponente determinó el cierre</w:t>
      </w:r>
      <w:r w:rsidR="002E7C7B" w:rsidRPr="002504B2">
        <w:rPr>
          <w:rFonts w:ascii="Palatino Linotype" w:hAnsi="Palatino Linotype"/>
        </w:rPr>
        <w:t xml:space="preserve"> de instrucción en términos de la fracción VI del artículo 185 de </w:t>
      </w:r>
      <w:r w:rsidR="002E7C7B" w:rsidRPr="002504B2">
        <w:rPr>
          <w:rFonts w:ascii="Palatino Linotype" w:hAnsi="Palatino Linotype"/>
        </w:rPr>
        <w:lastRenderedPageBreak/>
        <w:t>la Ley de Transparencia y Acceso a la Información Pública del Estado de México y Municipios.</w:t>
      </w:r>
    </w:p>
    <w:p w:rsidR="00E3274F" w:rsidRDefault="00E3274F" w:rsidP="00E3274F">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veintitrés de noviembre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E3274F" w:rsidRDefault="00E3274F" w:rsidP="002E7C7B">
      <w:pPr>
        <w:widowControl w:val="0"/>
        <w:autoSpaceDE w:val="0"/>
        <w:autoSpaceDN w:val="0"/>
        <w:adjustRightInd w:val="0"/>
        <w:spacing w:before="240" w:after="240" w:line="360" w:lineRule="auto"/>
        <w:contextualSpacing/>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contextualSpacing/>
        <w:jc w:val="both"/>
        <w:rPr>
          <w:rFonts w:ascii="Palatino Linotype" w:hAnsi="Palatino Linotype" w:cs="Tahoma"/>
          <w:szCs w:val="22"/>
        </w:rPr>
      </w:pPr>
      <w:r w:rsidRPr="002504B2">
        <w:rPr>
          <w:rFonts w:ascii="Palatino Linotype" w:hAnsi="Palatino Linotype" w:cs="Tahoma"/>
          <w:szCs w:val="22"/>
        </w:rPr>
        <w:t>En razón de que fue debidamente sustanciado el expediente electrónico y no existe diligencia pendiente de desahogo, se emite la Resolución que conforme a Derecho proceda, de acuerdo con los siguientes:</w:t>
      </w:r>
    </w:p>
    <w:p w:rsidR="002E7C7B" w:rsidRPr="00F4491F" w:rsidRDefault="002E7C7B" w:rsidP="00F4491F">
      <w:pPr>
        <w:pStyle w:val="Prrafodelista"/>
        <w:numPr>
          <w:ilvl w:val="0"/>
          <w:numId w:val="6"/>
        </w:numPr>
        <w:spacing w:before="240" w:after="240" w:line="360" w:lineRule="auto"/>
        <w:jc w:val="center"/>
        <w:rPr>
          <w:rFonts w:ascii="Palatino Linotype" w:hAnsi="Palatino Linotype" w:cs="Arial"/>
          <w:b/>
        </w:rPr>
      </w:pPr>
      <w:r w:rsidRPr="00F4491F">
        <w:rPr>
          <w:rFonts w:ascii="Palatino Linotype" w:hAnsi="Palatino Linotype" w:cs="Arial"/>
          <w:b/>
        </w:rPr>
        <w:t>C O N S I D E R A N D O:</w:t>
      </w:r>
    </w:p>
    <w:p w:rsidR="002E7C7B" w:rsidRPr="002504B2" w:rsidRDefault="002E7C7B" w:rsidP="002E7C7B">
      <w:pPr>
        <w:spacing w:before="240" w:after="240" w:line="360" w:lineRule="auto"/>
        <w:jc w:val="both"/>
        <w:rPr>
          <w:rFonts w:ascii="Palatino Linotype" w:hAnsi="Palatino Linotype"/>
          <w:shd w:val="clear" w:color="auto" w:fill="FFFFFF"/>
        </w:rPr>
      </w:pPr>
      <w:r w:rsidRPr="002504B2">
        <w:rPr>
          <w:rFonts w:ascii="Palatino Linotype" w:hAnsi="Palatino Linotype" w:cs="Arial"/>
          <w:b/>
        </w:rPr>
        <w:t xml:space="preserve">Primero. Competencia. </w:t>
      </w:r>
      <w:r w:rsidRPr="002504B2">
        <w:rPr>
          <w:rFonts w:ascii="Palatino Linotype" w:hAnsi="Palatino Linotype"/>
          <w:shd w:val="clear" w:color="auto" w:fill="FFFFFF"/>
        </w:rPr>
        <w:t>El Instituto de Transparencia, Acceso a la Información Pública y Protección de Datos Personales del Estado de México y Municipios, es compet</w:t>
      </w:r>
      <w:r w:rsidR="00A43B9A">
        <w:rPr>
          <w:rFonts w:ascii="Palatino Linotype" w:hAnsi="Palatino Linotype"/>
          <w:shd w:val="clear" w:color="auto" w:fill="FFFFFF"/>
        </w:rPr>
        <w:t>ente para conocer y resolver el presente recurso de revisión interpuesto</w:t>
      </w:r>
      <w:r w:rsidRPr="002504B2">
        <w:rPr>
          <w:rFonts w:ascii="Palatino Linotype" w:hAnsi="Palatino Linotype"/>
          <w:shd w:val="clear" w:color="auto" w:fill="FFFFFF"/>
        </w:rPr>
        <w:t xml:space="preserve"> por la parte recurrente, conforme a lo dispuesto en los artículos 6, apartado A de la Constitución Política de los Estados Unidos Mexican</w:t>
      </w:r>
      <w:r w:rsidR="00695CB9">
        <w:rPr>
          <w:rFonts w:ascii="Palatino Linotype" w:hAnsi="Palatino Linotype"/>
          <w:shd w:val="clear" w:color="auto" w:fill="FFFFFF"/>
        </w:rPr>
        <w:t xml:space="preserve">os; 5, párrafos </w:t>
      </w:r>
      <w:r w:rsidR="00AB7D46">
        <w:rPr>
          <w:rFonts w:ascii="Palatino Linotype" w:hAnsi="Palatino Linotype"/>
          <w:shd w:val="clear" w:color="auto" w:fill="FFFFFF"/>
        </w:rPr>
        <w:t>trigésimo, trigésimo primero y trigésimo segundo</w:t>
      </w:r>
      <w:r w:rsidR="00695CB9">
        <w:rPr>
          <w:rFonts w:ascii="Palatino Linotype" w:hAnsi="Palatino Linotype"/>
          <w:shd w:val="clear" w:color="auto" w:fill="FFFFFF"/>
        </w:rPr>
        <w:t>,</w:t>
      </w:r>
      <w:r w:rsidRPr="002504B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2504B2">
        <w:rPr>
          <w:rStyle w:val="apple-converted-space"/>
          <w:rFonts w:ascii="Palatino Linotype" w:hAnsi="Palatino Linotype"/>
          <w:shd w:val="clear" w:color="auto" w:fill="FFFFFF"/>
        </w:rPr>
        <w:t xml:space="preserve"> 7, </w:t>
      </w:r>
      <w:r w:rsidRPr="002504B2">
        <w:rPr>
          <w:rFonts w:ascii="Palatino Linotype" w:hAnsi="Palatino Linotype" w:cs="Arial"/>
        </w:rPr>
        <w:t xml:space="preserve">9, fracciones I y XXIV y 11 </w:t>
      </w:r>
      <w:r w:rsidRPr="002504B2">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7C7B" w:rsidRPr="00347609" w:rsidRDefault="002E7C7B" w:rsidP="002E7C7B">
      <w:pPr>
        <w:spacing w:before="240" w:after="240" w:line="360" w:lineRule="auto"/>
        <w:jc w:val="both"/>
        <w:rPr>
          <w:rFonts w:ascii="Palatino Linotype" w:hAnsi="Palatino Linotype" w:cs="Arial"/>
          <w:lang w:eastAsia="es-MX"/>
        </w:rPr>
      </w:pPr>
      <w:r w:rsidRPr="00347609">
        <w:rPr>
          <w:rFonts w:ascii="Palatino Linotype" w:hAnsi="Palatino Linotype" w:cs="Arial"/>
          <w:b/>
        </w:rPr>
        <w:lastRenderedPageBreak/>
        <w:t xml:space="preserve">Segundo. Oportunidad y Procedibilidad. </w:t>
      </w:r>
      <w:r w:rsidRPr="00347609">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Pr="00347609">
        <w:rPr>
          <w:rFonts w:ascii="Palatino Linotype" w:hAnsi="Palatino Linotype" w:cs="Arial"/>
          <w:lang w:eastAsia="es-MX"/>
        </w:rPr>
        <w:t>178 y 180 de la Ley de Transparencia y Acceso a la Información Pública del Estado de México y Municipios</w:t>
      </w:r>
      <w:r w:rsidRPr="00347609">
        <w:rPr>
          <w:rFonts w:ascii="Palatino Linotype" w:hAnsi="Palatino Linotype" w:cs="Arial"/>
        </w:rPr>
        <w:t>.</w:t>
      </w:r>
    </w:p>
    <w:p w:rsidR="002E7C7B" w:rsidRDefault="002E7C7B" w:rsidP="002E7C7B">
      <w:pPr>
        <w:spacing w:before="240" w:after="240" w:line="360" w:lineRule="auto"/>
        <w:jc w:val="both"/>
        <w:rPr>
          <w:rFonts w:ascii="Palatino Linotype" w:hAnsi="Palatino Linotype" w:cs="Arial"/>
        </w:rPr>
      </w:pPr>
      <w:r>
        <w:rPr>
          <w:rFonts w:ascii="Palatino Linotype" w:hAnsi="Palatino Linotype" w:cs="Arial"/>
        </w:rPr>
        <w:t xml:space="preserve">El recurso de revisión fue </w:t>
      </w:r>
      <w:r w:rsidRPr="002504B2">
        <w:rPr>
          <w:rFonts w:ascii="Palatino Linotype" w:hAnsi="Palatino Linotype" w:cs="Arial"/>
        </w:rPr>
        <w:t>interpues</w:t>
      </w:r>
      <w:r>
        <w:rPr>
          <w:rFonts w:ascii="Palatino Linotype" w:hAnsi="Palatino Linotype" w:cs="Arial"/>
        </w:rPr>
        <w:t>to</w:t>
      </w:r>
      <w:r w:rsidRPr="002504B2">
        <w:rPr>
          <w:rFonts w:ascii="Palatino Linotype" w:hAnsi="Palatino Linotype" w:cs="Arial"/>
        </w:rPr>
        <w:t xml:space="preserve"> dentro del plazo de quince días hábiles, previsto en el artículo 178 de la </w:t>
      </w:r>
      <w:r w:rsidRPr="002504B2">
        <w:rPr>
          <w:rFonts w:ascii="Palatino Linotype" w:hAnsi="Palatino Linotype" w:cs="Arial"/>
          <w:lang w:eastAsia="es-MX"/>
        </w:rPr>
        <w:t>Ley de Transparencia y Acceso a la Información Pública del Estado de México y Municipios</w:t>
      </w:r>
      <w:r w:rsidRPr="002504B2">
        <w:rPr>
          <w:rFonts w:ascii="Palatino Linotype" w:hAnsi="Palatino Linotype" w:cs="Arial"/>
        </w:rPr>
        <w:t>, ya que el Sujeto Obligado proporci</w:t>
      </w:r>
      <w:r>
        <w:rPr>
          <w:rFonts w:ascii="Palatino Linotype" w:hAnsi="Palatino Linotype" w:cs="Arial"/>
        </w:rPr>
        <w:t xml:space="preserve">onó </w:t>
      </w:r>
      <w:r w:rsidR="00347609">
        <w:rPr>
          <w:rFonts w:ascii="Palatino Linotype" w:hAnsi="Palatino Linotype" w:cs="Arial"/>
        </w:rPr>
        <w:t xml:space="preserve">su </w:t>
      </w:r>
      <w:r>
        <w:rPr>
          <w:rFonts w:ascii="Palatino Linotype" w:hAnsi="Palatino Linotype" w:cs="Arial"/>
        </w:rPr>
        <w:t>respuesta a la solicitud</w:t>
      </w:r>
      <w:r w:rsidRPr="002504B2">
        <w:rPr>
          <w:rFonts w:ascii="Palatino Linotype" w:hAnsi="Palatino Linotype" w:cs="Arial"/>
        </w:rPr>
        <w:t xml:space="preserve"> de información el</w:t>
      </w:r>
      <w:r w:rsidR="00D01912">
        <w:rPr>
          <w:rFonts w:ascii="Palatino Linotype" w:hAnsi="Palatino Linotype" w:cs="Arial"/>
        </w:rPr>
        <w:t xml:space="preserve"> veintitrés</w:t>
      </w:r>
      <w:r w:rsidR="00AB7D46">
        <w:rPr>
          <w:rFonts w:ascii="Palatino Linotype" w:hAnsi="Palatino Linotype" w:cs="Arial"/>
        </w:rPr>
        <w:t xml:space="preserve"> de agosto</w:t>
      </w:r>
      <w:r>
        <w:rPr>
          <w:rFonts w:ascii="Palatino Linotype" w:hAnsi="Palatino Linotype" w:cs="Arial"/>
        </w:rPr>
        <w:t xml:space="preserve"> de dos mil veintiuno</w:t>
      </w:r>
      <w:r w:rsidRPr="002504B2">
        <w:rPr>
          <w:rFonts w:ascii="Palatino Linotype" w:hAnsi="Palatino Linotype" w:cs="Arial"/>
        </w:rPr>
        <w:t xml:space="preserve">, mientras que el recurrente </w:t>
      </w:r>
      <w:r>
        <w:rPr>
          <w:rFonts w:ascii="Palatino Linotype" w:hAnsi="Palatino Linotype"/>
        </w:rPr>
        <w:t>interp</w:t>
      </w:r>
      <w:r w:rsidR="00347609">
        <w:rPr>
          <w:rFonts w:ascii="Palatino Linotype" w:hAnsi="Palatino Linotype"/>
        </w:rPr>
        <w:t>uso el</w:t>
      </w:r>
      <w:r>
        <w:rPr>
          <w:rFonts w:ascii="Palatino Linotype" w:hAnsi="Palatino Linotype"/>
        </w:rPr>
        <w:t xml:space="preserve"> recurso</w:t>
      </w:r>
      <w:r w:rsidRPr="002504B2">
        <w:rPr>
          <w:rFonts w:ascii="Palatino Linotype" w:hAnsi="Palatino Linotype"/>
        </w:rPr>
        <w:t xml:space="preserve"> de revisión el día</w:t>
      </w:r>
      <w:r w:rsidR="00D01912">
        <w:rPr>
          <w:rFonts w:ascii="Palatino Linotype" w:hAnsi="Palatino Linotype"/>
        </w:rPr>
        <w:t xml:space="preserve"> seis de septiembre</w:t>
      </w:r>
      <w:r>
        <w:rPr>
          <w:rFonts w:ascii="Palatino Linotype" w:hAnsi="Palatino Linotype"/>
        </w:rPr>
        <w:t xml:space="preserve"> de dos mil veintiuno</w:t>
      </w:r>
      <w:r w:rsidR="00D01912">
        <w:rPr>
          <w:rFonts w:ascii="Palatino Linotype" w:hAnsi="Palatino Linotype"/>
        </w:rPr>
        <w:t>, es decir, al décimo</w:t>
      </w:r>
      <w:r w:rsidR="00422685">
        <w:rPr>
          <w:rFonts w:ascii="Palatino Linotype" w:hAnsi="Palatino Linotype"/>
        </w:rPr>
        <w:t xml:space="preserve"> </w:t>
      </w:r>
      <w:r w:rsidRPr="002504B2">
        <w:rPr>
          <w:rFonts w:ascii="Palatino Linotype" w:hAnsi="Palatino Linotype"/>
        </w:rPr>
        <w:t>día hábil siguiente al en que le f</w:t>
      </w:r>
      <w:r>
        <w:rPr>
          <w:rFonts w:ascii="Palatino Linotype" w:hAnsi="Palatino Linotype"/>
        </w:rPr>
        <w:t>ue notificada la respuesta</w:t>
      </w:r>
      <w:r w:rsidRPr="002504B2">
        <w:rPr>
          <w:rFonts w:ascii="Palatino Linotype" w:hAnsi="Palatino Linotype"/>
        </w:rPr>
        <w:t xml:space="preserve">, </w:t>
      </w:r>
      <w:r w:rsidRPr="002504B2">
        <w:rPr>
          <w:rFonts w:ascii="Palatino Linotype" w:hAnsi="Palatino Linotype" w:cs="Arial"/>
        </w:rPr>
        <w:t>por ende, dentro del término legal que prevé el arábigo de referencia.</w:t>
      </w:r>
    </w:p>
    <w:p w:rsidR="00AB7D46" w:rsidRPr="00706EA3"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Pr="00F470CE">
        <w:rPr>
          <w:rFonts w:ascii="Palatino Linotype" w:hAnsi="Palatino Linotype" w:cs="Arial"/>
          <w:b/>
        </w:rPr>
        <w:t xml:space="preserve"> </w:t>
      </w:r>
      <w:r>
        <w:rPr>
          <w:rFonts w:ascii="Palatino Linotype" w:hAnsi="Palatino Linotype" w:cs="Arial"/>
          <w:b/>
        </w:rPr>
        <w:t xml:space="preserve">                     </w:t>
      </w:r>
      <w:r w:rsidRPr="00AA2C16">
        <w:rPr>
          <w:rFonts w:ascii="Palatino Linotype" w:hAnsi="Palatino Linotype" w:cs="Arial"/>
        </w:rPr>
        <w:t>"</w:t>
      </w:r>
      <w:r>
        <w:rPr>
          <w:rFonts w:ascii="Palatino Linotype" w:hAnsi="Palatino Linotype" w:cs="Arial"/>
        </w:rPr>
        <w:t>, como se advierte en el detalle de seguimiento del SAIMEX</w:t>
      </w:r>
      <w:r w:rsidRPr="00AA2C16">
        <w:rPr>
          <w:rFonts w:ascii="Palatino Linotype" w:hAnsi="Palatino Linotype" w:cs="Arial"/>
        </w:rPr>
        <w:t xml:space="preserve">, no obstante lo anterior, </w:t>
      </w:r>
      <w:r>
        <w:rPr>
          <w:rFonts w:ascii="Palatino Linotype" w:hAnsi="Palatino Linotype" w:cs="Arial"/>
        </w:rPr>
        <w:t xml:space="preserve">no </w:t>
      </w:r>
      <w:r w:rsidRPr="00AA2C16">
        <w:rPr>
          <w:rFonts w:ascii="Palatino Linotype" w:hAnsi="Palatino Linotype" w:cs="Arial"/>
        </w:rPr>
        <w:t xml:space="preserve">proporcionar el nombre </w:t>
      </w:r>
      <w:r>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Pr>
          <w:rFonts w:ascii="Palatino Linotype" w:hAnsi="Palatino Linotype" w:cs="Arial"/>
        </w:rPr>
        <w:t xml:space="preserve">como concluida, </w:t>
      </w:r>
      <w:r w:rsidRPr="00AA2C16">
        <w:rPr>
          <w:rFonts w:ascii="Palatino Linotype" w:hAnsi="Palatino Linotype" w:cs="Arial"/>
        </w:rPr>
        <w:t xml:space="preserve">conforme a lo previsto en el artículo 155, 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AB7D46" w:rsidRDefault="00AB7D46" w:rsidP="00AB7D46">
      <w:pPr>
        <w:spacing w:before="240" w:after="240"/>
        <w:ind w:left="567" w:right="474"/>
        <w:contextualSpacing/>
        <w:jc w:val="both"/>
        <w:rPr>
          <w:rFonts w:ascii="Palatino Linotype" w:hAnsi="Palatino Linotype" w:cs="Arial"/>
          <w:i/>
        </w:rPr>
      </w:pPr>
    </w:p>
    <w:p w:rsidR="00AB7D46" w:rsidRPr="00AA2C16" w:rsidRDefault="00AB7D46" w:rsidP="00AB7D46">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r>
        <w:rPr>
          <w:rFonts w:ascii="Palatino Linotype" w:hAnsi="Palatino Linotype" w:cs="Arial"/>
          <w:i/>
          <w:sz w:val="22"/>
          <w:szCs w:val="22"/>
        </w:rPr>
        <w:t>(Sic)</w:t>
      </w:r>
    </w:p>
    <w:p w:rsidR="00AB7D46" w:rsidRDefault="00AB7D46" w:rsidP="00AB7D46">
      <w:pPr>
        <w:spacing w:before="240" w:after="240" w:line="360" w:lineRule="auto"/>
        <w:contextualSpacing/>
        <w:jc w:val="both"/>
        <w:rPr>
          <w:rFonts w:eastAsiaTheme="minorHAnsi"/>
          <w:i/>
          <w:iCs/>
          <w:color w:val="1F1F1F"/>
          <w:w w:val="95"/>
          <w:sz w:val="22"/>
          <w:szCs w:val="22"/>
          <w:lang w:val="es-MX" w:eastAsia="en-US"/>
        </w:rPr>
      </w:pPr>
    </w:p>
    <w:p w:rsidR="00AB7D46" w:rsidRPr="00204E0C" w:rsidRDefault="00AB7D46" w:rsidP="00AB7D46">
      <w:pPr>
        <w:spacing w:before="240" w:after="240" w:line="360" w:lineRule="auto"/>
        <w:contextualSpacing/>
        <w:jc w:val="both"/>
        <w:rPr>
          <w:rFonts w:ascii="Palatino Linotype" w:hAnsi="Palatino Linotype" w:cs="Arial"/>
        </w:rPr>
      </w:pPr>
      <w:r w:rsidRPr="00204E0C">
        <w:rPr>
          <w:rFonts w:ascii="Palatino Linotype" w:hAnsi="Palatino Linotype" w:cs="Arial"/>
        </w:rPr>
        <w:lastRenderedPageBreak/>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AB7D46" w:rsidRDefault="00AB7D46" w:rsidP="00AB7D46">
      <w:pPr>
        <w:spacing w:before="240" w:after="240"/>
        <w:ind w:left="567" w:right="474"/>
        <w:contextualSpacing/>
        <w:jc w:val="both"/>
        <w:rPr>
          <w:rFonts w:ascii="Palatino Linotype" w:hAnsi="Palatino Linotype" w:cs="Arial"/>
          <w:i/>
        </w:rPr>
      </w:pP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Pr>
          <w:rFonts w:ascii="Palatino Linotype" w:hAnsi="Palatino Linotype" w:cs="Arial"/>
          <w:i/>
          <w:sz w:val="22"/>
          <w:szCs w:val="22"/>
        </w:rPr>
        <w:t>” (Sic)</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p>
    <w:p w:rsidR="00AB7D46" w:rsidRPr="00204E0C"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Pr>
          <w:rFonts w:ascii="Palatino Linotype" w:hAnsi="Palatino Linotype" w:cs="Arial"/>
        </w:rPr>
        <w:t xml:space="preserve"> noveno</w:t>
      </w:r>
      <w:r w:rsidRPr="00204E0C">
        <w:rPr>
          <w:rFonts w:ascii="Palatino Linotype" w:hAnsi="Palatino Linotype" w:cs="Arial"/>
        </w:rPr>
        <w:t xml:space="preserve">, </w:t>
      </w:r>
      <w:r>
        <w:rPr>
          <w:rFonts w:ascii="Palatino Linotype" w:hAnsi="Palatino Linotype" w:cs="Arial"/>
        </w:rPr>
        <w:t>trigésimo</w:t>
      </w:r>
      <w:r w:rsidRPr="00204E0C">
        <w:rPr>
          <w:rFonts w:ascii="Palatino Linotype" w:hAnsi="Palatino Linotype" w:cs="Arial"/>
        </w:rPr>
        <w:t xml:space="preserve"> y </w:t>
      </w:r>
      <w:r>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AB7D46" w:rsidRPr="00204E0C" w:rsidRDefault="00AB7D46" w:rsidP="00AB7D46">
      <w:pPr>
        <w:spacing w:before="240" w:after="240"/>
        <w:ind w:right="474"/>
        <w:contextualSpacing/>
        <w:jc w:val="both"/>
        <w:rPr>
          <w:rFonts w:ascii="Palatino Linotype" w:hAnsi="Palatino Linotype" w:cs="Arial"/>
          <w:i/>
          <w:sz w:val="22"/>
          <w:szCs w:val="22"/>
        </w:rPr>
      </w:pPr>
    </w:p>
    <w:p w:rsidR="00AB7D46"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AB7D46" w:rsidRDefault="00AB7D46" w:rsidP="00AB7D46">
      <w:pPr>
        <w:spacing w:before="240" w:after="240"/>
        <w:ind w:left="567" w:right="474"/>
        <w:contextualSpacing/>
        <w:jc w:val="both"/>
        <w:rPr>
          <w:rFonts w:ascii="Palatino Linotype" w:hAnsi="Palatino Linotype" w:cs="Arial"/>
          <w:i/>
          <w:sz w:val="22"/>
          <w:szCs w:val="22"/>
        </w:rPr>
      </w:pPr>
    </w:p>
    <w:p w:rsidR="00AB7D46" w:rsidRPr="00851562" w:rsidRDefault="00AB7D46" w:rsidP="00AB7D46">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AB7D46" w:rsidRDefault="00AB7D46" w:rsidP="00AB7D46">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AB7D46" w:rsidRDefault="00AB7D46" w:rsidP="00AB7D46">
      <w:pPr>
        <w:spacing w:before="240" w:after="240" w:line="360" w:lineRule="auto"/>
        <w:contextualSpacing/>
        <w:jc w:val="both"/>
        <w:rPr>
          <w:i/>
          <w:iCs/>
          <w:color w:val="000000"/>
          <w:sz w:val="25"/>
          <w:szCs w:val="25"/>
        </w:rPr>
      </w:pP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Arial"/>
          <w:i/>
          <w:sz w:val="22"/>
          <w:szCs w:val="22"/>
        </w:rPr>
        <w:t>(Sic)</w:t>
      </w:r>
    </w:p>
    <w:p w:rsidR="00AB7D46" w:rsidRDefault="00AB7D46" w:rsidP="00AB7D46">
      <w:pPr>
        <w:spacing w:before="240" w:after="240" w:line="360" w:lineRule="auto"/>
        <w:contextualSpacing/>
        <w:jc w:val="both"/>
        <w:rPr>
          <w:rFonts w:eastAsiaTheme="minorHAnsi"/>
          <w:i/>
          <w:iCs/>
          <w:sz w:val="23"/>
          <w:szCs w:val="23"/>
          <w:lang w:val="es-MX" w:eastAsia="en-US"/>
        </w:rPr>
      </w:pPr>
    </w:p>
    <w:p w:rsidR="00AB7D46"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 xml:space="preserve">derecho fundamental </w:t>
      </w:r>
      <w:r w:rsidRPr="00854B1C">
        <w:rPr>
          <w:rFonts w:ascii="Palatino Linotype" w:hAnsi="Palatino Linotype" w:cs="Arial"/>
          <w:i/>
        </w:rPr>
        <w:lastRenderedPageBreak/>
        <w:t>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B7D46" w:rsidRDefault="00AB7D46" w:rsidP="00AB7D46">
      <w:pPr>
        <w:spacing w:before="240" w:after="240" w:line="360" w:lineRule="auto"/>
        <w:contextualSpacing/>
        <w:jc w:val="both"/>
        <w:rPr>
          <w:rFonts w:ascii="Palatino Linotype" w:hAnsi="Palatino Linotype" w:cs="Arial"/>
        </w:rPr>
      </w:pPr>
    </w:p>
    <w:p w:rsidR="00AB7D46" w:rsidRDefault="00AB7D46" w:rsidP="00AB7D46">
      <w:pPr>
        <w:spacing w:line="360" w:lineRule="auto"/>
        <w:jc w:val="both"/>
        <w:rPr>
          <w:rFonts w:ascii="Palatino Linotype" w:hAnsi="Palatino Linotype"/>
        </w:rPr>
      </w:pPr>
      <w:r>
        <w:rPr>
          <w:rFonts w:ascii="Palatino Linotype" w:hAnsi="Palatino Linotype"/>
        </w:rPr>
        <w:t>Lo que se fortalece con</w:t>
      </w:r>
      <w:r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D01912" w:rsidRDefault="00D01912" w:rsidP="00AB7D46">
      <w:pPr>
        <w:spacing w:line="360" w:lineRule="auto"/>
        <w:jc w:val="both"/>
        <w:rPr>
          <w:rFonts w:ascii="Palatino Linotype" w:hAnsi="Palatino Linotype"/>
        </w:rPr>
      </w:pPr>
    </w:p>
    <w:p w:rsidR="00AB7D46" w:rsidRDefault="00AB7D46" w:rsidP="00AB7D46">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Pr>
          <w:rFonts w:ascii="Palatino Linotype" w:hAnsi="Palatino Linotype"/>
          <w:i/>
        </w:rPr>
        <w:t xml:space="preserve">no o justifique su utilización. </w:t>
      </w:r>
      <w:r w:rsidRPr="00E96B90">
        <w:rPr>
          <w:rFonts w:ascii="Palatino Linotype" w:hAnsi="Palatino Linotype"/>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Pr>
          <w:rFonts w:ascii="Palatino Linotype" w:hAnsi="Palatino Linotype"/>
          <w:i/>
        </w:rPr>
        <w:t>(Sic)</w:t>
      </w:r>
    </w:p>
    <w:p w:rsidR="00AB7D46" w:rsidRDefault="00AB7D46" w:rsidP="00AB7D46">
      <w:pPr>
        <w:ind w:left="851" w:right="758"/>
        <w:contextualSpacing/>
        <w:jc w:val="both"/>
        <w:rPr>
          <w:rFonts w:ascii="Palatino Linotype" w:hAnsi="Palatino Linotype"/>
          <w:i/>
        </w:rPr>
      </w:pPr>
    </w:p>
    <w:p w:rsidR="00AB7D46" w:rsidRDefault="00AB7D46" w:rsidP="00AB7D46">
      <w:pPr>
        <w:spacing w:line="360" w:lineRule="auto"/>
        <w:contextualSpacing/>
        <w:jc w:val="both"/>
        <w:rPr>
          <w:rFonts w:ascii="Palatino Linotype" w:hAnsi="Palatino Linotype"/>
        </w:rPr>
      </w:pPr>
      <w:r w:rsidRPr="008915FA">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w:t>
      </w:r>
      <w:r w:rsidRPr="008915FA">
        <w:rPr>
          <w:rFonts w:ascii="Palatino Linotype" w:hAnsi="Palatino Linotype"/>
        </w:rPr>
        <w:lastRenderedPageBreak/>
        <w:t>Unidos Mexica</w:t>
      </w:r>
      <w:r>
        <w:rPr>
          <w:rFonts w:ascii="Palatino Linotype" w:hAnsi="Palatino Linotype"/>
        </w:rPr>
        <w:t>nos y 5 párrafo vigésimo noveno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Pr>
          <w:rFonts w:ascii="Palatino Linotype" w:hAnsi="Palatino Linotype"/>
        </w:rPr>
        <w:t>ctrónicas de los</w:t>
      </w:r>
      <w:r w:rsidRPr="008915FA">
        <w:rPr>
          <w:rFonts w:ascii="Palatino Linotype" w:hAnsi="Palatino Linotype"/>
        </w:rPr>
        <w:t xml:space="preserve"> expediente</w:t>
      </w:r>
      <w:r>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190B8E" w:rsidRPr="002504B2" w:rsidRDefault="00190B8E" w:rsidP="00190B8E">
      <w:pPr>
        <w:spacing w:before="240" w:after="240" w:line="360" w:lineRule="auto"/>
        <w:jc w:val="both"/>
        <w:rPr>
          <w:rFonts w:ascii="Palatino Linotype" w:hAnsi="Palatino Linotype" w:cs="Arial"/>
        </w:rPr>
      </w:pPr>
      <w:r>
        <w:rPr>
          <w:rFonts w:ascii="Palatino Linotype" w:hAnsi="Palatino Linotype"/>
        </w:rPr>
        <w:t>Asimismo, resulta procedente</w:t>
      </w:r>
      <w:r w:rsidRPr="002504B2">
        <w:rPr>
          <w:rFonts w:ascii="Palatino Linotype" w:hAnsi="Palatino Linotype" w:cs="Arial"/>
        </w:rPr>
        <w:t xml:space="preserve"> la interposición del recurso de revisión al rubro anotado, toda vez que se actualiza las hipótesis previstas e</w:t>
      </w:r>
      <w:r>
        <w:rPr>
          <w:rFonts w:ascii="Palatino Linotype" w:hAnsi="Palatino Linotype" w:cs="Arial"/>
        </w:rPr>
        <w:t>n el artículo 179, fracciones I y II</w:t>
      </w:r>
      <w:r w:rsidRPr="002504B2">
        <w:rPr>
          <w:rFonts w:ascii="Palatino Linotype" w:hAnsi="Palatino Linotype" w:cs="Arial"/>
        </w:rPr>
        <w:t xml:space="preserve"> de la ley de la materia, que a la letra dice:</w:t>
      </w:r>
    </w:p>
    <w:p w:rsidR="00190B8E" w:rsidRDefault="00190B8E" w:rsidP="00190B8E">
      <w:pPr>
        <w:autoSpaceDE w:val="0"/>
        <w:autoSpaceDN w:val="0"/>
        <w:adjustRightInd w:val="0"/>
        <w:ind w:left="1276" w:right="1752"/>
        <w:jc w:val="both"/>
        <w:rPr>
          <w:rFonts w:ascii="Palatino Linotype" w:hAnsi="Palatino Linotype" w:cs="Arial"/>
          <w:i/>
          <w:sz w:val="22"/>
          <w:szCs w:val="22"/>
        </w:rPr>
      </w:pPr>
      <w:r w:rsidRPr="002504B2">
        <w:rPr>
          <w:rFonts w:ascii="Palatino Linotype" w:hAnsi="Palatino Linotype" w:cs="Arial"/>
          <w:bCs/>
          <w:i/>
          <w:sz w:val="22"/>
          <w:szCs w:val="22"/>
        </w:rPr>
        <w:t>“</w:t>
      </w:r>
      <w:r w:rsidRPr="002504B2">
        <w:rPr>
          <w:rFonts w:ascii="Palatino Linotype" w:hAnsi="Palatino Linotype" w:cs="Arial"/>
          <w:b/>
          <w:bCs/>
          <w:i/>
          <w:sz w:val="22"/>
          <w:szCs w:val="22"/>
        </w:rPr>
        <w:t xml:space="preserve">Artículo 179. </w:t>
      </w:r>
      <w:r w:rsidRPr="002504B2">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2504B2">
        <w:rPr>
          <w:rFonts w:ascii="Palatino Linotype" w:hAnsi="Palatino Linotype" w:cs="Arial"/>
          <w:i/>
          <w:szCs w:val="22"/>
        </w:rPr>
        <w:t>causas</w:t>
      </w:r>
      <w:r w:rsidRPr="002504B2">
        <w:rPr>
          <w:rFonts w:ascii="Palatino Linotype" w:hAnsi="Palatino Linotype" w:cs="Arial"/>
          <w:i/>
          <w:sz w:val="22"/>
          <w:szCs w:val="22"/>
        </w:rPr>
        <w:t>:</w:t>
      </w:r>
    </w:p>
    <w:p w:rsidR="00190B8E" w:rsidRPr="00D01912" w:rsidRDefault="00190B8E" w:rsidP="00190B8E">
      <w:pPr>
        <w:pStyle w:val="Prrafodelista"/>
        <w:numPr>
          <w:ilvl w:val="0"/>
          <w:numId w:val="28"/>
        </w:numPr>
        <w:tabs>
          <w:tab w:val="left" w:pos="1412"/>
        </w:tabs>
        <w:autoSpaceDE w:val="0"/>
        <w:autoSpaceDN w:val="0"/>
        <w:adjustRightInd w:val="0"/>
        <w:ind w:right="1752"/>
        <w:jc w:val="both"/>
        <w:rPr>
          <w:rFonts w:ascii="Palatino Linotype" w:hAnsi="Palatino Linotype" w:cs="Arial"/>
          <w:i/>
          <w:sz w:val="22"/>
          <w:szCs w:val="22"/>
        </w:rPr>
      </w:pPr>
      <w:r>
        <w:rPr>
          <w:rFonts w:ascii="Palatino Linotype" w:hAnsi="Palatino Linotype" w:cs="Arial"/>
          <w:i/>
          <w:sz w:val="22"/>
          <w:szCs w:val="22"/>
        </w:rPr>
        <w:t>La negativa de la información solicitada;</w:t>
      </w:r>
    </w:p>
    <w:p w:rsidR="00190B8E" w:rsidRPr="00422685" w:rsidRDefault="00190B8E" w:rsidP="00190B8E">
      <w:pPr>
        <w:autoSpaceDE w:val="0"/>
        <w:autoSpaceDN w:val="0"/>
        <w:adjustRightInd w:val="0"/>
        <w:ind w:left="1276" w:right="1752"/>
        <w:jc w:val="both"/>
        <w:rPr>
          <w:rFonts w:ascii="Palatino Linotype" w:hAnsi="Palatino Linotype" w:cs="Arial"/>
          <w:i/>
          <w:sz w:val="22"/>
          <w:szCs w:val="22"/>
        </w:rPr>
      </w:pPr>
      <w:r w:rsidRPr="00AB7D46">
        <w:rPr>
          <w:rFonts w:ascii="Palatino Linotype" w:hAnsi="Palatino Linotype" w:cs="Arial"/>
          <w:i/>
          <w:sz w:val="22"/>
          <w:szCs w:val="22"/>
        </w:rPr>
        <w:t>II. La clasificación de la información</w:t>
      </w:r>
      <w:r w:rsidRPr="00422685">
        <w:rPr>
          <w:rFonts w:ascii="Palatino Linotype" w:hAnsi="Palatino Linotype" w:cs="Arial"/>
          <w:i/>
          <w:sz w:val="22"/>
          <w:szCs w:val="22"/>
        </w:rPr>
        <w:t>…” (Sic)</w:t>
      </w:r>
    </w:p>
    <w:p w:rsidR="00190B8E" w:rsidRDefault="00190B8E" w:rsidP="00AB7D46">
      <w:pPr>
        <w:spacing w:line="360" w:lineRule="auto"/>
        <w:contextualSpacing/>
        <w:jc w:val="both"/>
        <w:rPr>
          <w:rFonts w:ascii="Palatino Linotype" w:hAnsi="Palatino Linotype"/>
        </w:rPr>
      </w:pPr>
    </w:p>
    <w:p w:rsidR="002E7C7B" w:rsidRPr="002504B2" w:rsidRDefault="002E7C7B" w:rsidP="002E7C7B">
      <w:pPr>
        <w:tabs>
          <w:tab w:val="left" w:pos="8647"/>
        </w:tabs>
        <w:spacing w:before="240" w:after="240" w:line="360" w:lineRule="auto"/>
        <w:jc w:val="both"/>
        <w:rPr>
          <w:rFonts w:ascii="Palatino Linotype" w:hAnsi="Palatino Linotype" w:cs="Arial"/>
          <w:b/>
        </w:rPr>
      </w:pPr>
      <w:r w:rsidRPr="002504B2">
        <w:rPr>
          <w:rFonts w:ascii="Palatino Linotype" w:hAnsi="Palatino Linotype" w:cs="Arial"/>
          <w:b/>
        </w:rPr>
        <w:t xml:space="preserve">Tercero. Materia de la revisión. </w:t>
      </w:r>
      <w:r w:rsidRPr="002504B2">
        <w:rPr>
          <w:rFonts w:ascii="Palatino Linotype" w:hAnsi="Palatino Linotype" w:cs="Arial"/>
        </w:rPr>
        <w:t xml:space="preserve">De la revisión a </w:t>
      </w:r>
      <w:r w:rsidR="00347609">
        <w:rPr>
          <w:rFonts w:ascii="Palatino Linotype" w:hAnsi="Palatino Linotype" w:cs="Arial"/>
        </w:rPr>
        <w:t>las constancias que obran en el expediente</w:t>
      </w:r>
      <w:r w:rsidRPr="002504B2">
        <w:rPr>
          <w:rFonts w:ascii="Palatino Linotype" w:hAnsi="Palatino Linotype" w:cs="Arial"/>
        </w:rPr>
        <w:t xml:space="preserve"> electrónico se advierte que el tema sobre el que este Instituto se pronunciará será: </w:t>
      </w:r>
      <w:r w:rsidRPr="002504B2">
        <w:rPr>
          <w:rFonts w:ascii="Palatino Linotype" w:hAnsi="Palatino Linotype" w:cs="Arial"/>
          <w:b/>
        </w:rPr>
        <w:t>verificar si la respuesta otorgada por parte del Sujeto Obligado satisface el requerimiento del ahora recurrente, o en su caso procede ordenar la en</w:t>
      </w:r>
      <w:r w:rsidR="00AB7D46">
        <w:rPr>
          <w:rFonts w:ascii="Palatino Linotype" w:hAnsi="Palatino Linotype" w:cs="Arial"/>
          <w:b/>
        </w:rPr>
        <w:t>trega de la información correspondiente</w:t>
      </w:r>
      <w:r w:rsidRPr="002504B2">
        <w:rPr>
          <w:rFonts w:ascii="Palatino Linotype" w:hAnsi="Palatino Linotype" w:cs="Arial"/>
          <w:b/>
        </w:rPr>
        <w:t>.</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Cuarto. Estudio del asunto. </w:t>
      </w:r>
      <w:bookmarkStart w:id="0" w:name="_Hlk29489835"/>
      <w:r w:rsidRPr="002504B2">
        <w:rPr>
          <w:rFonts w:ascii="Palatino Linotype" w:hAnsi="Palatino Linotype" w:cs="Arial"/>
        </w:rPr>
        <w:t>De manera previa a entrar a analizar las const</w:t>
      </w:r>
      <w:r w:rsidR="00347609">
        <w:rPr>
          <w:rFonts w:ascii="Palatino Linotype" w:hAnsi="Palatino Linotype" w:cs="Arial"/>
        </w:rPr>
        <w:t>ancias que integran el</w:t>
      </w:r>
      <w:r>
        <w:rPr>
          <w:rFonts w:ascii="Palatino Linotype" w:hAnsi="Palatino Linotype" w:cs="Arial"/>
        </w:rPr>
        <w:t xml:space="preserve"> recurso</w:t>
      </w:r>
      <w:r w:rsidRPr="002504B2">
        <w:rPr>
          <w:rFonts w:ascii="Palatino Linotype" w:hAnsi="Palatino Linotype" w:cs="Arial"/>
        </w:rPr>
        <w:t xml:space="preserve"> de revisión al rubro anotado, este Órgano Garante estima pertinente mencionar que </w:t>
      </w:r>
      <w:r>
        <w:rPr>
          <w:rFonts w:ascii="Palatino Linotype" w:hAnsi="Palatino Linotype" w:cs="Arial"/>
        </w:rPr>
        <w:t>la recurrente en su solicitud</w:t>
      </w:r>
      <w:r w:rsidRPr="002504B2">
        <w:rPr>
          <w:rFonts w:ascii="Palatino Linotype" w:hAnsi="Palatino Linotype" w:cs="Arial"/>
        </w:rPr>
        <w:t xml:space="preserve"> número </w:t>
      </w:r>
      <w:r w:rsidR="00D01912" w:rsidRPr="00D01912">
        <w:rPr>
          <w:rFonts w:ascii="Palatino Linotype" w:hAnsi="Palatino Linotype" w:cs="Arial"/>
          <w:b/>
          <w:bCs/>
        </w:rPr>
        <w:lastRenderedPageBreak/>
        <w:t>00370/TEOLOYU/IP/2021</w:t>
      </w:r>
      <w:r w:rsidR="00422685">
        <w:rPr>
          <w:rFonts w:ascii="Palatino Linotype" w:hAnsi="Palatino Linotype" w:cs="Arial"/>
          <w:b/>
        </w:rPr>
        <w:t xml:space="preserve">, </w:t>
      </w:r>
      <w:r w:rsidRPr="002504B2">
        <w:rPr>
          <w:rFonts w:ascii="Palatino Linotype" w:hAnsi="Palatino Linotype" w:cs="Arial"/>
        </w:rPr>
        <w:t xml:space="preserve">requirió al </w:t>
      </w:r>
      <w:bookmarkEnd w:id="0"/>
      <w:r w:rsidR="00D01912">
        <w:rPr>
          <w:rFonts w:ascii="Palatino Linotype" w:hAnsi="Palatino Linotype" w:cs="Arial"/>
          <w:b/>
          <w:bCs/>
        </w:rPr>
        <w:t>Ayuntamiento de Teoloyucan</w:t>
      </w:r>
      <w:r w:rsidR="00AB7D46">
        <w:rPr>
          <w:rFonts w:ascii="Palatino Linotype" w:hAnsi="Palatino Linotype" w:cs="Arial"/>
          <w:b/>
          <w:bCs/>
        </w:rPr>
        <w:t>,</w:t>
      </w:r>
      <w:r w:rsidRPr="002504B2">
        <w:rPr>
          <w:rFonts w:ascii="Palatino Linotype" w:hAnsi="Palatino Linotype" w:cs="Arial"/>
        </w:rPr>
        <w:t xml:space="preserve"> le proporcionara lo siguiente:</w:t>
      </w:r>
    </w:p>
    <w:p w:rsidR="00163F39" w:rsidRPr="00163F39" w:rsidRDefault="00163F39" w:rsidP="00163F39">
      <w:pPr>
        <w:pStyle w:val="Prrafodelista"/>
        <w:numPr>
          <w:ilvl w:val="0"/>
          <w:numId w:val="29"/>
        </w:numPr>
        <w:spacing w:before="240" w:after="240" w:line="360" w:lineRule="auto"/>
        <w:jc w:val="both"/>
        <w:rPr>
          <w:rFonts w:ascii="Palatino Linotype" w:hAnsi="Palatino Linotype" w:cs="Arial"/>
        </w:rPr>
      </w:pPr>
      <w:r>
        <w:rPr>
          <w:rFonts w:ascii="Palatino Linotype" w:hAnsi="Palatino Linotype" w:cs="Arial"/>
        </w:rPr>
        <w:t>Los</w:t>
      </w:r>
      <w:r w:rsidRPr="00163F39">
        <w:rPr>
          <w:rFonts w:ascii="Palatino Linotype" w:hAnsi="Palatino Linotype" w:cs="Arial"/>
        </w:rPr>
        <w:t xml:space="preserve"> convenios y denuncias que lleva el área jurídica</w:t>
      </w:r>
      <w:r>
        <w:rPr>
          <w:rFonts w:ascii="Palatino Linotype" w:hAnsi="Palatino Linotype" w:cs="Arial"/>
        </w:rPr>
        <w:t xml:space="preserve"> del A</w:t>
      </w:r>
      <w:r w:rsidRPr="00163F39">
        <w:rPr>
          <w:rFonts w:ascii="Palatino Linotype" w:hAnsi="Palatino Linotype" w:cs="Arial"/>
        </w:rPr>
        <w:t xml:space="preserve">yuntamiento de </w:t>
      </w:r>
      <w:r>
        <w:rPr>
          <w:rFonts w:ascii="Palatino Linotype" w:hAnsi="Palatino Linotype" w:cs="Arial"/>
        </w:rPr>
        <w:t>Teoloyuca</w:t>
      </w:r>
      <w:r w:rsidRPr="00163F39">
        <w:rPr>
          <w:rFonts w:ascii="Palatino Linotype" w:hAnsi="Palatino Linotype" w:cs="Arial"/>
        </w:rPr>
        <w:t>n con documentación probatoria de los años 2019, 2020 y 2021</w:t>
      </w:r>
      <w:r>
        <w:rPr>
          <w:rFonts w:ascii="Palatino Linotype" w:hAnsi="Palatino Linotype" w:cs="Arial"/>
        </w:rPr>
        <w:t>.</w:t>
      </w:r>
    </w:p>
    <w:p w:rsidR="002E7C7B" w:rsidRPr="002504B2" w:rsidRDefault="002E7C7B" w:rsidP="002E7C7B">
      <w:pPr>
        <w:spacing w:before="240" w:after="240" w:line="360" w:lineRule="auto"/>
        <w:jc w:val="both"/>
        <w:rPr>
          <w:rFonts w:ascii="Palatino Linotype" w:hAnsi="Palatino Linotype" w:cs="Arial"/>
        </w:rPr>
      </w:pPr>
      <w:r w:rsidRPr="009E4210">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w:t>
      </w:r>
      <w:r w:rsidRPr="002504B2">
        <w:rPr>
          <w:rFonts w:ascii="Palatino Linotype" w:hAnsi="Palatino Linotype" w:cs="Arial"/>
        </w:rPr>
        <w:t>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63F39" w:rsidRDefault="009D13DD" w:rsidP="009D13DD">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respuesta el Sujeto Obligado, señaló </w:t>
      </w:r>
      <w:r w:rsidR="003E2463">
        <w:rPr>
          <w:rFonts w:ascii="Palatino Linotype" w:hAnsi="Palatino Linotype" w:cs="Arial"/>
          <w:lang w:val="es-MX"/>
        </w:rPr>
        <w:t xml:space="preserve">a través de su </w:t>
      </w:r>
      <w:r w:rsidR="00163F39">
        <w:rPr>
          <w:rFonts w:ascii="Palatino Linotype" w:hAnsi="Palatino Linotype" w:cs="Arial"/>
          <w:lang w:val="es-MX"/>
        </w:rPr>
        <w:t xml:space="preserve">Dirección Jurídica, que respecto de los convenios, que dicha área no tiene la facultad de celebrar convenios, por lo que no cuenta con la información que pudiere presentarse. </w:t>
      </w:r>
    </w:p>
    <w:p w:rsidR="002E7C7B" w:rsidRPr="00673240" w:rsidRDefault="00163F39" w:rsidP="009D13DD">
      <w:pPr>
        <w:spacing w:before="240" w:after="240" w:line="360" w:lineRule="auto"/>
        <w:jc w:val="both"/>
        <w:rPr>
          <w:rFonts w:ascii="Palatino Linotype" w:hAnsi="Palatino Linotype" w:cs="Arial"/>
          <w:lang w:val="es-MX"/>
        </w:rPr>
      </w:pPr>
      <w:r>
        <w:rPr>
          <w:rFonts w:ascii="Palatino Linotype" w:hAnsi="Palatino Linotype" w:cs="Arial"/>
          <w:lang w:val="es-MX"/>
        </w:rPr>
        <w:t xml:space="preserve">Sobre las denuncias, la misma área de Dirección Jurídica, indicó que dicha información es reservada que cuya divulgación puede causar daño al proceso judicial toda vez que no existen sentencias, por lo que su publicación derivaría en el entorpecimiento de los procedimientos y afectaría las resoluciones futuras. </w:t>
      </w:r>
      <w:r w:rsidR="003E2463">
        <w:rPr>
          <w:rFonts w:ascii="Palatino Linotype" w:hAnsi="Palatino Linotype" w:cs="Arial"/>
          <w:lang w:val="es-MX"/>
        </w:rPr>
        <w:t>Cabe señalar, que el Su</w:t>
      </w:r>
      <w:r w:rsidR="00A43B9A">
        <w:rPr>
          <w:rFonts w:ascii="Palatino Linotype" w:hAnsi="Palatino Linotype" w:cs="Arial"/>
          <w:lang w:val="es-MX"/>
        </w:rPr>
        <w:t>jeto Obligado no adjuntó</w:t>
      </w:r>
      <w:r w:rsidR="003E2463">
        <w:rPr>
          <w:rFonts w:ascii="Palatino Linotype" w:hAnsi="Palatino Linotype" w:cs="Arial"/>
          <w:lang w:val="es-MX"/>
        </w:rPr>
        <w:t xml:space="preserve"> el acuerdo de su comité de transparencia en donde clasifica la información como reservada.</w:t>
      </w:r>
    </w:p>
    <w:p w:rsidR="00797FB6" w:rsidRDefault="002E7C7B" w:rsidP="002E7C7B">
      <w:pPr>
        <w:spacing w:before="240" w:after="240" w:line="360" w:lineRule="auto"/>
        <w:jc w:val="both"/>
        <w:rPr>
          <w:rFonts w:ascii="Palatino Linotype" w:hAnsi="Palatino Linotype"/>
        </w:rPr>
      </w:pPr>
      <w:r>
        <w:rPr>
          <w:rFonts w:ascii="Palatino Linotype" w:hAnsi="Palatino Linotype"/>
        </w:rPr>
        <w:lastRenderedPageBreak/>
        <w:t>Inconforme con la respuesta emitida</w:t>
      </w:r>
      <w:r w:rsidRPr="002504B2">
        <w:rPr>
          <w:rFonts w:ascii="Palatino Linotype" w:hAnsi="Palatino Linotype"/>
        </w:rPr>
        <w:t xml:space="preserve"> por el Sujeto Obligado, el r</w:t>
      </w:r>
      <w:r>
        <w:rPr>
          <w:rFonts w:ascii="Palatino Linotype" w:hAnsi="Palatino Linotype"/>
        </w:rPr>
        <w:t>ecurrente interpuso el recurso</w:t>
      </w:r>
      <w:r w:rsidR="00797FB6">
        <w:rPr>
          <w:rFonts w:ascii="Palatino Linotype" w:hAnsi="Palatino Linotype"/>
        </w:rPr>
        <w:t xml:space="preserve"> de revisión inconformándose, concatenando sus motivos de inconformidad con el acto impugnado, por la clasificación de la información reservada, solicitando</w:t>
      </w:r>
      <w:r w:rsidR="00797FB6">
        <w:rPr>
          <w:rFonts w:ascii="Verdana" w:hAnsi="Verdana"/>
          <w:color w:val="000000"/>
          <w:sz w:val="14"/>
          <w:szCs w:val="14"/>
        </w:rPr>
        <w:t xml:space="preserve"> </w:t>
      </w:r>
      <w:r w:rsidR="00797FB6" w:rsidRPr="00797FB6">
        <w:rPr>
          <w:rFonts w:ascii="Palatino Linotype" w:hAnsi="Palatino Linotype"/>
        </w:rPr>
        <w:t>la prueba de daño y el acta de comité</w:t>
      </w:r>
      <w:r w:rsidR="00797FB6">
        <w:rPr>
          <w:rFonts w:ascii="Palatino Linotype" w:hAnsi="Palatino Linotype"/>
        </w:rPr>
        <w:t xml:space="preserve"> y además que la mayoría de las direcciones jurídicas de los ayuntamientos ven los convenios.</w:t>
      </w:r>
    </w:p>
    <w:p w:rsidR="00CF7C64" w:rsidRPr="0040679F" w:rsidRDefault="00CF7C64" w:rsidP="002E7C7B">
      <w:pPr>
        <w:spacing w:before="240" w:after="240" w:line="360" w:lineRule="auto"/>
        <w:jc w:val="both"/>
        <w:rPr>
          <w:rFonts w:ascii="Palatino Linotype" w:hAnsi="Palatino Linotype"/>
        </w:rPr>
      </w:pPr>
      <w:r>
        <w:rPr>
          <w:rFonts w:ascii="Palatino Linotype" w:hAnsi="Palatino Linotype"/>
        </w:rPr>
        <w:t xml:space="preserve">Ante los motivos de inconformidad el Sujeto Obligado </w:t>
      </w:r>
      <w:r w:rsidR="00872082">
        <w:rPr>
          <w:rFonts w:ascii="Palatino Linotype" w:hAnsi="Palatino Linotype"/>
        </w:rPr>
        <w:t>omitió rendir su informe justificado.</w:t>
      </w:r>
    </w:p>
    <w:p w:rsidR="002E7C7B" w:rsidRDefault="002E7C7B" w:rsidP="002E7C7B">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sidRPr="002504B2">
        <w:rPr>
          <w:rFonts w:ascii="Palatino Linotype" w:hAnsi="Palatino Linotype" w:cs="Arial"/>
        </w:rPr>
        <w:t xml:space="preserve">En este sentido debe mencionarse que del análisis realizado a los motivos de inconformidad </w:t>
      </w:r>
      <w:r w:rsidR="00797FB6">
        <w:rPr>
          <w:rFonts w:ascii="Palatino Linotype" w:hAnsi="Palatino Linotype" w:cs="Arial"/>
        </w:rPr>
        <w:t xml:space="preserve">concatenado con el acto impugnado, </w:t>
      </w:r>
      <w:r w:rsidRPr="002504B2">
        <w:rPr>
          <w:rFonts w:ascii="Palatino Linotype" w:hAnsi="Palatino Linotype" w:cs="Arial"/>
        </w:rPr>
        <w:t>se concluye que los mismos son fundados en atención a lo siguiente:</w:t>
      </w:r>
    </w:p>
    <w:p w:rsidR="00872082" w:rsidRDefault="00872082" w:rsidP="00CF7C64">
      <w:pPr>
        <w:pStyle w:val="Prrafodelista"/>
        <w:widowControl w:val="0"/>
        <w:tabs>
          <w:tab w:val="left" w:pos="426"/>
        </w:tabs>
        <w:autoSpaceDE w:val="0"/>
        <w:autoSpaceDN w:val="0"/>
        <w:adjustRightInd w:val="0"/>
        <w:spacing w:before="240" w:after="240" w:line="360" w:lineRule="auto"/>
        <w:ind w:left="0"/>
        <w:jc w:val="both"/>
        <w:rPr>
          <w:rFonts w:ascii="Palatino Linotype" w:eastAsia="Arial Unicode MS" w:hAnsi="Palatino Linotype" w:cs="Arial"/>
        </w:rPr>
      </w:pPr>
    </w:p>
    <w:p w:rsidR="002E7C7B" w:rsidRPr="002504B2" w:rsidRDefault="00190B8E" w:rsidP="00A43B9A">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Pr>
          <w:rFonts w:ascii="Palatino Linotype" w:eastAsia="Arial Unicode MS" w:hAnsi="Palatino Linotype" w:cs="Arial"/>
        </w:rPr>
        <w:t>D</w:t>
      </w:r>
      <w:r w:rsidR="00A43B9A" w:rsidRPr="002164FC">
        <w:rPr>
          <w:rFonts w:ascii="Palatino Linotype" w:eastAsia="Arial Unicode MS" w:hAnsi="Palatino Linotype" w:cs="Arial"/>
        </w:rPr>
        <w:t xml:space="preserve">ebe decirse que </w:t>
      </w:r>
      <w:r w:rsidR="002E7C7B" w:rsidRPr="002164FC">
        <w:rPr>
          <w:rFonts w:ascii="Palatino Linotype" w:hAnsi="Palatino Linotype" w:cs="Arial"/>
        </w:rPr>
        <w:t xml:space="preserve">cualquier persona tiene el derecho al acceso de la información pública, información </w:t>
      </w:r>
      <w:r w:rsidR="002E7C7B" w:rsidRPr="002504B2">
        <w:rPr>
          <w:rFonts w:ascii="Palatino Linotype" w:hAnsi="Palatino Linotype" w:cs="Arial"/>
        </w:rPr>
        <w:t>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4</w:t>
      </w:r>
      <w:r w:rsidRPr="002504B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E7C7B" w:rsidRPr="002504B2" w:rsidRDefault="002E7C7B" w:rsidP="002E7C7B">
      <w:pPr>
        <w:ind w:left="851" w:right="851"/>
        <w:contextualSpacing/>
        <w:jc w:val="both"/>
        <w:rPr>
          <w:rFonts w:ascii="Palatino Linotype" w:hAnsi="Palatino Linotype" w:cs="Arial"/>
          <w:b/>
          <w:i/>
          <w:sz w:val="22"/>
          <w:szCs w:val="22"/>
        </w:rPr>
      </w:pPr>
      <w:r w:rsidRPr="002504B2">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2504B2">
        <w:rPr>
          <w:rFonts w:ascii="Palatino Linotype" w:hAnsi="Palatino Linotype" w:cs="Arial"/>
          <w:b/>
        </w:rPr>
        <w:t>artículo 12</w:t>
      </w:r>
      <w:r w:rsidRPr="002504B2">
        <w:rPr>
          <w:rFonts w:ascii="Palatino Linotype" w:hAnsi="Palatino Linotype" w:cs="Arial"/>
        </w:rPr>
        <w:t xml:space="preserve"> de la Ley de Transparencia y Acceso a la Información Pública del Estado de México y Municipios, el cual a la letra dice:</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12</w:t>
      </w:r>
      <w:r w:rsidRPr="002504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2E7C7B" w:rsidRPr="002504B2" w:rsidRDefault="002E7C7B" w:rsidP="002E7C7B">
      <w:pPr>
        <w:ind w:left="851" w:right="851"/>
        <w:contextualSpacing/>
        <w:jc w:val="both"/>
        <w:rPr>
          <w:rFonts w:ascii="Palatino Linotype" w:hAnsi="Palatino Linotype" w:cs="Arial"/>
          <w:i/>
          <w:sz w:val="22"/>
          <w:szCs w:val="22"/>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2E7C7B" w:rsidRPr="002504B2" w:rsidRDefault="002E7C7B" w:rsidP="002E7C7B">
      <w:pPr>
        <w:spacing w:line="360" w:lineRule="auto"/>
        <w:jc w:val="both"/>
        <w:rPr>
          <w:rFonts w:ascii="Palatino Linotype" w:hAnsi="Palatino Linotype" w:cs="Arial"/>
        </w:rPr>
      </w:pPr>
    </w:p>
    <w:p w:rsidR="002E7C7B" w:rsidRPr="002504B2" w:rsidRDefault="002E7C7B" w:rsidP="002E7C7B">
      <w:pPr>
        <w:spacing w:line="360" w:lineRule="auto"/>
        <w:jc w:val="both"/>
        <w:rPr>
          <w:rFonts w:ascii="Palatino Linotype" w:hAnsi="Palatino Linotype" w:cs="Arial"/>
          <w:color w:val="000000"/>
        </w:rPr>
      </w:pPr>
      <w:r w:rsidRPr="002504B2">
        <w:rPr>
          <w:rFonts w:ascii="Palatino Linotype" w:hAnsi="Palatino Linotype" w:cs="Arial"/>
          <w:color w:val="000000"/>
        </w:rPr>
        <w:t xml:space="preserve">Es decir, que el derecho de acceso a la información pública se satisface en aquellos casos en que se entregue documento en que conste la información requerida, toda </w:t>
      </w:r>
      <w:r w:rsidRPr="002504B2">
        <w:rPr>
          <w:rFonts w:ascii="Palatino Linotype" w:hAnsi="Palatino Linotype" w:cs="Arial"/>
          <w:color w:val="000000"/>
        </w:rPr>
        <w:lastRenderedPageBreak/>
        <w:t>vez que, los Sujetos Obligados</w:t>
      </w:r>
      <w:r w:rsidRPr="002504B2">
        <w:rPr>
          <w:rFonts w:ascii="Palatino Linotype" w:hAnsi="Palatino Linotype" w:cs="Arial"/>
          <w:b/>
          <w:color w:val="000000"/>
        </w:rPr>
        <w:t xml:space="preserve"> </w:t>
      </w:r>
      <w:r w:rsidRPr="002504B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504B2">
        <w:rPr>
          <w:rFonts w:ascii="Palatino Linotype" w:hAnsi="Palatino Linotype" w:cs="Arial"/>
          <w:i/>
          <w:color w:val="000000"/>
        </w:rPr>
        <w:t>ad hoc</w:t>
      </w:r>
      <w:r w:rsidRPr="002504B2">
        <w:rPr>
          <w:rFonts w:ascii="Palatino Linotype" w:hAnsi="Palatino Linotype" w:cs="Arial"/>
          <w:color w:val="000000"/>
        </w:rPr>
        <w:t xml:space="preserve">, para satisfacer el derecho de acceso a la información pública, </w:t>
      </w:r>
      <w:r w:rsidRPr="002504B2">
        <w:rPr>
          <w:rFonts w:ascii="Palatino Linotype" w:hAnsi="Palatino Linotype" w:cs="Arial"/>
        </w:rPr>
        <w:t>como así lo establ</w:t>
      </w:r>
      <w:r w:rsidR="00190B8E">
        <w:rPr>
          <w:rFonts w:ascii="Palatino Linotype" w:hAnsi="Palatino Linotype" w:cs="Arial"/>
        </w:rPr>
        <w:t>ece el criterio</w:t>
      </w:r>
      <w:r w:rsidRPr="002504B2">
        <w:rPr>
          <w:rFonts w:ascii="Palatino Linotype" w:hAnsi="Palatino Linotype" w:cs="Arial"/>
        </w:rPr>
        <w:t xml:space="preserve"> </w:t>
      </w:r>
      <w:r w:rsidR="00190B8E">
        <w:rPr>
          <w:rFonts w:ascii="Palatino Linotype" w:hAnsi="Palatino Linotype" w:cs="Arial"/>
        </w:rPr>
        <w:t>03/17 emitido</w:t>
      </w:r>
      <w:r w:rsidRPr="002504B2">
        <w:rPr>
          <w:rFonts w:ascii="Palatino Linotype" w:hAnsi="Palatino Linotype" w:cs="Arial"/>
        </w:rPr>
        <w:t xml:space="preserve"> por el Instituto Nacional de Transparencia, Acceso a la Información Pública y Pro</w:t>
      </w:r>
      <w:r w:rsidR="004530B8">
        <w:rPr>
          <w:rFonts w:ascii="Palatino Linotype" w:hAnsi="Palatino Linotype" w:cs="Arial"/>
        </w:rPr>
        <w:t>tección de Datos Personales, el cual señala</w:t>
      </w:r>
      <w:r w:rsidRPr="002504B2">
        <w:rPr>
          <w:rFonts w:ascii="Palatino Linotype" w:hAnsi="Palatino Linotype" w:cs="Arial"/>
        </w:rPr>
        <w:t xml:space="preserve"> lo siguiente:</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03/17</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“NO EXISTE OBLIGACIÓN DE ELABORAR DOCUMENTOS AD HOC PARA ATENDER LAS SOLICITUDES DE ACCESO A LA INFORM ACIÓN.</w:t>
      </w:r>
    </w:p>
    <w:p w:rsidR="002E7C7B" w:rsidRPr="002504B2" w:rsidRDefault="002E7C7B" w:rsidP="002E7C7B">
      <w:pPr>
        <w:ind w:left="851" w:right="851"/>
        <w:jc w:val="both"/>
        <w:rPr>
          <w:rFonts w:ascii="Palatino Linotype" w:hAnsi="Palatino Linotype"/>
          <w:i/>
          <w:sz w:val="22"/>
          <w:szCs w:val="22"/>
        </w:rPr>
      </w:pPr>
      <w:r w:rsidRPr="002504B2">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r w:rsidRPr="002504B2">
        <w:rPr>
          <w:rFonts w:ascii="Palatino Linotype" w:hAnsi="Palatino Linotype" w:cs="Arial"/>
        </w:rPr>
        <w:t>Por otra parte, y aunado a lo antepuesto, el artículo 24, último párrafo de la Ley de la materia</w:t>
      </w:r>
      <w:r w:rsidRPr="002504B2">
        <w:rPr>
          <w:rStyle w:val="Refdenotaalpie"/>
          <w:rFonts w:ascii="Palatino Linotype" w:hAnsi="Palatino Linotype" w:cs="Arial"/>
        </w:rPr>
        <w:footnoteReference w:id="1"/>
      </w:r>
      <w:r w:rsidRPr="002504B2">
        <w:rPr>
          <w:rFonts w:ascii="Palatino Linotype" w:hAnsi="Palatino Linotype" w:cs="Arial"/>
        </w:rPr>
        <w:t xml:space="preserve">, dispone que los Sujetos Obligados </w:t>
      </w:r>
      <w:r w:rsidRPr="002504B2">
        <w:rPr>
          <w:rFonts w:ascii="Palatino Linotype" w:hAnsi="Palatino Linotype" w:cs="Arial"/>
          <w:color w:val="000000" w:themeColor="text1"/>
        </w:rPr>
        <w:t xml:space="preserve">sólo proporcionarán la información pública que </w:t>
      </w:r>
      <w:r w:rsidRPr="002504B2">
        <w:rPr>
          <w:rFonts w:ascii="Palatino Linotype" w:hAnsi="Palatino Linotype" w:cs="Arial"/>
        </w:rPr>
        <w:t>generen</w:t>
      </w:r>
      <w:r w:rsidRPr="002504B2">
        <w:rPr>
          <w:rFonts w:ascii="Palatino Linotype" w:hAnsi="Palatino Linotype" w:cs="Arial"/>
          <w:color w:val="000000" w:themeColor="text1"/>
        </w:rPr>
        <w:t xml:space="preserve">, administren o posean en el ejercicio de sus atribuciones u obligaciones; por lo tanto, la información pública se encuentra a disposición de </w:t>
      </w:r>
      <w:r w:rsidRPr="002504B2">
        <w:rPr>
          <w:rFonts w:ascii="Palatino Linotype" w:hAnsi="Palatino Linotype" w:cs="Arial"/>
          <w:color w:val="000000" w:themeColor="text1"/>
        </w:rPr>
        <w:lastRenderedPageBreak/>
        <w:t>cualquier persona, lo que implica que es deber de los Sujetos Obligados, garantizar el Derecho de Acceso a la Información Pública.</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504B2">
        <w:rPr>
          <w:rFonts w:ascii="Palatino Linotype" w:hAnsi="Palatino Linotype" w:cs="Arial"/>
          <w:b/>
        </w:rPr>
        <w:t>cualquier otro registro que documente el ejercicio de las facultades, funciones, obligaciones y competencias de los Sujetos Obligados</w:t>
      </w:r>
      <w:r w:rsidRPr="002504B2">
        <w:rPr>
          <w:rFonts w:ascii="Palatino Linotype" w:hAnsi="Palatino Linotype" w:cs="Arial"/>
        </w:rPr>
        <w:t xml:space="preserve">; </w:t>
      </w:r>
      <w:r w:rsidRPr="002504B2">
        <w:rPr>
          <w:rFonts w:ascii="Palatino Linotype" w:hAnsi="Palatino Linotype" w:cs="Arial"/>
          <w:b/>
        </w:rPr>
        <w:t>los que, podrán estar en cualquier medio</w:t>
      </w:r>
      <w:r w:rsidRPr="002504B2">
        <w:rPr>
          <w:rFonts w:ascii="Palatino Linotype" w:hAnsi="Palatino Linotype" w:cs="Arial"/>
        </w:rPr>
        <w:t xml:space="preserve">, sea escrito, impreso, sonoro, visual, </w:t>
      </w:r>
      <w:r w:rsidRPr="002504B2">
        <w:rPr>
          <w:rFonts w:ascii="Palatino Linotype" w:hAnsi="Palatino Linotype" w:cs="Arial"/>
          <w:b/>
        </w:rPr>
        <w:t>electrónico</w:t>
      </w:r>
      <w:r w:rsidRPr="002504B2">
        <w:rPr>
          <w:rFonts w:ascii="Palatino Linotype" w:hAnsi="Palatino Linotype" w:cs="Arial"/>
        </w:rPr>
        <w:t xml:space="preserve">, informático u holográfico de conformidad con el artículo 3, fracción XI de la Ley de la materia, el cual señala lo siguiente: </w:t>
      </w:r>
    </w:p>
    <w:p w:rsidR="002E7C7B" w:rsidRPr="002504B2" w:rsidRDefault="002E7C7B" w:rsidP="002E7C7B">
      <w:pPr>
        <w:ind w:left="1134" w:right="899"/>
        <w:jc w:val="both"/>
        <w:rPr>
          <w:rFonts w:ascii="Palatino Linotype" w:hAnsi="Palatino Linotype" w:cs="Arial"/>
          <w:i/>
          <w:sz w:val="22"/>
          <w:szCs w:val="22"/>
        </w:rPr>
      </w:pP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 xml:space="preserve">Artículo 3. </w:t>
      </w:r>
      <w:r w:rsidRPr="002504B2">
        <w:rPr>
          <w:rFonts w:ascii="Palatino Linotype" w:hAnsi="Palatino Linotype" w:cs="Arial"/>
          <w:i/>
          <w:sz w:val="22"/>
          <w:szCs w:val="22"/>
        </w:rPr>
        <w:t>Para los efectos de la presente Ley se entenderá por:</w:t>
      </w: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p>
    <w:p w:rsidR="002E7C7B" w:rsidRPr="002504B2" w:rsidRDefault="002E7C7B" w:rsidP="002E7C7B">
      <w:pPr>
        <w:ind w:left="1134" w:right="899"/>
        <w:jc w:val="both"/>
        <w:rPr>
          <w:rFonts w:ascii="Palatino Linotype" w:hAnsi="Palatino Linotype" w:cs="Arial"/>
          <w:i/>
          <w:color w:val="000000"/>
          <w:sz w:val="22"/>
          <w:szCs w:val="22"/>
        </w:rPr>
      </w:pPr>
      <w:r w:rsidRPr="002504B2">
        <w:rPr>
          <w:rFonts w:ascii="Palatino Linotype" w:hAnsi="Palatino Linotype" w:cs="Arial"/>
          <w:b/>
          <w:i/>
          <w:color w:val="000000"/>
          <w:sz w:val="22"/>
          <w:szCs w:val="22"/>
        </w:rPr>
        <w:t>XI. Documento:</w:t>
      </w:r>
      <w:r w:rsidRPr="002504B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w:t>
      </w:r>
      <w:r w:rsidRPr="002504B2">
        <w:rPr>
          <w:rFonts w:ascii="Palatino Linotype" w:hAnsi="Palatino Linotype" w:cs="Arial"/>
          <w:i/>
          <w:color w:val="000000"/>
          <w:sz w:val="22"/>
          <w:szCs w:val="22"/>
        </w:rPr>
        <w:lastRenderedPageBreak/>
        <w:t xml:space="preserve">y competencias de los sujetos obligados, sus servidores públicos e integrantes, sin importar su fuente o fecha de elaboración. </w:t>
      </w:r>
      <w:r w:rsidRPr="002504B2">
        <w:rPr>
          <w:rFonts w:ascii="Palatino Linotype" w:hAnsi="Palatino Linotype" w:cs="Arial"/>
          <w:b/>
          <w:i/>
          <w:color w:val="000000"/>
          <w:sz w:val="22"/>
          <w:szCs w:val="22"/>
        </w:rPr>
        <w:t>Los documentos podrán estar en cualquier medio</w:t>
      </w:r>
      <w:r w:rsidRPr="002504B2">
        <w:rPr>
          <w:rFonts w:ascii="Palatino Linotype" w:hAnsi="Palatino Linotype" w:cs="Arial"/>
          <w:i/>
          <w:color w:val="000000"/>
          <w:sz w:val="22"/>
          <w:szCs w:val="22"/>
        </w:rPr>
        <w:t xml:space="preserve">, sea escrito, impreso, sonoro, visual, </w:t>
      </w:r>
      <w:r w:rsidRPr="002504B2">
        <w:rPr>
          <w:rFonts w:ascii="Palatino Linotype" w:hAnsi="Palatino Linotype" w:cs="Arial"/>
          <w:b/>
          <w:i/>
          <w:color w:val="000000"/>
          <w:sz w:val="22"/>
          <w:szCs w:val="22"/>
        </w:rPr>
        <w:t>electrónico</w:t>
      </w:r>
      <w:r w:rsidRPr="002504B2">
        <w:rPr>
          <w:rFonts w:ascii="Palatino Linotype" w:hAnsi="Palatino Linotype" w:cs="Arial"/>
          <w:i/>
          <w:color w:val="000000"/>
          <w:sz w:val="22"/>
          <w:szCs w:val="22"/>
        </w:rPr>
        <w:t>, informático u holográfico</w:t>
      </w:r>
      <w:r w:rsidRPr="002504B2">
        <w:rPr>
          <w:rFonts w:ascii="Palatino Linotype" w:hAnsi="Palatino Linotype" w:cs="Arial"/>
          <w:b/>
          <w:i/>
          <w:color w:val="000000"/>
          <w:sz w:val="22"/>
          <w:szCs w:val="22"/>
        </w:rPr>
        <w:t>…</w:t>
      </w:r>
      <w:r w:rsidRPr="002504B2">
        <w:rPr>
          <w:rFonts w:ascii="Palatino Linotype" w:hAnsi="Palatino Linotype" w:cs="Arial"/>
          <w:i/>
          <w:color w:val="000000"/>
          <w:sz w:val="22"/>
          <w:szCs w:val="22"/>
        </w:rPr>
        <w:t>”</w:t>
      </w:r>
    </w:p>
    <w:p w:rsidR="002E7C7B" w:rsidRPr="002504B2" w:rsidRDefault="002E7C7B" w:rsidP="002E7C7B">
      <w:pPr>
        <w:ind w:left="851" w:right="899"/>
        <w:jc w:val="both"/>
        <w:rPr>
          <w:rFonts w:ascii="Palatino Linotype" w:hAnsi="Palatino Linotype" w:cs="Arial"/>
          <w:i/>
          <w:color w:val="000000"/>
          <w:sz w:val="22"/>
          <w:szCs w:val="22"/>
        </w:rPr>
      </w:pPr>
    </w:p>
    <w:p w:rsidR="002E7C7B" w:rsidRPr="002504B2" w:rsidRDefault="002E7C7B" w:rsidP="002E7C7B">
      <w:pPr>
        <w:autoSpaceDE w:val="0"/>
        <w:autoSpaceDN w:val="0"/>
        <w:adjustRightInd w:val="0"/>
        <w:spacing w:line="360" w:lineRule="auto"/>
        <w:jc w:val="both"/>
        <w:rPr>
          <w:rFonts w:ascii="Palatino Linotype" w:hAnsi="Palatino Linotype" w:cs="Arial"/>
        </w:rPr>
      </w:pPr>
      <w:r w:rsidRPr="002504B2">
        <w:rPr>
          <w:rFonts w:ascii="Palatino Linotype" w:hAnsi="Palatino Linotype" w:cs="Arial"/>
        </w:rPr>
        <w:t xml:space="preserve">Siendo aplicable, el Criterio </w:t>
      </w:r>
      <w:r w:rsidRPr="002504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04B2">
        <w:rPr>
          <w:rFonts w:ascii="Palatino Linotype" w:hAnsi="Palatino Linotype" w:cs="Arial"/>
        </w:rPr>
        <w:t>cuyo rubro y texto refieren lo siguiente:</w:t>
      </w:r>
    </w:p>
    <w:p w:rsidR="002E7C7B" w:rsidRPr="002504B2" w:rsidRDefault="002E7C7B" w:rsidP="002E7C7B">
      <w:pPr>
        <w:ind w:left="851" w:right="899"/>
        <w:jc w:val="both"/>
        <w:rPr>
          <w:rFonts w:ascii="Palatino Linotype" w:hAnsi="Palatino Linotype" w:cs="Arial"/>
        </w:rPr>
      </w:pPr>
    </w:p>
    <w:p w:rsidR="002E7C7B" w:rsidRPr="002504B2" w:rsidRDefault="002E7C7B" w:rsidP="002E7C7B">
      <w:pPr>
        <w:ind w:left="1134" w:right="899"/>
        <w:jc w:val="both"/>
        <w:rPr>
          <w:rFonts w:ascii="Palatino Linotype" w:hAnsi="Palatino Linotype" w:cs="Arial"/>
          <w:b/>
          <w:i/>
          <w:sz w:val="22"/>
          <w:szCs w:val="22"/>
          <w:lang w:eastAsia="es-MX"/>
        </w:rPr>
      </w:pPr>
      <w:r w:rsidRPr="002504B2">
        <w:rPr>
          <w:rFonts w:ascii="Palatino Linotype" w:hAnsi="Palatino Linotype" w:cs="Arial"/>
          <w:b/>
          <w:sz w:val="22"/>
          <w:szCs w:val="22"/>
          <w:lang w:eastAsia="es-MX"/>
        </w:rPr>
        <w:t>“</w:t>
      </w:r>
      <w:r w:rsidRPr="002504B2">
        <w:rPr>
          <w:rFonts w:ascii="Palatino Linotype" w:hAnsi="Palatino Linotype" w:cs="Arial"/>
          <w:b/>
          <w:i/>
          <w:sz w:val="22"/>
          <w:szCs w:val="22"/>
          <w:lang w:eastAsia="es-MX"/>
        </w:rPr>
        <w:t>CRITERIO 0002-11</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504B2">
        <w:rPr>
          <w:rFonts w:ascii="Palatino Linotype" w:hAnsi="Palatino Linotype" w:cs="Arial"/>
          <w:b/>
          <w:bCs/>
          <w:i/>
          <w:sz w:val="22"/>
          <w:szCs w:val="22"/>
          <w:lang w:eastAsia="es-MX"/>
        </w:rPr>
        <w:t xml:space="preserve">V, XV, Y XVI, </w:t>
      </w:r>
      <w:r w:rsidRPr="002504B2">
        <w:rPr>
          <w:rFonts w:ascii="Palatino Linotype" w:hAnsi="Palatino Linotype" w:cs="Arial"/>
          <w:b/>
          <w:i/>
          <w:sz w:val="22"/>
          <w:szCs w:val="22"/>
          <w:lang w:eastAsia="es-MX"/>
        </w:rPr>
        <w:t>3°, 4°, 11 Y 41.</w:t>
      </w:r>
      <w:r w:rsidRPr="002504B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En consecuencia el acceso a la información se refiere a que se cumplan cualquiera de los siguientes tres supuestos: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712A3F">
        <w:rPr>
          <w:rFonts w:ascii="Palatino Linotype" w:hAnsi="Palatino Linotype" w:cs="Arial"/>
          <w:i/>
          <w:sz w:val="22"/>
          <w:szCs w:val="22"/>
          <w:lang w:eastAsia="es-MX"/>
        </w:rPr>
        <w:t>sión de los Sujetos Obligados.” (Sic)</w:t>
      </w:r>
    </w:p>
    <w:p w:rsidR="002E7C7B" w:rsidRPr="002504B2" w:rsidRDefault="002E7C7B" w:rsidP="002E7C7B">
      <w:pPr>
        <w:ind w:left="1134" w:right="1041"/>
        <w:jc w:val="both"/>
        <w:rPr>
          <w:rFonts w:ascii="Palatino Linotype" w:hAnsi="Palatino Linotype"/>
          <w:sz w:val="22"/>
          <w:szCs w:val="22"/>
        </w:rPr>
      </w:pPr>
    </w:p>
    <w:p w:rsidR="002E7C7B" w:rsidRDefault="002E7C7B" w:rsidP="002E7C7B">
      <w:pPr>
        <w:spacing w:before="240" w:after="240" w:line="360" w:lineRule="auto"/>
        <w:jc w:val="both"/>
        <w:rPr>
          <w:rFonts w:ascii="Palatino Linotype" w:hAnsi="Palatino Linotype" w:cs="Arial"/>
          <w:lang w:eastAsia="es-MX"/>
        </w:rPr>
      </w:pPr>
      <w:r w:rsidRPr="002504B2">
        <w:rPr>
          <w:rFonts w:ascii="Palatino Linotype" w:hAnsi="Palatino Linotype" w:cs="Arial"/>
          <w:lang w:eastAsia="es-MX"/>
        </w:rPr>
        <w:t xml:space="preserve">De ahí que el </w:t>
      </w:r>
      <w:r w:rsidRPr="002504B2">
        <w:rPr>
          <w:rFonts w:ascii="Palatino Linotype" w:hAnsi="Palatino Linotype" w:cs="Arial"/>
          <w:b/>
          <w:lang w:eastAsia="es-MX"/>
        </w:rPr>
        <w:t>Sujeto Obligado</w:t>
      </w:r>
      <w:r w:rsidRPr="002504B2">
        <w:rPr>
          <w:rFonts w:ascii="Palatino Linotype" w:hAnsi="Palatino Linotype" w:cs="Arial"/>
          <w:lang w:eastAsia="es-MX"/>
        </w:rPr>
        <w:t xml:space="preserve"> cuenta con el deber de satisfacer las solicitudes de acceso a la información que le sean formuladas y entregar la información pública </w:t>
      </w:r>
      <w:r w:rsidRPr="002504B2">
        <w:rPr>
          <w:rFonts w:ascii="Palatino Linotype" w:hAnsi="Palatino Linotype" w:cs="Arial"/>
          <w:lang w:eastAsia="es-MX"/>
        </w:rPr>
        <w:lastRenderedPageBreak/>
        <w:t>que obre en sus archivos pudiendo ser de manera electrónica; más aún si la misma se trata de información pública de oficio la cual se relaciona con aquella que se genere de acuerdo con sus facultades, atribuciones y obligaciones señaladas por la Ley en la materia</w:t>
      </w:r>
      <w:r w:rsidRPr="002504B2">
        <w:rPr>
          <w:rFonts w:ascii="Palatino Linotype" w:hAnsi="Palatino Linotype" w:cs="Arial"/>
          <w:vertAlign w:val="superscript"/>
          <w:lang w:eastAsia="es-MX"/>
        </w:rPr>
        <w:footnoteReference w:id="2"/>
      </w:r>
      <w:r w:rsidRPr="002504B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504B2">
        <w:rPr>
          <w:rFonts w:ascii="Palatino Linotype" w:hAnsi="Palatino Linotype" w:cs="Arial"/>
          <w:vertAlign w:val="superscript"/>
          <w:lang w:eastAsia="es-MX"/>
        </w:rPr>
        <w:footnoteReference w:id="3"/>
      </w:r>
      <w:r w:rsidRPr="002504B2">
        <w:rPr>
          <w:rFonts w:ascii="Palatino Linotype" w:hAnsi="Palatino Linotype" w:cs="Arial"/>
          <w:lang w:eastAsia="es-MX"/>
        </w:rPr>
        <w:t>, como pudiera tratarse de aquella relacionada con las obligaciones de trasparencia señaladas en los artículos 92 y 100 de la Ley de la Materia.</w:t>
      </w:r>
    </w:p>
    <w:p w:rsidR="004530B8" w:rsidRDefault="00522EA1" w:rsidP="004530B8">
      <w:pPr>
        <w:spacing w:before="240" w:after="240" w:line="360" w:lineRule="auto"/>
        <w:jc w:val="both"/>
        <w:rPr>
          <w:rFonts w:ascii="Palatino Linotype" w:hAnsi="Palatino Linotype"/>
        </w:rPr>
      </w:pPr>
      <w:r>
        <w:rPr>
          <w:rFonts w:ascii="Palatino Linotype" w:eastAsia="Palatino Linotype" w:hAnsi="Palatino Linotype" w:cs="Palatino Linotype"/>
        </w:rPr>
        <w:t xml:space="preserve">Precisado lo anterior, respecto de la solicitud del particular para conocer </w:t>
      </w:r>
      <w:r w:rsidR="002164FC">
        <w:rPr>
          <w:rFonts w:ascii="Palatino Linotype" w:eastAsia="Palatino Linotype" w:hAnsi="Palatino Linotype" w:cs="Palatino Linotype"/>
        </w:rPr>
        <w:t xml:space="preserve">de los convenios </w:t>
      </w:r>
      <w:r w:rsidR="002164FC" w:rsidRPr="002164FC">
        <w:rPr>
          <w:rFonts w:ascii="Palatino Linotype" w:eastAsia="Palatino Linotype" w:hAnsi="Palatino Linotype" w:cs="Palatino Linotype"/>
        </w:rPr>
        <w:t>que lleva el área jurídica</w:t>
      </w:r>
      <w:r w:rsidR="001A524B">
        <w:rPr>
          <w:rFonts w:ascii="Palatino Linotype" w:eastAsia="Palatino Linotype" w:hAnsi="Palatino Linotype" w:cs="Palatino Linotype"/>
        </w:rPr>
        <w:t xml:space="preserve"> del A</w:t>
      </w:r>
      <w:r w:rsidR="002164FC" w:rsidRPr="002164FC">
        <w:rPr>
          <w:rFonts w:ascii="Palatino Linotype" w:eastAsia="Palatino Linotype" w:hAnsi="Palatino Linotype" w:cs="Palatino Linotype"/>
        </w:rPr>
        <w:t>yuntamiento de Teoloyucan con documentación probatoria de los años 2019, 2020 y 2021</w:t>
      </w:r>
      <w:r w:rsidR="002164FC">
        <w:rPr>
          <w:rFonts w:ascii="Palatino Linotype" w:eastAsia="Palatino Linotype" w:hAnsi="Palatino Linotype" w:cs="Palatino Linotype"/>
        </w:rPr>
        <w:t>, el Sujeto Obligado en su respuesta a través de su Dirección Jurídica, indicó que no era el área competente para la celebración de convenios;</w:t>
      </w:r>
      <w:r w:rsidR="001A524B">
        <w:rPr>
          <w:rFonts w:ascii="Palatino Linotype" w:eastAsia="Palatino Linotype" w:hAnsi="Palatino Linotype" w:cs="Palatino Linotype"/>
        </w:rPr>
        <w:t xml:space="preserve"> </w:t>
      </w:r>
      <w:r w:rsidR="004530B8">
        <w:rPr>
          <w:rFonts w:ascii="Palatino Linotype" w:eastAsia="Palatino Linotype" w:hAnsi="Palatino Linotype" w:cs="Palatino Linotype"/>
        </w:rPr>
        <w:t xml:space="preserve">sin embargo, en términos </w:t>
      </w:r>
      <w:r w:rsidR="004530B8">
        <w:rPr>
          <w:rFonts w:ascii="Palatino Linotype" w:hAnsi="Palatino Linotype"/>
        </w:rPr>
        <w:t xml:space="preserve">Reglamento Interno de la Dirección de Consejería Jurídica del Ayuntamiento de Teoloyucan, Estado de México, delega al Consejero Jurídico las siguientes facultades: </w:t>
      </w:r>
    </w:p>
    <w:p w:rsidR="004530B8" w:rsidRDefault="004530B8" w:rsidP="004530B8">
      <w:pPr>
        <w:spacing w:before="240" w:after="240"/>
        <w:ind w:left="567"/>
        <w:jc w:val="both"/>
        <w:rPr>
          <w:rFonts w:ascii="Palatino Linotype" w:hAnsi="Palatino Linotype"/>
          <w:i/>
          <w:sz w:val="22"/>
        </w:rPr>
      </w:pPr>
      <w:r>
        <w:rPr>
          <w:rFonts w:ascii="Palatino Linotype" w:hAnsi="Palatino Linotype"/>
          <w:i/>
          <w:sz w:val="22"/>
        </w:rPr>
        <w:t>“</w:t>
      </w:r>
      <w:r w:rsidRPr="00CA587D">
        <w:rPr>
          <w:rFonts w:ascii="Palatino Linotype" w:hAnsi="Palatino Linotype"/>
          <w:i/>
          <w:sz w:val="22"/>
        </w:rPr>
        <w:t>Artículo 8.- El Consejero o Consejera tendrá las siguientes atribuciones:</w:t>
      </w:r>
    </w:p>
    <w:p w:rsidR="004530B8" w:rsidRDefault="004530B8" w:rsidP="004530B8">
      <w:pPr>
        <w:spacing w:before="240" w:after="240"/>
        <w:ind w:left="567"/>
        <w:jc w:val="both"/>
        <w:rPr>
          <w:rFonts w:ascii="Palatino Linotype" w:hAnsi="Palatino Linotype"/>
          <w:i/>
          <w:sz w:val="22"/>
        </w:rPr>
      </w:pPr>
      <w:r>
        <w:rPr>
          <w:rFonts w:ascii="Palatino Linotype" w:hAnsi="Palatino Linotype"/>
          <w:i/>
          <w:sz w:val="22"/>
        </w:rPr>
        <w:t>…</w:t>
      </w:r>
    </w:p>
    <w:p w:rsidR="004530B8" w:rsidRDefault="004530B8" w:rsidP="004530B8">
      <w:pPr>
        <w:spacing w:before="240" w:after="240"/>
        <w:ind w:left="567"/>
        <w:jc w:val="both"/>
        <w:rPr>
          <w:rFonts w:ascii="Palatino Linotype" w:hAnsi="Palatino Linotype"/>
          <w:b/>
          <w:i/>
          <w:sz w:val="22"/>
          <w:u w:val="single"/>
        </w:rPr>
      </w:pPr>
      <w:r w:rsidRPr="00CA587D">
        <w:rPr>
          <w:rFonts w:ascii="Palatino Linotype" w:hAnsi="Palatino Linotype"/>
          <w:i/>
          <w:sz w:val="22"/>
        </w:rPr>
        <w:lastRenderedPageBreak/>
        <w:t xml:space="preserve">II. </w:t>
      </w:r>
      <w:r w:rsidRPr="00CA587D">
        <w:rPr>
          <w:rFonts w:ascii="Palatino Linotype" w:hAnsi="Palatino Linotype"/>
          <w:b/>
          <w:i/>
          <w:sz w:val="22"/>
          <w:u w:val="single"/>
        </w:rPr>
        <w:t>Dar opinión, cuando así se le requiera, sobre los proyectos de convenios</w:t>
      </w:r>
      <w:r w:rsidRPr="00CA587D">
        <w:rPr>
          <w:rFonts w:ascii="Palatino Linotype" w:hAnsi="Palatino Linotype"/>
          <w:i/>
          <w:sz w:val="22"/>
        </w:rPr>
        <w:t xml:space="preserve">, acuerdos, reglamentos </w:t>
      </w:r>
      <w:r w:rsidRPr="00CA587D">
        <w:rPr>
          <w:rFonts w:ascii="Palatino Linotype" w:hAnsi="Palatino Linotype"/>
          <w:b/>
          <w:i/>
          <w:sz w:val="22"/>
          <w:u w:val="single"/>
        </w:rPr>
        <w:t>y demás documentos jurídicos que se sometan a consideración\del Cabildo o del Presidente Municipal;</w:t>
      </w:r>
    </w:p>
    <w:p w:rsidR="004530B8" w:rsidRDefault="004530B8" w:rsidP="004530B8">
      <w:pPr>
        <w:spacing w:before="240" w:after="240"/>
        <w:ind w:left="567"/>
        <w:jc w:val="both"/>
        <w:rPr>
          <w:rFonts w:ascii="Palatino Linotype" w:hAnsi="Palatino Linotype"/>
          <w:i/>
          <w:sz w:val="22"/>
          <w:lang w:val="es-MX"/>
        </w:rPr>
      </w:pPr>
      <w:r w:rsidRPr="00CA587D">
        <w:rPr>
          <w:rFonts w:ascii="Palatino Linotype" w:hAnsi="Palatino Linotype"/>
          <w:i/>
          <w:sz w:val="22"/>
          <w:lang w:val="es-MX"/>
        </w:rPr>
        <w:t>…</w:t>
      </w:r>
    </w:p>
    <w:p w:rsidR="004530B8" w:rsidRDefault="004530B8" w:rsidP="004530B8">
      <w:pPr>
        <w:spacing w:before="240" w:after="240"/>
        <w:ind w:left="567"/>
        <w:jc w:val="both"/>
        <w:rPr>
          <w:rFonts w:ascii="Palatino Linotype" w:hAnsi="Palatino Linotype"/>
          <w:b/>
          <w:i/>
          <w:sz w:val="22"/>
          <w:u w:val="single"/>
        </w:rPr>
      </w:pPr>
      <w:r w:rsidRPr="00CA587D">
        <w:rPr>
          <w:rFonts w:ascii="Palatino Linotype" w:hAnsi="Palatino Linotype"/>
          <w:b/>
          <w:i/>
          <w:sz w:val="22"/>
          <w:u w:val="single"/>
        </w:rPr>
        <w:t>VI. Revisar y en su caso, elaborar los contratos, acuerdos y los documentos que contengan textos de naturaleza jurídica, que deban ser aprobados por el Ayuntamiento;</w:t>
      </w:r>
    </w:p>
    <w:p w:rsidR="004530B8" w:rsidRDefault="004530B8" w:rsidP="004530B8">
      <w:pPr>
        <w:spacing w:before="240" w:after="240"/>
        <w:ind w:left="567"/>
        <w:jc w:val="both"/>
        <w:rPr>
          <w:rFonts w:ascii="Palatino Linotype" w:hAnsi="Palatino Linotype"/>
          <w:b/>
          <w:i/>
          <w:sz w:val="22"/>
          <w:u w:val="single"/>
        </w:rPr>
      </w:pPr>
      <w:r>
        <w:rPr>
          <w:rFonts w:ascii="Palatino Linotype" w:hAnsi="Palatino Linotype"/>
          <w:b/>
          <w:i/>
          <w:sz w:val="22"/>
          <w:u w:val="single"/>
        </w:rPr>
        <w:t>…</w:t>
      </w:r>
    </w:p>
    <w:p w:rsidR="004530B8" w:rsidRDefault="004530B8" w:rsidP="004530B8">
      <w:pPr>
        <w:spacing w:before="240" w:after="240"/>
        <w:ind w:left="567"/>
        <w:jc w:val="both"/>
        <w:rPr>
          <w:rFonts w:ascii="Palatino Linotype" w:hAnsi="Palatino Linotype"/>
          <w:b/>
          <w:i/>
          <w:sz w:val="22"/>
          <w:u w:val="single"/>
        </w:rPr>
      </w:pPr>
      <w:r w:rsidRPr="004530B8">
        <w:rPr>
          <w:rFonts w:ascii="Palatino Linotype" w:hAnsi="Palatino Linotype"/>
          <w:b/>
          <w:i/>
          <w:sz w:val="22"/>
          <w:u w:val="single"/>
        </w:rPr>
        <w:t xml:space="preserve">XVIII. Analizar y en su caso elaborar, los proyectos </w:t>
      </w:r>
      <w:r w:rsidRPr="003D0F56">
        <w:rPr>
          <w:rFonts w:ascii="Palatino Linotype" w:hAnsi="Palatino Linotype"/>
          <w:b/>
          <w:i/>
          <w:sz w:val="22"/>
        </w:rPr>
        <w:t>de contratos,</w:t>
      </w:r>
      <w:r w:rsidRPr="004530B8">
        <w:rPr>
          <w:rFonts w:ascii="Palatino Linotype" w:hAnsi="Palatino Linotype"/>
          <w:b/>
          <w:i/>
          <w:sz w:val="22"/>
          <w:u w:val="single"/>
        </w:rPr>
        <w:t xml:space="preserve"> convenios y demás actos jurídicos que pretendan celebrar las dependencias de la administración pública municipal;</w:t>
      </w:r>
      <w:r>
        <w:rPr>
          <w:rFonts w:ascii="Palatino Linotype" w:hAnsi="Palatino Linotype"/>
          <w:b/>
          <w:i/>
          <w:sz w:val="22"/>
          <w:u w:val="single"/>
        </w:rPr>
        <w:t>” (Sic)</w:t>
      </w:r>
    </w:p>
    <w:p w:rsidR="004530B8" w:rsidRDefault="004530B8" w:rsidP="004530B8">
      <w:pPr>
        <w:spacing w:before="240" w:after="240" w:line="360" w:lineRule="auto"/>
        <w:jc w:val="both"/>
        <w:rPr>
          <w:rFonts w:ascii="Palatino Linotype" w:hAnsi="Palatino Linotype"/>
        </w:rPr>
      </w:pPr>
      <w:r>
        <w:rPr>
          <w:rFonts w:ascii="Palatino Linotype" w:hAnsi="Palatino Linotype"/>
        </w:rPr>
        <w:t>Con lo cual se acredita, que si bien es cierto que la Dirección Jurídica del Ayuntamiento de Teoloyucan,  no tiene la atribución de celebrar convenios, lo cierto es</w:t>
      </w:r>
      <w:r w:rsidR="003D0F56">
        <w:rPr>
          <w:rFonts w:ascii="Palatino Linotype" w:hAnsi="Palatino Linotype"/>
        </w:rPr>
        <w:t>, que sí</w:t>
      </w:r>
      <w:r>
        <w:rPr>
          <w:rFonts w:ascii="Palatino Linotype" w:hAnsi="Palatino Linotype"/>
        </w:rPr>
        <w:t xml:space="preserve"> conoce de los convenios </w:t>
      </w:r>
      <w:r w:rsidR="003D0F56">
        <w:rPr>
          <w:rFonts w:ascii="Palatino Linotype" w:hAnsi="Palatino Linotype"/>
        </w:rPr>
        <w:t xml:space="preserve">celebrados por el Ayuntamiento de Teoloyucan, en razón de que le corresponde elaborar, revisar y dar su opinión de los proyectos de convenios  </w:t>
      </w:r>
    </w:p>
    <w:p w:rsidR="002164FC" w:rsidRDefault="003D0F56" w:rsidP="00522E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lo dable es ordenar al Ayuntamiento de Teoloyucan los convenios que lleva su Área Jurídica con la documentación probatoria, de los años 2019, 2020 y del primero de enero al dos de ag</w:t>
      </w:r>
      <w:r w:rsidR="006F26F7">
        <w:rPr>
          <w:rFonts w:ascii="Palatino Linotype" w:eastAsia="Palatino Linotype" w:hAnsi="Palatino Linotype" w:cs="Palatino Linotype"/>
        </w:rPr>
        <w:t>osto del año dos mil veintiuno, y en términos de los señalado por el considerando quinto del presente fallo.</w:t>
      </w:r>
    </w:p>
    <w:p w:rsidR="00C62B34" w:rsidRDefault="00C62B34" w:rsidP="00C62B34">
      <w:pPr>
        <w:spacing w:before="240" w:after="240" w:line="360" w:lineRule="auto"/>
        <w:jc w:val="both"/>
        <w:rPr>
          <w:rFonts w:ascii="Palatino Linotype" w:hAnsi="Palatino Linotype" w:cs="Arial"/>
          <w:lang w:val="es-MX"/>
        </w:rPr>
      </w:pPr>
      <w:r>
        <w:rPr>
          <w:rFonts w:ascii="Palatino Linotype" w:eastAsia="Palatino Linotype" w:hAnsi="Palatino Linotype" w:cs="Palatino Linotype"/>
        </w:rPr>
        <w:t xml:space="preserve">Por otro lado, respecto de la solicitud del particular para conocer de las denuncias </w:t>
      </w:r>
      <w:r w:rsidRPr="002164FC">
        <w:rPr>
          <w:rFonts w:ascii="Palatino Linotype" w:eastAsia="Palatino Linotype" w:hAnsi="Palatino Linotype" w:cs="Palatino Linotype"/>
        </w:rPr>
        <w:t>que lleva el área jurídica</w:t>
      </w:r>
      <w:r>
        <w:rPr>
          <w:rFonts w:ascii="Palatino Linotype" w:eastAsia="Palatino Linotype" w:hAnsi="Palatino Linotype" w:cs="Palatino Linotype"/>
        </w:rPr>
        <w:t xml:space="preserve"> del A</w:t>
      </w:r>
      <w:r w:rsidRPr="002164FC">
        <w:rPr>
          <w:rFonts w:ascii="Palatino Linotype" w:eastAsia="Palatino Linotype" w:hAnsi="Palatino Linotype" w:cs="Palatino Linotype"/>
        </w:rPr>
        <w:t>yuntamiento de Teoloyucan</w:t>
      </w:r>
      <w:r>
        <w:rPr>
          <w:rFonts w:ascii="Palatino Linotype" w:eastAsia="Palatino Linotype" w:hAnsi="Palatino Linotype" w:cs="Palatino Linotype"/>
        </w:rPr>
        <w:t xml:space="preserve">, del año 2019, 2020 y 2021, si bien es cierto, que el Sujeto Obligado a través de su Dirección Jurídica, informó que se trata de información reservada que cuya </w:t>
      </w:r>
      <w:r>
        <w:rPr>
          <w:rFonts w:ascii="Palatino Linotype" w:hAnsi="Palatino Linotype" w:cs="Arial"/>
          <w:lang w:val="es-MX"/>
        </w:rPr>
        <w:t xml:space="preserve">divulgación puede causar daño al proceso judicial toda vez que no existen sentencias, por lo que su publicación </w:t>
      </w:r>
      <w:r>
        <w:rPr>
          <w:rFonts w:ascii="Palatino Linotype" w:hAnsi="Palatino Linotype" w:cs="Arial"/>
          <w:lang w:val="es-MX"/>
        </w:rPr>
        <w:lastRenderedPageBreak/>
        <w:t>derivaría en el entorpecimiento de los procedimientos y afectaría las resoluciones futuras; no obstante el Sujeto Obligado fue omiso en acompañar el acuerdo de su Comité de Transparencia, a través del cual justifique su dicho.</w:t>
      </w:r>
    </w:p>
    <w:p w:rsidR="00274BB7" w:rsidRPr="00422273" w:rsidRDefault="00C62B34" w:rsidP="0028660A">
      <w:pPr>
        <w:spacing w:before="240" w:after="240" w:line="360" w:lineRule="auto"/>
        <w:jc w:val="both"/>
        <w:rPr>
          <w:rFonts w:ascii="Palatino Linotype" w:eastAsiaTheme="minorEastAsia" w:hAnsi="Palatino Linotype"/>
        </w:rPr>
      </w:pPr>
      <w:r>
        <w:rPr>
          <w:rFonts w:ascii="Palatino Linotype" w:hAnsi="Palatino Linotype" w:cs="Arial"/>
          <w:lang w:val="es-MX"/>
        </w:rPr>
        <w:t xml:space="preserve">De ahí que, </w:t>
      </w:r>
      <w:r w:rsidR="0028660A">
        <w:rPr>
          <w:rFonts w:ascii="Palatino Linotype" w:hAnsi="Palatino Linotype" w:cs="Arial"/>
          <w:lang w:val="es-MX"/>
        </w:rPr>
        <w:t>debe decirse que respecto de las denuncias que se encuentren en trámite</w:t>
      </w:r>
      <w:r w:rsidR="00F12698">
        <w:rPr>
          <w:rFonts w:ascii="Palatino Linotype" w:eastAsia="Palatino Linotype" w:hAnsi="Palatino Linotype" w:cs="Palatino Linotype"/>
        </w:rPr>
        <w:t xml:space="preserve">, </w:t>
      </w:r>
      <w:r w:rsidR="0028660A">
        <w:rPr>
          <w:rFonts w:ascii="Palatino Linotype" w:eastAsia="Palatino Linotype" w:hAnsi="Palatino Linotype" w:cs="Palatino Linotype"/>
        </w:rPr>
        <w:t xml:space="preserve">le </w:t>
      </w:r>
      <w:r w:rsidR="00274BB7" w:rsidRPr="00422273">
        <w:rPr>
          <w:rFonts w:ascii="Palatino Linotype" w:eastAsiaTheme="minorEastAsia" w:hAnsi="Palatino Linotype"/>
        </w:rPr>
        <w:t>reviste el carácter de información reservada y en este caso, se deberá emitir un acuerd</w:t>
      </w:r>
      <w:r w:rsidR="0028660A">
        <w:rPr>
          <w:rFonts w:ascii="Palatino Linotype" w:eastAsiaTheme="minorEastAsia" w:hAnsi="Palatino Linotype"/>
        </w:rPr>
        <w:t xml:space="preserve">o que </w:t>
      </w:r>
      <w:r w:rsidR="003D0F56">
        <w:rPr>
          <w:rFonts w:ascii="Palatino Linotype" w:eastAsiaTheme="minorEastAsia" w:hAnsi="Palatino Linotype"/>
        </w:rPr>
        <w:t xml:space="preserve">la </w:t>
      </w:r>
      <w:r w:rsidR="0028660A">
        <w:rPr>
          <w:rFonts w:ascii="Palatino Linotype" w:eastAsiaTheme="minorEastAsia" w:hAnsi="Palatino Linotype"/>
        </w:rPr>
        <w:t>clasifique como reservad</w:t>
      </w:r>
      <w:r w:rsidR="003D0F56">
        <w:rPr>
          <w:rFonts w:ascii="Palatino Linotype" w:eastAsiaTheme="minorEastAsia" w:hAnsi="Palatino Linotype"/>
        </w:rPr>
        <w:t>a</w:t>
      </w:r>
      <w:r w:rsidR="0028660A">
        <w:rPr>
          <w:rFonts w:ascii="Palatino Linotype" w:eastAsiaTheme="minorEastAsia" w:hAnsi="Palatino Linotype"/>
        </w:rPr>
        <w:t>.</w:t>
      </w:r>
    </w:p>
    <w:p w:rsidR="00274BB7" w:rsidRPr="00422273" w:rsidRDefault="00274BB7" w:rsidP="00274BB7">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 xml:space="preserve">Lo anterior es así, para dar </w:t>
      </w:r>
      <w:r w:rsidRPr="00422273">
        <w:rPr>
          <w:rFonts w:ascii="Palatino Linotype" w:eastAsiaTheme="minorEastAsia" w:hAnsi="Palatino Linotype"/>
        </w:rPr>
        <w:t>seguridad jurídica al solicitante que por a</w:t>
      </w:r>
      <w:r>
        <w:rPr>
          <w:rFonts w:ascii="Palatino Linotype" w:eastAsiaTheme="minorEastAsia" w:hAnsi="Palatino Linotype"/>
        </w:rPr>
        <w:t>lguna excepción establecida en l</w:t>
      </w:r>
      <w:r w:rsidRPr="00422273">
        <w:rPr>
          <w:rFonts w:ascii="Palatino Linotype" w:eastAsiaTheme="minorEastAsia" w:hAnsi="Palatino Linotype"/>
        </w:rPr>
        <w:t>ey no es posible acceder temporalmente a la información referida anteriormente, para así no dejar en estado de indefensión y exista certeza jurídica de lo e</w:t>
      </w:r>
      <w:r w:rsidR="0028660A">
        <w:rPr>
          <w:rFonts w:ascii="Palatino Linotype" w:eastAsiaTheme="minorEastAsia" w:hAnsi="Palatino Linotype"/>
        </w:rPr>
        <w:t xml:space="preserve">xpuesto por el Sujeto Obligado, conforme a los siguientes preceptos legales de la Ley de la Materia, que señalan al respecto al tema que nos ocupa, lo siguiente: </w:t>
      </w:r>
      <w:bookmarkStart w:id="1" w:name="_GoBack"/>
      <w:bookmarkEnd w:id="1"/>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t>“</w:t>
      </w:r>
      <w:r w:rsidRPr="00422273">
        <w:rPr>
          <w:rFonts w:ascii="Palatino Linotype" w:eastAsiaTheme="minorEastAsia" w:hAnsi="Palatino Linotype"/>
          <w:i/>
          <w:sz w:val="22"/>
        </w:rPr>
        <w:t>Artículo 3. Para los efectos de la presente Ley se entenderá por:</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XXIV. Información reservada: </w:t>
      </w:r>
      <w:r w:rsidRPr="00422273">
        <w:rPr>
          <w:rFonts w:ascii="Palatino Linotype" w:eastAsiaTheme="minorEastAsia" w:hAnsi="Palatino Linotype"/>
          <w:i/>
          <w:sz w:val="22"/>
        </w:rPr>
        <w:t>La clasificada con este carácter de manera temporal por las disposiciones de esta Ley, cuya divulgación puede causar daño en términos de lo establecido por esta Ley;</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Artículo 122. </w:t>
      </w:r>
      <w:r w:rsidRPr="00422273">
        <w:rPr>
          <w:rFonts w:ascii="Palatino Linotype" w:eastAsiaTheme="minorEastAsia" w:hAnsi="Palatino Linotype"/>
          <w:b/>
          <w:i/>
          <w:sz w:val="22"/>
        </w:rPr>
        <w:t xml:space="preserve">La clasificación es el proceso mediante el cual el Sujeto Obligado determina que la información en su poder </w:t>
      </w:r>
      <w:proofErr w:type="spellStart"/>
      <w:r w:rsidRPr="00422273">
        <w:rPr>
          <w:rFonts w:ascii="Palatino Linotype" w:eastAsiaTheme="minorEastAsia" w:hAnsi="Palatino Linotype"/>
          <w:b/>
          <w:i/>
          <w:sz w:val="22"/>
        </w:rPr>
        <w:t>actualiza</w:t>
      </w:r>
      <w:proofErr w:type="spellEnd"/>
      <w:r w:rsidRPr="00422273">
        <w:rPr>
          <w:rFonts w:ascii="Palatino Linotype" w:eastAsiaTheme="minorEastAsia" w:hAnsi="Palatino Linotype"/>
          <w:b/>
          <w:i/>
          <w:sz w:val="22"/>
        </w:rPr>
        <w:t xml:space="preserve"> alguno de los supuestos de reserva</w:t>
      </w:r>
      <w:r w:rsidRPr="00422273">
        <w:rPr>
          <w:rFonts w:ascii="Palatino Linotype" w:eastAsiaTheme="minorEastAsia" w:hAnsi="Palatino Linotype"/>
          <w:i/>
          <w:sz w:val="22"/>
        </w:rPr>
        <w:t xml:space="preserve"> o confidencialidad, de conformidad con lo dispuesto en el presente título.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supuestos de reserva o confidencialidad previstos en las leyes deberán ser acordes con las bases, principios y disposiciones establecidos en la Ley General y, en ningún caso, podrán contravenirla.</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 los sujetos obligados serán los responsables de clasificar la información, de conformidad con lo dispuesto en la presente Ley y demás disposiciones jurídicas aplicables.</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Artículo 125. La información clasificada como reservada, de acuerdo a lo establecido en esta Ley podrá permanecer con tal carácter hasta por un </w:t>
      </w:r>
      <w:r w:rsidRPr="00422273">
        <w:rPr>
          <w:rFonts w:ascii="Palatino Linotype" w:eastAsiaTheme="minorEastAsia" w:hAnsi="Palatino Linotype"/>
          <w:b/>
          <w:i/>
          <w:sz w:val="22"/>
        </w:rPr>
        <w:lastRenderedPageBreak/>
        <w:t xml:space="preserve">periodo de cinco años, </w:t>
      </w:r>
      <w:r w:rsidRPr="00422273">
        <w:rPr>
          <w:rFonts w:ascii="Palatino Linotype" w:eastAsiaTheme="minorEastAsia" w:hAnsi="Palatino Linotype"/>
          <w:i/>
          <w:sz w:val="22"/>
        </w:rPr>
        <w:t>contados a partir de su clasificación, salvo que antes del cumplimiento del periodo de restricción, dejaran de existir los motivos de su reserva.</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 xml:space="preserve">Artículo 128. En los casos en que se niegue el acceso a la información, por actualizarse alguno de los supuestos de clasificación, el Comité de Transparencia deberá confirmar, modificar o revocar la decisión. </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i/>
          <w:sz w:val="22"/>
        </w:rPr>
        <w:t xml:space="preserve">Para motivar la clasificación de la información y la ampliación del plazo de reserva, </w:t>
      </w:r>
      <w:r w:rsidRPr="00422273">
        <w:rPr>
          <w:rFonts w:ascii="Palatino Linotype" w:eastAsiaTheme="minorEastAsia" w:hAnsi="Palatino Linotype"/>
          <w:b/>
          <w:i/>
          <w:sz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Tratándose de aquélla información que actualice los supuestos de clasificación, deberá señalarse el plazo al que estará sujeto la reserva.</w:t>
      </w:r>
    </w:p>
    <w:p w:rsidR="00274BB7" w:rsidRPr="00422273" w:rsidRDefault="00274BB7" w:rsidP="00274BB7">
      <w:pPr>
        <w:ind w:left="851" w:right="822"/>
        <w:contextualSpacing/>
        <w:jc w:val="both"/>
        <w:rPr>
          <w:rFonts w:ascii="Palatino Linotype" w:eastAsiaTheme="minorEastAsia" w:hAnsi="Palatino Linotype"/>
          <w:b/>
          <w:i/>
          <w:sz w:val="22"/>
          <w:u w:val="single"/>
        </w:rPr>
      </w:pPr>
      <w:r w:rsidRPr="00422273">
        <w:rPr>
          <w:rFonts w:ascii="Palatino Linotype" w:eastAsiaTheme="minorEastAsia" w:hAnsi="Palatino Linotype"/>
          <w:i/>
          <w:sz w:val="22"/>
        </w:rPr>
        <w:t xml:space="preserve">Artículo 129. </w:t>
      </w:r>
      <w:r w:rsidRPr="00422273">
        <w:rPr>
          <w:rFonts w:ascii="Palatino Linotype" w:eastAsiaTheme="minorEastAsia" w:hAnsi="Palatino Linotype"/>
          <w:b/>
          <w:i/>
          <w:sz w:val="22"/>
        </w:rPr>
        <w:t>En la aplicación de la prueba de daño, el Sujeto Obligado deberá precisar las razones objetivas por las que la apertura de la información generaría una afectación, justificando que:</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 La divulgación de la información representa un riesgo real, demostrable e identificable del perjuicio significativo al interés público o a la seguridad pública;</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 El riesgo de perjuicio que supondría la divulgación supera el interés público general de que se difunda; y</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lastRenderedPageBreak/>
        <w:t>III. La limitación se adecua al principio de proporcionalidad y representa el medio menos restrictivo disponible representa el medio menos restrictivo disponible para evitar el perjuicio.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u w:val="single"/>
        </w:rPr>
        <w:t>Artículo 130. Los sujetos obligados deberán aplicar, de manera restrictiva y limitada, las excepciones al derecho de acceso a la información y sólo podrán invocarlas cuando acrediten su procedencia</w:t>
      </w:r>
      <w:r w:rsidRPr="00422273">
        <w:rPr>
          <w:rFonts w:ascii="Palatino Linotype" w:eastAsiaTheme="minorEastAsia" w:hAnsi="Palatino Linotype"/>
          <w:i/>
          <w:sz w:val="22"/>
        </w:rPr>
        <w:t>, sin ampliar las excepciones o supuestos de reserva o confidencialidad previstos en la Ley General y la presente Ley, aduciendo analogía o mayoría de razón.</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Artículo 140. El acceso a la información pública será restringido excepcionalmente, cuando por razones de interés público, ésta sea clasificada como reservada, conforme a los criterios siguientes:</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VI.</w:t>
      </w:r>
      <w:r w:rsidRPr="00422273">
        <w:rPr>
          <w:rFonts w:ascii="Palatino Linotype" w:eastAsiaTheme="minorEastAsia"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w:t>
      </w:r>
      <w:r w:rsidRPr="0028660A">
        <w:rPr>
          <w:rFonts w:ascii="Palatino Linotype" w:eastAsiaTheme="minorEastAsia" w:hAnsi="Palatino Linotype"/>
          <w:b/>
          <w:i/>
          <w:sz w:val="22"/>
        </w:rPr>
        <w:t>denuncias</w:t>
      </w:r>
      <w:r w:rsidRPr="00422273">
        <w:rPr>
          <w:rFonts w:ascii="Palatino Linotype" w:eastAsiaTheme="minorEastAsia" w:hAnsi="Palatino Linotype"/>
          <w:i/>
          <w:sz w:val="22"/>
        </w:rPr>
        <w:t>, inconformidades, responsabilidades administrativas y resarcitorias en tanto no hayan quedado firmes o afecte la administración de justicia o la seguridad de un denunciante, querellante o testigo, así como sus familias, en los términos de las disp</w:t>
      </w:r>
      <w:r>
        <w:rPr>
          <w:rFonts w:ascii="Palatino Linotype" w:eastAsiaTheme="minorEastAsia" w:hAnsi="Palatino Linotype"/>
          <w:i/>
          <w:sz w:val="22"/>
        </w:rPr>
        <w:t>osiciones jurídicas aplicables…” (Sic)</w:t>
      </w:r>
    </w:p>
    <w:p w:rsidR="00274BB7" w:rsidRPr="00422273" w:rsidRDefault="00274BB7" w:rsidP="00274BB7">
      <w:pPr>
        <w:spacing w:line="360" w:lineRule="auto"/>
        <w:ind w:right="49"/>
        <w:contextualSpacing/>
        <w:jc w:val="both"/>
        <w:rPr>
          <w:rFonts w:ascii="Palatino Linotype" w:eastAsiaTheme="minorEastAsia" w:hAnsi="Palatino Linotype"/>
          <w:i/>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De la interpretación sistemática de los artículos citados, se advierte que el Sujeto Obligado debe realizar la debida reserva de la información por seguir en t</w:t>
      </w:r>
      <w:r w:rsidR="0028660A">
        <w:rPr>
          <w:rFonts w:ascii="Palatino Linotype" w:eastAsiaTheme="minorEastAsia" w:hAnsi="Palatino Linotype"/>
        </w:rPr>
        <w:t>rámite las denuncias</w:t>
      </w:r>
      <w:r w:rsidRPr="00422273">
        <w:rPr>
          <w:rFonts w:ascii="Palatino Linotype" w:eastAsiaTheme="minorEastAsia" w:hAnsi="Palatino Linotype"/>
        </w:rPr>
        <w:t xml:space="preserve">, siguiendo los requisitos expuestos: </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1E4395" w:rsidRDefault="00274BB7" w:rsidP="00274BB7">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t>“</w:t>
      </w:r>
      <w:r w:rsidRPr="001E4395">
        <w:rPr>
          <w:rFonts w:ascii="Palatino Linotype" w:eastAsiaTheme="minorEastAsia" w:hAnsi="Palatino Linotype"/>
          <w:i/>
          <w:sz w:val="22"/>
        </w:rPr>
        <w:t>La divulgación de la información representa un riesgo real, demostrable e identificable del perjuicio significativo al interés público o a la seguridad pública;</w:t>
      </w:r>
    </w:p>
    <w:p w:rsidR="00274BB7" w:rsidRPr="001E4395" w:rsidRDefault="00274BB7" w:rsidP="00274BB7">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El riesgo de perjuicio que supondría la divulgación supera el interés público general de que se difunda; y</w:t>
      </w:r>
    </w:p>
    <w:p w:rsidR="00274BB7" w:rsidRPr="001E4395" w:rsidRDefault="00274BB7" w:rsidP="00274BB7">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La limitación se adecua al principio de proporcionalidad y representa el medio menos restrictivo disponible representa el medio menos restrictivo disponible para evitar el perjuicio.</w:t>
      </w:r>
      <w:r>
        <w:rPr>
          <w:rFonts w:ascii="Palatino Linotype" w:eastAsiaTheme="minorEastAsia" w:hAnsi="Palatino Linotype"/>
          <w:i/>
          <w:sz w:val="22"/>
        </w:rPr>
        <w:t>”(Sic)</w:t>
      </w:r>
    </w:p>
    <w:p w:rsidR="00274BB7" w:rsidRPr="00422273" w:rsidRDefault="00274BB7" w:rsidP="00274BB7">
      <w:pPr>
        <w:spacing w:line="360" w:lineRule="auto"/>
        <w:ind w:left="851" w:right="822"/>
        <w:contextualSpacing/>
        <w:jc w:val="both"/>
        <w:rPr>
          <w:rFonts w:ascii="Palatino Linotype" w:eastAsiaTheme="minorEastAsia" w:hAnsi="Palatino Linotype"/>
          <w:b/>
          <w:i/>
          <w:sz w:val="22"/>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Requisitos que deben estar acompañados de la debida fundamentación y motivación, cobrado aplicación lo que señala la jurisprudencia de la novena época </w:t>
      </w:r>
      <w:r w:rsidRPr="00422273">
        <w:rPr>
          <w:rFonts w:ascii="Palatino Linotype" w:eastAsiaTheme="minorEastAsia" w:hAnsi="Palatino Linotype"/>
        </w:rPr>
        <w:lastRenderedPageBreak/>
        <w:t>visible en el Semanario Judicial de la Federación y su Gaceta. Instancia: Tribunales Colegiados de Circuito. Tesis I.4o.A.J/43 (9a.) bajo el número de registro 175082 cuyo rubro y texto esgrime;</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1E4395" w:rsidRDefault="00274BB7" w:rsidP="00274BB7">
      <w:pPr>
        <w:ind w:left="851" w:right="822"/>
        <w:contextualSpacing/>
        <w:jc w:val="both"/>
        <w:rPr>
          <w:rFonts w:ascii="Palatino Linotype" w:eastAsiaTheme="minorEastAsia" w:hAnsi="Palatino Linotype"/>
          <w:b/>
          <w:bCs/>
          <w:i/>
          <w:sz w:val="22"/>
          <w:szCs w:val="22"/>
        </w:rPr>
      </w:pPr>
      <w:r>
        <w:rPr>
          <w:rFonts w:ascii="Palatino Linotype" w:eastAsiaTheme="minorEastAsia" w:hAnsi="Palatino Linotype"/>
          <w:b/>
          <w:bCs/>
          <w:i/>
          <w:sz w:val="22"/>
          <w:szCs w:val="22"/>
        </w:rPr>
        <w:t>“</w:t>
      </w:r>
      <w:r w:rsidRPr="001E4395">
        <w:rPr>
          <w:rFonts w:ascii="Palatino Linotype" w:eastAsiaTheme="minorEastAsia" w:hAnsi="Palatino Linotype"/>
          <w:b/>
          <w:bCs/>
          <w:i/>
          <w:sz w:val="22"/>
          <w:szCs w:val="22"/>
        </w:rPr>
        <w:t>FUNDAMENTACIÓN Y MOTIVACIÓN. EL ASPECTO FORMAL DE LA GARANTÍA Y SU FINALIDAD SE TRADUCEN EN EXPLICAR, JUSTIFICAR, POSIBILITAR LA DEFENSA Y COMUNICAR LA DECISIÓN.</w:t>
      </w:r>
    </w:p>
    <w:p w:rsidR="00274BB7" w:rsidRPr="001E4395" w:rsidRDefault="00274BB7" w:rsidP="00274BB7">
      <w:pPr>
        <w:ind w:left="851" w:right="822"/>
        <w:contextualSpacing/>
        <w:jc w:val="both"/>
        <w:rPr>
          <w:rFonts w:ascii="Palatino Linotype" w:eastAsiaTheme="minorEastAsia" w:hAnsi="Palatino Linotype"/>
          <w:i/>
          <w:sz w:val="22"/>
          <w:szCs w:val="22"/>
        </w:rPr>
      </w:pPr>
      <w:r w:rsidRPr="001E4395">
        <w:rPr>
          <w:rFonts w:ascii="Palatino Linotype" w:eastAsiaTheme="minorEastAsia" w:hAnsi="Palatino Linotype"/>
          <w:i/>
          <w:sz w:val="22"/>
          <w:szCs w:val="22"/>
        </w:rPr>
        <w:t>El contenido formal de la garantía de legalidad prevista en el artículo </w:t>
      </w:r>
      <w:hyperlink r:id="rId9" w:history="1">
        <w:r w:rsidRPr="001E4395">
          <w:rPr>
            <w:rStyle w:val="Hipervnculo"/>
            <w:rFonts w:ascii="Palatino Linotype" w:eastAsiaTheme="minorEastAsia" w:hAnsi="Palatino Linotype"/>
            <w:i/>
            <w:sz w:val="22"/>
            <w:szCs w:val="22"/>
          </w:rPr>
          <w:t>16 constitucional</w:t>
        </w:r>
      </w:hyperlink>
      <w:r w:rsidRPr="001E4395">
        <w:rPr>
          <w:rFonts w:ascii="Palatino Linotype" w:eastAsiaTheme="minorEastAsia" w:hAnsi="Palatino Linotype"/>
          <w:i/>
          <w:sz w:val="22"/>
          <w:szCs w:val="22"/>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Theme="minorEastAsia" w:hAnsi="Palatino Linotype"/>
          <w:i/>
          <w:sz w:val="22"/>
          <w:szCs w:val="22"/>
        </w:rPr>
        <w:t>(Sic)</w:t>
      </w:r>
    </w:p>
    <w:p w:rsidR="00274BB7" w:rsidRPr="00422273" w:rsidRDefault="00274BB7" w:rsidP="00274BB7">
      <w:pPr>
        <w:spacing w:line="360" w:lineRule="auto"/>
        <w:ind w:right="49"/>
        <w:contextualSpacing/>
        <w:jc w:val="both"/>
        <w:rPr>
          <w:rFonts w:ascii="Palatino Linotype" w:eastAsiaTheme="minorEastAsia" w:hAnsi="Palatino Linotype"/>
          <w:i/>
        </w:rPr>
      </w:pPr>
    </w:p>
    <w:p w:rsidR="00274BB7" w:rsidRDefault="00274BB7" w:rsidP="00274BB7">
      <w:pPr>
        <w:spacing w:line="360" w:lineRule="auto"/>
        <w:ind w:right="49"/>
        <w:contextualSpacing/>
        <w:jc w:val="both"/>
        <w:rPr>
          <w:rFonts w:ascii="Palatino Linotype" w:eastAsiaTheme="minorEastAsia" w:hAnsi="Palatino Linotype"/>
          <w:bCs/>
          <w:iCs/>
        </w:rPr>
      </w:pPr>
      <w:r w:rsidRPr="00422273">
        <w:rPr>
          <w:rFonts w:ascii="Palatino Linotype" w:eastAsiaTheme="minorEastAsia" w:hAnsi="Palatino Linotype"/>
        </w:rPr>
        <w:t xml:space="preserve">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w:t>
      </w:r>
      <w:r>
        <w:rPr>
          <w:rFonts w:ascii="Palatino Linotype" w:eastAsiaTheme="minorEastAsia" w:hAnsi="Palatino Linotype"/>
        </w:rPr>
        <w:t xml:space="preserve">legal invocada como fundamento, </w:t>
      </w:r>
      <w:r w:rsidRPr="00422273">
        <w:rPr>
          <w:rFonts w:ascii="Palatino Linotype" w:eastAsiaTheme="minorEastAsia" w:hAnsi="Palatino Linotype"/>
        </w:rPr>
        <w:t xml:space="preserve">por la hipótesis análoga siendo aplicables los numerales </w:t>
      </w:r>
      <w:r w:rsidRPr="00422273">
        <w:rPr>
          <w:rFonts w:ascii="Palatino Linotype" w:eastAsiaTheme="minorEastAsia" w:hAnsi="Palatino Linotype"/>
          <w:bCs/>
          <w:iCs/>
        </w:rPr>
        <w:t xml:space="preserve">140, fracción VI de la Ley de Transparencia y Acceso a la Información </w:t>
      </w:r>
      <w:r w:rsidRPr="00422273">
        <w:rPr>
          <w:rFonts w:ascii="Palatino Linotype" w:eastAsiaTheme="minorEastAsia" w:hAnsi="Palatino Linotype"/>
          <w:bCs/>
          <w:iCs/>
        </w:rPr>
        <w:lastRenderedPageBreak/>
        <w:t xml:space="preserve">Pública del Estado de México y Municipios (homólogo al artículo 113, fracción IX de la Ley General de Transparencia y Acceso a la Información Pública), establece que aquella información que afecte o vulnere la conducción de </w:t>
      </w:r>
      <w:r w:rsidR="0028660A">
        <w:rPr>
          <w:rFonts w:ascii="Palatino Linotype" w:eastAsiaTheme="minorEastAsia" w:hAnsi="Palatino Linotype"/>
          <w:bCs/>
          <w:iCs/>
        </w:rPr>
        <w:t>las denuncias</w:t>
      </w:r>
      <w:r w:rsidRPr="00422273">
        <w:rPr>
          <w:rFonts w:ascii="Palatino Linotype" w:eastAsiaTheme="minorEastAsia" w:hAnsi="Palatino Linotype"/>
          <w:bCs/>
          <w:iCs/>
        </w:rPr>
        <w:t>, en tanto no hayan</w:t>
      </w:r>
      <w:r>
        <w:rPr>
          <w:rFonts w:ascii="Palatino Linotype" w:eastAsiaTheme="minorEastAsia" w:hAnsi="Palatino Linotype"/>
          <w:bCs/>
          <w:iCs/>
        </w:rPr>
        <w:t xml:space="preserve"> quedado firmes.</w:t>
      </w:r>
    </w:p>
    <w:p w:rsidR="00274BB7" w:rsidRPr="00422273" w:rsidRDefault="00274BB7" w:rsidP="00274BB7">
      <w:pPr>
        <w:spacing w:line="360" w:lineRule="auto"/>
        <w:ind w:right="49"/>
        <w:contextualSpacing/>
        <w:jc w:val="both"/>
        <w:rPr>
          <w:rFonts w:ascii="Palatino Linotype" w:eastAsiaTheme="minorEastAsia" w:hAnsi="Palatino Linotype"/>
          <w:bCs/>
          <w:iCs/>
        </w:rPr>
      </w:pPr>
    </w:p>
    <w:p w:rsidR="00274BB7" w:rsidRPr="00422273" w:rsidRDefault="00274BB7" w:rsidP="00274BB7">
      <w:pPr>
        <w:spacing w:line="360" w:lineRule="auto"/>
        <w:ind w:right="49"/>
        <w:contextualSpacing/>
        <w:jc w:val="both"/>
        <w:rPr>
          <w:rFonts w:ascii="Palatino Linotype" w:eastAsiaTheme="minorEastAsia" w:hAnsi="Palatino Linotype"/>
          <w:bCs/>
          <w:iCs/>
        </w:rPr>
      </w:pPr>
      <w:r w:rsidRPr="00422273">
        <w:rPr>
          <w:rFonts w:ascii="Palatino Linotype" w:eastAsiaTheme="minorEastAsia" w:hAnsi="Palatino Linotype"/>
          <w:bCs/>
          <w:iCs/>
        </w:rPr>
        <w:t>Por lo cual, la causal de reserva prevé que la información podrá clasificarse como reservada en el caso de que obstruya los procedimientos, pretende proteger la información vinculada a dichos procedimientos.</w:t>
      </w:r>
    </w:p>
    <w:p w:rsidR="00274BB7" w:rsidRPr="00422273" w:rsidRDefault="00274BB7" w:rsidP="00274BB7">
      <w:pPr>
        <w:spacing w:line="360" w:lineRule="auto"/>
        <w:ind w:right="49"/>
        <w:contextualSpacing/>
        <w:jc w:val="both"/>
        <w:rPr>
          <w:rFonts w:ascii="Palatino Linotype" w:eastAsiaTheme="minorEastAsia" w:hAnsi="Palatino Linotype"/>
          <w:iCs/>
        </w:rPr>
      </w:pPr>
      <w:r w:rsidRPr="00422273">
        <w:rPr>
          <w:rFonts w:ascii="Palatino Linotype" w:eastAsiaTheme="minorEastAsia" w:hAnsi="Palatino Linotype"/>
          <w:iCs/>
        </w:rPr>
        <w:t xml:space="preserve">Por su parte, en los Lineamientos Generales en Materia de Clasificación y Desclasificación de la </w:t>
      </w:r>
      <w:r w:rsidRPr="00422273">
        <w:rPr>
          <w:rFonts w:ascii="Palatino Linotype" w:eastAsiaTheme="minorEastAsia" w:hAnsi="Palatino Linotype"/>
          <w:bCs/>
          <w:iCs/>
        </w:rPr>
        <w:t>Información</w:t>
      </w:r>
      <w:r w:rsidRPr="00422273">
        <w:rPr>
          <w:rFonts w:ascii="Palatino Linotype" w:eastAsiaTheme="minorEastAsia" w:hAnsi="Palatino Linotype"/>
          <w:iCs/>
        </w:rPr>
        <w:t>, así como para la elaboración de versiones públicas, se establece lo siguiente:</w:t>
      </w:r>
    </w:p>
    <w:p w:rsidR="00274BB7" w:rsidRPr="00422273" w:rsidRDefault="00274BB7" w:rsidP="00274BB7">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i/>
          <w:iCs/>
          <w:sz w:val="22"/>
        </w:rPr>
        <w:t>“…</w:t>
      </w:r>
    </w:p>
    <w:p w:rsidR="00E017CC" w:rsidRPr="00E017CC" w:rsidRDefault="00E017CC" w:rsidP="00E017CC">
      <w:pPr>
        <w:ind w:left="851" w:right="822"/>
        <w:contextualSpacing/>
        <w:jc w:val="both"/>
        <w:rPr>
          <w:rFonts w:ascii="Palatino Linotype" w:eastAsiaTheme="minorEastAsia" w:hAnsi="Palatino Linotype"/>
          <w:b/>
          <w:i/>
          <w:iCs/>
          <w:sz w:val="22"/>
        </w:rPr>
      </w:pPr>
      <w:r w:rsidRPr="00E017CC">
        <w:rPr>
          <w:rFonts w:ascii="Palatino Linotype" w:eastAsiaTheme="minorEastAsia" w:hAnsi="Palatino Linotype"/>
          <w:b/>
          <w:i/>
          <w:iCs/>
          <w:sz w:val="22"/>
        </w:rPr>
        <w:t>Vigésimo sexto.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w:t>
      </w:r>
    </w:p>
    <w:p w:rsidR="00E017CC" w:rsidRPr="00E017CC" w:rsidRDefault="00E017CC" w:rsidP="00E017CC">
      <w:pPr>
        <w:ind w:left="851" w:right="822"/>
        <w:contextualSpacing/>
        <w:jc w:val="both"/>
        <w:rPr>
          <w:rFonts w:ascii="Palatino Linotype" w:eastAsiaTheme="minorEastAsia" w:hAnsi="Palatino Linotype"/>
          <w:i/>
          <w:iCs/>
          <w:sz w:val="22"/>
        </w:rPr>
      </w:pPr>
      <w:r w:rsidRPr="00E017CC">
        <w:rPr>
          <w:rFonts w:ascii="Palatino Linotype" w:eastAsiaTheme="minorEastAsia" w:hAnsi="Palatino Linotype"/>
          <w:b/>
          <w:i/>
          <w:iCs/>
          <w:sz w:val="22"/>
        </w:rPr>
        <w:t>Para que se verifique el supuesto de reserva, cuando se cause un perjuicio a las actividades de</w:t>
      </w:r>
      <w:r w:rsidRPr="00E017CC">
        <w:rPr>
          <w:rFonts w:ascii="Palatino Linotype" w:eastAsiaTheme="minorEastAsia" w:hAnsi="Palatino Linotype"/>
          <w:i/>
          <w:iCs/>
          <w:sz w:val="22"/>
        </w:rPr>
        <w:t> persecución de los delitos, deben de actualizarse los siguientes elementos:</w:t>
      </w:r>
    </w:p>
    <w:p w:rsidR="00E017CC" w:rsidRPr="00E017CC" w:rsidRDefault="00E017CC" w:rsidP="00E017CC">
      <w:pPr>
        <w:ind w:left="851" w:right="822"/>
        <w:contextualSpacing/>
        <w:jc w:val="both"/>
        <w:rPr>
          <w:rFonts w:ascii="Palatino Linotype" w:eastAsiaTheme="minorEastAsia" w:hAnsi="Palatino Linotype"/>
          <w:i/>
          <w:iCs/>
          <w:sz w:val="22"/>
        </w:rPr>
      </w:pPr>
      <w:r w:rsidRPr="00E017CC">
        <w:rPr>
          <w:rFonts w:ascii="Palatino Linotype" w:eastAsiaTheme="minorEastAsia" w:hAnsi="Palatino Linotype"/>
          <w:i/>
          <w:iCs/>
          <w:sz w:val="22"/>
        </w:rPr>
        <w:t> </w:t>
      </w:r>
    </w:p>
    <w:p w:rsidR="00E017CC" w:rsidRPr="00E017CC" w:rsidRDefault="00E017CC" w:rsidP="00E017CC">
      <w:pPr>
        <w:ind w:left="851" w:right="822"/>
        <w:contextualSpacing/>
        <w:jc w:val="both"/>
        <w:rPr>
          <w:rFonts w:ascii="Palatino Linotype" w:eastAsiaTheme="minorEastAsia" w:hAnsi="Palatino Linotype"/>
          <w:b/>
          <w:i/>
          <w:iCs/>
          <w:sz w:val="22"/>
          <w:u w:val="single"/>
        </w:rPr>
      </w:pPr>
      <w:r w:rsidRPr="00E017CC">
        <w:rPr>
          <w:rFonts w:ascii="Palatino Linotype" w:eastAsiaTheme="minorEastAsia" w:hAnsi="Palatino Linotype"/>
          <w:b/>
          <w:i/>
          <w:iCs/>
          <w:sz w:val="22"/>
          <w:u w:val="single"/>
        </w:rPr>
        <w:t>I.        La existencia de un proceso penal en sustanciación o una carpeta de investigación en trámite;</w:t>
      </w:r>
    </w:p>
    <w:p w:rsidR="00E017CC" w:rsidRPr="00E017CC" w:rsidRDefault="00E017CC" w:rsidP="00E017CC">
      <w:pPr>
        <w:ind w:left="851" w:right="822"/>
        <w:contextualSpacing/>
        <w:jc w:val="both"/>
        <w:rPr>
          <w:rFonts w:ascii="Palatino Linotype" w:eastAsiaTheme="minorEastAsia" w:hAnsi="Palatino Linotype"/>
          <w:i/>
          <w:iCs/>
          <w:sz w:val="22"/>
        </w:rPr>
      </w:pPr>
      <w:r w:rsidRPr="00E017CC">
        <w:rPr>
          <w:rFonts w:ascii="Palatino Linotype" w:eastAsiaTheme="minorEastAsia" w:hAnsi="Palatino Linotype"/>
          <w:b/>
          <w:i/>
          <w:iCs/>
          <w:sz w:val="22"/>
        </w:rPr>
        <w:t>II.       Que se acredite el vínculo que existe entre la información solicitada y la carpeta de investigación</w:t>
      </w:r>
      <w:r w:rsidRPr="00E017CC">
        <w:rPr>
          <w:rFonts w:ascii="Palatino Linotype" w:eastAsiaTheme="minorEastAsia" w:hAnsi="Palatino Linotype"/>
          <w:i/>
          <w:iCs/>
          <w:sz w:val="22"/>
        </w:rPr>
        <w:t>, o el proceso penal, según sea el caso, y</w:t>
      </w:r>
    </w:p>
    <w:p w:rsidR="00274BB7" w:rsidRPr="00422273" w:rsidRDefault="00E017CC" w:rsidP="00E017CC">
      <w:pPr>
        <w:ind w:left="851" w:right="822"/>
        <w:contextualSpacing/>
        <w:jc w:val="both"/>
        <w:rPr>
          <w:rFonts w:ascii="Palatino Linotype" w:eastAsiaTheme="minorEastAsia" w:hAnsi="Palatino Linotype"/>
          <w:i/>
          <w:iCs/>
          <w:sz w:val="22"/>
        </w:rPr>
      </w:pPr>
      <w:r w:rsidRPr="00E017CC">
        <w:rPr>
          <w:rFonts w:ascii="Palatino Linotype" w:eastAsiaTheme="minorEastAsia" w:hAnsi="Palatino Linotype"/>
          <w:i/>
          <w:iCs/>
          <w:sz w:val="22"/>
        </w:rPr>
        <w:t>III.      Que la difusión de la información pueda impedir u obstruir las funciones que ejerce el Ministerio Público o su equivalente durante la etapa de investigación o ante los tribunales judiciales con motivo d</w:t>
      </w:r>
      <w:r>
        <w:rPr>
          <w:rFonts w:ascii="Palatino Linotype" w:eastAsiaTheme="minorEastAsia" w:hAnsi="Palatino Linotype"/>
          <w:i/>
          <w:iCs/>
          <w:sz w:val="22"/>
        </w:rPr>
        <w:t>el ejercicio de la acción penal</w:t>
      </w:r>
      <w:r w:rsidRPr="00422273">
        <w:rPr>
          <w:rFonts w:ascii="Palatino Linotype" w:eastAsiaTheme="minorEastAsia" w:hAnsi="Palatino Linotype"/>
          <w:i/>
          <w:iCs/>
          <w:sz w:val="22"/>
        </w:rPr>
        <w:t xml:space="preserve"> </w:t>
      </w:r>
      <w:r w:rsidR="00274BB7" w:rsidRPr="00422273">
        <w:rPr>
          <w:rFonts w:ascii="Palatino Linotype" w:eastAsiaTheme="minorEastAsia" w:hAnsi="Palatino Linotype"/>
          <w:i/>
          <w:iCs/>
          <w:sz w:val="22"/>
        </w:rPr>
        <w:t>…”</w:t>
      </w:r>
      <w:r w:rsidR="00274BB7">
        <w:rPr>
          <w:rFonts w:ascii="Palatino Linotype" w:eastAsiaTheme="minorEastAsia" w:hAnsi="Palatino Linotype"/>
          <w:i/>
          <w:iCs/>
          <w:sz w:val="22"/>
        </w:rPr>
        <w:t xml:space="preserve"> (Sic)</w:t>
      </w:r>
    </w:p>
    <w:p w:rsidR="00274BB7" w:rsidRPr="00422273" w:rsidRDefault="00274BB7" w:rsidP="00274BB7">
      <w:pPr>
        <w:spacing w:line="360" w:lineRule="auto"/>
        <w:ind w:right="49"/>
        <w:contextualSpacing/>
        <w:jc w:val="both"/>
        <w:rPr>
          <w:rFonts w:ascii="Palatino Linotype" w:eastAsiaTheme="minorEastAsia" w:hAnsi="Palatino Linotype"/>
          <w:i/>
          <w:iCs/>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iCs/>
        </w:rPr>
        <w:lastRenderedPageBreak/>
        <w:t xml:space="preserve">De lo anterior, se advierte que para que se actualice la causal de reserva que se analiza se debe acreditar i) la existencia de </w:t>
      </w:r>
      <w:r w:rsidR="00E017CC">
        <w:rPr>
          <w:rFonts w:ascii="Palatino Linotype" w:eastAsiaTheme="minorEastAsia" w:hAnsi="Palatino Linotype"/>
          <w:iCs/>
        </w:rPr>
        <w:t>una carpeta de investigación en trámite</w:t>
      </w:r>
      <w:r w:rsidRPr="00422273">
        <w:rPr>
          <w:rFonts w:ascii="Palatino Linotype" w:eastAsiaTheme="minorEastAsia" w:hAnsi="Palatino Linotype"/>
          <w:iCs/>
        </w:rPr>
        <w:t xml:space="preserve"> y ii)</w:t>
      </w:r>
      <w:r w:rsidR="00E017CC">
        <w:rPr>
          <w:rFonts w:ascii="Palatino Linotype" w:eastAsiaTheme="minorEastAsia" w:hAnsi="Palatino Linotype"/>
          <w:iCs/>
        </w:rPr>
        <w:t xml:space="preserve"> </w:t>
      </w:r>
      <w:r w:rsidR="00E017CC" w:rsidRPr="00E017CC">
        <w:rPr>
          <w:rFonts w:ascii="Palatino Linotype" w:eastAsiaTheme="minorEastAsia" w:hAnsi="Palatino Linotype"/>
          <w:iCs/>
        </w:rPr>
        <w:t>Que se acredite el vínculo que existe entre la información solicitada y la carpeta de investigación</w:t>
      </w:r>
      <w:r w:rsidR="00E017CC">
        <w:rPr>
          <w:rFonts w:ascii="Palatino Linotype" w:eastAsiaTheme="minorEastAsia" w:hAnsi="Palatino Linotype"/>
          <w:b/>
          <w:i/>
          <w:iCs/>
          <w:sz w:val="22"/>
        </w:rPr>
        <w:t>.</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Default="00274BB7" w:rsidP="00274BB7">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De ahí que</w:t>
      </w:r>
      <w:r w:rsidRPr="00422273">
        <w:rPr>
          <w:rFonts w:ascii="Palatino Linotype" w:eastAsiaTheme="minorEastAsia" w:hAnsi="Palatino Linotype"/>
        </w:rPr>
        <w:t>, resulta procedente la reserva, en términos del artículo 140, fracción VI, de la Ley de Transparencia y Acceso a la Información Pública del Estado de Méxic</w:t>
      </w:r>
      <w:r>
        <w:rPr>
          <w:rFonts w:ascii="Palatino Linotype" w:eastAsiaTheme="minorEastAsia" w:hAnsi="Palatino Linotype"/>
        </w:rPr>
        <w:t>o y Municipios, de los procedimientos</w:t>
      </w:r>
      <w:r w:rsidR="00E017CC" w:rsidRPr="00E017CC">
        <w:rPr>
          <w:rFonts w:ascii="Palatino Linotype" w:eastAsiaTheme="minorEastAsia" w:hAnsi="Palatino Linotype"/>
        </w:rPr>
        <w:t xml:space="preserve"> judiciales o administrativos, incluidos los de denuncias</w:t>
      </w:r>
      <w:r w:rsidR="00E017CC">
        <w:rPr>
          <w:rFonts w:ascii="Palatino Linotype" w:eastAsiaTheme="minorEastAsia" w:hAnsi="Palatino Linotype"/>
        </w:rPr>
        <w:t>.</w:t>
      </w:r>
    </w:p>
    <w:p w:rsidR="003D0F56" w:rsidRPr="00422273" w:rsidRDefault="003D0F56" w:rsidP="00274BB7">
      <w:pPr>
        <w:spacing w:line="360" w:lineRule="auto"/>
        <w:ind w:right="49"/>
        <w:contextualSpacing/>
        <w:jc w:val="both"/>
        <w:rPr>
          <w:rFonts w:ascii="Palatino Linotype" w:eastAsiaTheme="minorEastAsia" w:hAnsi="Palatino Linotype"/>
        </w:rPr>
      </w:pPr>
    </w:p>
    <w:p w:rsidR="00274BB7" w:rsidRPr="00422273" w:rsidRDefault="00274BB7" w:rsidP="00274BB7">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iCs/>
        </w:rPr>
        <w:t>R</w:t>
      </w:r>
      <w:r w:rsidRPr="00422273">
        <w:rPr>
          <w:rFonts w:ascii="Palatino Linotype" w:eastAsiaTheme="minorEastAsia" w:hAnsi="Palatino Linotype"/>
          <w:bCs/>
        </w:rPr>
        <w:t>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rsidR="00E034DA" w:rsidRDefault="00E034DA" w:rsidP="00F35719">
      <w:pPr>
        <w:tabs>
          <w:tab w:val="left" w:pos="8363"/>
        </w:tabs>
        <w:ind w:right="567"/>
        <w:contextualSpacing/>
        <w:jc w:val="both"/>
        <w:rPr>
          <w:rFonts w:ascii="Palatino Linotype" w:eastAsia="Palatino Linotype" w:hAnsi="Palatino Linotype" w:cs="Palatino Linotype"/>
        </w:rPr>
      </w:pPr>
    </w:p>
    <w:p w:rsidR="00F35719" w:rsidRPr="009B4306" w:rsidRDefault="00F35719" w:rsidP="00F35719">
      <w:pPr>
        <w:spacing w:after="120" w:line="360" w:lineRule="auto"/>
        <w:ind w:right="49"/>
        <w:contextualSpacing/>
        <w:jc w:val="both"/>
        <w:rPr>
          <w:rFonts w:ascii="Palatino Linotype" w:hAnsi="Palatino Linotype"/>
        </w:rPr>
      </w:pPr>
      <w:r w:rsidRPr="009B4306">
        <w:rPr>
          <w:rFonts w:ascii="Palatino Linotype" w:eastAsia="SimSun" w:hAnsi="Palatino Linotyp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F35719" w:rsidRPr="009B4306" w:rsidRDefault="00F35719" w:rsidP="00F35719">
      <w:pPr>
        <w:ind w:left="708"/>
        <w:rPr>
          <w:rFonts w:ascii="Palatino Linotype" w:eastAsia="SimSun" w:hAnsi="Palatino Linotype"/>
          <w:sz w:val="22"/>
          <w:szCs w:val="22"/>
          <w:lang w:val="es-MX" w:eastAsia="en-US"/>
        </w:rPr>
      </w:pPr>
    </w:p>
    <w:p w:rsidR="00F35719" w:rsidRDefault="00F35719" w:rsidP="00F35719">
      <w:pPr>
        <w:spacing w:after="120" w:line="360" w:lineRule="auto"/>
        <w:ind w:right="49"/>
        <w:contextualSpacing/>
        <w:jc w:val="both"/>
        <w:rPr>
          <w:rFonts w:ascii="Palatino Linotype" w:eastAsia="Calibri" w:hAnsi="Palatino Linotype" w:cs="Arial"/>
        </w:rPr>
      </w:pPr>
      <w:r w:rsidRPr="009B4306">
        <w:rPr>
          <w:rFonts w:ascii="Palatino Linotype" w:eastAsia="SimSun" w:hAnsi="Palatino Linotype"/>
        </w:rPr>
        <w:t xml:space="preserve">Siendo la prueba de daño aquella argumentación fundada y motivada que deben realizar los Sujetos Obligados tendientes a acreditar que la divulgación de información lesiona el interés jurídico protegido por la normatividad aplicable y </w:t>
      </w:r>
      <w:r w:rsidRPr="009B4306">
        <w:rPr>
          <w:rFonts w:ascii="Palatino Linotype" w:eastAsia="SimSun" w:hAnsi="Palatino Linotype"/>
        </w:rPr>
        <w:lastRenderedPageBreak/>
        <w:t xml:space="preserve">que el daño que puede producirse con la publicidad de la información es mayor que el interés de conocerla, dicha prueba </w:t>
      </w:r>
      <w:r w:rsidRPr="009B4306">
        <w:rPr>
          <w:rFonts w:ascii="Palatino Linotype" w:eastAsia="Calibri" w:hAnsi="Palatino Linotype" w:cs="Arial"/>
        </w:rPr>
        <w:t>pretende ser una garantía para impedir la reserva discrecional de la información.</w:t>
      </w:r>
    </w:p>
    <w:p w:rsidR="00F35719" w:rsidRPr="009B4306" w:rsidRDefault="00F35719" w:rsidP="00F35719">
      <w:pPr>
        <w:spacing w:after="120" w:line="360" w:lineRule="auto"/>
        <w:ind w:right="49"/>
        <w:contextualSpacing/>
        <w:jc w:val="both"/>
        <w:rPr>
          <w:rFonts w:ascii="Palatino Linotype" w:eastAsia="Calibri" w:hAnsi="Palatino Linotype" w:cs="Arial"/>
        </w:rPr>
      </w:pPr>
    </w:p>
    <w:p w:rsidR="00F35719" w:rsidRDefault="00F35719" w:rsidP="00F35719">
      <w:pPr>
        <w:spacing w:before="240" w:after="240" w:line="360" w:lineRule="auto"/>
        <w:jc w:val="both"/>
        <w:rPr>
          <w:rFonts w:ascii="Palatino Linotype" w:hAnsi="Palatino Linotype"/>
          <w:lang w:eastAsia="es-MX"/>
        </w:rPr>
      </w:pPr>
      <w:r w:rsidRPr="009B4306">
        <w:rPr>
          <w:rFonts w:ascii="Palatino Linotype" w:hAnsi="Palatino Linotype"/>
          <w:lang w:eastAsia="es-MX"/>
        </w:rPr>
        <w:t>En efecto, generalmente se concede que no basta que un documento verse, por e</w:t>
      </w:r>
      <w:r>
        <w:rPr>
          <w:rFonts w:ascii="Palatino Linotype" w:hAnsi="Palatino Linotype"/>
          <w:lang w:eastAsia="es-MX"/>
        </w:rPr>
        <w:t>jemplo, sobre procedimientos que no aun causado estado</w:t>
      </w:r>
      <w:r w:rsidRPr="009B4306">
        <w:rPr>
          <w:rFonts w:ascii="Palatino Linotype" w:hAnsi="Palatino Linotype"/>
          <w:lang w:eastAsia="es-MX"/>
        </w:rPr>
        <w:t xml:space="preserve">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w:t>
      </w:r>
      <w:r>
        <w:rPr>
          <w:rFonts w:ascii="Palatino Linotype" w:hAnsi="Palatino Linotype"/>
          <w:lang w:eastAsia="es-MX"/>
        </w:rPr>
        <w:t>de las denuncias</w:t>
      </w:r>
      <w:r w:rsidRPr="009B4306">
        <w:rPr>
          <w:rFonts w:ascii="Palatino Linotype" w:hAnsi="Palatino Linotype"/>
          <w:lang w:eastAsia="es-MX"/>
        </w:rPr>
        <w:t>— para poder determinar de manera cierta que la primera pone en riesgo a la segunda, y que por ello procede una reserva temporal del documento, a esto se le conoce como la "prueba de daño".</w:t>
      </w:r>
    </w:p>
    <w:p w:rsidR="00EA328A" w:rsidRDefault="002311E6" w:rsidP="00EA328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rFonts w:ascii="Palatino Linotype" w:hAnsi="Palatino Linotype"/>
          <w:lang w:eastAsia="es-MX"/>
        </w:rPr>
        <w:t>Finalmente, respecto de los motivos de inconformidad en donde señala el recurrente “</w:t>
      </w:r>
      <w:proofErr w:type="spellStart"/>
      <w:r w:rsidRPr="00D01912">
        <w:rPr>
          <w:rFonts w:ascii="Palatino Linotype" w:hAnsi="Palatino Linotype" w:cs="Arial"/>
          <w:i/>
          <w:sz w:val="22"/>
          <w:szCs w:val="22"/>
          <w:lang w:eastAsia="es-MX"/>
        </w:rPr>
        <w:t>deveria</w:t>
      </w:r>
      <w:proofErr w:type="spellEnd"/>
      <w:r w:rsidRPr="00D01912">
        <w:rPr>
          <w:rFonts w:ascii="Palatino Linotype" w:hAnsi="Palatino Linotype" w:cs="Arial"/>
          <w:i/>
          <w:sz w:val="22"/>
          <w:szCs w:val="22"/>
          <w:lang w:eastAsia="es-MX"/>
        </w:rPr>
        <w:t xml:space="preserve"> leer un poco </w:t>
      </w:r>
      <w:proofErr w:type="spellStart"/>
      <w:r w:rsidRPr="00D01912">
        <w:rPr>
          <w:rFonts w:ascii="Palatino Linotype" w:hAnsi="Palatino Linotype" w:cs="Arial"/>
          <w:i/>
          <w:sz w:val="22"/>
          <w:szCs w:val="22"/>
          <w:lang w:eastAsia="es-MX"/>
        </w:rPr>
        <w:t>mas</w:t>
      </w:r>
      <w:proofErr w:type="spellEnd"/>
      <w:r w:rsidRPr="00D01912">
        <w:rPr>
          <w:rFonts w:ascii="Palatino Linotype" w:hAnsi="Palatino Linotype" w:cs="Arial"/>
          <w:i/>
          <w:sz w:val="22"/>
          <w:szCs w:val="22"/>
          <w:lang w:eastAsia="es-MX"/>
        </w:rPr>
        <w:t xml:space="preserve"> por eso no gano morena en </w:t>
      </w:r>
      <w:proofErr w:type="spellStart"/>
      <w:r w:rsidRPr="00D01912">
        <w:rPr>
          <w:rFonts w:ascii="Palatino Linotype" w:hAnsi="Palatino Linotype" w:cs="Arial"/>
          <w:i/>
          <w:sz w:val="22"/>
          <w:szCs w:val="22"/>
          <w:lang w:eastAsia="es-MX"/>
        </w:rPr>
        <w:t>teoloyucan</w:t>
      </w:r>
      <w:proofErr w:type="spellEnd"/>
      <w:r w:rsidRPr="00D01912">
        <w:rPr>
          <w:rFonts w:ascii="Palatino Linotype" w:hAnsi="Palatino Linotype" w:cs="Arial"/>
          <w:i/>
          <w:sz w:val="22"/>
          <w:szCs w:val="22"/>
          <w:lang w:eastAsia="es-MX"/>
        </w:rPr>
        <w:t xml:space="preserve"> ya que si </w:t>
      </w:r>
      <w:proofErr w:type="spellStart"/>
      <w:r w:rsidRPr="00D01912">
        <w:rPr>
          <w:rFonts w:ascii="Palatino Linotype" w:hAnsi="Palatino Linotype" w:cs="Arial"/>
          <w:i/>
          <w:sz w:val="22"/>
          <w:szCs w:val="22"/>
          <w:lang w:eastAsia="es-MX"/>
        </w:rPr>
        <w:t>asi</w:t>
      </w:r>
      <w:proofErr w:type="spellEnd"/>
      <w:r w:rsidRPr="00D01912">
        <w:rPr>
          <w:rFonts w:ascii="Palatino Linotype" w:hAnsi="Palatino Linotype" w:cs="Arial"/>
          <w:i/>
          <w:sz w:val="22"/>
          <w:szCs w:val="22"/>
          <w:lang w:eastAsia="es-MX"/>
        </w:rPr>
        <w:t xml:space="preserve"> contesta me imagino como </w:t>
      </w:r>
      <w:proofErr w:type="spellStart"/>
      <w:r w:rsidRPr="00D01912">
        <w:rPr>
          <w:rFonts w:ascii="Palatino Linotype" w:hAnsi="Palatino Linotype" w:cs="Arial"/>
          <w:i/>
          <w:sz w:val="22"/>
          <w:szCs w:val="22"/>
          <w:lang w:eastAsia="es-MX"/>
        </w:rPr>
        <w:t>defendio</w:t>
      </w:r>
      <w:proofErr w:type="spellEnd"/>
      <w:r w:rsidRPr="00D01912">
        <w:rPr>
          <w:rFonts w:ascii="Palatino Linotype" w:hAnsi="Palatino Linotype" w:cs="Arial"/>
          <w:i/>
          <w:sz w:val="22"/>
          <w:szCs w:val="22"/>
          <w:lang w:eastAsia="es-MX"/>
        </w:rPr>
        <w:t xml:space="preserve"> el voto</w:t>
      </w:r>
      <w:r>
        <w:rPr>
          <w:rFonts w:ascii="Palatino Linotype" w:hAnsi="Palatino Linotype" w:cs="Arial"/>
          <w:i/>
          <w:sz w:val="22"/>
          <w:szCs w:val="22"/>
          <w:lang w:eastAsia="es-MX"/>
        </w:rPr>
        <w:t>…, …</w:t>
      </w:r>
      <w:r w:rsidRPr="00D01912">
        <w:rPr>
          <w:rFonts w:ascii="Palatino Linotype" w:hAnsi="Palatino Linotype" w:cs="Arial"/>
          <w:i/>
          <w:sz w:val="22"/>
          <w:szCs w:val="22"/>
          <w:lang w:eastAsia="es-MX"/>
        </w:rPr>
        <w:t xml:space="preserve">pero si en efecto es mucha la incompetencia de los servidores </w:t>
      </w:r>
      <w:proofErr w:type="spellStart"/>
      <w:r w:rsidRPr="00D01912">
        <w:rPr>
          <w:rFonts w:ascii="Palatino Linotype" w:hAnsi="Palatino Linotype" w:cs="Arial"/>
          <w:i/>
          <w:sz w:val="22"/>
          <w:szCs w:val="22"/>
          <w:lang w:eastAsia="es-MX"/>
        </w:rPr>
        <w:t>puvlicos</w:t>
      </w:r>
      <w:proofErr w:type="spellEnd"/>
      <w:r w:rsidRPr="00D01912">
        <w:rPr>
          <w:rFonts w:ascii="Palatino Linotype" w:hAnsi="Palatino Linotype" w:cs="Arial"/>
          <w:i/>
          <w:sz w:val="22"/>
          <w:szCs w:val="22"/>
          <w:lang w:eastAsia="es-MX"/>
        </w:rPr>
        <w:t xml:space="preserve"> de </w:t>
      </w:r>
      <w:proofErr w:type="spellStart"/>
      <w:r w:rsidRPr="00D01912">
        <w:rPr>
          <w:rFonts w:ascii="Palatino Linotype" w:hAnsi="Palatino Linotype" w:cs="Arial"/>
          <w:i/>
          <w:sz w:val="22"/>
          <w:szCs w:val="22"/>
          <w:lang w:eastAsia="es-MX"/>
        </w:rPr>
        <w:t>teoloyucan</w:t>
      </w:r>
      <w:proofErr w:type="spellEnd"/>
      <w:r w:rsidRPr="00D01912">
        <w:rPr>
          <w:rFonts w:ascii="Palatino Linotype" w:hAnsi="Palatino Linotype" w:cs="Arial"/>
          <w:i/>
          <w:sz w:val="22"/>
          <w:szCs w:val="22"/>
          <w:lang w:eastAsia="es-MX"/>
        </w:rPr>
        <w:t xml:space="preserve"> por eso no </w:t>
      </w:r>
      <w:proofErr w:type="spellStart"/>
      <w:r w:rsidRPr="00D01912">
        <w:rPr>
          <w:rFonts w:ascii="Palatino Linotype" w:hAnsi="Palatino Linotype" w:cs="Arial"/>
          <w:i/>
          <w:sz w:val="22"/>
          <w:szCs w:val="22"/>
          <w:lang w:eastAsia="es-MX"/>
        </w:rPr>
        <w:t>ganron</w:t>
      </w:r>
      <w:proofErr w:type="spellEnd"/>
      <w:r>
        <w:rPr>
          <w:rFonts w:ascii="Palatino Linotype" w:hAnsi="Palatino Linotype" w:cs="Arial"/>
          <w:i/>
          <w:sz w:val="22"/>
          <w:szCs w:val="22"/>
          <w:lang w:eastAsia="es-MX"/>
        </w:rPr>
        <w:t xml:space="preserve">…”, </w:t>
      </w:r>
      <w:r w:rsidR="00EA328A">
        <w:rPr>
          <w:rFonts w:ascii="Palatino Linotype" w:eastAsia="Calibri" w:hAnsi="Palatino Linotype" w:cs="Arial"/>
        </w:rPr>
        <w:t xml:space="preserve">se advierte que son manifestaciones subjetivas que no se pueden atender a través del derecho de acceso a la información pública, además de que se le invita al recurrente que en las demás solicitudes como recursos de revisión que desee interponer se conduzca con respeto. </w:t>
      </w:r>
    </w:p>
    <w:p w:rsidR="006F26F7" w:rsidRPr="000A5028" w:rsidRDefault="006F26F7" w:rsidP="006F26F7">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w:t>
      </w:r>
      <w:r>
        <w:rPr>
          <w:rFonts w:ascii="Palatino Linotype" w:hAnsi="Palatino Linotype" w:cs="Arial"/>
        </w:rPr>
        <w:lastRenderedPageBreak/>
        <w:t xml:space="preserve">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F26F7" w:rsidRDefault="006F26F7" w:rsidP="006F26F7">
      <w:pPr>
        <w:spacing w:before="240" w:after="240" w:line="360" w:lineRule="auto"/>
        <w:contextualSpacing/>
        <w:jc w:val="both"/>
        <w:rPr>
          <w:rFonts w:ascii="Palatino Linotype" w:hAnsi="Palatino Linotype"/>
        </w:rPr>
      </w:pPr>
    </w:p>
    <w:p w:rsidR="006F26F7" w:rsidRDefault="006F26F7" w:rsidP="006F26F7">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6F26F7" w:rsidRDefault="006F26F7" w:rsidP="006F26F7">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6F26F7" w:rsidRDefault="006F26F7" w:rsidP="006F26F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6F26F7" w:rsidRDefault="006F26F7" w:rsidP="006F26F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6F26F7" w:rsidRDefault="006F26F7" w:rsidP="006F26F7">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6F26F7" w:rsidRDefault="006F26F7" w:rsidP="006F26F7">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6F26F7" w:rsidRDefault="006F26F7" w:rsidP="006F26F7">
      <w:pPr>
        <w:autoSpaceDE w:val="0"/>
        <w:autoSpaceDN w:val="0"/>
        <w:adjustRightInd w:val="0"/>
        <w:ind w:left="993" w:right="1041"/>
        <w:jc w:val="both"/>
        <w:rPr>
          <w:rFonts w:ascii="Palatino Linotype" w:hAnsi="Palatino Linotype" w:cs="Arial"/>
          <w:i/>
          <w:sz w:val="22"/>
          <w:szCs w:val="22"/>
        </w:rPr>
      </w:pPr>
    </w:p>
    <w:p w:rsidR="006F26F7" w:rsidRDefault="006F26F7" w:rsidP="006F26F7">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F26F7" w:rsidRDefault="006F26F7" w:rsidP="006F26F7">
      <w:pPr>
        <w:ind w:left="993" w:right="1041"/>
        <w:contextualSpacing/>
        <w:jc w:val="both"/>
        <w:rPr>
          <w:rFonts w:ascii="Palatino Linotype" w:hAnsi="Palatino Linotype" w:cs="Arial"/>
          <w:bCs/>
          <w:i/>
          <w:noProof/>
          <w:sz w:val="22"/>
          <w:szCs w:val="22"/>
        </w:rPr>
      </w:pPr>
    </w:p>
    <w:p w:rsidR="006F26F7" w:rsidRDefault="006F26F7" w:rsidP="006F26F7">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lastRenderedPageBreak/>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F26F7" w:rsidRDefault="006F26F7" w:rsidP="006F26F7">
      <w:pPr>
        <w:spacing w:before="240"/>
        <w:ind w:left="993" w:right="1041"/>
        <w:contextualSpacing/>
        <w:jc w:val="both"/>
        <w:rPr>
          <w:rFonts w:ascii="Palatino Linotype" w:hAnsi="Palatino Linotype" w:cs="Arial"/>
          <w:b/>
          <w:bCs/>
          <w:i/>
          <w:noProof/>
          <w:sz w:val="22"/>
          <w:szCs w:val="22"/>
        </w:rPr>
      </w:pPr>
    </w:p>
    <w:p w:rsidR="006F26F7" w:rsidRDefault="006F26F7" w:rsidP="006F26F7">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6F26F7" w:rsidRDefault="006F26F7" w:rsidP="006F26F7">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6F26F7" w:rsidRDefault="006F26F7" w:rsidP="006F26F7">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6F26F7" w:rsidRDefault="006F26F7" w:rsidP="006F26F7">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6F26F7" w:rsidRDefault="006F26F7" w:rsidP="006F26F7">
      <w:pPr>
        <w:spacing w:before="240"/>
        <w:ind w:left="993" w:right="1041"/>
        <w:contextualSpacing/>
        <w:jc w:val="both"/>
        <w:rPr>
          <w:rFonts w:ascii="Palatino Linotype" w:hAnsi="Palatino Linotype"/>
          <w:i/>
          <w:sz w:val="22"/>
          <w:szCs w:val="22"/>
        </w:rPr>
      </w:pPr>
    </w:p>
    <w:p w:rsidR="006F26F7" w:rsidRDefault="006F26F7" w:rsidP="006F26F7">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F26F7" w:rsidRDefault="006F26F7" w:rsidP="006F26F7">
      <w:pPr>
        <w:autoSpaceDE w:val="0"/>
        <w:autoSpaceDN w:val="0"/>
        <w:adjustRightInd w:val="0"/>
        <w:spacing w:before="240" w:after="240" w:line="360" w:lineRule="auto"/>
        <w:ind w:right="51"/>
        <w:contextualSpacing/>
        <w:jc w:val="both"/>
        <w:rPr>
          <w:rFonts w:ascii="Palatino Linotype" w:hAnsi="Palatino Linotype" w:cs="Arial"/>
        </w:rPr>
      </w:pPr>
    </w:p>
    <w:p w:rsidR="006F26F7" w:rsidRDefault="006F26F7" w:rsidP="006F26F7">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F26F7" w:rsidRDefault="006F26F7" w:rsidP="006F26F7">
      <w:pPr>
        <w:autoSpaceDE w:val="0"/>
        <w:autoSpaceDN w:val="0"/>
        <w:adjustRightInd w:val="0"/>
        <w:spacing w:before="240" w:after="240" w:line="360" w:lineRule="auto"/>
        <w:ind w:right="50"/>
        <w:contextualSpacing/>
        <w:jc w:val="both"/>
        <w:rPr>
          <w:rFonts w:ascii="Palatino Linotype" w:hAnsi="Palatino Linotype" w:cs="Arial"/>
        </w:rPr>
      </w:pPr>
    </w:p>
    <w:p w:rsidR="006F26F7" w:rsidRDefault="006F26F7" w:rsidP="006F26F7">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F26F7" w:rsidRDefault="006F26F7" w:rsidP="006F26F7">
      <w:pPr>
        <w:autoSpaceDE w:val="0"/>
        <w:autoSpaceDN w:val="0"/>
        <w:adjustRightInd w:val="0"/>
        <w:spacing w:before="240" w:after="240" w:line="360" w:lineRule="auto"/>
        <w:ind w:right="51"/>
        <w:contextualSpacing/>
        <w:jc w:val="both"/>
        <w:rPr>
          <w:rFonts w:ascii="Palatino Linotype" w:hAnsi="Palatino Linotype" w:cs="Arial"/>
        </w:rPr>
      </w:pP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6F26F7" w:rsidRDefault="006F26F7" w:rsidP="006F26F7">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propuesta…”(Sic)</w:t>
      </w:r>
    </w:p>
    <w:p w:rsidR="006F26F7" w:rsidRDefault="006F26F7" w:rsidP="006F26F7">
      <w:pPr>
        <w:spacing w:before="240" w:after="240"/>
        <w:ind w:left="992" w:right="1043"/>
        <w:contextualSpacing/>
        <w:jc w:val="both"/>
        <w:rPr>
          <w:rFonts w:ascii="Palatino Linotype" w:hAnsi="Palatino Linotype"/>
          <w:i/>
          <w:sz w:val="22"/>
          <w:szCs w:val="22"/>
        </w:rPr>
      </w:pPr>
    </w:p>
    <w:p w:rsidR="006F26F7" w:rsidRDefault="006F26F7" w:rsidP="006F26F7">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F26F7" w:rsidRDefault="006F26F7" w:rsidP="006F26F7">
      <w:pPr>
        <w:spacing w:before="240" w:after="240" w:line="360" w:lineRule="auto"/>
        <w:contextualSpacing/>
        <w:jc w:val="both"/>
        <w:rPr>
          <w:rFonts w:ascii="Palatino Linotype" w:hAnsi="Palatino Linotype" w:cs="Arial"/>
        </w:rPr>
      </w:pPr>
    </w:p>
    <w:p w:rsidR="006F26F7" w:rsidRDefault="006F26F7" w:rsidP="006F26F7">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6F26F7" w:rsidRDefault="006F26F7" w:rsidP="006F26F7">
      <w:pPr>
        <w:spacing w:before="240" w:after="240" w:line="360" w:lineRule="auto"/>
        <w:contextualSpacing/>
        <w:jc w:val="both"/>
        <w:rPr>
          <w:rFonts w:ascii="Palatino Linotype" w:hAnsi="Palatino Linotype"/>
        </w:rPr>
      </w:pPr>
    </w:p>
    <w:p w:rsidR="006F26F7" w:rsidRDefault="006F26F7" w:rsidP="006F26F7">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6F26F7" w:rsidRDefault="006F26F7" w:rsidP="006F26F7">
      <w:pPr>
        <w:spacing w:before="240" w:after="240"/>
        <w:ind w:left="993" w:right="1041"/>
        <w:jc w:val="both"/>
        <w:rPr>
          <w:rFonts w:ascii="Palatino Linotype" w:hAnsi="Palatino Linotype" w:cs="Arial"/>
          <w:i/>
          <w:sz w:val="22"/>
          <w:szCs w:val="22"/>
        </w:rPr>
      </w:pPr>
    </w:p>
    <w:p w:rsidR="006F26F7" w:rsidRDefault="006F26F7" w:rsidP="006F26F7">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F26F7" w:rsidRDefault="006F26F7" w:rsidP="006F26F7">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lastRenderedPageBreak/>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6F26F7" w:rsidRDefault="006F26F7" w:rsidP="006F26F7">
      <w:pPr>
        <w:spacing w:before="360" w:after="160"/>
        <w:ind w:left="709" w:right="709"/>
        <w:contextualSpacing/>
        <w:jc w:val="both"/>
        <w:rPr>
          <w:rFonts w:ascii="Palatino Linotype" w:hAnsi="Palatino Linotype" w:cs="Arial"/>
          <w:b/>
          <w:i/>
          <w:sz w:val="22"/>
          <w:szCs w:val="22"/>
        </w:rPr>
      </w:pPr>
    </w:p>
    <w:p w:rsidR="006F26F7" w:rsidRDefault="006F26F7" w:rsidP="006F26F7">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6F26F7" w:rsidRDefault="006F26F7" w:rsidP="006F26F7">
      <w:pPr>
        <w:spacing w:before="3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6F26F7" w:rsidRDefault="006F26F7" w:rsidP="006F26F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lastRenderedPageBreak/>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F26F7" w:rsidRDefault="006F26F7" w:rsidP="006F26F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6F26F7" w:rsidRDefault="006F26F7" w:rsidP="006F26F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6F26F7" w:rsidRDefault="006F26F7" w:rsidP="006F26F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6F26F7" w:rsidRDefault="006F26F7" w:rsidP="006F26F7">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6F26F7" w:rsidRDefault="006F26F7" w:rsidP="006F26F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6F26F7" w:rsidRDefault="006F26F7" w:rsidP="006F26F7">
      <w:pPr>
        <w:spacing w:before="160" w:after="160"/>
        <w:ind w:left="709" w:right="709"/>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6F26F7" w:rsidTr="00952891">
        <w:trPr>
          <w:jc w:val="center"/>
        </w:trPr>
        <w:tc>
          <w:tcPr>
            <w:tcW w:w="1129" w:type="dxa"/>
            <w:tcBorders>
              <w:top w:val="nil"/>
              <w:left w:val="nil"/>
              <w:bottom w:val="single" w:sz="4" w:space="0" w:color="auto"/>
              <w:right w:val="single" w:sz="4" w:space="0" w:color="auto"/>
            </w:tcBorders>
          </w:tcPr>
          <w:p w:rsidR="006F26F7" w:rsidRDefault="006F26F7" w:rsidP="00952891">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b/>
                <w:i/>
              </w:rPr>
            </w:pPr>
            <w:r>
              <w:rPr>
                <w:rFonts w:ascii="Palatino Linotype" w:hAnsi="Palatino Linotype"/>
                <w:b/>
                <w:i/>
              </w:rPr>
              <w:t>Dónde:</w:t>
            </w:r>
          </w:p>
        </w:tc>
      </w:tr>
      <w:tr w:rsidR="006F26F7" w:rsidTr="00952891">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lang w:eastAsia="es-MX"/>
              </w:rPr>
              <w:t>anotarán</w:t>
            </w:r>
            <w:proofErr w:type="gramEnd"/>
            <w:r>
              <w:rPr>
                <w:rFonts w:ascii="Palatino Linotype" w:hAnsi="Palatino Linotype" w:cs="Arial"/>
                <w:i/>
                <w:lang w:eastAsia="es-MX"/>
              </w:rPr>
              <w:t xml:space="preserve"> todas las páginas que lo conforman. Si el documento no contiene información reservada, se tachará este apartado.</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6F26F7" w:rsidTr="009528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6F26F7" w:rsidRDefault="006F26F7" w:rsidP="00952891">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6F26F7" w:rsidRDefault="006F26F7" w:rsidP="00952891">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6F26F7" w:rsidRDefault="006F26F7" w:rsidP="006F26F7">
      <w:pPr>
        <w:autoSpaceDE w:val="0"/>
        <w:autoSpaceDN w:val="0"/>
        <w:adjustRightInd w:val="0"/>
        <w:spacing w:before="240" w:after="240" w:line="360" w:lineRule="auto"/>
        <w:ind w:right="51"/>
        <w:contextualSpacing/>
        <w:jc w:val="both"/>
        <w:rPr>
          <w:rFonts w:ascii="Palatino Linotype" w:hAnsi="Palatino Linotype" w:cs="Arial"/>
        </w:rPr>
      </w:pPr>
    </w:p>
    <w:p w:rsidR="006F26F7" w:rsidRDefault="006F26F7" w:rsidP="006F26F7">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6F26F7" w:rsidRDefault="006F26F7" w:rsidP="006F26F7">
      <w:pPr>
        <w:autoSpaceDE w:val="0"/>
        <w:autoSpaceDN w:val="0"/>
        <w:adjustRightInd w:val="0"/>
        <w:spacing w:before="240" w:after="240" w:line="360" w:lineRule="auto"/>
        <w:contextualSpacing/>
        <w:jc w:val="both"/>
        <w:rPr>
          <w:rFonts w:ascii="Palatino Linotype" w:hAnsi="Palatino Linotype" w:cs="Arial"/>
        </w:rPr>
      </w:pPr>
    </w:p>
    <w:p w:rsidR="006F26F7" w:rsidRDefault="006F26F7" w:rsidP="006F26F7">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6F26F7" w:rsidRDefault="006F26F7" w:rsidP="006F26F7">
      <w:pPr>
        <w:spacing w:before="240" w:after="240" w:line="360" w:lineRule="auto"/>
        <w:contextualSpacing/>
        <w:jc w:val="both"/>
        <w:rPr>
          <w:rFonts w:ascii="Palatino Linotype" w:hAnsi="Palatino Linotype" w:cs="Arial"/>
        </w:rPr>
      </w:pPr>
    </w:p>
    <w:p w:rsidR="006F26F7" w:rsidRDefault="006F26F7" w:rsidP="006F26F7">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F26F7" w:rsidRDefault="006F26F7" w:rsidP="002E7C7B">
      <w:pPr>
        <w:spacing w:before="240" w:after="240" w:line="360" w:lineRule="auto"/>
        <w:contextualSpacing/>
        <w:jc w:val="both"/>
        <w:rPr>
          <w:rFonts w:ascii="Palatino Linotype" w:hAnsi="Palatino Linotype" w:cs="Arial"/>
        </w:rPr>
      </w:pPr>
    </w:p>
    <w:p w:rsidR="002E7C7B" w:rsidRPr="00B80165" w:rsidRDefault="002E7C7B" w:rsidP="002E7C7B">
      <w:pPr>
        <w:spacing w:before="240" w:after="240" w:line="360" w:lineRule="auto"/>
        <w:contextualSpacing/>
        <w:jc w:val="both"/>
        <w:rPr>
          <w:rFonts w:ascii="Palatino Linotype" w:hAnsi="Palatino Linotype" w:cs="Arial"/>
        </w:rPr>
      </w:pPr>
      <w:r w:rsidRPr="00B80165">
        <w:rPr>
          <w:rFonts w:ascii="Palatino Linotype" w:hAnsi="Palatino Linotype" w:cs="Arial"/>
        </w:rPr>
        <w:t xml:space="preserve">Así, con fundamento en lo prescrito en los artículos 5 </w:t>
      </w:r>
      <w:r w:rsidRPr="00B80165">
        <w:rPr>
          <w:rFonts w:ascii="Palatino Linotype" w:hAnsi="Palatino Linotype"/>
          <w:shd w:val="clear" w:color="auto" w:fill="FFFFFF"/>
        </w:rPr>
        <w:t xml:space="preserve">párrafos </w:t>
      </w:r>
      <w:r w:rsidRPr="00CF645D">
        <w:rPr>
          <w:rFonts w:ascii="Palatino Linotype" w:hAnsi="Palatino Linotype"/>
          <w:shd w:val="clear" w:color="auto" w:fill="FFFFFF"/>
        </w:rPr>
        <w:t xml:space="preserve">vigésimo segundo, vigésimo tercero y vigésimo cuarto </w:t>
      </w:r>
      <w:r w:rsidRPr="00B80165">
        <w:rPr>
          <w:rFonts w:ascii="Palatino Linotype" w:hAnsi="Palatino Linotype"/>
          <w:shd w:val="clear" w:color="auto" w:fill="FFFFFF"/>
        </w:rPr>
        <w:t xml:space="preserve">fracciones IV y V </w:t>
      </w:r>
      <w:r w:rsidRPr="00B80165">
        <w:rPr>
          <w:rFonts w:ascii="Palatino Linotype" w:hAnsi="Palatino Linotype" w:cs="Arial"/>
        </w:rPr>
        <w:t xml:space="preserve">de la Constitución Política del Estado Libre y Soberano de México; 2, fracción II; 29, 36 fracciones I y II; 176, 178, </w:t>
      </w:r>
      <w:r w:rsidRPr="00B80165">
        <w:rPr>
          <w:rFonts w:ascii="Palatino Linotype" w:hAnsi="Palatino Linotype" w:cs="Arial"/>
        </w:rPr>
        <w:lastRenderedPageBreak/>
        <w:t>181, 185 de la Ley de Transparencia y Acceso a la Información Pública del Estado de México y Municipios, este Pleno:</w:t>
      </w:r>
    </w:p>
    <w:p w:rsidR="002E7C7B" w:rsidRPr="002504B2" w:rsidRDefault="002E7C7B" w:rsidP="002E7C7B">
      <w:pPr>
        <w:pStyle w:val="Prrafodelista"/>
        <w:numPr>
          <w:ilvl w:val="0"/>
          <w:numId w:val="1"/>
        </w:numPr>
        <w:spacing w:before="240" w:after="240" w:line="360" w:lineRule="auto"/>
        <w:jc w:val="center"/>
        <w:rPr>
          <w:rFonts w:ascii="Palatino Linotype" w:hAnsi="Palatino Linotype" w:cs="Arial"/>
          <w:b/>
        </w:rPr>
      </w:pPr>
      <w:r w:rsidRPr="002504B2">
        <w:rPr>
          <w:rFonts w:ascii="Palatino Linotype" w:hAnsi="Palatino Linotype" w:cs="Arial"/>
          <w:b/>
        </w:rPr>
        <w:t>R E S U E L V E</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Primero. </w:t>
      </w:r>
      <w:r w:rsidRPr="002504B2">
        <w:rPr>
          <w:rFonts w:ascii="Palatino Linotype" w:hAnsi="Palatino Linotype" w:cs="Arial"/>
        </w:rPr>
        <w:t xml:space="preserve">Son </w:t>
      </w:r>
      <w:r w:rsidR="002311E6">
        <w:rPr>
          <w:rFonts w:ascii="Palatino Linotype" w:hAnsi="Palatino Linotype" w:cs="Arial"/>
        </w:rPr>
        <w:t xml:space="preserve">parcialmente </w:t>
      </w:r>
      <w:r w:rsidR="006A3C22">
        <w:rPr>
          <w:rFonts w:ascii="Palatino Linotype" w:hAnsi="Palatino Linotype" w:cs="Arial"/>
        </w:rPr>
        <w:t>fundada</w:t>
      </w:r>
      <w:r w:rsidRPr="002504B2">
        <w:rPr>
          <w:rFonts w:ascii="Palatino Linotype" w:hAnsi="Palatino Linotype" w:cs="Arial"/>
        </w:rPr>
        <w:t xml:space="preserve">s </w:t>
      </w:r>
      <w:r w:rsidRPr="002504B2">
        <w:rPr>
          <w:rFonts w:ascii="Palatino Linotype" w:eastAsia="Arial Unicode MS" w:hAnsi="Palatino Linotype" w:cs="Arial"/>
        </w:rPr>
        <w:t>las razones o motivos de inconformidad hechos vale</w:t>
      </w:r>
      <w:r w:rsidR="006A3C22">
        <w:rPr>
          <w:rFonts w:ascii="Palatino Linotype" w:eastAsia="Arial Unicode MS" w:hAnsi="Palatino Linotype" w:cs="Arial"/>
        </w:rPr>
        <w:t>r por la parte Recurrente en el recurso</w:t>
      </w:r>
      <w:r w:rsidRPr="002504B2">
        <w:rPr>
          <w:rFonts w:ascii="Palatino Linotype" w:eastAsia="Arial Unicode MS" w:hAnsi="Palatino Linotype" w:cs="Arial"/>
        </w:rPr>
        <w:t xml:space="preserve"> de revisión </w:t>
      </w:r>
      <w:r w:rsidR="00EA328A">
        <w:rPr>
          <w:rFonts w:ascii="Palatino Linotype" w:hAnsi="Palatino Linotype" w:cs="Arial"/>
          <w:b/>
        </w:rPr>
        <w:t>04549</w:t>
      </w:r>
      <w:r w:rsidR="006A3C22">
        <w:rPr>
          <w:rFonts w:ascii="Palatino Linotype" w:hAnsi="Palatino Linotype" w:cs="Arial"/>
          <w:b/>
        </w:rPr>
        <w:t>/INFOEM/IP/RR/2021</w:t>
      </w:r>
      <w:r w:rsidRPr="002504B2">
        <w:rPr>
          <w:rFonts w:ascii="Palatino Linotype" w:hAnsi="Palatino Linotype" w:cs="Arial"/>
          <w:b/>
        </w:rPr>
        <w:t xml:space="preserve">, </w:t>
      </w:r>
      <w:r w:rsidRPr="002504B2">
        <w:rPr>
          <w:rFonts w:ascii="Palatino Linotype" w:hAnsi="Palatino Linotype" w:cs="Arial"/>
        </w:rPr>
        <w:t>por ende, en términos del considerando Cuarto, se</w:t>
      </w:r>
      <w:r>
        <w:rPr>
          <w:rFonts w:ascii="Palatino Linotype" w:hAnsi="Palatino Linotype" w:cs="Arial"/>
          <w:b/>
        </w:rPr>
        <w:t xml:space="preserve"> Revoca</w:t>
      </w:r>
      <w:r w:rsidRPr="002504B2">
        <w:rPr>
          <w:rFonts w:ascii="Palatino Linotype" w:hAnsi="Palatino Linotype" w:cs="Arial"/>
          <w:b/>
        </w:rPr>
        <w:t xml:space="preserve"> </w:t>
      </w:r>
      <w:r>
        <w:rPr>
          <w:rFonts w:ascii="Palatino Linotype" w:hAnsi="Palatino Linotype" w:cs="Arial"/>
        </w:rPr>
        <w:t>la respuesta</w:t>
      </w:r>
      <w:r w:rsidRPr="002504B2">
        <w:rPr>
          <w:rFonts w:ascii="Palatino Linotype" w:hAnsi="Palatino Linotype" w:cs="Arial"/>
        </w:rPr>
        <w:t xml:space="preserve"> del </w:t>
      </w:r>
      <w:r w:rsidRPr="002504B2">
        <w:rPr>
          <w:rFonts w:ascii="Palatino Linotype" w:hAnsi="Palatino Linotype" w:cs="Arial"/>
          <w:b/>
        </w:rPr>
        <w:t>Sujeto Obligado</w:t>
      </w:r>
      <w:r w:rsidRPr="002504B2">
        <w:rPr>
          <w:rFonts w:ascii="Palatino Linotype" w:hAnsi="Palatino Linotype" w:cs="Arial"/>
        </w:rPr>
        <w:t>.</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Segundo. </w:t>
      </w:r>
      <w:r w:rsidRPr="002504B2">
        <w:rPr>
          <w:rFonts w:ascii="Palatino Linotype" w:hAnsi="Palatino Linotype" w:cs="Arial"/>
        </w:rPr>
        <w:t>Se</w:t>
      </w:r>
      <w:r w:rsidRPr="002504B2">
        <w:rPr>
          <w:rFonts w:ascii="Palatino Linotype" w:hAnsi="Palatino Linotype" w:cs="Arial"/>
          <w:b/>
        </w:rPr>
        <w:t xml:space="preserve"> ORDENA </w:t>
      </w:r>
      <w:r w:rsidRPr="002504B2">
        <w:rPr>
          <w:rFonts w:ascii="Palatino Linotype" w:hAnsi="Palatino Linotype" w:cs="Arial"/>
        </w:rPr>
        <w:t xml:space="preserve">al </w:t>
      </w:r>
      <w:r w:rsidR="00EA328A">
        <w:rPr>
          <w:rFonts w:ascii="Palatino Linotype" w:hAnsi="Palatino Linotype" w:cs="Arial"/>
          <w:b/>
        </w:rPr>
        <w:t>Ayuntamiento de Teoloyucan</w:t>
      </w:r>
      <w:r w:rsidRPr="002504B2">
        <w:rPr>
          <w:rFonts w:ascii="Palatino Linotype" w:hAnsi="Palatino Linotype" w:cs="Arial"/>
        </w:rPr>
        <w:t xml:space="preserve">, que haga entrega vía SAIMEX, </w:t>
      </w:r>
      <w:r w:rsidR="00EA328A">
        <w:rPr>
          <w:rFonts w:ascii="Palatino Linotype" w:hAnsi="Palatino Linotype" w:cs="Arial"/>
        </w:rPr>
        <w:t>en términos del Considerando</w:t>
      </w:r>
      <w:r w:rsidRPr="002504B2">
        <w:rPr>
          <w:rFonts w:ascii="Palatino Linotype" w:hAnsi="Palatino Linotype" w:cs="Arial"/>
        </w:rPr>
        <w:t xml:space="preserve"> Cuarto</w:t>
      </w:r>
      <w:r w:rsidR="003D0F56">
        <w:rPr>
          <w:rFonts w:ascii="Palatino Linotype" w:hAnsi="Palatino Linotype" w:cs="Arial"/>
        </w:rPr>
        <w:t xml:space="preserve"> y Quinto</w:t>
      </w:r>
      <w:r w:rsidRPr="002504B2">
        <w:rPr>
          <w:rFonts w:ascii="Palatino Linotype" w:hAnsi="Palatino Linotype" w:cs="Arial"/>
        </w:rPr>
        <w:t xml:space="preserve"> de esta resolución,</w:t>
      </w:r>
      <w:r w:rsidR="003D0F56">
        <w:rPr>
          <w:rFonts w:ascii="Palatino Linotype" w:hAnsi="Palatino Linotype" w:cs="Arial"/>
        </w:rPr>
        <w:t xml:space="preserve"> en versión pública,</w:t>
      </w:r>
      <w:r w:rsidRPr="002504B2">
        <w:rPr>
          <w:rFonts w:ascii="Palatino Linotype" w:hAnsi="Palatino Linotype" w:cs="Arial"/>
        </w:rPr>
        <w:t xml:space="preserve"> </w:t>
      </w:r>
      <w:r w:rsidR="00EA328A">
        <w:rPr>
          <w:rFonts w:ascii="Palatino Linotype" w:hAnsi="Palatino Linotype" w:cs="Arial"/>
        </w:rPr>
        <w:t>de</w:t>
      </w:r>
      <w:r w:rsidR="006A3C22">
        <w:rPr>
          <w:rFonts w:ascii="Palatino Linotype" w:hAnsi="Palatino Linotype" w:cs="Arial"/>
        </w:rPr>
        <w:t xml:space="preserve"> </w:t>
      </w:r>
      <w:r w:rsidRPr="002504B2">
        <w:rPr>
          <w:rFonts w:ascii="Palatino Linotype" w:hAnsi="Palatino Linotype" w:cs="Arial"/>
        </w:rPr>
        <w:t>lo siguiente:</w:t>
      </w:r>
    </w:p>
    <w:p w:rsidR="006F26F7" w:rsidRPr="006F26F7" w:rsidRDefault="006F26F7" w:rsidP="006F26F7">
      <w:pPr>
        <w:pStyle w:val="Prrafodelista"/>
        <w:numPr>
          <w:ilvl w:val="0"/>
          <w:numId w:val="19"/>
        </w:numPr>
        <w:spacing w:before="240" w:after="240" w:line="360" w:lineRule="auto"/>
        <w:ind w:right="51"/>
        <w:jc w:val="both"/>
        <w:rPr>
          <w:rFonts w:ascii="Palatino Linotype" w:hAnsi="Palatino Linotype" w:cs="Arial"/>
        </w:rPr>
      </w:pPr>
      <w:r w:rsidRPr="006F26F7">
        <w:rPr>
          <w:rFonts w:ascii="Palatino Linotype" w:eastAsia="Palatino Linotype" w:hAnsi="Palatino Linotype" w:cs="Palatino Linotype"/>
        </w:rPr>
        <w:t>L</w:t>
      </w:r>
      <w:r>
        <w:rPr>
          <w:rFonts w:ascii="Palatino Linotype" w:eastAsia="Palatino Linotype" w:hAnsi="Palatino Linotype" w:cs="Palatino Linotype"/>
        </w:rPr>
        <w:t>os convenios que lleva el</w:t>
      </w:r>
      <w:r w:rsidR="003D0F56" w:rsidRPr="006F26F7">
        <w:rPr>
          <w:rFonts w:ascii="Palatino Linotype" w:eastAsia="Palatino Linotype" w:hAnsi="Palatino Linotype" w:cs="Palatino Linotype"/>
        </w:rPr>
        <w:t xml:space="preserve"> Área Jurídica con la documentación probatoria, de los años 2019, 2020 y del primero de enero al dos de agosto del año dos mil veintiuno</w:t>
      </w:r>
      <w:r w:rsidRPr="006F26F7">
        <w:rPr>
          <w:rFonts w:ascii="Palatino Linotype" w:eastAsia="Palatino Linotype" w:hAnsi="Palatino Linotype" w:cs="Palatino Linotype"/>
        </w:rPr>
        <w:t>.</w:t>
      </w:r>
    </w:p>
    <w:p w:rsidR="006F26F7" w:rsidRPr="006F26F7" w:rsidRDefault="006F26F7" w:rsidP="006F26F7">
      <w:pPr>
        <w:spacing w:before="240" w:after="240" w:line="360" w:lineRule="auto"/>
        <w:ind w:right="51"/>
        <w:jc w:val="both"/>
        <w:rPr>
          <w:rFonts w:ascii="Palatino Linotype" w:hAnsi="Palatino Linotype" w:cs="Arial"/>
        </w:rPr>
      </w:pPr>
      <w:r>
        <w:rPr>
          <w:rFonts w:ascii="Palatino Linotype" w:hAnsi="Palatino Linotype"/>
        </w:rPr>
        <w:t>D</w:t>
      </w:r>
      <w:r w:rsidRPr="006F26F7">
        <w:rPr>
          <w:rFonts w:ascii="Palatino Linotype" w:hAnsi="Palatino Linotype"/>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6F26F7" w:rsidRPr="006F26F7" w:rsidRDefault="006F26F7" w:rsidP="006F26F7">
      <w:pPr>
        <w:pStyle w:val="Prrafodelista"/>
        <w:numPr>
          <w:ilvl w:val="0"/>
          <w:numId w:val="19"/>
        </w:numPr>
        <w:spacing w:before="240" w:after="240" w:line="360" w:lineRule="auto"/>
        <w:ind w:right="51"/>
        <w:jc w:val="both"/>
        <w:rPr>
          <w:rFonts w:ascii="Palatino Linotype" w:hAnsi="Palatino Linotype" w:cs="Arial"/>
        </w:rPr>
      </w:pPr>
      <w:r w:rsidRPr="006F26F7">
        <w:rPr>
          <w:rFonts w:ascii="Palatino Linotype" w:hAnsi="Palatino Linotype" w:cs="Arial"/>
        </w:rPr>
        <w:t>Acuerdo mediante el cual se clasifique como reservado, las denuncias de los años 2019, 2020 y 2021, señaladas en respuesta.</w:t>
      </w:r>
    </w:p>
    <w:p w:rsidR="002E7C7B" w:rsidRPr="002504B2" w:rsidRDefault="00EA328A" w:rsidP="002E7C7B">
      <w:pPr>
        <w:spacing w:after="240" w:line="360" w:lineRule="auto"/>
        <w:jc w:val="both"/>
        <w:rPr>
          <w:rFonts w:ascii="Palatino Linotype" w:hAnsi="Palatino Linotype"/>
          <w:shd w:val="clear" w:color="auto" w:fill="FFFFFF"/>
        </w:rPr>
      </w:pPr>
      <w:r>
        <w:rPr>
          <w:rFonts w:ascii="Palatino Linotype" w:hAnsi="Palatino Linotype" w:cs="Arial"/>
          <w:b/>
          <w:bCs/>
          <w:shd w:val="clear" w:color="auto" w:fill="FFFFFF"/>
        </w:rPr>
        <w:lastRenderedPageBreak/>
        <w:t>Tercero. Notifíquese</w:t>
      </w:r>
      <w:r w:rsidR="006F26F7">
        <w:rPr>
          <w:rFonts w:ascii="Palatino Linotype" w:hAnsi="Palatino Linotype" w:cs="Arial"/>
          <w:b/>
          <w:bCs/>
          <w:shd w:val="clear" w:color="auto" w:fill="FFFFFF"/>
        </w:rPr>
        <w:t xml:space="preserve"> vía SAIMEX,</w:t>
      </w:r>
      <w:r w:rsidR="002E7C7B" w:rsidRPr="002504B2">
        <w:rPr>
          <w:rFonts w:ascii="Palatino Linotype" w:hAnsi="Palatino Linotype"/>
          <w:shd w:val="clear" w:color="auto" w:fill="FFFFFF"/>
        </w:rPr>
        <w:t xml:space="preserve"> al Responsable de la Unidad de Transparencia del</w:t>
      </w:r>
      <w:r w:rsidR="002E7C7B" w:rsidRPr="002504B2">
        <w:rPr>
          <w:rStyle w:val="apple-converted-space"/>
          <w:rFonts w:ascii="Palatino Linotype" w:hAnsi="Palatino Linotype"/>
          <w:bCs/>
          <w:shd w:val="clear" w:color="auto" w:fill="FFFFFF"/>
        </w:rPr>
        <w:t> </w:t>
      </w:r>
      <w:r w:rsidR="002E7C7B" w:rsidRPr="002504B2">
        <w:rPr>
          <w:rFonts w:ascii="Palatino Linotype" w:hAnsi="Palatino Linotype"/>
          <w:bCs/>
          <w:shd w:val="clear" w:color="auto" w:fill="FFFFFF"/>
        </w:rPr>
        <w:t>Sujeto Obligado</w:t>
      </w:r>
      <w:r w:rsidR="002E7C7B" w:rsidRPr="002504B2">
        <w:rPr>
          <w:rStyle w:val="apple-converted-space"/>
          <w:rFonts w:ascii="Palatino Linotype" w:hAnsi="Palatino Linotype" w:cs="Arial"/>
          <w:b/>
          <w:bCs/>
          <w:i/>
          <w:iCs/>
          <w:shd w:val="clear" w:color="auto" w:fill="FFFFFF"/>
        </w:rPr>
        <w:t xml:space="preserve"> </w:t>
      </w:r>
      <w:r w:rsidR="002E7C7B" w:rsidRPr="002504B2">
        <w:rPr>
          <w:rStyle w:val="apple-converted-space"/>
          <w:rFonts w:ascii="Palatino Linotype" w:hAnsi="Palatino Linotype" w:cs="Arial"/>
          <w:bCs/>
          <w:iCs/>
          <w:shd w:val="clear" w:color="auto" w:fill="FFFFFF"/>
        </w:rPr>
        <w:t>la presente resolución</w:t>
      </w:r>
      <w:r w:rsidR="002E7C7B" w:rsidRPr="002504B2">
        <w:rPr>
          <w:rFonts w:ascii="Palatino Linotype" w:hAnsi="Palatino Linotype"/>
          <w:shd w:val="clear" w:color="auto" w:fill="FFFFFF"/>
        </w:rPr>
        <w:t>, para que conforme a los artículos 186, último párrafo y 189, párrafo segundo de la Ley de Transparencia y Acceso a la Información Pública del Estado de México y Municipios dé cumplimiento a lo ord</w:t>
      </w:r>
      <w:r w:rsidR="00F30201">
        <w:rPr>
          <w:rFonts w:ascii="Palatino Linotype" w:hAnsi="Palatino Linotype"/>
          <w:shd w:val="clear" w:color="auto" w:fill="FFFFFF"/>
        </w:rPr>
        <w:t>enado dentro del plazo de diez</w:t>
      </w:r>
      <w:r w:rsidR="002E7C7B" w:rsidRPr="002504B2">
        <w:rPr>
          <w:rFonts w:ascii="Palatino Linotype" w:hAnsi="Palatino Linotype"/>
          <w:shd w:val="clear" w:color="auto" w:fill="FFFFFF"/>
        </w:rPr>
        <w:t xml:space="preserve"> días hábiles, debiendo informar a este Instituto en un plazo de tres días hábiles siguientes sobre el cumplimiento dado a la misma.</w:t>
      </w:r>
    </w:p>
    <w:p w:rsidR="002E7C7B" w:rsidRPr="002504B2" w:rsidRDefault="002E7C7B" w:rsidP="002E7C7B">
      <w:pPr>
        <w:spacing w:after="240" w:line="360" w:lineRule="auto"/>
        <w:jc w:val="both"/>
        <w:rPr>
          <w:rFonts w:ascii="Palatino Linotype" w:hAnsi="Palatino Linotype" w:cs="Arial"/>
          <w:b/>
        </w:rPr>
      </w:pPr>
      <w:r w:rsidRPr="002504B2">
        <w:rPr>
          <w:rFonts w:ascii="Palatino Linotype" w:hAnsi="Palatino Linotype" w:cs="Arial"/>
          <w:b/>
        </w:rPr>
        <w:t xml:space="preserve">Cuarto.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32889" w:rsidRDefault="002E7C7B" w:rsidP="00832889">
      <w:pPr>
        <w:spacing w:before="240" w:after="240" w:line="360" w:lineRule="auto"/>
        <w:jc w:val="both"/>
        <w:rPr>
          <w:rFonts w:ascii="Palatino Linotype" w:hAnsi="Palatino Linotype" w:cs="Arial"/>
          <w:sz w:val="25"/>
          <w:szCs w:val="25"/>
        </w:rPr>
      </w:pPr>
      <w:r w:rsidRPr="002504B2">
        <w:rPr>
          <w:rFonts w:ascii="Palatino Linotype" w:hAnsi="Palatino Linotype" w:cs="Arial"/>
          <w:b/>
        </w:rPr>
        <w:t xml:space="preserve">Quinto.  </w:t>
      </w:r>
      <w:r w:rsidR="00EA328A">
        <w:rPr>
          <w:rFonts w:ascii="Palatino Linotype" w:hAnsi="Palatino Linotype" w:cs="Arial"/>
          <w:b/>
        </w:rPr>
        <w:t>Notifíquese a través del SAIMEX</w:t>
      </w:r>
      <w:r w:rsidR="00EA328A">
        <w:rPr>
          <w:rFonts w:ascii="Palatino Linotype" w:hAnsi="Palatino Linotype" w:cs="Arial"/>
        </w:rPr>
        <w:t xml:space="preserve"> a</w:t>
      </w:r>
      <w:r w:rsidR="00832889">
        <w:rPr>
          <w:rFonts w:ascii="Palatino Linotype" w:hAnsi="Palatino Linotype" w:cs="Arial"/>
        </w:rPr>
        <w:t xml:space="preserve"> la parte recurrente,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F30201" w:rsidRDefault="00F30201" w:rsidP="00832889">
      <w:pPr>
        <w:spacing w:before="240" w:after="240" w:line="360" w:lineRule="auto"/>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hAnsi="Palatino Linotype"/>
        </w:rPr>
        <w:lastRenderedPageBreak/>
        <w:t>MORALES MARTÍNEZ, LUIS GUSTAVO PARRA NORIEGA Y GUADALUPE RAMÍR</w:t>
      </w:r>
      <w:r w:rsidR="00832889">
        <w:rPr>
          <w:rFonts w:ascii="Palatino Linotype" w:hAnsi="Palatino Linotype"/>
        </w:rPr>
        <w:t xml:space="preserve">EZ PEÑA; EN LA </w:t>
      </w:r>
      <w:r w:rsidR="00FD5E2A">
        <w:rPr>
          <w:rFonts w:ascii="Palatino Linotype" w:hAnsi="Palatino Linotype"/>
        </w:rPr>
        <w:t xml:space="preserve">CUADRAGÉSIMA SEGUNDA SESIÓN ORDINARIA CELEBRADA EL VEINTICUATRO DE NOVIEMBRE DE DOS </w:t>
      </w:r>
      <w:r>
        <w:rPr>
          <w:rFonts w:ascii="Palatino Linotype" w:hAnsi="Palatino Linotype"/>
        </w:rPr>
        <w:t>MIL VEINTIUNO, ANTE EL SECRETARIO TÉCNICO DEL PLENO ALEXIS TAPIA RAMÍREZ.</w:t>
      </w: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C017AC" w:rsidRDefault="00C017AC" w:rsidP="002E7C7B">
      <w:pPr>
        <w:widowControl w:val="0"/>
        <w:autoSpaceDE w:val="0"/>
        <w:autoSpaceDN w:val="0"/>
        <w:adjustRightInd w:val="0"/>
        <w:spacing w:before="240" w:after="240" w:line="360" w:lineRule="auto"/>
        <w:jc w:val="both"/>
        <w:rPr>
          <w:rFonts w:ascii="Palatino Linotype" w:hAnsi="Palatino Linotype" w:cs="Tahoma"/>
          <w:szCs w:val="22"/>
        </w:rPr>
        <w:sectPr w:rsidR="00C017AC" w:rsidSect="00B972AF">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 w:rsidR="0059382B" w:rsidRDefault="0059382B"/>
    <w:sectPr w:rsidR="0059382B" w:rsidSect="00B972AF">
      <w:head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CB" w:rsidRDefault="00800FCB" w:rsidP="002E7C7B">
      <w:r>
        <w:separator/>
      </w:r>
    </w:p>
  </w:endnote>
  <w:endnote w:type="continuationSeparator" w:id="0">
    <w:p w:rsidR="00800FCB" w:rsidRDefault="00800FCB" w:rsidP="002E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BD" w:rsidRPr="00F12350" w:rsidRDefault="006450BD"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274F">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274F">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6450BD" w:rsidRDefault="006450BD" w:rsidP="00B972A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BD" w:rsidRPr="00F12350" w:rsidRDefault="006450BD"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274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274F">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6450BD" w:rsidRDefault="006450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CB" w:rsidRDefault="00800FCB" w:rsidP="002E7C7B">
      <w:r>
        <w:separator/>
      </w:r>
    </w:p>
  </w:footnote>
  <w:footnote w:type="continuationSeparator" w:id="0">
    <w:p w:rsidR="00800FCB" w:rsidRDefault="00800FCB" w:rsidP="002E7C7B">
      <w:r>
        <w:continuationSeparator/>
      </w:r>
    </w:p>
  </w:footnote>
  <w:footnote w:id="1">
    <w:p w:rsidR="006450BD" w:rsidRPr="003A220D" w:rsidRDefault="006450BD" w:rsidP="002E7C7B">
      <w:pPr>
        <w:spacing w:before="120" w:after="240"/>
        <w:ind w:right="902"/>
        <w:contextualSpacing/>
        <w:jc w:val="both"/>
        <w:rPr>
          <w:rFonts w:ascii="Palatino Linotype" w:hAnsi="Palatino Linotype"/>
          <w:i/>
          <w:sz w:val="16"/>
          <w:szCs w:val="16"/>
        </w:rPr>
      </w:pPr>
      <w:r>
        <w:rPr>
          <w:rStyle w:val="Refdenotaalpie"/>
        </w:rPr>
        <w:footnoteRef/>
      </w:r>
      <w:r>
        <w:t xml:space="preserve"> </w:t>
      </w:r>
      <w:r w:rsidRPr="003A220D">
        <w:rPr>
          <w:rFonts w:ascii="Palatino Linotype" w:hAnsi="Palatino Linotype"/>
          <w:i/>
          <w:sz w:val="16"/>
          <w:szCs w:val="16"/>
        </w:rPr>
        <w:t>Articulo 24.-</w:t>
      </w:r>
    </w:p>
    <w:p w:rsidR="006450BD" w:rsidRPr="003A220D" w:rsidRDefault="006450BD"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w:t>
      </w:r>
    </w:p>
    <w:p w:rsidR="006450BD" w:rsidRPr="003A220D" w:rsidRDefault="006450BD"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Los sujetos obligados solo proporcionarán la información pública que generen, administren o posean en el ejercicio de sus atribuciones</w:t>
      </w:r>
      <w:r>
        <w:rPr>
          <w:rFonts w:ascii="Palatino Linotype" w:hAnsi="Palatino Linotype"/>
          <w:i/>
          <w:sz w:val="16"/>
          <w:szCs w:val="16"/>
        </w:rPr>
        <w:t>…(Sic)</w:t>
      </w:r>
    </w:p>
  </w:footnote>
  <w:footnote w:id="2">
    <w:p w:rsidR="006450BD" w:rsidRDefault="006450BD" w:rsidP="002E7C7B">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6450BD" w:rsidRPr="00E80BEB" w:rsidRDefault="006450BD" w:rsidP="002E7C7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BD" w:rsidRDefault="006450BD" w:rsidP="00B972AF">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9AF5ED8" wp14:editId="77D63A1D">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6450BD" w:rsidRPr="008A510F" w:rsidTr="00B972AF">
      <w:tc>
        <w:tcPr>
          <w:tcW w:w="2489" w:type="dxa"/>
          <w:shd w:val="clear" w:color="auto" w:fill="auto"/>
        </w:tcPr>
        <w:p w:rsidR="006450BD" w:rsidRPr="008A510F" w:rsidRDefault="006450BD" w:rsidP="00B972A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6450BD" w:rsidRPr="008A510F" w:rsidRDefault="00D01912" w:rsidP="002452DB">
          <w:pPr>
            <w:ind w:right="175"/>
            <w:jc w:val="both"/>
            <w:rPr>
              <w:rFonts w:ascii="Palatino Linotype" w:hAnsi="Palatino Linotype"/>
              <w:b/>
              <w:sz w:val="22"/>
              <w:szCs w:val="22"/>
              <w:lang w:val="es-ES_tradnl"/>
            </w:rPr>
          </w:pPr>
          <w:r>
            <w:rPr>
              <w:rFonts w:ascii="Palatino Linotype" w:hAnsi="Palatino Linotype"/>
              <w:b/>
              <w:sz w:val="22"/>
              <w:szCs w:val="22"/>
              <w:lang w:val="es-ES_tradnl"/>
            </w:rPr>
            <w:t>04549</w:t>
          </w:r>
          <w:r w:rsidR="006450BD">
            <w:rPr>
              <w:rFonts w:ascii="Palatino Linotype" w:hAnsi="Palatino Linotype"/>
              <w:b/>
              <w:sz w:val="22"/>
              <w:szCs w:val="22"/>
              <w:lang w:val="es-ES_tradnl"/>
            </w:rPr>
            <w:t>/INFOEM/IP/RR/2021.</w:t>
          </w:r>
        </w:p>
      </w:tc>
    </w:tr>
    <w:tr w:rsidR="006450BD" w:rsidRPr="008A510F" w:rsidTr="00B972AF">
      <w:trPr>
        <w:trHeight w:val="228"/>
      </w:trPr>
      <w:tc>
        <w:tcPr>
          <w:tcW w:w="2489" w:type="dxa"/>
          <w:shd w:val="clear" w:color="auto" w:fill="auto"/>
          <w:vAlign w:val="center"/>
        </w:tcPr>
        <w:p w:rsidR="006450BD" w:rsidRPr="008A510F" w:rsidRDefault="006450BD" w:rsidP="00B972A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6450BD" w:rsidRPr="00927A01" w:rsidRDefault="00D01912" w:rsidP="00B972A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r w:rsidR="006450BD">
            <w:rPr>
              <w:rFonts w:ascii="Palatino Linotype" w:hAnsi="Palatino Linotype"/>
              <w:b/>
              <w:sz w:val="22"/>
              <w:szCs w:val="22"/>
              <w:lang w:val="es-ES_tradnl"/>
            </w:rPr>
            <w:t>.</w:t>
          </w:r>
        </w:p>
      </w:tc>
    </w:tr>
    <w:tr w:rsidR="006450BD" w:rsidRPr="008A510F" w:rsidTr="00B972AF">
      <w:tc>
        <w:tcPr>
          <w:tcW w:w="2489" w:type="dxa"/>
          <w:shd w:val="clear" w:color="auto" w:fill="auto"/>
          <w:vAlign w:val="center"/>
        </w:tcPr>
        <w:p w:rsidR="006450BD" w:rsidRPr="008A510F" w:rsidRDefault="006450BD" w:rsidP="00B972A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rsidR="006450BD" w:rsidRPr="008A510F" w:rsidRDefault="006450BD" w:rsidP="00B972AF">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6450BD" w:rsidRDefault="006450BD" w:rsidP="00B972A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450BD" w:rsidRPr="005A5E02" w:rsidTr="00B972AF">
      <w:tc>
        <w:tcPr>
          <w:tcW w:w="2551" w:type="dxa"/>
          <w:shd w:val="clear" w:color="auto" w:fill="auto"/>
          <w:vAlign w:val="center"/>
        </w:tcPr>
        <w:p w:rsidR="006450BD" w:rsidRPr="005A5E02" w:rsidRDefault="006450BD"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6450BD" w:rsidRPr="005A5E02" w:rsidRDefault="006450BD" w:rsidP="00B972A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04549/INFOEM/IP/RR/2021.</w:t>
          </w:r>
        </w:p>
      </w:tc>
    </w:tr>
    <w:tr w:rsidR="006450BD" w:rsidRPr="005A5E02" w:rsidTr="00B972AF">
      <w:trPr>
        <w:trHeight w:val="130"/>
      </w:trPr>
      <w:tc>
        <w:tcPr>
          <w:tcW w:w="2551" w:type="dxa"/>
          <w:shd w:val="clear" w:color="auto" w:fill="auto"/>
          <w:vAlign w:val="center"/>
        </w:tcPr>
        <w:p w:rsidR="006450BD" w:rsidRPr="005A5E02" w:rsidRDefault="006450BD"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6450BD" w:rsidRPr="00927A01" w:rsidRDefault="006450BD" w:rsidP="00B972AF">
          <w:pPr>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 </w:t>
          </w:r>
        </w:p>
      </w:tc>
    </w:tr>
    <w:tr w:rsidR="006450BD" w:rsidRPr="005A5E02" w:rsidTr="00B972AF">
      <w:trPr>
        <w:trHeight w:val="228"/>
      </w:trPr>
      <w:tc>
        <w:tcPr>
          <w:tcW w:w="2551" w:type="dxa"/>
          <w:shd w:val="clear" w:color="auto" w:fill="auto"/>
          <w:vAlign w:val="center"/>
        </w:tcPr>
        <w:p w:rsidR="006450BD" w:rsidRPr="005A5E02" w:rsidRDefault="006450BD" w:rsidP="00B972A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6450BD" w:rsidRPr="00927A01" w:rsidRDefault="006450BD" w:rsidP="00B972A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6450BD" w:rsidRPr="005A5E02" w:rsidTr="00B972AF">
      <w:tc>
        <w:tcPr>
          <w:tcW w:w="2551" w:type="dxa"/>
          <w:shd w:val="clear" w:color="auto" w:fill="auto"/>
          <w:vAlign w:val="center"/>
        </w:tcPr>
        <w:p w:rsidR="006450BD" w:rsidRPr="005A5E02" w:rsidRDefault="006450BD" w:rsidP="00B972A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6450BD" w:rsidRPr="005A5E02" w:rsidRDefault="006450BD" w:rsidP="00B972A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6450BD" w:rsidRDefault="006450BD" w:rsidP="00B972A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0806CD5" wp14:editId="09DC22CA">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BD" w:rsidRDefault="006450BD" w:rsidP="00B972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73DA1"/>
    <w:multiLevelType w:val="hybridMultilevel"/>
    <w:tmpl w:val="2DEE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3238"/>
    <w:multiLevelType w:val="hybridMultilevel"/>
    <w:tmpl w:val="A8F40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75A7"/>
    <w:multiLevelType w:val="multilevel"/>
    <w:tmpl w:val="9B488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D1077B"/>
    <w:multiLevelType w:val="hybridMultilevel"/>
    <w:tmpl w:val="607A7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D039F"/>
    <w:multiLevelType w:val="hybridMultilevel"/>
    <w:tmpl w:val="08F4B7C8"/>
    <w:lvl w:ilvl="0" w:tplc="376E057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E11B7"/>
    <w:multiLevelType w:val="hybridMultilevel"/>
    <w:tmpl w:val="749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3328F4"/>
    <w:multiLevelType w:val="hybridMultilevel"/>
    <w:tmpl w:val="9C4A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B472F"/>
    <w:multiLevelType w:val="hybridMultilevel"/>
    <w:tmpl w:val="C2C24178"/>
    <w:lvl w:ilvl="0" w:tplc="66265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25EC106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66F7DA7"/>
    <w:multiLevelType w:val="hybridMultilevel"/>
    <w:tmpl w:val="6D5C0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27E11FA"/>
    <w:multiLevelType w:val="hybridMultilevel"/>
    <w:tmpl w:val="B406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9D6448"/>
    <w:multiLevelType w:val="hybridMultilevel"/>
    <w:tmpl w:val="C8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C3D0D"/>
    <w:multiLevelType w:val="hybridMultilevel"/>
    <w:tmpl w:val="908CAF2A"/>
    <w:lvl w:ilvl="0" w:tplc="53C8AD7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9" w15:restartNumberingAfterBreak="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0" w15:restartNumberingAfterBreak="0">
    <w:nsid w:val="60B134DA"/>
    <w:multiLevelType w:val="hybridMultilevel"/>
    <w:tmpl w:val="843EC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2569E0"/>
    <w:multiLevelType w:val="hybridMultilevel"/>
    <w:tmpl w:val="EC504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B01851"/>
    <w:multiLevelType w:val="hybridMultilevel"/>
    <w:tmpl w:val="2BE08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2C0EA7"/>
    <w:multiLevelType w:val="hybridMultilevel"/>
    <w:tmpl w:val="9E9C45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67CA0"/>
    <w:multiLevelType w:val="hybridMultilevel"/>
    <w:tmpl w:val="A5703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4058CA"/>
    <w:multiLevelType w:val="hybridMultilevel"/>
    <w:tmpl w:val="D788F3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1F6D0F"/>
    <w:multiLevelType w:val="hybridMultilevel"/>
    <w:tmpl w:val="D52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965E0"/>
    <w:multiLevelType w:val="hybridMultilevel"/>
    <w:tmpl w:val="A6349C86"/>
    <w:lvl w:ilvl="0" w:tplc="114CEC02">
      <w:start w:val="1"/>
      <w:numFmt w:val="upperRoman"/>
      <w:lvlText w:val="%1."/>
      <w:lvlJc w:val="left"/>
      <w:pPr>
        <w:ind w:left="2100" w:hanging="720"/>
      </w:pPr>
      <w:rPr>
        <w:rFonts w:hint="default"/>
      </w:rPr>
    </w:lvl>
    <w:lvl w:ilvl="1" w:tplc="080A0019" w:tentative="1">
      <w:start w:val="1"/>
      <w:numFmt w:val="lowerLetter"/>
      <w:lvlText w:val="%2."/>
      <w:lvlJc w:val="left"/>
      <w:pPr>
        <w:ind w:left="2460" w:hanging="360"/>
      </w:pPr>
    </w:lvl>
    <w:lvl w:ilvl="2" w:tplc="080A001B" w:tentative="1">
      <w:start w:val="1"/>
      <w:numFmt w:val="lowerRoman"/>
      <w:lvlText w:val="%3."/>
      <w:lvlJc w:val="right"/>
      <w:pPr>
        <w:ind w:left="3180" w:hanging="180"/>
      </w:pPr>
    </w:lvl>
    <w:lvl w:ilvl="3" w:tplc="080A000F" w:tentative="1">
      <w:start w:val="1"/>
      <w:numFmt w:val="decimal"/>
      <w:lvlText w:val="%4."/>
      <w:lvlJc w:val="left"/>
      <w:pPr>
        <w:ind w:left="3900" w:hanging="360"/>
      </w:pPr>
    </w:lvl>
    <w:lvl w:ilvl="4" w:tplc="080A0019" w:tentative="1">
      <w:start w:val="1"/>
      <w:numFmt w:val="lowerLetter"/>
      <w:lvlText w:val="%5."/>
      <w:lvlJc w:val="left"/>
      <w:pPr>
        <w:ind w:left="4620" w:hanging="360"/>
      </w:pPr>
    </w:lvl>
    <w:lvl w:ilvl="5" w:tplc="080A001B" w:tentative="1">
      <w:start w:val="1"/>
      <w:numFmt w:val="lowerRoman"/>
      <w:lvlText w:val="%6."/>
      <w:lvlJc w:val="right"/>
      <w:pPr>
        <w:ind w:left="5340" w:hanging="180"/>
      </w:pPr>
    </w:lvl>
    <w:lvl w:ilvl="6" w:tplc="080A000F" w:tentative="1">
      <w:start w:val="1"/>
      <w:numFmt w:val="decimal"/>
      <w:lvlText w:val="%7."/>
      <w:lvlJc w:val="left"/>
      <w:pPr>
        <w:ind w:left="6060" w:hanging="360"/>
      </w:pPr>
    </w:lvl>
    <w:lvl w:ilvl="7" w:tplc="080A0019" w:tentative="1">
      <w:start w:val="1"/>
      <w:numFmt w:val="lowerLetter"/>
      <w:lvlText w:val="%8."/>
      <w:lvlJc w:val="left"/>
      <w:pPr>
        <w:ind w:left="6780" w:hanging="360"/>
      </w:pPr>
    </w:lvl>
    <w:lvl w:ilvl="8" w:tplc="080A001B" w:tentative="1">
      <w:start w:val="1"/>
      <w:numFmt w:val="lowerRoman"/>
      <w:lvlText w:val="%9."/>
      <w:lvlJc w:val="right"/>
      <w:pPr>
        <w:ind w:left="7500" w:hanging="180"/>
      </w:pPr>
    </w:lvl>
  </w:abstractNum>
  <w:abstractNum w:abstractNumId="29" w15:restartNumberingAfterBreak="0">
    <w:nsid w:val="77012CFC"/>
    <w:multiLevelType w:val="multilevel"/>
    <w:tmpl w:val="1A1C1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6"/>
  </w:num>
  <w:num w:numId="3">
    <w:abstractNumId w:val="23"/>
  </w:num>
  <w:num w:numId="4">
    <w:abstractNumId w:val="22"/>
  </w:num>
  <w:num w:numId="5">
    <w:abstractNumId w:val="2"/>
  </w:num>
  <w:num w:numId="6">
    <w:abstractNumId w:val="5"/>
  </w:num>
  <w:num w:numId="7">
    <w:abstractNumId w:val="6"/>
  </w:num>
  <w:num w:numId="8">
    <w:abstractNumId w:val="19"/>
  </w:num>
  <w:num w:numId="9">
    <w:abstractNumId w:val="14"/>
  </w:num>
  <w:num w:numId="10">
    <w:abstractNumId w:val="27"/>
  </w:num>
  <w:num w:numId="11">
    <w:abstractNumId w:val="8"/>
  </w:num>
  <w:num w:numId="12">
    <w:abstractNumId w:val="9"/>
  </w:num>
  <w:num w:numId="13">
    <w:abstractNumId w:val="17"/>
  </w:num>
  <w:num w:numId="14">
    <w:abstractNumId w:val="12"/>
  </w:num>
  <w:num w:numId="15">
    <w:abstractNumId w:val="0"/>
  </w:num>
  <w:num w:numId="16">
    <w:abstractNumId w:val="10"/>
  </w:num>
  <w:num w:numId="17">
    <w:abstractNumId w:val="4"/>
  </w:num>
  <w:num w:numId="18">
    <w:abstractNumId w:val="1"/>
  </w:num>
  <w:num w:numId="19">
    <w:abstractNumId w:val="15"/>
  </w:num>
  <w:num w:numId="20">
    <w:abstractNumId w:val="16"/>
  </w:num>
  <w:num w:numId="21">
    <w:abstractNumId w:val="21"/>
  </w:num>
  <w:num w:numId="22">
    <w:abstractNumId w:val="29"/>
  </w:num>
  <w:num w:numId="23">
    <w:abstractNumId w:val="3"/>
  </w:num>
  <w:num w:numId="24">
    <w:abstractNumId w:val="25"/>
  </w:num>
  <w:num w:numId="25">
    <w:abstractNumId w:val="7"/>
  </w:num>
  <w:num w:numId="26">
    <w:abstractNumId w:val="13"/>
  </w:num>
  <w:num w:numId="27">
    <w:abstractNumId w:val="18"/>
  </w:num>
  <w:num w:numId="28">
    <w:abstractNumId w:val="28"/>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7B"/>
    <w:rsid w:val="0004349D"/>
    <w:rsid w:val="0004513F"/>
    <w:rsid w:val="000A26EE"/>
    <w:rsid w:val="000C7992"/>
    <w:rsid w:val="000D20FC"/>
    <w:rsid w:val="000E3068"/>
    <w:rsid w:val="000F076F"/>
    <w:rsid w:val="00123637"/>
    <w:rsid w:val="001568C3"/>
    <w:rsid w:val="00163F39"/>
    <w:rsid w:val="0016550D"/>
    <w:rsid w:val="00190B8E"/>
    <w:rsid w:val="001A524B"/>
    <w:rsid w:val="001E4395"/>
    <w:rsid w:val="00202883"/>
    <w:rsid w:val="002034E0"/>
    <w:rsid w:val="002164FC"/>
    <w:rsid w:val="002311E6"/>
    <w:rsid w:val="002452DB"/>
    <w:rsid w:val="002618ED"/>
    <w:rsid w:val="00274BB7"/>
    <w:rsid w:val="0028660A"/>
    <w:rsid w:val="002A0A5A"/>
    <w:rsid w:val="002A6A64"/>
    <w:rsid w:val="002E33E4"/>
    <w:rsid w:val="002E7C7B"/>
    <w:rsid w:val="00346F8D"/>
    <w:rsid w:val="00347609"/>
    <w:rsid w:val="003D0F56"/>
    <w:rsid w:val="003D514E"/>
    <w:rsid w:val="003E2463"/>
    <w:rsid w:val="003F3C73"/>
    <w:rsid w:val="0040679F"/>
    <w:rsid w:val="00422685"/>
    <w:rsid w:val="0043449E"/>
    <w:rsid w:val="00436310"/>
    <w:rsid w:val="004530B8"/>
    <w:rsid w:val="00462BC8"/>
    <w:rsid w:val="00475327"/>
    <w:rsid w:val="0049550D"/>
    <w:rsid w:val="0050717C"/>
    <w:rsid w:val="00522EA1"/>
    <w:rsid w:val="00550F8D"/>
    <w:rsid w:val="005615BC"/>
    <w:rsid w:val="0059382B"/>
    <w:rsid w:val="005F6782"/>
    <w:rsid w:val="006024B2"/>
    <w:rsid w:val="00620F15"/>
    <w:rsid w:val="006450BD"/>
    <w:rsid w:val="00673240"/>
    <w:rsid w:val="00680713"/>
    <w:rsid w:val="00685B70"/>
    <w:rsid w:val="00685BBE"/>
    <w:rsid w:val="00695CB9"/>
    <w:rsid w:val="00697F40"/>
    <w:rsid w:val="006A3C22"/>
    <w:rsid w:val="006A4A22"/>
    <w:rsid w:val="006B7848"/>
    <w:rsid w:val="006F26F7"/>
    <w:rsid w:val="00702FA3"/>
    <w:rsid w:val="0070300F"/>
    <w:rsid w:val="00712A3F"/>
    <w:rsid w:val="00721917"/>
    <w:rsid w:val="00724D49"/>
    <w:rsid w:val="0078470D"/>
    <w:rsid w:val="00794F3E"/>
    <w:rsid w:val="00797FB6"/>
    <w:rsid w:val="007F4FBA"/>
    <w:rsid w:val="00800FCB"/>
    <w:rsid w:val="00832889"/>
    <w:rsid w:val="008363B8"/>
    <w:rsid w:val="00837FC7"/>
    <w:rsid w:val="00872082"/>
    <w:rsid w:val="008736E3"/>
    <w:rsid w:val="0087799C"/>
    <w:rsid w:val="00891CE4"/>
    <w:rsid w:val="008A38C1"/>
    <w:rsid w:val="008A6981"/>
    <w:rsid w:val="008B2F88"/>
    <w:rsid w:val="008F292B"/>
    <w:rsid w:val="00904CB0"/>
    <w:rsid w:val="00964A96"/>
    <w:rsid w:val="009D0DCD"/>
    <w:rsid w:val="009D13DD"/>
    <w:rsid w:val="009E4210"/>
    <w:rsid w:val="00A370A7"/>
    <w:rsid w:val="00A43B9A"/>
    <w:rsid w:val="00AB7D46"/>
    <w:rsid w:val="00AC5773"/>
    <w:rsid w:val="00AE6944"/>
    <w:rsid w:val="00AF6415"/>
    <w:rsid w:val="00B13397"/>
    <w:rsid w:val="00B1418F"/>
    <w:rsid w:val="00B75085"/>
    <w:rsid w:val="00B972AF"/>
    <w:rsid w:val="00BB2671"/>
    <w:rsid w:val="00BB762F"/>
    <w:rsid w:val="00BD051B"/>
    <w:rsid w:val="00C017AC"/>
    <w:rsid w:val="00C10506"/>
    <w:rsid w:val="00C47B7B"/>
    <w:rsid w:val="00C62B34"/>
    <w:rsid w:val="00CC7369"/>
    <w:rsid w:val="00CD4F0F"/>
    <w:rsid w:val="00CF26FC"/>
    <w:rsid w:val="00CF7C64"/>
    <w:rsid w:val="00D01912"/>
    <w:rsid w:val="00D13B24"/>
    <w:rsid w:val="00D163A1"/>
    <w:rsid w:val="00D322D4"/>
    <w:rsid w:val="00D5477C"/>
    <w:rsid w:val="00D7127B"/>
    <w:rsid w:val="00DB6968"/>
    <w:rsid w:val="00DC54C5"/>
    <w:rsid w:val="00DF4525"/>
    <w:rsid w:val="00E017CC"/>
    <w:rsid w:val="00E034DA"/>
    <w:rsid w:val="00E3274F"/>
    <w:rsid w:val="00E56211"/>
    <w:rsid w:val="00E61302"/>
    <w:rsid w:val="00E73A67"/>
    <w:rsid w:val="00E94163"/>
    <w:rsid w:val="00EA328A"/>
    <w:rsid w:val="00EF3489"/>
    <w:rsid w:val="00F07205"/>
    <w:rsid w:val="00F12698"/>
    <w:rsid w:val="00F30201"/>
    <w:rsid w:val="00F35719"/>
    <w:rsid w:val="00F36925"/>
    <w:rsid w:val="00F37C2B"/>
    <w:rsid w:val="00F43ACA"/>
    <w:rsid w:val="00F4491F"/>
    <w:rsid w:val="00F75713"/>
    <w:rsid w:val="00FD5E2A"/>
    <w:rsid w:val="00FF0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41452-C209-4EFC-94C0-0BE1E45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7C7B"/>
    <w:rPr>
      <w:rFonts w:eastAsiaTheme="minorEastAsia"/>
      <w:sz w:val="24"/>
      <w:szCs w:val="24"/>
      <w:lang w:val="es-ES_tradnl" w:eastAsia="es-ES"/>
    </w:rPr>
  </w:style>
  <w:style w:type="paragraph" w:styleId="Piedepgina">
    <w:name w:val="footer"/>
    <w:basedOn w:val="Normal"/>
    <w:link w:val="Piedepgina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7C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7C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7C7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E7C7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E7C7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E7C7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E7C7B"/>
    <w:rPr>
      <w:vertAlign w:val="superscript"/>
    </w:rPr>
  </w:style>
  <w:style w:type="character" w:customStyle="1" w:styleId="apple-converted-space">
    <w:name w:val="apple-converted-space"/>
    <w:basedOn w:val="Fuentedeprrafopredeter"/>
    <w:rsid w:val="002E7C7B"/>
  </w:style>
  <w:style w:type="paragraph" w:customStyle="1" w:styleId="Texto">
    <w:name w:val="Texto"/>
    <w:basedOn w:val="Normal"/>
    <w:link w:val="TextoCar"/>
    <w:rsid w:val="002E7C7B"/>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E7C7B"/>
    <w:rPr>
      <w:rFonts w:ascii="Arial" w:eastAsia="Times New Roman" w:hAnsi="Arial" w:cs="Arial"/>
      <w:sz w:val="18"/>
      <w:szCs w:val="18"/>
      <w:lang w:eastAsia="es-ES"/>
    </w:rPr>
  </w:style>
  <w:style w:type="paragraph" w:styleId="Textosinformato">
    <w:name w:val="Plain Text"/>
    <w:basedOn w:val="Normal"/>
    <w:link w:val="TextosinformatoCar"/>
    <w:rsid w:val="002E7C7B"/>
    <w:rPr>
      <w:rFonts w:ascii="Courier New" w:hAnsi="Courier New"/>
      <w:sz w:val="20"/>
      <w:szCs w:val="20"/>
    </w:rPr>
  </w:style>
  <w:style w:type="character" w:customStyle="1" w:styleId="TextosinformatoCar">
    <w:name w:val="Texto sin formato Car"/>
    <w:basedOn w:val="Fuentedeprrafopredeter"/>
    <w:link w:val="Textosinformato"/>
    <w:rsid w:val="002E7C7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2E7C7B"/>
    <w:pPr>
      <w:spacing w:after="0" w:line="240" w:lineRule="auto"/>
    </w:pPr>
  </w:style>
  <w:style w:type="character" w:customStyle="1" w:styleId="SinespaciadoCar">
    <w:name w:val="Sin espaciado Car"/>
    <w:aliases w:val="Francesa Car"/>
    <w:link w:val="Sinespaciado"/>
    <w:uiPriority w:val="1"/>
    <w:locked/>
    <w:rsid w:val="002E7C7B"/>
  </w:style>
  <w:style w:type="character" w:styleId="Textoennegrita">
    <w:name w:val="Strong"/>
    <w:uiPriority w:val="22"/>
    <w:qFormat/>
    <w:rsid w:val="002E7C7B"/>
    <w:rPr>
      <w:b/>
      <w:bCs/>
    </w:rPr>
  </w:style>
  <w:style w:type="paragraph" w:customStyle="1" w:styleId="Default">
    <w:name w:val="Default"/>
    <w:rsid w:val="002E7C7B"/>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8A38C1"/>
  </w:style>
  <w:style w:type="table" w:styleId="Tablaconcuadrcula">
    <w:name w:val="Table Grid"/>
    <w:basedOn w:val="Tablanormal"/>
    <w:uiPriority w:val="59"/>
    <w:rsid w:val="000D20F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1">
    <w:name w:val="List Table 1 Light Accent 1"/>
    <w:basedOn w:val="Tablanormal"/>
    <w:uiPriority w:val="46"/>
    <w:rsid w:val="0016550D"/>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ragraph">
    <w:name w:val="paragraph"/>
    <w:basedOn w:val="Normal"/>
    <w:rsid w:val="00AB7D46"/>
    <w:pPr>
      <w:spacing w:before="100" w:beforeAutospacing="1" w:after="100" w:afterAutospacing="1"/>
    </w:pPr>
    <w:rPr>
      <w:lang w:val="es-MX" w:eastAsia="es-MX"/>
    </w:rPr>
  </w:style>
  <w:style w:type="character" w:customStyle="1" w:styleId="normaltextrun">
    <w:name w:val="normaltextrun"/>
    <w:basedOn w:val="Fuentedeprrafopredeter"/>
    <w:rsid w:val="00AB7D46"/>
  </w:style>
  <w:style w:type="paragraph" w:styleId="Textodeglobo">
    <w:name w:val="Balloon Text"/>
    <w:basedOn w:val="Normal"/>
    <w:link w:val="TextodegloboCar"/>
    <w:uiPriority w:val="99"/>
    <w:semiHidden/>
    <w:unhideWhenUsed/>
    <w:rsid w:val="003F3C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C7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07720">
      <w:bodyDiv w:val="1"/>
      <w:marLeft w:val="0"/>
      <w:marRight w:val="0"/>
      <w:marTop w:val="0"/>
      <w:marBottom w:val="0"/>
      <w:divBdr>
        <w:top w:val="none" w:sz="0" w:space="0" w:color="auto"/>
        <w:left w:val="none" w:sz="0" w:space="0" w:color="auto"/>
        <w:bottom w:val="none" w:sz="0" w:space="0" w:color="auto"/>
        <w:right w:val="none" w:sz="0" w:space="0" w:color="auto"/>
      </w:divBdr>
    </w:div>
    <w:div w:id="1047073170">
      <w:bodyDiv w:val="1"/>
      <w:marLeft w:val="0"/>
      <w:marRight w:val="0"/>
      <w:marTop w:val="0"/>
      <w:marBottom w:val="0"/>
      <w:divBdr>
        <w:top w:val="none" w:sz="0" w:space="0" w:color="auto"/>
        <w:left w:val="none" w:sz="0" w:space="0" w:color="auto"/>
        <w:bottom w:val="none" w:sz="0" w:space="0" w:color="auto"/>
        <w:right w:val="none" w:sz="0" w:space="0" w:color="auto"/>
      </w:divBdr>
    </w:div>
    <w:div w:id="1211648870">
      <w:bodyDiv w:val="1"/>
      <w:marLeft w:val="0"/>
      <w:marRight w:val="0"/>
      <w:marTop w:val="0"/>
      <w:marBottom w:val="0"/>
      <w:divBdr>
        <w:top w:val="none" w:sz="0" w:space="0" w:color="auto"/>
        <w:left w:val="none" w:sz="0" w:space="0" w:color="auto"/>
        <w:bottom w:val="none" w:sz="0" w:space="0" w:color="auto"/>
        <w:right w:val="none" w:sz="0" w:space="0" w:color="auto"/>
      </w:divBdr>
      <w:divsChild>
        <w:div w:id="1047948093">
          <w:marLeft w:val="0"/>
          <w:marRight w:val="0"/>
          <w:marTop w:val="0"/>
          <w:marBottom w:val="101"/>
          <w:divBdr>
            <w:top w:val="none" w:sz="0" w:space="0" w:color="auto"/>
            <w:left w:val="none" w:sz="0" w:space="0" w:color="auto"/>
            <w:bottom w:val="none" w:sz="0" w:space="0" w:color="auto"/>
            <w:right w:val="none" w:sz="0" w:space="0" w:color="auto"/>
          </w:divBdr>
        </w:div>
        <w:div w:id="601375649">
          <w:marLeft w:val="0"/>
          <w:marRight w:val="0"/>
          <w:marTop w:val="0"/>
          <w:marBottom w:val="101"/>
          <w:divBdr>
            <w:top w:val="none" w:sz="0" w:space="0" w:color="auto"/>
            <w:left w:val="none" w:sz="0" w:space="0" w:color="auto"/>
            <w:bottom w:val="none" w:sz="0" w:space="0" w:color="auto"/>
            <w:right w:val="none" w:sz="0" w:space="0" w:color="auto"/>
          </w:divBdr>
        </w:div>
        <w:div w:id="467288164">
          <w:marLeft w:val="864"/>
          <w:marRight w:val="0"/>
          <w:marTop w:val="0"/>
          <w:marBottom w:val="101"/>
          <w:divBdr>
            <w:top w:val="none" w:sz="0" w:space="0" w:color="auto"/>
            <w:left w:val="none" w:sz="0" w:space="0" w:color="auto"/>
            <w:bottom w:val="none" w:sz="0" w:space="0" w:color="auto"/>
            <w:right w:val="none" w:sz="0" w:space="0" w:color="auto"/>
          </w:divBdr>
        </w:div>
        <w:div w:id="1481342581">
          <w:marLeft w:val="864"/>
          <w:marRight w:val="0"/>
          <w:marTop w:val="0"/>
          <w:marBottom w:val="101"/>
          <w:divBdr>
            <w:top w:val="none" w:sz="0" w:space="0" w:color="auto"/>
            <w:left w:val="none" w:sz="0" w:space="0" w:color="auto"/>
            <w:bottom w:val="none" w:sz="0" w:space="0" w:color="auto"/>
            <w:right w:val="none" w:sz="0" w:space="0" w:color="auto"/>
          </w:divBdr>
        </w:div>
        <w:div w:id="2110736178">
          <w:marLeft w:val="864"/>
          <w:marRight w:val="0"/>
          <w:marTop w:val="0"/>
          <w:marBottom w:val="101"/>
          <w:divBdr>
            <w:top w:val="none" w:sz="0" w:space="0" w:color="auto"/>
            <w:left w:val="none" w:sz="0" w:space="0" w:color="auto"/>
            <w:bottom w:val="none" w:sz="0" w:space="0" w:color="auto"/>
            <w:right w:val="none" w:sz="0" w:space="0" w:color="auto"/>
          </w:divBdr>
        </w:div>
        <w:div w:id="1787962419">
          <w:marLeft w:val="864"/>
          <w:marRight w:val="0"/>
          <w:marTop w:val="0"/>
          <w:marBottom w:val="101"/>
          <w:divBdr>
            <w:top w:val="none" w:sz="0" w:space="0" w:color="auto"/>
            <w:left w:val="none" w:sz="0" w:space="0" w:color="auto"/>
            <w:bottom w:val="none" w:sz="0" w:space="0" w:color="auto"/>
            <w:right w:val="none" w:sz="0" w:space="0" w:color="auto"/>
          </w:divBdr>
        </w:div>
      </w:divsChild>
    </w:div>
    <w:div w:id="1484665730">
      <w:bodyDiv w:val="1"/>
      <w:marLeft w:val="0"/>
      <w:marRight w:val="0"/>
      <w:marTop w:val="0"/>
      <w:marBottom w:val="0"/>
      <w:divBdr>
        <w:top w:val="none" w:sz="0" w:space="0" w:color="auto"/>
        <w:left w:val="none" w:sz="0" w:space="0" w:color="auto"/>
        <w:bottom w:val="none" w:sz="0" w:space="0" w:color="auto"/>
        <w:right w:val="none" w:sz="0" w:space="0" w:color="auto"/>
      </w:divBdr>
      <w:divsChild>
        <w:div w:id="73018624">
          <w:marLeft w:val="0"/>
          <w:marRight w:val="0"/>
          <w:marTop w:val="0"/>
          <w:marBottom w:val="101"/>
          <w:divBdr>
            <w:top w:val="none" w:sz="0" w:space="0" w:color="auto"/>
            <w:left w:val="none" w:sz="0" w:space="0" w:color="auto"/>
            <w:bottom w:val="none" w:sz="0" w:space="0" w:color="auto"/>
            <w:right w:val="none" w:sz="0" w:space="0" w:color="auto"/>
          </w:divBdr>
        </w:div>
        <w:div w:id="5981259">
          <w:marLeft w:val="0"/>
          <w:marRight w:val="0"/>
          <w:marTop w:val="0"/>
          <w:marBottom w:val="101"/>
          <w:divBdr>
            <w:top w:val="none" w:sz="0" w:space="0" w:color="auto"/>
            <w:left w:val="none" w:sz="0" w:space="0" w:color="auto"/>
            <w:bottom w:val="none" w:sz="0" w:space="0" w:color="auto"/>
            <w:right w:val="none" w:sz="0" w:space="0" w:color="auto"/>
          </w:divBdr>
        </w:div>
        <w:div w:id="2079860687">
          <w:marLeft w:val="864"/>
          <w:marRight w:val="0"/>
          <w:marTop w:val="0"/>
          <w:marBottom w:val="101"/>
          <w:divBdr>
            <w:top w:val="none" w:sz="0" w:space="0" w:color="auto"/>
            <w:left w:val="none" w:sz="0" w:space="0" w:color="auto"/>
            <w:bottom w:val="none" w:sz="0" w:space="0" w:color="auto"/>
            <w:right w:val="none" w:sz="0" w:space="0" w:color="auto"/>
          </w:divBdr>
        </w:div>
        <w:div w:id="1185286215">
          <w:marLeft w:val="864"/>
          <w:marRight w:val="0"/>
          <w:marTop w:val="0"/>
          <w:marBottom w:val="101"/>
          <w:divBdr>
            <w:top w:val="none" w:sz="0" w:space="0" w:color="auto"/>
            <w:left w:val="none" w:sz="0" w:space="0" w:color="auto"/>
            <w:bottom w:val="none" w:sz="0" w:space="0" w:color="auto"/>
            <w:right w:val="none" w:sz="0" w:space="0" w:color="auto"/>
          </w:divBdr>
        </w:div>
        <w:div w:id="615719652">
          <w:marLeft w:val="864"/>
          <w:marRight w:val="0"/>
          <w:marTop w:val="0"/>
          <w:marBottom w:val="101"/>
          <w:divBdr>
            <w:top w:val="none" w:sz="0" w:space="0" w:color="auto"/>
            <w:left w:val="none" w:sz="0" w:space="0" w:color="auto"/>
            <w:bottom w:val="none" w:sz="0" w:space="0" w:color="auto"/>
            <w:right w:val="none" w:sz="0" w:space="0" w:color="auto"/>
          </w:divBdr>
        </w:div>
        <w:div w:id="507797446">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963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199629.page"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37</Pages>
  <Words>9816</Words>
  <Characters>53993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10</cp:revision>
  <cp:lastPrinted>2021-11-10T00:16:00Z</cp:lastPrinted>
  <dcterms:created xsi:type="dcterms:W3CDTF">2021-11-08T16:29:00Z</dcterms:created>
  <dcterms:modified xsi:type="dcterms:W3CDTF">2021-11-24T15:16:00Z</dcterms:modified>
</cp:coreProperties>
</file>