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D2FAB0" w14:textId="1B6C7E72" w:rsidR="005F36E6" w:rsidRPr="00770A74" w:rsidRDefault="005F36E6" w:rsidP="005F36E6">
      <w:pPr>
        <w:spacing w:before="100" w:beforeAutospacing="1" w:after="100" w:afterAutospacing="1" w:line="360" w:lineRule="auto"/>
        <w:jc w:val="both"/>
        <w:rPr>
          <w:rFonts w:ascii="Palatino Linotype" w:hAnsi="Palatino Linotype"/>
        </w:rPr>
      </w:pPr>
      <w:r w:rsidRPr="00770A74">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AE218A" w:rsidRPr="00770A74">
        <w:rPr>
          <w:rFonts w:ascii="Palatino Linotype" w:hAnsi="Palatino Linotype"/>
        </w:rPr>
        <w:t xml:space="preserve">uno de septiembre de </w:t>
      </w:r>
      <w:r w:rsidRPr="00770A74">
        <w:rPr>
          <w:rFonts w:ascii="Palatino Linotype" w:hAnsi="Palatino Linotype"/>
        </w:rPr>
        <w:t>dos mil veintiuno.</w:t>
      </w:r>
    </w:p>
    <w:p w14:paraId="15E7EB56" w14:textId="2619E919" w:rsidR="005F36E6" w:rsidRPr="00770A74" w:rsidRDefault="005F36E6" w:rsidP="005F36E6">
      <w:pPr>
        <w:spacing w:before="100" w:beforeAutospacing="1" w:after="100" w:afterAutospacing="1" w:line="360" w:lineRule="auto"/>
        <w:jc w:val="both"/>
        <w:rPr>
          <w:rFonts w:ascii="Palatino Linotype" w:hAnsi="Palatino Linotype"/>
        </w:rPr>
      </w:pPr>
      <w:r w:rsidRPr="00770A74">
        <w:rPr>
          <w:rFonts w:ascii="Palatino Linotype" w:hAnsi="Palatino Linotype"/>
          <w:b/>
        </w:rPr>
        <w:t>VISTO</w:t>
      </w:r>
      <w:r w:rsidRPr="00770A74">
        <w:rPr>
          <w:rFonts w:ascii="Palatino Linotype" w:hAnsi="Palatino Linotype"/>
        </w:rPr>
        <w:t xml:space="preserve"> el expediente formado con motivo del recurso de revisión </w:t>
      </w:r>
      <w:r w:rsidRPr="00770A74">
        <w:rPr>
          <w:rFonts w:ascii="Palatino Linotype" w:hAnsi="Palatino Linotype"/>
          <w:b/>
        </w:rPr>
        <w:t>03692/INFOEM/IP/RR/2021</w:t>
      </w:r>
      <w:r w:rsidRPr="00770A74">
        <w:rPr>
          <w:rFonts w:ascii="Palatino Linotype" w:hAnsi="Palatino Linotype"/>
        </w:rPr>
        <w:t xml:space="preserve">, promovido por el C. </w:t>
      </w:r>
      <w:r w:rsidR="0079749B">
        <w:rPr>
          <w:rFonts w:ascii="Palatino Linotype" w:hAnsi="Palatino Linotype"/>
          <w:b/>
        </w:rPr>
        <w:t>XXXXXXXXXXXXXXXXX</w:t>
      </w:r>
      <w:r w:rsidRPr="00770A74">
        <w:rPr>
          <w:rFonts w:ascii="Palatino Linotype" w:hAnsi="Palatino Linotype"/>
          <w:b/>
        </w:rPr>
        <w:t xml:space="preserve">, </w:t>
      </w:r>
      <w:r w:rsidRPr="00770A74">
        <w:rPr>
          <w:rFonts w:ascii="Palatino Linotype" w:hAnsi="Palatino Linotype"/>
        </w:rPr>
        <w:t xml:space="preserve">a quien en lo sucesivo se le denominará </w:t>
      </w:r>
      <w:r w:rsidRPr="00770A74">
        <w:rPr>
          <w:rFonts w:ascii="Palatino Linotype" w:hAnsi="Palatino Linotype" w:cs="Arial"/>
          <w:b/>
        </w:rPr>
        <w:t>EL RECURRENTE</w:t>
      </w:r>
      <w:r w:rsidRPr="00770A74">
        <w:rPr>
          <w:rFonts w:ascii="Palatino Linotype" w:hAnsi="Palatino Linotype"/>
        </w:rPr>
        <w:t xml:space="preserve">, en contra de la respuesta emitida por el </w:t>
      </w:r>
      <w:r w:rsidRPr="00770A74">
        <w:rPr>
          <w:rFonts w:ascii="Palatino Linotype" w:hAnsi="Palatino Linotype"/>
          <w:b/>
        </w:rPr>
        <w:t>Organismo Público Descentralizado Municipal para la Prestación de Los Servicios de Agua Potable Alcantarillado y Saneamiento de Cuautitlán Izcalli denominado OPERAGUA, O.P.D.M.,</w:t>
      </w:r>
      <w:r w:rsidRPr="00770A74">
        <w:rPr>
          <w:rFonts w:ascii="Palatino Linotype" w:hAnsi="Palatino Linotype" w:cs="Arial"/>
          <w:b/>
        </w:rPr>
        <w:t xml:space="preserve"> </w:t>
      </w:r>
      <w:r w:rsidRPr="00770A74">
        <w:rPr>
          <w:rFonts w:ascii="Palatino Linotype" w:hAnsi="Palatino Linotype"/>
        </w:rPr>
        <w:t xml:space="preserve">en lo subsecuente </w:t>
      </w:r>
      <w:r w:rsidRPr="00770A74">
        <w:rPr>
          <w:rFonts w:ascii="Palatino Linotype" w:hAnsi="Palatino Linotype"/>
          <w:b/>
        </w:rPr>
        <w:t>EL SUJETO OBLIGADO</w:t>
      </w:r>
      <w:r w:rsidRPr="00770A74">
        <w:rPr>
          <w:rFonts w:ascii="Palatino Linotype" w:hAnsi="Palatino Linotype"/>
        </w:rPr>
        <w:t xml:space="preserve">, se procede a dictar la presente resolución con base en lo siguiente: </w:t>
      </w:r>
    </w:p>
    <w:p w14:paraId="7D3BFAF6" w14:textId="77777777" w:rsidR="005F36E6" w:rsidRPr="00770A74" w:rsidRDefault="005F36E6" w:rsidP="005F36E6">
      <w:pPr>
        <w:spacing w:before="100" w:beforeAutospacing="1" w:after="100" w:afterAutospacing="1" w:line="360" w:lineRule="auto"/>
        <w:jc w:val="center"/>
        <w:rPr>
          <w:rFonts w:ascii="Palatino Linotype" w:hAnsi="Palatino Linotype"/>
          <w:b/>
          <w:bCs/>
          <w:spacing w:val="60"/>
          <w:sz w:val="28"/>
        </w:rPr>
      </w:pPr>
      <w:r w:rsidRPr="00770A74">
        <w:rPr>
          <w:rFonts w:ascii="Palatino Linotype" w:hAnsi="Palatino Linotype"/>
          <w:b/>
          <w:bCs/>
          <w:spacing w:val="60"/>
          <w:sz w:val="28"/>
        </w:rPr>
        <w:t>RESULTANDO</w:t>
      </w:r>
    </w:p>
    <w:p w14:paraId="0117B378" w14:textId="06AEB5D9" w:rsidR="005F36E6" w:rsidRPr="00770A74" w:rsidRDefault="005F36E6" w:rsidP="005F36E6">
      <w:pPr>
        <w:pStyle w:val="Prrafodelista"/>
        <w:tabs>
          <w:tab w:val="left" w:pos="709"/>
        </w:tabs>
        <w:spacing w:before="100" w:beforeAutospacing="1" w:after="100" w:afterAutospacing="1" w:line="360" w:lineRule="auto"/>
        <w:ind w:left="0"/>
        <w:jc w:val="both"/>
        <w:rPr>
          <w:rFonts w:ascii="Palatino Linotype" w:hAnsi="Palatino Linotype"/>
          <w:b/>
        </w:rPr>
      </w:pPr>
      <w:r w:rsidRPr="00770A74">
        <w:rPr>
          <w:rFonts w:ascii="Palatino Linotype" w:hAnsi="Palatino Linotype"/>
          <w:b/>
          <w:sz w:val="28"/>
          <w:szCs w:val="28"/>
        </w:rPr>
        <w:t>I.</w:t>
      </w:r>
      <w:r w:rsidRPr="00770A74">
        <w:rPr>
          <w:rFonts w:ascii="Palatino Linotype" w:hAnsi="Palatino Linotype"/>
        </w:rPr>
        <w:t xml:space="preserve"> En </w:t>
      </w:r>
      <w:r w:rsidRPr="00770A74">
        <w:rPr>
          <w:rFonts w:ascii="Palatino Linotype" w:hAnsi="Palatino Linotype" w:cs="Arial"/>
        </w:rPr>
        <w:t xml:space="preserve">fecha veintiuno de junio </w:t>
      </w:r>
      <w:r w:rsidRPr="00770A74">
        <w:rPr>
          <w:rFonts w:ascii="Palatino Linotype" w:hAnsi="Palatino Linotype"/>
        </w:rPr>
        <w:t xml:space="preserve">de dos mil veintiuno, </w:t>
      </w:r>
      <w:r w:rsidRPr="00770A74">
        <w:rPr>
          <w:rFonts w:ascii="Palatino Linotype" w:hAnsi="Palatino Linotype" w:cs="Arial"/>
          <w:b/>
        </w:rPr>
        <w:t>EL RECURRENTE</w:t>
      </w:r>
      <w:r w:rsidRPr="00770A74">
        <w:rPr>
          <w:rFonts w:ascii="Palatino Linotype" w:hAnsi="Palatino Linotype"/>
        </w:rPr>
        <w:t xml:space="preserve"> presentó </w:t>
      </w:r>
      <w:r w:rsidRPr="00770A74">
        <w:rPr>
          <w:rFonts w:ascii="Palatino Linotype" w:hAnsi="Palatino Linotype" w:cs="Arial"/>
        </w:rPr>
        <w:t xml:space="preserve">a través del Sistema de Acceso a la Información Mexiquense, en lo subsecuente </w:t>
      </w:r>
      <w:r w:rsidRPr="00770A74">
        <w:rPr>
          <w:rFonts w:ascii="Palatino Linotype" w:hAnsi="Palatino Linotype" w:cs="Arial"/>
          <w:b/>
        </w:rPr>
        <w:t>EL SAIMEX,</w:t>
      </w:r>
      <w:r w:rsidRPr="00770A74">
        <w:rPr>
          <w:rFonts w:ascii="Palatino Linotype" w:hAnsi="Palatino Linotype"/>
        </w:rPr>
        <w:t xml:space="preserve"> ante </w:t>
      </w:r>
      <w:r w:rsidRPr="00770A74">
        <w:rPr>
          <w:rFonts w:ascii="Palatino Linotype" w:hAnsi="Palatino Linotype"/>
          <w:b/>
        </w:rPr>
        <w:t>EL SUJETO OBLIGADO</w:t>
      </w:r>
      <w:r w:rsidRPr="00770A74">
        <w:rPr>
          <w:rFonts w:ascii="Palatino Linotype" w:hAnsi="Palatino Linotype"/>
        </w:rPr>
        <w:t xml:space="preserve">, la solicitud de acceso a la información pública, a la que se le asignó el número </w:t>
      </w:r>
      <w:r w:rsidRPr="00770A74">
        <w:rPr>
          <w:rFonts w:ascii="Palatino Linotype" w:hAnsi="Palatino Linotype"/>
          <w:b/>
        </w:rPr>
        <w:t>00025/OASCUATIZC/IP/2021,</w:t>
      </w:r>
      <w:r w:rsidRPr="00770A74">
        <w:rPr>
          <w:rFonts w:ascii="Palatino Linotype" w:hAnsi="Palatino Linotype"/>
        </w:rPr>
        <w:t xml:space="preserve"> mediante la cual requirió, lo siguiente:</w:t>
      </w:r>
    </w:p>
    <w:p w14:paraId="054CBF11" w14:textId="77777777" w:rsidR="005F36E6" w:rsidRPr="00770A74" w:rsidRDefault="005F36E6" w:rsidP="005F36E6">
      <w:pPr>
        <w:spacing w:before="100" w:beforeAutospacing="1" w:after="100" w:afterAutospacing="1"/>
        <w:ind w:left="709" w:right="709"/>
        <w:jc w:val="both"/>
        <w:rPr>
          <w:rFonts w:ascii="Palatino Linotype" w:hAnsi="Palatino Linotype"/>
          <w:i/>
          <w:sz w:val="22"/>
          <w:szCs w:val="22"/>
        </w:rPr>
      </w:pPr>
      <w:r w:rsidRPr="00770A74">
        <w:rPr>
          <w:rFonts w:ascii="Palatino Linotype" w:hAnsi="Palatino Linotype"/>
          <w:i/>
          <w:sz w:val="22"/>
          <w:szCs w:val="22"/>
        </w:rPr>
        <w:lastRenderedPageBreak/>
        <w:t>“Hola, solicito una lista con el nombre de cada una de las obras hidráulicas en las que fueron utilizados los $23, 740,111.00 provenientes del Programa de Devolución de Derechos (PRODDER) de la CONAGUA con los montos de dinero utilizados en cada una de dichas obras hidráulicas. Muchas gracias.” (Sic)</w:t>
      </w:r>
      <w:bookmarkStart w:id="0" w:name="_Ref516764469"/>
      <w:bookmarkStart w:id="1" w:name="_Ref531692384"/>
    </w:p>
    <w:p w14:paraId="6C4A92B1" w14:textId="77777777" w:rsidR="005F36E6" w:rsidRPr="00770A74" w:rsidRDefault="005F36E6" w:rsidP="005F36E6">
      <w:pPr>
        <w:pStyle w:val="Prrafodelista"/>
        <w:tabs>
          <w:tab w:val="left" w:pos="709"/>
        </w:tabs>
        <w:spacing w:before="100" w:beforeAutospacing="1" w:after="100" w:afterAutospacing="1" w:line="360" w:lineRule="auto"/>
        <w:ind w:left="0"/>
        <w:jc w:val="both"/>
        <w:rPr>
          <w:rFonts w:ascii="Palatino Linotype" w:hAnsi="Palatino Linotype"/>
          <w:i/>
          <w:sz w:val="22"/>
          <w:szCs w:val="22"/>
        </w:rPr>
      </w:pPr>
      <w:r w:rsidRPr="00770A74">
        <w:rPr>
          <w:rFonts w:ascii="Palatino Linotype" w:hAnsi="Palatino Linotype" w:cs="Arial"/>
        </w:rPr>
        <w:t xml:space="preserve">Adjuntando a su solicitud el archivo electrónico denominado </w:t>
      </w:r>
      <w:hyperlink r:id="rId7" w:tgtFrame="_blank" w:history="1">
        <w:r w:rsidRPr="00770A74">
          <w:rPr>
            <w:rFonts w:ascii="Palatino Linotype" w:hAnsi="Palatino Linotype"/>
          </w:rPr>
          <w:t>2021_06_Respuesta_Operagua_SAIMEX_Dirección_Finanzas_23.7_millones_PRODDER.pdf</w:t>
        </w:r>
      </w:hyperlink>
      <w:r w:rsidRPr="00770A74">
        <w:rPr>
          <w:rFonts w:ascii="Palatino Linotype" w:hAnsi="Palatino Linotype" w:cs="Arial"/>
        </w:rPr>
        <w:t xml:space="preserve">, el cual corresponde a la respuesta otorgada por </w:t>
      </w:r>
      <w:r w:rsidRPr="00770A74">
        <w:rPr>
          <w:rFonts w:ascii="Palatino Linotype" w:hAnsi="Palatino Linotype" w:cs="Arial"/>
          <w:b/>
        </w:rPr>
        <w:t xml:space="preserve">EL SUJETO OBLIGADO </w:t>
      </w:r>
      <w:r w:rsidRPr="00770A74">
        <w:rPr>
          <w:rFonts w:ascii="Palatino Linotype" w:hAnsi="Palatino Linotype" w:cs="Arial"/>
        </w:rPr>
        <w:t>a una solicitud de información diversa.</w:t>
      </w:r>
    </w:p>
    <w:p w14:paraId="03EA7963" w14:textId="77777777" w:rsidR="005F36E6" w:rsidRPr="00770A74" w:rsidRDefault="005F36E6" w:rsidP="005F36E6">
      <w:pPr>
        <w:spacing w:before="100" w:beforeAutospacing="1" w:after="100" w:afterAutospacing="1"/>
        <w:ind w:right="709"/>
        <w:jc w:val="both"/>
        <w:rPr>
          <w:rFonts w:ascii="Palatino Linotype" w:hAnsi="Palatino Linotype"/>
          <w:b/>
        </w:rPr>
      </w:pPr>
      <w:r w:rsidRPr="00770A74">
        <w:rPr>
          <w:rFonts w:ascii="Palatino Linotype" w:hAnsi="Palatino Linotype"/>
          <w:b/>
        </w:rPr>
        <w:t xml:space="preserve">Modalidad de entrega: </w:t>
      </w:r>
      <w:r w:rsidRPr="00770A74">
        <w:rPr>
          <w:rFonts w:ascii="Palatino Linotype" w:hAnsi="Palatino Linotype"/>
        </w:rPr>
        <w:t xml:space="preserve">vía </w:t>
      </w:r>
      <w:r w:rsidRPr="00770A74">
        <w:rPr>
          <w:rFonts w:ascii="Palatino Linotype" w:hAnsi="Palatino Linotype"/>
          <w:b/>
        </w:rPr>
        <w:t>SAIMEX</w:t>
      </w:r>
    </w:p>
    <w:p w14:paraId="553F808A" w14:textId="03338261" w:rsidR="005F36E6" w:rsidRPr="00770A74" w:rsidRDefault="005F36E6" w:rsidP="005F36E6">
      <w:pPr>
        <w:pStyle w:val="Prrafodelista"/>
        <w:tabs>
          <w:tab w:val="left" w:pos="709"/>
        </w:tabs>
        <w:spacing w:before="100" w:beforeAutospacing="1" w:after="100" w:afterAutospacing="1" w:line="360" w:lineRule="auto"/>
        <w:ind w:left="0"/>
        <w:jc w:val="both"/>
        <w:rPr>
          <w:rFonts w:ascii="Palatino Linotype" w:hAnsi="Palatino Linotype" w:cs="Arial"/>
        </w:rPr>
      </w:pPr>
      <w:r w:rsidRPr="00770A74">
        <w:rPr>
          <w:rFonts w:ascii="Palatino Linotype" w:hAnsi="Palatino Linotype" w:cs="Arial"/>
          <w:b/>
          <w:sz w:val="28"/>
          <w:szCs w:val="28"/>
        </w:rPr>
        <w:t>II.</w:t>
      </w:r>
      <w:r w:rsidRPr="00770A74">
        <w:rPr>
          <w:rFonts w:ascii="Palatino Linotype" w:hAnsi="Palatino Linotype" w:cs="Arial"/>
        </w:rPr>
        <w:t xml:space="preserve"> De las constancias que obran en el expediente electrónico del </w:t>
      </w:r>
      <w:r w:rsidRPr="00770A74">
        <w:rPr>
          <w:rFonts w:ascii="Palatino Linotype" w:hAnsi="Palatino Linotype" w:cs="Arial"/>
          <w:b/>
        </w:rPr>
        <w:t>SAIMEX</w:t>
      </w:r>
      <w:r w:rsidRPr="00770A74">
        <w:rPr>
          <w:rFonts w:ascii="Palatino Linotype" w:hAnsi="Palatino Linotype" w:cs="Arial"/>
        </w:rPr>
        <w:t xml:space="preserve">, se advierte que en fecha veintiuno de junio de dos mil veintiuno, </w:t>
      </w:r>
      <w:r w:rsidRPr="00770A74">
        <w:rPr>
          <w:rFonts w:ascii="Palatino Linotype" w:hAnsi="Palatino Linotype" w:cs="Arial"/>
          <w:b/>
        </w:rPr>
        <w:t xml:space="preserve">EL SUJETO OBLIGADO </w:t>
      </w:r>
      <w:r w:rsidRPr="00770A74">
        <w:rPr>
          <w:rFonts w:ascii="Palatino Linotype" w:hAnsi="Palatino Linotype" w:cs="Arial"/>
        </w:rPr>
        <w:t xml:space="preserve">de </w:t>
      </w:r>
      <w:r w:rsidRPr="00770A74">
        <w:rPr>
          <w:rFonts w:ascii="Palatino Linotype" w:hAnsi="Palatino Linotype" w:cs="Arial"/>
          <w:color w:val="000000" w:themeColor="text1"/>
        </w:rPr>
        <w:t xml:space="preserve">conformidad con lo establecido en el artículo 162 de la Ley de Transparencia y Acceso a la Información Pública del Estado de México y Municipios, </w:t>
      </w:r>
      <w:r w:rsidR="00095940" w:rsidRPr="00770A74">
        <w:rPr>
          <w:rFonts w:ascii="Palatino Linotype" w:hAnsi="Palatino Linotype" w:cs="Arial"/>
          <w:color w:val="000000" w:themeColor="text1"/>
        </w:rPr>
        <w:t xml:space="preserve">a través de </w:t>
      </w:r>
      <w:r w:rsidRPr="00770A74">
        <w:rPr>
          <w:rFonts w:ascii="Palatino Linotype" w:hAnsi="Palatino Linotype" w:cs="Arial"/>
          <w:color w:val="000000" w:themeColor="text1"/>
        </w:rPr>
        <w:t xml:space="preserve">la Titular de la Unidad de Transparencia, </w:t>
      </w:r>
      <w:r w:rsidRPr="00770A74">
        <w:rPr>
          <w:rFonts w:ascii="Palatino Linotype" w:hAnsi="Palatino Linotype"/>
          <w:bCs/>
          <w:color w:val="000000" w:themeColor="text1"/>
        </w:rPr>
        <w:t xml:space="preserve">habilitó el apartado de requerimientos, turnando la solicitud de información a los Servidores Públicos Habilitados que estimó competentes; </w:t>
      </w:r>
      <w:r w:rsidRPr="00770A74">
        <w:rPr>
          <w:rFonts w:ascii="Palatino Linotype" w:hAnsi="Palatino Linotype" w:cs="Arial"/>
          <w:color w:val="000000" w:themeColor="text1"/>
        </w:rPr>
        <w:t>tal como se aprecia enseguida:</w:t>
      </w:r>
    </w:p>
    <w:p w14:paraId="0033031B" w14:textId="77777777" w:rsidR="005F36E6" w:rsidRPr="00770A74" w:rsidRDefault="005F36E6" w:rsidP="005F36E6">
      <w:pPr>
        <w:pStyle w:val="Prrafodelista"/>
        <w:tabs>
          <w:tab w:val="left" w:pos="709"/>
        </w:tabs>
        <w:spacing w:before="100" w:beforeAutospacing="1" w:after="100" w:afterAutospacing="1" w:line="360" w:lineRule="auto"/>
        <w:ind w:left="0"/>
        <w:jc w:val="center"/>
        <w:rPr>
          <w:rFonts w:ascii="Palatino Linotype" w:hAnsi="Palatino Linotype" w:cs="Arial"/>
        </w:rPr>
      </w:pPr>
      <w:r w:rsidRPr="00770A74">
        <w:rPr>
          <w:noProof/>
          <w:lang w:eastAsia="es-MX"/>
        </w:rPr>
        <w:drawing>
          <wp:inline distT="0" distB="0" distL="0" distR="0" wp14:anchorId="58540BAE" wp14:editId="2B50FCC3">
            <wp:extent cx="5353050" cy="77470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482" t="42512" r="4506" b="40328"/>
                    <a:stretch/>
                  </pic:blipFill>
                  <pic:spPr bwMode="auto">
                    <a:xfrm>
                      <a:off x="0" y="0"/>
                      <a:ext cx="5353050" cy="774700"/>
                    </a:xfrm>
                    <a:prstGeom prst="rect">
                      <a:avLst/>
                    </a:prstGeom>
                    <a:ln>
                      <a:noFill/>
                    </a:ln>
                    <a:extLst>
                      <a:ext uri="{53640926-AAD7-44D8-BBD7-CCE9431645EC}">
                        <a14:shadowObscured xmlns:a14="http://schemas.microsoft.com/office/drawing/2010/main"/>
                      </a:ext>
                    </a:extLst>
                  </pic:spPr>
                </pic:pic>
              </a:graphicData>
            </a:graphic>
          </wp:inline>
        </w:drawing>
      </w:r>
    </w:p>
    <w:p w14:paraId="400AD589" w14:textId="77777777" w:rsidR="005F36E6" w:rsidRPr="00770A74" w:rsidRDefault="005F36E6" w:rsidP="005F36E6">
      <w:pPr>
        <w:pStyle w:val="Prrafodelista"/>
        <w:tabs>
          <w:tab w:val="left" w:pos="709"/>
        </w:tabs>
        <w:spacing w:before="100" w:beforeAutospacing="1" w:after="100" w:afterAutospacing="1" w:line="360" w:lineRule="auto"/>
        <w:ind w:left="0"/>
        <w:jc w:val="both"/>
        <w:rPr>
          <w:rFonts w:ascii="Palatino Linotype" w:hAnsi="Palatino Linotype" w:cs="Arial"/>
        </w:rPr>
      </w:pPr>
      <w:r w:rsidRPr="00770A74">
        <w:rPr>
          <w:rFonts w:ascii="Palatino Linotype" w:hAnsi="Palatino Linotype" w:cs="Arial"/>
          <w:b/>
          <w:sz w:val="28"/>
          <w:szCs w:val="28"/>
        </w:rPr>
        <w:lastRenderedPageBreak/>
        <w:t>III.</w:t>
      </w:r>
      <w:r w:rsidRPr="00770A74">
        <w:rPr>
          <w:rFonts w:ascii="Palatino Linotype" w:hAnsi="Palatino Linotype" w:cs="Arial"/>
        </w:rPr>
        <w:t xml:space="preserve"> Posteriormente, el día nueve de julio de dos mil veintiuno, </w:t>
      </w:r>
      <w:r w:rsidRPr="00770A74">
        <w:rPr>
          <w:rFonts w:ascii="Palatino Linotype" w:hAnsi="Palatino Linotype" w:cs="Arial"/>
          <w:b/>
        </w:rPr>
        <w:t>EL SUJETO OBLIGADO</w:t>
      </w:r>
      <w:r w:rsidRPr="00770A74">
        <w:rPr>
          <w:rFonts w:ascii="Palatino Linotype" w:hAnsi="Palatino Linotype" w:cs="Arial"/>
        </w:rPr>
        <w:t xml:space="preserve"> dio respuesta a la </w:t>
      </w:r>
      <w:r w:rsidRPr="00770A74">
        <w:rPr>
          <w:rFonts w:ascii="Palatino Linotype" w:hAnsi="Palatino Linotype"/>
        </w:rPr>
        <w:t>solicitud</w:t>
      </w:r>
      <w:r w:rsidRPr="00770A74">
        <w:rPr>
          <w:rFonts w:ascii="Palatino Linotype" w:hAnsi="Palatino Linotype" w:cs="Arial"/>
        </w:rPr>
        <w:t xml:space="preserve"> de </w:t>
      </w:r>
      <w:r w:rsidRPr="00770A74">
        <w:rPr>
          <w:rFonts w:ascii="Palatino Linotype" w:hAnsi="Palatino Linotype"/>
        </w:rPr>
        <w:t>acceso</w:t>
      </w:r>
      <w:r w:rsidRPr="00770A74">
        <w:rPr>
          <w:rFonts w:ascii="Palatino Linotype" w:hAnsi="Palatino Linotype" w:cs="Arial"/>
        </w:rPr>
        <w:t xml:space="preserve"> a la información pública requerida por </w:t>
      </w:r>
      <w:r w:rsidRPr="00770A74">
        <w:rPr>
          <w:rFonts w:ascii="Palatino Linotype" w:hAnsi="Palatino Linotype" w:cs="Arial"/>
          <w:b/>
        </w:rPr>
        <w:t>EL RECURRENTE</w:t>
      </w:r>
      <w:r w:rsidRPr="00770A74">
        <w:rPr>
          <w:rFonts w:ascii="Palatino Linotype" w:hAnsi="Palatino Linotype" w:cs="Arial"/>
        </w:rPr>
        <w:t>, en los términos siguientes:</w:t>
      </w:r>
    </w:p>
    <w:p w14:paraId="7AAEC17C" w14:textId="77777777" w:rsidR="005F36E6" w:rsidRPr="00770A74" w:rsidRDefault="001B3165" w:rsidP="001B3165">
      <w:pPr>
        <w:pStyle w:val="Prrafodelista"/>
        <w:tabs>
          <w:tab w:val="left" w:pos="709"/>
        </w:tabs>
        <w:ind w:left="851" w:right="899"/>
        <w:jc w:val="both"/>
        <w:rPr>
          <w:rFonts w:ascii="Palatino Linotype" w:hAnsi="Palatino Linotype"/>
          <w:i/>
          <w:color w:val="000000"/>
          <w:sz w:val="22"/>
          <w:szCs w:val="22"/>
        </w:rPr>
      </w:pPr>
      <w:r w:rsidRPr="00770A74">
        <w:rPr>
          <w:rFonts w:ascii="Palatino Linotype" w:hAnsi="Palatino Linotype"/>
          <w:i/>
          <w:color w:val="000000"/>
          <w:sz w:val="22"/>
          <w:szCs w:val="22"/>
        </w:rPr>
        <w:t>“Por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w:t>
      </w:r>
      <w:bookmarkStart w:id="2" w:name="_GoBack"/>
      <w:bookmarkEnd w:id="2"/>
      <w:r w:rsidRPr="00770A74">
        <w:rPr>
          <w:rFonts w:ascii="Palatino Linotype" w:hAnsi="Palatino Linotype"/>
          <w:i/>
          <w:color w:val="000000"/>
          <w:sz w:val="22"/>
          <w:szCs w:val="22"/>
        </w:rPr>
        <w:t xml:space="preserve">tudes de acceso a la información, así como de los Recursos de Revisión que deberán de observar los Sujetos Obligados por la Ley de Transparencia y Acceso a la Información Pública del Estado de México y Municipios; le informo I.-“Que a efecto de cumplir con la solicitud y con fundamento en lo establecido por los imperativos 12, 23 Fracción IV, 24 Fracción XI y demás relativos de la Ley de Transparencia y acceso a la información pública del Estado de México y Municipios y en atención a dicha solicitud señalada al rubro, misma que se hace consistir en: Hola, solicito una lista con el nombre de cada una de las obras hidráulicas en las que fueron utilizados los $23, 740,111.00 provenientes del Programa de Devolución de Derechos (PRODDER) de la CONAGUA con los montos de dinero utilizados en cada una de dichas obras hidráulicas. Muchas gracias.. (SIC) La respuesta que a su solicitud efectuaron las Unidades Administrativas en la plataforma, es la siguiente: 1.- Dirección de Administración y Finanzas: Por este conducto reciba un cordial saludo; así mismo y con fundamento en los artículos 58 y 59 fracciones I, II y V de la LTAIPEMyM, y en respuesta a la solicitud turnada a la Servidora Pública Habilitada de la Coordinación de Finanzas 00025/OASCUATIZC/IP/2021: DESCRIPCIÓN DE LA INFORMACIÓN SOLICITADA: Hola, solicito una lista con el nombre de cada una de las obras hidráulicas en las que fueron utilizados los $23, 740,111.00 provenientes del Programa de Devolución de Derechos (PRODDER) de la CONAGUA con los montos de dinero utilizados en cada una de dichas obras hidráulicas. Le informo que La Coordinación de Finanzas no cuenta con la información solicitada por el </w:t>
      </w:r>
      <w:r w:rsidRPr="00770A74">
        <w:rPr>
          <w:rFonts w:ascii="Palatino Linotype" w:hAnsi="Palatino Linotype"/>
          <w:i/>
          <w:color w:val="000000"/>
          <w:sz w:val="22"/>
          <w:szCs w:val="22"/>
        </w:rPr>
        <w:lastRenderedPageBreak/>
        <w:t xml:space="preserve">particular, toda vez que sin bien es cierto que La DAF a través de su coordinación de Finanzas programa, provisiona y realiza los pagos solicitados, es la Dirección de Construcción y Operación Hidráulica quien lleva a cabo la programación de las obras Hidráulicas, el control presupuestal de estas y quien revisa, aprueba y solicita el pago de las estimaciones, aunado a que el programa federal PRODDER es coordinado por el Departamento de Ejecución de Proyectos adscrito a la ya mencionada Dirección, por lo tanto corresponde a la misma el resguardo y manejo de la información solicitada y no a la Coordinación de Finanzas.. (SIC) 2.- Dirección de Construcción y Operación Hidráulica En relación a la Solicitud de Información Pública marcada con el número de folio 00025/OASCUATIZC/IP/2021 turnada a través del Sistema SAIMEX (Sistema de Acceso a la Información Mexiquense) a esta Unidad Administrativa en el cual se me solicita la siguiente información descrita a continuación: DESCRIPCIÓN DE LA INFORMACIÓN SOLICITADA: Hola, solicito una lista con el nombre de cada una de las obras hidráulicas en las que fueron utilizados los $23, 740,111.00 provenientes del Programa de Devolución de Derechos (PRODDER) de la CONAGUA con los montos de dinero utilizados en cada una de dichas obras hidráulicas. Muchas gracias. (SIC). Al respecto le reitero, que el Servidor Habilitado de esta Dirección a mi cargo, realizo tareas de conjunto con la Coordinación de Ejecución de Proyectos, que depende directamente de esta Dirección, obteniendo la siguiente información: Obras Hidráulicas provenientes del Programa de Devolución de Derechos (PRODDER), del ejercicio fiscal 2021. I. Rehabilitación de la planta de bombeo denominada “Sistema Booster”, con una inversión total de $4,134,015.61 II. Rehabilitación o Sustitución de equipo electromecánico para pozos de agua potable, con una inversión total de $7, 111,361.71 Lo anterior con fundamento en lo dispuesto por el artículo 12, párrafo segundo y demás artículos aplicables a la Ley de Transparencia y Acceso a la Información Pública del Estado de México y Municipios. De lo anteriormente expuesto y fundado a Usted, en términos de los artículos 11, 41, 46, 47, 53 fracción V, y demás aplicables de la Ley de Transparencia y Acceso a la Información Pública del Estado de México y Municipios, a Usted pido se sirva tener a esta Unidad de Transparencia y Acceso a la Información Pública por notificada en tiempo y forma </w:t>
      </w:r>
      <w:r w:rsidRPr="00770A74">
        <w:rPr>
          <w:rFonts w:ascii="Palatino Linotype" w:hAnsi="Palatino Linotype"/>
          <w:i/>
          <w:color w:val="000000"/>
          <w:sz w:val="22"/>
          <w:szCs w:val="22"/>
        </w:rPr>
        <w:lastRenderedPageBreak/>
        <w:t>la contestación a su solicitud de acceso a la información para los efectos legales correspondientes, a través del sistema denominado SAIMEX.” (Sic)</w:t>
      </w:r>
    </w:p>
    <w:p w14:paraId="7924383D" w14:textId="77777777" w:rsidR="005F36E6" w:rsidRPr="00770A74" w:rsidRDefault="001B3165" w:rsidP="00266F95">
      <w:pPr>
        <w:pStyle w:val="Prrafodelista"/>
        <w:tabs>
          <w:tab w:val="left" w:pos="709"/>
        </w:tabs>
        <w:spacing w:before="100" w:beforeAutospacing="1" w:after="100" w:afterAutospacing="1" w:line="360" w:lineRule="auto"/>
        <w:ind w:left="0"/>
        <w:jc w:val="both"/>
        <w:rPr>
          <w:rFonts w:ascii="Palatino Linotype" w:hAnsi="Palatino Linotype"/>
        </w:rPr>
      </w:pPr>
      <w:r w:rsidRPr="00770A74">
        <w:rPr>
          <w:rFonts w:ascii="Palatino Linotype" w:hAnsi="Palatino Linotype"/>
        </w:rPr>
        <w:t xml:space="preserve">Adjuntando los archivos electrónicos denominados </w:t>
      </w:r>
      <w:hyperlink r:id="rId9" w:tgtFrame="_blank" w:history="1">
        <w:r w:rsidRPr="00770A74">
          <w:rPr>
            <w:rFonts w:ascii="Palatino Linotype" w:hAnsi="Palatino Linotype"/>
          </w:rPr>
          <w:t>25 RESP.pdf</w:t>
        </w:r>
      </w:hyperlink>
      <w:r w:rsidRPr="00770A74">
        <w:rPr>
          <w:rFonts w:ascii="Palatino Linotype" w:hAnsi="Palatino Linotype"/>
        </w:rPr>
        <w:t xml:space="preserve"> y </w:t>
      </w:r>
      <w:hyperlink r:id="rId10" w:tgtFrame="_blank" w:history="1">
        <w:r w:rsidRPr="00770A74">
          <w:rPr>
            <w:rFonts w:ascii="Palatino Linotype" w:hAnsi="Palatino Linotype"/>
          </w:rPr>
          <w:t>RESPUESTA SOLICITUD 0025-2021.pdf</w:t>
        </w:r>
      </w:hyperlink>
      <w:r w:rsidR="00F67706" w:rsidRPr="00770A74">
        <w:rPr>
          <w:rFonts w:ascii="Palatino Linotype" w:hAnsi="Palatino Linotype"/>
        </w:rPr>
        <w:t>; mismos que contiene la respuesta arriba referida.</w:t>
      </w:r>
    </w:p>
    <w:p w14:paraId="7D8E807B" w14:textId="77777777" w:rsidR="005F36E6" w:rsidRPr="00770A74" w:rsidRDefault="005F36E6" w:rsidP="005F36E6">
      <w:pPr>
        <w:pStyle w:val="Prrafodelista"/>
        <w:tabs>
          <w:tab w:val="left" w:pos="709"/>
        </w:tabs>
        <w:spacing w:before="100" w:beforeAutospacing="1" w:after="100" w:afterAutospacing="1" w:line="360" w:lineRule="auto"/>
        <w:ind w:left="0"/>
        <w:jc w:val="both"/>
        <w:rPr>
          <w:rFonts w:ascii="Palatino Linotype" w:hAnsi="Palatino Linotype" w:cs="Arial"/>
        </w:rPr>
      </w:pPr>
      <w:r w:rsidRPr="00770A74">
        <w:rPr>
          <w:rFonts w:ascii="Palatino Linotype" w:hAnsi="Palatino Linotype" w:cs="Arial"/>
          <w:b/>
          <w:sz w:val="28"/>
          <w:szCs w:val="28"/>
        </w:rPr>
        <w:t xml:space="preserve">IV. </w:t>
      </w:r>
      <w:r w:rsidRPr="00770A74">
        <w:rPr>
          <w:rFonts w:ascii="Palatino Linotype" w:hAnsi="Palatino Linotype"/>
        </w:rPr>
        <w:t xml:space="preserve">Inconforme con la respuesta del </w:t>
      </w:r>
      <w:r w:rsidRPr="00770A74">
        <w:rPr>
          <w:rFonts w:ascii="Palatino Linotype" w:hAnsi="Palatino Linotype"/>
          <w:b/>
        </w:rPr>
        <w:t>SUJETO OBLIGADO</w:t>
      </w:r>
      <w:r w:rsidRPr="00770A74">
        <w:rPr>
          <w:rFonts w:ascii="Palatino Linotype" w:hAnsi="Palatino Linotype"/>
        </w:rPr>
        <w:t xml:space="preserve">, en fecha </w:t>
      </w:r>
      <w:r w:rsidR="00F67706" w:rsidRPr="00770A74">
        <w:rPr>
          <w:rFonts w:ascii="Palatino Linotype" w:hAnsi="Palatino Linotype"/>
        </w:rPr>
        <w:t xml:space="preserve">nueve de julio </w:t>
      </w:r>
      <w:r w:rsidRPr="00770A74">
        <w:rPr>
          <w:rFonts w:ascii="Palatino Linotype" w:hAnsi="Palatino Linotype"/>
        </w:rPr>
        <w:t xml:space="preserve">de dos mil veintiuno, </w:t>
      </w:r>
      <w:r w:rsidRPr="00770A74">
        <w:rPr>
          <w:rFonts w:ascii="Palatino Linotype" w:hAnsi="Palatino Linotype" w:cs="Arial"/>
          <w:b/>
        </w:rPr>
        <w:t>EL RECURRENTE</w:t>
      </w:r>
      <w:r w:rsidRPr="00770A74">
        <w:rPr>
          <w:rFonts w:ascii="Palatino Linotype" w:hAnsi="Palatino Linotype"/>
        </w:rPr>
        <w:t>, a través del</w:t>
      </w:r>
      <w:r w:rsidRPr="00770A74">
        <w:rPr>
          <w:rFonts w:ascii="Palatino Linotype" w:hAnsi="Palatino Linotype"/>
          <w:b/>
        </w:rPr>
        <w:t xml:space="preserve"> SAIMEX, </w:t>
      </w:r>
      <w:r w:rsidRPr="00770A74">
        <w:rPr>
          <w:rFonts w:ascii="Palatino Linotype" w:hAnsi="Palatino Linotype"/>
        </w:rPr>
        <w:t xml:space="preserve">interpuso el recurso de revisión objeto del </w:t>
      </w:r>
      <w:r w:rsidRPr="00770A74">
        <w:rPr>
          <w:rFonts w:ascii="Palatino Linotype" w:hAnsi="Palatino Linotype" w:cs="Arial"/>
        </w:rPr>
        <w:t>presente</w:t>
      </w:r>
      <w:r w:rsidRPr="00770A74">
        <w:rPr>
          <w:rFonts w:ascii="Palatino Linotype" w:hAnsi="Palatino Linotype"/>
        </w:rPr>
        <w:t xml:space="preserve"> estudio, al que se le asignó el </w:t>
      </w:r>
      <w:r w:rsidRPr="00770A74">
        <w:rPr>
          <w:rFonts w:ascii="Palatino Linotype" w:hAnsi="Palatino Linotype" w:cs="Arial"/>
        </w:rPr>
        <w:t>número al rubro citado, en el que señaló como acto impugnado:</w:t>
      </w:r>
    </w:p>
    <w:p w14:paraId="5EE3E67E" w14:textId="77777777" w:rsidR="005F36E6" w:rsidRPr="00770A74" w:rsidRDefault="005F36E6" w:rsidP="005F36E6">
      <w:pPr>
        <w:spacing w:before="100" w:beforeAutospacing="1" w:after="100" w:afterAutospacing="1"/>
        <w:ind w:left="709" w:right="709"/>
        <w:jc w:val="both"/>
        <w:rPr>
          <w:rFonts w:ascii="Palatino Linotype" w:hAnsi="Palatino Linotype" w:cs="Arial"/>
          <w:i/>
          <w:sz w:val="22"/>
          <w:szCs w:val="22"/>
          <w:lang w:eastAsia="es-MX"/>
        </w:rPr>
      </w:pPr>
      <w:r w:rsidRPr="00770A74">
        <w:rPr>
          <w:rFonts w:ascii="Palatino Linotype" w:hAnsi="Palatino Linotype" w:cs="Arial"/>
          <w:i/>
          <w:sz w:val="22"/>
          <w:szCs w:val="22"/>
          <w:lang w:eastAsia="es-MX"/>
        </w:rPr>
        <w:t>“</w:t>
      </w:r>
      <w:r w:rsidR="00F67706" w:rsidRPr="00770A74">
        <w:rPr>
          <w:rFonts w:ascii="Palatino Linotype" w:hAnsi="Palatino Linotype" w:cs="Arial"/>
          <w:i/>
          <w:sz w:val="22"/>
          <w:szCs w:val="22"/>
          <w:lang w:eastAsia="es-MX"/>
        </w:rPr>
        <w:t>Hola, gracias por su respuesta. De los 23.7 millones de pesos que recibió Operagua en el año 2020 por concepto del PRODDER, solo mencionan dos obras hidráulicas en el año 2021 realizadas con 11.2 millones de pesos en total provenientes de estos recursos. No mencionan nada sobre el ejercicio fiscal 2020 además de que hay una diferencia de 12.5 millones de pesos que no mencionan en cuales obras hidráulicas fueron utilizados. Muchas gracias</w:t>
      </w:r>
      <w:r w:rsidRPr="00770A74">
        <w:rPr>
          <w:rFonts w:ascii="Palatino Linotype" w:hAnsi="Palatino Linotype" w:cs="Arial"/>
          <w:i/>
          <w:sz w:val="22"/>
          <w:szCs w:val="22"/>
          <w:lang w:eastAsia="es-MX"/>
        </w:rPr>
        <w:t>.” (Sic)</w:t>
      </w:r>
    </w:p>
    <w:p w14:paraId="680E5AB2" w14:textId="77777777" w:rsidR="005F36E6" w:rsidRPr="00770A74" w:rsidRDefault="005F36E6" w:rsidP="005F36E6">
      <w:pPr>
        <w:pStyle w:val="Prrafodelista"/>
        <w:spacing w:before="100" w:beforeAutospacing="1" w:after="100" w:afterAutospacing="1" w:line="360" w:lineRule="auto"/>
        <w:ind w:left="0"/>
        <w:jc w:val="both"/>
        <w:rPr>
          <w:rFonts w:ascii="Palatino Linotype" w:hAnsi="Palatino Linotype"/>
        </w:rPr>
      </w:pPr>
      <w:r w:rsidRPr="00770A74">
        <w:rPr>
          <w:rFonts w:ascii="Palatino Linotype" w:hAnsi="Palatino Linotype" w:cs="Arial"/>
        </w:rPr>
        <w:t>Asimismo</w:t>
      </w:r>
      <w:r w:rsidRPr="00770A74">
        <w:rPr>
          <w:rFonts w:ascii="Palatino Linotype" w:hAnsi="Palatino Linotype"/>
        </w:rPr>
        <w:t>, indicó como razones o motivos de inconformidad:</w:t>
      </w:r>
    </w:p>
    <w:p w14:paraId="09BA4039" w14:textId="77777777" w:rsidR="005F36E6" w:rsidRPr="00770A74" w:rsidRDefault="005F36E6" w:rsidP="005F36E6">
      <w:pPr>
        <w:spacing w:before="100" w:beforeAutospacing="1" w:after="100" w:afterAutospacing="1"/>
        <w:ind w:left="709" w:right="709"/>
        <w:jc w:val="both"/>
        <w:rPr>
          <w:rFonts w:ascii="Palatino Linotype" w:hAnsi="Palatino Linotype" w:cs="Arial"/>
          <w:i/>
          <w:sz w:val="22"/>
          <w:szCs w:val="22"/>
          <w:lang w:eastAsia="es-MX"/>
        </w:rPr>
      </w:pPr>
      <w:r w:rsidRPr="00770A74">
        <w:rPr>
          <w:rFonts w:ascii="Palatino Linotype" w:hAnsi="Palatino Linotype" w:cs="Arial"/>
          <w:i/>
          <w:sz w:val="22"/>
          <w:szCs w:val="22"/>
          <w:lang w:eastAsia="es-MX"/>
        </w:rPr>
        <w:t>“</w:t>
      </w:r>
      <w:r w:rsidR="00F67706" w:rsidRPr="00770A74">
        <w:rPr>
          <w:rFonts w:ascii="Palatino Linotype" w:hAnsi="Palatino Linotype" w:cs="Arial"/>
          <w:i/>
          <w:sz w:val="22"/>
          <w:szCs w:val="22"/>
          <w:lang w:eastAsia="es-MX"/>
        </w:rPr>
        <w:t>Hola, gracias por su respuesta. De los 23.7 millones de pesos que recibió Operagua en el año 2020 por concepto del PRODDER, solo mencionan dos obras hidráulicas en el año 2021 realizadas con 11.2 millones de pesos en total provenientes de estos recursos. No mencionan nada sobre el ejercicio fiscal 2020 además de que hay una diferencia de 12.5 millones de pesos que no mencionan en cuales obras hidráulicas fueron utilizados. Muchas gracias</w:t>
      </w:r>
      <w:r w:rsidRPr="00770A74">
        <w:rPr>
          <w:rFonts w:ascii="Palatino Linotype" w:hAnsi="Palatino Linotype" w:cs="Arial"/>
          <w:i/>
          <w:sz w:val="22"/>
          <w:szCs w:val="22"/>
          <w:lang w:eastAsia="es-MX"/>
        </w:rPr>
        <w:t>” (Sic)</w:t>
      </w:r>
    </w:p>
    <w:p w14:paraId="493E9137" w14:textId="77777777" w:rsidR="005F36E6" w:rsidRPr="00770A74" w:rsidRDefault="005F36E6" w:rsidP="005F36E6">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i/>
          <w:sz w:val="22"/>
          <w:szCs w:val="22"/>
          <w:lang w:eastAsia="es-MX"/>
        </w:rPr>
      </w:pPr>
      <w:r w:rsidRPr="00770A74">
        <w:rPr>
          <w:rFonts w:ascii="Palatino Linotype" w:hAnsi="Palatino Linotype" w:cs="Arial"/>
          <w:b/>
          <w:sz w:val="28"/>
          <w:szCs w:val="28"/>
        </w:rPr>
        <w:lastRenderedPageBreak/>
        <w:t xml:space="preserve">V. </w:t>
      </w:r>
      <w:r w:rsidRPr="00770A74">
        <w:rPr>
          <w:rFonts w:ascii="Palatino Linotype" w:hAnsi="Palatino Linotype" w:cs="Arial"/>
        </w:rPr>
        <w:t xml:space="preserve">En fecha </w:t>
      </w:r>
      <w:r w:rsidR="00F67706" w:rsidRPr="00770A74">
        <w:rPr>
          <w:rFonts w:ascii="Palatino Linotype" w:hAnsi="Palatino Linotype" w:cs="Arial"/>
        </w:rPr>
        <w:t xml:space="preserve">nueve de julio </w:t>
      </w:r>
      <w:r w:rsidRPr="00770A74">
        <w:rPr>
          <w:rFonts w:ascii="Palatino Linotype" w:hAnsi="Palatino Linotype"/>
        </w:rPr>
        <w:t>de dos mil veintiuno</w:t>
      </w:r>
      <w:r w:rsidRPr="00770A74">
        <w:rPr>
          <w:rFonts w:ascii="Palatino Linotype" w:hAnsi="Palatino Linotype" w:cs="Arial"/>
        </w:rPr>
        <w:t>, el recurso de que se trata se envió electrónicamente al Instituto de Transparencia, Acceso a la Información Pública</w:t>
      </w:r>
      <w:r w:rsidRPr="00770A74">
        <w:rPr>
          <w:rFonts w:ascii="Palatino Linotype" w:hAnsi="Palatino Linotype" w:cs="Arial"/>
          <w:lang w:val="es-ES_tradnl"/>
        </w:rPr>
        <w:t xml:space="preserve"> y </w:t>
      </w:r>
      <w:r w:rsidRPr="00770A74">
        <w:rPr>
          <w:rFonts w:ascii="Palatino Linotype" w:hAnsi="Palatino Linotype" w:cs="Arial"/>
        </w:rPr>
        <w:t>Protección</w:t>
      </w:r>
      <w:r w:rsidRPr="00770A74">
        <w:rPr>
          <w:rFonts w:ascii="Palatino Linotype" w:hAnsi="Palatino Linotype" w:cs="Arial"/>
          <w:lang w:val="es-ES_tradnl"/>
        </w:rPr>
        <w:t xml:space="preserve"> </w:t>
      </w:r>
      <w:r w:rsidRPr="00770A74">
        <w:rPr>
          <w:rFonts w:ascii="Palatino Linotype" w:hAnsi="Palatino Linotype" w:cs="Arial"/>
        </w:rPr>
        <w:t>de</w:t>
      </w:r>
      <w:r w:rsidRPr="00770A74">
        <w:rPr>
          <w:rFonts w:ascii="Palatino Linotype" w:hAnsi="Palatino Linotype" w:cs="Arial"/>
          <w:lang w:val="es-ES_tradnl"/>
        </w:rPr>
        <w:t xml:space="preserve"> </w:t>
      </w:r>
      <w:r w:rsidRPr="00770A74">
        <w:rPr>
          <w:rFonts w:ascii="Palatino Linotype" w:hAnsi="Palatino Linotype"/>
        </w:rPr>
        <w:t>Datos</w:t>
      </w:r>
      <w:r w:rsidRPr="00770A74">
        <w:rPr>
          <w:rFonts w:ascii="Palatino Linotype" w:hAnsi="Palatino Linotype" w:cs="Arial"/>
          <w:lang w:val="es-ES_tradnl"/>
        </w:rPr>
        <w:t xml:space="preserve"> </w:t>
      </w:r>
      <w:r w:rsidRPr="00770A74">
        <w:rPr>
          <w:rFonts w:ascii="Palatino Linotype" w:hAnsi="Palatino Linotype" w:cs="Arial"/>
        </w:rPr>
        <w:t>Personales</w:t>
      </w:r>
      <w:r w:rsidRPr="00770A74">
        <w:rPr>
          <w:rFonts w:ascii="Palatino Linotype" w:hAnsi="Palatino Linotype" w:cs="Arial"/>
          <w:lang w:val="es-ES_tradnl"/>
        </w:rPr>
        <w:t xml:space="preserve"> </w:t>
      </w:r>
      <w:r w:rsidRPr="00770A74">
        <w:rPr>
          <w:rFonts w:ascii="Palatino Linotype" w:hAnsi="Palatino Linotype" w:cs="Arial"/>
        </w:rPr>
        <w:t>del</w:t>
      </w:r>
      <w:r w:rsidRPr="00770A74">
        <w:rPr>
          <w:rFonts w:ascii="Palatino Linotype" w:hAnsi="Palatino Linotype" w:cs="Arial"/>
          <w:lang w:val="es-ES_tradnl"/>
        </w:rPr>
        <w:t xml:space="preserve"> </w:t>
      </w:r>
      <w:r w:rsidRPr="00770A74">
        <w:rPr>
          <w:rFonts w:ascii="Palatino Linotype" w:hAnsi="Palatino Linotype"/>
        </w:rPr>
        <w:t>Estado</w:t>
      </w:r>
      <w:r w:rsidRPr="00770A74">
        <w:rPr>
          <w:rFonts w:ascii="Palatino Linotype" w:hAnsi="Palatino Linotype" w:cs="Arial"/>
          <w:lang w:val="es-ES_tradnl"/>
        </w:rPr>
        <w:t xml:space="preserve"> de México y Municipios y con fundamento en el </w:t>
      </w:r>
      <w:r w:rsidRPr="00770A74">
        <w:rPr>
          <w:rFonts w:ascii="Palatino Linotype" w:hAnsi="Palatino Linotype" w:cs="Arial"/>
        </w:rPr>
        <w:t>artículo</w:t>
      </w:r>
      <w:r w:rsidRPr="00770A74">
        <w:rPr>
          <w:rFonts w:ascii="Palatino Linotype" w:hAnsi="Palatino Linotype" w:cs="Arial"/>
          <w:lang w:val="es-ES_tradnl"/>
        </w:rPr>
        <w:t xml:space="preserve"> 185, </w:t>
      </w:r>
      <w:r w:rsidRPr="00770A74">
        <w:rPr>
          <w:rFonts w:ascii="Palatino Linotype" w:hAnsi="Palatino Linotype" w:cs="Arial"/>
        </w:rPr>
        <w:t>fracción</w:t>
      </w:r>
      <w:r w:rsidRPr="00770A74">
        <w:rPr>
          <w:rFonts w:ascii="Palatino Linotype" w:hAnsi="Palatino Linotype" w:cs="Arial"/>
          <w:lang w:val="es-ES_tradnl"/>
        </w:rPr>
        <w:t xml:space="preserve"> I de la </w:t>
      </w:r>
      <w:r w:rsidRPr="00770A74">
        <w:rPr>
          <w:rFonts w:ascii="Palatino Linotype" w:hAnsi="Palatino Linotype"/>
        </w:rPr>
        <w:t>Ley de Transparencia y Acceso a la Información Pública del Estado de México y Municipios</w:t>
      </w:r>
      <w:r w:rsidRPr="00770A74">
        <w:rPr>
          <w:rFonts w:ascii="Palatino Linotype" w:hAnsi="Palatino Linotype" w:cs="Arial"/>
          <w:lang w:val="es-ES_tradnl"/>
        </w:rPr>
        <w:t>, se turnó, a través del</w:t>
      </w:r>
      <w:r w:rsidRPr="00770A74">
        <w:rPr>
          <w:rFonts w:ascii="Palatino Linotype" w:eastAsia="Arial Unicode MS" w:hAnsi="Palatino Linotype" w:cs="Arial"/>
          <w:lang w:val="es-ES_tradnl"/>
        </w:rPr>
        <w:t xml:space="preserve"> </w:t>
      </w:r>
      <w:r w:rsidRPr="00770A74">
        <w:rPr>
          <w:rFonts w:ascii="Palatino Linotype" w:eastAsia="Arial Unicode MS" w:hAnsi="Palatino Linotype" w:cs="Arial"/>
          <w:b/>
          <w:lang w:val="es-ES_tradnl"/>
        </w:rPr>
        <w:t>SAIMEX</w:t>
      </w:r>
      <w:r w:rsidRPr="00770A74">
        <w:rPr>
          <w:rFonts w:ascii="Palatino Linotype" w:hAnsi="Palatino Linotype"/>
        </w:rPr>
        <w:t xml:space="preserve">, a la </w:t>
      </w:r>
      <w:r w:rsidR="00744586" w:rsidRPr="00770A74">
        <w:rPr>
          <w:rFonts w:ascii="Palatino Linotype" w:hAnsi="Palatino Linotype"/>
        </w:rPr>
        <w:t xml:space="preserve">entonces </w:t>
      </w:r>
      <w:r w:rsidRPr="00770A74">
        <w:rPr>
          <w:rFonts w:ascii="Palatino Linotype" w:hAnsi="Palatino Linotype" w:cs="Arial"/>
          <w:lang w:val="es-ES_tradnl"/>
        </w:rPr>
        <w:t xml:space="preserve">Comisionada </w:t>
      </w:r>
      <w:r w:rsidR="00CC05A8" w:rsidRPr="00770A74">
        <w:rPr>
          <w:rFonts w:ascii="Palatino Linotype" w:hAnsi="Palatino Linotype" w:cs="Arial"/>
          <w:lang w:val="es-ES_tradnl"/>
        </w:rPr>
        <w:t>Eva Abaid Yapur</w:t>
      </w:r>
      <w:r w:rsidRPr="00770A74">
        <w:rPr>
          <w:rFonts w:ascii="Palatino Linotype" w:hAnsi="Palatino Linotype" w:cs="Arial"/>
          <w:lang w:val="es-ES_tradnl"/>
        </w:rPr>
        <w:t>, a efecto de que decretara su admisión o desechamiento.</w:t>
      </w:r>
    </w:p>
    <w:p w14:paraId="0055C1E7" w14:textId="77777777" w:rsidR="005F36E6" w:rsidRPr="00770A74" w:rsidRDefault="005F36E6" w:rsidP="005F36E6">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rPr>
      </w:pPr>
      <w:r w:rsidRPr="00770A74">
        <w:rPr>
          <w:rFonts w:ascii="Palatino Linotype" w:hAnsi="Palatino Linotype" w:cs="Arial"/>
          <w:b/>
          <w:sz w:val="28"/>
          <w:szCs w:val="28"/>
        </w:rPr>
        <w:t>VI.</w:t>
      </w:r>
      <w:r w:rsidRPr="00770A74">
        <w:rPr>
          <w:rFonts w:ascii="Palatino Linotype" w:hAnsi="Palatino Linotype" w:cs="Arial"/>
        </w:rPr>
        <w:t xml:space="preserve"> En fecha </w:t>
      </w:r>
      <w:r w:rsidR="00F67706" w:rsidRPr="00770A74">
        <w:rPr>
          <w:rFonts w:ascii="Palatino Linotype" w:hAnsi="Palatino Linotype" w:cs="Arial"/>
        </w:rPr>
        <w:t xml:space="preserve">catorce de julio </w:t>
      </w:r>
      <w:r w:rsidRPr="00770A74">
        <w:rPr>
          <w:rFonts w:ascii="Palatino Linotype" w:hAnsi="Palatino Linotype" w:cs="Arial"/>
        </w:rPr>
        <w:t xml:space="preserve">de dos mil veintiuno, atento a lo dispuesto en el artículo 185, fracciones I, II y IV, de la </w:t>
      </w:r>
      <w:r w:rsidRPr="00770A74">
        <w:rPr>
          <w:rFonts w:ascii="Palatino Linotype" w:hAnsi="Palatino Linotype"/>
        </w:rPr>
        <w:t xml:space="preserve">Ley de Transparencia y Acceso a la Información Pública del </w:t>
      </w:r>
      <w:r w:rsidRPr="00770A74">
        <w:rPr>
          <w:rFonts w:ascii="Palatino Linotype" w:hAnsi="Palatino Linotype" w:cs="Arial"/>
        </w:rPr>
        <w:t>Estado</w:t>
      </w:r>
      <w:r w:rsidRPr="00770A74">
        <w:rPr>
          <w:rFonts w:ascii="Palatino Linotype" w:hAnsi="Palatino Linotype"/>
        </w:rPr>
        <w:t xml:space="preserve"> de México y </w:t>
      </w:r>
      <w:r w:rsidRPr="00770A74">
        <w:rPr>
          <w:rFonts w:ascii="Palatino Linotype" w:hAnsi="Palatino Linotype" w:cs="Arial"/>
          <w:lang w:val="es-ES_tradnl"/>
        </w:rPr>
        <w:t>Municipios</w:t>
      </w:r>
      <w:r w:rsidRPr="00770A74">
        <w:rPr>
          <w:rFonts w:ascii="Palatino Linotype" w:hAnsi="Palatino Linotype"/>
        </w:rPr>
        <w:t>, se a</w:t>
      </w:r>
      <w:r w:rsidRPr="00770A74">
        <w:rPr>
          <w:rFonts w:ascii="Palatino Linotype" w:hAnsi="Palatino Linotype" w:cs="Arial"/>
        </w:rPr>
        <w:t xml:space="preserve">cordó la admisión a trámite del referido recurso de </w:t>
      </w:r>
      <w:r w:rsidRPr="00770A74">
        <w:rPr>
          <w:rFonts w:ascii="Palatino Linotype" w:hAnsi="Palatino Linotype" w:cs="Arial"/>
          <w:lang w:val="es-ES_tradnl"/>
        </w:rPr>
        <w:t>revisión;</w:t>
      </w:r>
      <w:r w:rsidRPr="00770A74">
        <w:rPr>
          <w:rFonts w:ascii="Palatino Linotype" w:hAnsi="Palatino Linotype" w:cs="Arial"/>
        </w:rPr>
        <w:t xml:space="preserve"> así como, la </w:t>
      </w:r>
      <w:r w:rsidRPr="00770A74">
        <w:rPr>
          <w:rFonts w:ascii="Palatino Linotype" w:hAnsi="Palatino Linotype" w:cs="Arial"/>
          <w:lang w:val="es-ES_tradnl"/>
        </w:rPr>
        <w:t>integración</w:t>
      </w:r>
      <w:r w:rsidRPr="00770A74">
        <w:rPr>
          <w:rFonts w:ascii="Palatino Linotype" w:hAnsi="Palatino Linotype" w:cs="Arial"/>
        </w:rPr>
        <w:t xml:space="preserve"> del expediente respectivo, mismo que se puso a disposición de las partes, para que en el plazo máximo de siete días hábiles, </w:t>
      </w:r>
      <w:r w:rsidRPr="00770A74">
        <w:rPr>
          <w:rFonts w:ascii="Palatino Linotype" w:hAnsi="Palatino Linotype" w:cs="Arial"/>
          <w:b/>
        </w:rPr>
        <w:t>EL RECURRENTE</w:t>
      </w:r>
      <w:r w:rsidRPr="00770A74">
        <w:rPr>
          <w:rFonts w:ascii="Palatino Linotype" w:hAnsi="Palatino Linotype" w:cs="Arial"/>
        </w:rPr>
        <w:t xml:space="preserve"> realizara manifestaciones, alegatos y ofreciera las pruebas que a su derecho </w:t>
      </w:r>
      <w:r w:rsidRPr="00770A74">
        <w:rPr>
          <w:rFonts w:ascii="Palatino Linotype" w:hAnsi="Palatino Linotype" w:cs="Arial"/>
          <w:lang w:val="es-ES_tradnl"/>
        </w:rPr>
        <w:t>conviniera</w:t>
      </w:r>
      <w:r w:rsidRPr="00770A74">
        <w:rPr>
          <w:rFonts w:ascii="Palatino Linotype" w:hAnsi="Palatino Linotype" w:cs="Arial"/>
        </w:rPr>
        <w:t xml:space="preserve"> y, en el caso del</w:t>
      </w:r>
      <w:r w:rsidRPr="00770A74">
        <w:rPr>
          <w:rFonts w:ascii="Palatino Linotype" w:hAnsi="Palatino Linotype" w:cs="Arial"/>
          <w:b/>
        </w:rPr>
        <w:t xml:space="preserve"> SUJETO OBLIGADO</w:t>
      </w:r>
      <w:r w:rsidRPr="00770A74">
        <w:rPr>
          <w:rFonts w:ascii="Palatino Linotype" w:hAnsi="Palatino Linotype" w:cs="Arial"/>
        </w:rPr>
        <w:t>, para que exhibiera el Informe Justificado correspondiente.</w:t>
      </w:r>
    </w:p>
    <w:p w14:paraId="74FC6300" w14:textId="77777777" w:rsidR="005F36E6" w:rsidRPr="00770A74" w:rsidRDefault="005F36E6" w:rsidP="005F36E6">
      <w:pPr>
        <w:pStyle w:val="Prrafodelista"/>
        <w:spacing w:before="240" w:after="240" w:line="360" w:lineRule="auto"/>
        <w:ind w:left="0"/>
        <w:jc w:val="both"/>
        <w:rPr>
          <w:rFonts w:ascii="Palatino Linotype" w:hAnsi="Palatino Linotype" w:cs="Arial"/>
        </w:rPr>
      </w:pPr>
      <w:r w:rsidRPr="00770A74">
        <w:rPr>
          <w:rFonts w:ascii="Palatino Linotype" w:hAnsi="Palatino Linotype" w:cs="Arial"/>
          <w:b/>
          <w:sz w:val="28"/>
          <w:szCs w:val="28"/>
        </w:rPr>
        <w:t>VII.</w:t>
      </w:r>
      <w:r w:rsidRPr="00770A74">
        <w:rPr>
          <w:rFonts w:ascii="Palatino Linotype" w:hAnsi="Palatino Linotype" w:cs="Arial"/>
        </w:rPr>
        <w:t xml:space="preserve"> De las constancias que obran en el </w:t>
      </w:r>
      <w:r w:rsidRPr="00770A74">
        <w:rPr>
          <w:rFonts w:ascii="Palatino Linotype" w:hAnsi="Palatino Linotype" w:cs="Arial"/>
          <w:b/>
        </w:rPr>
        <w:t>SAIMEX</w:t>
      </w:r>
      <w:r w:rsidRPr="00770A74">
        <w:rPr>
          <w:rFonts w:ascii="Palatino Linotype" w:hAnsi="Palatino Linotype" w:cs="Arial"/>
        </w:rPr>
        <w:t xml:space="preserve">, se desprende que </w:t>
      </w:r>
      <w:r w:rsidRPr="00770A74">
        <w:rPr>
          <w:rFonts w:ascii="Palatino Linotype" w:hAnsi="Palatino Linotype" w:cs="Arial"/>
          <w:b/>
        </w:rPr>
        <w:t xml:space="preserve">EL SUJETO OBLIGADO </w:t>
      </w:r>
      <w:r w:rsidRPr="00770A74">
        <w:rPr>
          <w:rFonts w:ascii="Palatino Linotype" w:hAnsi="Palatino Linotype" w:cs="Arial"/>
        </w:rPr>
        <w:t xml:space="preserve">en fecha </w:t>
      </w:r>
      <w:r w:rsidR="00F67706" w:rsidRPr="00770A74">
        <w:rPr>
          <w:rFonts w:ascii="Palatino Linotype" w:hAnsi="Palatino Linotype" w:cs="Arial"/>
        </w:rPr>
        <w:t xml:space="preserve">cinco de agosto de </w:t>
      </w:r>
      <w:r w:rsidRPr="00770A74">
        <w:rPr>
          <w:rFonts w:ascii="Palatino Linotype" w:hAnsi="Palatino Linotype" w:cs="Arial"/>
        </w:rPr>
        <w:t xml:space="preserve">la anualidad, rindió el Informe Justificado </w:t>
      </w:r>
      <w:r w:rsidRPr="00770A74">
        <w:rPr>
          <w:rFonts w:ascii="Palatino Linotype" w:hAnsi="Palatino Linotype" w:cs="Arial"/>
        </w:rPr>
        <w:lastRenderedPageBreak/>
        <w:t xml:space="preserve">correspondiente, mismo que hizo del conocimiento del </w:t>
      </w:r>
      <w:r w:rsidRPr="00770A74">
        <w:rPr>
          <w:rFonts w:ascii="Palatino Linotype" w:hAnsi="Palatino Linotype" w:cs="Arial"/>
          <w:b/>
        </w:rPr>
        <w:t xml:space="preserve">RECURRENTE </w:t>
      </w:r>
      <w:r w:rsidRPr="00770A74">
        <w:rPr>
          <w:rFonts w:ascii="Palatino Linotype" w:hAnsi="Palatino Linotype" w:cs="Arial"/>
        </w:rPr>
        <w:t>en fecha</w:t>
      </w:r>
      <w:r w:rsidR="00F67706" w:rsidRPr="00770A74">
        <w:rPr>
          <w:rFonts w:ascii="Palatino Linotype" w:hAnsi="Palatino Linotype" w:cs="Arial"/>
        </w:rPr>
        <w:t xml:space="preserve"> nueve de agosto </w:t>
      </w:r>
      <w:r w:rsidRPr="00770A74">
        <w:rPr>
          <w:rFonts w:ascii="Palatino Linotype" w:hAnsi="Palatino Linotype" w:cs="Arial"/>
        </w:rPr>
        <w:t>de dos mil veintiuno, mediante el cual indicó lo siguiente:</w:t>
      </w:r>
    </w:p>
    <w:p w14:paraId="116EFE07" w14:textId="77777777" w:rsidR="005F36E6" w:rsidRPr="00770A74" w:rsidRDefault="00F67706" w:rsidP="005F36E6">
      <w:pPr>
        <w:pStyle w:val="Prrafodelista"/>
        <w:spacing w:before="240" w:after="240" w:line="360" w:lineRule="auto"/>
        <w:ind w:left="0"/>
        <w:jc w:val="center"/>
        <w:rPr>
          <w:rFonts w:ascii="Palatino Linotype" w:hAnsi="Palatino Linotype" w:cs="Arial"/>
        </w:rPr>
      </w:pPr>
      <w:r w:rsidRPr="00770A74">
        <w:rPr>
          <w:noProof/>
          <w:lang w:eastAsia="es-MX"/>
        </w:rPr>
        <w:drawing>
          <wp:inline distT="0" distB="0" distL="0" distR="0" wp14:anchorId="5CFD838E" wp14:editId="04ACB9B4">
            <wp:extent cx="5071815" cy="3117850"/>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349" t="16186" r="19198" b="12247"/>
                    <a:stretch/>
                  </pic:blipFill>
                  <pic:spPr bwMode="auto">
                    <a:xfrm>
                      <a:off x="0" y="0"/>
                      <a:ext cx="5076266" cy="3120586"/>
                    </a:xfrm>
                    <a:prstGeom prst="rect">
                      <a:avLst/>
                    </a:prstGeom>
                    <a:ln>
                      <a:noFill/>
                    </a:ln>
                    <a:extLst>
                      <a:ext uri="{53640926-AAD7-44D8-BBD7-CCE9431645EC}">
                        <a14:shadowObscured xmlns:a14="http://schemas.microsoft.com/office/drawing/2010/main"/>
                      </a:ext>
                    </a:extLst>
                  </pic:spPr>
                </pic:pic>
              </a:graphicData>
            </a:graphic>
          </wp:inline>
        </w:drawing>
      </w:r>
    </w:p>
    <w:p w14:paraId="6A13FA2E" w14:textId="77777777" w:rsidR="005F36E6" w:rsidRPr="00770A74" w:rsidRDefault="00F67706" w:rsidP="005F36E6">
      <w:pPr>
        <w:pStyle w:val="Prrafodelista"/>
        <w:spacing w:before="240" w:after="240" w:line="360" w:lineRule="auto"/>
        <w:ind w:left="0"/>
        <w:jc w:val="center"/>
        <w:rPr>
          <w:rFonts w:ascii="Palatino Linotype" w:hAnsi="Palatino Linotype" w:cs="Arial"/>
        </w:rPr>
      </w:pPr>
      <w:r w:rsidRPr="00770A74">
        <w:rPr>
          <w:noProof/>
          <w:lang w:eastAsia="es-MX"/>
        </w:rPr>
        <w:drawing>
          <wp:inline distT="0" distB="0" distL="0" distR="0" wp14:anchorId="715CDD11" wp14:editId="1299DB9A">
            <wp:extent cx="5664200" cy="105069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677" t="33151" r="19308" b="45398"/>
                    <a:stretch/>
                  </pic:blipFill>
                  <pic:spPr bwMode="auto">
                    <a:xfrm>
                      <a:off x="0" y="0"/>
                      <a:ext cx="5671534" cy="1052056"/>
                    </a:xfrm>
                    <a:prstGeom prst="rect">
                      <a:avLst/>
                    </a:prstGeom>
                    <a:ln>
                      <a:noFill/>
                    </a:ln>
                    <a:extLst>
                      <a:ext uri="{53640926-AAD7-44D8-BBD7-CCE9431645EC}">
                        <a14:shadowObscured xmlns:a14="http://schemas.microsoft.com/office/drawing/2010/main"/>
                      </a:ext>
                    </a:extLst>
                  </pic:spPr>
                </pic:pic>
              </a:graphicData>
            </a:graphic>
          </wp:inline>
        </w:drawing>
      </w:r>
    </w:p>
    <w:p w14:paraId="1B7193ED" w14:textId="77777777" w:rsidR="005F36E6" w:rsidRPr="00770A74" w:rsidRDefault="00F67706" w:rsidP="005F36E6">
      <w:pPr>
        <w:pStyle w:val="Prrafodelista"/>
        <w:spacing w:before="240" w:after="240" w:line="360" w:lineRule="auto"/>
        <w:ind w:left="0"/>
        <w:jc w:val="center"/>
        <w:rPr>
          <w:rFonts w:ascii="Palatino Linotype" w:hAnsi="Palatino Linotype" w:cs="Arial"/>
        </w:rPr>
      </w:pPr>
      <w:r w:rsidRPr="00770A74">
        <w:rPr>
          <w:noProof/>
          <w:lang w:eastAsia="es-MX"/>
        </w:rPr>
        <w:lastRenderedPageBreak/>
        <w:drawing>
          <wp:inline distT="0" distB="0" distL="0" distR="0" wp14:anchorId="338A5154" wp14:editId="5C5EC7B3">
            <wp:extent cx="5547678" cy="32956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392" t="20476" r="24241" b="21022"/>
                    <a:stretch/>
                  </pic:blipFill>
                  <pic:spPr bwMode="auto">
                    <a:xfrm>
                      <a:off x="0" y="0"/>
                      <a:ext cx="5553835" cy="3299308"/>
                    </a:xfrm>
                    <a:prstGeom prst="rect">
                      <a:avLst/>
                    </a:prstGeom>
                    <a:ln>
                      <a:noFill/>
                    </a:ln>
                    <a:extLst>
                      <a:ext uri="{53640926-AAD7-44D8-BBD7-CCE9431645EC}">
                        <a14:shadowObscured xmlns:a14="http://schemas.microsoft.com/office/drawing/2010/main"/>
                      </a:ext>
                    </a:extLst>
                  </pic:spPr>
                </pic:pic>
              </a:graphicData>
            </a:graphic>
          </wp:inline>
        </w:drawing>
      </w:r>
    </w:p>
    <w:p w14:paraId="6F449D13" w14:textId="77777777" w:rsidR="005F36E6" w:rsidRPr="00770A74" w:rsidRDefault="00F67706" w:rsidP="005F36E6">
      <w:pPr>
        <w:pStyle w:val="Prrafodelista"/>
        <w:spacing w:before="240" w:after="240" w:line="360" w:lineRule="auto"/>
        <w:ind w:left="0"/>
        <w:jc w:val="center"/>
        <w:rPr>
          <w:rFonts w:ascii="Palatino Linotype" w:hAnsi="Palatino Linotype" w:cs="Arial"/>
        </w:rPr>
      </w:pPr>
      <w:r w:rsidRPr="00770A74">
        <w:rPr>
          <w:noProof/>
          <w:lang w:eastAsia="es-MX"/>
        </w:rPr>
        <w:drawing>
          <wp:inline distT="0" distB="0" distL="0" distR="0" wp14:anchorId="3B20031B" wp14:editId="5623FDEC">
            <wp:extent cx="5418667" cy="2603500"/>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283" t="25352" r="23583" b="26677"/>
                    <a:stretch/>
                  </pic:blipFill>
                  <pic:spPr bwMode="auto">
                    <a:xfrm>
                      <a:off x="0" y="0"/>
                      <a:ext cx="5420939" cy="2604592"/>
                    </a:xfrm>
                    <a:prstGeom prst="rect">
                      <a:avLst/>
                    </a:prstGeom>
                    <a:ln>
                      <a:noFill/>
                    </a:ln>
                    <a:extLst>
                      <a:ext uri="{53640926-AAD7-44D8-BBD7-CCE9431645EC}">
                        <a14:shadowObscured xmlns:a14="http://schemas.microsoft.com/office/drawing/2010/main"/>
                      </a:ext>
                    </a:extLst>
                  </pic:spPr>
                </pic:pic>
              </a:graphicData>
            </a:graphic>
          </wp:inline>
        </w:drawing>
      </w:r>
    </w:p>
    <w:p w14:paraId="364AC1A9" w14:textId="152FDE03" w:rsidR="005F36E6" w:rsidRPr="00770A74" w:rsidRDefault="005F36E6" w:rsidP="005F36E6">
      <w:pPr>
        <w:pStyle w:val="Prrafodelista"/>
        <w:spacing w:before="240" w:after="240" w:line="360" w:lineRule="auto"/>
        <w:ind w:left="0"/>
        <w:jc w:val="both"/>
        <w:rPr>
          <w:rFonts w:ascii="Palatino Linotype" w:hAnsi="Palatino Linotype" w:cs="Arial"/>
        </w:rPr>
      </w:pPr>
      <w:r w:rsidRPr="00770A74">
        <w:rPr>
          <w:rFonts w:ascii="Palatino Linotype" w:hAnsi="Palatino Linotype" w:cs="Arial"/>
        </w:rPr>
        <w:lastRenderedPageBreak/>
        <w:t xml:space="preserve">Por su parte, </w:t>
      </w:r>
      <w:r w:rsidRPr="00770A74">
        <w:rPr>
          <w:rFonts w:ascii="Palatino Linotype" w:hAnsi="Palatino Linotype" w:cs="Arial"/>
          <w:b/>
        </w:rPr>
        <w:t>EL RECURRENTE</w:t>
      </w:r>
      <w:r w:rsidRPr="00770A74">
        <w:rPr>
          <w:rFonts w:ascii="Palatino Linotype" w:hAnsi="Palatino Linotype" w:cs="Arial"/>
        </w:rPr>
        <w:t xml:space="preserve"> fue omiso en realizar manifestación alguna en relación al recurso de revisión y/o al informe justificado que se hiciera de su conocimiento; tal y como se </w:t>
      </w:r>
      <w:r w:rsidR="00AE218A" w:rsidRPr="00770A74">
        <w:rPr>
          <w:rFonts w:ascii="Palatino Linotype" w:hAnsi="Palatino Linotype" w:cs="Arial"/>
        </w:rPr>
        <w:t xml:space="preserve">aprecia </w:t>
      </w:r>
      <w:r w:rsidRPr="00770A74">
        <w:rPr>
          <w:rFonts w:ascii="Palatino Linotype" w:hAnsi="Palatino Linotype" w:cs="Arial"/>
        </w:rPr>
        <w:t>enseguida:</w:t>
      </w:r>
    </w:p>
    <w:p w14:paraId="6CF44FA0" w14:textId="77777777" w:rsidR="005F36E6" w:rsidRPr="00770A74" w:rsidRDefault="00F67706" w:rsidP="005F36E6">
      <w:pPr>
        <w:pStyle w:val="Prrafodelista"/>
        <w:spacing w:before="240" w:after="240" w:line="360" w:lineRule="auto"/>
        <w:ind w:left="0"/>
        <w:jc w:val="center"/>
        <w:rPr>
          <w:rFonts w:ascii="Palatino Linotype" w:hAnsi="Palatino Linotype" w:cs="Arial"/>
        </w:rPr>
      </w:pPr>
      <w:r w:rsidRPr="00770A74">
        <w:rPr>
          <w:noProof/>
          <w:lang w:eastAsia="es-MX"/>
        </w:rPr>
        <w:drawing>
          <wp:inline distT="0" distB="0" distL="0" distR="0" wp14:anchorId="3DD11BC7" wp14:editId="1A23815B">
            <wp:extent cx="5009362" cy="1041400"/>
            <wp:effectExtent l="0" t="0" r="127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249" t="16966" r="21500" b="56318"/>
                    <a:stretch/>
                  </pic:blipFill>
                  <pic:spPr bwMode="auto">
                    <a:xfrm>
                      <a:off x="0" y="0"/>
                      <a:ext cx="5011807" cy="1041908"/>
                    </a:xfrm>
                    <a:prstGeom prst="rect">
                      <a:avLst/>
                    </a:prstGeom>
                    <a:ln>
                      <a:noFill/>
                    </a:ln>
                    <a:extLst>
                      <a:ext uri="{53640926-AAD7-44D8-BBD7-CCE9431645EC}">
                        <a14:shadowObscured xmlns:a14="http://schemas.microsoft.com/office/drawing/2010/main"/>
                      </a:ext>
                    </a:extLst>
                  </pic:spPr>
                </pic:pic>
              </a:graphicData>
            </a:graphic>
          </wp:inline>
        </w:drawing>
      </w:r>
    </w:p>
    <w:bookmarkEnd w:id="0"/>
    <w:bookmarkEnd w:id="1"/>
    <w:p w14:paraId="739FA828" w14:textId="47A47D28" w:rsidR="005F36E6" w:rsidRPr="00770A74" w:rsidRDefault="005F36E6" w:rsidP="005F36E6">
      <w:pPr>
        <w:pStyle w:val="Prrafodelista"/>
        <w:spacing w:before="240" w:after="240" w:line="360" w:lineRule="auto"/>
        <w:ind w:left="0"/>
        <w:jc w:val="both"/>
        <w:rPr>
          <w:rFonts w:ascii="Palatino Linotype" w:hAnsi="Palatino Linotype"/>
        </w:rPr>
      </w:pPr>
      <w:r w:rsidRPr="00770A74">
        <w:rPr>
          <w:rFonts w:ascii="Palatino Linotype" w:hAnsi="Palatino Linotype" w:cs="Arial"/>
          <w:b/>
          <w:sz w:val="28"/>
          <w:szCs w:val="28"/>
        </w:rPr>
        <w:t>VIII.</w:t>
      </w:r>
      <w:r w:rsidRPr="00770A74">
        <w:rPr>
          <w:rFonts w:ascii="Palatino Linotype" w:hAnsi="Palatino Linotype" w:cs="Arial"/>
        </w:rPr>
        <w:t xml:space="preserve"> Una vez </w:t>
      </w:r>
      <w:r w:rsidRPr="00770A74">
        <w:rPr>
          <w:rFonts w:ascii="Palatino Linotype" w:hAnsi="Palatino Linotype" w:cs="Arial"/>
          <w:color w:val="000000" w:themeColor="text1"/>
        </w:rPr>
        <w:t>analizado</w:t>
      </w:r>
      <w:r w:rsidRPr="00770A74">
        <w:rPr>
          <w:rFonts w:ascii="Palatino Linotype" w:hAnsi="Palatino Linotype" w:cs="Arial"/>
        </w:rPr>
        <w:t xml:space="preserve"> el estado procesal que guardaba el expediente, en fecha </w:t>
      </w:r>
      <w:r w:rsidR="00F56914" w:rsidRPr="00770A74">
        <w:rPr>
          <w:rFonts w:ascii="Palatino Linotype" w:hAnsi="Palatino Linotype" w:cs="Arial"/>
        </w:rPr>
        <w:t>trece de agosto de do</w:t>
      </w:r>
      <w:r w:rsidRPr="00770A74">
        <w:rPr>
          <w:rFonts w:ascii="Palatino Linotype" w:hAnsi="Palatino Linotype" w:cs="Arial"/>
        </w:rPr>
        <w:t xml:space="preserve">s mil veintiuno, la </w:t>
      </w:r>
      <w:r w:rsidR="00744586" w:rsidRPr="00770A74">
        <w:rPr>
          <w:rFonts w:ascii="Palatino Linotype" w:hAnsi="Palatino Linotype" w:cs="Arial"/>
        </w:rPr>
        <w:t xml:space="preserve">entonces </w:t>
      </w:r>
      <w:r w:rsidRPr="00770A74">
        <w:rPr>
          <w:rFonts w:ascii="Palatino Linotype" w:hAnsi="Palatino Linotype" w:cs="Arial"/>
        </w:rPr>
        <w:t>Comisionada</w:t>
      </w:r>
      <w:r w:rsidR="008D6E0A" w:rsidRPr="00770A74">
        <w:rPr>
          <w:rFonts w:ascii="Palatino Linotype" w:hAnsi="Palatino Linotype" w:cs="Arial"/>
        </w:rPr>
        <w:t xml:space="preserve"> Eva Abaid Yapur, </w:t>
      </w:r>
      <w:r w:rsidRPr="00770A74">
        <w:rPr>
          <w:rFonts w:ascii="Palatino Linotype" w:hAnsi="Palatino Linotype" w:cs="Arial"/>
        </w:rPr>
        <w:t xml:space="preserve">acordó el cierre de instrucción; así </w:t>
      </w:r>
      <w:r w:rsidRPr="00770A74">
        <w:rPr>
          <w:rFonts w:ascii="Palatino Linotype" w:hAnsi="Palatino Linotype" w:cs="Arial"/>
          <w:lang w:val="es-ES_tradnl"/>
        </w:rPr>
        <w:t>como,</w:t>
      </w:r>
      <w:r w:rsidRPr="00770A74">
        <w:rPr>
          <w:rFonts w:ascii="Palatino Linotype" w:hAnsi="Palatino Linotype" w:cs="Arial"/>
        </w:rPr>
        <w:t xml:space="preserve"> la remisión del mismo a efecto </w:t>
      </w:r>
      <w:r w:rsidRPr="00770A74">
        <w:rPr>
          <w:rFonts w:ascii="Palatino Linotype" w:hAnsi="Palatino Linotype" w:cs="Arial"/>
          <w:lang w:val="es-ES_tradnl"/>
        </w:rPr>
        <w:t>de</w:t>
      </w:r>
      <w:r w:rsidRPr="00770A74">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r w:rsidR="00AE218A" w:rsidRPr="00770A74">
        <w:rPr>
          <w:rFonts w:ascii="Palatino Linotype" w:hAnsi="Palatino Linotype"/>
        </w:rPr>
        <w:t>.</w:t>
      </w:r>
    </w:p>
    <w:p w14:paraId="7F95567F" w14:textId="3CCA12CF" w:rsidR="00AE218A" w:rsidRPr="00770A74" w:rsidRDefault="00AE218A" w:rsidP="005F36E6">
      <w:pPr>
        <w:pStyle w:val="Prrafodelista"/>
        <w:spacing w:before="240" w:after="240" w:line="360" w:lineRule="auto"/>
        <w:ind w:left="0"/>
        <w:jc w:val="both"/>
        <w:rPr>
          <w:rFonts w:ascii="Palatino Linotype" w:hAnsi="Palatino Linotype" w:cs="Arial"/>
        </w:rPr>
      </w:pPr>
      <w:r w:rsidRPr="00770A74">
        <w:rPr>
          <w:rFonts w:ascii="Palatino Linotype" w:hAnsi="Palatino Linotype" w:cs="Arial"/>
          <w:b/>
          <w:sz w:val="28"/>
          <w:szCs w:val="28"/>
        </w:rPr>
        <w:t>IX.</w:t>
      </w:r>
      <w:r w:rsidRPr="00770A74">
        <w:rPr>
          <w:rFonts w:ascii="Palatino Linotype" w:hAnsi="Palatino Linotype"/>
        </w:rPr>
        <w:t xml:space="preserve"> </w:t>
      </w:r>
      <w:r w:rsidRPr="00770A74">
        <w:rPr>
          <w:rFonts w:ascii="Palatino Linotype" w:hAnsi="Palatino Linotype" w:cs="Arial"/>
        </w:rPr>
        <w:t>En fecha veintitrés de agosto del año en curso, mediante Segunda Sesión Extraordinaria del Pleno del Instituto de Transparencia, Acceso a la Información Pública y Protección de Datos Personales del Estado de México y Municipios, se aprobó el returno del recurso de revisión a la Comisionada S</w:t>
      </w:r>
      <w:r w:rsidR="004D647F" w:rsidRPr="00770A74">
        <w:rPr>
          <w:rFonts w:ascii="Palatino Linotype" w:hAnsi="Palatino Linotype" w:cs="Arial"/>
        </w:rPr>
        <w:t>haron Cristina Morales Martínez.</w:t>
      </w:r>
    </w:p>
    <w:p w14:paraId="4F02EA43" w14:textId="77777777" w:rsidR="005F36E6" w:rsidRPr="00770A74" w:rsidRDefault="005F36E6" w:rsidP="005F36E6">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770A74">
        <w:rPr>
          <w:rFonts w:ascii="Palatino Linotype" w:hAnsi="Palatino Linotype"/>
          <w:b/>
          <w:bCs/>
          <w:spacing w:val="60"/>
          <w:sz w:val="28"/>
        </w:rPr>
        <w:t>CONSIDERANDO</w:t>
      </w:r>
    </w:p>
    <w:p w14:paraId="3DE1DD30" w14:textId="77777777" w:rsidR="005F36E6" w:rsidRPr="00770A74" w:rsidRDefault="005F36E6" w:rsidP="005F36E6">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770A74">
        <w:rPr>
          <w:rFonts w:ascii="Palatino Linotype" w:hAnsi="Palatino Linotype"/>
          <w:b/>
          <w:sz w:val="28"/>
          <w:szCs w:val="28"/>
        </w:rPr>
        <w:lastRenderedPageBreak/>
        <w:t>PRIMERO</w:t>
      </w:r>
      <w:r w:rsidRPr="00770A74">
        <w:rPr>
          <w:rFonts w:ascii="Palatino Linotype" w:hAnsi="Palatino Linotype"/>
          <w:b/>
        </w:rPr>
        <w:t>. Competencia</w:t>
      </w:r>
      <w:r w:rsidRPr="00770A74">
        <w:rPr>
          <w:rFonts w:ascii="Palatino Linotype" w:hAnsi="Palatino Linotype"/>
        </w:rPr>
        <w:t>.</w:t>
      </w:r>
      <w:r w:rsidRPr="00770A74">
        <w:rPr>
          <w:rFonts w:ascii="Palatino Linotype" w:hAnsi="Palatino Linotype"/>
          <w:b/>
        </w:rPr>
        <w:t xml:space="preserve"> </w:t>
      </w:r>
      <w:r w:rsidRPr="00770A74">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1CEF53E8" w14:textId="187A2E72" w:rsidR="005F36E6" w:rsidRPr="00770A74" w:rsidRDefault="005F36E6" w:rsidP="005F36E6">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770A74">
        <w:rPr>
          <w:rFonts w:ascii="Palatino Linotype" w:hAnsi="Palatino Linotype"/>
        </w:rPr>
        <w:t>Aunado a lo anterior, este Órgano Garante estima pertinente realizar un pronunciamiento</w:t>
      </w:r>
      <w:r w:rsidR="001F7600" w:rsidRPr="00770A74">
        <w:rPr>
          <w:rFonts w:ascii="Palatino Linotype" w:hAnsi="Palatino Linotype"/>
        </w:rPr>
        <w:t>,</w:t>
      </w:r>
      <w:r w:rsidRPr="00770A74">
        <w:rPr>
          <w:rFonts w:ascii="Palatino Linotype" w:hAnsi="Palatino Linotype"/>
        </w:rPr>
        <w:t xml:space="preserve">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24729A1D" w14:textId="77777777" w:rsidR="005F36E6" w:rsidRPr="00770A74" w:rsidRDefault="005F36E6" w:rsidP="005F36E6">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lang w:val="es-ES_tradnl"/>
        </w:rPr>
      </w:pPr>
      <w:r w:rsidRPr="00770A74">
        <w:rPr>
          <w:rFonts w:ascii="Palatino Linotype" w:hAnsi="Palatino Linotype" w:cs="Arial"/>
          <w:b/>
          <w:sz w:val="28"/>
          <w:szCs w:val="28"/>
        </w:rPr>
        <w:lastRenderedPageBreak/>
        <w:t>SEGUNDO</w:t>
      </w:r>
      <w:r w:rsidRPr="00770A74">
        <w:rPr>
          <w:rFonts w:ascii="Palatino Linotype" w:hAnsi="Palatino Linotype" w:cs="Arial"/>
          <w:b/>
        </w:rPr>
        <w:t>. Interés.</w:t>
      </w:r>
      <w:r w:rsidRPr="00770A74">
        <w:rPr>
          <w:rFonts w:ascii="Palatino Linotype" w:hAnsi="Palatino Linotype" w:cs="Arial"/>
        </w:rPr>
        <w:t xml:space="preserve"> El </w:t>
      </w:r>
      <w:r w:rsidRPr="00770A74">
        <w:rPr>
          <w:rFonts w:ascii="Palatino Linotype" w:hAnsi="Palatino Linotype"/>
        </w:rPr>
        <w:t>recurso</w:t>
      </w:r>
      <w:r w:rsidRPr="00770A74">
        <w:rPr>
          <w:rFonts w:ascii="Palatino Linotype" w:hAnsi="Palatino Linotype" w:cs="Arial"/>
        </w:rPr>
        <w:t xml:space="preserve"> de revisión fue </w:t>
      </w:r>
      <w:r w:rsidRPr="00770A74">
        <w:rPr>
          <w:rFonts w:ascii="Palatino Linotype" w:hAnsi="Palatino Linotype"/>
        </w:rPr>
        <w:t>interpuesto</w:t>
      </w:r>
      <w:r w:rsidRPr="00770A74">
        <w:rPr>
          <w:rFonts w:ascii="Palatino Linotype" w:hAnsi="Palatino Linotype" w:cs="Arial"/>
        </w:rPr>
        <w:t xml:space="preserve"> por parte legítima en atención a que fue </w:t>
      </w:r>
      <w:r w:rsidRPr="00770A74">
        <w:rPr>
          <w:rFonts w:ascii="Palatino Linotype" w:hAnsi="Palatino Linotype"/>
        </w:rPr>
        <w:t>presentado</w:t>
      </w:r>
      <w:r w:rsidRPr="00770A74">
        <w:rPr>
          <w:rFonts w:ascii="Palatino Linotype" w:hAnsi="Palatino Linotype" w:cs="Arial"/>
        </w:rPr>
        <w:t xml:space="preserve"> por </w:t>
      </w:r>
      <w:r w:rsidRPr="00770A74">
        <w:rPr>
          <w:rFonts w:ascii="Palatino Linotype" w:hAnsi="Palatino Linotype" w:cs="Arial"/>
          <w:b/>
        </w:rPr>
        <w:t>EL RECURRENTE</w:t>
      </w:r>
      <w:r w:rsidRPr="00770A74">
        <w:rPr>
          <w:rFonts w:ascii="Palatino Linotype" w:hAnsi="Palatino Linotype" w:cs="Arial"/>
          <w:snapToGrid w:val="0"/>
        </w:rPr>
        <w:t xml:space="preserve">, </w:t>
      </w:r>
      <w:r w:rsidRPr="00770A74">
        <w:rPr>
          <w:rFonts w:ascii="Palatino Linotype" w:hAnsi="Palatino Linotype" w:cs="Arial"/>
        </w:rPr>
        <w:t>quien</w:t>
      </w:r>
      <w:r w:rsidRPr="00770A74">
        <w:rPr>
          <w:rFonts w:ascii="Palatino Linotype" w:hAnsi="Palatino Linotype" w:cs="Arial"/>
          <w:snapToGrid w:val="0"/>
        </w:rPr>
        <w:t xml:space="preserve"> </w:t>
      </w:r>
      <w:r w:rsidRPr="00770A74">
        <w:rPr>
          <w:rFonts w:ascii="Palatino Linotype" w:hAnsi="Palatino Linotype"/>
        </w:rPr>
        <w:t>formuló</w:t>
      </w:r>
      <w:r w:rsidRPr="00770A74">
        <w:rPr>
          <w:rFonts w:ascii="Palatino Linotype" w:hAnsi="Palatino Linotype" w:cs="Arial"/>
          <w:snapToGrid w:val="0"/>
        </w:rPr>
        <w:t xml:space="preserve"> la </w:t>
      </w:r>
      <w:r w:rsidRPr="00770A74">
        <w:rPr>
          <w:rFonts w:ascii="Palatino Linotype" w:hAnsi="Palatino Linotype" w:cs="Arial"/>
        </w:rPr>
        <w:t>solicitud</w:t>
      </w:r>
      <w:r w:rsidRPr="00770A74">
        <w:rPr>
          <w:rFonts w:ascii="Palatino Linotype" w:hAnsi="Palatino Linotype" w:cs="Arial"/>
          <w:snapToGrid w:val="0"/>
        </w:rPr>
        <w:t xml:space="preserve"> de información pública.</w:t>
      </w:r>
    </w:p>
    <w:p w14:paraId="5B8F122A" w14:textId="77777777" w:rsidR="005F36E6" w:rsidRPr="00770A74" w:rsidRDefault="005F36E6" w:rsidP="005F36E6">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770A74">
        <w:rPr>
          <w:rFonts w:ascii="Palatino Linotype" w:hAnsi="Palatino Linotype" w:cs="Arial"/>
          <w:b/>
          <w:sz w:val="28"/>
          <w:szCs w:val="28"/>
        </w:rPr>
        <w:t>TERCERO</w:t>
      </w:r>
      <w:r w:rsidRPr="00770A74">
        <w:rPr>
          <w:rFonts w:ascii="Palatino Linotype" w:hAnsi="Palatino Linotype" w:cs="Arial"/>
          <w:b/>
        </w:rPr>
        <w:t xml:space="preserve">. Oportunidad. </w:t>
      </w:r>
      <w:r w:rsidRPr="00770A74">
        <w:rPr>
          <w:rFonts w:ascii="Palatino Linotype" w:hAnsi="Palatino Linotype" w:cs="Arial"/>
        </w:rPr>
        <w:t xml:space="preserve">El recurso de revisión fue interpuesto dentro del plazo de quince días hábiles, contados a partir del día siguiente al en que </w:t>
      </w:r>
      <w:r w:rsidRPr="00770A74">
        <w:rPr>
          <w:rFonts w:ascii="Palatino Linotype" w:hAnsi="Palatino Linotype" w:cs="Arial"/>
          <w:b/>
        </w:rPr>
        <w:t xml:space="preserve">EL RECURRENTE </w:t>
      </w:r>
      <w:r w:rsidRPr="00770A74">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1AB8C7FA" w14:textId="77777777" w:rsidR="005F36E6" w:rsidRPr="00770A74" w:rsidRDefault="005F36E6" w:rsidP="00266F95">
      <w:pPr>
        <w:ind w:left="720" w:right="709"/>
        <w:jc w:val="both"/>
        <w:rPr>
          <w:rFonts w:ascii="Palatino Linotype" w:hAnsi="Palatino Linotype" w:cs="Arial"/>
          <w:i/>
          <w:sz w:val="22"/>
        </w:rPr>
      </w:pPr>
      <w:r w:rsidRPr="00770A74">
        <w:rPr>
          <w:rFonts w:ascii="Palatino Linotype" w:hAnsi="Palatino Linotype" w:cs="Arial"/>
          <w:i/>
          <w:sz w:val="22"/>
        </w:rPr>
        <w:t>“</w:t>
      </w:r>
      <w:r w:rsidRPr="00770A74">
        <w:rPr>
          <w:rFonts w:ascii="Palatino Linotype" w:hAnsi="Palatino Linotype" w:cs="Arial"/>
          <w:b/>
          <w:i/>
          <w:sz w:val="22"/>
        </w:rPr>
        <w:t>Artículo 178.</w:t>
      </w:r>
      <w:r w:rsidRPr="00770A74">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DFB5B6F" w14:textId="77777777" w:rsidR="00266F95" w:rsidRPr="00770A74" w:rsidRDefault="00266F95" w:rsidP="00266F95">
      <w:pPr>
        <w:ind w:left="720" w:right="709"/>
        <w:jc w:val="both"/>
        <w:rPr>
          <w:rFonts w:ascii="Palatino Linotype" w:hAnsi="Palatino Linotype" w:cs="Arial"/>
          <w:i/>
          <w:sz w:val="22"/>
        </w:rPr>
      </w:pPr>
    </w:p>
    <w:p w14:paraId="3DDC78D1" w14:textId="77777777" w:rsidR="005F36E6" w:rsidRPr="00770A74" w:rsidRDefault="005F36E6" w:rsidP="00266F95">
      <w:pPr>
        <w:ind w:left="720" w:right="709"/>
        <w:jc w:val="both"/>
        <w:rPr>
          <w:rFonts w:ascii="Palatino Linotype" w:hAnsi="Palatino Linotype" w:cs="Arial"/>
          <w:i/>
          <w:sz w:val="22"/>
        </w:rPr>
      </w:pPr>
      <w:r w:rsidRPr="00770A74">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EEF8D69" w14:textId="77777777" w:rsidR="00266F95" w:rsidRPr="00770A74" w:rsidRDefault="00266F95" w:rsidP="00266F95">
      <w:pPr>
        <w:ind w:left="720" w:right="709"/>
        <w:jc w:val="both"/>
        <w:rPr>
          <w:rFonts w:ascii="Palatino Linotype" w:hAnsi="Palatino Linotype" w:cs="Arial"/>
          <w:i/>
          <w:sz w:val="22"/>
        </w:rPr>
      </w:pPr>
    </w:p>
    <w:p w14:paraId="4E13D034" w14:textId="77777777" w:rsidR="005F36E6" w:rsidRPr="00770A74" w:rsidRDefault="005F36E6" w:rsidP="00266F95">
      <w:pPr>
        <w:ind w:left="720" w:right="709"/>
        <w:jc w:val="both"/>
        <w:rPr>
          <w:rFonts w:ascii="Palatino Linotype" w:hAnsi="Palatino Linotype" w:cs="Arial"/>
          <w:i/>
          <w:sz w:val="22"/>
        </w:rPr>
      </w:pPr>
      <w:r w:rsidRPr="00770A74">
        <w:rPr>
          <w:rFonts w:ascii="Palatino Linotype" w:hAnsi="Palatino Linotype" w:cs="Arial"/>
          <w:i/>
          <w:sz w:val="22"/>
        </w:rPr>
        <w:t xml:space="preserve">En el caso de que se interponga ante la Unidad de Transparencia, ésta deberá remitir el recurso de revisión al Instituto a más tardar al día </w:t>
      </w:r>
      <w:r w:rsidRPr="00770A74">
        <w:rPr>
          <w:rFonts w:ascii="Palatino Linotype" w:hAnsi="Palatino Linotype" w:cs="Arial"/>
          <w:i/>
          <w:sz w:val="22"/>
          <w:lang w:eastAsia="es-MX"/>
        </w:rPr>
        <w:t>siguiente</w:t>
      </w:r>
      <w:r w:rsidRPr="00770A74">
        <w:rPr>
          <w:rFonts w:ascii="Palatino Linotype" w:hAnsi="Palatino Linotype" w:cs="Arial"/>
          <w:i/>
          <w:sz w:val="22"/>
        </w:rPr>
        <w:t xml:space="preserve"> de haberlo recibido.”</w:t>
      </w:r>
    </w:p>
    <w:p w14:paraId="69273268" w14:textId="1F77D849" w:rsidR="005F36E6" w:rsidRPr="00770A74" w:rsidRDefault="005F36E6" w:rsidP="005F36E6">
      <w:pPr>
        <w:spacing w:before="240" w:after="100" w:afterAutospacing="1" w:line="360" w:lineRule="auto"/>
        <w:jc w:val="both"/>
        <w:rPr>
          <w:rFonts w:ascii="Palatino Linotype" w:hAnsi="Palatino Linotype"/>
        </w:rPr>
      </w:pPr>
      <w:r w:rsidRPr="00770A74">
        <w:rPr>
          <w:rFonts w:ascii="Palatino Linotype" w:hAnsi="Palatino Linotype" w:cs="Arial"/>
        </w:rPr>
        <w:t xml:space="preserve">En esa tesitura, atendiendo a que </w:t>
      </w:r>
      <w:r w:rsidRPr="00770A74">
        <w:rPr>
          <w:rFonts w:ascii="Palatino Linotype" w:hAnsi="Palatino Linotype" w:cs="Arial"/>
          <w:b/>
        </w:rPr>
        <w:t>EL SUJETO OBLIGADO</w:t>
      </w:r>
      <w:r w:rsidRPr="00770A74">
        <w:rPr>
          <w:rFonts w:ascii="Palatino Linotype" w:hAnsi="Palatino Linotype" w:cs="Arial"/>
        </w:rPr>
        <w:t xml:space="preserve"> notificó la respuesta a la solicitud de acceso a la información pública el día</w:t>
      </w:r>
      <w:r w:rsidR="00F56914" w:rsidRPr="00770A74">
        <w:rPr>
          <w:rFonts w:ascii="Palatino Linotype" w:hAnsi="Palatino Linotype" w:cs="Arial"/>
          <w:b/>
        </w:rPr>
        <w:t xml:space="preserve"> nueve de julio </w:t>
      </w:r>
      <w:r w:rsidRPr="00770A74">
        <w:rPr>
          <w:rFonts w:ascii="Palatino Linotype" w:hAnsi="Palatino Linotype" w:cs="Arial"/>
          <w:b/>
        </w:rPr>
        <w:t>de dos mil veintiuno</w:t>
      </w:r>
      <w:r w:rsidRPr="00770A74">
        <w:rPr>
          <w:rFonts w:ascii="Palatino Linotype" w:hAnsi="Palatino Linotype" w:cs="Arial"/>
        </w:rPr>
        <w:t xml:space="preserve">; </w:t>
      </w:r>
      <w:r w:rsidRPr="00770A74">
        <w:rPr>
          <w:rFonts w:ascii="Palatino Linotype" w:hAnsi="Palatino Linotype" w:cs="Arial"/>
        </w:rPr>
        <w:lastRenderedPageBreak/>
        <w:t>así, el plazo de quince días hábiles que el artículo 178 de la Ley de la materia otorga al hoy</w:t>
      </w:r>
      <w:r w:rsidRPr="00770A74">
        <w:rPr>
          <w:rFonts w:ascii="Palatino Linotype" w:hAnsi="Palatino Linotype" w:cs="Arial"/>
          <w:b/>
        </w:rPr>
        <w:t xml:space="preserve"> RECURRENTE</w:t>
      </w:r>
      <w:r w:rsidRPr="00770A74">
        <w:rPr>
          <w:rFonts w:ascii="Palatino Linotype" w:hAnsi="Palatino Linotype" w:cs="Arial"/>
        </w:rPr>
        <w:t xml:space="preserve"> para presentar el respectivo recurso de revisión, transcurrió del </w:t>
      </w:r>
      <w:r w:rsidR="00F56914" w:rsidRPr="00770A74">
        <w:rPr>
          <w:rFonts w:ascii="Palatino Linotype" w:hAnsi="Palatino Linotype" w:cs="Arial"/>
          <w:b/>
        </w:rPr>
        <w:t xml:space="preserve">doce de julio al trece de agosto de </w:t>
      </w:r>
      <w:r w:rsidRPr="00770A74">
        <w:rPr>
          <w:rFonts w:ascii="Palatino Linotype" w:hAnsi="Palatino Linotype" w:cs="Arial"/>
          <w:b/>
        </w:rPr>
        <w:t xml:space="preserve">dos mil veintiuno, </w:t>
      </w:r>
      <w:r w:rsidRPr="00770A74">
        <w:rPr>
          <w:rFonts w:ascii="Palatino Linotype" w:hAnsi="Palatino Linotype" w:cs="Arial"/>
        </w:rPr>
        <w:t xml:space="preserve">sin contemplar en el cómputo los días </w:t>
      </w:r>
      <w:r w:rsidR="00F56914" w:rsidRPr="00770A74">
        <w:rPr>
          <w:rFonts w:ascii="Palatino Linotype" w:hAnsi="Palatino Linotype" w:cs="Arial"/>
        </w:rPr>
        <w:t>diez, once, diecisiete, dieciocho, veinticuatro, veinticinco y treinta y uno de julio</w:t>
      </w:r>
      <w:r w:rsidR="001F7600" w:rsidRPr="00770A74">
        <w:rPr>
          <w:rFonts w:ascii="Palatino Linotype" w:hAnsi="Palatino Linotype" w:cs="Arial"/>
        </w:rPr>
        <w:t>;</w:t>
      </w:r>
      <w:r w:rsidR="00F56914" w:rsidRPr="00770A74">
        <w:rPr>
          <w:rFonts w:ascii="Palatino Linotype" w:hAnsi="Palatino Linotype" w:cs="Arial"/>
        </w:rPr>
        <w:t xml:space="preserve"> siete y ocho de agosto de la anualidad, </w:t>
      </w:r>
      <w:r w:rsidRPr="00770A74">
        <w:rPr>
          <w:rFonts w:ascii="Palatino Linotype" w:hAnsi="Palatino Linotype" w:cs="Arial"/>
        </w:rPr>
        <w:t xml:space="preserve">por corresponder a sábados y domingos, considerados como días inhábiles, en términos del artículo 3, fracción X de la </w:t>
      </w:r>
      <w:r w:rsidRPr="00770A74">
        <w:rPr>
          <w:rFonts w:ascii="Palatino Linotype" w:hAnsi="Palatino Linotype"/>
        </w:rPr>
        <w:t xml:space="preserve">Ley de Transparencia y Acceso a la Información Pública del Estado de México y Municipios; así como, </w:t>
      </w:r>
      <w:r w:rsidR="00F56914" w:rsidRPr="00770A74">
        <w:rPr>
          <w:rFonts w:ascii="Palatino Linotype" w:hAnsi="Palatino Linotype"/>
        </w:rPr>
        <w:t xml:space="preserve">los días del diecinueve al veintitrés y del veintiséis al treinta de julio del presente año, por corresponder al primer periodo vacacional de </w:t>
      </w:r>
      <w:r w:rsidRPr="00770A74">
        <w:rPr>
          <w:rFonts w:ascii="Palatino Linotype" w:hAnsi="Palatino Linotype"/>
        </w:rPr>
        <w:t xml:space="preserve">conformidad con el Calendario Oficial en Materia de Transparencia, Acceso a la Información Pública y Protección de Datos Personales para el año dos mil veintiuno y enero de dos mil veintidós, aprobado por el Pleno de este Instituto, el dieciséis de diciembre de dos mil veinte. </w:t>
      </w:r>
    </w:p>
    <w:p w14:paraId="1FC59F9E" w14:textId="77777777" w:rsidR="00F56914" w:rsidRPr="00770A74" w:rsidRDefault="00F56914" w:rsidP="00F56914">
      <w:pPr>
        <w:spacing w:before="200" w:after="200" w:line="360" w:lineRule="auto"/>
        <w:jc w:val="both"/>
        <w:rPr>
          <w:rFonts w:ascii="Arial" w:hAnsi="Arial" w:cs="Arial"/>
          <w:lang w:eastAsia="es-MX"/>
        </w:rPr>
      </w:pPr>
      <w:r w:rsidRPr="00770A74">
        <w:rPr>
          <w:rFonts w:ascii="Palatino Linotype" w:hAnsi="Palatino Linotype" w:cs="Arial"/>
          <w:lang w:eastAsia="es-MX"/>
        </w:rPr>
        <w:t xml:space="preserve">En ese tenor, se advierte que </w:t>
      </w:r>
      <w:r w:rsidRPr="00770A74">
        <w:rPr>
          <w:rFonts w:ascii="Palatino Linotype" w:hAnsi="Palatino Linotype" w:cs="Arial"/>
          <w:b/>
          <w:bCs/>
          <w:lang w:eastAsia="es-MX"/>
        </w:rPr>
        <w:t>EL RECURRENTE</w:t>
      </w:r>
      <w:r w:rsidRPr="00770A74">
        <w:rPr>
          <w:rFonts w:ascii="Palatino Linotype" w:hAnsi="Palatino Linotype" w:cs="Arial"/>
          <w:lang w:eastAsia="es-MX"/>
        </w:rPr>
        <w:t xml:space="preserve"> presentó el medio de impugnación al rubro anotado, el mismo día en que se le notificó las respuesta impugnada, es decir, el </w:t>
      </w:r>
      <w:r w:rsidRPr="00770A74">
        <w:rPr>
          <w:rFonts w:ascii="Palatino Linotype" w:hAnsi="Palatino Linotype" w:cs="Arial"/>
          <w:b/>
        </w:rPr>
        <w:t>nueve de julio de dos mil veintiuno</w:t>
      </w:r>
      <w:r w:rsidRPr="00770A74">
        <w:rPr>
          <w:rFonts w:ascii="Palatino Linotype" w:hAnsi="Palatino Linotype" w:cs="Arial"/>
          <w:lang w:eastAsia="es-MX"/>
        </w:rPr>
        <w:t xml:space="preserve">; no obstante lo anterior, ello no implica que su interposición sea extemporánea, es decir, fuera del plazo señalado para tales efectos, en razón de </w:t>
      </w:r>
      <w:r w:rsidRPr="00770A74">
        <w:rPr>
          <w:rFonts w:ascii="Palatino Linotype" w:hAnsi="Palatino Linotype" w:cs="Arial"/>
        </w:rPr>
        <w:t>que</w:t>
      </w:r>
      <w:r w:rsidRPr="00770A74">
        <w:rPr>
          <w:rFonts w:ascii="Palatino Linotype" w:hAnsi="Palatino Linotype" w:cs="Arial"/>
          <w:lang w:eastAsia="es-MX"/>
        </w:rPr>
        <w:t xml:space="preserve"> si </w:t>
      </w:r>
      <w:r w:rsidRPr="00770A74">
        <w:rPr>
          <w:rFonts w:ascii="Palatino Linotype" w:hAnsi="Palatino Linotype" w:cs="Arial"/>
        </w:rPr>
        <w:t>bien</w:t>
      </w:r>
      <w:r w:rsidRPr="00770A74">
        <w:rPr>
          <w:rFonts w:ascii="Palatino Linotype" w:hAnsi="Palatino Linotype" w:cs="Arial"/>
          <w:lang w:eastAsia="es-MX"/>
        </w:rPr>
        <w:t xml:space="preserve"> el artículo 178 de la Ley de </w:t>
      </w:r>
      <w:r w:rsidRPr="00770A74">
        <w:rPr>
          <w:rFonts w:ascii="Palatino Linotype" w:hAnsi="Palatino Linotype" w:cs="Arial"/>
        </w:rPr>
        <w:t>Transparencia</w:t>
      </w:r>
      <w:r w:rsidRPr="00770A74">
        <w:rPr>
          <w:rFonts w:ascii="Palatino Linotype" w:hAnsi="Palatino Linotype" w:cs="Arial"/>
          <w:lang w:eastAsia="es-MX"/>
        </w:rPr>
        <w:t xml:space="preserve"> y Acceso a la Información Pública del Estado de México y Municipios, establece que el recurso de </w:t>
      </w:r>
      <w:r w:rsidRPr="00770A74">
        <w:rPr>
          <w:rFonts w:ascii="Palatino Linotype" w:hAnsi="Palatino Linotype" w:cs="Arial"/>
          <w:lang w:eastAsia="es-MX"/>
        </w:rPr>
        <w:lastRenderedPageBreak/>
        <w:t xml:space="preserve">revisión se ha de promover </w:t>
      </w:r>
      <w:r w:rsidRPr="00770A74">
        <w:rPr>
          <w:rFonts w:ascii="Palatino Linotype" w:hAnsi="Palatino Linotype" w:cs="Arial"/>
          <w:b/>
          <w:u w:val="single"/>
          <w:lang w:eastAsia="es-MX"/>
        </w:rPr>
        <w:t>dentro</w:t>
      </w:r>
      <w:r w:rsidRPr="00770A74">
        <w:rPr>
          <w:rFonts w:ascii="Palatino Linotype" w:hAnsi="Palatino Linotype" w:cs="Arial"/>
          <w:lang w:eastAsia="es-MX"/>
        </w:rPr>
        <w:t xml:space="preserve"> de los quince días hábiles siguientes en que </w:t>
      </w:r>
      <w:r w:rsidRPr="00770A74">
        <w:rPr>
          <w:rFonts w:ascii="Palatino Linotype" w:hAnsi="Palatino Linotype" w:cs="Arial"/>
          <w:b/>
          <w:bCs/>
          <w:lang w:eastAsia="es-MX"/>
        </w:rPr>
        <w:t>EL RECURRENTE</w:t>
      </w:r>
      <w:r w:rsidRPr="00770A74">
        <w:rPr>
          <w:rFonts w:ascii="Palatino Linotype" w:hAnsi="Palatino Linotype" w:cs="Arial"/>
          <w:lang w:eastAsia="es-MX"/>
        </w:rPr>
        <w:t xml:space="preserve"> tenga conocimiento de la respuesta impugnada, no limita a los particulares para que lo puedan presentar </w:t>
      </w:r>
      <w:r w:rsidRPr="00770A74">
        <w:rPr>
          <w:rFonts w:ascii="Palatino Linotype" w:hAnsi="Palatino Linotype" w:cs="Arial"/>
          <w:b/>
          <w:lang w:eastAsia="es-MX"/>
        </w:rPr>
        <w:t>el mismo día</w:t>
      </w:r>
      <w:r w:rsidRPr="00770A74">
        <w:rPr>
          <w:rFonts w:ascii="Palatino Linotype" w:hAnsi="Palatino Linotype" w:cs="Arial"/>
          <w:lang w:eastAsia="es-MX"/>
        </w:rPr>
        <w:t xml:space="preserve"> en que le sea </w:t>
      </w:r>
      <w:r w:rsidRPr="00770A74">
        <w:rPr>
          <w:rFonts w:ascii="Palatino Linotype" w:hAnsi="Palatino Linotype" w:cs="Arial"/>
        </w:rPr>
        <w:t>notificada</w:t>
      </w:r>
      <w:r w:rsidRPr="00770A74">
        <w:rPr>
          <w:rFonts w:ascii="Palatino Linotype" w:hAnsi="Palatino Linotype" w:cs="Arial"/>
          <w:lang w:eastAsia="es-MX"/>
        </w:rPr>
        <w:t xml:space="preserve"> dicha respuesta; esto es, no implica que de presentarse el recurso de revisión el mismo día de su notificación, deba considerarse como extemporáneo.</w:t>
      </w:r>
    </w:p>
    <w:p w14:paraId="7B893016" w14:textId="77777777" w:rsidR="00F56914" w:rsidRPr="00770A74" w:rsidRDefault="00F56914" w:rsidP="00F56914">
      <w:pPr>
        <w:spacing w:before="200" w:after="200" w:line="360" w:lineRule="auto"/>
        <w:jc w:val="both"/>
        <w:rPr>
          <w:rFonts w:ascii="Arial" w:hAnsi="Arial" w:cs="Arial"/>
          <w:lang w:eastAsia="es-MX"/>
        </w:rPr>
      </w:pPr>
      <w:r w:rsidRPr="00770A74">
        <w:rPr>
          <w:rFonts w:ascii="Palatino Linotype" w:hAnsi="Palatino Linotype" w:cs="Arial"/>
          <w:lang w:eastAsia="es-MX"/>
        </w:rPr>
        <w:t xml:space="preserve">En apoyo a lo anterior, </w:t>
      </w:r>
      <w:r w:rsidRPr="00770A74">
        <w:rPr>
          <w:rFonts w:ascii="Palatino Linotype" w:hAnsi="Palatino Linotype" w:cs="Arial"/>
        </w:rPr>
        <w:t>resulta</w:t>
      </w:r>
      <w:r w:rsidRPr="00770A74">
        <w:rPr>
          <w:rFonts w:ascii="Palatino Linotype" w:hAnsi="Palatino Linotype" w:cs="Arial"/>
          <w:lang w:eastAsia="es-MX"/>
        </w:rPr>
        <w:t xml:space="preserve"> aplicable por analogía la Jurisprudencia número 1a./J. 41/2015 (10a.), Décima Época, sustentada por la Primera Sala de la Suprema Corte de Justicia de la Nación, visible en la página 569, libro 19, tomo I, del Semanario Judicial de la Federación y su de la </w:t>
      </w:r>
      <w:r w:rsidRPr="00770A74">
        <w:rPr>
          <w:rFonts w:ascii="Palatino Linotype" w:hAnsi="Palatino Linotype" w:cs="Arial"/>
        </w:rPr>
        <w:t>Gaceta</w:t>
      </w:r>
      <w:r w:rsidRPr="00770A74">
        <w:rPr>
          <w:rFonts w:ascii="Palatino Linotype" w:hAnsi="Palatino Linotype" w:cs="Arial"/>
          <w:lang w:eastAsia="es-MX"/>
        </w:rPr>
        <w:t xml:space="preserve"> de junio de 2015, cuyo rubro y texto esgrimen:</w:t>
      </w:r>
    </w:p>
    <w:p w14:paraId="5906A4F7" w14:textId="77777777" w:rsidR="00F56914" w:rsidRPr="00770A74" w:rsidRDefault="00F56914" w:rsidP="00F56914">
      <w:pPr>
        <w:spacing w:before="120" w:after="120"/>
        <w:ind w:left="709" w:right="709"/>
        <w:jc w:val="both"/>
        <w:rPr>
          <w:rFonts w:ascii="Palatino Linotype" w:hAnsi="Palatino Linotype" w:cs="Arial"/>
          <w:i/>
          <w:iCs/>
          <w:sz w:val="22"/>
          <w:szCs w:val="22"/>
          <w:lang w:eastAsia="es-MX"/>
        </w:rPr>
      </w:pPr>
      <w:r w:rsidRPr="00770A74">
        <w:rPr>
          <w:rFonts w:ascii="Palatino Linotype" w:hAnsi="Palatino Linotype" w:cs="Arial"/>
          <w:i/>
          <w:iCs/>
          <w:sz w:val="22"/>
          <w:szCs w:val="22"/>
          <w:lang w:eastAsia="es-MX"/>
        </w:rPr>
        <w:t>“</w:t>
      </w:r>
      <w:r w:rsidRPr="00770A74">
        <w:rPr>
          <w:rFonts w:ascii="Palatino Linotype" w:hAnsi="Palatino Linotype" w:cs="Arial"/>
          <w:b/>
          <w:bCs/>
          <w:i/>
          <w:iCs/>
          <w:sz w:val="22"/>
          <w:szCs w:val="22"/>
          <w:lang w:eastAsia="es-MX"/>
        </w:rPr>
        <w:t xml:space="preserve">RECURSO DE RECLAMACIÓN. SU INTERPOSICIÓN NO ES EXTEMPORÁNEA SI SE REALIZA ANTES DE QUE INICIE EL PLAZO PARA HACERLO. </w:t>
      </w:r>
      <w:r w:rsidRPr="00770A74">
        <w:rPr>
          <w:rFonts w:ascii="Palatino Linotype" w:hAnsi="Palatino Linotype" w:cs="Arial"/>
          <w:i/>
          <w:iCs/>
          <w:sz w:val="22"/>
          <w:szCs w:val="22"/>
          <w:lang w:eastAsia="es-MX"/>
        </w:rPr>
        <w:t xml:space="preserve">Conforme al artículo 104, párrafo segundo, de la Ley de Amparo, el recurso de reclamación podrá interponerse por cualquiera de las partes, por escrito, dentro del término de tres días siguientes al en </w:t>
      </w:r>
      <w:r w:rsidRPr="00770A74">
        <w:rPr>
          <w:rFonts w:ascii="Palatino Linotype" w:hAnsi="Palatino Linotype" w:cs="Arial"/>
          <w:i/>
          <w:sz w:val="22"/>
          <w:szCs w:val="22"/>
        </w:rPr>
        <w:t>que</w:t>
      </w:r>
      <w:r w:rsidRPr="00770A74">
        <w:rPr>
          <w:rFonts w:ascii="Palatino Linotype" w:hAnsi="Palatino Linotype" w:cs="Arial"/>
          <w:i/>
          <w:iCs/>
          <w:sz w:val="22"/>
          <w:szCs w:val="22"/>
          <w:lang w:eastAsia="es-MX"/>
        </w:rPr>
        <w:t xml:space="preserv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r w:rsidRPr="00770A74">
        <w:rPr>
          <w:rFonts w:ascii="Palatino Linotype" w:hAnsi="Palatino Linotype" w:cs="Arial"/>
          <w:i/>
          <w:sz w:val="22"/>
          <w:szCs w:val="22"/>
        </w:rPr>
        <w:t>que</w:t>
      </w:r>
      <w:r w:rsidRPr="00770A74">
        <w:rPr>
          <w:rFonts w:ascii="Palatino Linotype" w:hAnsi="Palatino Linotype" w:cs="Arial"/>
          <w:i/>
          <w:iCs/>
          <w:sz w:val="22"/>
          <w:szCs w:val="22"/>
          <w:lang w:eastAsia="es-MX"/>
        </w:rPr>
        <w:t xml:space="preserve"> si dicho recurso se interpone antes de que inicie el plazo para hacerlo, su presentación no es extemporánea.</w:t>
      </w:r>
    </w:p>
    <w:p w14:paraId="6EF38400" w14:textId="77777777" w:rsidR="00F56914" w:rsidRPr="00770A74" w:rsidRDefault="00F56914" w:rsidP="00F56914">
      <w:pPr>
        <w:spacing w:before="120" w:after="120"/>
        <w:ind w:left="709" w:right="709"/>
        <w:jc w:val="both"/>
        <w:rPr>
          <w:rFonts w:ascii="Palatino Linotype" w:hAnsi="Palatino Linotype" w:cs="Arial"/>
          <w:i/>
          <w:sz w:val="22"/>
          <w:szCs w:val="22"/>
          <w:lang w:eastAsia="es-MX"/>
        </w:rPr>
      </w:pPr>
      <w:r w:rsidRPr="00770A74">
        <w:rPr>
          <w:rFonts w:ascii="Palatino Linotype" w:hAnsi="Palatino Linotype" w:cs="Arial"/>
          <w:i/>
          <w:sz w:val="22"/>
          <w:szCs w:val="22"/>
          <w:lang w:eastAsia="es-MX"/>
        </w:rPr>
        <w:t xml:space="preserve">Recurso de reclamación 953/2013. 9 de abril de 2014. Cinco votos de los Ministros Arturo Zaldívar </w:t>
      </w:r>
      <w:r w:rsidRPr="00770A74">
        <w:rPr>
          <w:rFonts w:ascii="Palatino Linotype" w:hAnsi="Palatino Linotype"/>
          <w:i/>
          <w:sz w:val="22"/>
          <w:szCs w:val="22"/>
        </w:rPr>
        <w:t>Lelo</w:t>
      </w:r>
      <w:r w:rsidRPr="00770A74">
        <w:rPr>
          <w:rFonts w:ascii="Palatino Linotype" w:hAnsi="Palatino Linotype" w:cs="Arial"/>
          <w:i/>
          <w:sz w:val="22"/>
          <w:szCs w:val="22"/>
          <w:lang w:eastAsia="es-MX"/>
        </w:rPr>
        <w:t xml:space="preserve"> de </w:t>
      </w:r>
      <w:r w:rsidRPr="00770A74">
        <w:rPr>
          <w:rFonts w:ascii="Palatino Linotype" w:hAnsi="Palatino Linotype" w:cs="Arial"/>
          <w:i/>
          <w:sz w:val="22"/>
          <w:szCs w:val="22"/>
        </w:rPr>
        <w:t>Larrea</w:t>
      </w:r>
      <w:r w:rsidRPr="00770A74">
        <w:rPr>
          <w:rFonts w:ascii="Palatino Linotype" w:hAnsi="Palatino Linotype" w:cs="Arial"/>
          <w:i/>
          <w:sz w:val="22"/>
          <w:szCs w:val="22"/>
          <w:lang w:eastAsia="es-MX"/>
        </w:rPr>
        <w:t xml:space="preserve">, José Ramón Cossío Díaz, Alfredo Gutiérrez Ortiz Mena, Olga Sánchez Cordero de García Villegas y Jorge Mario Pardo Rebolledo. Ponente: Arturo Zaldívar Lelo de Larrea. Secretaria: </w:t>
      </w:r>
      <w:r w:rsidRPr="00770A74">
        <w:rPr>
          <w:rFonts w:ascii="Palatino Linotype" w:hAnsi="Palatino Linotype" w:cs="Arial"/>
          <w:i/>
          <w:sz w:val="22"/>
          <w:szCs w:val="22"/>
        </w:rPr>
        <w:t>Carmina</w:t>
      </w:r>
      <w:r w:rsidRPr="00770A74">
        <w:rPr>
          <w:rFonts w:ascii="Palatino Linotype" w:hAnsi="Palatino Linotype" w:cs="Arial"/>
          <w:i/>
          <w:sz w:val="22"/>
          <w:szCs w:val="22"/>
          <w:lang w:eastAsia="es-MX"/>
        </w:rPr>
        <w:t xml:space="preserve"> Cortés Rodríguez.</w:t>
      </w:r>
    </w:p>
    <w:p w14:paraId="0F1BDFE6" w14:textId="77777777" w:rsidR="00F56914" w:rsidRPr="00770A74" w:rsidRDefault="00F56914" w:rsidP="00F56914">
      <w:pPr>
        <w:spacing w:before="120" w:after="120"/>
        <w:ind w:left="709" w:right="709"/>
        <w:jc w:val="both"/>
        <w:rPr>
          <w:rFonts w:ascii="Palatino Linotype" w:hAnsi="Palatino Linotype" w:cs="Arial"/>
          <w:i/>
          <w:sz w:val="22"/>
          <w:szCs w:val="22"/>
          <w:lang w:eastAsia="es-MX"/>
        </w:rPr>
      </w:pPr>
      <w:r w:rsidRPr="00770A74">
        <w:rPr>
          <w:rFonts w:ascii="Palatino Linotype" w:hAnsi="Palatino Linotype" w:cs="Arial"/>
          <w:i/>
          <w:sz w:val="22"/>
          <w:szCs w:val="22"/>
          <w:lang w:eastAsia="es-MX"/>
        </w:rPr>
        <w:t xml:space="preserve">Recurso de </w:t>
      </w:r>
      <w:r w:rsidRPr="00770A74">
        <w:rPr>
          <w:rFonts w:ascii="Palatino Linotype" w:hAnsi="Palatino Linotype" w:cs="Arial"/>
          <w:i/>
          <w:sz w:val="22"/>
          <w:szCs w:val="22"/>
        </w:rPr>
        <w:t>reclamación</w:t>
      </w:r>
      <w:r w:rsidRPr="00770A74">
        <w:rPr>
          <w:rFonts w:ascii="Palatino Linotype" w:hAnsi="Palatino Linotype" w:cs="Arial"/>
          <w:i/>
          <w:sz w:val="22"/>
          <w:szCs w:val="22"/>
          <w:lang w:eastAsia="es-MX"/>
        </w:rPr>
        <w:t xml:space="preserve"> 1067/2014. Raúl Rodríguez Cervantes. 28 de enero de 2015. Cinco votos de los </w:t>
      </w:r>
      <w:r w:rsidRPr="00770A74">
        <w:rPr>
          <w:rFonts w:ascii="Palatino Linotype" w:hAnsi="Palatino Linotype" w:cs="Arial"/>
          <w:i/>
          <w:sz w:val="22"/>
          <w:szCs w:val="22"/>
        </w:rPr>
        <w:t>Ministros</w:t>
      </w:r>
      <w:r w:rsidRPr="00770A74">
        <w:rPr>
          <w:rFonts w:ascii="Palatino Linotype" w:hAnsi="Palatino Linotype" w:cs="Arial"/>
          <w:i/>
          <w:sz w:val="22"/>
          <w:szCs w:val="22"/>
          <w:lang w:eastAsia="es-MX"/>
        </w:rPr>
        <w:t xml:space="preserve"> Arturo Zaldívar Lelo de Larrea, José Ramón Cossío Díaz, </w:t>
      </w:r>
      <w:r w:rsidRPr="00770A74">
        <w:rPr>
          <w:rFonts w:ascii="Palatino Linotype" w:hAnsi="Palatino Linotype" w:cs="Arial"/>
          <w:i/>
          <w:sz w:val="22"/>
          <w:szCs w:val="22"/>
          <w:lang w:eastAsia="es-MX"/>
        </w:rPr>
        <w:lastRenderedPageBreak/>
        <w:t>Jorge Mario Pardo Rebolledo, Olga Sánchez Cordero de García Villegas y Alfredo Gutiérrez Ortiz Mena. Ponente: Alfredo Gutiérrez Ortiz Mena. Secretaria: Cecilia Armengol Alonso.</w:t>
      </w:r>
    </w:p>
    <w:p w14:paraId="3B69439C" w14:textId="77777777" w:rsidR="00F56914" w:rsidRPr="00770A74" w:rsidRDefault="00F56914" w:rsidP="00F56914">
      <w:pPr>
        <w:spacing w:before="120" w:after="120"/>
        <w:ind w:left="709" w:right="709"/>
        <w:jc w:val="both"/>
        <w:rPr>
          <w:rFonts w:ascii="Palatino Linotype" w:hAnsi="Palatino Linotype" w:cs="Arial"/>
          <w:i/>
          <w:sz w:val="22"/>
          <w:szCs w:val="22"/>
          <w:lang w:eastAsia="es-MX"/>
        </w:rPr>
      </w:pPr>
      <w:r w:rsidRPr="00770A74">
        <w:rPr>
          <w:rFonts w:ascii="Palatino Linotype" w:hAnsi="Palatino Linotype" w:cs="Arial"/>
          <w:i/>
          <w:sz w:val="22"/>
          <w:szCs w:val="22"/>
          <w:lang w:eastAsia="es-MX"/>
        </w:rPr>
        <w:t>Recur</w:t>
      </w:r>
      <w:r w:rsidRPr="00770A74">
        <w:rPr>
          <w:rFonts w:ascii="Palatino Linotype" w:hAnsi="Palatino Linotype" w:cs="Arial"/>
          <w:i/>
          <w:sz w:val="22"/>
          <w:szCs w:val="22"/>
        </w:rPr>
        <w:t>s</w:t>
      </w:r>
      <w:r w:rsidRPr="00770A74">
        <w:rPr>
          <w:rFonts w:ascii="Palatino Linotype" w:hAnsi="Palatino Linotype" w:cs="Arial"/>
          <w:i/>
          <w:sz w:val="22"/>
          <w:szCs w:val="22"/>
          <w:lang w:eastAsia="es-MX"/>
        </w:rPr>
        <w:t xml:space="preserve">o de reclamación 895/2014. 18 de febrero de 2015. Cinco votos de los Ministros Arturo Zaldívar Lelo de Larrea, José Ramón Cossío Díaz, Jorge Mario Pardo Rebolledo, Olga Sánchez Cordero de García </w:t>
      </w:r>
      <w:r w:rsidRPr="00770A74">
        <w:rPr>
          <w:rFonts w:ascii="Palatino Linotype" w:hAnsi="Palatino Linotype" w:cs="Arial"/>
          <w:i/>
          <w:sz w:val="22"/>
          <w:szCs w:val="22"/>
        </w:rPr>
        <w:t>Villegas</w:t>
      </w:r>
      <w:r w:rsidRPr="00770A74">
        <w:rPr>
          <w:rFonts w:ascii="Palatino Linotype" w:hAnsi="Palatino Linotype" w:cs="Arial"/>
          <w:i/>
          <w:sz w:val="22"/>
          <w:szCs w:val="22"/>
          <w:lang w:eastAsia="es-MX"/>
        </w:rPr>
        <w:t xml:space="preserve"> y Alfredo Gutiérrez Ortiz Mena. Ponente: José Ramón Cossío Díaz. Secretario: Rodrigo Montes de Oca Arboleya.</w:t>
      </w:r>
    </w:p>
    <w:p w14:paraId="50539555" w14:textId="77777777" w:rsidR="00F56914" w:rsidRPr="00770A74" w:rsidRDefault="00F56914" w:rsidP="00F56914">
      <w:pPr>
        <w:spacing w:before="120" w:after="120"/>
        <w:ind w:left="709" w:right="709"/>
        <w:jc w:val="both"/>
        <w:rPr>
          <w:rFonts w:ascii="Palatino Linotype" w:hAnsi="Palatino Linotype" w:cs="Arial"/>
          <w:i/>
          <w:sz w:val="22"/>
          <w:szCs w:val="22"/>
          <w:lang w:eastAsia="es-MX"/>
        </w:rPr>
      </w:pPr>
      <w:r w:rsidRPr="00770A74">
        <w:rPr>
          <w:rFonts w:ascii="Palatino Linotype" w:hAnsi="Palatino Linotype" w:cs="Arial"/>
          <w:i/>
          <w:sz w:val="22"/>
          <w:szCs w:val="22"/>
          <w:lang w:eastAsia="es-MX"/>
        </w:rPr>
        <w:t xml:space="preserve">Recurso de reclamación 1164/2014. Paula Abascal Valdez. 18 de febrero de 2015. Cinco votos de los </w:t>
      </w:r>
      <w:r w:rsidRPr="00770A74">
        <w:rPr>
          <w:rFonts w:ascii="Palatino Linotype" w:hAnsi="Palatino Linotype" w:cs="Arial"/>
          <w:i/>
          <w:sz w:val="22"/>
          <w:szCs w:val="22"/>
        </w:rPr>
        <w:t>Ministros</w:t>
      </w:r>
      <w:r w:rsidRPr="00770A74">
        <w:rPr>
          <w:rFonts w:ascii="Palatino Linotype" w:hAnsi="Palatino Linotype" w:cs="Arial"/>
          <w:i/>
          <w:sz w:val="22"/>
          <w:szCs w:val="22"/>
          <w:lang w:eastAsia="es-MX"/>
        </w:rPr>
        <w:t xml:space="preserve"> </w:t>
      </w:r>
      <w:r w:rsidRPr="00770A74">
        <w:rPr>
          <w:rFonts w:ascii="Palatino Linotype" w:hAnsi="Palatino Linotype" w:cs="Arial"/>
          <w:i/>
          <w:sz w:val="22"/>
          <w:szCs w:val="22"/>
        </w:rPr>
        <w:t>Arturo</w:t>
      </w:r>
      <w:r w:rsidRPr="00770A74">
        <w:rPr>
          <w:rFonts w:ascii="Palatino Linotype" w:hAnsi="Palatino Linotype" w:cs="Arial"/>
          <w:i/>
          <w:sz w:val="22"/>
          <w:szCs w:val="22"/>
          <w:lang w:eastAsia="es-MX"/>
        </w:rPr>
        <w:t xml:space="preserve"> Zaldívar Lelo de Larrea, José Ramón Cossío Díaz, Jorge Mario Pardo Rebolledo, Olga Sánchez Cordero de García Villegas y Alfredo Gutiérrez Ortiz Mena. Ponente: José Ramón Cossío Díaz. Secretaria: Lorena Goslinga Remírez.</w:t>
      </w:r>
    </w:p>
    <w:p w14:paraId="3194B9AB" w14:textId="77777777" w:rsidR="00F56914" w:rsidRPr="00770A74" w:rsidRDefault="00F56914" w:rsidP="00F56914">
      <w:pPr>
        <w:spacing w:before="120" w:after="120"/>
        <w:ind w:left="709" w:right="709"/>
        <w:jc w:val="both"/>
        <w:rPr>
          <w:rFonts w:ascii="Palatino Linotype" w:hAnsi="Palatino Linotype" w:cs="Arial"/>
          <w:i/>
          <w:sz w:val="22"/>
          <w:szCs w:val="22"/>
          <w:lang w:eastAsia="es-MX"/>
        </w:rPr>
      </w:pPr>
      <w:r w:rsidRPr="00770A74">
        <w:rPr>
          <w:rFonts w:ascii="Palatino Linotype" w:hAnsi="Palatino Linotype" w:cs="Arial"/>
          <w:i/>
          <w:sz w:val="22"/>
          <w:szCs w:val="22"/>
          <w:lang w:eastAsia="es-MX"/>
        </w:rPr>
        <w:t xml:space="preserve">Recurso </w:t>
      </w:r>
      <w:r w:rsidRPr="00770A74">
        <w:rPr>
          <w:rFonts w:ascii="Palatino Linotype" w:hAnsi="Palatino Linotype" w:cs="Arial"/>
          <w:i/>
          <w:sz w:val="22"/>
          <w:szCs w:val="22"/>
        </w:rPr>
        <w:t>de</w:t>
      </w:r>
      <w:r w:rsidRPr="00770A74">
        <w:rPr>
          <w:rFonts w:ascii="Palatino Linotype" w:hAnsi="Palatino Linotype" w:cs="Arial"/>
          <w:i/>
          <w:sz w:val="22"/>
          <w:szCs w:val="22"/>
          <w:lang w:eastAsia="es-MX"/>
        </w:rPr>
        <w:t xml:space="preserve"> reclamación 1231/2014. 18 de marzo de 2015. Cinco votos de los Ministros Arturo Zaldívar Lelo de Larrea, José Ramón Cossío Díaz, Jorge Mario Pardo Rebolledo, Olga Sánchez Cordero de García </w:t>
      </w:r>
      <w:r w:rsidRPr="00770A74">
        <w:rPr>
          <w:rFonts w:ascii="Palatino Linotype" w:hAnsi="Palatino Linotype" w:cs="Arial"/>
          <w:i/>
          <w:sz w:val="22"/>
          <w:szCs w:val="22"/>
        </w:rPr>
        <w:t>Villegas</w:t>
      </w:r>
      <w:r w:rsidRPr="00770A74">
        <w:rPr>
          <w:rFonts w:ascii="Palatino Linotype" w:hAnsi="Palatino Linotype" w:cs="Arial"/>
          <w:i/>
          <w:sz w:val="22"/>
          <w:szCs w:val="22"/>
          <w:lang w:eastAsia="es-MX"/>
        </w:rPr>
        <w:t xml:space="preserve"> y Alfredo Gutiérrez Ortiz Mena. Ponente: Arturo Zaldívar Lelo de Larrea. Secretario: Saúl Armando Patiño Lara.”</w:t>
      </w:r>
    </w:p>
    <w:p w14:paraId="31A39C28" w14:textId="77777777" w:rsidR="005F36E6" w:rsidRPr="00770A74" w:rsidRDefault="005F36E6" w:rsidP="005F36E6">
      <w:pPr>
        <w:spacing w:before="240" w:after="100" w:afterAutospacing="1" w:line="360" w:lineRule="auto"/>
        <w:jc w:val="both"/>
        <w:rPr>
          <w:rFonts w:ascii="Palatino Linotype" w:hAnsi="Palatino Linotype" w:cs="Arial"/>
        </w:rPr>
      </w:pPr>
      <w:r w:rsidRPr="00770A74">
        <w:rPr>
          <w:rFonts w:ascii="Palatino Linotype" w:hAnsi="Palatino Linotype" w:cs="Arial"/>
        </w:rPr>
        <w:t>En ese tenor, si el recurso de revisión que nos ocupa, se interpuso el</w:t>
      </w:r>
      <w:r w:rsidR="00F56914" w:rsidRPr="00770A74">
        <w:rPr>
          <w:rFonts w:ascii="Palatino Linotype" w:hAnsi="Palatino Linotype" w:cs="Arial"/>
          <w:b/>
        </w:rPr>
        <w:t xml:space="preserve"> nueve de julio </w:t>
      </w:r>
      <w:r w:rsidRPr="00770A74">
        <w:rPr>
          <w:rFonts w:ascii="Palatino Linotype" w:hAnsi="Palatino Linotype" w:cs="Arial"/>
          <w:b/>
        </w:rPr>
        <w:t xml:space="preserve">de dos mil veintiuno, </w:t>
      </w:r>
      <w:r w:rsidRPr="00770A74">
        <w:rPr>
          <w:rFonts w:ascii="Palatino Linotype" w:hAnsi="Palatino Linotype" w:cs="Arial"/>
        </w:rPr>
        <w:t>éste se encuentra dentro de los márgenes temporales previstos en el precepto legal citado en el párrafo anterior y, por tanto, su interposición se considera oportuna.</w:t>
      </w:r>
    </w:p>
    <w:p w14:paraId="6CAA657F" w14:textId="24285B62" w:rsidR="005F36E6" w:rsidRPr="00770A74" w:rsidRDefault="005F36E6" w:rsidP="005F36E6">
      <w:pPr>
        <w:tabs>
          <w:tab w:val="left" w:pos="2422"/>
        </w:tabs>
        <w:autoSpaceDE w:val="0"/>
        <w:autoSpaceDN w:val="0"/>
        <w:adjustRightInd w:val="0"/>
        <w:spacing w:before="100" w:beforeAutospacing="1" w:after="100" w:afterAutospacing="1" w:line="360" w:lineRule="auto"/>
        <w:ind w:right="49"/>
        <w:jc w:val="both"/>
        <w:rPr>
          <w:rFonts w:ascii="Palatino Linotype" w:hAnsi="Palatino Linotype"/>
          <w:b/>
          <w:lang w:val="es-ES"/>
        </w:rPr>
      </w:pPr>
      <w:r w:rsidRPr="00770A74">
        <w:rPr>
          <w:rFonts w:ascii="Palatino Linotype" w:hAnsi="Palatino Linotype" w:cs="Arial"/>
          <w:b/>
          <w:sz w:val="28"/>
          <w:szCs w:val="28"/>
          <w:lang w:val="es-ES"/>
        </w:rPr>
        <w:t>CUARTO</w:t>
      </w:r>
      <w:r w:rsidRPr="00770A74">
        <w:rPr>
          <w:rFonts w:ascii="Palatino Linotype" w:hAnsi="Palatino Linotype" w:cs="Arial"/>
          <w:b/>
          <w:lang w:val="es-ES"/>
        </w:rPr>
        <w:t xml:space="preserve">. Procedibilidad. </w:t>
      </w:r>
      <w:r w:rsidRPr="00770A74">
        <w:rPr>
          <w:rFonts w:ascii="Palatino Linotype" w:hAnsi="Palatino Linotype" w:cs="Arial"/>
          <w:szCs w:val="28"/>
        </w:rPr>
        <w:t>Del análisis efectuado, se a</w:t>
      </w:r>
      <w:r w:rsidR="004D647F" w:rsidRPr="00770A74">
        <w:rPr>
          <w:rFonts w:ascii="Palatino Linotype" w:hAnsi="Palatino Linotype" w:cs="Arial"/>
          <w:szCs w:val="28"/>
        </w:rPr>
        <w:t xml:space="preserve">dvierte la procedibilidad del presente recurso </w:t>
      </w:r>
      <w:r w:rsidRPr="00770A74">
        <w:rPr>
          <w:rFonts w:ascii="Palatino Linotype" w:hAnsi="Palatino Linotype" w:cs="Arial"/>
          <w:szCs w:val="28"/>
        </w:rPr>
        <w:t xml:space="preserve">de revisión, en razón de la acreditación plena de todos y cada uno de los elementos formales exigidos por el artículo 180 de la Ley de Transparencia y Acceso a la Información Pública del Estado de México y Municipios, en atención a que fue presentado mediante el formato visible en el </w:t>
      </w:r>
      <w:r w:rsidRPr="00770A74">
        <w:rPr>
          <w:rFonts w:ascii="Palatino Linotype" w:hAnsi="Palatino Linotype" w:cs="Arial"/>
          <w:b/>
          <w:szCs w:val="28"/>
        </w:rPr>
        <w:t>SAIMEX.</w:t>
      </w:r>
    </w:p>
    <w:p w14:paraId="6004B777" w14:textId="3B46852F" w:rsidR="005F36E6" w:rsidRPr="00770A74" w:rsidRDefault="005F36E6" w:rsidP="005F36E6">
      <w:pPr>
        <w:widowControl w:val="0"/>
        <w:autoSpaceDE w:val="0"/>
        <w:autoSpaceDN w:val="0"/>
        <w:adjustRightInd w:val="0"/>
        <w:spacing w:before="100" w:beforeAutospacing="1" w:after="100" w:afterAutospacing="1" w:line="360" w:lineRule="auto"/>
        <w:jc w:val="both"/>
        <w:rPr>
          <w:rFonts w:ascii="Palatino Linotype" w:hAnsi="Palatino Linotype" w:cs="Arial"/>
          <w:color w:val="000000" w:themeColor="text1"/>
        </w:rPr>
      </w:pPr>
      <w:r w:rsidRPr="00770A74">
        <w:rPr>
          <w:rFonts w:ascii="Palatino Linotype" w:hAnsi="Palatino Linotype"/>
          <w:b/>
          <w:bCs/>
          <w:sz w:val="28"/>
        </w:rPr>
        <w:lastRenderedPageBreak/>
        <w:t>QUINTO.</w:t>
      </w:r>
      <w:r w:rsidRPr="00770A74">
        <w:rPr>
          <w:rFonts w:ascii="Palatino Linotype" w:hAnsi="Palatino Linotype"/>
          <w:b/>
          <w:bCs/>
          <w:spacing w:val="60"/>
          <w:sz w:val="28"/>
        </w:rPr>
        <w:t xml:space="preserve"> </w:t>
      </w:r>
      <w:r w:rsidRPr="00770A74">
        <w:rPr>
          <w:rFonts w:ascii="Palatino Linotype" w:hAnsi="Palatino Linotype" w:cs="Arial"/>
          <w:b/>
          <w:color w:val="000000" w:themeColor="text1"/>
          <w:lang w:val="es-ES"/>
        </w:rPr>
        <w:t>Estudio y resolución del asunto.</w:t>
      </w:r>
      <w:r w:rsidRPr="00770A74">
        <w:rPr>
          <w:rFonts w:ascii="Palatino Linotype" w:hAnsi="Palatino Linotype" w:cs="Arial"/>
          <w:color w:val="000000" w:themeColor="text1"/>
          <w:lang w:val="es-ES"/>
        </w:rPr>
        <w:t xml:space="preserve"> </w:t>
      </w:r>
      <w:r w:rsidRPr="00770A74">
        <w:rPr>
          <w:rFonts w:ascii="Palatino Linotype" w:hAnsi="Palatino Linotype" w:cs="Arial"/>
          <w:color w:val="000000" w:themeColor="text1"/>
        </w:rPr>
        <w:t xml:space="preserve">Del análisis efectuado se advierte que el recurso de revisión de que se trata es procedente; toda vez, que se actualiza la hipótesis prevista en la fracción </w:t>
      </w:r>
      <w:r w:rsidR="004D647F" w:rsidRPr="00770A74">
        <w:rPr>
          <w:rFonts w:ascii="Palatino Linotype" w:hAnsi="Palatino Linotype" w:cs="Arial"/>
          <w:color w:val="000000" w:themeColor="text1"/>
        </w:rPr>
        <w:t>V</w:t>
      </w:r>
      <w:r w:rsidRPr="00770A74">
        <w:rPr>
          <w:rFonts w:ascii="Palatino Linotype" w:hAnsi="Palatino Linotype" w:cs="Arial"/>
          <w:color w:val="000000" w:themeColor="text1"/>
        </w:rPr>
        <w:t xml:space="preserve">I del artículo 179 de la Ley de la materia, que a la letra indica: </w:t>
      </w:r>
    </w:p>
    <w:p w14:paraId="2FFF33A9" w14:textId="77777777" w:rsidR="005F36E6" w:rsidRPr="00770A74" w:rsidRDefault="005F36E6" w:rsidP="005F36E6">
      <w:pPr>
        <w:ind w:left="850" w:right="901"/>
        <w:jc w:val="both"/>
        <w:rPr>
          <w:rFonts w:ascii="Palatino Linotype" w:hAnsi="Palatino Linotype" w:cs="Arial"/>
          <w:i/>
          <w:iCs/>
          <w:color w:val="000000" w:themeColor="text1"/>
          <w:sz w:val="22"/>
          <w:szCs w:val="22"/>
        </w:rPr>
      </w:pPr>
      <w:r w:rsidRPr="00770A74">
        <w:rPr>
          <w:rFonts w:ascii="Palatino Linotype" w:hAnsi="Palatino Linotype" w:cs="Arial"/>
          <w:b/>
          <w:bCs/>
          <w:i/>
          <w:iCs/>
          <w:color w:val="000000" w:themeColor="text1"/>
          <w:sz w:val="22"/>
          <w:szCs w:val="22"/>
        </w:rPr>
        <w:t>“Artículo 179.</w:t>
      </w:r>
      <w:r w:rsidRPr="00770A74">
        <w:rPr>
          <w:rFonts w:ascii="Palatino Linotype" w:hAnsi="Palatino Linotype" w:cs="Arial"/>
          <w:i/>
          <w:iCs/>
          <w:color w:val="000000" w:themeColor="text1"/>
          <w:sz w:val="22"/>
          <w:szCs w:val="22"/>
        </w:rPr>
        <w:t xml:space="preserve"> El recurso de revisión es un medio de protección que la Ley otorga a los particulares, para hacer valer su derecho de acceso a la información pública, y procederá en contra de las siguientes causas: </w:t>
      </w:r>
    </w:p>
    <w:p w14:paraId="6C6DB5A8" w14:textId="1DEBC3E3" w:rsidR="005F36E6" w:rsidRPr="00770A74" w:rsidRDefault="00266F95" w:rsidP="005F36E6">
      <w:pPr>
        <w:ind w:left="850" w:right="901"/>
        <w:jc w:val="both"/>
        <w:rPr>
          <w:rFonts w:ascii="Palatino Linotype" w:hAnsi="Palatino Linotype" w:cs="Arial"/>
          <w:b/>
          <w:bCs/>
          <w:i/>
          <w:iCs/>
          <w:color w:val="000000" w:themeColor="text1"/>
          <w:sz w:val="22"/>
          <w:szCs w:val="22"/>
        </w:rPr>
      </w:pPr>
      <w:r w:rsidRPr="00770A74">
        <w:rPr>
          <w:rFonts w:ascii="Palatino Linotype" w:hAnsi="Palatino Linotype" w:cs="Arial"/>
          <w:b/>
          <w:bCs/>
          <w:i/>
          <w:iCs/>
          <w:color w:val="000000" w:themeColor="text1"/>
          <w:sz w:val="22"/>
          <w:szCs w:val="22"/>
        </w:rPr>
        <w:t>…</w:t>
      </w:r>
    </w:p>
    <w:p w14:paraId="47DED103" w14:textId="3EB4F2A8" w:rsidR="005F36E6" w:rsidRPr="00770A74" w:rsidRDefault="00744586" w:rsidP="005F36E6">
      <w:pPr>
        <w:ind w:left="850" w:right="901"/>
        <w:jc w:val="both"/>
        <w:rPr>
          <w:rFonts w:ascii="Palatino Linotype" w:hAnsi="Palatino Linotype" w:cs="Arial"/>
          <w:b/>
          <w:bCs/>
          <w:i/>
          <w:iCs/>
          <w:color w:val="000000" w:themeColor="text1"/>
          <w:sz w:val="22"/>
          <w:szCs w:val="22"/>
        </w:rPr>
      </w:pPr>
      <w:r w:rsidRPr="00770A74">
        <w:rPr>
          <w:rFonts w:ascii="Palatino Linotype" w:hAnsi="Palatino Linotype" w:cs="Arial"/>
          <w:b/>
          <w:bCs/>
          <w:i/>
          <w:iCs/>
          <w:color w:val="000000" w:themeColor="text1"/>
          <w:sz w:val="22"/>
          <w:szCs w:val="22"/>
        </w:rPr>
        <w:t>VI</w:t>
      </w:r>
      <w:r w:rsidR="005F36E6" w:rsidRPr="00770A74">
        <w:rPr>
          <w:rFonts w:ascii="Palatino Linotype" w:hAnsi="Palatino Linotype" w:cs="Arial"/>
          <w:b/>
          <w:bCs/>
          <w:i/>
          <w:iCs/>
          <w:color w:val="000000" w:themeColor="text1"/>
          <w:sz w:val="22"/>
          <w:szCs w:val="22"/>
        </w:rPr>
        <w:t>. La</w:t>
      </w:r>
      <w:r w:rsidRPr="00770A74">
        <w:rPr>
          <w:rFonts w:ascii="Palatino Linotype" w:hAnsi="Palatino Linotype" w:cs="Arial"/>
          <w:b/>
          <w:bCs/>
          <w:i/>
          <w:iCs/>
          <w:color w:val="000000" w:themeColor="text1"/>
          <w:sz w:val="22"/>
          <w:szCs w:val="22"/>
        </w:rPr>
        <w:t xml:space="preserve"> entrega de información que no </w:t>
      </w:r>
      <w:r w:rsidR="001F7600" w:rsidRPr="00770A74">
        <w:rPr>
          <w:rFonts w:ascii="Palatino Linotype" w:hAnsi="Palatino Linotype" w:cs="Arial"/>
          <w:b/>
          <w:bCs/>
          <w:i/>
          <w:iCs/>
          <w:color w:val="000000" w:themeColor="text1"/>
          <w:sz w:val="22"/>
          <w:szCs w:val="22"/>
        </w:rPr>
        <w:t>corresponda con</w:t>
      </w:r>
      <w:r w:rsidRPr="00770A74">
        <w:rPr>
          <w:rFonts w:ascii="Palatino Linotype" w:hAnsi="Palatino Linotype" w:cs="Arial"/>
          <w:b/>
          <w:bCs/>
          <w:i/>
          <w:iCs/>
          <w:color w:val="000000" w:themeColor="text1"/>
          <w:sz w:val="22"/>
          <w:szCs w:val="22"/>
        </w:rPr>
        <w:t xml:space="preserve"> lo solicitado; </w:t>
      </w:r>
    </w:p>
    <w:p w14:paraId="4A0537FB" w14:textId="0B4E4B9F" w:rsidR="005F36E6" w:rsidRPr="00770A74" w:rsidRDefault="00266F95" w:rsidP="005F36E6">
      <w:pPr>
        <w:ind w:left="850" w:right="901"/>
        <w:jc w:val="both"/>
        <w:rPr>
          <w:rFonts w:ascii="Palatino Linotype" w:hAnsi="Palatino Linotype" w:cs="Arial"/>
          <w:b/>
          <w:bCs/>
          <w:i/>
          <w:iCs/>
          <w:color w:val="000000" w:themeColor="text1"/>
          <w:sz w:val="22"/>
          <w:szCs w:val="22"/>
        </w:rPr>
      </w:pPr>
      <w:r w:rsidRPr="00770A74">
        <w:rPr>
          <w:rFonts w:ascii="Palatino Linotype" w:hAnsi="Palatino Linotype" w:cs="Arial"/>
          <w:b/>
          <w:bCs/>
          <w:i/>
          <w:iCs/>
          <w:color w:val="000000" w:themeColor="text1"/>
          <w:sz w:val="22"/>
          <w:szCs w:val="22"/>
        </w:rPr>
        <w:t>…“</w:t>
      </w:r>
    </w:p>
    <w:p w14:paraId="4541747F" w14:textId="77777777" w:rsidR="005F36E6" w:rsidRPr="00770A74" w:rsidRDefault="005F36E6" w:rsidP="005F36E6">
      <w:pPr>
        <w:ind w:left="850" w:right="901"/>
        <w:jc w:val="both"/>
        <w:rPr>
          <w:rFonts w:ascii="Palatino Linotype" w:hAnsi="Palatino Linotype" w:cs="Arial"/>
          <w:i/>
          <w:iCs/>
          <w:color w:val="000000" w:themeColor="text1"/>
          <w:sz w:val="22"/>
          <w:szCs w:val="22"/>
        </w:rPr>
      </w:pPr>
      <w:r w:rsidRPr="00770A74">
        <w:rPr>
          <w:rFonts w:ascii="Palatino Linotype" w:hAnsi="Palatino Linotype" w:cs="Arial"/>
          <w:i/>
          <w:iCs/>
          <w:color w:val="000000" w:themeColor="text1"/>
          <w:sz w:val="22"/>
          <w:szCs w:val="22"/>
        </w:rPr>
        <w:t xml:space="preserve">(Énfasis añadido) </w:t>
      </w:r>
    </w:p>
    <w:p w14:paraId="6EF327F9" w14:textId="77777777" w:rsidR="005F36E6" w:rsidRPr="00770A74" w:rsidRDefault="005F36E6" w:rsidP="00266F95">
      <w:pPr>
        <w:spacing w:before="100" w:beforeAutospacing="1" w:after="100" w:afterAutospacing="1" w:line="360" w:lineRule="auto"/>
        <w:jc w:val="both"/>
        <w:rPr>
          <w:rFonts w:ascii="Palatino Linotype" w:hAnsi="Palatino Linotype" w:cs="Arial"/>
          <w:color w:val="000000" w:themeColor="text1"/>
        </w:rPr>
      </w:pPr>
      <w:r w:rsidRPr="00770A74">
        <w:rPr>
          <w:rFonts w:ascii="Palatino Linotype" w:hAnsi="Palatino Linotype" w:cs="Arial"/>
          <w:color w:val="000000" w:themeColor="text1"/>
        </w:rPr>
        <w:t xml:space="preserve">El precepto legal antes citado, establece como supuesto de procedencia del recurso de revisión, cuando el </w:t>
      </w:r>
      <w:r w:rsidRPr="00770A74">
        <w:rPr>
          <w:rFonts w:ascii="Palatino Linotype" w:hAnsi="Palatino Linotype" w:cs="Arial"/>
          <w:b/>
          <w:bCs/>
          <w:color w:val="000000" w:themeColor="text1"/>
        </w:rPr>
        <w:t>SUJETO OBLIGADO</w:t>
      </w:r>
      <w:r w:rsidR="00744586" w:rsidRPr="00770A74">
        <w:rPr>
          <w:rFonts w:ascii="Palatino Linotype" w:hAnsi="Palatino Linotype" w:cs="Arial"/>
          <w:color w:val="000000" w:themeColor="text1"/>
        </w:rPr>
        <w:t>, hace entrega de información que no corresponde con la solicitada</w:t>
      </w:r>
      <w:r w:rsidRPr="00770A74">
        <w:rPr>
          <w:rFonts w:ascii="Palatino Linotype" w:hAnsi="Palatino Linotype" w:cs="Arial"/>
          <w:color w:val="000000" w:themeColor="text1"/>
        </w:rPr>
        <w:t xml:space="preserve">; tal y como se pudo advertir de las constancias que obran en el expediente electrónico del sistema </w:t>
      </w:r>
      <w:r w:rsidRPr="00770A74">
        <w:rPr>
          <w:rFonts w:ascii="Palatino Linotype" w:hAnsi="Palatino Linotype" w:cs="Arial"/>
          <w:b/>
          <w:color w:val="000000" w:themeColor="text1"/>
        </w:rPr>
        <w:t>SAIMEX</w:t>
      </w:r>
      <w:r w:rsidRPr="00770A74">
        <w:rPr>
          <w:rFonts w:ascii="Palatino Linotype" w:hAnsi="Palatino Linotype" w:cs="Arial"/>
          <w:color w:val="000000" w:themeColor="text1"/>
        </w:rPr>
        <w:t>.</w:t>
      </w:r>
    </w:p>
    <w:p w14:paraId="01517C90" w14:textId="77777777" w:rsidR="00EC42B0" w:rsidRPr="00770A74" w:rsidRDefault="005F36E6" w:rsidP="00266F95">
      <w:pPr>
        <w:spacing w:before="100" w:beforeAutospacing="1" w:after="100" w:afterAutospacing="1" w:line="360" w:lineRule="auto"/>
        <w:jc w:val="both"/>
        <w:rPr>
          <w:rFonts w:ascii="Palatino Linotype" w:hAnsi="Palatino Linotype"/>
        </w:rPr>
      </w:pPr>
      <w:r w:rsidRPr="00770A74">
        <w:rPr>
          <w:rFonts w:ascii="Palatino Linotype" w:hAnsi="Palatino Linotype" w:cs="Arial"/>
        </w:rPr>
        <w:t xml:space="preserve">Ante tal circunstancia, es preciso recordar que </w:t>
      </w:r>
      <w:r w:rsidRPr="00770A74">
        <w:rPr>
          <w:rFonts w:ascii="Palatino Linotype" w:hAnsi="Palatino Linotype" w:cs="Arial"/>
          <w:b/>
        </w:rPr>
        <w:t>EL RECURRENTE</w:t>
      </w:r>
      <w:r w:rsidRPr="00770A74">
        <w:rPr>
          <w:rFonts w:ascii="Palatino Linotype" w:hAnsi="Palatino Linotype" w:cs="Arial"/>
        </w:rPr>
        <w:t xml:space="preserve"> solicitó al </w:t>
      </w:r>
      <w:r w:rsidRPr="00770A74">
        <w:rPr>
          <w:rFonts w:ascii="Palatino Linotype" w:hAnsi="Palatino Linotype" w:cs="Arial"/>
          <w:b/>
          <w:bCs/>
        </w:rPr>
        <w:t>SUJETO OBLIGADO,</w:t>
      </w:r>
      <w:r w:rsidR="00EC42B0" w:rsidRPr="00770A74">
        <w:rPr>
          <w:rFonts w:ascii="Palatino Linotype" w:hAnsi="Palatino Linotype" w:cs="Arial"/>
        </w:rPr>
        <w:t xml:space="preserve"> una lista de cada una de las obras hidráulicas en las que fueron utilizados los fondos provenientes del Programa de Devolución de Derechos (PRODDER) de la CONAGUA, especificando los montos de dinero utilizados en cada una de ellas; fondos que en el ejercicio fiscal de 2020 ascendieron a la cantidad de $23, 740, 111.00 pesos (Veintitrés millones, setecientos cuarenta mil, ciento once pesos 00/100 M.N.), de acuerdo a la respuesta otorgada por </w:t>
      </w:r>
      <w:r w:rsidR="00EC42B0" w:rsidRPr="00770A74">
        <w:rPr>
          <w:rFonts w:ascii="Palatino Linotype" w:hAnsi="Palatino Linotype" w:cs="Arial"/>
          <w:b/>
        </w:rPr>
        <w:t xml:space="preserve">EL SUJETO OBLIGADO </w:t>
      </w:r>
      <w:r w:rsidR="00EC42B0" w:rsidRPr="00770A74">
        <w:rPr>
          <w:rFonts w:ascii="Palatino Linotype" w:hAnsi="Palatino Linotype" w:cs="Arial"/>
        </w:rPr>
        <w:t xml:space="preserve">a la solicitud de </w:t>
      </w:r>
      <w:r w:rsidR="00EC42B0" w:rsidRPr="00770A74">
        <w:rPr>
          <w:rFonts w:ascii="Palatino Linotype" w:hAnsi="Palatino Linotype" w:cs="Arial"/>
        </w:rPr>
        <w:lastRenderedPageBreak/>
        <w:t xml:space="preserve">información </w:t>
      </w:r>
      <w:r w:rsidR="00EC42B0" w:rsidRPr="00770A74">
        <w:rPr>
          <w:rFonts w:ascii="Palatino Linotype" w:hAnsi="Palatino Linotype"/>
          <w:b/>
        </w:rPr>
        <w:t xml:space="preserve">00017/OASCUATIZC/IP/2021, </w:t>
      </w:r>
      <w:r w:rsidR="00EC42B0" w:rsidRPr="00770A74">
        <w:rPr>
          <w:rFonts w:ascii="Palatino Linotype" w:hAnsi="Palatino Linotype"/>
        </w:rPr>
        <w:t>sirviendo de sustento a lo anterior la imagen siguiente:</w:t>
      </w:r>
    </w:p>
    <w:p w14:paraId="2E245297" w14:textId="77777777" w:rsidR="00EC42B0" w:rsidRPr="00770A74" w:rsidRDefault="008D6E0A" w:rsidP="00EC42B0">
      <w:pPr>
        <w:spacing w:before="100" w:beforeAutospacing="1" w:after="100" w:afterAutospacing="1" w:line="360" w:lineRule="auto"/>
        <w:jc w:val="center"/>
        <w:rPr>
          <w:rFonts w:ascii="Palatino Linotype" w:hAnsi="Palatino Linotype" w:cs="Arial"/>
        </w:rPr>
      </w:pPr>
      <w:r w:rsidRPr="00770A74">
        <w:rPr>
          <w:noProof/>
          <w:lang w:eastAsia="es-MX"/>
        </w:rPr>
        <mc:AlternateContent>
          <mc:Choice Requires="wps">
            <w:drawing>
              <wp:anchor distT="0" distB="0" distL="114300" distR="114300" simplePos="0" relativeHeight="251662336" behindDoc="0" locked="0" layoutInCell="1" allowOverlap="1" wp14:anchorId="5F262E4A" wp14:editId="56CAA97E">
                <wp:simplePos x="0" y="0"/>
                <wp:positionH relativeFrom="column">
                  <wp:posOffset>1029156</wp:posOffset>
                </wp:positionH>
                <wp:positionV relativeFrom="paragraph">
                  <wp:posOffset>4341908</wp:posOffset>
                </wp:positionV>
                <wp:extent cx="3809065" cy="431909"/>
                <wp:effectExtent l="19050" t="19050" r="20320" b="25400"/>
                <wp:wrapNone/>
                <wp:docPr id="15" name="Rectángulo 15"/>
                <wp:cNvGraphicFramePr/>
                <a:graphic xmlns:a="http://schemas.openxmlformats.org/drawingml/2006/main">
                  <a:graphicData uri="http://schemas.microsoft.com/office/word/2010/wordprocessingShape">
                    <wps:wsp>
                      <wps:cNvSpPr/>
                      <wps:spPr>
                        <a:xfrm>
                          <a:off x="0" y="0"/>
                          <a:ext cx="3809065" cy="431909"/>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7F0FF27" id="Rectángulo 15" o:spid="_x0000_s1026" style="position:absolute;margin-left:81.05pt;margin-top:341.9pt;width:299.95pt;height: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" filled="f" strokecolor="#1f4d78 [1604]" strokeweight="2.25pt"/>
            </w:pict>
          </mc:Fallback>
        </mc:AlternateContent>
      </w:r>
      <w:r w:rsidRPr="00770A74">
        <w:rPr>
          <w:noProof/>
          <w:lang w:eastAsia="es-MX"/>
        </w:rPr>
        <mc:AlternateContent>
          <mc:Choice Requires="wps">
            <w:drawing>
              <wp:anchor distT="0" distB="0" distL="114300" distR="114300" simplePos="0" relativeHeight="251661312" behindDoc="0" locked="0" layoutInCell="1" allowOverlap="1" wp14:anchorId="37D53418" wp14:editId="093C5716">
                <wp:simplePos x="0" y="0"/>
                <wp:positionH relativeFrom="column">
                  <wp:posOffset>1073481</wp:posOffset>
                </wp:positionH>
                <wp:positionV relativeFrom="paragraph">
                  <wp:posOffset>3674215</wp:posOffset>
                </wp:positionV>
                <wp:extent cx="3825895" cy="347808"/>
                <wp:effectExtent l="19050" t="19050" r="22225" b="14605"/>
                <wp:wrapNone/>
                <wp:docPr id="14" name="Rectángulo 14"/>
                <wp:cNvGraphicFramePr/>
                <a:graphic xmlns:a="http://schemas.openxmlformats.org/drawingml/2006/main">
                  <a:graphicData uri="http://schemas.microsoft.com/office/word/2010/wordprocessingShape">
                    <wps:wsp>
                      <wps:cNvSpPr/>
                      <wps:spPr>
                        <a:xfrm>
                          <a:off x="0" y="0"/>
                          <a:ext cx="3825895" cy="347808"/>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F2C7626" id="Rectángulo 14" o:spid="_x0000_s1026" style="position:absolute;margin-left:84.55pt;margin-top:289.3pt;width:301.25pt;height:27.4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" filled="f" strokecolor="#1f4d78 [1604]" strokeweight="2.25pt"/>
            </w:pict>
          </mc:Fallback>
        </mc:AlternateContent>
      </w:r>
      <w:r w:rsidR="00EC42B0" w:rsidRPr="00770A74">
        <w:rPr>
          <w:noProof/>
          <w:lang w:eastAsia="es-MX"/>
        </w:rPr>
        <w:drawing>
          <wp:inline distT="0" distB="0" distL="0" distR="0" wp14:anchorId="6AE59CB7" wp14:editId="05B9FB64">
            <wp:extent cx="4433069" cy="5267617"/>
            <wp:effectExtent l="0" t="0" r="571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9905" t="15671" r="24639" b="9435"/>
                    <a:stretch/>
                  </pic:blipFill>
                  <pic:spPr bwMode="auto">
                    <a:xfrm>
                      <a:off x="0" y="0"/>
                      <a:ext cx="4445784" cy="5282726"/>
                    </a:xfrm>
                    <a:prstGeom prst="rect">
                      <a:avLst/>
                    </a:prstGeom>
                    <a:ln>
                      <a:noFill/>
                    </a:ln>
                    <a:extLst>
                      <a:ext uri="{53640926-AAD7-44D8-BBD7-CCE9431645EC}">
                        <a14:shadowObscured xmlns:a14="http://schemas.microsoft.com/office/drawing/2010/main"/>
                      </a:ext>
                    </a:extLst>
                  </pic:spPr>
                </pic:pic>
              </a:graphicData>
            </a:graphic>
          </wp:inline>
        </w:drawing>
      </w:r>
    </w:p>
    <w:p w14:paraId="42814020" w14:textId="503B68A2" w:rsidR="00257F76" w:rsidRPr="00770A74" w:rsidRDefault="005F36E6" w:rsidP="005F36E6">
      <w:pPr>
        <w:spacing w:before="100" w:beforeAutospacing="1" w:after="100" w:afterAutospacing="1" w:line="360" w:lineRule="auto"/>
        <w:jc w:val="both"/>
        <w:rPr>
          <w:rFonts w:ascii="Palatino Linotype" w:hAnsi="Palatino Linotype" w:cs="Arial"/>
        </w:rPr>
      </w:pPr>
      <w:r w:rsidRPr="00770A74">
        <w:rPr>
          <w:rFonts w:ascii="Palatino Linotype" w:hAnsi="Palatino Linotype" w:cs="Arial"/>
        </w:rPr>
        <w:lastRenderedPageBreak/>
        <w:t>En respuesta</w:t>
      </w:r>
      <w:r w:rsidR="001F7600" w:rsidRPr="00770A74">
        <w:rPr>
          <w:rFonts w:ascii="Palatino Linotype" w:hAnsi="Palatino Linotype" w:cs="Arial"/>
        </w:rPr>
        <w:t>,</w:t>
      </w:r>
      <w:r w:rsidRPr="00770A74">
        <w:rPr>
          <w:rFonts w:ascii="Palatino Linotype" w:hAnsi="Palatino Linotype" w:cs="Arial"/>
        </w:rPr>
        <w:t xml:space="preserve"> </w:t>
      </w:r>
      <w:r w:rsidRPr="00770A74">
        <w:rPr>
          <w:rFonts w:ascii="Palatino Linotype" w:hAnsi="Palatino Linotype" w:cs="Arial"/>
          <w:b/>
        </w:rPr>
        <w:t xml:space="preserve">EL SUJETO OBLIGADO </w:t>
      </w:r>
      <w:r w:rsidRPr="00770A74">
        <w:rPr>
          <w:rFonts w:ascii="Palatino Linotype" w:hAnsi="Palatino Linotype" w:cs="Arial"/>
        </w:rPr>
        <w:t>informó al solicitante</w:t>
      </w:r>
      <w:r w:rsidR="00257F76" w:rsidRPr="00770A74">
        <w:rPr>
          <w:rFonts w:ascii="Palatino Linotype" w:hAnsi="Palatino Linotype" w:cs="Arial"/>
        </w:rPr>
        <w:t xml:space="preserve"> que la Dirección de Administración y Finanzas a través de la Coordinación de Finanzas </w:t>
      </w:r>
      <w:r w:rsidR="004C5EE0" w:rsidRPr="00770A74">
        <w:rPr>
          <w:rFonts w:ascii="Palatino Linotype" w:hAnsi="Palatino Linotype" w:cs="Arial"/>
        </w:rPr>
        <w:t>le participó</w:t>
      </w:r>
      <w:r w:rsidR="00257F76" w:rsidRPr="00770A74">
        <w:rPr>
          <w:rFonts w:ascii="Palatino Linotype" w:hAnsi="Palatino Linotype" w:cs="Arial"/>
        </w:rPr>
        <w:t xml:space="preserve"> </w:t>
      </w:r>
      <w:r w:rsidR="004C5EE0" w:rsidRPr="00770A74">
        <w:rPr>
          <w:rFonts w:ascii="Palatino Linotype" w:hAnsi="Palatino Linotype" w:cs="Arial"/>
        </w:rPr>
        <w:t xml:space="preserve">que </w:t>
      </w:r>
      <w:r w:rsidR="00257F76" w:rsidRPr="00770A74">
        <w:rPr>
          <w:rFonts w:ascii="Palatino Linotype" w:hAnsi="Palatino Linotype" w:cs="Arial"/>
        </w:rPr>
        <w:t>no contaba con dicha información, toda vez que sin bien es cierto</w:t>
      </w:r>
      <w:r w:rsidR="001F7600" w:rsidRPr="00770A74">
        <w:rPr>
          <w:rFonts w:ascii="Palatino Linotype" w:hAnsi="Palatino Linotype" w:cs="Arial"/>
        </w:rPr>
        <w:t>,</w:t>
      </w:r>
      <w:r w:rsidR="00257F76" w:rsidRPr="00770A74">
        <w:rPr>
          <w:rFonts w:ascii="Palatino Linotype" w:hAnsi="Palatino Linotype" w:cs="Arial"/>
        </w:rPr>
        <w:t xml:space="preserve"> que la Dirección en comento,</w:t>
      </w:r>
      <w:r w:rsidR="004C5EE0" w:rsidRPr="00770A74">
        <w:rPr>
          <w:rFonts w:ascii="Palatino Linotype" w:hAnsi="Palatino Linotype" w:cs="Arial"/>
        </w:rPr>
        <w:t xml:space="preserve"> a través de la </w:t>
      </w:r>
      <w:r w:rsidR="00257F76" w:rsidRPr="00770A74">
        <w:rPr>
          <w:rFonts w:ascii="Palatino Linotype" w:hAnsi="Palatino Linotype" w:cs="Arial"/>
        </w:rPr>
        <w:t>Coordinación de Finanzas programa, provisiona y realiza los pagos solicitados, es la Dirección de Construcción y Operación Hidráulica quien lleva a cabo la programación de las obras hidráulicas, el control presupuestal de estas y quien revisa, aprueba y solicita el pago de las estimaciones, aunado a que el programa federal PRODDER es coordinado por el Departamento de Ejecución de Proyectos adscrito a la ya mencionada Dirección de Construcción; por lo tanto, corresponde a la misma el resguardo y manejo de la información solicitada y no a la Coordinación de Finanzas.</w:t>
      </w:r>
    </w:p>
    <w:p w14:paraId="7385E5B9" w14:textId="77777777" w:rsidR="00257F76" w:rsidRPr="00770A74" w:rsidRDefault="00257F76" w:rsidP="00257F76">
      <w:pPr>
        <w:spacing w:before="100" w:beforeAutospacing="1" w:after="100" w:afterAutospacing="1" w:line="360" w:lineRule="auto"/>
        <w:jc w:val="both"/>
        <w:rPr>
          <w:rFonts w:ascii="Palatino Linotype" w:hAnsi="Palatino Linotype" w:cs="Arial"/>
        </w:rPr>
      </w:pPr>
      <w:r w:rsidRPr="00770A74">
        <w:rPr>
          <w:rFonts w:ascii="Palatino Linotype" w:hAnsi="Palatino Linotype" w:cs="Arial"/>
        </w:rPr>
        <w:t xml:space="preserve">Por otra parte, la Dirección de Construcción y Operación Hidráulica manifestó haber realizado tareas en conjunto con la coordinación de Ejecución de Proyectos, encontrando que, con los fondos del ejercicio fiscal de </w:t>
      </w:r>
      <w:r w:rsidRPr="00770A74">
        <w:rPr>
          <w:rFonts w:ascii="Palatino Linotype" w:hAnsi="Palatino Linotype" w:cs="Arial"/>
          <w:b/>
        </w:rPr>
        <w:t xml:space="preserve">2021, </w:t>
      </w:r>
      <w:r w:rsidRPr="00770A74">
        <w:rPr>
          <w:rFonts w:ascii="Palatino Linotype" w:hAnsi="Palatino Linotype" w:cs="Arial"/>
        </w:rPr>
        <w:t>se realizaron dos obras consistentes en:</w:t>
      </w:r>
    </w:p>
    <w:p w14:paraId="72CAE77C" w14:textId="77777777" w:rsidR="00257F76" w:rsidRPr="00770A74" w:rsidRDefault="00257F76" w:rsidP="00257F76">
      <w:pPr>
        <w:pStyle w:val="Prrafodelista"/>
        <w:numPr>
          <w:ilvl w:val="0"/>
          <w:numId w:val="2"/>
        </w:numPr>
        <w:spacing w:before="100" w:beforeAutospacing="1" w:after="100" w:afterAutospacing="1" w:line="360" w:lineRule="auto"/>
        <w:jc w:val="both"/>
        <w:rPr>
          <w:rFonts w:ascii="Palatino Linotype" w:hAnsi="Palatino Linotype" w:cs="Arial"/>
        </w:rPr>
      </w:pPr>
      <w:r w:rsidRPr="00770A74">
        <w:rPr>
          <w:rFonts w:ascii="Palatino Linotype" w:hAnsi="Palatino Linotype" w:cs="Arial"/>
        </w:rPr>
        <w:t xml:space="preserve">Rehabilitación de la planta de bombeo denominada “Sistema Booster”, con una inversión total de $4,134,015.61; y, </w:t>
      </w:r>
    </w:p>
    <w:p w14:paraId="6D1F74DC" w14:textId="77777777" w:rsidR="00257F76" w:rsidRPr="00770A74" w:rsidRDefault="00257F76" w:rsidP="00257F76">
      <w:pPr>
        <w:pStyle w:val="Prrafodelista"/>
        <w:numPr>
          <w:ilvl w:val="0"/>
          <w:numId w:val="2"/>
        </w:numPr>
        <w:spacing w:before="100" w:beforeAutospacing="1" w:after="100" w:afterAutospacing="1" w:line="360" w:lineRule="auto"/>
        <w:jc w:val="both"/>
        <w:rPr>
          <w:rFonts w:ascii="Palatino Linotype" w:hAnsi="Palatino Linotype" w:cs="Arial"/>
        </w:rPr>
      </w:pPr>
      <w:r w:rsidRPr="00770A74">
        <w:rPr>
          <w:rFonts w:ascii="Palatino Linotype" w:hAnsi="Palatino Linotype" w:cs="Arial"/>
        </w:rPr>
        <w:t>Rehabilitación o Sustitución de equipo electromecánico para pozos de agua potable, con una inversión total de $7, 111,361.71.</w:t>
      </w:r>
    </w:p>
    <w:p w14:paraId="6AD2FCA7" w14:textId="77777777" w:rsidR="00257F76" w:rsidRPr="00770A74" w:rsidRDefault="00867C3E" w:rsidP="00257F76">
      <w:pPr>
        <w:spacing w:before="100" w:beforeAutospacing="1" w:after="100" w:afterAutospacing="1" w:line="360" w:lineRule="auto"/>
        <w:jc w:val="both"/>
        <w:rPr>
          <w:rFonts w:ascii="Palatino Linotype" w:hAnsi="Palatino Linotype" w:cs="Arial"/>
        </w:rPr>
      </w:pPr>
      <w:r w:rsidRPr="00770A74">
        <w:rPr>
          <w:rFonts w:ascii="Palatino Linotype" w:hAnsi="Palatino Linotype" w:cs="Arial"/>
        </w:rPr>
        <w:lastRenderedPageBreak/>
        <w:t xml:space="preserve">Inconforme con dicha respuesta el particular interpuso el presente medio de impugnación, mediante el cual se dolió medularmente de que el recurso referido en la solicitud corresponde al ejercicio fiscal de 2020 y en la respuesta únicamente se refirieron obras llevadas a cabo en el símil 2021; agregando que, existe una diferencia presupuestal entre lo recibido para ejercer en obras hidráulicas y lo justificado con la realización de dos obras por una cantidad de once punto dos millones de pesos de los que </w:t>
      </w:r>
      <w:r w:rsidRPr="00770A74">
        <w:rPr>
          <w:rFonts w:ascii="Palatino Linotype" w:hAnsi="Palatino Linotype" w:cs="Arial"/>
          <w:b/>
        </w:rPr>
        <w:t xml:space="preserve">EL SUJETO OBLIGADO </w:t>
      </w:r>
      <w:r w:rsidRPr="00770A74">
        <w:rPr>
          <w:rFonts w:ascii="Palatino Linotype" w:hAnsi="Palatino Linotype" w:cs="Arial"/>
        </w:rPr>
        <w:t>no menciona en que obras fueron utilizados.</w:t>
      </w:r>
    </w:p>
    <w:p w14:paraId="3B337FB0" w14:textId="289C9A6A" w:rsidR="00867C3E" w:rsidRPr="00770A74" w:rsidRDefault="005F36E6" w:rsidP="005F36E6">
      <w:pPr>
        <w:spacing w:before="100" w:beforeAutospacing="1" w:after="100" w:afterAutospacing="1" w:line="360" w:lineRule="auto"/>
        <w:jc w:val="both"/>
        <w:rPr>
          <w:rFonts w:ascii="Palatino Linotype" w:hAnsi="Palatino Linotype" w:cs="Arial"/>
        </w:rPr>
      </w:pPr>
      <w:r w:rsidRPr="00770A74">
        <w:rPr>
          <w:rFonts w:ascii="Palatino Linotype" w:hAnsi="Palatino Linotype" w:cs="Arial"/>
        </w:rPr>
        <w:t xml:space="preserve">Debiendo destacar en este punto que, </w:t>
      </w:r>
      <w:r w:rsidRPr="00770A74">
        <w:rPr>
          <w:rFonts w:ascii="Palatino Linotype" w:hAnsi="Palatino Linotype" w:cs="Arial"/>
          <w:b/>
        </w:rPr>
        <w:t xml:space="preserve">EL SUJETO OBLIGADO </w:t>
      </w:r>
      <w:r w:rsidRPr="00770A74">
        <w:rPr>
          <w:rFonts w:ascii="Palatino Linotype" w:hAnsi="Palatino Linotype" w:cs="Arial"/>
        </w:rPr>
        <w:t xml:space="preserve">mediante Informe Justificado </w:t>
      </w:r>
      <w:r w:rsidR="00867C3E" w:rsidRPr="00770A74">
        <w:rPr>
          <w:rFonts w:ascii="Palatino Linotype" w:hAnsi="Palatino Linotype" w:cs="Arial"/>
        </w:rPr>
        <w:t xml:space="preserve">realizó la precisión de que por un error meramente humano se indicó que las obras listadas correspondían a la presente anualidad; sin embargo, </w:t>
      </w:r>
      <w:r w:rsidR="004C5EE0" w:rsidRPr="00770A74">
        <w:rPr>
          <w:rFonts w:ascii="Palatino Linotype" w:hAnsi="Palatino Linotype" w:cs="Arial"/>
        </w:rPr>
        <w:t>indicó que l</w:t>
      </w:r>
      <w:r w:rsidR="00867C3E" w:rsidRPr="00770A74">
        <w:rPr>
          <w:rFonts w:ascii="Palatino Linotype" w:hAnsi="Palatino Linotype" w:cs="Arial"/>
        </w:rPr>
        <w:t xml:space="preserve">as obras hidráulicas listadas corresponden al ejercicio solicitado, es decir, al año 2020, agregando que la diferencia presupuestal referida por el hoy </w:t>
      </w:r>
      <w:r w:rsidR="00867C3E" w:rsidRPr="00770A74">
        <w:rPr>
          <w:rFonts w:ascii="Palatino Linotype" w:hAnsi="Palatino Linotype" w:cs="Arial"/>
          <w:b/>
        </w:rPr>
        <w:t xml:space="preserve">RECURRENTE </w:t>
      </w:r>
      <w:r w:rsidR="00867C3E" w:rsidRPr="00770A74">
        <w:rPr>
          <w:rFonts w:ascii="Palatino Linotype" w:hAnsi="Palatino Linotype" w:cs="Arial"/>
        </w:rPr>
        <w:t>en sus razo</w:t>
      </w:r>
      <w:r w:rsidR="005209B5" w:rsidRPr="00770A74">
        <w:rPr>
          <w:rFonts w:ascii="Palatino Linotype" w:hAnsi="Palatino Linotype" w:cs="Arial"/>
        </w:rPr>
        <w:t xml:space="preserve">nes o motivos de inconformidad no fue lo originalmente solicitado por el particular; sin embargo, refirió que el monto no ejercido en obras hidráulicas </w:t>
      </w:r>
      <w:r w:rsidR="00A70442" w:rsidRPr="00770A74">
        <w:rPr>
          <w:rFonts w:ascii="Palatino Linotype" w:hAnsi="Palatino Linotype" w:cs="Arial"/>
        </w:rPr>
        <w:t>se basó en los Lineamientos marcados por el Programa de Devolución de Derechos (PRODDER).</w:t>
      </w:r>
    </w:p>
    <w:p w14:paraId="41B667DE" w14:textId="1AB290B4" w:rsidR="00A70442" w:rsidRPr="00770A74" w:rsidRDefault="00A70442" w:rsidP="00A70442">
      <w:pPr>
        <w:spacing w:before="100" w:beforeAutospacing="1" w:after="100" w:afterAutospacing="1" w:line="360" w:lineRule="auto"/>
        <w:jc w:val="both"/>
        <w:rPr>
          <w:rFonts w:ascii="Palatino Linotype" w:hAnsi="Palatino Linotype"/>
        </w:rPr>
      </w:pPr>
      <w:r w:rsidRPr="00770A74">
        <w:rPr>
          <w:rFonts w:ascii="Palatino Linotype" w:eastAsia="Calibri" w:hAnsi="Palatino Linotype" w:cs="Arial"/>
        </w:rPr>
        <w:t xml:space="preserve">En primer lugar, conviene señalar que el particular fue puntual en indicar que solicitaba el listado de obras hidráulicas realizadas con los fondos otorgados a través del programa PRODDER en el ejercicio fiscal de 2020; por lo que, una vez subsanado </w:t>
      </w:r>
      <w:r w:rsidRPr="00770A74">
        <w:rPr>
          <w:rFonts w:ascii="Palatino Linotype" w:eastAsia="Calibri" w:hAnsi="Palatino Linotype" w:cs="Arial"/>
        </w:rPr>
        <w:lastRenderedPageBreak/>
        <w:t xml:space="preserve">el error que cometió </w:t>
      </w:r>
      <w:r w:rsidRPr="00770A74">
        <w:rPr>
          <w:rFonts w:ascii="Palatino Linotype" w:eastAsia="Calibri" w:hAnsi="Palatino Linotype" w:cs="Arial"/>
          <w:b/>
        </w:rPr>
        <w:t xml:space="preserve">EL SUJETO OBLIGADO </w:t>
      </w:r>
      <w:r w:rsidRPr="00770A74">
        <w:rPr>
          <w:rFonts w:ascii="Palatino Linotype" w:eastAsia="Calibri" w:hAnsi="Palatino Linotype" w:cs="Arial"/>
        </w:rPr>
        <w:t>en respuesta, el solicitante se duele de que no se justifique</w:t>
      </w:r>
      <w:r w:rsidR="00DE1FBE" w:rsidRPr="00770A74">
        <w:rPr>
          <w:rFonts w:ascii="Palatino Linotype" w:eastAsia="Calibri" w:hAnsi="Palatino Linotype" w:cs="Arial"/>
        </w:rPr>
        <w:t xml:space="preserve"> en su totalidad el ejercicio de fondos otorgados; es decir, como se indicó en respuesta se realizaron dos obras hidráulicas cuyos montos presupuestales ejercidos no justifican el total de fondos concedidos al </w:t>
      </w:r>
      <w:r w:rsidR="00DE1FBE" w:rsidRPr="00770A74">
        <w:rPr>
          <w:rFonts w:ascii="Palatino Linotype" w:eastAsia="Calibri" w:hAnsi="Palatino Linotype" w:cs="Arial"/>
          <w:b/>
        </w:rPr>
        <w:t xml:space="preserve">SUJETO OBLIGADO </w:t>
      </w:r>
      <w:r w:rsidR="00DE1FBE" w:rsidRPr="00770A74">
        <w:rPr>
          <w:rFonts w:ascii="Palatino Linotype" w:eastAsia="Calibri" w:hAnsi="Palatino Linotype" w:cs="Arial"/>
        </w:rPr>
        <w:t xml:space="preserve">motivo por el cual, no puede tenerse por colmado el derecho de acceso a la información ejercido por el solicitante; en ese tenor, </w:t>
      </w:r>
      <w:r w:rsidRPr="00770A74">
        <w:rPr>
          <w:rFonts w:ascii="Palatino Linotype" w:eastAsia="Calibri" w:hAnsi="Palatino Linotype" w:cs="Arial"/>
        </w:rPr>
        <w:t xml:space="preserve">este Instituto </w:t>
      </w:r>
      <w:r w:rsidRPr="00770A74">
        <w:rPr>
          <w:rFonts w:ascii="Palatino Linotype" w:hAnsi="Palatino Linotype"/>
        </w:rPr>
        <w:t xml:space="preserve">obvia el análisis de la competencia por parte del </w:t>
      </w:r>
      <w:r w:rsidRPr="00770A74">
        <w:rPr>
          <w:rFonts w:ascii="Palatino Linotype" w:hAnsi="Palatino Linotype"/>
          <w:b/>
        </w:rPr>
        <w:t>SUJETO OBLIGADO</w:t>
      </w:r>
      <w:r w:rsidRPr="00770A74">
        <w:rPr>
          <w:rFonts w:ascii="Palatino Linotype" w:hAnsi="Palatino Linotype"/>
        </w:rPr>
        <w:t xml:space="preserve">, para generar, administrar o poseer la información solicitada, dado que éste ha asumido la misma, en razón de que en su respuesta le hizo entrega de la misma; </w:t>
      </w:r>
      <w:r w:rsidR="00DE1FBE" w:rsidRPr="00770A74">
        <w:rPr>
          <w:rFonts w:ascii="Palatino Linotype" w:hAnsi="Palatino Linotype"/>
        </w:rPr>
        <w:t>empero, debió precisar, fundar y motivar qu</w:t>
      </w:r>
      <w:r w:rsidR="004F1CB5" w:rsidRPr="00770A74">
        <w:rPr>
          <w:rFonts w:ascii="Palatino Linotype" w:hAnsi="Palatino Linotype"/>
        </w:rPr>
        <w:t>é</w:t>
      </w:r>
      <w:r w:rsidR="00DE1FBE" w:rsidRPr="00770A74">
        <w:rPr>
          <w:rFonts w:ascii="Palatino Linotype" w:hAnsi="Palatino Linotype"/>
        </w:rPr>
        <w:t xml:space="preserve"> pasa cuando existen sobrantes o remanentes en los fondos otorgados al PRODDER y no sólo indicar que se </w:t>
      </w:r>
      <w:r w:rsidR="004F1CB5" w:rsidRPr="00770A74">
        <w:rPr>
          <w:rFonts w:ascii="Palatino Linotype" w:hAnsi="Palatino Linotype"/>
        </w:rPr>
        <w:t xml:space="preserve">actúa </w:t>
      </w:r>
      <w:r w:rsidR="00DE1FBE" w:rsidRPr="00770A74">
        <w:rPr>
          <w:rFonts w:ascii="Palatino Linotype" w:hAnsi="Palatino Linotype"/>
        </w:rPr>
        <w:t>conforme a los lineamientos de dicho programa.</w:t>
      </w:r>
    </w:p>
    <w:p w14:paraId="0DBB7CD4" w14:textId="77777777" w:rsidR="00A70442" w:rsidRPr="00770A74" w:rsidRDefault="00A70442" w:rsidP="00A70442">
      <w:pPr>
        <w:spacing w:before="240" w:after="240" w:line="360" w:lineRule="auto"/>
        <w:jc w:val="both"/>
        <w:rPr>
          <w:rFonts w:ascii="Palatino Linotype" w:hAnsi="Palatino Linotype"/>
        </w:rPr>
      </w:pPr>
      <w:r w:rsidRPr="00770A74">
        <w:rPr>
          <w:rFonts w:ascii="Palatino Linotype" w:hAnsi="Palatino Linotype"/>
        </w:rPr>
        <w:t xml:space="preserve">En efecto, el hecho de que </w:t>
      </w:r>
      <w:r w:rsidRPr="00770A74">
        <w:rPr>
          <w:rFonts w:ascii="Palatino Linotype" w:hAnsi="Palatino Linotype"/>
          <w:b/>
        </w:rPr>
        <w:t>EL SUJETO OBLIGADO</w:t>
      </w:r>
      <w:r w:rsidRPr="00770A74">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6CB087F0" w14:textId="77777777" w:rsidR="00A70442" w:rsidRPr="00770A74" w:rsidRDefault="00A70442" w:rsidP="00A70442">
      <w:pPr>
        <w:tabs>
          <w:tab w:val="left" w:pos="851"/>
          <w:tab w:val="left" w:pos="8505"/>
        </w:tabs>
        <w:ind w:left="851" w:right="902"/>
        <w:jc w:val="both"/>
        <w:rPr>
          <w:rFonts w:ascii="Palatino Linotype" w:hAnsi="Palatino Linotype" w:cs="Arial"/>
          <w:i/>
          <w:sz w:val="22"/>
          <w:szCs w:val="22"/>
        </w:rPr>
      </w:pPr>
      <w:r w:rsidRPr="00770A74">
        <w:rPr>
          <w:rFonts w:ascii="Palatino Linotype" w:hAnsi="Palatino Linotype" w:cs="Arial"/>
          <w:i/>
          <w:sz w:val="22"/>
          <w:szCs w:val="22"/>
        </w:rPr>
        <w:t>“</w:t>
      </w:r>
      <w:r w:rsidRPr="00770A74">
        <w:rPr>
          <w:rFonts w:ascii="Palatino Linotype" w:hAnsi="Palatino Linotype" w:cs="Arial"/>
          <w:b/>
          <w:i/>
          <w:sz w:val="22"/>
          <w:szCs w:val="22"/>
        </w:rPr>
        <w:t>Artículo 12.</w:t>
      </w:r>
      <w:r w:rsidRPr="00770A74">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4B5BE17F" w14:textId="4885C7C7" w:rsidR="00A70442" w:rsidRPr="00770A74" w:rsidRDefault="00A70442" w:rsidP="00A70442">
      <w:pPr>
        <w:ind w:left="851" w:right="902"/>
        <w:jc w:val="both"/>
        <w:rPr>
          <w:rFonts w:ascii="Palatino Linotype" w:hAnsi="Palatino Linotype" w:cs="Arial"/>
          <w:i/>
          <w:sz w:val="22"/>
          <w:szCs w:val="22"/>
        </w:rPr>
      </w:pPr>
      <w:r w:rsidRPr="00770A74">
        <w:rPr>
          <w:rFonts w:ascii="Palatino Linotype" w:hAnsi="Palatino Linotype" w:cs="Arial"/>
          <w:i/>
          <w:sz w:val="22"/>
          <w:szCs w:val="22"/>
        </w:rPr>
        <w:lastRenderedPageBreak/>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r w:rsidR="00266F95" w:rsidRPr="00770A74">
        <w:rPr>
          <w:rFonts w:ascii="Palatino Linotype" w:hAnsi="Palatino Linotype" w:cs="Arial"/>
          <w:i/>
          <w:sz w:val="22"/>
          <w:szCs w:val="22"/>
        </w:rPr>
        <w:t>(Sic)</w:t>
      </w:r>
    </w:p>
    <w:p w14:paraId="1EE6A0C7" w14:textId="77777777" w:rsidR="00A70442" w:rsidRPr="00770A74" w:rsidRDefault="00A70442" w:rsidP="00A70442">
      <w:pPr>
        <w:spacing w:before="240" w:after="240" w:line="360" w:lineRule="auto"/>
        <w:jc w:val="both"/>
      </w:pPr>
      <w:r w:rsidRPr="00770A74">
        <w:rPr>
          <w:rFonts w:ascii="Palatino Linotype" w:hAnsi="Palatino Linotype"/>
        </w:rPr>
        <w:t xml:space="preserve">Así, el estudio de la naturaleza jurídica de la información pública solicitada, tiene por objeto determinar si ésta la genera, posee o administra </w:t>
      </w:r>
      <w:r w:rsidRPr="00770A74">
        <w:rPr>
          <w:rFonts w:ascii="Palatino Linotype" w:hAnsi="Palatino Linotype"/>
          <w:b/>
        </w:rPr>
        <w:t>EL SUJETO OBLIGADO</w:t>
      </w:r>
      <w:r w:rsidRPr="00770A74">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770A74">
        <w:t xml:space="preserve"> </w:t>
      </w:r>
    </w:p>
    <w:p w14:paraId="10B2AB64" w14:textId="77777777" w:rsidR="005F36E6" w:rsidRPr="00770A74" w:rsidRDefault="005F36E6" w:rsidP="005F36E6">
      <w:pPr>
        <w:spacing w:before="100" w:beforeAutospacing="1" w:after="100" w:afterAutospacing="1" w:line="360" w:lineRule="auto"/>
        <w:jc w:val="both"/>
        <w:rPr>
          <w:rFonts w:ascii="Palatino Linotype" w:hAnsi="Palatino Linotype" w:cs="Arial"/>
        </w:rPr>
      </w:pPr>
      <w:r w:rsidRPr="00770A74">
        <w:rPr>
          <w:rFonts w:ascii="Palatino Linotype" w:hAnsi="Palatino Linotype" w:cs="Arial"/>
        </w:rPr>
        <w:t xml:space="preserve">Queda de manifiesto entonces que, </w:t>
      </w:r>
      <w:r w:rsidRPr="00770A74">
        <w:rPr>
          <w:rFonts w:ascii="Palatino Linotype" w:hAnsi="Palatino Linotype" w:cs="Arial"/>
          <w:b/>
        </w:rPr>
        <w:t>se considera información pública al conjunto de datos que posee cualquier autoridad, obtenidos en virtud del ejercicio de sus funciones de derecho público</w:t>
      </w:r>
      <w:r w:rsidRPr="00770A74">
        <w:rPr>
          <w:rFonts w:ascii="Palatino Linotype" w:hAnsi="Palatino Linotype" w:cs="Arial"/>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14:paraId="3165DE8A" w14:textId="77777777" w:rsidR="005F36E6" w:rsidRPr="00770A74" w:rsidRDefault="005F36E6" w:rsidP="005F36E6">
      <w:pPr>
        <w:ind w:left="851" w:right="901"/>
        <w:jc w:val="both"/>
        <w:rPr>
          <w:rFonts w:ascii="Palatino Linotype" w:hAnsi="Palatino Linotype" w:cs="Arial"/>
          <w:i/>
          <w:sz w:val="22"/>
          <w:szCs w:val="22"/>
        </w:rPr>
      </w:pPr>
      <w:r w:rsidRPr="00770A74">
        <w:rPr>
          <w:rFonts w:ascii="Palatino Linotype" w:hAnsi="Palatino Linotype" w:cs="Arial"/>
          <w:bCs/>
          <w:i/>
          <w:sz w:val="22"/>
          <w:szCs w:val="22"/>
        </w:rPr>
        <w:t>“</w:t>
      </w:r>
      <w:r w:rsidRPr="00770A74">
        <w:rPr>
          <w:rFonts w:ascii="Palatino Linotype" w:hAnsi="Palatino Linotype" w:cs="Arial"/>
          <w:b/>
          <w:bCs/>
          <w:i/>
          <w:sz w:val="22"/>
          <w:szCs w:val="22"/>
        </w:rPr>
        <w:t xml:space="preserve">INFORMACIÓN PÚBLICA. ES AQUELLA QUE SE ENCUENTRA EN POSESIÓN DE CUALQUIER AUTORIDAD, ENTIDAD, ÓRGANO Y </w:t>
      </w:r>
      <w:r w:rsidRPr="00770A74">
        <w:rPr>
          <w:rFonts w:ascii="Palatino Linotype" w:hAnsi="Palatino Linotype" w:cs="Arial"/>
          <w:b/>
          <w:bCs/>
          <w:i/>
          <w:sz w:val="22"/>
          <w:szCs w:val="22"/>
        </w:rPr>
        <w:lastRenderedPageBreak/>
        <w:t>ORGANISMO FEDERAL, ESTATAL Y MUNICIPAL, SIEMPRE QUE SE HAYA OBTENIDO POR CAUSA DEL EJERCICIO DE FUNCIONES DE DERECHO PÚBLICO.</w:t>
      </w:r>
      <w:r w:rsidRPr="00770A74">
        <w:rPr>
          <w:rFonts w:ascii="Palatino Linotype" w:hAnsi="Palatino Linotype" w:cs="Arial"/>
          <w:i/>
          <w:sz w:val="22"/>
          <w:szCs w:val="22"/>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14:paraId="2C172B5A" w14:textId="77777777" w:rsidR="005F36E6" w:rsidRPr="00770A74" w:rsidRDefault="005F36E6" w:rsidP="005F36E6">
      <w:pPr>
        <w:spacing w:before="100" w:beforeAutospacing="1" w:after="100" w:afterAutospacing="1" w:line="360" w:lineRule="auto"/>
        <w:jc w:val="both"/>
        <w:rPr>
          <w:rFonts w:ascii="Palatino Linotype" w:hAnsi="Palatino Linotype" w:cs="Arial"/>
          <w:color w:val="000000" w:themeColor="text1"/>
        </w:rPr>
      </w:pPr>
      <w:r w:rsidRPr="00770A74">
        <w:rPr>
          <w:rFonts w:ascii="Palatino Linotype" w:hAnsi="Palatino Linotype" w:cs="Arial"/>
          <w:color w:val="000000" w:themeColor="text1"/>
        </w:rPr>
        <w:t xml:space="preserve">Asimismo, el artículo 24 de la Ley de la materia, señala que los Sujetos Obligados sólo proporcionarán la información pública que </w:t>
      </w:r>
      <w:r w:rsidRPr="00770A74">
        <w:rPr>
          <w:rFonts w:ascii="Palatino Linotype" w:hAnsi="Palatino Linotype" w:cs="Arial"/>
        </w:rPr>
        <w:t>generen</w:t>
      </w:r>
      <w:r w:rsidRPr="00770A74">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0FE6DFA9" w14:textId="77777777" w:rsidR="005F36E6" w:rsidRPr="00770A74" w:rsidRDefault="005F36E6" w:rsidP="005F36E6">
      <w:pPr>
        <w:spacing w:before="100" w:beforeAutospacing="1" w:after="100" w:afterAutospacing="1" w:line="360" w:lineRule="auto"/>
        <w:jc w:val="both"/>
        <w:rPr>
          <w:rFonts w:ascii="Palatino Linotype" w:hAnsi="Palatino Linotype" w:cs="Arial"/>
          <w:color w:val="000000" w:themeColor="text1"/>
        </w:rPr>
      </w:pPr>
      <w:r w:rsidRPr="00770A74">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770A74">
        <w:rPr>
          <w:rFonts w:ascii="Palatino Linotype" w:hAnsi="Palatino Linotype" w:cs="Arial"/>
        </w:rPr>
        <w:t xml:space="preserve">expedientes, reportes, estudios, actas, resoluciones, </w:t>
      </w:r>
      <w:r w:rsidRPr="00770A74">
        <w:rPr>
          <w:rFonts w:ascii="Palatino Linotype" w:hAnsi="Palatino Linotype" w:cs="Arial"/>
        </w:rPr>
        <w:lastRenderedPageBreak/>
        <w:t>oficios, correspondencia, acuerdos, directivas, directrices, circulares, contratos, convenios, instructivos, notas, memorandos, estadísticas o bien, cualquier otro registro que documente el ejercicio de las facultades, funciones y competencias de los Sujetos Obligados</w:t>
      </w:r>
      <w:r w:rsidRPr="00770A74">
        <w:rPr>
          <w:rFonts w:ascii="Palatino Linotype" w:hAnsi="Palatino Linotype" w:cs="Arial"/>
          <w:color w:val="000000" w:themeColor="text1"/>
        </w:rPr>
        <w:t xml:space="preserve">; los que </w:t>
      </w:r>
      <w:r w:rsidRPr="00770A74">
        <w:rPr>
          <w:rFonts w:ascii="Palatino Linotype" w:hAnsi="Palatino Linotype" w:cs="Arial"/>
        </w:rPr>
        <w:t>podrán estar en cualquier medio, sea escrito, impreso, sonoro, visual, electrónico, informático u holográfico</w:t>
      </w:r>
      <w:r w:rsidRPr="00770A74">
        <w:rPr>
          <w:rFonts w:ascii="Palatino Linotype" w:hAnsi="Palatino Linotype" w:cs="Arial"/>
          <w:color w:val="000000" w:themeColor="text1"/>
        </w:rPr>
        <w:t xml:space="preserve">, de conformidad con el artículo 3, fracción XI de la Ley de la materia, el cual dispone lo siguiente: </w:t>
      </w:r>
    </w:p>
    <w:p w14:paraId="271F0035" w14:textId="77777777" w:rsidR="005F36E6" w:rsidRPr="00770A74" w:rsidRDefault="005F36E6" w:rsidP="005F36E6">
      <w:pPr>
        <w:ind w:left="851" w:right="901"/>
        <w:jc w:val="both"/>
        <w:rPr>
          <w:rFonts w:ascii="Palatino Linotype" w:hAnsi="Palatino Linotype" w:cs="Arial"/>
          <w:i/>
          <w:color w:val="000000"/>
          <w:sz w:val="22"/>
          <w:szCs w:val="22"/>
        </w:rPr>
      </w:pPr>
      <w:r w:rsidRPr="00770A74">
        <w:rPr>
          <w:rFonts w:ascii="Palatino Linotype" w:hAnsi="Palatino Linotype" w:cs="Arial"/>
          <w:i/>
          <w:color w:val="000000"/>
          <w:sz w:val="22"/>
          <w:szCs w:val="22"/>
        </w:rPr>
        <w:t>“</w:t>
      </w:r>
      <w:r w:rsidRPr="00770A74">
        <w:rPr>
          <w:rFonts w:ascii="Palatino Linotype" w:hAnsi="Palatino Linotype" w:cs="Arial"/>
          <w:b/>
          <w:i/>
          <w:color w:val="000000"/>
          <w:sz w:val="22"/>
          <w:szCs w:val="22"/>
        </w:rPr>
        <w:t xml:space="preserve">Artículo 3. </w:t>
      </w:r>
      <w:r w:rsidRPr="00770A74">
        <w:rPr>
          <w:rFonts w:ascii="Palatino Linotype" w:hAnsi="Palatino Linotype" w:cs="Arial"/>
          <w:i/>
          <w:color w:val="000000"/>
          <w:sz w:val="22"/>
          <w:szCs w:val="22"/>
        </w:rPr>
        <w:t>Para los efectos de la presente Ley se entenderá por:</w:t>
      </w:r>
    </w:p>
    <w:p w14:paraId="4F4E05D1" w14:textId="77777777" w:rsidR="00266F95" w:rsidRPr="00770A74" w:rsidRDefault="00266F95" w:rsidP="005F36E6">
      <w:pPr>
        <w:ind w:left="851" w:right="901"/>
        <w:jc w:val="both"/>
        <w:rPr>
          <w:rFonts w:ascii="Palatino Linotype" w:hAnsi="Palatino Linotype" w:cs="Arial"/>
          <w:b/>
          <w:i/>
          <w:color w:val="000000"/>
          <w:sz w:val="22"/>
          <w:szCs w:val="22"/>
        </w:rPr>
      </w:pPr>
    </w:p>
    <w:p w14:paraId="6B57B25D" w14:textId="7F420BAC" w:rsidR="005F36E6" w:rsidRPr="00770A74" w:rsidRDefault="005F36E6" w:rsidP="005F36E6">
      <w:pPr>
        <w:ind w:left="851" w:right="901"/>
        <w:jc w:val="both"/>
        <w:rPr>
          <w:rFonts w:ascii="Palatino Linotype" w:hAnsi="Palatino Linotype" w:cs="Arial"/>
          <w:i/>
          <w:color w:val="000000"/>
          <w:sz w:val="22"/>
          <w:szCs w:val="22"/>
        </w:rPr>
      </w:pPr>
      <w:r w:rsidRPr="00770A74">
        <w:rPr>
          <w:rFonts w:ascii="Palatino Linotype" w:hAnsi="Palatino Linotype" w:cs="Arial"/>
          <w:b/>
          <w:i/>
          <w:color w:val="000000"/>
          <w:sz w:val="22"/>
          <w:szCs w:val="22"/>
        </w:rPr>
        <w:t>XI. Documento:</w:t>
      </w:r>
      <w:r w:rsidRPr="00770A74">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00266F95" w:rsidRPr="00770A74">
        <w:rPr>
          <w:rFonts w:ascii="Palatino Linotype" w:hAnsi="Palatino Linotype" w:cs="Arial"/>
          <w:i/>
          <w:color w:val="000000"/>
          <w:sz w:val="22"/>
          <w:szCs w:val="22"/>
        </w:rPr>
        <w:t xml:space="preserve"> (sic)</w:t>
      </w:r>
    </w:p>
    <w:p w14:paraId="1E629412" w14:textId="77777777" w:rsidR="005F36E6" w:rsidRPr="00770A74" w:rsidRDefault="005F36E6" w:rsidP="005F36E6">
      <w:pPr>
        <w:autoSpaceDE w:val="0"/>
        <w:autoSpaceDN w:val="0"/>
        <w:adjustRightInd w:val="0"/>
        <w:spacing w:before="100" w:beforeAutospacing="1" w:after="100" w:afterAutospacing="1" w:line="360" w:lineRule="auto"/>
        <w:jc w:val="both"/>
        <w:rPr>
          <w:rFonts w:ascii="Palatino Linotype" w:hAnsi="Palatino Linotype" w:cs="Arial"/>
        </w:rPr>
      </w:pPr>
      <w:r w:rsidRPr="00770A74">
        <w:rPr>
          <w:rFonts w:ascii="Palatino Linotype" w:hAnsi="Palatino Linotype" w:cs="Arial"/>
        </w:rPr>
        <w:t xml:space="preserve">Siendo aplicable el criterio </w:t>
      </w:r>
      <w:r w:rsidRPr="00770A74">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770A74">
        <w:rPr>
          <w:rFonts w:ascii="Palatino Linotype" w:hAnsi="Palatino Linotype" w:cs="Arial"/>
        </w:rPr>
        <w:t>cuyo rubro y texto dispone:</w:t>
      </w:r>
    </w:p>
    <w:p w14:paraId="46D73ACC" w14:textId="77777777" w:rsidR="005F36E6" w:rsidRPr="00770A74" w:rsidRDefault="005F36E6" w:rsidP="005F36E6">
      <w:pPr>
        <w:ind w:left="851" w:right="901"/>
        <w:jc w:val="center"/>
        <w:rPr>
          <w:rFonts w:ascii="Palatino Linotype" w:hAnsi="Palatino Linotype" w:cs="Arial"/>
          <w:b/>
          <w:i/>
          <w:sz w:val="22"/>
          <w:szCs w:val="22"/>
          <w:lang w:eastAsia="es-MX"/>
        </w:rPr>
      </w:pPr>
      <w:r w:rsidRPr="00770A74">
        <w:rPr>
          <w:rFonts w:ascii="Palatino Linotype" w:hAnsi="Palatino Linotype" w:cs="Arial"/>
          <w:sz w:val="22"/>
          <w:szCs w:val="22"/>
          <w:lang w:eastAsia="es-MX"/>
        </w:rPr>
        <w:t>“</w:t>
      </w:r>
      <w:r w:rsidRPr="00770A74">
        <w:rPr>
          <w:rFonts w:ascii="Palatino Linotype" w:hAnsi="Palatino Linotype" w:cs="Arial"/>
          <w:b/>
          <w:i/>
          <w:sz w:val="22"/>
          <w:szCs w:val="22"/>
          <w:lang w:eastAsia="es-MX"/>
        </w:rPr>
        <w:t>CRITERIO 0002-11</w:t>
      </w:r>
    </w:p>
    <w:p w14:paraId="49F79028" w14:textId="77777777" w:rsidR="005F36E6" w:rsidRPr="00770A74" w:rsidRDefault="005F36E6" w:rsidP="005F36E6">
      <w:pPr>
        <w:ind w:left="851" w:right="901"/>
        <w:jc w:val="both"/>
        <w:rPr>
          <w:rFonts w:ascii="Palatino Linotype" w:hAnsi="Palatino Linotype" w:cs="Arial"/>
          <w:i/>
          <w:sz w:val="22"/>
          <w:szCs w:val="22"/>
          <w:lang w:eastAsia="es-MX"/>
        </w:rPr>
      </w:pPr>
      <w:r w:rsidRPr="00770A74">
        <w:rPr>
          <w:rFonts w:ascii="Palatino Linotype" w:hAnsi="Palatino Linotype" w:cs="Arial"/>
          <w:b/>
          <w:i/>
          <w:sz w:val="22"/>
          <w:szCs w:val="22"/>
          <w:u w:val="single"/>
          <w:lang w:eastAsia="es-MX"/>
        </w:rPr>
        <w:lastRenderedPageBreak/>
        <w:t xml:space="preserve">INFORMACIÓN PÚBLICA, CONCEPTO DE, EN MATERIA DE TRANSPARENCIA. INTERPRETACIÓN SISTEMÁTICA DE LOS ARTÍCULOS 2°, FRACCIÓN </w:t>
      </w:r>
      <w:r w:rsidRPr="00770A74">
        <w:rPr>
          <w:rFonts w:ascii="Palatino Linotype" w:hAnsi="Palatino Linotype" w:cs="Arial"/>
          <w:b/>
          <w:bCs/>
          <w:i/>
          <w:sz w:val="22"/>
          <w:szCs w:val="22"/>
          <w:u w:val="single"/>
          <w:lang w:eastAsia="es-MX"/>
        </w:rPr>
        <w:t xml:space="preserve">V, XV, Y XVI, </w:t>
      </w:r>
      <w:r w:rsidRPr="00770A74">
        <w:rPr>
          <w:rFonts w:ascii="Palatino Linotype" w:hAnsi="Palatino Linotype" w:cs="Arial"/>
          <w:b/>
          <w:i/>
          <w:sz w:val="22"/>
          <w:szCs w:val="22"/>
          <w:u w:val="single"/>
          <w:lang w:eastAsia="es-MX"/>
        </w:rPr>
        <w:t>3°, 4°, 11 Y 41.</w:t>
      </w:r>
      <w:r w:rsidRPr="00770A74">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9622586" w14:textId="77777777" w:rsidR="005F36E6" w:rsidRPr="00770A74" w:rsidRDefault="005F36E6" w:rsidP="005F36E6">
      <w:pPr>
        <w:ind w:left="851" w:right="901"/>
        <w:jc w:val="both"/>
        <w:rPr>
          <w:rFonts w:ascii="Palatino Linotype" w:hAnsi="Palatino Linotype" w:cs="Arial"/>
          <w:i/>
          <w:sz w:val="22"/>
          <w:szCs w:val="22"/>
          <w:lang w:eastAsia="es-MX"/>
        </w:rPr>
      </w:pPr>
      <w:r w:rsidRPr="00770A74">
        <w:rPr>
          <w:rFonts w:ascii="Palatino Linotype" w:hAnsi="Palatino Linotype" w:cs="Arial"/>
          <w:i/>
          <w:sz w:val="22"/>
          <w:szCs w:val="22"/>
          <w:lang w:eastAsia="es-MX"/>
        </w:rPr>
        <w:t>En consecuencia el acceso a la información se refiere a que se cumplan cualquiera de los siguientes tres supuestos:</w:t>
      </w:r>
    </w:p>
    <w:p w14:paraId="05465B1A" w14:textId="77777777" w:rsidR="005F36E6" w:rsidRPr="00770A74" w:rsidRDefault="005F36E6" w:rsidP="005F36E6">
      <w:pPr>
        <w:ind w:left="851" w:right="901"/>
        <w:jc w:val="both"/>
        <w:rPr>
          <w:rFonts w:ascii="Palatino Linotype" w:hAnsi="Palatino Linotype" w:cs="Arial"/>
          <w:b/>
          <w:i/>
          <w:sz w:val="22"/>
          <w:szCs w:val="22"/>
          <w:u w:val="single"/>
          <w:lang w:eastAsia="es-MX"/>
        </w:rPr>
      </w:pPr>
      <w:r w:rsidRPr="00770A74">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14:paraId="7721AA9E" w14:textId="77777777" w:rsidR="005F36E6" w:rsidRPr="00770A74" w:rsidRDefault="005F36E6" w:rsidP="005F36E6">
      <w:pPr>
        <w:ind w:left="851" w:right="901"/>
        <w:jc w:val="both"/>
        <w:rPr>
          <w:rFonts w:ascii="Palatino Linotype" w:hAnsi="Palatino Linotype" w:cs="Arial"/>
          <w:i/>
          <w:sz w:val="22"/>
          <w:szCs w:val="22"/>
          <w:lang w:eastAsia="es-MX"/>
        </w:rPr>
      </w:pPr>
      <w:r w:rsidRPr="00770A74">
        <w:rPr>
          <w:rFonts w:ascii="Palatino Linotype" w:hAnsi="Palatino Linotype" w:cs="Arial"/>
          <w:i/>
          <w:sz w:val="22"/>
          <w:szCs w:val="22"/>
          <w:lang w:eastAsia="es-MX"/>
        </w:rPr>
        <w:t xml:space="preserve">2) Que se trate de </w:t>
      </w:r>
      <w:r w:rsidRPr="00770A74">
        <w:rPr>
          <w:rFonts w:ascii="Palatino Linotype" w:hAnsi="Palatino Linotype" w:cs="Arial"/>
          <w:b/>
          <w:i/>
          <w:sz w:val="22"/>
          <w:szCs w:val="22"/>
          <w:u w:val="single"/>
          <w:lang w:eastAsia="es-MX"/>
        </w:rPr>
        <w:t>información</w:t>
      </w:r>
      <w:r w:rsidRPr="00770A74">
        <w:rPr>
          <w:rFonts w:ascii="Palatino Linotype" w:hAnsi="Palatino Linotype" w:cs="Arial"/>
          <w:i/>
          <w:sz w:val="22"/>
          <w:szCs w:val="22"/>
          <w:lang w:eastAsia="es-MX"/>
        </w:rPr>
        <w:t xml:space="preserve"> registrada en cualquier soporte documental, que en ejercicio de las atribuciones conferidas, sea administrada por los Sujetos Obligados, y</w:t>
      </w:r>
    </w:p>
    <w:p w14:paraId="619B55C0" w14:textId="711DDD8B" w:rsidR="005F36E6" w:rsidRPr="00770A74" w:rsidRDefault="005F36E6" w:rsidP="005F36E6">
      <w:pPr>
        <w:ind w:left="851" w:right="901"/>
        <w:jc w:val="both"/>
        <w:rPr>
          <w:rFonts w:ascii="Palatino Linotype" w:hAnsi="Palatino Linotype" w:cs="Arial"/>
          <w:i/>
          <w:sz w:val="22"/>
          <w:szCs w:val="22"/>
          <w:lang w:eastAsia="es-MX"/>
        </w:rPr>
      </w:pPr>
      <w:r w:rsidRPr="00770A74">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w:t>
      </w:r>
    </w:p>
    <w:p w14:paraId="1F358563" w14:textId="77777777" w:rsidR="005F36E6" w:rsidRPr="00770A74" w:rsidRDefault="005F36E6" w:rsidP="005F36E6">
      <w:pPr>
        <w:ind w:left="851" w:right="901"/>
        <w:jc w:val="both"/>
        <w:rPr>
          <w:rFonts w:ascii="Palatino Linotype" w:hAnsi="Palatino Linotype" w:cs="Arial"/>
          <w:sz w:val="22"/>
          <w:szCs w:val="22"/>
          <w:lang w:eastAsia="es-MX"/>
        </w:rPr>
      </w:pPr>
    </w:p>
    <w:p w14:paraId="634AEA40" w14:textId="77777777" w:rsidR="005F36E6" w:rsidRPr="00770A74" w:rsidRDefault="005F36E6" w:rsidP="005F36E6">
      <w:pPr>
        <w:ind w:left="851" w:right="901"/>
        <w:jc w:val="both"/>
        <w:rPr>
          <w:rFonts w:ascii="Palatino Linotype" w:hAnsi="Palatino Linotype" w:cs="Arial"/>
          <w:sz w:val="22"/>
          <w:szCs w:val="22"/>
          <w:lang w:eastAsia="es-MX"/>
        </w:rPr>
      </w:pPr>
      <w:r w:rsidRPr="00770A74">
        <w:rPr>
          <w:rFonts w:ascii="Palatino Linotype" w:hAnsi="Palatino Linotype" w:cs="Arial"/>
          <w:sz w:val="22"/>
          <w:szCs w:val="22"/>
          <w:lang w:eastAsia="es-MX"/>
        </w:rPr>
        <w:t>(Énfasis Añadido)</w:t>
      </w:r>
    </w:p>
    <w:p w14:paraId="2237C387" w14:textId="77777777" w:rsidR="005F36E6" w:rsidRPr="00770A74" w:rsidRDefault="005F36E6" w:rsidP="00266F95">
      <w:pPr>
        <w:widowControl w:val="0"/>
        <w:autoSpaceDE w:val="0"/>
        <w:autoSpaceDN w:val="0"/>
        <w:adjustRightInd w:val="0"/>
        <w:spacing w:before="100" w:beforeAutospacing="1" w:after="100" w:afterAutospacing="1" w:line="360" w:lineRule="auto"/>
        <w:jc w:val="both"/>
        <w:rPr>
          <w:rFonts w:ascii="Palatino Linotype" w:hAnsi="Palatino Linotype"/>
          <w:bCs/>
          <w:lang w:val="es-ES"/>
        </w:rPr>
      </w:pPr>
      <w:r w:rsidRPr="00770A74">
        <w:rPr>
          <w:rFonts w:ascii="Palatino Linotype" w:hAnsi="Palatino Linotype"/>
          <w:color w:val="000000"/>
          <w:lang w:val="es-ES"/>
        </w:rPr>
        <w:t xml:space="preserve">Sirviendo finalmente de sustento a lo anteriormente expuesto el </w:t>
      </w:r>
      <w:r w:rsidRPr="00770A74">
        <w:rPr>
          <w:rFonts w:ascii="Palatino Linotype" w:hAnsi="Palatino Linotype"/>
          <w:lang w:val="es-ES"/>
        </w:rPr>
        <w:t>criterio orientador número 16/17, emitido por el Pleno del INAI, el cual menciona lo siguiente:</w:t>
      </w:r>
    </w:p>
    <w:p w14:paraId="5054E297" w14:textId="77777777" w:rsidR="005F36E6" w:rsidRPr="00770A74" w:rsidRDefault="005F36E6" w:rsidP="005F36E6">
      <w:pPr>
        <w:ind w:left="850" w:right="901"/>
        <w:jc w:val="both"/>
        <w:rPr>
          <w:rFonts w:ascii="Palatino Linotype" w:hAnsi="Palatino Linotype"/>
          <w:i/>
          <w:iCs/>
          <w:sz w:val="22"/>
          <w:szCs w:val="22"/>
          <w:lang w:val="es-ES"/>
        </w:rPr>
      </w:pPr>
      <w:r w:rsidRPr="00770A74">
        <w:rPr>
          <w:rFonts w:ascii="Palatino Linotype" w:hAnsi="Palatino Linotype"/>
          <w:i/>
          <w:iCs/>
          <w:sz w:val="22"/>
          <w:szCs w:val="22"/>
          <w:lang w:val="es-ES"/>
        </w:rPr>
        <w:t>“</w:t>
      </w:r>
      <w:r w:rsidRPr="00770A74">
        <w:rPr>
          <w:rFonts w:ascii="Palatino Linotype" w:hAnsi="Palatino Linotype"/>
          <w:b/>
          <w:bCs/>
          <w:i/>
          <w:iCs/>
          <w:sz w:val="22"/>
          <w:szCs w:val="22"/>
          <w:lang w:val="es-ES"/>
        </w:rPr>
        <w:t>Expresión documental</w:t>
      </w:r>
      <w:r w:rsidRPr="00770A74">
        <w:rPr>
          <w:rFonts w:ascii="Palatino Linotype" w:hAnsi="Palatino Linotype"/>
          <w:i/>
          <w:iCs/>
          <w:sz w:val="22"/>
          <w:szCs w:val="22"/>
          <w:lang w:val="es-ES"/>
        </w:rPr>
        <w:t xml:space="preserve">. </w:t>
      </w:r>
      <w:r w:rsidRPr="00770A74">
        <w:rPr>
          <w:rFonts w:ascii="Palatino Linotype" w:hAnsi="Palatino Linotype"/>
          <w:b/>
          <w:i/>
          <w:iCs/>
          <w:sz w:val="22"/>
          <w:szCs w:val="22"/>
          <w:u w:val="single"/>
          <w:lang w:val="es-ES"/>
        </w:rPr>
        <w:t>Cuando los particulares presenten solicitudes de acceso a la información sin identificar de forma precisa la documentación que pudiera contener la información de su interés</w:t>
      </w:r>
      <w:r w:rsidRPr="00770A74">
        <w:rPr>
          <w:rFonts w:ascii="Palatino Linotype" w:hAnsi="Palatino Linotype"/>
          <w:i/>
          <w:iCs/>
          <w:sz w:val="22"/>
          <w:szCs w:val="22"/>
          <w:lang w:val="es-ES"/>
        </w:rPr>
        <w:t xml:space="preserve">, o bien, la solicitud constituya una consulta, </w:t>
      </w:r>
      <w:r w:rsidRPr="00770A74">
        <w:rPr>
          <w:rFonts w:ascii="Palatino Linotype" w:hAnsi="Palatino Linotype"/>
          <w:b/>
          <w:i/>
          <w:iCs/>
          <w:sz w:val="22"/>
          <w:szCs w:val="22"/>
          <w:u w:val="single"/>
          <w:lang w:val="es-ES"/>
        </w:rPr>
        <w:t>pero la respuesta pudiera obrar en algún documento en poder de los sujetos obligados, éstos deben dar a dichas solicitudes una interpretación que les otorgue una expresión documental</w:t>
      </w:r>
      <w:r w:rsidRPr="00770A74">
        <w:rPr>
          <w:rFonts w:ascii="Palatino Linotype" w:hAnsi="Palatino Linotype"/>
          <w:i/>
          <w:iCs/>
          <w:sz w:val="22"/>
          <w:szCs w:val="22"/>
          <w:lang w:val="es-ES"/>
        </w:rPr>
        <w:t xml:space="preserve">. </w:t>
      </w:r>
    </w:p>
    <w:p w14:paraId="63859ECF" w14:textId="77777777" w:rsidR="005F36E6" w:rsidRPr="00770A74" w:rsidRDefault="005F36E6" w:rsidP="005F36E6">
      <w:pPr>
        <w:ind w:left="850" w:right="901"/>
        <w:jc w:val="both"/>
        <w:rPr>
          <w:rFonts w:ascii="Palatino Linotype" w:hAnsi="Palatino Linotype"/>
          <w:b/>
          <w:bCs/>
          <w:i/>
          <w:iCs/>
          <w:sz w:val="22"/>
          <w:szCs w:val="22"/>
          <w:lang w:val="es-ES"/>
        </w:rPr>
      </w:pPr>
      <w:r w:rsidRPr="00770A74">
        <w:rPr>
          <w:rFonts w:ascii="Palatino Linotype" w:hAnsi="Palatino Linotype"/>
          <w:b/>
          <w:bCs/>
          <w:i/>
          <w:iCs/>
          <w:sz w:val="22"/>
          <w:szCs w:val="22"/>
          <w:lang w:val="es-ES"/>
        </w:rPr>
        <w:lastRenderedPageBreak/>
        <w:t>Resoluciones:</w:t>
      </w:r>
    </w:p>
    <w:p w14:paraId="182A50E1" w14:textId="77777777" w:rsidR="005F36E6" w:rsidRPr="00770A74" w:rsidRDefault="005F36E6" w:rsidP="005F36E6">
      <w:pPr>
        <w:ind w:left="850" w:right="901"/>
        <w:jc w:val="both"/>
        <w:rPr>
          <w:rFonts w:ascii="Palatino Linotype" w:hAnsi="Palatino Linotype"/>
          <w:i/>
          <w:iCs/>
          <w:sz w:val="22"/>
          <w:szCs w:val="22"/>
          <w:lang w:val="es-ES"/>
        </w:rPr>
      </w:pPr>
      <w:r w:rsidRPr="00770A74">
        <w:rPr>
          <w:rFonts w:ascii="Palatino Linotype" w:hAnsi="Palatino Linotype"/>
          <w:b/>
          <w:bCs/>
          <w:i/>
          <w:iCs/>
          <w:sz w:val="22"/>
          <w:szCs w:val="22"/>
          <w:lang w:val="es-ES"/>
        </w:rPr>
        <w:t>•</w:t>
      </w:r>
      <w:r w:rsidRPr="00770A74">
        <w:rPr>
          <w:rFonts w:ascii="Palatino Linotype" w:hAnsi="Palatino Linotype"/>
          <w:b/>
          <w:bCs/>
          <w:i/>
          <w:iCs/>
          <w:sz w:val="22"/>
          <w:szCs w:val="22"/>
          <w:lang w:val="es-ES"/>
        </w:rPr>
        <w:tab/>
        <w:t>RRA 0774/16.</w:t>
      </w:r>
      <w:r w:rsidRPr="00770A74">
        <w:rPr>
          <w:rFonts w:ascii="Palatino Linotype" w:hAnsi="Palatino Linotype"/>
          <w:i/>
          <w:iCs/>
          <w:sz w:val="22"/>
          <w:szCs w:val="22"/>
          <w:lang w:val="es-ES"/>
        </w:rPr>
        <w:t xml:space="preserve"> Secretaría de Salud. 31 de agosto de 2016. Por unanimidad. Comisionada Ponente María Patricia Kurczyn Villalobos.</w:t>
      </w:r>
    </w:p>
    <w:p w14:paraId="2A6D8DDF" w14:textId="77777777" w:rsidR="005F36E6" w:rsidRPr="00770A74" w:rsidRDefault="005F36E6" w:rsidP="005F36E6">
      <w:pPr>
        <w:ind w:left="850" w:right="901"/>
        <w:jc w:val="both"/>
        <w:rPr>
          <w:rFonts w:ascii="Palatino Linotype" w:hAnsi="Palatino Linotype"/>
          <w:i/>
          <w:iCs/>
          <w:sz w:val="22"/>
          <w:szCs w:val="22"/>
          <w:lang w:val="es-ES"/>
        </w:rPr>
      </w:pPr>
      <w:r w:rsidRPr="00770A74">
        <w:rPr>
          <w:rFonts w:ascii="Palatino Linotype" w:hAnsi="Palatino Linotype"/>
          <w:i/>
          <w:iCs/>
          <w:sz w:val="22"/>
          <w:szCs w:val="22"/>
          <w:lang w:val="es-ES"/>
        </w:rPr>
        <w:t>•</w:t>
      </w:r>
      <w:r w:rsidRPr="00770A74">
        <w:rPr>
          <w:rFonts w:ascii="Palatino Linotype" w:hAnsi="Palatino Linotype"/>
          <w:i/>
          <w:iCs/>
          <w:sz w:val="22"/>
          <w:szCs w:val="22"/>
          <w:lang w:val="es-ES"/>
        </w:rPr>
        <w:tab/>
      </w:r>
      <w:r w:rsidRPr="00770A74">
        <w:rPr>
          <w:rFonts w:ascii="Palatino Linotype" w:hAnsi="Palatino Linotype"/>
          <w:b/>
          <w:bCs/>
          <w:i/>
          <w:iCs/>
          <w:sz w:val="22"/>
          <w:szCs w:val="22"/>
          <w:lang w:val="es-ES"/>
        </w:rPr>
        <w:t>RRA 0143/17</w:t>
      </w:r>
      <w:r w:rsidRPr="00770A74">
        <w:rPr>
          <w:rFonts w:ascii="Palatino Linotype" w:hAnsi="Palatino Linotype"/>
          <w:i/>
          <w:iCs/>
          <w:sz w:val="22"/>
          <w:szCs w:val="22"/>
          <w:lang w:val="es-ES"/>
        </w:rPr>
        <w:t xml:space="preserve">. Universidad Autónoma Agraria Antonio Narro. 22 de febrero de 2017. Por unanimidad. Comisionado Ponente Oscar Mauricio Guerra Ford. </w:t>
      </w:r>
    </w:p>
    <w:p w14:paraId="47E87E73" w14:textId="77777777" w:rsidR="005F36E6" w:rsidRPr="00770A74" w:rsidRDefault="005F36E6" w:rsidP="005F36E6">
      <w:pPr>
        <w:ind w:left="850" w:right="901"/>
        <w:jc w:val="both"/>
        <w:rPr>
          <w:rFonts w:ascii="Palatino Linotype" w:hAnsi="Palatino Linotype"/>
          <w:i/>
          <w:iCs/>
          <w:sz w:val="22"/>
          <w:szCs w:val="22"/>
          <w:lang w:val="es-ES"/>
        </w:rPr>
      </w:pPr>
      <w:r w:rsidRPr="00770A74">
        <w:rPr>
          <w:rFonts w:ascii="Palatino Linotype" w:hAnsi="Palatino Linotype"/>
          <w:i/>
          <w:iCs/>
          <w:sz w:val="22"/>
          <w:szCs w:val="22"/>
          <w:lang w:val="es-ES"/>
        </w:rPr>
        <w:t>•</w:t>
      </w:r>
      <w:r w:rsidRPr="00770A74">
        <w:rPr>
          <w:rFonts w:ascii="Palatino Linotype" w:hAnsi="Palatino Linotype"/>
          <w:i/>
          <w:iCs/>
          <w:sz w:val="22"/>
          <w:szCs w:val="22"/>
          <w:lang w:val="es-ES"/>
        </w:rPr>
        <w:tab/>
      </w:r>
      <w:r w:rsidRPr="00770A74">
        <w:rPr>
          <w:rFonts w:ascii="Palatino Linotype" w:hAnsi="Palatino Linotype"/>
          <w:b/>
          <w:bCs/>
          <w:i/>
          <w:iCs/>
          <w:sz w:val="22"/>
          <w:szCs w:val="22"/>
          <w:lang w:val="es-ES"/>
        </w:rPr>
        <w:t>RRA 0540/17.</w:t>
      </w:r>
      <w:r w:rsidRPr="00770A74">
        <w:rPr>
          <w:rFonts w:ascii="Palatino Linotype" w:hAnsi="Palatino Linotype"/>
          <w:i/>
          <w:iCs/>
          <w:sz w:val="22"/>
          <w:szCs w:val="22"/>
          <w:lang w:val="es-ES"/>
        </w:rPr>
        <w:t xml:space="preserve"> Secretaría de Economía. 08 de marzo del 2017. Por unanimidad. Comisionado Ponente Francisco Javier Acuña Llamas.” (Sic)</w:t>
      </w:r>
    </w:p>
    <w:p w14:paraId="3D47E4D5" w14:textId="77777777" w:rsidR="005F36E6" w:rsidRPr="00770A74" w:rsidRDefault="005F36E6" w:rsidP="005F36E6">
      <w:pPr>
        <w:ind w:left="850" w:right="901"/>
        <w:jc w:val="both"/>
        <w:rPr>
          <w:rFonts w:ascii="Palatino Linotype" w:hAnsi="Palatino Linotype"/>
          <w:i/>
          <w:iCs/>
          <w:sz w:val="22"/>
          <w:szCs w:val="22"/>
          <w:lang w:val="es-ES"/>
        </w:rPr>
      </w:pPr>
      <w:r w:rsidRPr="00770A74">
        <w:rPr>
          <w:rFonts w:ascii="Palatino Linotype" w:hAnsi="Palatino Linotype"/>
          <w:i/>
          <w:iCs/>
          <w:sz w:val="22"/>
          <w:szCs w:val="22"/>
          <w:lang w:val="es-ES"/>
        </w:rPr>
        <w:t>(Énfasis añadido)</w:t>
      </w:r>
    </w:p>
    <w:p w14:paraId="0A229E2B" w14:textId="4F66009D" w:rsidR="00A449AA" w:rsidRPr="00770A74" w:rsidRDefault="005F36E6" w:rsidP="00A449AA">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770A74">
        <w:rPr>
          <w:rFonts w:ascii="Palatino Linotype" w:hAnsi="Palatino Linotype" w:cs="Arial"/>
        </w:rPr>
        <w:t xml:space="preserve">En otras palabras, </w:t>
      </w:r>
      <w:r w:rsidRPr="00770A74">
        <w:rPr>
          <w:rFonts w:ascii="Palatino Linotype" w:hAnsi="Palatino Linotype" w:cs="Arial"/>
          <w:b/>
        </w:rPr>
        <w:t xml:space="preserve">EL SUJETO OBLGADO </w:t>
      </w:r>
      <w:r w:rsidRPr="00770A74">
        <w:rPr>
          <w:rFonts w:ascii="Palatino Linotype" w:hAnsi="Palatino Linotype" w:cs="Arial"/>
        </w:rPr>
        <w:t>debió como ya se dijo</w:t>
      </w:r>
      <w:r w:rsidR="009D7696" w:rsidRPr="00770A74">
        <w:rPr>
          <w:rFonts w:ascii="Palatino Linotype" w:hAnsi="Palatino Linotype" w:cs="Arial"/>
        </w:rPr>
        <w:t>,</w:t>
      </w:r>
      <w:r w:rsidRPr="00770A74">
        <w:rPr>
          <w:rFonts w:ascii="Palatino Linotype" w:hAnsi="Palatino Linotype" w:cs="Arial"/>
        </w:rPr>
        <w:t xml:space="preserve"> atender la solicitud de información con la única intención de garantizar el derecho de acceso a la información del solicitante otorgando a su favor el principio </w:t>
      </w:r>
      <w:r w:rsidRPr="00770A74">
        <w:rPr>
          <w:rFonts w:ascii="Palatino Linotype" w:hAnsi="Palatino Linotype" w:cs="Arial"/>
          <w:i/>
        </w:rPr>
        <w:t>pro persona</w:t>
      </w:r>
      <w:r w:rsidRPr="00770A74">
        <w:rPr>
          <w:rFonts w:ascii="Palatino Linotype" w:hAnsi="Palatino Linotype" w:cs="Arial"/>
        </w:rPr>
        <w:t xml:space="preserve"> dando acceso al documento que genera con motivo de</w:t>
      </w:r>
      <w:r w:rsidR="00DE1FBE" w:rsidRPr="00770A74">
        <w:rPr>
          <w:rFonts w:ascii="Palatino Linotype" w:hAnsi="Palatino Linotype" w:cs="Arial"/>
        </w:rPr>
        <w:t>l ejercicio de los fondos que recibió de parte del programa PRODDER para el ejercicio fiscal de 2020</w:t>
      </w:r>
      <w:r w:rsidR="00A449AA" w:rsidRPr="00770A74">
        <w:rPr>
          <w:rFonts w:ascii="Palatino Linotype" w:hAnsi="Palatino Linotype" w:cs="Arial"/>
        </w:rPr>
        <w:t xml:space="preserve">; al respecto, conviene traer a contexto lo establecido precisamente en los </w:t>
      </w:r>
      <w:r w:rsidR="00A449AA" w:rsidRPr="00770A74">
        <w:rPr>
          <w:rFonts w:ascii="Palatino Linotype" w:hAnsi="Palatino Linotype" w:cs="Arial"/>
          <w:i/>
        </w:rPr>
        <w:t>Lineamientos para la asignación de recursos para acciones de mejoramiento de eficiencia y de infraestructura de agua potable, alcantarillado y tratamiento de aguas residuales de acuerdo al contenido del artículo 231-A de la Ley Federal de Derechos</w:t>
      </w:r>
      <w:r w:rsidR="00A449AA" w:rsidRPr="00770A74">
        <w:rPr>
          <w:rFonts w:ascii="Palatino Linotype" w:hAnsi="Palatino Linotype" w:cs="Arial"/>
        </w:rPr>
        <w:t>, que en la parte que nos interesa establecen lo siguiente:</w:t>
      </w:r>
    </w:p>
    <w:p w14:paraId="6D1A827A" w14:textId="77777777" w:rsidR="00A449AA" w:rsidRPr="00770A74" w:rsidRDefault="00B162B0" w:rsidP="00A449AA">
      <w:pPr>
        <w:ind w:left="850" w:right="901"/>
        <w:jc w:val="both"/>
        <w:rPr>
          <w:rFonts w:ascii="Palatino Linotype" w:hAnsi="Palatino Linotype"/>
          <w:b/>
          <w:bCs/>
          <w:i/>
          <w:iCs/>
          <w:sz w:val="22"/>
          <w:szCs w:val="22"/>
          <w:lang w:val="es-ES"/>
        </w:rPr>
      </w:pPr>
      <w:r w:rsidRPr="00770A74">
        <w:rPr>
          <w:rFonts w:ascii="Palatino Linotype" w:hAnsi="Palatino Linotype"/>
          <w:b/>
          <w:bCs/>
          <w:i/>
          <w:iCs/>
          <w:sz w:val="22"/>
          <w:szCs w:val="22"/>
          <w:lang w:val="es-ES"/>
        </w:rPr>
        <w:t>“</w:t>
      </w:r>
      <w:r w:rsidR="00A449AA" w:rsidRPr="00770A74">
        <w:rPr>
          <w:rFonts w:ascii="Palatino Linotype" w:hAnsi="Palatino Linotype"/>
          <w:b/>
          <w:bCs/>
          <w:i/>
          <w:iCs/>
          <w:sz w:val="22"/>
          <w:szCs w:val="22"/>
          <w:lang w:val="es-ES"/>
        </w:rPr>
        <w:t>I.- Objetivo</w:t>
      </w:r>
    </w:p>
    <w:p w14:paraId="2D0C7EA1" w14:textId="77777777" w:rsidR="00A449AA" w:rsidRPr="00770A74" w:rsidRDefault="00A449AA" w:rsidP="00A449AA">
      <w:pPr>
        <w:ind w:left="850" w:right="901"/>
        <w:jc w:val="both"/>
        <w:rPr>
          <w:rFonts w:ascii="Palatino Linotype" w:hAnsi="Palatino Linotype"/>
          <w:b/>
          <w:bCs/>
          <w:i/>
          <w:iCs/>
          <w:sz w:val="22"/>
          <w:szCs w:val="22"/>
          <w:lang w:val="es-ES"/>
        </w:rPr>
      </w:pPr>
      <w:r w:rsidRPr="00770A74">
        <w:rPr>
          <w:rFonts w:ascii="Palatino Linotype" w:hAnsi="Palatino Linotype"/>
          <w:b/>
          <w:bCs/>
          <w:i/>
          <w:iCs/>
          <w:sz w:val="22"/>
          <w:szCs w:val="22"/>
          <w:lang w:val="es-ES"/>
        </w:rPr>
        <w:t xml:space="preserve">Establecer el procedimiento para que a través del Programa de Devolución de Derechos (PRODDER), la Comisión Nacional del Agua (CONAGUA), previa solicitud y dictamen, asigne a </w:t>
      </w:r>
      <w:r w:rsidRPr="00770A74">
        <w:rPr>
          <w:rFonts w:ascii="Palatino Linotype" w:hAnsi="Palatino Linotype"/>
          <w:bCs/>
          <w:i/>
          <w:iCs/>
          <w:sz w:val="22"/>
          <w:szCs w:val="22"/>
          <w:lang w:val="es-ES"/>
        </w:rPr>
        <w:t>las entidades federativas, municipios,</w:t>
      </w:r>
      <w:r w:rsidRPr="00770A74">
        <w:rPr>
          <w:rFonts w:ascii="Palatino Linotype" w:hAnsi="Palatino Linotype"/>
          <w:b/>
          <w:bCs/>
          <w:i/>
          <w:iCs/>
          <w:sz w:val="22"/>
          <w:szCs w:val="22"/>
          <w:lang w:val="es-ES"/>
        </w:rPr>
        <w:t xml:space="preserve"> organismos públicos </w:t>
      </w:r>
      <w:r w:rsidRPr="00770A74">
        <w:rPr>
          <w:rFonts w:ascii="Palatino Linotype" w:hAnsi="Palatino Linotype"/>
          <w:bCs/>
          <w:i/>
          <w:iCs/>
          <w:sz w:val="22"/>
          <w:szCs w:val="22"/>
          <w:lang w:val="es-ES"/>
        </w:rPr>
        <w:t>y empresas privadas,</w:t>
      </w:r>
      <w:r w:rsidRPr="00770A74">
        <w:rPr>
          <w:rFonts w:ascii="Palatino Linotype" w:hAnsi="Palatino Linotype"/>
          <w:b/>
          <w:bCs/>
          <w:i/>
          <w:iCs/>
          <w:sz w:val="22"/>
          <w:szCs w:val="22"/>
          <w:lang w:val="es-ES"/>
        </w:rPr>
        <w:t xml:space="preserve"> </w:t>
      </w:r>
      <w:r w:rsidRPr="00770A74">
        <w:rPr>
          <w:rFonts w:ascii="Palatino Linotype" w:hAnsi="Palatino Linotype"/>
          <w:bCs/>
          <w:i/>
          <w:iCs/>
          <w:sz w:val="22"/>
          <w:szCs w:val="22"/>
          <w:lang w:val="es-ES"/>
        </w:rPr>
        <w:t xml:space="preserve">contribuyentes del derecho a que se refiere la fracción I, apartado B del artículo 223 de la Ley Federal de Derechos (LFD), </w:t>
      </w:r>
      <w:r w:rsidRPr="00770A74">
        <w:rPr>
          <w:rFonts w:ascii="Palatino Linotype" w:hAnsi="Palatino Linotype"/>
          <w:b/>
          <w:bCs/>
          <w:i/>
          <w:iCs/>
          <w:sz w:val="22"/>
          <w:szCs w:val="22"/>
          <w:lang w:val="es-ES"/>
        </w:rPr>
        <w:t xml:space="preserve">los recursos provenientes de los ingresos de la recaudación por la </w:t>
      </w:r>
      <w:r w:rsidRPr="00770A74">
        <w:rPr>
          <w:rFonts w:ascii="Palatino Linotype" w:hAnsi="Palatino Linotype"/>
          <w:b/>
          <w:bCs/>
          <w:i/>
          <w:iCs/>
          <w:sz w:val="22"/>
          <w:szCs w:val="22"/>
          <w:lang w:val="es-ES"/>
        </w:rPr>
        <w:lastRenderedPageBreak/>
        <w:t>explotación, uso o aprovechamiento de las aguas nacionales, como subsidio e incentivo para la realización de acciones de mejoramiento de eficiencia y de infraestructura de agua potable, alcantarillado y tratamiento de aguas residuales, en términos de lo dispuesto en el artículo 231-A del referido ordenamiento, siempre que la Unidad de Política y Control Presupuestario adscrita a la Subsecretaría de Egresos de la Secretaría de Hacienda y Crédito Público autorice el recurso de que se trata.</w:t>
      </w:r>
    </w:p>
    <w:p w14:paraId="5362A727" w14:textId="77777777" w:rsidR="00373A6E" w:rsidRPr="00770A74" w:rsidRDefault="00373A6E" w:rsidP="00A449AA">
      <w:pPr>
        <w:ind w:left="850" w:right="901"/>
        <w:jc w:val="both"/>
        <w:rPr>
          <w:rFonts w:ascii="Palatino Linotype" w:hAnsi="Palatino Linotype"/>
          <w:b/>
          <w:bCs/>
          <w:i/>
          <w:iCs/>
          <w:sz w:val="22"/>
          <w:szCs w:val="22"/>
          <w:lang w:val="es-ES"/>
        </w:rPr>
      </w:pPr>
    </w:p>
    <w:p w14:paraId="0AB353A5" w14:textId="77777777" w:rsidR="00A449AA" w:rsidRPr="00770A74" w:rsidRDefault="00A449AA" w:rsidP="00A449AA">
      <w:pPr>
        <w:ind w:left="850" w:right="901"/>
        <w:jc w:val="both"/>
        <w:rPr>
          <w:rFonts w:ascii="Palatino Linotype" w:hAnsi="Palatino Linotype"/>
          <w:bCs/>
          <w:i/>
          <w:iCs/>
          <w:sz w:val="22"/>
          <w:szCs w:val="22"/>
          <w:lang w:val="es-ES"/>
        </w:rPr>
      </w:pPr>
      <w:r w:rsidRPr="00770A74">
        <w:rPr>
          <w:rFonts w:ascii="Palatino Linotype" w:hAnsi="Palatino Linotype"/>
          <w:bCs/>
          <w:i/>
          <w:iCs/>
          <w:sz w:val="22"/>
          <w:szCs w:val="22"/>
          <w:lang w:val="es-ES"/>
        </w:rPr>
        <w:t>La asignación de los recursos provenientes de los ingresos que se obtengan por la recaudación del derecho a que se refiere el apartado B, fracción I del artículo 223 de la Ley Federal de Derechos, por concepto de trasvase de aguas nacionales, en términos del artículo 223-Bis de ese mismo ordenamiento, no serán objeto de los presentes lineamientos.</w:t>
      </w:r>
    </w:p>
    <w:p w14:paraId="1C9C9791" w14:textId="77777777" w:rsidR="00373A6E" w:rsidRPr="00770A74" w:rsidRDefault="00373A6E" w:rsidP="00A449AA">
      <w:pPr>
        <w:ind w:left="850" w:right="901"/>
        <w:jc w:val="both"/>
        <w:rPr>
          <w:rFonts w:ascii="Palatino Linotype" w:hAnsi="Palatino Linotype"/>
          <w:b/>
          <w:bCs/>
          <w:i/>
          <w:iCs/>
          <w:sz w:val="22"/>
          <w:szCs w:val="22"/>
          <w:lang w:val="es-ES"/>
        </w:rPr>
      </w:pPr>
      <w:r w:rsidRPr="00770A74">
        <w:rPr>
          <w:rFonts w:ascii="Palatino Linotype" w:hAnsi="Palatino Linotype"/>
          <w:bCs/>
          <w:i/>
          <w:iCs/>
          <w:sz w:val="22"/>
          <w:szCs w:val="22"/>
          <w:lang w:val="es-ES"/>
        </w:rPr>
        <w:t>…</w:t>
      </w:r>
    </w:p>
    <w:p w14:paraId="3E6F591D" w14:textId="77777777" w:rsidR="009208F4" w:rsidRPr="00770A74" w:rsidRDefault="009208F4" w:rsidP="009208F4">
      <w:pPr>
        <w:ind w:left="850" w:right="901"/>
        <w:jc w:val="both"/>
        <w:rPr>
          <w:rFonts w:ascii="Palatino Linotype" w:hAnsi="Palatino Linotype"/>
          <w:b/>
          <w:bCs/>
          <w:i/>
          <w:iCs/>
          <w:sz w:val="22"/>
          <w:szCs w:val="22"/>
          <w:u w:val="single"/>
          <w:lang w:val="es-ES"/>
        </w:rPr>
      </w:pPr>
      <w:r w:rsidRPr="00770A74">
        <w:rPr>
          <w:rFonts w:ascii="Palatino Linotype" w:hAnsi="Palatino Linotype"/>
          <w:b/>
          <w:bCs/>
          <w:i/>
          <w:iCs/>
          <w:sz w:val="22"/>
          <w:szCs w:val="22"/>
          <w:u w:val="single"/>
          <w:lang w:val="es-ES"/>
        </w:rPr>
        <w:t>XI.- Verificación</w:t>
      </w:r>
    </w:p>
    <w:p w14:paraId="50BA734B" w14:textId="77777777" w:rsidR="009208F4" w:rsidRPr="00770A74" w:rsidRDefault="009208F4" w:rsidP="009208F4">
      <w:pPr>
        <w:ind w:left="850" w:right="901"/>
        <w:jc w:val="both"/>
        <w:rPr>
          <w:rFonts w:ascii="Palatino Linotype" w:hAnsi="Palatino Linotype"/>
          <w:bCs/>
          <w:i/>
          <w:iCs/>
          <w:sz w:val="22"/>
          <w:szCs w:val="22"/>
          <w:lang w:val="es-ES"/>
        </w:rPr>
      </w:pPr>
      <w:r w:rsidRPr="00770A74">
        <w:rPr>
          <w:rFonts w:ascii="Palatino Linotype" w:hAnsi="Palatino Linotype"/>
          <w:bCs/>
          <w:i/>
          <w:iCs/>
          <w:sz w:val="22"/>
          <w:szCs w:val="22"/>
          <w:lang w:val="es-ES"/>
        </w:rPr>
        <w:t>Para verificar el cumplimiento del ejercicio de recursos asignados al "PRESTADOR DEL SERVICIO", se realizarán las siguientes medidas:</w:t>
      </w:r>
    </w:p>
    <w:p w14:paraId="1BE5E235" w14:textId="77777777" w:rsidR="009208F4" w:rsidRPr="00770A74" w:rsidRDefault="009208F4" w:rsidP="00A449AA">
      <w:pPr>
        <w:ind w:left="850" w:right="901"/>
        <w:jc w:val="both"/>
        <w:rPr>
          <w:rFonts w:ascii="Palatino Linotype" w:hAnsi="Palatino Linotype"/>
          <w:bCs/>
          <w:i/>
          <w:iCs/>
          <w:sz w:val="22"/>
          <w:szCs w:val="22"/>
          <w:lang w:val="es-ES"/>
        </w:rPr>
      </w:pPr>
      <w:r w:rsidRPr="00770A74">
        <w:rPr>
          <w:rFonts w:ascii="Palatino Linotype" w:hAnsi="Palatino Linotype"/>
          <w:bCs/>
          <w:i/>
          <w:iCs/>
          <w:sz w:val="22"/>
          <w:szCs w:val="22"/>
          <w:lang w:val="es-ES"/>
        </w:rPr>
        <w:t>…</w:t>
      </w:r>
    </w:p>
    <w:p w14:paraId="5D23DC8D" w14:textId="77777777" w:rsidR="009208F4" w:rsidRPr="00770A74" w:rsidRDefault="009208F4" w:rsidP="00A449AA">
      <w:pPr>
        <w:ind w:left="850" w:right="901"/>
        <w:jc w:val="both"/>
        <w:rPr>
          <w:rFonts w:ascii="Palatino Linotype" w:hAnsi="Palatino Linotype"/>
          <w:bCs/>
          <w:i/>
          <w:iCs/>
          <w:sz w:val="22"/>
          <w:szCs w:val="22"/>
          <w:lang w:val="es-ES"/>
        </w:rPr>
      </w:pPr>
      <w:r w:rsidRPr="00770A74">
        <w:rPr>
          <w:rFonts w:ascii="Palatino Linotype" w:hAnsi="Palatino Linotype"/>
          <w:bCs/>
          <w:i/>
          <w:iCs/>
          <w:sz w:val="22"/>
          <w:szCs w:val="22"/>
          <w:lang w:val="es-ES"/>
        </w:rPr>
        <w:t xml:space="preserve">3.-Durante </w:t>
      </w:r>
      <w:r w:rsidRPr="00770A74">
        <w:rPr>
          <w:rFonts w:ascii="Palatino Linotype" w:hAnsi="Palatino Linotype"/>
          <w:b/>
          <w:bCs/>
          <w:i/>
          <w:iCs/>
          <w:sz w:val="22"/>
          <w:szCs w:val="22"/>
          <w:lang w:val="es-ES"/>
        </w:rPr>
        <w:t>la presentación trimestral de los informes de avances físicos financieros por parte del "PRESTADOR DEL SERVICIO", en los que acrediten los avances en el cumplimiento de las acciones correspondientes al Programa respectivo, la unidad administrativa de la CONAGUA correspondiente, verificará que éstos sean acordes al Programa de Acciones</w:t>
      </w:r>
      <w:r w:rsidRPr="00770A74">
        <w:rPr>
          <w:rFonts w:ascii="Palatino Linotype" w:hAnsi="Palatino Linotype"/>
          <w:bCs/>
          <w:i/>
          <w:iCs/>
          <w:sz w:val="22"/>
          <w:szCs w:val="22"/>
          <w:lang w:val="es-ES"/>
        </w:rPr>
        <w:t xml:space="preserve"> dictaminado favorablemente y deberán capturarlos en el sistema informático del PRODDER.</w:t>
      </w:r>
    </w:p>
    <w:p w14:paraId="43D0EA22" w14:textId="77777777" w:rsidR="009208F4" w:rsidRPr="00770A74" w:rsidRDefault="009208F4" w:rsidP="00A449AA">
      <w:pPr>
        <w:ind w:left="850" w:right="901"/>
        <w:jc w:val="both"/>
        <w:rPr>
          <w:rFonts w:ascii="Palatino Linotype" w:hAnsi="Palatino Linotype"/>
          <w:bCs/>
          <w:i/>
          <w:iCs/>
          <w:sz w:val="22"/>
          <w:szCs w:val="22"/>
          <w:lang w:val="es-ES"/>
        </w:rPr>
      </w:pPr>
    </w:p>
    <w:p w14:paraId="40B2FD2F" w14:textId="77777777" w:rsidR="009208F4" w:rsidRPr="00770A74" w:rsidRDefault="009208F4" w:rsidP="00A449AA">
      <w:pPr>
        <w:ind w:left="850" w:right="901"/>
        <w:jc w:val="both"/>
        <w:rPr>
          <w:rFonts w:ascii="Palatino Linotype" w:hAnsi="Palatino Linotype"/>
          <w:b/>
          <w:bCs/>
          <w:i/>
          <w:iCs/>
          <w:sz w:val="22"/>
          <w:szCs w:val="22"/>
          <w:u w:val="single"/>
          <w:lang w:val="es-ES"/>
        </w:rPr>
      </w:pPr>
      <w:r w:rsidRPr="00770A74">
        <w:rPr>
          <w:rFonts w:ascii="Palatino Linotype" w:hAnsi="Palatino Linotype"/>
          <w:b/>
          <w:bCs/>
          <w:i/>
          <w:iCs/>
          <w:sz w:val="22"/>
          <w:szCs w:val="22"/>
          <w:u w:val="single"/>
          <w:lang w:val="es-ES"/>
        </w:rPr>
        <w:t xml:space="preserve">4.-En caso de que no se acredite el cumplimiento de los avances conforme al Programa de Acciones anual; no se presenten los informes de los avances físicos financieros trimestrales; no se integre el cierre del ejercicio que corresponda; o al realizar la verificación se observe que alguna de las acciones se encuentra inconclusa o no realizada, la unidad administrativa de la CONAGUA correspondiente, solicitará </w:t>
      </w:r>
      <w:r w:rsidRPr="00770A74">
        <w:rPr>
          <w:rFonts w:ascii="Palatino Linotype" w:hAnsi="Palatino Linotype"/>
          <w:b/>
          <w:bCs/>
          <w:i/>
          <w:iCs/>
          <w:sz w:val="22"/>
          <w:szCs w:val="22"/>
          <w:u w:val="single"/>
          <w:lang w:val="es-ES"/>
        </w:rPr>
        <w:lastRenderedPageBreak/>
        <w:t>al "PRESTADOR DEL SERVICIO" el reintegro a la Tesorería de la Federación de la participación federal respecto de los recursos no acreditados,</w:t>
      </w:r>
      <w:r w:rsidRPr="00770A74">
        <w:rPr>
          <w:rFonts w:ascii="Palatino Linotype" w:hAnsi="Palatino Linotype"/>
          <w:bCs/>
          <w:i/>
          <w:iCs/>
          <w:sz w:val="22"/>
          <w:szCs w:val="22"/>
          <w:lang w:val="es-ES"/>
        </w:rPr>
        <w:t xml:space="preserve"> junto con las cargas financieras, cuya copia de conocimiento se remitirá a las instancias fiscalizadoras tales como la Contraloría General del Estado, la Secretaría de la Función Pública del Estado y la </w:t>
      </w:r>
      <w:r w:rsidRPr="00770A74">
        <w:rPr>
          <w:rFonts w:ascii="Palatino Linotype" w:hAnsi="Palatino Linotype"/>
          <w:b/>
          <w:bCs/>
          <w:i/>
          <w:iCs/>
          <w:sz w:val="22"/>
          <w:szCs w:val="22"/>
          <w:u w:val="single"/>
          <w:lang w:val="es-ES"/>
        </w:rPr>
        <w:t>Auditoría Superior del Estado respectivamente.</w:t>
      </w:r>
    </w:p>
    <w:p w14:paraId="2DA7BDF4" w14:textId="77777777" w:rsidR="009208F4" w:rsidRPr="00770A74" w:rsidRDefault="009208F4" w:rsidP="00A449AA">
      <w:pPr>
        <w:ind w:left="850" w:right="901"/>
        <w:jc w:val="both"/>
        <w:rPr>
          <w:rFonts w:ascii="Palatino Linotype" w:hAnsi="Palatino Linotype"/>
          <w:b/>
          <w:bCs/>
          <w:i/>
          <w:iCs/>
          <w:sz w:val="22"/>
          <w:szCs w:val="22"/>
          <w:u w:val="single"/>
          <w:lang w:val="es-ES"/>
        </w:rPr>
      </w:pPr>
    </w:p>
    <w:p w14:paraId="172F173B" w14:textId="77777777" w:rsidR="009208F4" w:rsidRPr="00770A74" w:rsidRDefault="009208F4" w:rsidP="00A449AA">
      <w:pPr>
        <w:ind w:left="850" w:right="901"/>
        <w:jc w:val="both"/>
        <w:rPr>
          <w:rFonts w:ascii="Palatino Linotype" w:hAnsi="Palatino Linotype"/>
          <w:b/>
          <w:bCs/>
          <w:i/>
          <w:iCs/>
          <w:sz w:val="22"/>
          <w:szCs w:val="22"/>
          <w:u w:val="single"/>
          <w:lang w:val="es-ES"/>
        </w:rPr>
      </w:pPr>
      <w:r w:rsidRPr="00770A74">
        <w:rPr>
          <w:rFonts w:ascii="Palatino Linotype" w:hAnsi="Palatino Linotype"/>
          <w:b/>
          <w:bCs/>
          <w:i/>
          <w:iCs/>
          <w:sz w:val="22"/>
          <w:szCs w:val="22"/>
          <w:u w:val="single"/>
          <w:lang w:val="es-ES"/>
        </w:rPr>
        <w:t>5.-Una vez solicitado el reintegro a la Tesorería de la Federación de la participación federal respecto de los recursos no acreditados, si el "PRESTADOR DEL SERVICIO" no lo realiza, la unidad administrativa de la CONAGUA correspondiente, emitirá un Dictamen de Incumplimiento a más tardar el 30 de noviembre del siguiente ejercicio fiscal del que se trate, y lo notificará a las instancias fiscalizadoras tales como, la Contraloría General del Estado, la Secretaría de la Función Pública del Estado y la Auditoría Superior del Estado, respectivamente, siendo ésta una causal para que no participe en el PRODDER del siguiente ejercicio fiscal, hasta en tanto se resarza el daño causado al erario federal.</w:t>
      </w:r>
    </w:p>
    <w:p w14:paraId="049AE0E5" w14:textId="77777777" w:rsidR="009208F4" w:rsidRPr="00770A74" w:rsidRDefault="009208F4" w:rsidP="00A449AA">
      <w:pPr>
        <w:ind w:left="850" w:right="901"/>
        <w:jc w:val="both"/>
        <w:rPr>
          <w:rFonts w:ascii="Palatino Linotype" w:hAnsi="Palatino Linotype"/>
          <w:bCs/>
          <w:i/>
          <w:iCs/>
          <w:sz w:val="22"/>
          <w:szCs w:val="22"/>
          <w:lang w:val="es-ES"/>
        </w:rPr>
      </w:pPr>
    </w:p>
    <w:p w14:paraId="44B255FB" w14:textId="77777777" w:rsidR="00A449AA" w:rsidRPr="00770A74" w:rsidRDefault="00A449AA" w:rsidP="00A449AA">
      <w:pPr>
        <w:ind w:left="850" w:right="901"/>
        <w:jc w:val="both"/>
        <w:rPr>
          <w:rFonts w:ascii="Palatino Linotype" w:hAnsi="Palatino Linotype"/>
          <w:b/>
          <w:bCs/>
          <w:i/>
          <w:iCs/>
          <w:sz w:val="22"/>
          <w:szCs w:val="22"/>
          <w:lang w:val="es-ES"/>
        </w:rPr>
      </w:pPr>
      <w:r w:rsidRPr="00770A74">
        <w:rPr>
          <w:rFonts w:ascii="Palatino Linotype" w:hAnsi="Palatino Linotype"/>
          <w:b/>
          <w:bCs/>
          <w:i/>
          <w:iCs/>
          <w:sz w:val="22"/>
          <w:szCs w:val="22"/>
          <w:lang w:val="es-ES"/>
        </w:rPr>
        <w:t>2.- Nivel Regional Hidrológico-Administrativo</w:t>
      </w:r>
    </w:p>
    <w:p w14:paraId="08995F25" w14:textId="77777777" w:rsidR="00A449AA" w:rsidRPr="00770A74" w:rsidRDefault="00A449AA" w:rsidP="00A449AA">
      <w:pPr>
        <w:ind w:left="850" w:right="901"/>
        <w:jc w:val="both"/>
        <w:rPr>
          <w:rFonts w:ascii="Palatino Linotype" w:hAnsi="Palatino Linotype"/>
          <w:b/>
          <w:bCs/>
          <w:i/>
          <w:iCs/>
          <w:sz w:val="22"/>
          <w:szCs w:val="22"/>
          <w:lang w:val="es-ES"/>
        </w:rPr>
      </w:pPr>
      <w:r w:rsidRPr="00770A74">
        <w:rPr>
          <w:rFonts w:ascii="Palatino Linotype" w:hAnsi="Palatino Linotype"/>
          <w:b/>
          <w:bCs/>
          <w:i/>
          <w:iCs/>
          <w:sz w:val="22"/>
          <w:szCs w:val="22"/>
          <w:lang w:val="es-ES"/>
        </w:rPr>
        <w:t>Unidades Administrativas de la CONAGUA cuya sede se encuentre en la entidad federativa en la que se ubique el "PRESTADOR DEL SERVICIO":</w:t>
      </w:r>
    </w:p>
    <w:p w14:paraId="7EE3C390" w14:textId="77777777" w:rsidR="00373A6E" w:rsidRPr="00770A74" w:rsidRDefault="00373A6E" w:rsidP="00A449AA">
      <w:pPr>
        <w:ind w:left="850" w:right="901"/>
        <w:jc w:val="both"/>
        <w:rPr>
          <w:rFonts w:ascii="Palatino Linotype" w:hAnsi="Palatino Linotype"/>
          <w:b/>
          <w:bCs/>
          <w:i/>
          <w:iCs/>
          <w:sz w:val="22"/>
          <w:szCs w:val="22"/>
          <w:lang w:val="es-ES"/>
        </w:rPr>
      </w:pPr>
    </w:p>
    <w:p w14:paraId="02D26334" w14:textId="77777777" w:rsidR="00A449AA" w:rsidRPr="00770A74" w:rsidRDefault="00A449AA" w:rsidP="00A449AA">
      <w:pPr>
        <w:ind w:left="850" w:right="901"/>
        <w:jc w:val="both"/>
        <w:rPr>
          <w:rFonts w:ascii="Palatino Linotype" w:hAnsi="Palatino Linotype"/>
          <w:b/>
          <w:bCs/>
          <w:i/>
          <w:iCs/>
          <w:sz w:val="22"/>
          <w:szCs w:val="22"/>
          <w:lang w:val="es-ES"/>
        </w:rPr>
      </w:pPr>
      <w:r w:rsidRPr="00770A74">
        <w:rPr>
          <w:rFonts w:ascii="Palatino Linotype" w:hAnsi="Palatino Linotype"/>
          <w:b/>
          <w:bCs/>
          <w:i/>
          <w:iCs/>
          <w:sz w:val="22"/>
          <w:szCs w:val="22"/>
          <w:lang w:val="es-ES"/>
        </w:rPr>
        <w:t>a)</w:t>
      </w:r>
      <w:r w:rsidR="00373A6E" w:rsidRPr="00770A74">
        <w:rPr>
          <w:rFonts w:ascii="Palatino Linotype" w:hAnsi="Palatino Linotype"/>
          <w:b/>
          <w:bCs/>
          <w:i/>
          <w:iCs/>
          <w:sz w:val="22"/>
          <w:szCs w:val="22"/>
          <w:lang w:val="es-ES"/>
        </w:rPr>
        <w:t> </w:t>
      </w:r>
      <w:r w:rsidRPr="00770A74">
        <w:rPr>
          <w:rFonts w:ascii="Palatino Linotype" w:hAnsi="Palatino Linotype"/>
          <w:b/>
          <w:bCs/>
          <w:i/>
          <w:iCs/>
          <w:sz w:val="22"/>
          <w:szCs w:val="22"/>
          <w:lang w:val="es-ES"/>
        </w:rPr>
        <w:t>Crear un expediente único por</w:t>
      </w:r>
      <w:r w:rsidR="00373A6E" w:rsidRPr="00770A74">
        <w:rPr>
          <w:rFonts w:ascii="Palatino Linotype" w:hAnsi="Palatino Linotype"/>
          <w:b/>
          <w:bCs/>
          <w:i/>
          <w:iCs/>
          <w:sz w:val="22"/>
          <w:szCs w:val="22"/>
          <w:lang w:val="es-ES"/>
        </w:rPr>
        <w:t xml:space="preserve"> </w:t>
      </w:r>
      <w:r w:rsidRPr="00770A74">
        <w:rPr>
          <w:rFonts w:ascii="Palatino Linotype" w:hAnsi="Palatino Linotype"/>
          <w:b/>
          <w:bCs/>
          <w:i/>
          <w:iCs/>
          <w:sz w:val="22"/>
          <w:szCs w:val="22"/>
          <w:lang w:val="es-ES"/>
        </w:rPr>
        <w:t>"PRESTADOR DEL SERVICIO", que a</w:t>
      </w:r>
      <w:r w:rsidR="00373A6E" w:rsidRPr="00770A74">
        <w:rPr>
          <w:rFonts w:ascii="Palatino Linotype" w:hAnsi="Palatino Linotype"/>
          <w:b/>
          <w:bCs/>
          <w:i/>
          <w:iCs/>
          <w:sz w:val="22"/>
          <w:szCs w:val="22"/>
          <w:lang w:val="es-ES"/>
        </w:rPr>
        <w:t xml:space="preserve">l menos cuente con la siguiente </w:t>
      </w:r>
      <w:r w:rsidRPr="00770A74">
        <w:rPr>
          <w:rFonts w:ascii="Palatino Linotype" w:hAnsi="Palatino Linotype"/>
          <w:b/>
          <w:bCs/>
          <w:i/>
          <w:iCs/>
          <w:sz w:val="22"/>
          <w:szCs w:val="22"/>
          <w:lang w:val="es-ES"/>
        </w:rPr>
        <w:t>documentación:</w:t>
      </w:r>
    </w:p>
    <w:p w14:paraId="5C3466FB" w14:textId="77777777" w:rsidR="00373A6E" w:rsidRPr="00770A74" w:rsidRDefault="00373A6E" w:rsidP="00A449AA">
      <w:pPr>
        <w:ind w:left="850" w:right="901"/>
        <w:jc w:val="both"/>
        <w:rPr>
          <w:rFonts w:ascii="Palatino Linotype" w:hAnsi="Palatino Linotype"/>
          <w:b/>
          <w:bCs/>
          <w:i/>
          <w:iCs/>
          <w:sz w:val="22"/>
          <w:szCs w:val="22"/>
          <w:lang w:val="es-ES"/>
        </w:rPr>
      </w:pPr>
    </w:p>
    <w:p w14:paraId="615F81A7" w14:textId="77777777" w:rsidR="00A449AA" w:rsidRPr="00770A74" w:rsidRDefault="00A449AA" w:rsidP="00373A6E">
      <w:pPr>
        <w:ind w:left="1134" w:right="901"/>
        <w:jc w:val="both"/>
        <w:rPr>
          <w:rFonts w:ascii="Palatino Linotype" w:hAnsi="Palatino Linotype"/>
          <w:bCs/>
          <w:i/>
          <w:iCs/>
          <w:sz w:val="22"/>
          <w:szCs w:val="22"/>
          <w:lang w:val="es-ES"/>
        </w:rPr>
      </w:pPr>
      <w:r w:rsidRPr="00770A74">
        <w:rPr>
          <w:rFonts w:ascii="Palatino Linotype" w:hAnsi="Palatino Linotype"/>
          <w:bCs/>
          <w:i/>
          <w:iCs/>
          <w:sz w:val="22"/>
          <w:szCs w:val="22"/>
          <w:lang w:val="es-ES"/>
        </w:rPr>
        <w:t>1. Solicitud por escrito para ser beneficiario de la asignación de recursos;</w:t>
      </w:r>
    </w:p>
    <w:p w14:paraId="27FDC5AD" w14:textId="77777777" w:rsidR="00A449AA" w:rsidRPr="00770A74" w:rsidRDefault="00A449AA" w:rsidP="00373A6E">
      <w:pPr>
        <w:ind w:left="1134" w:right="901"/>
        <w:jc w:val="both"/>
        <w:rPr>
          <w:rFonts w:ascii="Palatino Linotype" w:hAnsi="Palatino Linotype"/>
          <w:bCs/>
          <w:i/>
          <w:iCs/>
          <w:sz w:val="22"/>
          <w:szCs w:val="22"/>
          <w:lang w:val="es-ES"/>
        </w:rPr>
      </w:pPr>
      <w:r w:rsidRPr="00770A74">
        <w:rPr>
          <w:rFonts w:ascii="Palatino Linotype" w:hAnsi="Palatino Linotype"/>
          <w:bCs/>
          <w:i/>
          <w:iCs/>
          <w:sz w:val="22"/>
          <w:szCs w:val="22"/>
          <w:lang w:val="es-ES"/>
        </w:rPr>
        <w:t>2. Programa de Acciones;</w:t>
      </w:r>
    </w:p>
    <w:p w14:paraId="4D9547CD" w14:textId="77777777" w:rsidR="00A449AA" w:rsidRPr="00770A74" w:rsidRDefault="00A449AA" w:rsidP="00373A6E">
      <w:pPr>
        <w:ind w:left="1134" w:right="901"/>
        <w:jc w:val="both"/>
        <w:rPr>
          <w:rFonts w:ascii="Palatino Linotype" w:hAnsi="Palatino Linotype"/>
          <w:bCs/>
          <w:i/>
          <w:iCs/>
          <w:sz w:val="22"/>
          <w:szCs w:val="22"/>
          <w:lang w:val="es-ES"/>
        </w:rPr>
      </w:pPr>
      <w:r w:rsidRPr="00770A74">
        <w:rPr>
          <w:rFonts w:ascii="Palatino Linotype" w:hAnsi="Palatino Linotype"/>
          <w:bCs/>
          <w:i/>
          <w:iCs/>
          <w:sz w:val="22"/>
          <w:szCs w:val="22"/>
          <w:lang w:val="es-ES"/>
        </w:rPr>
        <w:t>3. Dictamen del Programa de Acciones;</w:t>
      </w:r>
    </w:p>
    <w:p w14:paraId="72F06806" w14:textId="77777777" w:rsidR="00A449AA" w:rsidRPr="00770A74" w:rsidRDefault="00A449AA" w:rsidP="00373A6E">
      <w:pPr>
        <w:ind w:left="1134" w:right="901"/>
        <w:jc w:val="both"/>
        <w:rPr>
          <w:rFonts w:ascii="Palatino Linotype" w:hAnsi="Palatino Linotype"/>
          <w:bCs/>
          <w:i/>
          <w:iCs/>
          <w:sz w:val="22"/>
          <w:szCs w:val="22"/>
          <w:lang w:val="es-ES"/>
        </w:rPr>
      </w:pPr>
      <w:r w:rsidRPr="00770A74">
        <w:rPr>
          <w:rFonts w:ascii="Palatino Linotype" w:hAnsi="Palatino Linotype"/>
          <w:bCs/>
          <w:i/>
          <w:iCs/>
          <w:sz w:val="22"/>
          <w:szCs w:val="22"/>
          <w:lang w:val="es-ES"/>
        </w:rPr>
        <w:t>4. Copia del Registro Federal de Contribuyentes (RFC);</w:t>
      </w:r>
    </w:p>
    <w:p w14:paraId="0BD3A53F" w14:textId="77777777" w:rsidR="00A449AA" w:rsidRPr="00770A74" w:rsidRDefault="00A449AA" w:rsidP="00373A6E">
      <w:pPr>
        <w:ind w:left="1134" w:right="901"/>
        <w:jc w:val="both"/>
        <w:rPr>
          <w:rFonts w:ascii="Palatino Linotype" w:hAnsi="Palatino Linotype"/>
          <w:bCs/>
          <w:i/>
          <w:iCs/>
          <w:sz w:val="22"/>
          <w:szCs w:val="22"/>
          <w:lang w:val="es-ES"/>
        </w:rPr>
      </w:pPr>
      <w:r w:rsidRPr="00770A74">
        <w:rPr>
          <w:rFonts w:ascii="Palatino Linotype" w:hAnsi="Palatino Linotype"/>
          <w:bCs/>
          <w:i/>
          <w:iCs/>
          <w:sz w:val="22"/>
          <w:szCs w:val="22"/>
          <w:lang w:val="es-ES"/>
        </w:rPr>
        <w:t>5. Copia de la cuenta bancaria a la cual se depositará el recurso, misma que debe incluir:</w:t>
      </w:r>
    </w:p>
    <w:p w14:paraId="51770720" w14:textId="77777777" w:rsidR="00A449AA" w:rsidRPr="00770A74" w:rsidRDefault="00A449AA" w:rsidP="00373A6E">
      <w:pPr>
        <w:ind w:left="1418" w:right="901"/>
        <w:jc w:val="both"/>
        <w:rPr>
          <w:rFonts w:ascii="Palatino Linotype" w:hAnsi="Palatino Linotype"/>
          <w:bCs/>
          <w:i/>
          <w:iCs/>
          <w:sz w:val="22"/>
          <w:szCs w:val="22"/>
          <w:lang w:val="es-ES"/>
        </w:rPr>
      </w:pPr>
      <w:r w:rsidRPr="00770A74">
        <w:rPr>
          <w:rFonts w:ascii="Palatino Linotype" w:hAnsi="Palatino Linotype"/>
          <w:bCs/>
          <w:i/>
          <w:iCs/>
          <w:sz w:val="22"/>
          <w:szCs w:val="22"/>
          <w:lang w:val="es-ES"/>
        </w:rPr>
        <w:t>a) Constancia de domicilio fiscal;</w:t>
      </w:r>
    </w:p>
    <w:p w14:paraId="5E593B07" w14:textId="77777777" w:rsidR="00A449AA" w:rsidRPr="00770A74" w:rsidRDefault="00A449AA" w:rsidP="00373A6E">
      <w:pPr>
        <w:ind w:left="1418" w:right="901"/>
        <w:jc w:val="both"/>
        <w:rPr>
          <w:rFonts w:ascii="Palatino Linotype" w:hAnsi="Palatino Linotype"/>
          <w:bCs/>
          <w:i/>
          <w:iCs/>
          <w:sz w:val="22"/>
          <w:szCs w:val="22"/>
          <w:lang w:val="es-ES"/>
        </w:rPr>
      </w:pPr>
      <w:r w:rsidRPr="00770A74">
        <w:rPr>
          <w:rFonts w:ascii="Palatino Linotype" w:hAnsi="Palatino Linotype"/>
          <w:bCs/>
          <w:i/>
          <w:iCs/>
          <w:sz w:val="22"/>
          <w:szCs w:val="22"/>
          <w:lang w:val="es-ES"/>
        </w:rPr>
        <w:lastRenderedPageBreak/>
        <w:t>b) Constancia de la institución bancaria sobre la existencia de la cuenta de cheques abierta a nombre del "PRESTADOR DEL SERVICIO", y</w:t>
      </w:r>
    </w:p>
    <w:p w14:paraId="203A64AB" w14:textId="77777777" w:rsidR="00A449AA" w:rsidRPr="00770A74" w:rsidRDefault="00A449AA" w:rsidP="00373A6E">
      <w:pPr>
        <w:ind w:left="1418" w:right="901"/>
        <w:jc w:val="both"/>
        <w:rPr>
          <w:rFonts w:ascii="Palatino Linotype" w:hAnsi="Palatino Linotype"/>
          <w:bCs/>
          <w:i/>
          <w:iCs/>
          <w:sz w:val="22"/>
          <w:szCs w:val="22"/>
          <w:lang w:val="es-ES"/>
        </w:rPr>
      </w:pPr>
      <w:r w:rsidRPr="00770A74">
        <w:rPr>
          <w:rFonts w:ascii="Palatino Linotype" w:hAnsi="Palatino Linotype"/>
          <w:bCs/>
          <w:i/>
          <w:iCs/>
          <w:sz w:val="22"/>
          <w:szCs w:val="22"/>
          <w:lang w:val="es-ES"/>
        </w:rPr>
        <w:t>c) Número de cuenta CLABE de la cuenta bancaria, la cual deberá corresponder a la del "PRESTADOR DEL SERVICIO";</w:t>
      </w:r>
    </w:p>
    <w:p w14:paraId="7B34C7E3" w14:textId="77777777" w:rsidR="00A449AA" w:rsidRPr="00770A74" w:rsidRDefault="00A449AA" w:rsidP="00373A6E">
      <w:pPr>
        <w:ind w:left="1134" w:right="901"/>
        <w:jc w:val="both"/>
        <w:rPr>
          <w:rFonts w:ascii="Palatino Linotype" w:hAnsi="Palatino Linotype"/>
          <w:b/>
          <w:bCs/>
          <w:i/>
          <w:iCs/>
          <w:sz w:val="22"/>
          <w:szCs w:val="22"/>
          <w:u w:val="single"/>
          <w:lang w:val="es-ES"/>
        </w:rPr>
      </w:pPr>
      <w:r w:rsidRPr="00770A74">
        <w:rPr>
          <w:rFonts w:ascii="Palatino Linotype" w:hAnsi="Palatino Linotype"/>
          <w:b/>
          <w:bCs/>
          <w:i/>
          <w:iCs/>
          <w:sz w:val="22"/>
          <w:szCs w:val="22"/>
          <w:u w:val="single"/>
          <w:lang w:val="es-ES"/>
        </w:rPr>
        <w:t>6.</w:t>
      </w:r>
      <w:r w:rsidR="00373A6E" w:rsidRPr="00770A74">
        <w:rPr>
          <w:rFonts w:ascii="Palatino Linotype" w:hAnsi="Palatino Linotype"/>
          <w:b/>
          <w:bCs/>
          <w:i/>
          <w:iCs/>
          <w:sz w:val="22"/>
          <w:szCs w:val="22"/>
          <w:u w:val="single"/>
          <w:lang w:val="es-ES"/>
        </w:rPr>
        <w:t> </w:t>
      </w:r>
      <w:r w:rsidRPr="00770A74">
        <w:rPr>
          <w:rFonts w:ascii="Palatino Linotype" w:hAnsi="Palatino Linotype"/>
          <w:b/>
          <w:bCs/>
          <w:i/>
          <w:iCs/>
          <w:sz w:val="22"/>
          <w:szCs w:val="22"/>
          <w:u w:val="single"/>
          <w:lang w:val="es-ES"/>
        </w:rPr>
        <w:t>Informes trimestrales de los avances físico financieros;</w:t>
      </w:r>
    </w:p>
    <w:p w14:paraId="32E55284" w14:textId="77777777" w:rsidR="00A449AA" w:rsidRPr="00770A74" w:rsidRDefault="00A449AA" w:rsidP="00373A6E">
      <w:pPr>
        <w:ind w:left="1134" w:right="901"/>
        <w:jc w:val="both"/>
        <w:rPr>
          <w:rFonts w:ascii="Palatino Linotype" w:hAnsi="Palatino Linotype"/>
          <w:b/>
          <w:bCs/>
          <w:i/>
          <w:iCs/>
          <w:sz w:val="22"/>
          <w:szCs w:val="22"/>
          <w:u w:val="single"/>
          <w:lang w:val="es-ES"/>
        </w:rPr>
      </w:pPr>
      <w:r w:rsidRPr="00770A74">
        <w:rPr>
          <w:rFonts w:ascii="Palatino Linotype" w:hAnsi="Palatino Linotype"/>
          <w:b/>
          <w:bCs/>
          <w:i/>
          <w:iCs/>
          <w:sz w:val="22"/>
          <w:szCs w:val="22"/>
          <w:u w:val="single"/>
          <w:lang w:val="es-ES"/>
        </w:rPr>
        <w:t>7.</w:t>
      </w:r>
      <w:r w:rsidR="00373A6E" w:rsidRPr="00770A74">
        <w:rPr>
          <w:rFonts w:ascii="Palatino Linotype" w:hAnsi="Palatino Linotype"/>
          <w:b/>
          <w:bCs/>
          <w:i/>
          <w:iCs/>
          <w:sz w:val="22"/>
          <w:szCs w:val="22"/>
          <w:u w:val="single"/>
          <w:lang w:val="es-ES"/>
        </w:rPr>
        <w:t> </w:t>
      </w:r>
      <w:r w:rsidRPr="00770A74">
        <w:rPr>
          <w:rFonts w:ascii="Palatino Linotype" w:hAnsi="Palatino Linotype"/>
          <w:b/>
          <w:bCs/>
          <w:i/>
          <w:iCs/>
          <w:sz w:val="22"/>
          <w:szCs w:val="22"/>
          <w:u w:val="single"/>
          <w:lang w:val="es-ES"/>
        </w:rPr>
        <w:t>Cierre del ejercicio fiscal correspondiente;</w:t>
      </w:r>
    </w:p>
    <w:p w14:paraId="229B5FF5" w14:textId="77777777" w:rsidR="00A449AA" w:rsidRPr="00770A74" w:rsidRDefault="00A449AA" w:rsidP="00373A6E">
      <w:pPr>
        <w:ind w:left="1134" w:right="901"/>
        <w:jc w:val="both"/>
        <w:rPr>
          <w:rFonts w:ascii="Palatino Linotype" w:hAnsi="Palatino Linotype"/>
          <w:bCs/>
          <w:i/>
          <w:iCs/>
          <w:sz w:val="22"/>
          <w:szCs w:val="22"/>
          <w:lang w:val="es-ES"/>
        </w:rPr>
      </w:pPr>
      <w:r w:rsidRPr="00770A74">
        <w:rPr>
          <w:rFonts w:ascii="Palatino Linotype" w:hAnsi="Palatino Linotype"/>
          <w:bCs/>
          <w:i/>
          <w:iCs/>
          <w:sz w:val="22"/>
          <w:szCs w:val="22"/>
          <w:lang w:val="es-ES"/>
        </w:rPr>
        <w:t>8. Informe de visita de verificación al programa de acciones;</w:t>
      </w:r>
    </w:p>
    <w:p w14:paraId="3DBCF0DA" w14:textId="77777777" w:rsidR="00A449AA" w:rsidRPr="00770A74" w:rsidRDefault="00A449AA" w:rsidP="00373A6E">
      <w:pPr>
        <w:ind w:left="1134" w:right="901"/>
        <w:jc w:val="both"/>
        <w:rPr>
          <w:rFonts w:ascii="Palatino Linotype" w:hAnsi="Palatino Linotype"/>
          <w:bCs/>
          <w:i/>
          <w:iCs/>
          <w:sz w:val="22"/>
          <w:szCs w:val="22"/>
          <w:lang w:val="es-ES"/>
        </w:rPr>
      </w:pPr>
      <w:r w:rsidRPr="00770A74">
        <w:rPr>
          <w:rFonts w:ascii="Palatino Linotype" w:hAnsi="Palatino Linotype"/>
          <w:bCs/>
          <w:i/>
          <w:iCs/>
          <w:sz w:val="22"/>
          <w:szCs w:val="22"/>
          <w:lang w:val="es-ES"/>
        </w:rPr>
        <w:t>9. Programa de Acciones modificado (de ser el caso), y</w:t>
      </w:r>
    </w:p>
    <w:p w14:paraId="1470B38A" w14:textId="77777777" w:rsidR="00A449AA" w:rsidRPr="00770A74" w:rsidRDefault="00A449AA" w:rsidP="00373A6E">
      <w:pPr>
        <w:ind w:left="1134" w:right="901"/>
        <w:jc w:val="both"/>
        <w:rPr>
          <w:rFonts w:ascii="Palatino Linotype" w:hAnsi="Palatino Linotype"/>
          <w:bCs/>
          <w:i/>
          <w:iCs/>
          <w:sz w:val="22"/>
          <w:szCs w:val="22"/>
          <w:lang w:val="es-ES"/>
        </w:rPr>
      </w:pPr>
      <w:r w:rsidRPr="00770A74">
        <w:rPr>
          <w:rFonts w:ascii="Palatino Linotype" w:hAnsi="Palatino Linotype"/>
          <w:bCs/>
          <w:i/>
          <w:iCs/>
          <w:sz w:val="22"/>
          <w:szCs w:val="22"/>
          <w:lang w:val="es-ES"/>
        </w:rPr>
        <w:t>10. Documentación general inherente al Programa;</w:t>
      </w:r>
    </w:p>
    <w:p w14:paraId="42A46E87" w14:textId="77777777" w:rsidR="00373A6E" w:rsidRPr="00770A74" w:rsidRDefault="00373A6E" w:rsidP="00373A6E">
      <w:pPr>
        <w:ind w:left="851" w:right="901"/>
        <w:jc w:val="both"/>
        <w:rPr>
          <w:rFonts w:ascii="Palatino Linotype" w:hAnsi="Palatino Linotype"/>
          <w:bCs/>
          <w:i/>
          <w:iCs/>
          <w:sz w:val="22"/>
          <w:szCs w:val="22"/>
          <w:lang w:val="es-ES"/>
        </w:rPr>
      </w:pPr>
    </w:p>
    <w:p w14:paraId="39311021" w14:textId="77777777" w:rsidR="00A449AA" w:rsidRPr="00770A74" w:rsidRDefault="00A449AA" w:rsidP="00373A6E">
      <w:pPr>
        <w:ind w:left="851" w:right="901"/>
        <w:jc w:val="both"/>
        <w:rPr>
          <w:rFonts w:ascii="Palatino Linotype" w:hAnsi="Palatino Linotype"/>
          <w:bCs/>
          <w:i/>
          <w:iCs/>
          <w:sz w:val="22"/>
          <w:szCs w:val="22"/>
          <w:lang w:val="es-ES"/>
        </w:rPr>
      </w:pPr>
      <w:r w:rsidRPr="00770A74">
        <w:rPr>
          <w:rFonts w:ascii="Palatino Linotype" w:hAnsi="Palatino Linotype"/>
          <w:bCs/>
          <w:i/>
          <w:iCs/>
          <w:sz w:val="22"/>
          <w:szCs w:val="22"/>
          <w:lang w:val="es-ES"/>
        </w:rPr>
        <w:t>b)</w:t>
      </w:r>
      <w:r w:rsidR="00373A6E" w:rsidRPr="00770A74">
        <w:rPr>
          <w:rFonts w:ascii="Palatino Linotype" w:hAnsi="Palatino Linotype"/>
          <w:bCs/>
          <w:i/>
          <w:iCs/>
          <w:sz w:val="22"/>
          <w:szCs w:val="22"/>
          <w:lang w:val="es-ES"/>
        </w:rPr>
        <w:t> </w:t>
      </w:r>
      <w:r w:rsidRPr="00770A74">
        <w:rPr>
          <w:rFonts w:ascii="Palatino Linotype" w:hAnsi="Palatino Linotype"/>
          <w:bCs/>
          <w:i/>
          <w:iCs/>
          <w:sz w:val="22"/>
          <w:szCs w:val="22"/>
          <w:lang w:val="es-ES"/>
        </w:rPr>
        <w:t>Recibir la solicitud por escrito que presente el "PRESTADOR DEL SERVICIO" para acceder al beneficio establecido en el artículo 231-A de la Ley Federal de Derechos, objeto de los presentes Lineamientos;</w:t>
      </w:r>
    </w:p>
    <w:p w14:paraId="2A4488B9" w14:textId="77777777" w:rsidR="00373A6E" w:rsidRPr="00770A74" w:rsidRDefault="00373A6E" w:rsidP="00373A6E">
      <w:pPr>
        <w:ind w:left="851" w:right="901"/>
        <w:jc w:val="both"/>
        <w:rPr>
          <w:rFonts w:ascii="Palatino Linotype" w:hAnsi="Palatino Linotype"/>
          <w:bCs/>
          <w:i/>
          <w:iCs/>
          <w:sz w:val="22"/>
          <w:szCs w:val="22"/>
          <w:lang w:val="es-ES"/>
        </w:rPr>
      </w:pPr>
    </w:p>
    <w:p w14:paraId="223DE6AB" w14:textId="77777777" w:rsidR="00A449AA" w:rsidRPr="00770A74" w:rsidRDefault="00A449AA" w:rsidP="00373A6E">
      <w:pPr>
        <w:ind w:left="851" w:right="901"/>
        <w:jc w:val="both"/>
        <w:rPr>
          <w:rFonts w:ascii="Palatino Linotype" w:hAnsi="Palatino Linotype"/>
          <w:bCs/>
          <w:i/>
          <w:iCs/>
          <w:sz w:val="22"/>
          <w:szCs w:val="22"/>
          <w:lang w:val="es-ES"/>
        </w:rPr>
      </w:pPr>
      <w:r w:rsidRPr="00770A74">
        <w:rPr>
          <w:rFonts w:ascii="Palatino Linotype" w:hAnsi="Palatino Linotype"/>
          <w:bCs/>
          <w:i/>
          <w:iCs/>
          <w:sz w:val="22"/>
          <w:szCs w:val="22"/>
          <w:lang w:val="es-ES"/>
        </w:rPr>
        <w:t>c) Dictaminar la procedencia del Programa de Acciones presentado, y remitirlo a la Subdirección General de Agua Potable, Drenaje y Saneamiento, junto con los documentos mencionados en el apartado III denominado "Requisitos", debidamente sellados de recibido, a más tardar</w:t>
      </w:r>
      <w:r w:rsidRPr="00770A74">
        <w:rPr>
          <w:rFonts w:ascii="Palatino Linotype" w:hAnsi="Palatino Linotype"/>
          <w:b/>
          <w:bCs/>
          <w:i/>
          <w:iCs/>
          <w:sz w:val="22"/>
          <w:szCs w:val="22"/>
          <w:lang w:val="es-ES"/>
        </w:rPr>
        <w:t xml:space="preserve"> </w:t>
      </w:r>
      <w:r w:rsidRPr="00770A74">
        <w:rPr>
          <w:rFonts w:ascii="Palatino Linotype" w:hAnsi="Palatino Linotype"/>
          <w:bCs/>
          <w:i/>
          <w:iCs/>
          <w:sz w:val="22"/>
          <w:szCs w:val="22"/>
          <w:lang w:val="es-ES"/>
        </w:rPr>
        <w:t>10 (diez) días hábiles posteriores al 15 de febrero del año fiscal de que se trate;</w:t>
      </w:r>
    </w:p>
    <w:p w14:paraId="3BC6F035" w14:textId="77777777" w:rsidR="00A449AA" w:rsidRPr="00770A74" w:rsidRDefault="00A449AA" w:rsidP="00A449AA">
      <w:pPr>
        <w:ind w:left="850" w:right="901"/>
        <w:jc w:val="both"/>
        <w:rPr>
          <w:rFonts w:ascii="Palatino Linotype" w:hAnsi="Palatino Linotype"/>
          <w:bCs/>
          <w:i/>
          <w:iCs/>
          <w:sz w:val="22"/>
          <w:szCs w:val="22"/>
          <w:lang w:val="es-ES"/>
        </w:rPr>
      </w:pPr>
      <w:r w:rsidRPr="00770A74">
        <w:rPr>
          <w:rFonts w:ascii="Palatino Linotype" w:hAnsi="Palatino Linotype"/>
          <w:bCs/>
          <w:i/>
          <w:iCs/>
          <w:sz w:val="22"/>
          <w:szCs w:val="22"/>
          <w:lang w:val="es-ES"/>
        </w:rPr>
        <w:t>d) Verificar la clasificación de los componentes del Programa de Acciones de acuerdo a su finalidad, Agua Potable y Saneamiento;</w:t>
      </w:r>
    </w:p>
    <w:p w14:paraId="59FA0309" w14:textId="77777777" w:rsidR="00A449AA" w:rsidRPr="00770A74" w:rsidRDefault="00A449AA" w:rsidP="00A449AA">
      <w:pPr>
        <w:ind w:left="850" w:right="901"/>
        <w:jc w:val="both"/>
        <w:rPr>
          <w:rFonts w:ascii="Palatino Linotype" w:hAnsi="Palatino Linotype"/>
          <w:bCs/>
          <w:i/>
          <w:iCs/>
          <w:sz w:val="22"/>
          <w:szCs w:val="22"/>
          <w:lang w:val="es-ES"/>
        </w:rPr>
      </w:pPr>
      <w:r w:rsidRPr="00770A74">
        <w:rPr>
          <w:rFonts w:ascii="Palatino Linotype" w:hAnsi="Palatino Linotype"/>
          <w:bCs/>
          <w:i/>
          <w:iCs/>
          <w:sz w:val="22"/>
          <w:szCs w:val="22"/>
          <w:lang w:val="es-ES"/>
        </w:rPr>
        <w:t>e)</w:t>
      </w:r>
      <w:r w:rsidR="00373A6E" w:rsidRPr="00770A74">
        <w:rPr>
          <w:rFonts w:ascii="Palatino Linotype" w:hAnsi="Palatino Linotype"/>
          <w:bCs/>
          <w:i/>
          <w:iCs/>
          <w:sz w:val="22"/>
          <w:szCs w:val="22"/>
          <w:lang w:val="es-ES"/>
        </w:rPr>
        <w:t> </w:t>
      </w:r>
      <w:r w:rsidRPr="00770A74">
        <w:rPr>
          <w:rFonts w:ascii="Palatino Linotype" w:hAnsi="Palatino Linotype"/>
          <w:bCs/>
          <w:i/>
          <w:iCs/>
          <w:sz w:val="22"/>
          <w:szCs w:val="22"/>
          <w:lang w:val="es-ES"/>
        </w:rPr>
        <w:t>Para el caso de Programas de Acciones Modificatorios, emitir el dictamen de procedencia correspondiente, y entregarlo en la Subdirección General de Agua Potable, Drenaje y Saneamiento, a más tardar 10 (diez) días calendario posteriores al 31 de octubre, anexando el documento con el cual fue sellado de recibido;</w:t>
      </w:r>
    </w:p>
    <w:p w14:paraId="67534BAE" w14:textId="77777777" w:rsidR="00A449AA" w:rsidRPr="00770A74" w:rsidRDefault="00A449AA" w:rsidP="00A449AA">
      <w:pPr>
        <w:ind w:left="850" w:right="901"/>
        <w:jc w:val="both"/>
        <w:rPr>
          <w:rFonts w:ascii="Palatino Linotype" w:hAnsi="Palatino Linotype"/>
          <w:b/>
          <w:bCs/>
          <w:i/>
          <w:iCs/>
          <w:sz w:val="22"/>
          <w:szCs w:val="22"/>
          <w:u w:val="single"/>
          <w:lang w:val="es-ES"/>
        </w:rPr>
      </w:pPr>
      <w:r w:rsidRPr="00770A74">
        <w:rPr>
          <w:rFonts w:ascii="Palatino Linotype" w:hAnsi="Palatino Linotype"/>
          <w:b/>
          <w:bCs/>
          <w:i/>
          <w:iCs/>
          <w:sz w:val="22"/>
          <w:szCs w:val="22"/>
          <w:u w:val="single"/>
          <w:lang w:val="es-ES"/>
        </w:rPr>
        <w:t>f) Recibir el informe trimestral de avances físico-financieros que debe presentar el "PRESTADOR DEL SERVICIO", analizarlo y conservarlo en archivo;</w:t>
      </w:r>
    </w:p>
    <w:p w14:paraId="018B4322" w14:textId="77777777" w:rsidR="00A449AA" w:rsidRPr="00770A74" w:rsidRDefault="00A449AA" w:rsidP="00A449AA">
      <w:pPr>
        <w:ind w:left="850" w:right="901"/>
        <w:jc w:val="both"/>
        <w:rPr>
          <w:rFonts w:ascii="Palatino Linotype" w:hAnsi="Palatino Linotype"/>
          <w:b/>
          <w:bCs/>
          <w:i/>
          <w:iCs/>
          <w:sz w:val="22"/>
          <w:szCs w:val="22"/>
          <w:u w:val="single"/>
          <w:lang w:val="es-ES"/>
        </w:rPr>
      </w:pPr>
      <w:r w:rsidRPr="00770A74">
        <w:rPr>
          <w:rFonts w:ascii="Palatino Linotype" w:hAnsi="Palatino Linotype"/>
          <w:b/>
          <w:bCs/>
          <w:i/>
          <w:iCs/>
          <w:sz w:val="22"/>
          <w:szCs w:val="22"/>
          <w:u w:val="single"/>
          <w:lang w:val="es-ES"/>
        </w:rPr>
        <w:t>g) Elaborar un reporte trimestral del avance físico-financiero concentrado y enviarlo a la Subdirección General de Agua Potable, Drenaje y Saneamiento, conforme al formato establecido;</w:t>
      </w:r>
    </w:p>
    <w:p w14:paraId="569B1890" w14:textId="77777777" w:rsidR="00A449AA" w:rsidRPr="00770A74" w:rsidRDefault="00A449AA" w:rsidP="00A449AA">
      <w:pPr>
        <w:ind w:left="850" w:right="901"/>
        <w:jc w:val="both"/>
        <w:rPr>
          <w:rFonts w:ascii="Palatino Linotype" w:hAnsi="Palatino Linotype"/>
          <w:b/>
          <w:bCs/>
          <w:i/>
          <w:iCs/>
          <w:sz w:val="22"/>
          <w:szCs w:val="22"/>
          <w:u w:val="single"/>
          <w:lang w:val="es-ES"/>
        </w:rPr>
      </w:pPr>
      <w:r w:rsidRPr="00770A74">
        <w:rPr>
          <w:rFonts w:ascii="Palatino Linotype" w:hAnsi="Palatino Linotype"/>
          <w:b/>
          <w:bCs/>
          <w:i/>
          <w:iCs/>
          <w:sz w:val="22"/>
          <w:szCs w:val="22"/>
          <w:u w:val="single"/>
          <w:lang w:val="es-ES"/>
        </w:rPr>
        <w:lastRenderedPageBreak/>
        <w:t>h) Recibir el cierre del Programa de Acciones del ejercicio fiscal de que se trate, analizarlo y registrarlo en el sistema informático del PRODDER, así como revisar y cotejar la documentación comprobatoria que dio origen al cierre y la correspondiente a los recursos federales, sellarla con la leyenda "Apoyado con recursos del Programa PRODDER", conservarlo en archivo y remitir una copia a la Subdirección General de Agua Potable, Drenaje y Saneamiento a más tardar el 30 de abril del ejercicio fiscal siguiente;</w:t>
      </w:r>
    </w:p>
    <w:p w14:paraId="170A2269" w14:textId="77777777" w:rsidR="00A449AA" w:rsidRPr="00770A74" w:rsidRDefault="00A449AA" w:rsidP="00A449AA">
      <w:pPr>
        <w:ind w:left="850" w:right="901"/>
        <w:jc w:val="both"/>
        <w:rPr>
          <w:rFonts w:ascii="Palatino Linotype" w:hAnsi="Palatino Linotype"/>
          <w:bCs/>
          <w:i/>
          <w:iCs/>
          <w:sz w:val="22"/>
          <w:szCs w:val="22"/>
          <w:lang w:val="es-ES"/>
        </w:rPr>
      </w:pPr>
      <w:r w:rsidRPr="00770A74">
        <w:rPr>
          <w:rFonts w:ascii="Palatino Linotype" w:hAnsi="Palatino Linotype"/>
          <w:bCs/>
          <w:i/>
          <w:iCs/>
          <w:sz w:val="22"/>
          <w:szCs w:val="22"/>
          <w:lang w:val="es-ES"/>
        </w:rPr>
        <w:t>i) Verificar que se hayan recibido los cierres de ejercicios anteriores para iniciar con el trámite de radicación de recursos;</w:t>
      </w:r>
    </w:p>
    <w:p w14:paraId="7AD6C9C4" w14:textId="77777777" w:rsidR="00A449AA" w:rsidRPr="00770A74" w:rsidRDefault="00A449AA" w:rsidP="00A449AA">
      <w:pPr>
        <w:ind w:left="850" w:right="901"/>
        <w:jc w:val="both"/>
        <w:rPr>
          <w:rFonts w:ascii="Palatino Linotype" w:hAnsi="Palatino Linotype"/>
          <w:bCs/>
          <w:i/>
          <w:iCs/>
          <w:sz w:val="22"/>
          <w:szCs w:val="22"/>
          <w:lang w:val="es-ES"/>
        </w:rPr>
      </w:pPr>
      <w:r w:rsidRPr="00770A74">
        <w:rPr>
          <w:rFonts w:ascii="Palatino Linotype" w:hAnsi="Palatino Linotype"/>
          <w:bCs/>
          <w:i/>
          <w:iCs/>
          <w:sz w:val="22"/>
          <w:szCs w:val="22"/>
          <w:lang w:val="es-ES"/>
        </w:rPr>
        <w:t>j) Realizar la verificación física de las acciones correspondientes al Programa dictaminado favorablemente, en los términos de los presentes Lineamientos y elaborar el "Informe de visita de verificación al programa de acciones";</w:t>
      </w:r>
    </w:p>
    <w:p w14:paraId="1D076A2D" w14:textId="77777777" w:rsidR="00A449AA" w:rsidRPr="00770A74" w:rsidRDefault="00A449AA" w:rsidP="00A449AA">
      <w:pPr>
        <w:ind w:left="850" w:right="901"/>
        <w:jc w:val="both"/>
        <w:rPr>
          <w:rFonts w:ascii="Palatino Linotype" w:hAnsi="Palatino Linotype"/>
          <w:bCs/>
          <w:i/>
          <w:iCs/>
          <w:sz w:val="22"/>
          <w:szCs w:val="22"/>
          <w:lang w:val="es-ES"/>
        </w:rPr>
      </w:pPr>
      <w:r w:rsidRPr="00770A74">
        <w:rPr>
          <w:rFonts w:ascii="Palatino Linotype" w:hAnsi="Palatino Linotype"/>
          <w:bCs/>
          <w:i/>
          <w:iCs/>
          <w:sz w:val="22"/>
          <w:szCs w:val="22"/>
          <w:lang w:val="es-ES"/>
        </w:rPr>
        <w:t>k) Enviar el "Informe de visita de verificación al programa de acciones", junto con la documentación comprobatoria a la Subdirección General de Agua Potable, Drenaje y Saneamiento;</w:t>
      </w:r>
    </w:p>
    <w:p w14:paraId="4081117F" w14:textId="77777777" w:rsidR="00A449AA" w:rsidRPr="00770A74" w:rsidRDefault="00A449AA" w:rsidP="00A449AA">
      <w:pPr>
        <w:ind w:left="850" w:right="901"/>
        <w:jc w:val="both"/>
        <w:rPr>
          <w:rFonts w:ascii="Palatino Linotype" w:hAnsi="Palatino Linotype"/>
          <w:bCs/>
          <w:i/>
          <w:iCs/>
          <w:sz w:val="22"/>
          <w:szCs w:val="22"/>
          <w:lang w:val="es-ES"/>
        </w:rPr>
      </w:pPr>
      <w:r w:rsidRPr="00770A74">
        <w:rPr>
          <w:rFonts w:ascii="Palatino Linotype" w:hAnsi="Palatino Linotype"/>
          <w:bCs/>
          <w:i/>
          <w:iCs/>
          <w:sz w:val="22"/>
          <w:szCs w:val="22"/>
          <w:lang w:val="es-ES"/>
        </w:rPr>
        <w:t>l) Notificar a las instancias fiscalizadoras sobre el incumplimiento en la aplicación de los recursos por parte del "PRESTADOR DEL SERVICIO", a través del Dictamen de Incumplimiento, y</w:t>
      </w:r>
    </w:p>
    <w:p w14:paraId="3289041D" w14:textId="77777777" w:rsidR="00A449AA" w:rsidRPr="00770A74" w:rsidRDefault="00A449AA" w:rsidP="00A449AA">
      <w:pPr>
        <w:ind w:left="850" w:right="901"/>
        <w:jc w:val="both"/>
        <w:rPr>
          <w:rFonts w:ascii="Palatino Linotype" w:hAnsi="Palatino Linotype"/>
          <w:b/>
          <w:bCs/>
          <w:i/>
          <w:iCs/>
          <w:sz w:val="22"/>
          <w:szCs w:val="22"/>
          <w:u w:val="single"/>
          <w:lang w:val="es-ES"/>
        </w:rPr>
      </w:pPr>
      <w:r w:rsidRPr="00770A74">
        <w:rPr>
          <w:rFonts w:ascii="Palatino Linotype" w:hAnsi="Palatino Linotype"/>
          <w:b/>
          <w:bCs/>
          <w:i/>
          <w:iCs/>
          <w:sz w:val="22"/>
          <w:szCs w:val="22"/>
          <w:u w:val="single"/>
          <w:lang w:val="es-ES"/>
        </w:rPr>
        <w:t>m) Solicitar a la Subdirección General de Administración, la línea de captura para el reintegro de recursos no ejercidos o no comprobados a la Tesorería de la Federación.</w:t>
      </w:r>
    </w:p>
    <w:p w14:paraId="4D6F913E" w14:textId="77777777" w:rsidR="00373A6E" w:rsidRPr="00770A74" w:rsidRDefault="00373A6E" w:rsidP="00A449AA">
      <w:pPr>
        <w:ind w:left="850" w:right="901"/>
        <w:jc w:val="both"/>
        <w:rPr>
          <w:rFonts w:ascii="Palatino Linotype" w:hAnsi="Palatino Linotype"/>
          <w:b/>
          <w:bCs/>
          <w:i/>
          <w:iCs/>
          <w:sz w:val="22"/>
          <w:szCs w:val="22"/>
          <w:lang w:val="es-ES"/>
        </w:rPr>
      </w:pPr>
    </w:p>
    <w:p w14:paraId="4C23E704" w14:textId="77777777" w:rsidR="00A449AA" w:rsidRPr="00770A74" w:rsidRDefault="00A449AA" w:rsidP="00A449AA">
      <w:pPr>
        <w:ind w:left="850" w:right="901"/>
        <w:jc w:val="both"/>
        <w:rPr>
          <w:rFonts w:ascii="Palatino Linotype" w:hAnsi="Palatino Linotype"/>
          <w:b/>
          <w:bCs/>
          <w:i/>
          <w:iCs/>
          <w:sz w:val="22"/>
          <w:szCs w:val="22"/>
          <w:lang w:val="es-ES"/>
        </w:rPr>
      </w:pPr>
      <w:r w:rsidRPr="00770A74">
        <w:rPr>
          <w:rFonts w:ascii="Palatino Linotype" w:hAnsi="Palatino Linotype"/>
          <w:b/>
          <w:bCs/>
          <w:i/>
          <w:iCs/>
          <w:sz w:val="22"/>
          <w:szCs w:val="22"/>
          <w:lang w:val="es-ES"/>
        </w:rPr>
        <w:t>XIV.- Derechos y Obligaciones del "PRESTADOR DEL SERVICIO"</w:t>
      </w:r>
    </w:p>
    <w:p w14:paraId="18626916" w14:textId="77777777" w:rsidR="00A449AA" w:rsidRPr="00770A74" w:rsidRDefault="00A449AA" w:rsidP="00A449AA">
      <w:pPr>
        <w:ind w:left="850" w:right="901"/>
        <w:jc w:val="both"/>
        <w:rPr>
          <w:rFonts w:ascii="Palatino Linotype" w:hAnsi="Palatino Linotype"/>
          <w:b/>
          <w:bCs/>
          <w:i/>
          <w:iCs/>
          <w:sz w:val="22"/>
          <w:szCs w:val="22"/>
          <w:lang w:val="es-ES"/>
        </w:rPr>
      </w:pPr>
      <w:r w:rsidRPr="00770A74">
        <w:rPr>
          <w:rFonts w:ascii="Palatino Linotype" w:hAnsi="Palatino Linotype"/>
          <w:b/>
          <w:bCs/>
          <w:i/>
          <w:iCs/>
          <w:sz w:val="22"/>
          <w:szCs w:val="22"/>
          <w:lang w:val="es-ES"/>
        </w:rPr>
        <w:t>…</w:t>
      </w:r>
    </w:p>
    <w:p w14:paraId="1266224C" w14:textId="77777777" w:rsidR="00A449AA" w:rsidRPr="00770A74" w:rsidRDefault="00A449AA" w:rsidP="00A449AA">
      <w:pPr>
        <w:ind w:left="850" w:right="901"/>
        <w:jc w:val="both"/>
        <w:rPr>
          <w:rFonts w:ascii="Palatino Linotype" w:hAnsi="Palatino Linotype"/>
          <w:b/>
          <w:bCs/>
          <w:i/>
          <w:iCs/>
          <w:sz w:val="22"/>
          <w:szCs w:val="22"/>
          <w:lang w:val="es-ES"/>
        </w:rPr>
      </w:pPr>
      <w:r w:rsidRPr="00770A74">
        <w:rPr>
          <w:rFonts w:ascii="Palatino Linotype" w:hAnsi="Palatino Linotype"/>
          <w:b/>
          <w:bCs/>
          <w:i/>
          <w:iCs/>
          <w:sz w:val="22"/>
          <w:szCs w:val="22"/>
          <w:lang w:val="es-ES"/>
        </w:rPr>
        <w:t>d) Aplicar los recursos asignados en la ejecución de las acciones contempladas en el Programa de Acciones dictaminado favorablemente, de conformidad con los presentes Lineamientos;</w:t>
      </w:r>
    </w:p>
    <w:p w14:paraId="733E8503" w14:textId="77777777" w:rsidR="00A449AA" w:rsidRPr="00770A74" w:rsidRDefault="00A449AA" w:rsidP="00A449AA">
      <w:pPr>
        <w:ind w:left="850" w:right="901"/>
        <w:jc w:val="both"/>
        <w:rPr>
          <w:rFonts w:ascii="Palatino Linotype" w:hAnsi="Palatino Linotype"/>
          <w:b/>
          <w:bCs/>
          <w:i/>
          <w:iCs/>
          <w:sz w:val="22"/>
          <w:szCs w:val="22"/>
          <w:lang w:val="es-ES"/>
        </w:rPr>
      </w:pPr>
      <w:r w:rsidRPr="00770A74">
        <w:rPr>
          <w:rFonts w:ascii="Palatino Linotype" w:hAnsi="Palatino Linotype"/>
          <w:b/>
          <w:bCs/>
          <w:i/>
          <w:iCs/>
          <w:sz w:val="22"/>
          <w:szCs w:val="22"/>
          <w:lang w:val="es-ES"/>
        </w:rPr>
        <w:t>e) Acreditar trimestralmente ante la unidad administrativa de la CONAGUA cuya sede se encuentre en la entidad federativa en la que se ubique, los informes de los avances físicos financieros del cumplimiento de las acciones del Programa;</w:t>
      </w:r>
    </w:p>
    <w:p w14:paraId="4081C843" w14:textId="77777777" w:rsidR="00A449AA" w:rsidRPr="00770A74" w:rsidRDefault="00A449AA" w:rsidP="00A449AA">
      <w:pPr>
        <w:ind w:left="850" w:right="901"/>
        <w:jc w:val="both"/>
        <w:rPr>
          <w:rFonts w:ascii="Palatino Linotype" w:hAnsi="Palatino Linotype"/>
          <w:b/>
          <w:bCs/>
          <w:i/>
          <w:iCs/>
          <w:sz w:val="22"/>
          <w:szCs w:val="22"/>
          <w:lang w:val="es-ES"/>
        </w:rPr>
      </w:pPr>
      <w:r w:rsidRPr="00770A74">
        <w:rPr>
          <w:rFonts w:ascii="Palatino Linotype" w:hAnsi="Palatino Linotype"/>
          <w:b/>
          <w:bCs/>
          <w:i/>
          <w:iCs/>
          <w:sz w:val="22"/>
          <w:szCs w:val="22"/>
          <w:lang w:val="es-ES"/>
        </w:rPr>
        <w:lastRenderedPageBreak/>
        <w:t>f) Presentar ante la unidad administrativa de la CONAGUA cuya sede se encuentre en la entidad federativa en la que se ubique, a más tardar el 30 de abril del siguiente ejercicio fiscal, el Cierre del Programa de Acciones;</w:t>
      </w:r>
    </w:p>
    <w:p w14:paraId="4DEC9C10" w14:textId="77777777" w:rsidR="00A449AA" w:rsidRPr="00770A74" w:rsidRDefault="00A449AA" w:rsidP="00A449AA">
      <w:pPr>
        <w:ind w:left="850" w:right="901"/>
        <w:jc w:val="both"/>
        <w:rPr>
          <w:rFonts w:ascii="Palatino Linotype" w:hAnsi="Palatino Linotype"/>
          <w:b/>
          <w:bCs/>
          <w:i/>
          <w:iCs/>
          <w:sz w:val="22"/>
          <w:szCs w:val="22"/>
          <w:lang w:val="es-ES"/>
        </w:rPr>
      </w:pPr>
      <w:r w:rsidRPr="00770A74">
        <w:rPr>
          <w:rFonts w:ascii="Palatino Linotype" w:hAnsi="Palatino Linotype"/>
          <w:b/>
          <w:bCs/>
          <w:i/>
          <w:iCs/>
          <w:sz w:val="22"/>
          <w:szCs w:val="22"/>
          <w:lang w:val="es-ES"/>
        </w:rPr>
        <w:t> </w:t>
      </w:r>
    </w:p>
    <w:p w14:paraId="092BF6F8" w14:textId="77777777" w:rsidR="00A449AA" w:rsidRPr="00770A74" w:rsidRDefault="00A449AA" w:rsidP="00A449AA">
      <w:pPr>
        <w:ind w:left="850" w:right="901"/>
        <w:jc w:val="both"/>
        <w:rPr>
          <w:rFonts w:ascii="Palatino Linotype" w:hAnsi="Palatino Linotype"/>
          <w:b/>
          <w:bCs/>
          <w:i/>
          <w:iCs/>
          <w:sz w:val="22"/>
          <w:szCs w:val="22"/>
          <w:u w:val="single"/>
          <w:lang w:val="es-ES"/>
        </w:rPr>
      </w:pPr>
      <w:r w:rsidRPr="00770A74">
        <w:rPr>
          <w:rFonts w:ascii="Palatino Linotype" w:hAnsi="Palatino Linotype"/>
          <w:b/>
          <w:bCs/>
          <w:i/>
          <w:iCs/>
          <w:sz w:val="22"/>
          <w:szCs w:val="22"/>
          <w:u w:val="single"/>
          <w:lang w:val="es-ES"/>
        </w:rPr>
        <w:t>g) Reintegrar a la Tesorería de la Federación los recursos no comprobados o no ejercidos junto con sus cargas financieras;</w:t>
      </w:r>
    </w:p>
    <w:p w14:paraId="76AE43CF" w14:textId="77777777" w:rsidR="00373A6E" w:rsidRPr="00770A74" w:rsidRDefault="00373A6E" w:rsidP="00A449AA">
      <w:pPr>
        <w:ind w:left="850" w:right="901"/>
        <w:jc w:val="both"/>
        <w:rPr>
          <w:rFonts w:ascii="Palatino Linotype" w:hAnsi="Palatino Linotype"/>
          <w:b/>
          <w:bCs/>
          <w:i/>
          <w:iCs/>
          <w:sz w:val="22"/>
          <w:szCs w:val="22"/>
          <w:lang w:val="es-ES"/>
        </w:rPr>
      </w:pPr>
    </w:p>
    <w:p w14:paraId="166C537D" w14:textId="77777777" w:rsidR="00A449AA" w:rsidRPr="00770A74" w:rsidRDefault="00A449AA" w:rsidP="00A449AA">
      <w:pPr>
        <w:ind w:left="850" w:right="901"/>
        <w:jc w:val="both"/>
        <w:rPr>
          <w:rFonts w:ascii="Palatino Linotype" w:hAnsi="Palatino Linotype"/>
          <w:b/>
          <w:bCs/>
          <w:i/>
          <w:iCs/>
          <w:sz w:val="22"/>
          <w:szCs w:val="22"/>
          <w:lang w:val="es-ES"/>
        </w:rPr>
      </w:pPr>
      <w:r w:rsidRPr="00770A74">
        <w:rPr>
          <w:rFonts w:ascii="Palatino Linotype" w:hAnsi="Palatino Linotype"/>
          <w:b/>
          <w:bCs/>
          <w:i/>
          <w:iCs/>
          <w:sz w:val="22"/>
          <w:szCs w:val="22"/>
          <w:lang w:val="es-ES"/>
        </w:rPr>
        <w:t>XV.- Formatos</w:t>
      </w:r>
    </w:p>
    <w:p w14:paraId="54CB9C7B" w14:textId="77777777" w:rsidR="00B162B0" w:rsidRPr="00770A74" w:rsidRDefault="00B162B0" w:rsidP="00A449AA">
      <w:pPr>
        <w:ind w:left="850" w:right="901"/>
        <w:jc w:val="both"/>
        <w:rPr>
          <w:rFonts w:ascii="Palatino Linotype" w:hAnsi="Palatino Linotype"/>
          <w:b/>
          <w:bCs/>
          <w:i/>
          <w:iCs/>
          <w:sz w:val="22"/>
          <w:szCs w:val="22"/>
          <w:lang w:val="es-ES"/>
        </w:rPr>
      </w:pPr>
    </w:p>
    <w:p w14:paraId="223EEBC2" w14:textId="77777777" w:rsidR="00A449AA" w:rsidRPr="00770A74" w:rsidRDefault="00A449AA" w:rsidP="00A449AA">
      <w:pPr>
        <w:ind w:left="850" w:right="901"/>
        <w:jc w:val="both"/>
        <w:rPr>
          <w:rFonts w:ascii="Palatino Linotype" w:hAnsi="Palatino Linotype"/>
          <w:b/>
          <w:bCs/>
          <w:i/>
          <w:iCs/>
          <w:sz w:val="22"/>
          <w:szCs w:val="22"/>
          <w:lang w:val="es-ES"/>
        </w:rPr>
      </w:pPr>
      <w:r w:rsidRPr="00770A74">
        <w:rPr>
          <w:rFonts w:ascii="Palatino Linotype" w:hAnsi="Palatino Linotype"/>
          <w:b/>
          <w:bCs/>
          <w:i/>
          <w:iCs/>
          <w:sz w:val="22"/>
          <w:szCs w:val="22"/>
          <w:lang w:val="es-ES"/>
        </w:rPr>
        <w:t>Para llevar a cabo el proceso de asignación de los recursos federales a que se refiere el artículo 231-A de la Ley Federal de Derechos y los presentes lineamientos, se utilizarán los formatos que a continuación se enlistan, mismos que estarán a disposición en las unidades administrativas de la CONAGUA cuya sede se encuentre en la entidad federativa en la que se ubiquen los "PRESTADORES DE SERVICIO", y a través de Internet en la siguiente dirección electrónica:</w:t>
      </w:r>
    </w:p>
    <w:p w14:paraId="62E7397B" w14:textId="77777777" w:rsidR="00A449AA" w:rsidRPr="00770A74" w:rsidRDefault="00A449AA" w:rsidP="00A449AA">
      <w:pPr>
        <w:ind w:left="850" w:right="901"/>
        <w:jc w:val="both"/>
        <w:rPr>
          <w:rFonts w:ascii="Palatino Linotype" w:hAnsi="Palatino Linotype"/>
          <w:b/>
          <w:bCs/>
          <w:i/>
          <w:iCs/>
          <w:sz w:val="22"/>
          <w:szCs w:val="22"/>
          <w:lang w:val="es-ES"/>
        </w:rPr>
      </w:pPr>
      <w:r w:rsidRPr="00770A74">
        <w:rPr>
          <w:rFonts w:ascii="Palatino Linotype" w:hAnsi="Palatino Linotype"/>
          <w:b/>
          <w:bCs/>
          <w:i/>
          <w:iCs/>
          <w:sz w:val="22"/>
          <w:szCs w:val="22"/>
          <w:lang w:val="es-ES"/>
        </w:rPr>
        <w:t>http://www.conagua.gob.mx/Contenido.aspx?n1=4&amp;n2=24&amp;n3=31</w:t>
      </w:r>
    </w:p>
    <w:p w14:paraId="5B9512E0" w14:textId="77777777" w:rsidR="00A449AA" w:rsidRPr="00770A74" w:rsidRDefault="00A449AA" w:rsidP="00A449AA">
      <w:pPr>
        <w:ind w:left="850" w:right="901"/>
        <w:jc w:val="both"/>
        <w:rPr>
          <w:rFonts w:ascii="Palatino Linotype" w:hAnsi="Palatino Linotype"/>
          <w:bCs/>
          <w:i/>
          <w:iCs/>
          <w:sz w:val="22"/>
          <w:szCs w:val="22"/>
          <w:lang w:val="es-ES"/>
        </w:rPr>
      </w:pPr>
      <w:r w:rsidRPr="00770A74">
        <w:rPr>
          <w:rFonts w:ascii="Palatino Linotype" w:hAnsi="Palatino Linotype"/>
          <w:bCs/>
          <w:i/>
          <w:iCs/>
          <w:sz w:val="22"/>
          <w:szCs w:val="22"/>
          <w:lang w:val="es-ES"/>
        </w:rPr>
        <w:t>1. Formato de solicitud (demostrativo mas no limitativo);</w:t>
      </w:r>
    </w:p>
    <w:p w14:paraId="01020A7F" w14:textId="77777777" w:rsidR="00A449AA" w:rsidRPr="00770A74" w:rsidRDefault="00A449AA" w:rsidP="00A449AA">
      <w:pPr>
        <w:ind w:left="850" w:right="901"/>
        <w:jc w:val="both"/>
        <w:rPr>
          <w:rFonts w:ascii="Palatino Linotype" w:hAnsi="Palatino Linotype"/>
          <w:bCs/>
          <w:i/>
          <w:iCs/>
          <w:sz w:val="22"/>
          <w:szCs w:val="22"/>
          <w:lang w:val="es-ES"/>
        </w:rPr>
      </w:pPr>
      <w:r w:rsidRPr="00770A74">
        <w:rPr>
          <w:rFonts w:ascii="Palatino Linotype" w:hAnsi="Palatino Linotype"/>
          <w:bCs/>
          <w:i/>
          <w:iCs/>
          <w:sz w:val="22"/>
          <w:szCs w:val="22"/>
          <w:lang w:val="es-ES"/>
        </w:rPr>
        <w:t>2. Formato e instructivo para el Programa de Acciones;</w:t>
      </w:r>
    </w:p>
    <w:p w14:paraId="46596BEC" w14:textId="77777777" w:rsidR="00A449AA" w:rsidRPr="00770A74" w:rsidRDefault="00A449AA" w:rsidP="00A449AA">
      <w:pPr>
        <w:ind w:left="850" w:right="901"/>
        <w:jc w:val="both"/>
        <w:rPr>
          <w:rFonts w:ascii="Palatino Linotype" w:hAnsi="Palatino Linotype"/>
          <w:bCs/>
          <w:i/>
          <w:iCs/>
          <w:sz w:val="22"/>
          <w:szCs w:val="22"/>
          <w:lang w:val="es-ES"/>
        </w:rPr>
      </w:pPr>
      <w:r w:rsidRPr="00770A74">
        <w:rPr>
          <w:rFonts w:ascii="Palatino Linotype" w:hAnsi="Palatino Linotype"/>
          <w:bCs/>
          <w:i/>
          <w:iCs/>
          <w:sz w:val="22"/>
          <w:szCs w:val="22"/>
          <w:lang w:val="es-ES"/>
        </w:rPr>
        <w:t>3. Formato de dictamen;</w:t>
      </w:r>
    </w:p>
    <w:p w14:paraId="6F8E2901" w14:textId="77777777" w:rsidR="00A449AA" w:rsidRPr="00770A74" w:rsidRDefault="00A449AA" w:rsidP="00A449AA">
      <w:pPr>
        <w:ind w:left="850" w:right="901"/>
        <w:jc w:val="both"/>
        <w:rPr>
          <w:rFonts w:ascii="Palatino Linotype" w:hAnsi="Palatino Linotype"/>
          <w:b/>
          <w:bCs/>
          <w:i/>
          <w:iCs/>
          <w:sz w:val="22"/>
          <w:szCs w:val="22"/>
          <w:lang w:val="es-ES"/>
        </w:rPr>
      </w:pPr>
      <w:r w:rsidRPr="00770A74">
        <w:rPr>
          <w:rFonts w:ascii="Palatino Linotype" w:hAnsi="Palatino Linotype"/>
          <w:b/>
          <w:bCs/>
          <w:i/>
          <w:iCs/>
          <w:sz w:val="22"/>
          <w:szCs w:val="22"/>
          <w:lang w:val="es-ES"/>
        </w:rPr>
        <w:t>4. Formato y procedimiento de llenado del Informe Avance Físico-Financiero;</w:t>
      </w:r>
    </w:p>
    <w:p w14:paraId="3BC802BA" w14:textId="77777777" w:rsidR="00A449AA" w:rsidRPr="00770A74" w:rsidRDefault="00A449AA" w:rsidP="00A449AA">
      <w:pPr>
        <w:ind w:left="850" w:right="901"/>
        <w:jc w:val="both"/>
        <w:rPr>
          <w:rFonts w:ascii="Palatino Linotype" w:hAnsi="Palatino Linotype"/>
          <w:b/>
          <w:bCs/>
          <w:i/>
          <w:iCs/>
          <w:sz w:val="22"/>
          <w:szCs w:val="22"/>
          <w:lang w:val="es-ES"/>
        </w:rPr>
      </w:pPr>
      <w:r w:rsidRPr="00770A74">
        <w:rPr>
          <w:rFonts w:ascii="Palatino Linotype" w:hAnsi="Palatino Linotype"/>
          <w:b/>
          <w:bCs/>
          <w:i/>
          <w:iCs/>
          <w:sz w:val="22"/>
          <w:szCs w:val="22"/>
          <w:lang w:val="es-ES"/>
        </w:rPr>
        <w:t>5. Formato y procedimiento de llenado del cierre de ejercicio;</w:t>
      </w:r>
    </w:p>
    <w:p w14:paraId="031D5AB0" w14:textId="77777777" w:rsidR="00A449AA" w:rsidRPr="00770A74" w:rsidRDefault="00A449AA" w:rsidP="00A449AA">
      <w:pPr>
        <w:ind w:left="850" w:right="901"/>
        <w:jc w:val="both"/>
        <w:rPr>
          <w:rFonts w:ascii="Palatino Linotype" w:hAnsi="Palatino Linotype"/>
          <w:bCs/>
          <w:i/>
          <w:iCs/>
          <w:sz w:val="22"/>
          <w:szCs w:val="22"/>
          <w:lang w:val="es-ES"/>
        </w:rPr>
      </w:pPr>
      <w:r w:rsidRPr="00770A74">
        <w:rPr>
          <w:rFonts w:ascii="Palatino Linotype" w:hAnsi="Palatino Linotype"/>
          <w:bCs/>
          <w:i/>
          <w:iCs/>
          <w:sz w:val="22"/>
          <w:szCs w:val="22"/>
          <w:lang w:val="es-ES"/>
        </w:rPr>
        <w:t>6. Formato y procedimiento de llenado del Informe de Visita de Verificación al Programa de Acciones;</w:t>
      </w:r>
    </w:p>
    <w:p w14:paraId="182CBF7F" w14:textId="77777777" w:rsidR="00A449AA" w:rsidRPr="00770A74" w:rsidRDefault="00A449AA" w:rsidP="00A449AA">
      <w:pPr>
        <w:ind w:left="850" w:right="901"/>
        <w:jc w:val="both"/>
        <w:rPr>
          <w:rFonts w:ascii="Palatino Linotype" w:hAnsi="Palatino Linotype"/>
          <w:bCs/>
          <w:i/>
          <w:iCs/>
          <w:sz w:val="22"/>
          <w:szCs w:val="22"/>
          <w:lang w:val="es-ES"/>
        </w:rPr>
      </w:pPr>
      <w:r w:rsidRPr="00770A74">
        <w:rPr>
          <w:rFonts w:ascii="Palatino Linotype" w:hAnsi="Palatino Linotype"/>
          <w:bCs/>
          <w:i/>
          <w:iCs/>
          <w:sz w:val="22"/>
          <w:szCs w:val="22"/>
          <w:lang w:val="es-ES"/>
        </w:rPr>
        <w:t>7. Formato de dictamen de incumplimiento (demostrativo mas no limitativo)</w:t>
      </w:r>
    </w:p>
    <w:p w14:paraId="07BB2F67" w14:textId="77777777" w:rsidR="00B162B0" w:rsidRPr="00770A74" w:rsidRDefault="00B162B0" w:rsidP="00A449AA">
      <w:pPr>
        <w:ind w:left="850" w:right="901"/>
        <w:jc w:val="both"/>
        <w:rPr>
          <w:rFonts w:ascii="Palatino Linotype" w:hAnsi="Palatino Linotype"/>
          <w:bCs/>
          <w:i/>
          <w:iCs/>
          <w:sz w:val="22"/>
          <w:szCs w:val="22"/>
          <w:lang w:val="es-ES"/>
        </w:rPr>
      </w:pPr>
      <w:r w:rsidRPr="00770A74">
        <w:rPr>
          <w:rFonts w:ascii="Palatino Linotype" w:hAnsi="Palatino Linotype"/>
          <w:bCs/>
          <w:i/>
          <w:iCs/>
          <w:sz w:val="22"/>
          <w:szCs w:val="22"/>
          <w:lang w:val="es-ES"/>
        </w:rPr>
        <w:t>…”</w:t>
      </w:r>
    </w:p>
    <w:p w14:paraId="331638BE" w14:textId="77777777" w:rsidR="00B162B0" w:rsidRPr="00770A74" w:rsidRDefault="00B162B0" w:rsidP="00A449AA">
      <w:pPr>
        <w:ind w:left="850" w:right="901"/>
        <w:jc w:val="both"/>
        <w:rPr>
          <w:rFonts w:ascii="Palatino Linotype" w:hAnsi="Palatino Linotype"/>
          <w:bCs/>
          <w:i/>
          <w:iCs/>
          <w:sz w:val="22"/>
          <w:szCs w:val="22"/>
          <w:lang w:val="es-ES"/>
        </w:rPr>
      </w:pPr>
      <w:r w:rsidRPr="00770A74">
        <w:rPr>
          <w:rFonts w:ascii="Palatino Linotype" w:hAnsi="Palatino Linotype"/>
          <w:bCs/>
          <w:i/>
          <w:iCs/>
          <w:sz w:val="22"/>
          <w:szCs w:val="22"/>
          <w:lang w:val="es-ES"/>
        </w:rPr>
        <w:t>(Énfasis añadido)</w:t>
      </w:r>
    </w:p>
    <w:p w14:paraId="768B9EF2" w14:textId="77777777" w:rsidR="00DE1FBE" w:rsidRPr="00770A74" w:rsidRDefault="00DE1FBE" w:rsidP="00A449AA">
      <w:pPr>
        <w:ind w:left="850" w:right="901"/>
        <w:jc w:val="both"/>
        <w:rPr>
          <w:rFonts w:ascii="Palatino Linotype" w:hAnsi="Palatino Linotype"/>
          <w:b/>
          <w:bCs/>
          <w:i/>
          <w:iCs/>
          <w:sz w:val="22"/>
          <w:szCs w:val="22"/>
          <w:lang w:val="es-ES"/>
        </w:rPr>
      </w:pPr>
    </w:p>
    <w:p w14:paraId="655DA685" w14:textId="77777777" w:rsidR="00B162B0" w:rsidRPr="00770A74" w:rsidRDefault="00B162B0" w:rsidP="00266F95">
      <w:pPr>
        <w:spacing w:before="100" w:beforeAutospacing="1" w:after="100" w:afterAutospacing="1" w:line="360" w:lineRule="auto"/>
        <w:jc w:val="both"/>
        <w:rPr>
          <w:rFonts w:ascii="Palatino Linotype" w:hAnsi="Palatino Linotype" w:cs="Arial"/>
        </w:rPr>
      </w:pPr>
      <w:r w:rsidRPr="00770A74">
        <w:rPr>
          <w:rFonts w:ascii="Palatino Linotype" w:hAnsi="Palatino Linotype" w:cs="Arial"/>
        </w:rPr>
        <w:lastRenderedPageBreak/>
        <w:t xml:space="preserve">De </w:t>
      </w:r>
      <w:r w:rsidR="00711BED" w:rsidRPr="00770A74">
        <w:rPr>
          <w:rFonts w:ascii="Palatino Linotype" w:hAnsi="Palatino Linotype" w:cs="Arial"/>
        </w:rPr>
        <w:t xml:space="preserve">la normativa inserta, se puede </w:t>
      </w:r>
      <w:r w:rsidRPr="00770A74">
        <w:rPr>
          <w:rFonts w:ascii="Palatino Linotype" w:hAnsi="Palatino Linotype" w:cs="Arial"/>
        </w:rPr>
        <w:t xml:space="preserve">advertir que </w:t>
      </w:r>
      <w:r w:rsidR="00711BED" w:rsidRPr="00770A74">
        <w:rPr>
          <w:rFonts w:ascii="Palatino Linotype" w:hAnsi="Palatino Linotype" w:cs="Arial"/>
        </w:rPr>
        <w:t xml:space="preserve">el principal objetivo del programa </w:t>
      </w:r>
      <w:r w:rsidR="00974AA7" w:rsidRPr="00770A74">
        <w:rPr>
          <w:rFonts w:ascii="Palatino Linotype" w:hAnsi="Palatino Linotype" w:cs="Arial"/>
        </w:rPr>
        <w:t>P</w:t>
      </w:r>
      <w:r w:rsidR="00711BED" w:rsidRPr="00770A74">
        <w:rPr>
          <w:rFonts w:ascii="Palatino Linotype" w:hAnsi="Palatino Linotype" w:cs="Arial"/>
        </w:rPr>
        <w:t>RODDER es precisamente establecer el procedimiento mediante el cual previa solicitud y dictamen se le asigne a los organismos públicos en este caso recursos provenientes de los ingresos de la recaudación por la explotación, uso o aprovechamiento de las aguas nacionales como subsidio e incentivo para la realización de acciones de mejoramiento de eficiencia y de infraestructura de agua potable, alcantarillado y tratamiento de aguas residuales.</w:t>
      </w:r>
    </w:p>
    <w:p w14:paraId="6828498C" w14:textId="51AC672A" w:rsidR="009208F4" w:rsidRPr="00770A74" w:rsidRDefault="00711BED" w:rsidP="00266F95">
      <w:pPr>
        <w:spacing w:before="100" w:beforeAutospacing="1" w:after="100" w:afterAutospacing="1" w:line="360" w:lineRule="auto"/>
        <w:jc w:val="both"/>
        <w:rPr>
          <w:rFonts w:ascii="Palatino Linotype" w:hAnsi="Palatino Linotype" w:cs="Arial"/>
        </w:rPr>
      </w:pPr>
      <w:r w:rsidRPr="00770A74">
        <w:rPr>
          <w:rFonts w:ascii="Palatino Linotype" w:hAnsi="Palatino Linotype" w:cs="Arial"/>
        </w:rPr>
        <w:t>E</w:t>
      </w:r>
      <w:r w:rsidR="009208F4" w:rsidRPr="00770A74">
        <w:rPr>
          <w:rFonts w:ascii="Palatino Linotype" w:hAnsi="Palatino Linotype" w:cs="Arial"/>
        </w:rPr>
        <w:t>n relación al procedimiento por el que se han de otorgar este tipo de fondos, es que conviene destacar el apartado referente a la verificación</w:t>
      </w:r>
      <w:r w:rsidR="009D7696" w:rsidRPr="00770A74">
        <w:rPr>
          <w:rFonts w:ascii="Palatino Linotype" w:hAnsi="Palatino Linotype" w:cs="Arial"/>
        </w:rPr>
        <w:t>,</w:t>
      </w:r>
      <w:r w:rsidR="009208F4" w:rsidRPr="00770A74">
        <w:rPr>
          <w:rFonts w:ascii="Palatino Linotype" w:hAnsi="Palatino Linotype" w:cs="Arial"/>
        </w:rPr>
        <w:t xml:space="preserve"> en donde los prestadores del servicio son sometidos a ciertas medidas</w:t>
      </w:r>
      <w:r w:rsidR="009D7696" w:rsidRPr="00770A74">
        <w:rPr>
          <w:rFonts w:ascii="Palatino Linotype" w:hAnsi="Palatino Linotype" w:cs="Arial"/>
        </w:rPr>
        <w:t>,</w:t>
      </w:r>
      <w:r w:rsidR="009208F4" w:rsidRPr="00770A74">
        <w:rPr>
          <w:rFonts w:ascii="Palatino Linotype" w:hAnsi="Palatino Linotype" w:cs="Arial"/>
        </w:rPr>
        <w:t xml:space="preserve"> entre las que nos interesan</w:t>
      </w:r>
      <w:r w:rsidR="004C5EE0" w:rsidRPr="00770A74">
        <w:rPr>
          <w:rFonts w:ascii="Palatino Linotype" w:hAnsi="Palatino Linotype" w:cs="Arial"/>
        </w:rPr>
        <w:t xml:space="preserve"> es </w:t>
      </w:r>
      <w:r w:rsidR="009208F4" w:rsidRPr="00770A74">
        <w:rPr>
          <w:rFonts w:ascii="Palatino Linotype" w:hAnsi="Palatino Linotype" w:cs="Arial"/>
        </w:rPr>
        <w:t>la de la presentación de informes trimestrales físicos y financieros con los que acredite el avance en el cumplimiento de acciones; por lo que</w:t>
      </w:r>
      <w:r w:rsidR="009D7696" w:rsidRPr="00770A74">
        <w:rPr>
          <w:rFonts w:ascii="Palatino Linotype" w:hAnsi="Palatino Linotype" w:cs="Arial"/>
        </w:rPr>
        <w:t>,</w:t>
      </w:r>
      <w:r w:rsidR="009208F4" w:rsidRPr="00770A74">
        <w:rPr>
          <w:rFonts w:ascii="Palatino Linotype" w:hAnsi="Palatino Linotype" w:cs="Arial"/>
        </w:rPr>
        <w:t xml:space="preserve"> para el caso de que no se acrediten dichos avances, no se integre el cierre del ejercicio fiscal correspondiente o durante las verificaciones físicas se observe que alguna de las acciones a llevar acabo se encuentra inconclusa</w:t>
      </w:r>
      <w:r w:rsidR="00824BA1" w:rsidRPr="00770A74">
        <w:rPr>
          <w:rFonts w:ascii="Palatino Linotype" w:hAnsi="Palatino Linotype" w:cs="Arial"/>
        </w:rPr>
        <w:t>,</w:t>
      </w:r>
      <w:r w:rsidR="009208F4" w:rsidRPr="00770A74">
        <w:rPr>
          <w:rFonts w:ascii="Palatino Linotype" w:hAnsi="Palatino Linotype" w:cs="Arial"/>
        </w:rPr>
        <w:t xml:space="preserve"> la unidad administrativa de la CONAGUA solicitar</w:t>
      </w:r>
      <w:r w:rsidR="00824BA1" w:rsidRPr="00770A74">
        <w:rPr>
          <w:rFonts w:ascii="Palatino Linotype" w:hAnsi="Palatino Linotype" w:cs="Arial"/>
        </w:rPr>
        <w:t>á</w:t>
      </w:r>
      <w:r w:rsidR="009208F4" w:rsidRPr="00770A74">
        <w:rPr>
          <w:rFonts w:ascii="Palatino Linotype" w:hAnsi="Palatino Linotype" w:cs="Arial"/>
        </w:rPr>
        <w:t xml:space="preserve"> al prestador del servicio el </w:t>
      </w:r>
      <w:r w:rsidR="00824BA1" w:rsidRPr="00770A74">
        <w:rPr>
          <w:rFonts w:ascii="Palatino Linotype" w:hAnsi="Palatino Linotype" w:cs="Arial"/>
        </w:rPr>
        <w:t>reintegro</w:t>
      </w:r>
      <w:r w:rsidR="009208F4" w:rsidRPr="00770A74">
        <w:rPr>
          <w:rFonts w:ascii="Palatino Linotype" w:hAnsi="Palatino Linotype" w:cs="Arial"/>
        </w:rPr>
        <w:t xml:space="preserve"> a la Tesorería de la Federación la participación federal respecto de los recursos no acreditados, haciendo de conocimiento del hecho a la entidad fiscalizable del Estado con la finalidad de que si el prestador del servicio no realiza el reintegro de los recursos sobrantes o no acreditados, </w:t>
      </w:r>
      <w:r w:rsidR="009C14C4" w:rsidRPr="00770A74">
        <w:rPr>
          <w:rFonts w:ascii="Palatino Linotype" w:hAnsi="Palatino Linotype" w:cs="Arial"/>
        </w:rPr>
        <w:t xml:space="preserve">se emita un Dictamen de </w:t>
      </w:r>
      <w:r w:rsidR="009C14C4" w:rsidRPr="00770A74">
        <w:rPr>
          <w:rFonts w:ascii="Palatino Linotype" w:hAnsi="Palatino Linotype" w:cs="Arial"/>
        </w:rPr>
        <w:lastRenderedPageBreak/>
        <w:t>Incumplimiento a más tardar el treinta de noviembre del siguiente ejercicio fiscal de que se trate siendo esto una causal para que el prestador de servicios; es decir</w:t>
      </w:r>
      <w:r w:rsidR="00824BA1" w:rsidRPr="00770A74">
        <w:rPr>
          <w:rFonts w:ascii="Palatino Linotype" w:hAnsi="Palatino Linotype" w:cs="Arial"/>
        </w:rPr>
        <w:t>,</w:t>
      </w:r>
      <w:r w:rsidR="009C14C4" w:rsidRPr="00770A74">
        <w:rPr>
          <w:rFonts w:ascii="Palatino Linotype" w:hAnsi="Palatino Linotype" w:cs="Arial"/>
        </w:rPr>
        <w:t xml:space="preserve"> </w:t>
      </w:r>
      <w:r w:rsidR="009C14C4" w:rsidRPr="00770A74">
        <w:rPr>
          <w:rFonts w:ascii="Palatino Linotype" w:hAnsi="Palatino Linotype" w:cs="Arial"/>
          <w:b/>
        </w:rPr>
        <w:t xml:space="preserve">EL SUJETO OBLIGADO </w:t>
      </w:r>
      <w:r w:rsidR="009C14C4" w:rsidRPr="00770A74">
        <w:rPr>
          <w:rFonts w:ascii="Palatino Linotype" w:hAnsi="Palatino Linotype" w:cs="Arial"/>
        </w:rPr>
        <w:t>no participe nuevamente en el programa PRODDER hasta en tanto no subsane el daño causado al erario federal.</w:t>
      </w:r>
    </w:p>
    <w:p w14:paraId="6C9A5E57" w14:textId="77777777" w:rsidR="00711BED" w:rsidRPr="00770A74" w:rsidRDefault="009C14C4" w:rsidP="00266F95">
      <w:pPr>
        <w:spacing w:before="100" w:beforeAutospacing="1" w:after="100" w:afterAutospacing="1" w:line="360" w:lineRule="auto"/>
        <w:jc w:val="both"/>
        <w:rPr>
          <w:rFonts w:ascii="Palatino Linotype" w:hAnsi="Palatino Linotype" w:cs="Arial"/>
          <w:b/>
        </w:rPr>
      </w:pPr>
      <w:r w:rsidRPr="00770A74">
        <w:rPr>
          <w:rFonts w:ascii="Palatino Linotype" w:hAnsi="Palatino Linotype" w:cs="Arial"/>
        </w:rPr>
        <w:t xml:space="preserve">Así, es importante destacar que </w:t>
      </w:r>
      <w:r w:rsidR="00711BED" w:rsidRPr="00770A74">
        <w:rPr>
          <w:rFonts w:ascii="Palatino Linotype" w:hAnsi="Palatino Linotype" w:cs="Arial"/>
        </w:rPr>
        <w:t xml:space="preserve">a nivel regional las Unidades Administrativas de la CONAGUA que se encuentran en la Entidad tienen la obligación de crear un expediente único por prestador del servicio; es decir, por cada Municipio u Organismo Público en el que al menos se </w:t>
      </w:r>
      <w:r w:rsidR="003F3822" w:rsidRPr="00770A74">
        <w:rPr>
          <w:rFonts w:ascii="Palatino Linotype" w:hAnsi="Palatino Linotype" w:cs="Arial"/>
        </w:rPr>
        <w:t>cuente</w:t>
      </w:r>
      <w:r w:rsidR="00711BED" w:rsidRPr="00770A74">
        <w:rPr>
          <w:rFonts w:ascii="Palatino Linotype" w:hAnsi="Palatino Linotype" w:cs="Arial"/>
        </w:rPr>
        <w:t xml:space="preserve"> entre otra información la referente a los informes trimestrales de los avances físicos y financieros de la obra o acciones en las que se ocuparán los f</w:t>
      </w:r>
      <w:r w:rsidR="00FA12F6" w:rsidRPr="00770A74">
        <w:rPr>
          <w:rFonts w:ascii="Palatino Linotype" w:hAnsi="Palatino Linotype" w:cs="Arial"/>
        </w:rPr>
        <w:t>ondos otorgados por el programa; así como, el cierre del ejercicio fiscal corresp</w:t>
      </w:r>
      <w:r w:rsidR="00832F08" w:rsidRPr="00770A74">
        <w:rPr>
          <w:rFonts w:ascii="Palatino Linotype" w:hAnsi="Palatino Linotype" w:cs="Arial"/>
        </w:rPr>
        <w:t xml:space="preserve">ondiente; por lo que, algunas de las obligaciones de los prestadores del servicio; es decir, en el caso que nos ocupa del </w:t>
      </w:r>
      <w:r w:rsidR="00832F08" w:rsidRPr="00770A74">
        <w:rPr>
          <w:rFonts w:ascii="Palatino Linotype" w:hAnsi="Palatino Linotype" w:cs="Arial"/>
          <w:b/>
        </w:rPr>
        <w:t xml:space="preserve">SUJETO OBLIGADO </w:t>
      </w:r>
      <w:r w:rsidR="00832F08" w:rsidRPr="00770A74">
        <w:rPr>
          <w:rFonts w:ascii="Palatino Linotype" w:hAnsi="Palatino Linotype" w:cs="Arial"/>
        </w:rPr>
        <w:t>establecidas en los Lineamientos en comento señalan que</w:t>
      </w:r>
      <w:r w:rsidR="00F72D4F" w:rsidRPr="00770A74">
        <w:rPr>
          <w:rFonts w:ascii="Palatino Linotype" w:hAnsi="Palatino Linotype" w:cs="Arial"/>
        </w:rPr>
        <w:t>;</w:t>
      </w:r>
      <w:r w:rsidR="00832F08" w:rsidRPr="00770A74">
        <w:rPr>
          <w:rFonts w:ascii="Palatino Linotype" w:hAnsi="Palatino Linotype" w:cs="Arial"/>
        </w:rPr>
        <w:t xml:space="preserve"> i) deberán aplicar los recursos asignados en la ejecución de las acciones contempladas en el programa de conformidad con la normativa aplicable; ii) acreditar trimestralmente ante la unidad administrativa de la CONAGUA que le corresponda por su ubicación geográfica los informes de los avances físicos financieros del cumplimiento de las acciones del programa; iii) presentar ante la unidad administrativa </w:t>
      </w:r>
      <w:r w:rsidR="00DC7C5F" w:rsidRPr="00770A74">
        <w:rPr>
          <w:rFonts w:ascii="Palatino Linotype" w:hAnsi="Palatino Linotype" w:cs="Arial"/>
        </w:rPr>
        <w:t xml:space="preserve">de la CONAGUA a más tardar el 30 de abril del siguiente ejercicio fiscal (abril 2021) el cierre del programa; y iv) </w:t>
      </w:r>
      <w:r w:rsidR="00DC7C5F" w:rsidRPr="00770A74">
        <w:rPr>
          <w:rFonts w:ascii="Palatino Linotype" w:hAnsi="Palatino Linotype" w:cs="Arial"/>
          <w:b/>
        </w:rPr>
        <w:t xml:space="preserve">Reintegrar a la </w:t>
      </w:r>
      <w:r w:rsidR="00DC7C5F" w:rsidRPr="00770A74">
        <w:rPr>
          <w:rFonts w:ascii="Palatino Linotype" w:hAnsi="Palatino Linotype" w:cs="Arial"/>
          <w:b/>
        </w:rPr>
        <w:lastRenderedPageBreak/>
        <w:t>Tesorería de la Federación los recursos no comprobados o no ejercidos junto con sus cargas financieras.</w:t>
      </w:r>
    </w:p>
    <w:p w14:paraId="792231AE" w14:textId="5DFE93EB" w:rsidR="005B737C" w:rsidRPr="00770A74" w:rsidRDefault="00824BA1" w:rsidP="00DC7C5F">
      <w:pPr>
        <w:spacing w:before="100" w:beforeAutospacing="1" w:after="100" w:afterAutospacing="1" w:line="360" w:lineRule="auto"/>
        <w:jc w:val="both"/>
        <w:rPr>
          <w:rFonts w:ascii="Palatino Linotype" w:hAnsi="Palatino Linotype" w:cs="Arial"/>
        </w:rPr>
      </w:pPr>
      <w:r w:rsidRPr="00770A74">
        <w:rPr>
          <w:rFonts w:ascii="Palatino Linotype" w:hAnsi="Palatino Linotype" w:cs="Arial"/>
        </w:rPr>
        <w:t xml:space="preserve">Así, </w:t>
      </w:r>
      <w:r w:rsidR="00DC7C5F" w:rsidRPr="00770A74">
        <w:rPr>
          <w:rFonts w:ascii="Palatino Linotype" w:hAnsi="Palatino Linotype" w:cs="Arial"/>
        </w:rPr>
        <w:t xml:space="preserve">derivado de lo establecido en dichos Lineamientos, es que esta Ponencia Resolutora puede advertir que </w:t>
      </w:r>
      <w:r w:rsidR="00DC7C5F" w:rsidRPr="00770A74">
        <w:rPr>
          <w:rFonts w:ascii="Palatino Linotype" w:hAnsi="Palatino Linotype" w:cs="Arial"/>
          <w:b/>
        </w:rPr>
        <w:t xml:space="preserve">EL SUJETO OBLIGADO </w:t>
      </w:r>
      <w:r w:rsidR="00DC7C5F" w:rsidRPr="00770A74">
        <w:rPr>
          <w:rFonts w:ascii="Palatino Linotype" w:hAnsi="Palatino Linotype" w:cs="Arial"/>
        </w:rPr>
        <w:t xml:space="preserve">cuenta con fuente obligacional que lo constriñe a conocer el destino de los fondos que con motivo del programa PRODDER le son entregados y que como ya se vio en su respuesta no fueron ejercidos en su totalidad; por ello, se considera importante </w:t>
      </w:r>
      <w:r w:rsidR="00DC7C5F" w:rsidRPr="00770A74">
        <w:rPr>
          <w:rFonts w:ascii="Palatino Linotype" w:eastAsia="Calibri" w:hAnsi="Palatino Linotype" w:cs="Arial"/>
        </w:rPr>
        <w:t xml:space="preserve">mencionar que el </w:t>
      </w:r>
      <w:r w:rsidR="00DC7C5F" w:rsidRPr="00770A74">
        <w:rPr>
          <w:rFonts w:ascii="Palatino Linotype" w:hAnsi="Palatino Linotype" w:cs="Arial"/>
        </w:rPr>
        <w:t>Titular de la Unidad de Transparencia del</w:t>
      </w:r>
      <w:r w:rsidR="00DC7C5F" w:rsidRPr="00770A74">
        <w:rPr>
          <w:rFonts w:ascii="Palatino Linotype" w:hAnsi="Palatino Linotype"/>
          <w:w w:val="110"/>
        </w:rPr>
        <w:t xml:space="preserve"> </w:t>
      </w:r>
      <w:r w:rsidR="00DC7C5F" w:rsidRPr="00770A74">
        <w:rPr>
          <w:rFonts w:ascii="Palatino Linotype" w:hAnsi="Palatino Linotype"/>
          <w:b/>
          <w:w w:val="110"/>
        </w:rPr>
        <w:t xml:space="preserve">SUJETO OBLIGADO </w:t>
      </w:r>
      <w:r w:rsidR="00DC7C5F" w:rsidRPr="00770A74">
        <w:rPr>
          <w:rFonts w:ascii="Palatino Linotype" w:hAnsi="Palatino Linotype" w:cs="Arial"/>
        </w:rPr>
        <w:t xml:space="preserve">acreditó haber dado cumplimiento al procedimiento señalado en el artículo 162 de la de la Ley de Transparencia y Acceso a la Información Pública del Estado de México y Municipios, al haber turnado la solicitud de información </w:t>
      </w:r>
      <w:r w:rsidR="00F72D4F" w:rsidRPr="00770A74">
        <w:rPr>
          <w:rFonts w:ascii="Palatino Linotype" w:hAnsi="Palatino Linotype" w:cs="Arial"/>
        </w:rPr>
        <w:t xml:space="preserve">únicamente a </w:t>
      </w:r>
      <w:r w:rsidR="00DC7C5F" w:rsidRPr="00770A74">
        <w:rPr>
          <w:rFonts w:ascii="Palatino Linotype" w:hAnsi="Palatino Linotype" w:cs="Arial"/>
        </w:rPr>
        <w:t>la Directora de Administración y Finanzas y al Director de Construcción y Operación Hidráulica del Organismo de Agua; requerimiento de información que fue atendido como se pudo observar en las constancias que integran el expediente electrónico del SAI</w:t>
      </w:r>
      <w:r w:rsidR="005B737C" w:rsidRPr="00770A74">
        <w:rPr>
          <w:rFonts w:ascii="Palatino Linotype" w:hAnsi="Palatino Linotype" w:cs="Arial"/>
        </w:rPr>
        <w:t>MEX, y en el Resultando II de la presente resolución.</w:t>
      </w:r>
    </w:p>
    <w:p w14:paraId="2FD8C6A4" w14:textId="77777777" w:rsidR="00DC7C5F" w:rsidRPr="00770A74" w:rsidRDefault="00DC7C5F" w:rsidP="00DC7C5F">
      <w:pPr>
        <w:pStyle w:val="Prrafodelista"/>
        <w:widowControl w:val="0"/>
        <w:autoSpaceDE w:val="0"/>
        <w:autoSpaceDN w:val="0"/>
        <w:adjustRightInd w:val="0"/>
        <w:spacing w:before="120" w:after="120" w:line="360" w:lineRule="auto"/>
        <w:ind w:left="0"/>
        <w:jc w:val="both"/>
        <w:rPr>
          <w:rFonts w:ascii="Palatino Linotype" w:hAnsi="Palatino Linotype" w:cs="Arial"/>
        </w:rPr>
      </w:pPr>
      <w:bookmarkStart w:id="3" w:name="_Hlk80695367"/>
      <w:r w:rsidRPr="00770A74">
        <w:rPr>
          <w:rFonts w:ascii="Palatino Linotype" w:hAnsi="Palatino Linotype" w:cs="Bookman Old Style,Bold"/>
          <w:bCs/>
        </w:rPr>
        <w:t xml:space="preserve">Por ello, conviene señalar que es </w:t>
      </w:r>
      <w:r w:rsidRPr="00770A74">
        <w:rPr>
          <w:rFonts w:ascii="Palatino Linotype" w:hAnsi="Palatino Linotype" w:cs="Arial"/>
        </w:rPr>
        <w:t xml:space="preserve">importante determinar en quién recae la figura de los Servidores Públicos Habilitados competentes, los cuales son los encargados dentro de las diversas unidades administrativas o áreas de los Sujeto Obligados, de apoyar, gestionar y entregar la información o datos personales que se ubiquen en la misma, a </w:t>
      </w:r>
      <w:r w:rsidRPr="00770A74">
        <w:rPr>
          <w:rFonts w:ascii="Palatino Linotype" w:hAnsi="Palatino Linotype" w:cs="Arial"/>
        </w:rPr>
        <w:lastRenderedPageBreak/>
        <w:t xml:space="preserve">sus respectivas Unidades de Transparencia, en términos de lo dispuesto en los artículos </w:t>
      </w:r>
      <w:r w:rsidRPr="00770A74">
        <w:rPr>
          <w:rFonts w:ascii="Palatino Linotype" w:hAnsi="Palatino Linotype" w:cs="Arial"/>
          <w:lang w:val="es-ES_tradnl"/>
        </w:rPr>
        <w:t>3 fracción XXXIX, 50, 51, 53 y 59 fracciones I, II y III, de la Ley de la materia, mismos que se transcriben a continuación:</w:t>
      </w:r>
    </w:p>
    <w:p w14:paraId="2A4940BF" w14:textId="77777777" w:rsidR="00DC7C5F" w:rsidRPr="00770A74" w:rsidRDefault="00DC7C5F" w:rsidP="00DC7C5F">
      <w:pPr>
        <w:ind w:left="567" w:right="616"/>
        <w:jc w:val="both"/>
        <w:rPr>
          <w:rFonts w:ascii="Palatino Linotype" w:hAnsi="Palatino Linotype" w:cs="Arial"/>
          <w:i/>
          <w:sz w:val="22"/>
          <w:szCs w:val="22"/>
        </w:rPr>
      </w:pPr>
      <w:r w:rsidRPr="00770A74">
        <w:rPr>
          <w:rFonts w:ascii="Palatino Linotype" w:hAnsi="Palatino Linotype" w:cs="Arial"/>
          <w:i/>
          <w:sz w:val="22"/>
          <w:szCs w:val="22"/>
        </w:rPr>
        <w:t>“</w:t>
      </w:r>
      <w:r w:rsidRPr="00770A74">
        <w:rPr>
          <w:rFonts w:ascii="Palatino Linotype" w:hAnsi="Palatino Linotype" w:cs="Arial"/>
          <w:b/>
          <w:i/>
          <w:sz w:val="22"/>
          <w:szCs w:val="22"/>
        </w:rPr>
        <w:t>Artículo 3</w:t>
      </w:r>
      <w:r w:rsidRPr="00770A74">
        <w:rPr>
          <w:rFonts w:ascii="Palatino Linotype" w:hAnsi="Palatino Linotype" w:cs="Arial"/>
          <w:i/>
          <w:sz w:val="22"/>
          <w:szCs w:val="22"/>
        </w:rPr>
        <w:t xml:space="preserve">. </w:t>
      </w:r>
      <w:r w:rsidRPr="00770A74">
        <w:rPr>
          <w:rFonts w:ascii="Palatino Linotype" w:hAnsi="Palatino Linotype" w:cs="Arial"/>
          <w:b/>
          <w:i/>
          <w:sz w:val="22"/>
          <w:szCs w:val="22"/>
          <w:u w:val="single"/>
        </w:rPr>
        <w:t>Para los efectos de la presente Ley se entenderá por</w:t>
      </w:r>
      <w:r w:rsidRPr="00770A74">
        <w:rPr>
          <w:rFonts w:ascii="Palatino Linotype" w:hAnsi="Palatino Linotype" w:cs="Arial"/>
          <w:i/>
          <w:sz w:val="22"/>
          <w:szCs w:val="22"/>
        </w:rPr>
        <w:t xml:space="preserve">: </w:t>
      </w:r>
    </w:p>
    <w:p w14:paraId="57459795" w14:textId="77777777" w:rsidR="00DC7C5F" w:rsidRPr="00770A74" w:rsidRDefault="00DC7C5F" w:rsidP="00DC7C5F">
      <w:pPr>
        <w:ind w:left="567" w:right="616"/>
        <w:jc w:val="both"/>
        <w:rPr>
          <w:rFonts w:ascii="Palatino Linotype" w:hAnsi="Palatino Linotype" w:cs="Arial"/>
          <w:i/>
          <w:sz w:val="22"/>
          <w:szCs w:val="22"/>
        </w:rPr>
      </w:pPr>
      <w:r w:rsidRPr="00770A74">
        <w:rPr>
          <w:rFonts w:ascii="Palatino Linotype" w:hAnsi="Palatino Linotype" w:cs="Arial"/>
          <w:b/>
          <w:i/>
          <w:sz w:val="22"/>
          <w:szCs w:val="22"/>
        </w:rPr>
        <w:t>XXXIX</w:t>
      </w:r>
      <w:r w:rsidRPr="00770A74">
        <w:rPr>
          <w:rFonts w:ascii="Palatino Linotype" w:hAnsi="Palatino Linotype" w:cs="Arial"/>
          <w:i/>
          <w:sz w:val="22"/>
          <w:szCs w:val="22"/>
        </w:rPr>
        <w:t xml:space="preserve">. </w:t>
      </w:r>
      <w:r w:rsidRPr="00770A74">
        <w:rPr>
          <w:rFonts w:ascii="Palatino Linotype" w:hAnsi="Palatino Linotype" w:cs="Arial"/>
          <w:b/>
          <w:i/>
          <w:sz w:val="22"/>
          <w:szCs w:val="22"/>
          <w:u w:val="single"/>
        </w:rPr>
        <w:t>Servidor público habilitado</w:t>
      </w:r>
      <w:r w:rsidRPr="00770A74">
        <w:rPr>
          <w:rFonts w:ascii="Palatino Linotype" w:hAnsi="Palatino Linotype" w:cs="Arial"/>
          <w:i/>
          <w:sz w:val="22"/>
          <w:szCs w:val="22"/>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23D511D0" w14:textId="77777777" w:rsidR="00DC7C5F" w:rsidRPr="00770A74" w:rsidRDefault="00DC7C5F" w:rsidP="00DC7C5F">
      <w:pPr>
        <w:ind w:left="567" w:right="616"/>
        <w:jc w:val="both"/>
        <w:rPr>
          <w:rFonts w:ascii="Palatino Linotype" w:hAnsi="Palatino Linotype" w:cs="Arial"/>
          <w:i/>
          <w:sz w:val="22"/>
          <w:szCs w:val="22"/>
        </w:rPr>
      </w:pPr>
      <w:r w:rsidRPr="00770A74">
        <w:rPr>
          <w:rFonts w:ascii="Palatino Linotype" w:hAnsi="Palatino Linotype" w:cs="Arial"/>
          <w:i/>
          <w:sz w:val="22"/>
          <w:szCs w:val="22"/>
        </w:rPr>
        <w:t>…</w:t>
      </w:r>
    </w:p>
    <w:p w14:paraId="40191481" w14:textId="77777777" w:rsidR="00DC7C5F" w:rsidRPr="00770A74" w:rsidRDefault="00DC7C5F" w:rsidP="00DC7C5F">
      <w:pPr>
        <w:ind w:left="567" w:right="618"/>
        <w:jc w:val="both"/>
        <w:rPr>
          <w:rFonts w:ascii="Palatino Linotype" w:hAnsi="Palatino Linotype"/>
          <w:i/>
          <w:sz w:val="22"/>
          <w:szCs w:val="22"/>
        </w:rPr>
      </w:pPr>
      <w:r w:rsidRPr="00770A74">
        <w:rPr>
          <w:rFonts w:ascii="Palatino Linotype" w:hAnsi="Palatino Linotype"/>
          <w:b/>
          <w:i/>
          <w:sz w:val="22"/>
          <w:szCs w:val="22"/>
        </w:rPr>
        <w:t>Artículo 50.</w:t>
      </w:r>
      <w:r w:rsidRPr="00770A74">
        <w:rPr>
          <w:rFonts w:ascii="Palatino Linotype" w:hAnsi="Palatino Linotype"/>
          <w:i/>
          <w:sz w:val="22"/>
          <w:szCs w:val="22"/>
        </w:rPr>
        <w:t xml:space="preserve"> Los sujetos obligados contarán con un área responsable para la atención de las solicitudes de información, a la que se le denominará Unidad de Transparencia.</w:t>
      </w:r>
    </w:p>
    <w:p w14:paraId="1D347EB1" w14:textId="77777777" w:rsidR="00DC7C5F" w:rsidRPr="00770A74" w:rsidRDefault="00DC7C5F" w:rsidP="00DC7C5F">
      <w:pPr>
        <w:ind w:left="567" w:right="618"/>
        <w:jc w:val="both"/>
        <w:rPr>
          <w:rFonts w:ascii="Palatino Linotype" w:hAnsi="Palatino Linotype"/>
          <w:i/>
          <w:sz w:val="22"/>
          <w:szCs w:val="22"/>
        </w:rPr>
      </w:pPr>
      <w:r w:rsidRPr="00770A74">
        <w:rPr>
          <w:rFonts w:ascii="Palatino Linotype" w:hAnsi="Palatino Linotype"/>
          <w:b/>
          <w:i/>
          <w:sz w:val="22"/>
          <w:szCs w:val="22"/>
        </w:rPr>
        <w:t>Artículo 51</w:t>
      </w:r>
      <w:r w:rsidRPr="00770A74">
        <w:rPr>
          <w:rFonts w:ascii="Palatino Linotype" w:hAnsi="Palatino Linotype"/>
          <w:i/>
          <w:sz w:val="22"/>
          <w:szCs w:val="22"/>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01ED2060" w14:textId="77777777" w:rsidR="00DC7C5F" w:rsidRPr="00770A74" w:rsidRDefault="00DC7C5F" w:rsidP="00DC7C5F">
      <w:pPr>
        <w:ind w:left="567" w:right="618"/>
        <w:jc w:val="both"/>
        <w:rPr>
          <w:rFonts w:ascii="Palatino Linotype" w:hAnsi="Palatino Linotype"/>
          <w:i/>
          <w:sz w:val="22"/>
          <w:szCs w:val="22"/>
        </w:rPr>
      </w:pPr>
      <w:r w:rsidRPr="00770A74">
        <w:rPr>
          <w:rFonts w:ascii="Palatino Linotype" w:hAnsi="Palatino Linotype"/>
          <w:b/>
          <w:i/>
          <w:sz w:val="22"/>
          <w:szCs w:val="22"/>
        </w:rPr>
        <w:t>Artículo 53</w:t>
      </w:r>
      <w:r w:rsidRPr="00770A74">
        <w:rPr>
          <w:rFonts w:ascii="Palatino Linotype" w:hAnsi="Palatino Linotype"/>
          <w:i/>
          <w:sz w:val="22"/>
          <w:szCs w:val="22"/>
        </w:rPr>
        <w:t>. Las Unidades de Transparencia tendrán las siguientes funciones:</w:t>
      </w:r>
    </w:p>
    <w:p w14:paraId="00FFAEB6" w14:textId="77777777" w:rsidR="00DC7C5F" w:rsidRPr="00770A74" w:rsidRDefault="00DC7C5F" w:rsidP="00DC7C5F">
      <w:pPr>
        <w:ind w:left="567" w:right="618"/>
        <w:jc w:val="both"/>
        <w:rPr>
          <w:rFonts w:ascii="Palatino Linotype" w:hAnsi="Palatino Linotype"/>
          <w:i/>
          <w:sz w:val="22"/>
          <w:szCs w:val="22"/>
        </w:rPr>
      </w:pPr>
      <w:r w:rsidRPr="00770A74">
        <w:rPr>
          <w:rFonts w:ascii="Palatino Linotype" w:hAnsi="Palatino Linotype"/>
          <w:i/>
          <w:sz w:val="22"/>
          <w:szCs w:val="22"/>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6BDE398F" w14:textId="77777777" w:rsidR="00DC7C5F" w:rsidRPr="00770A74" w:rsidRDefault="00DC7C5F" w:rsidP="00DC7C5F">
      <w:pPr>
        <w:ind w:left="567" w:right="618"/>
        <w:jc w:val="both"/>
        <w:rPr>
          <w:rFonts w:ascii="Palatino Linotype" w:hAnsi="Palatino Linotype"/>
          <w:b/>
          <w:i/>
          <w:sz w:val="22"/>
          <w:szCs w:val="22"/>
        </w:rPr>
      </w:pPr>
      <w:r w:rsidRPr="00770A74">
        <w:rPr>
          <w:rFonts w:ascii="Palatino Linotype" w:hAnsi="Palatino Linotype"/>
          <w:b/>
          <w:i/>
          <w:sz w:val="22"/>
          <w:szCs w:val="22"/>
        </w:rPr>
        <w:t xml:space="preserve">II. Recibir, </w:t>
      </w:r>
      <w:r w:rsidRPr="00770A74">
        <w:rPr>
          <w:rFonts w:ascii="Palatino Linotype" w:hAnsi="Palatino Linotype"/>
          <w:b/>
          <w:i/>
          <w:sz w:val="22"/>
          <w:szCs w:val="22"/>
          <w:u w:val="single"/>
        </w:rPr>
        <w:t>tramitar</w:t>
      </w:r>
      <w:r w:rsidRPr="00770A74">
        <w:rPr>
          <w:rFonts w:ascii="Palatino Linotype" w:hAnsi="Palatino Linotype"/>
          <w:b/>
          <w:i/>
          <w:sz w:val="22"/>
          <w:szCs w:val="22"/>
        </w:rPr>
        <w:t xml:space="preserve"> y dar respuesta a las solicitudes de acceso a la información;</w:t>
      </w:r>
    </w:p>
    <w:p w14:paraId="475311B0" w14:textId="77777777" w:rsidR="00DC7C5F" w:rsidRPr="00770A74" w:rsidRDefault="00DC7C5F" w:rsidP="00DC7C5F">
      <w:pPr>
        <w:ind w:left="567" w:right="618"/>
        <w:jc w:val="both"/>
        <w:rPr>
          <w:rFonts w:ascii="Palatino Linotype" w:hAnsi="Palatino Linotype"/>
          <w:i/>
          <w:sz w:val="22"/>
          <w:szCs w:val="22"/>
        </w:rPr>
      </w:pPr>
      <w:r w:rsidRPr="00770A74">
        <w:rPr>
          <w:rFonts w:ascii="Palatino Linotype" w:hAnsi="Palatino Linotype"/>
          <w:i/>
          <w:sz w:val="22"/>
          <w:szCs w:val="22"/>
        </w:rPr>
        <w:t>III. Auxiliar a los particulares en la elaboración de solicitudes de acceso a la información y, en su caso, orientarlos sobre los sujetos obligados competentes conforme a la normatividad aplicable;</w:t>
      </w:r>
    </w:p>
    <w:p w14:paraId="58DA6594" w14:textId="77777777" w:rsidR="00DC7C5F" w:rsidRPr="00770A74" w:rsidRDefault="00DC7C5F" w:rsidP="00DC7C5F">
      <w:pPr>
        <w:ind w:left="567" w:right="618"/>
        <w:jc w:val="both"/>
        <w:rPr>
          <w:rFonts w:ascii="Palatino Linotype" w:hAnsi="Palatino Linotype"/>
          <w:i/>
          <w:sz w:val="22"/>
          <w:szCs w:val="22"/>
        </w:rPr>
      </w:pPr>
      <w:r w:rsidRPr="00770A74">
        <w:rPr>
          <w:rFonts w:ascii="Palatino Linotype" w:hAnsi="Palatino Linotype"/>
          <w:i/>
          <w:sz w:val="22"/>
          <w:szCs w:val="22"/>
        </w:rPr>
        <w:t>IV. Realizar, con efectividad, los trámites internos necesarios para la atención de las solicitudes de acceso a la información;</w:t>
      </w:r>
    </w:p>
    <w:p w14:paraId="4D77B409" w14:textId="77777777" w:rsidR="00DC7C5F" w:rsidRPr="00770A74" w:rsidRDefault="00DC7C5F" w:rsidP="00DC7C5F">
      <w:pPr>
        <w:ind w:left="567" w:right="618"/>
        <w:jc w:val="both"/>
        <w:rPr>
          <w:rFonts w:ascii="Palatino Linotype" w:hAnsi="Palatino Linotype"/>
          <w:i/>
          <w:sz w:val="22"/>
          <w:szCs w:val="22"/>
        </w:rPr>
      </w:pPr>
      <w:r w:rsidRPr="00770A74">
        <w:rPr>
          <w:rFonts w:ascii="Palatino Linotype" w:hAnsi="Palatino Linotype"/>
          <w:i/>
          <w:sz w:val="22"/>
          <w:szCs w:val="22"/>
        </w:rPr>
        <w:t>V. Entregar, en su caso, a los particulares la información solicitada;</w:t>
      </w:r>
    </w:p>
    <w:p w14:paraId="04428BE0" w14:textId="77777777" w:rsidR="00DC7C5F" w:rsidRPr="00770A74" w:rsidRDefault="00DC7C5F" w:rsidP="00DC7C5F">
      <w:pPr>
        <w:ind w:left="567" w:right="618"/>
        <w:jc w:val="both"/>
        <w:rPr>
          <w:rFonts w:ascii="Palatino Linotype" w:hAnsi="Palatino Linotype"/>
          <w:i/>
          <w:sz w:val="22"/>
          <w:szCs w:val="22"/>
        </w:rPr>
      </w:pPr>
      <w:r w:rsidRPr="00770A74">
        <w:rPr>
          <w:rFonts w:ascii="Palatino Linotype" w:hAnsi="Palatino Linotype"/>
          <w:i/>
          <w:sz w:val="22"/>
          <w:szCs w:val="22"/>
        </w:rPr>
        <w:lastRenderedPageBreak/>
        <w:t>VI. Efectuar las notificaciones a los solicitantes;</w:t>
      </w:r>
    </w:p>
    <w:p w14:paraId="07FCB23F" w14:textId="77777777" w:rsidR="00DC7C5F" w:rsidRPr="00770A74" w:rsidRDefault="00DC7C5F" w:rsidP="00DC7C5F">
      <w:pPr>
        <w:ind w:left="567" w:right="618"/>
        <w:jc w:val="both"/>
        <w:rPr>
          <w:rFonts w:ascii="Palatino Linotype" w:hAnsi="Palatino Linotype"/>
          <w:i/>
          <w:sz w:val="22"/>
          <w:szCs w:val="22"/>
        </w:rPr>
      </w:pPr>
      <w:r w:rsidRPr="00770A74">
        <w:rPr>
          <w:rFonts w:ascii="Palatino Linotype" w:hAnsi="Palatino Linotype"/>
          <w:i/>
          <w:sz w:val="22"/>
          <w:szCs w:val="22"/>
        </w:rPr>
        <w:t>VII. Proponer al Comité de Transparencia, los procedimientos internos que aseguren la mayor eficiencia en la gestión de las solicitudes de acceso a la información, conforme a la normatividad aplicable;</w:t>
      </w:r>
    </w:p>
    <w:p w14:paraId="044ED243" w14:textId="77777777" w:rsidR="00DC7C5F" w:rsidRPr="00770A74" w:rsidRDefault="00DC7C5F" w:rsidP="00DC7C5F">
      <w:pPr>
        <w:ind w:left="567" w:right="618"/>
        <w:jc w:val="both"/>
        <w:rPr>
          <w:rFonts w:ascii="Palatino Linotype" w:hAnsi="Palatino Linotype"/>
          <w:i/>
          <w:sz w:val="22"/>
          <w:szCs w:val="22"/>
        </w:rPr>
      </w:pPr>
      <w:r w:rsidRPr="00770A74">
        <w:rPr>
          <w:rFonts w:ascii="Palatino Linotype" w:hAnsi="Palatino Linotype"/>
          <w:i/>
          <w:sz w:val="22"/>
          <w:szCs w:val="22"/>
        </w:rPr>
        <w:t>VIII. Proponer a quien preside el Comité de Transparencia, personal habilitado que sea necesario para recibir y dar trámite a las solicitudes de acceso a la información;</w:t>
      </w:r>
    </w:p>
    <w:p w14:paraId="5EE510BB" w14:textId="77777777" w:rsidR="00DC7C5F" w:rsidRPr="00770A74" w:rsidRDefault="00DC7C5F" w:rsidP="00DC7C5F">
      <w:pPr>
        <w:ind w:left="567" w:right="618"/>
        <w:jc w:val="both"/>
        <w:rPr>
          <w:rFonts w:ascii="Palatino Linotype" w:hAnsi="Palatino Linotype"/>
          <w:i/>
          <w:sz w:val="22"/>
          <w:szCs w:val="22"/>
        </w:rPr>
      </w:pPr>
      <w:r w:rsidRPr="00770A74">
        <w:rPr>
          <w:rFonts w:ascii="Palatino Linotype" w:hAnsi="Palatino Linotype"/>
          <w:i/>
          <w:sz w:val="22"/>
          <w:szCs w:val="22"/>
        </w:rPr>
        <w:t>IX. Llevar un registro de las solicitudes de acceso a la información, sus respuestas, resultados, costos de reproducción y envío, resolución a los recursos de revisión que se hayan emitido en contra de sus respuestas y del cumplimiento de las mismas;</w:t>
      </w:r>
    </w:p>
    <w:p w14:paraId="14BFBF36" w14:textId="77777777" w:rsidR="00DC7C5F" w:rsidRPr="00770A74" w:rsidRDefault="00DC7C5F" w:rsidP="00DC7C5F">
      <w:pPr>
        <w:ind w:left="567" w:right="618"/>
        <w:jc w:val="both"/>
        <w:rPr>
          <w:rFonts w:ascii="Palatino Linotype" w:hAnsi="Palatino Linotype"/>
          <w:i/>
          <w:sz w:val="22"/>
          <w:szCs w:val="22"/>
        </w:rPr>
      </w:pPr>
      <w:r w:rsidRPr="00770A74">
        <w:rPr>
          <w:rFonts w:ascii="Palatino Linotype" w:hAnsi="Palatino Linotype"/>
          <w:i/>
          <w:sz w:val="22"/>
          <w:szCs w:val="22"/>
        </w:rPr>
        <w:t>X. Presentar ante el Comité, el proyecto de clasificación de información;</w:t>
      </w:r>
    </w:p>
    <w:p w14:paraId="1B1735F7" w14:textId="77777777" w:rsidR="00DC7C5F" w:rsidRPr="00770A74" w:rsidRDefault="00DC7C5F" w:rsidP="00DC7C5F">
      <w:pPr>
        <w:ind w:left="567" w:right="618"/>
        <w:jc w:val="both"/>
        <w:rPr>
          <w:rFonts w:ascii="Palatino Linotype" w:hAnsi="Palatino Linotype"/>
          <w:i/>
          <w:sz w:val="22"/>
          <w:szCs w:val="22"/>
        </w:rPr>
      </w:pPr>
      <w:r w:rsidRPr="00770A74">
        <w:rPr>
          <w:rFonts w:ascii="Palatino Linotype" w:hAnsi="Palatino Linotype"/>
          <w:i/>
          <w:sz w:val="22"/>
          <w:szCs w:val="22"/>
        </w:rPr>
        <w:t>XI. Promover e implementar políticas de transparencia proactiva procurando su accesibilidad;</w:t>
      </w:r>
    </w:p>
    <w:p w14:paraId="647DF2CF" w14:textId="77777777" w:rsidR="00DC7C5F" w:rsidRPr="00770A74" w:rsidRDefault="00DC7C5F" w:rsidP="00DC7C5F">
      <w:pPr>
        <w:ind w:left="567" w:right="618"/>
        <w:jc w:val="both"/>
        <w:rPr>
          <w:rFonts w:ascii="Palatino Linotype" w:hAnsi="Palatino Linotype"/>
          <w:i/>
          <w:sz w:val="22"/>
          <w:szCs w:val="22"/>
        </w:rPr>
      </w:pPr>
      <w:r w:rsidRPr="00770A74">
        <w:rPr>
          <w:rFonts w:ascii="Palatino Linotype" w:hAnsi="Palatino Linotype"/>
          <w:i/>
          <w:sz w:val="22"/>
          <w:szCs w:val="22"/>
        </w:rPr>
        <w:t>XII. Fomentar la transparencia y accesibilidad al interior del sujeto obligado;</w:t>
      </w:r>
    </w:p>
    <w:p w14:paraId="4ED8E43D" w14:textId="77777777" w:rsidR="00DC7C5F" w:rsidRPr="00770A74" w:rsidRDefault="00DC7C5F" w:rsidP="00DC7C5F">
      <w:pPr>
        <w:ind w:left="567" w:right="618"/>
        <w:jc w:val="both"/>
        <w:rPr>
          <w:rFonts w:ascii="Palatino Linotype" w:hAnsi="Palatino Linotype"/>
          <w:i/>
          <w:sz w:val="22"/>
          <w:szCs w:val="22"/>
        </w:rPr>
      </w:pPr>
      <w:r w:rsidRPr="00770A74">
        <w:rPr>
          <w:rFonts w:ascii="Palatino Linotype" w:hAnsi="Palatino Linotype"/>
          <w:i/>
          <w:sz w:val="22"/>
          <w:szCs w:val="22"/>
        </w:rPr>
        <w:t>XIII. Hacer del conocimiento de la instancia competente la probable responsabilidad por el incumplimiento de las obligaciones previstas en la presente Ley; y</w:t>
      </w:r>
    </w:p>
    <w:p w14:paraId="71B8C75B" w14:textId="77777777" w:rsidR="00DC7C5F" w:rsidRPr="00770A74" w:rsidRDefault="00DC7C5F" w:rsidP="00DC7C5F">
      <w:pPr>
        <w:ind w:left="567" w:right="618"/>
        <w:jc w:val="both"/>
        <w:rPr>
          <w:rFonts w:ascii="Palatino Linotype" w:hAnsi="Palatino Linotype"/>
          <w:i/>
          <w:sz w:val="22"/>
          <w:szCs w:val="22"/>
        </w:rPr>
      </w:pPr>
      <w:r w:rsidRPr="00770A74">
        <w:rPr>
          <w:rFonts w:ascii="Palatino Linotype" w:hAnsi="Palatino Linotype"/>
          <w:i/>
          <w:sz w:val="22"/>
          <w:szCs w:val="22"/>
        </w:rPr>
        <w:t>XIV. Las demás que resulten necesarias para facilitar el acceso a la información y aquellas que se desprenden de la presente Ley y demás disposiciones jurídicas aplicables.</w:t>
      </w:r>
    </w:p>
    <w:p w14:paraId="58C4EE09" w14:textId="77777777" w:rsidR="00DC7C5F" w:rsidRPr="00770A74" w:rsidRDefault="00DC7C5F" w:rsidP="00DC7C5F">
      <w:pPr>
        <w:ind w:left="567" w:right="618"/>
        <w:jc w:val="both"/>
        <w:rPr>
          <w:rFonts w:ascii="Palatino Linotype" w:hAnsi="Palatino Linotype"/>
          <w:i/>
          <w:sz w:val="22"/>
          <w:szCs w:val="22"/>
        </w:rPr>
      </w:pPr>
      <w:r w:rsidRPr="00770A74">
        <w:rPr>
          <w:rFonts w:ascii="Palatino Linotype" w:hAnsi="Palatino Linotype"/>
          <w:i/>
          <w:sz w:val="22"/>
          <w:szCs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15ECB267" w14:textId="77777777" w:rsidR="00DC7C5F" w:rsidRPr="00770A74" w:rsidRDefault="00DC7C5F" w:rsidP="00DC7C5F">
      <w:pPr>
        <w:ind w:left="567" w:right="618"/>
        <w:jc w:val="both"/>
        <w:rPr>
          <w:rFonts w:ascii="Palatino Linotype" w:hAnsi="Palatino Linotype"/>
          <w:i/>
          <w:sz w:val="22"/>
          <w:szCs w:val="22"/>
        </w:rPr>
      </w:pPr>
      <w:r w:rsidRPr="00770A74">
        <w:rPr>
          <w:rFonts w:ascii="Palatino Linotype" w:hAnsi="Palatino Linotype"/>
          <w:i/>
          <w:sz w:val="22"/>
          <w:szCs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3484D8CF" w14:textId="77777777" w:rsidR="00DC7C5F" w:rsidRPr="00770A74" w:rsidRDefault="00DC7C5F" w:rsidP="00DC7C5F">
      <w:pPr>
        <w:ind w:left="567" w:right="616"/>
        <w:jc w:val="both"/>
        <w:rPr>
          <w:rFonts w:ascii="Palatino Linotype" w:hAnsi="Palatino Linotype" w:cs="Arial"/>
          <w:i/>
          <w:sz w:val="22"/>
          <w:szCs w:val="22"/>
        </w:rPr>
      </w:pPr>
      <w:r w:rsidRPr="00770A74">
        <w:rPr>
          <w:rFonts w:ascii="Palatino Linotype" w:hAnsi="Palatino Linotype" w:cs="Arial"/>
          <w:b/>
          <w:i/>
          <w:sz w:val="22"/>
          <w:szCs w:val="22"/>
        </w:rPr>
        <w:t>Artículo 59</w:t>
      </w:r>
      <w:r w:rsidRPr="00770A74">
        <w:rPr>
          <w:rFonts w:ascii="Palatino Linotype" w:hAnsi="Palatino Linotype" w:cs="Arial"/>
          <w:i/>
          <w:sz w:val="22"/>
          <w:szCs w:val="22"/>
        </w:rPr>
        <w:t xml:space="preserve">. </w:t>
      </w:r>
      <w:r w:rsidRPr="00770A74">
        <w:rPr>
          <w:rFonts w:ascii="Palatino Linotype" w:hAnsi="Palatino Linotype" w:cs="Arial"/>
          <w:b/>
          <w:i/>
          <w:sz w:val="22"/>
          <w:szCs w:val="22"/>
          <w:u w:val="single"/>
        </w:rPr>
        <w:t>Los servidores públicos habilitados tendrán las funciones siguientes</w:t>
      </w:r>
      <w:r w:rsidRPr="00770A74">
        <w:rPr>
          <w:rFonts w:ascii="Palatino Linotype" w:hAnsi="Palatino Linotype" w:cs="Arial"/>
          <w:i/>
          <w:sz w:val="22"/>
          <w:szCs w:val="22"/>
        </w:rPr>
        <w:t xml:space="preserve">: </w:t>
      </w:r>
    </w:p>
    <w:p w14:paraId="677E4A4C" w14:textId="77777777" w:rsidR="00DC7C5F" w:rsidRPr="00770A74" w:rsidRDefault="00DC7C5F" w:rsidP="00DC7C5F">
      <w:pPr>
        <w:ind w:left="567" w:right="616"/>
        <w:jc w:val="both"/>
        <w:rPr>
          <w:rFonts w:ascii="Palatino Linotype" w:hAnsi="Palatino Linotype" w:cs="Arial"/>
          <w:i/>
          <w:sz w:val="22"/>
          <w:szCs w:val="22"/>
        </w:rPr>
      </w:pPr>
      <w:r w:rsidRPr="00770A74">
        <w:rPr>
          <w:rFonts w:ascii="Palatino Linotype" w:hAnsi="Palatino Linotype" w:cs="Arial"/>
          <w:b/>
          <w:i/>
          <w:sz w:val="22"/>
          <w:szCs w:val="22"/>
        </w:rPr>
        <w:t xml:space="preserve">I. </w:t>
      </w:r>
      <w:r w:rsidRPr="00770A74">
        <w:rPr>
          <w:rFonts w:ascii="Palatino Linotype" w:hAnsi="Palatino Linotype" w:cs="Arial"/>
          <w:b/>
          <w:i/>
          <w:sz w:val="22"/>
          <w:szCs w:val="22"/>
          <w:u w:val="single"/>
        </w:rPr>
        <w:t>Localizar la información que le solicite la Unidad de Transparencia</w:t>
      </w:r>
      <w:r w:rsidRPr="00770A74">
        <w:rPr>
          <w:rFonts w:ascii="Palatino Linotype" w:hAnsi="Palatino Linotype" w:cs="Arial"/>
          <w:i/>
          <w:sz w:val="22"/>
          <w:szCs w:val="22"/>
        </w:rPr>
        <w:t xml:space="preserve">; </w:t>
      </w:r>
    </w:p>
    <w:p w14:paraId="72F5424A" w14:textId="77777777" w:rsidR="00DC7C5F" w:rsidRPr="00770A74" w:rsidRDefault="00DC7C5F" w:rsidP="00DC7C5F">
      <w:pPr>
        <w:ind w:left="567" w:right="616"/>
        <w:jc w:val="both"/>
        <w:rPr>
          <w:rFonts w:ascii="Palatino Linotype" w:hAnsi="Palatino Linotype" w:cs="Arial"/>
          <w:b/>
          <w:i/>
          <w:sz w:val="22"/>
          <w:szCs w:val="22"/>
        </w:rPr>
      </w:pPr>
      <w:r w:rsidRPr="00770A74">
        <w:rPr>
          <w:rFonts w:ascii="Palatino Linotype" w:hAnsi="Palatino Linotype" w:cs="Arial"/>
          <w:b/>
          <w:i/>
          <w:sz w:val="22"/>
          <w:szCs w:val="22"/>
        </w:rPr>
        <w:t xml:space="preserve">II. </w:t>
      </w:r>
      <w:r w:rsidRPr="00770A74">
        <w:rPr>
          <w:rFonts w:ascii="Palatino Linotype" w:hAnsi="Palatino Linotype" w:cs="Arial"/>
          <w:b/>
          <w:i/>
          <w:sz w:val="22"/>
          <w:szCs w:val="22"/>
          <w:u w:val="single"/>
        </w:rPr>
        <w:t>Proporcionar la información que obre en los archivos y que le sea solicitada por la Unidad de Transparencia</w:t>
      </w:r>
      <w:r w:rsidRPr="00770A74">
        <w:rPr>
          <w:rFonts w:ascii="Palatino Linotype" w:hAnsi="Palatino Linotype" w:cs="Arial"/>
          <w:b/>
          <w:i/>
          <w:sz w:val="22"/>
          <w:szCs w:val="22"/>
        </w:rPr>
        <w:t xml:space="preserve">; </w:t>
      </w:r>
    </w:p>
    <w:p w14:paraId="45FCF450" w14:textId="77777777" w:rsidR="00DC7C5F" w:rsidRPr="00770A74" w:rsidRDefault="00DC7C5F" w:rsidP="00DC7C5F">
      <w:pPr>
        <w:ind w:left="567" w:right="616"/>
        <w:jc w:val="both"/>
        <w:rPr>
          <w:rFonts w:ascii="Palatino Linotype" w:hAnsi="Palatino Linotype" w:cs="Arial"/>
          <w:b/>
          <w:i/>
          <w:sz w:val="22"/>
          <w:szCs w:val="22"/>
        </w:rPr>
      </w:pPr>
      <w:r w:rsidRPr="00770A74">
        <w:rPr>
          <w:rFonts w:ascii="Palatino Linotype" w:hAnsi="Palatino Linotype" w:cs="Arial"/>
          <w:b/>
          <w:i/>
          <w:sz w:val="22"/>
          <w:szCs w:val="22"/>
        </w:rPr>
        <w:lastRenderedPageBreak/>
        <w:t xml:space="preserve">III. </w:t>
      </w:r>
      <w:r w:rsidRPr="00770A74">
        <w:rPr>
          <w:rFonts w:ascii="Palatino Linotype" w:hAnsi="Palatino Linotype" w:cs="Arial"/>
          <w:b/>
          <w:i/>
          <w:sz w:val="22"/>
          <w:szCs w:val="22"/>
          <w:u w:val="single"/>
        </w:rPr>
        <w:t>Apoyar a la Unidad de Transparencia en lo que esta le solicite para el cumplimiento de sus funciones</w:t>
      </w:r>
      <w:r w:rsidRPr="00770A74">
        <w:rPr>
          <w:rFonts w:ascii="Palatino Linotype" w:hAnsi="Palatino Linotype" w:cs="Arial"/>
          <w:b/>
          <w:i/>
          <w:sz w:val="22"/>
          <w:szCs w:val="22"/>
        </w:rPr>
        <w:t xml:space="preserve">; </w:t>
      </w:r>
    </w:p>
    <w:p w14:paraId="14357C67" w14:textId="77777777" w:rsidR="00DC7C5F" w:rsidRPr="00770A74" w:rsidRDefault="00DC7C5F" w:rsidP="00DC7C5F">
      <w:pPr>
        <w:ind w:left="567" w:right="616"/>
        <w:jc w:val="both"/>
        <w:rPr>
          <w:rFonts w:ascii="Palatino Linotype" w:hAnsi="Palatino Linotype" w:cs="Arial"/>
          <w:b/>
          <w:i/>
          <w:sz w:val="22"/>
          <w:szCs w:val="22"/>
        </w:rPr>
      </w:pPr>
      <w:r w:rsidRPr="00770A74">
        <w:rPr>
          <w:rFonts w:ascii="Palatino Linotype" w:hAnsi="Palatino Linotype" w:cs="Arial"/>
          <w:b/>
          <w:i/>
          <w:sz w:val="22"/>
          <w:szCs w:val="22"/>
        </w:rPr>
        <w:t>…</w:t>
      </w:r>
      <w:r w:rsidRPr="00770A74">
        <w:rPr>
          <w:rFonts w:ascii="Palatino Linotype" w:hAnsi="Palatino Linotype" w:cs="Arial"/>
          <w:i/>
          <w:sz w:val="22"/>
          <w:szCs w:val="22"/>
        </w:rPr>
        <w:t>”</w:t>
      </w:r>
    </w:p>
    <w:p w14:paraId="62F23F00" w14:textId="77777777" w:rsidR="00DC7C5F" w:rsidRPr="00770A74" w:rsidRDefault="00DC7C5F" w:rsidP="00DC7C5F">
      <w:pPr>
        <w:ind w:left="567" w:right="616"/>
        <w:jc w:val="both"/>
        <w:rPr>
          <w:rFonts w:ascii="Palatino Linotype" w:hAnsi="Palatino Linotype" w:cs="Arial"/>
          <w:sz w:val="22"/>
          <w:szCs w:val="22"/>
          <w:lang w:eastAsia="es-MX"/>
        </w:rPr>
      </w:pPr>
      <w:r w:rsidRPr="00770A74">
        <w:rPr>
          <w:rFonts w:ascii="Palatino Linotype" w:hAnsi="Palatino Linotype" w:cs="Arial"/>
          <w:sz w:val="22"/>
          <w:szCs w:val="22"/>
          <w:lang w:eastAsia="es-MX"/>
        </w:rPr>
        <w:t>(Énfasis añadido)</w:t>
      </w:r>
    </w:p>
    <w:p w14:paraId="0267DD10" w14:textId="77777777" w:rsidR="00DC7C5F" w:rsidRPr="00770A74" w:rsidRDefault="00DC7C5F" w:rsidP="00DC7C5F">
      <w:pPr>
        <w:spacing w:before="240" w:after="240" w:line="360" w:lineRule="auto"/>
        <w:jc w:val="both"/>
        <w:rPr>
          <w:rFonts w:ascii="Palatino Linotype" w:eastAsia="Calibri" w:hAnsi="Palatino Linotype"/>
        </w:rPr>
      </w:pPr>
      <w:r w:rsidRPr="00770A74">
        <w:rPr>
          <w:rFonts w:ascii="Palatino Linotype" w:eastAsia="Calibri" w:hAnsi="Palatino Linotype"/>
        </w:rPr>
        <w:t>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el Sujeto Obligado y los solicitantes, y tiene bajo su responsabilidad el tramitar internamente la solicitud de información.</w:t>
      </w:r>
    </w:p>
    <w:p w14:paraId="65985E2A" w14:textId="77777777" w:rsidR="00DC7C5F" w:rsidRPr="00770A74" w:rsidRDefault="00DC7C5F" w:rsidP="00DC7C5F">
      <w:pPr>
        <w:spacing w:before="240" w:after="240" w:line="360" w:lineRule="auto"/>
        <w:jc w:val="both"/>
        <w:rPr>
          <w:rFonts w:ascii="Palatino Linotype" w:eastAsia="Calibri" w:hAnsi="Palatino Linotype"/>
        </w:rPr>
      </w:pPr>
      <w:r w:rsidRPr="00770A74">
        <w:rPr>
          <w:rFonts w:ascii="Palatino Linotype" w:eastAsia="Calibri" w:hAnsi="Palatino Linotype"/>
        </w:rPr>
        <w:t xml:space="preserve">De tal manera que, si bien, el Titular de la Unidad de Transparencia no tiene bajo su resguardo el archivo que pudiese contener la documentación solicitada, sino que puede obrar en las distintas áreas que conforman la estructura del </w:t>
      </w:r>
      <w:r w:rsidRPr="00770A74">
        <w:rPr>
          <w:rFonts w:ascii="Palatino Linotype" w:eastAsia="Calibri" w:hAnsi="Palatino Linotype"/>
          <w:b/>
        </w:rPr>
        <w:t>SUJETO OBLIGADO</w:t>
      </w:r>
      <w:r w:rsidRPr="00770A74">
        <w:rPr>
          <w:rFonts w:ascii="Palatino Linotype" w:eastAsia="Calibri" w:hAnsi="Palatino Linotype"/>
        </w:rPr>
        <w:t>, es por ello que, debe turnar la solicitud al servidor público habilitado que tiene bajo su resguardo la misma. Los servidores públicos habilitados tienen como función, buscar, localizar y en su caso entregar la información solicitada.</w:t>
      </w:r>
    </w:p>
    <w:p w14:paraId="216169AC" w14:textId="77777777" w:rsidR="00DC7C5F" w:rsidRPr="00770A74" w:rsidRDefault="00DC7C5F" w:rsidP="00DC7C5F">
      <w:pPr>
        <w:spacing w:before="240" w:after="240" w:line="360" w:lineRule="auto"/>
        <w:jc w:val="both"/>
        <w:rPr>
          <w:rFonts w:ascii="Palatino Linotype" w:eastAsia="Calibri" w:hAnsi="Palatino Linotype"/>
        </w:rPr>
      </w:pPr>
      <w:r w:rsidRPr="00770A74">
        <w:rPr>
          <w:rFonts w:ascii="Palatino Linotype" w:eastAsia="Calibri" w:hAnsi="Palatino Linotype"/>
        </w:rPr>
        <w:t xml:space="preserve">Es por ello, que corresponde al Titular de la Unidad de Transparencia el garantizar que las solicitudes se turnen a todas las áreas competentes que puedan contar con la información, </w:t>
      </w:r>
      <w:r w:rsidRPr="00770A74">
        <w:rPr>
          <w:rFonts w:ascii="Palatino Linotype" w:eastAsia="Calibri" w:hAnsi="Palatino Linotype"/>
          <w:b/>
        </w:rPr>
        <w:t>con el objeto de que se realice una búsqueda exhaustiva y razonable de la información solicitada</w:t>
      </w:r>
      <w:r w:rsidRPr="00770A74">
        <w:rPr>
          <w:rFonts w:ascii="Palatino Linotype" w:eastAsia="Calibri" w:hAnsi="Palatino Linotype"/>
        </w:rPr>
        <w:t>.</w:t>
      </w:r>
    </w:p>
    <w:p w14:paraId="311FB1FE" w14:textId="77777777" w:rsidR="00C009DF" w:rsidRPr="00770A74" w:rsidRDefault="00015FF0" w:rsidP="00DC7C5F">
      <w:pPr>
        <w:spacing w:before="100" w:beforeAutospacing="1" w:after="100" w:afterAutospacing="1" w:line="360" w:lineRule="auto"/>
        <w:jc w:val="both"/>
        <w:rPr>
          <w:rFonts w:ascii="Palatino Linotype" w:hAnsi="Palatino Linotype" w:cs="Arial"/>
        </w:rPr>
      </w:pPr>
      <w:bookmarkStart w:id="4" w:name="_Hlk80695404"/>
      <w:bookmarkEnd w:id="3"/>
      <w:r w:rsidRPr="00770A74">
        <w:rPr>
          <w:rFonts w:ascii="Palatino Linotype" w:hAnsi="Palatino Linotype" w:cs="Arial"/>
        </w:rPr>
        <w:lastRenderedPageBreak/>
        <w:t xml:space="preserve">Por lo que aunado a que existe fuente obligacional que lo constriñe a remitir información a la CONAGUA relacionada con la entrega de los recursos otorgados por el programa PRODDER y su destino, es que conviene resaltar que </w:t>
      </w:r>
      <w:r w:rsidR="00DC7C5F" w:rsidRPr="00770A74">
        <w:rPr>
          <w:rFonts w:ascii="Palatino Linotype" w:hAnsi="Palatino Linotype" w:cs="Arial"/>
        </w:rPr>
        <w:t xml:space="preserve">el Titular de la Unidad de Transparencia del </w:t>
      </w:r>
      <w:r w:rsidR="00DC7C5F" w:rsidRPr="00770A74">
        <w:rPr>
          <w:rFonts w:ascii="Palatino Linotype" w:hAnsi="Palatino Linotype" w:cs="Arial"/>
          <w:b/>
        </w:rPr>
        <w:t>SUJETO OBLIGADO</w:t>
      </w:r>
      <w:r w:rsidR="00DC7C5F" w:rsidRPr="00770A74">
        <w:rPr>
          <w:rFonts w:ascii="Palatino Linotype" w:hAnsi="Palatino Linotype" w:cs="Arial"/>
        </w:rPr>
        <w:t xml:space="preserve">, en términos del artículo </w:t>
      </w:r>
      <w:r w:rsidR="00DC7C5F" w:rsidRPr="00770A74">
        <w:rPr>
          <w:rFonts w:ascii="Palatino Linotype" w:hAnsi="Palatino Linotype" w:cs="Arial"/>
          <w:lang w:val="es-ES_tradnl"/>
        </w:rPr>
        <w:t>162 de la Ley de</w:t>
      </w:r>
      <w:r w:rsidRPr="00770A74">
        <w:rPr>
          <w:rFonts w:ascii="Palatino Linotype" w:hAnsi="Palatino Linotype" w:cs="Arial"/>
          <w:lang w:val="es-ES_tradnl"/>
        </w:rPr>
        <w:t xml:space="preserve"> la materia, </w:t>
      </w:r>
      <w:r w:rsidR="00DC7C5F" w:rsidRPr="00770A74">
        <w:rPr>
          <w:rFonts w:ascii="Palatino Linotype" w:hAnsi="Palatino Linotype" w:cs="Arial"/>
        </w:rPr>
        <w:t>debió soli</w:t>
      </w:r>
      <w:r w:rsidR="00C009DF" w:rsidRPr="00770A74">
        <w:rPr>
          <w:rFonts w:ascii="Palatino Linotype" w:hAnsi="Palatino Linotype" w:cs="Arial"/>
        </w:rPr>
        <w:t xml:space="preserve">citar la información requerida de manera adicional a las </w:t>
      </w:r>
      <w:r w:rsidR="00F21001" w:rsidRPr="00770A74">
        <w:rPr>
          <w:rFonts w:ascii="Palatino Linotype" w:hAnsi="Palatino Linotype" w:cs="Arial"/>
        </w:rPr>
        <w:t xml:space="preserve">áreas del Departamento de Seguimiento y Control y al Departamento de Recursos Financieros; de acuerdo a las atribuciones que les confiere el Manual de Organización del </w:t>
      </w:r>
      <w:r w:rsidR="00F21001" w:rsidRPr="00770A74">
        <w:rPr>
          <w:rFonts w:ascii="Palatino Linotype" w:hAnsi="Palatino Linotype" w:cs="Arial"/>
          <w:b/>
        </w:rPr>
        <w:t xml:space="preserve">SUJETO OBLIGADO </w:t>
      </w:r>
      <w:r w:rsidR="00F21001" w:rsidRPr="00770A74">
        <w:rPr>
          <w:rFonts w:ascii="Palatino Linotype" w:hAnsi="Palatino Linotype" w:cs="Arial"/>
        </w:rPr>
        <w:t>de acuerdo con lo siguiente:</w:t>
      </w:r>
    </w:p>
    <w:bookmarkEnd w:id="4"/>
    <w:p w14:paraId="27FC3431" w14:textId="2CEA7E0C" w:rsidR="00F21001" w:rsidRPr="00770A74" w:rsidRDefault="00F21001" w:rsidP="00F21001">
      <w:pPr>
        <w:spacing w:before="100" w:beforeAutospacing="1" w:after="100" w:afterAutospacing="1" w:line="360" w:lineRule="auto"/>
        <w:jc w:val="center"/>
        <w:rPr>
          <w:rFonts w:ascii="Palatino Linotype" w:hAnsi="Palatino Linotype" w:cs="Arial"/>
        </w:rPr>
      </w:pPr>
      <w:r w:rsidRPr="00770A74">
        <w:rPr>
          <w:noProof/>
          <w:lang w:eastAsia="es-MX"/>
        </w:rPr>
        <mc:AlternateContent>
          <mc:Choice Requires="wps">
            <w:drawing>
              <wp:anchor distT="0" distB="0" distL="114300" distR="114300" simplePos="0" relativeHeight="251664384" behindDoc="0" locked="0" layoutInCell="1" allowOverlap="1" wp14:anchorId="58C6EFBC" wp14:editId="3AF25007">
                <wp:simplePos x="0" y="0"/>
                <wp:positionH relativeFrom="column">
                  <wp:posOffset>690524</wp:posOffset>
                </wp:positionH>
                <wp:positionV relativeFrom="paragraph">
                  <wp:posOffset>2370301</wp:posOffset>
                </wp:positionV>
                <wp:extent cx="3673457" cy="401702"/>
                <wp:effectExtent l="0" t="0" r="22860" b="17780"/>
                <wp:wrapNone/>
                <wp:docPr id="16" name="Rectángulo 16"/>
                <wp:cNvGraphicFramePr/>
                <a:graphic xmlns:a="http://schemas.openxmlformats.org/drawingml/2006/main">
                  <a:graphicData uri="http://schemas.microsoft.com/office/word/2010/wordprocessingShape">
                    <wps:wsp>
                      <wps:cNvSpPr/>
                      <wps:spPr>
                        <a:xfrm>
                          <a:off x="0" y="0"/>
                          <a:ext cx="3673457" cy="401702"/>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9BA7FD" id="Rectángulo 16" o:spid="_x0000_s1026" style="position:absolute;margin-left:54.35pt;margin-top:186.65pt;width:289.25pt;height:31.6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" filled="f" strokecolor="#1f4d78 [1604]" strokeweight="1.5pt"/>
            </w:pict>
          </mc:Fallback>
        </mc:AlternateContent>
      </w:r>
      <w:r w:rsidRPr="00770A74">
        <w:rPr>
          <w:noProof/>
          <w:lang w:eastAsia="es-MX"/>
        </w:rPr>
        <mc:AlternateContent>
          <mc:Choice Requires="wps">
            <w:drawing>
              <wp:anchor distT="0" distB="0" distL="114300" distR="114300" simplePos="0" relativeHeight="251663360" behindDoc="0" locked="0" layoutInCell="1" allowOverlap="1" wp14:anchorId="76872298" wp14:editId="394724F2">
                <wp:simplePos x="0" y="0"/>
                <wp:positionH relativeFrom="column">
                  <wp:posOffset>732808</wp:posOffset>
                </wp:positionH>
                <wp:positionV relativeFrom="paragraph">
                  <wp:posOffset>752923</wp:posOffset>
                </wp:positionV>
                <wp:extent cx="4365864" cy="354132"/>
                <wp:effectExtent l="0" t="0" r="15875" b="27305"/>
                <wp:wrapNone/>
                <wp:docPr id="5" name="Rectángulo 5"/>
                <wp:cNvGraphicFramePr/>
                <a:graphic xmlns:a="http://schemas.openxmlformats.org/drawingml/2006/main">
                  <a:graphicData uri="http://schemas.microsoft.com/office/word/2010/wordprocessingShape">
                    <wps:wsp>
                      <wps:cNvSpPr/>
                      <wps:spPr>
                        <a:xfrm>
                          <a:off x="0" y="0"/>
                          <a:ext cx="4365864" cy="354132"/>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9B1CB68" id="Rectángulo 5" o:spid="_x0000_s1026" style="position:absolute;margin-left:57.7pt;margin-top:59.3pt;width:343.75pt;height:27.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" filled="f" strokecolor="#1f4d78 [1604]" strokeweight="1.5pt"/>
            </w:pict>
          </mc:Fallback>
        </mc:AlternateContent>
      </w:r>
      <w:r w:rsidRPr="00770A74">
        <w:rPr>
          <w:noProof/>
          <w:lang w:eastAsia="es-MX"/>
        </w:rPr>
        <w:drawing>
          <wp:inline distT="0" distB="0" distL="0" distR="0" wp14:anchorId="796117F9" wp14:editId="1CE1B747">
            <wp:extent cx="4420229" cy="307618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9476" t="32142" r="29088" b="16568"/>
                    <a:stretch/>
                  </pic:blipFill>
                  <pic:spPr bwMode="auto">
                    <a:xfrm>
                      <a:off x="0" y="0"/>
                      <a:ext cx="4430180" cy="3083115"/>
                    </a:xfrm>
                    <a:prstGeom prst="rect">
                      <a:avLst/>
                    </a:prstGeom>
                    <a:ln>
                      <a:noFill/>
                    </a:ln>
                    <a:extLst>
                      <a:ext uri="{53640926-AAD7-44D8-BBD7-CCE9431645EC}">
                        <a14:shadowObscured xmlns:a14="http://schemas.microsoft.com/office/drawing/2010/main"/>
                      </a:ext>
                    </a:extLst>
                  </pic:spPr>
                </pic:pic>
              </a:graphicData>
            </a:graphic>
          </wp:inline>
        </w:drawing>
      </w:r>
    </w:p>
    <w:p w14:paraId="116B0A41" w14:textId="77777777" w:rsidR="00F21001" w:rsidRPr="00770A74" w:rsidRDefault="00F21001" w:rsidP="00F21001">
      <w:pPr>
        <w:spacing w:before="100" w:beforeAutospacing="1" w:after="100" w:afterAutospacing="1" w:line="360" w:lineRule="auto"/>
        <w:jc w:val="center"/>
        <w:rPr>
          <w:rFonts w:ascii="Palatino Linotype" w:hAnsi="Palatino Linotype" w:cs="Arial"/>
        </w:rPr>
      </w:pPr>
      <w:r w:rsidRPr="00770A74">
        <w:rPr>
          <w:noProof/>
          <w:lang w:eastAsia="es-MX"/>
        </w:rPr>
        <w:lastRenderedPageBreak/>
        <mc:AlternateContent>
          <mc:Choice Requires="wps">
            <w:drawing>
              <wp:anchor distT="0" distB="0" distL="114300" distR="114300" simplePos="0" relativeHeight="251666432" behindDoc="0" locked="0" layoutInCell="1" allowOverlap="1" wp14:anchorId="1A40D02C" wp14:editId="437EF65C">
                <wp:simplePos x="0" y="0"/>
                <wp:positionH relativeFrom="column">
                  <wp:posOffset>475533</wp:posOffset>
                </wp:positionH>
                <wp:positionV relativeFrom="paragraph">
                  <wp:posOffset>2988186</wp:posOffset>
                </wp:positionV>
                <wp:extent cx="4809523" cy="730333"/>
                <wp:effectExtent l="0" t="0" r="10160" b="12700"/>
                <wp:wrapNone/>
                <wp:docPr id="19" name="Rectángulo 19"/>
                <wp:cNvGraphicFramePr/>
                <a:graphic xmlns:a="http://schemas.openxmlformats.org/drawingml/2006/main">
                  <a:graphicData uri="http://schemas.microsoft.com/office/word/2010/wordprocessingShape">
                    <wps:wsp>
                      <wps:cNvSpPr/>
                      <wps:spPr>
                        <a:xfrm>
                          <a:off x="0" y="0"/>
                          <a:ext cx="4809523" cy="730333"/>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FA9028A" id="Rectángulo 19" o:spid="_x0000_s1026" style="position:absolute;margin-left:37.45pt;margin-top:235.3pt;width:378.7pt;height:5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" filled="f" strokecolor="#1f4d78 [1604]" strokeweight="1.5pt"/>
            </w:pict>
          </mc:Fallback>
        </mc:AlternateContent>
      </w:r>
      <w:r w:rsidRPr="00770A74">
        <w:rPr>
          <w:noProof/>
          <w:lang w:eastAsia="es-MX"/>
        </w:rPr>
        <w:drawing>
          <wp:inline distT="0" distB="0" distL="0" distR="0" wp14:anchorId="78BE011C" wp14:editId="2C3D7946">
            <wp:extent cx="4791798" cy="4085112"/>
            <wp:effectExtent l="0" t="0" r="889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933" t="26299" r="29178" b="11699"/>
                    <a:stretch/>
                  </pic:blipFill>
                  <pic:spPr bwMode="auto">
                    <a:xfrm>
                      <a:off x="0" y="0"/>
                      <a:ext cx="4802394" cy="4094145"/>
                    </a:xfrm>
                    <a:prstGeom prst="rect">
                      <a:avLst/>
                    </a:prstGeom>
                    <a:ln>
                      <a:noFill/>
                    </a:ln>
                    <a:extLst>
                      <a:ext uri="{53640926-AAD7-44D8-BBD7-CCE9431645EC}">
                        <a14:shadowObscured xmlns:a14="http://schemas.microsoft.com/office/drawing/2010/main"/>
                      </a:ext>
                    </a:extLst>
                  </pic:spPr>
                </pic:pic>
              </a:graphicData>
            </a:graphic>
          </wp:inline>
        </w:drawing>
      </w:r>
    </w:p>
    <w:p w14:paraId="527519E8" w14:textId="77777777" w:rsidR="00DC7C5F" w:rsidRPr="00770A74" w:rsidRDefault="00DC7C5F" w:rsidP="00DC7C5F">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rPr>
      </w:pPr>
      <w:bookmarkStart w:id="5" w:name="_Hlk80695432"/>
      <w:r w:rsidRPr="00770A74">
        <w:rPr>
          <w:rFonts w:ascii="Palatino Linotype" w:hAnsi="Palatino Linotype" w:cs="Arial"/>
        </w:rPr>
        <w:t xml:space="preserve">De la interpretación armónica y sistemática a los preceptos legales que anteceden, se advierte que existen otras áreas administrativas que pudieran contar con la información solicitada; en atención a ello es de advertir al </w:t>
      </w:r>
      <w:r w:rsidRPr="00770A74">
        <w:rPr>
          <w:rFonts w:ascii="Palatino Linotype" w:hAnsi="Palatino Linotype" w:cs="Arial"/>
          <w:b/>
        </w:rPr>
        <w:t xml:space="preserve">SUJETO OBLIGADO </w:t>
      </w:r>
      <w:r w:rsidRPr="00770A74">
        <w:rPr>
          <w:rFonts w:ascii="Palatino Linotype" w:hAnsi="Palatino Linotype" w:cs="Arial"/>
        </w:rPr>
        <w:t>que</w:t>
      </w:r>
      <w:r w:rsidRPr="00770A74">
        <w:rPr>
          <w:rFonts w:ascii="Palatino Linotype" w:hAnsi="Palatino Linotype"/>
        </w:rPr>
        <w:t xml:space="preserve"> deberá realizar una búsqueda exhaustiva y razonable de la información.</w:t>
      </w:r>
    </w:p>
    <w:p w14:paraId="716FBF42" w14:textId="71EFBEB7" w:rsidR="009C14C4" w:rsidRPr="00770A74" w:rsidRDefault="00DC7C5F" w:rsidP="00DC7C5F">
      <w:pPr>
        <w:pStyle w:val="Prrafodelista"/>
        <w:tabs>
          <w:tab w:val="left" w:pos="2422"/>
        </w:tabs>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770A74">
        <w:rPr>
          <w:rFonts w:ascii="Palatino Linotype" w:hAnsi="Palatino Linotype" w:cs="Arial"/>
        </w:rPr>
        <w:lastRenderedPageBreak/>
        <w:t xml:space="preserve">Atento a lo anterior, este Órgano Garante considera que no se </w:t>
      </w:r>
      <w:r w:rsidR="00FE7288" w:rsidRPr="00770A74">
        <w:rPr>
          <w:rFonts w:ascii="Palatino Linotype" w:hAnsi="Palatino Linotype" w:cs="Arial"/>
        </w:rPr>
        <w:t xml:space="preserve">puede tener por plenamente satisfizo su derecho de acceso a la información; en razón de que, si bien </w:t>
      </w:r>
      <w:r w:rsidR="00FE7288" w:rsidRPr="00770A74">
        <w:rPr>
          <w:rFonts w:ascii="Palatino Linotype" w:hAnsi="Palatino Linotype" w:cs="Arial"/>
          <w:b/>
        </w:rPr>
        <w:t xml:space="preserve">EL SUJETO OBLIGADO </w:t>
      </w:r>
      <w:r w:rsidR="00FE7288" w:rsidRPr="00770A74">
        <w:rPr>
          <w:rFonts w:ascii="Palatino Linotype" w:hAnsi="Palatino Linotype" w:cs="Arial"/>
        </w:rPr>
        <w:t>en respuesta señaló dos obras realizadas con el presupuesto del programa PRODDER</w:t>
      </w:r>
      <w:r w:rsidR="009000F4" w:rsidRPr="00770A74">
        <w:rPr>
          <w:rFonts w:ascii="Palatino Linotype" w:hAnsi="Palatino Linotype" w:cs="Arial"/>
        </w:rPr>
        <w:t xml:space="preserve"> para el ejercicio fiscal 2020</w:t>
      </w:r>
      <w:r w:rsidR="00D37209" w:rsidRPr="00770A74">
        <w:rPr>
          <w:rFonts w:ascii="Palatino Linotype" w:hAnsi="Palatino Linotype" w:cs="Arial"/>
        </w:rPr>
        <w:t>; lo cierto es que</w:t>
      </w:r>
      <w:r w:rsidR="009000F4" w:rsidRPr="00770A74">
        <w:rPr>
          <w:rFonts w:ascii="Palatino Linotype" w:hAnsi="Palatino Linotype" w:cs="Arial"/>
        </w:rPr>
        <w:t>,</w:t>
      </w:r>
      <w:r w:rsidR="00D37209" w:rsidRPr="00770A74">
        <w:rPr>
          <w:rFonts w:ascii="Palatino Linotype" w:hAnsi="Palatino Linotype" w:cs="Arial"/>
        </w:rPr>
        <w:t xml:space="preserve"> con la construcción de las mismas no justificó el pleno ejercicio de todos los fondos que le fueron otorgados con motivo de dicho programa; </w:t>
      </w:r>
      <w:r w:rsidR="00FE7288" w:rsidRPr="00770A74">
        <w:rPr>
          <w:rFonts w:ascii="Palatino Linotype" w:hAnsi="Palatino Linotype" w:cs="Arial"/>
        </w:rPr>
        <w:t xml:space="preserve">sin embargo, mediante informe justificado indicó que </w:t>
      </w:r>
      <w:r w:rsidR="00D37209" w:rsidRPr="00770A74">
        <w:rPr>
          <w:rFonts w:ascii="Palatino Linotype" w:hAnsi="Palatino Linotype" w:cs="Arial"/>
        </w:rPr>
        <w:t xml:space="preserve">la diferencia existente y que no se reportó en obras fue tratada de acuerdo a lo establecido en los Lineamientos del Programa de Devolución de Derechos, mismos que ya se analizaron y que en consecuencia lo que </w:t>
      </w:r>
      <w:r w:rsidR="00D37209" w:rsidRPr="00770A74">
        <w:rPr>
          <w:rFonts w:ascii="Palatino Linotype" w:hAnsi="Palatino Linotype" w:cs="Arial"/>
          <w:b/>
        </w:rPr>
        <w:t xml:space="preserve">EL SUJETO OBLIGADO </w:t>
      </w:r>
      <w:r w:rsidR="00D37209" w:rsidRPr="00770A74">
        <w:rPr>
          <w:rFonts w:ascii="Palatino Linotype" w:hAnsi="Palatino Linotype" w:cs="Arial"/>
        </w:rPr>
        <w:t xml:space="preserve">deberá entregar es de manera enunciativa más no limitativa el documento en donde conste </w:t>
      </w:r>
      <w:r w:rsidR="009000F4" w:rsidRPr="00770A74">
        <w:rPr>
          <w:rFonts w:ascii="Palatino Linotype" w:hAnsi="Palatino Linotype" w:cs="Arial"/>
        </w:rPr>
        <w:t>el reintegro</w:t>
      </w:r>
      <w:r w:rsidR="00D37209" w:rsidRPr="00770A74">
        <w:rPr>
          <w:rFonts w:ascii="Palatino Linotype" w:hAnsi="Palatino Linotype" w:cs="Arial"/>
        </w:rPr>
        <w:t xml:space="preserve"> de</w:t>
      </w:r>
      <w:r w:rsidR="009000F4" w:rsidRPr="00770A74">
        <w:rPr>
          <w:rFonts w:ascii="Palatino Linotype" w:hAnsi="Palatino Linotype" w:cs="Arial"/>
        </w:rPr>
        <w:t>l</w:t>
      </w:r>
      <w:r w:rsidR="00D37209" w:rsidRPr="00770A74">
        <w:rPr>
          <w:rFonts w:ascii="Palatino Linotype" w:hAnsi="Palatino Linotype" w:cs="Arial"/>
        </w:rPr>
        <w:t xml:space="preserve"> </w:t>
      </w:r>
      <w:r w:rsidR="009000F4" w:rsidRPr="00770A74">
        <w:rPr>
          <w:rFonts w:ascii="Palatino Linotype" w:hAnsi="Palatino Linotype" w:cs="Arial"/>
        </w:rPr>
        <w:t xml:space="preserve">monto no ejercido, </w:t>
      </w:r>
      <w:r w:rsidR="00D37209" w:rsidRPr="00770A74">
        <w:rPr>
          <w:rFonts w:ascii="Palatino Linotype" w:hAnsi="Palatino Linotype" w:cs="Arial"/>
        </w:rPr>
        <w:t>a la Te</w:t>
      </w:r>
      <w:r w:rsidR="009C14C4" w:rsidRPr="00770A74">
        <w:rPr>
          <w:rFonts w:ascii="Palatino Linotype" w:hAnsi="Palatino Linotype" w:cs="Arial"/>
        </w:rPr>
        <w:t>sorería de la Federación, del monto otorgado a este con motivo del programa PRODDER en el ejercicio fiscal de 2020.</w:t>
      </w:r>
    </w:p>
    <w:p w14:paraId="670928FB" w14:textId="064C9D69" w:rsidR="00DC7C5F" w:rsidRPr="00770A74" w:rsidRDefault="00DC7C5F" w:rsidP="00DC7C5F">
      <w:pPr>
        <w:spacing w:before="240" w:after="240" w:line="360" w:lineRule="auto"/>
        <w:jc w:val="both"/>
        <w:rPr>
          <w:rFonts w:ascii="Palatino Linotype" w:hAnsi="Palatino Linotype" w:cs="Arial"/>
        </w:rPr>
      </w:pPr>
      <w:r w:rsidRPr="00770A74">
        <w:rPr>
          <w:rFonts w:ascii="Palatino Linotype" w:hAnsi="Palatino Linotype"/>
        </w:rPr>
        <w:t xml:space="preserve">En tal sentido y a fin de salvaguardar el derecho de acceso a la información pública </w:t>
      </w:r>
      <w:r w:rsidRPr="00770A74">
        <w:rPr>
          <w:rFonts w:ascii="Palatino Linotype" w:hAnsi="Palatino Linotype" w:cs="Arial"/>
        </w:rPr>
        <w:t>y toda vez que existe fuente obligacional que constriñe al</w:t>
      </w:r>
      <w:r w:rsidRPr="00770A74">
        <w:rPr>
          <w:rFonts w:ascii="Palatino Linotype" w:hAnsi="Palatino Linotype" w:cs="Arial"/>
          <w:b/>
        </w:rPr>
        <w:t xml:space="preserve"> SUJETO OBLIGADO </w:t>
      </w:r>
      <w:r w:rsidRPr="00770A74">
        <w:rPr>
          <w:rFonts w:ascii="Palatino Linotype" w:hAnsi="Palatino Linotype" w:cs="Arial"/>
        </w:rPr>
        <w:t xml:space="preserve">para poder generar, administrar o poseer la  información requerida por </w:t>
      </w:r>
      <w:r w:rsidRPr="00770A74">
        <w:rPr>
          <w:rFonts w:ascii="Palatino Linotype" w:hAnsi="Palatino Linotype" w:cs="Arial"/>
          <w:b/>
        </w:rPr>
        <w:t>EL RECURRENTE</w:t>
      </w:r>
      <w:r w:rsidRPr="00770A74">
        <w:rPr>
          <w:rFonts w:ascii="Palatino Linotype" w:hAnsi="Palatino Linotype" w:cs="Arial"/>
        </w:rPr>
        <w:t xml:space="preserve"> en su solicitud de información, en consecuencia, esta Ponencia Resolutora, determina </w:t>
      </w:r>
      <w:r w:rsidRPr="00770A74">
        <w:rPr>
          <w:rFonts w:ascii="Palatino Linotype" w:hAnsi="Palatino Linotype" w:cs="Arial"/>
          <w:b/>
        </w:rPr>
        <w:t xml:space="preserve">REVOCAR </w:t>
      </w:r>
      <w:r w:rsidRPr="00770A74">
        <w:rPr>
          <w:rFonts w:ascii="Palatino Linotype" w:hAnsi="Palatino Linotype" w:cs="Arial"/>
        </w:rPr>
        <w:t xml:space="preserve">la respuesta del </w:t>
      </w:r>
      <w:r w:rsidRPr="00770A74">
        <w:rPr>
          <w:rFonts w:ascii="Palatino Linotype" w:hAnsi="Palatino Linotype" w:cs="Arial"/>
          <w:b/>
        </w:rPr>
        <w:t>SUJETO OBLIGADO</w:t>
      </w:r>
      <w:r w:rsidRPr="00770A74">
        <w:rPr>
          <w:rFonts w:ascii="Palatino Linotype" w:hAnsi="Palatino Linotype" w:cs="Arial"/>
        </w:rPr>
        <w:t xml:space="preserve"> y </w:t>
      </w:r>
      <w:r w:rsidRPr="00770A74">
        <w:rPr>
          <w:rFonts w:ascii="Palatino Linotype" w:hAnsi="Palatino Linotype" w:cs="Arial"/>
          <w:b/>
        </w:rPr>
        <w:t>ordenarle</w:t>
      </w:r>
      <w:r w:rsidRPr="00770A74">
        <w:rPr>
          <w:rFonts w:ascii="Palatino Linotype" w:hAnsi="Palatino Linotype" w:cs="Arial"/>
        </w:rPr>
        <w:t xml:space="preserve"> realizar una </w:t>
      </w:r>
      <w:r w:rsidRPr="00770A74">
        <w:rPr>
          <w:rFonts w:ascii="Palatino Linotype" w:hAnsi="Palatino Linotype" w:cs="Arial"/>
          <w:b/>
          <w:u w:val="single"/>
        </w:rPr>
        <w:t>búsqueda exhaustiva</w:t>
      </w:r>
      <w:r w:rsidRPr="00770A74">
        <w:rPr>
          <w:rFonts w:ascii="Palatino Linotype" w:hAnsi="Palatino Linotype" w:cs="Arial"/>
        </w:rPr>
        <w:t xml:space="preserve"> y razonable de la información solicitada de conformidad con el artículo </w:t>
      </w:r>
      <w:r w:rsidRPr="00770A74">
        <w:rPr>
          <w:rFonts w:ascii="Palatino Linotype" w:hAnsi="Palatino Linotype" w:cs="Arial"/>
          <w:lang w:val="es-ES_tradnl"/>
        </w:rPr>
        <w:t xml:space="preserve">162 </w:t>
      </w:r>
      <w:r w:rsidRPr="00770A74">
        <w:rPr>
          <w:rFonts w:ascii="Palatino Linotype" w:hAnsi="Palatino Linotype" w:cs="Arial"/>
          <w:lang w:val="es-ES_tradnl"/>
        </w:rPr>
        <w:lastRenderedPageBreak/>
        <w:t>de la Ley de Transparencia y Acceso a la Información Pública del Estado de México y Municipios</w:t>
      </w:r>
      <w:r w:rsidRPr="00770A74">
        <w:rPr>
          <w:rFonts w:ascii="Palatino Linotype" w:hAnsi="Palatino Linotype" w:cs="Arial"/>
        </w:rPr>
        <w:t xml:space="preserve">, a través de los </w:t>
      </w:r>
      <w:r w:rsidRPr="00770A74">
        <w:rPr>
          <w:rFonts w:ascii="Palatino Linotype" w:hAnsi="Palatino Linotype" w:cs="Arial"/>
          <w:b/>
        </w:rPr>
        <w:t xml:space="preserve">Servidores Públicos Habilitados Competentes </w:t>
      </w:r>
      <w:r w:rsidRPr="00770A74">
        <w:rPr>
          <w:rFonts w:ascii="Palatino Linotype" w:hAnsi="Palatino Linotype" w:cs="Arial"/>
        </w:rPr>
        <w:t xml:space="preserve">por el periodo comprendido del </w:t>
      </w:r>
      <w:r w:rsidR="009C14C4" w:rsidRPr="00770A74">
        <w:rPr>
          <w:rFonts w:ascii="Palatino Linotype" w:hAnsi="Palatino Linotype" w:cs="Arial"/>
        </w:rPr>
        <w:t xml:space="preserve">1 de enero al 31 de diciembre de </w:t>
      </w:r>
      <w:r w:rsidRPr="00770A74">
        <w:rPr>
          <w:rFonts w:ascii="Palatino Linotype" w:hAnsi="Palatino Linotype" w:cs="Arial"/>
        </w:rPr>
        <w:t xml:space="preserve">2020, y haga entrega de la misma al </w:t>
      </w:r>
      <w:r w:rsidRPr="00770A74">
        <w:rPr>
          <w:rFonts w:ascii="Palatino Linotype" w:hAnsi="Palatino Linotype" w:cs="Arial"/>
          <w:b/>
        </w:rPr>
        <w:t>RECURRRENTE</w:t>
      </w:r>
      <w:r w:rsidRPr="00770A74">
        <w:rPr>
          <w:rFonts w:ascii="Palatino Linotype" w:hAnsi="Palatino Linotype" w:cs="Arial"/>
        </w:rPr>
        <w:t>.</w:t>
      </w:r>
    </w:p>
    <w:bookmarkEnd w:id="5"/>
    <w:p w14:paraId="0D286FA6" w14:textId="77777777" w:rsidR="005F36E6" w:rsidRPr="00770A74" w:rsidRDefault="005F36E6" w:rsidP="005F36E6">
      <w:pPr>
        <w:spacing w:line="360" w:lineRule="auto"/>
        <w:jc w:val="both"/>
        <w:rPr>
          <w:rFonts w:ascii="Palatino Linotype" w:hAnsi="Palatino Linotype" w:cs="Arial"/>
          <w:color w:val="000000"/>
        </w:rPr>
      </w:pPr>
      <w:r w:rsidRPr="00770A74">
        <w:rPr>
          <w:rFonts w:ascii="Palatino Linotype" w:hAnsi="Palatino Linotype" w:cs="Arial"/>
        </w:rPr>
        <w:t xml:space="preserve">En consecuencia, ante </w:t>
      </w:r>
      <w:r w:rsidRPr="00770A74">
        <w:rPr>
          <w:rFonts w:ascii="Palatino Linotype" w:hAnsi="Palatino Linotype"/>
          <w:lang w:val="es-ES" w:eastAsia="es-MX"/>
        </w:rPr>
        <w:t>las razones o motivos de inconformidad debidamente</w:t>
      </w:r>
      <w:r w:rsidRPr="00770A74">
        <w:rPr>
          <w:rFonts w:ascii="Palatino Linotype" w:hAnsi="Palatino Linotype"/>
          <w:b/>
          <w:lang w:val="es-ES" w:eastAsia="es-MX"/>
        </w:rPr>
        <w:t xml:space="preserve"> fundadas, </w:t>
      </w:r>
      <w:r w:rsidRPr="00770A74">
        <w:rPr>
          <w:rFonts w:ascii="Palatino Linotype" w:hAnsi="Palatino Linotype"/>
          <w:lang w:val="es-ES" w:eastAsia="es-MX"/>
        </w:rPr>
        <w:t xml:space="preserve">expuestas por </w:t>
      </w:r>
      <w:r w:rsidRPr="00770A74">
        <w:rPr>
          <w:rFonts w:ascii="Palatino Linotype" w:hAnsi="Palatino Linotype"/>
          <w:b/>
          <w:lang w:val="es-ES" w:eastAsia="es-MX"/>
        </w:rPr>
        <w:t>EL RECURRENTE</w:t>
      </w:r>
      <w:r w:rsidRPr="00770A74">
        <w:rPr>
          <w:rFonts w:ascii="Palatino Linotype" w:hAnsi="Palatino Linotype" w:cs="Arial"/>
        </w:rPr>
        <w:t xml:space="preserve"> y en atención a las consideraciones antes señaladas, esta Ponencia Resolutora, en términos del artículo 186, fracción III de la Ley de Transparencia y Acceso a la Información Pública del Estado de México y Municipios, determina </w:t>
      </w:r>
      <w:r w:rsidRPr="00770A74">
        <w:rPr>
          <w:rFonts w:ascii="Palatino Linotype" w:hAnsi="Palatino Linotype"/>
          <w:b/>
        </w:rPr>
        <w:t xml:space="preserve">REVOCAR </w:t>
      </w:r>
      <w:r w:rsidRPr="00770A74">
        <w:rPr>
          <w:rFonts w:ascii="Palatino Linotype" w:hAnsi="Palatino Linotype" w:cs="Arial"/>
        </w:rPr>
        <w:t xml:space="preserve">la respuesta del </w:t>
      </w:r>
      <w:r w:rsidRPr="00770A74">
        <w:rPr>
          <w:rFonts w:ascii="Palatino Linotype" w:hAnsi="Palatino Linotype" w:cs="Arial"/>
          <w:b/>
        </w:rPr>
        <w:t>SUJETO OBLIGADO</w:t>
      </w:r>
      <w:r w:rsidRPr="00770A74">
        <w:rPr>
          <w:rFonts w:ascii="Palatino Linotype" w:hAnsi="Palatino Linotype" w:cs="Arial"/>
        </w:rPr>
        <w:t>, y ordenar hacer entrega d</w:t>
      </w:r>
      <w:r w:rsidRPr="00770A74">
        <w:rPr>
          <w:rFonts w:ascii="Palatino Linotype" w:hAnsi="Palatino Linotype" w:cs="Arial"/>
          <w:color w:val="000000"/>
        </w:rPr>
        <w:t>e la información que ha quedado precisada en el presente considerando.</w:t>
      </w:r>
    </w:p>
    <w:p w14:paraId="634FEE92" w14:textId="77777777" w:rsidR="005F36E6" w:rsidRPr="00770A74" w:rsidRDefault="005F36E6" w:rsidP="005F36E6">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770A74">
        <w:rPr>
          <w:rFonts w:ascii="Palatino Linotype" w:eastAsia="Calibri" w:hAnsi="Palatino Linotype" w:cs="Arial"/>
        </w:rPr>
        <w:t>Así, con fundamento en lo prescrito en los artículos 5, párrafos trigésimo, trigésimo primero y trigésimo segundo, fracciones IV y V, de la Constitución Política del Estado Libre y Soberano de México, y los artículos 2, fracción II, 9, 29, 36, fracciones I y II, 176, 178, 179, 181, 185, fracción I, 186, 188 y 192, fracción III de la Ley de Transparencia y Acceso a la Información Pública del Estado de México y Municipios, este Pleno:</w:t>
      </w:r>
    </w:p>
    <w:p w14:paraId="0C804AE2" w14:textId="77777777" w:rsidR="005F36E6" w:rsidRPr="00770A74" w:rsidRDefault="005F36E6" w:rsidP="005F36E6">
      <w:pPr>
        <w:jc w:val="center"/>
        <w:rPr>
          <w:rFonts w:ascii="Palatino Linotype" w:eastAsia="Calibri" w:hAnsi="Palatino Linotype" w:cs="Arial"/>
          <w:b/>
          <w:color w:val="000000" w:themeColor="text1"/>
          <w:spacing w:val="30"/>
          <w:sz w:val="28"/>
        </w:rPr>
      </w:pPr>
      <w:r w:rsidRPr="00770A74">
        <w:rPr>
          <w:rFonts w:ascii="Palatino Linotype" w:eastAsia="Calibri" w:hAnsi="Palatino Linotype" w:cs="Arial"/>
          <w:b/>
          <w:color w:val="000000" w:themeColor="text1"/>
          <w:spacing w:val="30"/>
          <w:sz w:val="28"/>
        </w:rPr>
        <w:t>RESUELVE</w:t>
      </w:r>
    </w:p>
    <w:p w14:paraId="20E19299" w14:textId="77777777" w:rsidR="005F36E6" w:rsidRPr="00770A74" w:rsidRDefault="005F36E6" w:rsidP="005F36E6">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sidRPr="00770A74">
        <w:rPr>
          <w:rFonts w:ascii="Palatino Linotype" w:hAnsi="Palatino Linotype" w:cs="Arial"/>
          <w:b/>
          <w:sz w:val="28"/>
          <w:szCs w:val="28"/>
        </w:rPr>
        <w:t xml:space="preserve">PRIMERO. </w:t>
      </w:r>
      <w:r w:rsidRPr="00770A74">
        <w:rPr>
          <w:rFonts w:ascii="Palatino Linotype" w:hAnsi="Palatino Linotype" w:cs="Arial"/>
        </w:rPr>
        <w:t xml:space="preserve">Resultan </w:t>
      </w:r>
      <w:r w:rsidRPr="00770A74">
        <w:rPr>
          <w:rFonts w:ascii="Palatino Linotype" w:hAnsi="Palatino Linotype" w:cs="Arial"/>
          <w:b/>
        </w:rPr>
        <w:t>fundadas</w:t>
      </w:r>
      <w:r w:rsidRPr="00770A74">
        <w:rPr>
          <w:rFonts w:ascii="Palatino Linotype" w:hAnsi="Palatino Linotype" w:cs="Arial"/>
        </w:rPr>
        <w:t xml:space="preserve"> las razones o motivos de inconformidad planteadas por </w:t>
      </w:r>
      <w:r w:rsidRPr="00770A74">
        <w:rPr>
          <w:rFonts w:ascii="Palatino Linotype" w:hAnsi="Palatino Linotype" w:cs="Arial"/>
          <w:b/>
        </w:rPr>
        <w:t>EL RECURRENTE</w:t>
      </w:r>
      <w:r w:rsidRPr="00770A74">
        <w:rPr>
          <w:rFonts w:ascii="Palatino Linotype" w:hAnsi="Palatino Linotype" w:cs="Arial"/>
        </w:rPr>
        <w:t xml:space="preserve">, en el recurso de revisión en términos del Considerando </w:t>
      </w:r>
      <w:r w:rsidRPr="00770A74">
        <w:rPr>
          <w:rFonts w:ascii="Palatino Linotype" w:hAnsi="Palatino Linotype" w:cs="Arial"/>
          <w:b/>
        </w:rPr>
        <w:lastRenderedPageBreak/>
        <w:t>QUINTO</w:t>
      </w:r>
      <w:r w:rsidRPr="00770A74">
        <w:rPr>
          <w:rFonts w:ascii="Palatino Linotype" w:hAnsi="Palatino Linotype" w:cs="Arial"/>
        </w:rPr>
        <w:t xml:space="preserve"> de la presente resolución.</w:t>
      </w:r>
    </w:p>
    <w:p w14:paraId="08C1AE5C" w14:textId="443F7B78" w:rsidR="005F36E6" w:rsidRPr="00770A74" w:rsidRDefault="005F36E6" w:rsidP="005F36E6">
      <w:pPr>
        <w:widowControl w:val="0"/>
        <w:autoSpaceDE w:val="0"/>
        <w:autoSpaceDN w:val="0"/>
        <w:adjustRightInd w:val="0"/>
        <w:spacing w:before="100" w:beforeAutospacing="1" w:after="100" w:afterAutospacing="1" w:line="360" w:lineRule="auto"/>
        <w:jc w:val="both"/>
        <w:rPr>
          <w:rFonts w:ascii="Palatino Linotype" w:hAnsi="Palatino Linotype" w:cs="Arial"/>
          <w:b/>
          <w:bCs/>
        </w:rPr>
      </w:pPr>
      <w:r w:rsidRPr="00770A74">
        <w:rPr>
          <w:rFonts w:ascii="Palatino Linotype" w:hAnsi="Palatino Linotype" w:cs="Arial"/>
          <w:b/>
          <w:sz w:val="28"/>
          <w:szCs w:val="28"/>
        </w:rPr>
        <w:t>SEGUNDO</w:t>
      </w:r>
      <w:r w:rsidRPr="00770A74">
        <w:rPr>
          <w:rFonts w:ascii="Palatino Linotype" w:hAnsi="Palatino Linotype" w:cs="Arial"/>
          <w:sz w:val="28"/>
          <w:szCs w:val="28"/>
        </w:rPr>
        <w:t>.</w:t>
      </w:r>
      <w:r w:rsidRPr="00770A74">
        <w:rPr>
          <w:rFonts w:ascii="Palatino Linotype" w:hAnsi="Palatino Linotype" w:cs="Arial"/>
        </w:rPr>
        <w:t xml:space="preserve"> Se </w:t>
      </w:r>
      <w:r w:rsidR="00AD7E85" w:rsidRPr="00770A74">
        <w:rPr>
          <w:rFonts w:ascii="Palatino Linotype" w:hAnsi="Palatino Linotype" w:cs="Arial"/>
          <w:b/>
        </w:rPr>
        <w:t xml:space="preserve">MODIFICA </w:t>
      </w:r>
      <w:r w:rsidRPr="00770A74">
        <w:rPr>
          <w:rFonts w:ascii="Palatino Linotype" w:hAnsi="Palatino Linotype" w:cs="Arial"/>
        </w:rPr>
        <w:t xml:space="preserve">la respuesta otorgada por </w:t>
      </w:r>
      <w:r w:rsidRPr="00770A74">
        <w:rPr>
          <w:rFonts w:ascii="Palatino Linotype" w:hAnsi="Palatino Linotype" w:cs="Arial"/>
          <w:b/>
        </w:rPr>
        <w:t xml:space="preserve">EL SUJETO OBLIGADO </w:t>
      </w:r>
      <w:r w:rsidRPr="00770A74">
        <w:rPr>
          <w:rFonts w:ascii="Palatino Linotype" w:hAnsi="Palatino Linotype" w:cs="Arial"/>
          <w:bCs/>
        </w:rPr>
        <w:t xml:space="preserve">a la solicitud de información que dio origen al recurso de revisión </w:t>
      </w:r>
      <w:r w:rsidR="004C3319" w:rsidRPr="00770A74">
        <w:rPr>
          <w:rFonts w:ascii="Palatino Linotype" w:hAnsi="Palatino Linotype" w:cs="Arial"/>
          <w:b/>
          <w:bCs/>
        </w:rPr>
        <w:t>03692</w:t>
      </w:r>
      <w:r w:rsidRPr="00770A74">
        <w:rPr>
          <w:rFonts w:ascii="Palatino Linotype" w:hAnsi="Palatino Linotype" w:cs="Arial"/>
          <w:b/>
          <w:bCs/>
        </w:rPr>
        <w:t xml:space="preserve">/INFOEM/IP/RR/2021 </w:t>
      </w:r>
      <w:r w:rsidRPr="00770A74">
        <w:rPr>
          <w:rFonts w:ascii="Palatino Linotype" w:hAnsi="Palatino Linotype" w:cs="Arial"/>
          <w:bCs/>
        </w:rPr>
        <w:t xml:space="preserve">y se </w:t>
      </w:r>
      <w:r w:rsidRPr="00770A74">
        <w:rPr>
          <w:rFonts w:ascii="Palatino Linotype" w:hAnsi="Palatino Linotype" w:cs="Arial"/>
          <w:b/>
          <w:bCs/>
        </w:rPr>
        <w:t xml:space="preserve">ordena </w:t>
      </w:r>
      <w:r w:rsidRPr="00770A74">
        <w:rPr>
          <w:rFonts w:ascii="Palatino Linotype" w:hAnsi="Palatino Linotype" w:cs="Arial"/>
          <w:bCs/>
        </w:rPr>
        <w:t>haga entrega a</w:t>
      </w:r>
      <w:r w:rsidR="009000F4" w:rsidRPr="00770A74">
        <w:rPr>
          <w:rFonts w:ascii="Palatino Linotype" w:hAnsi="Palatino Linotype" w:cs="Arial"/>
          <w:bCs/>
        </w:rPr>
        <w:t>l</w:t>
      </w:r>
      <w:r w:rsidRPr="00770A74">
        <w:rPr>
          <w:rFonts w:ascii="Palatino Linotype" w:hAnsi="Palatino Linotype" w:cs="Arial"/>
          <w:bCs/>
        </w:rPr>
        <w:t xml:space="preserve"> </w:t>
      </w:r>
      <w:r w:rsidRPr="00770A74">
        <w:rPr>
          <w:rFonts w:ascii="Palatino Linotype" w:hAnsi="Palatino Linotype" w:cs="Arial"/>
          <w:b/>
          <w:bCs/>
        </w:rPr>
        <w:t>RECURRENTE</w:t>
      </w:r>
      <w:r w:rsidRPr="00770A74">
        <w:rPr>
          <w:rFonts w:ascii="Palatino Linotype" w:hAnsi="Palatino Linotype" w:cs="Arial"/>
          <w:bCs/>
        </w:rPr>
        <w:t>, en términos del Considerando</w:t>
      </w:r>
      <w:r w:rsidRPr="00770A74">
        <w:rPr>
          <w:rFonts w:ascii="Palatino Linotype" w:hAnsi="Palatino Linotype" w:cs="Arial"/>
          <w:b/>
          <w:bCs/>
        </w:rPr>
        <w:t xml:space="preserve"> QUINTO </w:t>
      </w:r>
      <w:r w:rsidRPr="00770A74">
        <w:rPr>
          <w:rFonts w:ascii="Palatino Linotype" w:hAnsi="Palatino Linotype" w:cs="Arial"/>
          <w:bCs/>
        </w:rPr>
        <w:t>de esta resolución, vía</w:t>
      </w:r>
      <w:r w:rsidRPr="00770A74">
        <w:rPr>
          <w:rFonts w:ascii="Palatino Linotype" w:hAnsi="Palatino Linotype" w:cs="Arial"/>
          <w:b/>
          <w:bCs/>
        </w:rPr>
        <w:t xml:space="preserve"> SAIMEX, </w:t>
      </w:r>
      <w:r w:rsidRPr="00770A74">
        <w:rPr>
          <w:rFonts w:ascii="Palatino Linotype" w:hAnsi="Palatino Linotype" w:cs="Arial"/>
          <w:bCs/>
        </w:rPr>
        <w:t>de lo siguiente</w:t>
      </w:r>
      <w:r w:rsidRPr="00770A74">
        <w:rPr>
          <w:rFonts w:ascii="Palatino Linotype" w:hAnsi="Palatino Linotype" w:cs="Arial"/>
          <w:b/>
          <w:bCs/>
        </w:rPr>
        <w:t>:</w:t>
      </w:r>
    </w:p>
    <w:p w14:paraId="121413D1" w14:textId="1E07B66A" w:rsidR="005F36E6" w:rsidRPr="00770A74" w:rsidRDefault="005F36E6" w:rsidP="00EF765F">
      <w:pPr>
        <w:spacing w:before="100" w:beforeAutospacing="1" w:after="100" w:afterAutospacing="1"/>
        <w:ind w:left="851" w:right="902"/>
        <w:jc w:val="both"/>
        <w:rPr>
          <w:rFonts w:ascii="Palatino Linotype" w:hAnsi="Palatino Linotype"/>
          <w:bCs/>
          <w:i/>
          <w:sz w:val="22"/>
          <w:szCs w:val="22"/>
        </w:rPr>
      </w:pPr>
      <w:r w:rsidRPr="00770A74">
        <w:rPr>
          <w:rFonts w:ascii="Palatino Linotype" w:hAnsi="Palatino Linotype"/>
          <w:bCs/>
          <w:i/>
          <w:sz w:val="22"/>
          <w:szCs w:val="22"/>
        </w:rPr>
        <w:t xml:space="preserve">“El documento en donde conste </w:t>
      </w:r>
      <w:r w:rsidR="00AD7E85" w:rsidRPr="00770A74">
        <w:rPr>
          <w:rFonts w:ascii="Palatino Linotype" w:hAnsi="Palatino Linotype"/>
          <w:bCs/>
          <w:i/>
          <w:sz w:val="22"/>
          <w:szCs w:val="22"/>
        </w:rPr>
        <w:t>el reintegro del</w:t>
      </w:r>
      <w:r w:rsidR="004C3319" w:rsidRPr="00770A74">
        <w:rPr>
          <w:rFonts w:ascii="Palatino Linotype" w:hAnsi="Palatino Linotype"/>
          <w:bCs/>
          <w:i/>
          <w:sz w:val="22"/>
          <w:szCs w:val="22"/>
        </w:rPr>
        <w:t xml:space="preserve"> presupuesto </w:t>
      </w:r>
      <w:r w:rsidR="00AD7E85" w:rsidRPr="00770A74">
        <w:rPr>
          <w:rFonts w:ascii="Palatino Linotype" w:hAnsi="Palatino Linotype"/>
          <w:bCs/>
          <w:i/>
          <w:sz w:val="22"/>
          <w:szCs w:val="22"/>
        </w:rPr>
        <w:t xml:space="preserve">no </w:t>
      </w:r>
      <w:r w:rsidR="004C3319" w:rsidRPr="00770A74">
        <w:rPr>
          <w:rFonts w:ascii="Palatino Linotype" w:hAnsi="Palatino Linotype"/>
          <w:bCs/>
          <w:i/>
          <w:sz w:val="22"/>
          <w:szCs w:val="22"/>
        </w:rPr>
        <w:t>ejercido</w:t>
      </w:r>
      <w:r w:rsidR="00AD7E85" w:rsidRPr="00770A74">
        <w:rPr>
          <w:rFonts w:ascii="Palatino Linotype" w:hAnsi="Palatino Linotype"/>
          <w:bCs/>
          <w:i/>
          <w:sz w:val="22"/>
          <w:szCs w:val="22"/>
        </w:rPr>
        <w:t xml:space="preserve"> </w:t>
      </w:r>
      <w:r w:rsidR="004C3319" w:rsidRPr="00770A74">
        <w:rPr>
          <w:rFonts w:ascii="Palatino Linotype" w:hAnsi="Palatino Linotype"/>
          <w:bCs/>
          <w:i/>
          <w:sz w:val="22"/>
          <w:szCs w:val="22"/>
        </w:rPr>
        <w:t>a la Tesorería de la Federación, del Programa de Devolución de Derechos (PRODDER) en el ejercicio fiscal de 2020</w:t>
      </w:r>
      <w:r w:rsidR="004C3319" w:rsidRPr="00770A74">
        <w:rPr>
          <w:rFonts w:ascii="Palatino Linotype" w:hAnsi="Palatino Linotype"/>
          <w:i/>
          <w:sz w:val="22"/>
          <w:szCs w:val="22"/>
        </w:rPr>
        <w:t>.”</w:t>
      </w:r>
    </w:p>
    <w:p w14:paraId="2749032E" w14:textId="77777777" w:rsidR="005F36E6" w:rsidRPr="00770A74" w:rsidRDefault="005F36E6" w:rsidP="005F36E6">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770A74">
        <w:rPr>
          <w:rFonts w:ascii="Palatino Linotype" w:hAnsi="Palatino Linotype" w:cs="Arial"/>
          <w:b/>
          <w:sz w:val="28"/>
          <w:szCs w:val="28"/>
        </w:rPr>
        <w:t xml:space="preserve">TERCERO. </w:t>
      </w:r>
      <w:r w:rsidRPr="00770A74">
        <w:rPr>
          <w:rFonts w:ascii="Palatino Linotype" w:hAnsi="Palatino Linotype" w:cs="Arial"/>
          <w:b/>
        </w:rPr>
        <w:t>Notifíquese</w:t>
      </w:r>
      <w:r w:rsidRPr="00770A74">
        <w:rPr>
          <w:rFonts w:ascii="Palatino Linotype" w:hAnsi="Palatino Linotype" w:cs="Arial"/>
        </w:rPr>
        <w:t xml:space="preserve"> la presente resolución a la Titular de la Unidad de Transparencia del </w:t>
      </w:r>
      <w:r w:rsidRPr="00770A74">
        <w:rPr>
          <w:rFonts w:ascii="Palatino Linotype" w:hAnsi="Palatino Linotype" w:cs="Arial"/>
          <w:b/>
        </w:rPr>
        <w:t>SUJETO OBLIGADO</w:t>
      </w:r>
      <w:r w:rsidRPr="00770A74">
        <w:rPr>
          <w:rFonts w:ascii="Palatino Linotype" w:hAnsi="Palatino Linotype" w:cs="Arial"/>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370BD5C7" w14:textId="77777777" w:rsidR="005F36E6" w:rsidRPr="00770A74" w:rsidRDefault="005F36E6" w:rsidP="005F36E6">
      <w:pPr>
        <w:widowControl w:val="0"/>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770A74">
        <w:rPr>
          <w:rFonts w:ascii="Palatino Linotype" w:hAnsi="Palatino Linotype" w:cs="Arial"/>
          <w:b/>
          <w:sz w:val="28"/>
          <w:lang w:val="es-ES_tradnl"/>
        </w:rPr>
        <w:t xml:space="preserve">CUARTO. </w:t>
      </w:r>
      <w:r w:rsidRPr="00770A74">
        <w:rPr>
          <w:rFonts w:ascii="Palatino Linotype" w:hAnsi="Palatino Linotype" w:cs="Arial"/>
          <w:szCs w:val="28"/>
        </w:rPr>
        <w:t xml:space="preserve">Con fundamento en el artículo 198 de la Ley de Transparencia y Acceso a la Información Pública del Estado de México y Municipios, se apercibe al </w:t>
      </w:r>
      <w:r w:rsidRPr="00770A74">
        <w:rPr>
          <w:rFonts w:ascii="Palatino Linotype" w:hAnsi="Palatino Linotype" w:cs="Arial"/>
          <w:b/>
          <w:szCs w:val="28"/>
        </w:rPr>
        <w:t>SUJETO OBLIGADO</w:t>
      </w:r>
      <w:r w:rsidRPr="00770A74">
        <w:rPr>
          <w:rFonts w:ascii="Palatino Linotype" w:hAnsi="Palatino Linotype" w:cs="Arial"/>
          <w:szCs w:val="28"/>
        </w:rPr>
        <w:t xml:space="preserve"> que, en caso de negarse a cumplir la presente resolución o hacerlo de manera parcial se actuará de conformidad con lo previsto en los artículos 213, 214, 216 </w:t>
      </w:r>
      <w:r w:rsidRPr="00770A74">
        <w:rPr>
          <w:rFonts w:ascii="Palatino Linotype" w:hAnsi="Palatino Linotype" w:cs="Arial"/>
          <w:szCs w:val="28"/>
        </w:rPr>
        <w:lastRenderedPageBreak/>
        <w:t>y 217 de dicha Ley.</w:t>
      </w:r>
    </w:p>
    <w:p w14:paraId="5C14F381" w14:textId="77777777" w:rsidR="005F36E6" w:rsidRPr="00770A74" w:rsidRDefault="005F36E6" w:rsidP="005F36E6">
      <w:pPr>
        <w:widowControl w:val="0"/>
        <w:autoSpaceDE w:val="0"/>
        <w:autoSpaceDN w:val="0"/>
        <w:adjustRightInd w:val="0"/>
        <w:spacing w:before="100" w:beforeAutospacing="1" w:after="100" w:afterAutospacing="1" w:line="360" w:lineRule="auto"/>
        <w:jc w:val="both"/>
        <w:rPr>
          <w:rFonts w:ascii="Palatino Linotype" w:hAnsi="Palatino Linotype"/>
          <w:color w:val="222222"/>
          <w:lang w:eastAsia="es-MX"/>
        </w:rPr>
      </w:pPr>
      <w:r w:rsidRPr="00770A74">
        <w:rPr>
          <w:rFonts w:ascii="Palatino Linotype" w:hAnsi="Palatino Linotype" w:cs="Arial"/>
          <w:b/>
          <w:sz w:val="28"/>
          <w:lang w:val="es-ES_tradnl"/>
        </w:rPr>
        <w:t xml:space="preserve">QUINTO. </w:t>
      </w:r>
      <w:r w:rsidRPr="00770A74">
        <w:rPr>
          <w:rFonts w:ascii="Palatino Linotype" w:hAnsi="Palatino Linotype"/>
          <w:b/>
          <w:bCs/>
          <w:color w:val="222222"/>
          <w:lang w:eastAsia="es-MX"/>
        </w:rPr>
        <w:t>Notifíquese</w:t>
      </w:r>
      <w:r w:rsidRPr="00770A74">
        <w:rPr>
          <w:rFonts w:ascii="Palatino Linotype" w:hAnsi="Palatino Linotype"/>
          <w:color w:val="222222"/>
          <w:lang w:eastAsia="es-MX"/>
        </w:rPr>
        <w:t xml:space="preserve"> al </w:t>
      </w:r>
      <w:r w:rsidRPr="00770A74">
        <w:rPr>
          <w:rFonts w:ascii="Palatino Linotype" w:hAnsi="Palatino Linotype"/>
          <w:b/>
          <w:bCs/>
          <w:color w:val="222222"/>
          <w:lang w:eastAsia="es-MX"/>
        </w:rPr>
        <w:t>RECURRENTE</w:t>
      </w:r>
      <w:r w:rsidRPr="00770A74">
        <w:rPr>
          <w:rFonts w:ascii="Palatino Linotype" w:hAnsi="Palatino Linotype"/>
          <w:color w:val="222222"/>
          <w:lang w:eastAsia="es-MX"/>
        </w:rPr>
        <w:t xml:space="preserve"> la presente resolución.</w:t>
      </w:r>
    </w:p>
    <w:p w14:paraId="2ACE8F41" w14:textId="77777777" w:rsidR="005F36E6" w:rsidRPr="00770A74" w:rsidRDefault="005F36E6" w:rsidP="005F36E6">
      <w:pPr>
        <w:spacing w:before="100" w:beforeAutospacing="1" w:after="100" w:afterAutospacing="1" w:line="360" w:lineRule="auto"/>
        <w:ind w:right="49"/>
        <w:jc w:val="both"/>
        <w:rPr>
          <w:rFonts w:ascii="Palatino Linotype" w:hAnsi="Palatino Linotype"/>
          <w:color w:val="222222"/>
          <w:lang w:eastAsia="es-MX"/>
        </w:rPr>
      </w:pPr>
      <w:r w:rsidRPr="00770A74">
        <w:rPr>
          <w:rFonts w:ascii="Palatino Linotype" w:hAnsi="Palatino Linotype"/>
          <w:b/>
          <w:color w:val="222222"/>
          <w:sz w:val="28"/>
          <w:szCs w:val="28"/>
          <w:lang w:eastAsia="es-ES_tradnl"/>
        </w:rPr>
        <w:t>SEXTO.</w:t>
      </w:r>
      <w:r w:rsidRPr="00770A74">
        <w:rPr>
          <w:rFonts w:ascii="Palatino Linotype" w:hAnsi="Palatino Linotype"/>
          <w:b/>
          <w:color w:val="222222"/>
          <w:szCs w:val="17"/>
          <w:lang w:eastAsia="es-ES_tradnl"/>
        </w:rPr>
        <w:t xml:space="preserve"> </w:t>
      </w:r>
      <w:r w:rsidRPr="00770A74">
        <w:rPr>
          <w:rFonts w:ascii="Palatino Linotype" w:hAnsi="Palatino Linotype"/>
          <w:b/>
          <w:bCs/>
          <w:color w:val="222222"/>
          <w:lang w:eastAsia="es-MX"/>
        </w:rPr>
        <w:t>Hágase del conocimiento</w:t>
      </w:r>
      <w:r w:rsidRPr="00770A74">
        <w:rPr>
          <w:rFonts w:ascii="Palatino Linotype" w:hAnsi="Palatino Linotype"/>
          <w:color w:val="222222"/>
          <w:lang w:eastAsia="es-MX"/>
        </w:rPr>
        <w:t xml:space="preserve"> del </w:t>
      </w:r>
      <w:r w:rsidRPr="00770A74">
        <w:rPr>
          <w:rFonts w:ascii="Palatino Linotype" w:hAnsi="Palatino Linotype"/>
          <w:b/>
          <w:color w:val="222222"/>
          <w:lang w:eastAsia="es-MX"/>
        </w:rPr>
        <w:t>RECURRENTE</w:t>
      </w:r>
      <w:r w:rsidRPr="00770A74">
        <w:rPr>
          <w:rFonts w:ascii="Palatino Linotype" w:hAnsi="Palatino Linotype"/>
          <w:color w:val="222222"/>
          <w:lang w:eastAsia="es-MX"/>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515A7FF6" w14:textId="77777777" w:rsidR="005F36E6" w:rsidRPr="00770A74" w:rsidRDefault="005F36E6" w:rsidP="005F36E6">
      <w:pPr>
        <w:spacing w:before="100" w:beforeAutospacing="1" w:after="100" w:afterAutospacing="1" w:line="360" w:lineRule="auto"/>
        <w:jc w:val="both"/>
        <w:rPr>
          <w:rFonts w:ascii="Palatino Linotype" w:eastAsia="Calibri" w:hAnsi="Palatino Linotype" w:cs="Arial"/>
        </w:rPr>
      </w:pPr>
      <w:r w:rsidRPr="00770A74">
        <w:rPr>
          <w:rFonts w:ascii="Palatino Linotype" w:eastAsia="Calibri" w:hAnsi="Palatino Linotype" w:cs="Arial"/>
          <w:b/>
          <w:sz w:val="28"/>
          <w:szCs w:val="28"/>
        </w:rPr>
        <w:t>SÉPTIMO</w:t>
      </w:r>
      <w:r w:rsidRPr="00770A74">
        <w:rPr>
          <w:rFonts w:ascii="Palatino Linotype" w:eastAsia="Calibri" w:hAnsi="Palatino Linotype" w:cs="Arial"/>
        </w:rPr>
        <w:t>.</w:t>
      </w:r>
      <w:r w:rsidRPr="00770A74">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w:t>
      </w:r>
      <w:r w:rsidRPr="00770A74">
        <w:rPr>
          <w:rFonts w:ascii="Palatino Linotype" w:hAnsi="Palatino Linotype"/>
          <w:b/>
          <w:szCs w:val="17"/>
          <w:lang w:eastAsia="es-ES_tradnl"/>
        </w:rPr>
        <w:t>EL SUJETO OBLIGADO</w:t>
      </w:r>
      <w:r w:rsidRPr="00770A74">
        <w:rPr>
          <w:rFonts w:ascii="Palatino Linotype" w:hAnsi="Palatino Linotype"/>
          <w:szCs w:val="17"/>
          <w:lang w:eastAsia="es-ES_tradnl"/>
        </w:rPr>
        <w:t xml:space="preserve"> de manera fundada y motivada, podrá solicitar una ampliación de plazo para el cumplimiento de la presente.</w:t>
      </w:r>
    </w:p>
    <w:p w14:paraId="17EBE7EC" w14:textId="0EF40C3D" w:rsidR="004C3319" w:rsidRPr="00770A74" w:rsidRDefault="005F36E6" w:rsidP="005F36E6">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770A74">
        <w:rPr>
          <w:rFonts w:ascii="Palatino Linotype" w:hAnsi="Palatino Linotype" w:cs="Arial"/>
        </w:rPr>
        <w:t>ASÍ LO RESUELVE, POR UNANIMIDAD DE VOTOS EL PLENO DEL</w:t>
      </w:r>
      <w:r w:rsidRPr="00770A74">
        <w:rPr>
          <w:rFonts w:ascii="Palatino Linotype" w:eastAsia="Arial Unicode MS" w:hAnsi="Palatino Linotype" w:cs="Arial"/>
        </w:rPr>
        <w:t xml:space="preserve"> INSTITUTO DE </w:t>
      </w:r>
      <w:r w:rsidRPr="00770A74">
        <w:rPr>
          <w:rFonts w:ascii="Palatino Linotype" w:hAnsi="Palatino Linotype"/>
          <w:lang w:eastAsia="en-US"/>
        </w:rPr>
        <w:t>TRANSPARENCIA</w:t>
      </w:r>
      <w:r w:rsidRPr="00770A74">
        <w:rPr>
          <w:rFonts w:ascii="Palatino Linotype" w:eastAsia="Arial Unicode MS" w:hAnsi="Palatino Linotype" w:cs="Arial"/>
        </w:rPr>
        <w:t>, ACCESO A LA INFORMACIÓN PÚBLICA Y PROTECCIÓN DE DATOS PERSONALES DEL ESTADO DE MÉXICO Y MUNICIPIOS</w:t>
      </w:r>
      <w:r w:rsidRPr="00770A74">
        <w:rPr>
          <w:rFonts w:ascii="Palatino Linotype" w:hAnsi="Palatino Linotype" w:cs="Arial"/>
        </w:rPr>
        <w:t xml:space="preserve">, CONFORMADO POR LOS COMISIONADOS </w:t>
      </w:r>
      <w:r w:rsidR="004C3319" w:rsidRPr="00770A74">
        <w:rPr>
          <w:rFonts w:ascii="Palatino Linotype" w:hAnsi="Palatino Linotype" w:cs="Arial"/>
        </w:rPr>
        <w:t>JOSÉ MARTÍNEZ VILCHIS; MARÍA DEL ROSARIO MEJÍA AYALA; SHARON CRISTINA MORALES MARTÍNEZ; LUIS GUSTAVO PARRA NORIEGA</w:t>
      </w:r>
      <w:r w:rsidR="00770A74" w:rsidRPr="00770A74">
        <w:rPr>
          <w:rFonts w:ascii="Palatino Linotype" w:hAnsi="Palatino Linotype" w:cs="Arial"/>
        </w:rPr>
        <w:t xml:space="preserve"> EMITIENDO VOTO PARTICULAR</w:t>
      </w:r>
      <w:r w:rsidR="004C3319" w:rsidRPr="00770A74">
        <w:rPr>
          <w:rFonts w:ascii="Palatino Linotype" w:hAnsi="Palatino Linotype" w:cs="Arial"/>
        </w:rPr>
        <w:t xml:space="preserve"> Y GUADALUPE RAMÍREZ PEÑA</w:t>
      </w:r>
      <w:r w:rsidR="00770A74" w:rsidRPr="00770A74">
        <w:rPr>
          <w:rFonts w:ascii="Palatino Linotype" w:hAnsi="Palatino Linotype" w:cs="Arial"/>
        </w:rPr>
        <w:t xml:space="preserve"> EMITIENDO VOTO PARTICULAR</w:t>
      </w:r>
      <w:r w:rsidR="004C3319" w:rsidRPr="00770A74">
        <w:rPr>
          <w:rFonts w:ascii="Palatino Linotype" w:hAnsi="Palatino Linotype" w:cs="Arial"/>
        </w:rPr>
        <w:t xml:space="preserve">; </w:t>
      </w:r>
      <w:r w:rsidR="004C5EE0" w:rsidRPr="00770A74">
        <w:rPr>
          <w:rFonts w:ascii="Palatino Linotype" w:hAnsi="Palatino Linotype" w:cs="Arial"/>
        </w:rPr>
        <w:t xml:space="preserve">EN LA TRIGÉSIMA </w:t>
      </w:r>
      <w:r w:rsidR="004C3319" w:rsidRPr="00770A74">
        <w:rPr>
          <w:rFonts w:ascii="Palatino Linotype" w:hAnsi="Palatino Linotype" w:cs="Arial"/>
        </w:rPr>
        <w:t xml:space="preserve">SESIÓN </w:t>
      </w:r>
      <w:r w:rsidR="004C3319" w:rsidRPr="00770A74">
        <w:rPr>
          <w:rFonts w:ascii="Palatino Linotype" w:hAnsi="Palatino Linotype" w:cs="Arial"/>
        </w:rPr>
        <w:lastRenderedPageBreak/>
        <w:t xml:space="preserve">ORDINARIA CELEBRADA EL </w:t>
      </w:r>
      <w:r w:rsidR="004C5EE0" w:rsidRPr="00770A74">
        <w:rPr>
          <w:rFonts w:ascii="Palatino Linotype" w:hAnsi="Palatino Linotype" w:cs="Arial"/>
        </w:rPr>
        <w:t xml:space="preserve">UNO DE SEPRIEMBRE </w:t>
      </w:r>
      <w:r w:rsidR="004C3319" w:rsidRPr="00770A74">
        <w:rPr>
          <w:rFonts w:ascii="Palatino Linotype" w:hAnsi="Palatino Linotype" w:cs="Arial"/>
        </w:rPr>
        <w:t>DE DOS MIL VEINTIUNO, ANTE EL SECRETARIO TÉCNICO DEL PLENO, ALEXIS TAPIA RAMÍREZ.</w:t>
      </w:r>
    </w:p>
    <w:p w14:paraId="502CFD42" w14:textId="77777777" w:rsidR="005F36E6" w:rsidRDefault="005F36E6" w:rsidP="005F36E6">
      <w:pPr>
        <w:jc w:val="both"/>
        <w:rPr>
          <w:rFonts w:ascii="Palatino Linotype" w:hAnsi="Palatino Linotype" w:cs="Arial"/>
          <w:sz w:val="16"/>
          <w:szCs w:val="16"/>
          <w:lang w:val="es-ES"/>
        </w:rPr>
      </w:pPr>
      <w:r w:rsidRPr="00770A74">
        <w:rPr>
          <w:rFonts w:ascii="Palatino Linotype" w:hAnsi="Palatino Linotype" w:cs="Arial"/>
          <w:sz w:val="16"/>
          <w:szCs w:val="16"/>
          <w:lang w:val="es-ES"/>
        </w:rPr>
        <w:t>YSM/AMV</w:t>
      </w:r>
    </w:p>
    <w:p w14:paraId="68FCB37A" w14:textId="77777777" w:rsidR="005F36E6" w:rsidRDefault="005F36E6" w:rsidP="005F36E6">
      <w:pPr>
        <w:spacing w:after="160" w:line="259" w:lineRule="auto"/>
        <w:rPr>
          <w:rFonts w:ascii="Palatino Linotype" w:hAnsi="Palatino Linotype" w:cs="Arial"/>
          <w:sz w:val="16"/>
          <w:szCs w:val="16"/>
          <w:lang w:val="es-ES"/>
        </w:rPr>
      </w:pPr>
      <w:r>
        <w:rPr>
          <w:rFonts w:ascii="Palatino Linotype" w:hAnsi="Palatino Linotype" w:cs="Arial"/>
          <w:sz w:val="16"/>
          <w:szCs w:val="16"/>
          <w:lang w:val="es-ES"/>
        </w:rPr>
        <w:br w:type="page"/>
      </w:r>
    </w:p>
    <w:sectPr w:rsidR="005F36E6" w:rsidSect="00867C3E">
      <w:headerReference w:type="even" r:id="rId19"/>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CF4A68" w16cex:dateUtc="2021-08-24T15:37:00Z"/>
  <w16cex:commentExtensible w16cex:durableId="24CF4D65" w16cex:dateUtc="2021-08-24T15:50:00Z"/>
  <w16cex:commentExtensible w16cex:durableId="24CF4E19" w16cex:dateUtc="2021-08-24T15:53:00Z"/>
  <w16cex:commentExtensible w16cex:durableId="24CF4E4A" w16cex:dateUtc="2021-08-24T15:54:00Z"/>
  <w16cex:commentExtensible w16cex:durableId="24CF4E8A" w16cex:dateUtc="2021-08-24T15:55:00Z"/>
  <w16cex:commentExtensible w16cex:durableId="24CF4EF3" w16cex:dateUtc="2021-08-24T15:56:00Z"/>
  <w16cex:commentExtensible w16cex:durableId="24CF4F99" w16cex:dateUtc="2021-08-24T15:59:00Z"/>
  <w16cex:commentExtensible w16cex:durableId="24CF50D4" w16cex:dateUtc="2021-08-24T16:04:00Z"/>
  <w16cex:commentExtensible w16cex:durableId="24CF5136" w16cex:dateUtc="2021-08-24T16: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6629442" w16cid:durableId="24CF4A68"/>
  <w16cid:commentId w16cid:paraId="2A98DE5A" w16cid:durableId="24CF4D65"/>
  <w16cid:commentId w16cid:paraId="53B12F40" w16cid:durableId="24CF4E19"/>
  <w16cid:commentId w16cid:paraId="23863843" w16cid:durableId="24CF4E4A"/>
  <w16cid:commentId w16cid:paraId="7D67CF23" w16cid:durableId="24CF4E8A"/>
  <w16cid:commentId w16cid:paraId="26E186D0" w16cid:durableId="24CF4EF3"/>
  <w16cid:commentId w16cid:paraId="73E3D0B7" w16cid:durableId="24CF4F99"/>
  <w16cid:commentId w16cid:paraId="169AE715" w16cid:durableId="24CF50D4"/>
  <w16cid:commentId w16cid:paraId="2B66356C" w16cid:durableId="24CF513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BEFB0A" w14:textId="77777777" w:rsidR="000E5C86" w:rsidRDefault="000E5C86" w:rsidP="005F36E6">
      <w:r>
        <w:separator/>
      </w:r>
    </w:p>
  </w:endnote>
  <w:endnote w:type="continuationSeparator" w:id="0">
    <w:p w14:paraId="06BC736E" w14:textId="77777777" w:rsidR="000E5C86" w:rsidRDefault="000E5C86" w:rsidP="005F36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Bol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387695" w14:textId="77777777" w:rsidR="009208F4" w:rsidRPr="0010196A" w:rsidRDefault="009208F4" w:rsidP="00867C3E">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9749B">
      <w:rPr>
        <w:rFonts w:ascii="Palatino Linotype" w:hAnsi="Palatino Linotype" w:cs="Arial"/>
        <w:bCs/>
        <w:noProof/>
        <w:sz w:val="22"/>
        <w:szCs w:val="22"/>
      </w:rPr>
      <w:t>21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9749B">
      <w:rPr>
        <w:rFonts w:ascii="Palatino Linotype" w:hAnsi="Palatino Linotype" w:cs="Arial"/>
        <w:bCs/>
        <w:noProof/>
        <w:sz w:val="22"/>
        <w:szCs w:val="22"/>
      </w:rPr>
      <w:t>43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F40AAD" w14:textId="77777777" w:rsidR="009208F4" w:rsidRPr="0010196A" w:rsidRDefault="009208F4" w:rsidP="00867C3E">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9749B">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9749B">
      <w:rPr>
        <w:rFonts w:ascii="Palatino Linotype" w:hAnsi="Palatino Linotype" w:cs="Arial"/>
        <w:bCs/>
        <w:noProof/>
        <w:sz w:val="22"/>
        <w:szCs w:val="22"/>
      </w:rPr>
      <w:t>43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78054F" w14:textId="77777777" w:rsidR="000E5C86" w:rsidRDefault="000E5C86" w:rsidP="005F36E6">
      <w:r>
        <w:separator/>
      </w:r>
    </w:p>
  </w:footnote>
  <w:footnote w:type="continuationSeparator" w:id="0">
    <w:p w14:paraId="3759C375" w14:textId="77777777" w:rsidR="000E5C86" w:rsidRDefault="000E5C86" w:rsidP="005F36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B87067" w14:textId="77777777" w:rsidR="009208F4" w:rsidRDefault="000E5C86">
    <w:pPr>
      <w:pStyle w:val="Encabezado"/>
    </w:pPr>
    <w:r>
      <w:rPr>
        <w:noProof/>
        <w:lang w:val="es-MX" w:eastAsia="es-MX"/>
      </w:rPr>
      <w:pict w14:anchorId="44CE21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8351E8" w14:textId="77777777" w:rsidR="009208F4" w:rsidRPr="0010196A" w:rsidRDefault="000E5C86" w:rsidP="00867C3E">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eastAsia="es-MX"/>
      </w:rPr>
      <w:pict w14:anchorId="32D86A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15.6pt;margin-top:-137.55pt;width:540pt;height:10in;z-index:-251656192;mso-position-horizontal-relative:margin;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3828"/>
      <w:gridCol w:w="2551"/>
      <w:gridCol w:w="2977"/>
    </w:tblGrid>
    <w:tr w:rsidR="009208F4" w:rsidRPr="008F2CCC" w14:paraId="0F1D2DA9" w14:textId="77777777" w:rsidTr="00867C3E">
      <w:tc>
        <w:tcPr>
          <w:tcW w:w="3828" w:type="dxa"/>
          <w:vMerge w:val="restart"/>
        </w:tcPr>
        <w:p w14:paraId="1DEA11F1" w14:textId="77777777" w:rsidR="009208F4" w:rsidRPr="008F2CCC" w:rsidRDefault="009208F4" w:rsidP="00867C3E">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381BB07" wp14:editId="12F0D443">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37BF0A2A" w14:textId="77777777" w:rsidR="009208F4" w:rsidRPr="00664658" w:rsidRDefault="009208F4" w:rsidP="00867C3E">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14:paraId="36F5CF44" w14:textId="77777777" w:rsidR="009208F4" w:rsidRPr="00664658" w:rsidRDefault="009208F4" w:rsidP="005F36E6">
          <w:pPr>
            <w:jc w:val="both"/>
            <w:rPr>
              <w:rFonts w:ascii="Palatino Linotype" w:hAnsi="Palatino Linotype"/>
              <w:b/>
              <w:sz w:val="22"/>
              <w:szCs w:val="22"/>
              <w:lang w:val="es-ES_tradnl"/>
            </w:rPr>
          </w:pPr>
          <w:r>
            <w:rPr>
              <w:rFonts w:ascii="Palatino Linotype" w:hAnsi="Palatino Linotype"/>
              <w:b/>
              <w:sz w:val="22"/>
              <w:szCs w:val="22"/>
              <w:lang w:val="es-ES_tradnl"/>
            </w:rPr>
            <w:t>03692</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21</w:t>
          </w:r>
        </w:p>
      </w:tc>
    </w:tr>
    <w:tr w:rsidR="009208F4" w:rsidRPr="008F2CCC" w14:paraId="3CA6FFD3" w14:textId="77777777" w:rsidTr="00867C3E">
      <w:tc>
        <w:tcPr>
          <w:tcW w:w="3828" w:type="dxa"/>
          <w:vMerge/>
        </w:tcPr>
        <w:p w14:paraId="6D6D6A95" w14:textId="77777777" w:rsidR="009208F4" w:rsidRPr="008F2CCC" w:rsidRDefault="009208F4" w:rsidP="00867C3E">
          <w:pPr>
            <w:rPr>
              <w:rFonts w:ascii="Palatino Linotype" w:hAnsi="Palatino Linotype"/>
              <w:b/>
              <w:sz w:val="22"/>
              <w:szCs w:val="22"/>
              <w:lang w:val="es-ES_tradnl"/>
            </w:rPr>
          </w:pPr>
        </w:p>
      </w:tc>
      <w:tc>
        <w:tcPr>
          <w:tcW w:w="2551" w:type="dxa"/>
          <w:shd w:val="clear" w:color="auto" w:fill="auto"/>
        </w:tcPr>
        <w:p w14:paraId="199ECD31" w14:textId="77777777" w:rsidR="009208F4" w:rsidRPr="00664658" w:rsidRDefault="009208F4" w:rsidP="00867C3E">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14:paraId="7C329C66" w14:textId="77777777" w:rsidR="009208F4" w:rsidRPr="00D41D47" w:rsidRDefault="009208F4" w:rsidP="00867C3E">
          <w:pPr>
            <w:jc w:val="both"/>
            <w:rPr>
              <w:rFonts w:ascii="Palatino Linotype" w:hAnsi="Palatino Linotype"/>
              <w:b/>
              <w:sz w:val="22"/>
              <w:szCs w:val="22"/>
              <w:lang w:val="es-ES_tradnl"/>
            </w:rPr>
          </w:pPr>
          <w:r w:rsidRPr="005F36E6">
            <w:rPr>
              <w:rFonts w:ascii="Palatino Linotype" w:hAnsi="Palatino Linotype"/>
              <w:b/>
              <w:sz w:val="22"/>
              <w:szCs w:val="22"/>
              <w:lang w:val="es-ES_tradnl"/>
            </w:rPr>
            <w:t>Organismo Público Descentralizado Municipal para la Prestación de Los Servicios de Agua Potable Alcantarillado y Saneamiento de Cuautitlán Izcalli denominado OPERAGUA, O.P.D.M</w:t>
          </w:r>
          <w:r>
            <w:rPr>
              <w:rFonts w:ascii="Verdana" w:hAnsi="Verdana"/>
              <w:b/>
              <w:bCs/>
              <w:color w:val="000000"/>
              <w:sz w:val="14"/>
              <w:szCs w:val="14"/>
            </w:rPr>
            <w:t>.</w:t>
          </w:r>
        </w:p>
      </w:tc>
    </w:tr>
    <w:tr w:rsidR="009208F4" w:rsidRPr="008F2CCC" w14:paraId="712C7659" w14:textId="77777777" w:rsidTr="00867C3E">
      <w:trPr>
        <w:trHeight w:val="228"/>
      </w:trPr>
      <w:tc>
        <w:tcPr>
          <w:tcW w:w="3828" w:type="dxa"/>
          <w:vMerge/>
        </w:tcPr>
        <w:p w14:paraId="6DB10469" w14:textId="77777777" w:rsidR="009208F4" w:rsidRPr="008F2CCC" w:rsidRDefault="009208F4" w:rsidP="00867C3E">
          <w:pPr>
            <w:rPr>
              <w:rFonts w:ascii="Palatino Linotype" w:hAnsi="Palatino Linotype"/>
              <w:b/>
              <w:sz w:val="22"/>
              <w:szCs w:val="22"/>
              <w:lang w:val="es-ES_tradnl"/>
            </w:rPr>
          </w:pPr>
        </w:p>
      </w:tc>
      <w:tc>
        <w:tcPr>
          <w:tcW w:w="2551" w:type="dxa"/>
          <w:shd w:val="clear" w:color="auto" w:fill="auto"/>
        </w:tcPr>
        <w:p w14:paraId="3B032A47" w14:textId="77777777" w:rsidR="009208F4" w:rsidRPr="00664658" w:rsidRDefault="009208F4" w:rsidP="00867C3E">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14:paraId="0379C2A2" w14:textId="77777777" w:rsidR="009208F4" w:rsidRPr="00664658" w:rsidRDefault="009208F4" w:rsidP="00867C3E">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51C528B2" w14:textId="77777777" w:rsidR="009208F4" w:rsidRPr="0010196A" w:rsidRDefault="009208F4" w:rsidP="00867C3E">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1EB585" w14:textId="77777777" w:rsidR="009208F4" w:rsidRPr="0010196A" w:rsidRDefault="000E5C86">
    <w:pPr>
      <w:rPr>
        <w:rFonts w:ascii="Palatino Linotype" w:hAnsi="Palatino Linotype"/>
        <w:sz w:val="28"/>
        <w:szCs w:val="28"/>
      </w:rPr>
    </w:pPr>
    <w:r>
      <w:rPr>
        <w:rFonts w:ascii="Palatino Linotype" w:hAnsi="Palatino Linotype"/>
        <w:noProof/>
        <w:sz w:val="28"/>
        <w:szCs w:val="28"/>
        <w:lang w:eastAsia="es-MX"/>
      </w:rPr>
      <w:pict w14:anchorId="3C0BC4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1" type="#_x0000_t75" style="position:absolute;margin-left:-12.95pt;margin-top:-68.2pt;width:540pt;height:10in;z-index:-251655168;mso-position-horizontal-relative:margin;mso-position-vertical-relative:margin" o:allowincell="f">
          <v:imagedata r:id="rId1" o:title="RESOLUCIÓN"/>
          <w10:wrap anchorx="margin" anchory="margin"/>
        </v:shape>
      </w:pict>
    </w:r>
  </w:p>
  <w:tbl>
    <w:tblPr>
      <w:tblW w:w="9356" w:type="dxa"/>
      <w:tblInd w:w="-142" w:type="dxa"/>
      <w:tblLayout w:type="fixed"/>
      <w:tblLook w:val="04A0" w:firstRow="1" w:lastRow="0" w:firstColumn="1" w:lastColumn="0" w:noHBand="0" w:noVBand="1"/>
    </w:tblPr>
    <w:tblGrid>
      <w:gridCol w:w="3403"/>
      <w:gridCol w:w="2552"/>
      <w:gridCol w:w="3401"/>
    </w:tblGrid>
    <w:tr w:rsidR="009208F4" w:rsidRPr="008F2CCC" w14:paraId="626016D1" w14:textId="77777777" w:rsidTr="00867C3E">
      <w:tc>
        <w:tcPr>
          <w:tcW w:w="3403" w:type="dxa"/>
          <w:vMerge w:val="restart"/>
          <w:shd w:val="clear" w:color="auto" w:fill="auto"/>
        </w:tcPr>
        <w:p w14:paraId="39269FDC" w14:textId="77777777" w:rsidR="009208F4" w:rsidRPr="008F2CCC" w:rsidRDefault="009208F4" w:rsidP="00867C3E">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2A733C76" wp14:editId="21E3437A">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9CF8E05" w14:textId="77777777" w:rsidR="009208F4" w:rsidRPr="008F2CCC" w:rsidRDefault="009208F4" w:rsidP="00867C3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1" w:type="dxa"/>
          <w:shd w:val="clear" w:color="auto" w:fill="auto"/>
          <w:vAlign w:val="center"/>
        </w:tcPr>
        <w:p w14:paraId="4A881A27" w14:textId="77777777" w:rsidR="009208F4" w:rsidRPr="008F2CCC" w:rsidRDefault="009208F4" w:rsidP="00867C3E">
          <w:pPr>
            <w:jc w:val="both"/>
            <w:rPr>
              <w:rFonts w:ascii="Palatino Linotype" w:hAnsi="Palatino Linotype"/>
              <w:b/>
              <w:sz w:val="22"/>
              <w:szCs w:val="22"/>
              <w:lang w:val="es-ES_tradnl"/>
            </w:rPr>
          </w:pPr>
          <w:r>
            <w:rPr>
              <w:rFonts w:ascii="Palatino Linotype" w:hAnsi="Palatino Linotype"/>
              <w:b/>
              <w:sz w:val="22"/>
              <w:szCs w:val="22"/>
              <w:lang w:val="es-ES_tradnl"/>
            </w:rPr>
            <w:t>03692/INFOEM/IP/RR/2021</w:t>
          </w:r>
        </w:p>
      </w:tc>
    </w:tr>
    <w:tr w:rsidR="009208F4" w:rsidRPr="008F2CCC" w14:paraId="41FA7163" w14:textId="77777777" w:rsidTr="00867C3E">
      <w:tc>
        <w:tcPr>
          <w:tcW w:w="3403" w:type="dxa"/>
          <w:vMerge/>
          <w:shd w:val="clear" w:color="auto" w:fill="auto"/>
        </w:tcPr>
        <w:p w14:paraId="1B58492A" w14:textId="77777777" w:rsidR="009208F4" w:rsidRPr="008F2CCC" w:rsidRDefault="009208F4" w:rsidP="00867C3E">
          <w:pPr>
            <w:rPr>
              <w:rFonts w:ascii="Palatino Linotype" w:hAnsi="Palatino Linotype"/>
              <w:b/>
              <w:sz w:val="22"/>
              <w:szCs w:val="22"/>
              <w:lang w:val="es-ES_tradnl"/>
            </w:rPr>
          </w:pPr>
        </w:p>
      </w:tc>
      <w:tc>
        <w:tcPr>
          <w:tcW w:w="2552" w:type="dxa"/>
          <w:shd w:val="clear" w:color="auto" w:fill="auto"/>
        </w:tcPr>
        <w:p w14:paraId="24FB7FB0" w14:textId="77777777" w:rsidR="009208F4" w:rsidRPr="008F2CCC" w:rsidRDefault="009208F4" w:rsidP="00867C3E">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1" w:type="dxa"/>
          <w:shd w:val="clear" w:color="auto" w:fill="auto"/>
          <w:vAlign w:val="center"/>
        </w:tcPr>
        <w:p w14:paraId="5F5E5BF3" w14:textId="2A40DB2E" w:rsidR="009208F4" w:rsidRPr="008F2CCC" w:rsidRDefault="0079749B" w:rsidP="00867C3E">
          <w:pPr>
            <w:jc w:val="both"/>
            <w:rPr>
              <w:rFonts w:ascii="Palatino Linotype" w:hAnsi="Palatino Linotype"/>
              <w:b/>
              <w:sz w:val="22"/>
              <w:szCs w:val="22"/>
              <w:lang w:val="es-ES_tradnl"/>
            </w:rPr>
          </w:pPr>
          <w:r>
            <w:rPr>
              <w:rFonts w:ascii="Palatino Linotype" w:hAnsi="Palatino Linotype"/>
              <w:b/>
              <w:sz w:val="22"/>
              <w:szCs w:val="22"/>
              <w:lang w:val="es-ES_tradnl"/>
            </w:rPr>
            <w:t>XXXXXXXXXXXXXXXXX</w:t>
          </w:r>
          <w:r w:rsidR="009208F4">
            <w:rPr>
              <w:rFonts w:ascii="Palatino Linotype" w:hAnsi="Palatino Linotype"/>
              <w:b/>
              <w:sz w:val="22"/>
              <w:szCs w:val="22"/>
              <w:lang w:val="es-ES_tradnl"/>
            </w:rPr>
            <w:t xml:space="preserve"> </w:t>
          </w:r>
        </w:p>
      </w:tc>
    </w:tr>
    <w:tr w:rsidR="009208F4" w:rsidRPr="008F2CCC" w14:paraId="6DB71D43" w14:textId="77777777" w:rsidTr="00867C3E">
      <w:trPr>
        <w:trHeight w:val="228"/>
      </w:trPr>
      <w:tc>
        <w:tcPr>
          <w:tcW w:w="3403" w:type="dxa"/>
          <w:vMerge/>
          <w:shd w:val="clear" w:color="auto" w:fill="auto"/>
        </w:tcPr>
        <w:p w14:paraId="3FDCC353" w14:textId="77777777" w:rsidR="009208F4" w:rsidRPr="008F2CCC" w:rsidRDefault="009208F4" w:rsidP="00867C3E">
          <w:pPr>
            <w:rPr>
              <w:rFonts w:ascii="Palatino Linotype" w:hAnsi="Palatino Linotype"/>
              <w:b/>
              <w:sz w:val="22"/>
              <w:szCs w:val="22"/>
              <w:lang w:val="es-ES_tradnl"/>
            </w:rPr>
          </w:pPr>
        </w:p>
      </w:tc>
      <w:tc>
        <w:tcPr>
          <w:tcW w:w="2552" w:type="dxa"/>
          <w:shd w:val="clear" w:color="auto" w:fill="auto"/>
        </w:tcPr>
        <w:p w14:paraId="133E1142" w14:textId="77777777" w:rsidR="009208F4" w:rsidRPr="008F2CCC" w:rsidRDefault="009208F4" w:rsidP="00867C3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1" w:type="dxa"/>
          <w:shd w:val="clear" w:color="auto" w:fill="auto"/>
          <w:vAlign w:val="center"/>
        </w:tcPr>
        <w:p w14:paraId="4F28DD1A" w14:textId="77777777" w:rsidR="009208F4" w:rsidRPr="00D907B3" w:rsidRDefault="009208F4" w:rsidP="00867C3E">
          <w:pPr>
            <w:jc w:val="both"/>
            <w:rPr>
              <w:rFonts w:ascii="Palatino Linotype" w:hAnsi="Palatino Linotype"/>
              <w:b/>
              <w:sz w:val="22"/>
              <w:szCs w:val="22"/>
              <w:lang w:val="es-ES_tradnl"/>
            </w:rPr>
          </w:pPr>
          <w:r w:rsidRPr="005F36E6">
            <w:rPr>
              <w:rFonts w:ascii="Palatino Linotype" w:hAnsi="Palatino Linotype"/>
              <w:b/>
              <w:sz w:val="22"/>
              <w:szCs w:val="22"/>
              <w:lang w:val="es-ES_tradnl"/>
            </w:rPr>
            <w:t>Organismo Público Descentralizado Municipal para la Prestación de Los Servicios de Agua Potable Alcantarillado y Saneamiento de Cuautitlán Izcalli denominado OPERAGUA, O.P.D.M</w:t>
          </w:r>
          <w:r>
            <w:rPr>
              <w:rFonts w:ascii="Verdana" w:hAnsi="Verdana"/>
              <w:b/>
              <w:bCs/>
              <w:color w:val="000000"/>
              <w:sz w:val="14"/>
              <w:szCs w:val="14"/>
            </w:rPr>
            <w:t>.</w:t>
          </w:r>
        </w:p>
      </w:tc>
    </w:tr>
    <w:tr w:rsidR="009208F4" w:rsidRPr="008F2CCC" w14:paraId="792FD464" w14:textId="77777777" w:rsidTr="00867C3E">
      <w:tc>
        <w:tcPr>
          <w:tcW w:w="3403" w:type="dxa"/>
          <w:vMerge/>
          <w:shd w:val="clear" w:color="auto" w:fill="auto"/>
        </w:tcPr>
        <w:p w14:paraId="24EA85FB" w14:textId="77777777" w:rsidR="009208F4" w:rsidRPr="008F2CCC" w:rsidRDefault="009208F4" w:rsidP="00867C3E">
          <w:pPr>
            <w:rPr>
              <w:rFonts w:ascii="Palatino Linotype" w:hAnsi="Palatino Linotype"/>
              <w:b/>
              <w:sz w:val="22"/>
              <w:szCs w:val="22"/>
              <w:lang w:val="es-ES_tradnl"/>
            </w:rPr>
          </w:pPr>
        </w:p>
      </w:tc>
      <w:tc>
        <w:tcPr>
          <w:tcW w:w="2552" w:type="dxa"/>
          <w:shd w:val="clear" w:color="auto" w:fill="auto"/>
        </w:tcPr>
        <w:p w14:paraId="5422C4BA" w14:textId="77777777" w:rsidR="009208F4" w:rsidRPr="008F2CCC" w:rsidRDefault="009208F4" w:rsidP="00867C3E">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1" w:type="dxa"/>
          <w:shd w:val="clear" w:color="auto" w:fill="auto"/>
        </w:tcPr>
        <w:p w14:paraId="54E1E58A" w14:textId="77777777" w:rsidR="009208F4" w:rsidRPr="008F2CCC" w:rsidRDefault="009208F4" w:rsidP="00867C3E">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3AF40ACC" w14:textId="77777777" w:rsidR="009208F4" w:rsidRPr="00D30855" w:rsidRDefault="009208F4" w:rsidP="00867C3E">
    <w:pPr>
      <w:rPr>
        <w:rFonts w:ascii="Palatino Linotype" w:hAnsi="Palatino Linotyp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6B1191"/>
    <w:multiLevelType w:val="hybridMultilevel"/>
    <w:tmpl w:val="1AA0C4F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49587D50"/>
    <w:multiLevelType w:val="multilevel"/>
    <w:tmpl w:val="65447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6E6"/>
    <w:rsid w:val="00015FF0"/>
    <w:rsid w:val="0007650C"/>
    <w:rsid w:val="00091CCE"/>
    <w:rsid w:val="00095940"/>
    <w:rsid w:val="000B57FF"/>
    <w:rsid w:val="000D1B56"/>
    <w:rsid w:val="000E5C86"/>
    <w:rsid w:val="001666F1"/>
    <w:rsid w:val="001B3165"/>
    <w:rsid w:val="001D4141"/>
    <w:rsid w:val="001F7600"/>
    <w:rsid w:val="0021616C"/>
    <w:rsid w:val="00257F76"/>
    <w:rsid w:val="00266F95"/>
    <w:rsid w:val="003466A0"/>
    <w:rsid w:val="00372DDA"/>
    <w:rsid w:val="00373A6E"/>
    <w:rsid w:val="003D7237"/>
    <w:rsid w:val="003F3822"/>
    <w:rsid w:val="0040425D"/>
    <w:rsid w:val="0048799D"/>
    <w:rsid w:val="004C3319"/>
    <w:rsid w:val="004C5EE0"/>
    <w:rsid w:val="004D647F"/>
    <w:rsid w:val="004F1CB5"/>
    <w:rsid w:val="00512034"/>
    <w:rsid w:val="005209B5"/>
    <w:rsid w:val="00522D0E"/>
    <w:rsid w:val="005B737C"/>
    <w:rsid w:val="005F36E6"/>
    <w:rsid w:val="00711BED"/>
    <w:rsid w:val="00744586"/>
    <w:rsid w:val="00770A74"/>
    <w:rsid w:val="0079749B"/>
    <w:rsid w:val="008143B6"/>
    <w:rsid w:val="00824BA1"/>
    <w:rsid w:val="00832F08"/>
    <w:rsid w:val="00867C3E"/>
    <w:rsid w:val="008B27C5"/>
    <w:rsid w:val="008D6E0A"/>
    <w:rsid w:val="009000F4"/>
    <w:rsid w:val="009208F4"/>
    <w:rsid w:val="00974AA7"/>
    <w:rsid w:val="009C14C4"/>
    <w:rsid w:val="009D7696"/>
    <w:rsid w:val="009F2828"/>
    <w:rsid w:val="00A13FE0"/>
    <w:rsid w:val="00A449AA"/>
    <w:rsid w:val="00A70442"/>
    <w:rsid w:val="00AD7E85"/>
    <w:rsid w:val="00AE218A"/>
    <w:rsid w:val="00B162B0"/>
    <w:rsid w:val="00BA164B"/>
    <w:rsid w:val="00C009DF"/>
    <w:rsid w:val="00C162FD"/>
    <w:rsid w:val="00CC05A8"/>
    <w:rsid w:val="00CD07A9"/>
    <w:rsid w:val="00D0612E"/>
    <w:rsid w:val="00D37209"/>
    <w:rsid w:val="00DC7C5F"/>
    <w:rsid w:val="00DE0202"/>
    <w:rsid w:val="00DE1FBE"/>
    <w:rsid w:val="00EC42B0"/>
    <w:rsid w:val="00EF765F"/>
    <w:rsid w:val="00F21001"/>
    <w:rsid w:val="00F56914"/>
    <w:rsid w:val="00F67706"/>
    <w:rsid w:val="00F72D4F"/>
    <w:rsid w:val="00F8776D"/>
    <w:rsid w:val="00F94A32"/>
    <w:rsid w:val="00FA12F6"/>
    <w:rsid w:val="00FE72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FA38D22"/>
  <w15:chartTrackingRefBased/>
  <w15:docId w15:val="{03A1E8C5-0DF9-4FC1-950A-3F4AB8E6D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36E6"/>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uiPriority w:val="9"/>
    <w:qFormat/>
    <w:rsid w:val="00A449AA"/>
    <w:pPr>
      <w:spacing w:before="100" w:beforeAutospacing="1" w:after="100" w:afterAutospacing="1"/>
      <w:outlineLvl w:val="0"/>
    </w:pPr>
    <w:rPr>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F36E6"/>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F36E6"/>
    <w:rPr>
      <w:rFonts w:eastAsiaTheme="minorEastAsia"/>
      <w:sz w:val="24"/>
      <w:szCs w:val="24"/>
      <w:lang w:val="es-ES_tradnl" w:eastAsia="es-ES"/>
    </w:rPr>
  </w:style>
  <w:style w:type="paragraph" w:styleId="Piedepgina">
    <w:name w:val="footer"/>
    <w:basedOn w:val="Normal"/>
    <w:link w:val="PiedepginaCar"/>
    <w:uiPriority w:val="99"/>
    <w:unhideWhenUsed/>
    <w:rsid w:val="005F36E6"/>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F36E6"/>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F36E6"/>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F36E6"/>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5F36E6"/>
    <w:rPr>
      <w:color w:val="0000FF"/>
      <w:u w:val="single"/>
    </w:rPr>
  </w:style>
  <w:style w:type="character" w:customStyle="1" w:styleId="Ttulo1Car">
    <w:name w:val="Título 1 Car"/>
    <w:basedOn w:val="Fuentedeprrafopredeter"/>
    <w:link w:val="Ttulo1"/>
    <w:uiPriority w:val="9"/>
    <w:rsid w:val="00A449AA"/>
    <w:rPr>
      <w:rFonts w:ascii="Times New Roman" w:eastAsia="Times New Roman" w:hAnsi="Times New Roman" w:cs="Times New Roman"/>
      <w:b/>
      <w:bCs/>
      <w:kern w:val="36"/>
      <w:sz w:val="48"/>
      <w:szCs w:val="48"/>
      <w:lang w:eastAsia="es-MX"/>
    </w:rPr>
  </w:style>
  <w:style w:type="character" w:styleId="Refdecomentario">
    <w:name w:val="annotation reference"/>
    <w:basedOn w:val="Fuentedeprrafopredeter"/>
    <w:uiPriority w:val="99"/>
    <w:semiHidden/>
    <w:unhideWhenUsed/>
    <w:rsid w:val="00095940"/>
    <w:rPr>
      <w:sz w:val="16"/>
      <w:szCs w:val="16"/>
    </w:rPr>
  </w:style>
  <w:style w:type="paragraph" w:styleId="Textocomentario">
    <w:name w:val="annotation text"/>
    <w:basedOn w:val="Normal"/>
    <w:link w:val="TextocomentarioCar"/>
    <w:uiPriority w:val="99"/>
    <w:semiHidden/>
    <w:unhideWhenUsed/>
    <w:rsid w:val="00095940"/>
    <w:rPr>
      <w:sz w:val="20"/>
      <w:szCs w:val="20"/>
    </w:rPr>
  </w:style>
  <w:style w:type="character" w:customStyle="1" w:styleId="TextocomentarioCar">
    <w:name w:val="Texto comentario Car"/>
    <w:basedOn w:val="Fuentedeprrafopredeter"/>
    <w:link w:val="Textocomentario"/>
    <w:uiPriority w:val="99"/>
    <w:semiHidden/>
    <w:rsid w:val="00095940"/>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095940"/>
    <w:rPr>
      <w:b/>
      <w:bCs/>
    </w:rPr>
  </w:style>
  <w:style w:type="character" w:customStyle="1" w:styleId="AsuntodelcomentarioCar">
    <w:name w:val="Asunto del comentario Car"/>
    <w:basedOn w:val="TextocomentarioCar"/>
    <w:link w:val="Asuntodelcomentario"/>
    <w:uiPriority w:val="99"/>
    <w:semiHidden/>
    <w:rsid w:val="00095940"/>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4F1CB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F1CB5"/>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337399">
      <w:bodyDiv w:val="1"/>
      <w:marLeft w:val="0"/>
      <w:marRight w:val="0"/>
      <w:marTop w:val="0"/>
      <w:marBottom w:val="0"/>
      <w:divBdr>
        <w:top w:val="none" w:sz="0" w:space="0" w:color="auto"/>
        <w:left w:val="none" w:sz="0" w:space="0" w:color="auto"/>
        <w:bottom w:val="none" w:sz="0" w:space="0" w:color="auto"/>
        <w:right w:val="none" w:sz="0" w:space="0" w:color="auto"/>
      </w:divBdr>
      <w:divsChild>
        <w:div w:id="893856796">
          <w:marLeft w:val="720"/>
          <w:marRight w:val="0"/>
          <w:marTop w:val="0"/>
          <w:marBottom w:val="101"/>
          <w:divBdr>
            <w:top w:val="none" w:sz="0" w:space="0" w:color="auto"/>
            <w:left w:val="none" w:sz="0" w:space="0" w:color="auto"/>
            <w:bottom w:val="none" w:sz="0" w:space="0" w:color="auto"/>
            <w:right w:val="none" w:sz="0" w:space="0" w:color="auto"/>
          </w:divBdr>
        </w:div>
        <w:div w:id="929772647">
          <w:marLeft w:val="720"/>
          <w:marRight w:val="0"/>
          <w:marTop w:val="0"/>
          <w:marBottom w:val="101"/>
          <w:divBdr>
            <w:top w:val="none" w:sz="0" w:space="0" w:color="auto"/>
            <w:left w:val="none" w:sz="0" w:space="0" w:color="auto"/>
            <w:bottom w:val="none" w:sz="0" w:space="0" w:color="auto"/>
            <w:right w:val="none" w:sz="0" w:space="0" w:color="auto"/>
          </w:divBdr>
        </w:div>
        <w:div w:id="1842427559">
          <w:marLeft w:val="720"/>
          <w:marRight w:val="0"/>
          <w:marTop w:val="0"/>
          <w:marBottom w:val="101"/>
          <w:divBdr>
            <w:top w:val="none" w:sz="0" w:space="0" w:color="auto"/>
            <w:left w:val="none" w:sz="0" w:space="0" w:color="auto"/>
            <w:bottom w:val="none" w:sz="0" w:space="0" w:color="auto"/>
            <w:right w:val="none" w:sz="0" w:space="0" w:color="auto"/>
          </w:divBdr>
        </w:div>
        <w:div w:id="852844057">
          <w:marLeft w:val="720"/>
          <w:marRight w:val="0"/>
          <w:marTop w:val="0"/>
          <w:marBottom w:val="101"/>
          <w:divBdr>
            <w:top w:val="none" w:sz="0" w:space="0" w:color="auto"/>
            <w:left w:val="none" w:sz="0" w:space="0" w:color="auto"/>
            <w:bottom w:val="none" w:sz="0" w:space="0" w:color="auto"/>
            <w:right w:val="none" w:sz="0" w:space="0" w:color="auto"/>
          </w:divBdr>
        </w:div>
      </w:divsChild>
    </w:div>
    <w:div w:id="136000388">
      <w:bodyDiv w:val="1"/>
      <w:marLeft w:val="0"/>
      <w:marRight w:val="0"/>
      <w:marTop w:val="0"/>
      <w:marBottom w:val="0"/>
      <w:divBdr>
        <w:top w:val="none" w:sz="0" w:space="0" w:color="auto"/>
        <w:left w:val="none" w:sz="0" w:space="0" w:color="auto"/>
        <w:bottom w:val="none" w:sz="0" w:space="0" w:color="auto"/>
        <w:right w:val="none" w:sz="0" w:space="0" w:color="auto"/>
      </w:divBdr>
      <w:divsChild>
        <w:div w:id="48773115">
          <w:marLeft w:val="0"/>
          <w:marRight w:val="0"/>
          <w:marTop w:val="0"/>
          <w:marBottom w:val="101"/>
          <w:divBdr>
            <w:top w:val="none" w:sz="0" w:space="0" w:color="auto"/>
            <w:left w:val="none" w:sz="0" w:space="0" w:color="auto"/>
            <w:bottom w:val="none" w:sz="0" w:space="0" w:color="auto"/>
            <w:right w:val="none" w:sz="0" w:space="0" w:color="auto"/>
          </w:divBdr>
        </w:div>
        <w:div w:id="1129132039">
          <w:marLeft w:val="0"/>
          <w:marRight w:val="0"/>
          <w:marTop w:val="0"/>
          <w:marBottom w:val="101"/>
          <w:divBdr>
            <w:top w:val="none" w:sz="0" w:space="0" w:color="auto"/>
            <w:left w:val="none" w:sz="0" w:space="0" w:color="auto"/>
            <w:bottom w:val="none" w:sz="0" w:space="0" w:color="auto"/>
            <w:right w:val="none" w:sz="0" w:space="0" w:color="auto"/>
          </w:divBdr>
        </w:div>
        <w:div w:id="456526899">
          <w:marLeft w:val="0"/>
          <w:marRight w:val="0"/>
          <w:marTop w:val="0"/>
          <w:marBottom w:val="101"/>
          <w:divBdr>
            <w:top w:val="none" w:sz="0" w:space="0" w:color="auto"/>
            <w:left w:val="none" w:sz="0" w:space="0" w:color="auto"/>
            <w:bottom w:val="none" w:sz="0" w:space="0" w:color="auto"/>
            <w:right w:val="none" w:sz="0" w:space="0" w:color="auto"/>
          </w:divBdr>
        </w:div>
      </w:divsChild>
    </w:div>
    <w:div w:id="375128090">
      <w:bodyDiv w:val="1"/>
      <w:marLeft w:val="0"/>
      <w:marRight w:val="0"/>
      <w:marTop w:val="0"/>
      <w:marBottom w:val="0"/>
      <w:divBdr>
        <w:top w:val="none" w:sz="0" w:space="0" w:color="auto"/>
        <w:left w:val="none" w:sz="0" w:space="0" w:color="auto"/>
        <w:bottom w:val="none" w:sz="0" w:space="0" w:color="auto"/>
        <w:right w:val="none" w:sz="0" w:space="0" w:color="auto"/>
      </w:divBdr>
      <w:divsChild>
        <w:div w:id="519320035">
          <w:marLeft w:val="0"/>
          <w:marRight w:val="0"/>
          <w:marTop w:val="0"/>
          <w:marBottom w:val="101"/>
          <w:divBdr>
            <w:top w:val="none" w:sz="0" w:space="0" w:color="auto"/>
            <w:left w:val="none" w:sz="0" w:space="0" w:color="auto"/>
            <w:bottom w:val="none" w:sz="0" w:space="0" w:color="auto"/>
            <w:right w:val="none" w:sz="0" w:space="0" w:color="auto"/>
          </w:divBdr>
        </w:div>
        <w:div w:id="1551454598">
          <w:marLeft w:val="0"/>
          <w:marRight w:val="0"/>
          <w:marTop w:val="0"/>
          <w:marBottom w:val="101"/>
          <w:divBdr>
            <w:top w:val="none" w:sz="0" w:space="0" w:color="auto"/>
            <w:left w:val="none" w:sz="0" w:space="0" w:color="auto"/>
            <w:bottom w:val="none" w:sz="0" w:space="0" w:color="auto"/>
            <w:right w:val="none" w:sz="0" w:space="0" w:color="auto"/>
          </w:divBdr>
        </w:div>
        <w:div w:id="451633908">
          <w:marLeft w:val="720"/>
          <w:marRight w:val="0"/>
          <w:marTop w:val="0"/>
          <w:marBottom w:val="101"/>
          <w:divBdr>
            <w:top w:val="none" w:sz="0" w:space="0" w:color="auto"/>
            <w:left w:val="none" w:sz="0" w:space="0" w:color="auto"/>
            <w:bottom w:val="none" w:sz="0" w:space="0" w:color="auto"/>
            <w:right w:val="none" w:sz="0" w:space="0" w:color="auto"/>
          </w:divBdr>
        </w:div>
        <w:div w:id="1395086301">
          <w:marLeft w:val="720"/>
          <w:marRight w:val="0"/>
          <w:marTop w:val="0"/>
          <w:marBottom w:val="101"/>
          <w:divBdr>
            <w:top w:val="none" w:sz="0" w:space="0" w:color="auto"/>
            <w:left w:val="none" w:sz="0" w:space="0" w:color="auto"/>
            <w:bottom w:val="none" w:sz="0" w:space="0" w:color="auto"/>
            <w:right w:val="none" w:sz="0" w:space="0" w:color="auto"/>
          </w:divBdr>
        </w:div>
        <w:div w:id="1770348719">
          <w:marLeft w:val="720"/>
          <w:marRight w:val="0"/>
          <w:marTop w:val="0"/>
          <w:marBottom w:val="101"/>
          <w:divBdr>
            <w:top w:val="none" w:sz="0" w:space="0" w:color="auto"/>
            <w:left w:val="none" w:sz="0" w:space="0" w:color="auto"/>
            <w:bottom w:val="none" w:sz="0" w:space="0" w:color="auto"/>
            <w:right w:val="none" w:sz="0" w:space="0" w:color="auto"/>
          </w:divBdr>
        </w:div>
        <w:div w:id="1065685219">
          <w:marLeft w:val="720"/>
          <w:marRight w:val="0"/>
          <w:marTop w:val="0"/>
          <w:marBottom w:val="101"/>
          <w:divBdr>
            <w:top w:val="none" w:sz="0" w:space="0" w:color="auto"/>
            <w:left w:val="none" w:sz="0" w:space="0" w:color="auto"/>
            <w:bottom w:val="none" w:sz="0" w:space="0" w:color="auto"/>
            <w:right w:val="none" w:sz="0" w:space="0" w:color="auto"/>
          </w:divBdr>
        </w:div>
        <w:div w:id="1657800237">
          <w:marLeft w:val="720"/>
          <w:marRight w:val="0"/>
          <w:marTop w:val="0"/>
          <w:marBottom w:val="101"/>
          <w:divBdr>
            <w:top w:val="none" w:sz="0" w:space="0" w:color="auto"/>
            <w:left w:val="none" w:sz="0" w:space="0" w:color="auto"/>
            <w:bottom w:val="none" w:sz="0" w:space="0" w:color="auto"/>
            <w:right w:val="none" w:sz="0" w:space="0" w:color="auto"/>
          </w:divBdr>
        </w:div>
        <w:div w:id="1698651564">
          <w:marLeft w:val="720"/>
          <w:marRight w:val="0"/>
          <w:marTop w:val="0"/>
          <w:marBottom w:val="101"/>
          <w:divBdr>
            <w:top w:val="none" w:sz="0" w:space="0" w:color="auto"/>
            <w:left w:val="none" w:sz="0" w:space="0" w:color="auto"/>
            <w:bottom w:val="none" w:sz="0" w:space="0" w:color="auto"/>
            <w:right w:val="none" w:sz="0" w:space="0" w:color="auto"/>
          </w:divBdr>
        </w:div>
        <w:div w:id="1046442220">
          <w:marLeft w:val="720"/>
          <w:marRight w:val="0"/>
          <w:marTop w:val="0"/>
          <w:marBottom w:val="101"/>
          <w:divBdr>
            <w:top w:val="none" w:sz="0" w:space="0" w:color="auto"/>
            <w:left w:val="none" w:sz="0" w:space="0" w:color="auto"/>
            <w:bottom w:val="none" w:sz="0" w:space="0" w:color="auto"/>
            <w:right w:val="none" w:sz="0" w:space="0" w:color="auto"/>
          </w:divBdr>
        </w:div>
        <w:div w:id="611941653">
          <w:marLeft w:val="720"/>
          <w:marRight w:val="0"/>
          <w:marTop w:val="0"/>
          <w:marBottom w:val="101"/>
          <w:divBdr>
            <w:top w:val="none" w:sz="0" w:space="0" w:color="auto"/>
            <w:left w:val="none" w:sz="0" w:space="0" w:color="auto"/>
            <w:bottom w:val="none" w:sz="0" w:space="0" w:color="auto"/>
            <w:right w:val="none" w:sz="0" w:space="0" w:color="auto"/>
          </w:divBdr>
        </w:div>
        <w:div w:id="1104036336">
          <w:marLeft w:val="0"/>
          <w:marRight w:val="0"/>
          <w:marTop w:val="0"/>
          <w:marBottom w:val="101"/>
          <w:divBdr>
            <w:top w:val="none" w:sz="0" w:space="0" w:color="auto"/>
            <w:left w:val="none" w:sz="0" w:space="0" w:color="auto"/>
            <w:bottom w:val="none" w:sz="0" w:space="0" w:color="auto"/>
            <w:right w:val="none" w:sz="0" w:space="0" w:color="auto"/>
          </w:divBdr>
        </w:div>
        <w:div w:id="505826617">
          <w:marLeft w:val="0"/>
          <w:marRight w:val="0"/>
          <w:marTop w:val="0"/>
          <w:marBottom w:val="101"/>
          <w:divBdr>
            <w:top w:val="none" w:sz="0" w:space="0" w:color="auto"/>
            <w:left w:val="none" w:sz="0" w:space="0" w:color="auto"/>
            <w:bottom w:val="none" w:sz="0" w:space="0" w:color="auto"/>
            <w:right w:val="none" w:sz="0" w:space="0" w:color="auto"/>
          </w:divBdr>
        </w:div>
      </w:divsChild>
    </w:div>
    <w:div w:id="637566567">
      <w:bodyDiv w:val="1"/>
      <w:marLeft w:val="0"/>
      <w:marRight w:val="0"/>
      <w:marTop w:val="0"/>
      <w:marBottom w:val="0"/>
      <w:divBdr>
        <w:top w:val="none" w:sz="0" w:space="0" w:color="auto"/>
        <w:left w:val="none" w:sz="0" w:space="0" w:color="auto"/>
        <w:bottom w:val="none" w:sz="0" w:space="0" w:color="auto"/>
        <w:right w:val="none" w:sz="0" w:space="0" w:color="auto"/>
      </w:divBdr>
      <w:divsChild>
        <w:div w:id="295111285">
          <w:marLeft w:val="0"/>
          <w:marRight w:val="0"/>
          <w:marTop w:val="0"/>
          <w:marBottom w:val="101"/>
          <w:divBdr>
            <w:top w:val="none" w:sz="0" w:space="0" w:color="auto"/>
            <w:left w:val="none" w:sz="0" w:space="0" w:color="auto"/>
            <w:bottom w:val="none" w:sz="0" w:space="0" w:color="auto"/>
            <w:right w:val="none" w:sz="0" w:space="0" w:color="auto"/>
          </w:divBdr>
        </w:div>
        <w:div w:id="789083685">
          <w:marLeft w:val="0"/>
          <w:marRight w:val="0"/>
          <w:marTop w:val="0"/>
          <w:marBottom w:val="101"/>
          <w:divBdr>
            <w:top w:val="none" w:sz="0" w:space="0" w:color="auto"/>
            <w:left w:val="none" w:sz="0" w:space="0" w:color="auto"/>
            <w:bottom w:val="none" w:sz="0" w:space="0" w:color="auto"/>
            <w:right w:val="none" w:sz="0" w:space="0" w:color="auto"/>
          </w:divBdr>
        </w:div>
      </w:divsChild>
    </w:div>
    <w:div w:id="1020010209">
      <w:bodyDiv w:val="1"/>
      <w:marLeft w:val="0"/>
      <w:marRight w:val="0"/>
      <w:marTop w:val="0"/>
      <w:marBottom w:val="0"/>
      <w:divBdr>
        <w:top w:val="none" w:sz="0" w:space="0" w:color="auto"/>
        <w:left w:val="none" w:sz="0" w:space="0" w:color="auto"/>
        <w:bottom w:val="none" w:sz="0" w:space="0" w:color="auto"/>
        <w:right w:val="none" w:sz="0" w:space="0" w:color="auto"/>
      </w:divBdr>
    </w:div>
    <w:div w:id="1301111948">
      <w:bodyDiv w:val="1"/>
      <w:marLeft w:val="0"/>
      <w:marRight w:val="0"/>
      <w:marTop w:val="0"/>
      <w:marBottom w:val="0"/>
      <w:divBdr>
        <w:top w:val="none" w:sz="0" w:space="0" w:color="auto"/>
        <w:left w:val="none" w:sz="0" w:space="0" w:color="auto"/>
        <w:bottom w:val="none" w:sz="0" w:space="0" w:color="auto"/>
        <w:right w:val="none" w:sz="0" w:space="0" w:color="auto"/>
      </w:divBdr>
    </w:div>
    <w:div w:id="1325932640">
      <w:bodyDiv w:val="1"/>
      <w:marLeft w:val="0"/>
      <w:marRight w:val="0"/>
      <w:marTop w:val="0"/>
      <w:marBottom w:val="0"/>
      <w:divBdr>
        <w:top w:val="none" w:sz="0" w:space="0" w:color="auto"/>
        <w:left w:val="none" w:sz="0" w:space="0" w:color="auto"/>
        <w:bottom w:val="none" w:sz="0" w:space="0" w:color="auto"/>
        <w:right w:val="none" w:sz="0" w:space="0" w:color="auto"/>
      </w:divBdr>
      <w:divsChild>
        <w:div w:id="2007630104">
          <w:marLeft w:val="0"/>
          <w:marRight w:val="0"/>
          <w:marTop w:val="0"/>
          <w:marBottom w:val="101"/>
          <w:divBdr>
            <w:top w:val="none" w:sz="0" w:space="0" w:color="auto"/>
            <w:left w:val="none" w:sz="0" w:space="0" w:color="auto"/>
            <w:bottom w:val="none" w:sz="0" w:space="0" w:color="auto"/>
            <w:right w:val="none" w:sz="0" w:space="0" w:color="auto"/>
          </w:divBdr>
        </w:div>
        <w:div w:id="170026210">
          <w:marLeft w:val="0"/>
          <w:marRight w:val="0"/>
          <w:marTop w:val="0"/>
          <w:marBottom w:val="101"/>
          <w:divBdr>
            <w:top w:val="none" w:sz="0" w:space="0" w:color="auto"/>
            <w:left w:val="none" w:sz="0" w:space="0" w:color="auto"/>
            <w:bottom w:val="none" w:sz="0" w:space="0" w:color="auto"/>
            <w:right w:val="none" w:sz="0" w:space="0" w:color="auto"/>
          </w:divBdr>
        </w:div>
        <w:div w:id="1218738140">
          <w:marLeft w:val="720"/>
          <w:marRight w:val="0"/>
          <w:marTop w:val="0"/>
          <w:marBottom w:val="101"/>
          <w:divBdr>
            <w:top w:val="none" w:sz="0" w:space="0" w:color="auto"/>
            <w:left w:val="none" w:sz="0" w:space="0" w:color="auto"/>
            <w:bottom w:val="none" w:sz="0" w:space="0" w:color="auto"/>
            <w:right w:val="none" w:sz="0" w:space="0" w:color="auto"/>
          </w:divBdr>
        </w:div>
        <w:div w:id="1440031872">
          <w:marLeft w:val="1152"/>
          <w:marRight w:val="0"/>
          <w:marTop w:val="0"/>
          <w:marBottom w:val="101"/>
          <w:divBdr>
            <w:top w:val="none" w:sz="0" w:space="0" w:color="auto"/>
            <w:left w:val="none" w:sz="0" w:space="0" w:color="auto"/>
            <w:bottom w:val="none" w:sz="0" w:space="0" w:color="auto"/>
            <w:right w:val="none" w:sz="0" w:space="0" w:color="auto"/>
          </w:divBdr>
        </w:div>
        <w:div w:id="1352606861">
          <w:marLeft w:val="1152"/>
          <w:marRight w:val="0"/>
          <w:marTop w:val="0"/>
          <w:marBottom w:val="101"/>
          <w:divBdr>
            <w:top w:val="none" w:sz="0" w:space="0" w:color="auto"/>
            <w:left w:val="none" w:sz="0" w:space="0" w:color="auto"/>
            <w:bottom w:val="none" w:sz="0" w:space="0" w:color="auto"/>
            <w:right w:val="none" w:sz="0" w:space="0" w:color="auto"/>
          </w:divBdr>
        </w:div>
        <w:div w:id="1079330680">
          <w:marLeft w:val="1152"/>
          <w:marRight w:val="0"/>
          <w:marTop w:val="0"/>
          <w:marBottom w:val="101"/>
          <w:divBdr>
            <w:top w:val="none" w:sz="0" w:space="0" w:color="auto"/>
            <w:left w:val="none" w:sz="0" w:space="0" w:color="auto"/>
            <w:bottom w:val="none" w:sz="0" w:space="0" w:color="auto"/>
            <w:right w:val="none" w:sz="0" w:space="0" w:color="auto"/>
          </w:divBdr>
        </w:div>
        <w:div w:id="1403872196">
          <w:marLeft w:val="1152"/>
          <w:marRight w:val="0"/>
          <w:marTop w:val="0"/>
          <w:marBottom w:val="101"/>
          <w:divBdr>
            <w:top w:val="none" w:sz="0" w:space="0" w:color="auto"/>
            <w:left w:val="none" w:sz="0" w:space="0" w:color="auto"/>
            <w:bottom w:val="none" w:sz="0" w:space="0" w:color="auto"/>
            <w:right w:val="none" w:sz="0" w:space="0" w:color="auto"/>
          </w:divBdr>
        </w:div>
        <w:div w:id="86312146">
          <w:marLeft w:val="1152"/>
          <w:marRight w:val="0"/>
          <w:marTop w:val="0"/>
          <w:marBottom w:val="101"/>
          <w:divBdr>
            <w:top w:val="none" w:sz="0" w:space="0" w:color="auto"/>
            <w:left w:val="none" w:sz="0" w:space="0" w:color="auto"/>
            <w:bottom w:val="none" w:sz="0" w:space="0" w:color="auto"/>
            <w:right w:val="none" w:sz="0" w:space="0" w:color="auto"/>
          </w:divBdr>
        </w:div>
        <w:div w:id="1704357442">
          <w:marLeft w:val="1152"/>
          <w:marRight w:val="0"/>
          <w:marTop w:val="0"/>
          <w:marBottom w:val="101"/>
          <w:divBdr>
            <w:top w:val="none" w:sz="0" w:space="0" w:color="auto"/>
            <w:left w:val="none" w:sz="0" w:space="0" w:color="auto"/>
            <w:bottom w:val="none" w:sz="0" w:space="0" w:color="auto"/>
            <w:right w:val="none" w:sz="0" w:space="0" w:color="auto"/>
          </w:divBdr>
        </w:div>
        <w:div w:id="315650147">
          <w:marLeft w:val="1152"/>
          <w:marRight w:val="0"/>
          <w:marTop w:val="0"/>
          <w:marBottom w:val="101"/>
          <w:divBdr>
            <w:top w:val="none" w:sz="0" w:space="0" w:color="auto"/>
            <w:left w:val="none" w:sz="0" w:space="0" w:color="auto"/>
            <w:bottom w:val="none" w:sz="0" w:space="0" w:color="auto"/>
            <w:right w:val="none" w:sz="0" w:space="0" w:color="auto"/>
          </w:divBdr>
        </w:div>
        <w:div w:id="1097024543">
          <w:marLeft w:val="1152"/>
          <w:marRight w:val="0"/>
          <w:marTop w:val="0"/>
          <w:marBottom w:val="101"/>
          <w:divBdr>
            <w:top w:val="none" w:sz="0" w:space="0" w:color="auto"/>
            <w:left w:val="none" w:sz="0" w:space="0" w:color="auto"/>
            <w:bottom w:val="none" w:sz="0" w:space="0" w:color="auto"/>
            <w:right w:val="none" w:sz="0" w:space="0" w:color="auto"/>
          </w:divBdr>
        </w:div>
        <w:div w:id="1939101724">
          <w:marLeft w:val="1152"/>
          <w:marRight w:val="0"/>
          <w:marTop w:val="0"/>
          <w:marBottom w:val="101"/>
          <w:divBdr>
            <w:top w:val="none" w:sz="0" w:space="0" w:color="auto"/>
            <w:left w:val="none" w:sz="0" w:space="0" w:color="auto"/>
            <w:bottom w:val="none" w:sz="0" w:space="0" w:color="auto"/>
            <w:right w:val="none" w:sz="0" w:space="0" w:color="auto"/>
          </w:divBdr>
        </w:div>
        <w:div w:id="1465350967">
          <w:marLeft w:val="1152"/>
          <w:marRight w:val="0"/>
          <w:marTop w:val="0"/>
          <w:marBottom w:val="101"/>
          <w:divBdr>
            <w:top w:val="none" w:sz="0" w:space="0" w:color="auto"/>
            <w:left w:val="none" w:sz="0" w:space="0" w:color="auto"/>
            <w:bottom w:val="none" w:sz="0" w:space="0" w:color="auto"/>
            <w:right w:val="none" w:sz="0" w:space="0" w:color="auto"/>
          </w:divBdr>
        </w:div>
        <w:div w:id="145704090">
          <w:marLeft w:val="1152"/>
          <w:marRight w:val="0"/>
          <w:marTop w:val="0"/>
          <w:marBottom w:val="101"/>
          <w:divBdr>
            <w:top w:val="none" w:sz="0" w:space="0" w:color="auto"/>
            <w:left w:val="none" w:sz="0" w:space="0" w:color="auto"/>
            <w:bottom w:val="none" w:sz="0" w:space="0" w:color="auto"/>
            <w:right w:val="none" w:sz="0" w:space="0" w:color="auto"/>
          </w:divBdr>
        </w:div>
        <w:div w:id="1669214594">
          <w:marLeft w:val="1152"/>
          <w:marRight w:val="0"/>
          <w:marTop w:val="0"/>
          <w:marBottom w:val="101"/>
          <w:divBdr>
            <w:top w:val="none" w:sz="0" w:space="0" w:color="auto"/>
            <w:left w:val="none" w:sz="0" w:space="0" w:color="auto"/>
            <w:bottom w:val="none" w:sz="0" w:space="0" w:color="auto"/>
            <w:right w:val="none" w:sz="0" w:space="0" w:color="auto"/>
          </w:divBdr>
        </w:div>
        <w:div w:id="1511945597">
          <w:marLeft w:val="1152"/>
          <w:marRight w:val="0"/>
          <w:marTop w:val="0"/>
          <w:marBottom w:val="101"/>
          <w:divBdr>
            <w:top w:val="none" w:sz="0" w:space="0" w:color="auto"/>
            <w:left w:val="none" w:sz="0" w:space="0" w:color="auto"/>
            <w:bottom w:val="none" w:sz="0" w:space="0" w:color="auto"/>
            <w:right w:val="none" w:sz="0" w:space="0" w:color="auto"/>
          </w:divBdr>
        </w:div>
        <w:div w:id="1517500558">
          <w:marLeft w:val="720"/>
          <w:marRight w:val="0"/>
          <w:marTop w:val="0"/>
          <w:marBottom w:val="101"/>
          <w:divBdr>
            <w:top w:val="none" w:sz="0" w:space="0" w:color="auto"/>
            <w:left w:val="none" w:sz="0" w:space="0" w:color="auto"/>
            <w:bottom w:val="none" w:sz="0" w:space="0" w:color="auto"/>
            <w:right w:val="none" w:sz="0" w:space="0" w:color="auto"/>
          </w:divBdr>
        </w:div>
        <w:div w:id="793787111">
          <w:marLeft w:val="720"/>
          <w:marRight w:val="0"/>
          <w:marTop w:val="0"/>
          <w:marBottom w:val="101"/>
          <w:divBdr>
            <w:top w:val="none" w:sz="0" w:space="0" w:color="auto"/>
            <w:left w:val="none" w:sz="0" w:space="0" w:color="auto"/>
            <w:bottom w:val="none" w:sz="0" w:space="0" w:color="auto"/>
            <w:right w:val="none" w:sz="0" w:space="0" w:color="auto"/>
          </w:divBdr>
        </w:div>
        <w:div w:id="1056930637">
          <w:marLeft w:val="720"/>
          <w:marRight w:val="0"/>
          <w:marTop w:val="0"/>
          <w:marBottom w:val="101"/>
          <w:divBdr>
            <w:top w:val="none" w:sz="0" w:space="0" w:color="auto"/>
            <w:left w:val="none" w:sz="0" w:space="0" w:color="auto"/>
            <w:bottom w:val="none" w:sz="0" w:space="0" w:color="auto"/>
            <w:right w:val="none" w:sz="0" w:space="0" w:color="auto"/>
          </w:divBdr>
        </w:div>
        <w:div w:id="1449012450">
          <w:marLeft w:val="720"/>
          <w:marRight w:val="0"/>
          <w:marTop w:val="0"/>
          <w:marBottom w:val="101"/>
          <w:divBdr>
            <w:top w:val="none" w:sz="0" w:space="0" w:color="auto"/>
            <w:left w:val="none" w:sz="0" w:space="0" w:color="auto"/>
            <w:bottom w:val="none" w:sz="0" w:space="0" w:color="auto"/>
            <w:right w:val="none" w:sz="0" w:space="0" w:color="auto"/>
          </w:divBdr>
        </w:div>
        <w:div w:id="1879272021">
          <w:marLeft w:val="720"/>
          <w:marRight w:val="0"/>
          <w:marTop w:val="0"/>
          <w:marBottom w:val="101"/>
          <w:divBdr>
            <w:top w:val="none" w:sz="0" w:space="0" w:color="auto"/>
            <w:left w:val="none" w:sz="0" w:space="0" w:color="auto"/>
            <w:bottom w:val="none" w:sz="0" w:space="0" w:color="auto"/>
            <w:right w:val="none" w:sz="0" w:space="0" w:color="auto"/>
          </w:divBdr>
        </w:div>
        <w:div w:id="1611355870">
          <w:marLeft w:val="720"/>
          <w:marRight w:val="0"/>
          <w:marTop w:val="0"/>
          <w:marBottom w:val="101"/>
          <w:divBdr>
            <w:top w:val="none" w:sz="0" w:space="0" w:color="auto"/>
            <w:left w:val="none" w:sz="0" w:space="0" w:color="auto"/>
            <w:bottom w:val="none" w:sz="0" w:space="0" w:color="auto"/>
            <w:right w:val="none" w:sz="0" w:space="0" w:color="auto"/>
          </w:divBdr>
        </w:div>
        <w:div w:id="343018763">
          <w:marLeft w:val="720"/>
          <w:marRight w:val="0"/>
          <w:marTop w:val="0"/>
          <w:marBottom w:val="101"/>
          <w:divBdr>
            <w:top w:val="none" w:sz="0" w:space="0" w:color="auto"/>
            <w:left w:val="none" w:sz="0" w:space="0" w:color="auto"/>
            <w:bottom w:val="none" w:sz="0" w:space="0" w:color="auto"/>
            <w:right w:val="none" w:sz="0" w:space="0" w:color="auto"/>
          </w:divBdr>
        </w:div>
        <w:div w:id="1976786875">
          <w:marLeft w:val="720"/>
          <w:marRight w:val="0"/>
          <w:marTop w:val="0"/>
          <w:marBottom w:val="101"/>
          <w:divBdr>
            <w:top w:val="none" w:sz="0" w:space="0" w:color="auto"/>
            <w:left w:val="none" w:sz="0" w:space="0" w:color="auto"/>
            <w:bottom w:val="none" w:sz="0" w:space="0" w:color="auto"/>
            <w:right w:val="none" w:sz="0" w:space="0" w:color="auto"/>
          </w:divBdr>
        </w:div>
        <w:div w:id="602344951">
          <w:marLeft w:val="720"/>
          <w:marRight w:val="0"/>
          <w:marTop w:val="0"/>
          <w:marBottom w:val="101"/>
          <w:divBdr>
            <w:top w:val="none" w:sz="0" w:space="0" w:color="auto"/>
            <w:left w:val="none" w:sz="0" w:space="0" w:color="auto"/>
            <w:bottom w:val="none" w:sz="0" w:space="0" w:color="auto"/>
            <w:right w:val="none" w:sz="0" w:space="0" w:color="auto"/>
          </w:divBdr>
        </w:div>
        <w:div w:id="1156844660">
          <w:marLeft w:val="720"/>
          <w:marRight w:val="0"/>
          <w:marTop w:val="0"/>
          <w:marBottom w:val="101"/>
          <w:divBdr>
            <w:top w:val="none" w:sz="0" w:space="0" w:color="auto"/>
            <w:left w:val="none" w:sz="0" w:space="0" w:color="auto"/>
            <w:bottom w:val="none" w:sz="0" w:space="0" w:color="auto"/>
            <w:right w:val="none" w:sz="0" w:space="0" w:color="auto"/>
          </w:divBdr>
        </w:div>
        <w:div w:id="1268779664">
          <w:marLeft w:val="720"/>
          <w:marRight w:val="0"/>
          <w:marTop w:val="0"/>
          <w:marBottom w:val="101"/>
          <w:divBdr>
            <w:top w:val="none" w:sz="0" w:space="0" w:color="auto"/>
            <w:left w:val="none" w:sz="0" w:space="0" w:color="auto"/>
            <w:bottom w:val="none" w:sz="0" w:space="0" w:color="auto"/>
            <w:right w:val="none" w:sz="0" w:space="0" w:color="auto"/>
          </w:divBdr>
        </w:div>
        <w:div w:id="1395667390">
          <w:marLeft w:val="720"/>
          <w:marRight w:val="0"/>
          <w:marTop w:val="0"/>
          <w:marBottom w:val="101"/>
          <w:divBdr>
            <w:top w:val="none" w:sz="0" w:space="0" w:color="auto"/>
            <w:left w:val="none" w:sz="0" w:space="0" w:color="auto"/>
            <w:bottom w:val="none" w:sz="0" w:space="0" w:color="auto"/>
            <w:right w:val="none" w:sz="0" w:space="0" w:color="auto"/>
          </w:divBdr>
        </w:div>
        <w:div w:id="1642882613">
          <w:marLeft w:val="720"/>
          <w:marRight w:val="0"/>
          <w:marTop w:val="0"/>
          <w:marBottom w:val="101"/>
          <w:divBdr>
            <w:top w:val="none" w:sz="0" w:space="0" w:color="auto"/>
            <w:left w:val="none" w:sz="0" w:space="0" w:color="auto"/>
            <w:bottom w:val="none" w:sz="0" w:space="0" w:color="auto"/>
            <w:right w:val="none" w:sz="0" w:space="0" w:color="auto"/>
          </w:divBdr>
        </w:div>
        <w:div w:id="372659818">
          <w:marLeft w:val="0"/>
          <w:marRight w:val="0"/>
          <w:marTop w:val="0"/>
          <w:marBottom w:val="101"/>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ww.saimex.org.mx/saimex/solicitud/downloadAttach/1159574.page"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2.xml"/><Relationship Id="rId29" Type="http://schemas.microsoft.com/office/2018/08/relationships/commentsExtensible" Target="commentsExtensi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hyperlink" Target="https://www.saimex.org.mx/saimex/solicitud/downloadAttach/1172462.page"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saimex.org.mx/saimex/solicitud/downloadAttach/1162520.page" TargetMode="External"/><Relationship Id="rId14" Type="http://schemas.openxmlformats.org/officeDocument/2006/relationships/image" Target="media/image5.png"/><Relationship Id="rId22" Type="http://schemas.openxmlformats.org/officeDocument/2006/relationships/header" Target="header3.xml"/><Relationship Id="rId30"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43</Pages>
  <Words>9114</Words>
  <Characters>50130</Characters>
  <Application>Microsoft Office Word</Application>
  <DocSecurity>0</DocSecurity>
  <Lines>417</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mendoza</dc:creator>
  <cp:keywords/>
  <dc:description/>
  <cp:lastModifiedBy>alejandra mendoza</cp:lastModifiedBy>
  <cp:revision>6</cp:revision>
  <cp:lastPrinted>2021-09-02T15:57:00Z</cp:lastPrinted>
  <dcterms:created xsi:type="dcterms:W3CDTF">2021-08-26T17:03:00Z</dcterms:created>
  <dcterms:modified xsi:type="dcterms:W3CDTF">2021-09-10T19:45:00Z</dcterms:modified>
</cp:coreProperties>
</file>