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E5396" w:rsidRPr="00D84317" w:rsidRDefault="002E5396" w:rsidP="002E5396">
      <w:pPr>
        <w:spacing w:before="240" w:after="240" w:line="360" w:lineRule="auto"/>
        <w:jc w:val="both"/>
        <w:rPr>
          <w:rFonts w:ascii="Palatino Linotype" w:hAnsi="Palatino Linotype" w:cs="Arial"/>
        </w:rPr>
      </w:pPr>
      <w:r w:rsidRPr="00080788">
        <w:rPr>
          <w:rFonts w:ascii="Palatino Linotype" w:hAnsi="Palatino Linotype"/>
        </w:rPr>
        <w:t xml:space="preserve">Resolución del Pleno del Instituto de Transparencia, Acceso a la Información Pública y Protección de Datos Personales del Estado de México y Municipios, </w:t>
      </w:r>
      <w:r w:rsidRPr="00080788">
        <w:rPr>
          <w:rFonts w:ascii="Palatino Linotype" w:eastAsia="Calibri" w:hAnsi="Palatino Linotype" w:cs="Arial"/>
        </w:rPr>
        <w:t>con domicilio en Metepec, Estado de México,</w:t>
      </w:r>
      <w:r w:rsidRPr="00080788">
        <w:rPr>
          <w:rFonts w:ascii="Palatino Linotype" w:hAnsi="Palatino Linotype"/>
        </w:rPr>
        <w:t xml:space="preserve"> de fecha</w:t>
      </w:r>
      <w:r w:rsidRPr="00080788">
        <w:rPr>
          <w:rStyle w:val="apple-converted-space"/>
          <w:rFonts w:ascii="Palatino Linotype" w:hAnsi="Palatino Linotype" w:cs="Arial"/>
        </w:rPr>
        <w:t xml:space="preserve"> </w:t>
      </w:r>
      <w:r w:rsidR="000B6E12">
        <w:rPr>
          <w:rStyle w:val="apple-converted-space"/>
          <w:rFonts w:ascii="Palatino Linotype" w:hAnsi="Palatino Linotype" w:cs="Arial"/>
        </w:rPr>
        <w:t>ocho de diciembre</w:t>
      </w:r>
      <w:r w:rsidR="002A6F11">
        <w:rPr>
          <w:rStyle w:val="normaltextrun"/>
          <w:rFonts w:ascii="Palatino Linotype" w:hAnsi="Palatino Linotype" w:cs="Arial"/>
        </w:rPr>
        <w:t xml:space="preserve"> del dos mil veintiuno</w:t>
      </w:r>
      <w:r w:rsidRPr="00D84317">
        <w:rPr>
          <w:rStyle w:val="normaltextrun"/>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t>Visto</w:t>
      </w:r>
      <w:r w:rsidRPr="00080788">
        <w:rPr>
          <w:rFonts w:ascii="Palatino Linotype" w:hAnsi="Palatino Linotype" w:cs="Arial"/>
        </w:rPr>
        <w:t xml:space="preserve"> el expediente relativo al recurso de revisión </w:t>
      </w:r>
      <w:r w:rsidR="0079175F">
        <w:rPr>
          <w:rFonts w:ascii="Palatino Linotype" w:hAnsi="Palatino Linotype" w:cs="Arial"/>
          <w:b/>
          <w:bCs/>
        </w:rPr>
        <w:t>0</w:t>
      </w:r>
      <w:r w:rsidR="000B6E12">
        <w:rPr>
          <w:rFonts w:ascii="Palatino Linotype" w:hAnsi="Palatino Linotype" w:cs="Arial"/>
          <w:b/>
          <w:bCs/>
        </w:rPr>
        <w:t>5004</w:t>
      </w:r>
      <w:r w:rsidR="002A6F11">
        <w:rPr>
          <w:rFonts w:ascii="Palatino Linotype" w:hAnsi="Palatino Linotype" w:cs="Arial"/>
          <w:b/>
          <w:bCs/>
        </w:rPr>
        <w:t>/INFOEM/IP/RR/2021</w:t>
      </w:r>
      <w:r w:rsidRPr="00080788">
        <w:rPr>
          <w:rFonts w:ascii="Palatino Linotype" w:hAnsi="Palatino Linotype" w:cs="Arial"/>
        </w:rPr>
        <w:t xml:space="preserve">, interpuesto por </w:t>
      </w:r>
      <w:r w:rsidR="00F27FA4">
        <w:rPr>
          <w:rFonts w:ascii="Palatino Linotype" w:hAnsi="Palatino Linotype" w:cs="Arial"/>
          <w:b/>
        </w:rPr>
        <w:t xml:space="preserve">XXXXXX XXXXX </w:t>
      </w:r>
      <w:proofErr w:type="spellStart"/>
      <w:r w:rsidR="00F27FA4">
        <w:rPr>
          <w:rFonts w:ascii="Palatino Linotype" w:hAnsi="Palatino Linotype" w:cs="Arial"/>
          <w:b/>
        </w:rPr>
        <w:t>XXXXX</w:t>
      </w:r>
      <w:proofErr w:type="spellEnd"/>
      <w:r w:rsidR="00F27FA4">
        <w:rPr>
          <w:rFonts w:ascii="Palatino Linotype" w:hAnsi="Palatino Linotype" w:cs="Arial"/>
          <w:b/>
        </w:rPr>
        <w:t xml:space="preserve"> </w:t>
      </w:r>
      <w:proofErr w:type="spellStart"/>
      <w:r w:rsidR="00F27FA4">
        <w:rPr>
          <w:rFonts w:ascii="Palatino Linotype" w:hAnsi="Palatino Linotype" w:cs="Arial"/>
          <w:b/>
        </w:rPr>
        <w:t>XXXXX</w:t>
      </w:r>
      <w:proofErr w:type="spellEnd"/>
      <w:r w:rsidR="00F27FA4">
        <w:rPr>
          <w:rFonts w:ascii="Palatino Linotype" w:hAnsi="Palatino Linotype" w:cs="Arial"/>
          <w:b/>
        </w:rPr>
        <w:t xml:space="preserve"> XXXXXX</w:t>
      </w:r>
      <w:r w:rsidR="000B6E12">
        <w:rPr>
          <w:rFonts w:ascii="Palatino Linotype" w:hAnsi="Palatino Linotype" w:cs="Arial"/>
          <w:b/>
        </w:rPr>
        <w:t xml:space="preserve"> </w:t>
      </w:r>
      <w:r w:rsidR="00116785">
        <w:rPr>
          <w:rFonts w:ascii="Palatino Linotype" w:hAnsi="Palatino Linotype" w:cs="Arial"/>
        </w:rPr>
        <w:t xml:space="preserve">en lo sucesivo </w:t>
      </w:r>
      <w:r w:rsidR="00C6202E">
        <w:rPr>
          <w:rFonts w:ascii="Palatino Linotype" w:hAnsi="Palatino Linotype" w:cs="Arial"/>
        </w:rPr>
        <w:t>el recurrente</w:t>
      </w:r>
      <w:r w:rsidRPr="00080788">
        <w:rPr>
          <w:rFonts w:ascii="Palatino Linotype" w:hAnsi="Palatino Linotype" w:cs="Arial"/>
        </w:rPr>
        <w:t xml:space="preserve"> en contra de la respuesta a su solicitud de </w:t>
      </w:r>
      <w:r w:rsidR="003F2267">
        <w:rPr>
          <w:rFonts w:ascii="Palatino Linotype" w:hAnsi="Palatino Linotype" w:cs="Arial"/>
        </w:rPr>
        <w:t>información con número de folio</w:t>
      </w:r>
      <w:r w:rsidR="003F2267">
        <w:rPr>
          <w:rFonts w:ascii="Verdana" w:hAnsi="Verdana"/>
          <w:b/>
          <w:bCs/>
          <w:color w:val="FF0000"/>
        </w:rPr>
        <w:t> </w:t>
      </w:r>
      <w:r w:rsidR="000B6E12" w:rsidRPr="000B6E12">
        <w:rPr>
          <w:rFonts w:ascii="Palatino Linotype" w:hAnsi="Palatino Linotype" w:cs="Arial"/>
          <w:b/>
        </w:rPr>
        <w:t>01341/HUIXQUIL/IP/2021</w:t>
      </w:r>
      <w:r w:rsidR="00116785">
        <w:rPr>
          <w:rFonts w:ascii="Palatino Linotype" w:hAnsi="Palatino Linotype" w:cs="Arial"/>
        </w:rPr>
        <w:t xml:space="preserve">, </w:t>
      </w:r>
      <w:r w:rsidR="000B6E12">
        <w:rPr>
          <w:rFonts w:ascii="Palatino Linotype" w:hAnsi="Palatino Linotype" w:cs="Arial"/>
        </w:rPr>
        <w:t xml:space="preserve">por parte del </w:t>
      </w:r>
      <w:r w:rsidR="000B6E12" w:rsidRPr="000B6E12">
        <w:rPr>
          <w:rFonts w:ascii="Palatino Linotype" w:hAnsi="Palatino Linotype" w:cs="Arial"/>
          <w:b/>
        </w:rPr>
        <w:t>Ayuntamiento de Huixquilucan</w:t>
      </w:r>
      <w:r w:rsidRPr="00080788">
        <w:rPr>
          <w:rFonts w:ascii="Palatino Linotype" w:hAnsi="Palatino Linotype" w:cs="Arial"/>
        </w:rPr>
        <w:t xml:space="preserve">, en lo sucesivo el </w:t>
      </w:r>
      <w:r w:rsidRPr="00080788">
        <w:rPr>
          <w:rFonts w:ascii="Palatino Linotype" w:hAnsi="Palatino Linotype" w:cs="Arial"/>
          <w:b/>
        </w:rPr>
        <w:t xml:space="preserve">Sujeto Obligado; </w:t>
      </w:r>
      <w:r w:rsidRPr="00080788">
        <w:rPr>
          <w:rFonts w:ascii="Palatino Linotype" w:hAnsi="Palatino Linotype" w:cs="Arial"/>
        </w:rPr>
        <w:t>se procede a dictar la presente res</w:t>
      </w:r>
      <w:bookmarkStart w:id="0" w:name="_GoBack"/>
      <w:bookmarkEnd w:id="0"/>
      <w:r w:rsidRPr="00080788">
        <w:rPr>
          <w:rFonts w:ascii="Palatino Linotype" w:hAnsi="Palatino Linotype" w:cs="Arial"/>
        </w:rPr>
        <w:t>olución, con base en los siguientes:</w:t>
      </w:r>
    </w:p>
    <w:p w:rsidR="002E5396" w:rsidRPr="00080788" w:rsidRDefault="002E5396" w:rsidP="002E5396">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A N T E C E D E N T E S:</w:t>
      </w:r>
    </w:p>
    <w:p w:rsidR="000B6E12" w:rsidRDefault="002E5396" w:rsidP="000B6E12">
      <w:pPr>
        <w:spacing w:before="240" w:after="240" w:line="360" w:lineRule="auto"/>
        <w:jc w:val="both"/>
        <w:rPr>
          <w:rFonts w:ascii="Palatino Linotype" w:hAnsi="Palatino Linotype" w:cs="Arial"/>
        </w:rPr>
      </w:pPr>
      <w:r w:rsidRPr="00080788">
        <w:rPr>
          <w:rFonts w:ascii="Palatino Linotype" w:hAnsi="Palatino Linotype" w:cs="Arial"/>
          <w:b/>
        </w:rPr>
        <w:t xml:space="preserve">1. Solicitud de acceso a la información. </w:t>
      </w:r>
      <w:r w:rsidR="00CE169F">
        <w:rPr>
          <w:rFonts w:ascii="Palatino Linotype" w:hAnsi="Palatino Linotype" w:cs="Arial"/>
        </w:rPr>
        <w:t xml:space="preserve">Con fecha </w:t>
      </w:r>
      <w:r w:rsidR="000B6E12">
        <w:rPr>
          <w:rFonts w:ascii="Palatino Linotype" w:hAnsi="Palatino Linotype" w:cs="Arial"/>
        </w:rPr>
        <w:t>veinte de septiembre</w:t>
      </w:r>
      <w:r w:rsidR="009A47D5">
        <w:rPr>
          <w:rFonts w:ascii="Palatino Linotype" w:hAnsi="Palatino Linotype" w:cs="Arial"/>
        </w:rPr>
        <w:t xml:space="preserve"> de dos mi</w:t>
      </w:r>
      <w:r w:rsidR="00C6202E">
        <w:rPr>
          <w:rFonts w:ascii="Palatino Linotype" w:hAnsi="Palatino Linotype" w:cs="Arial"/>
        </w:rPr>
        <w:t>l veintiuno</w:t>
      </w:r>
      <w:r w:rsidRPr="00080788">
        <w:rPr>
          <w:rFonts w:ascii="Palatino Linotype" w:hAnsi="Palatino Linotype" w:cs="Arial"/>
        </w:rPr>
        <w:t xml:space="preserve">, la parte </w:t>
      </w:r>
      <w:r w:rsidRPr="00080788">
        <w:rPr>
          <w:rFonts w:ascii="Palatino Linotype" w:hAnsi="Palatino Linotype" w:cs="Arial"/>
          <w:b/>
        </w:rPr>
        <w:t>recurrente</w:t>
      </w:r>
      <w:r w:rsidRPr="00080788">
        <w:rPr>
          <w:rFonts w:ascii="Palatino Linotype" w:hAnsi="Palatino Linotype" w:cs="Arial"/>
        </w:rPr>
        <w:t xml:space="preserve"> formuló solicitud de acceso a información pública al </w:t>
      </w:r>
      <w:r w:rsidRPr="00080788">
        <w:rPr>
          <w:rFonts w:ascii="Palatino Linotype" w:hAnsi="Palatino Linotype" w:cs="Arial"/>
          <w:b/>
        </w:rPr>
        <w:t>Sujeto Obligado</w:t>
      </w:r>
      <w:r w:rsidRPr="00080788">
        <w:rPr>
          <w:rFonts w:ascii="Palatino Linotype" w:hAnsi="Palatino Linotype" w:cs="Arial"/>
        </w:rPr>
        <w:t xml:space="preserve"> a través del Sistema de Acceso a la Información Mexiquense, en adelante </w:t>
      </w:r>
      <w:r w:rsidRPr="00080788">
        <w:rPr>
          <w:rFonts w:ascii="Palatino Linotype" w:hAnsi="Palatino Linotype" w:cs="Arial"/>
          <w:b/>
        </w:rPr>
        <w:t>SAIMEX,</w:t>
      </w:r>
      <w:r w:rsidRPr="00080788">
        <w:rPr>
          <w:rFonts w:ascii="Palatino Linotype" w:hAnsi="Palatino Linotype" w:cs="Arial"/>
        </w:rPr>
        <w:t xml:space="preserve"> </w:t>
      </w:r>
      <w:r w:rsidRPr="00EC5F74">
        <w:rPr>
          <w:rFonts w:ascii="Palatino Linotype" w:hAnsi="Palatino Linotype" w:cs="Arial"/>
        </w:rPr>
        <w:t>requiriéndole lo siguiente:</w:t>
      </w:r>
    </w:p>
    <w:p w:rsidR="002E5396" w:rsidRDefault="002E5396" w:rsidP="000B6E12">
      <w:pPr>
        <w:spacing w:before="240" w:after="240"/>
        <w:ind w:left="851" w:right="902"/>
        <w:contextualSpacing/>
        <w:jc w:val="both"/>
        <w:rPr>
          <w:rFonts w:ascii="Palatino Linotype" w:hAnsi="Palatino Linotype"/>
          <w:i/>
          <w:color w:val="000000"/>
          <w:sz w:val="22"/>
          <w:szCs w:val="22"/>
        </w:rPr>
      </w:pPr>
      <w:r w:rsidRPr="00966DD3">
        <w:rPr>
          <w:rFonts w:ascii="Palatino Linotype" w:hAnsi="Palatino Linotype"/>
          <w:i/>
          <w:color w:val="000000"/>
          <w:sz w:val="22"/>
          <w:szCs w:val="22"/>
        </w:rPr>
        <w:t>“</w:t>
      </w:r>
      <w:r w:rsidR="000B6E12" w:rsidRPr="000B6E12">
        <w:rPr>
          <w:rFonts w:ascii="Palatino Linotype" w:hAnsi="Palatino Linotype"/>
          <w:i/>
          <w:color w:val="000000"/>
          <w:sz w:val="22"/>
          <w:szCs w:val="22"/>
        </w:rPr>
        <w:t>Solicito me informen cuánto se le debe a cada proveedor del Ayuntamiento.</w:t>
      </w:r>
      <w:r w:rsidR="000B6E12">
        <w:rPr>
          <w:rFonts w:ascii="Palatino Linotype" w:hAnsi="Palatino Linotype"/>
          <w:i/>
          <w:color w:val="000000"/>
          <w:sz w:val="22"/>
          <w:szCs w:val="22"/>
        </w:rPr>
        <w:t>”</w:t>
      </w:r>
      <w:r w:rsidRPr="00966DD3">
        <w:rPr>
          <w:rFonts w:ascii="Palatino Linotype" w:hAnsi="Palatino Linotype"/>
          <w:i/>
          <w:color w:val="000000"/>
          <w:sz w:val="22"/>
          <w:szCs w:val="22"/>
        </w:rPr>
        <w:t>(Sic)</w:t>
      </w:r>
    </w:p>
    <w:p w:rsidR="003F2267" w:rsidRDefault="003F2267" w:rsidP="00966DD3">
      <w:pPr>
        <w:spacing w:before="240" w:after="240"/>
        <w:ind w:left="851" w:right="902"/>
        <w:contextualSpacing/>
        <w:jc w:val="both"/>
        <w:rPr>
          <w:rFonts w:ascii="Palatino Linotype" w:hAnsi="Palatino Linotype"/>
          <w:i/>
          <w:color w:val="000000"/>
          <w:sz w:val="22"/>
          <w:szCs w:val="22"/>
        </w:rPr>
      </w:pPr>
    </w:p>
    <w:p w:rsidR="002E5396" w:rsidRPr="00080788" w:rsidRDefault="002E5396" w:rsidP="002E5396">
      <w:pPr>
        <w:spacing w:before="240" w:after="240" w:line="360" w:lineRule="auto"/>
        <w:jc w:val="both"/>
        <w:rPr>
          <w:rFonts w:ascii="Palatino Linotype" w:hAnsi="Palatino Linotype" w:cs="Arial"/>
        </w:rPr>
      </w:pPr>
      <w:r w:rsidRPr="00080788">
        <w:rPr>
          <w:rFonts w:ascii="Palatino Linotype" w:hAnsi="Palatino Linotype" w:cs="Arial"/>
          <w:b/>
        </w:rPr>
        <w:lastRenderedPageBreak/>
        <w:t xml:space="preserve">Modalidad elegida para la entrega de la información: </w:t>
      </w:r>
      <w:r w:rsidRPr="00080788">
        <w:rPr>
          <w:rFonts w:ascii="Palatino Linotype" w:hAnsi="Palatino Linotype" w:cs="Arial"/>
        </w:rPr>
        <w:t xml:space="preserve">a través del </w:t>
      </w:r>
      <w:r w:rsidRPr="00080788">
        <w:rPr>
          <w:rFonts w:ascii="Palatino Linotype" w:hAnsi="Palatino Linotype" w:cs="Arial"/>
          <w:b/>
        </w:rPr>
        <w:t>SAIMEX</w:t>
      </w:r>
      <w:r w:rsidRPr="00080788">
        <w:rPr>
          <w:rFonts w:ascii="Palatino Linotype" w:hAnsi="Palatino Linotype" w:cs="Arial"/>
        </w:rPr>
        <w:t>.</w:t>
      </w:r>
    </w:p>
    <w:p w:rsidR="002E5396" w:rsidRPr="00080788" w:rsidRDefault="002E5396" w:rsidP="002E5396">
      <w:pPr>
        <w:spacing w:before="240" w:after="240" w:line="360" w:lineRule="auto"/>
        <w:jc w:val="both"/>
        <w:rPr>
          <w:rFonts w:ascii="Palatino Linotype" w:hAnsi="Palatino Linotype" w:cs="Arial"/>
        </w:rPr>
      </w:pPr>
      <w:r w:rsidRPr="00AA3766">
        <w:rPr>
          <w:rFonts w:ascii="Palatino Linotype" w:hAnsi="Palatino Linotype" w:cs="Arial"/>
          <w:b/>
        </w:rPr>
        <w:t xml:space="preserve">2. Respuesta. </w:t>
      </w:r>
      <w:r w:rsidR="003B19DA" w:rsidRPr="00AA3766">
        <w:rPr>
          <w:rFonts w:ascii="Palatino Linotype" w:hAnsi="Palatino Linotype" w:cs="Arial"/>
        </w:rPr>
        <w:t xml:space="preserve">Con </w:t>
      </w:r>
      <w:r w:rsidR="00EC5F74">
        <w:rPr>
          <w:rFonts w:ascii="Palatino Linotype" w:hAnsi="Palatino Linotype" w:cs="Arial"/>
        </w:rPr>
        <w:t xml:space="preserve">fecha </w:t>
      </w:r>
      <w:r w:rsidR="000B6E12">
        <w:rPr>
          <w:rFonts w:ascii="Palatino Linotype" w:hAnsi="Palatino Linotype" w:cs="Arial"/>
        </w:rPr>
        <w:t>once</w:t>
      </w:r>
      <w:r w:rsidR="00EC5F74">
        <w:rPr>
          <w:rFonts w:ascii="Palatino Linotype" w:hAnsi="Palatino Linotype" w:cs="Arial"/>
        </w:rPr>
        <w:t xml:space="preserve"> de</w:t>
      </w:r>
      <w:r w:rsidR="000B6E12">
        <w:rPr>
          <w:rFonts w:ascii="Palatino Linotype" w:hAnsi="Palatino Linotype" w:cs="Arial"/>
        </w:rPr>
        <w:t xml:space="preserve"> octubre</w:t>
      </w:r>
      <w:r w:rsidR="002A6F11">
        <w:rPr>
          <w:rFonts w:ascii="Palatino Linotype" w:hAnsi="Palatino Linotype" w:cs="Arial"/>
        </w:rPr>
        <w:t xml:space="preserve"> del dos mil veintiuno</w:t>
      </w:r>
      <w:r w:rsidRPr="00080788">
        <w:rPr>
          <w:rFonts w:ascii="Palatino Linotype" w:hAnsi="Palatino Linotype" w:cs="Arial"/>
        </w:rPr>
        <w:t xml:space="preserve"> el </w:t>
      </w:r>
      <w:r w:rsidRPr="00080788">
        <w:rPr>
          <w:rFonts w:ascii="Palatino Linotype" w:hAnsi="Palatino Linotype" w:cs="Arial"/>
          <w:b/>
        </w:rPr>
        <w:t>Sujeto Obligado</w:t>
      </w:r>
      <w:r w:rsidRPr="00080788">
        <w:rPr>
          <w:rFonts w:ascii="Palatino Linotype" w:hAnsi="Palatino Linotype" w:cs="Arial"/>
        </w:rPr>
        <w:t xml:space="preserve"> envió su respuesta a la solicitud de acceso a la información a través del SAIMEX, la cual versa como sigue:</w:t>
      </w:r>
    </w:p>
    <w:p w:rsidR="000B6E12" w:rsidRPr="000B6E12" w:rsidRDefault="002E5396" w:rsidP="00224D6A">
      <w:pPr>
        <w:spacing w:before="240" w:after="240"/>
        <w:ind w:left="851" w:right="902"/>
        <w:contextualSpacing/>
        <w:jc w:val="both"/>
        <w:rPr>
          <w:rFonts w:ascii="Palatino Linotype" w:hAnsi="Palatino Linotype"/>
          <w:i/>
          <w:color w:val="000000"/>
          <w:sz w:val="22"/>
          <w:szCs w:val="22"/>
        </w:rPr>
      </w:pPr>
      <w:r w:rsidRPr="002F081A">
        <w:rPr>
          <w:rFonts w:ascii="Palatino Linotype" w:hAnsi="Palatino Linotype" w:cs="Arial"/>
          <w:i/>
          <w:sz w:val="22"/>
          <w:szCs w:val="22"/>
        </w:rPr>
        <w:t>“</w:t>
      </w:r>
      <w:r w:rsidR="000B6E12" w:rsidRPr="000B6E12">
        <w:rPr>
          <w:rFonts w:ascii="Palatino Linotype" w:hAnsi="Palatino Linotype"/>
          <w:i/>
          <w:color w:val="000000"/>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B6E12" w:rsidRDefault="000B6E12" w:rsidP="00224D6A">
      <w:pPr>
        <w:spacing w:before="240" w:after="240"/>
        <w:ind w:left="851" w:right="902"/>
        <w:contextualSpacing/>
        <w:jc w:val="both"/>
        <w:rPr>
          <w:rFonts w:ascii="Palatino Linotype" w:hAnsi="Palatino Linotype"/>
          <w:i/>
          <w:color w:val="000000"/>
          <w:sz w:val="22"/>
          <w:szCs w:val="22"/>
        </w:rPr>
      </w:pPr>
      <w:r w:rsidRPr="000B6E12">
        <w:rPr>
          <w:rFonts w:ascii="Palatino Linotype" w:hAnsi="Palatino Linotype"/>
          <w:i/>
          <w:color w:val="000000"/>
          <w:sz w:val="22"/>
          <w:szCs w:val="22"/>
        </w:rPr>
        <w:t>Con fundamento en los artículos 6 de la Constitución Política de los Estados Unidos Mexicanos; 5 de la Constitución Política del Estado Libre y Soberano de México; 12, 23 fracción IV, 25, 59 y demás relativos aplicables de la Ley de Transparencia y Acceso a la Información Pública del Estado de México y Municipios; 1.41 del Libro Primero, Titulo Noveno del Código Administrativo del Estado de México; así como el numeral TREINTA Y OCHO inciso d) de los Lineamientos para la recepción, trámite y resolución de las solicitudes de acceso a la información pública, acceso, modificación, sustitución, rectificación o supresión parcial o total de datos personales, así como de los recursos de revisión que deberán observar los Sujetos Obligados por la Ley de Transparencia y Acceso a la Información Pública del Estado de México y Municipios; así como el Titulo Cuarto, Capítulo II del Bando Municipal 2021; en atención a su solicitud de información registrada en el Sistema de Acceso a la Información Pública Mexiquense (SAIMEX) con el número de folio 01341/HUIXQUIL/IP/2021 misma que a la letra dice: “Solicito me informen cuánto se le debe a cada proveedor del Ayuntamiento.” (</w:t>
      </w:r>
      <w:proofErr w:type="gramStart"/>
      <w:r w:rsidRPr="000B6E12">
        <w:rPr>
          <w:rFonts w:ascii="Palatino Linotype" w:hAnsi="Palatino Linotype"/>
          <w:i/>
          <w:color w:val="000000"/>
          <w:sz w:val="22"/>
          <w:szCs w:val="22"/>
        </w:rPr>
        <w:t>sic</w:t>
      </w:r>
      <w:proofErr w:type="gramEnd"/>
      <w:r w:rsidRPr="000B6E12">
        <w:rPr>
          <w:rFonts w:ascii="Palatino Linotype" w:hAnsi="Palatino Linotype"/>
          <w:i/>
          <w:color w:val="000000"/>
          <w:sz w:val="22"/>
          <w:szCs w:val="22"/>
        </w:rPr>
        <w:t xml:space="preserve">) Sobre el particular, esta Unidad de Transparencia en ejercicio de las atribuciones que la Ley le confiere, turno su solicitud de información a las siguientes áreas administrativas: Tesorería Municipal y Dirección General de Administración: mismas que manifestaron lo siguiente: Tesorería Municipal: SE ADJUNTA ARCHIVO ELECTRONICO EN FORMATO.PDF CON LA RESPUESTA A LA SOLICITUD NUMERO 01341/HUIXQUIL/IP/2021 (sic) se adjunta formato </w:t>
      </w:r>
      <w:proofErr w:type="spellStart"/>
      <w:r w:rsidRPr="000B6E12">
        <w:rPr>
          <w:rFonts w:ascii="Palatino Linotype" w:hAnsi="Palatino Linotype"/>
          <w:i/>
          <w:color w:val="000000"/>
          <w:sz w:val="22"/>
          <w:szCs w:val="22"/>
        </w:rPr>
        <w:t>pdf</w:t>
      </w:r>
      <w:proofErr w:type="spellEnd"/>
      <w:r w:rsidRPr="000B6E12">
        <w:rPr>
          <w:rFonts w:ascii="Palatino Linotype" w:hAnsi="Palatino Linotype"/>
          <w:i/>
          <w:color w:val="000000"/>
          <w:sz w:val="22"/>
          <w:szCs w:val="22"/>
        </w:rPr>
        <w:t xml:space="preserve">, Dirección General de Administración: “ULISES MAURICIO SALAZAR FRANCO TITULAR DE LA UNIDAD DE TRANSPARENCIA P R E S E N T E. Con fundamento en los artículos 6 de la Constitución Política de los Estados Unidos Mexicanos, 5 de la Constitución Política del Estado Libre y Soberano de México, 12, 23 fracción IV, 24, 25, 59, 185 fracción IV, 191 y demás relativos aplicables de la Ley de Transparencia y Acceso a la Información Pública del Estado de México y </w:t>
      </w:r>
      <w:r w:rsidRPr="000B6E12">
        <w:rPr>
          <w:rFonts w:ascii="Palatino Linotype" w:hAnsi="Palatino Linotype"/>
          <w:i/>
          <w:color w:val="000000"/>
          <w:sz w:val="22"/>
          <w:szCs w:val="22"/>
        </w:rPr>
        <w:lastRenderedPageBreak/>
        <w:t>Municipios; 1.41 del Libro Primero, Título Noveno del Código Administrativo del Estado de México; el numeral TREINTA Y OCHO inciso d) de los Lineamientos para la Recepción, Trámite y Resolución de las Solicitudes de Acceso a la Información Pública, Modificación, Sustitución, Rectificación o Supresión Parcial o Total de los Datos Personales, así como de los Recursos de Revisión que deberán observar los Sujetos Obligados por la Ley de Transparencia y Acceso a la Información Pública del Estado de México y Municipios, el Título Cuarto, Capítulo II del Bando Municipal 2021, y en atención a la solicitud de información con folio 01341/HUIXQUIL/IP/2021. Visto el contenido de la solicitud de mérito y por cuanto hace a las facultades conferidas en el articulado 110 del Reglamento Orgánico Municipal, se hace del conocimiento al interesado que, esta Dirección General carece de facultades para atender la solicitud de mérito. Para todos los efectos legales a que dé lugar.”(</w:t>
      </w:r>
      <w:proofErr w:type="gramStart"/>
      <w:r w:rsidRPr="000B6E12">
        <w:rPr>
          <w:rFonts w:ascii="Palatino Linotype" w:hAnsi="Palatino Linotype"/>
          <w:i/>
          <w:color w:val="000000"/>
          <w:sz w:val="22"/>
          <w:szCs w:val="22"/>
        </w:rPr>
        <w:t>sic</w:t>
      </w:r>
      <w:proofErr w:type="gramEnd"/>
      <w:r w:rsidRPr="000B6E12">
        <w:rPr>
          <w:rFonts w:ascii="Palatino Linotype" w:hAnsi="Palatino Linotype"/>
          <w:i/>
          <w:color w:val="000000"/>
          <w:sz w:val="22"/>
          <w:szCs w:val="22"/>
        </w:rPr>
        <w:t>), por último, no omito mencionar que el derecho de acceso a la información tiene como objetivo, el de incentivar la participación ciudadana, respecto del quehacer gubernamental; por lo que la información que es proveída por este medio sólo tiene como finalidad la de ser de carácter informativo. Asimismo, la información que es puesta a disposición de los particulares, es aquella que encuadra en lo establecido por los numerales 12 párrafo segundo y 59 de la Ley de Transparencia y Acceso a la Información Pública del Estado de México y Municipios, que prevé la entrega de la información que los Sujetos Obligados por esta Ley, generan, contienen y en su caso administran en ejercicio de sus atribuciones, tal y como obran en sus archivos. De lo expuesto y fundado a Usted, en términos del artículo 163 y demás aplicables de la Ley de Transparencia y Acceso a la Información Pública del Estado de México y Municipios, a Usted pido se sirva tener a esta Unidad de Transparencia por notificada en tiempo y forma respecto de la contestación a su solicitud de acceso a la información para los efectos legales correspondientes, mediante la modalidad en que fue requerida.</w:t>
      </w:r>
    </w:p>
    <w:p w:rsidR="002E5396" w:rsidRPr="002A6F11" w:rsidRDefault="00224D6A" w:rsidP="00224D6A">
      <w:pPr>
        <w:spacing w:before="240" w:after="240"/>
        <w:ind w:left="851" w:right="902"/>
        <w:contextualSpacing/>
        <w:jc w:val="both"/>
        <w:rPr>
          <w:rFonts w:ascii="Palatino Linotype" w:hAnsi="Palatino Linotype"/>
          <w:i/>
          <w:color w:val="000000"/>
          <w:sz w:val="22"/>
          <w:szCs w:val="22"/>
        </w:rPr>
      </w:pPr>
      <w:r w:rsidRPr="002F081A">
        <w:rPr>
          <w:rFonts w:ascii="Palatino Linotype" w:hAnsi="Palatino Linotype"/>
          <w:i/>
          <w:color w:val="000000"/>
          <w:sz w:val="22"/>
          <w:szCs w:val="22"/>
        </w:rPr>
        <w:t>ATENTAMENTE</w:t>
      </w:r>
      <w:r w:rsidR="002A6F11" w:rsidRPr="002A6F11">
        <w:rPr>
          <w:rFonts w:ascii="Verdana" w:hAnsi="Verdana"/>
          <w:sz w:val="18"/>
          <w:szCs w:val="18"/>
          <w:lang w:val="es-MX" w:eastAsia="en-US"/>
        </w:rPr>
        <w:br/>
      </w:r>
      <w:r w:rsidR="000B6E12" w:rsidRPr="000B6E12">
        <w:rPr>
          <w:rFonts w:ascii="Palatino Linotype" w:hAnsi="Palatino Linotype"/>
          <w:i/>
          <w:color w:val="000000"/>
          <w:sz w:val="22"/>
          <w:szCs w:val="22"/>
        </w:rPr>
        <w:t>C. ULISES MAURICIO SALAZAR FRANCO</w:t>
      </w:r>
      <w:r w:rsidR="002E5396" w:rsidRPr="002F081A">
        <w:rPr>
          <w:rFonts w:ascii="Palatino Linotype" w:hAnsi="Palatino Linotype"/>
          <w:i/>
          <w:color w:val="000000"/>
          <w:sz w:val="22"/>
          <w:szCs w:val="22"/>
        </w:rPr>
        <w:t xml:space="preserve">” </w:t>
      </w:r>
      <w:r w:rsidR="002E5396" w:rsidRPr="002A6F11">
        <w:rPr>
          <w:rFonts w:ascii="Palatino Linotype" w:hAnsi="Palatino Linotype"/>
          <w:i/>
          <w:color w:val="000000"/>
          <w:sz w:val="22"/>
          <w:szCs w:val="22"/>
        </w:rPr>
        <w:t>(Sic)</w:t>
      </w:r>
    </w:p>
    <w:p w:rsidR="00224D6A" w:rsidRPr="00080788" w:rsidRDefault="00224D6A" w:rsidP="00224D6A">
      <w:pPr>
        <w:spacing w:before="240" w:after="240"/>
        <w:ind w:left="851" w:right="902"/>
        <w:contextualSpacing/>
        <w:jc w:val="both"/>
        <w:rPr>
          <w:rFonts w:ascii="Palatino Linotype" w:hAnsi="Palatino Linotype" w:cs="Arial"/>
          <w:i/>
        </w:rPr>
      </w:pPr>
    </w:p>
    <w:p w:rsidR="002A6F11" w:rsidRPr="00683278" w:rsidRDefault="00E578F2" w:rsidP="002A6F11">
      <w:pPr>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b/>
        </w:rPr>
        <w:t>Adjuntando a su respuesta el archivo electrónico</w:t>
      </w:r>
      <w:r w:rsidR="002A6F11">
        <w:rPr>
          <w:rFonts w:ascii="Palatino Linotype" w:eastAsia="Palatino Linotype" w:hAnsi="Palatino Linotype" w:cs="Palatino Linotype"/>
          <w:b/>
        </w:rPr>
        <w:t xml:space="preserve">: </w:t>
      </w:r>
      <w:r w:rsidR="002A6F11" w:rsidRPr="002A6F11">
        <w:rPr>
          <w:rFonts w:ascii="Palatino Linotype" w:eastAsia="Palatino Linotype" w:hAnsi="Palatino Linotype" w:cs="Palatino Linotype"/>
        </w:rPr>
        <w:t>“</w:t>
      </w:r>
      <w:hyperlink r:id="rId8" w:tgtFrame="_blank" w:history="1">
        <w:r w:rsidRPr="00E578F2">
          <w:rPr>
            <w:rFonts w:ascii="Palatino Linotype" w:eastAsia="Palatino Linotype" w:hAnsi="Palatino Linotype" w:cs="Palatino Linotype"/>
          </w:rPr>
          <w:t>Solicitud 01341HUIXQUILIP2021.pdf</w:t>
        </w:r>
      </w:hyperlink>
      <w:r w:rsidR="002A6F11" w:rsidRPr="002A6F11">
        <w:rPr>
          <w:rFonts w:ascii="Palatino Linotype" w:eastAsia="Palatino Linotype" w:hAnsi="Palatino Linotype" w:cs="Palatino Linotype"/>
        </w:rPr>
        <w:t>”,</w:t>
      </w:r>
      <w:r>
        <w:rPr>
          <w:rFonts w:ascii="Palatino Linotype" w:eastAsia="Palatino Linotype" w:hAnsi="Palatino Linotype" w:cs="Palatino Linotype"/>
        </w:rPr>
        <w:t xml:space="preserve"> el cual será analizado y detallado</w:t>
      </w:r>
      <w:r w:rsidR="002A6F11">
        <w:rPr>
          <w:rFonts w:ascii="Palatino Linotype" w:eastAsia="Palatino Linotype" w:hAnsi="Palatino Linotype" w:cs="Palatino Linotype"/>
        </w:rPr>
        <w:t xml:space="preserve"> en el apartado de estudio correspondiente.</w:t>
      </w:r>
    </w:p>
    <w:p w:rsidR="002E5396" w:rsidRPr="00080788" w:rsidRDefault="00EC5F74" w:rsidP="002E5396">
      <w:pPr>
        <w:spacing w:before="240" w:after="240" w:line="360" w:lineRule="auto"/>
        <w:jc w:val="both"/>
        <w:rPr>
          <w:rFonts w:ascii="Palatino Linotype" w:hAnsi="Palatino Linotype" w:cs="Arial"/>
        </w:rPr>
      </w:pPr>
      <w:r>
        <w:rPr>
          <w:rFonts w:ascii="Palatino Linotype" w:hAnsi="Palatino Linotype" w:cs="Arial"/>
          <w:b/>
        </w:rPr>
        <w:lastRenderedPageBreak/>
        <w:t>3</w:t>
      </w:r>
      <w:r w:rsidR="002E5396" w:rsidRPr="00080788">
        <w:rPr>
          <w:rFonts w:ascii="Palatino Linotype" w:hAnsi="Palatino Linotype" w:cs="Arial"/>
          <w:b/>
        </w:rPr>
        <w:t xml:space="preserve">. Interposición del recurso de revisión. </w:t>
      </w:r>
      <w:r w:rsidR="00E578F2">
        <w:rPr>
          <w:rFonts w:ascii="Palatino Linotype" w:hAnsi="Palatino Linotype" w:cs="Arial"/>
        </w:rPr>
        <w:t>Inconforme el</w:t>
      </w:r>
      <w:r w:rsidR="002E5396" w:rsidRPr="00080788">
        <w:rPr>
          <w:rFonts w:ascii="Palatino Linotype" w:hAnsi="Palatino Linotype" w:cs="Arial"/>
        </w:rPr>
        <w:t xml:space="preserve"> solicitante con la respuesta del </w:t>
      </w:r>
      <w:r w:rsidR="002E5396" w:rsidRPr="00080788">
        <w:rPr>
          <w:rFonts w:ascii="Palatino Linotype" w:hAnsi="Palatino Linotype" w:cs="Arial"/>
          <w:b/>
        </w:rPr>
        <w:t>Sujeto Obligado</w:t>
      </w:r>
      <w:r w:rsidR="002E5396" w:rsidRPr="00080788">
        <w:rPr>
          <w:rFonts w:ascii="Palatino Linotype" w:hAnsi="Palatino Linotype" w:cs="Arial"/>
        </w:rPr>
        <w:t xml:space="preserve"> interpuso recurso de revisión a t</w:t>
      </w:r>
      <w:r w:rsidR="00AA3766">
        <w:rPr>
          <w:rFonts w:ascii="Palatino Linotype" w:hAnsi="Palatino Linotype" w:cs="Arial"/>
        </w:rPr>
        <w:t>ravés d</w:t>
      </w:r>
      <w:r w:rsidR="00E578F2">
        <w:rPr>
          <w:rFonts w:ascii="Palatino Linotype" w:hAnsi="Palatino Linotype" w:cs="Arial"/>
        </w:rPr>
        <w:t>el SAIMEX en fecha once de octubre</w:t>
      </w:r>
      <w:r w:rsidR="00205EF0">
        <w:rPr>
          <w:rFonts w:ascii="Palatino Linotype" w:hAnsi="Palatino Linotype" w:cs="Arial"/>
        </w:rPr>
        <w:t xml:space="preserve"> del dos mil veintiuno</w:t>
      </w:r>
      <w:r w:rsidR="002E5396" w:rsidRPr="00080788">
        <w:rPr>
          <w:rFonts w:ascii="Palatino Linotype" w:hAnsi="Palatino Linotype" w:cs="Arial"/>
        </w:rPr>
        <w:t>, a través del cual expresó lo siguiente:</w:t>
      </w:r>
    </w:p>
    <w:p w:rsidR="002E5396" w:rsidRPr="00080788" w:rsidRDefault="002E5396" w:rsidP="002E5396">
      <w:pPr>
        <w:spacing w:line="360" w:lineRule="auto"/>
        <w:rPr>
          <w:rFonts w:ascii="Palatino Linotype" w:hAnsi="Palatino Linotype" w:cs="Arial"/>
          <w:b/>
        </w:rPr>
      </w:pPr>
      <w:r w:rsidRPr="00080788">
        <w:rPr>
          <w:rFonts w:ascii="Palatino Linotype" w:hAnsi="Palatino Linotype" w:cs="Arial"/>
          <w:b/>
        </w:rPr>
        <w:t>a) Acto impugnado.</w:t>
      </w:r>
    </w:p>
    <w:p w:rsidR="002E5396" w:rsidRPr="002F081A" w:rsidRDefault="002E5396" w:rsidP="002E5396">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E578F2" w:rsidRPr="00E578F2">
        <w:rPr>
          <w:rFonts w:ascii="Palatino Linotype" w:hAnsi="Palatino Linotype"/>
          <w:i/>
          <w:color w:val="000000"/>
          <w:sz w:val="22"/>
          <w:szCs w:val="22"/>
        </w:rPr>
        <w:t>La respuesta del sujeto obligado que textualmente dice: "... esta Tesorería NO cuenta con un reporte o documento donde pueda informar el adeudo a cada uno de sus proveedores y... no está obligado a generarla conforme al interés del solicitante."</w:t>
      </w:r>
      <w:r w:rsidRPr="002F081A">
        <w:rPr>
          <w:rFonts w:ascii="Palatino Linotype" w:hAnsi="Palatino Linotype"/>
          <w:i/>
          <w:color w:val="000000"/>
          <w:sz w:val="22"/>
          <w:szCs w:val="22"/>
        </w:rPr>
        <w:t>” (Sic)</w:t>
      </w:r>
    </w:p>
    <w:p w:rsidR="002E5396" w:rsidRPr="00080788" w:rsidRDefault="002E5396" w:rsidP="002E5396">
      <w:pPr>
        <w:spacing w:line="360" w:lineRule="auto"/>
        <w:jc w:val="both"/>
        <w:rPr>
          <w:rFonts w:ascii="Palatino Linotype" w:hAnsi="Palatino Linotype" w:cs="Arial"/>
          <w:b/>
        </w:rPr>
      </w:pPr>
      <w:r w:rsidRPr="00080788">
        <w:rPr>
          <w:rFonts w:ascii="Palatino Linotype" w:hAnsi="Palatino Linotype" w:cs="Arial"/>
          <w:b/>
        </w:rPr>
        <w:t>b) Motivos de inconformidad.</w:t>
      </w:r>
    </w:p>
    <w:p w:rsidR="002E5396" w:rsidRPr="002F081A" w:rsidRDefault="00EC5F74" w:rsidP="00BF5449">
      <w:pPr>
        <w:spacing w:after="240"/>
        <w:ind w:left="851" w:right="900"/>
        <w:jc w:val="both"/>
        <w:rPr>
          <w:rFonts w:ascii="Palatino Linotype" w:hAnsi="Palatino Linotype"/>
          <w:i/>
          <w:color w:val="000000"/>
          <w:sz w:val="22"/>
          <w:szCs w:val="22"/>
        </w:rPr>
      </w:pPr>
      <w:r w:rsidRPr="002F081A">
        <w:rPr>
          <w:rFonts w:ascii="Palatino Linotype" w:hAnsi="Palatino Linotype"/>
          <w:i/>
          <w:color w:val="000000"/>
          <w:sz w:val="22"/>
          <w:szCs w:val="22"/>
        </w:rPr>
        <w:t>“</w:t>
      </w:r>
      <w:r w:rsidR="00E578F2" w:rsidRPr="00E578F2">
        <w:rPr>
          <w:rFonts w:ascii="Palatino Linotype" w:hAnsi="Palatino Linotype"/>
          <w:i/>
          <w:color w:val="000000"/>
          <w:sz w:val="22"/>
          <w:szCs w:val="22"/>
        </w:rPr>
        <w:t>El Sujeto Obligado me responde que no tiene la información y que no está obligado a generarla. Primero: su Comité de Información no emite opinión alguna; Segundo: lo que solicité debe estar en su BALANZA DE COMPROBACION DETALLADA que, por ser trimestral, debe estar lista ya la correspondiente al mes de septiembre de este año 2021; y Tercero: al ser información pública lo que solicité, el sujeto obligado SÍ ESTÁ OBLIGADO A GENERARLA por lo que está incumpliendo con la Ley. Por lo anterior, solicito nuevamente que me entregue la información relativa a los adeudos que a la fecha se tienen con sus proveedores.</w:t>
      </w:r>
      <w:r w:rsidRPr="002F081A">
        <w:rPr>
          <w:rFonts w:ascii="Palatino Linotype" w:hAnsi="Palatino Linotype"/>
          <w:i/>
          <w:color w:val="000000"/>
          <w:sz w:val="22"/>
          <w:szCs w:val="22"/>
        </w:rPr>
        <w:t>”</w:t>
      </w:r>
      <w:r w:rsidR="002E5396" w:rsidRPr="002F081A">
        <w:rPr>
          <w:rFonts w:ascii="Palatino Linotype" w:hAnsi="Palatino Linotype"/>
          <w:i/>
          <w:color w:val="000000"/>
          <w:sz w:val="22"/>
          <w:szCs w:val="22"/>
        </w:rPr>
        <w:t xml:space="preserve"> (Sic)</w:t>
      </w:r>
    </w:p>
    <w:p w:rsidR="003B19DA" w:rsidRDefault="00EC5F74" w:rsidP="003B19DA">
      <w:pPr>
        <w:spacing w:before="240" w:after="240" w:line="360" w:lineRule="auto"/>
        <w:contextualSpacing/>
        <w:jc w:val="both"/>
        <w:rPr>
          <w:rFonts w:ascii="Palatino Linotype" w:eastAsia="Calibri" w:hAnsi="Palatino Linotype" w:cs="Arial"/>
        </w:rPr>
      </w:pPr>
      <w:r>
        <w:rPr>
          <w:rFonts w:ascii="Palatino Linotype" w:hAnsi="Palatino Linotype"/>
          <w:b/>
        </w:rPr>
        <w:t>4</w:t>
      </w:r>
      <w:r w:rsidR="002E5396" w:rsidRPr="00080788">
        <w:rPr>
          <w:rFonts w:ascii="Palatino Linotype" w:hAnsi="Palatino Linotype"/>
          <w:b/>
        </w:rPr>
        <w:t xml:space="preserve">. Turno. </w:t>
      </w:r>
      <w:r w:rsidR="003B19DA" w:rsidRPr="00911351">
        <w:rPr>
          <w:rFonts w:ascii="Palatino Linotype" w:hAnsi="Palatino Linotype"/>
        </w:rPr>
        <w:t xml:space="preserve">De conformidad con el artículo 185, fracción I de la </w:t>
      </w:r>
      <w:r w:rsidR="003B19DA" w:rsidRPr="00911351">
        <w:rPr>
          <w:rFonts w:ascii="Palatino Linotype" w:hAnsi="Palatino Linotype" w:cs="Arial"/>
        </w:rPr>
        <w:t xml:space="preserve">Ley de Transparencia y Acceso a la Información Pública del Estado de México y Municipios, el recurso de revisión número </w:t>
      </w:r>
      <w:r>
        <w:rPr>
          <w:rFonts w:ascii="Palatino Linotype" w:hAnsi="Palatino Linotype" w:cs="Arial"/>
          <w:b/>
        </w:rPr>
        <w:t>0</w:t>
      </w:r>
      <w:r w:rsidR="00E578F2">
        <w:rPr>
          <w:rFonts w:ascii="Palatino Linotype" w:hAnsi="Palatino Linotype" w:cs="Arial"/>
          <w:b/>
        </w:rPr>
        <w:t>5004</w:t>
      </w:r>
      <w:r w:rsidR="002A6F11">
        <w:rPr>
          <w:rFonts w:ascii="Palatino Linotype" w:hAnsi="Palatino Linotype" w:cs="Arial"/>
          <w:b/>
        </w:rPr>
        <w:t>/INFOEM/IP/RR/2021</w:t>
      </w:r>
      <w:r w:rsidR="003B19DA">
        <w:rPr>
          <w:rFonts w:ascii="Palatino Linotype" w:hAnsi="Palatino Linotype" w:cs="Arial"/>
          <w:b/>
        </w:rPr>
        <w:t xml:space="preserve">, </w:t>
      </w:r>
      <w:r w:rsidR="003B19DA" w:rsidRPr="00553FFC">
        <w:rPr>
          <w:rFonts w:ascii="Palatino Linotype" w:eastAsia="Calibri" w:hAnsi="Palatino Linotype" w:cs="Arial"/>
        </w:rPr>
        <w:t xml:space="preserve">se turnó por el sistema electrónico del Instituto de Transparencia, Acceso a la Información Pública y Protección de Datos Personales del Estado de México y Municipios, </w:t>
      </w:r>
      <w:r w:rsidR="00C6202E">
        <w:rPr>
          <w:rFonts w:ascii="Palatino Linotype" w:hAnsi="Palatino Linotype" w:cs="Arial"/>
        </w:rPr>
        <w:t xml:space="preserve">a la </w:t>
      </w:r>
      <w:r w:rsidR="00C6202E">
        <w:rPr>
          <w:rFonts w:ascii="Palatino Linotype" w:eastAsia="Calibri" w:hAnsi="Palatino Linotype" w:cs="Arial"/>
        </w:rPr>
        <w:t>Comisionada</w:t>
      </w:r>
      <w:r w:rsidR="003B19DA" w:rsidRPr="00553FFC">
        <w:rPr>
          <w:rFonts w:ascii="Palatino Linotype" w:eastAsia="Calibri" w:hAnsi="Palatino Linotype" w:cs="Arial"/>
        </w:rPr>
        <w:t xml:space="preserve"> </w:t>
      </w:r>
      <w:r w:rsidR="00C6202E">
        <w:rPr>
          <w:rFonts w:ascii="Palatino Linotype" w:eastAsia="Calibri" w:hAnsi="Palatino Linotype" w:cs="Arial"/>
          <w:b/>
        </w:rPr>
        <w:t>Guadalupe Ramírez Peña</w:t>
      </w:r>
      <w:r w:rsidR="003B19DA" w:rsidRPr="00911351">
        <w:rPr>
          <w:rFonts w:ascii="Palatino Linotype" w:hAnsi="Palatino Linotype"/>
        </w:rPr>
        <w:t xml:space="preserve">, </w:t>
      </w:r>
      <w:r w:rsidR="003B19DA" w:rsidRPr="009F7D9F">
        <w:rPr>
          <w:rFonts w:ascii="Palatino Linotype" w:hAnsi="Palatino Linotype" w:cs="Arial"/>
        </w:rPr>
        <w:t xml:space="preserve">para su análisis, estudio, elaboración del proyecto y </w:t>
      </w:r>
      <w:r w:rsidR="003B19DA" w:rsidRPr="009F7D9F">
        <w:rPr>
          <w:rFonts w:ascii="Palatino Linotype" w:eastAsia="Calibri" w:hAnsi="Palatino Linotype" w:cs="Arial"/>
        </w:rPr>
        <w:t xml:space="preserve">presentación </w:t>
      </w:r>
      <w:r w:rsidR="003B19DA">
        <w:rPr>
          <w:rFonts w:ascii="Palatino Linotype" w:eastAsia="Calibri" w:hAnsi="Palatino Linotype" w:cs="Arial"/>
        </w:rPr>
        <w:t>ante el Pleno de este Instituto.</w:t>
      </w:r>
    </w:p>
    <w:p w:rsidR="00E4481D" w:rsidRDefault="00E4481D" w:rsidP="002E5396">
      <w:pPr>
        <w:spacing w:before="240" w:after="240" w:line="360" w:lineRule="auto"/>
        <w:contextualSpacing/>
        <w:jc w:val="both"/>
        <w:rPr>
          <w:rFonts w:ascii="Palatino Linotype" w:hAnsi="Palatino Linotype"/>
        </w:rPr>
      </w:pPr>
    </w:p>
    <w:p w:rsidR="002E5396" w:rsidRPr="00080788" w:rsidRDefault="00EC5F74" w:rsidP="002E5396">
      <w:pPr>
        <w:spacing w:before="240" w:after="240" w:line="360" w:lineRule="auto"/>
        <w:contextualSpacing/>
        <w:jc w:val="both"/>
        <w:rPr>
          <w:rFonts w:ascii="Palatino Linotype" w:hAnsi="Palatino Linotype" w:cs="Arial"/>
        </w:rPr>
      </w:pPr>
      <w:r>
        <w:rPr>
          <w:rFonts w:ascii="Palatino Linotype" w:hAnsi="Palatino Linotype" w:cs="Arial"/>
          <w:b/>
        </w:rPr>
        <w:t>5</w:t>
      </w:r>
      <w:r w:rsidR="002E5396" w:rsidRPr="00080788">
        <w:rPr>
          <w:rFonts w:ascii="Palatino Linotype" w:hAnsi="Palatino Linotype" w:cs="Arial"/>
          <w:b/>
        </w:rPr>
        <w:t xml:space="preserve">. Admisión del recurso de revisión: </w:t>
      </w:r>
      <w:r>
        <w:rPr>
          <w:rFonts w:ascii="Palatino Linotype" w:hAnsi="Palatino Linotype" w:cs="Arial"/>
        </w:rPr>
        <w:t xml:space="preserve">En fecha </w:t>
      </w:r>
      <w:r w:rsidR="00E578F2">
        <w:rPr>
          <w:rFonts w:ascii="Palatino Linotype" w:hAnsi="Palatino Linotype" w:cs="Arial"/>
        </w:rPr>
        <w:t>quince</w:t>
      </w:r>
      <w:r w:rsidR="00763D10">
        <w:rPr>
          <w:rFonts w:ascii="Palatino Linotype" w:hAnsi="Palatino Linotype" w:cs="Arial"/>
        </w:rPr>
        <w:t xml:space="preserve"> de </w:t>
      </w:r>
      <w:r w:rsidR="00E578F2">
        <w:rPr>
          <w:rFonts w:ascii="Palatino Linotype" w:hAnsi="Palatino Linotype" w:cs="Arial"/>
        </w:rPr>
        <w:t>octubre</w:t>
      </w:r>
      <w:r w:rsidR="00763D10">
        <w:rPr>
          <w:rFonts w:ascii="Palatino Linotype" w:hAnsi="Palatino Linotype" w:cs="Arial"/>
        </w:rPr>
        <w:t xml:space="preserve"> de</w:t>
      </w:r>
      <w:r w:rsidR="00E97D16">
        <w:rPr>
          <w:rFonts w:ascii="Palatino Linotype" w:hAnsi="Palatino Linotype" w:cs="Arial"/>
        </w:rPr>
        <w:t>l dos mil veintiuno</w:t>
      </w:r>
      <w:r w:rsidR="00E578F2">
        <w:rPr>
          <w:rFonts w:ascii="Palatino Linotype" w:hAnsi="Palatino Linotype" w:cs="Arial"/>
        </w:rPr>
        <w:t>, la Comisionada</w:t>
      </w:r>
      <w:r w:rsidR="002E5396" w:rsidRPr="00080788">
        <w:rPr>
          <w:rFonts w:ascii="Palatino Linotype" w:hAnsi="Palatino Linotype" w:cs="Arial"/>
        </w:rPr>
        <w:t xml:space="preserve"> ponente, admitió a trámite el recurso de revisión que </w:t>
      </w:r>
      <w:r w:rsidR="002E5396" w:rsidRPr="00080788">
        <w:rPr>
          <w:rFonts w:ascii="Palatino Linotype" w:hAnsi="Palatino Linotype" w:cs="Arial"/>
        </w:rPr>
        <w:lastRenderedPageBreak/>
        <w:t xml:space="preserve">ahora se resuelve, dando un plazo máximo de siete días hábiles para que las partes manifestaran lo que a su derecho resultara conveniente, ofrecieran pruebas, formularan alegatos y el Sujeto Obligado presentara su informe justificado. </w:t>
      </w:r>
    </w:p>
    <w:p w:rsidR="00EC5F74" w:rsidRDefault="00EC5F74"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Pr>
          <w:rFonts w:ascii="Palatino Linotype" w:hAnsi="Palatino Linotype" w:cs="Arial"/>
          <w:b/>
          <w:sz w:val="24"/>
          <w:szCs w:val="24"/>
        </w:rPr>
        <w:t>6</w:t>
      </w:r>
      <w:r w:rsidR="002E5396" w:rsidRPr="00080788">
        <w:rPr>
          <w:rFonts w:ascii="Palatino Linotype" w:hAnsi="Palatino Linotype" w:cs="Arial"/>
          <w:b/>
          <w:sz w:val="24"/>
          <w:szCs w:val="24"/>
        </w:rPr>
        <w:t>. Manifestaciones</w:t>
      </w:r>
      <w:r w:rsidR="002E5396" w:rsidRPr="00080788">
        <w:rPr>
          <w:rFonts w:ascii="Palatino Linotype" w:hAnsi="Palatino Linotype" w:cs="Arial"/>
          <w:sz w:val="24"/>
          <w:szCs w:val="24"/>
          <w:lang w:eastAsia="es-ES"/>
        </w:rPr>
        <w:t>:</w:t>
      </w:r>
      <w:r w:rsidR="002F081A">
        <w:rPr>
          <w:rFonts w:ascii="Palatino Linotype" w:hAnsi="Palatino Linotype" w:cs="Arial"/>
          <w:sz w:val="24"/>
          <w:szCs w:val="24"/>
          <w:lang w:eastAsia="es-ES"/>
        </w:rPr>
        <w:t xml:space="preserve"> </w:t>
      </w:r>
      <w:r w:rsidR="003B19DA" w:rsidRPr="00E2199D">
        <w:rPr>
          <w:rFonts w:ascii="Palatino Linotype" w:hAnsi="Palatino Linotype" w:cs="Arial"/>
          <w:sz w:val="24"/>
          <w:szCs w:val="24"/>
          <w:lang w:eastAsia="es-ES"/>
        </w:rPr>
        <w:t>De las constancias que integran el expediente en q</w:t>
      </w:r>
      <w:r w:rsidR="003B19DA">
        <w:rPr>
          <w:rFonts w:ascii="Palatino Linotype" w:hAnsi="Palatino Linotype" w:cs="Arial"/>
          <w:sz w:val="24"/>
          <w:szCs w:val="24"/>
          <w:lang w:eastAsia="es-ES"/>
        </w:rPr>
        <w:t xml:space="preserve">ue se actúa se advierte que </w:t>
      </w:r>
      <w:r w:rsidR="00C6202E">
        <w:rPr>
          <w:rFonts w:ascii="Palatino Linotype" w:hAnsi="Palatino Linotype" w:cs="Arial"/>
          <w:sz w:val="24"/>
          <w:szCs w:val="24"/>
          <w:lang w:eastAsia="es-ES"/>
        </w:rPr>
        <w:t>el recurrente</w:t>
      </w:r>
      <w:r w:rsidR="003B19DA" w:rsidRPr="00E2199D">
        <w:rPr>
          <w:rFonts w:ascii="Palatino Linotype" w:hAnsi="Palatino Linotype" w:cs="Arial"/>
          <w:sz w:val="24"/>
          <w:szCs w:val="24"/>
          <w:lang w:eastAsia="es-ES"/>
        </w:rPr>
        <w:t xml:space="preserve"> fue </w:t>
      </w:r>
      <w:r w:rsidR="00266653" w:rsidRPr="00E2199D">
        <w:rPr>
          <w:rFonts w:ascii="Palatino Linotype" w:hAnsi="Palatino Linotype" w:cs="Arial"/>
          <w:sz w:val="24"/>
          <w:szCs w:val="24"/>
          <w:lang w:eastAsia="es-ES"/>
        </w:rPr>
        <w:t>omis</w:t>
      </w:r>
      <w:r w:rsidR="00266653">
        <w:rPr>
          <w:rFonts w:ascii="Palatino Linotype" w:hAnsi="Palatino Linotype" w:cs="Arial"/>
          <w:sz w:val="24"/>
          <w:szCs w:val="24"/>
          <w:lang w:eastAsia="es-ES"/>
        </w:rPr>
        <w:t>o</w:t>
      </w:r>
      <w:r w:rsidR="003B19DA" w:rsidRPr="00E2199D">
        <w:rPr>
          <w:rFonts w:ascii="Palatino Linotype" w:hAnsi="Palatino Linotype" w:cs="Arial"/>
          <w:sz w:val="24"/>
          <w:szCs w:val="24"/>
          <w:lang w:eastAsia="es-ES"/>
        </w:rPr>
        <w:t xml:space="preserve"> en ofrecer pruebas o expresar alegatos; en términos del artículo 185 fracciones II de la ley</w:t>
      </w:r>
      <w:r>
        <w:rPr>
          <w:rFonts w:ascii="Palatino Linotype" w:hAnsi="Palatino Linotype" w:cs="Arial"/>
          <w:sz w:val="24"/>
          <w:szCs w:val="24"/>
          <w:lang w:eastAsia="es-ES"/>
        </w:rPr>
        <w:t xml:space="preserve"> que nos ocupa.</w:t>
      </w:r>
    </w:p>
    <w:p w:rsidR="003B19DA" w:rsidRPr="00771004" w:rsidRDefault="003B19DA" w:rsidP="003B19DA">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lang w:eastAsia="es-ES"/>
        </w:rPr>
      </w:pPr>
      <w:r w:rsidRPr="00771004">
        <w:rPr>
          <w:rFonts w:ascii="Palatino Linotype" w:hAnsi="Palatino Linotype" w:cs="Arial"/>
          <w:sz w:val="24"/>
          <w:szCs w:val="24"/>
          <w:lang w:eastAsia="es-ES"/>
        </w:rPr>
        <w:t>Por su parte, el Su</w:t>
      </w:r>
      <w:r w:rsidR="00EC5F74" w:rsidRPr="00771004">
        <w:rPr>
          <w:rFonts w:ascii="Palatino Linotype" w:hAnsi="Palatino Linotype" w:cs="Arial"/>
          <w:sz w:val="24"/>
          <w:szCs w:val="24"/>
          <w:lang w:eastAsia="es-ES"/>
        </w:rPr>
        <w:t xml:space="preserve">jeto Obligado en fecha </w:t>
      </w:r>
      <w:r w:rsidR="00E578F2">
        <w:rPr>
          <w:rFonts w:ascii="Palatino Linotype" w:hAnsi="Palatino Linotype" w:cs="Arial"/>
          <w:sz w:val="24"/>
          <w:szCs w:val="24"/>
          <w:lang w:eastAsia="es-ES"/>
        </w:rPr>
        <w:t>veintiséis de octubre</w:t>
      </w:r>
      <w:r w:rsidR="00E97D16">
        <w:rPr>
          <w:rFonts w:ascii="Palatino Linotype" w:hAnsi="Palatino Linotype" w:cs="Arial"/>
          <w:sz w:val="24"/>
          <w:szCs w:val="24"/>
          <w:lang w:eastAsia="es-ES"/>
        </w:rPr>
        <w:t xml:space="preserve"> del dos mil veintiuno</w:t>
      </w:r>
      <w:r w:rsidRPr="00771004">
        <w:rPr>
          <w:rFonts w:ascii="Palatino Linotype" w:hAnsi="Palatino Linotype" w:cs="Arial"/>
          <w:sz w:val="24"/>
          <w:szCs w:val="24"/>
          <w:lang w:eastAsia="es-ES"/>
        </w:rPr>
        <w:t>, remite en vía in</w:t>
      </w:r>
      <w:r w:rsidR="00EC5F74" w:rsidRPr="00771004">
        <w:rPr>
          <w:rFonts w:ascii="Palatino Linotype" w:hAnsi="Palatino Linotype" w:cs="Arial"/>
          <w:sz w:val="24"/>
          <w:szCs w:val="24"/>
          <w:lang w:eastAsia="es-ES"/>
        </w:rPr>
        <w:t xml:space="preserve">forme justificado </w:t>
      </w:r>
      <w:r w:rsidR="00E97D16">
        <w:rPr>
          <w:rFonts w:ascii="Palatino Linotype" w:hAnsi="Palatino Linotype" w:cs="Arial"/>
          <w:sz w:val="24"/>
          <w:szCs w:val="24"/>
          <w:lang w:eastAsia="es-ES"/>
        </w:rPr>
        <w:t>los</w:t>
      </w:r>
      <w:r w:rsidR="00EC5F74" w:rsidRPr="00771004">
        <w:rPr>
          <w:rFonts w:ascii="Palatino Linotype" w:hAnsi="Palatino Linotype" w:cs="Arial"/>
          <w:sz w:val="24"/>
          <w:szCs w:val="24"/>
          <w:lang w:eastAsia="es-ES"/>
        </w:rPr>
        <w:t xml:space="preserve"> archivo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electrónico</w:t>
      </w:r>
      <w:r w:rsidR="00E97D16">
        <w:rPr>
          <w:rFonts w:ascii="Palatino Linotype" w:hAnsi="Palatino Linotype" w:cs="Arial"/>
          <w:sz w:val="24"/>
          <w:szCs w:val="24"/>
          <w:lang w:eastAsia="es-ES"/>
        </w:rPr>
        <w:t>s</w:t>
      </w:r>
      <w:r w:rsidR="00EC5F74" w:rsidRPr="00771004">
        <w:rPr>
          <w:rFonts w:ascii="Palatino Linotype" w:hAnsi="Palatino Linotype" w:cs="Arial"/>
          <w:sz w:val="24"/>
          <w:szCs w:val="24"/>
          <w:lang w:eastAsia="es-ES"/>
        </w:rPr>
        <w:t xml:space="preserve"> denominado</w:t>
      </w:r>
      <w:r w:rsidR="00E97D16">
        <w:rPr>
          <w:rFonts w:ascii="Palatino Linotype" w:hAnsi="Palatino Linotype" w:cs="Arial"/>
          <w:sz w:val="24"/>
          <w:szCs w:val="24"/>
          <w:lang w:eastAsia="es-ES"/>
        </w:rPr>
        <w:t>s</w:t>
      </w:r>
      <w:r w:rsidRPr="00771004">
        <w:rPr>
          <w:rFonts w:ascii="Palatino Linotype" w:hAnsi="Palatino Linotype" w:cs="Arial"/>
          <w:sz w:val="24"/>
          <w:szCs w:val="24"/>
          <w:lang w:eastAsia="es-ES"/>
        </w:rPr>
        <w:t>:</w:t>
      </w:r>
    </w:p>
    <w:p w:rsidR="00763D10" w:rsidRPr="006A7EE4" w:rsidRDefault="00E97D16"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sidRPr="00E97D16">
        <w:rPr>
          <w:rFonts w:ascii="Palatino Linotype" w:hAnsi="Palatino Linotype" w:cs="Arial"/>
          <w:sz w:val="24"/>
          <w:szCs w:val="24"/>
        </w:rPr>
        <w:t>-“</w:t>
      </w:r>
      <w:hyperlink r:id="rId9" w:history="1">
        <w:r w:rsidR="00E578F2" w:rsidRPr="00E578F2">
          <w:rPr>
            <w:rFonts w:ascii="Palatino Linotype" w:hAnsi="Palatino Linotype"/>
            <w:sz w:val="24"/>
            <w:szCs w:val="24"/>
          </w:rPr>
          <w:t>UNIDAD DE TRANSPARENCIA.pdf</w:t>
        </w:r>
      </w:hyperlink>
      <w:r w:rsidR="00E578F2">
        <w:rPr>
          <w:rFonts w:ascii="Palatino Linotype" w:hAnsi="Palatino Linotype" w:cs="Arial"/>
          <w:sz w:val="24"/>
          <w:szCs w:val="24"/>
        </w:rPr>
        <w:t xml:space="preserve">” y </w:t>
      </w:r>
      <w:r w:rsidR="00F470CE">
        <w:rPr>
          <w:rFonts w:ascii="Palatino Linotype" w:hAnsi="Palatino Linotype" w:cs="Arial"/>
          <w:sz w:val="24"/>
          <w:szCs w:val="24"/>
        </w:rPr>
        <w:t>“</w:t>
      </w:r>
      <w:proofErr w:type="spellStart"/>
      <w:r w:rsidR="004D6D6A">
        <w:rPr>
          <w:rFonts w:ascii="Palatino Linotype" w:hAnsi="Palatino Linotype"/>
          <w:sz w:val="24"/>
          <w:szCs w:val="24"/>
        </w:rPr>
        <w:fldChar w:fldCharType="begin"/>
      </w:r>
      <w:r w:rsidR="004D6D6A">
        <w:rPr>
          <w:rFonts w:ascii="Palatino Linotype" w:hAnsi="Palatino Linotype"/>
          <w:sz w:val="24"/>
          <w:szCs w:val="24"/>
        </w:rPr>
        <w:instrText xml:space="preserve"> HYPERLINK "https://www.saimex.org.mx/saimex/solicitud/downloadAttach/1243792.page" </w:instrText>
      </w:r>
      <w:r w:rsidR="004D6D6A">
        <w:rPr>
          <w:rFonts w:ascii="Palatino Linotype" w:hAnsi="Palatino Linotype"/>
          <w:sz w:val="24"/>
          <w:szCs w:val="24"/>
        </w:rPr>
        <w:fldChar w:fldCharType="separate"/>
      </w:r>
      <w:r w:rsidR="00E578F2" w:rsidRPr="00E578F2">
        <w:rPr>
          <w:rFonts w:ascii="Palatino Linotype" w:hAnsi="Palatino Linotype"/>
          <w:sz w:val="24"/>
          <w:szCs w:val="24"/>
        </w:rPr>
        <w:t>Tesoreria</w:t>
      </w:r>
      <w:proofErr w:type="spellEnd"/>
      <w:r w:rsidR="00E578F2" w:rsidRPr="00E578F2">
        <w:rPr>
          <w:rFonts w:ascii="Palatino Linotype" w:hAnsi="Palatino Linotype"/>
          <w:sz w:val="24"/>
          <w:szCs w:val="24"/>
        </w:rPr>
        <w:t xml:space="preserve"> informe.pdf</w:t>
      </w:r>
      <w:r w:rsidR="004D6D6A">
        <w:rPr>
          <w:rFonts w:ascii="Palatino Linotype" w:hAnsi="Palatino Linotype"/>
          <w:sz w:val="24"/>
          <w:szCs w:val="24"/>
        </w:rPr>
        <w:fldChar w:fldCharType="end"/>
      </w:r>
      <w:r w:rsidR="00DD00F1">
        <w:rPr>
          <w:rFonts w:ascii="Palatino Linotype" w:hAnsi="Palatino Linotype" w:cs="Arial"/>
          <w:sz w:val="24"/>
          <w:szCs w:val="24"/>
        </w:rPr>
        <w:t>”</w:t>
      </w:r>
      <w:r w:rsidR="00F470CE">
        <w:rPr>
          <w:rFonts w:ascii="Palatino Linotype" w:hAnsi="Palatino Linotype" w:cs="Arial"/>
          <w:sz w:val="24"/>
          <w:szCs w:val="24"/>
        </w:rPr>
        <w:t>,</w:t>
      </w:r>
      <w:r w:rsidR="00DD00F1">
        <w:rPr>
          <w:rFonts w:ascii="Palatino Linotype" w:hAnsi="Palatino Linotype" w:cs="Arial"/>
          <w:sz w:val="24"/>
          <w:szCs w:val="24"/>
        </w:rPr>
        <w:t xml:space="preserve"> </w:t>
      </w:r>
      <w:r w:rsidR="003347C3">
        <w:rPr>
          <w:rFonts w:ascii="Palatino Linotype" w:hAnsi="Palatino Linotype" w:cs="Arial"/>
          <w:sz w:val="24"/>
          <w:szCs w:val="24"/>
        </w:rPr>
        <w:t>a</w:t>
      </w:r>
      <w:r w:rsidR="00771004" w:rsidRPr="00540979">
        <w:rPr>
          <w:rFonts w:ascii="Palatino Linotype" w:hAnsi="Palatino Linotype" w:cs="Arial"/>
          <w:sz w:val="24"/>
          <w:szCs w:val="24"/>
        </w:rPr>
        <w:t>rchivo</w:t>
      </w:r>
      <w:r w:rsidR="003347C3">
        <w:rPr>
          <w:rFonts w:ascii="Palatino Linotype" w:hAnsi="Palatino Linotype" w:cs="Arial"/>
          <w:sz w:val="24"/>
          <w:szCs w:val="24"/>
        </w:rPr>
        <w:t>s</w:t>
      </w:r>
      <w:r w:rsidR="00771004" w:rsidRPr="00540979">
        <w:rPr>
          <w:rFonts w:ascii="Palatino Linotype" w:hAnsi="Palatino Linotype" w:cs="Arial"/>
          <w:sz w:val="24"/>
          <w:szCs w:val="24"/>
        </w:rPr>
        <w:t xml:space="preserve"> que</w:t>
      </w:r>
      <w:r w:rsidR="003A0920">
        <w:rPr>
          <w:rFonts w:ascii="Palatino Linotype" w:hAnsi="Palatino Linotype" w:cs="Arial"/>
          <w:sz w:val="24"/>
          <w:szCs w:val="24"/>
        </w:rPr>
        <w:t xml:space="preserve"> </w:t>
      </w:r>
      <w:hyperlink r:id="rId10" w:history="1"/>
      <w:r w:rsidR="00763D10" w:rsidRPr="00540979">
        <w:rPr>
          <w:rFonts w:ascii="Palatino Linotype" w:hAnsi="Palatino Linotype" w:cs="Arial"/>
          <w:sz w:val="24"/>
          <w:szCs w:val="24"/>
        </w:rPr>
        <w:t>a</w:t>
      </w:r>
      <w:r w:rsidR="00DB61BC" w:rsidRPr="00540979">
        <w:rPr>
          <w:rFonts w:ascii="Palatino Linotype" w:hAnsi="Palatino Linotype" w:cs="Arial"/>
          <w:sz w:val="24"/>
          <w:szCs w:val="24"/>
        </w:rPr>
        <w:t>porta</w:t>
      </w:r>
      <w:r w:rsidR="00771004" w:rsidRPr="00540979">
        <w:rPr>
          <w:rFonts w:ascii="Palatino Linotype" w:hAnsi="Palatino Linotype" w:cs="Arial"/>
          <w:sz w:val="24"/>
          <w:szCs w:val="24"/>
        </w:rPr>
        <w:t>n</w:t>
      </w:r>
      <w:r w:rsidR="00DB61BC" w:rsidRPr="00540979">
        <w:rPr>
          <w:rFonts w:ascii="Palatino Linotype" w:hAnsi="Palatino Linotype" w:cs="Arial"/>
          <w:sz w:val="24"/>
          <w:szCs w:val="24"/>
        </w:rPr>
        <w:t xml:space="preserve"> </w:t>
      </w:r>
      <w:r w:rsidR="003A0920">
        <w:rPr>
          <w:rFonts w:ascii="Palatino Linotype" w:hAnsi="Palatino Linotype" w:cs="Arial"/>
          <w:sz w:val="24"/>
          <w:szCs w:val="24"/>
        </w:rPr>
        <w:t>el</w:t>
      </w:r>
      <w:r w:rsidR="003347C3">
        <w:rPr>
          <w:rFonts w:ascii="Palatino Linotype" w:hAnsi="Palatino Linotype" w:cs="Arial"/>
          <w:sz w:val="24"/>
          <w:szCs w:val="24"/>
        </w:rPr>
        <w:t>ementos novedosos a la respuesta</w:t>
      </w:r>
      <w:r w:rsidR="00641CF7" w:rsidRPr="00540979">
        <w:rPr>
          <w:rFonts w:ascii="Palatino Linotype" w:hAnsi="Palatino Linotype" w:cs="Arial"/>
          <w:sz w:val="24"/>
          <w:szCs w:val="24"/>
        </w:rPr>
        <w:t xml:space="preserve">, </w:t>
      </w:r>
      <w:r w:rsidR="003347C3">
        <w:rPr>
          <w:rFonts w:ascii="Palatino Linotype" w:hAnsi="Palatino Linotype" w:cs="Arial"/>
          <w:sz w:val="24"/>
          <w:szCs w:val="24"/>
        </w:rPr>
        <w:t>los</w:t>
      </w:r>
      <w:r w:rsidR="00540979" w:rsidRPr="00540979">
        <w:rPr>
          <w:rFonts w:ascii="Palatino Linotype" w:hAnsi="Palatino Linotype" w:cs="Arial"/>
          <w:sz w:val="24"/>
          <w:szCs w:val="24"/>
        </w:rPr>
        <w:t xml:space="preserve"> cual</w:t>
      </w:r>
      <w:r w:rsidR="003347C3">
        <w:rPr>
          <w:rFonts w:ascii="Palatino Linotype" w:hAnsi="Palatino Linotype" w:cs="Arial"/>
          <w:sz w:val="24"/>
          <w:szCs w:val="24"/>
        </w:rPr>
        <w:t>es</w:t>
      </w:r>
      <w:r w:rsidR="00540979" w:rsidRPr="00540979">
        <w:rPr>
          <w:rFonts w:ascii="Palatino Linotype" w:hAnsi="Palatino Linotype" w:cs="Arial"/>
          <w:sz w:val="24"/>
          <w:szCs w:val="24"/>
        </w:rPr>
        <w:t xml:space="preserve"> </w:t>
      </w:r>
      <w:r w:rsidR="00763D10" w:rsidRPr="00540979">
        <w:rPr>
          <w:rFonts w:ascii="Palatino Linotype" w:hAnsi="Palatino Linotype" w:cs="Arial"/>
          <w:sz w:val="24"/>
          <w:szCs w:val="24"/>
        </w:rPr>
        <w:t xml:space="preserve">en fecha </w:t>
      </w:r>
      <w:r w:rsidR="00E578F2">
        <w:rPr>
          <w:rFonts w:ascii="Palatino Linotype" w:hAnsi="Palatino Linotype" w:cs="Arial"/>
          <w:sz w:val="24"/>
          <w:szCs w:val="24"/>
        </w:rPr>
        <w:t>dieciséis de noviembre</w:t>
      </w:r>
      <w:r w:rsidR="00266653">
        <w:rPr>
          <w:rFonts w:ascii="Palatino Linotype" w:hAnsi="Palatino Linotype" w:cs="Arial"/>
          <w:sz w:val="24"/>
          <w:szCs w:val="24"/>
        </w:rPr>
        <w:t xml:space="preserve"> del </w:t>
      </w:r>
      <w:r w:rsidR="003347C3">
        <w:rPr>
          <w:rFonts w:ascii="Palatino Linotype" w:hAnsi="Palatino Linotype" w:cs="Arial"/>
          <w:sz w:val="24"/>
          <w:szCs w:val="24"/>
        </w:rPr>
        <w:t>dos mil veintiuno</w:t>
      </w:r>
      <w:r w:rsidR="00E578F2">
        <w:rPr>
          <w:rFonts w:ascii="Palatino Linotype" w:hAnsi="Palatino Linotype" w:cs="Arial"/>
          <w:sz w:val="24"/>
          <w:szCs w:val="24"/>
        </w:rPr>
        <w:t>, se pusieron</w:t>
      </w:r>
      <w:r w:rsidR="00763D10" w:rsidRPr="00540979">
        <w:rPr>
          <w:rFonts w:ascii="Palatino Linotype" w:hAnsi="Palatino Linotype" w:cs="Arial"/>
          <w:sz w:val="24"/>
          <w:szCs w:val="24"/>
        </w:rPr>
        <w:t xml:space="preserve"> a la vista </w:t>
      </w:r>
      <w:r w:rsidR="00266653">
        <w:rPr>
          <w:rFonts w:ascii="Palatino Linotype" w:hAnsi="Palatino Linotype" w:cs="Arial"/>
          <w:sz w:val="24"/>
          <w:szCs w:val="24"/>
        </w:rPr>
        <w:t>d</w:t>
      </w:r>
      <w:r w:rsidR="00C6202E">
        <w:rPr>
          <w:rFonts w:ascii="Palatino Linotype" w:hAnsi="Palatino Linotype" w:cs="Arial"/>
          <w:sz w:val="24"/>
          <w:szCs w:val="24"/>
        </w:rPr>
        <w:t>el recurrente</w:t>
      </w:r>
      <w:r w:rsidR="00763D10" w:rsidRPr="00540979">
        <w:rPr>
          <w:rFonts w:ascii="Palatino Linotype" w:hAnsi="Palatino Linotype" w:cs="Arial"/>
          <w:sz w:val="24"/>
          <w:szCs w:val="24"/>
        </w:rPr>
        <w:t xml:space="preserve">, en términos de la fracción III del artículo 185 de la Ley de Transparencia y Acceso a la Información Pública del Estado de México y Municipios; para que en el término de tres días manifestara lo que a su derecho convenga respecto de lo manifestado por el Sujeto </w:t>
      </w:r>
      <w:r w:rsidR="00763D10" w:rsidRPr="006A7EE4">
        <w:rPr>
          <w:rFonts w:ascii="Palatino Linotype" w:hAnsi="Palatino Linotype" w:cs="Arial"/>
          <w:sz w:val="24"/>
          <w:szCs w:val="24"/>
        </w:rPr>
        <w:t xml:space="preserve">Obligado, por tener relación con la solicitud de acceso a la información </w:t>
      </w:r>
      <w:r w:rsidR="000E3843" w:rsidRPr="006A7EE4">
        <w:rPr>
          <w:rFonts w:ascii="Palatino Linotype" w:hAnsi="Palatino Linotype" w:cs="Arial"/>
          <w:sz w:val="24"/>
          <w:szCs w:val="24"/>
        </w:rPr>
        <w:t>d</w:t>
      </w:r>
      <w:r w:rsidR="00C6202E">
        <w:rPr>
          <w:rFonts w:ascii="Palatino Linotype" w:hAnsi="Palatino Linotype" w:cs="Arial"/>
          <w:sz w:val="24"/>
          <w:szCs w:val="24"/>
        </w:rPr>
        <w:t>el recurrente</w:t>
      </w:r>
      <w:r w:rsidR="00E578F2">
        <w:rPr>
          <w:rFonts w:ascii="Palatino Linotype" w:hAnsi="Palatino Linotype" w:cs="Arial"/>
          <w:sz w:val="24"/>
          <w:szCs w:val="24"/>
        </w:rPr>
        <w:t>;</w:t>
      </w:r>
      <w:r w:rsidR="00763D10" w:rsidRPr="006A7EE4">
        <w:rPr>
          <w:rFonts w:ascii="Palatino Linotype" w:hAnsi="Palatino Linotype" w:cs="Arial"/>
          <w:sz w:val="24"/>
          <w:szCs w:val="24"/>
        </w:rPr>
        <w:t xml:space="preserve"> sin que se pronunciara al respecto. Se hará referencia a los documentos referidos durante el estudio correspondiente.</w:t>
      </w:r>
    </w:p>
    <w:p w:rsidR="003B19DA" w:rsidRDefault="00205EF0" w:rsidP="00763D10">
      <w:pPr>
        <w:pStyle w:val="Prrafodelista"/>
        <w:widowControl w:val="0"/>
        <w:tabs>
          <w:tab w:val="left" w:pos="709"/>
        </w:tabs>
        <w:autoSpaceDE w:val="0"/>
        <w:autoSpaceDN w:val="0"/>
        <w:adjustRightInd w:val="0"/>
        <w:spacing w:before="120" w:after="240" w:line="360" w:lineRule="auto"/>
        <w:ind w:left="0"/>
        <w:jc w:val="both"/>
        <w:rPr>
          <w:rFonts w:ascii="Palatino Linotype" w:hAnsi="Palatino Linotype" w:cs="Arial"/>
          <w:sz w:val="24"/>
          <w:szCs w:val="24"/>
        </w:rPr>
      </w:pPr>
      <w:r>
        <w:rPr>
          <w:rFonts w:ascii="Palatino Linotype" w:hAnsi="Palatino Linotype" w:cs="Arial"/>
          <w:b/>
          <w:sz w:val="24"/>
          <w:szCs w:val="24"/>
        </w:rPr>
        <w:t>7</w:t>
      </w:r>
      <w:r w:rsidR="003B19DA" w:rsidRPr="006A7EE4">
        <w:rPr>
          <w:rFonts w:ascii="Palatino Linotype" w:hAnsi="Palatino Linotype" w:cs="Arial"/>
          <w:b/>
          <w:sz w:val="24"/>
          <w:szCs w:val="24"/>
        </w:rPr>
        <w:t>. Cierre de instrucción</w:t>
      </w:r>
      <w:r w:rsidR="003B19DA" w:rsidRPr="006A7EE4">
        <w:rPr>
          <w:rFonts w:ascii="Palatino Linotype" w:hAnsi="Palatino Linotype" w:cs="Arial"/>
          <w:sz w:val="24"/>
          <w:szCs w:val="24"/>
        </w:rPr>
        <w:t xml:space="preserve">. En </w:t>
      </w:r>
      <w:r w:rsidR="00771004" w:rsidRPr="006A7EE4">
        <w:rPr>
          <w:rFonts w:ascii="Palatino Linotype" w:hAnsi="Palatino Linotype" w:cs="Arial"/>
          <w:sz w:val="24"/>
          <w:szCs w:val="24"/>
        </w:rPr>
        <w:t xml:space="preserve">fecha </w:t>
      </w:r>
      <w:r w:rsidR="00E578F2">
        <w:rPr>
          <w:rFonts w:ascii="Palatino Linotype" w:hAnsi="Palatino Linotype" w:cs="Arial"/>
          <w:sz w:val="24"/>
          <w:szCs w:val="24"/>
        </w:rPr>
        <w:t>veintidós de noviembre</w:t>
      </w:r>
      <w:r w:rsidR="003347C3">
        <w:rPr>
          <w:rFonts w:ascii="Palatino Linotype" w:hAnsi="Palatino Linotype" w:cs="Arial"/>
          <w:sz w:val="24"/>
          <w:szCs w:val="24"/>
        </w:rPr>
        <w:t xml:space="preserve"> del dos mil veintiuno</w:t>
      </w:r>
      <w:r w:rsidR="00FA0C43">
        <w:rPr>
          <w:rFonts w:ascii="Palatino Linotype" w:hAnsi="Palatino Linotype" w:cs="Arial"/>
          <w:sz w:val="24"/>
          <w:szCs w:val="24"/>
        </w:rPr>
        <w:t xml:space="preserve"> la Comisionada</w:t>
      </w:r>
      <w:r w:rsidR="003B19DA" w:rsidRPr="006A7EE4">
        <w:rPr>
          <w:rFonts w:ascii="Palatino Linotype" w:hAnsi="Palatino Linotype" w:cs="Arial"/>
          <w:sz w:val="24"/>
          <w:szCs w:val="24"/>
        </w:rPr>
        <w:t xml:space="preserve"> ponente determinó el cierre de instrucción en términos de la fracción VI del artículo 185 de la Ley de Transparencia y Acceso a la Información Pública del </w:t>
      </w:r>
      <w:r w:rsidR="003B19DA" w:rsidRPr="00763D10">
        <w:rPr>
          <w:rFonts w:ascii="Palatino Linotype" w:hAnsi="Palatino Linotype" w:cs="Arial"/>
          <w:sz w:val="24"/>
          <w:szCs w:val="24"/>
        </w:rPr>
        <w:t>Estado de México y Municipios.</w:t>
      </w:r>
    </w:p>
    <w:p w:rsidR="002E5396" w:rsidRPr="00080788" w:rsidRDefault="002E5396" w:rsidP="00266653">
      <w:pPr>
        <w:pStyle w:val="Prrafodelista"/>
        <w:numPr>
          <w:ilvl w:val="0"/>
          <w:numId w:val="1"/>
        </w:numPr>
        <w:spacing w:before="240" w:after="240" w:line="360" w:lineRule="auto"/>
        <w:ind w:left="1077"/>
        <w:contextualSpacing/>
        <w:jc w:val="center"/>
        <w:rPr>
          <w:rFonts w:ascii="Palatino Linotype" w:hAnsi="Palatino Linotype" w:cs="Arial"/>
          <w:b/>
          <w:sz w:val="24"/>
          <w:szCs w:val="24"/>
        </w:rPr>
      </w:pPr>
      <w:r w:rsidRPr="00080788">
        <w:rPr>
          <w:rFonts w:ascii="Palatino Linotype" w:hAnsi="Palatino Linotype" w:cs="Arial"/>
          <w:b/>
          <w:sz w:val="24"/>
          <w:szCs w:val="24"/>
        </w:rPr>
        <w:t>C O N S I D E R A N D O:</w:t>
      </w:r>
    </w:p>
    <w:p w:rsidR="002E5396" w:rsidRPr="00080788" w:rsidRDefault="002E5396" w:rsidP="002E5396">
      <w:pPr>
        <w:spacing w:before="240" w:after="240" w:line="360" w:lineRule="auto"/>
        <w:jc w:val="both"/>
        <w:rPr>
          <w:rFonts w:ascii="Palatino Linotype" w:hAnsi="Palatino Linotype"/>
          <w:shd w:val="clear" w:color="auto" w:fill="FFFFFF"/>
        </w:rPr>
      </w:pPr>
      <w:r w:rsidRPr="00080788">
        <w:rPr>
          <w:rFonts w:ascii="Palatino Linotype" w:hAnsi="Palatino Linotype" w:cs="Arial"/>
          <w:b/>
        </w:rPr>
        <w:lastRenderedPageBreak/>
        <w:t xml:space="preserve">Primero. Competencia. </w:t>
      </w:r>
      <w:r w:rsidRPr="00080788">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sidR="00266653">
        <w:rPr>
          <w:rFonts w:ascii="Palatino Linotype" w:hAnsi="Palatino Linotype"/>
          <w:shd w:val="clear" w:color="auto" w:fill="FFFFFF"/>
        </w:rPr>
        <w:t>trigésimo, trigésimo primero y trigésimo segundo</w:t>
      </w:r>
      <w:r w:rsidRPr="00080788">
        <w:rPr>
          <w:rFonts w:ascii="Palatino Linotype" w:hAnsi="Palatino Linotype"/>
          <w:shd w:val="clear" w:color="auto" w:fill="FFFFFF"/>
        </w:rPr>
        <w:t>, fracciones IV y V de la Constitución Política del Estado Libre y Soberano de México; 1, 2, fracción II; 13,  29, 36, fracciones I y II; 176, 178, 179, 181 párrafo tercero y 185 de la Ley Transparencia y Acceso a la Información Pública del Estado de México y Municipios;</w:t>
      </w:r>
      <w:r w:rsidRPr="00080788">
        <w:rPr>
          <w:rStyle w:val="apple-converted-space"/>
          <w:rFonts w:ascii="Palatino Linotype" w:hAnsi="Palatino Linotype"/>
          <w:shd w:val="clear" w:color="auto" w:fill="FFFFFF"/>
        </w:rPr>
        <w:t xml:space="preserve"> </w:t>
      </w:r>
      <w:r w:rsidRPr="00080788">
        <w:rPr>
          <w:rFonts w:ascii="Palatino Linotype" w:hAnsi="Palatino Linotype" w:cs="Arial"/>
        </w:rPr>
        <w:t xml:space="preserve">9, fracciones I y XXIV y 11 </w:t>
      </w:r>
      <w:r w:rsidRPr="00080788">
        <w:rPr>
          <w:rFonts w:ascii="Palatino Linotype" w:hAnsi="Palatino Linotype"/>
          <w:shd w:val="clear" w:color="auto" w:fill="FFFFFF"/>
        </w:rPr>
        <w:t>del Reglamento Interior del Instituto de Transparencia, Acceso a la Información Pública y Protección de Datos Personales del Estado de México y Municipios.</w:t>
      </w:r>
    </w:p>
    <w:p w:rsidR="00D049F6" w:rsidRDefault="002E5396" w:rsidP="00D049F6">
      <w:pPr>
        <w:spacing w:before="240" w:after="240" w:line="360" w:lineRule="auto"/>
        <w:jc w:val="both"/>
        <w:rPr>
          <w:rFonts w:ascii="Palatino Linotype" w:hAnsi="Palatino Linotype"/>
        </w:rPr>
      </w:pPr>
      <w:r w:rsidRPr="00080788">
        <w:rPr>
          <w:rFonts w:ascii="Palatino Linotype" w:hAnsi="Palatino Linotype" w:cs="Arial"/>
          <w:b/>
        </w:rPr>
        <w:t>Segundo. Oportunidad y Procedibilidad del Recurso de Revisión</w:t>
      </w:r>
      <w:r w:rsidRPr="00080788">
        <w:rPr>
          <w:rFonts w:ascii="Palatino Linotype" w:hAnsi="Palatino Linotype" w:cs="Arial"/>
        </w:rPr>
        <w:t>. De conformidad con los requisitos de Oportu</w:t>
      </w:r>
      <w:r w:rsidR="00FA0C43">
        <w:rPr>
          <w:rFonts w:ascii="Palatino Linotype" w:hAnsi="Palatino Linotype" w:cs="Arial"/>
        </w:rPr>
        <w:t>nidad y Procedibilidad que debe reunir el</w:t>
      </w:r>
      <w:r w:rsidRPr="00080788">
        <w:rPr>
          <w:rFonts w:ascii="Palatino Linotype" w:hAnsi="Palatino Linotype" w:cs="Arial"/>
        </w:rPr>
        <w:t xml:space="preserve"> recu</w:t>
      </w:r>
      <w:r w:rsidR="00FA0C43">
        <w:rPr>
          <w:rFonts w:ascii="Palatino Linotype" w:hAnsi="Palatino Linotype" w:cs="Arial"/>
        </w:rPr>
        <w:t>rso de revisión interpuesto</w:t>
      </w:r>
      <w:r w:rsidRPr="00080788">
        <w:rPr>
          <w:rFonts w:ascii="Palatino Linotype" w:hAnsi="Palatino Linotype" w:cs="Arial"/>
        </w:rPr>
        <w:t xml:space="preserve">, previstos en los artículos 178 y 180 de la </w:t>
      </w:r>
      <w:r w:rsidRPr="00080788">
        <w:rPr>
          <w:rFonts w:ascii="Palatino Linotype" w:hAnsi="Palatino Linotype" w:cs="Arial"/>
          <w:lang w:eastAsia="es-MX"/>
        </w:rPr>
        <w:t xml:space="preserve">Ley de Transparencia y Acceso a la Información Pública del Estado de México y Municipios; en la especie se advierte que el presente medio de impugnación fue interpuesto dentro del plazo de quince días previsto en el primer artículo de referencia; toda vez que el Sujeto Obligado emitió su respuesta a la solicitud planteada </w:t>
      </w:r>
      <w:r w:rsidR="00FA544C">
        <w:rPr>
          <w:rFonts w:ascii="Palatino Linotype" w:hAnsi="Palatino Linotype" w:cs="Arial"/>
          <w:lang w:eastAsia="es-MX"/>
        </w:rPr>
        <w:t>po</w:t>
      </w:r>
      <w:r w:rsidR="00AD1F1D">
        <w:rPr>
          <w:rFonts w:ascii="Palatino Linotype" w:hAnsi="Palatino Linotype" w:cs="Arial"/>
          <w:lang w:eastAsia="es-MX"/>
        </w:rPr>
        <w:t>r la</w:t>
      </w:r>
      <w:r w:rsidR="00AA23D5">
        <w:rPr>
          <w:rFonts w:ascii="Palatino Linotype" w:hAnsi="Palatino Linotype" w:cs="Arial"/>
          <w:lang w:eastAsia="es-MX"/>
        </w:rPr>
        <w:t xml:space="preserve"> </w:t>
      </w:r>
      <w:r w:rsidR="00771004">
        <w:rPr>
          <w:rFonts w:ascii="Palatino Linotype" w:hAnsi="Palatino Linotype" w:cs="Arial"/>
          <w:lang w:eastAsia="es-MX"/>
        </w:rPr>
        <w:t xml:space="preserve">solicitante en fecha </w:t>
      </w:r>
      <w:r w:rsidR="00EB6B00">
        <w:rPr>
          <w:rFonts w:ascii="Palatino Linotype" w:hAnsi="Palatino Linotype" w:cs="Arial"/>
          <w:lang w:eastAsia="es-MX"/>
        </w:rPr>
        <w:t>once de octubre</w:t>
      </w:r>
      <w:r w:rsidRPr="00080788">
        <w:rPr>
          <w:rFonts w:ascii="Palatino Linotype" w:hAnsi="Palatino Linotype" w:cs="Arial"/>
          <w:lang w:eastAsia="es-MX"/>
        </w:rPr>
        <w:t xml:space="preserve"> de</w:t>
      </w:r>
      <w:r w:rsidR="003347C3">
        <w:rPr>
          <w:rFonts w:ascii="Palatino Linotype" w:hAnsi="Palatino Linotype" w:cs="Arial"/>
          <w:lang w:eastAsia="es-MX"/>
        </w:rPr>
        <w:t>l</w:t>
      </w:r>
      <w:r w:rsidRPr="00080788">
        <w:rPr>
          <w:rFonts w:ascii="Palatino Linotype" w:hAnsi="Palatino Linotype" w:cs="Arial"/>
          <w:lang w:eastAsia="es-MX"/>
        </w:rPr>
        <w:t xml:space="preserve"> año dos</w:t>
      </w:r>
      <w:r w:rsidR="003347C3">
        <w:rPr>
          <w:rFonts w:ascii="Palatino Linotype" w:hAnsi="Palatino Linotype" w:cs="Arial"/>
          <w:lang w:eastAsia="es-MX"/>
        </w:rPr>
        <w:t xml:space="preserve"> mil veintiuno</w:t>
      </w:r>
      <w:r w:rsidR="00266653">
        <w:rPr>
          <w:rFonts w:ascii="Palatino Linotype" w:hAnsi="Palatino Linotype" w:cs="Arial"/>
          <w:lang w:eastAsia="es-MX"/>
        </w:rPr>
        <w:t xml:space="preserve"> </w:t>
      </w:r>
      <w:r w:rsidR="00266653" w:rsidRPr="00080788">
        <w:rPr>
          <w:rFonts w:ascii="Palatino Linotype" w:hAnsi="Palatino Linotype" w:cs="Arial"/>
          <w:lang w:eastAsia="es-MX"/>
        </w:rPr>
        <w:t xml:space="preserve">y el recurrente presentó </w:t>
      </w:r>
      <w:r w:rsidR="00266653">
        <w:rPr>
          <w:rFonts w:ascii="Palatino Linotype" w:hAnsi="Palatino Linotype" w:cs="Arial"/>
          <w:lang w:eastAsia="es-MX"/>
        </w:rPr>
        <w:t xml:space="preserve">su </w:t>
      </w:r>
      <w:r w:rsidR="00266653" w:rsidRPr="00080788">
        <w:rPr>
          <w:rFonts w:ascii="Palatino Linotype" w:hAnsi="Palatino Linotype" w:cs="Arial"/>
          <w:lang w:eastAsia="es-MX"/>
        </w:rPr>
        <w:t>rec</w:t>
      </w:r>
      <w:r w:rsidR="00F470CE">
        <w:rPr>
          <w:rFonts w:ascii="Palatino Linotype" w:hAnsi="Palatino Linotype" w:cs="Arial"/>
          <w:lang w:eastAsia="es-MX"/>
        </w:rPr>
        <w:t xml:space="preserve">urso de revisión el </w:t>
      </w:r>
      <w:r w:rsidR="00EB6B00">
        <w:rPr>
          <w:rFonts w:ascii="Palatino Linotype" w:hAnsi="Palatino Linotype" w:cs="Arial"/>
          <w:lang w:eastAsia="es-MX"/>
        </w:rPr>
        <w:t>mismo día</w:t>
      </w:r>
      <w:r w:rsidR="00D049F6">
        <w:rPr>
          <w:rFonts w:ascii="Palatino Linotype" w:hAnsi="Palatino Linotype" w:cs="Arial"/>
          <w:lang w:eastAsia="es-MX"/>
        </w:rPr>
        <w:t xml:space="preserve">, </w:t>
      </w:r>
      <w:r w:rsidR="00D049F6">
        <w:rPr>
          <w:rFonts w:ascii="Palatino Linotype" w:hAnsi="Palatino Linotype"/>
        </w:rPr>
        <w:t>mes y año, esto es el mismo día hábil en el que tuvo conocimiento de la respuesta; circunstancia que no es determinante para declararlo extemporáneo, toda vez que el tiempo concedido es para delimitar el término en que puede impugnarse la respuesta, lo cual no impide que se presente antes de iniciado el plazo previsto.</w:t>
      </w:r>
    </w:p>
    <w:p w:rsidR="00D049F6" w:rsidRDefault="00D049F6" w:rsidP="00D049F6">
      <w:pPr>
        <w:spacing w:before="240" w:after="240" w:line="360" w:lineRule="auto"/>
        <w:jc w:val="both"/>
        <w:rPr>
          <w:rFonts w:ascii="Palatino Linotype" w:hAnsi="Palatino Linotype"/>
        </w:rPr>
      </w:pPr>
      <w:r>
        <w:rPr>
          <w:rFonts w:ascii="Palatino Linotype" w:hAnsi="Palatino Linotype"/>
        </w:rPr>
        <w:lastRenderedPageBreak/>
        <w:t>Resulta aplicable el siguiente criterio de este Órgano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p>
    <w:p w:rsidR="00D049F6" w:rsidRDefault="00D049F6" w:rsidP="00D049F6">
      <w:pPr>
        <w:pStyle w:val="Textoindependiente"/>
        <w:kinsoku w:val="0"/>
        <w:overflowPunct w:val="0"/>
        <w:spacing w:before="5"/>
        <w:rPr>
          <w:i/>
          <w:iCs/>
          <w:sz w:val="24"/>
          <w:szCs w:val="24"/>
          <w:highlight w:val="yellow"/>
        </w:rPr>
      </w:pPr>
    </w:p>
    <w:p w:rsidR="00D049F6" w:rsidRDefault="00D049F6" w:rsidP="00D049F6">
      <w:pPr>
        <w:pStyle w:val="Prrafodelista"/>
        <w:autoSpaceDE w:val="0"/>
        <w:autoSpaceDN w:val="0"/>
        <w:adjustRightInd w:val="0"/>
        <w:ind w:left="567" w:right="760"/>
        <w:jc w:val="both"/>
        <w:rPr>
          <w:rFonts w:ascii="Palatino Linotype" w:hAnsi="Palatino Linotype" w:cs="Arial"/>
          <w:i/>
        </w:rPr>
      </w:pPr>
      <w:r>
        <w:rPr>
          <w:rFonts w:ascii="Palatino Linotype" w:hAnsi="Palatino Linotype" w:cs="Arial"/>
        </w:rPr>
        <w:t>"</w:t>
      </w:r>
      <w:r>
        <w:rPr>
          <w:rFonts w:ascii="Palatino Linotype" w:hAnsi="Palatino Linotype" w:cs="Arial"/>
          <w:i/>
        </w:rPr>
        <w:t>RECURSO DE RECLAMACIÓN. SU INTERPOSICIÓN NO ES EXTEMPORÁNEA SI SE REALIZA ANTES DE QUE INICIE EL PLAZO PARA HACERLO.</w:t>
      </w:r>
    </w:p>
    <w:p w:rsidR="00D049F6" w:rsidRDefault="00D049F6" w:rsidP="00D049F6">
      <w:pPr>
        <w:pStyle w:val="Prrafodelista"/>
        <w:autoSpaceDE w:val="0"/>
        <w:autoSpaceDN w:val="0"/>
        <w:adjustRightInd w:val="0"/>
        <w:ind w:left="567" w:right="760"/>
        <w:jc w:val="both"/>
        <w:rPr>
          <w:rFonts w:ascii="Palatino Linotype" w:hAnsi="Palatino Linotype" w:cs="Arial"/>
          <w:i/>
        </w:rPr>
      </w:pPr>
      <w:r>
        <w:rPr>
          <w:rFonts w:ascii="Palatino Linotype" w:hAnsi="Palatino Linotype" w:cs="Arial"/>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D049F6" w:rsidRDefault="00D049F6" w:rsidP="00D049F6">
      <w:pPr>
        <w:pStyle w:val="Prrafodelista"/>
        <w:autoSpaceDE w:val="0"/>
        <w:autoSpaceDN w:val="0"/>
        <w:adjustRightInd w:val="0"/>
        <w:ind w:left="567" w:right="760"/>
        <w:jc w:val="both"/>
        <w:rPr>
          <w:rFonts w:ascii="Palatino Linotype" w:hAnsi="Palatino Linotype" w:cs="Arial"/>
        </w:rPr>
      </w:pPr>
      <w:r>
        <w:rPr>
          <w:rFonts w:ascii="Palatino Linotype" w:hAnsi="Palatino Linotype" w:cs="Arial"/>
          <w:i/>
        </w:rPr>
        <w:t>De ahí que si dicho recurso se interpone antes de que inicie el plazo para hacerlo, su presentación no es extemporánea…</w:t>
      </w:r>
      <w:r>
        <w:rPr>
          <w:rFonts w:ascii="Palatino Linotype" w:hAnsi="Palatino Linotype" w:cs="Arial"/>
        </w:rPr>
        <w:t>"(Sic)</w:t>
      </w:r>
    </w:p>
    <w:p w:rsidR="00D049F6" w:rsidRDefault="00D049F6" w:rsidP="00D049F6">
      <w:pPr>
        <w:spacing w:before="240" w:after="240" w:line="360" w:lineRule="auto"/>
        <w:ind w:right="-93"/>
        <w:jc w:val="both"/>
        <w:rPr>
          <w:rFonts w:ascii="Palatino Linotype" w:hAnsi="Palatino Linotype"/>
          <w:color w:val="000000"/>
        </w:rPr>
      </w:pPr>
      <w:r>
        <w:rPr>
          <w:rFonts w:ascii="Palatino Linotype" w:hAnsi="Palatino Linotype"/>
          <w:color w:val="000000"/>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7E6426" w:rsidRDefault="007E6426" w:rsidP="004D6DE5">
      <w:pPr>
        <w:pStyle w:val="paragraph"/>
        <w:spacing w:before="0" w:beforeAutospacing="0" w:after="0" w:afterAutospacing="0" w:line="360" w:lineRule="auto"/>
        <w:ind w:right="-147"/>
        <w:contextualSpacing/>
        <w:jc w:val="both"/>
        <w:textAlignment w:val="baseline"/>
        <w:rPr>
          <w:rStyle w:val="eop"/>
          <w:rFonts w:ascii="Palatino Linotype" w:hAnsi="Palatino Linotype" w:cs="Segoe UI"/>
        </w:rPr>
      </w:pPr>
      <w:r>
        <w:rPr>
          <w:rStyle w:val="normaltextrun"/>
          <w:rFonts w:ascii="Palatino Linotype" w:hAnsi="Palatino Linotype" w:cs="Segoe UI"/>
        </w:rPr>
        <w:t xml:space="preserve">Ahora </w:t>
      </w:r>
      <w:r w:rsidR="004D6DE5">
        <w:rPr>
          <w:rStyle w:val="normaltextrun"/>
          <w:rFonts w:ascii="Palatino Linotype" w:hAnsi="Palatino Linotype" w:cs="Segoe UI"/>
        </w:rPr>
        <w:t>bien,</w:t>
      </w:r>
      <w:r w:rsidRPr="00911351">
        <w:rPr>
          <w:rStyle w:val="normaltextrun"/>
          <w:rFonts w:ascii="Palatino Linotype" w:hAnsi="Palatino Linotype" w:cs="Segoe UI"/>
        </w:rPr>
        <w:t xml:space="preserve"> resulta procedente la interposición del </w:t>
      </w:r>
      <w:r w:rsidR="00854B1C">
        <w:rPr>
          <w:rStyle w:val="normaltextrun"/>
          <w:rFonts w:ascii="Palatino Linotype" w:hAnsi="Palatino Linotype" w:cs="Segoe UI"/>
        </w:rPr>
        <w:t xml:space="preserve">recurso, según lo aducido por </w:t>
      </w:r>
      <w:r w:rsidR="00C6202E">
        <w:rPr>
          <w:rStyle w:val="normaltextrun"/>
          <w:rFonts w:ascii="Palatino Linotype" w:hAnsi="Palatino Linotype" w:cs="Segoe UI"/>
        </w:rPr>
        <w:t>el recurrente</w:t>
      </w:r>
      <w:r w:rsidRPr="00911351">
        <w:rPr>
          <w:rStyle w:val="normaltextrun"/>
          <w:rFonts w:ascii="Palatino Linotype" w:hAnsi="Palatino Linotype" w:cs="Segoe UI"/>
        </w:rPr>
        <w:t xml:space="preserve"> en sus motivos de inconformidad, de acuerdo al artículo</w:t>
      </w:r>
      <w:r>
        <w:rPr>
          <w:rStyle w:val="apple-converted-space"/>
          <w:rFonts w:ascii="Palatino Linotype" w:hAnsi="Palatino Linotype" w:cs="Segoe UI"/>
        </w:rPr>
        <w:t xml:space="preserve"> </w:t>
      </w:r>
      <w:r>
        <w:rPr>
          <w:rStyle w:val="normaltextrun"/>
          <w:rFonts w:ascii="Palatino Linotype" w:hAnsi="Palatino Linotype" w:cs="Segoe UI"/>
        </w:rPr>
        <w:t>179</w:t>
      </w:r>
      <w:r w:rsidR="00581E90">
        <w:rPr>
          <w:rStyle w:val="normaltextrun"/>
          <w:rFonts w:ascii="Palatino Linotype" w:hAnsi="Palatino Linotype" w:cs="Segoe UI"/>
        </w:rPr>
        <w:t>,</w:t>
      </w:r>
      <w:r>
        <w:rPr>
          <w:rStyle w:val="normaltextrun"/>
          <w:rFonts w:ascii="Palatino Linotype" w:hAnsi="Palatino Linotype" w:cs="Segoe UI"/>
        </w:rPr>
        <w:t xml:space="preserve"> </w:t>
      </w:r>
      <w:r w:rsidR="00EB6B00">
        <w:rPr>
          <w:rStyle w:val="normaltextrun"/>
          <w:rFonts w:ascii="Palatino Linotype" w:hAnsi="Palatino Linotype" w:cs="Segoe UI"/>
        </w:rPr>
        <w:t>fracción I</w:t>
      </w:r>
      <w:r>
        <w:rPr>
          <w:rStyle w:val="normaltextrun"/>
          <w:rFonts w:ascii="Palatino Linotype" w:hAnsi="Palatino Linotype" w:cs="Segoe UI"/>
        </w:rPr>
        <w:t xml:space="preserve"> de la </w:t>
      </w:r>
      <w:r w:rsidRPr="00911351">
        <w:rPr>
          <w:rStyle w:val="normaltextrun"/>
          <w:rFonts w:ascii="Palatino Linotype" w:hAnsi="Palatino Linotype" w:cs="Segoe UI"/>
        </w:rPr>
        <w:t>Ley de Transparencia y Acceso a la Información Pública del Estado de México y Municipios</w:t>
      </w:r>
      <w:r>
        <w:rPr>
          <w:rStyle w:val="normaltextrun"/>
          <w:rFonts w:ascii="Palatino Linotype" w:hAnsi="Palatino Linotype" w:cs="Segoe UI"/>
        </w:rPr>
        <w:t>;</w:t>
      </w:r>
      <w:r w:rsidRPr="00911351">
        <w:rPr>
          <w:rStyle w:val="normaltextrun"/>
          <w:rFonts w:ascii="Palatino Linotype" w:hAnsi="Palatino Linotype" w:cs="Segoe UI"/>
        </w:rPr>
        <w:t xml:space="preserve"> que a la letra dice:</w:t>
      </w:r>
    </w:p>
    <w:p w:rsidR="002D48FE" w:rsidRDefault="007E6426" w:rsidP="002D48FE">
      <w:pPr>
        <w:pStyle w:val="paragraph"/>
        <w:spacing w:before="240" w:beforeAutospacing="0" w:after="240" w:afterAutospacing="0"/>
        <w:ind w:left="993" w:right="1041"/>
        <w:jc w:val="both"/>
        <w:textAlignment w:val="baseline"/>
        <w:rPr>
          <w:rFonts w:ascii="Palatino Linotype" w:hAnsi="Palatino Linotype"/>
          <w:i/>
          <w:sz w:val="22"/>
          <w:szCs w:val="22"/>
        </w:rPr>
      </w:pPr>
      <w:r w:rsidRPr="00911351">
        <w:rPr>
          <w:rStyle w:val="normaltextrun"/>
          <w:rFonts w:ascii="Palatino Linotype" w:hAnsi="Palatino Linotype" w:cs="Segoe UI"/>
          <w:b/>
          <w:bCs/>
          <w:i/>
          <w:iCs/>
          <w:sz w:val="22"/>
          <w:szCs w:val="22"/>
        </w:rPr>
        <w:lastRenderedPageBreak/>
        <w:t>“</w:t>
      </w:r>
      <w:r w:rsidRPr="00911351">
        <w:rPr>
          <w:rFonts w:ascii="Palatino Linotype" w:hAnsi="Palatino Linotype"/>
          <w:b/>
          <w:i/>
          <w:sz w:val="22"/>
          <w:szCs w:val="22"/>
        </w:rPr>
        <w:t>Artículo 179</w:t>
      </w:r>
      <w:r w:rsidRPr="00911351">
        <w:rPr>
          <w:rFonts w:ascii="Palatino Linotype" w:hAnsi="Palatino Linotype"/>
          <w:i/>
          <w:sz w:val="22"/>
          <w:szCs w:val="22"/>
        </w:rPr>
        <w:t xml:space="preserve">. </w:t>
      </w:r>
      <w:r w:rsidRPr="00911351">
        <w:rPr>
          <w:rFonts w:ascii="Palatino Linotype" w:hAnsi="Palatino Linotype"/>
          <w:b/>
          <w:i/>
          <w:sz w:val="22"/>
          <w:szCs w:val="22"/>
        </w:rPr>
        <w:t>El recurso de revisión</w:t>
      </w:r>
      <w:r w:rsidRPr="00911351">
        <w:rPr>
          <w:rFonts w:ascii="Palatino Linotype" w:hAnsi="Palatino Linotype"/>
          <w:i/>
          <w:sz w:val="22"/>
          <w:szCs w:val="22"/>
        </w:rPr>
        <w:t xml:space="preserve"> es un medio de protección que la Ley otorga a los particulares, para hacer valer su derecho de acceso a la información pública</w:t>
      </w:r>
      <w:r w:rsidRPr="00911351">
        <w:rPr>
          <w:rFonts w:ascii="Palatino Linotype" w:hAnsi="Palatino Linotype"/>
          <w:b/>
          <w:i/>
          <w:sz w:val="22"/>
          <w:szCs w:val="22"/>
        </w:rPr>
        <w:t>, y procederá en contra de las siguientes causas</w:t>
      </w:r>
      <w:r w:rsidRPr="00911351">
        <w:rPr>
          <w:rFonts w:ascii="Palatino Linotype" w:hAnsi="Palatino Linotype"/>
          <w:i/>
          <w:sz w:val="22"/>
          <w:szCs w:val="22"/>
        </w:rPr>
        <w:t>:</w:t>
      </w:r>
    </w:p>
    <w:p w:rsidR="007E6426" w:rsidRDefault="00266653" w:rsidP="002D48FE">
      <w:pPr>
        <w:pStyle w:val="paragraph"/>
        <w:numPr>
          <w:ilvl w:val="0"/>
          <w:numId w:val="16"/>
        </w:numPr>
        <w:spacing w:before="240" w:beforeAutospacing="0" w:after="240" w:afterAutospacing="0"/>
        <w:ind w:right="1041"/>
        <w:jc w:val="both"/>
        <w:textAlignment w:val="baseline"/>
        <w:rPr>
          <w:rFonts w:ascii="Palatino Linotype" w:hAnsi="Palatino Linotype"/>
          <w:i/>
          <w:sz w:val="22"/>
          <w:szCs w:val="22"/>
        </w:rPr>
      </w:pPr>
      <w:r>
        <w:rPr>
          <w:rFonts w:ascii="Palatino Linotype" w:hAnsi="Palatino Linotype"/>
          <w:i/>
          <w:sz w:val="22"/>
          <w:szCs w:val="22"/>
        </w:rPr>
        <w:t xml:space="preserve">La </w:t>
      </w:r>
      <w:r w:rsidR="002D48FE">
        <w:rPr>
          <w:rFonts w:ascii="Palatino Linotype" w:hAnsi="Palatino Linotype"/>
          <w:i/>
          <w:sz w:val="22"/>
          <w:szCs w:val="22"/>
        </w:rPr>
        <w:t>negativa de la información solicitada…”</w:t>
      </w:r>
      <w:r w:rsidR="00AF3EE9">
        <w:rPr>
          <w:rFonts w:ascii="Palatino Linotype" w:hAnsi="Palatino Linotype"/>
          <w:i/>
          <w:sz w:val="22"/>
          <w:szCs w:val="22"/>
        </w:rPr>
        <w:t xml:space="preserve"> </w:t>
      </w:r>
      <w:r w:rsidR="00854B1C">
        <w:rPr>
          <w:rFonts w:ascii="Palatino Linotype" w:hAnsi="Palatino Linotype"/>
          <w:i/>
          <w:sz w:val="22"/>
          <w:szCs w:val="22"/>
        </w:rPr>
        <w:t>(</w:t>
      </w:r>
      <w:r w:rsidR="007E6426">
        <w:rPr>
          <w:rFonts w:ascii="Palatino Linotype" w:hAnsi="Palatino Linotype"/>
          <w:i/>
          <w:sz w:val="22"/>
          <w:szCs w:val="22"/>
        </w:rPr>
        <w:t>Sic)</w:t>
      </w:r>
    </w:p>
    <w:p w:rsidR="00F15EDD" w:rsidRDefault="00AE03C3" w:rsidP="000D34A1">
      <w:pPr>
        <w:pStyle w:val="paragraph"/>
        <w:spacing w:before="0" w:beforeAutospacing="0" w:after="240" w:afterAutospacing="0" w:line="360" w:lineRule="auto"/>
        <w:ind w:right="-150"/>
        <w:jc w:val="both"/>
        <w:textAlignment w:val="baseline"/>
        <w:rPr>
          <w:rFonts w:ascii="Palatino Linotype" w:hAnsi="Palatino Linotype"/>
        </w:rPr>
      </w:pPr>
      <w:r w:rsidRPr="00080788">
        <w:rPr>
          <w:rFonts w:ascii="Palatino Linotype" w:hAnsi="Palatino Linotype" w:cs="Arial"/>
          <w:b/>
        </w:rPr>
        <w:t xml:space="preserve">Tercero. </w:t>
      </w:r>
      <w:r w:rsidR="000D34A1" w:rsidRPr="00452FB2">
        <w:rPr>
          <w:rFonts w:ascii="Palatino Linotype" w:hAnsi="Palatino Linotype" w:cs="Arial"/>
          <w:b/>
        </w:rPr>
        <w:t>Análisis de las causales de sobreseimiento.</w:t>
      </w:r>
      <w:r w:rsidR="000D34A1">
        <w:rPr>
          <w:rFonts w:ascii="Palatino Linotype" w:hAnsi="Palatino Linotype" w:cs="Arial"/>
          <w:b/>
        </w:rPr>
        <w:t xml:space="preserve"> </w:t>
      </w:r>
      <w:r w:rsidR="00F15EDD" w:rsidRPr="00EE6DBE">
        <w:rPr>
          <w:rFonts w:ascii="Palatino Linotype" w:hAnsi="Palatino Linotype"/>
        </w:rPr>
        <w:t xml:space="preserve">Es importante recordar que la materia de la solicitud </w:t>
      </w:r>
      <w:r w:rsidR="00266653">
        <w:rPr>
          <w:rFonts w:ascii="Palatino Linotype" w:hAnsi="Palatino Linotype"/>
        </w:rPr>
        <w:t>de acceso a la información d</w:t>
      </w:r>
      <w:r w:rsidR="00C6202E">
        <w:rPr>
          <w:rFonts w:ascii="Palatino Linotype" w:hAnsi="Palatino Linotype"/>
        </w:rPr>
        <w:t>el recurrente</w:t>
      </w:r>
      <w:r w:rsidR="00F15EDD" w:rsidRPr="00EE6DBE">
        <w:rPr>
          <w:rFonts w:ascii="Palatino Linotype" w:hAnsi="Palatino Linotype"/>
        </w:rPr>
        <w:t xml:space="preserve"> consistió en que el </w:t>
      </w:r>
      <w:r w:rsidR="002D48FE">
        <w:rPr>
          <w:rFonts w:ascii="Palatino Linotype" w:hAnsi="Palatino Linotype"/>
        </w:rPr>
        <w:t>Ayuntamiento de Huixquilucan,</w:t>
      </w:r>
      <w:r w:rsidR="00F15EDD" w:rsidRPr="00EE6DBE">
        <w:rPr>
          <w:rFonts w:ascii="Palatino Linotype" w:hAnsi="Palatino Linotype"/>
        </w:rPr>
        <w:t xml:space="preserve"> le proporcionara vía SAIMEX, lo siguiente:</w:t>
      </w:r>
    </w:p>
    <w:p w:rsidR="002D48FE" w:rsidRPr="002D48FE" w:rsidRDefault="002D48FE" w:rsidP="002D48FE">
      <w:pPr>
        <w:pStyle w:val="Prrafodelista"/>
        <w:numPr>
          <w:ilvl w:val="0"/>
          <w:numId w:val="18"/>
        </w:numPr>
        <w:autoSpaceDE w:val="0"/>
        <w:autoSpaceDN w:val="0"/>
        <w:adjustRightInd w:val="0"/>
        <w:spacing w:before="240" w:after="240" w:line="360" w:lineRule="auto"/>
        <w:jc w:val="both"/>
        <w:rPr>
          <w:rFonts w:ascii="Palatino Linotype" w:hAnsi="Palatino Linotype"/>
        </w:rPr>
      </w:pPr>
      <w:r w:rsidRPr="002D48FE">
        <w:rPr>
          <w:rFonts w:ascii="Palatino Linotype" w:hAnsi="Palatino Linotype"/>
        </w:rPr>
        <w:t>Informen cuánto se le debe a cada proveedor del Ayuntamiento.</w:t>
      </w:r>
    </w:p>
    <w:p w:rsidR="00F15EDD" w:rsidRDefault="00F15EDD" w:rsidP="00C87077">
      <w:pPr>
        <w:autoSpaceDE w:val="0"/>
        <w:autoSpaceDN w:val="0"/>
        <w:adjustRightInd w:val="0"/>
        <w:spacing w:before="240" w:after="240" w:line="360" w:lineRule="auto"/>
        <w:jc w:val="both"/>
        <w:rPr>
          <w:rFonts w:ascii="Palatino Linotype" w:hAnsi="Palatino Linotype"/>
        </w:rPr>
      </w:pPr>
      <w:r w:rsidRPr="00F75AEC">
        <w:rPr>
          <w:rFonts w:ascii="Palatino Linotype" w:hAnsi="Palatino Linotype"/>
        </w:rPr>
        <w:t xml:space="preserve">Posteriormente el Sujeto Obligado da respuesta a la solicitud, </w:t>
      </w:r>
      <w:r w:rsidR="00EE6DBE">
        <w:rPr>
          <w:rFonts w:ascii="Palatino Linotype" w:hAnsi="Palatino Linotype"/>
        </w:rPr>
        <w:t>a través de los archivos electrónicos siguientes:</w:t>
      </w:r>
    </w:p>
    <w:p w:rsidR="00FA0C43" w:rsidRPr="00FA0C43" w:rsidRDefault="002D48FE" w:rsidP="00F15EDD">
      <w:pPr>
        <w:autoSpaceDE w:val="0"/>
        <w:autoSpaceDN w:val="0"/>
        <w:adjustRightInd w:val="0"/>
        <w:spacing w:before="240" w:after="240" w:line="360" w:lineRule="auto"/>
        <w:jc w:val="both"/>
        <w:rPr>
          <w:rFonts w:ascii="Palatino Linotype" w:eastAsia="Palatino Linotype" w:hAnsi="Palatino Linotype" w:cs="Palatino Linotype"/>
          <w:i/>
        </w:rPr>
      </w:pPr>
      <w:r w:rsidRPr="002A6F11">
        <w:rPr>
          <w:rFonts w:ascii="Palatino Linotype" w:eastAsia="Palatino Linotype" w:hAnsi="Palatino Linotype" w:cs="Palatino Linotype"/>
        </w:rPr>
        <w:t>“</w:t>
      </w:r>
      <w:hyperlink r:id="rId11" w:tgtFrame="_blank" w:history="1">
        <w:r w:rsidRPr="00E578F2">
          <w:rPr>
            <w:rFonts w:ascii="Palatino Linotype" w:eastAsia="Palatino Linotype" w:hAnsi="Palatino Linotype" w:cs="Palatino Linotype"/>
          </w:rPr>
          <w:t>Solicitud 01341HUIXQUILIP2021.pdf</w:t>
        </w:r>
      </w:hyperlink>
      <w:r w:rsidRPr="002A6F11">
        <w:rPr>
          <w:rFonts w:ascii="Palatino Linotype" w:eastAsia="Palatino Linotype" w:hAnsi="Palatino Linotype" w:cs="Palatino Linotype"/>
        </w:rPr>
        <w:t>”</w:t>
      </w:r>
      <w:r w:rsidR="00FA0C43">
        <w:rPr>
          <w:rFonts w:ascii="Palatino Linotype" w:eastAsia="Palatino Linotype" w:hAnsi="Palatino Linotype" w:cs="Palatino Linotype"/>
        </w:rPr>
        <w:t>, el cual se informó que: “</w:t>
      </w:r>
      <w:r w:rsidR="00FA0C43" w:rsidRPr="00FA0C43">
        <w:rPr>
          <w:rFonts w:ascii="Palatino Linotype" w:eastAsia="Palatino Linotype" w:hAnsi="Palatino Linotype" w:cs="Palatino Linotype"/>
          <w:i/>
        </w:rPr>
        <w:t>Es menester de la Tesorería Municipal, brindar la información así como, aclarar al solicitante que las operaciones que se registran en la contabilidad y en el presupuesto, son en cumplimiento y apego a lo establecido en La Ley General de Contabilidad Gubernamental; para tales efectos y con fundamento en lo señalado en el artículo 37 de la ley en comento”</w:t>
      </w:r>
    </w:p>
    <w:p w:rsidR="002D48FE" w:rsidRDefault="002D48FE" w:rsidP="00F15EDD">
      <w:pPr>
        <w:autoSpaceDE w:val="0"/>
        <w:autoSpaceDN w:val="0"/>
        <w:adjustRightInd w:val="0"/>
        <w:spacing w:before="240" w:after="240" w:line="360" w:lineRule="auto"/>
        <w:jc w:val="both"/>
        <w:rPr>
          <w:rFonts w:ascii="Palatino Linotype" w:eastAsia="Palatino Linotype" w:hAnsi="Palatino Linotype" w:cs="Palatino Linotype"/>
        </w:rPr>
      </w:pPr>
      <w:r>
        <w:rPr>
          <w:rFonts w:ascii="Palatino Linotype" w:eastAsia="Palatino Linotype" w:hAnsi="Palatino Linotype" w:cs="Palatino Linotype"/>
        </w:rPr>
        <w:t>Asimismo, señaló que la Tesorería Municipal no</w:t>
      </w:r>
      <w:r w:rsidRPr="002D48FE">
        <w:rPr>
          <w:rFonts w:ascii="Palatino Linotype" w:eastAsia="Palatino Linotype" w:hAnsi="Palatino Linotype" w:cs="Palatino Linotype"/>
        </w:rPr>
        <w:t xml:space="preserve"> cuenta con un reporte o documento donde pueda informar el adeudo </w:t>
      </w:r>
      <w:r>
        <w:rPr>
          <w:rFonts w:ascii="Palatino Linotype" w:eastAsia="Palatino Linotype" w:hAnsi="Palatino Linotype" w:cs="Palatino Linotype"/>
        </w:rPr>
        <w:t>a cada uno de sus proveedores,</w:t>
      </w:r>
      <w:r w:rsidRPr="002D48FE">
        <w:rPr>
          <w:rFonts w:ascii="Palatino Linotype" w:eastAsia="Palatino Linotype" w:hAnsi="Palatino Linotype" w:cs="Palatino Linotype"/>
        </w:rPr>
        <w:t xml:space="preserve"> de conformidad con el artículo 12 de la Ley de Transparencia y Acceso a la Información Pública del Estado de México, no se está obligado a generarlo conforme al interés del solicitante</w:t>
      </w:r>
    </w:p>
    <w:p w:rsidR="00FF3439" w:rsidRDefault="00F75AEC" w:rsidP="00F15EDD">
      <w:pPr>
        <w:autoSpaceDE w:val="0"/>
        <w:autoSpaceDN w:val="0"/>
        <w:adjustRightInd w:val="0"/>
        <w:spacing w:before="240" w:after="240" w:line="360" w:lineRule="auto"/>
        <w:jc w:val="both"/>
        <w:rPr>
          <w:rFonts w:ascii="Palatino Linotype" w:hAnsi="Palatino Linotype"/>
        </w:rPr>
      </w:pPr>
      <w:r>
        <w:rPr>
          <w:rFonts w:ascii="Palatino Linotype" w:hAnsi="Palatino Linotype"/>
        </w:rPr>
        <w:t>Inconforme</w:t>
      </w:r>
      <w:r w:rsidR="00F15EDD" w:rsidRPr="001E429E">
        <w:rPr>
          <w:rFonts w:ascii="Palatino Linotype" w:hAnsi="Palatino Linotype"/>
        </w:rPr>
        <w:t xml:space="preserve"> </w:t>
      </w:r>
      <w:r w:rsidR="00C6202E">
        <w:rPr>
          <w:rFonts w:ascii="Palatino Linotype" w:hAnsi="Palatino Linotype"/>
        </w:rPr>
        <w:t>el recurrente</w:t>
      </w:r>
      <w:r w:rsidR="00F15EDD">
        <w:rPr>
          <w:rFonts w:ascii="Palatino Linotype" w:hAnsi="Palatino Linotype"/>
        </w:rPr>
        <w:t xml:space="preserve"> </w:t>
      </w:r>
      <w:r>
        <w:rPr>
          <w:rFonts w:ascii="Palatino Linotype" w:hAnsi="Palatino Linotype"/>
        </w:rPr>
        <w:t xml:space="preserve">con la respuesta del Sujeto Obligado, se queja </w:t>
      </w:r>
      <w:r w:rsidR="002D48FE">
        <w:rPr>
          <w:rFonts w:ascii="Palatino Linotype" w:hAnsi="Palatino Linotype"/>
        </w:rPr>
        <w:t>porque el Sujeto Obligado le negó la información solicitada; ya que, lo que solicitó se encuentra en su Balanza d</w:t>
      </w:r>
      <w:r w:rsidR="002D48FE" w:rsidRPr="002D48FE">
        <w:rPr>
          <w:rFonts w:ascii="Palatino Linotype" w:hAnsi="Palatino Linotype"/>
        </w:rPr>
        <w:t>e Comprobación D</w:t>
      </w:r>
      <w:r w:rsidR="002D48FE">
        <w:rPr>
          <w:rFonts w:ascii="Palatino Linotype" w:hAnsi="Palatino Linotype"/>
        </w:rPr>
        <w:t>etallada</w:t>
      </w:r>
      <w:r w:rsidR="002D48FE" w:rsidRPr="002D48FE">
        <w:rPr>
          <w:rFonts w:ascii="Palatino Linotype" w:hAnsi="Palatino Linotype"/>
        </w:rPr>
        <w:t xml:space="preserve">, </w:t>
      </w:r>
      <w:r w:rsidR="002D48FE">
        <w:rPr>
          <w:rFonts w:ascii="Palatino Linotype" w:hAnsi="Palatino Linotype"/>
        </w:rPr>
        <w:t xml:space="preserve">que </w:t>
      </w:r>
      <w:r w:rsidR="002D48FE" w:rsidRPr="002D48FE">
        <w:rPr>
          <w:rFonts w:ascii="Palatino Linotype" w:hAnsi="Palatino Linotype"/>
        </w:rPr>
        <w:t>por ser trimest</w:t>
      </w:r>
      <w:r w:rsidR="002D48FE">
        <w:rPr>
          <w:rFonts w:ascii="Palatino Linotype" w:hAnsi="Palatino Linotype"/>
        </w:rPr>
        <w:t>ral, debe estar lista</w:t>
      </w:r>
      <w:r w:rsidR="002D48FE" w:rsidRPr="002D48FE">
        <w:rPr>
          <w:rFonts w:ascii="Palatino Linotype" w:hAnsi="Palatino Linotype"/>
        </w:rPr>
        <w:t xml:space="preserve"> la correspondiente al mes de septiembre de este año 2021</w:t>
      </w:r>
      <w:r w:rsidR="002D48FE">
        <w:rPr>
          <w:rFonts w:ascii="Palatino Linotype" w:hAnsi="Palatino Linotype"/>
        </w:rPr>
        <w:t xml:space="preserve">, finalmente </w:t>
      </w:r>
      <w:r w:rsidR="002D48FE">
        <w:rPr>
          <w:rFonts w:ascii="Palatino Linotype" w:hAnsi="Palatino Linotype"/>
        </w:rPr>
        <w:lastRenderedPageBreak/>
        <w:t xml:space="preserve">enfatizó qué, lo que solicitó es información pública y sí está obligado </w:t>
      </w:r>
      <w:r w:rsidR="00DD00F1">
        <w:rPr>
          <w:rFonts w:ascii="Palatino Linotype" w:hAnsi="Palatino Linotype"/>
        </w:rPr>
        <w:t>a generarla, lo que está incumpliendo con la Ley.</w:t>
      </w:r>
    </w:p>
    <w:p w:rsidR="00F75AEC" w:rsidRDefault="00F15EDD" w:rsidP="00F15EDD">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Ante la interposición del Recurso de Revisión, el Sujeto Obligado </w:t>
      </w:r>
      <w:r w:rsidR="00FA0C43">
        <w:rPr>
          <w:rFonts w:ascii="Palatino Linotype" w:hAnsi="Palatino Linotype"/>
        </w:rPr>
        <w:t>remite en el apar</w:t>
      </w:r>
      <w:r w:rsidR="00F75AEC">
        <w:rPr>
          <w:rFonts w:ascii="Palatino Linotype" w:hAnsi="Palatino Linotype"/>
        </w:rPr>
        <w:t xml:space="preserve">tado de manifestaciones </w:t>
      </w:r>
      <w:r w:rsidR="0084038C">
        <w:rPr>
          <w:rFonts w:ascii="Palatino Linotype" w:hAnsi="Palatino Linotype"/>
        </w:rPr>
        <w:t>los siguientes archivos electrónicos:</w:t>
      </w:r>
    </w:p>
    <w:p w:rsidR="00DD00F1" w:rsidRDefault="00DD00F1" w:rsidP="00C43202">
      <w:pPr>
        <w:autoSpaceDE w:val="0"/>
        <w:autoSpaceDN w:val="0"/>
        <w:adjustRightInd w:val="0"/>
        <w:spacing w:before="240" w:after="240" w:line="360" w:lineRule="auto"/>
        <w:jc w:val="both"/>
        <w:rPr>
          <w:rFonts w:ascii="Palatino Linotype" w:hAnsi="Palatino Linotype" w:cs="Arial"/>
          <w:lang w:eastAsia="en-US"/>
        </w:rPr>
      </w:pPr>
      <w:r w:rsidRPr="00E97D16">
        <w:rPr>
          <w:rFonts w:ascii="Palatino Linotype" w:hAnsi="Palatino Linotype" w:cs="Arial"/>
          <w:lang w:eastAsia="en-US"/>
        </w:rPr>
        <w:t>-“</w:t>
      </w:r>
      <w:hyperlink r:id="rId12" w:history="1">
        <w:r w:rsidRPr="00E578F2">
          <w:rPr>
            <w:rFonts w:ascii="Palatino Linotype" w:hAnsi="Palatino Linotype"/>
          </w:rPr>
          <w:t>UNIDAD DE TRANSPARENCIA.pdf</w:t>
        </w:r>
      </w:hyperlink>
      <w:r>
        <w:rPr>
          <w:rFonts w:ascii="Palatino Linotype" w:hAnsi="Palatino Linotype" w:cs="Arial"/>
          <w:lang w:eastAsia="en-US"/>
        </w:rPr>
        <w:t xml:space="preserve">”, </w:t>
      </w:r>
      <w:r w:rsidR="00391967">
        <w:rPr>
          <w:rFonts w:ascii="Palatino Linotype" w:hAnsi="Palatino Linotype" w:cs="Arial"/>
          <w:lang w:eastAsia="en-US"/>
        </w:rPr>
        <w:t xml:space="preserve">el cual contiene el Informe Justificado del Sujeto Obligado, por medio del cual el Titular de la Unidad de Transparencia del Sujeto Obligado, además de señalar los antecedentes del presenten asunto, informó </w:t>
      </w:r>
      <w:r w:rsidR="00FA0C43">
        <w:rPr>
          <w:rFonts w:ascii="Palatino Linotype" w:hAnsi="Palatino Linotype" w:cs="Arial"/>
          <w:lang w:eastAsia="en-US"/>
        </w:rPr>
        <w:t>que</w:t>
      </w:r>
      <w:r w:rsidR="00391967">
        <w:rPr>
          <w:rFonts w:ascii="Palatino Linotype" w:hAnsi="Palatino Linotype" w:cs="Arial"/>
          <w:lang w:eastAsia="en-US"/>
        </w:rPr>
        <w:t xml:space="preserve"> la Tesorería Municipal, mediante el oficio número TM/623/10/2021, dio respuesta a los </w:t>
      </w:r>
      <w:r w:rsidR="00FA0C43">
        <w:rPr>
          <w:rFonts w:ascii="Palatino Linotype" w:hAnsi="Palatino Linotype" w:cs="Arial"/>
          <w:lang w:eastAsia="en-US"/>
        </w:rPr>
        <w:t>motivos de inconformidad</w:t>
      </w:r>
      <w:r w:rsidR="00391967">
        <w:rPr>
          <w:rFonts w:ascii="Palatino Linotype" w:hAnsi="Palatino Linotype" w:cs="Arial"/>
          <w:lang w:eastAsia="en-US"/>
        </w:rPr>
        <w:t xml:space="preserve">, </w:t>
      </w:r>
      <w:r w:rsidR="00FA0C43">
        <w:rPr>
          <w:rFonts w:ascii="Palatino Linotype" w:hAnsi="Palatino Linotype" w:cs="Arial"/>
          <w:lang w:eastAsia="en-US"/>
        </w:rPr>
        <w:t xml:space="preserve">oficio </w:t>
      </w:r>
      <w:r w:rsidR="00391967">
        <w:rPr>
          <w:rFonts w:ascii="Palatino Linotype" w:hAnsi="Palatino Linotype" w:cs="Arial"/>
          <w:lang w:eastAsia="en-US"/>
        </w:rPr>
        <w:t>el cual corresponde al siguiente archivo electrónico que se describe.</w:t>
      </w:r>
    </w:p>
    <w:p w:rsidR="00DD00F1" w:rsidRDefault="00DD00F1" w:rsidP="00C43202">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lang w:eastAsia="en-US"/>
        </w:rPr>
        <w:t>-“</w:t>
      </w:r>
      <w:proofErr w:type="spellStart"/>
      <w:r w:rsidR="004D6D6A">
        <w:rPr>
          <w:rFonts w:ascii="Palatino Linotype" w:hAnsi="Palatino Linotype"/>
        </w:rPr>
        <w:fldChar w:fldCharType="begin"/>
      </w:r>
      <w:r w:rsidR="004D6D6A">
        <w:rPr>
          <w:rFonts w:ascii="Palatino Linotype" w:hAnsi="Palatino Linotype"/>
        </w:rPr>
        <w:instrText xml:space="preserve"> HYPERLINK "https://www.saimex.org.mx/saimex/solicitud/downloadAttach/1243792.page" </w:instrText>
      </w:r>
      <w:r w:rsidR="004D6D6A">
        <w:rPr>
          <w:rFonts w:ascii="Palatino Linotype" w:hAnsi="Palatino Linotype"/>
        </w:rPr>
        <w:fldChar w:fldCharType="separate"/>
      </w:r>
      <w:r w:rsidRPr="00E578F2">
        <w:rPr>
          <w:rFonts w:ascii="Palatino Linotype" w:hAnsi="Palatino Linotype"/>
        </w:rPr>
        <w:t>Tesoreria</w:t>
      </w:r>
      <w:proofErr w:type="spellEnd"/>
      <w:r w:rsidRPr="00E578F2">
        <w:rPr>
          <w:rFonts w:ascii="Palatino Linotype" w:hAnsi="Palatino Linotype"/>
        </w:rPr>
        <w:t xml:space="preserve"> informe.pdf</w:t>
      </w:r>
      <w:r w:rsidR="004D6D6A">
        <w:rPr>
          <w:rFonts w:ascii="Palatino Linotype" w:hAnsi="Palatino Linotype"/>
        </w:rPr>
        <w:fldChar w:fldCharType="end"/>
      </w:r>
      <w:r>
        <w:rPr>
          <w:rFonts w:ascii="Palatino Linotype" w:hAnsi="Palatino Linotype" w:cs="Arial"/>
          <w:lang w:eastAsia="en-US"/>
        </w:rPr>
        <w:t xml:space="preserve">”, </w:t>
      </w:r>
      <w:r w:rsidR="00391967">
        <w:rPr>
          <w:rFonts w:ascii="Palatino Linotype" w:hAnsi="Palatino Linotype" w:cs="Arial"/>
          <w:lang w:eastAsia="en-US"/>
        </w:rPr>
        <w:t xml:space="preserve">el cual contiene el oficio número TM/623/10/2021, por medio del cual la Tesorería Municipal, informó a el Titular de la Unidad de Transparencia, ambos del Sujeto </w:t>
      </w:r>
      <w:r w:rsidR="007E20FC">
        <w:rPr>
          <w:rFonts w:ascii="Palatino Linotype" w:hAnsi="Palatino Linotype" w:cs="Arial"/>
          <w:lang w:eastAsia="en-US"/>
        </w:rPr>
        <w:t xml:space="preserve">Obligado, que en atención al recurso de revisión número </w:t>
      </w:r>
      <w:r w:rsidR="007E20FC">
        <w:rPr>
          <w:rFonts w:ascii="Palatino Linotype" w:hAnsi="Palatino Linotype"/>
          <w:b/>
          <w:sz w:val="22"/>
          <w:szCs w:val="22"/>
          <w:lang w:val="es-ES_tradnl"/>
        </w:rPr>
        <w:t xml:space="preserve">05004/INFOEM/IP/RR/2021, </w:t>
      </w:r>
      <w:r w:rsidR="007E20FC" w:rsidRPr="007E20FC">
        <w:rPr>
          <w:rFonts w:ascii="Palatino Linotype" w:hAnsi="Palatino Linotype"/>
          <w:lang w:val="es-ES_tradnl"/>
        </w:rPr>
        <w:t>además de</w:t>
      </w:r>
      <w:r w:rsidR="007E20FC">
        <w:rPr>
          <w:rFonts w:ascii="Palatino Linotype" w:hAnsi="Palatino Linotype"/>
          <w:lang w:val="es-ES_tradnl"/>
        </w:rPr>
        <w:t xml:space="preserve"> señalar</w:t>
      </w:r>
      <w:r w:rsidR="007E20FC" w:rsidRPr="007E20FC">
        <w:rPr>
          <w:rFonts w:ascii="Palatino Linotype" w:hAnsi="Palatino Linotype"/>
          <w:lang w:val="es-ES_tradnl"/>
        </w:rPr>
        <w:t xml:space="preserve"> los antecedentes del presente asu</w:t>
      </w:r>
      <w:r w:rsidR="007E20FC">
        <w:rPr>
          <w:rFonts w:ascii="Palatino Linotype" w:hAnsi="Palatino Linotype"/>
          <w:lang w:val="es-ES_tradnl"/>
        </w:rPr>
        <w:t>n</w:t>
      </w:r>
      <w:r w:rsidR="007E20FC" w:rsidRPr="007E20FC">
        <w:rPr>
          <w:rFonts w:ascii="Palatino Linotype" w:hAnsi="Palatino Linotype"/>
          <w:lang w:val="es-ES_tradnl"/>
        </w:rPr>
        <w:t>to,</w:t>
      </w:r>
      <w:r w:rsidR="007E20FC">
        <w:rPr>
          <w:rFonts w:ascii="Palatino Linotype" w:hAnsi="Palatino Linotype"/>
          <w:b/>
          <w:lang w:val="es-ES_tradnl"/>
        </w:rPr>
        <w:t xml:space="preserve"> </w:t>
      </w:r>
      <w:r w:rsidR="007E20FC" w:rsidRPr="007E20FC">
        <w:rPr>
          <w:rFonts w:ascii="Palatino Linotype" w:hAnsi="Palatino Linotype" w:cs="Arial"/>
          <w:lang w:eastAsia="en-US"/>
        </w:rPr>
        <w:t>adjuntó la información documental sol</w:t>
      </w:r>
      <w:r w:rsidR="007E20FC">
        <w:rPr>
          <w:rFonts w:ascii="Palatino Linotype" w:hAnsi="Palatino Linotype" w:cs="Arial"/>
          <w:lang w:eastAsia="en-US"/>
        </w:rPr>
        <w:t xml:space="preserve">icitada por el ahora recurrente; consistente en la </w:t>
      </w:r>
      <w:r w:rsidR="007E20FC" w:rsidRPr="007E20FC">
        <w:rPr>
          <w:rFonts w:ascii="Palatino Linotype" w:hAnsi="Palatino Linotype" w:cs="Arial"/>
          <w:lang w:eastAsia="en-US"/>
        </w:rPr>
        <w:t xml:space="preserve">Balanza de comprobación Detallada Acumulada Trimestral </w:t>
      </w:r>
      <w:r w:rsidR="007E20FC">
        <w:rPr>
          <w:rFonts w:ascii="Palatino Linotype" w:hAnsi="Palatino Linotype" w:cs="Arial"/>
          <w:lang w:eastAsia="en-US"/>
        </w:rPr>
        <w:t>d</w:t>
      </w:r>
      <w:r w:rsidR="007E20FC" w:rsidRPr="007E20FC">
        <w:rPr>
          <w:rFonts w:ascii="Palatino Linotype" w:hAnsi="Palatino Linotype" w:cs="Arial"/>
          <w:lang w:eastAsia="en-US"/>
        </w:rPr>
        <w:t>el 01 de Julio al 30 de Septiembre de 2021</w:t>
      </w:r>
      <w:r w:rsidR="007E20FC">
        <w:rPr>
          <w:rFonts w:ascii="Palatino Linotype" w:hAnsi="Palatino Linotype" w:cs="Arial"/>
          <w:lang w:eastAsia="en-US"/>
        </w:rPr>
        <w:t>.</w:t>
      </w:r>
    </w:p>
    <w:p w:rsidR="00C43202" w:rsidRDefault="00F03394" w:rsidP="00D049F6">
      <w:pPr>
        <w:autoSpaceDE w:val="0"/>
        <w:autoSpaceDN w:val="0"/>
        <w:adjustRightInd w:val="0"/>
        <w:spacing w:before="240" w:after="240" w:line="360" w:lineRule="auto"/>
        <w:jc w:val="both"/>
        <w:rPr>
          <w:rFonts w:ascii="Palatino Linotype" w:hAnsi="Palatino Linotype" w:cs="Arial"/>
          <w:lang w:eastAsia="en-US"/>
        </w:rPr>
      </w:pPr>
      <w:r w:rsidRPr="00F03394">
        <w:rPr>
          <w:rFonts w:ascii="Palatino Linotype" w:hAnsi="Palatino Linotype"/>
        </w:rPr>
        <w:t xml:space="preserve">Precisado lo anterior, si bien es cierto que el Sujeto Obligado, a través de su Tesorería Municipal en su respuesta primigenia, señaló que no contaba </w:t>
      </w:r>
      <w:r w:rsidRPr="00F03394">
        <w:rPr>
          <w:rFonts w:ascii="Palatino Linotype" w:eastAsia="Palatino Linotype" w:hAnsi="Palatino Linotype" w:cs="Palatino Linotype"/>
        </w:rPr>
        <w:t>un reporte o documento donde pueda informar el adeudo a cada uno de sus proveedores</w:t>
      </w:r>
      <w:r>
        <w:rPr>
          <w:rFonts w:ascii="Palatino Linotype" w:hAnsi="Palatino Linotype"/>
        </w:rPr>
        <w:t xml:space="preserve">; sin embargo, en el apartado de manifestaciones del SAIMEX, remitió el documento denominado </w:t>
      </w:r>
      <w:r w:rsidRPr="007E20FC">
        <w:rPr>
          <w:rFonts w:ascii="Palatino Linotype" w:hAnsi="Palatino Linotype" w:cs="Arial"/>
          <w:lang w:eastAsia="en-US"/>
        </w:rPr>
        <w:t xml:space="preserve">Balanza de comprobación Detallada Acumulada Trimestral </w:t>
      </w:r>
      <w:r>
        <w:rPr>
          <w:rFonts w:ascii="Palatino Linotype" w:hAnsi="Palatino Linotype" w:cs="Arial"/>
          <w:lang w:eastAsia="en-US"/>
        </w:rPr>
        <w:t>d</w:t>
      </w:r>
      <w:r w:rsidRPr="007E20FC">
        <w:rPr>
          <w:rFonts w:ascii="Palatino Linotype" w:hAnsi="Palatino Linotype" w:cs="Arial"/>
          <w:lang w:eastAsia="en-US"/>
        </w:rPr>
        <w:t>el 01 de Julio al 30 de Septiembre de 2021</w:t>
      </w:r>
      <w:r>
        <w:rPr>
          <w:rFonts w:ascii="Palatino Linotype" w:hAnsi="Palatino Linotype" w:cs="Arial"/>
          <w:lang w:eastAsia="en-US"/>
        </w:rPr>
        <w:t xml:space="preserve">, en donde se advierte el adeudo que tiene el </w:t>
      </w:r>
      <w:r>
        <w:rPr>
          <w:rFonts w:ascii="Palatino Linotype" w:hAnsi="Palatino Linotype" w:cs="Arial"/>
          <w:lang w:eastAsia="en-US"/>
        </w:rPr>
        <w:lastRenderedPageBreak/>
        <w:t xml:space="preserve">Ayuntamiento del Huixquilucan con </w:t>
      </w:r>
      <w:r w:rsidR="00FA3138">
        <w:rPr>
          <w:rFonts w:ascii="Palatino Linotype" w:hAnsi="Palatino Linotype" w:cs="Arial"/>
          <w:lang w:eastAsia="en-US"/>
        </w:rPr>
        <w:t>diversos proveedores, como así se observa en la siguiente imagen:</w:t>
      </w:r>
    </w:p>
    <w:p w:rsidR="00FA3138" w:rsidRDefault="00FA3138" w:rsidP="00D049F6">
      <w:pPr>
        <w:autoSpaceDE w:val="0"/>
        <w:autoSpaceDN w:val="0"/>
        <w:adjustRightInd w:val="0"/>
        <w:spacing w:before="240" w:after="240" w:line="360" w:lineRule="auto"/>
        <w:jc w:val="both"/>
        <w:rPr>
          <w:rFonts w:ascii="Palatino Linotype" w:hAnsi="Palatino Linotype" w:cs="Arial"/>
          <w:lang w:eastAsia="en-US"/>
        </w:rPr>
      </w:pPr>
      <w:r>
        <w:rPr>
          <w:noProof/>
          <w:lang w:val="es-MX" w:eastAsia="es-MX"/>
        </w:rPr>
        <w:drawing>
          <wp:inline distT="0" distB="0" distL="0" distR="0" wp14:anchorId="122342BC" wp14:editId="48FA0382">
            <wp:extent cx="5353050" cy="6413500"/>
            <wp:effectExtent l="0" t="0" r="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157" t="14766" r="31278"/>
                    <a:stretch/>
                  </pic:blipFill>
                  <pic:spPr bwMode="auto">
                    <a:xfrm>
                      <a:off x="0" y="0"/>
                      <a:ext cx="5353050" cy="6413500"/>
                    </a:xfrm>
                    <a:prstGeom prst="rect">
                      <a:avLst/>
                    </a:prstGeom>
                    <a:ln>
                      <a:noFill/>
                    </a:ln>
                    <a:extLst>
                      <a:ext uri="{53640926-AAD7-44D8-BBD7-CCE9431645EC}">
                        <a14:shadowObscured xmlns:a14="http://schemas.microsoft.com/office/drawing/2010/main"/>
                      </a:ext>
                    </a:extLst>
                  </pic:spPr>
                </pic:pic>
              </a:graphicData>
            </a:graphic>
          </wp:inline>
        </w:drawing>
      </w:r>
    </w:p>
    <w:p w:rsidR="00F03394" w:rsidRDefault="00D74228" w:rsidP="00D74228">
      <w:pPr>
        <w:spacing w:before="100" w:beforeAutospacing="1" w:after="100" w:afterAutospacing="1" w:line="360" w:lineRule="auto"/>
        <w:jc w:val="both"/>
        <w:rPr>
          <w:rFonts w:ascii="Palatino Linotype" w:hAnsi="Palatino Linotype" w:cs="Arial"/>
          <w:bCs/>
        </w:rPr>
      </w:pPr>
      <w:r>
        <w:rPr>
          <w:noProof/>
          <w:lang w:val="es-MX" w:eastAsia="es-MX"/>
        </w:rPr>
        <w:lastRenderedPageBreak/>
        <mc:AlternateContent>
          <mc:Choice Requires="wps">
            <w:drawing>
              <wp:anchor distT="0" distB="0" distL="114300" distR="114300" simplePos="0" relativeHeight="251659264" behindDoc="0" locked="0" layoutInCell="1" allowOverlap="1" wp14:anchorId="338156D4" wp14:editId="03ECDFC8">
                <wp:simplePos x="0" y="0"/>
                <wp:positionH relativeFrom="column">
                  <wp:posOffset>907415</wp:posOffset>
                </wp:positionH>
                <wp:positionV relativeFrom="paragraph">
                  <wp:posOffset>5767070</wp:posOffset>
                </wp:positionV>
                <wp:extent cx="4394200" cy="212090"/>
                <wp:effectExtent l="76200" t="38100" r="44450" b="92710"/>
                <wp:wrapNone/>
                <wp:docPr id="13" name="Rectángulo redondeado 13"/>
                <wp:cNvGraphicFramePr/>
                <a:graphic xmlns:a="http://schemas.openxmlformats.org/drawingml/2006/main">
                  <a:graphicData uri="http://schemas.microsoft.com/office/word/2010/wordprocessingShape">
                    <wps:wsp>
                      <wps:cNvSpPr/>
                      <wps:spPr>
                        <a:xfrm>
                          <a:off x="0" y="0"/>
                          <a:ext cx="4394200" cy="212090"/>
                        </a:xfrm>
                        <a:prstGeom prst="roundRect">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24AA4C2" id="Rectángulo redondeado 13" o:spid="_x0000_s1026" style="position:absolute;margin-left:71.45pt;margin-top:454.1pt;width:346pt;height:16.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" filled="f" strokecolor="red" strokeweight="2.25pt">
                <v:shadow on="t" color="black" opacity="22937f" origin=",.5" offset="0,.63889mm"/>
              </v:roundrect>
            </w:pict>
          </mc:Fallback>
        </mc:AlternateContent>
      </w:r>
      <w:r w:rsidR="00FA0C43">
        <w:rPr>
          <w:rFonts w:ascii="Palatino Linotype" w:hAnsi="Palatino Linotype" w:cs="Arial"/>
          <w:lang w:eastAsia="en-US"/>
        </w:rPr>
        <w:t>Balanza de C</w:t>
      </w:r>
      <w:r w:rsidR="00F03394" w:rsidRPr="007E20FC">
        <w:rPr>
          <w:rFonts w:ascii="Palatino Linotype" w:hAnsi="Palatino Linotype" w:cs="Arial"/>
          <w:lang w:eastAsia="en-US"/>
        </w:rPr>
        <w:t>omprobación Detallada Acumulada</w:t>
      </w:r>
      <w:r w:rsidR="00FA0C43">
        <w:rPr>
          <w:rFonts w:ascii="Palatino Linotype" w:hAnsi="Palatino Linotype" w:cs="Arial"/>
          <w:lang w:eastAsia="en-US"/>
        </w:rPr>
        <w:t>,</w:t>
      </w:r>
      <w:r w:rsidR="00FA3138">
        <w:rPr>
          <w:rFonts w:ascii="Palatino Linotype" w:hAnsi="Palatino Linotype" w:cs="Arial"/>
          <w:lang w:eastAsia="en-US"/>
        </w:rPr>
        <w:t xml:space="preserve"> </w:t>
      </w:r>
      <w:r w:rsidR="00FA0C43">
        <w:rPr>
          <w:rFonts w:ascii="Palatino Linotype" w:hAnsi="Palatino Linotype" w:cs="Arial"/>
          <w:lang w:eastAsia="en-US"/>
        </w:rPr>
        <w:t>que es parte,</w:t>
      </w:r>
      <w:r w:rsidR="00F03394">
        <w:rPr>
          <w:rFonts w:ascii="Palatino Linotype" w:hAnsi="Palatino Linotype" w:cs="Arial"/>
          <w:lang w:eastAsia="en-US"/>
        </w:rPr>
        <w:t xml:space="preserve"> en </w:t>
      </w:r>
      <w:r w:rsidR="00F03394">
        <w:rPr>
          <w:rFonts w:ascii="Palatino Linotype" w:hAnsi="Palatino Linotype" w:cs="Arial"/>
          <w:bCs/>
        </w:rPr>
        <w:t>observancia a lo dispuesto por el Acuerdo publicado en el periódico</w:t>
      </w:r>
      <w:r w:rsidR="00FA0C43">
        <w:rPr>
          <w:rFonts w:ascii="Palatino Linotype" w:hAnsi="Palatino Linotype" w:cs="Arial"/>
          <w:bCs/>
        </w:rPr>
        <w:t xml:space="preserve"> oficial “Gaceta de Gobierno”, al</w:t>
      </w:r>
      <w:r w:rsidR="00F03394">
        <w:rPr>
          <w:rFonts w:ascii="Palatino Linotype" w:hAnsi="Palatino Linotype" w:cs="Arial"/>
          <w:bCs/>
        </w:rPr>
        <w:t xml:space="preserve"> informe trimestral</w:t>
      </w:r>
      <w:r w:rsidR="00FA0C43">
        <w:rPr>
          <w:rFonts w:ascii="Palatino Linotype" w:hAnsi="Palatino Linotype" w:cs="Arial"/>
          <w:bCs/>
        </w:rPr>
        <w:t xml:space="preserve">, el cual se integra </w:t>
      </w:r>
      <w:r w:rsidR="00F03394">
        <w:rPr>
          <w:rFonts w:ascii="Palatino Linotype" w:hAnsi="Palatino Linotype" w:cs="Arial"/>
          <w:bCs/>
        </w:rPr>
        <w:t>entre otros documentos</w:t>
      </w:r>
      <w:r w:rsidR="00DE7BA4">
        <w:rPr>
          <w:rFonts w:ascii="Palatino Linotype" w:hAnsi="Palatino Linotype" w:cs="Arial"/>
          <w:bCs/>
        </w:rPr>
        <w:t xml:space="preserve">, con </w:t>
      </w:r>
      <w:r w:rsidR="00F03394">
        <w:rPr>
          <w:rFonts w:ascii="Palatino Linotype" w:hAnsi="Palatino Linotype" w:cs="Arial"/>
          <w:bCs/>
        </w:rPr>
        <w:t xml:space="preserve">la </w:t>
      </w:r>
      <w:r w:rsidR="00F03394">
        <w:rPr>
          <w:rFonts w:ascii="Palatino Linotype" w:hAnsi="Palatino Linotype" w:cs="Arial"/>
          <w:b/>
          <w:bCs/>
        </w:rPr>
        <w:t>balanza de comprobación detallada</w:t>
      </w:r>
      <w:r w:rsidR="00F03394">
        <w:rPr>
          <w:rFonts w:ascii="Palatino Linotype" w:hAnsi="Palatino Linotype" w:cs="Arial"/>
          <w:bCs/>
        </w:rPr>
        <w:t xml:space="preserve">, </w:t>
      </w:r>
      <w:r w:rsidR="00DE7BA4">
        <w:rPr>
          <w:rFonts w:ascii="Palatino Linotype" w:hAnsi="Palatino Linotype" w:cs="Arial"/>
          <w:bCs/>
        </w:rPr>
        <w:t>dentro</w:t>
      </w:r>
      <w:r w:rsidR="00F03394">
        <w:rPr>
          <w:rFonts w:ascii="Palatino Linotype" w:hAnsi="Palatino Linotype" w:cs="Arial"/>
          <w:bCs/>
        </w:rPr>
        <w:t xml:space="preserve"> del módulo 1, correspondiente a la información contable y financiera; para mayor referencia se insertan la siguiente imagen:</w:t>
      </w:r>
      <w:r w:rsidR="00F03394">
        <w:rPr>
          <w:rFonts w:ascii="Palatino Linotype" w:hAnsi="Palatino Linotype" w:cs="Arial"/>
          <w:bCs/>
          <w:noProof/>
        </w:rPr>
        <w:t xml:space="preserve"> </w:t>
      </w:r>
      <w:r>
        <w:rPr>
          <w:rFonts w:ascii="Palatino Linotype" w:hAnsi="Palatino Linotype" w:cs="Arial"/>
          <w:noProof/>
          <w:lang w:val="es-MX" w:eastAsia="es-MX"/>
        </w:rPr>
        <w:t xml:space="preserve"> </w:t>
      </w:r>
      <w:r w:rsidR="00F03394">
        <w:rPr>
          <w:rFonts w:ascii="Palatino Linotype" w:hAnsi="Palatino Linotype" w:cs="Arial"/>
          <w:noProof/>
          <w:lang w:val="es-MX" w:eastAsia="es-MX"/>
        </w:rPr>
        <w:drawing>
          <wp:inline distT="0" distB="0" distL="0" distR="0">
            <wp:extent cx="5708650" cy="5003800"/>
            <wp:effectExtent l="0" t="0" r="635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8650" cy="5003800"/>
                    </a:xfrm>
                    <a:prstGeom prst="rect">
                      <a:avLst/>
                    </a:prstGeom>
                    <a:noFill/>
                    <a:ln>
                      <a:noFill/>
                    </a:ln>
                  </pic:spPr>
                </pic:pic>
              </a:graphicData>
            </a:graphic>
          </wp:inline>
        </w:drawing>
      </w:r>
    </w:p>
    <w:p w:rsidR="00F03394" w:rsidRDefault="00F03394" w:rsidP="00F03394">
      <w:pPr>
        <w:spacing w:line="360" w:lineRule="auto"/>
        <w:jc w:val="both"/>
        <w:rPr>
          <w:rFonts w:ascii="Palatino Linotype" w:hAnsi="Palatino Linotype" w:cs="Arial"/>
          <w:bCs/>
        </w:rPr>
      </w:pPr>
      <w:r>
        <w:rPr>
          <w:rFonts w:ascii="Palatino Linotype" w:hAnsi="Palatino Linotype" w:cs="Arial"/>
          <w:bCs/>
        </w:rPr>
        <w:t xml:space="preserve">Aunado a lo anterior, es importante referir que la </w:t>
      </w:r>
      <w:r>
        <w:rPr>
          <w:rFonts w:ascii="Palatino Linotype" w:hAnsi="Palatino Linotype" w:cs="Arial"/>
          <w:b/>
          <w:bCs/>
        </w:rPr>
        <w:t xml:space="preserve">balanza de comprobación detallada </w:t>
      </w:r>
      <w:r w:rsidR="00DE7BA4">
        <w:rPr>
          <w:rFonts w:ascii="Palatino Linotype" w:hAnsi="Palatino Linotype" w:cs="Arial"/>
          <w:bCs/>
        </w:rPr>
        <w:t>es parte</w:t>
      </w:r>
      <w:r>
        <w:rPr>
          <w:rFonts w:ascii="Palatino Linotype" w:hAnsi="Palatino Linotype" w:cs="Arial"/>
          <w:bCs/>
        </w:rPr>
        <w:t xml:space="preserve"> también de la Cuenta Pública la cual conforme al artículo 352 del </w:t>
      </w:r>
      <w:r>
        <w:rPr>
          <w:rFonts w:ascii="Palatino Linotype" w:hAnsi="Palatino Linotype" w:cs="Arial"/>
          <w:bCs/>
        </w:rPr>
        <w:lastRenderedPageBreak/>
        <w:t xml:space="preserve">Código Financiero del Estado de México, se encuentra integrada de la siguiente manera: </w:t>
      </w:r>
    </w:p>
    <w:p w:rsidR="00F03394" w:rsidRDefault="00F03394" w:rsidP="00F03394">
      <w:pPr>
        <w:spacing w:line="360" w:lineRule="auto"/>
        <w:jc w:val="both"/>
        <w:rPr>
          <w:rFonts w:ascii="Palatino Linotype" w:hAnsi="Palatino Linotype" w:cs="Arial"/>
          <w:bCs/>
        </w:rPr>
      </w:pPr>
    </w:p>
    <w:p w:rsidR="00F03394" w:rsidRDefault="00F03394" w:rsidP="00F03394">
      <w:pPr>
        <w:ind w:left="851" w:right="899"/>
        <w:jc w:val="both"/>
        <w:rPr>
          <w:rFonts w:ascii="Palatino Linotype" w:hAnsi="Palatino Linotype" w:cs="Arial"/>
          <w:bCs/>
          <w:i/>
          <w:sz w:val="22"/>
        </w:rPr>
      </w:pPr>
      <w:r>
        <w:rPr>
          <w:rFonts w:ascii="Palatino Linotype" w:hAnsi="Palatino Linotype" w:cs="Arial"/>
          <w:bCs/>
          <w:i/>
          <w:sz w:val="22"/>
        </w:rPr>
        <w:t>“</w:t>
      </w:r>
      <w:r>
        <w:rPr>
          <w:rFonts w:ascii="Palatino Linotype" w:hAnsi="Palatino Linotype" w:cs="Arial"/>
          <w:b/>
          <w:bCs/>
          <w:i/>
          <w:sz w:val="22"/>
        </w:rPr>
        <w:t>Artículo 352.-</w:t>
      </w:r>
      <w:r>
        <w:rPr>
          <w:rFonts w:ascii="Palatino Linotype" w:hAnsi="Palatino Linotype" w:cs="Arial"/>
          <w:bCs/>
          <w:i/>
          <w:sz w:val="22"/>
        </w:rPr>
        <w:t xml:space="preserve"> La cuenta pública se constituye por la información económica, patrimonial, presupuestal, programática, cualitativa y cuantitativa que muestre los resultados de la ejecución de la Ley de Ingresos y del Presupuesto de Egresos. </w:t>
      </w:r>
    </w:p>
    <w:p w:rsidR="00F03394" w:rsidRDefault="00F03394" w:rsidP="00F03394">
      <w:pPr>
        <w:ind w:left="851" w:right="899"/>
        <w:jc w:val="both"/>
        <w:rPr>
          <w:rFonts w:ascii="Palatino Linotype" w:hAnsi="Palatino Linotype" w:cs="Arial"/>
          <w:bCs/>
          <w:i/>
          <w:sz w:val="22"/>
        </w:rPr>
      </w:pPr>
      <w:r>
        <w:rPr>
          <w:rFonts w:ascii="Palatino Linotype" w:hAnsi="Palatino Linotype" w:cs="Arial"/>
          <w:bCs/>
          <w:i/>
          <w:sz w:val="22"/>
        </w:rPr>
        <w:t xml:space="preserve">La Secretaría y las Tesorerías, proporcionarán la información complementaria requerida por los Órganos de Fiscalización locales y federales, según corresponda, para el análisis y evaluación de la cuenta pública correspondiente. </w:t>
      </w:r>
    </w:p>
    <w:p w:rsidR="00F03394" w:rsidRDefault="00F03394" w:rsidP="00F03394">
      <w:pPr>
        <w:ind w:left="851" w:right="899"/>
        <w:jc w:val="both"/>
        <w:rPr>
          <w:rFonts w:ascii="Palatino Linotype" w:hAnsi="Palatino Linotype" w:cs="Arial"/>
          <w:bCs/>
          <w:i/>
          <w:sz w:val="22"/>
        </w:rPr>
      </w:pPr>
      <w:r>
        <w:rPr>
          <w:rFonts w:ascii="Palatino Linotype" w:hAnsi="Palatino Linotype" w:cs="Arial"/>
          <w:bCs/>
          <w:i/>
          <w:sz w:val="22"/>
        </w:rPr>
        <w:t>El formato de entrega de las Cuentas Públicas del Estado y de los Municipios, deberá ser congruente, contener el mismo nivel de desglose y mantener la debida correlación con respecto a los formatos del Presupuesto de Egresos del Estado y de los Municipios respectivamente, para lograr una mejor claridad, comprensión y transparencia en la revisión y fiscalización por parte del Órgano Superior de Fiscalización del Estado de México.”(Sic)</w:t>
      </w:r>
    </w:p>
    <w:p w:rsidR="00F03394" w:rsidRDefault="00F03394" w:rsidP="00F03394">
      <w:pPr>
        <w:spacing w:line="360" w:lineRule="auto"/>
        <w:jc w:val="both"/>
        <w:rPr>
          <w:rFonts w:ascii="Palatino Linotype" w:hAnsi="Palatino Linotype" w:cs="Arial"/>
          <w:bCs/>
        </w:rPr>
      </w:pPr>
    </w:p>
    <w:p w:rsidR="00F03394" w:rsidRDefault="00F03394" w:rsidP="00F03394">
      <w:pPr>
        <w:spacing w:line="360" w:lineRule="auto"/>
        <w:jc w:val="both"/>
        <w:rPr>
          <w:rFonts w:ascii="Palatino Linotype" w:hAnsi="Palatino Linotype"/>
        </w:rPr>
      </w:pPr>
      <w:r>
        <w:rPr>
          <w:rFonts w:ascii="Palatino Linotype" w:hAnsi="Palatino Linotype" w:cs="Arial"/>
          <w:bCs/>
        </w:rPr>
        <w:t xml:space="preserve">Por su parte, la </w:t>
      </w:r>
      <w:r>
        <w:rPr>
          <w:rFonts w:ascii="Palatino Linotype" w:hAnsi="Palatino Linotype"/>
        </w:rPr>
        <w:t>Ley de Fiscalización Superior del Estado de México en su artículo 32, párrafos segundo y tercero señala:</w:t>
      </w:r>
    </w:p>
    <w:p w:rsidR="00FA3138" w:rsidRDefault="00FA3138" w:rsidP="00F03394">
      <w:pPr>
        <w:ind w:left="851" w:right="850"/>
        <w:jc w:val="both"/>
        <w:rPr>
          <w:rFonts w:ascii="Palatino Linotype" w:hAnsi="Palatino Linotype"/>
          <w:i/>
          <w:sz w:val="22"/>
          <w:szCs w:val="22"/>
        </w:rPr>
      </w:pPr>
    </w:p>
    <w:p w:rsidR="00F03394" w:rsidRDefault="00F03394" w:rsidP="00F03394">
      <w:pPr>
        <w:ind w:left="851" w:right="850"/>
        <w:jc w:val="both"/>
        <w:rPr>
          <w:rFonts w:ascii="Palatino Linotype" w:hAnsi="Palatino Linotype"/>
          <w:i/>
          <w:sz w:val="22"/>
          <w:szCs w:val="22"/>
        </w:rPr>
      </w:pPr>
      <w:r>
        <w:rPr>
          <w:rFonts w:ascii="Palatino Linotype" w:hAnsi="Palatino Linotype"/>
          <w:i/>
          <w:sz w:val="22"/>
          <w:szCs w:val="22"/>
        </w:rPr>
        <w:t>“…Los Presidentes Municipales presentarán a la Legislatura las cuentas públicas anuales de sus respectivos municipios, del ejercicio fiscal inmediato anterior, dentro de los quince primeros días del mes de marzo de cada año; asimismo…" (Sic)</w:t>
      </w:r>
    </w:p>
    <w:p w:rsidR="00F03394" w:rsidRDefault="00F03394" w:rsidP="00F03394">
      <w:pPr>
        <w:ind w:left="851" w:right="850"/>
        <w:jc w:val="both"/>
        <w:rPr>
          <w:rFonts w:ascii="Palatino Linotype" w:hAnsi="Palatino Linotype"/>
          <w:i/>
          <w:sz w:val="22"/>
          <w:szCs w:val="22"/>
        </w:rPr>
      </w:pPr>
      <w:r>
        <w:rPr>
          <w:rFonts w:ascii="Palatino Linotype" w:hAnsi="Palatino Linotype"/>
          <w:i/>
          <w:sz w:val="22"/>
          <w:szCs w:val="22"/>
        </w:rPr>
        <w:t>Las cuentas públicas deberán presentarse conforme a lo establecido en la Ley General de Contabilidad Gubernamental, Ley de Disciplina Financiera delas Entidades Federativas y los Municipios y demás disposiciones aplicables…” (Sic)</w:t>
      </w:r>
    </w:p>
    <w:p w:rsidR="00F03394" w:rsidRDefault="00F03394" w:rsidP="00F03394">
      <w:pPr>
        <w:spacing w:line="360" w:lineRule="auto"/>
        <w:jc w:val="both"/>
        <w:rPr>
          <w:rFonts w:ascii="Palatino Linotype" w:hAnsi="Palatino Linotype" w:cs="Arial"/>
          <w:bCs/>
        </w:rPr>
      </w:pPr>
    </w:p>
    <w:p w:rsidR="00F03394" w:rsidRDefault="00D74228" w:rsidP="00D049F6">
      <w:pPr>
        <w:autoSpaceDE w:val="0"/>
        <w:autoSpaceDN w:val="0"/>
        <w:adjustRightInd w:val="0"/>
        <w:spacing w:before="240" w:after="240" w:line="360" w:lineRule="auto"/>
        <w:jc w:val="both"/>
        <w:rPr>
          <w:rFonts w:ascii="Palatino Linotype" w:hAnsi="Palatino Linotype" w:cs="Arial"/>
          <w:bCs/>
        </w:rPr>
      </w:pPr>
      <w:r>
        <w:rPr>
          <w:rFonts w:ascii="Palatino Linotype" w:hAnsi="Palatino Linotype" w:cs="Arial"/>
          <w:bCs/>
        </w:rPr>
        <w:t xml:space="preserve">Lo que se robustece con el concepto emitido por el Servicio de Administración Tributaria </w:t>
      </w:r>
      <w:r w:rsidR="00FA3138">
        <w:rPr>
          <w:rFonts w:ascii="Palatino Linotype" w:hAnsi="Palatino Linotype" w:cs="Arial"/>
          <w:bCs/>
        </w:rPr>
        <w:t>de la Secretaría de Hacienda y Crédito Público del Gobierno Federal, en su página oficial, así como para que sirve, como se observa en la siguiente imagen:</w:t>
      </w:r>
    </w:p>
    <w:p w:rsidR="00D74228" w:rsidRPr="00F03394" w:rsidRDefault="00D74228" w:rsidP="00D049F6">
      <w:pPr>
        <w:autoSpaceDE w:val="0"/>
        <w:autoSpaceDN w:val="0"/>
        <w:adjustRightInd w:val="0"/>
        <w:spacing w:before="240" w:after="240" w:line="360" w:lineRule="auto"/>
        <w:jc w:val="both"/>
        <w:rPr>
          <w:rFonts w:ascii="Palatino Linotype" w:hAnsi="Palatino Linotype"/>
        </w:rPr>
      </w:pPr>
    </w:p>
    <w:p w:rsidR="00FA3138" w:rsidRDefault="00FA3138" w:rsidP="00D049F6">
      <w:pPr>
        <w:autoSpaceDE w:val="0"/>
        <w:autoSpaceDN w:val="0"/>
        <w:adjustRightInd w:val="0"/>
        <w:spacing w:before="240" w:after="240" w:line="360" w:lineRule="auto"/>
        <w:jc w:val="both"/>
        <w:rPr>
          <w:rFonts w:ascii="Palatino Linotype" w:hAnsi="Palatino Linotype"/>
        </w:rPr>
      </w:pPr>
      <w:r>
        <w:rPr>
          <w:noProof/>
          <w:lang w:val="es-MX" w:eastAsia="es-MX"/>
        </w:rPr>
        <w:lastRenderedPageBreak/>
        <mc:AlternateContent>
          <mc:Choice Requires="wps">
            <w:drawing>
              <wp:anchor distT="0" distB="0" distL="114300" distR="114300" simplePos="0" relativeHeight="251660288" behindDoc="0" locked="0" layoutInCell="1" allowOverlap="1">
                <wp:simplePos x="0" y="0"/>
                <wp:positionH relativeFrom="column">
                  <wp:posOffset>539115</wp:posOffset>
                </wp:positionH>
                <wp:positionV relativeFrom="paragraph">
                  <wp:posOffset>3544570</wp:posOffset>
                </wp:positionV>
                <wp:extent cx="4476750" cy="241300"/>
                <wp:effectExtent l="19050" t="19050" r="19050" b="25400"/>
                <wp:wrapNone/>
                <wp:docPr id="4" name="Rectángulo 4"/>
                <wp:cNvGraphicFramePr/>
                <a:graphic xmlns:a="http://schemas.openxmlformats.org/drawingml/2006/main">
                  <a:graphicData uri="http://schemas.microsoft.com/office/word/2010/wordprocessingShape">
                    <wps:wsp>
                      <wps:cNvSpPr/>
                      <wps:spPr>
                        <a:xfrm>
                          <a:off x="0" y="0"/>
                          <a:ext cx="4476750" cy="241300"/>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8536CA8" id="Rectángulo 4" o:spid="_x0000_s1026" style="position:absolute;margin-left:42.45pt;margin-top:279.1pt;width:352.5pt;height:1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" filled="f" strokecolor="#1f4d78 [1604]" strokeweight="2.25pt"/>
            </w:pict>
          </mc:Fallback>
        </mc:AlternateContent>
      </w:r>
      <w:r>
        <w:rPr>
          <w:noProof/>
          <w:lang w:val="es-MX" w:eastAsia="es-MX"/>
        </w:rPr>
        <w:drawing>
          <wp:inline distT="0" distB="0" distL="0" distR="0" wp14:anchorId="17197F91" wp14:editId="6FA8A9CD">
            <wp:extent cx="5530850" cy="380365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8319" t="7282" r="17966" b="22734"/>
                    <a:stretch/>
                  </pic:blipFill>
                  <pic:spPr bwMode="auto">
                    <a:xfrm>
                      <a:off x="0" y="0"/>
                      <a:ext cx="5530850" cy="3803650"/>
                    </a:xfrm>
                    <a:prstGeom prst="rect">
                      <a:avLst/>
                    </a:prstGeom>
                    <a:ln>
                      <a:noFill/>
                    </a:ln>
                    <a:extLst>
                      <a:ext uri="{53640926-AAD7-44D8-BBD7-CCE9431645EC}">
                        <a14:shadowObscured xmlns:a14="http://schemas.microsoft.com/office/drawing/2010/main"/>
                      </a:ext>
                    </a:extLst>
                  </pic:spPr>
                </pic:pic>
              </a:graphicData>
            </a:graphic>
          </wp:inline>
        </w:drawing>
      </w:r>
    </w:p>
    <w:p w:rsidR="00D049F6" w:rsidRDefault="00FA3138" w:rsidP="00D049F6">
      <w:pPr>
        <w:autoSpaceDE w:val="0"/>
        <w:autoSpaceDN w:val="0"/>
        <w:adjustRightInd w:val="0"/>
        <w:spacing w:before="240" w:after="240" w:line="360" w:lineRule="auto"/>
        <w:jc w:val="both"/>
        <w:rPr>
          <w:rFonts w:ascii="Palatino Linotype" w:hAnsi="Palatino Linotype" w:cs="Arial"/>
          <w:i/>
          <w:sz w:val="22"/>
          <w:szCs w:val="22"/>
        </w:rPr>
      </w:pPr>
      <w:r>
        <w:rPr>
          <w:rFonts w:ascii="Palatino Linotype" w:hAnsi="Palatino Linotype"/>
        </w:rPr>
        <w:t>De ahí que</w:t>
      </w:r>
      <w:r w:rsidR="00D049F6" w:rsidRPr="00A3483A">
        <w:rPr>
          <w:rFonts w:ascii="Palatino Linotype" w:hAnsi="Palatino Linotype"/>
        </w:rPr>
        <w:t xml:space="preserve">, con </w:t>
      </w:r>
      <w:r>
        <w:rPr>
          <w:rFonts w:ascii="Palatino Linotype" w:hAnsi="Palatino Linotype"/>
        </w:rPr>
        <w:t>el</w:t>
      </w:r>
      <w:r w:rsidR="00D049F6" w:rsidRPr="00A3483A">
        <w:rPr>
          <w:rFonts w:ascii="Palatino Linotype" w:hAnsi="Palatino Linotype"/>
        </w:rPr>
        <w:t xml:space="preserve"> archivo electrónico enviado por el Sujeto Obligado en el apartado de manifestaciones del Sistema de Acceso a la Información Mexiquense</w:t>
      </w:r>
      <w:r w:rsidR="00D049F6" w:rsidRPr="00513B76">
        <w:rPr>
          <w:rFonts w:ascii="Palatino Linotype" w:hAnsi="Palatino Linotype"/>
        </w:rPr>
        <w:t xml:space="preserve">, </w:t>
      </w:r>
      <w:r w:rsidR="00D049F6">
        <w:rPr>
          <w:rFonts w:ascii="Palatino Linotype" w:eastAsia="Calibri" w:hAnsi="Palatino Linotype" w:cs="Arial"/>
        </w:rPr>
        <w:t>modifica su respuesta inicial al subsanar</w:t>
      </w:r>
      <w:r w:rsidR="00D049F6" w:rsidRPr="00513B76">
        <w:rPr>
          <w:rFonts w:ascii="Palatino Linotype" w:eastAsia="Calibri" w:hAnsi="Palatino Linotype" w:cs="Arial"/>
        </w:rPr>
        <w:t xml:space="preserve"> la omisión en que incurrió</w:t>
      </w:r>
      <w:r w:rsidR="00D049F6">
        <w:rPr>
          <w:rFonts w:ascii="Palatino Linotype" w:eastAsia="Calibri" w:hAnsi="Palatino Linotype" w:cs="Arial"/>
        </w:rPr>
        <w:t xml:space="preserve">, al remitir </w:t>
      </w:r>
      <w:r>
        <w:rPr>
          <w:rFonts w:ascii="Palatino Linotype" w:eastAsia="Calibri" w:hAnsi="Palatino Linotype" w:cs="Arial"/>
        </w:rPr>
        <w:t xml:space="preserve">la </w:t>
      </w:r>
      <w:r w:rsidRPr="007E20FC">
        <w:rPr>
          <w:rFonts w:ascii="Palatino Linotype" w:hAnsi="Palatino Linotype" w:cs="Arial"/>
          <w:lang w:eastAsia="en-US"/>
        </w:rPr>
        <w:t xml:space="preserve">Balanza de comprobación Detallada Acumulada Trimestral </w:t>
      </w:r>
      <w:r>
        <w:rPr>
          <w:rFonts w:ascii="Palatino Linotype" w:hAnsi="Palatino Linotype" w:cs="Arial"/>
          <w:lang w:eastAsia="en-US"/>
        </w:rPr>
        <w:t>d</w:t>
      </w:r>
      <w:r w:rsidRPr="007E20FC">
        <w:rPr>
          <w:rFonts w:ascii="Palatino Linotype" w:hAnsi="Palatino Linotype" w:cs="Arial"/>
          <w:lang w:eastAsia="en-US"/>
        </w:rPr>
        <w:t>el 01 de Julio al 30 de Septiembre de 2021</w:t>
      </w:r>
      <w:r>
        <w:rPr>
          <w:rFonts w:ascii="Palatino Linotype" w:hAnsi="Palatino Linotype" w:cs="Arial"/>
          <w:lang w:eastAsia="en-US"/>
        </w:rPr>
        <w:t>, en donde se advierte el adeudo que tiene el Ayuntamiento del Huixquilucan con diversos proveedores, colmando con ello el derecho de acceso a la información del particular.</w:t>
      </w:r>
    </w:p>
    <w:p w:rsidR="00C43202" w:rsidRDefault="00C43202" w:rsidP="00C43202">
      <w:pPr>
        <w:autoSpaceDE w:val="0"/>
        <w:autoSpaceDN w:val="0"/>
        <w:adjustRightInd w:val="0"/>
        <w:spacing w:before="240" w:after="240" w:line="360" w:lineRule="auto"/>
        <w:jc w:val="both"/>
        <w:rPr>
          <w:rFonts w:ascii="Palatino Linotype" w:hAnsi="Palatino Linotype"/>
          <w:lang w:eastAsia="es-MX"/>
        </w:rPr>
      </w:pPr>
      <w:r>
        <w:rPr>
          <w:rFonts w:ascii="Palatino Linotype" w:hAnsi="Palatino Linotype"/>
        </w:rPr>
        <w:t xml:space="preserve">Además, debe mencionarse que, al </w:t>
      </w:r>
      <w:r>
        <w:rPr>
          <w:rFonts w:ascii="Palatino Linotype" w:hAnsi="Palatino Linotype"/>
          <w:lang w:eastAsia="es-MX"/>
        </w:rPr>
        <w:t xml:space="preserve">haber un pronunciamiento por parte del </w:t>
      </w:r>
      <w:r>
        <w:rPr>
          <w:rFonts w:ascii="Palatino Linotype" w:hAnsi="Palatino Linotype"/>
          <w:b/>
          <w:lang w:eastAsia="es-MX"/>
        </w:rPr>
        <w:t>Sujeto Obligado</w:t>
      </w:r>
      <w:r>
        <w:rPr>
          <w:rFonts w:ascii="Palatino Linotype" w:hAnsi="Palatino Linotype"/>
          <w:lang w:eastAsia="es-MX"/>
        </w:rPr>
        <w:t xml:space="preserve">, este Órgano Garante estima conveniente señalar que no está facultado para manifestarse sobre la veracidad de la información proporcionada, ya que no existe precepto legal alguno en la Ley de la Materia que permita, vía recurso de </w:t>
      </w:r>
      <w:r>
        <w:rPr>
          <w:rFonts w:ascii="Palatino Linotype" w:hAnsi="Palatino Linotype"/>
          <w:lang w:eastAsia="es-MX"/>
        </w:rPr>
        <w:lastRenderedPageBreak/>
        <w:t>revisión, se pronuncie al respecto. Por analogía, sirve de apoyo a lo anterior el Criterio 31-10 emitido por el enton</w:t>
      </w:r>
      <w:r w:rsidR="00DE7BA4">
        <w:rPr>
          <w:rFonts w:ascii="Palatino Linotype" w:hAnsi="Palatino Linotype"/>
          <w:lang w:eastAsia="es-MX"/>
        </w:rPr>
        <w:t>ces Instituto Federal de Acceso</w:t>
      </w:r>
      <w:r>
        <w:rPr>
          <w:rFonts w:ascii="Palatino Linotype" w:hAnsi="Palatino Linotype"/>
          <w:lang w:eastAsia="es-MX"/>
        </w:rPr>
        <w:t xml:space="preserve"> a la Información y Protección de Datos, que a la letra establece lo siguiente:</w:t>
      </w:r>
    </w:p>
    <w:p w:rsidR="00C43202" w:rsidRDefault="00C43202" w:rsidP="00C43202">
      <w:pPr>
        <w:spacing w:before="120" w:after="120"/>
        <w:ind w:left="851" w:right="851"/>
        <w:jc w:val="both"/>
        <w:rPr>
          <w:rFonts w:ascii="Palatino Linotype" w:hAnsi="Palatino Linotype"/>
          <w:i/>
          <w:sz w:val="22"/>
          <w:szCs w:val="22"/>
        </w:rPr>
      </w:pPr>
      <w:r>
        <w:rPr>
          <w:rFonts w:ascii="Palatino Linotype" w:hAnsi="Palatino Linotype"/>
          <w:i/>
          <w:sz w:val="22"/>
          <w:szCs w:val="22"/>
        </w:rPr>
        <w:t>“</w:t>
      </w:r>
      <w:r>
        <w:rPr>
          <w:rFonts w:ascii="Palatino Linotype" w:hAnsi="Palatino Linotype"/>
          <w:b/>
          <w:i/>
          <w:sz w:val="22"/>
          <w:szCs w:val="22"/>
        </w:rPr>
        <w:t>El Instituto Federal de Acceso a la Información y Protección de Datos no cuenta con facultades para pronunciarse respecto de la veracidad de los documentos proporcionados por los sujetos obligados.</w:t>
      </w:r>
      <w:r>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C43202" w:rsidRDefault="00C43202" w:rsidP="00C43202">
      <w:pPr>
        <w:pStyle w:val="Prrafodelista"/>
        <w:autoSpaceDE w:val="0"/>
        <w:autoSpaceDN w:val="0"/>
        <w:adjustRightInd w:val="0"/>
        <w:spacing w:line="360" w:lineRule="auto"/>
        <w:ind w:left="0"/>
        <w:jc w:val="both"/>
        <w:rPr>
          <w:rFonts w:ascii="Palatino Linotype" w:hAnsi="Palatino Linotype" w:cs="Arial"/>
        </w:rPr>
      </w:pPr>
    </w:p>
    <w:p w:rsidR="00C43202" w:rsidRPr="00D53C9E" w:rsidRDefault="00C43202" w:rsidP="00C43202">
      <w:pPr>
        <w:pStyle w:val="Prrafodelista"/>
        <w:autoSpaceDE w:val="0"/>
        <w:autoSpaceDN w:val="0"/>
        <w:adjustRightInd w:val="0"/>
        <w:spacing w:line="360" w:lineRule="auto"/>
        <w:ind w:left="0"/>
        <w:jc w:val="both"/>
        <w:rPr>
          <w:rFonts w:ascii="Palatino Linotype" w:hAnsi="Palatino Linotype" w:cs="Arial"/>
          <w:sz w:val="24"/>
          <w:szCs w:val="24"/>
        </w:rPr>
      </w:pPr>
      <w:r w:rsidRPr="00D53C9E">
        <w:rPr>
          <w:rFonts w:ascii="Palatino Linotype" w:hAnsi="Palatino Linotype" w:cs="Arial"/>
          <w:sz w:val="24"/>
          <w:szCs w:val="24"/>
        </w:rPr>
        <w:t>De lo anterior, este Órgano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rsidR="00C65C6D" w:rsidRPr="00D26C76" w:rsidRDefault="00D049F6" w:rsidP="00C65C6D">
      <w:pPr>
        <w:autoSpaceDE w:val="0"/>
        <w:autoSpaceDN w:val="0"/>
        <w:adjustRightInd w:val="0"/>
        <w:spacing w:before="240" w:after="240" w:line="360" w:lineRule="auto"/>
        <w:jc w:val="both"/>
        <w:rPr>
          <w:rFonts w:ascii="Palatino Linotype" w:eastAsia="Calibri" w:hAnsi="Palatino Linotype"/>
        </w:rPr>
      </w:pPr>
      <w:r>
        <w:rPr>
          <w:rFonts w:ascii="Palatino Linotype" w:eastAsia="Calibri" w:hAnsi="Palatino Linotype" w:cs="Arial"/>
        </w:rPr>
        <w:t>E</w:t>
      </w:r>
      <w:r w:rsidR="00C65C6D" w:rsidRPr="00513B76">
        <w:rPr>
          <w:rFonts w:ascii="Palatino Linotype" w:eastAsia="Calibri" w:hAnsi="Palatino Linotype"/>
        </w:rPr>
        <w:t>n consecuencia, se actualiza la causal de sobrese</w:t>
      </w:r>
      <w:r w:rsidR="00C65C6D">
        <w:rPr>
          <w:rFonts w:ascii="Palatino Linotype" w:eastAsia="Calibri" w:hAnsi="Palatino Linotype"/>
        </w:rPr>
        <w:t>imiento prevista en la fracción III</w:t>
      </w:r>
      <w:r w:rsidR="00C65C6D" w:rsidRPr="00513B76">
        <w:rPr>
          <w:rFonts w:ascii="Palatino Linotype" w:eastAsia="Calibri" w:hAnsi="Palatino Linotype"/>
        </w:rPr>
        <w:t xml:space="preserve"> </w:t>
      </w:r>
      <w:r w:rsidR="00C65C6D">
        <w:rPr>
          <w:rFonts w:ascii="Palatino Linotype" w:eastAsia="Calibri" w:hAnsi="Palatino Linotype"/>
        </w:rPr>
        <w:t xml:space="preserve">del artículo 192 de la </w:t>
      </w:r>
      <w:r w:rsidR="00C65C6D">
        <w:rPr>
          <w:rFonts w:ascii="Palatino Linotype" w:eastAsia="Calibri" w:hAnsi="Palatino Linotype" w:cs="Arial"/>
        </w:rPr>
        <w:t>Ley de Transparencia y Acceso a la Información Pública del Estado de México y Municipios</w:t>
      </w:r>
      <w:r w:rsidR="00C65C6D">
        <w:rPr>
          <w:rFonts w:ascii="Palatino Linotype" w:eastAsia="Calibri" w:hAnsi="Palatino Linotype"/>
        </w:rPr>
        <w:t>, que dispone lo siguiente:</w:t>
      </w:r>
    </w:p>
    <w:p w:rsidR="00C65C6D" w:rsidRDefault="00C65C6D" w:rsidP="00C65C6D">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B33B44">
        <w:rPr>
          <w:rFonts w:ascii="Palatino Linotype" w:hAnsi="Palatino Linotype" w:cs="Bookman Old Style"/>
          <w:b/>
          <w:bCs/>
          <w:i/>
          <w:sz w:val="22"/>
          <w:szCs w:val="22"/>
        </w:rPr>
        <w:t xml:space="preserve">“Artículo 192. </w:t>
      </w:r>
      <w:r w:rsidRPr="00B33B44">
        <w:rPr>
          <w:rFonts w:ascii="Palatino Linotype" w:hAnsi="Palatino Linotype" w:cs="Bookman Old Style"/>
          <w:i/>
          <w:sz w:val="22"/>
          <w:szCs w:val="22"/>
        </w:rPr>
        <w:t>El recurso será sobreseído en todo o en parte cuando una vez admitido, se actualicen alguno de los siguientes supuestos:</w:t>
      </w:r>
    </w:p>
    <w:p w:rsidR="00C65C6D" w:rsidRPr="00B33B44" w:rsidRDefault="00C65C6D" w:rsidP="00C65C6D">
      <w:pPr>
        <w:autoSpaceDE w:val="0"/>
        <w:autoSpaceDN w:val="0"/>
        <w:adjustRightInd w:val="0"/>
        <w:spacing w:before="240" w:after="240"/>
        <w:ind w:left="992" w:right="1043"/>
        <w:contextualSpacing/>
        <w:jc w:val="both"/>
        <w:rPr>
          <w:rFonts w:ascii="Palatino Linotype" w:hAnsi="Palatino Linotype" w:cs="Bookman Old Style"/>
          <w:i/>
          <w:sz w:val="22"/>
          <w:szCs w:val="22"/>
        </w:rPr>
      </w:pPr>
      <w:r>
        <w:rPr>
          <w:rFonts w:ascii="Palatino Linotype" w:hAnsi="Palatino Linotype" w:cs="Bookman Old Style"/>
          <w:b/>
          <w:bCs/>
          <w:i/>
          <w:sz w:val="22"/>
          <w:szCs w:val="22"/>
        </w:rPr>
        <w:t>…</w:t>
      </w:r>
    </w:p>
    <w:p w:rsidR="00C65C6D" w:rsidRPr="00B33B44" w:rsidRDefault="00C65C6D" w:rsidP="00C65C6D">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D912A5">
        <w:rPr>
          <w:rFonts w:ascii="Palatino Linotype" w:hAnsi="Palatino Linotype" w:cs="Bookman Old Style"/>
          <w:b/>
          <w:bCs/>
          <w:i/>
          <w:sz w:val="22"/>
          <w:szCs w:val="22"/>
        </w:rPr>
        <w:lastRenderedPageBreak/>
        <w:t>III.</w:t>
      </w:r>
      <w:r w:rsidRPr="00D912A5">
        <w:rPr>
          <w:rFonts w:ascii="Palatino Linotype" w:hAnsi="Palatino Linotype" w:cs="Bookman Old Style"/>
          <w:b/>
          <w:i/>
          <w:sz w:val="22"/>
          <w:szCs w:val="22"/>
        </w:rPr>
        <w:t xml:space="preserve"> El sujeto obligado responsable del acto lo modifique o revoque de tal manera que el recurso de revisión quede sin materia</w:t>
      </w:r>
      <w:r>
        <w:rPr>
          <w:rFonts w:ascii="Palatino Linotype" w:hAnsi="Palatino Linotype" w:cs="Bookman Old Style"/>
          <w:b/>
          <w:i/>
          <w:sz w:val="22"/>
          <w:szCs w:val="22"/>
        </w:rPr>
        <w:t>…</w:t>
      </w:r>
      <w:r w:rsidRPr="00B33B44">
        <w:rPr>
          <w:rFonts w:ascii="Palatino Linotype" w:hAnsi="Palatino Linotype" w:cs="Bookman Old Style"/>
          <w:b/>
          <w:i/>
          <w:sz w:val="22"/>
          <w:szCs w:val="22"/>
        </w:rPr>
        <w:t>”. (Sic)</w:t>
      </w:r>
    </w:p>
    <w:p w:rsidR="00C65C6D" w:rsidRDefault="00C65C6D" w:rsidP="00C65C6D">
      <w:pPr>
        <w:spacing w:before="240" w:after="240" w:line="360" w:lineRule="auto"/>
        <w:contextualSpacing/>
        <w:jc w:val="both"/>
        <w:rPr>
          <w:rFonts w:ascii="Palatino Linotype" w:hAnsi="Palatino Linotype" w:cs="Bookman Old Style"/>
          <w:b/>
          <w:i/>
        </w:rPr>
      </w:pPr>
    </w:p>
    <w:p w:rsidR="00C65C6D" w:rsidRDefault="00C65C6D" w:rsidP="00C65C6D">
      <w:pPr>
        <w:spacing w:before="240" w:after="240" w:line="360" w:lineRule="auto"/>
        <w:jc w:val="both"/>
        <w:rPr>
          <w:rFonts w:ascii="Palatino Linotype" w:hAnsi="Palatino Linotype"/>
        </w:rPr>
      </w:pPr>
      <w:r>
        <w:rPr>
          <w:rFonts w:ascii="Palatino Linotype" w:hAnsi="Palatino Linotype"/>
        </w:rPr>
        <w:t>De lo establecido en el precepto legal citado se advierte que el sobreseimiento del recurso de revisión procede en los siguientes casos:</w:t>
      </w:r>
    </w:p>
    <w:p w:rsidR="00C65C6D" w:rsidRDefault="00C65C6D" w:rsidP="00C65C6D">
      <w:pPr>
        <w:spacing w:before="240" w:after="240" w:line="360" w:lineRule="auto"/>
        <w:jc w:val="both"/>
        <w:rPr>
          <w:rFonts w:ascii="Palatino Linotype" w:hAnsi="Palatino Linotype"/>
        </w:rPr>
      </w:pPr>
      <w:r>
        <w:rPr>
          <w:rFonts w:ascii="Palatino Linotype" w:hAnsi="Palatino Linotype"/>
        </w:rPr>
        <w:t>a) Cuando el sujeto obligado modifique el acto impugnado.</w:t>
      </w:r>
    </w:p>
    <w:p w:rsidR="00C65C6D" w:rsidRDefault="00C65C6D" w:rsidP="00C65C6D">
      <w:pPr>
        <w:spacing w:before="240" w:after="240" w:line="360" w:lineRule="auto"/>
        <w:jc w:val="both"/>
        <w:rPr>
          <w:rFonts w:ascii="Palatino Linotype" w:hAnsi="Palatino Linotype"/>
        </w:rPr>
      </w:pPr>
      <w:r>
        <w:rPr>
          <w:rFonts w:ascii="Palatino Linotype" w:hAnsi="Palatino Linotype"/>
        </w:rPr>
        <w:t>b) Cuando el sujeto obligado revoque el acto impugnado.</w:t>
      </w:r>
    </w:p>
    <w:p w:rsidR="00C65C6D" w:rsidRDefault="00C65C6D" w:rsidP="00C65C6D">
      <w:pPr>
        <w:spacing w:before="240" w:after="240" w:line="360" w:lineRule="auto"/>
        <w:jc w:val="both"/>
        <w:rPr>
          <w:rFonts w:ascii="Palatino Linotype" w:hAnsi="Palatino Linotype" w:cs="Arial"/>
        </w:rPr>
      </w:pPr>
      <w:r>
        <w:rPr>
          <w:rFonts w:ascii="Palatino Linotype" w:hAnsi="Palatino Linotype"/>
        </w:rPr>
        <w:t>Quedando en ambos casos el acto combatido sin materia o sin efectos.</w:t>
      </w:r>
    </w:p>
    <w:p w:rsidR="00C65C6D" w:rsidRDefault="00C65C6D" w:rsidP="00C65C6D">
      <w:pPr>
        <w:spacing w:before="240" w:after="240" w:line="360" w:lineRule="auto"/>
        <w:jc w:val="both"/>
        <w:rPr>
          <w:rFonts w:ascii="Palatino Linotype" w:hAnsi="Palatino Linotype"/>
        </w:rPr>
      </w:pPr>
      <w:r>
        <w:rPr>
          <w:rFonts w:ascii="Palatino Linotype" w:hAnsi="Palatino Linotype"/>
        </w:rPr>
        <w:t>Como se observa de lo anterior, un acto impugnado es modificado en aquellos casos en los que el Sujeto Obligado después de haber otorgado una respuesta, emite una diversa de manera posterior y en ésta subsana las deficiencias que hubiera tenido, quedando satisfecho el derecho subjetivo accionado por la parte recurrente.</w:t>
      </w:r>
    </w:p>
    <w:p w:rsidR="00C65C6D" w:rsidRDefault="00C65C6D" w:rsidP="00C65C6D">
      <w:pPr>
        <w:spacing w:before="240" w:after="240" w:line="360" w:lineRule="auto"/>
        <w:jc w:val="both"/>
        <w:rPr>
          <w:rFonts w:ascii="Palatino Linotype" w:hAnsi="Palatino Linotype"/>
        </w:rPr>
      </w:pPr>
      <w:r>
        <w:rPr>
          <w:rFonts w:ascii="Palatino Linotype" w:hAnsi="Palatino Linotype"/>
        </w:rPr>
        <w:t>Por lo que hace a la revocación, esta se actualiza cuando el sujeto obligado deja sin efectos la primera respuesta y en su lugar emite otra con las características y cualidades suficientes para dejar satisfecho el ejercicio del derecho al acceso a la información pública.</w:t>
      </w:r>
    </w:p>
    <w:p w:rsidR="00C65C6D" w:rsidRDefault="00C65C6D" w:rsidP="00C65C6D">
      <w:pPr>
        <w:spacing w:before="240" w:after="240" w:line="360" w:lineRule="auto"/>
        <w:contextualSpacing/>
        <w:jc w:val="both"/>
        <w:rPr>
          <w:rFonts w:ascii="Palatino Linotype" w:hAnsi="Palatino Linotype"/>
        </w:rPr>
      </w:pPr>
      <w:r>
        <w:rPr>
          <w:rFonts w:ascii="Palatino Linotype" w:hAnsi="Palatino Linotype"/>
        </w:rPr>
        <w:t>En ese tenor, un acto impugn</w:t>
      </w:r>
      <w:r w:rsidR="00DE7BA4">
        <w:rPr>
          <w:rFonts w:ascii="Palatino Linotype" w:hAnsi="Palatino Linotype"/>
        </w:rPr>
        <w:t xml:space="preserve">ado queda sin efectos, cuando </w:t>
      </w:r>
      <w:proofErr w:type="spellStart"/>
      <w:r w:rsidR="00DE7BA4">
        <w:rPr>
          <w:rFonts w:ascii="Palatino Linotype" w:hAnsi="Palatino Linotype"/>
        </w:rPr>
        <w:t>aú</w:t>
      </w:r>
      <w:r>
        <w:rPr>
          <w:rFonts w:ascii="Palatino Linotype" w:hAnsi="Palatino Linotype"/>
        </w:rPr>
        <w:t>n</w:t>
      </w:r>
      <w:proofErr w:type="spellEnd"/>
      <w:r>
        <w:rPr>
          <w:rFonts w:ascii="Palatino Linotype" w:hAnsi="Palatino Linotype"/>
        </w:rPr>
        <w:t xml:space="preserve"> existiendo jurídicamente (esto es, que no se ha modificado, ni revocado) ya no genera ninguna consecuencia legal.</w:t>
      </w:r>
    </w:p>
    <w:p w:rsidR="00C65C6D" w:rsidRDefault="00C65C6D" w:rsidP="00C65C6D">
      <w:pPr>
        <w:spacing w:before="240" w:after="240" w:line="360" w:lineRule="auto"/>
        <w:contextualSpacing/>
        <w:jc w:val="both"/>
        <w:rPr>
          <w:rFonts w:ascii="Palatino Linotype" w:hAnsi="Palatino Linotype"/>
        </w:rPr>
      </w:pPr>
    </w:p>
    <w:p w:rsidR="00C65C6D" w:rsidRDefault="00C65C6D" w:rsidP="00C65C6D">
      <w:pPr>
        <w:spacing w:before="240" w:after="240" w:line="360" w:lineRule="auto"/>
        <w:jc w:val="both"/>
        <w:rPr>
          <w:rFonts w:ascii="Palatino Linotype" w:hAnsi="Palatino Linotype"/>
        </w:rPr>
      </w:pPr>
      <w:r>
        <w:rPr>
          <w:rFonts w:ascii="Palatino Linotype" w:hAnsi="Palatino Linotype"/>
        </w:rPr>
        <w:t xml:space="preserve">En tanto, en el presente caso queda sin materia toda vez que en el Informe Justificado </w:t>
      </w:r>
      <w:r w:rsidRPr="00850BC3">
        <w:rPr>
          <w:rFonts w:ascii="Palatino Linotype" w:hAnsi="Palatino Linotype"/>
        </w:rPr>
        <w:t xml:space="preserve">el Sujeto Obligado modificó la </w:t>
      </w:r>
      <w:r>
        <w:rPr>
          <w:rFonts w:ascii="Palatino Linotype" w:hAnsi="Palatino Linotype"/>
        </w:rPr>
        <w:t xml:space="preserve">respuesta al </w:t>
      </w:r>
      <w:r w:rsidR="00D53C9E">
        <w:rPr>
          <w:rFonts w:ascii="Palatino Linotype" w:hAnsi="Palatino Linotype"/>
        </w:rPr>
        <w:t xml:space="preserve">remitir su </w:t>
      </w:r>
      <w:r w:rsidR="00FA3138" w:rsidRPr="007E20FC">
        <w:rPr>
          <w:rFonts w:ascii="Palatino Linotype" w:hAnsi="Palatino Linotype" w:cs="Arial"/>
          <w:lang w:eastAsia="en-US"/>
        </w:rPr>
        <w:t xml:space="preserve">Balanza de </w:t>
      </w:r>
      <w:r w:rsidR="00FA3138">
        <w:rPr>
          <w:rFonts w:ascii="Palatino Linotype" w:hAnsi="Palatino Linotype" w:cs="Arial"/>
          <w:lang w:eastAsia="en-US"/>
        </w:rPr>
        <w:lastRenderedPageBreak/>
        <w:t>C</w:t>
      </w:r>
      <w:r w:rsidR="00FA3138" w:rsidRPr="007E20FC">
        <w:rPr>
          <w:rFonts w:ascii="Palatino Linotype" w:hAnsi="Palatino Linotype" w:cs="Arial"/>
          <w:lang w:eastAsia="en-US"/>
        </w:rPr>
        <w:t xml:space="preserve">omprobación Detallada Acumulada Trimestral </w:t>
      </w:r>
      <w:r w:rsidR="00FA3138">
        <w:rPr>
          <w:rFonts w:ascii="Palatino Linotype" w:hAnsi="Palatino Linotype" w:cs="Arial"/>
          <w:lang w:eastAsia="en-US"/>
        </w:rPr>
        <w:t>d</w:t>
      </w:r>
      <w:r w:rsidR="00FA3138" w:rsidRPr="007E20FC">
        <w:rPr>
          <w:rFonts w:ascii="Palatino Linotype" w:hAnsi="Palatino Linotype" w:cs="Arial"/>
          <w:lang w:eastAsia="en-US"/>
        </w:rPr>
        <w:t>el 01 de Julio al 30 de Septiembre de 2021</w:t>
      </w:r>
      <w:r w:rsidR="00FA3138">
        <w:rPr>
          <w:rFonts w:ascii="Palatino Linotype" w:hAnsi="Palatino Linotype" w:cs="Arial"/>
          <w:lang w:eastAsia="en-US"/>
        </w:rPr>
        <w:t>.</w:t>
      </w:r>
    </w:p>
    <w:p w:rsidR="00022119" w:rsidRDefault="00022119" w:rsidP="00022119">
      <w:pPr>
        <w:spacing w:before="240" w:after="240" w:line="360" w:lineRule="auto"/>
        <w:jc w:val="both"/>
        <w:rPr>
          <w:rFonts w:ascii="Palatino Linotype" w:hAnsi="Palatino Linotype"/>
        </w:rPr>
      </w:pPr>
      <w:r>
        <w:rPr>
          <w:rFonts w:ascii="Palatino Linotype" w:hAnsi="Palatino Linotype"/>
        </w:rPr>
        <w:t>Máxime, que el área del Sujeto Obligado que pr</w:t>
      </w:r>
      <w:r w:rsidR="00DE7BA4">
        <w:rPr>
          <w:rFonts w:ascii="Palatino Linotype" w:hAnsi="Palatino Linotype"/>
        </w:rPr>
        <w:t>oporcionó</w:t>
      </w:r>
      <w:r w:rsidR="00FA3138">
        <w:rPr>
          <w:rFonts w:ascii="Palatino Linotype" w:hAnsi="Palatino Linotype"/>
        </w:rPr>
        <w:t xml:space="preserve"> la información fue su Tesorería Municipal</w:t>
      </w:r>
      <w:r w:rsidR="00096C72">
        <w:rPr>
          <w:rFonts w:ascii="Palatino Linotype" w:hAnsi="Palatino Linotype"/>
        </w:rPr>
        <w:t xml:space="preserve">, que de acuerdo al artículo 95 </w:t>
      </w:r>
      <w:r w:rsidR="00EF0E0E">
        <w:rPr>
          <w:rFonts w:ascii="Palatino Linotype" w:hAnsi="Palatino Linotype"/>
        </w:rPr>
        <w:t xml:space="preserve">y 101 </w:t>
      </w:r>
      <w:r w:rsidR="00096C72">
        <w:rPr>
          <w:rFonts w:ascii="Palatino Linotype" w:hAnsi="Palatino Linotype"/>
        </w:rPr>
        <w:t>de la Ley Orgánica Municipal del Estado de México</w:t>
      </w:r>
      <w:r>
        <w:rPr>
          <w:rFonts w:ascii="Palatino Linotype" w:hAnsi="Palatino Linotype"/>
        </w:rPr>
        <w:t>, tiene las siguientes atribuciones:</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w:t>
      </w:r>
      <w:r w:rsidRPr="00EF0E0E">
        <w:rPr>
          <w:rFonts w:ascii="Palatino Linotype" w:hAnsi="Palatino Linotype" w:cs="Bookman Old Style"/>
          <w:b/>
          <w:i/>
          <w:sz w:val="22"/>
          <w:szCs w:val="22"/>
        </w:rPr>
        <w:t>Artículo 95.- Son atribuciones del tesorero municipal:</w:t>
      </w:r>
      <w:r w:rsidRPr="00EF0E0E">
        <w:rPr>
          <w:rFonts w:ascii="Palatino Linotype" w:hAnsi="Palatino Linotype" w:cs="Bookman Old Style"/>
          <w:i/>
          <w:sz w:val="22"/>
          <w:szCs w:val="22"/>
        </w:rPr>
        <w:t xml:space="preserve">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b/>
          <w:i/>
          <w:sz w:val="22"/>
          <w:szCs w:val="22"/>
        </w:rPr>
        <w:t>I. Administrar la hacienda pública municipal, de conformidad con las disposiciones legales aplicables</w:t>
      </w:r>
      <w:r w:rsidRPr="00EF0E0E">
        <w:rPr>
          <w:rFonts w:ascii="Palatino Linotype" w:hAnsi="Palatino Linotype" w:cs="Bookman Old Style"/>
          <w:i/>
          <w:sz w:val="22"/>
          <w:szCs w:val="22"/>
        </w:rPr>
        <w:t xml:space="preserve">;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II. Determinar, liquidar, recaudar, fiscalizar y administrar las contribuciones en los términos de los ordenamientos jurídicos aplicables y, en su caso, aplicar el procedimiento administrativo de ejecución en términos de las disposiciones aplicables;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III. Imponer las sanciones administrativas que procedan por infracciones a las disposiciones fiscales;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IV. Llevar los registros contables, financieros y administrativos de los ingresos, egresos, e inventarios; </w:t>
      </w:r>
    </w:p>
    <w:p w:rsidR="00EF0E0E" w:rsidRP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EF0E0E">
        <w:rPr>
          <w:rFonts w:ascii="Palatino Linotype" w:hAnsi="Palatino Linotype" w:cs="Bookman Old Style"/>
          <w:b/>
          <w:i/>
          <w:sz w:val="22"/>
          <w:szCs w:val="22"/>
        </w:rPr>
        <w:t xml:space="preserve">V. Proporcionar oportunamente al ayuntamiento todos los datos o informes que sean necesarios para la formulación del Presupuesto de Egresos Municipales, vigilando que se ajuste a las disposiciones de esta Ley y otros ordenamientos aplicables; </w:t>
      </w:r>
    </w:p>
    <w:p w:rsidR="00EF0E0E" w:rsidRP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b/>
          <w:i/>
          <w:sz w:val="22"/>
          <w:szCs w:val="22"/>
        </w:rPr>
      </w:pPr>
      <w:r w:rsidRPr="00EF0E0E">
        <w:rPr>
          <w:rFonts w:ascii="Palatino Linotype" w:hAnsi="Palatino Linotype" w:cs="Bookman Old Style"/>
          <w:b/>
          <w:i/>
          <w:sz w:val="22"/>
          <w:szCs w:val="22"/>
        </w:rPr>
        <w:t>VI. Presentar anualmente al ayuntamiento un informe de la situación contable financiera de la Tesorería Municipal;</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 VI Bis. Proporcionar para la formulación del proyecto de Presupuesto de Egresos Municipales la información financiera relativa a la solución o en su caso, el pago de los litigios laborales;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VII. Diseñar y aprobar las formas oficiales de manifestaciones, avisos y declaraciones y demás documentos requeridos;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VIII. Participar en la formulación de Convenios Fiscales y ejercer las atribuciones que le correspondan en el ámbito de su competencia;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IX. Proponer al ayuntamiento la cancelación de cuentas incobrables;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 Custodiar y ejercer las garantías que se otorguen en favor de la hacienda municipal;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XI. Proponer la política de ingresos de la tesorería municipal;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XII. Intervenir en la elaboración del programa financiero municipal;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XIII. Elaborar y mantener actualizado el Padrón de Contribuyentes;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lastRenderedPageBreak/>
        <w:t xml:space="preserve">XIV. Ministrar a su inmediato antecesor todos los datos oficiales que le solicitare, para contestar los pliegos de observaciones y alcances que formule y deduzca el Órgano Superior de Fiscalización del Estado de México;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 Solicitar a las instancias competentes, la práctica de revisiones circunstanciadas, de conformidad con las normas que rigen en materia de control y evaluación gubernamental en el ámbito municipal;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XVI. Glosar oportunamente las cuentas del ayuntamiento;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XVII. Contestar oportunamente los pliegos de observaciones y responsabilidad que haga el Órgano Superior de Fiscalización del Estado de México, así como atender en tiempo y forma las solicitudes de información que éste requiera, informando al Ayuntamiento;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XVIII. Expedir copias certificadas de los documentos a su cuidado, por acuerdo expreso del Ayuntamiento y cuando se trate de documentación presentada ante el Órgano Superior de Fiscalización del Estado de México; XIX.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XX. Dar cumplimiento a las leyes, convenios de coordinación fiscal y demás que en materia hacendaria celebre el Ayuntamiento con el Estado; </w:t>
      </w:r>
    </w:p>
    <w:p w:rsidR="00EF0E0E"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 xml:space="preserve">XXI. Entregar oportunamente a él o los Síndicos, según sea el caso, el informe mensual que corresponda, a fin de que se revise, y de ser necesario, para que se formulen las observaciones respectivas. </w:t>
      </w:r>
    </w:p>
    <w:p w:rsidR="00022119" w:rsidRDefault="00EF0E0E"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r w:rsidRPr="00EF0E0E">
        <w:rPr>
          <w:rFonts w:ascii="Palatino Linotype" w:hAnsi="Palatino Linotype" w:cs="Bookman Old Style"/>
          <w:i/>
          <w:sz w:val="22"/>
          <w:szCs w:val="22"/>
        </w:rPr>
        <w:t>XXII. Las que les señalen las demás disposiciones legales y el ayuntamiento</w:t>
      </w:r>
      <w:r w:rsidR="00022119">
        <w:rPr>
          <w:rFonts w:ascii="Palatino Linotype" w:hAnsi="Palatino Linotype" w:cs="Bookman Old Style"/>
          <w:i/>
          <w:sz w:val="22"/>
          <w:szCs w:val="22"/>
        </w:rPr>
        <w:t>”(Sic)</w:t>
      </w:r>
    </w:p>
    <w:p w:rsidR="00022119" w:rsidRPr="00022119" w:rsidRDefault="00022119" w:rsidP="00022119">
      <w:pPr>
        <w:autoSpaceDE w:val="0"/>
        <w:autoSpaceDN w:val="0"/>
        <w:adjustRightInd w:val="0"/>
        <w:spacing w:before="240" w:after="240"/>
        <w:ind w:left="992" w:right="1043"/>
        <w:contextualSpacing/>
        <w:jc w:val="both"/>
        <w:rPr>
          <w:rFonts w:ascii="Palatino Linotype" w:hAnsi="Palatino Linotype" w:cs="Bookman Old Style"/>
          <w:i/>
          <w:sz w:val="22"/>
          <w:szCs w:val="22"/>
        </w:rPr>
      </w:pPr>
    </w:p>
    <w:p w:rsidR="00C65C6D" w:rsidRPr="00F52682" w:rsidRDefault="00C65C6D" w:rsidP="00C65C6D">
      <w:pPr>
        <w:spacing w:before="240" w:after="240" w:line="360" w:lineRule="auto"/>
        <w:jc w:val="both"/>
        <w:rPr>
          <w:rFonts w:ascii="Palatino Linotype" w:hAnsi="Palatino Linotype"/>
        </w:rPr>
      </w:pPr>
      <w:r>
        <w:rPr>
          <w:rFonts w:ascii="Palatino Linotype" w:hAnsi="Palatino Linotype"/>
        </w:rPr>
        <w:t xml:space="preserve">De tal manera, es evidente que con ello queda sin materia el presente recurso de revisión, </w:t>
      </w:r>
      <w:r w:rsidRPr="00850BC3">
        <w:rPr>
          <w:rFonts w:ascii="Palatino Linotype" w:hAnsi="Palatino Linotype"/>
        </w:rPr>
        <w:t xml:space="preserve">ya que la inconformidad sobre </w:t>
      </w:r>
      <w:r w:rsidR="00FA3138">
        <w:rPr>
          <w:rFonts w:ascii="Palatino Linotype" w:hAnsi="Palatino Linotype"/>
        </w:rPr>
        <w:t>la negativa de la información solicitada,</w:t>
      </w:r>
      <w:r w:rsidR="00D53C9E">
        <w:rPr>
          <w:rFonts w:ascii="Palatino Linotype" w:hAnsi="Palatino Linotype"/>
        </w:rPr>
        <w:t xml:space="preserve"> </w:t>
      </w:r>
      <w:r w:rsidR="00DE7BA4">
        <w:rPr>
          <w:rFonts w:ascii="Palatino Linotype" w:hAnsi="Palatino Linotype"/>
        </w:rPr>
        <w:t>se subsanó</w:t>
      </w:r>
      <w:r w:rsidR="00FA3138">
        <w:rPr>
          <w:rFonts w:ascii="Palatino Linotype" w:hAnsi="Palatino Linotype"/>
        </w:rPr>
        <w:t xml:space="preserve"> con </w:t>
      </w:r>
      <w:r>
        <w:rPr>
          <w:rFonts w:ascii="Palatino Linotype" w:hAnsi="Palatino Linotype"/>
        </w:rPr>
        <w:t xml:space="preserve">la información </w:t>
      </w:r>
      <w:r w:rsidRPr="00F52682">
        <w:rPr>
          <w:rFonts w:ascii="Palatino Linotype" w:hAnsi="Palatino Linotype"/>
        </w:rPr>
        <w:t>entregada en el apartado de manifestaciones del SAIME</w:t>
      </w:r>
      <w:r w:rsidR="00D53C9E">
        <w:rPr>
          <w:rFonts w:ascii="Palatino Linotype" w:hAnsi="Palatino Linotype"/>
        </w:rPr>
        <w:t>X, que fue puesta a la vista d</w:t>
      </w:r>
      <w:r w:rsidR="00C6202E">
        <w:rPr>
          <w:rFonts w:ascii="Palatino Linotype" w:hAnsi="Palatino Linotype"/>
        </w:rPr>
        <w:t>el recurrente</w:t>
      </w:r>
      <w:r w:rsidRPr="00F52682">
        <w:rPr>
          <w:rFonts w:ascii="Palatino Linotype" w:hAnsi="Palatino Linotype"/>
        </w:rPr>
        <w:t>; y si respecto de la misma no formuló alegato alguno dentro del plazo concedido para tal efecto se entiende que se encuentra satisfecho.</w:t>
      </w:r>
    </w:p>
    <w:p w:rsidR="00C65C6D" w:rsidRDefault="00C65C6D" w:rsidP="00C65C6D">
      <w:pPr>
        <w:spacing w:before="240" w:after="240" w:line="360" w:lineRule="auto"/>
        <w:jc w:val="both"/>
        <w:rPr>
          <w:rFonts w:ascii="Palatino Linotype" w:hAnsi="Palatino Linotype"/>
        </w:rPr>
      </w:pPr>
      <w:r w:rsidRPr="00850BC3">
        <w:rPr>
          <w:rFonts w:ascii="Palatino Linotype" w:hAnsi="Palatino Linotype"/>
        </w:rPr>
        <w:lastRenderedPageBreak/>
        <w:t>En resumen, el Sujeto Obligado dio respuesta completa a la solicitud de acceso a la información pública de la ahora recurrente; aunque ello haya sido de manera posterior a su respuesta inicial; dejando con ello sin materia el presente recurso de revisión, actualizándose entonces la ca</w:t>
      </w:r>
      <w:r>
        <w:rPr>
          <w:rFonts w:ascii="Palatino Linotype" w:hAnsi="Palatino Linotype"/>
        </w:rPr>
        <w:t>usal prevista en la fracción III</w:t>
      </w:r>
      <w:r w:rsidRPr="00850BC3">
        <w:rPr>
          <w:rFonts w:ascii="Palatino Linotype" w:hAnsi="Palatino Linotype"/>
        </w:rPr>
        <w:t xml:space="preserve"> del artículo 192 de la Ley de la Materia vigente en la Entidad, antes transcrita. </w:t>
      </w:r>
    </w:p>
    <w:p w:rsidR="00D53C9E" w:rsidRDefault="00C65C6D" w:rsidP="00C65C6D">
      <w:pPr>
        <w:spacing w:before="240" w:after="240" w:line="360" w:lineRule="auto"/>
        <w:jc w:val="both"/>
        <w:rPr>
          <w:rFonts w:ascii="Palatino Linotype" w:hAnsi="Palatino Linotype"/>
        </w:rPr>
      </w:pPr>
      <w:r>
        <w:rPr>
          <w:rFonts w:ascii="Palatino Linotype" w:hAnsi="Palatino Linotype"/>
        </w:rPr>
        <w:t xml:space="preserve">Siendo el </w:t>
      </w:r>
      <w:r>
        <w:rPr>
          <w:rFonts w:ascii="Palatino Linotype" w:hAnsi="Palatino Linotype"/>
          <w:i/>
        </w:rPr>
        <w:t>sobreseimiento</w:t>
      </w:r>
      <w:r>
        <w:rPr>
          <w:rFonts w:ascii="Palatino Linotype" w:hAnsi="Palatino Linotype"/>
        </w:rPr>
        <w:t xml:space="preserve"> un acto que da por terminado el procedimiento administrativo de impugnación sin resolver el fondo de la cuestión planteada, por presentarse causas que impiden a la autoridad referirse a lo sustancial de lo planteado por </w:t>
      </w:r>
      <w:r w:rsidR="00C6202E">
        <w:rPr>
          <w:rFonts w:ascii="Palatino Linotype" w:hAnsi="Palatino Linotype"/>
        </w:rPr>
        <w:t>el recurrente</w:t>
      </w:r>
      <w:r>
        <w:rPr>
          <w:rFonts w:ascii="Palatino Linotype" w:hAnsi="Palatino Linotype"/>
        </w:rPr>
        <w:t>, los efectos del sobreseimiento son los dar por concluido el recurso administrativo sin entrar al estudio de fondo del asunto de que se trate; lo anterior con apoyo en el criterio del Poder Judicial de la Federación con rubro:</w:t>
      </w:r>
    </w:p>
    <w:p w:rsidR="00C65C6D" w:rsidRDefault="00C65C6D" w:rsidP="00232C0E">
      <w:pPr>
        <w:spacing w:before="240" w:after="240" w:line="360" w:lineRule="auto"/>
        <w:ind w:left="567" w:right="567"/>
        <w:jc w:val="both"/>
        <w:rPr>
          <w:rFonts w:ascii="Palatino Linotype" w:hAnsi="Palatino Linotype"/>
          <w:b/>
        </w:rPr>
      </w:pPr>
      <w:r>
        <w:rPr>
          <w:rFonts w:ascii="Palatino Linotype" w:hAnsi="Palatino Linotype"/>
          <w:sz w:val="22"/>
          <w:szCs w:val="22"/>
        </w:rPr>
        <w:t>“</w:t>
      </w:r>
      <w:r>
        <w:rPr>
          <w:rFonts w:ascii="Palatino Linotype" w:hAnsi="Palatino Linotype"/>
          <w:b/>
          <w:sz w:val="22"/>
          <w:szCs w:val="22"/>
        </w:rPr>
        <w:t xml:space="preserve">SOBRESEIMIENTO, NO PERMITE ENTRAR AL ESTUDIO </w:t>
      </w:r>
      <w:r w:rsidR="00232C0E">
        <w:rPr>
          <w:rFonts w:ascii="Palatino Linotype" w:hAnsi="Palatino Linotype"/>
          <w:b/>
          <w:sz w:val="22"/>
          <w:szCs w:val="22"/>
        </w:rPr>
        <w:t>DE LAS CUESTIONES DE FONDO</w:t>
      </w:r>
    </w:p>
    <w:p w:rsidR="00232C0E" w:rsidRPr="00232C0E" w:rsidRDefault="00232C0E" w:rsidP="00232C0E">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Localización: 213609. II.2o.183 K. Tribunales Colegiados de Circuito. Octava Época. Semanario Judicial de la Federación. Tomo XIII, Febrero de 1994, Pág. 420</w:t>
      </w:r>
    </w:p>
    <w:p w:rsidR="00232C0E" w:rsidRDefault="00232C0E" w:rsidP="00232C0E">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t>Cuerpo de tesis: No causa agravio la sentencia que no se ocupa de los razonamientos tendientes a demostrar la inconstitucionalidad de los actos reclamados de las autoridades responsables, que constituyen el problema de fondo, si se decreta el sobreseimiento del juicio.</w:t>
      </w:r>
      <w:r>
        <w:rPr>
          <w:rFonts w:ascii="Palatino Linotype" w:hAnsi="Palatino Linotype"/>
          <w:i/>
          <w:sz w:val="22"/>
          <w:szCs w:val="22"/>
        </w:rPr>
        <w:t>” (Sic)</w:t>
      </w:r>
    </w:p>
    <w:p w:rsidR="00232C0E" w:rsidRPr="00232C0E" w:rsidRDefault="00232C0E" w:rsidP="00232C0E">
      <w:pPr>
        <w:spacing w:before="240" w:after="240"/>
        <w:ind w:left="567" w:right="567"/>
        <w:contextualSpacing/>
        <w:jc w:val="both"/>
        <w:rPr>
          <w:rFonts w:ascii="Palatino Linotype" w:hAnsi="Palatino Linotype"/>
          <w:i/>
          <w:sz w:val="22"/>
          <w:szCs w:val="22"/>
        </w:rPr>
      </w:pPr>
    </w:p>
    <w:p w:rsidR="00232C0E" w:rsidRDefault="00C65C6D" w:rsidP="00C65C6D">
      <w:pPr>
        <w:spacing w:before="240" w:after="240" w:line="360" w:lineRule="auto"/>
        <w:jc w:val="both"/>
        <w:rPr>
          <w:rFonts w:ascii="Palatino Linotype" w:hAnsi="Palatino Linotype" w:cs="Arial"/>
        </w:rPr>
      </w:pPr>
      <w:r>
        <w:rPr>
          <w:rFonts w:ascii="Palatino Linotype" w:hAnsi="Palatino Linotype" w:cs="Arial"/>
        </w:rPr>
        <w:t>Cabe d</w:t>
      </w:r>
      <w:r w:rsidRPr="002F68E2">
        <w:rPr>
          <w:rFonts w:ascii="Palatino Linotype" w:hAnsi="Palatino Linotype" w:cs="Arial"/>
        </w:rPr>
        <w:t>estaca</w:t>
      </w:r>
      <w:r>
        <w:rPr>
          <w:rFonts w:ascii="Palatino Linotype" w:hAnsi="Palatino Linotype" w:cs="Arial"/>
        </w:rPr>
        <w:t xml:space="preserve">r que la decisión de este órgano colegiado de sobreseer el recurso de revisión no implica una limitación o negación a la justicia, según lo ha establecido el Poder Judicial Federal, en el criterio </w:t>
      </w:r>
      <w:r w:rsidR="00232C0E">
        <w:rPr>
          <w:rFonts w:ascii="Palatino Linotype" w:hAnsi="Palatino Linotype" w:cs="Arial"/>
        </w:rPr>
        <w:t xml:space="preserve">que es aplicable por analogía, </w:t>
      </w:r>
      <w:r>
        <w:rPr>
          <w:rFonts w:ascii="Palatino Linotype" w:hAnsi="Palatino Linotype" w:cs="Arial"/>
        </w:rPr>
        <w:t>con rubro</w:t>
      </w:r>
      <w:r w:rsidR="00232C0E">
        <w:rPr>
          <w:rFonts w:ascii="Palatino Linotype" w:hAnsi="Palatino Linotype" w:cs="Arial"/>
        </w:rPr>
        <w:t>:</w:t>
      </w:r>
    </w:p>
    <w:p w:rsidR="00232C0E" w:rsidRPr="00232C0E" w:rsidRDefault="00C65C6D" w:rsidP="00232C0E">
      <w:pPr>
        <w:spacing w:before="240" w:after="240"/>
        <w:ind w:left="567" w:right="567"/>
        <w:contextualSpacing/>
        <w:jc w:val="both"/>
        <w:rPr>
          <w:rFonts w:ascii="Palatino Linotype" w:hAnsi="Palatino Linotype"/>
          <w:i/>
          <w:sz w:val="22"/>
          <w:szCs w:val="22"/>
        </w:rPr>
      </w:pPr>
      <w:r>
        <w:rPr>
          <w:rFonts w:ascii="Palatino Linotype" w:hAnsi="Palatino Linotype" w:cs="Arial"/>
        </w:rPr>
        <w:t xml:space="preserve"> </w:t>
      </w:r>
      <w:r w:rsidRPr="00232C0E">
        <w:rPr>
          <w:rFonts w:ascii="Palatino Linotype" w:hAnsi="Palatino Linotype"/>
          <w:i/>
          <w:sz w:val="22"/>
          <w:szCs w:val="22"/>
        </w:rPr>
        <w:t>“DESECHAMIENTO O SOBRESEIMIENTO EN EL JUICIO DE AMPARO. NO IMPLICA DENEGACIÓN DE JUSTICIA NI GENERA INSEGURIDAD JURÍDICA”</w:t>
      </w:r>
    </w:p>
    <w:p w:rsidR="00232C0E" w:rsidRDefault="00232C0E" w:rsidP="00232C0E">
      <w:pPr>
        <w:spacing w:before="240" w:after="240"/>
        <w:ind w:left="567" w:right="567"/>
        <w:contextualSpacing/>
        <w:jc w:val="both"/>
        <w:rPr>
          <w:rFonts w:ascii="Palatino Linotype" w:hAnsi="Palatino Linotype"/>
          <w:i/>
          <w:sz w:val="22"/>
          <w:szCs w:val="22"/>
        </w:rPr>
      </w:pPr>
      <w:r w:rsidRPr="00232C0E">
        <w:rPr>
          <w:rFonts w:ascii="Palatino Linotype" w:hAnsi="Palatino Linotype"/>
          <w:i/>
          <w:sz w:val="22"/>
          <w:szCs w:val="22"/>
        </w:rPr>
        <w:lastRenderedPageBreak/>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r>
        <w:rPr>
          <w:rFonts w:ascii="Palatino Linotype" w:hAnsi="Palatino Linotype"/>
          <w:i/>
          <w:sz w:val="22"/>
          <w:szCs w:val="22"/>
        </w:rPr>
        <w:t>” (Sic)</w:t>
      </w:r>
    </w:p>
    <w:p w:rsidR="00232C0E" w:rsidRPr="00232C0E" w:rsidRDefault="00232C0E" w:rsidP="00232C0E">
      <w:pPr>
        <w:spacing w:before="240" w:after="240"/>
        <w:ind w:left="567" w:right="567"/>
        <w:contextualSpacing/>
        <w:jc w:val="both"/>
        <w:rPr>
          <w:rFonts w:ascii="Palatino Linotype" w:hAnsi="Palatino Linotype"/>
          <w:i/>
          <w:sz w:val="22"/>
          <w:szCs w:val="22"/>
        </w:rPr>
      </w:pPr>
    </w:p>
    <w:p w:rsidR="00A3483A" w:rsidRPr="00911351" w:rsidRDefault="00A3483A" w:rsidP="00C65C6D">
      <w:pPr>
        <w:autoSpaceDE w:val="0"/>
        <w:autoSpaceDN w:val="0"/>
        <w:adjustRightInd w:val="0"/>
        <w:spacing w:before="240" w:after="240" w:line="360" w:lineRule="auto"/>
        <w:jc w:val="both"/>
        <w:rPr>
          <w:rFonts w:ascii="Palatino Linotype" w:hAnsi="Palatino Linotype" w:cs="Arial"/>
        </w:rPr>
      </w:pPr>
      <w:r w:rsidRPr="00911351">
        <w:rPr>
          <w:rFonts w:ascii="Palatino Linotype" w:hAnsi="Palatino Linotype" w:cs="Arial"/>
        </w:rPr>
        <w:t xml:space="preserve">Así, con fundamento en lo prescrito en los artículos 5 párrafos </w:t>
      </w:r>
      <w:r w:rsidR="00D53C9E">
        <w:rPr>
          <w:rFonts w:ascii="Palatino Linotype" w:hAnsi="Palatino Linotype" w:cs="Arial"/>
        </w:rPr>
        <w:t>trigésimo, trigésimo primero y trigésimo segundo</w:t>
      </w:r>
      <w:r w:rsidRPr="00911351">
        <w:rPr>
          <w:rFonts w:ascii="Palatino Linotype" w:hAnsi="Palatino Linotype" w:cs="Arial"/>
        </w:rPr>
        <w:t xml:space="preserve"> de la Constitución Política del Estado Libre y Soberano de México; 2, fracción II; 29, 36 fracciones I </w:t>
      </w:r>
      <w:r>
        <w:rPr>
          <w:rFonts w:ascii="Palatino Linotype" w:hAnsi="Palatino Linotype" w:cs="Arial"/>
        </w:rPr>
        <w:t>y II; 176, 178, 181,</w:t>
      </w:r>
      <w:r w:rsidRPr="00911351">
        <w:rPr>
          <w:rFonts w:ascii="Palatino Linotype" w:hAnsi="Palatino Linotype" w:cs="Arial"/>
        </w:rPr>
        <w:t xml:space="preserve"> 185 </w:t>
      </w:r>
      <w:r>
        <w:rPr>
          <w:rFonts w:ascii="Palatino Linotype" w:hAnsi="Palatino Linotype" w:cs="Arial"/>
        </w:rPr>
        <w:t xml:space="preserve">y </w:t>
      </w:r>
      <w:r>
        <w:rPr>
          <w:rFonts w:ascii="Palatino Linotype" w:hAnsi="Palatino Linotype" w:cs="Arial"/>
          <w:szCs w:val="22"/>
          <w:lang w:eastAsia="en-US"/>
        </w:rPr>
        <w:t xml:space="preserve">186 fracción II </w:t>
      </w:r>
      <w:r w:rsidRPr="00911351">
        <w:rPr>
          <w:rFonts w:ascii="Palatino Linotype" w:hAnsi="Palatino Linotype" w:cs="Arial"/>
        </w:rPr>
        <w:t>de la Ley de Transparencia y Acceso a la Información Pública del Estado de México y Municipios, este Pleno:</w:t>
      </w:r>
    </w:p>
    <w:p w:rsidR="00A3483A" w:rsidRPr="00385EEC" w:rsidRDefault="00A3483A" w:rsidP="00A3483A">
      <w:pPr>
        <w:spacing w:before="240" w:after="240" w:line="360" w:lineRule="auto"/>
        <w:ind w:left="360"/>
        <w:contextualSpacing/>
        <w:jc w:val="center"/>
        <w:rPr>
          <w:rFonts w:ascii="Palatino Linotype" w:hAnsi="Palatino Linotype" w:cs="Arial"/>
          <w:b/>
        </w:rPr>
      </w:pPr>
      <w:r>
        <w:rPr>
          <w:rFonts w:ascii="Palatino Linotype" w:hAnsi="Palatino Linotype" w:cs="Arial"/>
          <w:b/>
        </w:rPr>
        <w:t>III.</w:t>
      </w:r>
      <w:r w:rsidRPr="00385EEC">
        <w:rPr>
          <w:rFonts w:ascii="Palatino Linotype" w:hAnsi="Palatino Linotype" w:cs="Arial"/>
          <w:b/>
        </w:rPr>
        <w:t>R E S U E L V E:</w:t>
      </w:r>
    </w:p>
    <w:p w:rsidR="00C65C6D" w:rsidRDefault="00A3483A" w:rsidP="00C65C6D">
      <w:pPr>
        <w:spacing w:before="240" w:after="240" w:line="360" w:lineRule="auto"/>
        <w:contextualSpacing/>
        <w:jc w:val="both"/>
        <w:rPr>
          <w:rFonts w:ascii="Palatino Linotype" w:hAnsi="Palatino Linotype"/>
        </w:rPr>
      </w:pPr>
      <w:r w:rsidRPr="006A2D4B">
        <w:rPr>
          <w:rFonts w:ascii="Palatino Linotype" w:hAnsi="Palatino Linotype" w:cs="Arial"/>
          <w:b/>
          <w:bCs/>
          <w:shd w:val="clear" w:color="auto" w:fill="FFFFFF"/>
        </w:rPr>
        <w:t>Primero</w:t>
      </w:r>
      <w:r w:rsidRPr="006A2D4B">
        <w:rPr>
          <w:rFonts w:ascii="Palatino Linotype" w:hAnsi="Palatino Linotype" w:cs="Arial"/>
          <w:bCs/>
          <w:shd w:val="clear" w:color="auto" w:fill="FFFFFF"/>
        </w:rPr>
        <w:t xml:space="preserve">. Se </w:t>
      </w:r>
      <w:r w:rsidRPr="006A2D4B">
        <w:rPr>
          <w:rFonts w:ascii="Palatino Linotype" w:hAnsi="Palatino Linotype" w:cs="Arial"/>
          <w:b/>
          <w:bCs/>
          <w:shd w:val="clear" w:color="auto" w:fill="FFFFFF"/>
        </w:rPr>
        <w:t>SOBRESEE</w:t>
      </w:r>
      <w:r w:rsidRPr="006A2D4B">
        <w:rPr>
          <w:rFonts w:ascii="Palatino Linotype" w:hAnsi="Palatino Linotype" w:cs="Arial"/>
          <w:bCs/>
          <w:shd w:val="clear" w:color="auto" w:fill="FFFFFF"/>
        </w:rPr>
        <w:t xml:space="preserve"> el recurso de revisión número </w:t>
      </w:r>
      <w:r w:rsidRPr="006A2D4B">
        <w:rPr>
          <w:rFonts w:ascii="Palatino Linotype" w:hAnsi="Palatino Linotype" w:cs="Arial"/>
          <w:b/>
          <w:bCs/>
          <w:shd w:val="clear" w:color="auto" w:fill="FFFFFF"/>
        </w:rPr>
        <w:t>0</w:t>
      </w:r>
      <w:r w:rsidR="00232C0E">
        <w:rPr>
          <w:rFonts w:ascii="Palatino Linotype" w:hAnsi="Palatino Linotype" w:cs="Arial"/>
          <w:b/>
          <w:bCs/>
          <w:shd w:val="clear" w:color="auto" w:fill="FFFFFF"/>
        </w:rPr>
        <w:t>5004</w:t>
      </w:r>
      <w:r>
        <w:rPr>
          <w:rFonts w:ascii="Palatino Linotype" w:hAnsi="Palatino Linotype" w:cs="Arial"/>
          <w:b/>
          <w:bCs/>
          <w:shd w:val="clear" w:color="auto" w:fill="FFFFFF"/>
        </w:rPr>
        <w:t>/INFOEM/IP/RR/2021</w:t>
      </w:r>
      <w:r w:rsidRPr="006A2D4B">
        <w:rPr>
          <w:rFonts w:ascii="Palatino Linotype" w:hAnsi="Palatino Linotype" w:cs="Arial"/>
          <w:b/>
        </w:rPr>
        <w:t>,</w:t>
      </w:r>
      <w:r w:rsidRPr="006A2D4B">
        <w:rPr>
          <w:rFonts w:ascii="Palatino Linotype" w:hAnsi="Palatino Linotype"/>
        </w:rPr>
        <w:t xml:space="preserve"> </w:t>
      </w:r>
      <w:r w:rsidR="00C65C6D">
        <w:rPr>
          <w:rFonts w:ascii="Palatino Linotype" w:hAnsi="Palatino Linotype"/>
        </w:rPr>
        <w:t>porque al modificar la respuesta el recurso de revisión quedó sin materia en términos del Considerando Tercero de la presente resolución.</w:t>
      </w:r>
    </w:p>
    <w:p w:rsidR="00A3483A" w:rsidRDefault="00A3483A" w:rsidP="00A3483A">
      <w:pPr>
        <w:spacing w:before="240" w:after="240" w:line="360" w:lineRule="auto"/>
        <w:contextualSpacing/>
        <w:jc w:val="both"/>
        <w:rPr>
          <w:rFonts w:ascii="Palatino Linotype" w:hAnsi="Palatino Linotype"/>
          <w:b/>
          <w:sz w:val="20"/>
          <w:szCs w:val="20"/>
        </w:rPr>
      </w:pPr>
    </w:p>
    <w:p w:rsidR="00A3483A" w:rsidRPr="006A2D4B" w:rsidRDefault="00D53C9E" w:rsidP="00A3483A">
      <w:pPr>
        <w:spacing w:before="240" w:after="240" w:line="360" w:lineRule="auto"/>
        <w:contextualSpacing/>
        <w:jc w:val="both"/>
        <w:rPr>
          <w:rFonts w:ascii="Palatino Linotype" w:hAnsi="Palatino Linotype" w:cs="Arial"/>
        </w:rPr>
      </w:pPr>
      <w:r>
        <w:rPr>
          <w:rFonts w:ascii="Palatino Linotype" w:hAnsi="Palatino Linotype" w:cs="Arial"/>
          <w:b/>
          <w:bCs/>
          <w:shd w:val="clear" w:color="auto" w:fill="FFFFFF"/>
        </w:rPr>
        <w:t xml:space="preserve">Segundo. </w:t>
      </w:r>
      <w:r w:rsidRPr="00232C0E">
        <w:rPr>
          <w:rFonts w:ascii="Palatino Linotype" w:hAnsi="Palatino Linotype" w:cs="Arial"/>
          <w:b/>
          <w:bCs/>
          <w:shd w:val="clear" w:color="auto" w:fill="FFFFFF"/>
        </w:rPr>
        <w:t>Notifíquese</w:t>
      </w:r>
      <w:r w:rsidR="00A3483A" w:rsidRPr="00232C0E">
        <w:rPr>
          <w:rStyle w:val="apple-converted-space"/>
          <w:rFonts w:ascii="Palatino Linotype" w:hAnsi="Palatino Linotype" w:cs="Arial"/>
          <w:b/>
          <w:bCs/>
          <w:iCs/>
          <w:shd w:val="clear" w:color="auto" w:fill="FFFFFF"/>
        </w:rPr>
        <w:t xml:space="preserve"> </w:t>
      </w:r>
      <w:r w:rsidR="00232C0E" w:rsidRPr="00232C0E">
        <w:rPr>
          <w:rStyle w:val="apple-converted-space"/>
          <w:rFonts w:ascii="Palatino Linotype" w:hAnsi="Palatino Linotype" w:cs="Arial"/>
          <w:b/>
          <w:bCs/>
          <w:iCs/>
          <w:shd w:val="clear" w:color="auto" w:fill="FFFFFF"/>
        </w:rPr>
        <w:t>vía SAIMEX</w:t>
      </w:r>
      <w:r w:rsidR="00232C0E">
        <w:rPr>
          <w:rStyle w:val="apple-converted-space"/>
          <w:rFonts w:ascii="Palatino Linotype" w:hAnsi="Palatino Linotype" w:cs="Arial"/>
          <w:b/>
          <w:bCs/>
          <w:i/>
          <w:iCs/>
          <w:shd w:val="clear" w:color="auto" w:fill="FFFFFF"/>
        </w:rPr>
        <w:t xml:space="preserve">, </w:t>
      </w:r>
      <w:r w:rsidR="00A3483A" w:rsidRPr="006A2D4B">
        <w:rPr>
          <w:rFonts w:ascii="Palatino Linotype" w:hAnsi="Palatino Linotype"/>
          <w:shd w:val="clear" w:color="auto" w:fill="FFFFFF"/>
        </w:rPr>
        <w:t>al Responsable de la Unidad de Transparencia del</w:t>
      </w:r>
      <w:r w:rsidR="00A3483A" w:rsidRPr="006A2D4B">
        <w:rPr>
          <w:rStyle w:val="apple-converted-space"/>
          <w:rFonts w:ascii="Palatino Linotype" w:hAnsi="Palatino Linotype"/>
          <w:bCs/>
          <w:shd w:val="clear" w:color="auto" w:fill="FFFFFF"/>
        </w:rPr>
        <w:t xml:space="preserve"> </w:t>
      </w:r>
      <w:r w:rsidR="00A3483A" w:rsidRPr="006A2D4B">
        <w:rPr>
          <w:rFonts w:ascii="Palatino Linotype" w:hAnsi="Palatino Linotype"/>
          <w:bCs/>
          <w:shd w:val="clear" w:color="auto" w:fill="FFFFFF"/>
        </w:rPr>
        <w:t>Sujeto Obligado la presente resolución, para su conocimiento</w:t>
      </w:r>
      <w:r w:rsidR="00A3483A" w:rsidRPr="006A2D4B">
        <w:rPr>
          <w:rFonts w:ascii="Palatino Linotype" w:hAnsi="Palatino Linotype"/>
          <w:shd w:val="clear" w:color="auto" w:fill="FFFFFF"/>
        </w:rPr>
        <w:t xml:space="preserve">, lo anterior en términos del artículo 189 de la </w:t>
      </w:r>
      <w:r w:rsidR="00A3483A" w:rsidRPr="006A2D4B">
        <w:rPr>
          <w:rFonts w:ascii="Palatino Linotype" w:hAnsi="Palatino Linotype" w:cs="Arial"/>
        </w:rPr>
        <w:t>Ley de Transparencia y Acceso a la Información Pública del Estado de México y Municipios.</w:t>
      </w:r>
    </w:p>
    <w:p w:rsidR="00A3483A" w:rsidRPr="006A2D4B" w:rsidRDefault="00A3483A" w:rsidP="00A3483A">
      <w:pPr>
        <w:spacing w:before="240" w:after="240" w:line="360" w:lineRule="auto"/>
        <w:contextualSpacing/>
        <w:jc w:val="both"/>
        <w:rPr>
          <w:rFonts w:ascii="Palatino Linotype" w:hAnsi="Palatino Linotype"/>
          <w:shd w:val="clear" w:color="auto" w:fill="FFFFFF"/>
        </w:rPr>
      </w:pPr>
    </w:p>
    <w:p w:rsidR="00A3483A" w:rsidRDefault="00504982" w:rsidP="00A3483A">
      <w:pPr>
        <w:spacing w:before="240" w:after="240" w:line="360" w:lineRule="auto"/>
        <w:jc w:val="both"/>
        <w:rPr>
          <w:rFonts w:ascii="Palatino Linotype" w:eastAsia="Palatino Linotype" w:hAnsi="Palatino Linotype" w:cs="Palatino Linotype"/>
        </w:rPr>
      </w:pPr>
      <w:r>
        <w:rPr>
          <w:rFonts w:ascii="Palatino Linotype" w:hAnsi="Palatino Linotype" w:cs="Arial"/>
          <w:b/>
        </w:rPr>
        <w:lastRenderedPageBreak/>
        <w:t xml:space="preserve">Tercero. Notifíquese a través </w:t>
      </w:r>
      <w:r w:rsidR="00D53C9E">
        <w:rPr>
          <w:rFonts w:ascii="Palatino Linotype" w:hAnsi="Palatino Linotype" w:cs="Arial"/>
        </w:rPr>
        <w:t xml:space="preserve"> </w:t>
      </w:r>
      <w:r>
        <w:rPr>
          <w:rFonts w:ascii="Palatino Linotype" w:hAnsi="Palatino Linotype" w:cs="Arial"/>
        </w:rPr>
        <w:t>del Sistema de Acceso a la Información Mexiquense y correo electrónico, al</w:t>
      </w:r>
      <w:r w:rsidR="00C6202E">
        <w:rPr>
          <w:rFonts w:ascii="Palatino Linotype" w:hAnsi="Palatino Linotype" w:cs="Arial"/>
        </w:rPr>
        <w:t xml:space="preserve"> recurrente</w:t>
      </w:r>
      <w:r w:rsidR="00A3483A" w:rsidRPr="006A2D4B">
        <w:rPr>
          <w:rFonts w:ascii="Palatino Linotype" w:hAnsi="Palatino Linotype" w:cs="Arial"/>
        </w:rPr>
        <w:t xml:space="preserve"> la presente resolución; así como, que de conformidad con lo establecido en el artículo 196 de la Ley de Transparencia y Acceso a la Información Pública del Estado de México y Municipios, podrá impugnarla en la vía</w:t>
      </w:r>
      <w:r w:rsidR="00A3483A" w:rsidRPr="006A2D4B">
        <w:rPr>
          <w:rFonts w:ascii="Palatino Linotype" w:eastAsia="Palatino Linotype" w:hAnsi="Palatino Linotype" w:cs="Palatino Linotype"/>
        </w:rPr>
        <w:t xml:space="preserve"> Juicio de Amparo en los términos de las leyes aplicables.</w:t>
      </w:r>
    </w:p>
    <w:p w:rsidR="00D53C9E" w:rsidRDefault="00D53C9E" w:rsidP="00D53C9E">
      <w:pPr>
        <w:spacing w:line="360" w:lineRule="auto"/>
        <w:ind w:right="49"/>
        <w:jc w:val="both"/>
        <w:rPr>
          <w:rFonts w:ascii="Palatino Linotype" w:hAnsi="Palatino Linotype"/>
        </w:rPr>
      </w:pPr>
      <w:r>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232C0E">
        <w:rPr>
          <w:rFonts w:ascii="Palatino Linotype" w:hAnsi="Palatino Linotype"/>
        </w:rPr>
        <w:t xml:space="preserve">VIGÉSIMA CUARTA </w:t>
      </w:r>
      <w:r>
        <w:rPr>
          <w:rFonts w:ascii="Palatino Linotype" w:hAnsi="Palatino Linotype"/>
        </w:rPr>
        <w:t>SESI</w:t>
      </w:r>
      <w:r w:rsidR="00232C0E">
        <w:rPr>
          <w:rFonts w:ascii="Palatino Linotype" w:hAnsi="Palatino Linotype"/>
        </w:rPr>
        <w:t>ÓN ORDINARIA CELEBRADA EL OCHO DE DICIEMBRE</w:t>
      </w:r>
      <w:r>
        <w:rPr>
          <w:rFonts w:ascii="Palatino Linotype" w:hAnsi="Palatino Linotype"/>
        </w:rPr>
        <w:t xml:space="preserve"> DE</w:t>
      </w:r>
      <w:r w:rsidR="00232C0E">
        <w:rPr>
          <w:rFonts w:ascii="Palatino Linotype" w:hAnsi="Palatino Linotype"/>
        </w:rPr>
        <w:t>L</w:t>
      </w:r>
      <w:r>
        <w:rPr>
          <w:rFonts w:ascii="Palatino Linotype" w:hAnsi="Palatino Linotype"/>
        </w:rPr>
        <w:t xml:space="preserve"> DOS MIL VEINTIUNO, ANTE EL SECRETARIO TÉCNICO DEL PLENO ALEXIS TAPIA RAMÍREZ.</w:t>
      </w:r>
    </w:p>
    <w:p w:rsidR="00D53C9E" w:rsidRPr="006A2D4B" w:rsidRDefault="00D53C9E" w:rsidP="00A3483A">
      <w:pPr>
        <w:spacing w:before="240" w:after="240" w:line="360" w:lineRule="auto"/>
        <w:jc w:val="both"/>
        <w:rPr>
          <w:rFonts w:ascii="Palatino Linotype" w:eastAsia="Palatino Linotype" w:hAnsi="Palatino Linotype" w:cs="Palatino Linotype"/>
        </w:rPr>
      </w:pPr>
    </w:p>
    <w:sectPr w:rsidR="00D53C9E" w:rsidRPr="006A2D4B" w:rsidSect="000B6E12">
      <w:headerReference w:type="default" r:id="rId16"/>
      <w:footerReference w:type="default" r:id="rId17"/>
      <w:headerReference w:type="first" r:id="rId18"/>
      <w:footerReference w:type="first" r:id="rId19"/>
      <w:pgSz w:w="12240" w:h="15840" w:code="1"/>
      <w:pgMar w:top="1417" w:right="1750"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6E57" w:rsidRDefault="00E16E57" w:rsidP="00224D6A">
      <w:r>
        <w:separator/>
      </w:r>
    </w:p>
  </w:endnote>
  <w:endnote w:type="continuationSeparator" w:id="0">
    <w:p w:rsidR="00E16E57" w:rsidRDefault="00E16E57" w:rsidP="00224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27FA4">
      <w:rPr>
        <w:rFonts w:ascii="Palatino Linotype" w:hAnsi="Palatino Linotype" w:cs="Arial"/>
        <w:b/>
        <w:bCs/>
        <w:noProof/>
        <w:sz w:val="20"/>
        <w:szCs w:val="20"/>
      </w:rPr>
      <w:t>2</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27FA4">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rsidR="00D53C9E" w:rsidRDefault="00D53C9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Pr="00F12350" w:rsidRDefault="00D53C9E" w:rsidP="00B276BE">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F27FA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F27FA4">
      <w:rPr>
        <w:rFonts w:ascii="Palatino Linotype" w:hAnsi="Palatino Linotype" w:cs="Arial"/>
        <w:b/>
        <w:bCs/>
        <w:noProof/>
        <w:sz w:val="20"/>
        <w:szCs w:val="20"/>
      </w:rPr>
      <w:t>20</w:t>
    </w:r>
    <w:r w:rsidRPr="00F12350">
      <w:rPr>
        <w:rFonts w:ascii="Palatino Linotype" w:hAnsi="Palatino Linotype" w:cs="Arial"/>
        <w:b/>
        <w:bCs/>
        <w:sz w:val="20"/>
        <w:szCs w:val="20"/>
      </w:rPr>
      <w:fldChar w:fldCharType="end"/>
    </w:r>
  </w:p>
  <w:p w:rsidR="00D53C9E" w:rsidRDefault="00D53C9E">
    <w:pPr>
      <w:pStyle w:val="Piedepgina"/>
    </w:pPr>
  </w:p>
  <w:p w:rsidR="009B13E8" w:rsidRDefault="009B13E8"/>
  <w:p w:rsidR="009B13E8" w:rsidRDefault="009B13E8"/>
  <w:p w:rsidR="009B13E8" w:rsidRDefault="009B13E8"/>
  <w:p w:rsidR="009B13E8" w:rsidRDefault="009B13E8"/>
  <w:p w:rsidR="009B13E8" w:rsidRDefault="009B13E8"/>
  <w:p w:rsidR="009B13E8" w:rsidRDefault="009B13E8"/>
  <w:p w:rsidR="009B13E8" w:rsidRDefault="009B13E8"/>
  <w:p w:rsidR="009B13E8" w:rsidRDefault="009B13E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6E57" w:rsidRDefault="00E16E57" w:rsidP="00224D6A">
      <w:r>
        <w:separator/>
      </w:r>
    </w:p>
  </w:footnote>
  <w:footnote w:type="continuationSeparator" w:id="0">
    <w:p w:rsidR="00E16E57" w:rsidRDefault="00E16E57" w:rsidP="00224D6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E72E93">
    <w:pPr>
      <w:pStyle w:val="Encabezado"/>
      <w:jc w:val="both"/>
    </w:pPr>
    <w:r>
      <w:rPr>
        <w:noProof/>
        <w:lang w:val="es-MX" w:eastAsia="es-MX"/>
      </w:rPr>
      <w:drawing>
        <wp:anchor distT="0" distB="0" distL="114300" distR="114300" simplePos="0" relativeHeight="251661312" behindDoc="1" locked="0" layoutInCell="1" allowOverlap="1" wp14:anchorId="34F6E400" wp14:editId="7E95AC7D">
          <wp:simplePos x="0" y="0"/>
          <wp:positionH relativeFrom="page">
            <wp:posOffset>425201</wp:posOffset>
          </wp:positionH>
          <wp:positionV relativeFrom="paragraph">
            <wp:posOffset>-313910</wp:posOffset>
          </wp:positionV>
          <wp:extent cx="7635600" cy="9943200"/>
          <wp:effectExtent l="0" t="0" r="3810" b="127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670" w:type="dxa"/>
      <w:tblInd w:w="3119" w:type="dxa"/>
      <w:tblLayout w:type="fixed"/>
      <w:tblLook w:val="04A0" w:firstRow="1" w:lastRow="0" w:firstColumn="1" w:lastColumn="0" w:noHBand="0" w:noVBand="1"/>
    </w:tblPr>
    <w:tblGrid>
      <w:gridCol w:w="2551"/>
      <w:gridCol w:w="3119"/>
    </w:tblGrid>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119" w:type="dxa"/>
          <w:vAlign w:val="center"/>
          <w:hideMark/>
        </w:tcPr>
        <w:p w:rsidR="00D53C9E" w:rsidRDefault="00E578F2" w:rsidP="00E72E93">
          <w:pPr>
            <w:jc w:val="both"/>
            <w:rPr>
              <w:rFonts w:ascii="Palatino Linotype" w:hAnsi="Palatino Linotype"/>
              <w:b/>
              <w:sz w:val="22"/>
              <w:szCs w:val="22"/>
              <w:lang w:val="es-ES_tradnl"/>
            </w:rPr>
          </w:pPr>
          <w:r>
            <w:rPr>
              <w:rFonts w:ascii="Palatino Linotype" w:hAnsi="Palatino Linotype"/>
              <w:b/>
              <w:sz w:val="22"/>
              <w:szCs w:val="22"/>
              <w:lang w:val="es-ES_tradnl"/>
            </w:rPr>
            <w:t>05004</w:t>
          </w:r>
          <w:r w:rsidR="00D53C9E">
            <w:rPr>
              <w:rFonts w:ascii="Palatino Linotype" w:hAnsi="Palatino Linotype"/>
              <w:b/>
              <w:sz w:val="22"/>
              <w:szCs w:val="22"/>
              <w:lang w:val="es-ES_tradnl"/>
            </w:rPr>
            <w:t xml:space="preserve">/INFOEM/IP/RR/2021. </w:t>
          </w:r>
        </w:p>
      </w:tc>
    </w:tr>
    <w:tr w:rsidR="00D53C9E" w:rsidTr="003A781E">
      <w:trPr>
        <w:trHeight w:val="228"/>
      </w:trPr>
      <w:tc>
        <w:tcPr>
          <w:tcW w:w="2551" w:type="dxa"/>
          <w:vAlign w:val="center"/>
          <w:hideMark/>
        </w:tcPr>
        <w:p w:rsidR="00D53C9E" w:rsidRDefault="00E578F2" w:rsidP="00E72E93">
          <w:pPr>
            <w:rPr>
              <w:rFonts w:ascii="Palatino Linotype" w:hAnsi="Palatino Linotype"/>
              <w:b/>
              <w:sz w:val="22"/>
              <w:szCs w:val="22"/>
              <w:lang w:val="es-ES_tradnl"/>
            </w:rPr>
          </w:pPr>
          <w:r>
            <w:rPr>
              <w:rFonts w:ascii="Palatino Linotype" w:hAnsi="Palatino Linotype"/>
              <w:b/>
              <w:sz w:val="22"/>
              <w:szCs w:val="22"/>
              <w:lang w:val="es-ES_tradnl"/>
            </w:rPr>
            <w:t>Sujeto O</w:t>
          </w:r>
          <w:r w:rsidR="00D53C9E">
            <w:rPr>
              <w:rFonts w:ascii="Palatino Linotype" w:hAnsi="Palatino Linotype"/>
              <w:b/>
              <w:sz w:val="22"/>
              <w:szCs w:val="22"/>
              <w:lang w:val="es-ES_tradnl"/>
            </w:rPr>
            <w:t>bligado:</w:t>
          </w:r>
        </w:p>
      </w:tc>
      <w:tc>
        <w:tcPr>
          <w:tcW w:w="3119" w:type="dxa"/>
          <w:vAlign w:val="center"/>
          <w:hideMark/>
        </w:tcPr>
        <w:p w:rsidR="00D53C9E" w:rsidRDefault="00E578F2" w:rsidP="00E72E93">
          <w:pPr>
            <w:jc w:val="both"/>
            <w:rPr>
              <w:rFonts w:ascii="Palatino Linotype" w:hAnsi="Palatino Linotype"/>
              <w:b/>
              <w:sz w:val="22"/>
              <w:szCs w:val="22"/>
              <w:lang w:val="es-ES_tradnl"/>
            </w:rPr>
          </w:pPr>
          <w:r>
            <w:rPr>
              <w:rFonts w:ascii="Palatino Linotype" w:hAnsi="Palatino Linotype"/>
              <w:b/>
              <w:sz w:val="22"/>
              <w:szCs w:val="22"/>
              <w:lang w:val="es-ES_tradnl"/>
            </w:rPr>
            <w:t>Ayuntamiento de Huixquilucan</w:t>
          </w:r>
          <w:r w:rsidR="00D53C9E">
            <w:rPr>
              <w:rFonts w:ascii="Palatino Linotype" w:hAnsi="Palatino Linotype"/>
              <w:b/>
              <w:sz w:val="22"/>
              <w:szCs w:val="22"/>
              <w:lang w:val="es-ES_tradnl"/>
            </w:rPr>
            <w:t>.</w:t>
          </w:r>
        </w:p>
      </w:tc>
    </w:tr>
    <w:tr w:rsidR="00D53C9E" w:rsidTr="003A781E">
      <w:tc>
        <w:tcPr>
          <w:tcW w:w="2551" w:type="dxa"/>
          <w:vAlign w:val="center"/>
          <w:hideMark/>
        </w:tcPr>
        <w:p w:rsidR="00D53C9E" w:rsidRDefault="00D53C9E" w:rsidP="00E72E93">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119" w:type="dxa"/>
          <w:vAlign w:val="center"/>
          <w:hideMark/>
        </w:tcPr>
        <w:p w:rsidR="00D53C9E" w:rsidRDefault="00D53C9E" w:rsidP="00E72E93">
          <w:pPr>
            <w:ind w:right="-533"/>
            <w:jc w:val="both"/>
            <w:rPr>
              <w:rFonts w:ascii="Palatino Linotype" w:hAnsi="Palatino Linotype"/>
              <w:b/>
              <w:sz w:val="22"/>
              <w:szCs w:val="22"/>
              <w:lang w:val="es-ES_tradnl"/>
            </w:rPr>
          </w:pPr>
          <w:r>
            <w:rPr>
              <w:rFonts w:ascii="Palatino Linotype" w:hAnsi="Palatino Linotype"/>
              <w:b/>
              <w:sz w:val="22"/>
              <w:szCs w:val="22"/>
              <w:lang w:val="es-ES_tradnl"/>
            </w:rPr>
            <w:t>Guadalupe Ramírez Peña.</w:t>
          </w:r>
        </w:p>
      </w:tc>
    </w:tr>
  </w:tbl>
  <w:p w:rsidR="00D53C9E" w:rsidRDefault="00D53C9E" w:rsidP="00E4481D">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53C9E" w:rsidRDefault="00D53C9E" w:rsidP="00224D6A">
    <w:pPr>
      <w:pStyle w:val="Encabezado"/>
      <w:jc w:val="both"/>
    </w:pPr>
    <w:r>
      <w:rPr>
        <w:noProof/>
        <w:lang w:val="es-MX" w:eastAsia="es-MX"/>
      </w:rPr>
      <w:drawing>
        <wp:anchor distT="0" distB="0" distL="114300" distR="114300" simplePos="0" relativeHeight="251659264" behindDoc="1" locked="0" layoutInCell="1" allowOverlap="1" wp14:anchorId="11EDAEA5" wp14:editId="6651AD9B">
          <wp:simplePos x="0" y="0"/>
          <wp:positionH relativeFrom="page">
            <wp:posOffset>388371</wp:posOffset>
          </wp:positionH>
          <wp:positionV relativeFrom="paragraph">
            <wp:posOffset>-207369</wp:posOffset>
          </wp:positionV>
          <wp:extent cx="7635600" cy="9943200"/>
          <wp:effectExtent l="0" t="0" r="3810" b="127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p>
  <w:tbl>
    <w:tblPr>
      <w:tblW w:w="5953" w:type="dxa"/>
      <w:tblInd w:w="3119" w:type="dxa"/>
      <w:tblLayout w:type="fixed"/>
      <w:tblLook w:val="04A0" w:firstRow="1" w:lastRow="0" w:firstColumn="1" w:lastColumn="0" w:noHBand="0" w:noVBand="1"/>
    </w:tblPr>
    <w:tblGrid>
      <w:gridCol w:w="2551"/>
      <w:gridCol w:w="3402"/>
    </w:tblGrid>
    <w:tr w:rsidR="00D53C9E" w:rsidTr="000B6E12">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Recurso de Revisión:</w:t>
          </w:r>
        </w:p>
      </w:tc>
      <w:tc>
        <w:tcPr>
          <w:tcW w:w="3402" w:type="dxa"/>
          <w:vAlign w:val="center"/>
          <w:hideMark/>
        </w:tcPr>
        <w:p w:rsidR="00D53C9E" w:rsidRPr="000B6E12" w:rsidRDefault="000B6E12" w:rsidP="00224D6A">
          <w:pPr>
            <w:jc w:val="both"/>
            <w:rPr>
              <w:rFonts w:ascii="Palatino Linotype" w:hAnsi="Palatino Linotype"/>
              <w:b/>
              <w:sz w:val="20"/>
              <w:szCs w:val="20"/>
              <w:lang w:val="es-ES_tradnl"/>
            </w:rPr>
          </w:pPr>
          <w:r w:rsidRPr="000B6E12">
            <w:rPr>
              <w:rFonts w:ascii="Palatino Linotype" w:hAnsi="Palatino Linotype"/>
              <w:b/>
              <w:sz w:val="20"/>
              <w:szCs w:val="20"/>
              <w:lang w:val="es-ES_tradnl"/>
            </w:rPr>
            <w:t>05004</w:t>
          </w:r>
          <w:r w:rsidR="00D53C9E" w:rsidRPr="000B6E12">
            <w:rPr>
              <w:rFonts w:ascii="Palatino Linotype" w:hAnsi="Palatino Linotype"/>
              <w:b/>
              <w:sz w:val="20"/>
              <w:szCs w:val="20"/>
              <w:lang w:val="es-ES_tradnl"/>
            </w:rPr>
            <w:t xml:space="preserve">/INFOEM/IP/RR/2021 </w:t>
          </w:r>
        </w:p>
      </w:tc>
    </w:tr>
    <w:tr w:rsidR="00D53C9E" w:rsidTr="000B6E12">
      <w:tc>
        <w:tcPr>
          <w:tcW w:w="2551" w:type="dxa"/>
          <w:vAlign w:val="center"/>
          <w:hideMark/>
        </w:tcPr>
        <w:p w:rsidR="00D53C9E" w:rsidRPr="000B6E12" w:rsidRDefault="00D53C9E" w:rsidP="00224D6A">
          <w:pPr>
            <w:ind w:left="35" w:hanging="35"/>
            <w:rPr>
              <w:rFonts w:ascii="Palatino Linotype" w:hAnsi="Palatino Linotype"/>
              <w:b/>
              <w:sz w:val="20"/>
              <w:szCs w:val="20"/>
              <w:lang w:val="es-ES_tradnl"/>
            </w:rPr>
          </w:pPr>
          <w:r w:rsidRPr="000B6E12">
            <w:rPr>
              <w:rFonts w:ascii="Palatino Linotype" w:hAnsi="Palatino Linotype"/>
              <w:b/>
              <w:sz w:val="20"/>
              <w:szCs w:val="20"/>
              <w:lang w:val="es-ES_tradnl"/>
            </w:rPr>
            <w:t>Recurrente:</w:t>
          </w:r>
        </w:p>
      </w:tc>
      <w:tc>
        <w:tcPr>
          <w:tcW w:w="3402" w:type="dxa"/>
          <w:vAlign w:val="center"/>
          <w:hideMark/>
        </w:tcPr>
        <w:p w:rsidR="00D53C9E" w:rsidRPr="000B6E12" w:rsidRDefault="00F27FA4" w:rsidP="000B6E12">
          <w:pPr>
            <w:ind w:right="600"/>
            <w:jc w:val="both"/>
            <w:rPr>
              <w:rFonts w:ascii="Palatino Linotype" w:hAnsi="Palatino Linotype"/>
              <w:b/>
              <w:sz w:val="20"/>
              <w:szCs w:val="20"/>
              <w:lang w:val="es-ES_tradnl"/>
            </w:rPr>
          </w:pPr>
          <w:r>
            <w:rPr>
              <w:rFonts w:ascii="Palatino Linotype" w:hAnsi="Palatino Linotype"/>
              <w:b/>
              <w:sz w:val="20"/>
              <w:szCs w:val="20"/>
              <w:lang w:val="es-ES_tradnl"/>
            </w:rPr>
            <w:t xml:space="preserve">XXXXX </w:t>
          </w:r>
          <w:proofErr w:type="spellStart"/>
          <w:r>
            <w:rPr>
              <w:rFonts w:ascii="Palatino Linotype" w:hAnsi="Palatino Linotype"/>
              <w:b/>
              <w:sz w:val="20"/>
              <w:szCs w:val="20"/>
              <w:lang w:val="es-ES_tradnl"/>
            </w:rPr>
            <w:t>XXXXX</w:t>
          </w:r>
          <w:proofErr w:type="spellEnd"/>
          <w:r>
            <w:rPr>
              <w:rFonts w:ascii="Palatino Linotype" w:hAnsi="Palatino Linotype"/>
              <w:b/>
              <w:sz w:val="20"/>
              <w:szCs w:val="20"/>
              <w:lang w:val="es-ES_tradnl"/>
            </w:rPr>
            <w:t xml:space="preserve"> </w:t>
          </w:r>
          <w:proofErr w:type="spellStart"/>
          <w:r>
            <w:rPr>
              <w:rFonts w:ascii="Palatino Linotype" w:hAnsi="Palatino Linotype"/>
              <w:b/>
              <w:sz w:val="20"/>
              <w:szCs w:val="20"/>
              <w:lang w:val="es-ES_tradnl"/>
            </w:rPr>
            <w:t>XXXXX</w:t>
          </w:r>
          <w:proofErr w:type="spellEnd"/>
          <w:r>
            <w:rPr>
              <w:rFonts w:ascii="Palatino Linotype" w:hAnsi="Palatino Linotype"/>
              <w:b/>
              <w:sz w:val="20"/>
              <w:szCs w:val="20"/>
              <w:lang w:val="es-ES_tradnl"/>
            </w:rPr>
            <w:t xml:space="preserve"> </w:t>
          </w:r>
          <w:proofErr w:type="spellStart"/>
          <w:r>
            <w:rPr>
              <w:rFonts w:ascii="Palatino Linotype" w:hAnsi="Palatino Linotype"/>
              <w:b/>
              <w:sz w:val="20"/>
              <w:szCs w:val="20"/>
              <w:lang w:val="es-ES_tradnl"/>
            </w:rPr>
            <w:t>XXXXX</w:t>
          </w:r>
          <w:proofErr w:type="spellEnd"/>
          <w:r w:rsidR="00D53C9E" w:rsidRPr="000B6E12">
            <w:rPr>
              <w:rFonts w:ascii="Palatino Linotype" w:hAnsi="Palatino Linotype"/>
              <w:b/>
              <w:sz w:val="20"/>
              <w:szCs w:val="20"/>
              <w:lang w:val="es-ES_tradnl"/>
            </w:rPr>
            <w:t>.</w:t>
          </w:r>
        </w:p>
      </w:tc>
    </w:tr>
    <w:tr w:rsidR="00D53C9E" w:rsidTr="000B6E12">
      <w:trPr>
        <w:trHeight w:val="228"/>
      </w:trPr>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Sujeto obligado:</w:t>
          </w:r>
        </w:p>
      </w:tc>
      <w:tc>
        <w:tcPr>
          <w:tcW w:w="3402" w:type="dxa"/>
          <w:vAlign w:val="center"/>
          <w:hideMark/>
        </w:tcPr>
        <w:p w:rsidR="00D53C9E" w:rsidRPr="000B6E12" w:rsidRDefault="000B6E12" w:rsidP="000B6E12">
          <w:pPr>
            <w:ind w:right="317"/>
            <w:jc w:val="both"/>
            <w:rPr>
              <w:rFonts w:ascii="Palatino Linotype" w:hAnsi="Palatino Linotype"/>
              <w:b/>
              <w:sz w:val="20"/>
              <w:szCs w:val="20"/>
              <w:lang w:val="es-ES_tradnl"/>
            </w:rPr>
          </w:pPr>
          <w:r w:rsidRPr="000B6E12">
            <w:rPr>
              <w:rFonts w:ascii="Palatino Linotype" w:hAnsi="Palatino Linotype"/>
              <w:b/>
              <w:sz w:val="20"/>
              <w:szCs w:val="20"/>
              <w:lang w:val="es-ES_tradnl"/>
            </w:rPr>
            <w:t>Ayuntamiento de Huixquilucan</w:t>
          </w:r>
        </w:p>
      </w:tc>
    </w:tr>
    <w:tr w:rsidR="00D53C9E" w:rsidTr="000B6E12">
      <w:tc>
        <w:tcPr>
          <w:tcW w:w="2551" w:type="dxa"/>
          <w:vAlign w:val="center"/>
          <w:hideMark/>
        </w:tcPr>
        <w:p w:rsidR="00D53C9E" w:rsidRPr="000B6E12" w:rsidRDefault="00D53C9E" w:rsidP="00224D6A">
          <w:pPr>
            <w:rPr>
              <w:rFonts w:ascii="Palatino Linotype" w:hAnsi="Palatino Linotype"/>
              <w:b/>
              <w:sz w:val="20"/>
              <w:szCs w:val="20"/>
              <w:lang w:val="es-ES_tradnl"/>
            </w:rPr>
          </w:pPr>
          <w:r w:rsidRPr="000B6E12">
            <w:rPr>
              <w:rFonts w:ascii="Palatino Linotype" w:hAnsi="Palatino Linotype"/>
              <w:b/>
              <w:sz w:val="20"/>
              <w:szCs w:val="20"/>
              <w:lang w:val="es-ES_tradnl"/>
            </w:rPr>
            <w:t>Comisionada ponente:</w:t>
          </w:r>
        </w:p>
      </w:tc>
      <w:tc>
        <w:tcPr>
          <w:tcW w:w="3402" w:type="dxa"/>
          <w:vAlign w:val="center"/>
          <w:hideMark/>
        </w:tcPr>
        <w:p w:rsidR="00D53C9E" w:rsidRPr="000B6E12" w:rsidRDefault="00D53C9E" w:rsidP="00224D6A">
          <w:pPr>
            <w:ind w:right="-533"/>
            <w:jc w:val="both"/>
            <w:rPr>
              <w:rFonts w:ascii="Palatino Linotype" w:hAnsi="Palatino Linotype"/>
              <w:b/>
              <w:sz w:val="20"/>
              <w:szCs w:val="20"/>
              <w:lang w:val="es-ES_tradnl"/>
            </w:rPr>
          </w:pPr>
          <w:r w:rsidRPr="000B6E12">
            <w:rPr>
              <w:rFonts w:ascii="Palatino Linotype" w:hAnsi="Palatino Linotype"/>
              <w:b/>
              <w:sz w:val="20"/>
              <w:szCs w:val="20"/>
              <w:lang w:val="es-ES_tradnl"/>
            </w:rPr>
            <w:t>Guadalupe Ramírez Peña.</w:t>
          </w:r>
        </w:p>
      </w:tc>
    </w:tr>
  </w:tbl>
  <w:p w:rsidR="00D53C9E" w:rsidRDefault="00D53C9E" w:rsidP="00224D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402"/>
    <w:multiLevelType w:val="multilevel"/>
    <w:tmpl w:val="00000885"/>
    <w:lvl w:ilvl="0">
      <w:start w:val="1"/>
      <w:numFmt w:val="decimal"/>
      <w:lvlText w:val="%1."/>
      <w:lvlJc w:val="left"/>
      <w:pPr>
        <w:ind w:left="627" w:hanging="324"/>
      </w:pPr>
      <w:rPr>
        <w:rFonts w:ascii="Arial" w:hAnsi="Arial" w:cs="Arial"/>
        <w:b w:val="0"/>
        <w:bCs w:val="0"/>
        <w:w w:val="110"/>
      </w:rPr>
    </w:lvl>
    <w:lvl w:ilvl="1">
      <w:numFmt w:val="bullet"/>
      <w:lvlText w:val="•"/>
      <w:lvlJc w:val="left"/>
      <w:pPr>
        <w:ind w:left="1438" w:hanging="324"/>
      </w:pPr>
    </w:lvl>
    <w:lvl w:ilvl="2">
      <w:numFmt w:val="bullet"/>
      <w:lvlText w:val="•"/>
      <w:lvlJc w:val="left"/>
      <w:pPr>
        <w:ind w:left="2256" w:hanging="324"/>
      </w:pPr>
    </w:lvl>
    <w:lvl w:ilvl="3">
      <w:numFmt w:val="bullet"/>
      <w:lvlText w:val="•"/>
      <w:lvlJc w:val="left"/>
      <w:pPr>
        <w:ind w:left="3074" w:hanging="324"/>
      </w:pPr>
    </w:lvl>
    <w:lvl w:ilvl="4">
      <w:numFmt w:val="bullet"/>
      <w:lvlText w:val="•"/>
      <w:lvlJc w:val="left"/>
      <w:pPr>
        <w:ind w:left="3892" w:hanging="324"/>
      </w:pPr>
    </w:lvl>
    <w:lvl w:ilvl="5">
      <w:numFmt w:val="bullet"/>
      <w:lvlText w:val="•"/>
      <w:lvlJc w:val="left"/>
      <w:pPr>
        <w:ind w:left="4710" w:hanging="324"/>
      </w:pPr>
    </w:lvl>
    <w:lvl w:ilvl="6">
      <w:numFmt w:val="bullet"/>
      <w:lvlText w:val="•"/>
      <w:lvlJc w:val="left"/>
      <w:pPr>
        <w:ind w:left="5528" w:hanging="324"/>
      </w:pPr>
    </w:lvl>
    <w:lvl w:ilvl="7">
      <w:numFmt w:val="bullet"/>
      <w:lvlText w:val="•"/>
      <w:lvlJc w:val="left"/>
      <w:pPr>
        <w:ind w:left="6346" w:hanging="324"/>
      </w:pPr>
    </w:lvl>
    <w:lvl w:ilvl="8">
      <w:numFmt w:val="bullet"/>
      <w:lvlText w:val="•"/>
      <w:lvlJc w:val="left"/>
      <w:pPr>
        <w:ind w:left="7164" w:hanging="324"/>
      </w:pPr>
    </w:lvl>
  </w:abstractNum>
  <w:abstractNum w:abstractNumId="1" w15:restartNumberingAfterBreak="0">
    <w:nsid w:val="0EEE7F57"/>
    <w:multiLevelType w:val="hybridMultilevel"/>
    <w:tmpl w:val="EEDE53AA"/>
    <w:lvl w:ilvl="0" w:tplc="BD084DDC">
      <w:start w:val="5"/>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2" w15:restartNumberingAfterBreak="0">
    <w:nsid w:val="18995210"/>
    <w:multiLevelType w:val="hybridMultilevel"/>
    <w:tmpl w:val="082A74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494159"/>
    <w:multiLevelType w:val="hybridMultilevel"/>
    <w:tmpl w:val="7CF681D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23331724"/>
    <w:multiLevelType w:val="hybridMultilevel"/>
    <w:tmpl w:val="FCFE28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591276"/>
    <w:multiLevelType w:val="hybridMultilevel"/>
    <w:tmpl w:val="F3AA743E"/>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DAA0CD7"/>
    <w:multiLevelType w:val="hybridMultilevel"/>
    <w:tmpl w:val="44B4350E"/>
    <w:lvl w:ilvl="0" w:tplc="080A0017">
      <w:start w:val="1"/>
      <w:numFmt w:val="lowerLetter"/>
      <w:lvlText w:val="%1)"/>
      <w:lvlJc w:val="left"/>
      <w:pPr>
        <w:ind w:left="720" w:hanging="360"/>
      </w:pPr>
      <w:rPr>
        <w:rFonts w:hint="default"/>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317490"/>
    <w:multiLevelType w:val="hybridMultilevel"/>
    <w:tmpl w:val="60CA9754"/>
    <w:lvl w:ilvl="0" w:tplc="5EFE98EE">
      <w:start w:val="1"/>
      <w:numFmt w:val="decimal"/>
      <w:lvlText w:val="%1."/>
      <w:lvlJc w:val="left"/>
      <w:pPr>
        <w:ind w:left="5180" w:hanging="360"/>
      </w:pPr>
      <w:rPr>
        <w:rFonts w:hint="default"/>
        <w:b/>
        <w:i w:val="0"/>
        <w:sz w:val="24"/>
      </w:rPr>
    </w:lvl>
    <w:lvl w:ilvl="1" w:tplc="D8BE9144">
      <w:start w:val="1"/>
      <w:numFmt w:val="upperRoman"/>
      <w:lvlText w:val="%2."/>
      <w:lvlJc w:val="left"/>
      <w:pPr>
        <w:ind w:left="1800" w:hanging="720"/>
      </w:pPr>
      <w:rPr>
        <w:rFonts w:hint="default"/>
        <w:color w:val="auto"/>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9C631F9"/>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C9A7531"/>
    <w:multiLevelType w:val="hybridMultilevel"/>
    <w:tmpl w:val="30BCF5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E124630"/>
    <w:multiLevelType w:val="multilevel"/>
    <w:tmpl w:val="DB2EF0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C40A8E"/>
    <w:multiLevelType w:val="hybridMultilevel"/>
    <w:tmpl w:val="68029E4C"/>
    <w:lvl w:ilvl="0" w:tplc="62860FFA">
      <w:start w:val="1"/>
      <w:numFmt w:val="upperRoman"/>
      <w:lvlText w:val="%1."/>
      <w:lvlJc w:val="left"/>
      <w:pPr>
        <w:ind w:left="1713" w:hanging="720"/>
      </w:pPr>
      <w:rPr>
        <w:rFonts w:hint="default"/>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2" w15:restartNumberingAfterBreak="0">
    <w:nsid w:val="59927624"/>
    <w:multiLevelType w:val="hybridMultilevel"/>
    <w:tmpl w:val="C34815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87F14CE"/>
    <w:multiLevelType w:val="hybridMultilevel"/>
    <w:tmpl w:val="09F44904"/>
    <w:lvl w:ilvl="0" w:tplc="69E27CA2">
      <w:start w:val="1"/>
      <w:numFmt w:val="upperRoman"/>
      <w:lvlText w:val="%1."/>
      <w:lvlJc w:val="left"/>
      <w:pPr>
        <w:ind w:left="4265" w:hanging="720"/>
      </w:pPr>
    </w:lvl>
    <w:lvl w:ilvl="1" w:tplc="080A0019">
      <w:start w:val="1"/>
      <w:numFmt w:val="lowerLetter"/>
      <w:lvlText w:val="%2."/>
      <w:lvlJc w:val="left"/>
      <w:pPr>
        <w:ind w:left="4625" w:hanging="360"/>
      </w:pPr>
    </w:lvl>
    <w:lvl w:ilvl="2" w:tplc="080A001B">
      <w:start w:val="1"/>
      <w:numFmt w:val="lowerRoman"/>
      <w:lvlText w:val="%3."/>
      <w:lvlJc w:val="right"/>
      <w:pPr>
        <w:ind w:left="5345" w:hanging="180"/>
      </w:pPr>
    </w:lvl>
    <w:lvl w:ilvl="3" w:tplc="080A000F">
      <w:start w:val="1"/>
      <w:numFmt w:val="decimal"/>
      <w:lvlText w:val="%4."/>
      <w:lvlJc w:val="left"/>
      <w:pPr>
        <w:ind w:left="6065" w:hanging="360"/>
      </w:pPr>
    </w:lvl>
    <w:lvl w:ilvl="4" w:tplc="080A0019">
      <w:start w:val="1"/>
      <w:numFmt w:val="lowerLetter"/>
      <w:lvlText w:val="%5."/>
      <w:lvlJc w:val="left"/>
      <w:pPr>
        <w:ind w:left="6785" w:hanging="360"/>
      </w:pPr>
    </w:lvl>
    <w:lvl w:ilvl="5" w:tplc="080A001B">
      <w:start w:val="1"/>
      <w:numFmt w:val="lowerRoman"/>
      <w:lvlText w:val="%6."/>
      <w:lvlJc w:val="right"/>
      <w:pPr>
        <w:ind w:left="7505" w:hanging="180"/>
      </w:pPr>
    </w:lvl>
    <w:lvl w:ilvl="6" w:tplc="080A000F">
      <w:start w:val="1"/>
      <w:numFmt w:val="decimal"/>
      <w:lvlText w:val="%7."/>
      <w:lvlJc w:val="left"/>
      <w:pPr>
        <w:ind w:left="8225" w:hanging="360"/>
      </w:pPr>
    </w:lvl>
    <w:lvl w:ilvl="7" w:tplc="080A0019">
      <w:start w:val="1"/>
      <w:numFmt w:val="lowerLetter"/>
      <w:lvlText w:val="%8."/>
      <w:lvlJc w:val="left"/>
      <w:pPr>
        <w:ind w:left="8945" w:hanging="360"/>
      </w:pPr>
    </w:lvl>
    <w:lvl w:ilvl="8" w:tplc="080A001B">
      <w:start w:val="1"/>
      <w:numFmt w:val="lowerRoman"/>
      <w:lvlText w:val="%9."/>
      <w:lvlJc w:val="right"/>
      <w:pPr>
        <w:ind w:left="9665" w:hanging="180"/>
      </w:pPr>
    </w:lvl>
  </w:abstractNum>
  <w:abstractNum w:abstractNumId="14" w15:restartNumberingAfterBreak="0">
    <w:nsid w:val="6E8F2AC0"/>
    <w:multiLevelType w:val="hybridMultilevel"/>
    <w:tmpl w:val="7A602B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79973A6"/>
    <w:multiLevelType w:val="hybridMultilevel"/>
    <w:tmpl w:val="1BE4648E"/>
    <w:lvl w:ilvl="0" w:tplc="B5481E6A">
      <w:start w:val="1"/>
      <w:numFmt w:val="upperRoman"/>
      <w:lvlText w:val="%1."/>
      <w:lvlJc w:val="left"/>
      <w:pPr>
        <w:ind w:left="1713" w:hanging="720"/>
      </w:pPr>
      <w:rPr>
        <w:rFonts w:cs="Segoe UI" w:hint="default"/>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6" w15:restartNumberingAfterBreak="0">
    <w:nsid w:val="7913187D"/>
    <w:multiLevelType w:val="hybridMultilevel"/>
    <w:tmpl w:val="BFBC12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CEC4444"/>
    <w:multiLevelType w:val="hybridMultilevel"/>
    <w:tmpl w:val="4D702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num>
  <w:num w:numId="3">
    <w:abstractNumId w:val="0"/>
  </w:num>
  <w:num w:numId="4">
    <w:abstractNumId w:val="6"/>
  </w:num>
  <w:num w:numId="5">
    <w:abstractNumId w:val="2"/>
  </w:num>
  <w:num w:numId="6">
    <w:abstractNumId w:val="5"/>
  </w:num>
  <w:num w:numId="7">
    <w:abstractNumId w:val="7"/>
  </w:num>
  <w:num w:numId="8">
    <w:abstractNumId w:val="4"/>
  </w:num>
  <w:num w:numId="9">
    <w:abstractNumId w:val="3"/>
  </w:num>
  <w:num w:numId="10">
    <w:abstractNumId w:val="12"/>
  </w:num>
  <w:num w:numId="11">
    <w:abstractNumId w:val="11"/>
  </w:num>
  <w:num w:numId="12">
    <w:abstractNumId w:val="14"/>
  </w:num>
  <w:num w:numId="13">
    <w:abstractNumId w:val="8"/>
  </w:num>
  <w:num w:numId="14">
    <w:abstractNumId w:val="16"/>
  </w:num>
  <w:num w:numId="15">
    <w:abstractNumId w:val="1"/>
  </w:num>
  <w:num w:numId="16">
    <w:abstractNumId w:val="15"/>
  </w:num>
  <w:num w:numId="17">
    <w:abstractNumId w:val="17"/>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396"/>
    <w:rsid w:val="000033B1"/>
    <w:rsid w:val="000065CB"/>
    <w:rsid w:val="0001561E"/>
    <w:rsid w:val="00015B46"/>
    <w:rsid w:val="00020628"/>
    <w:rsid w:val="00021168"/>
    <w:rsid w:val="000216E2"/>
    <w:rsid w:val="00022119"/>
    <w:rsid w:val="000237B7"/>
    <w:rsid w:val="000337DA"/>
    <w:rsid w:val="00037D72"/>
    <w:rsid w:val="0004608D"/>
    <w:rsid w:val="00062052"/>
    <w:rsid w:val="00066EA9"/>
    <w:rsid w:val="00072D95"/>
    <w:rsid w:val="000750A7"/>
    <w:rsid w:val="00076C9A"/>
    <w:rsid w:val="00080788"/>
    <w:rsid w:val="00096161"/>
    <w:rsid w:val="00096C72"/>
    <w:rsid w:val="00097DC6"/>
    <w:rsid w:val="000A3261"/>
    <w:rsid w:val="000A7478"/>
    <w:rsid w:val="000B37AE"/>
    <w:rsid w:val="000B6E12"/>
    <w:rsid w:val="000D34A1"/>
    <w:rsid w:val="000D4727"/>
    <w:rsid w:val="000D4A20"/>
    <w:rsid w:val="000E0F0F"/>
    <w:rsid w:val="000E3843"/>
    <w:rsid w:val="000E4227"/>
    <w:rsid w:val="000E77F3"/>
    <w:rsid w:val="000F2D64"/>
    <w:rsid w:val="000F51C1"/>
    <w:rsid w:val="0010499F"/>
    <w:rsid w:val="0010633D"/>
    <w:rsid w:val="00113F0F"/>
    <w:rsid w:val="00114A6D"/>
    <w:rsid w:val="00114A9A"/>
    <w:rsid w:val="00116785"/>
    <w:rsid w:val="001342BD"/>
    <w:rsid w:val="0013433C"/>
    <w:rsid w:val="00142FA9"/>
    <w:rsid w:val="00146257"/>
    <w:rsid w:val="00153C0D"/>
    <w:rsid w:val="00161C08"/>
    <w:rsid w:val="001639B7"/>
    <w:rsid w:val="00170E33"/>
    <w:rsid w:val="00171420"/>
    <w:rsid w:val="001714D5"/>
    <w:rsid w:val="00173DD2"/>
    <w:rsid w:val="001778FE"/>
    <w:rsid w:val="00181755"/>
    <w:rsid w:val="00184165"/>
    <w:rsid w:val="00186A33"/>
    <w:rsid w:val="00190F13"/>
    <w:rsid w:val="0019247C"/>
    <w:rsid w:val="0019336E"/>
    <w:rsid w:val="0019366F"/>
    <w:rsid w:val="00195135"/>
    <w:rsid w:val="001A4769"/>
    <w:rsid w:val="001A5DB6"/>
    <w:rsid w:val="001A73AF"/>
    <w:rsid w:val="001B5585"/>
    <w:rsid w:val="001C16F6"/>
    <w:rsid w:val="001C54FE"/>
    <w:rsid w:val="001C66D4"/>
    <w:rsid w:val="001E04EA"/>
    <w:rsid w:val="001E35F1"/>
    <w:rsid w:val="001E571F"/>
    <w:rsid w:val="001F5725"/>
    <w:rsid w:val="001F72FB"/>
    <w:rsid w:val="002043EC"/>
    <w:rsid w:val="00205EF0"/>
    <w:rsid w:val="00206CFD"/>
    <w:rsid w:val="0021444D"/>
    <w:rsid w:val="00214E16"/>
    <w:rsid w:val="0022062A"/>
    <w:rsid w:val="00223B07"/>
    <w:rsid w:val="00224D6A"/>
    <w:rsid w:val="00226398"/>
    <w:rsid w:val="0022754A"/>
    <w:rsid w:val="00232C0E"/>
    <w:rsid w:val="00235A8C"/>
    <w:rsid w:val="002417A9"/>
    <w:rsid w:val="0024214B"/>
    <w:rsid w:val="00246A48"/>
    <w:rsid w:val="00252213"/>
    <w:rsid w:val="00266653"/>
    <w:rsid w:val="00266B48"/>
    <w:rsid w:val="00273EF3"/>
    <w:rsid w:val="00276DAD"/>
    <w:rsid w:val="00286483"/>
    <w:rsid w:val="00293A1F"/>
    <w:rsid w:val="00293CA1"/>
    <w:rsid w:val="00293EB6"/>
    <w:rsid w:val="002A05B6"/>
    <w:rsid w:val="002A11F8"/>
    <w:rsid w:val="002A6F11"/>
    <w:rsid w:val="002B0D00"/>
    <w:rsid w:val="002B3972"/>
    <w:rsid w:val="002C0440"/>
    <w:rsid w:val="002C20F6"/>
    <w:rsid w:val="002D48FE"/>
    <w:rsid w:val="002D5D7C"/>
    <w:rsid w:val="002D6562"/>
    <w:rsid w:val="002E0B73"/>
    <w:rsid w:val="002E1C93"/>
    <w:rsid w:val="002E5396"/>
    <w:rsid w:val="002F081A"/>
    <w:rsid w:val="003000C4"/>
    <w:rsid w:val="003048AD"/>
    <w:rsid w:val="003132E1"/>
    <w:rsid w:val="00313ADE"/>
    <w:rsid w:val="003239B7"/>
    <w:rsid w:val="003241E5"/>
    <w:rsid w:val="0033087D"/>
    <w:rsid w:val="003347C3"/>
    <w:rsid w:val="00336113"/>
    <w:rsid w:val="00340981"/>
    <w:rsid w:val="003443C1"/>
    <w:rsid w:val="00345F68"/>
    <w:rsid w:val="00363976"/>
    <w:rsid w:val="00365264"/>
    <w:rsid w:val="00373C0A"/>
    <w:rsid w:val="00382DC3"/>
    <w:rsid w:val="00386076"/>
    <w:rsid w:val="00391967"/>
    <w:rsid w:val="00392DE2"/>
    <w:rsid w:val="00392F63"/>
    <w:rsid w:val="00394748"/>
    <w:rsid w:val="003A0920"/>
    <w:rsid w:val="003A10D3"/>
    <w:rsid w:val="003A24CA"/>
    <w:rsid w:val="003A386A"/>
    <w:rsid w:val="003A781E"/>
    <w:rsid w:val="003B0CBF"/>
    <w:rsid w:val="003B19DA"/>
    <w:rsid w:val="003B4C11"/>
    <w:rsid w:val="003C1448"/>
    <w:rsid w:val="003C4A56"/>
    <w:rsid w:val="003E3A0E"/>
    <w:rsid w:val="003E67EC"/>
    <w:rsid w:val="003E7C61"/>
    <w:rsid w:val="003F2267"/>
    <w:rsid w:val="00410B33"/>
    <w:rsid w:val="00416F97"/>
    <w:rsid w:val="0042081B"/>
    <w:rsid w:val="00422958"/>
    <w:rsid w:val="00431776"/>
    <w:rsid w:val="00441DEC"/>
    <w:rsid w:val="0044607B"/>
    <w:rsid w:val="00452381"/>
    <w:rsid w:val="00452AA3"/>
    <w:rsid w:val="00455513"/>
    <w:rsid w:val="00461C88"/>
    <w:rsid w:val="00463004"/>
    <w:rsid w:val="004728FD"/>
    <w:rsid w:val="004879EC"/>
    <w:rsid w:val="00490FD1"/>
    <w:rsid w:val="00497433"/>
    <w:rsid w:val="004A78DC"/>
    <w:rsid w:val="004B0649"/>
    <w:rsid w:val="004B0F26"/>
    <w:rsid w:val="004B7469"/>
    <w:rsid w:val="004C7BE4"/>
    <w:rsid w:val="004D295E"/>
    <w:rsid w:val="004D453C"/>
    <w:rsid w:val="004D63E3"/>
    <w:rsid w:val="004D6D6A"/>
    <w:rsid w:val="004D6DE5"/>
    <w:rsid w:val="004D6F01"/>
    <w:rsid w:val="004E51D4"/>
    <w:rsid w:val="004F31E2"/>
    <w:rsid w:val="004F5A47"/>
    <w:rsid w:val="004F6F27"/>
    <w:rsid w:val="00504982"/>
    <w:rsid w:val="00505840"/>
    <w:rsid w:val="005124BF"/>
    <w:rsid w:val="005165E9"/>
    <w:rsid w:val="00523D85"/>
    <w:rsid w:val="00526638"/>
    <w:rsid w:val="00530E63"/>
    <w:rsid w:val="005323AC"/>
    <w:rsid w:val="00537F89"/>
    <w:rsid w:val="00540979"/>
    <w:rsid w:val="005426EA"/>
    <w:rsid w:val="00546029"/>
    <w:rsid w:val="005507DC"/>
    <w:rsid w:val="00551415"/>
    <w:rsid w:val="00581E90"/>
    <w:rsid w:val="005975CD"/>
    <w:rsid w:val="00597C70"/>
    <w:rsid w:val="005B1C86"/>
    <w:rsid w:val="005C2B9A"/>
    <w:rsid w:val="005D0014"/>
    <w:rsid w:val="005E0477"/>
    <w:rsid w:val="005E40AB"/>
    <w:rsid w:val="005F0C47"/>
    <w:rsid w:val="0060122B"/>
    <w:rsid w:val="00625BB7"/>
    <w:rsid w:val="006302EB"/>
    <w:rsid w:val="0063409B"/>
    <w:rsid w:val="00636BF0"/>
    <w:rsid w:val="00640896"/>
    <w:rsid w:val="00641CF7"/>
    <w:rsid w:val="00642ED3"/>
    <w:rsid w:val="00651AE4"/>
    <w:rsid w:val="00651B2F"/>
    <w:rsid w:val="00667C75"/>
    <w:rsid w:val="00673AC9"/>
    <w:rsid w:val="00673F19"/>
    <w:rsid w:val="00676C17"/>
    <w:rsid w:val="00686C66"/>
    <w:rsid w:val="0069454E"/>
    <w:rsid w:val="00695C47"/>
    <w:rsid w:val="006975B4"/>
    <w:rsid w:val="006A7EE4"/>
    <w:rsid w:val="006C60A8"/>
    <w:rsid w:val="006D0954"/>
    <w:rsid w:val="006E32F0"/>
    <w:rsid w:val="006F2A2A"/>
    <w:rsid w:val="006F37E6"/>
    <w:rsid w:val="006F40FE"/>
    <w:rsid w:val="00702C67"/>
    <w:rsid w:val="007048F5"/>
    <w:rsid w:val="00713DD7"/>
    <w:rsid w:val="00720105"/>
    <w:rsid w:val="00722A61"/>
    <w:rsid w:val="0073045B"/>
    <w:rsid w:val="007372F8"/>
    <w:rsid w:val="00745A16"/>
    <w:rsid w:val="00747FEA"/>
    <w:rsid w:val="00752494"/>
    <w:rsid w:val="0075545F"/>
    <w:rsid w:val="00763D10"/>
    <w:rsid w:val="0077066B"/>
    <w:rsid w:val="00771004"/>
    <w:rsid w:val="00771FD8"/>
    <w:rsid w:val="00776053"/>
    <w:rsid w:val="00777D38"/>
    <w:rsid w:val="007826B6"/>
    <w:rsid w:val="00782D84"/>
    <w:rsid w:val="00787330"/>
    <w:rsid w:val="0079066D"/>
    <w:rsid w:val="0079175F"/>
    <w:rsid w:val="00793A46"/>
    <w:rsid w:val="00795888"/>
    <w:rsid w:val="007A2EAF"/>
    <w:rsid w:val="007A6AB4"/>
    <w:rsid w:val="007B188B"/>
    <w:rsid w:val="007B1D27"/>
    <w:rsid w:val="007B6B59"/>
    <w:rsid w:val="007C08DD"/>
    <w:rsid w:val="007C26DD"/>
    <w:rsid w:val="007D2A34"/>
    <w:rsid w:val="007D3B62"/>
    <w:rsid w:val="007D70B1"/>
    <w:rsid w:val="007E06D7"/>
    <w:rsid w:val="007E20FC"/>
    <w:rsid w:val="007E28D4"/>
    <w:rsid w:val="007E5123"/>
    <w:rsid w:val="007E6426"/>
    <w:rsid w:val="007F09BB"/>
    <w:rsid w:val="007F6117"/>
    <w:rsid w:val="0080178F"/>
    <w:rsid w:val="008029E6"/>
    <w:rsid w:val="008035A8"/>
    <w:rsid w:val="00815F59"/>
    <w:rsid w:val="00821319"/>
    <w:rsid w:val="00825D48"/>
    <w:rsid w:val="0084038C"/>
    <w:rsid w:val="008422E5"/>
    <w:rsid w:val="0085194C"/>
    <w:rsid w:val="00854B1C"/>
    <w:rsid w:val="008558D7"/>
    <w:rsid w:val="0085799A"/>
    <w:rsid w:val="0087361A"/>
    <w:rsid w:val="00880949"/>
    <w:rsid w:val="00881FC4"/>
    <w:rsid w:val="0089424B"/>
    <w:rsid w:val="008A0CDC"/>
    <w:rsid w:val="008A100D"/>
    <w:rsid w:val="008A3111"/>
    <w:rsid w:val="008B5639"/>
    <w:rsid w:val="008E0A94"/>
    <w:rsid w:val="008E520C"/>
    <w:rsid w:val="008E6621"/>
    <w:rsid w:val="008F324A"/>
    <w:rsid w:val="00901BCB"/>
    <w:rsid w:val="00921A6C"/>
    <w:rsid w:val="00924D37"/>
    <w:rsid w:val="00944CD5"/>
    <w:rsid w:val="00945457"/>
    <w:rsid w:val="00950BEC"/>
    <w:rsid w:val="00957724"/>
    <w:rsid w:val="009602E3"/>
    <w:rsid w:val="00966DD3"/>
    <w:rsid w:val="00976507"/>
    <w:rsid w:val="0098057B"/>
    <w:rsid w:val="009902CB"/>
    <w:rsid w:val="00997B8F"/>
    <w:rsid w:val="009A15B8"/>
    <w:rsid w:val="009A47D5"/>
    <w:rsid w:val="009B13E8"/>
    <w:rsid w:val="009B3DAD"/>
    <w:rsid w:val="009C49CD"/>
    <w:rsid w:val="009E1FAD"/>
    <w:rsid w:val="009E71E7"/>
    <w:rsid w:val="009F00A5"/>
    <w:rsid w:val="00A02EE8"/>
    <w:rsid w:val="00A0527F"/>
    <w:rsid w:val="00A11D70"/>
    <w:rsid w:val="00A26A48"/>
    <w:rsid w:val="00A32E26"/>
    <w:rsid w:val="00A3384C"/>
    <w:rsid w:val="00A34630"/>
    <w:rsid w:val="00A3483A"/>
    <w:rsid w:val="00A37BB0"/>
    <w:rsid w:val="00A43706"/>
    <w:rsid w:val="00A7395C"/>
    <w:rsid w:val="00A80726"/>
    <w:rsid w:val="00A93289"/>
    <w:rsid w:val="00A9340E"/>
    <w:rsid w:val="00AA1D9C"/>
    <w:rsid w:val="00AA23D5"/>
    <w:rsid w:val="00AA3766"/>
    <w:rsid w:val="00AA5B9D"/>
    <w:rsid w:val="00AB4201"/>
    <w:rsid w:val="00AB4D6F"/>
    <w:rsid w:val="00AB619D"/>
    <w:rsid w:val="00AC2D4D"/>
    <w:rsid w:val="00AD0C26"/>
    <w:rsid w:val="00AD1F1D"/>
    <w:rsid w:val="00AD62E4"/>
    <w:rsid w:val="00AE03C3"/>
    <w:rsid w:val="00AF1553"/>
    <w:rsid w:val="00AF3687"/>
    <w:rsid w:val="00AF3EE9"/>
    <w:rsid w:val="00B00578"/>
    <w:rsid w:val="00B027BE"/>
    <w:rsid w:val="00B10115"/>
    <w:rsid w:val="00B124E5"/>
    <w:rsid w:val="00B17F12"/>
    <w:rsid w:val="00B20D9F"/>
    <w:rsid w:val="00B24AA0"/>
    <w:rsid w:val="00B276BE"/>
    <w:rsid w:val="00B307A8"/>
    <w:rsid w:val="00B44473"/>
    <w:rsid w:val="00B450CA"/>
    <w:rsid w:val="00B55F88"/>
    <w:rsid w:val="00B62D1E"/>
    <w:rsid w:val="00B94E90"/>
    <w:rsid w:val="00BB2A04"/>
    <w:rsid w:val="00BB2B3D"/>
    <w:rsid w:val="00BB4ED8"/>
    <w:rsid w:val="00BB61F7"/>
    <w:rsid w:val="00BB75C3"/>
    <w:rsid w:val="00BC3332"/>
    <w:rsid w:val="00BC5CBE"/>
    <w:rsid w:val="00BD09ED"/>
    <w:rsid w:val="00BD1EA0"/>
    <w:rsid w:val="00BD1F18"/>
    <w:rsid w:val="00BE545E"/>
    <w:rsid w:val="00BE5DED"/>
    <w:rsid w:val="00BF5449"/>
    <w:rsid w:val="00C01EF3"/>
    <w:rsid w:val="00C04AC7"/>
    <w:rsid w:val="00C055C3"/>
    <w:rsid w:val="00C05B60"/>
    <w:rsid w:val="00C1056D"/>
    <w:rsid w:val="00C12F96"/>
    <w:rsid w:val="00C17246"/>
    <w:rsid w:val="00C31A4E"/>
    <w:rsid w:val="00C3219F"/>
    <w:rsid w:val="00C367B8"/>
    <w:rsid w:val="00C407B9"/>
    <w:rsid w:val="00C41145"/>
    <w:rsid w:val="00C43202"/>
    <w:rsid w:val="00C52B7C"/>
    <w:rsid w:val="00C6202E"/>
    <w:rsid w:val="00C62A48"/>
    <w:rsid w:val="00C63420"/>
    <w:rsid w:val="00C65C6D"/>
    <w:rsid w:val="00C66BA8"/>
    <w:rsid w:val="00C706D2"/>
    <w:rsid w:val="00C76ABB"/>
    <w:rsid w:val="00C8338F"/>
    <w:rsid w:val="00C87077"/>
    <w:rsid w:val="00C910ED"/>
    <w:rsid w:val="00CA4A50"/>
    <w:rsid w:val="00CA6C81"/>
    <w:rsid w:val="00CA7CFD"/>
    <w:rsid w:val="00CC3412"/>
    <w:rsid w:val="00CC51B6"/>
    <w:rsid w:val="00CD4117"/>
    <w:rsid w:val="00CD4712"/>
    <w:rsid w:val="00CE169F"/>
    <w:rsid w:val="00CE3484"/>
    <w:rsid w:val="00D027C7"/>
    <w:rsid w:val="00D03D82"/>
    <w:rsid w:val="00D049F6"/>
    <w:rsid w:val="00D04AE4"/>
    <w:rsid w:val="00D04B37"/>
    <w:rsid w:val="00D129B1"/>
    <w:rsid w:val="00D135C7"/>
    <w:rsid w:val="00D213EC"/>
    <w:rsid w:val="00D215DE"/>
    <w:rsid w:val="00D24040"/>
    <w:rsid w:val="00D246B8"/>
    <w:rsid w:val="00D2638F"/>
    <w:rsid w:val="00D27626"/>
    <w:rsid w:val="00D35465"/>
    <w:rsid w:val="00D46C55"/>
    <w:rsid w:val="00D50BF2"/>
    <w:rsid w:val="00D53C9E"/>
    <w:rsid w:val="00D564E9"/>
    <w:rsid w:val="00D60D50"/>
    <w:rsid w:val="00D642F2"/>
    <w:rsid w:val="00D64D7A"/>
    <w:rsid w:val="00D66DC4"/>
    <w:rsid w:val="00D74228"/>
    <w:rsid w:val="00D817CC"/>
    <w:rsid w:val="00D84317"/>
    <w:rsid w:val="00D86D06"/>
    <w:rsid w:val="00D95F0F"/>
    <w:rsid w:val="00DA4FC4"/>
    <w:rsid w:val="00DB61BC"/>
    <w:rsid w:val="00DC1614"/>
    <w:rsid w:val="00DC1FC8"/>
    <w:rsid w:val="00DC3DCD"/>
    <w:rsid w:val="00DD00F1"/>
    <w:rsid w:val="00DD57B6"/>
    <w:rsid w:val="00DE25D7"/>
    <w:rsid w:val="00DE4E6A"/>
    <w:rsid w:val="00DE772D"/>
    <w:rsid w:val="00DE7A75"/>
    <w:rsid w:val="00DE7BA4"/>
    <w:rsid w:val="00DF3918"/>
    <w:rsid w:val="00DF4A44"/>
    <w:rsid w:val="00E00033"/>
    <w:rsid w:val="00E003BF"/>
    <w:rsid w:val="00E06B17"/>
    <w:rsid w:val="00E115C4"/>
    <w:rsid w:val="00E13192"/>
    <w:rsid w:val="00E16E57"/>
    <w:rsid w:val="00E17FB8"/>
    <w:rsid w:val="00E22A8D"/>
    <w:rsid w:val="00E22EA1"/>
    <w:rsid w:val="00E23E83"/>
    <w:rsid w:val="00E2702C"/>
    <w:rsid w:val="00E279AD"/>
    <w:rsid w:val="00E3118E"/>
    <w:rsid w:val="00E33B23"/>
    <w:rsid w:val="00E34595"/>
    <w:rsid w:val="00E4013E"/>
    <w:rsid w:val="00E4481D"/>
    <w:rsid w:val="00E479A9"/>
    <w:rsid w:val="00E53ECD"/>
    <w:rsid w:val="00E578F2"/>
    <w:rsid w:val="00E67840"/>
    <w:rsid w:val="00E72E93"/>
    <w:rsid w:val="00E827A0"/>
    <w:rsid w:val="00E84CD8"/>
    <w:rsid w:val="00E87E7E"/>
    <w:rsid w:val="00E9188C"/>
    <w:rsid w:val="00E96956"/>
    <w:rsid w:val="00E969C6"/>
    <w:rsid w:val="00E9748A"/>
    <w:rsid w:val="00E97D16"/>
    <w:rsid w:val="00EA040E"/>
    <w:rsid w:val="00EA28F2"/>
    <w:rsid w:val="00EB6B00"/>
    <w:rsid w:val="00EC1780"/>
    <w:rsid w:val="00EC32C0"/>
    <w:rsid w:val="00EC5F74"/>
    <w:rsid w:val="00EC6D97"/>
    <w:rsid w:val="00ED39F1"/>
    <w:rsid w:val="00EE6DBE"/>
    <w:rsid w:val="00EF0E0E"/>
    <w:rsid w:val="00EF50C0"/>
    <w:rsid w:val="00EF5983"/>
    <w:rsid w:val="00EF7597"/>
    <w:rsid w:val="00F03394"/>
    <w:rsid w:val="00F041BB"/>
    <w:rsid w:val="00F13931"/>
    <w:rsid w:val="00F15EDD"/>
    <w:rsid w:val="00F2486F"/>
    <w:rsid w:val="00F27FA4"/>
    <w:rsid w:val="00F33C22"/>
    <w:rsid w:val="00F363AD"/>
    <w:rsid w:val="00F41009"/>
    <w:rsid w:val="00F4384F"/>
    <w:rsid w:val="00F470CE"/>
    <w:rsid w:val="00F56D15"/>
    <w:rsid w:val="00F677C7"/>
    <w:rsid w:val="00F706E0"/>
    <w:rsid w:val="00F75AEC"/>
    <w:rsid w:val="00F84DB8"/>
    <w:rsid w:val="00F86EFA"/>
    <w:rsid w:val="00F930F7"/>
    <w:rsid w:val="00FA0C43"/>
    <w:rsid w:val="00FA3138"/>
    <w:rsid w:val="00FA544C"/>
    <w:rsid w:val="00FB268B"/>
    <w:rsid w:val="00FB2CEE"/>
    <w:rsid w:val="00FB32A7"/>
    <w:rsid w:val="00FB34FF"/>
    <w:rsid w:val="00FB75C0"/>
    <w:rsid w:val="00FC2357"/>
    <w:rsid w:val="00FC4004"/>
    <w:rsid w:val="00FC4A1A"/>
    <w:rsid w:val="00FE56B6"/>
    <w:rsid w:val="00FF34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815575B0-D91A-4563-B063-6085A1DB83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539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pPr>
      <w:spacing w:after="0" w:line="240" w:lineRule="auto"/>
    </w:pPr>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885249">
      <w:bodyDiv w:val="1"/>
      <w:marLeft w:val="0"/>
      <w:marRight w:val="0"/>
      <w:marTop w:val="0"/>
      <w:marBottom w:val="0"/>
      <w:divBdr>
        <w:top w:val="none" w:sz="0" w:space="0" w:color="auto"/>
        <w:left w:val="none" w:sz="0" w:space="0" w:color="auto"/>
        <w:bottom w:val="none" w:sz="0" w:space="0" w:color="auto"/>
        <w:right w:val="none" w:sz="0" w:space="0" w:color="auto"/>
      </w:divBdr>
    </w:div>
    <w:div w:id="311957216">
      <w:bodyDiv w:val="1"/>
      <w:marLeft w:val="0"/>
      <w:marRight w:val="0"/>
      <w:marTop w:val="0"/>
      <w:marBottom w:val="0"/>
      <w:divBdr>
        <w:top w:val="none" w:sz="0" w:space="0" w:color="auto"/>
        <w:left w:val="none" w:sz="0" w:space="0" w:color="auto"/>
        <w:bottom w:val="none" w:sz="0" w:space="0" w:color="auto"/>
        <w:right w:val="none" w:sz="0" w:space="0" w:color="auto"/>
      </w:divBdr>
    </w:div>
    <w:div w:id="382218733">
      <w:bodyDiv w:val="1"/>
      <w:marLeft w:val="0"/>
      <w:marRight w:val="0"/>
      <w:marTop w:val="0"/>
      <w:marBottom w:val="0"/>
      <w:divBdr>
        <w:top w:val="none" w:sz="0" w:space="0" w:color="auto"/>
        <w:left w:val="none" w:sz="0" w:space="0" w:color="auto"/>
        <w:bottom w:val="none" w:sz="0" w:space="0" w:color="auto"/>
        <w:right w:val="none" w:sz="0" w:space="0" w:color="auto"/>
      </w:divBdr>
    </w:div>
    <w:div w:id="508906201">
      <w:bodyDiv w:val="1"/>
      <w:marLeft w:val="0"/>
      <w:marRight w:val="0"/>
      <w:marTop w:val="0"/>
      <w:marBottom w:val="0"/>
      <w:divBdr>
        <w:top w:val="none" w:sz="0" w:space="0" w:color="auto"/>
        <w:left w:val="none" w:sz="0" w:space="0" w:color="auto"/>
        <w:bottom w:val="none" w:sz="0" w:space="0" w:color="auto"/>
        <w:right w:val="none" w:sz="0" w:space="0" w:color="auto"/>
      </w:divBdr>
    </w:div>
    <w:div w:id="515774719">
      <w:bodyDiv w:val="1"/>
      <w:marLeft w:val="0"/>
      <w:marRight w:val="0"/>
      <w:marTop w:val="0"/>
      <w:marBottom w:val="0"/>
      <w:divBdr>
        <w:top w:val="none" w:sz="0" w:space="0" w:color="auto"/>
        <w:left w:val="none" w:sz="0" w:space="0" w:color="auto"/>
        <w:bottom w:val="none" w:sz="0" w:space="0" w:color="auto"/>
        <w:right w:val="none" w:sz="0" w:space="0" w:color="auto"/>
      </w:divBdr>
    </w:div>
    <w:div w:id="567809210">
      <w:bodyDiv w:val="1"/>
      <w:marLeft w:val="0"/>
      <w:marRight w:val="0"/>
      <w:marTop w:val="0"/>
      <w:marBottom w:val="0"/>
      <w:divBdr>
        <w:top w:val="none" w:sz="0" w:space="0" w:color="auto"/>
        <w:left w:val="none" w:sz="0" w:space="0" w:color="auto"/>
        <w:bottom w:val="none" w:sz="0" w:space="0" w:color="auto"/>
        <w:right w:val="none" w:sz="0" w:space="0" w:color="auto"/>
      </w:divBdr>
    </w:div>
    <w:div w:id="600456613">
      <w:bodyDiv w:val="1"/>
      <w:marLeft w:val="0"/>
      <w:marRight w:val="0"/>
      <w:marTop w:val="0"/>
      <w:marBottom w:val="0"/>
      <w:divBdr>
        <w:top w:val="none" w:sz="0" w:space="0" w:color="auto"/>
        <w:left w:val="none" w:sz="0" w:space="0" w:color="auto"/>
        <w:bottom w:val="none" w:sz="0" w:space="0" w:color="auto"/>
        <w:right w:val="none" w:sz="0" w:space="0" w:color="auto"/>
      </w:divBdr>
    </w:div>
    <w:div w:id="662900695">
      <w:bodyDiv w:val="1"/>
      <w:marLeft w:val="0"/>
      <w:marRight w:val="0"/>
      <w:marTop w:val="0"/>
      <w:marBottom w:val="0"/>
      <w:divBdr>
        <w:top w:val="none" w:sz="0" w:space="0" w:color="auto"/>
        <w:left w:val="none" w:sz="0" w:space="0" w:color="auto"/>
        <w:bottom w:val="none" w:sz="0" w:space="0" w:color="auto"/>
        <w:right w:val="none" w:sz="0" w:space="0" w:color="auto"/>
      </w:divBdr>
    </w:div>
    <w:div w:id="723677420">
      <w:bodyDiv w:val="1"/>
      <w:marLeft w:val="0"/>
      <w:marRight w:val="0"/>
      <w:marTop w:val="0"/>
      <w:marBottom w:val="0"/>
      <w:divBdr>
        <w:top w:val="none" w:sz="0" w:space="0" w:color="auto"/>
        <w:left w:val="none" w:sz="0" w:space="0" w:color="auto"/>
        <w:bottom w:val="none" w:sz="0" w:space="0" w:color="auto"/>
        <w:right w:val="none" w:sz="0" w:space="0" w:color="auto"/>
      </w:divBdr>
    </w:div>
    <w:div w:id="742487295">
      <w:bodyDiv w:val="1"/>
      <w:marLeft w:val="0"/>
      <w:marRight w:val="0"/>
      <w:marTop w:val="0"/>
      <w:marBottom w:val="0"/>
      <w:divBdr>
        <w:top w:val="none" w:sz="0" w:space="0" w:color="auto"/>
        <w:left w:val="none" w:sz="0" w:space="0" w:color="auto"/>
        <w:bottom w:val="none" w:sz="0" w:space="0" w:color="auto"/>
        <w:right w:val="none" w:sz="0" w:space="0" w:color="auto"/>
      </w:divBdr>
    </w:div>
    <w:div w:id="812530335">
      <w:bodyDiv w:val="1"/>
      <w:marLeft w:val="0"/>
      <w:marRight w:val="0"/>
      <w:marTop w:val="0"/>
      <w:marBottom w:val="0"/>
      <w:divBdr>
        <w:top w:val="none" w:sz="0" w:space="0" w:color="auto"/>
        <w:left w:val="none" w:sz="0" w:space="0" w:color="auto"/>
        <w:bottom w:val="none" w:sz="0" w:space="0" w:color="auto"/>
        <w:right w:val="none" w:sz="0" w:space="0" w:color="auto"/>
      </w:divBdr>
    </w:div>
    <w:div w:id="832329647">
      <w:bodyDiv w:val="1"/>
      <w:marLeft w:val="0"/>
      <w:marRight w:val="0"/>
      <w:marTop w:val="0"/>
      <w:marBottom w:val="0"/>
      <w:divBdr>
        <w:top w:val="none" w:sz="0" w:space="0" w:color="auto"/>
        <w:left w:val="none" w:sz="0" w:space="0" w:color="auto"/>
        <w:bottom w:val="none" w:sz="0" w:space="0" w:color="auto"/>
        <w:right w:val="none" w:sz="0" w:space="0" w:color="auto"/>
      </w:divBdr>
    </w:div>
    <w:div w:id="836768855">
      <w:bodyDiv w:val="1"/>
      <w:marLeft w:val="0"/>
      <w:marRight w:val="0"/>
      <w:marTop w:val="0"/>
      <w:marBottom w:val="0"/>
      <w:divBdr>
        <w:top w:val="none" w:sz="0" w:space="0" w:color="auto"/>
        <w:left w:val="none" w:sz="0" w:space="0" w:color="auto"/>
        <w:bottom w:val="none" w:sz="0" w:space="0" w:color="auto"/>
        <w:right w:val="none" w:sz="0" w:space="0" w:color="auto"/>
      </w:divBdr>
    </w:div>
    <w:div w:id="850147686">
      <w:bodyDiv w:val="1"/>
      <w:marLeft w:val="0"/>
      <w:marRight w:val="0"/>
      <w:marTop w:val="0"/>
      <w:marBottom w:val="0"/>
      <w:divBdr>
        <w:top w:val="none" w:sz="0" w:space="0" w:color="auto"/>
        <w:left w:val="none" w:sz="0" w:space="0" w:color="auto"/>
        <w:bottom w:val="none" w:sz="0" w:space="0" w:color="auto"/>
        <w:right w:val="none" w:sz="0" w:space="0" w:color="auto"/>
      </w:divBdr>
    </w:div>
    <w:div w:id="867715009">
      <w:bodyDiv w:val="1"/>
      <w:marLeft w:val="0"/>
      <w:marRight w:val="0"/>
      <w:marTop w:val="0"/>
      <w:marBottom w:val="0"/>
      <w:divBdr>
        <w:top w:val="none" w:sz="0" w:space="0" w:color="auto"/>
        <w:left w:val="none" w:sz="0" w:space="0" w:color="auto"/>
        <w:bottom w:val="none" w:sz="0" w:space="0" w:color="auto"/>
        <w:right w:val="none" w:sz="0" w:space="0" w:color="auto"/>
      </w:divBdr>
    </w:div>
    <w:div w:id="877938250">
      <w:bodyDiv w:val="1"/>
      <w:marLeft w:val="0"/>
      <w:marRight w:val="0"/>
      <w:marTop w:val="0"/>
      <w:marBottom w:val="0"/>
      <w:divBdr>
        <w:top w:val="none" w:sz="0" w:space="0" w:color="auto"/>
        <w:left w:val="none" w:sz="0" w:space="0" w:color="auto"/>
        <w:bottom w:val="none" w:sz="0" w:space="0" w:color="auto"/>
        <w:right w:val="none" w:sz="0" w:space="0" w:color="auto"/>
      </w:divBdr>
    </w:div>
    <w:div w:id="897983042">
      <w:bodyDiv w:val="1"/>
      <w:marLeft w:val="0"/>
      <w:marRight w:val="0"/>
      <w:marTop w:val="0"/>
      <w:marBottom w:val="0"/>
      <w:divBdr>
        <w:top w:val="none" w:sz="0" w:space="0" w:color="auto"/>
        <w:left w:val="none" w:sz="0" w:space="0" w:color="auto"/>
        <w:bottom w:val="none" w:sz="0" w:space="0" w:color="auto"/>
        <w:right w:val="none" w:sz="0" w:space="0" w:color="auto"/>
      </w:divBdr>
    </w:div>
    <w:div w:id="905532406">
      <w:bodyDiv w:val="1"/>
      <w:marLeft w:val="0"/>
      <w:marRight w:val="0"/>
      <w:marTop w:val="0"/>
      <w:marBottom w:val="0"/>
      <w:divBdr>
        <w:top w:val="none" w:sz="0" w:space="0" w:color="auto"/>
        <w:left w:val="none" w:sz="0" w:space="0" w:color="auto"/>
        <w:bottom w:val="none" w:sz="0" w:space="0" w:color="auto"/>
        <w:right w:val="none" w:sz="0" w:space="0" w:color="auto"/>
      </w:divBdr>
    </w:div>
    <w:div w:id="1030762129">
      <w:bodyDiv w:val="1"/>
      <w:marLeft w:val="0"/>
      <w:marRight w:val="0"/>
      <w:marTop w:val="0"/>
      <w:marBottom w:val="0"/>
      <w:divBdr>
        <w:top w:val="none" w:sz="0" w:space="0" w:color="auto"/>
        <w:left w:val="none" w:sz="0" w:space="0" w:color="auto"/>
        <w:bottom w:val="none" w:sz="0" w:space="0" w:color="auto"/>
        <w:right w:val="none" w:sz="0" w:space="0" w:color="auto"/>
      </w:divBdr>
    </w:div>
    <w:div w:id="1120107820">
      <w:bodyDiv w:val="1"/>
      <w:marLeft w:val="0"/>
      <w:marRight w:val="0"/>
      <w:marTop w:val="0"/>
      <w:marBottom w:val="0"/>
      <w:divBdr>
        <w:top w:val="none" w:sz="0" w:space="0" w:color="auto"/>
        <w:left w:val="none" w:sz="0" w:space="0" w:color="auto"/>
        <w:bottom w:val="none" w:sz="0" w:space="0" w:color="auto"/>
        <w:right w:val="none" w:sz="0" w:space="0" w:color="auto"/>
      </w:divBdr>
    </w:div>
    <w:div w:id="1136532456">
      <w:bodyDiv w:val="1"/>
      <w:marLeft w:val="0"/>
      <w:marRight w:val="0"/>
      <w:marTop w:val="0"/>
      <w:marBottom w:val="0"/>
      <w:divBdr>
        <w:top w:val="none" w:sz="0" w:space="0" w:color="auto"/>
        <w:left w:val="none" w:sz="0" w:space="0" w:color="auto"/>
        <w:bottom w:val="none" w:sz="0" w:space="0" w:color="auto"/>
        <w:right w:val="none" w:sz="0" w:space="0" w:color="auto"/>
      </w:divBdr>
    </w:div>
    <w:div w:id="1187212983">
      <w:bodyDiv w:val="1"/>
      <w:marLeft w:val="0"/>
      <w:marRight w:val="0"/>
      <w:marTop w:val="0"/>
      <w:marBottom w:val="0"/>
      <w:divBdr>
        <w:top w:val="none" w:sz="0" w:space="0" w:color="auto"/>
        <w:left w:val="none" w:sz="0" w:space="0" w:color="auto"/>
        <w:bottom w:val="none" w:sz="0" w:space="0" w:color="auto"/>
        <w:right w:val="none" w:sz="0" w:space="0" w:color="auto"/>
      </w:divBdr>
    </w:div>
    <w:div w:id="1267814666">
      <w:bodyDiv w:val="1"/>
      <w:marLeft w:val="0"/>
      <w:marRight w:val="0"/>
      <w:marTop w:val="0"/>
      <w:marBottom w:val="0"/>
      <w:divBdr>
        <w:top w:val="none" w:sz="0" w:space="0" w:color="auto"/>
        <w:left w:val="none" w:sz="0" w:space="0" w:color="auto"/>
        <w:bottom w:val="none" w:sz="0" w:space="0" w:color="auto"/>
        <w:right w:val="none" w:sz="0" w:space="0" w:color="auto"/>
      </w:divBdr>
    </w:div>
    <w:div w:id="1413354029">
      <w:bodyDiv w:val="1"/>
      <w:marLeft w:val="0"/>
      <w:marRight w:val="0"/>
      <w:marTop w:val="0"/>
      <w:marBottom w:val="0"/>
      <w:divBdr>
        <w:top w:val="none" w:sz="0" w:space="0" w:color="auto"/>
        <w:left w:val="none" w:sz="0" w:space="0" w:color="auto"/>
        <w:bottom w:val="none" w:sz="0" w:space="0" w:color="auto"/>
        <w:right w:val="none" w:sz="0" w:space="0" w:color="auto"/>
      </w:divBdr>
    </w:div>
    <w:div w:id="1447698457">
      <w:bodyDiv w:val="1"/>
      <w:marLeft w:val="0"/>
      <w:marRight w:val="0"/>
      <w:marTop w:val="0"/>
      <w:marBottom w:val="0"/>
      <w:divBdr>
        <w:top w:val="none" w:sz="0" w:space="0" w:color="auto"/>
        <w:left w:val="none" w:sz="0" w:space="0" w:color="auto"/>
        <w:bottom w:val="none" w:sz="0" w:space="0" w:color="auto"/>
        <w:right w:val="none" w:sz="0" w:space="0" w:color="auto"/>
      </w:divBdr>
    </w:div>
    <w:div w:id="1556547921">
      <w:bodyDiv w:val="1"/>
      <w:marLeft w:val="0"/>
      <w:marRight w:val="0"/>
      <w:marTop w:val="0"/>
      <w:marBottom w:val="0"/>
      <w:divBdr>
        <w:top w:val="none" w:sz="0" w:space="0" w:color="auto"/>
        <w:left w:val="none" w:sz="0" w:space="0" w:color="auto"/>
        <w:bottom w:val="none" w:sz="0" w:space="0" w:color="auto"/>
        <w:right w:val="none" w:sz="0" w:space="0" w:color="auto"/>
      </w:divBdr>
    </w:div>
    <w:div w:id="1563449153">
      <w:bodyDiv w:val="1"/>
      <w:marLeft w:val="0"/>
      <w:marRight w:val="0"/>
      <w:marTop w:val="0"/>
      <w:marBottom w:val="0"/>
      <w:divBdr>
        <w:top w:val="none" w:sz="0" w:space="0" w:color="auto"/>
        <w:left w:val="none" w:sz="0" w:space="0" w:color="auto"/>
        <w:bottom w:val="none" w:sz="0" w:space="0" w:color="auto"/>
        <w:right w:val="none" w:sz="0" w:space="0" w:color="auto"/>
      </w:divBdr>
    </w:div>
    <w:div w:id="1595481566">
      <w:bodyDiv w:val="1"/>
      <w:marLeft w:val="0"/>
      <w:marRight w:val="0"/>
      <w:marTop w:val="0"/>
      <w:marBottom w:val="0"/>
      <w:divBdr>
        <w:top w:val="none" w:sz="0" w:space="0" w:color="auto"/>
        <w:left w:val="none" w:sz="0" w:space="0" w:color="auto"/>
        <w:bottom w:val="none" w:sz="0" w:space="0" w:color="auto"/>
        <w:right w:val="none" w:sz="0" w:space="0" w:color="auto"/>
      </w:divBdr>
    </w:div>
    <w:div w:id="1607154074">
      <w:bodyDiv w:val="1"/>
      <w:marLeft w:val="0"/>
      <w:marRight w:val="0"/>
      <w:marTop w:val="0"/>
      <w:marBottom w:val="0"/>
      <w:divBdr>
        <w:top w:val="none" w:sz="0" w:space="0" w:color="auto"/>
        <w:left w:val="none" w:sz="0" w:space="0" w:color="auto"/>
        <w:bottom w:val="none" w:sz="0" w:space="0" w:color="auto"/>
        <w:right w:val="none" w:sz="0" w:space="0" w:color="auto"/>
      </w:divBdr>
    </w:div>
    <w:div w:id="1618175211">
      <w:bodyDiv w:val="1"/>
      <w:marLeft w:val="0"/>
      <w:marRight w:val="0"/>
      <w:marTop w:val="0"/>
      <w:marBottom w:val="0"/>
      <w:divBdr>
        <w:top w:val="none" w:sz="0" w:space="0" w:color="auto"/>
        <w:left w:val="none" w:sz="0" w:space="0" w:color="auto"/>
        <w:bottom w:val="none" w:sz="0" w:space="0" w:color="auto"/>
        <w:right w:val="none" w:sz="0" w:space="0" w:color="auto"/>
      </w:divBdr>
    </w:div>
    <w:div w:id="2021271048">
      <w:bodyDiv w:val="1"/>
      <w:marLeft w:val="0"/>
      <w:marRight w:val="0"/>
      <w:marTop w:val="0"/>
      <w:marBottom w:val="0"/>
      <w:divBdr>
        <w:top w:val="none" w:sz="0" w:space="0" w:color="auto"/>
        <w:left w:val="none" w:sz="0" w:space="0" w:color="auto"/>
        <w:bottom w:val="none" w:sz="0" w:space="0" w:color="auto"/>
        <w:right w:val="none" w:sz="0" w:space="0" w:color="auto"/>
      </w:divBdr>
    </w:div>
    <w:div w:id="2043821905">
      <w:bodyDiv w:val="1"/>
      <w:marLeft w:val="0"/>
      <w:marRight w:val="0"/>
      <w:marTop w:val="0"/>
      <w:marBottom w:val="0"/>
      <w:divBdr>
        <w:top w:val="none" w:sz="0" w:space="0" w:color="auto"/>
        <w:left w:val="none" w:sz="0" w:space="0" w:color="auto"/>
        <w:bottom w:val="none" w:sz="0" w:space="0" w:color="auto"/>
        <w:right w:val="none" w:sz="0" w:space="0" w:color="auto"/>
      </w:divBdr>
    </w:div>
    <w:div w:id="2045400488">
      <w:bodyDiv w:val="1"/>
      <w:marLeft w:val="0"/>
      <w:marRight w:val="0"/>
      <w:marTop w:val="0"/>
      <w:marBottom w:val="0"/>
      <w:divBdr>
        <w:top w:val="none" w:sz="0" w:space="0" w:color="auto"/>
        <w:left w:val="none" w:sz="0" w:space="0" w:color="auto"/>
        <w:bottom w:val="none" w:sz="0" w:space="0" w:color="auto"/>
        <w:right w:val="none" w:sz="0" w:space="0" w:color="auto"/>
      </w:divBdr>
    </w:div>
    <w:div w:id="2124492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31585.page" TargetMode="External"/><Relationship Id="rId13" Type="http://schemas.openxmlformats.org/officeDocument/2006/relationships/image" Target="media/image1.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1243791.pag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31585.page"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saimex.org.mx/saimex/solicitud/downloadAttach/597297.page"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www.saimex.org.mx/saimex/solicitud/downloadAttach/1243791.page" TargetMode="External"/><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B2968-3174-4748-8431-23662902A9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20</Pages>
  <Words>5102</Words>
  <Characters>28064</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33100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usuario infoem</cp:lastModifiedBy>
  <cp:revision>16</cp:revision>
  <cp:lastPrinted>2019-06-25T14:14:00Z</cp:lastPrinted>
  <dcterms:created xsi:type="dcterms:W3CDTF">2021-11-25T16:21:00Z</dcterms:created>
  <dcterms:modified xsi:type="dcterms:W3CDTF">2021-12-16T17:43:00Z</dcterms:modified>
</cp:coreProperties>
</file>