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w:t>
      </w:r>
      <w:r w:rsidR="0034235B">
        <w:rPr>
          <w:rFonts w:ascii="Palatino Linotype" w:eastAsia="Palatino Linotype" w:hAnsi="Palatino Linotype" w:cs="Palatino Linotype"/>
          <w:color w:val="000000"/>
        </w:rPr>
        <w:t>Estado de México, a veinte</w:t>
      </w:r>
      <w:r>
        <w:rPr>
          <w:rFonts w:ascii="Palatino Linotype" w:eastAsia="Palatino Linotype" w:hAnsi="Palatino Linotype" w:cs="Palatino Linotype"/>
          <w:color w:val="000000"/>
        </w:rPr>
        <w:t xml:space="preserve"> de octubre de dos mil veintiuno.</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VISTOS</w:t>
      </w:r>
      <w:r>
        <w:rPr>
          <w:rFonts w:ascii="Palatino Linotype" w:eastAsia="Palatino Linotype" w:hAnsi="Palatino Linotype" w:cs="Palatino Linotype"/>
          <w:color w:val="000000"/>
        </w:rPr>
        <w:t xml:space="preserve"> los expedientes electrónicos formados con motivo de los recursos de revisión número</w:t>
      </w:r>
      <w:r>
        <w:rPr>
          <w:rFonts w:ascii="Palatino Linotype" w:eastAsia="Palatino Linotype" w:hAnsi="Palatino Linotype" w:cs="Palatino Linotype"/>
          <w:b/>
          <w:color w:val="000000"/>
        </w:rPr>
        <w:t xml:space="preserve"> 04535/INFOEM/IP/RR/2020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04537/INFOEM/IP/RR/2020</w:t>
      </w:r>
      <w:r>
        <w:rPr>
          <w:rFonts w:ascii="Palatino Linotype" w:eastAsia="Palatino Linotype" w:hAnsi="Palatino Linotype" w:cs="Palatino Linotype"/>
          <w:color w:val="000000"/>
        </w:rPr>
        <w:t xml:space="preserve">, interpuestos por el C. </w:t>
      </w:r>
      <w:proofErr w:type="spellStart"/>
      <w:r w:rsidR="00743A0D">
        <w:rPr>
          <w:rFonts w:ascii="Palatino Linotype" w:eastAsia="Palatino Linotype" w:hAnsi="Palatino Linotype" w:cs="Palatino Linotype"/>
          <w:b/>
          <w:color w:val="000000"/>
        </w:rPr>
        <w:t>xxxxxxxxxxx</w:t>
      </w:r>
      <w:proofErr w:type="spellEnd"/>
      <w:r>
        <w:rPr>
          <w:rFonts w:ascii="Palatino Linotype" w:eastAsia="Palatino Linotype" w:hAnsi="Palatino Linotype" w:cs="Palatino Linotype"/>
          <w:b/>
          <w:color w:val="000000"/>
        </w:rPr>
        <w:t xml:space="preserve"> </w:t>
      </w:r>
      <w:proofErr w:type="spellStart"/>
      <w:r w:rsidR="00743A0D">
        <w:rPr>
          <w:rFonts w:ascii="Palatino Linotype" w:eastAsia="Palatino Linotype" w:hAnsi="Palatino Linotype" w:cs="Palatino Linotype"/>
          <w:b/>
          <w:color w:val="000000"/>
        </w:rPr>
        <w:t>xxxxx</w:t>
      </w:r>
      <w:proofErr w:type="spellEnd"/>
      <w:r>
        <w:rPr>
          <w:rFonts w:ascii="Palatino Linotype" w:eastAsia="Palatino Linotype" w:hAnsi="Palatino Linotype" w:cs="Palatino Linotype"/>
          <w:color w:val="000000"/>
        </w:rPr>
        <w:t xml:space="preserve">, en lo sucesivo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en contra de las respuestas de</w:t>
      </w:r>
      <w:r w:rsidR="001C2154">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l</w:t>
      </w:r>
      <w:r w:rsidR="001C2154">
        <w:rPr>
          <w:rFonts w:ascii="Palatino Linotype" w:eastAsia="Palatino Linotype" w:hAnsi="Palatino Linotype" w:cs="Palatino Linotype"/>
          <w:color w:val="000000"/>
        </w:rPr>
        <w:t>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Secretaría de Movilidad</w:t>
      </w:r>
      <w:r>
        <w:rPr>
          <w:rFonts w:ascii="Palatino Linotype" w:eastAsia="Palatino Linotype" w:hAnsi="Palatino Linotype" w:cs="Palatino Linotype"/>
          <w:color w:val="000000"/>
        </w:rPr>
        <w:t>, en lo subsecuente</w:t>
      </w:r>
      <w:r>
        <w:rPr>
          <w:rFonts w:ascii="Palatino Linotype" w:eastAsia="Palatino Linotype" w:hAnsi="Palatino Linotype" w:cs="Palatino Linotype"/>
          <w:b/>
          <w:color w:val="000000"/>
        </w:rPr>
        <w:t xml:space="preserve"> el Sujeto Obligado, </w:t>
      </w:r>
      <w:r>
        <w:rPr>
          <w:rFonts w:ascii="Palatino Linotype" w:eastAsia="Palatino Linotype" w:hAnsi="Palatino Linotype" w:cs="Palatino Linotype"/>
          <w:color w:val="000000"/>
        </w:rPr>
        <w:t>se procede a</w:t>
      </w:r>
      <w:bookmarkStart w:id="0" w:name="_GoBack"/>
      <w:bookmarkEnd w:id="0"/>
      <w:r>
        <w:rPr>
          <w:rFonts w:ascii="Palatino Linotype" w:eastAsia="Palatino Linotype" w:hAnsi="Palatino Linotype" w:cs="Palatino Linotype"/>
          <w:color w:val="000000"/>
        </w:rPr>
        <w:t xml:space="preserve"> dictar la presente resolución.</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A N T E C E D E N T E S</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PRIMERO.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De las Solicitudes de Información.</w:t>
      </w: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 fecha once de agosto de dos mil veintiuno, el Recurrente presentó a través del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solicitudes de información que fueron registradas bajo los números de expediente</w:t>
      </w:r>
      <w:r>
        <w:rPr>
          <w:rFonts w:ascii="Palatino Linotype" w:eastAsia="Palatino Linotype" w:hAnsi="Palatino Linotype" w:cs="Palatino Linotype"/>
          <w:b/>
          <w:color w:val="000000"/>
        </w:rPr>
        <w:t xml:space="preserve"> 00272/SMOV/IP/2021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00271/SMOV/IP/2021</w:t>
      </w:r>
      <w:r>
        <w:rPr>
          <w:rFonts w:ascii="Palatino Linotype" w:eastAsia="Palatino Linotype" w:hAnsi="Palatino Linotype" w:cs="Palatino Linotype"/>
          <w:color w:val="000000"/>
        </w:rPr>
        <w:t>, mediante las cuales solicitó información en el tenor siguiente:</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240" w:lineRule="auto"/>
        <w:jc w:val="both"/>
        <w:rPr>
          <w:rFonts w:ascii="Palatino Linotype" w:eastAsia="Palatino Linotype" w:hAnsi="Palatino Linotype" w:cs="Palatino Linotype"/>
          <w:color w:val="000000"/>
          <w:u w:val="single"/>
        </w:rPr>
      </w:pPr>
      <w:r>
        <w:rPr>
          <w:rFonts w:ascii="Palatino Linotype" w:eastAsia="Palatino Linotype" w:hAnsi="Palatino Linotype" w:cs="Palatino Linotype"/>
          <w:b/>
          <w:color w:val="000000"/>
          <w:u w:val="single"/>
        </w:rPr>
        <w:t>00272/SMOV/IP/2021</w:t>
      </w:r>
    </w:p>
    <w:p w:rsidR="00CA2120" w:rsidRDefault="004C4207">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“Con fundamento en el artículo 6to Constitucional solicito se me proporcione la siguiente información: Respecto del Departamento de Coordinación de Estudios y Proyectos Especiales de la Secretaria de Movilidad del Estado de México, solicito un listado de los servidores públicos eventuales adscritos al programa de reducción física de vehículos que han ocupado el puesto de "Jefe de Proyectos" desde el año 2015 a 2021. La información solicitada no vulnera lo estipulado en la normatividad aplicable, ya que corresponde a funcionarios </w:t>
      </w:r>
      <w:proofErr w:type="spellStart"/>
      <w:r>
        <w:rPr>
          <w:rFonts w:ascii="Palatino Linotype" w:eastAsia="Palatino Linotype" w:hAnsi="Palatino Linotype" w:cs="Palatino Linotype"/>
          <w:i/>
          <w:color w:val="000000"/>
        </w:rPr>
        <w:t>publicos</w:t>
      </w:r>
      <w:proofErr w:type="spellEnd"/>
      <w:r>
        <w:rPr>
          <w:rFonts w:ascii="Palatino Linotype" w:eastAsia="Palatino Linotype" w:hAnsi="Palatino Linotype" w:cs="Palatino Linotype"/>
          <w:i/>
          <w:color w:val="000000"/>
        </w:rPr>
        <w:t>.” (Sic)</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i/>
          <w:color w:val="000000"/>
        </w:rPr>
      </w:pPr>
    </w:p>
    <w:p w:rsidR="00CA2120" w:rsidRDefault="004C4207">
      <w:pPr>
        <w:pBdr>
          <w:top w:val="nil"/>
          <w:left w:val="nil"/>
          <w:bottom w:val="nil"/>
          <w:right w:val="nil"/>
          <w:between w:val="nil"/>
        </w:pBdr>
        <w:spacing w:after="0" w:line="240" w:lineRule="auto"/>
        <w:jc w:val="both"/>
        <w:rPr>
          <w:rFonts w:ascii="Palatino Linotype" w:eastAsia="Palatino Linotype" w:hAnsi="Palatino Linotype" w:cs="Palatino Linotype"/>
          <w:color w:val="000000"/>
          <w:u w:val="single"/>
        </w:rPr>
      </w:pPr>
      <w:r>
        <w:rPr>
          <w:rFonts w:ascii="Palatino Linotype" w:eastAsia="Palatino Linotype" w:hAnsi="Palatino Linotype" w:cs="Palatino Linotype"/>
          <w:b/>
          <w:color w:val="000000"/>
          <w:u w:val="single"/>
        </w:rPr>
        <w:lastRenderedPageBreak/>
        <w:t>00271/SMOV/IP/2021</w:t>
      </w:r>
    </w:p>
    <w:p w:rsidR="00CA2120" w:rsidRDefault="004C4207">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“Con fundamento en el artículo 6to Constitucional solicito se me proporcione la siguiente información: Respecto del Departamento de Coordinación de Estudios y Proyectos Especiales de la Secretaria de Movilidad del Estado de México, solicito un listado de los servidores públicos de base que han ocupado el puesto de "Supervisor" desde el año 2015 a 2021. Lo anterior no vulnera lo estipulado por la normatividad aplicable, ya que la información solicitada corresponde a funcionarios públicos.” (Sic)</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i/>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Modalidad de entrega: </w:t>
      </w:r>
      <w:r>
        <w:rPr>
          <w:rFonts w:ascii="Palatino Linotype" w:eastAsia="Palatino Linotype" w:hAnsi="Palatino Linotype" w:cs="Palatino Linotype"/>
          <w:b/>
          <w:color w:val="000000"/>
        </w:rPr>
        <w:t>A través del SAIMEX.</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SEGUNDO. De las respuestas del Sujeto Obligado.</w:t>
      </w: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que obran en el expediente electrónico, se observa que el día primero de septiembre de dos mil </w:t>
      </w:r>
      <w:r w:rsidR="00DC13D6">
        <w:rPr>
          <w:rFonts w:ascii="Palatino Linotype" w:eastAsia="Palatino Linotype" w:hAnsi="Palatino Linotype" w:cs="Palatino Linotype"/>
          <w:color w:val="000000"/>
        </w:rPr>
        <w:t>veintiuno</w:t>
      </w:r>
      <w:r>
        <w:rPr>
          <w:rFonts w:ascii="Palatino Linotype" w:eastAsia="Palatino Linotype" w:hAnsi="Palatino Linotype" w:cs="Palatino Linotype"/>
          <w:color w:val="000000"/>
        </w:rPr>
        <w:t>, el Sujeto Obligado dio respuesta a ambas solicitudes de información manifestando lo siguiente:</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240" w:lineRule="auto"/>
        <w:jc w:val="both"/>
        <w:rPr>
          <w:rFonts w:ascii="Palatino Linotype" w:eastAsia="Palatino Linotype" w:hAnsi="Palatino Linotype" w:cs="Palatino Linotype"/>
          <w:color w:val="000000"/>
          <w:u w:val="single"/>
        </w:rPr>
      </w:pPr>
      <w:r>
        <w:rPr>
          <w:rFonts w:ascii="Palatino Linotype" w:eastAsia="Palatino Linotype" w:hAnsi="Palatino Linotype" w:cs="Palatino Linotype"/>
          <w:b/>
          <w:color w:val="000000"/>
          <w:u w:val="single"/>
        </w:rPr>
        <w:t>00272/SMOV/IP/2021</w:t>
      </w:r>
    </w:p>
    <w:p w:rsidR="00CA2120" w:rsidRDefault="004C4207">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A2120" w:rsidRDefault="00CA212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CA2120" w:rsidRDefault="004C4207">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respuesta a su petición número 00272/SMOV/IP/2021, a través de la cual solicitó la siguiente información: “…Con fundamento en el artículo 6to Constitucional solicito se me proporcione la siguiente información: Respecto del Departamento de Coordinación de Estudios y Proyectos Especiales de la Secretaria de Movilidad del Estado de México, solicito un listado de los servidores públicos eventuales adscritos al programa de reducción física de vehículos que han ocupado el puesto de "Jefe de Proyectos" desde el año 2015 a 2021. La información solicitada no vulnera lo estipulado en la normatividad aplicable, ya que corresponde a funcionarios </w:t>
      </w:r>
      <w:proofErr w:type="spellStart"/>
      <w:r>
        <w:rPr>
          <w:rFonts w:ascii="Palatino Linotype" w:eastAsia="Palatino Linotype" w:hAnsi="Palatino Linotype" w:cs="Palatino Linotype"/>
          <w:i/>
          <w:color w:val="000000"/>
        </w:rPr>
        <w:t>publicos</w:t>
      </w:r>
      <w:proofErr w:type="spellEnd"/>
      <w:r>
        <w:rPr>
          <w:rFonts w:ascii="Palatino Linotype" w:eastAsia="Palatino Linotype" w:hAnsi="Palatino Linotype" w:cs="Palatino Linotype"/>
          <w:i/>
          <w:color w:val="000000"/>
        </w:rPr>
        <w:t xml:space="preserve">…” (sic); de conformidad con lo dispuesto en los artículos 6 apartado A y 8 de la Constitución Política de los Estados Unidos Mexicanos; 5 y 143 de la Constitución Política del Estado Libre y Soberano de México; 1, 2, 3, 15, 19 fracción XVI y 32 de la Ley Orgánica de la Administración Pública del Estado de México; 1, 2, 3, 5, 9 y 10 del Reglamento Interior de la Secretaría de Movilidad del Estado de México; 1, 2, 3 fracción XXXIX, 4, 7 fracción I, 8, 11, 12 párrafo segundo, 15, 17, 21, 23 fracción I, 24 último párrafo, 53 fracción I, II y V, 59 fracción I, II y III, 75, 150, 151, 162 </w:t>
      </w:r>
      <w:r>
        <w:rPr>
          <w:rFonts w:ascii="Palatino Linotype" w:eastAsia="Palatino Linotype" w:hAnsi="Palatino Linotype" w:cs="Palatino Linotype"/>
          <w:i/>
          <w:color w:val="000000"/>
        </w:rPr>
        <w:lastRenderedPageBreak/>
        <w:t xml:space="preserve">y 163 de la Ley de Transparencia y Acceso a la Información Pública del Estado de México y Municipios, hago de su conocimiento lo siguiente: La Jefa del Departamento de Adquisiciones, Control y Suministro de Bienes y Servidora Pública Habilitada, informó a la que suscribe que la empresa </w:t>
      </w:r>
      <w:proofErr w:type="spellStart"/>
      <w:r>
        <w:rPr>
          <w:rFonts w:ascii="Palatino Linotype" w:eastAsia="Palatino Linotype" w:hAnsi="Palatino Linotype" w:cs="Palatino Linotype"/>
          <w:i/>
          <w:color w:val="000000"/>
        </w:rPr>
        <w:t>Zumby</w:t>
      </w:r>
      <w:proofErr w:type="spellEnd"/>
      <w:r>
        <w:rPr>
          <w:rFonts w:ascii="Palatino Linotype" w:eastAsia="Palatino Linotype" w:hAnsi="Palatino Linotype" w:cs="Palatino Linotype"/>
          <w:i/>
          <w:color w:val="000000"/>
        </w:rPr>
        <w:t xml:space="preserve"> Servicios Profesionales, S.A. de C.V., es la responsable de realizar la contratación de su personal operativo, para la prestación de servicios a la Coordinación de Estudios y Proyectos Estratégicos de la Secretaría de Movilidad, y quien posee toda la información relativa a su personal que contrata. Por lo que la Secretaría de Movilidad, de acuerdo con las facultades y atribuciones establecidas en el Reglamento Interior y Manual General de Organización, no es quién realiza la contratación de personal bajo dicha modalidad de “eventuales” y tampoco es el empleador de este personal.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más por el momento, le envío un cordial saludo.</w:t>
      </w:r>
    </w:p>
    <w:p w:rsidR="00CA2120" w:rsidRDefault="00CA212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CA2120" w:rsidRDefault="004C4207">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rsidR="00CA2120" w:rsidRDefault="004C4207">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Lic. Norma Sofía Pérez Martínez” (Sic)</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i/>
          <w:color w:val="000000"/>
        </w:rPr>
      </w:pPr>
    </w:p>
    <w:p w:rsidR="00CA2120" w:rsidRDefault="004C4207">
      <w:pPr>
        <w:pBdr>
          <w:top w:val="nil"/>
          <w:left w:val="nil"/>
          <w:bottom w:val="nil"/>
          <w:right w:val="nil"/>
          <w:between w:val="nil"/>
        </w:pBdr>
        <w:spacing w:after="0" w:line="240" w:lineRule="auto"/>
        <w:jc w:val="both"/>
        <w:rPr>
          <w:rFonts w:ascii="Palatino Linotype" w:eastAsia="Palatino Linotype" w:hAnsi="Palatino Linotype" w:cs="Palatino Linotype"/>
          <w:color w:val="000000"/>
          <w:u w:val="single"/>
        </w:rPr>
      </w:pPr>
      <w:r>
        <w:rPr>
          <w:rFonts w:ascii="Palatino Linotype" w:eastAsia="Palatino Linotype" w:hAnsi="Palatino Linotype" w:cs="Palatino Linotype"/>
          <w:b/>
          <w:color w:val="000000"/>
          <w:u w:val="single"/>
        </w:rPr>
        <w:t>00271/SMOV/IP/2021</w:t>
      </w:r>
    </w:p>
    <w:p w:rsidR="00CA2120" w:rsidRDefault="004C4207">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A2120" w:rsidRDefault="00CA212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CA2120" w:rsidRDefault="004C4207">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respuesta a su petición número 00271/SMOV/IP/2021, a través de la cual solicitó la siguiente información: “…Con fundamento en el artículo 6to Constitucional solicito se me proporcione la siguiente información: Respecto del Departamento de Coordinación de Estudios y Proyectos Especiales de la Secretaria de Movilidad del Estado de México, solicito un listado de los servidores públicos de base que han ocupado el puesto de "Supervisor" </w:t>
      </w:r>
      <w:r>
        <w:rPr>
          <w:rFonts w:ascii="Palatino Linotype" w:eastAsia="Palatino Linotype" w:hAnsi="Palatino Linotype" w:cs="Palatino Linotype"/>
          <w:i/>
          <w:color w:val="000000"/>
        </w:rPr>
        <w:lastRenderedPageBreak/>
        <w:t>desde el año 2015 a 2021. Lo anterior no vulnera lo estipulado por la normatividad aplicable, ya que la información solicitada corresponde a funcionarios públicos…” (sic); de conformidad con lo dispuesto en los artículos 6 apartado A y 8 de la Constitución Política de los Estados Unidos Mexicanos; 5 y 143 de la Constitución Política del Estado Libre y Soberano de México; 1, 2, 3, 15, 19 fracción XVI y 32 de la Ley Orgánica de la Administración Pública del Estado de México; 1, 2, 3, 5, 9 y 10 del Reglamento Interior de la Secretaría de Movilidad del Estado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hago de su conocimiento lo siguiente: La Jefa del Departamento de Adquisiciones, Control y Suministro de Bienes y Servidora Pública Habilitada, informó a la que suscribe que después de una búsqueda exhaustiva en los expedientes del personal adscrito a la Coordinación de Estudios y Proyectos Estratégicos de la Secretaría de Movilidad, no se encontró información alguna al respecto.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más por el momento, le envío un cordial saludo.</w:t>
      </w:r>
    </w:p>
    <w:p w:rsidR="00CA2120" w:rsidRDefault="00CA212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CA2120" w:rsidRDefault="004C4207">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rsidR="00CA2120" w:rsidRDefault="004C4207">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Lic. Norma Sofía Pérez Martínez” (Sic)</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TERCERO. De los recursos de revisión.</w:t>
      </w: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con las respuestas emitidas por el Sujeto Obligado, el Recurrente interpuso los recursos de revisión de mérito en fecha tres de septiembre de dos mil veintiuno, registrados en el sistema electrónico con los expedientes número </w:t>
      </w:r>
      <w:r>
        <w:rPr>
          <w:rFonts w:ascii="Palatino Linotype" w:eastAsia="Palatino Linotype" w:hAnsi="Palatino Linotype" w:cs="Palatino Linotype"/>
          <w:b/>
          <w:color w:val="000000"/>
        </w:rPr>
        <w:t xml:space="preserve">04535/INFOEM/IP/RR/2021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04537/INFOEM/IP/RR/2021</w:t>
      </w:r>
      <w:r>
        <w:rPr>
          <w:rFonts w:ascii="Palatino Linotype" w:eastAsia="Palatino Linotype" w:hAnsi="Palatino Linotype" w:cs="Palatino Linotype"/>
          <w:color w:val="000000"/>
        </w:rPr>
        <w:t>, en los cuales manifestó lo siguiente:</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240" w:lineRule="auto"/>
        <w:jc w:val="both"/>
        <w:rPr>
          <w:rFonts w:ascii="Palatino Linotype" w:eastAsia="Palatino Linotype" w:hAnsi="Palatino Linotype" w:cs="Palatino Linotype"/>
          <w:color w:val="000000"/>
          <w:u w:val="single"/>
        </w:rPr>
      </w:pPr>
      <w:r>
        <w:rPr>
          <w:rFonts w:ascii="Palatino Linotype" w:eastAsia="Palatino Linotype" w:hAnsi="Palatino Linotype" w:cs="Palatino Linotype"/>
          <w:b/>
          <w:color w:val="000000"/>
          <w:u w:val="single"/>
        </w:rPr>
        <w:t>04535/INFOEM/IP/RR/2021</w:t>
      </w:r>
    </w:p>
    <w:p w:rsidR="00CA2120" w:rsidRDefault="004C4207">
      <w:pPr>
        <w:pBdr>
          <w:top w:val="nil"/>
          <w:left w:val="nil"/>
          <w:bottom w:val="nil"/>
          <w:right w:val="nil"/>
          <w:between w:val="nil"/>
        </w:pBdr>
        <w:spacing w:after="0" w:line="24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i/>
          <w:color w:val="000000"/>
        </w:rPr>
        <w:t>“La respuesta a la solicitud de información presentada a la Secretaría de Movilidad, donde se solicitó un listado de los servidores públicos eventuales que han ocupado el puesto de "Jefe de Proyectos" adscritos al Programa de Reducción Física de Vehículos del Departamento de Coordinación de Estudios y Proyectos Especiales de la Secretaría de Movilidad."(Sic)</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i/>
          <w:color w:val="000000"/>
        </w:rPr>
      </w:pPr>
    </w:p>
    <w:p w:rsidR="00CA2120" w:rsidRDefault="004C4207">
      <w:pPr>
        <w:pBdr>
          <w:top w:val="nil"/>
          <w:left w:val="nil"/>
          <w:bottom w:val="nil"/>
          <w:right w:val="nil"/>
          <w:between w:val="nil"/>
        </w:pBdr>
        <w:spacing w:after="0" w:line="24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Razones o Motivos de Inconformidad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“Si bien es cierto que la Secretaría de Movilidad dio contestación a la solicitud, lo hizo con información que no corresponde a la solicitada, argumentando que una empresa privada es la encargada de realizar la contratación del personal del que se quiere conocer la información. Esto resulta incongruente, ya que, aunque no sea la Secretaría de Movilidad quien realice la contratación, si tienen conocimiento de que personas se contratan para desempeñar el cargo, ya que la propia Secretaría de Movilidad expide credenciales Institucionales a estas personas. Tras lo anteriormente mencionado, se concluye que Secretaría de Movilidad si está en posibilidades de proporcionar una respuesta con la información que se solicita. Por tanto, pido atentamente que se comparta el listado con los servidores públicos eventuales que han ocupado el puesto de "Jefe de Proyectos" adscritos al Programa de Reducción Física de Vehículos del Departamento de Coordinación de Estudios y Proyectos Especiales de la Secretaría de Movilidad.” (Sic)</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240" w:lineRule="auto"/>
        <w:jc w:val="both"/>
        <w:rPr>
          <w:rFonts w:ascii="Palatino Linotype" w:eastAsia="Palatino Linotype" w:hAnsi="Palatino Linotype" w:cs="Palatino Linotype"/>
          <w:color w:val="000000"/>
          <w:u w:val="single"/>
        </w:rPr>
      </w:pPr>
      <w:r>
        <w:rPr>
          <w:rFonts w:ascii="Palatino Linotype" w:eastAsia="Palatino Linotype" w:hAnsi="Palatino Linotype" w:cs="Palatino Linotype"/>
          <w:b/>
          <w:color w:val="000000"/>
          <w:u w:val="single"/>
        </w:rPr>
        <w:t>04537/INFOEM/IP/RR/2021</w:t>
      </w:r>
    </w:p>
    <w:p w:rsidR="00CA2120" w:rsidRDefault="004C4207">
      <w:pPr>
        <w:pBdr>
          <w:top w:val="nil"/>
          <w:left w:val="nil"/>
          <w:bottom w:val="nil"/>
          <w:right w:val="nil"/>
          <w:between w:val="nil"/>
        </w:pBdr>
        <w:spacing w:after="0" w:line="24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i/>
          <w:color w:val="000000"/>
        </w:rPr>
        <w:t>La respuesta otorgada por la Secretaría de Movilidad a mi consulta realizada, donde se pidió un listado de los servidores públicos de base que han ocupado el puesto de "Supervisor" del Departamento de Coordinación de Estudios y Proyectos Especiales de la Secretaría Movilidad del Estado de México."(Sic)</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i/>
          <w:color w:val="000000"/>
        </w:rPr>
      </w:pPr>
    </w:p>
    <w:p w:rsidR="00CA2120" w:rsidRDefault="004C4207">
      <w:pPr>
        <w:pBdr>
          <w:top w:val="nil"/>
          <w:left w:val="nil"/>
          <w:bottom w:val="nil"/>
          <w:right w:val="nil"/>
          <w:between w:val="nil"/>
        </w:pBdr>
        <w:spacing w:after="0" w:line="24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Razones o Motivos de Inconformidad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“La respuesta de la Secretaría de Movilidad no atiende lo solicitado. La autoridad argumenta que de acuerdo a una búsqueda realizada en los expedientes, no encontraron registros, lo cual carece de sentido y congruencia ya que la Secretaría de Movilidad se encarga de expedir credenciales institucionales a todos los funcionarios públicos que laboran dentro de la misma. Aunado a lo anterior, no se solicitó que proporcionaran copia de los expedientes del personal con ese puesto, únicamente un listado con los nombres de las personas que han desempeñado ese cargo. ¿Cómo es posible que una dependencia del gobierno estatal no cuente con la información de las personas que han desempeñado un cargo público? Atento a lo anterior, solicito se me proporcione el listado solicitado inicialmente de los servidores públicos de base que han ocupado el puesto de "Supervisor" del Departamento de Coordinación de Estudios y Proyectos Especiales de la Secretaría Movilidad del Estado de México.” (Sic)</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Adjuntando a sus medios de impugnación los acuses de las respuestas que le proporcionó el Sujeto Obligado.</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CUARTO. Del turno y admisión de los recursos de revisión.</w:t>
      </w: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Medios de impugnación que les fueron turnados a los </w:t>
      </w:r>
      <w:r>
        <w:rPr>
          <w:rFonts w:ascii="Palatino Linotype" w:eastAsia="Palatino Linotype" w:hAnsi="Palatino Linotype" w:cs="Palatino Linotype"/>
          <w:b/>
          <w:color w:val="000000"/>
        </w:rPr>
        <w:t xml:space="preserve">Comisionados José Martínez Vilchis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Sharon Cristina Morales Martínez</w:t>
      </w:r>
      <w:r>
        <w:rPr>
          <w:rFonts w:ascii="Palatino Linotype" w:eastAsia="Palatino Linotype" w:hAnsi="Palatino Linotype" w:cs="Palatino Linotype"/>
          <w:color w:val="000000"/>
        </w:rPr>
        <w:t>, por medio del sistema electrónico en términos del numeral 185 fracción I de la Ley de Transparencia y Acceso a la información Pública del Estado de México y Municipios, a los que recayeron acuerdos de admisión en fecha ocho y nueve de septiembre de dos mil veintiuno, determinándose en ellos, un plazo de siete días para que las partes manifestaran lo que a su derecho corresponda en términos del numeral ya citado.</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QUINTO. De la acumulación de los recursos de revisión.</w:t>
      </w: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la Trigésima Segunda Sesión Ordinaria del Pleno de este Instituto de Transparencia, Acceso a la Información Pública y Protección de Datos Personales del Estado de México y Municipios, celebrada el quince de septiembre de dos mil veintiuno,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de revisión señalados, d</w:t>
      </w:r>
      <w:r w:rsidR="008D2105">
        <w:rPr>
          <w:rFonts w:ascii="Palatino Linotype" w:eastAsia="Palatino Linotype" w:hAnsi="Palatino Linotype" w:cs="Palatino Linotype"/>
          <w:color w:val="000000"/>
        </w:rPr>
        <w:t>eterminando que fuera Ponente el</w:t>
      </w:r>
      <w:r>
        <w:rPr>
          <w:rFonts w:ascii="Palatino Linotype" w:eastAsia="Palatino Linotype" w:hAnsi="Palatino Linotype" w:cs="Palatino Linotype"/>
          <w:color w:val="000000"/>
        </w:rPr>
        <w:t xml:space="preserve"> </w:t>
      </w:r>
      <w:r w:rsidR="008D2105">
        <w:rPr>
          <w:rFonts w:ascii="Palatino Linotype" w:eastAsia="Palatino Linotype" w:hAnsi="Palatino Linotype" w:cs="Palatino Linotype"/>
          <w:b/>
          <w:color w:val="000000"/>
        </w:rPr>
        <w:t>Comisionado</w:t>
      </w:r>
      <w:r>
        <w:rPr>
          <w:rFonts w:ascii="Palatino Linotype" w:eastAsia="Palatino Linotype" w:hAnsi="Palatino Linotype" w:cs="Palatino Linotype"/>
          <w:b/>
          <w:color w:val="000000"/>
        </w:rPr>
        <w:t xml:space="preserve"> </w:t>
      </w:r>
      <w:r w:rsidR="008D2105">
        <w:rPr>
          <w:rFonts w:ascii="Palatino Linotype" w:eastAsia="Palatino Linotype" w:hAnsi="Palatino Linotype" w:cs="Palatino Linotype"/>
          <w:b/>
          <w:color w:val="000000"/>
        </w:rPr>
        <w:t>José Martínez Vilchis</w:t>
      </w:r>
      <w:r>
        <w:rPr>
          <w:rFonts w:ascii="Palatino Linotype" w:eastAsia="Palatino Linotype" w:hAnsi="Palatino Linotype" w:cs="Palatino Linotype"/>
          <w:color w:val="000000"/>
        </w:rPr>
        <w:t>.</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SEXTO. De la etapa de instrucción.</w:t>
      </w: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una vez abierta la etapa de instrucción, el Sujeto Obligado rindió sus Informes Justificados el día diecisiete de septiembre de dos mil veintiuno mediante un documento correspondiente </w:t>
      </w:r>
      <w:r>
        <w:rPr>
          <w:rFonts w:ascii="Palatino Linotype" w:eastAsia="Palatino Linotype" w:hAnsi="Palatino Linotype" w:cs="Palatino Linotype"/>
          <w:color w:val="000000"/>
        </w:rPr>
        <w:lastRenderedPageBreak/>
        <w:t xml:space="preserve">a cada recurso, dichos documentos se denominan </w:t>
      </w:r>
      <w:r>
        <w:rPr>
          <w:rFonts w:ascii="Palatino Linotype" w:eastAsia="Palatino Linotype" w:hAnsi="Palatino Linotype" w:cs="Palatino Linotype"/>
          <w:b/>
          <w:color w:val="000000"/>
        </w:rPr>
        <w:t>“Informe Justificado Recurso de Revisión 04535_2021.pdf”</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“Informe Justificado Recursos de Revisión 04537_2021”</w:t>
      </w:r>
      <w:r>
        <w:rPr>
          <w:rFonts w:ascii="Palatino Linotype" w:eastAsia="Palatino Linotype" w:hAnsi="Palatino Linotype" w:cs="Palatino Linotype"/>
          <w:color w:val="000000"/>
        </w:rPr>
        <w:t>, los cuales fueron puestos a la vista del Recurrente en fecha veinte de septiembre del año en curso para que manifestara lo que a su derecho conviniera, lo que no realizó. Por su parte, durante el mismo periodo, el Recurrente no presentó manifestaciones, rindió alegatos ni presentó pruebas que a su derecho convinieran. Los documentos rendidos por el Sujeto Obligado serán analizados en el estudio correspondiente.</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SÉPTIMO. Del cierre de instrucción.</w:t>
      </w: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una vez transcurrido el término legal, se decretó el cierre de instrucción de ambos recursos de revisión referidos en fecha veintisiete de septiembre de dos mil </w:t>
      </w:r>
      <w:proofErr w:type="gramStart"/>
      <w:r>
        <w:rPr>
          <w:rFonts w:ascii="Palatino Linotype" w:eastAsia="Palatino Linotype" w:hAnsi="Palatino Linotype" w:cs="Palatino Linotype"/>
          <w:color w:val="000000"/>
        </w:rPr>
        <w:t>veintiuno ,</w:t>
      </w:r>
      <w:proofErr w:type="gramEnd"/>
      <w:r>
        <w:rPr>
          <w:rFonts w:ascii="Palatino Linotype" w:eastAsia="Palatino Linotype" w:hAnsi="Palatino Linotype" w:cs="Palatino Linotype"/>
          <w:color w:val="000000"/>
        </w:rPr>
        <w:t xml:space="preserve"> en términos del artículo 185 Fracción VI de la Ley de Transparencia y Acceso a la Información Pública del Estado de México y Municipios, iniciando el término legal para dictar resolución definitiva del asunto.</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C O N S I D E R A N D O</w:t>
      </w:r>
    </w:p>
    <w:p w:rsidR="00CA2120" w:rsidRDefault="00CA2120">
      <w:pPr>
        <w:pBdr>
          <w:top w:val="nil"/>
          <w:left w:val="nil"/>
          <w:bottom w:val="nil"/>
          <w:right w:val="nil"/>
          <w:between w:val="nil"/>
        </w:pBdr>
        <w:spacing w:after="0" w:line="360" w:lineRule="auto"/>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PRIMERO. De la competencia.</w:t>
      </w: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w:t>
      </w:r>
      <w:r>
        <w:rPr>
          <w:rFonts w:ascii="Palatino Linotype" w:eastAsia="Palatino Linotype" w:hAnsi="Palatino Linotype" w:cs="Palatino Linotype"/>
          <w:color w:val="000000"/>
        </w:rPr>
        <w:lastRenderedPageBreak/>
        <w:t>del Estado de México y Municipios; y 10, 7, 9 fracciones I y XXIV, y 11 del Reglamento Interior del Instituto de Transparencia, Acceso a la Información Pública y Protección de Datos Personales del Estado de México y Municipios.</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SEGUNDO. Sobre los alcances del recurso de revisión. </w:t>
      </w: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TERCERO. De las causas de improcedencia.</w:t>
      </w: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w:t>
      </w:r>
      <w:r>
        <w:rPr>
          <w:rFonts w:ascii="Palatino Linotype" w:eastAsia="Palatino Linotype" w:hAnsi="Palatino Linotype" w:cs="Palatino Linotype"/>
          <w:color w:val="000000"/>
        </w:rPr>
        <w:lastRenderedPageBreak/>
        <w:t>procesal adoptada en la ley de la materia</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la cual permite dilucidar alguna causal que impida el estudio y resolución, cuando una vez admitido el recurso de revisión se advierta una causa de improcedencia que permita sobreseerlo, sin estudiar el fondo del asunto.</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CUARTO. Estudio y resolución del asunto.</w:t>
      </w: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w:t>
      </w:r>
      <w:r>
        <w:rPr>
          <w:rFonts w:ascii="Palatino Linotype" w:eastAsia="Palatino Linotype" w:hAnsi="Palatino Linotype" w:cs="Palatino Linotype"/>
          <w:color w:val="000000"/>
        </w:rPr>
        <w:lastRenderedPageBreak/>
        <w:t>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tanto, es conveniente recordar lo que el hoy Recurrente requirió del Sujeto Obligado, del Departamento de Coordinación de Estudios y Proyectos Especiales (sic), un listado de los </w:t>
      </w:r>
      <w:r w:rsidR="0004495A">
        <w:rPr>
          <w:rFonts w:ascii="Palatino Linotype" w:eastAsia="Palatino Linotype" w:hAnsi="Palatino Linotype" w:cs="Palatino Linotype"/>
          <w:color w:val="000000"/>
        </w:rPr>
        <w:t>servidores públicos eventuales</w:t>
      </w:r>
      <w:r>
        <w:rPr>
          <w:rFonts w:ascii="Palatino Linotype" w:eastAsia="Palatino Linotype" w:hAnsi="Palatino Linotype" w:cs="Palatino Linotype"/>
          <w:color w:val="000000"/>
        </w:rPr>
        <w:t xml:space="preserve"> adscritos al programa de reducción física de vehículos que has ocupado el puesto de “jefe de Proyectos” y un listado de servidores públicos de base que han ocupado el puesto de “supervisor”, durante el periodo del primero de enero de dos mil quince al once de agosto de dos mil veintiuno. </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bookmarkStart w:id="1" w:name="_heading=h.gjdgxs" w:colFirst="0" w:colLast="0"/>
      <w:bookmarkEnd w:id="1"/>
      <w:r>
        <w:rPr>
          <w:rFonts w:ascii="Palatino Linotype" w:eastAsia="Palatino Linotype" w:hAnsi="Palatino Linotype" w:cs="Palatino Linotype"/>
          <w:color w:val="000000"/>
        </w:rPr>
        <w:t xml:space="preserve">El Sujeto Obligado respondió al primer requerimiento manifestando que la Jefa del Departamento de Adquisiciones, Control y Suministro de Bienes informó que una empresa privada es la responsable de realizar la contratación del personal operativo para la prestación de servicios a la </w:t>
      </w:r>
      <w:r>
        <w:rPr>
          <w:rFonts w:ascii="Palatino Linotype" w:eastAsia="Palatino Linotype" w:hAnsi="Palatino Linotype" w:cs="Palatino Linotype"/>
          <w:b/>
          <w:color w:val="000000"/>
        </w:rPr>
        <w:t xml:space="preserve">Coordinación de Estudios y Proyectos Estratégicos </w:t>
      </w:r>
      <w:r>
        <w:rPr>
          <w:rFonts w:ascii="Palatino Linotype" w:eastAsia="Palatino Linotype" w:hAnsi="Palatino Linotype" w:cs="Palatino Linotype"/>
          <w:color w:val="000000"/>
        </w:rPr>
        <w:t>y quien posee toda la información relativa del personal que contrata; mientras que al segundo requerimiento</w:t>
      </w:r>
      <w:r w:rsidR="0004495A">
        <w:rPr>
          <w:rFonts w:ascii="Palatino Linotype" w:eastAsia="Palatino Linotype" w:hAnsi="Palatino Linotype" w:cs="Palatino Linotype"/>
          <w:color w:val="000000"/>
        </w:rPr>
        <w:t>, la misma</w:t>
      </w:r>
      <w:r>
        <w:rPr>
          <w:rFonts w:ascii="Palatino Linotype" w:eastAsia="Palatino Linotype" w:hAnsi="Palatino Linotype" w:cs="Palatino Linotype"/>
          <w:color w:val="000000"/>
        </w:rPr>
        <w:t xml:space="preserve"> servidora pública señaló que después de una búsqueda exhaustiva en los expedientes del personal adscrito a la </w:t>
      </w:r>
      <w:r>
        <w:rPr>
          <w:rFonts w:ascii="Palatino Linotype" w:eastAsia="Palatino Linotype" w:hAnsi="Palatino Linotype" w:cs="Palatino Linotype"/>
          <w:b/>
          <w:color w:val="000000"/>
        </w:rPr>
        <w:t>Coordinación de Estudios y Proyectos Estratégicos</w:t>
      </w:r>
      <w:r>
        <w:rPr>
          <w:rFonts w:ascii="Palatino Linotype" w:eastAsia="Palatino Linotype" w:hAnsi="Palatino Linotype" w:cs="Palatino Linotype"/>
          <w:color w:val="000000"/>
        </w:rPr>
        <w:t xml:space="preserve">, no se encontró información al respecto. </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Ante dichas respuestas, el Recurrente interpuso los recursos de revisión que ya han quedado planteados en los que esencialmente que es incongruente la respuesta del Sujeto Obligado, toda vez que se expiden credenciales institucionales a los servidores públicos que laboran para </w:t>
      </w:r>
      <w:r>
        <w:rPr>
          <w:rFonts w:ascii="Palatino Linotype" w:eastAsia="Palatino Linotype" w:hAnsi="Palatino Linotype" w:cs="Palatino Linotype"/>
          <w:color w:val="000000"/>
        </w:rPr>
        <w:lastRenderedPageBreak/>
        <w:t>dicha dependencia, por lo que reiteró que solicita los listados referidos en su solicitud primigenia.</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Durante la etapa de instrucción, se tiene que el Recurrente no realizó manifestaciones, vertió alegatos o presentó pruebas que a su derecho convinieran durante la etapa de instrucción. Por su parte, el Sujeto Obligado rindió sus Informes Justificados por medio de dos documentos con los cuales reiteró sus respuestas a las solicitudes, aunado a que manifestó que se realizó una nueva búsqueda exhaustiva de la información requerida sin que se encontrara documento alguno en el que conste que en su estructura orgánica exista el Departamento de Coordinación de Estudios y Proyectos Especiales que señaló el hoy Recurrente. </w:t>
      </w:r>
    </w:p>
    <w:p w:rsidR="00CA2120" w:rsidRDefault="00CA2120">
      <w:pPr>
        <w:spacing w:after="0" w:line="360" w:lineRule="auto"/>
        <w:jc w:val="both"/>
        <w:rPr>
          <w:rFonts w:ascii="Palatino Linotype" w:eastAsia="Palatino Linotype" w:hAnsi="Palatino Linotype" w:cs="Palatino Linotype"/>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w:t>
      </w:r>
      <w:r>
        <w:rPr>
          <w:rFonts w:ascii="Palatino Linotype" w:eastAsia="Palatino Linotype" w:hAnsi="Palatino Linotype" w:cs="Palatino Linotype"/>
        </w:rPr>
        <w:t xml:space="preserve">puesto que las solicitudes y respuestas comparten similitudes, </w:t>
      </w:r>
      <w:r>
        <w:rPr>
          <w:rFonts w:ascii="Palatino Linotype" w:eastAsia="Palatino Linotype" w:hAnsi="Palatino Linotype" w:cs="Palatino Linotype"/>
          <w:color w:val="000000"/>
        </w:rPr>
        <w:t>se considera que</w:t>
      </w:r>
      <w:r>
        <w:rPr>
          <w:rFonts w:ascii="Palatino Linotype" w:eastAsia="Palatino Linotype" w:hAnsi="Palatino Linotype" w:cs="Palatino Linotype"/>
        </w:rPr>
        <w:t xml:space="preserve"> es</w:t>
      </w:r>
      <w:r>
        <w:rPr>
          <w:rFonts w:ascii="Palatino Linotype" w:eastAsia="Palatino Linotype" w:hAnsi="Palatino Linotype" w:cs="Palatino Linotype"/>
          <w:color w:val="000000"/>
        </w:rPr>
        <w:t xml:space="preserve"> posible realizar el estudio a los recursos conjuntamente</w:t>
      </w:r>
      <w:r>
        <w:rPr>
          <w:rFonts w:ascii="Palatino Linotype" w:eastAsia="Palatino Linotype" w:hAnsi="Palatino Linotype" w:cs="Palatino Linotype"/>
        </w:rPr>
        <w:t>.</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en primer término, es pertinente enfatizar lo que refiere el artículo 6° de la Constitución Política de los Estados Unidos Mexicanos respecto al derecho de acceso a la información pública, que en su parte conducente señala:</w:t>
      </w:r>
    </w:p>
    <w:p w:rsidR="00CA2120" w:rsidRDefault="00CA2120">
      <w:pPr>
        <w:spacing w:after="0" w:line="360" w:lineRule="auto"/>
        <w:jc w:val="both"/>
        <w:rPr>
          <w:rFonts w:ascii="Palatino Linotype" w:eastAsia="Palatino Linotype" w:hAnsi="Palatino Linotype" w:cs="Palatino Linotype"/>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r>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eastAsia="Palatino Linotype" w:hAnsi="Palatino Linotype" w:cs="Palatino Linotype"/>
          <w:b/>
          <w:i/>
        </w:rPr>
        <w:t>El derecho a la información será garantizado por el Estado.</w:t>
      </w:r>
      <w:r>
        <w:rPr>
          <w:rFonts w:ascii="Palatino Linotype" w:eastAsia="Palatino Linotype" w:hAnsi="Palatino Linotype" w:cs="Palatino Linotype"/>
          <w:i/>
        </w:rPr>
        <w:t xml:space="preserve"> </w:t>
      </w:r>
    </w:p>
    <w:p w:rsidR="00CA2120" w:rsidRDefault="00CA2120">
      <w:pPr>
        <w:spacing w:after="0" w:line="240" w:lineRule="auto"/>
        <w:ind w:left="567" w:right="567"/>
        <w:jc w:val="both"/>
        <w:rPr>
          <w:rFonts w:ascii="Palatino Linotype" w:eastAsia="Palatino Linotype" w:hAnsi="Palatino Linotype" w:cs="Palatino Linotype"/>
          <w:i/>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Toda persona tiene derecho al libre acceso a información plural y oportuna, así como a buscar, recibir y difundir información e ideas de toda índole por cualquier medio de expresión.</w:t>
      </w:r>
    </w:p>
    <w:p w:rsidR="00CA2120" w:rsidRDefault="00CA2120">
      <w:pPr>
        <w:spacing w:after="0" w:line="240" w:lineRule="auto"/>
        <w:ind w:left="567" w:right="567"/>
        <w:jc w:val="both"/>
        <w:rPr>
          <w:rFonts w:ascii="Palatino Linotype" w:eastAsia="Palatino Linotype" w:hAnsi="Palatino Linotype" w:cs="Palatino Linotype"/>
          <w:i/>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rsidR="00CA2120" w:rsidRDefault="00CA2120">
      <w:pPr>
        <w:spacing w:after="0" w:line="240" w:lineRule="auto"/>
        <w:ind w:left="567" w:right="567"/>
        <w:jc w:val="both"/>
        <w:rPr>
          <w:rFonts w:ascii="Palatino Linotype" w:eastAsia="Palatino Linotype" w:hAnsi="Palatino Linotype" w:cs="Palatino Linotype"/>
          <w:i/>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CA2120" w:rsidRDefault="00CA2120">
      <w:pPr>
        <w:spacing w:after="0" w:line="240" w:lineRule="auto"/>
        <w:ind w:left="567" w:right="567"/>
        <w:jc w:val="both"/>
        <w:rPr>
          <w:rFonts w:ascii="Palatino Linotype" w:eastAsia="Palatino Linotype" w:hAnsi="Palatino Linotype" w:cs="Palatino Linotype"/>
          <w:i/>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 Toda la información en posesión de</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cualquier autoridad, entidad, órgano y organismo de los Poderes Ejecutivo, </w:t>
      </w:r>
      <w:r>
        <w:rPr>
          <w:rFonts w:ascii="Palatino Linotype" w:eastAsia="Palatino Linotype" w:hAnsi="Palatino Linotype" w:cs="Palatino Linotype"/>
          <w:i/>
        </w:rPr>
        <w:t xml:space="preserve">Legislativo y Judicial, órganos autónomos, partidos políticos, fideicomisos y fondos públicos, así como de cualquier persona física, moral o sindicato que reciba y ejerza recursos públicos o realice actos de autoridad </w:t>
      </w:r>
      <w:r>
        <w:rPr>
          <w:rFonts w:ascii="Palatino Linotype" w:eastAsia="Palatino Linotype" w:hAnsi="Palatino Linotype" w:cs="Palatino Linotype"/>
          <w:b/>
          <w:i/>
        </w:rPr>
        <w:t>en el ámbito federal, estatal y municipal, es pública</w:t>
      </w:r>
      <w:r>
        <w:rPr>
          <w:rFonts w:ascii="Palatino Linotype" w:eastAsia="Palatino Linotype" w:hAnsi="Palatino Linotype" w:cs="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Pr>
          <w:rFonts w:ascii="Palatino Linotype" w:eastAsia="Palatino Linotype" w:hAnsi="Palatino Linotype" w:cs="Palatino Linotype"/>
          <w:b/>
          <w:i/>
        </w:rPr>
        <w:t>Los sujetos obligados deberán documentar todo acto que derive del ejercicio de sus facultades, competencias o funciones</w:t>
      </w:r>
      <w:r>
        <w:rPr>
          <w:rFonts w:ascii="Palatino Linotype" w:eastAsia="Palatino Linotype" w:hAnsi="Palatino Linotype" w:cs="Palatino Linotype"/>
          <w:i/>
        </w:rPr>
        <w:t>, la ley determinará los supuestos específicos bajo los cuales procederá la declaración de inexistencia de la información.</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 La información que se refiere a la vida privada y los datos personales será protegida en los términos y con las excepciones que fijen las leyes.</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V. Los sujetos obligados deberán preservar sus documentos en archivos administrativos actualizados y publicarán, a través de los medios electrónicos disponibles</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la información completa y actualizada sobre el ejercicio de los recursos públicos </w:t>
      </w:r>
      <w:r>
        <w:rPr>
          <w:rFonts w:ascii="Palatino Linotype" w:eastAsia="Palatino Linotype" w:hAnsi="Palatino Linotype" w:cs="Palatino Linotype"/>
          <w:i/>
        </w:rPr>
        <w:t>y los indicadores que permitan rendir cuenta del cumplimiento de sus objetivos y de los resultados obtenidos.</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 Las leyes determinarán la manera en que los sujetos obligados deberán hacer pública la información relativa a los recursos públicos que entreguen a personas físicas o morales.</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VII. La inobservancia a las disposiciones en materia de acceso a la información pública será sancionada en los términos que dispongan las leyes.</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ley establecerá aquella información que se considere reservada o confidencial.</w:t>
      </w:r>
    </w:p>
    <w:p w:rsidR="00CA2120" w:rsidRDefault="00CA2120">
      <w:pPr>
        <w:spacing w:after="0" w:line="360" w:lineRule="auto"/>
        <w:jc w:val="both"/>
        <w:rPr>
          <w:rFonts w:ascii="Palatino Linotype" w:eastAsia="Palatino Linotype" w:hAnsi="Palatino Linotype" w:cs="Palatino Linotype"/>
        </w:rPr>
      </w:pPr>
    </w:p>
    <w:p w:rsidR="00CA2120" w:rsidRDefault="004C420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la Constitución Política del Estado Libre y Soberano de México, en su artículo 5°, dispone en su parte conducente, lo siguiente:</w:t>
      </w:r>
    </w:p>
    <w:p w:rsidR="00CA2120" w:rsidRDefault="00CA2120">
      <w:pPr>
        <w:spacing w:after="0" w:line="360" w:lineRule="auto"/>
        <w:jc w:val="both"/>
        <w:rPr>
          <w:rFonts w:ascii="Palatino Linotype" w:eastAsia="Palatino Linotype" w:hAnsi="Palatino Linotype" w:cs="Palatino Linotype"/>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 </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El derecho a la información será garantizado por el Estado. La ley establecerá las previsiones que permitan asegurar la protección, el respeto y la difusión de este derecho. </w:t>
      </w:r>
    </w:p>
    <w:p w:rsidR="00CA2120" w:rsidRDefault="00CA2120">
      <w:pPr>
        <w:spacing w:after="0" w:line="240" w:lineRule="auto"/>
        <w:ind w:left="567" w:right="567"/>
        <w:jc w:val="both"/>
        <w:rPr>
          <w:rFonts w:ascii="Palatino Linotype" w:eastAsia="Palatino Linotype" w:hAnsi="Palatino Linotype" w:cs="Palatino Linotype"/>
          <w:i/>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A2120" w:rsidRDefault="00CA2120">
      <w:pPr>
        <w:spacing w:after="0" w:line="240" w:lineRule="auto"/>
        <w:ind w:left="567" w:right="567"/>
        <w:jc w:val="both"/>
        <w:rPr>
          <w:rFonts w:ascii="Palatino Linotype" w:eastAsia="Palatino Linotype" w:hAnsi="Palatino Linotype" w:cs="Palatino Linotype"/>
          <w:i/>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Este derecho se regirá por los principios y bases siguientes:</w:t>
      </w:r>
    </w:p>
    <w:p w:rsidR="00CA2120" w:rsidRDefault="00CA2120">
      <w:pPr>
        <w:spacing w:after="0" w:line="240" w:lineRule="auto"/>
        <w:ind w:left="567" w:right="567"/>
        <w:jc w:val="both"/>
        <w:rPr>
          <w:rFonts w:ascii="Palatino Linotype" w:eastAsia="Palatino Linotype" w:hAnsi="Palatino Linotype" w:cs="Palatino Linotype"/>
          <w:i/>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IV. Se establecerán mecanismos de acceso a la información y procedimientos de revisión expeditos que se sustanciarán ante el organismo autónomo especializado e imparcial que establece esta Constitución.</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VII. La ley reglamentaria, determinará la manera en que los sujetos obligados deberán hacer pública la información relativa a los recursos públicos que entreguen a personas físicas o jurídicas colectivas.</w:t>
      </w:r>
    </w:p>
    <w:p w:rsidR="00CA2120" w:rsidRDefault="00CA2120">
      <w:pPr>
        <w:spacing w:after="0" w:line="360" w:lineRule="auto"/>
        <w:jc w:val="both"/>
        <w:rPr>
          <w:rFonts w:ascii="Palatino Linotype" w:eastAsia="Palatino Linotype" w:hAnsi="Palatino Linotype" w:cs="Palatino Linotype"/>
        </w:rPr>
      </w:pPr>
    </w:p>
    <w:p w:rsidR="00CA2120" w:rsidRDefault="004C420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la Ley de Transparencia y Acceso a la Información Pública del Estado de México y Municipios, prevé en su artículo 23, fracción I, lo siguiente:</w:t>
      </w:r>
    </w:p>
    <w:p w:rsidR="00CA2120" w:rsidRDefault="00CA2120">
      <w:pPr>
        <w:spacing w:after="0" w:line="360" w:lineRule="auto"/>
        <w:jc w:val="both"/>
        <w:rPr>
          <w:rFonts w:ascii="Palatino Linotype" w:eastAsia="Palatino Linotype" w:hAnsi="Palatino Linotype" w:cs="Palatino Linotype"/>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rsidR="00CA2120" w:rsidRDefault="00CA2120">
      <w:pPr>
        <w:spacing w:after="0" w:line="240" w:lineRule="auto"/>
        <w:ind w:left="567" w:right="567"/>
        <w:jc w:val="both"/>
        <w:rPr>
          <w:rFonts w:ascii="Palatino Linotype" w:eastAsia="Palatino Linotype" w:hAnsi="Palatino Linotype" w:cs="Palatino Linotype"/>
          <w:i/>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 El Poder Ejecutivo del Estado de México, las dependencias, organismos auxiliares, órganos, entidades, fideicomisos y fondos públicos, así como la Procuraduría General de Justicia;</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CA2120" w:rsidRDefault="00CA2120">
      <w:pPr>
        <w:spacing w:after="0" w:line="360" w:lineRule="auto"/>
        <w:jc w:val="both"/>
        <w:rPr>
          <w:rFonts w:ascii="Palatino Linotype" w:eastAsia="Palatino Linotype" w:hAnsi="Palatino Linotype" w:cs="Palatino Linotype"/>
        </w:rPr>
      </w:pPr>
    </w:p>
    <w:p w:rsidR="00CA2120" w:rsidRDefault="004C420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D703BA" w:rsidRPr="00D703BA"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segundo término, se debe resaltar que el Sujeto Obligado manifestó en </w:t>
      </w:r>
      <w:r w:rsidR="001826A5">
        <w:rPr>
          <w:rFonts w:ascii="Palatino Linotype" w:eastAsia="Palatino Linotype" w:hAnsi="Palatino Linotype" w:cs="Palatino Linotype"/>
          <w:color w:val="000000"/>
        </w:rPr>
        <w:t xml:space="preserve">sus </w:t>
      </w:r>
      <w:r w:rsidR="00BF0A39">
        <w:rPr>
          <w:rFonts w:ascii="Palatino Linotype" w:eastAsia="Palatino Linotype" w:hAnsi="Palatino Linotype" w:cs="Palatino Linotype"/>
          <w:color w:val="000000"/>
        </w:rPr>
        <w:t>respuestas que la</w:t>
      </w:r>
      <w:r w:rsidR="00D703BA" w:rsidRPr="00D703BA">
        <w:rPr>
          <w:rFonts w:ascii="Palatino Linotype" w:eastAsia="Palatino Linotype" w:hAnsi="Palatino Linotype" w:cs="Palatino Linotype"/>
          <w:color w:val="000000"/>
        </w:rPr>
        <w:t xml:space="preserve"> Jefa del Departamento de Adquisiciones, Control y Suministro de Bienes </w:t>
      </w:r>
      <w:r w:rsidR="00D703BA">
        <w:rPr>
          <w:rFonts w:ascii="Palatino Linotype" w:eastAsia="Palatino Linotype" w:hAnsi="Palatino Linotype" w:cs="Palatino Linotype"/>
          <w:color w:val="000000"/>
        </w:rPr>
        <w:t xml:space="preserve">es la servidora pública habilitada, y fue quien informó, al primer requerimiento, </w:t>
      </w:r>
      <w:r w:rsidR="00D703BA" w:rsidRPr="00D703BA">
        <w:rPr>
          <w:rFonts w:ascii="Palatino Linotype" w:eastAsia="Palatino Linotype" w:hAnsi="Palatino Linotype" w:cs="Palatino Linotype"/>
          <w:color w:val="000000"/>
        </w:rPr>
        <w:t xml:space="preserve">que una empresa privada es la responsable de realizar la contratación del personal operativo para la prestación de servicios a la </w:t>
      </w:r>
      <w:r w:rsidR="00D703BA" w:rsidRPr="00D703BA">
        <w:rPr>
          <w:rFonts w:ascii="Palatino Linotype" w:eastAsia="Palatino Linotype" w:hAnsi="Palatino Linotype" w:cs="Palatino Linotype"/>
          <w:b/>
          <w:color w:val="000000"/>
        </w:rPr>
        <w:t>Coordinación de Estudios y Proyectos Estratégicos</w:t>
      </w:r>
      <w:r w:rsidR="00D703BA">
        <w:rPr>
          <w:rFonts w:ascii="Palatino Linotype" w:eastAsia="Palatino Linotype" w:hAnsi="Palatino Linotype" w:cs="Palatino Linotype"/>
          <w:color w:val="000000"/>
        </w:rPr>
        <w:t>; mientras que al segundo requerimiento, comunicó que, después de un</w:t>
      </w:r>
      <w:r w:rsidR="00706C65">
        <w:rPr>
          <w:rFonts w:ascii="Palatino Linotype" w:eastAsia="Palatino Linotype" w:hAnsi="Palatino Linotype" w:cs="Palatino Linotype"/>
          <w:color w:val="000000"/>
        </w:rPr>
        <w:t>a</w:t>
      </w:r>
      <w:r w:rsidR="00D703BA">
        <w:rPr>
          <w:rFonts w:ascii="Palatino Linotype" w:eastAsia="Palatino Linotype" w:hAnsi="Palatino Linotype" w:cs="Palatino Linotype"/>
          <w:color w:val="000000"/>
        </w:rPr>
        <w:t xml:space="preserve"> búsqueda exhaustiva, no se encontró la información solicitada</w:t>
      </w:r>
      <w:r w:rsidR="00706C65">
        <w:rPr>
          <w:rFonts w:ascii="Palatino Linotype" w:eastAsia="Palatino Linotype" w:hAnsi="Palatino Linotype" w:cs="Palatino Linotype"/>
          <w:color w:val="000000"/>
        </w:rPr>
        <w:t>.</w:t>
      </w:r>
    </w:p>
    <w:p w:rsidR="00D703BA" w:rsidRDefault="00D703B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D703BA" w:rsidRDefault="00BF0A39">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se debe verificar si el área que se pronunció es competente para realizar el pronunciamiento. Así, se tiene que </w:t>
      </w:r>
      <w:r w:rsidR="004755F4">
        <w:rPr>
          <w:rFonts w:ascii="Palatino Linotype" w:eastAsia="Palatino Linotype" w:hAnsi="Palatino Linotype" w:cs="Palatino Linotype"/>
          <w:color w:val="000000"/>
        </w:rPr>
        <w:t>los artículos 3 fracción XIX y 29 fracciones I, II y VII d</w:t>
      </w:r>
      <w:r>
        <w:rPr>
          <w:rFonts w:ascii="Palatino Linotype" w:eastAsia="Palatino Linotype" w:hAnsi="Palatino Linotype" w:cs="Palatino Linotype"/>
          <w:color w:val="000000"/>
        </w:rPr>
        <w:t>el Reglamento Interior de la Secretaría de Movilidad</w:t>
      </w:r>
      <w:r w:rsidR="00AC72B2">
        <w:rPr>
          <w:rStyle w:val="Refdenotaalpie"/>
          <w:rFonts w:ascii="Palatino Linotype" w:eastAsia="Palatino Linotype" w:hAnsi="Palatino Linotype" w:cs="Palatino Linotype"/>
          <w:color w:val="000000"/>
        </w:rPr>
        <w:footnoteReference w:id="2"/>
      </w:r>
      <w:r w:rsidR="00AC72B2">
        <w:rPr>
          <w:rFonts w:ascii="Palatino Linotype" w:eastAsia="Palatino Linotype" w:hAnsi="Palatino Linotype" w:cs="Palatino Linotype"/>
          <w:color w:val="000000"/>
        </w:rPr>
        <w:t xml:space="preserve"> señala</w:t>
      </w:r>
      <w:r w:rsidR="006205E0">
        <w:rPr>
          <w:rFonts w:ascii="Palatino Linotype" w:eastAsia="Palatino Linotype" w:hAnsi="Palatino Linotype" w:cs="Palatino Linotype"/>
          <w:color w:val="000000"/>
        </w:rPr>
        <w:t>n</w:t>
      </w:r>
      <w:r w:rsidR="00AC72B2">
        <w:rPr>
          <w:rFonts w:ascii="Palatino Linotype" w:eastAsia="Palatino Linotype" w:hAnsi="Palatino Linotype" w:cs="Palatino Linotype"/>
          <w:color w:val="000000"/>
        </w:rPr>
        <w:t xml:space="preserve"> lo siguiente:</w:t>
      </w:r>
    </w:p>
    <w:p w:rsidR="00D703BA" w:rsidRDefault="00D703B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AC72B2" w:rsidRPr="004755F4" w:rsidRDefault="00AC72B2"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4755F4">
        <w:rPr>
          <w:rFonts w:ascii="Palatino Linotype" w:eastAsia="Palatino Linotype" w:hAnsi="Palatino Linotype" w:cs="Palatino Linotype"/>
          <w:b/>
          <w:i/>
          <w:color w:val="000000"/>
        </w:rPr>
        <w:t>Artículo 3.</w:t>
      </w:r>
      <w:r w:rsidRPr="004755F4">
        <w:rPr>
          <w:rFonts w:ascii="Palatino Linotype" w:eastAsia="Palatino Linotype" w:hAnsi="Palatino Linotype" w:cs="Palatino Linotype"/>
          <w:i/>
          <w:color w:val="000000"/>
        </w:rPr>
        <w:t xml:space="preserve"> Para el estudio, planeación y despacho de los asuntos de su competencia, así como para atender las funciones de control y evaluación que le corresponden, la Secretaría contará con un Secretario, quien para el desahogo de los asuntos de su competencia se auxiliará de las unidades administrativas básicas siguientes:</w:t>
      </w:r>
    </w:p>
    <w:p w:rsidR="00AC72B2" w:rsidRPr="004755F4" w:rsidRDefault="00AC72B2"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4755F4" w:rsidRPr="004755F4" w:rsidRDefault="004755F4"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4755F4">
        <w:rPr>
          <w:rFonts w:ascii="Palatino Linotype" w:eastAsia="Palatino Linotype" w:hAnsi="Palatino Linotype" w:cs="Palatino Linotype"/>
          <w:i/>
          <w:color w:val="000000"/>
        </w:rPr>
        <w:t>(…)</w:t>
      </w:r>
    </w:p>
    <w:p w:rsidR="00D703BA" w:rsidRPr="004755F4" w:rsidRDefault="00AC72B2"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color w:val="000000"/>
        </w:rPr>
      </w:pPr>
      <w:r w:rsidRPr="004755F4">
        <w:rPr>
          <w:rFonts w:ascii="Palatino Linotype" w:eastAsia="Palatino Linotype" w:hAnsi="Palatino Linotype" w:cs="Palatino Linotype"/>
          <w:b/>
          <w:i/>
          <w:color w:val="000000"/>
        </w:rPr>
        <w:t>XIX. Coordinación Administrativa.</w:t>
      </w:r>
    </w:p>
    <w:p w:rsidR="00D703BA" w:rsidRPr="004755F4" w:rsidRDefault="004755F4"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4755F4">
        <w:rPr>
          <w:rFonts w:ascii="Palatino Linotype" w:eastAsia="Palatino Linotype" w:hAnsi="Palatino Linotype" w:cs="Palatino Linotype"/>
          <w:i/>
          <w:color w:val="000000"/>
        </w:rPr>
        <w:t>(…)</w:t>
      </w:r>
    </w:p>
    <w:p w:rsidR="00AC72B2" w:rsidRPr="004755F4" w:rsidRDefault="00AC72B2"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AC72B2" w:rsidRPr="004755F4" w:rsidRDefault="00AC72B2"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4755F4">
        <w:rPr>
          <w:rFonts w:ascii="Palatino Linotype" w:eastAsia="Palatino Linotype" w:hAnsi="Palatino Linotype" w:cs="Palatino Linotype"/>
          <w:i/>
          <w:color w:val="000000"/>
        </w:rPr>
        <w:t xml:space="preserve">La Secretaría contará con las demás unidades administrativas que le sean autorizadas en su estructura de organización, cuyas funciones y líneas de autoridad se establecerán en el Manual General de Organización de esta dependencia. Asimismo, se auxiliará de los órganos técnicos y administrativos y de los servidores públicos necesarios para el cumplimiento de sus atribuciones, en términos de la normatividad aplicable y del presupuesto de egresos autorizado. </w:t>
      </w:r>
    </w:p>
    <w:p w:rsidR="00AC72B2" w:rsidRPr="004755F4" w:rsidRDefault="00AC72B2"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AC72B2" w:rsidRPr="004755F4" w:rsidRDefault="00AC72B2"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4755F4">
        <w:rPr>
          <w:rFonts w:ascii="Palatino Linotype" w:eastAsia="Palatino Linotype" w:hAnsi="Palatino Linotype" w:cs="Palatino Linotype"/>
          <w:i/>
          <w:color w:val="000000"/>
        </w:rPr>
        <w:t>Las funciones en materia de información, planeación, programación y evaluación de la Secretaría, así como las relacionadas con la transparencia y el acceso a la información pública serán atendidas por la Unidad de Información, Planeación, Programación y Evaluación, en términos de las disposiciones legales aplicables.</w:t>
      </w:r>
    </w:p>
    <w:p w:rsidR="004E03C7" w:rsidRPr="004755F4" w:rsidRDefault="004E03C7"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4E03C7" w:rsidRPr="004755F4" w:rsidRDefault="004E03C7"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4755F4">
        <w:rPr>
          <w:rFonts w:ascii="Palatino Linotype" w:eastAsia="Palatino Linotype" w:hAnsi="Palatino Linotype" w:cs="Palatino Linotype"/>
          <w:b/>
          <w:i/>
          <w:color w:val="000000"/>
        </w:rPr>
        <w:t>Artículo 29.</w:t>
      </w:r>
      <w:r w:rsidRPr="004755F4">
        <w:rPr>
          <w:rFonts w:ascii="Palatino Linotype" w:eastAsia="Palatino Linotype" w:hAnsi="Palatino Linotype" w:cs="Palatino Linotype"/>
          <w:i/>
          <w:color w:val="000000"/>
        </w:rPr>
        <w:t xml:space="preserve"> Corresponden a la Coordinación Administrativa las atribuciones siguientes:</w:t>
      </w:r>
    </w:p>
    <w:p w:rsidR="004E03C7" w:rsidRPr="004755F4" w:rsidRDefault="004E03C7"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4E03C7" w:rsidRPr="004755F4" w:rsidRDefault="004E03C7"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4755F4">
        <w:rPr>
          <w:rFonts w:ascii="Palatino Linotype" w:eastAsia="Palatino Linotype" w:hAnsi="Palatino Linotype" w:cs="Palatino Linotype"/>
          <w:i/>
          <w:color w:val="000000"/>
        </w:rPr>
        <w:t xml:space="preserve">I. </w:t>
      </w:r>
      <w:r w:rsidRPr="004755F4">
        <w:rPr>
          <w:rFonts w:ascii="Palatino Linotype" w:eastAsia="Palatino Linotype" w:hAnsi="Palatino Linotype" w:cs="Palatino Linotype"/>
          <w:b/>
          <w:i/>
          <w:color w:val="000000"/>
        </w:rPr>
        <w:t>Cumplir y hacer cumplir las normas y políticas que en materia de administración de recursos humanos, materiales y financieros emita la Secretaría de Finanzas.</w:t>
      </w:r>
    </w:p>
    <w:p w:rsidR="004E03C7" w:rsidRPr="004755F4" w:rsidRDefault="004E03C7"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4755F4">
        <w:rPr>
          <w:rFonts w:ascii="Palatino Linotype" w:eastAsia="Palatino Linotype" w:hAnsi="Palatino Linotype" w:cs="Palatino Linotype"/>
          <w:i/>
          <w:color w:val="000000"/>
        </w:rPr>
        <w:t xml:space="preserve">II. </w:t>
      </w:r>
      <w:r w:rsidRPr="004755F4">
        <w:rPr>
          <w:rFonts w:ascii="Palatino Linotype" w:eastAsia="Palatino Linotype" w:hAnsi="Palatino Linotype" w:cs="Palatino Linotype"/>
          <w:b/>
          <w:i/>
          <w:color w:val="000000"/>
          <w:u w:val="single"/>
        </w:rPr>
        <w:t>Programar, organizar y controlar el suministro, administración y aplicación de los recursos humanos, materiales y financieros, así como los servicios generales necesarios para el funcionamiento de las unidades administrativas de la Secretaría.</w:t>
      </w:r>
    </w:p>
    <w:p w:rsidR="004755F4" w:rsidRPr="004755F4" w:rsidRDefault="004755F4"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4755F4">
        <w:rPr>
          <w:rFonts w:ascii="Palatino Linotype" w:eastAsia="Palatino Linotype" w:hAnsi="Palatino Linotype" w:cs="Palatino Linotype"/>
          <w:i/>
          <w:color w:val="000000"/>
        </w:rPr>
        <w:t>(…)</w:t>
      </w:r>
    </w:p>
    <w:p w:rsidR="004E03C7" w:rsidRPr="004755F4" w:rsidRDefault="004E03C7"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color w:val="000000"/>
          <w:u w:val="single"/>
        </w:rPr>
      </w:pPr>
      <w:r w:rsidRPr="004755F4">
        <w:rPr>
          <w:rFonts w:ascii="Palatino Linotype" w:eastAsia="Palatino Linotype" w:hAnsi="Palatino Linotype" w:cs="Palatino Linotype"/>
          <w:i/>
          <w:color w:val="000000"/>
        </w:rPr>
        <w:t xml:space="preserve">VII. </w:t>
      </w:r>
      <w:r w:rsidRPr="004755F4">
        <w:rPr>
          <w:rFonts w:ascii="Palatino Linotype" w:eastAsia="Palatino Linotype" w:hAnsi="Palatino Linotype" w:cs="Palatino Linotype"/>
          <w:b/>
          <w:i/>
          <w:color w:val="000000"/>
          <w:u w:val="single"/>
        </w:rPr>
        <w:t>Coordinar el trámite de los movimientos de altas, bajas, cambios, permisos, licencias, y demás</w:t>
      </w:r>
      <w:r w:rsidR="0003016B" w:rsidRPr="004755F4">
        <w:rPr>
          <w:rFonts w:ascii="Palatino Linotype" w:eastAsia="Palatino Linotype" w:hAnsi="Palatino Linotype" w:cs="Palatino Linotype"/>
          <w:b/>
          <w:i/>
          <w:color w:val="000000"/>
          <w:u w:val="single"/>
        </w:rPr>
        <w:t xml:space="preserve"> </w:t>
      </w:r>
      <w:r w:rsidRPr="004755F4">
        <w:rPr>
          <w:rFonts w:ascii="Palatino Linotype" w:eastAsia="Palatino Linotype" w:hAnsi="Palatino Linotype" w:cs="Palatino Linotype"/>
          <w:b/>
          <w:i/>
          <w:color w:val="000000"/>
          <w:u w:val="single"/>
        </w:rPr>
        <w:t>incidencias de personal adscrito a la Secretaría.</w:t>
      </w:r>
    </w:p>
    <w:p w:rsidR="004755F4" w:rsidRPr="004755F4" w:rsidRDefault="004755F4" w:rsidP="004755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4755F4">
        <w:rPr>
          <w:rFonts w:ascii="Palatino Linotype" w:eastAsia="Palatino Linotype" w:hAnsi="Palatino Linotype" w:cs="Palatino Linotype"/>
          <w:i/>
          <w:color w:val="000000"/>
        </w:rPr>
        <w:t>(…)</w:t>
      </w:r>
    </w:p>
    <w:p w:rsidR="004755F4" w:rsidRDefault="004755F4" w:rsidP="004755F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A429B5" w:rsidRDefault="00A429B5">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en el organigrama completo del Sujeto Obligado consultado en la página </w:t>
      </w:r>
      <w:hyperlink r:id="rId9" w:history="1">
        <w:r w:rsidRPr="006205E0">
          <w:rPr>
            <w:rStyle w:val="Hipervnculo"/>
            <w:rFonts w:ascii="Palatino Linotype" w:eastAsia="Palatino Linotype" w:hAnsi="Palatino Linotype" w:cs="Palatino Linotype"/>
            <w:i/>
          </w:rPr>
          <w:t>https://dgi.edomex.gob.mx/sites/dgi.edomex.gob.mx/files/organigramas/pdf/373812791742.pdf</w:t>
        </w:r>
      </w:hyperlink>
      <w:r w:rsidRPr="006205E0">
        <w:rPr>
          <w:rFonts w:ascii="Palatino Linotype" w:eastAsia="Palatino Linotype" w:hAnsi="Palatino Linotype" w:cs="Palatino Linotype"/>
          <w:i/>
          <w:color w:val="000000"/>
        </w:rPr>
        <w:t>,</w:t>
      </w:r>
      <w:r>
        <w:rPr>
          <w:rFonts w:ascii="Palatino Linotype" w:eastAsia="Palatino Linotype" w:hAnsi="Palatino Linotype" w:cs="Palatino Linotype"/>
          <w:color w:val="000000"/>
        </w:rPr>
        <w:t xml:space="preserve"> se observa que la Coordinación Administrativa está estructurada de la siguiente forma:</w:t>
      </w:r>
    </w:p>
    <w:p w:rsidR="00A429B5" w:rsidRDefault="00A429B5" w:rsidP="004755F4">
      <w:pPr>
        <w:pBdr>
          <w:top w:val="nil"/>
          <w:left w:val="nil"/>
          <w:bottom w:val="nil"/>
          <w:right w:val="nil"/>
          <w:between w:val="nil"/>
        </w:pBdr>
        <w:spacing w:after="0" w:line="360" w:lineRule="auto"/>
        <w:jc w:val="center"/>
        <w:rPr>
          <w:rFonts w:ascii="Palatino Linotype" w:eastAsia="Palatino Linotype" w:hAnsi="Palatino Linotype" w:cs="Palatino Linotype"/>
          <w:color w:val="000000"/>
        </w:rPr>
      </w:pPr>
      <w:r>
        <w:rPr>
          <w:noProof/>
        </w:rPr>
        <w:drawing>
          <wp:inline distT="0" distB="0" distL="0" distR="0" wp14:anchorId="327475B8" wp14:editId="0118321E">
            <wp:extent cx="4429125" cy="2609327"/>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71" t="31977" r="36177" b="26808"/>
                    <a:stretch/>
                  </pic:blipFill>
                  <pic:spPr bwMode="auto">
                    <a:xfrm>
                      <a:off x="0" y="0"/>
                      <a:ext cx="4485373" cy="2642464"/>
                    </a:xfrm>
                    <a:prstGeom prst="rect">
                      <a:avLst/>
                    </a:prstGeom>
                    <a:ln>
                      <a:noFill/>
                    </a:ln>
                    <a:extLst>
                      <a:ext uri="{53640926-AAD7-44D8-BBD7-CCE9431645EC}">
                        <a14:shadowObscured xmlns:a14="http://schemas.microsoft.com/office/drawing/2010/main"/>
                      </a:ext>
                    </a:extLst>
                  </pic:spPr>
                </pic:pic>
              </a:graphicData>
            </a:graphic>
          </wp:inline>
        </w:drawing>
      </w:r>
    </w:p>
    <w:p w:rsidR="00A429B5" w:rsidRDefault="00A429B5">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BF649E" w:rsidRDefault="00BF649E">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esa tesitura, es de resaltarse que el Titular de la Unidad de Transparencia del Sujeto Obligado turnó las solicitudes a la Jefa del Departamento de Adquisiciones, Control y Suministro de Bienes, como se observa en los turnos que aparecen en el SAIMEX como consta en las siguientes imágenes:</w:t>
      </w:r>
    </w:p>
    <w:p w:rsidR="00BF649E" w:rsidRDefault="00BF649E">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BF649E" w:rsidRDefault="006C2BFE">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noProof/>
        </w:rPr>
        <w:drawing>
          <wp:inline distT="0" distB="0" distL="0" distR="0" wp14:anchorId="7C11B6AB" wp14:editId="7850B4E1">
            <wp:extent cx="5635348" cy="482803"/>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53" t="40184" r="4622" b="46043"/>
                    <a:stretch/>
                  </pic:blipFill>
                  <pic:spPr bwMode="auto">
                    <a:xfrm>
                      <a:off x="0" y="0"/>
                      <a:ext cx="5731135" cy="491009"/>
                    </a:xfrm>
                    <a:prstGeom prst="rect">
                      <a:avLst/>
                    </a:prstGeom>
                    <a:ln>
                      <a:noFill/>
                    </a:ln>
                    <a:extLst>
                      <a:ext uri="{53640926-AAD7-44D8-BBD7-CCE9431645EC}">
                        <a14:shadowObscured xmlns:a14="http://schemas.microsoft.com/office/drawing/2010/main"/>
                      </a:ext>
                    </a:extLst>
                  </pic:spPr>
                </pic:pic>
              </a:graphicData>
            </a:graphic>
          </wp:inline>
        </w:drawing>
      </w:r>
    </w:p>
    <w:p w:rsidR="00FF5783" w:rsidRDefault="00FF5783">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FF5783" w:rsidRDefault="006C2BFE">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noProof/>
        </w:rPr>
        <w:drawing>
          <wp:inline distT="0" distB="0" distL="0" distR="0" wp14:anchorId="78A4F291" wp14:editId="6B44BB0F">
            <wp:extent cx="5588812" cy="4474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98" t="40409" r="4861" b="46720"/>
                    <a:stretch/>
                  </pic:blipFill>
                  <pic:spPr bwMode="auto">
                    <a:xfrm>
                      <a:off x="0" y="0"/>
                      <a:ext cx="6112738" cy="489361"/>
                    </a:xfrm>
                    <a:prstGeom prst="rect">
                      <a:avLst/>
                    </a:prstGeom>
                    <a:ln>
                      <a:noFill/>
                    </a:ln>
                    <a:extLst>
                      <a:ext uri="{53640926-AAD7-44D8-BBD7-CCE9431645EC}">
                        <a14:shadowObscured xmlns:a14="http://schemas.microsoft.com/office/drawing/2010/main"/>
                      </a:ext>
                    </a:extLst>
                  </pic:spPr>
                </pic:pic>
              </a:graphicData>
            </a:graphic>
          </wp:inline>
        </w:drawing>
      </w:r>
    </w:p>
    <w:p w:rsidR="00FF5783" w:rsidRDefault="00FF5783">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FF5783"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noProof/>
        </w:rPr>
        <w:drawing>
          <wp:inline distT="0" distB="0" distL="0" distR="0" wp14:anchorId="0249E4C6" wp14:editId="0C6F1A0F">
            <wp:extent cx="5588635" cy="253010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32" t="33862" r="21646" b="30466"/>
                    <a:stretch/>
                  </pic:blipFill>
                  <pic:spPr bwMode="auto">
                    <a:xfrm>
                      <a:off x="0" y="0"/>
                      <a:ext cx="5617059" cy="2542969"/>
                    </a:xfrm>
                    <a:prstGeom prst="rect">
                      <a:avLst/>
                    </a:prstGeom>
                    <a:ln>
                      <a:noFill/>
                    </a:ln>
                    <a:extLst>
                      <a:ext uri="{53640926-AAD7-44D8-BBD7-CCE9431645EC}">
                        <a14:shadowObscured xmlns:a14="http://schemas.microsoft.com/office/drawing/2010/main"/>
                      </a:ext>
                    </a:extLst>
                  </pic:spPr>
                </pic:pic>
              </a:graphicData>
            </a:graphic>
          </wp:inline>
        </w:drawing>
      </w:r>
    </w:p>
    <w:p w:rsidR="00BF649E" w:rsidRDefault="00BF649E">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4C4207" w:rsidRDefault="004855F2">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w:t>
      </w:r>
      <w:r w:rsidR="00BF649E">
        <w:rPr>
          <w:rFonts w:ascii="Palatino Linotype" w:eastAsia="Palatino Linotype" w:hAnsi="Palatino Linotype" w:cs="Palatino Linotype"/>
          <w:color w:val="000000"/>
        </w:rPr>
        <w:t>n ese sentido, se observa</w:t>
      </w:r>
      <w:r>
        <w:rPr>
          <w:rFonts w:ascii="Palatino Linotype" w:eastAsia="Palatino Linotype" w:hAnsi="Palatino Linotype" w:cs="Palatino Linotype"/>
          <w:color w:val="000000"/>
        </w:rPr>
        <w:t xml:space="preserve"> que la servidora pública hab</w:t>
      </w:r>
      <w:r w:rsidR="004F3739">
        <w:rPr>
          <w:rFonts w:ascii="Palatino Linotype" w:eastAsia="Palatino Linotype" w:hAnsi="Palatino Linotype" w:cs="Palatino Linotype"/>
          <w:color w:val="000000"/>
        </w:rPr>
        <w:t xml:space="preserve">ilitada se ostenta como Jefa del Departamento de Adquisiciones, Control y Suministro de Bienes adscrita a la Subdirección de Recursos Materiales de la Coordinación Administrativa. </w:t>
      </w:r>
    </w:p>
    <w:p w:rsidR="004C4207"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610F84" w:rsidRDefault="004F3739">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tal </w:t>
      </w:r>
      <w:r w:rsidR="00610F84">
        <w:rPr>
          <w:rFonts w:ascii="Palatino Linotype" w:eastAsia="Palatino Linotype" w:hAnsi="Palatino Linotype" w:cs="Palatino Linotype"/>
          <w:color w:val="000000"/>
        </w:rPr>
        <w:t>forma que</w:t>
      </w:r>
      <w:r>
        <w:rPr>
          <w:rFonts w:ascii="Palatino Linotype" w:eastAsia="Palatino Linotype" w:hAnsi="Palatino Linotype" w:cs="Palatino Linotype"/>
          <w:color w:val="000000"/>
        </w:rPr>
        <w:t xml:space="preserve"> la Coordinación Administrativa del Sujeto Obligado es la encargada de p</w:t>
      </w:r>
      <w:r w:rsidRPr="004F3739">
        <w:rPr>
          <w:rFonts w:ascii="Palatino Linotype" w:eastAsia="Palatino Linotype" w:hAnsi="Palatino Linotype" w:cs="Palatino Linotype"/>
          <w:color w:val="000000"/>
        </w:rPr>
        <w:t>rogramar, organizar y controlar el suministro, administración y aplicación de los recursos humanos, materiales y financieros, así como los servicios generales necesarios para el funcionamiento de las unidades a</w:t>
      </w:r>
      <w:r>
        <w:rPr>
          <w:rFonts w:ascii="Palatino Linotype" w:eastAsia="Palatino Linotype" w:hAnsi="Palatino Linotype" w:cs="Palatino Linotype"/>
          <w:color w:val="000000"/>
        </w:rPr>
        <w:t xml:space="preserve">dministrativas de la Secretaría y de </w:t>
      </w:r>
      <w:r w:rsidR="00BF649E">
        <w:rPr>
          <w:rFonts w:ascii="Palatino Linotype" w:eastAsia="Palatino Linotype" w:hAnsi="Palatino Linotype" w:cs="Palatino Linotype"/>
          <w:color w:val="000000"/>
        </w:rPr>
        <w:t>c</w:t>
      </w:r>
      <w:r w:rsidR="00BF649E" w:rsidRPr="00BF649E">
        <w:rPr>
          <w:rFonts w:ascii="Palatino Linotype" w:eastAsia="Palatino Linotype" w:hAnsi="Palatino Linotype" w:cs="Palatino Linotype"/>
          <w:color w:val="000000"/>
        </w:rPr>
        <w:t>oordinar el trámite de los movimientos de altas, bajas, cambios, permisos, licencias, y demás incidencias de pe</w:t>
      </w:r>
      <w:r w:rsidR="004C4207">
        <w:rPr>
          <w:rFonts w:ascii="Palatino Linotype" w:eastAsia="Palatino Linotype" w:hAnsi="Palatino Linotype" w:cs="Palatino Linotype"/>
          <w:color w:val="000000"/>
        </w:rPr>
        <w:t xml:space="preserve">rsonal adscrito a la Secretaría; </w:t>
      </w:r>
      <w:r w:rsidR="00610F84">
        <w:rPr>
          <w:rFonts w:ascii="Palatino Linotype" w:eastAsia="Palatino Linotype" w:hAnsi="Palatino Linotype" w:cs="Palatino Linotype"/>
          <w:color w:val="000000"/>
        </w:rPr>
        <w:t>sin embargo, la solicitud se turnó a la servidora pública habilitada de la Subdirección de Recursos Materiales, sin que haya constancia que también se haya remitidos a la Subdirección de Administración del Capital Humano.</w:t>
      </w:r>
    </w:p>
    <w:p w:rsidR="00610F84" w:rsidRDefault="00610F8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610F84" w:rsidRDefault="00610F8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el Manual </w:t>
      </w:r>
      <w:r w:rsidR="00546E82">
        <w:rPr>
          <w:rFonts w:ascii="Palatino Linotype" w:eastAsia="Palatino Linotype" w:hAnsi="Palatino Linotype" w:cs="Palatino Linotype"/>
          <w:color w:val="000000"/>
        </w:rPr>
        <w:t>General de Organización de la Secretaría de Movilidad</w:t>
      </w:r>
      <w:r w:rsidR="00546E82">
        <w:rPr>
          <w:rStyle w:val="Refdenotaalpie"/>
          <w:rFonts w:ascii="Palatino Linotype" w:eastAsia="Palatino Linotype" w:hAnsi="Palatino Linotype" w:cs="Palatino Linotype"/>
          <w:color w:val="000000"/>
        </w:rPr>
        <w:footnoteReference w:id="3"/>
      </w:r>
      <w:r w:rsidR="00546E82">
        <w:rPr>
          <w:rFonts w:ascii="Palatino Linotype" w:eastAsia="Palatino Linotype" w:hAnsi="Palatino Linotype" w:cs="Palatino Linotype"/>
          <w:color w:val="000000"/>
        </w:rPr>
        <w:t xml:space="preserve"> establece la Coordinación Administrativa tienen entre sus unidades al Departamento de Recursos Materiales y al Departamento de Recursos Humanos. El p</w:t>
      </w:r>
      <w:r w:rsidR="00F73871">
        <w:rPr>
          <w:rFonts w:ascii="Palatino Linotype" w:eastAsia="Palatino Linotype" w:hAnsi="Palatino Linotype" w:cs="Palatino Linotype"/>
          <w:color w:val="000000"/>
        </w:rPr>
        <w:t xml:space="preserve">rimero de ellos tiene como objetivo gestionar, adquirir, almacenar, suministrar y controlar los enseres, bienes, artículos y servicios requeridos por las unidades administrativas adscritas a la Secretaría, así como supervisar la aplicación del sistema de control de inventario de bienes muebles para el funcionamiento y logro de los objetivos de la dependencia; mientras que el objetivo del segundo es </w:t>
      </w:r>
      <w:r w:rsidR="00F73871" w:rsidRPr="00F73871">
        <w:rPr>
          <w:rFonts w:ascii="Palatino Linotype" w:eastAsia="Palatino Linotype" w:hAnsi="Palatino Linotype" w:cs="Palatino Linotype"/>
          <w:b/>
          <w:color w:val="000000"/>
        </w:rPr>
        <w:t>administrar los recursos humanos adscritos a la Secretaría de Movilidad</w:t>
      </w:r>
      <w:r w:rsidR="00F73871">
        <w:rPr>
          <w:rFonts w:ascii="Palatino Linotype" w:eastAsia="Palatino Linotype" w:hAnsi="Palatino Linotype" w:cs="Palatino Linotype"/>
          <w:color w:val="000000"/>
        </w:rPr>
        <w:t>, con base en las disposiciones establecidas en materia de personal.</w:t>
      </w:r>
    </w:p>
    <w:p w:rsidR="00F73871" w:rsidRDefault="00F73871">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F73871" w:rsidRDefault="00F73871" w:rsidP="00F73871">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igual manera, de acuerdo a Manual en cita, el Departamento de Recursos Humanos tiene entre sus funciones actualizar permanentemente la plantilla de personal, registrando los movimientos de alta, baja y/o cambios que se generen en la Secretaría; t</w:t>
      </w:r>
      <w:r w:rsidRPr="00F73871">
        <w:rPr>
          <w:rFonts w:ascii="Palatino Linotype" w:eastAsia="Palatino Linotype" w:hAnsi="Palatino Linotype" w:cs="Palatino Linotype"/>
          <w:color w:val="000000"/>
        </w:rPr>
        <w:t>ramitar ante la Secretaría de Finanzas, lo relativo a los nombramientos, cambios de adscripción, compactaciones y/o</w:t>
      </w:r>
      <w:r>
        <w:rPr>
          <w:rFonts w:ascii="Palatino Linotype" w:eastAsia="Palatino Linotype" w:hAnsi="Palatino Linotype" w:cs="Palatino Linotype"/>
          <w:color w:val="000000"/>
        </w:rPr>
        <w:t xml:space="preserve"> </w:t>
      </w:r>
      <w:r w:rsidRPr="00F73871">
        <w:rPr>
          <w:rFonts w:ascii="Palatino Linotype" w:eastAsia="Palatino Linotype" w:hAnsi="Palatino Linotype" w:cs="Palatino Linotype"/>
          <w:color w:val="000000"/>
        </w:rPr>
        <w:t xml:space="preserve">conversiones de puestos, cambio de datos, licencias, vacaciones, pago de </w:t>
      </w:r>
      <w:r w:rsidRPr="00F73871">
        <w:rPr>
          <w:rFonts w:ascii="Palatino Linotype" w:eastAsia="Palatino Linotype" w:hAnsi="Palatino Linotype" w:cs="Palatino Linotype"/>
          <w:color w:val="000000"/>
        </w:rPr>
        <w:lastRenderedPageBreak/>
        <w:t>prestaciones, entre otros, a que tienen</w:t>
      </w:r>
      <w:r>
        <w:rPr>
          <w:rFonts w:ascii="Palatino Linotype" w:eastAsia="Palatino Linotype" w:hAnsi="Palatino Linotype" w:cs="Palatino Linotype"/>
          <w:color w:val="000000"/>
        </w:rPr>
        <w:t xml:space="preserve"> derecho los servidores públicos</w:t>
      </w:r>
      <w:r w:rsidR="00220007">
        <w:rPr>
          <w:rFonts w:ascii="Palatino Linotype" w:eastAsia="Palatino Linotype" w:hAnsi="Palatino Linotype" w:cs="Palatino Linotype"/>
          <w:color w:val="000000"/>
        </w:rPr>
        <w:t xml:space="preserve"> e </w:t>
      </w:r>
      <w:r>
        <w:rPr>
          <w:rFonts w:ascii="Palatino Linotype" w:eastAsia="Palatino Linotype" w:hAnsi="Palatino Linotype" w:cs="Palatino Linotype"/>
          <w:color w:val="000000"/>
        </w:rPr>
        <w:t>i</w:t>
      </w:r>
      <w:r w:rsidRPr="00F73871">
        <w:rPr>
          <w:rFonts w:ascii="Palatino Linotype" w:eastAsia="Palatino Linotype" w:hAnsi="Palatino Linotype" w:cs="Palatino Linotype"/>
          <w:color w:val="000000"/>
        </w:rPr>
        <w:t>ntegrar los expedientes de personal de los candidatos a ingresar a la Secretaría, manteniéndolos actualizados, de</w:t>
      </w:r>
      <w:r>
        <w:rPr>
          <w:rFonts w:ascii="Palatino Linotype" w:eastAsia="Palatino Linotype" w:hAnsi="Palatino Linotype" w:cs="Palatino Linotype"/>
          <w:color w:val="000000"/>
        </w:rPr>
        <w:t xml:space="preserve"> </w:t>
      </w:r>
      <w:r w:rsidRPr="00F73871">
        <w:rPr>
          <w:rFonts w:ascii="Palatino Linotype" w:eastAsia="Palatino Linotype" w:hAnsi="Palatino Linotype" w:cs="Palatino Linotype"/>
          <w:color w:val="000000"/>
        </w:rPr>
        <w:t>conformidad con las disposiciones establecidas al respecto</w:t>
      </w:r>
    </w:p>
    <w:p w:rsidR="00610F84" w:rsidRDefault="00610F8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610F84" w:rsidRDefault="002200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es evidente que la Coordinación Administrativa tiene asignadas distintas funciones a los Departamentos que gestionan tanto los recursos materiales como a los recursos humanos; por lo que este Órgano Garante considera </w:t>
      </w:r>
      <w:r w:rsidR="005D55A6">
        <w:rPr>
          <w:rFonts w:ascii="Palatino Linotype" w:eastAsia="Palatino Linotype" w:hAnsi="Palatino Linotype" w:cs="Palatino Linotype"/>
          <w:color w:val="000000"/>
        </w:rPr>
        <w:t>que la Unidad de Transparencia no turnó la solicitud a todas las áreas que pudieran conocer de la información solicitada.</w:t>
      </w:r>
    </w:p>
    <w:p w:rsidR="005D55A6" w:rsidRDefault="005D55A6">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964C97" w:rsidRPr="00964C97" w:rsidRDefault="005D55A6" w:rsidP="00964C9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se</w:t>
      </w:r>
      <w:r w:rsidR="00964C97">
        <w:rPr>
          <w:rFonts w:ascii="Palatino Linotype" w:eastAsia="Palatino Linotype" w:hAnsi="Palatino Linotype" w:cs="Palatino Linotype"/>
          <w:color w:val="000000"/>
        </w:rPr>
        <w:t xml:space="preserve"> debe recordar</w:t>
      </w:r>
      <w:r>
        <w:rPr>
          <w:rFonts w:ascii="Palatino Linotype" w:eastAsia="Palatino Linotype" w:hAnsi="Palatino Linotype" w:cs="Palatino Linotype"/>
          <w:color w:val="000000"/>
        </w:rPr>
        <w:t xml:space="preserve"> que </w:t>
      </w:r>
      <w:r w:rsidR="00964C97">
        <w:rPr>
          <w:rFonts w:ascii="Palatino Linotype" w:eastAsia="Palatino Linotype" w:hAnsi="Palatino Linotype" w:cs="Palatino Linotype"/>
          <w:color w:val="000000"/>
        </w:rPr>
        <w:t xml:space="preserve">la </w:t>
      </w:r>
      <w:r w:rsidR="00964C97" w:rsidRPr="00964C97">
        <w:rPr>
          <w:rFonts w:ascii="Palatino Linotype" w:eastAsia="Palatino Linotype" w:hAnsi="Palatino Linotype" w:cs="Palatino Linotype"/>
          <w:color w:val="000000"/>
        </w:rPr>
        <w:t>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964C97" w:rsidRPr="00964C97" w:rsidRDefault="00964C97" w:rsidP="00964C9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964C97" w:rsidRPr="00964C97" w:rsidRDefault="00964C97" w:rsidP="00964C9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964C97">
        <w:rPr>
          <w:rFonts w:ascii="Palatino Linotype" w:eastAsia="Palatino Linotype" w:hAnsi="Palatino Linotype" w:cs="Palatino Linotype"/>
          <w:color w:val="000000"/>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D55A6" w:rsidRDefault="005D55A6">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610F84" w:rsidRDefault="00964C9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no pasa desapercibido a este Instituto que el Recurrente </w:t>
      </w:r>
      <w:r w:rsidR="006210E8">
        <w:rPr>
          <w:rFonts w:ascii="Palatino Linotype" w:eastAsia="Palatino Linotype" w:hAnsi="Palatino Linotype" w:cs="Palatino Linotype"/>
          <w:color w:val="000000"/>
        </w:rPr>
        <w:t>requirió</w:t>
      </w:r>
      <w:r>
        <w:rPr>
          <w:rFonts w:ascii="Palatino Linotype" w:eastAsia="Palatino Linotype" w:hAnsi="Palatino Linotype" w:cs="Palatino Linotype"/>
          <w:color w:val="000000"/>
        </w:rPr>
        <w:t xml:space="preserve"> la información del personal perteneciente al </w:t>
      </w:r>
      <w:r w:rsidRPr="00964C97">
        <w:rPr>
          <w:rFonts w:ascii="Palatino Linotype" w:eastAsia="Palatino Linotype" w:hAnsi="Palatino Linotype" w:cs="Palatino Linotype"/>
          <w:color w:val="000000"/>
        </w:rPr>
        <w:t>Departamento de Coordinación de Estudios y Proyectos Especiales</w:t>
      </w:r>
      <w:r>
        <w:rPr>
          <w:rFonts w:ascii="Palatino Linotype" w:eastAsia="Palatino Linotype" w:hAnsi="Palatino Linotype" w:cs="Palatino Linotype"/>
          <w:color w:val="000000"/>
        </w:rPr>
        <w:t xml:space="preserve"> (sic), a lo que el Sujeto Obligado, al momento de emitir sus respuestas, manifestó que se realizó la búsqueda en relación a la Coordinación de Estudios y Proyectos Estratégicos; y que, al momento de rendir sus Informes Justificados, manifestó que en la estructura orgánica </w:t>
      </w:r>
      <w:r>
        <w:rPr>
          <w:rFonts w:ascii="Palatino Linotype" w:eastAsia="Palatino Linotype" w:hAnsi="Palatino Linotype" w:cs="Palatino Linotype"/>
          <w:color w:val="000000"/>
        </w:rPr>
        <w:lastRenderedPageBreak/>
        <w:t xml:space="preserve">de la Secretaría de Movilidad no existe registro del área señalada por el particular </w:t>
      </w:r>
      <w:r w:rsidR="006210E8">
        <w:rPr>
          <w:rFonts w:ascii="Palatino Linotype" w:eastAsia="Palatino Linotype" w:hAnsi="Palatino Linotype" w:cs="Palatino Linotype"/>
          <w:color w:val="000000"/>
        </w:rPr>
        <w:t>en sus solicitudes de información.</w:t>
      </w:r>
    </w:p>
    <w:p w:rsidR="006210E8" w:rsidRDefault="006210E8">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6210E8" w:rsidRDefault="006210E8">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al verificar el organigrama completo referido en páginas anteriores, es cierto que el Sujeto Obligado no cuenta entre sus unidades administrativas con la referida por el particular; pero también es cierto que, en un primer momento, el mismo Sujeto Obligado suplió la deficiencia en la solicitud e interpretó que el </w:t>
      </w:r>
      <w:r w:rsidR="00B0179E">
        <w:rPr>
          <w:rFonts w:ascii="Palatino Linotype" w:eastAsia="Palatino Linotype" w:hAnsi="Palatino Linotype" w:cs="Palatino Linotype"/>
          <w:color w:val="000000"/>
        </w:rPr>
        <w:t>peticionario solicitó la información de la Coordinación de Estudios y Proyectos Estratégicos, la cual sí forma parte de su estructura como una unidad staff, como se observa a continuación:</w:t>
      </w:r>
    </w:p>
    <w:p w:rsidR="00610F84" w:rsidRDefault="00610F8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B0179E" w:rsidRDefault="00B0179E" w:rsidP="00B0179E">
      <w:pPr>
        <w:pBdr>
          <w:top w:val="nil"/>
          <w:left w:val="nil"/>
          <w:bottom w:val="nil"/>
          <w:right w:val="nil"/>
          <w:between w:val="nil"/>
        </w:pBdr>
        <w:spacing w:after="0" w:line="360" w:lineRule="auto"/>
        <w:jc w:val="center"/>
        <w:rPr>
          <w:rFonts w:ascii="Palatino Linotype" w:eastAsia="Palatino Linotype" w:hAnsi="Palatino Linotype" w:cs="Palatino Linotype"/>
          <w:color w:val="000000"/>
        </w:rPr>
      </w:pPr>
      <w:r>
        <w:rPr>
          <w:noProof/>
        </w:rPr>
        <mc:AlternateContent>
          <mc:Choice Requires="wps">
            <w:drawing>
              <wp:anchor distT="0" distB="0" distL="114300" distR="114300" simplePos="0" relativeHeight="251659264" behindDoc="0" locked="0" layoutInCell="1" allowOverlap="1">
                <wp:simplePos x="0" y="0"/>
                <wp:positionH relativeFrom="column">
                  <wp:posOffset>4377690</wp:posOffset>
                </wp:positionH>
                <wp:positionV relativeFrom="paragraph">
                  <wp:posOffset>360046</wp:posOffset>
                </wp:positionV>
                <wp:extent cx="1304925" cy="207645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1304925" cy="2076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5B7A9512" id="Rectángulo 9" o:spid="_x0000_s1026" style="position:absolute;margin-left:344.7pt;margin-top:28.35pt;width:102.7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" filled="f" strokecolor="red" strokeweight="2.25pt"/>
            </w:pict>
          </mc:Fallback>
        </mc:AlternateContent>
      </w:r>
      <w:r>
        <w:rPr>
          <w:noProof/>
        </w:rPr>
        <w:drawing>
          <wp:inline distT="0" distB="0" distL="0" distR="0" wp14:anchorId="0BDE5491" wp14:editId="066FF509">
            <wp:extent cx="5505450" cy="3117782"/>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69" t="19988" r="37500" b="33568"/>
                    <a:stretch/>
                  </pic:blipFill>
                  <pic:spPr bwMode="auto">
                    <a:xfrm>
                      <a:off x="0" y="0"/>
                      <a:ext cx="5540185" cy="3137453"/>
                    </a:xfrm>
                    <a:prstGeom prst="rect">
                      <a:avLst/>
                    </a:prstGeom>
                    <a:ln>
                      <a:noFill/>
                    </a:ln>
                    <a:extLst>
                      <a:ext uri="{53640926-AAD7-44D8-BBD7-CCE9431645EC}">
                        <a14:shadowObscured xmlns:a14="http://schemas.microsoft.com/office/drawing/2010/main"/>
                      </a:ext>
                    </a:extLst>
                  </pic:spPr>
                </pic:pic>
              </a:graphicData>
            </a:graphic>
          </wp:inline>
        </w:drawing>
      </w:r>
    </w:p>
    <w:p w:rsidR="00610F84" w:rsidRDefault="00610F8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8F2098" w:rsidRDefault="008F2098">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tal motivo, d</w:t>
      </w:r>
      <w:r w:rsidRPr="008F2098">
        <w:rPr>
          <w:rFonts w:ascii="Palatino Linotype" w:eastAsia="Palatino Linotype" w:hAnsi="Palatino Linotype" w:cs="Palatino Linotype"/>
          <w:color w:val="000000"/>
        </w:rPr>
        <w:t xml:space="preserve">ado que el solicitante no es experto en la materia, existe la posibilidad de que no conozca el nombre del área competente, por tanto este Instituto en uso de la facultad otorgada en los artículos 13 y 18 en su cuarto párrafo de la Ley de Transparencia estatal, suple </w:t>
      </w:r>
      <w:r w:rsidRPr="008F2098">
        <w:rPr>
          <w:rFonts w:ascii="Palatino Linotype" w:eastAsia="Palatino Linotype" w:hAnsi="Palatino Linotype" w:cs="Palatino Linotype"/>
          <w:color w:val="000000"/>
        </w:rPr>
        <w:lastRenderedPageBreak/>
        <w:t>la deficiencia de la queja del particular y establece que se requirió la información del</w:t>
      </w:r>
      <w:r>
        <w:rPr>
          <w:rFonts w:ascii="Palatino Linotype" w:eastAsia="Palatino Linotype" w:hAnsi="Palatino Linotype" w:cs="Palatino Linotype"/>
          <w:color w:val="000000"/>
        </w:rPr>
        <w:t xml:space="preserve"> personal eventual que haya ocupado el puesto de “jefe de proyectos” </w:t>
      </w:r>
      <w:r w:rsidR="00470CBE">
        <w:rPr>
          <w:rFonts w:ascii="Palatino Linotype" w:eastAsia="Palatino Linotype" w:hAnsi="Palatino Linotype" w:cs="Palatino Linotype"/>
          <w:color w:val="000000"/>
        </w:rPr>
        <w:t xml:space="preserve">en el programa de reducción física de vehículos </w:t>
      </w:r>
      <w:r>
        <w:rPr>
          <w:rFonts w:ascii="Palatino Linotype" w:eastAsia="Palatino Linotype" w:hAnsi="Palatino Linotype" w:cs="Palatino Linotype"/>
          <w:color w:val="000000"/>
        </w:rPr>
        <w:t xml:space="preserve">y de </w:t>
      </w:r>
      <w:r w:rsidR="00470CBE">
        <w:rPr>
          <w:rFonts w:ascii="Palatino Linotype" w:eastAsia="Palatino Linotype" w:hAnsi="Palatino Linotype" w:cs="Palatino Linotype"/>
          <w:color w:val="000000"/>
        </w:rPr>
        <w:t xml:space="preserve">trabajadores de </w:t>
      </w:r>
      <w:r>
        <w:rPr>
          <w:rFonts w:ascii="Palatino Linotype" w:eastAsia="Palatino Linotype" w:hAnsi="Palatino Linotype" w:cs="Palatino Linotype"/>
          <w:color w:val="000000"/>
        </w:rPr>
        <w:t xml:space="preserve">base que haya ocupado el puesto de “supervisor” </w:t>
      </w:r>
      <w:r w:rsidR="009B4BC0">
        <w:rPr>
          <w:rFonts w:ascii="Palatino Linotype" w:eastAsia="Palatino Linotype" w:hAnsi="Palatino Linotype" w:cs="Palatino Linotype"/>
          <w:color w:val="000000"/>
        </w:rPr>
        <w:t xml:space="preserve">adscritos a la </w:t>
      </w:r>
      <w:r w:rsidR="009B4BC0" w:rsidRPr="008F2098">
        <w:rPr>
          <w:rFonts w:ascii="Palatino Linotype" w:eastAsia="Palatino Linotype" w:hAnsi="Palatino Linotype" w:cs="Palatino Linotype"/>
          <w:color w:val="000000"/>
        </w:rPr>
        <w:t>Coordinación de Estudios y Proyectos Estratégicos</w:t>
      </w:r>
      <w:r w:rsidR="009B4BC0">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durante el periodo comprendido del primero de enero </w:t>
      </w:r>
      <w:r w:rsidR="009B4BC0">
        <w:rPr>
          <w:rFonts w:ascii="Palatino Linotype" w:eastAsia="Palatino Linotype" w:hAnsi="Palatino Linotype" w:cs="Palatino Linotype"/>
          <w:color w:val="000000"/>
        </w:rPr>
        <w:t>de dos mil quince al once de julio de dos mil veintiuno.</w:t>
      </w:r>
    </w:p>
    <w:p w:rsidR="008F2098" w:rsidRDefault="008F2098">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D43D44" w:rsidRDefault="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contexto, también es necesario señalar que la Ley del Trabajo de los Servidores Públicos del Estado y Municipios no contempla las modalidades que refiere el Recurrente; sin embargo, sí establece una distinción de los trabajadores de acuerdo a la duración de sus relaciones de trabajo. Así, los artículo</w:t>
      </w:r>
      <w:r w:rsidR="00DC1C7A">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6, 12, 13, 14 y 15 de la Ley citada establecen lo siguiente:</w:t>
      </w:r>
    </w:p>
    <w:p w:rsidR="00D43D44" w:rsidRDefault="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D43D44">
        <w:rPr>
          <w:rFonts w:ascii="Palatino Linotype" w:eastAsia="Palatino Linotype" w:hAnsi="Palatino Linotype" w:cs="Palatino Linotype"/>
          <w:b/>
          <w:bCs/>
          <w:i/>
          <w:color w:val="000000"/>
        </w:rPr>
        <w:t xml:space="preserve">ARTÍCULO 6. </w:t>
      </w:r>
      <w:r w:rsidRPr="00D43D44">
        <w:rPr>
          <w:rFonts w:ascii="Palatino Linotype" w:eastAsia="Palatino Linotype" w:hAnsi="Palatino Linotype" w:cs="Palatino Linotype"/>
          <w:i/>
          <w:color w:val="000000"/>
        </w:rPr>
        <w:t>Los servidores públicos se clasifican en generales y de confianza, los cuales, de acuerdo con la duración de sus relaciones de trabajo pueden ser: por tiempo u obra determinados o por tiempo indeterminado.</w:t>
      </w: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D43D44">
        <w:rPr>
          <w:rFonts w:ascii="Palatino Linotype" w:eastAsia="Palatino Linotype" w:hAnsi="Palatino Linotype" w:cs="Palatino Linotype"/>
          <w:b/>
          <w:bCs/>
          <w:i/>
          <w:color w:val="000000"/>
        </w:rPr>
        <w:t xml:space="preserve">ARTÍCULO 12. </w:t>
      </w:r>
      <w:r w:rsidRPr="00D43D44">
        <w:rPr>
          <w:rFonts w:ascii="Palatino Linotype" w:eastAsia="Palatino Linotype" w:hAnsi="Palatino Linotype" w:cs="Palatino Linotype"/>
          <w:i/>
          <w:color w:val="000000"/>
        </w:rPr>
        <w:t>Son servidores públicos por tiempo indeterminado quienes sean nombrados con tal carácter en plazas presupuestales.</w:t>
      </w: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D43D44">
        <w:rPr>
          <w:rFonts w:ascii="Palatino Linotype" w:eastAsia="Palatino Linotype" w:hAnsi="Palatino Linotype" w:cs="Palatino Linotype"/>
          <w:b/>
          <w:bCs/>
          <w:i/>
          <w:color w:val="000000"/>
        </w:rPr>
        <w:t xml:space="preserve">ARTÍCULO 13. </w:t>
      </w:r>
      <w:r w:rsidRPr="00D43D44">
        <w:rPr>
          <w:rFonts w:ascii="Palatino Linotype" w:eastAsia="Palatino Linotype" w:hAnsi="Palatino Linotype" w:cs="Palatino Linotype"/>
          <w:i/>
          <w:color w:val="000000"/>
        </w:rPr>
        <w:t>Son servidores públicos sujetos a una relación laboral por tiempo u obra determinados, aquéllos que presten sus servicios bajo esas condiciones, en razón de que la naturaleza del servicio así lo exija.</w:t>
      </w: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D43D44">
        <w:rPr>
          <w:rFonts w:ascii="Palatino Linotype" w:eastAsia="Palatino Linotype" w:hAnsi="Palatino Linotype" w:cs="Palatino Linotype"/>
          <w:b/>
          <w:bCs/>
          <w:i/>
          <w:color w:val="000000"/>
        </w:rPr>
        <w:t xml:space="preserve">ARTÍCULO 14. </w:t>
      </w:r>
      <w:r w:rsidRPr="00D43D44">
        <w:rPr>
          <w:rFonts w:ascii="Palatino Linotype" w:eastAsia="Palatino Linotype" w:hAnsi="Palatino Linotype" w:cs="Palatino Linotype"/>
          <w:i/>
          <w:color w:val="000000"/>
        </w:rPr>
        <w:t>Sólo se podrá contratar la prestación de servicios por tiempo determinado en los siguientes casos:</w:t>
      </w: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D43D44">
        <w:rPr>
          <w:rFonts w:ascii="Palatino Linotype" w:eastAsia="Palatino Linotype" w:hAnsi="Palatino Linotype" w:cs="Palatino Linotype"/>
          <w:i/>
          <w:color w:val="000000"/>
        </w:rPr>
        <w:t>I. Cuando tenga por objeto sustituir interinamente a un servidor público;</w:t>
      </w: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D43D44">
        <w:rPr>
          <w:rFonts w:ascii="Palatino Linotype" w:eastAsia="Palatino Linotype" w:hAnsi="Palatino Linotype" w:cs="Palatino Linotype"/>
          <w:i/>
          <w:color w:val="000000"/>
        </w:rPr>
        <w:t>II. Cuando sea necesario realizar labores que se presentan en forma esporádica;</w:t>
      </w: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D43D44">
        <w:rPr>
          <w:rFonts w:ascii="Palatino Linotype" w:eastAsia="Palatino Linotype" w:hAnsi="Palatino Linotype" w:cs="Palatino Linotype"/>
          <w:i/>
          <w:color w:val="000000"/>
        </w:rPr>
        <w:t>III. Cuando aumenten las cargas de trabajo o haya rezago y se establezca un programa especial para desahogarlo, o para apoyar programas de inversión.</w:t>
      </w: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D43D44">
        <w:rPr>
          <w:rFonts w:ascii="Palatino Linotype" w:eastAsia="Palatino Linotype" w:hAnsi="Palatino Linotype" w:cs="Palatino Linotype"/>
          <w:i/>
          <w:color w:val="000000"/>
        </w:rPr>
        <w:t xml:space="preserve">El término máximo para el cual se podrá establecer una relación laboral por tiempo determinado será de un año ininterrumpidamente, excepto cuando se trate de sustituir interinamente a otro servidor público o tratándose de programas con cargo a recursos de </w:t>
      </w:r>
      <w:r w:rsidRPr="00D43D44">
        <w:rPr>
          <w:rFonts w:ascii="Palatino Linotype" w:eastAsia="Palatino Linotype" w:hAnsi="Palatino Linotype" w:cs="Palatino Linotype"/>
          <w:i/>
          <w:color w:val="000000"/>
        </w:rPr>
        <w:lastRenderedPageBreak/>
        <w:t>inversión y en los casos de terminación o conclusión de la administración en la que fue contratado el servidor público a que se refiere el artículo 8 de esta ley.</w:t>
      </w: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D43D44" w:rsidRPr="00D43D44" w:rsidRDefault="00D43D44" w:rsidP="00D43D4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D43D44">
        <w:rPr>
          <w:rFonts w:ascii="Palatino Linotype" w:eastAsia="Palatino Linotype" w:hAnsi="Palatino Linotype" w:cs="Palatino Linotype"/>
          <w:b/>
          <w:bCs/>
          <w:i/>
          <w:color w:val="000000"/>
        </w:rPr>
        <w:t xml:space="preserve">ARTÍCULO 15. </w:t>
      </w:r>
      <w:r w:rsidRPr="00D43D44">
        <w:rPr>
          <w:rFonts w:ascii="Palatino Linotype" w:eastAsia="Palatino Linotype" w:hAnsi="Palatino Linotype" w:cs="Palatino Linotype"/>
          <w:i/>
          <w:color w:val="000000"/>
        </w:rPr>
        <w:t>Cuando se trate de una relación de trabajo por obra determinada, ésta durará hasta en tanto subsista la obra motivo del contrato.</w:t>
      </w:r>
    </w:p>
    <w:p w:rsidR="00D43D44" w:rsidRDefault="00D43D44"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D43D44" w:rsidRDefault="00D43D44"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articulado anterior se desprende que los trabajadores, de acuerdo a la duración de su relación laboral, se clasifican en trabajadores por tiempo indeterminado y trabajadores por tiempo u obra determinada. De tal forma que, coloquialmente, se suele identificar a los primeros como trabajadores de base y a los segundos como eventuales. Por lo que el Sujeto Obligado deberá realizar la búsqueda en sus archivos tomando en consideración la clasificación que establece la Ley citada anterio</w:t>
      </w:r>
      <w:r w:rsidR="00A16E0A">
        <w:rPr>
          <w:rFonts w:ascii="Palatino Linotype" w:eastAsia="Palatino Linotype" w:hAnsi="Palatino Linotype" w:cs="Palatino Linotype"/>
          <w:color w:val="000000"/>
        </w:rPr>
        <w:t>r</w:t>
      </w:r>
      <w:r>
        <w:rPr>
          <w:rFonts w:ascii="Palatino Linotype" w:eastAsia="Palatino Linotype" w:hAnsi="Palatino Linotype" w:cs="Palatino Linotype"/>
          <w:color w:val="000000"/>
        </w:rPr>
        <w:t>mente.</w:t>
      </w:r>
    </w:p>
    <w:p w:rsidR="00611E4E" w:rsidRDefault="00611E4E"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611E4E" w:rsidRDefault="00611E4E"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A05D11">
        <w:rPr>
          <w:rFonts w:ascii="Palatino Linotype" w:eastAsia="Palatino Linotype" w:hAnsi="Palatino Linotype" w:cs="Palatino Linotype"/>
          <w:color w:val="000000"/>
        </w:rPr>
        <w:t xml:space="preserve">En este punto, no se omite señalar que </w:t>
      </w:r>
      <w:r w:rsidR="00936BAE" w:rsidRPr="00A05D11">
        <w:rPr>
          <w:rFonts w:ascii="Palatino Linotype" w:eastAsia="Palatino Linotype" w:hAnsi="Palatino Linotype" w:cs="Palatino Linotype"/>
          <w:color w:val="000000"/>
        </w:rPr>
        <w:t>el Sujeto Obligado</w:t>
      </w:r>
      <w:r w:rsidR="00936BAE">
        <w:rPr>
          <w:rFonts w:ascii="Palatino Linotype" w:eastAsia="Palatino Linotype" w:hAnsi="Palatino Linotype" w:cs="Palatino Linotype"/>
          <w:color w:val="000000"/>
        </w:rPr>
        <w:t>, al momento de responder al primer requerimiento del particular, manifestó que la contratación de trabaja</w:t>
      </w:r>
      <w:r w:rsidR="008B5D69">
        <w:rPr>
          <w:rFonts w:ascii="Palatino Linotype" w:eastAsia="Palatino Linotype" w:hAnsi="Palatino Linotype" w:cs="Palatino Linotype"/>
          <w:color w:val="000000"/>
        </w:rPr>
        <w:t>dores operativos</w:t>
      </w:r>
      <w:r w:rsidR="00936BAE">
        <w:rPr>
          <w:rFonts w:ascii="Palatino Linotype" w:eastAsia="Palatino Linotype" w:hAnsi="Palatino Linotype" w:cs="Palatino Linotype"/>
          <w:color w:val="000000"/>
        </w:rPr>
        <w:t xml:space="preserve"> </w:t>
      </w:r>
      <w:r w:rsidR="008B5D69">
        <w:rPr>
          <w:rFonts w:ascii="Palatino Linotype" w:eastAsia="Palatino Linotype" w:hAnsi="Palatino Linotype" w:cs="Palatino Linotype"/>
          <w:color w:val="000000"/>
        </w:rPr>
        <w:t xml:space="preserve">para la Coordinación de Estudios y Proyectos Estratégicos </w:t>
      </w:r>
      <w:r w:rsidR="00936BAE">
        <w:rPr>
          <w:rFonts w:ascii="Palatino Linotype" w:eastAsia="Palatino Linotype" w:hAnsi="Palatino Linotype" w:cs="Palatino Linotype"/>
          <w:color w:val="000000"/>
        </w:rPr>
        <w:t>es realizada por una empresa</w:t>
      </w:r>
      <w:r w:rsidR="008B5D69">
        <w:rPr>
          <w:rFonts w:ascii="Palatino Linotype" w:eastAsia="Palatino Linotype" w:hAnsi="Palatino Linotype" w:cs="Palatino Linotype"/>
          <w:color w:val="000000"/>
        </w:rPr>
        <w:t xml:space="preserve"> externa</w:t>
      </w:r>
      <w:r w:rsidR="00936BAE">
        <w:rPr>
          <w:rFonts w:ascii="Palatino Linotype" w:eastAsia="Palatino Linotype" w:hAnsi="Palatino Linotype" w:cs="Palatino Linotype"/>
          <w:color w:val="000000"/>
        </w:rPr>
        <w:t xml:space="preserve">, la cual es la que </w:t>
      </w:r>
      <w:r w:rsidR="008B5D69">
        <w:rPr>
          <w:rFonts w:ascii="Palatino Linotype" w:eastAsia="Palatino Linotype" w:hAnsi="Palatino Linotype" w:cs="Palatino Linotype"/>
          <w:color w:val="000000"/>
        </w:rPr>
        <w:t>posee la información relativa al personal que contrata, debido a esto y de acuerdo con las funciones establecidas en el Reglamento Interior y Manual General de Organización, no es quien realiza la contratación de personal bajo la modalidad de “eventuales” y tampoco es el empleador de ese personal.</w:t>
      </w:r>
    </w:p>
    <w:p w:rsidR="008B5D69" w:rsidRDefault="008B5D69"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8B5D69" w:rsidRDefault="008B5D69"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obstante, esa respuesta resulta improcedente teniendo en cuenta la normatividad citada anteriormente, puesto que existe un área de la Coordinación Administrativa del Sujeto Obligado que es la encargada de actualizar permanentemente la plantilla del personal que labora en la dependencia mediante el registro de alta, baja o cambios que se generen, así como la tramitación ante la Secretaría de Finanzas de nombramientos y de integrar los expedientes </w:t>
      </w:r>
      <w:r w:rsidRPr="00F73871">
        <w:rPr>
          <w:rFonts w:ascii="Palatino Linotype" w:eastAsia="Palatino Linotype" w:hAnsi="Palatino Linotype" w:cs="Palatino Linotype"/>
          <w:color w:val="000000"/>
        </w:rPr>
        <w:t>de personal de los candidatos a ingresar a la Secreta</w:t>
      </w:r>
      <w:r>
        <w:rPr>
          <w:rFonts w:ascii="Palatino Linotype" w:eastAsia="Palatino Linotype" w:hAnsi="Palatino Linotype" w:cs="Palatino Linotype"/>
          <w:color w:val="000000"/>
        </w:rPr>
        <w:t xml:space="preserve">ría; además de que no existe ninguna </w:t>
      </w:r>
      <w:r>
        <w:rPr>
          <w:rFonts w:ascii="Palatino Linotype" w:eastAsia="Palatino Linotype" w:hAnsi="Palatino Linotype" w:cs="Palatino Linotype"/>
          <w:color w:val="000000"/>
        </w:rPr>
        <w:lastRenderedPageBreak/>
        <w:t>norma establecida que impida al Sujeto Obligado a realizar la contratación por sí mismo de personal operativo que labore bajo la modalidad de tiempo u obra determinado.</w:t>
      </w:r>
    </w:p>
    <w:p w:rsidR="008B5D69" w:rsidRDefault="008B5D69"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8B5D69" w:rsidRDefault="008B5D69"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tal forma que, incluso si el Sujeto Obligado por sí mismo no realizara la contratación del personal operativo para la Coordinación de Estudios y Proyectos Estratégicos, existe normatividad que lo obliga a mantener registros del personal que labora en la Secretaría. Por lo tanto, existe la posibilidad de que, después de realizada la búsqueda exhaustiva y razonable de la información en los archivos de las áreas competentes, se encuentre documentación en la que conste la contratación de trabajadores por tiempo u obra determinados en el programa de reducción física de vehículos que hayan ocupado el puesto de “jefe de proyectos” adscritos a la Coordinación de Estudios y Proyectos Estratégicos.</w:t>
      </w:r>
    </w:p>
    <w:p w:rsidR="00F0216F" w:rsidRDefault="00F0216F"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8B5D69" w:rsidRDefault="00F0216F"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mismo sentido, en el supuesto de que una empresa externa realice las contrataciones d</w:t>
      </w:r>
      <w:r w:rsidR="00F267BC">
        <w:rPr>
          <w:rFonts w:ascii="Palatino Linotype" w:eastAsia="Palatino Linotype" w:hAnsi="Palatino Linotype" w:cs="Palatino Linotype"/>
          <w:color w:val="000000"/>
        </w:rPr>
        <w:t>el personal eventual, esto no</w:t>
      </w:r>
      <w:r>
        <w:rPr>
          <w:rFonts w:ascii="Palatino Linotype" w:eastAsia="Palatino Linotype" w:hAnsi="Palatino Linotype" w:cs="Palatino Linotype"/>
          <w:color w:val="000000"/>
        </w:rPr>
        <w:t xml:space="preserve"> exime </w:t>
      </w:r>
      <w:r w:rsidR="00F267BC">
        <w:rPr>
          <w:rFonts w:ascii="Palatino Linotype" w:eastAsia="Palatino Linotype" w:hAnsi="Palatino Linotype" w:cs="Palatino Linotype"/>
          <w:color w:val="000000"/>
        </w:rPr>
        <w:t xml:space="preserve">al Sujeto Obligado </w:t>
      </w:r>
      <w:r>
        <w:rPr>
          <w:rFonts w:ascii="Palatino Linotype" w:eastAsia="Palatino Linotype" w:hAnsi="Palatino Linotype" w:cs="Palatino Linotype"/>
          <w:color w:val="000000"/>
        </w:rPr>
        <w:t xml:space="preserve">de contar con la información relativa al personal que presta sus servicios al </w:t>
      </w:r>
      <w:r w:rsidR="00F267BC">
        <w:rPr>
          <w:rFonts w:ascii="Palatino Linotype" w:eastAsia="Palatino Linotype" w:hAnsi="Palatino Linotype" w:cs="Palatino Linotype"/>
          <w:color w:val="000000"/>
        </w:rPr>
        <w:t xml:space="preserve">área referida en la solicitud de información, tal y como se estipula en el Criterio 12/17 emitido por el </w:t>
      </w:r>
      <w:r w:rsidR="00F267BC" w:rsidRPr="00F267BC">
        <w:rPr>
          <w:rFonts w:ascii="Palatino Linotype" w:eastAsia="Palatino Linotype" w:hAnsi="Palatino Linotype" w:cs="Palatino Linotype"/>
          <w:color w:val="000000"/>
        </w:rPr>
        <w:t>Instituto Nacional de Transparencia, Acceso a la Información y Protección de Datos Personales</w:t>
      </w:r>
      <w:r w:rsidR="00F267BC">
        <w:rPr>
          <w:rFonts w:ascii="Palatino Linotype" w:eastAsia="Palatino Linotype" w:hAnsi="Palatino Linotype" w:cs="Palatino Linotype"/>
          <w:color w:val="000000"/>
        </w:rPr>
        <w:t xml:space="preserve"> (INAI), en el que se observa lo siguiente:</w:t>
      </w:r>
    </w:p>
    <w:p w:rsidR="00F267BC" w:rsidRDefault="00F267BC"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F267BC" w:rsidRPr="00F267BC" w:rsidRDefault="00F267BC" w:rsidP="00F267BC">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F267BC">
        <w:rPr>
          <w:rFonts w:ascii="Palatino Linotype" w:eastAsia="Palatino Linotype" w:hAnsi="Palatino Linotype" w:cs="Palatino Linotype"/>
          <w:b/>
          <w:i/>
          <w:color w:val="000000"/>
        </w:rPr>
        <w:t xml:space="preserve">Régimen de subcontratación por sujetos obligados. </w:t>
      </w:r>
      <w:r w:rsidRPr="00F267BC">
        <w:rPr>
          <w:rFonts w:ascii="Palatino Linotype" w:eastAsia="Palatino Linotype" w:hAnsi="Palatino Linotype" w:cs="Palatino Linotype"/>
          <w:i/>
          <w:color w:val="000000"/>
        </w:rPr>
        <w:t xml:space="preserve">Publicidad del nombre de los trabajadores contratados a través de. Los nombres de las personas físicas contratadas con recursos públicos, a través de una empresa de </w:t>
      </w:r>
      <w:proofErr w:type="spellStart"/>
      <w:r w:rsidRPr="00F267BC">
        <w:rPr>
          <w:rFonts w:ascii="Palatino Linotype" w:eastAsia="Palatino Linotype" w:hAnsi="Palatino Linotype" w:cs="Palatino Linotype"/>
          <w:color w:val="000000"/>
        </w:rPr>
        <w:t>outsourcing</w:t>
      </w:r>
      <w:proofErr w:type="spellEnd"/>
      <w:r w:rsidRPr="00F267BC">
        <w:rPr>
          <w:rFonts w:ascii="Palatino Linotype" w:eastAsia="Palatino Linotype" w:hAnsi="Palatino Linotype" w:cs="Palatino Linotype"/>
          <w:i/>
          <w:color w:val="000000"/>
        </w:rPr>
        <w:t>, aun cuando no se trate de servidores públicos, reviste la naturaleza de información pública; lo anterior, siempre y cuando realicen actividades operativas y administrativas necesarias para el cumplimiento de su objeto, y que éstas se encuentren directamente relacionadas con las funciones propias que tienen los servidores públicos adscritos al mismo sujeto obligado.</w:t>
      </w:r>
    </w:p>
    <w:p w:rsidR="00F267BC" w:rsidRDefault="00F267BC"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F267BC" w:rsidRDefault="00F267BC"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forma que el Sujeto Obligado no puede abstenerse de entregar la información relativa a trabajadores eventuales contratados por una empresa externa, puesto que se trata de </w:t>
      </w:r>
      <w:r>
        <w:rPr>
          <w:rFonts w:ascii="Palatino Linotype" w:eastAsia="Palatino Linotype" w:hAnsi="Palatino Linotype" w:cs="Palatino Linotype"/>
          <w:color w:val="000000"/>
        </w:rPr>
        <w:lastRenderedPageBreak/>
        <w:t>información de interés público, al tratarse de la utilización de recursos públicos, siendo procedente la entrega de los documentos en donde consten los nombres de los trabajadores que presten sus servicios a través de un tercero.</w:t>
      </w:r>
    </w:p>
    <w:p w:rsidR="00F267BC" w:rsidRDefault="00F267BC"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D43D44" w:rsidRPr="00A16E0A" w:rsidRDefault="00A16E0A"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si bien es cierto que el Recurrente solicitó un listado de los trabajadores en los términos precisados en su solicitud; también es cierto que el Sujeto Obligado no está constreñido a generar documentos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Esto porque el derecho de acceso a la información pública se satisface en aquellos casos en los que se entrega el soporte documental en el que conste la información, toda vez que, atentos a lo dispuesto en el artículo 12</w:t>
      </w:r>
      <w:r>
        <w:rPr>
          <w:rStyle w:val="Refdenotaalpie"/>
          <w:rFonts w:ascii="Palatino Linotype" w:eastAsia="Palatino Linotype" w:hAnsi="Palatino Linotype" w:cs="Palatino Linotype"/>
          <w:color w:val="000000"/>
        </w:rPr>
        <w:footnoteReference w:id="4"/>
      </w:r>
      <w:r>
        <w:rPr>
          <w:rFonts w:ascii="Palatino Linotype" w:eastAsia="Palatino Linotype" w:hAnsi="Palatino Linotype" w:cs="Palatino Linotype"/>
          <w:color w:val="000000"/>
        </w:rPr>
        <w:t xml:space="preserve"> de la Ley de la Materia, los sujetos obligados no tienen el deber de generar, poseer o administrar la información con el grado de detalle solicitado.</w:t>
      </w:r>
    </w:p>
    <w:p w:rsidR="00D43D44" w:rsidRDefault="00D43D44"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43086E" w:rsidRPr="002B2B22" w:rsidRDefault="0043086E" w:rsidP="0043086E">
      <w:pPr>
        <w:pStyle w:val="Sinespaciado"/>
        <w:spacing w:line="360" w:lineRule="auto"/>
        <w:jc w:val="both"/>
        <w:rPr>
          <w:rFonts w:ascii="Palatino Linotype" w:hAnsi="Palatino Linotype"/>
        </w:rPr>
      </w:pPr>
      <w:r w:rsidRPr="002B2B22">
        <w:rPr>
          <w:rFonts w:ascii="Palatino Linotype" w:hAnsi="Palatino Linotype"/>
        </w:rPr>
        <w:t>Como apoyo a lo anteri</w:t>
      </w:r>
      <w:r>
        <w:rPr>
          <w:rFonts w:ascii="Palatino Linotype" w:hAnsi="Palatino Linotype"/>
        </w:rPr>
        <w:t>or, es aplicable el Criterio 03/</w:t>
      </w:r>
      <w:r w:rsidRPr="002B2B22">
        <w:rPr>
          <w:rFonts w:ascii="Palatino Linotype" w:hAnsi="Palatino Linotype"/>
        </w:rPr>
        <w:t>17, emitido por el Instituto Nacional de Transparencia, Acceso a la Información y Prote</w:t>
      </w:r>
      <w:r>
        <w:rPr>
          <w:rFonts w:ascii="Palatino Linotype" w:hAnsi="Palatino Linotype"/>
        </w:rPr>
        <w:t>cción de Datos Personales</w:t>
      </w:r>
      <w:r w:rsidRPr="002B2B22">
        <w:rPr>
          <w:rFonts w:ascii="Palatino Linotype" w:hAnsi="Palatino Linotype"/>
        </w:rPr>
        <w:t xml:space="preserve">, que a la letra señala: </w:t>
      </w:r>
    </w:p>
    <w:p w:rsidR="0043086E" w:rsidRPr="002B2B22" w:rsidRDefault="0043086E" w:rsidP="0043086E">
      <w:pPr>
        <w:pStyle w:val="Sinespaciado"/>
        <w:spacing w:line="360" w:lineRule="auto"/>
        <w:jc w:val="both"/>
        <w:rPr>
          <w:rFonts w:ascii="Palatino Linotype" w:hAnsi="Palatino Linotype"/>
        </w:rPr>
      </w:pPr>
    </w:p>
    <w:p w:rsidR="0043086E" w:rsidRPr="002B2B22" w:rsidRDefault="0043086E" w:rsidP="0043086E">
      <w:pPr>
        <w:pStyle w:val="Sinespaciado"/>
        <w:ind w:left="567" w:right="567"/>
        <w:jc w:val="both"/>
        <w:rPr>
          <w:rFonts w:ascii="Palatino Linotype" w:hAnsi="Palatino Linotype"/>
          <w:i/>
        </w:rPr>
      </w:pPr>
      <w:r w:rsidRPr="002B2B22">
        <w:rPr>
          <w:rFonts w:ascii="Palatino Linotype" w:hAnsi="Palatino Linotype"/>
          <w:b/>
          <w:i/>
        </w:rPr>
        <w:t>No existe obligación de elaborar documentos ad hoc para atender las solicitudes de acceso a la información.</w:t>
      </w:r>
      <w:r w:rsidRPr="002B2B22">
        <w:rPr>
          <w:rFonts w:ascii="Palatino Linotype" w:hAnsi="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2B2B22">
        <w:rPr>
          <w:rFonts w:ascii="Palatino Linotype" w:hAnsi="Palatino Linotype"/>
          <w:i/>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rsidR="0043086E" w:rsidRPr="002B2B22" w:rsidRDefault="0043086E" w:rsidP="0043086E">
      <w:pPr>
        <w:pStyle w:val="Sinespaciado"/>
        <w:spacing w:line="360" w:lineRule="auto"/>
        <w:jc w:val="both"/>
        <w:rPr>
          <w:rFonts w:ascii="Palatino Linotype" w:hAnsi="Palatino Linotype"/>
        </w:rPr>
      </w:pPr>
    </w:p>
    <w:p w:rsidR="00A16E0A" w:rsidRDefault="0043086E" w:rsidP="0043086E">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B2B22">
        <w:rPr>
          <w:rFonts w:ascii="Palatino Linotype" w:hAnsi="Palatino Linotype"/>
        </w:rPr>
        <w:t xml:space="preserve">De lo anterior, podemos concluir que el derecho de acceso a la información no obliga a los sujetos obligados a procesar la información y hacer entrega de la misma conforme al interés de los recurrentes, </w:t>
      </w:r>
      <w:r>
        <w:rPr>
          <w:rFonts w:ascii="Palatino Linotype" w:hAnsi="Palatino Linotype"/>
        </w:rPr>
        <w:t xml:space="preserve">sino que </w:t>
      </w:r>
      <w:r w:rsidRPr="002B2B22">
        <w:rPr>
          <w:rFonts w:ascii="Palatino Linotype" w:hAnsi="Palatino Linotype"/>
        </w:rPr>
        <w:t>únicamente se entregara en los términos en</w:t>
      </w:r>
      <w:r>
        <w:rPr>
          <w:rFonts w:ascii="Palatino Linotype" w:hAnsi="Palatino Linotype"/>
        </w:rPr>
        <w:t xml:space="preserve"> que se posea dicha información. Así, el Sujeto Obligado deberá hacer entrega del documento en donde conste la información solicitada tal y como se encuentre en sus archivos.</w:t>
      </w:r>
    </w:p>
    <w:p w:rsidR="00D43D44" w:rsidRDefault="00D43D44" w:rsidP="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D43D44" w:rsidRDefault="0043086E">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punto es importante señalar que el Recurrente solicitó información únicamente respectos de los trabajadores por tiempo u obra determinada que hayan ocupado el cargo de “jefe de proyectos”</w:t>
      </w:r>
      <w:r w:rsidR="0064337E">
        <w:rPr>
          <w:rFonts w:ascii="Palatino Linotype" w:eastAsia="Palatino Linotype" w:hAnsi="Palatino Linotype" w:cs="Palatino Linotype"/>
          <w:color w:val="000000"/>
        </w:rPr>
        <w:t xml:space="preserve"> en el programa de reducción física de vehículos</w:t>
      </w:r>
      <w:r>
        <w:rPr>
          <w:rFonts w:ascii="Palatino Linotype" w:eastAsia="Palatino Linotype" w:hAnsi="Palatino Linotype" w:cs="Palatino Linotype"/>
          <w:color w:val="000000"/>
        </w:rPr>
        <w:t>, así como trabajadores por tiempo indeterminado que hayan ostentado el cargo de “supervisor”</w:t>
      </w:r>
      <w:r w:rsidR="0064337E">
        <w:rPr>
          <w:rFonts w:ascii="Palatino Linotype" w:eastAsia="Palatino Linotype" w:hAnsi="Palatino Linotype" w:cs="Palatino Linotype"/>
          <w:color w:val="000000"/>
        </w:rPr>
        <w:t>, todos adscritos a</w:t>
      </w:r>
      <w:r>
        <w:rPr>
          <w:rFonts w:ascii="Palatino Linotype" w:eastAsia="Palatino Linotype" w:hAnsi="Palatino Linotype" w:cs="Palatino Linotype"/>
          <w:color w:val="000000"/>
        </w:rPr>
        <w:t xml:space="preserve"> la Coordinación de Estudios y Proyectos Estratégicos en el periodo referido; no obstante, no se encontró ninguna fuente obligacional que constriña al Sujeto Obligado a que realice las contrataciones tal y como fueron solicitadas, por lo que, en el supuesto de que</w:t>
      </w:r>
      <w:r w:rsidR="008B5D69">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después de realizada la búsqueda exhaustiva y razonable en los archivos de las áreas competentes, no se encontrara información al respecto, bastará con que el Sujeto Obligado así </w:t>
      </w:r>
      <w:r w:rsidR="007D0BBF">
        <w:rPr>
          <w:rFonts w:ascii="Palatino Linotype" w:eastAsia="Palatino Linotype" w:hAnsi="Palatino Linotype" w:cs="Palatino Linotype"/>
          <w:color w:val="000000"/>
        </w:rPr>
        <w:t>lo haga del conocimiento del Recurrente en términos del segundo párrafo del artículo 19 de la Ley de Transparencia Local, en el que se estipula lo siguiente:</w:t>
      </w:r>
    </w:p>
    <w:p w:rsidR="007D0BBF" w:rsidRDefault="007D0BBF">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DC1C7A" w:rsidRDefault="00DC1C7A" w:rsidP="00DC1C7A">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sidRPr="00DC1C7A">
        <w:rPr>
          <w:rFonts w:ascii="Palatino Linotype" w:eastAsia="Palatino Linotype" w:hAnsi="Palatino Linotype" w:cs="Palatino Linotype"/>
          <w:b/>
          <w:bCs/>
          <w:i/>
          <w:color w:val="000000"/>
        </w:rPr>
        <w:t xml:space="preserve">Artículo 19. </w:t>
      </w:r>
      <w:r w:rsidRPr="00DC1C7A">
        <w:rPr>
          <w:rFonts w:ascii="Palatino Linotype" w:eastAsia="Palatino Linotype" w:hAnsi="Palatino Linotype" w:cs="Palatino Linotype"/>
          <w:i/>
          <w:color w:val="000000"/>
        </w:rPr>
        <w:t xml:space="preserve">Se presume que la información debe existir si se refiere a las facultades, competencias y funciones que los ordenamientos jurídicos aplicables otorgan a los sujetos obligados. </w:t>
      </w:r>
    </w:p>
    <w:p w:rsidR="00DC1C7A" w:rsidRPr="00DC1C7A" w:rsidRDefault="00DC1C7A" w:rsidP="00DC1C7A">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DC1C7A" w:rsidRPr="00DC1C7A" w:rsidRDefault="00DC1C7A" w:rsidP="00DC1C7A">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color w:val="000000"/>
          <w:u w:val="single"/>
        </w:rPr>
      </w:pPr>
      <w:r w:rsidRPr="00DC1C7A">
        <w:rPr>
          <w:rFonts w:ascii="Palatino Linotype" w:eastAsia="Palatino Linotype" w:hAnsi="Palatino Linotype" w:cs="Palatino Linotype"/>
          <w:b/>
          <w:i/>
          <w:color w:val="000000"/>
          <w:u w:val="single"/>
        </w:rPr>
        <w:t xml:space="preserve">En los casos en que ciertas facultades, competencias o funciones no se hayan ejercido, se debe motivar la respuesta en función de las causas que motiven tal circunstancia. </w:t>
      </w:r>
    </w:p>
    <w:p w:rsidR="00DC1C7A" w:rsidRPr="00DC1C7A" w:rsidRDefault="00DC1C7A" w:rsidP="00DC1C7A">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7D0BBF" w:rsidRPr="00DC1C7A" w:rsidRDefault="00DC1C7A" w:rsidP="00DC1C7A">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color w:val="000000"/>
        </w:rPr>
      </w:pPr>
      <w:r w:rsidRPr="00DC1C7A">
        <w:rPr>
          <w:rFonts w:ascii="Palatino Linotype" w:eastAsia="Palatino Linotype" w:hAnsi="Palatino Linotype" w:cs="Palatino Linotype"/>
          <w:i/>
          <w:color w:val="000000"/>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43D44" w:rsidRDefault="00D43D4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DC1C7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w:t>
      </w:r>
      <w:r w:rsidR="004C4207">
        <w:rPr>
          <w:rFonts w:ascii="Palatino Linotype" w:eastAsia="Palatino Linotype" w:hAnsi="Palatino Linotype" w:cs="Palatino Linotype"/>
          <w:color w:val="000000"/>
        </w:rPr>
        <w:t>, este Instituto estima que los motivos de inconfo</w:t>
      </w:r>
      <w:r>
        <w:rPr>
          <w:rFonts w:ascii="Palatino Linotype" w:eastAsia="Palatino Linotype" w:hAnsi="Palatino Linotype" w:cs="Palatino Linotype"/>
          <w:color w:val="000000"/>
        </w:rPr>
        <w:t>rmidad del</w:t>
      </w:r>
      <w:r w:rsidR="004C4207">
        <w:rPr>
          <w:rFonts w:ascii="Palatino Linotype" w:eastAsia="Palatino Linotype" w:hAnsi="Palatino Linotype" w:cs="Palatino Linotype"/>
          <w:color w:val="000000"/>
        </w:rPr>
        <w:t xml:space="preserve"> Recurrente son fundados, siendo procedente revocar la respuesta del Sujeto Obligado y ordenar </w:t>
      </w:r>
      <w:r>
        <w:rPr>
          <w:rFonts w:ascii="Palatino Linotype" w:eastAsia="Palatino Linotype" w:hAnsi="Palatino Linotype" w:cs="Palatino Linotype"/>
          <w:color w:val="000000"/>
        </w:rPr>
        <w:t xml:space="preserve">realizar una búsqueda exhaustiva y razonable en los archivos de las áreas competentes con la finalidad de entregar al recurrente el documento o documentos en donde consten los nombres de los trabajadores contratados por tiempo u obra determinada que hayan ocupado el cargo de </w:t>
      </w:r>
      <w:r w:rsidR="0064337E">
        <w:rPr>
          <w:rFonts w:ascii="Palatino Linotype" w:eastAsia="Palatino Linotype" w:hAnsi="Palatino Linotype" w:cs="Palatino Linotype"/>
          <w:color w:val="000000"/>
        </w:rPr>
        <w:t xml:space="preserve">“jefe de proyectos” en el programa de reducción física de vehículos y los nombres de los trabajadores contratados por tiempo indeterminado que hayan ocupado el cargo de “supervisor”, todos adscritos a la Coordinación de Estudios y Proyectos Estratégicos, comprendiendo el periodo que va de del primero de enero de dos mil quince al once de agosto de dos mil veintiuno, lo anterior en versión pública de ser procedente. No se omite mencionar que, en caso de que no se encontrara la información señalada, el Sujeto Obligado deberá hacerlo del conocimiento de Recurrente en términos del segundo párrafo del artículo 19 de </w:t>
      </w:r>
      <w:proofErr w:type="spellStart"/>
      <w:r w:rsidR="0064337E">
        <w:rPr>
          <w:rFonts w:ascii="Palatino Linotype" w:eastAsia="Palatino Linotype" w:hAnsi="Palatino Linotype" w:cs="Palatino Linotype"/>
          <w:color w:val="000000"/>
        </w:rPr>
        <w:t>ola</w:t>
      </w:r>
      <w:proofErr w:type="spellEnd"/>
      <w:r w:rsidR="0064337E">
        <w:rPr>
          <w:rFonts w:ascii="Palatino Linotype" w:eastAsia="Palatino Linotype" w:hAnsi="Palatino Linotype" w:cs="Palatino Linotype"/>
          <w:color w:val="000000"/>
        </w:rPr>
        <w:t xml:space="preserve"> Ley de Transparencia Estatal. </w:t>
      </w:r>
    </w:p>
    <w:p w:rsidR="0064337E" w:rsidRDefault="0064337E">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Pr="0064337E" w:rsidRDefault="004C4207">
      <w:pPr>
        <w:spacing w:after="0" w:line="360" w:lineRule="auto"/>
        <w:jc w:val="both"/>
        <w:rPr>
          <w:rFonts w:ascii="Palatino Linotype" w:eastAsia="Palatino Linotype" w:hAnsi="Palatino Linotype" w:cs="Palatino Linotype"/>
          <w:b/>
          <w:i/>
          <w:sz w:val="24"/>
          <w:szCs w:val="24"/>
          <w:u w:val="single"/>
        </w:rPr>
      </w:pPr>
      <w:r w:rsidRPr="0064337E">
        <w:rPr>
          <w:rFonts w:ascii="Palatino Linotype" w:eastAsia="Palatino Linotype" w:hAnsi="Palatino Linotype" w:cs="Palatino Linotype"/>
          <w:b/>
          <w:i/>
          <w:sz w:val="24"/>
          <w:szCs w:val="24"/>
          <w:u w:val="single"/>
        </w:rPr>
        <w:t>DE LA VERSIÓN PÚBLICA.</w:t>
      </w:r>
    </w:p>
    <w:p w:rsidR="00CA2120" w:rsidRDefault="004C420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CA2120" w:rsidRDefault="00CA2120">
      <w:pPr>
        <w:spacing w:after="0" w:line="360" w:lineRule="auto"/>
        <w:jc w:val="both"/>
        <w:rPr>
          <w:rFonts w:ascii="Palatino Linotype" w:eastAsia="Palatino Linotype" w:hAnsi="Palatino Linotype" w:cs="Palatino Linotype"/>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w:t>
      </w:r>
      <w:r>
        <w:rPr>
          <w:rFonts w:ascii="Palatino Linotype" w:eastAsia="Palatino Linotype" w:hAnsi="Palatino Linotype" w:cs="Palatino Linotype"/>
          <w:i/>
        </w:rPr>
        <w:t xml:space="preserve"> </w:t>
      </w:r>
      <w:r>
        <w:rPr>
          <w:rFonts w:ascii="Palatino Linotype" w:eastAsia="Palatino Linotype" w:hAnsi="Palatino Linotype" w:cs="Palatino Linotype"/>
          <w:b/>
          <w:i/>
        </w:rPr>
        <w:t>Información clasificada:</w:t>
      </w:r>
      <w:r>
        <w:rPr>
          <w:rFonts w:ascii="Palatino Linotype" w:eastAsia="Palatino Linotype" w:hAnsi="Palatino Linotype" w:cs="Palatino Linotype"/>
          <w:i/>
        </w:rPr>
        <w:t xml:space="preserve"> Aquella considerada por la presente Ley como reservada o confidencial;</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XXI.</w:t>
      </w:r>
      <w:r>
        <w:rPr>
          <w:rFonts w:ascii="Palatino Linotype" w:eastAsia="Palatino Linotype" w:hAnsi="Palatino Linotype" w:cs="Palatino Linotype"/>
          <w:i/>
        </w:rPr>
        <w:t xml:space="preserve"> </w:t>
      </w:r>
      <w:r>
        <w:rPr>
          <w:rFonts w:ascii="Palatino Linotype" w:eastAsia="Palatino Linotype" w:hAnsi="Palatino Linotype" w:cs="Palatino Linotype"/>
          <w:b/>
          <w:i/>
        </w:rPr>
        <w:t>Información confidencial:</w:t>
      </w:r>
      <w:r>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XLV.</w:t>
      </w:r>
      <w:r>
        <w:rPr>
          <w:rFonts w:ascii="Palatino Linotype" w:eastAsia="Palatino Linotype" w:hAnsi="Palatino Linotype" w:cs="Palatino Linotype"/>
          <w:i/>
        </w:rPr>
        <w:t xml:space="preserve"> </w:t>
      </w:r>
      <w:r>
        <w:rPr>
          <w:rFonts w:ascii="Palatino Linotype" w:eastAsia="Palatino Linotype" w:hAnsi="Palatino Linotype" w:cs="Palatino Linotype"/>
          <w:b/>
          <w:i/>
        </w:rPr>
        <w:t>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La clasificación de la información se llevará a cabo en el momento en que</w:t>
      </w:r>
      <w:r>
        <w:rPr>
          <w:rFonts w:ascii="Palatino Linotype" w:eastAsia="Palatino Linotype" w:hAnsi="Palatino Linotype" w:cs="Palatino Linotype"/>
          <w:i/>
        </w:rPr>
        <w:t>:</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Se determine mediante resolución de autoridad competente; o</w:t>
      </w:r>
    </w:p>
    <w:p w:rsidR="00CA2120" w:rsidRDefault="004C4207">
      <w:pPr>
        <w:spacing w:after="0" w:line="240" w:lineRule="auto"/>
        <w:ind w:left="567" w:right="567"/>
        <w:jc w:val="both"/>
        <w:rPr>
          <w:rFonts w:ascii="Palatino Linotype" w:eastAsia="Palatino Linotype" w:hAnsi="Palatino Linotype" w:cs="Palatino Linotype"/>
          <w:i/>
          <w:u w:val="single"/>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Se generen versiones públicas para dar cumplimiento a las obligaciones de transparencia previstas en esta Ley.</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CA2120" w:rsidRDefault="00CA2120">
      <w:pPr>
        <w:spacing w:after="0" w:line="360" w:lineRule="auto"/>
        <w:jc w:val="both"/>
        <w:rPr>
          <w:rFonts w:ascii="Palatino Linotype" w:eastAsia="Palatino Linotype" w:hAnsi="Palatino Linotype" w:cs="Palatino Linotype"/>
          <w:i/>
        </w:rPr>
      </w:pPr>
    </w:p>
    <w:p w:rsidR="00CA2120" w:rsidRDefault="004C420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CA2120" w:rsidRDefault="00CA2120">
      <w:pPr>
        <w:spacing w:after="0" w:line="360" w:lineRule="auto"/>
        <w:jc w:val="both"/>
        <w:rPr>
          <w:rFonts w:ascii="Palatino Linotype" w:eastAsia="Palatino Linotype" w:hAnsi="Palatino Linotype" w:cs="Palatino Linotype"/>
        </w:rPr>
      </w:pPr>
    </w:p>
    <w:p w:rsidR="00CA2120" w:rsidRDefault="004C420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los </w:t>
      </w:r>
      <w:r>
        <w:rPr>
          <w:rFonts w:ascii="Palatino Linotype" w:eastAsia="Palatino Linotype" w:hAnsi="Palatino Linotype" w:cs="Palatino Linotype"/>
          <w:i/>
        </w:rPr>
        <w:t>Lineamientos Generales en Materia de Clasificación y Desclasificación de la Información, así como para la elaboración de Versiones Públicas</w:t>
      </w:r>
      <w:r>
        <w:rPr>
          <w:rFonts w:ascii="Palatino Linotype" w:eastAsia="Palatino Linotype" w:hAnsi="Palatino Linotype" w:cs="Palatino Linotype"/>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Pr>
          <w:rFonts w:ascii="Palatino Linotype" w:eastAsia="Palatino Linotype" w:hAnsi="Palatino Linotype" w:cs="Palatino Linotype"/>
        </w:rPr>
        <w:lastRenderedPageBreak/>
        <w:t>generarán, en su caso, versiones públicas de expedientes o documentos que contengan partes o secciones clasificadas.</w:t>
      </w:r>
    </w:p>
    <w:p w:rsidR="00CA2120" w:rsidRDefault="00CA2120">
      <w:pPr>
        <w:spacing w:after="0" w:line="360" w:lineRule="auto"/>
        <w:jc w:val="both"/>
        <w:rPr>
          <w:rFonts w:ascii="Palatino Linotype" w:eastAsia="Palatino Linotype" w:hAnsi="Palatino Linotype" w:cs="Palatino Linotype"/>
        </w:rPr>
      </w:pPr>
    </w:p>
    <w:p w:rsidR="00CA2120" w:rsidRDefault="004C420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CA2120" w:rsidRDefault="00CA2120">
      <w:pPr>
        <w:spacing w:after="0" w:line="360" w:lineRule="auto"/>
        <w:jc w:val="both"/>
        <w:rPr>
          <w:rFonts w:ascii="Palatino Linotype" w:eastAsia="Palatino Linotype" w:hAnsi="Palatino Linotype" w:cs="Palatino Linotype"/>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Quincuagésimo sexto.</w:t>
      </w:r>
      <w:r>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A2120" w:rsidRDefault="00CA2120">
      <w:pPr>
        <w:spacing w:after="0" w:line="240" w:lineRule="auto"/>
        <w:ind w:left="567" w:right="567"/>
        <w:jc w:val="both"/>
        <w:rPr>
          <w:rFonts w:ascii="Palatino Linotype" w:eastAsia="Palatino Linotype" w:hAnsi="Palatino Linotype" w:cs="Palatino Linotype"/>
          <w:i/>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Quincuagésimo séptimo.</w:t>
      </w:r>
      <w:r>
        <w:rPr>
          <w:rFonts w:ascii="Palatino Linotype" w:eastAsia="Palatino Linotype" w:hAnsi="Palatino Linotype" w:cs="Palatino Linotype"/>
          <w:i/>
        </w:rPr>
        <w:t xml:space="preserve"> Se considera, en principio, como información pública y no podrá omitirse de las versiones públicas la siguiente:</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CA2120" w:rsidRDefault="00CA2120">
      <w:pPr>
        <w:spacing w:after="0" w:line="240" w:lineRule="auto"/>
        <w:ind w:left="567" w:right="567"/>
        <w:jc w:val="both"/>
        <w:rPr>
          <w:rFonts w:ascii="Palatino Linotype" w:eastAsia="Palatino Linotype" w:hAnsi="Palatino Linotype" w:cs="Palatino Linotype"/>
          <w:i/>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CA2120" w:rsidRDefault="00CA2120">
      <w:pPr>
        <w:spacing w:after="0" w:line="240" w:lineRule="auto"/>
        <w:ind w:left="567" w:right="567"/>
        <w:jc w:val="both"/>
        <w:rPr>
          <w:rFonts w:ascii="Palatino Linotype" w:eastAsia="Palatino Linotype" w:hAnsi="Palatino Linotype" w:cs="Palatino Linotype"/>
          <w:i/>
        </w:rPr>
      </w:pPr>
    </w:p>
    <w:p w:rsidR="00CA2120" w:rsidRDefault="004C420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Quincuagésimo octavo.</w:t>
      </w:r>
      <w:r>
        <w:rPr>
          <w:rFonts w:ascii="Palatino Linotype" w:eastAsia="Palatino Linotype" w:hAnsi="Palatino Linotype" w:cs="Palatino Linotype"/>
          <w:i/>
        </w:rPr>
        <w:t xml:space="preserve"> Los sujetos obligados garantizarán que los sistemas o medios empleados para eliminar la información en las versiones públicas no permitan la recuperación o visualización de la misma.</w:t>
      </w:r>
    </w:p>
    <w:p w:rsidR="00CA2120" w:rsidRDefault="00CA2120">
      <w:pPr>
        <w:spacing w:after="0" w:line="360" w:lineRule="auto"/>
        <w:jc w:val="both"/>
        <w:rPr>
          <w:rFonts w:ascii="Palatino Linotype" w:eastAsia="Palatino Linotype" w:hAnsi="Palatino Linotype" w:cs="Palatino Linotype"/>
          <w:i/>
        </w:rPr>
      </w:pPr>
    </w:p>
    <w:p w:rsidR="00CA2120" w:rsidRDefault="004C420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w:t>
      </w:r>
      <w:r>
        <w:rPr>
          <w:rFonts w:ascii="Palatino Linotype" w:eastAsia="Palatino Linotype" w:hAnsi="Palatino Linotype" w:cs="Palatino Linotype"/>
        </w:rPr>
        <w:lastRenderedPageBreak/>
        <w:t>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CA2120" w:rsidRDefault="00CA2120">
      <w:pPr>
        <w:spacing w:after="0" w:line="360" w:lineRule="auto"/>
        <w:jc w:val="both"/>
        <w:rPr>
          <w:rFonts w:ascii="Palatino Linotype" w:eastAsia="Palatino Linotype" w:hAnsi="Palatino Linotype" w:cs="Palatino Linotype"/>
        </w:rPr>
      </w:pPr>
    </w:p>
    <w:p w:rsidR="00CA2120" w:rsidRDefault="004C420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respecta al Acuerdo del Comité de Transparencia que la sustente la versión pública, de la documentación a entregar, deberá ser notificado mediante el SAIMEX.</w:t>
      </w:r>
    </w:p>
    <w:p w:rsidR="00CA2120" w:rsidRDefault="00CA2120">
      <w:pPr>
        <w:spacing w:after="0" w:line="360" w:lineRule="auto"/>
        <w:jc w:val="both"/>
        <w:rPr>
          <w:rFonts w:ascii="Palatino Linotype" w:eastAsia="Palatino Linotype" w:hAnsi="Palatino Linotype" w:cs="Palatino Linotype"/>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mérito de lo expuesto en líneas anteriores, este Instituto considera que los motivos de</w:t>
      </w:r>
      <w:r w:rsidR="001F5EF5">
        <w:rPr>
          <w:rFonts w:ascii="Palatino Linotype" w:eastAsia="Palatino Linotype" w:hAnsi="Palatino Linotype" w:cs="Palatino Linotype"/>
          <w:color w:val="000000"/>
        </w:rPr>
        <w:t xml:space="preserve"> inconformidad planteados por el Recurrente resultan </w:t>
      </w:r>
      <w:r>
        <w:rPr>
          <w:rFonts w:ascii="Palatino Linotype" w:eastAsia="Palatino Linotype" w:hAnsi="Palatino Linotype" w:cs="Palatino Linotype"/>
          <w:color w:val="000000"/>
        </w:rPr>
        <w:t>fundados en los recursos de revisión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que son materia de esta resolución; por ello </w:t>
      </w:r>
      <w:r>
        <w:rPr>
          <w:rFonts w:ascii="Palatino Linotype" w:eastAsia="Palatino Linotype" w:hAnsi="Palatino Linotype" w:cs="Palatino Linotype"/>
          <w:b/>
          <w:color w:val="000000"/>
        </w:rPr>
        <w:t>con fundamento en la primera hipótesis de l</w:t>
      </w:r>
      <w:r w:rsidR="001F5EF5">
        <w:rPr>
          <w:rFonts w:ascii="Palatino Linotype" w:eastAsia="Palatino Linotype" w:hAnsi="Palatino Linotype" w:cs="Palatino Linotype"/>
          <w:b/>
          <w:color w:val="000000"/>
        </w:rPr>
        <w:t>a fracción III del artículo 186</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de la Ley de Transparencia y Acceso a la Información Pública del Estado de México y Municipios, se </w:t>
      </w:r>
      <w:r>
        <w:rPr>
          <w:rFonts w:ascii="Palatino Linotype" w:eastAsia="Palatino Linotype" w:hAnsi="Palatino Linotype" w:cs="Palatino Linotype"/>
          <w:b/>
          <w:color w:val="000000"/>
        </w:rPr>
        <w:t xml:space="preserve">REVOCAN </w:t>
      </w:r>
      <w:r>
        <w:rPr>
          <w:rFonts w:ascii="Palatino Linotype" w:eastAsia="Palatino Linotype" w:hAnsi="Palatino Linotype" w:cs="Palatino Linotype"/>
          <w:color w:val="000000"/>
        </w:rPr>
        <w:t>las respuestas a las solicitudes de información número</w:t>
      </w:r>
      <w:r>
        <w:rPr>
          <w:rFonts w:ascii="Palatino Linotype" w:eastAsia="Palatino Linotype" w:hAnsi="Palatino Linotype" w:cs="Palatino Linotype"/>
          <w:b/>
          <w:color w:val="000000"/>
        </w:rPr>
        <w:t xml:space="preserve"> </w:t>
      </w:r>
      <w:r w:rsidR="001F5EF5">
        <w:rPr>
          <w:rFonts w:ascii="Palatino Linotype" w:eastAsia="Palatino Linotype" w:hAnsi="Palatino Linotype" w:cs="Palatino Linotype"/>
          <w:b/>
          <w:color w:val="000000"/>
        </w:rPr>
        <w:t xml:space="preserve">00272/SMOV/IP/2021 </w:t>
      </w:r>
      <w:r w:rsidR="001F5EF5">
        <w:rPr>
          <w:rFonts w:ascii="Palatino Linotype" w:eastAsia="Palatino Linotype" w:hAnsi="Palatino Linotype" w:cs="Palatino Linotype"/>
          <w:color w:val="000000"/>
        </w:rPr>
        <w:t>y</w:t>
      </w:r>
      <w:r w:rsidR="001F5EF5">
        <w:rPr>
          <w:rFonts w:ascii="Palatino Linotype" w:eastAsia="Palatino Linotype" w:hAnsi="Palatino Linotype" w:cs="Palatino Linotype"/>
          <w:b/>
          <w:color w:val="000000"/>
        </w:rPr>
        <w:t xml:space="preserve"> 00271/SMOV/IP/2021</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que han sido materia del presente estudio.</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antes expuesto y fundado es de resolverse y,</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856EF4" w:rsidRDefault="00856EF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Pr="008B5D69" w:rsidRDefault="004C4207">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6"/>
          <w:szCs w:val="26"/>
        </w:rPr>
      </w:pPr>
      <w:r w:rsidRPr="008B5D69">
        <w:rPr>
          <w:rFonts w:ascii="Palatino Linotype" w:eastAsia="Palatino Linotype" w:hAnsi="Palatino Linotype" w:cs="Palatino Linotype"/>
          <w:b/>
          <w:color w:val="000000"/>
          <w:sz w:val="26"/>
          <w:szCs w:val="26"/>
        </w:rPr>
        <w:lastRenderedPageBreak/>
        <w:t>S</w:t>
      </w:r>
      <w:r w:rsidR="008B5D69">
        <w:rPr>
          <w:rFonts w:ascii="Palatino Linotype" w:eastAsia="Palatino Linotype" w:hAnsi="Palatino Linotype" w:cs="Palatino Linotype"/>
          <w:b/>
          <w:color w:val="000000"/>
          <w:sz w:val="26"/>
          <w:szCs w:val="26"/>
        </w:rPr>
        <w:t xml:space="preserve"> </w:t>
      </w:r>
      <w:r w:rsidRPr="008B5D69">
        <w:rPr>
          <w:rFonts w:ascii="Palatino Linotype" w:eastAsia="Palatino Linotype" w:hAnsi="Palatino Linotype" w:cs="Palatino Linotype"/>
          <w:b/>
          <w:color w:val="000000"/>
          <w:sz w:val="26"/>
          <w:szCs w:val="26"/>
        </w:rPr>
        <w:t>E    R</w:t>
      </w:r>
      <w:r w:rsidR="008B5D69">
        <w:rPr>
          <w:rFonts w:ascii="Palatino Linotype" w:eastAsia="Palatino Linotype" w:hAnsi="Palatino Linotype" w:cs="Palatino Linotype"/>
          <w:b/>
          <w:color w:val="000000"/>
          <w:sz w:val="26"/>
          <w:szCs w:val="26"/>
        </w:rPr>
        <w:t xml:space="preserve"> </w:t>
      </w:r>
      <w:r w:rsidRPr="008B5D69">
        <w:rPr>
          <w:rFonts w:ascii="Palatino Linotype" w:eastAsia="Palatino Linotype" w:hAnsi="Palatino Linotype" w:cs="Palatino Linotype"/>
          <w:b/>
          <w:color w:val="000000"/>
          <w:sz w:val="26"/>
          <w:szCs w:val="26"/>
        </w:rPr>
        <w:t>E</w:t>
      </w:r>
      <w:r w:rsidR="008B5D69">
        <w:rPr>
          <w:rFonts w:ascii="Palatino Linotype" w:eastAsia="Palatino Linotype" w:hAnsi="Palatino Linotype" w:cs="Palatino Linotype"/>
          <w:b/>
          <w:color w:val="000000"/>
          <w:sz w:val="26"/>
          <w:szCs w:val="26"/>
        </w:rPr>
        <w:t xml:space="preserve"> </w:t>
      </w:r>
      <w:r w:rsidRPr="008B5D69">
        <w:rPr>
          <w:rFonts w:ascii="Palatino Linotype" w:eastAsia="Palatino Linotype" w:hAnsi="Palatino Linotype" w:cs="Palatino Linotype"/>
          <w:b/>
          <w:color w:val="000000"/>
          <w:sz w:val="26"/>
          <w:szCs w:val="26"/>
        </w:rPr>
        <w:t>S</w:t>
      </w:r>
      <w:r w:rsidR="008B5D69">
        <w:rPr>
          <w:rFonts w:ascii="Palatino Linotype" w:eastAsia="Palatino Linotype" w:hAnsi="Palatino Linotype" w:cs="Palatino Linotype"/>
          <w:b/>
          <w:color w:val="000000"/>
          <w:sz w:val="26"/>
          <w:szCs w:val="26"/>
        </w:rPr>
        <w:t xml:space="preserve"> </w:t>
      </w:r>
      <w:r w:rsidRPr="008B5D69">
        <w:rPr>
          <w:rFonts w:ascii="Palatino Linotype" w:eastAsia="Palatino Linotype" w:hAnsi="Palatino Linotype" w:cs="Palatino Linotype"/>
          <w:b/>
          <w:color w:val="000000"/>
          <w:sz w:val="26"/>
          <w:szCs w:val="26"/>
        </w:rPr>
        <w:t>U</w:t>
      </w:r>
      <w:r w:rsidR="008B5D69">
        <w:rPr>
          <w:rFonts w:ascii="Palatino Linotype" w:eastAsia="Palatino Linotype" w:hAnsi="Palatino Linotype" w:cs="Palatino Linotype"/>
          <w:b/>
          <w:color w:val="000000"/>
          <w:sz w:val="26"/>
          <w:szCs w:val="26"/>
        </w:rPr>
        <w:t xml:space="preserve"> </w:t>
      </w:r>
      <w:r w:rsidRPr="008B5D69">
        <w:rPr>
          <w:rFonts w:ascii="Palatino Linotype" w:eastAsia="Palatino Linotype" w:hAnsi="Palatino Linotype" w:cs="Palatino Linotype"/>
          <w:b/>
          <w:color w:val="000000"/>
          <w:sz w:val="26"/>
          <w:szCs w:val="26"/>
        </w:rPr>
        <w:t>E</w:t>
      </w:r>
      <w:r w:rsidR="008B5D69">
        <w:rPr>
          <w:rFonts w:ascii="Palatino Linotype" w:eastAsia="Palatino Linotype" w:hAnsi="Palatino Linotype" w:cs="Palatino Linotype"/>
          <w:b/>
          <w:color w:val="000000"/>
          <w:sz w:val="26"/>
          <w:szCs w:val="26"/>
        </w:rPr>
        <w:t xml:space="preserve"> </w:t>
      </w:r>
      <w:r w:rsidRPr="008B5D69">
        <w:rPr>
          <w:rFonts w:ascii="Palatino Linotype" w:eastAsia="Palatino Linotype" w:hAnsi="Palatino Linotype" w:cs="Palatino Linotype"/>
          <w:b/>
          <w:color w:val="000000"/>
          <w:sz w:val="26"/>
          <w:szCs w:val="26"/>
        </w:rPr>
        <w:t>L</w:t>
      </w:r>
      <w:r w:rsidR="008B5D69">
        <w:rPr>
          <w:rFonts w:ascii="Palatino Linotype" w:eastAsia="Palatino Linotype" w:hAnsi="Palatino Linotype" w:cs="Palatino Linotype"/>
          <w:b/>
          <w:color w:val="000000"/>
          <w:sz w:val="26"/>
          <w:szCs w:val="26"/>
        </w:rPr>
        <w:t xml:space="preserve"> </w:t>
      </w:r>
      <w:r w:rsidRPr="008B5D69">
        <w:rPr>
          <w:rFonts w:ascii="Palatino Linotype" w:eastAsia="Palatino Linotype" w:hAnsi="Palatino Linotype" w:cs="Palatino Linotype"/>
          <w:b/>
          <w:color w:val="000000"/>
          <w:sz w:val="26"/>
          <w:szCs w:val="26"/>
        </w:rPr>
        <w:t>V</w:t>
      </w:r>
      <w:r w:rsidR="008B5D69">
        <w:rPr>
          <w:rFonts w:ascii="Palatino Linotype" w:eastAsia="Palatino Linotype" w:hAnsi="Palatino Linotype" w:cs="Palatino Linotype"/>
          <w:b/>
          <w:color w:val="000000"/>
          <w:sz w:val="26"/>
          <w:szCs w:val="26"/>
        </w:rPr>
        <w:t xml:space="preserve"> </w:t>
      </w:r>
      <w:r w:rsidRPr="008B5D69">
        <w:rPr>
          <w:rFonts w:ascii="Palatino Linotype" w:eastAsia="Palatino Linotype" w:hAnsi="Palatino Linotype" w:cs="Palatino Linotype"/>
          <w:b/>
          <w:color w:val="000000"/>
          <w:sz w:val="26"/>
          <w:szCs w:val="26"/>
        </w:rPr>
        <w:t>E</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b/>
          <w:color w:val="000000"/>
        </w:rPr>
        <w:t>REVOCAN</w:t>
      </w:r>
      <w:r>
        <w:rPr>
          <w:rFonts w:ascii="Palatino Linotype" w:eastAsia="Palatino Linotype" w:hAnsi="Palatino Linotype" w:cs="Palatino Linotype"/>
          <w:color w:val="000000"/>
        </w:rPr>
        <w:t xml:space="preserve"> las respuestas entregadas por el Sujeto Obligado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 las solicitudes de información número </w:t>
      </w:r>
      <w:r w:rsidR="001F5EF5" w:rsidRPr="001F5EF5">
        <w:rPr>
          <w:rFonts w:ascii="Palatino Linotype" w:eastAsia="Palatino Linotype" w:hAnsi="Palatino Linotype" w:cs="Palatino Linotype"/>
          <w:b/>
          <w:color w:val="000000"/>
        </w:rPr>
        <w:t>00272/SMOV/IP/2021</w:t>
      </w:r>
      <w:r w:rsidR="001F5EF5" w:rsidRPr="001F5EF5">
        <w:rPr>
          <w:rFonts w:ascii="Palatino Linotype" w:eastAsia="Palatino Linotype" w:hAnsi="Palatino Linotype" w:cs="Palatino Linotype"/>
          <w:color w:val="000000"/>
        </w:rPr>
        <w:t xml:space="preserve"> y</w:t>
      </w:r>
      <w:r w:rsidR="001F5EF5" w:rsidRPr="001F5EF5">
        <w:rPr>
          <w:rFonts w:ascii="Palatino Linotype" w:eastAsia="Palatino Linotype" w:hAnsi="Palatino Linotype" w:cs="Palatino Linotype"/>
          <w:b/>
          <w:color w:val="000000"/>
        </w:rPr>
        <w:t xml:space="preserve"> 00271/SMOV/IP/2021</w:t>
      </w:r>
      <w:r>
        <w:rPr>
          <w:rFonts w:ascii="Palatino Linotype" w:eastAsia="Palatino Linotype" w:hAnsi="Palatino Linotype" w:cs="Palatino Linotype"/>
          <w:color w:val="000000"/>
        </w:rPr>
        <w:t xml:space="preserve">, por resultar fundados motivos </w:t>
      </w:r>
      <w:r w:rsidR="001F5EF5">
        <w:rPr>
          <w:rFonts w:ascii="Palatino Linotype" w:eastAsia="Palatino Linotype" w:hAnsi="Palatino Linotype" w:cs="Palatino Linotype"/>
          <w:color w:val="000000"/>
        </w:rPr>
        <w:t>de inconformidad argüidos por el</w:t>
      </w:r>
      <w:r>
        <w:rPr>
          <w:rFonts w:ascii="Palatino Linotype" w:eastAsia="Palatino Linotype" w:hAnsi="Palatino Linotype" w:cs="Palatino Linotype"/>
          <w:color w:val="000000"/>
        </w:rPr>
        <w:t xml:space="preserve"> Recurrente, en términos del</w:t>
      </w:r>
      <w:r w:rsidR="001F5EF5">
        <w:rPr>
          <w:rFonts w:ascii="Palatino Linotype" w:eastAsia="Palatino Linotype" w:hAnsi="Palatino Linotype" w:cs="Palatino Linotype"/>
          <w:b/>
          <w:color w:val="000000"/>
        </w:rPr>
        <w:t xml:space="preserve"> Considerando CUAR</w:t>
      </w:r>
      <w:r>
        <w:rPr>
          <w:rFonts w:ascii="Palatino Linotype" w:eastAsia="Palatino Linotype" w:hAnsi="Palatino Linotype" w:cs="Palatino Linotype"/>
          <w:b/>
          <w:color w:val="000000"/>
        </w:rPr>
        <w:t xml:space="preserve">TO </w:t>
      </w:r>
      <w:r>
        <w:rPr>
          <w:rFonts w:ascii="Palatino Linotype" w:eastAsia="Palatino Linotype" w:hAnsi="Palatino Linotype" w:cs="Palatino Linotype"/>
          <w:color w:val="000000"/>
        </w:rPr>
        <w:t xml:space="preserve">de la presente resolución. </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SEGUNDO.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al Sujeto Obligado que </w:t>
      </w:r>
      <w:r w:rsidR="001F5EF5">
        <w:rPr>
          <w:rFonts w:ascii="Palatino Linotype" w:eastAsia="Palatino Linotype" w:hAnsi="Palatino Linotype" w:cs="Palatino Linotype"/>
          <w:color w:val="000000"/>
        </w:rPr>
        <w:t xml:space="preserve">realice una búsqueda exhaustiva y razonable en los archivos de las áreas competentes comprendiendo el periodo del primero de enero de dos mil quince al once de agosto de dos mil veintiuno, con el propósito de hacer entrega al Recurrente mediante el Sistema de Acceso a la Información Mexiquense, en versión pública de ser procedente y en términos del </w:t>
      </w:r>
      <w:r w:rsidR="001F5EF5">
        <w:rPr>
          <w:rFonts w:ascii="Palatino Linotype" w:eastAsia="Palatino Linotype" w:hAnsi="Palatino Linotype" w:cs="Palatino Linotype"/>
          <w:b/>
          <w:color w:val="000000"/>
        </w:rPr>
        <w:t>Considerando CUARTO</w:t>
      </w:r>
      <w:r w:rsidR="001F5EF5">
        <w:rPr>
          <w:rFonts w:ascii="Palatino Linotype" w:eastAsia="Palatino Linotype" w:hAnsi="Palatino Linotype" w:cs="Palatino Linotype"/>
          <w:color w:val="000000"/>
        </w:rPr>
        <w:t>, del documento o documentos en donde conste lo siguiente:</w:t>
      </w:r>
    </w:p>
    <w:p w:rsidR="001F5EF5" w:rsidRDefault="001F5EF5">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1F5EF5" w:rsidRDefault="001F5EF5" w:rsidP="001F5EF5">
      <w:pPr>
        <w:numPr>
          <w:ilvl w:val="0"/>
          <w:numId w:val="1"/>
        </w:numPr>
        <w:pBdr>
          <w:top w:val="nil"/>
          <w:left w:val="nil"/>
          <w:bottom w:val="nil"/>
          <w:right w:val="nil"/>
          <w:between w:val="nil"/>
        </w:pBdr>
        <w:spacing w:after="0" w:line="360" w:lineRule="auto"/>
        <w:ind w:left="1134" w:hanging="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Los nombres de los trabajadores contratados por tiempo u obra determinadas que hayan ocupado el cargo de “jefe de proyectos” en </w:t>
      </w:r>
      <w:r w:rsidRPr="001F5EF5">
        <w:rPr>
          <w:rFonts w:ascii="Palatino Linotype" w:eastAsia="Palatino Linotype" w:hAnsi="Palatino Linotype" w:cs="Palatino Linotype"/>
          <w:i/>
          <w:color w:val="000000"/>
        </w:rPr>
        <w:t>el programa de reducción física de vehículos</w:t>
      </w:r>
      <w:r>
        <w:rPr>
          <w:rFonts w:ascii="Palatino Linotype" w:eastAsia="Palatino Linotype" w:hAnsi="Palatino Linotype" w:cs="Palatino Linotype"/>
          <w:i/>
          <w:color w:val="000000"/>
        </w:rPr>
        <w:t xml:space="preserve"> adscritos a la Coordinación de Estudios y Proyectos Estratégicos.</w:t>
      </w:r>
    </w:p>
    <w:p w:rsidR="001F5EF5" w:rsidRDefault="001F5EF5" w:rsidP="001F5EF5">
      <w:pPr>
        <w:numPr>
          <w:ilvl w:val="0"/>
          <w:numId w:val="1"/>
        </w:numPr>
        <w:pBdr>
          <w:top w:val="nil"/>
          <w:left w:val="nil"/>
          <w:bottom w:val="nil"/>
          <w:right w:val="nil"/>
          <w:between w:val="nil"/>
        </w:pBdr>
        <w:spacing w:after="0" w:line="360" w:lineRule="auto"/>
        <w:ind w:left="1134" w:hanging="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Los nombres de los trabajadores contratados por tiempo indeterminado que hayan ocupado el cargo de “supervisor” adscritos a la Coordinación de Estudios y Proyectos Estratégicos.</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1F5EF5" w:rsidRDefault="001F5EF5">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17FBF" w:rsidRPr="00C17FBF" w:rsidRDefault="00C17FBF" w:rsidP="00C17FBF">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el supuesto de que una vez realizada la búsqueda exhaustiva y razonable se desprendiera el hecho de que </w:t>
      </w:r>
      <w:r w:rsidRPr="00C17FBF">
        <w:rPr>
          <w:rFonts w:ascii="Palatino Linotype" w:eastAsia="Palatino Linotype" w:hAnsi="Palatino Linotype" w:cs="Palatino Linotype"/>
          <w:color w:val="000000"/>
        </w:rPr>
        <w:t xml:space="preserve">el Sujeto Obligado </w:t>
      </w:r>
      <w:r>
        <w:rPr>
          <w:rFonts w:ascii="Palatino Linotype" w:eastAsia="Palatino Linotype" w:hAnsi="Palatino Linotype" w:cs="Palatino Linotype"/>
          <w:color w:val="000000"/>
        </w:rPr>
        <w:t>no generó</w:t>
      </w:r>
      <w:r w:rsidRPr="00C17FBF">
        <w:rPr>
          <w:rFonts w:ascii="Palatino Linotype" w:eastAsia="Palatino Linotype" w:hAnsi="Palatino Linotype" w:cs="Palatino Linotype"/>
          <w:color w:val="000000"/>
        </w:rPr>
        <w:t xml:space="preserve"> la información en el periodo señalado, bastará con que así lo haga del conocimiento del Recurrente, en términos del segundo párrafo del artículo 19 de la Ley de Transparencia y Acceso a la Información Pública del Estado de México y Municipios.</w:t>
      </w:r>
    </w:p>
    <w:p w:rsidR="001F5EF5" w:rsidRDefault="001F5EF5">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Notifíquese</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al Titular de la Unidad de Transparencia del</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E0214B" w:rsidRPr="00E0214B" w:rsidRDefault="004C420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CUARTO. </w:t>
      </w:r>
      <w:r w:rsidR="00E0214B">
        <w:rPr>
          <w:rFonts w:ascii="Palatino Linotype" w:eastAsia="Palatino Linotype" w:hAnsi="Palatino Linotype" w:cs="Palatino Linotype"/>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E0214B" w:rsidRDefault="00E0214B">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rsidR="00CA2120" w:rsidRDefault="00E0214B">
      <w:pPr>
        <w:pBdr>
          <w:top w:val="nil"/>
          <w:left w:val="nil"/>
          <w:bottom w:val="nil"/>
          <w:right w:val="nil"/>
          <w:between w:val="nil"/>
        </w:pBdr>
        <w:spacing w:after="0" w:line="360" w:lineRule="auto"/>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color w:val="000000"/>
        </w:rPr>
        <w:t xml:space="preserve">QUINTO. </w:t>
      </w:r>
      <w:r w:rsidR="004C4207">
        <w:rPr>
          <w:rFonts w:ascii="Palatino Linotype" w:eastAsia="Palatino Linotype" w:hAnsi="Palatino Linotype" w:cs="Palatino Linotype"/>
          <w:b/>
          <w:color w:val="000000"/>
        </w:rPr>
        <w:t xml:space="preserve">Notifíquese </w:t>
      </w:r>
      <w:r>
        <w:rPr>
          <w:rFonts w:ascii="Palatino Linotype" w:eastAsia="Palatino Linotype" w:hAnsi="Palatino Linotype" w:cs="Palatino Linotype"/>
          <w:color w:val="000000"/>
        </w:rPr>
        <w:t>la presente resolución al</w:t>
      </w:r>
      <w:r w:rsidR="004C4207">
        <w:rPr>
          <w:rFonts w:ascii="Palatino Linotype" w:eastAsia="Palatino Linotype" w:hAnsi="Palatino Linotype" w:cs="Palatino Linotype"/>
          <w:color w:val="000000"/>
        </w:rPr>
        <w:t xml:space="preserve"> Recurrente y hágase de su conocimiento que, </w:t>
      </w:r>
      <w:r w:rsidR="004C4207">
        <w:rPr>
          <w:rFonts w:ascii="Palatino Linotype" w:eastAsia="Palatino Linotype" w:hAnsi="Palatino Linotype" w:cs="Palatino Linotype"/>
          <w:color w:val="000000"/>
          <w:highlight w:val="white"/>
        </w:rPr>
        <w:t>de conformidad con lo establecido en el artículo 196 de la Ley de Transparencia y Acceso a la Información Pública del Estado de México y Municipios, podrá promover el Juicio de Amparo en los términos de las leyes aplicables.</w:t>
      </w:r>
    </w:p>
    <w:p w:rsidR="00CA2120" w:rsidRDefault="00CA212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CA2120" w:rsidRDefault="004C4207"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LO RESUELVE POR UNANIMIDAD DE VOTOS, EL PLENO DEL INSTITUTO DE TRANSPARENCIA, ACCESO A LA INFORMACIÓN PÚBLICA Y PROTECCIÓN DE DATOS PERSONALES DEL ESTADO DE MÉXICO Y MUNICIPIOS, CONFORMADO POR LOS </w:t>
      </w:r>
      <w:r>
        <w:rPr>
          <w:rFonts w:ascii="Palatino Linotype" w:eastAsia="Palatino Linotype" w:hAnsi="Palatino Linotype" w:cs="Palatino Linotype"/>
          <w:color w:val="000000"/>
        </w:rPr>
        <w:lastRenderedPageBreak/>
        <w:t xml:space="preserve">COMISIONADOS LOS COMISIONADOS JOSÉ MARTÍNEZ VILCHIS, MARÍA DEL ROSARIO MEJÍA AYALA, SHARON CRISTINA MORALES MARTÍNEZ, LUIS GUSTAVO PARRA NORIEGA Y GUADALUPE RAMÍREZ PEÑA, </w:t>
      </w:r>
      <w:r w:rsidR="0034235B">
        <w:rPr>
          <w:rFonts w:ascii="Palatino Linotype" w:eastAsia="Palatino Linotype" w:hAnsi="Palatino Linotype" w:cs="Palatino Linotype"/>
          <w:color w:val="000000"/>
        </w:rPr>
        <w:t>EN LA TRIGÉSIMA SÉPTIMA</w:t>
      </w:r>
      <w:r>
        <w:rPr>
          <w:rFonts w:ascii="Palatino Linotype" w:eastAsia="Palatino Linotype" w:hAnsi="Palatino Linotype" w:cs="Palatino Linotype"/>
          <w:color w:val="000000"/>
        </w:rPr>
        <w:t xml:space="preserve"> SES</w:t>
      </w:r>
      <w:r w:rsidR="0034235B">
        <w:rPr>
          <w:rFonts w:ascii="Palatino Linotype" w:eastAsia="Palatino Linotype" w:hAnsi="Palatino Linotype" w:cs="Palatino Linotype"/>
          <w:color w:val="000000"/>
        </w:rPr>
        <w:t>ION ORDINARIA CELEBRADA EL VEINTE</w:t>
      </w:r>
      <w:r>
        <w:rPr>
          <w:rFonts w:ascii="Palatino Linotype" w:eastAsia="Palatino Linotype" w:hAnsi="Palatino Linotype" w:cs="Palatino Linotype"/>
          <w:color w:val="000000"/>
        </w:rPr>
        <w:t xml:space="preserve"> DE OCTUBRE DE DOS MIL VEINTIUNO, ANTE EL SECRETARIO TÉCNICO DEL PLENO, ALEXIS TAPIA RAMÍREZ.</w:t>
      </w:r>
      <w:r w:rsidR="00CD7A3F">
        <w:rPr>
          <w:rFonts w:ascii="Palatino Linotype" w:eastAsia="Palatino Linotype" w:hAnsi="Palatino Linotype" w:cs="Palatino Linotype"/>
          <w:color w:val="000000"/>
        </w:rPr>
        <w:t>----------------------------------------------------------------------------------------------------------------------------------------------------------------------------------------------------------------------------------------------------------------------------------------------------------------------------------------------------------------------------------------------------------------------------------------------------------------------------------------------------------------------------------------------------------------------------------------------------------------------------------------------------------------------------------------------------------------------------------------------------------------------------------------------------------------------------------------------------------------------------------------------------------</w:t>
      </w:r>
      <w:r w:rsidR="0034235B">
        <w:rPr>
          <w:rFonts w:ascii="Palatino Linotype" w:eastAsia="Palatino Linotype" w:hAnsi="Palatino Linotype" w:cs="Palatino Linotype"/>
          <w:color w:val="000000"/>
        </w:rPr>
        <w:t>--------</w:t>
      </w:r>
      <w:r w:rsidR="00856EF4">
        <w:rPr>
          <w:rFonts w:ascii="Palatino Linotype" w:eastAsia="Palatino Linotype" w:hAnsi="Palatino Linotype" w:cs="Palatino Linotype"/>
          <w:color w:val="000000"/>
        </w:rPr>
        <w:t>---------------------------------------------------------------------------------------------------------------------------------------------------------------------------------------------------------------------------------------------------------------------------------------------------------------------------------------------------------------------------------------------------------------------------------------------------------------------------------------------------------------------------------------------------------------------------------------------------------------------------------------------------------------------------------------------------------------------------------------------------------------------------------------------------------------------------------------------------------------------------------------------------------------------------------------------------------------------------------------------------------------------------------------------------------------------------------------------------------------------------------------------------------------------------------------------------------------------------------------------------------------------------------------------------------------------------------------------------------------------------------------------------------------------------------------------------------------------------------------------------------------------------------------------------------------------------------------------------------------------------------------------------------------</w:t>
      </w:r>
    </w:p>
    <w:p w:rsidR="00CA2120"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r w:rsidRPr="00CD7A3F">
        <w:rPr>
          <w:rFonts w:ascii="Palatino Linotype" w:eastAsia="Palatino Linotype" w:hAnsi="Palatino Linotype" w:cs="Palatino Linotype"/>
          <w:color w:val="000000"/>
          <w:sz w:val="18"/>
          <w:szCs w:val="18"/>
        </w:rPr>
        <w:t>JMV/CCR</w:t>
      </w:r>
      <w:r w:rsidR="004C4207" w:rsidRPr="00CD7A3F">
        <w:rPr>
          <w:rFonts w:ascii="Palatino Linotype" w:eastAsia="Palatino Linotype" w:hAnsi="Palatino Linotype" w:cs="Palatino Linotype"/>
          <w:color w:val="000000"/>
          <w:sz w:val="18"/>
          <w:szCs w:val="18"/>
        </w:rPr>
        <w:t>/</w:t>
      </w:r>
      <w:proofErr w:type="spellStart"/>
      <w:r w:rsidR="004C4207" w:rsidRPr="00CD7A3F">
        <w:rPr>
          <w:rFonts w:ascii="Palatino Linotype" w:eastAsia="Palatino Linotype" w:hAnsi="Palatino Linotype" w:cs="Palatino Linotype"/>
          <w:color w:val="000000"/>
          <w:sz w:val="18"/>
          <w:szCs w:val="18"/>
        </w:rPr>
        <w:t>fzh</w:t>
      </w:r>
      <w:proofErr w:type="spellEnd"/>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CD7A3F" w:rsidRPr="00CD7A3F" w:rsidRDefault="00CD7A3F" w:rsidP="00CD7A3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sectPr w:rsidR="00CD7A3F" w:rsidRPr="00CD7A3F">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F79" w:rsidRDefault="00380F79">
      <w:pPr>
        <w:spacing w:after="0" w:line="240" w:lineRule="auto"/>
      </w:pPr>
      <w:r>
        <w:separator/>
      </w:r>
    </w:p>
  </w:endnote>
  <w:endnote w:type="continuationSeparator" w:id="0">
    <w:p w:rsidR="00380F79" w:rsidRDefault="00380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EF5" w:rsidRDefault="001F5EF5">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43A0D">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43A0D">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EF5" w:rsidRDefault="001F5EF5">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43A0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43A0D">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F79" w:rsidRDefault="00380F79">
      <w:pPr>
        <w:spacing w:after="0" w:line="240" w:lineRule="auto"/>
      </w:pPr>
      <w:r>
        <w:separator/>
      </w:r>
    </w:p>
  </w:footnote>
  <w:footnote w:type="continuationSeparator" w:id="0">
    <w:p w:rsidR="00380F79" w:rsidRDefault="00380F79">
      <w:pPr>
        <w:spacing w:after="0" w:line="240" w:lineRule="auto"/>
      </w:pPr>
      <w:r>
        <w:continuationSeparator/>
      </w:r>
    </w:p>
  </w:footnote>
  <w:footnote w:id="1">
    <w:p w:rsidR="001F5EF5" w:rsidRDefault="001F5EF5">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 lo siguiente:</w:t>
      </w:r>
    </w:p>
    <w:p w:rsidR="001F5EF5" w:rsidRDefault="001F5EF5">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p>
    <w:p w:rsidR="001F5EF5" w:rsidRDefault="001F5EF5">
      <w:pPr>
        <w:jc w:val="both"/>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 xml:space="preserve">IMPROCEDENCIA Y SOBRESEIMIENTO EN EL JUICIO DE AMPARO. LAS CAUSAS PREVISTAS EN LOS ARTÍCULOS 73 Y 74 DE LA LEY DE LA MATERIA, RESPECTIVAMENTE, NO SON INCOMPATIBLES CON EL ARTÍCULO 25.1 DE LA CONVENCIÓN AMERICANA SOBRE DERECHOS HUMANOS. </w:t>
      </w:r>
    </w:p>
    <w:p w:rsidR="001F5EF5" w:rsidRDefault="001F5EF5">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Del examen de compatibilidad de los artículos </w:t>
      </w:r>
      <w:hyperlink r:id="rId1">
        <w:r>
          <w:rPr>
            <w:rFonts w:ascii="Palatino Linotype" w:eastAsia="Palatino Linotype" w:hAnsi="Palatino Linotype" w:cs="Palatino Linotype"/>
            <w:i/>
            <w:color w:val="000000"/>
            <w:sz w:val="18"/>
            <w:szCs w:val="18"/>
            <w:u w:val="single"/>
          </w:rPr>
          <w:t>73 y 74 de la Ley de Amparo</w:t>
        </w:r>
      </w:hyperlink>
      <w:r>
        <w:rPr>
          <w:rFonts w:ascii="Palatino Linotype" w:eastAsia="Palatino Linotype" w:hAnsi="Palatino Linotype" w:cs="Palatino Linotype"/>
          <w:i/>
          <w:sz w:val="18"/>
          <w:szCs w:val="18"/>
        </w:rPr>
        <w:t> con el artículo </w:t>
      </w:r>
      <w:hyperlink r:id="rId2">
        <w:r>
          <w:rPr>
            <w:rFonts w:ascii="Palatino Linotype" w:eastAsia="Palatino Linotype" w:hAnsi="Palatino Linotype" w:cs="Palatino Linotype"/>
            <w:i/>
            <w:color w:val="000000"/>
            <w:sz w:val="18"/>
            <w:szCs w:val="18"/>
            <w:u w:val="single"/>
          </w:rPr>
          <w:t>25.1 de la Convención Americana sobre Derechos Humanos</w:t>
        </w:r>
      </w:hyperlink>
      <w:r>
        <w:rPr>
          <w:rFonts w:ascii="Palatino Linotype" w:eastAsia="Palatino Linotype" w:hAnsi="Palatino Linotype" w:cs="Palatino Linotype"/>
          <w:i/>
          <w:sz w:val="18"/>
          <w:szCs w:val="18"/>
        </w:rPr>
        <w:t> </w:t>
      </w:r>
      <w:r>
        <w:rPr>
          <w:rFonts w:ascii="Palatino Linotype" w:eastAsia="Palatino Linotype" w:hAnsi="Palatino Linotype" w:cs="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eastAsia="Palatino Linotype" w:hAnsi="Palatino Linotype" w:cs="Palatino Linotype"/>
          <w:i/>
          <w:sz w:val="18"/>
          <w:szCs w:val="18"/>
        </w:rPr>
        <w:t>concesoria</w:t>
      </w:r>
      <w:proofErr w:type="spellEnd"/>
      <w:r>
        <w:rPr>
          <w:rFonts w:ascii="Palatino Linotype" w:eastAsia="Palatino Linotype" w:hAnsi="Palatino Linotype" w:cs="Palatino Linotype"/>
          <w:i/>
          <w:sz w:val="18"/>
          <w:szCs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F5EF5" w:rsidRDefault="001F5EF5">
      <w:pPr>
        <w:pStyle w:val="Textonotapie"/>
        <w:rPr>
          <w:rFonts w:ascii="Palatino Linotype" w:hAnsi="Palatino Linotype"/>
        </w:rPr>
      </w:pPr>
      <w:r w:rsidRPr="00AC72B2">
        <w:rPr>
          <w:rStyle w:val="Refdenotaalpie"/>
          <w:rFonts w:ascii="Palatino Linotype" w:hAnsi="Palatino Linotype"/>
        </w:rPr>
        <w:footnoteRef/>
      </w:r>
      <w:r w:rsidRPr="00AC72B2">
        <w:rPr>
          <w:rFonts w:ascii="Palatino Linotype" w:hAnsi="Palatino Linotype"/>
        </w:rPr>
        <w:t xml:space="preserve"> </w:t>
      </w:r>
      <w:r>
        <w:rPr>
          <w:rFonts w:ascii="Palatino Linotype" w:hAnsi="Palatino Linotype"/>
        </w:rPr>
        <w:t>Dicho Reglamento puede ser consultado en la siguiente página:</w:t>
      </w:r>
    </w:p>
    <w:p w:rsidR="001F5EF5" w:rsidRPr="00AC72B2" w:rsidRDefault="00743A0D">
      <w:pPr>
        <w:pStyle w:val="Textonotapie"/>
        <w:rPr>
          <w:rFonts w:ascii="Palatino Linotype" w:hAnsi="Palatino Linotype"/>
        </w:rPr>
      </w:pPr>
      <w:hyperlink r:id="rId3" w:history="1">
        <w:r w:rsidR="001F5EF5" w:rsidRPr="00234D34">
          <w:rPr>
            <w:rStyle w:val="Hipervnculo"/>
            <w:rFonts w:ascii="Palatino Linotype" w:hAnsi="Palatino Linotype"/>
          </w:rPr>
          <w:t>https://smovilidad.edomex.gob.mx/sites/smovilidad.edomex.gob.mx/files/files/pdf/NORMATECA%20INTERNA_2020.pdf</w:t>
        </w:r>
      </w:hyperlink>
      <w:r w:rsidR="001F5EF5">
        <w:rPr>
          <w:rFonts w:ascii="Palatino Linotype" w:hAnsi="Palatino Linotype"/>
        </w:rPr>
        <w:t xml:space="preserve"> </w:t>
      </w:r>
    </w:p>
  </w:footnote>
  <w:footnote w:id="3">
    <w:p w:rsidR="001F5EF5" w:rsidRPr="00546E82" w:rsidRDefault="001F5EF5">
      <w:pPr>
        <w:pStyle w:val="Textonotapie"/>
        <w:rPr>
          <w:rFonts w:ascii="Palatino Linotype" w:hAnsi="Palatino Linotype"/>
        </w:rPr>
      </w:pPr>
      <w:r>
        <w:rPr>
          <w:rStyle w:val="Refdenotaalpie"/>
        </w:rPr>
        <w:footnoteRef/>
      </w:r>
      <w:r>
        <w:t xml:space="preserve"> </w:t>
      </w:r>
      <w:r>
        <w:rPr>
          <w:rFonts w:ascii="Palatino Linotype" w:hAnsi="Palatino Linotype"/>
        </w:rPr>
        <w:t xml:space="preserve">Consultado en la siguiente página electrónica: </w:t>
      </w:r>
      <w:hyperlink r:id="rId4" w:history="1">
        <w:r w:rsidRPr="00234D34">
          <w:rPr>
            <w:rStyle w:val="Hipervnculo"/>
            <w:rFonts w:ascii="Palatino Linotype" w:hAnsi="Palatino Linotype"/>
          </w:rPr>
          <w:t>https://legislacion.edomex.gob.mx/sites/legislacion.edomex.gob.mx/files/files/pdf/gct/2015/oct287.pdf</w:t>
        </w:r>
      </w:hyperlink>
      <w:r>
        <w:rPr>
          <w:rFonts w:ascii="Palatino Linotype" w:hAnsi="Palatino Linotype"/>
        </w:rPr>
        <w:t xml:space="preserve"> </w:t>
      </w:r>
    </w:p>
  </w:footnote>
  <w:footnote w:id="4">
    <w:p w:rsidR="001F5EF5" w:rsidRPr="008B5D69" w:rsidRDefault="001F5EF5" w:rsidP="00A16E0A">
      <w:pPr>
        <w:pStyle w:val="Textonotapie"/>
        <w:jc w:val="both"/>
        <w:rPr>
          <w:rFonts w:ascii="Palatino Linotype" w:hAnsi="Palatino Linotype"/>
          <w:i/>
        </w:rPr>
      </w:pPr>
      <w:r w:rsidRPr="008B5D69">
        <w:rPr>
          <w:rStyle w:val="Refdenotaalpie"/>
          <w:i/>
        </w:rPr>
        <w:footnoteRef/>
      </w:r>
      <w:r w:rsidRPr="008B5D69">
        <w:rPr>
          <w:i/>
        </w:rPr>
        <w:t xml:space="preserve"> </w:t>
      </w:r>
      <w:r w:rsidRPr="008B5D69">
        <w:rPr>
          <w:rFonts w:ascii="Palatino Linotype" w:hAnsi="Palatino Linotype"/>
          <w:b/>
          <w:i/>
        </w:rPr>
        <w:t>Artículo 12.</w:t>
      </w:r>
      <w:r w:rsidRPr="008B5D69">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1F5EF5" w:rsidRPr="008B5D69" w:rsidRDefault="001F5EF5" w:rsidP="00A16E0A">
      <w:pPr>
        <w:pStyle w:val="Textonotapie"/>
        <w:jc w:val="both"/>
        <w:rPr>
          <w:rFonts w:ascii="Palatino Linotype" w:hAnsi="Palatino Linotype"/>
          <w:i/>
        </w:rPr>
      </w:pPr>
    </w:p>
    <w:p w:rsidR="001F5EF5" w:rsidRDefault="001F5EF5" w:rsidP="00A16E0A">
      <w:pPr>
        <w:pStyle w:val="Textonotapie"/>
        <w:jc w:val="both"/>
      </w:pPr>
      <w:r w:rsidRPr="008B5D69">
        <w:rPr>
          <w:rFonts w:ascii="Palatino Linotype" w:hAnsi="Palatino Linotype"/>
          <w:b/>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B5D69">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BAE" w:rsidRDefault="00743A0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92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EF5" w:rsidRDefault="00743A0D">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92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Style w:val="a0"/>
      <w:tblW w:w="9073" w:type="dxa"/>
      <w:tblInd w:w="0" w:type="dxa"/>
      <w:tblLayout w:type="fixed"/>
      <w:tblLook w:val="0400" w:firstRow="0" w:lastRow="0" w:firstColumn="0" w:lastColumn="0" w:noHBand="0" w:noVBand="1"/>
    </w:tblPr>
    <w:tblGrid>
      <w:gridCol w:w="5098"/>
      <w:gridCol w:w="3975"/>
    </w:tblGrid>
    <w:tr w:rsidR="001F5EF5">
      <w:trPr>
        <w:trHeight w:val="227"/>
      </w:trPr>
      <w:tc>
        <w:tcPr>
          <w:tcW w:w="5098" w:type="dxa"/>
        </w:tcPr>
        <w:p w:rsidR="001F5EF5" w:rsidRDefault="001F5EF5">
          <w:pPr>
            <w:spacing w:after="120" w:line="256" w:lineRule="auto"/>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3975" w:type="dxa"/>
        </w:tcPr>
        <w:p w:rsidR="001F5EF5" w:rsidRDefault="001F5EF5">
          <w:pPr>
            <w:spacing w:after="120" w:line="256" w:lineRule="auto"/>
            <w:ind w:left="208" w:right="214"/>
            <w:jc w:val="right"/>
            <w:rPr>
              <w:rFonts w:ascii="Palatino Linotype" w:eastAsia="Palatino Linotype" w:hAnsi="Palatino Linotype" w:cs="Palatino Linotype"/>
            </w:rPr>
          </w:pPr>
          <w:r>
            <w:rPr>
              <w:rFonts w:ascii="Palatino Linotype" w:eastAsia="Palatino Linotype" w:hAnsi="Palatino Linotype" w:cs="Palatino Linotype"/>
            </w:rPr>
            <w:t>04535/INFOEM/IP/RR/2021 y Acumulado</w:t>
          </w:r>
        </w:p>
      </w:tc>
    </w:tr>
    <w:tr w:rsidR="001F5EF5">
      <w:trPr>
        <w:trHeight w:val="242"/>
      </w:trPr>
      <w:tc>
        <w:tcPr>
          <w:tcW w:w="5098" w:type="dxa"/>
        </w:tcPr>
        <w:p w:rsidR="001F5EF5" w:rsidRDefault="001F5EF5">
          <w:pPr>
            <w:spacing w:after="120" w:line="256" w:lineRule="auto"/>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975" w:type="dxa"/>
        </w:tcPr>
        <w:p w:rsidR="001F5EF5" w:rsidRDefault="001F5EF5">
          <w:pPr>
            <w:spacing w:after="120" w:line="256" w:lineRule="auto"/>
            <w:ind w:left="72" w:right="214"/>
            <w:jc w:val="right"/>
            <w:rPr>
              <w:rFonts w:ascii="Palatino Linotype" w:eastAsia="Palatino Linotype" w:hAnsi="Palatino Linotype" w:cs="Palatino Linotype"/>
            </w:rPr>
          </w:pPr>
          <w:r>
            <w:rPr>
              <w:rFonts w:ascii="Palatino Linotype" w:eastAsia="Palatino Linotype" w:hAnsi="Palatino Linotype" w:cs="Palatino Linotype"/>
            </w:rPr>
            <w:t>Secretaría de Movilidad</w:t>
          </w:r>
        </w:p>
      </w:tc>
    </w:tr>
    <w:tr w:rsidR="001F5EF5">
      <w:trPr>
        <w:trHeight w:val="342"/>
      </w:trPr>
      <w:tc>
        <w:tcPr>
          <w:tcW w:w="5098" w:type="dxa"/>
        </w:tcPr>
        <w:p w:rsidR="001F5EF5" w:rsidRDefault="001F5EF5">
          <w:pPr>
            <w:tabs>
              <w:tab w:val="left" w:pos="4892"/>
            </w:tabs>
            <w:spacing w:after="120" w:line="256" w:lineRule="auto"/>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975" w:type="dxa"/>
        </w:tcPr>
        <w:p w:rsidR="001F5EF5" w:rsidRDefault="001F5EF5">
          <w:pPr>
            <w:spacing w:after="120" w:line="256" w:lineRule="auto"/>
            <w:ind w:left="208" w:right="214"/>
            <w:jc w:val="right"/>
            <w:rPr>
              <w:rFonts w:ascii="Palatino Linotype" w:eastAsia="Palatino Linotype" w:hAnsi="Palatino Linotype" w:cs="Palatino Linotype"/>
            </w:rPr>
          </w:pPr>
          <w:r>
            <w:rPr>
              <w:rFonts w:ascii="Palatino Linotype" w:eastAsia="Palatino Linotype" w:hAnsi="Palatino Linotype" w:cs="Palatino Linotype"/>
            </w:rPr>
            <w:t>José Martínez Vilchis</w:t>
          </w:r>
        </w:p>
      </w:tc>
    </w:tr>
  </w:tbl>
  <w:p w:rsidR="001F5EF5" w:rsidRDefault="001F5EF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EF5" w:rsidRDefault="00743A0D">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8"/>
        <w:szCs w:val="18"/>
      </w:rPr>
    </w:pPr>
    <w:r>
      <w:rPr>
        <w:rFonts w:ascii="Palatino Linotype" w:eastAsia="Palatino Linotype" w:hAnsi="Palatino Linotype" w:cs="Palatino Linotype"/>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92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tbl>
    <w:tblPr>
      <w:tblStyle w:val="a"/>
      <w:tblW w:w="9219" w:type="dxa"/>
      <w:tblInd w:w="-5" w:type="dxa"/>
      <w:tblLayout w:type="fixed"/>
      <w:tblLook w:val="0400" w:firstRow="0" w:lastRow="0" w:firstColumn="0" w:lastColumn="0" w:noHBand="0" w:noVBand="1"/>
    </w:tblPr>
    <w:tblGrid>
      <w:gridCol w:w="5103"/>
      <w:gridCol w:w="4116"/>
    </w:tblGrid>
    <w:tr w:rsidR="001F5EF5">
      <w:trPr>
        <w:trHeight w:val="227"/>
      </w:trPr>
      <w:tc>
        <w:tcPr>
          <w:tcW w:w="5103" w:type="dxa"/>
        </w:tcPr>
        <w:p w:rsidR="001F5EF5" w:rsidRDefault="001F5EF5">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116" w:type="dxa"/>
        </w:tcPr>
        <w:p w:rsidR="001F5EF5" w:rsidRDefault="001F5EF5">
          <w:pPr>
            <w:spacing w:after="120" w:line="256" w:lineRule="auto"/>
            <w:ind w:left="208" w:right="214"/>
            <w:jc w:val="right"/>
            <w:rPr>
              <w:rFonts w:ascii="Palatino Linotype" w:eastAsia="Palatino Linotype" w:hAnsi="Palatino Linotype" w:cs="Palatino Linotype"/>
            </w:rPr>
          </w:pPr>
          <w:r>
            <w:rPr>
              <w:rFonts w:ascii="Palatino Linotype" w:eastAsia="Palatino Linotype" w:hAnsi="Palatino Linotype" w:cs="Palatino Linotype"/>
            </w:rPr>
            <w:t>04535/INFOEM/IP/RR/2021 y Acumulado</w:t>
          </w:r>
        </w:p>
      </w:tc>
    </w:tr>
    <w:tr w:rsidR="001F5EF5">
      <w:trPr>
        <w:trHeight w:val="196"/>
      </w:trPr>
      <w:tc>
        <w:tcPr>
          <w:tcW w:w="5103" w:type="dxa"/>
        </w:tcPr>
        <w:p w:rsidR="001F5EF5" w:rsidRDefault="001F5EF5">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116" w:type="dxa"/>
        </w:tcPr>
        <w:p w:rsidR="001F5EF5" w:rsidRDefault="00743A0D">
          <w:pPr>
            <w:spacing w:after="120" w:line="256" w:lineRule="auto"/>
            <w:ind w:left="208" w:right="214"/>
            <w:jc w:val="right"/>
            <w:rPr>
              <w:rFonts w:ascii="Palatino Linotype" w:eastAsia="Palatino Linotype" w:hAnsi="Palatino Linotype" w:cs="Palatino Linotype"/>
            </w:rPr>
          </w:pPr>
          <w:proofErr w:type="spellStart"/>
          <w:r>
            <w:rPr>
              <w:rFonts w:ascii="Palatino Linotype" w:eastAsia="Palatino Linotype" w:hAnsi="Palatino Linotype" w:cs="Palatino Linotype"/>
            </w:rPr>
            <w:t>xxxxxxxxxxxxxx</w:t>
          </w:r>
          <w:proofErr w:type="spellEnd"/>
        </w:p>
      </w:tc>
    </w:tr>
    <w:tr w:rsidR="001F5EF5">
      <w:trPr>
        <w:trHeight w:val="242"/>
      </w:trPr>
      <w:tc>
        <w:tcPr>
          <w:tcW w:w="5103" w:type="dxa"/>
        </w:tcPr>
        <w:p w:rsidR="001F5EF5" w:rsidRDefault="001F5EF5">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116" w:type="dxa"/>
        </w:tcPr>
        <w:p w:rsidR="001F5EF5" w:rsidRDefault="001F5EF5">
          <w:pPr>
            <w:spacing w:after="120" w:line="256" w:lineRule="auto"/>
            <w:ind w:left="208" w:right="214"/>
            <w:jc w:val="right"/>
            <w:rPr>
              <w:rFonts w:ascii="Palatino Linotype" w:eastAsia="Palatino Linotype" w:hAnsi="Palatino Linotype" w:cs="Palatino Linotype"/>
            </w:rPr>
          </w:pPr>
          <w:r>
            <w:rPr>
              <w:rFonts w:ascii="Palatino Linotype" w:eastAsia="Palatino Linotype" w:hAnsi="Palatino Linotype" w:cs="Palatino Linotype"/>
            </w:rPr>
            <w:t>Secretaría de Movilidad</w:t>
          </w:r>
        </w:p>
      </w:tc>
    </w:tr>
    <w:tr w:rsidR="001F5EF5">
      <w:trPr>
        <w:trHeight w:val="342"/>
      </w:trPr>
      <w:tc>
        <w:tcPr>
          <w:tcW w:w="5103" w:type="dxa"/>
        </w:tcPr>
        <w:p w:rsidR="001F5EF5" w:rsidRDefault="001F5EF5">
          <w:pPr>
            <w:tabs>
              <w:tab w:val="left" w:pos="4892"/>
            </w:tabs>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4116" w:type="dxa"/>
        </w:tcPr>
        <w:p w:rsidR="001F5EF5" w:rsidRDefault="001F5EF5">
          <w:pPr>
            <w:spacing w:after="120" w:line="256" w:lineRule="auto"/>
            <w:ind w:left="208" w:right="214"/>
            <w:jc w:val="right"/>
            <w:rPr>
              <w:rFonts w:ascii="Palatino Linotype" w:eastAsia="Palatino Linotype" w:hAnsi="Palatino Linotype" w:cs="Palatino Linotype"/>
            </w:rPr>
          </w:pPr>
          <w:r>
            <w:rPr>
              <w:rFonts w:ascii="Palatino Linotype" w:eastAsia="Palatino Linotype" w:hAnsi="Palatino Linotype" w:cs="Palatino Linotype"/>
            </w:rPr>
            <w:t>José Martínez Vilchis</w:t>
          </w:r>
        </w:p>
      </w:tc>
    </w:tr>
  </w:tbl>
  <w:p w:rsidR="001F5EF5" w:rsidRDefault="001F5EF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17E93"/>
    <w:multiLevelType w:val="multilevel"/>
    <w:tmpl w:val="20083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F852A85"/>
    <w:multiLevelType w:val="multilevel"/>
    <w:tmpl w:val="D42E8072"/>
    <w:lvl w:ilvl="0">
      <w:start w:val="1"/>
      <w:numFmt w:val="upperRoman"/>
      <w:lvlText w:val="%1."/>
      <w:lvlJc w:val="left"/>
      <w:pPr>
        <w:ind w:left="1287" w:hanging="72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60E87CB5"/>
    <w:multiLevelType w:val="multilevel"/>
    <w:tmpl w:val="079EA144"/>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isplayBackgroundShape/>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120"/>
    <w:rsid w:val="0003016B"/>
    <w:rsid w:val="0004495A"/>
    <w:rsid w:val="00080DAF"/>
    <w:rsid w:val="001826A5"/>
    <w:rsid w:val="001B00FB"/>
    <w:rsid w:val="001C2154"/>
    <w:rsid w:val="001F5EF5"/>
    <w:rsid w:val="00216F63"/>
    <w:rsid w:val="00220007"/>
    <w:rsid w:val="0034235B"/>
    <w:rsid w:val="00380F79"/>
    <w:rsid w:val="0043086E"/>
    <w:rsid w:val="00470CBE"/>
    <w:rsid w:val="004755F4"/>
    <w:rsid w:val="004855F2"/>
    <w:rsid w:val="004B7910"/>
    <w:rsid w:val="004C4207"/>
    <w:rsid w:val="004E03C7"/>
    <w:rsid w:val="004F3739"/>
    <w:rsid w:val="00531592"/>
    <w:rsid w:val="00546E82"/>
    <w:rsid w:val="0057562C"/>
    <w:rsid w:val="00593236"/>
    <w:rsid w:val="005B0EBA"/>
    <w:rsid w:val="005D55A6"/>
    <w:rsid w:val="00610F84"/>
    <w:rsid w:val="00611E4E"/>
    <w:rsid w:val="006205E0"/>
    <w:rsid w:val="006210E8"/>
    <w:rsid w:val="0064337E"/>
    <w:rsid w:val="006C2BFE"/>
    <w:rsid w:val="00706C65"/>
    <w:rsid w:val="00743A0D"/>
    <w:rsid w:val="007972FE"/>
    <w:rsid w:val="007D0BBF"/>
    <w:rsid w:val="00856EF4"/>
    <w:rsid w:val="008B5D69"/>
    <w:rsid w:val="008B71AB"/>
    <w:rsid w:val="008D2105"/>
    <w:rsid w:val="008F2098"/>
    <w:rsid w:val="00936BAE"/>
    <w:rsid w:val="00964C97"/>
    <w:rsid w:val="009B4BC0"/>
    <w:rsid w:val="00A05D11"/>
    <w:rsid w:val="00A16E0A"/>
    <w:rsid w:val="00A429B5"/>
    <w:rsid w:val="00AC72B2"/>
    <w:rsid w:val="00B0179E"/>
    <w:rsid w:val="00B44B1F"/>
    <w:rsid w:val="00BF0A39"/>
    <w:rsid w:val="00BF649E"/>
    <w:rsid w:val="00C17FBF"/>
    <w:rsid w:val="00CA2120"/>
    <w:rsid w:val="00CD7A3F"/>
    <w:rsid w:val="00D37077"/>
    <w:rsid w:val="00D43D44"/>
    <w:rsid w:val="00D703BA"/>
    <w:rsid w:val="00DC13D6"/>
    <w:rsid w:val="00DC1C7A"/>
    <w:rsid w:val="00E0214B"/>
    <w:rsid w:val="00E7751C"/>
    <w:rsid w:val="00EC45B8"/>
    <w:rsid w:val="00EC6CE9"/>
    <w:rsid w:val="00F0216F"/>
    <w:rsid w:val="00F267BC"/>
    <w:rsid w:val="00F73871"/>
    <w:rsid w:val="00FF57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2527172-4AB2-411B-A455-C7753251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4C0459"/>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580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gi.edomex.gob.mx/sites/dgi.edomex.gob.mx/files/organigramas/pdf/373812791742.pdf"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smovilidad.edomex.gob.mx/sites/smovilidad.edomex.gob.mx/files/files/pdf/NORMATECA%20INTERNA_2020.pdf"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https://legislacion.edomex.gob.mx/sites/legislacion.edomex.gob.mx/files/files/pdf/gct/2015/oct28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cGMEWNE9tQ5klOJLCVeeavUhhQ==">AMUW2mVjtPcUEdoX5Vd1yS18s5hYih61AS2x3EF/jvq0x0paG/tYRjyDwGDP0OKMmwPaPtNFnhIUzS7QafNq9mph1eaY2/FuO0rI21fEPkWKKzQ1aF0BsIXpZ+UdMW5okLGdGG6f/Bw/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D89D4D-C637-4321-873C-3D1C93771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33</Pages>
  <Words>9351</Words>
  <Characters>51432</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25</cp:revision>
  <dcterms:created xsi:type="dcterms:W3CDTF">2021-09-29T20:32:00Z</dcterms:created>
  <dcterms:modified xsi:type="dcterms:W3CDTF">2021-11-05T00:19:00Z</dcterms:modified>
</cp:coreProperties>
</file>