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60968ACA" w:rsidR="00E15E85" w:rsidRPr="001708B9"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1708B9">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330809">
        <w:rPr>
          <w:rFonts w:ascii="Palatino Linotype" w:eastAsia="Times New Roman" w:hAnsi="Palatino Linotype" w:cs="Arial"/>
          <w:color w:val="000000"/>
          <w:sz w:val="24"/>
          <w:szCs w:val="24"/>
          <w:lang w:val="es-ES" w:eastAsia="es-MX"/>
        </w:rPr>
        <w:t>catorce de julio</w:t>
      </w:r>
      <w:r w:rsidR="001708B9" w:rsidRPr="001708B9">
        <w:rPr>
          <w:rFonts w:ascii="Palatino Linotype" w:eastAsia="Times New Roman" w:hAnsi="Palatino Linotype" w:cs="Arial"/>
          <w:color w:val="000000"/>
          <w:sz w:val="24"/>
          <w:szCs w:val="24"/>
          <w:lang w:val="es-ES" w:eastAsia="es-MX"/>
        </w:rPr>
        <w:t xml:space="preserve"> de dos mil veintiuno</w:t>
      </w:r>
      <w:r w:rsidRPr="001708B9">
        <w:rPr>
          <w:rFonts w:ascii="Palatino Linotype" w:eastAsia="Times New Roman" w:hAnsi="Palatino Linotype" w:cs="Arial"/>
          <w:color w:val="000000"/>
          <w:sz w:val="24"/>
          <w:szCs w:val="24"/>
          <w:lang w:val="es-ES" w:eastAsia="es-MX"/>
        </w:rPr>
        <w:t>.</w:t>
      </w:r>
    </w:p>
    <w:p w14:paraId="5CC92DBC" w14:textId="77777777" w:rsidR="00E15E85" w:rsidRPr="001708B9"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2CEC7A43" w14:textId="1D3A7DC0" w:rsidR="00E87E34" w:rsidRPr="001708B9" w:rsidRDefault="00E15E85" w:rsidP="00E15E85">
      <w:pPr>
        <w:tabs>
          <w:tab w:val="left" w:pos="1701"/>
        </w:tabs>
        <w:spacing w:before="240" w:line="360" w:lineRule="auto"/>
        <w:jc w:val="both"/>
        <w:rPr>
          <w:rFonts w:ascii="Palatino Linotype" w:hAnsi="Palatino Linotype" w:cs="Arial"/>
          <w:b/>
          <w:bCs/>
          <w:sz w:val="24"/>
          <w:lang w:val="es-ES" w:eastAsia="es-MX"/>
        </w:rPr>
      </w:pPr>
      <w:r w:rsidRPr="001708B9">
        <w:rPr>
          <w:rFonts w:ascii="Palatino Linotype" w:hAnsi="Palatino Linotype" w:cs="Arial"/>
          <w:b/>
          <w:sz w:val="24"/>
          <w:lang w:val="es-ES"/>
        </w:rPr>
        <w:t>VISTO</w:t>
      </w:r>
      <w:r w:rsidRPr="001708B9">
        <w:rPr>
          <w:rFonts w:ascii="Palatino Linotype" w:hAnsi="Palatino Linotype" w:cs="Arial"/>
          <w:sz w:val="24"/>
          <w:lang w:val="es-ES"/>
        </w:rPr>
        <w:t xml:space="preserve"> el expediente electrónico formado con motivo del recurso de revisión número </w:t>
      </w:r>
      <w:r w:rsidR="007B7A2B" w:rsidRPr="001708B9">
        <w:rPr>
          <w:rFonts w:ascii="Palatino Linotype" w:hAnsi="Palatino Linotype" w:cs="Arial"/>
          <w:b/>
          <w:bCs/>
          <w:sz w:val="24"/>
          <w:lang w:val="es-ES" w:eastAsia="es-MX"/>
        </w:rPr>
        <w:t>0</w:t>
      </w:r>
      <w:r w:rsidR="00FE6A4F">
        <w:rPr>
          <w:rFonts w:ascii="Palatino Linotype" w:hAnsi="Palatino Linotype" w:cs="Arial"/>
          <w:b/>
          <w:bCs/>
          <w:sz w:val="24"/>
          <w:lang w:val="es-ES" w:eastAsia="es-MX"/>
        </w:rPr>
        <w:t>00</w:t>
      </w:r>
      <w:r w:rsidR="00905E09" w:rsidRPr="001708B9">
        <w:rPr>
          <w:rFonts w:ascii="Palatino Linotype" w:hAnsi="Palatino Linotype" w:cs="Arial"/>
          <w:b/>
          <w:bCs/>
          <w:sz w:val="24"/>
          <w:lang w:val="es-ES" w:eastAsia="es-MX"/>
        </w:rPr>
        <w:t>8</w:t>
      </w:r>
      <w:r w:rsidR="00784FE7">
        <w:rPr>
          <w:rFonts w:ascii="Palatino Linotype" w:hAnsi="Palatino Linotype" w:cs="Arial"/>
          <w:b/>
          <w:bCs/>
          <w:sz w:val="24"/>
          <w:lang w:val="es-ES" w:eastAsia="es-MX"/>
        </w:rPr>
        <w:t>5</w:t>
      </w:r>
      <w:r w:rsidR="007E2959" w:rsidRPr="001708B9">
        <w:rPr>
          <w:rFonts w:ascii="Palatino Linotype" w:hAnsi="Palatino Linotype" w:cs="Arial"/>
          <w:b/>
          <w:bCs/>
          <w:sz w:val="24"/>
          <w:lang w:val="es-ES" w:eastAsia="es-MX"/>
        </w:rPr>
        <w:t>/INFOEM/IP/RR/20</w:t>
      </w:r>
      <w:r w:rsidR="00487F76" w:rsidRPr="001708B9">
        <w:rPr>
          <w:rFonts w:ascii="Palatino Linotype" w:hAnsi="Palatino Linotype" w:cs="Arial"/>
          <w:b/>
          <w:bCs/>
          <w:sz w:val="24"/>
          <w:lang w:val="es-ES" w:eastAsia="es-MX"/>
        </w:rPr>
        <w:t>20</w:t>
      </w:r>
      <w:r w:rsidRPr="001708B9">
        <w:rPr>
          <w:rFonts w:ascii="Palatino Linotype" w:hAnsi="Palatino Linotype" w:cs="Arial"/>
          <w:sz w:val="24"/>
          <w:lang w:val="es-ES"/>
        </w:rPr>
        <w:t xml:space="preserve">, </w:t>
      </w:r>
      <w:r w:rsidR="009152B5" w:rsidRPr="001708B9">
        <w:rPr>
          <w:rFonts w:ascii="Palatino Linotype" w:hAnsi="Palatino Linotype" w:cs="Arial"/>
          <w:sz w:val="24"/>
          <w:lang w:val="es-ES"/>
        </w:rPr>
        <w:t xml:space="preserve">interpuesto </w:t>
      </w:r>
      <w:r w:rsidR="00FE6A4F">
        <w:rPr>
          <w:rFonts w:ascii="Palatino Linotype" w:hAnsi="Palatino Linotype" w:cs="Arial"/>
          <w:sz w:val="24"/>
          <w:lang w:val="es-ES"/>
        </w:rPr>
        <w:t xml:space="preserve">por la </w:t>
      </w:r>
      <w:r w:rsidR="00FE6A4F" w:rsidRPr="00FE6A4F">
        <w:rPr>
          <w:rFonts w:ascii="Palatino Linotype" w:hAnsi="Palatino Linotype" w:cs="Arial"/>
          <w:b/>
          <w:sz w:val="24"/>
          <w:lang w:val="es-ES"/>
        </w:rPr>
        <w:t xml:space="preserve">C. </w:t>
      </w:r>
      <w:r w:rsidR="0074313B">
        <w:rPr>
          <w:rFonts w:ascii="Palatino Linotype" w:hAnsi="Palatino Linotype" w:cs="Arial"/>
          <w:b/>
          <w:sz w:val="24"/>
          <w:lang w:val="es-ES"/>
        </w:rPr>
        <w:t>xxxxxxxxxxxxxxxxxxxxxxx</w:t>
      </w:r>
      <w:r w:rsidR="00784FE7">
        <w:rPr>
          <w:rFonts w:ascii="Palatino Linotype" w:hAnsi="Palatino Linotype" w:cs="Arial"/>
          <w:b/>
          <w:sz w:val="24"/>
          <w:lang w:val="es-ES"/>
        </w:rPr>
        <w:t xml:space="preserve"> </w:t>
      </w:r>
      <w:r w:rsidR="00FE6A4F">
        <w:rPr>
          <w:rFonts w:ascii="Palatino Linotype" w:hAnsi="Palatino Linotype" w:cs="Arial"/>
          <w:sz w:val="24"/>
          <w:lang w:val="es-ES"/>
        </w:rPr>
        <w:t>a quien en lo sucesivo</w:t>
      </w:r>
      <w:r w:rsidR="009152B5" w:rsidRPr="001708B9">
        <w:rPr>
          <w:rFonts w:ascii="Palatino Linotype" w:hAnsi="Palatino Linotype" w:cs="Arial"/>
          <w:sz w:val="24"/>
          <w:lang w:val="es-ES"/>
        </w:rPr>
        <w:t xml:space="preserve"> se le denominara</w:t>
      </w:r>
      <w:r w:rsidR="00487F76" w:rsidRPr="001708B9">
        <w:rPr>
          <w:rFonts w:ascii="Palatino Linotype" w:hAnsi="Palatino Linotype" w:cs="Arial"/>
          <w:sz w:val="24"/>
          <w:lang w:val="es-ES"/>
        </w:rPr>
        <w:t xml:space="preserve"> la parte</w:t>
      </w:r>
      <w:r w:rsidRPr="001708B9">
        <w:rPr>
          <w:rFonts w:ascii="Palatino Linotype" w:hAnsi="Palatino Linotype" w:cs="Arial"/>
          <w:b/>
          <w:sz w:val="24"/>
          <w:lang w:val="es-ES"/>
        </w:rPr>
        <w:t xml:space="preserve"> </w:t>
      </w:r>
      <w:r w:rsidR="00487F76" w:rsidRPr="001708B9">
        <w:rPr>
          <w:rFonts w:ascii="Palatino Linotype" w:hAnsi="Palatino Linotype" w:cs="Arial"/>
          <w:b/>
          <w:sz w:val="24"/>
          <w:lang w:val="es-ES"/>
        </w:rPr>
        <w:t>r</w:t>
      </w:r>
      <w:r w:rsidRPr="001708B9">
        <w:rPr>
          <w:rFonts w:ascii="Palatino Linotype" w:hAnsi="Palatino Linotype" w:cs="Arial"/>
          <w:b/>
          <w:sz w:val="24"/>
          <w:lang w:val="es-ES"/>
        </w:rPr>
        <w:t>ecurrente</w:t>
      </w:r>
      <w:r w:rsidR="00E221C1" w:rsidRPr="001708B9">
        <w:rPr>
          <w:rFonts w:ascii="Palatino Linotype" w:hAnsi="Palatino Linotype" w:cs="Arial"/>
          <w:sz w:val="24"/>
          <w:lang w:val="es-ES"/>
        </w:rPr>
        <w:t xml:space="preserve">, en contra </w:t>
      </w:r>
      <w:r w:rsidR="00E372DA" w:rsidRPr="001708B9">
        <w:rPr>
          <w:rFonts w:ascii="Palatino Linotype" w:hAnsi="Palatino Linotype" w:cs="Arial"/>
          <w:sz w:val="24"/>
          <w:lang w:val="es-ES"/>
        </w:rPr>
        <w:t>de</w:t>
      </w:r>
      <w:r w:rsidR="00E221C1" w:rsidRPr="001708B9">
        <w:rPr>
          <w:rFonts w:ascii="Palatino Linotype" w:hAnsi="Palatino Linotype" w:cs="Arial"/>
          <w:sz w:val="24"/>
          <w:lang w:val="es-ES"/>
        </w:rPr>
        <w:t xml:space="preserve"> </w:t>
      </w:r>
      <w:r w:rsidR="00654533" w:rsidRPr="001708B9">
        <w:rPr>
          <w:rFonts w:ascii="Palatino Linotype" w:hAnsi="Palatino Linotype" w:cs="Arial"/>
          <w:sz w:val="24"/>
          <w:lang w:val="es-ES"/>
        </w:rPr>
        <w:t xml:space="preserve">la </w:t>
      </w:r>
      <w:r w:rsidRPr="001708B9">
        <w:rPr>
          <w:rFonts w:ascii="Palatino Linotype" w:hAnsi="Palatino Linotype" w:cs="Arial"/>
          <w:sz w:val="24"/>
          <w:lang w:val="es-ES"/>
        </w:rPr>
        <w:t xml:space="preserve">respuesta </w:t>
      </w:r>
      <w:r w:rsidR="003470B1" w:rsidRPr="001708B9">
        <w:rPr>
          <w:rFonts w:ascii="Palatino Linotype" w:hAnsi="Palatino Linotype" w:cs="Arial"/>
          <w:sz w:val="24"/>
          <w:lang w:val="es-ES"/>
        </w:rPr>
        <w:t>d</w:t>
      </w:r>
      <w:r w:rsidR="00E372DA" w:rsidRPr="001708B9">
        <w:rPr>
          <w:rFonts w:ascii="Palatino Linotype" w:hAnsi="Palatino Linotype" w:cs="Arial"/>
          <w:sz w:val="24"/>
          <w:szCs w:val="24"/>
          <w:lang w:val="es-ES"/>
        </w:rPr>
        <w:t>el</w:t>
      </w:r>
      <w:r w:rsidRPr="001708B9">
        <w:rPr>
          <w:rFonts w:ascii="Palatino Linotype" w:hAnsi="Palatino Linotype" w:cs="Arial"/>
          <w:sz w:val="24"/>
          <w:szCs w:val="24"/>
          <w:lang w:val="es-ES"/>
        </w:rPr>
        <w:t xml:space="preserve"> </w:t>
      </w:r>
      <w:r w:rsidR="00784FE7" w:rsidRPr="00784FE7">
        <w:rPr>
          <w:rFonts w:ascii="Palatino Linotype" w:hAnsi="Palatino Linotype" w:cs="Arial"/>
          <w:b/>
          <w:sz w:val="24"/>
          <w:szCs w:val="24"/>
          <w:lang w:val="es-ES"/>
        </w:rPr>
        <w:t>Secretaría de Justicia y Derechos Humanos</w:t>
      </w:r>
      <w:r w:rsidRPr="001708B9">
        <w:rPr>
          <w:rFonts w:ascii="Palatino Linotype" w:hAnsi="Palatino Linotype" w:cs="Arial"/>
          <w:sz w:val="28"/>
          <w:szCs w:val="24"/>
          <w:lang w:val="es-ES"/>
        </w:rPr>
        <w:t xml:space="preserve">, </w:t>
      </w:r>
      <w:r w:rsidRPr="001708B9">
        <w:rPr>
          <w:rFonts w:ascii="Palatino Linotype" w:hAnsi="Palatino Linotype" w:cs="Arial"/>
          <w:sz w:val="24"/>
          <w:szCs w:val="24"/>
          <w:lang w:val="es-ES"/>
        </w:rPr>
        <w:t>en lo subsecuente</w:t>
      </w:r>
      <w:r w:rsidRPr="001708B9">
        <w:rPr>
          <w:rFonts w:ascii="Palatino Linotype" w:hAnsi="Palatino Linotype" w:cs="Arial"/>
          <w:b/>
          <w:sz w:val="24"/>
          <w:szCs w:val="24"/>
          <w:lang w:val="es-ES"/>
        </w:rPr>
        <w:t xml:space="preserve"> </w:t>
      </w:r>
      <w:r w:rsidR="00487F76" w:rsidRPr="001708B9">
        <w:rPr>
          <w:rFonts w:ascii="Palatino Linotype" w:hAnsi="Palatino Linotype" w:cs="Arial"/>
          <w:b/>
          <w:sz w:val="24"/>
          <w:szCs w:val="24"/>
          <w:lang w:val="es-ES"/>
        </w:rPr>
        <w:t>e</w:t>
      </w:r>
      <w:r w:rsidRPr="001708B9">
        <w:rPr>
          <w:rFonts w:ascii="Palatino Linotype" w:hAnsi="Palatino Linotype" w:cs="Arial"/>
          <w:b/>
          <w:sz w:val="24"/>
          <w:szCs w:val="24"/>
          <w:lang w:val="es-ES"/>
        </w:rPr>
        <w:t xml:space="preserve">l </w:t>
      </w:r>
      <w:r w:rsidR="00487F76" w:rsidRPr="001708B9">
        <w:rPr>
          <w:rFonts w:ascii="Palatino Linotype" w:hAnsi="Palatino Linotype" w:cs="Arial"/>
          <w:b/>
          <w:sz w:val="24"/>
          <w:szCs w:val="24"/>
          <w:lang w:val="es-ES"/>
        </w:rPr>
        <w:t>s</w:t>
      </w:r>
      <w:r w:rsidRPr="001708B9">
        <w:rPr>
          <w:rFonts w:ascii="Palatino Linotype" w:hAnsi="Palatino Linotype" w:cs="Arial"/>
          <w:b/>
          <w:sz w:val="24"/>
          <w:szCs w:val="24"/>
          <w:lang w:val="es-ES"/>
        </w:rPr>
        <w:t xml:space="preserve">ujeto </w:t>
      </w:r>
      <w:r w:rsidR="00487F76" w:rsidRPr="001708B9">
        <w:rPr>
          <w:rFonts w:ascii="Palatino Linotype" w:hAnsi="Palatino Linotype" w:cs="Arial"/>
          <w:b/>
          <w:sz w:val="24"/>
          <w:szCs w:val="24"/>
          <w:lang w:val="es-ES"/>
        </w:rPr>
        <w:t>o</w:t>
      </w:r>
      <w:r w:rsidRPr="001708B9">
        <w:rPr>
          <w:rFonts w:ascii="Palatino Linotype" w:hAnsi="Palatino Linotype" w:cs="Arial"/>
          <w:b/>
          <w:sz w:val="24"/>
          <w:szCs w:val="24"/>
          <w:lang w:val="es-ES"/>
        </w:rPr>
        <w:t xml:space="preserve">bligado, </w:t>
      </w:r>
      <w:r w:rsidRPr="001708B9">
        <w:rPr>
          <w:rFonts w:ascii="Palatino Linotype" w:hAnsi="Palatino Linotype" w:cs="Arial"/>
          <w:sz w:val="24"/>
          <w:szCs w:val="24"/>
          <w:lang w:val="es-ES"/>
        </w:rPr>
        <w:t>se procede a</w:t>
      </w:r>
      <w:r w:rsidRPr="001708B9">
        <w:rPr>
          <w:rFonts w:ascii="Palatino Linotype" w:hAnsi="Palatino Linotype" w:cs="Arial"/>
          <w:sz w:val="24"/>
          <w:lang w:val="es-ES"/>
        </w:rPr>
        <w:t xml:space="preserve"> dictar la presente resolución.</w:t>
      </w:r>
    </w:p>
    <w:p w14:paraId="071B2493" w14:textId="77777777" w:rsidR="00E15E85" w:rsidRPr="001708B9" w:rsidRDefault="00E15E85" w:rsidP="00E15E85">
      <w:pPr>
        <w:tabs>
          <w:tab w:val="left" w:pos="1701"/>
        </w:tabs>
        <w:spacing w:before="240" w:line="360" w:lineRule="auto"/>
        <w:jc w:val="both"/>
        <w:rPr>
          <w:rFonts w:ascii="Palatino Linotype" w:hAnsi="Palatino Linotype" w:cs="Arial"/>
          <w:sz w:val="24"/>
          <w:lang w:val="es-ES"/>
        </w:rPr>
      </w:pPr>
    </w:p>
    <w:p w14:paraId="3756D2C6" w14:textId="77777777" w:rsidR="006200A2" w:rsidRPr="001708B9" w:rsidRDefault="00E15E85" w:rsidP="006200A2">
      <w:pPr>
        <w:spacing w:before="240" w:after="240" w:line="360" w:lineRule="auto"/>
        <w:jc w:val="center"/>
        <w:rPr>
          <w:rFonts w:ascii="Palatino Linotype" w:hAnsi="Palatino Linotype"/>
          <w:b/>
          <w:sz w:val="28"/>
          <w:lang w:val="es-ES"/>
        </w:rPr>
      </w:pPr>
      <w:r w:rsidRPr="001708B9">
        <w:rPr>
          <w:rFonts w:ascii="Palatino Linotype" w:hAnsi="Palatino Linotype"/>
          <w:b/>
          <w:sz w:val="28"/>
          <w:lang w:val="es-ES"/>
        </w:rPr>
        <w:t>A N T E C E D E N T E S   D E L   A S U N T O</w:t>
      </w:r>
    </w:p>
    <w:p w14:paraId="58D597B2" w14:textId="77777777" w:rsidR="00497466" w:rsidRPr="001708B9" w:rsidRDefault="00497466" w:rsidP="00497466">
      <w:pPr>
        <w:spacing w:before="240" w:after="240" w:line="360" w:lineRule="auto"/>
        <w:jc w:val="both"/>
        <w:rPr>
          <w:rFonts w:ascii="Palatino Linotype" w:hAnsi="Palatino Linotype"/>
          <w:lang w:val="es-ES"/>
        </w:rPr>
      </w:pPr>
      <w:r w:rsidRPr="001708B9">
        <w:rPr>
          <w:rFonts w:ascii="Palatino Linotype" w:hAnsi="Palatino Linotype" w:cs="Arial"/>
          <w:b/>
          <w:sz w:val="28"/>
          <w:lang w:val="es-ES"/>
        </w:rPr>
        <w:t>PRIMERO.</w:t>
      </w:r>
      <w:r w:rsidRPr="001708B9">
        <w:rPr>
          <w:rFonts w:ascii="Palatino Linotype" w:hAnsi="Palatino Linotype" w:cs="Arial"/>
          <w:lang w:val="es-ES"/>
        </w:rPr>
        <w:t xml:space="preserve"> </w:t>
      </w:r>
      <w:r w:rsidRPr="001708B9">
        <w:rPr>
          <w:rFonts w:ascii="Palatino Linotype" w:hAnsi="Palatino Linotype"/>
          <w:b/>
          <w:sz w:val="28"/>
          <w:szCs w:val="28"/>
          <w:lang w:val="es-ES"/>
        </w:rPr>
        <w:t>De la Solicitud de Información.</w:t>
      </w:r>
    </w:p>
    <w:p w14:paraId="15297BBB" w14:textId="13CF7759" w:rsidR="00497466" w:rsidRPr="001708B9" w:rsidRDefault="00497466" w:rsidP="00497466">
      <w:pPr>
        <w:spacing w:before="240" w:line="360" w:lineRule="auto"/>
        <w:jc w:val="both"/>
        <w:rPr>
          <w:rFonts w:ascii="Palatino Linotype" w:hAnsi="Palatino Linotype" w:cs="Arial"/>
          <w:sz w:val="24"/>
          <w:lang w:val="es-ES"/>
        </w:rPr>
      </w:pPr>
      <w:r w:rsidRPr="001708B9">
        <w:rPr>
          <w:rFonts w:ascii="Palatino Linotype" w:hAnsi="Palatino Linotype" w:cs="Arial"/>
          <w:sz w:val="24"/>
          <w:lang w:val="es-ES"/>
        </w:rPr>
        <w:t>Con fecha</w:t>
      </w:r>
      <w:r w:rsidR="00784FE7">
        <w:rPr>
          <w:rFonts w:ascii="Palatino Linotype" w:hAnsi="Palatino Linotype" w:cs="Arial"/>
          <w:sz w:val="24"/>
          <w:lang w:val="es-ES"/>
        </w:rPr>
        <w:t xml:space="preserve"> diecinueve</w:t>
      </w:r>
      <w:r w:rsidR="007135C5">
        <w:rPr>
          <w:rFonts w:ascii="Palatino Linotype" w:hAnsi="Palatino Linotype" w:cs="Arial"/>
          <w:sz w:val="24"/>
          <w:lang w:val="es-ES"/>
        </w:rPr>
        <w:t xml:space="preserve"> de noviembre</w:t>
      </w:r>
      <w:r w:rsidRPr="001708B9">
        <w:rPr>
          <w:rFonts w:ascii="Palatino Linotype" w:hAnsi="Palatino Linotype" w:cs="Arial"/>
          <w:sz w:val="24"/>
          <w:lang w:val="es-ES"/>
        </w:rPr>
        <w:t xml:space="preserve"> de dos mil veinte, </w:t>
      </w:r>
      <w:r w:rsidR="007135C5">
        <w:rPr>
          <w:rFonts w:ascii="Palatino Linotype" w:hAnsi="Palatino Linotype" w:cs="Arial"/>
          <w:b/>
          <w:sz w:val="24"/>
          <w:lang w:val="es-ES"/>
        </w:rPr>
        <w:t>la parte solicitante</w:t>
      </w:r>
      <w:r w:rsidRPr="001708B9">
        <w:rPr>
          <w:rFonts w:ascii="Palatino Linotype" w:hAnsi="Palatino Linotype" w:cs="Arial"/>
          <w:sz w:val="24"/>
          <w:lang w:val="es-ES"/>
        </w:rPr>
        <w:t>, presentó a través del Sistema de Acceso a la Información Mexiquense (</w:t>
      </w:r>
      <w:r w:rsidRPr="001708B9">
        <w:rPr>
          <w:rFonts w:ascii="Palatino Linotype" w:hAnsi="Palatino Linotype" w:cs="Arial"/>
          <w:b/>
          <w:sz w:val="24"/>
          <w:lang w:val="es-ES"/>
        </w:rPr>
        <w:t>SAIMEX)</w:t>
      </w:r>
      <w:r w:rsidRPr="001708B9">
        <w:rPr>
          <w:rFonts w:ascii="Palatino Linotype" w:hAnsi="Palatino Linotype" w:cs="Arial"/>
          <w:sz w:val="24"/>
          <w:lang w:val="es-ES"/>
        </w:rPr>
        <w:t xml:space="preserve"> ante </w:t>
      </w:r>
      <w:r w:rsidRPr="001708B9">
        <w:rPr>
          <w:rFonts w:ascii="Palatino Linotype" w:hAnsi="Palatino Linotype" w:cs="Arial"/>
          <w:b/>
          <w:sz w:val="24"/>
          <w:lang w:val="es-ES"/>
        </w:rPr>
        <w:t>El Sujeto Obligado</w:t>
      </w:r>
      <w:r w:rsidRPr="001708B9">
        <w:rPr>
          <w:rFonts w:ascii="Palatino Linotype" w:hAnsi="Palatino Linotype" w:cs="Arial"/>
          <w:sz w:val="24"/>
          <w:lang w:val="es-ES"/>
        </w:rPr>
        <w:t>, solicitud de acceso a la información pública, registrada bajo el número de expediente</w:t>
      </w:r>
      <w:r w:rsidRPr="001708B9">
        <w:rPr>
          <w:rFonts w:ascii="Palatino Linotype" w:hAnsi="Palatino Linotype" w:cs="Arial"/>
          <w:b/>
          <w:sz w:val="24"/>
          <w:lang w:val="es-ES"/>
        </w:rPr>
        <w:t xml:space="preserve"> </w:t>
      </w:r>
      <w:r w:rsidR="00784FE7" w:rsidRPr="00784FE7">
        <w:rPr>
          <w:rFonts w:ascii="Palatino Linotype" w:hAnsi="Palatino Linotype" w:cs="Arial"/>
          <w:b/>
          <w:sz w:val="24"/>
          <w:lang w:val="es-ES"/>
        </w:rPr>
        <w:t>00189/SJDH/IP/2020</w:t>
      </w:r>
      <w:r w:rsidRPr="001708B9">
        <w:rPr>
          <w:rFonts w:ascii="Palatino Linotype" w:hAnsi="Palatino Linotype" w:cs="Arial"/>
          <w:b/>
          <w:sz w:val="24"/>
          <w:lang w:val="es-ES" w:eastAsia="es-MX"/>
        </w:rPr>
        <w:t xml:space="preserve">, </w:t>
      </w:r>
      <w:r w:rsidRPr="001708B9">
        <w:rPr>
          <w:rFonts w:ascii="Palatino Linotype" w:hAnsi="Palatino Linotype" w:cs="Arial"/>
          <w:sz w:val="24"/>
          <w:lang w:val="es-ES"/>
        </w:rPr>
        <w:t>mediante la cual solicitó información en el tenor siguiente:</w:t>
      </w:r>
    </w:p>
    <w:p w14:paraId="737C7645" w14:textId="117C5EA5" w:rsidR="00497466" w:rsidRPr="001708B9" w:rsidRDefault="00497466" w:rsidP="00497466">
      <w:pPr>
        <w:ind w:left="851" w:right="850"/>
        <w:jc w:val="both"/>
        <w:rPr>
          <w:rFonts w:ascii="Palatino Linotype" w:eastAsia="Times New Roman" w:hAnsi="Palatino Linotype" w:cs="Times New Roman"/>
          <w:i/>
          <w:lang w:val="es-ES" w:eastAsia="es-ES"/>
        </w:rPr>
      </w:pPr>
      <w:r w:rsidRPr="001708B9">
        <w:rPr>
          <w:rFonts w:ascii="Palatino Linotype" w:eastAsia="Times New Roman" w:hAnsi="Palatino Linotype" w:cs="Times New Roman"/>
          <w:i/>
          <w:lang w:val="es-ES" w:eastAsia="es-ES"/>
        </w:rPr>
        <w:t>“</w:t>
      </w:r>
      <w:r w:rsidR="00784FE7" w:rsidRPr="00784FE7">
        <w:rPr>
          <w:rFonts w:ascii="Palatino Linotype" w:hAnsi="Palatino Linotype"/>
          <w:i/>
          <w:color w:val="000000"/>
          <w:lang w:val="es-ES"/>
        </w:rPr>
        <w:t xml:space="preserve">En relación a la publicación del día trece de noviembre del año en curso, en el Periódico Oficial “Gaceta del Gobierno”, del “ACUERDO DEL EJECUTIVO DEL ESTADO POR EL QUE SE DECLARA LA TERMINACIÓN DE LA FUNCIÓN NOTARIAL DEL LICENCIADO RENÉ CUTBERTO SANTÍN QUIROZ, </w:t>
      </w:r>
      <w:r w:rsidR="00784FE7" w:rsidRPr="00784FE7">
        <w:rPr>
          <w:rFonts w:ascii="Palatino Linotype" w:hAnsi="Palatino Linotype"/>
          <w:i/>
          <w:color w:val="000000"/>
          <w:lang w:val="es-ES"/>
        </w:rPr>
        <w:lastRenderedPageBreak/>
        <w:t>COMO NOTARIO TITULAR DE LA NOTARÍA PÚBLICA 1 DEL ESTADO DE MÉXICO, CON RESIDENCIA EN EL MUNICIPIO DE TOLUCA, POR REVOCACIÓN DE SU NOMBRAMIENTO Y SE DECLARA LA SUSPENSIÓN DE FUNCIONES DE DICHA NOTARÍA”, me permito solicitar lo siguiente, en ejercicio de mi derecho de información pública: 1. Me parece que el acuerdo es incompleto, toda vez que no señala con claridad, los supuestos contenidos en la fracción I del numeral 156 de la Ley del Notariado del Estado de México, ya que ese dispositivo legal a su vez, señala siete incisos por los cuales se configura la fracción I. De tal manera que solicito se me informe el motivo por el cual se declaró la terminación de la función notarial de René Cutberto Santín Quiroz de forma específica. 2. Se me informe, el procedimiento que se lleva para que el Gobernador declare la terminación de la función notaria del un Fedatario Público en el Estado de México. 3. Se me remita en versión pública, 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4. ¿Qué proceso o procedimiento tienen que colmar los empleados de dicha Notaría a efecto de que no queden en estado de indefensión por la terminación de la función notarial de René Cutberto Santín Quiroz?</w:t>
      </w:r>
      <w:r w:rsidRPr="001708B9">
        <w:rPr>
          <w:rFonts w:ascii="Palatino Linotype" w:hAnsi="Palatino Linotype"/>
          <w:i/>
          <w:color w:val="000000"/>
          <w:lang w:val="es-ES"/>
        </w:rPr>
        <w:t>.</w:t>
      </w:r>
      <w:r w:rsidRPr="001708B9">
        <w:rPr>
          <w:rFonts w:ascii="Palatino Linotype" w:eastAsia="Times New Roman" w:hAnsi="Palatino Linotype" w:cs="Times New Roman"/>
          <w:i/>
          <w:lang w:val="es-ES" w:eastAsia="es-ES"/>
        </w:rPr>
        <w:t>” [Sic]</w:t>
      </w:r>
    </w:p>
    <w:p w14:paraId="2E9CB282" w14:textId="51502134" w:rsidR="00CB4F7F" w:rsidRPr="001708B9"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1708B9">
        <w:rPr>
          <w:rFonts w:ascii="Palatino Linotype" w:eastAsia="Times New Roman" w:hAnsi="Palatino Linotype" w:cs="Times New Roman"/>
          <w:sz w:val="24"/>
          <w:szCs w:val="24"/>
          <w:lang w:val="es-ES" w:eastAsia="es-ES"/>
        </w:rPr>
        <w:t>Modalidad de entrega: a través del SAIMEX.</w:t>
      </w:r>
    </w:p>
    <w:p w14:paraId="7FD19229" w14:textId="77777777" w:rsidR="00497466" w:rsidRPr="001708B9" w:rsidRDefault="00497466" w:rsidP="00497466">
      <w:pPr>
        <w:spacing w:before="240" w:line="360" w:lineRule="auto"/>
        <w:jc w:val="both"/>
        <w:rPr>
          <w:rFonts w:ascii="Palatino Linotype" w:hAnsi="Palatino Linotype" w:cs="Arial"/>
          <w:b/>
          <w:sz w:val="28"/>
          <w:lang w:val="es-ES"/>
        </w:rPr>
      </w:pPr>
      <w:r w:rsidRPr="001708B9">
        <w:rPr>
          <w:rFonts w:ascii="Palatino Linotype" w:hAnsi="Palatino Linotype" w:cs="Arial"/>
          <w:b/>
          <w:sz w:val="28"/>
          <w:lang w:val="es-ES"/>
        </w:rPr>
        <w:t xml:space="preserve">SEGUNDO. </w:t>
      </w:r>
      <w:r w:rsidRPr="001708B9">
        <w:rPr>
          <w:rFonts w:ascii="Palatino Linotype" w:hAnsi="Palatino Linotype" w:cs="Arial"/>
          <w:b/>
          <w:sz w:val="28"/>
          <w:szCs w:val="20"/>
          <w:lang w:val="es-ES"/>
        </w:rPr>
        <w:t>De la respuesta del Sujeto Obligado.</w:t>
      </w:r>
    </w:p>
    <w:p w14:paraId="25E12309" w14:textId="52C4CA95" w:rsidR="00497466" w:rsidRPr="001708B9" w:rsidRDefault="00497466" w:rsidP="00497466">
      <w:pPr>
        <w:spacing w:before="240" w:line="360" w:lineRule="auto"/>
        <w:jc w:val="both"/>
        <w:rPr>
          <w:rFonts w:ascii="Palatino Linotype" w:hAnsi="Palatino Linotype" w:cs="Arial"/>
          <w:sz w:val="24"/>
          <w:lang w:val="es-ES"/>
        </w:rPr>
      </w:pPr>
      <w:r w:rsidRPr="001708B9">
        <w:rPr>
          <w:rFonts w:ascii="Palatino Linotype" w:hAnsi="Palatino Linotype" w:cs="Arial"/>
          <w:sz w:val="24"/>
          <w:lang w:val="es-ES"/>
        </w:rPr>
        <w:t xml:space="preserve">En el expediente electrónico </w:t>
      </w:r>
      <w:r w:rsidRPr="001708B9">
        <w:rPr>
          <w:rFonts w:ascii="Palatino Linotype" w:hAnsi="Palatino Linotype" w:cs="Arial"/>
          <w:b/>
          <w:sz w:val="24"/>
          <w:lang w:val="es-ES"/>
        </w:rPr>
        <w:t>SAIMEX</w:t>
      </w:r>
      <w:r w:rsidRPr="001708B9">
        <w:rPr>
          <w:rFonts w:ascii="Palatino Linotype" w:hAnsi="Palatino Linotype" w:cs="Arial"/>
          <w:sz w:val="24"/>
          <w:lang w:val="es-ES"/>
        </w:rPr>
        <w:t xml:space="preserve">, se aprecia que </w:t>
      </w:r>
      <w:r w:rsidRPr="001708B9">
        <w:rPr>
          <w:rFonts w:ascii="Palatino Linotype" w:hAnsi="Palatino Linotype" w:cs="Arial"/>
          <w:b/>
          <w:sz w:val="24"/>
          <w:lang w:val="es-ES"/>
        </w:rPr>
        <w:t>El Sujeto Obligado</w:t>
      </w:r>
      <w:r w:rsidRPr="001708B9">
        <w:rPr>
          <w:rFonts w:ascii="Palatino Linotype" w:hAnsi="Palatino Linotype" w:cs="Arial"/>
          <w:sz w:val="24"/>
          <w:lang w:val="es-ES"/>
        </w:rPr>
        <w:t xml:space="preserve"> </w:t>
      </w:r>
      <w:r w:rsidR="00905E09" w:rsidRPr="001708B9">
        <w:rPr>
          <w:rFonts w:ascii="Palatino Linotype" w:hAnsi="Palatino Linotype" w:cs="Arial"/>
          <w:sz w:val="24"/>
          <w:lang w:val="es-ES"/>
        </w:rPr>
        <w:t xml:space="preserve">dio respuesta a la solicitud de información en fecha </w:t>
      </w:r>
      <w:r w:rsidR="00784FE7">
        <w:rPr>
          <w:rFonts w:ascii="Palatino Linotype" w:hAnsi="Palatino Linotype" w:cs="Arial"/>
          <w:sz w:val="24"/>
          <w:lang w:val="es-ES"/>
        </w:rPr>
        <w:t>nueve</w:t>
      </w:r>
      <w:r w:rsidR="00F05674">
        <w:rPr>
          <w:rFonts w:ascii="Palatino Linotype" w:hAnsi="Palatino Linotype" w:cs="Arial"/>
          <w:sz w:val="24"/>
          <w:lang w:val="es-ES"/>
        </w:rPr>
        <w:t xml:space="preserve"> de diciembre</w:t>
      </w:r>
      <w:r w:rsidR="00905E09" w:rsidRPr="001708B9">
        <w:rPr>
          <w:rFonts w:ascii="Palatino Linotype" w:hAnsi="Palatino Linotype" w:cs="Arial"/>
          <w:sz w:val="24"/>
          <w:lang w:val="es-ES"/>
        </w:rPr>
        <w:t xml:space="preserve"> de dos mil veinte, anexando para tales efectos </w:t>
      </w:r>
      <w:r w:rsidR="00784FE7">
        <w:rPr>
          <w:rFonts w:ascii="Palatino Linotype" w:hAnsi="Palatino Linotype" w:cs="Arial"/>
          <w:sz w:val="24"/>
          <w:lang w:val="es-ES"/>
        </w:rPr>
        <w:t>dos</w:t>
      </w:r>
      <w:r w:rsidR="00905E09" w:rsidRPr="001708B9">
        <w:rPr>
          <w:rFonts w:ascii="Palatino Linotype" w:hAnsi="Palatino Linotype" w:cs="Arial"/>
          <w:sz w:val="24"/>
          <w:lang w:val="es-ES"/>
        </w:rPr>
        <w:t xml:space="preserve"> archivo</w:t>
      </w:r>
      <w:r w:rsidR="00784FE7">
        <w:rPr>
          <w:rFonts w:ascii="Palatino Linotype" w:hAnsi="Palatino Linotype" w:cs="Arial"/>
          <w:sz w:val="24"/>
          <w:lang w:val="es-ES"/>
        </w:rPr>
        <w:t>s</w:t>
      </w:r>
      <w:r w:rsidR="00905E09" w:rsidRPr="001708B9">
        <w:rPr>
          <w:rFonts w:ascii="Palatino Linotype" w:hAnsi="Palatino Linotype" w:cs="Arial"/>
          <w:sz w:val="24"/>
          <w:lang w:val="es-ES"/>
        </w:rPr>
        <w:t xml:space="preserve"> electrónico</w:t>
      </w:r>
      <w:r w:rsidR="00784FE7">
        <w:rPr>
          <w:rFonts w:ascii="Palatino Linotype" w:hAnsi="Palatino Linotype" w:cs="Arial"/>
          <w:sz w:val="24"/>
          <w:lang w:val="es-ES"/>
        </w:rPr>
        <w:t>s</w:t>
      </w:r>
      <w:r w:rsidR="00905E09" w:rsidRPr="001708B9">
        <w:rPr>
          <w:rFonts w:ascii="Palatino Linotype" w:hAnsi="Palatino Linotype" w:cs="Arial"/>
          <w:sz w:val="24"/>
          <w:lang w:val="es-ES"/>
        </w:rPr>
        <w:t xml:space="preserve">, </w:t>
      </w:r>
      <w:r w:rsidR="00784FE7">
        <w:rPr>
          <w:rFonts w:ascii="Palatino Linotype" w:hAnsi="Palatino Linotype" w:cs="Arial"/>
          <w:sz w:val="24"/>
          <w:lang w:val="es-ES"/>
        </w:rPr>
        <w:t>los</w:t>
      </w:r>
      <w:r w:rsidR="00905E09" w:rsidRPr="001708B9">
        <w:rPr>
          <w:rFonts w:ascii="Palatino Linotype" w:hAnsi="Palatino Linotype" w:cs="Arial"/>
          <w:sz w:val="24"/>
          <w:lang w:val="es-ES"/>
        </w:rPr>
        <w:t xml:space="preserve"> cual</w:t>
      </w:r>
      <w:r w:rsidR="00784FE7">
        <w:rPr>
          <w:rFonts w:ascii="Palatino Linotype" w:hAnsi="Palatino Linotype" w:cs="Arial"/>
          <w:sz w:val="24"/>
          <w:lang w:val="es-ES"/>
        </w:rPr>
        <w:t>es</w:t>
      </w:r>
      <w:r w:rsidR="00905E09" w:rsidRPr="001708B9">
        <w:rPr>
          <w:rFonts w:ascii="Palatino Linotype" w:hAnsi="Palatino Linotype" w:cs="Arial"/>
          <w:sz w:val="24"/>
          <w:lang w:val="es-ES"/>
        </w:rPr>
        <w:t xml:space="preserve"> se tiene</w:t>
      </w:r>
      <w:r w:rsidR="00784FE7">
        <w:rPr>
          <w:rFonts w:ascii="Palatino Linotype" w:hAnsi="Palatino Linotype" w:cs="Arial"/>
          <w:sz w:val="24"/>
          <w:lang w:val="es-ES"/>
        </w:rPr>
        <w:t>n</w:t>
      </w:r>
      <w:r w:rsidR="00905E09" w:rsidRPr="001708B9">
        <w:rPr>
          <w:rFonts w:ascii="Palatino Linotype" w:hAnsi="Palatino Linotype" w:cs="Arial"/>
          <w:sz w:val="24"/>
          <w:lang w:val="es-ES"/>
        </w:rPr>
        <w:t xml:space="preserve"> por reproducido</w:t>
      </w:r>
      <w:r w:rsidR="00784FE7">
        <w:rPr>
          <w:rFonts w:ascii="Palatino Linotype" w:hAnsi="Palatino Linotype" w:cs="Arial"/>
          <w:sz w:val="24"/>
          <w:lang w:val="es-ES"/>
        </w:rPr>
        <w:t>s</w:t>
      </w:r>
      <w:r w:rsidR="00905E09" w:rsidRPr="001708B9">
        <w:rPr>
          <w:rFonts w:ascii="Palatino Linotype" w:hAnsi="Palatino Linotype" w:cs="Arial"/>
          <w:sz w:val="24"/>
          <w:lang w:val="es-ES"/>
        </w:rPr>
        <w:t xml:space="preserve"> al ser del conocimiento de las partes y en obvio de reproducciones </w:t>
      </w:r>
      <w:r w:rsidR="00A070F4" w:rsidRPr="001708B9">
        <w:rPr>
          <w:rFonts w:ascii="Palatino Linotype" w:hAnsi="Palatino Linotype" w:cs="Arial"/>
          <w:sz w:val="24"/>
          <w:lang w:val="es-ES"/>
        </w:rPr>
        <w:t>ociosas</w:t>
      </w:r>
      <w:r w:rsidR="00905E09" w:rsidRPr="001708B9">
        <w:rPr>
          <w:rFonts w:ascii="Palatino Linotype" w:hAnsi="Palatino Linotype" w:cs="Arial"/>
          <w:sz w:val="24"/>
          <w:lang w:val="es-ES"/>
        </w:rPr>
        <w:t xml:space="preserve">. </w:t>
      </w:r>
    </w:p>
    <w:p w14:paraId="6A4A97B3" w14:textId="77777777" w:rsidR="00784FE7" w:rsidRPr="00784FE7" w:rsidRDefault="00784FE7" w:rsidP="00784FE7">
      <w:pPr>
        <w:spacing w:before="240" w:line="360" w:lineRule="auto"/>
        <w:ind w:left="708"/>
        <w:jc w:val="both"/>
        <w:rPr>
          <w:rFonts w:ascii="Palatino Linotype" w:hAnsi="Palatino Linotype" w:cs="Arial"/>
          <w:i/>
          <w:sz w:val="24"/>
          <w:lang w:val="es-ES"/>
        </w:rPr>
      </w:pPr>
      <w:r w:rsidRPr="00784FE7">
        <w:rPr>
          <w:rFonts w:ascii="Palatino Linotype" w:hAnsi="Palatino Linotype" w:cs="Arial"/>
          <w:i/>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AA9641" w14:textId="77777777" w:rsidR="00784FE7" w:rsidRPr="00784FE7" w:rsidRDefault="00784FE7" w:rsidP="00784FE7">
      <w:pPr>
        <w:spacing w:before="240" w:line="360" w:lineRule="auto"/>
        <w:ind w:left="708"/>
        <w:jc w:val="both"/>
        <w:rPr>
          <w:rFonts w:ascii="Palatino Linotype" w:hAnsi="Palatino Linotype" w:cs="Arial"/>
          <w:i/>
          <w:sz w:val="24"/>
          <w:lang w:val="es-ES"/>
        </w:rPr>
      </w:pPr>
      <w:r w:rsidRPr="00784FE7">
        <w:rPr>
          <w:rFonts w:ascii="Palatino Linotype" w:hAnsi="Palatino Linotype" w:cs="Arial"/>
          <w:i/>
          <w:sz w:val="24"/>
          <w:lang w:val="es-ES"/>
        </w:rPr>
        <w:lastRenderedPageBreak/>
        <w:t>se remite respuesta a solicitud de información, si esta no es legible favor de comunicarse a los teléfonos 7222137511 y 7222137512, ext. 106</w:t>
      </w:r>
    </w:p>
    <w:p w14:paraId="0D53087E" w14:textId="77777777" w:rsidR="00784FE7" w:rsidRPr="00784FE7" w:rsidRDefault="00784FE7" w:rsidP="00784FE7">
      <w:pPr>
        <w:spacing w:before="240" w:line="360" w:lineRule="auto"/>
        <w:ind w:left="708"/>
        <w:jc w:val="both"/>
        <w:rPr>
          <w:rFonts w:ascii="Palatino Linotype" w:hAnsi="Palatino Linotype" w:cs="Arial"/>
          <w:i/>
          <w:sz w:val="24"/>
          <w:lang w:val="es-ES"/>
        </w:rPr>
      </w:pPr>
      <w:r w:rsidRPr="00784FE7">
        <w:rPr>
          <w:rFonts w:ascii="Palatino Linotype" w:hAnsi="Palatino Linotype" w:cs="Arial"/>
          <w:i/>
          <w:sz w:val="24"/>
          <w:lang w:val="es-ES"/>
        </w:rPr>
        <w:t>ATENTAMENTE</w:t>
      </w:r>
    </w:p>
    <w:p w14:paraId="659913C9" w14:textId="77777777" w:rsidR="00784FE7" w:rsidRDefault="00784FE7" w:rsidP="00784FE7">
      <w:pPr>
        <w:spacing w:before="240" w:line="360" w:lineRule="auto"/>
        <w:ind w:left="708"/>
        <w:jc w:val="both"/>
        <w:rPr>
          <w:rFonts w:ascii="Palatino Linotype" w:hAnsi="Palatino Linotype" w:cs="Arial"/>
          <w:i/>
          <w:sz w:val="24"/>
          <w:lang w:val="es-ES"/>
        </w:rPr>
      </w:pPr>
      <w:r w:rsidRPr="00784FE7">
        <w:rPr>
          <w:rFonts w:ascii="Palatino Linotype" w:hAnsi="Palatino Linotype" w:cs="Arial"/>
          <w:i/>
          <w:sz w:val="24"/>
          <w:lang w:val="es-ES"/>
        </w:rPr>
        <w:t>DRA. PATRICIA BENITEZ CARDOSO</w:t>
      </w:r>
    </w:p>
    <w:p w14:paraId="4909D8BA" w14:textId="62DD79DE" w:rsidR="00497466" w:rsidRPr="001708B9" w:rsidRDefault="00497466" w:rsidP="00784FE7">
      <w:pPr>
        <w:spacing w:before="240" w:line="360" w:lineRule="auto"/>
        <w:jc w:val="both"/>
        <w:rPr>
          <w:rFonts w:ascii="Palatino Linotype" w:hAnsi="Palatino Linotype" w:cs="Arial"/>
          <w:b/>
          <w:sz w:val="28"/>
          <w:lang w:val="es-ES"/>
        </w:rPr>
      </w:pPr>
      <w:r w:rsidRPr="001708B9">
        <w:rPr>
          <w:rFonts w:ascii="Palatino Linotype" w:hAnsi="Palatino Linotype" w:cs="Arial"/>
          <w:b/>
          <w:sz w:val="28"/>
          <w:lang w:val="es-ES"/>
        </w:rPr>
        <w:t xml:space="preserve">TERCERO. </w:t>
      </w:r>
      <w:r w:rsidRPr="001708B9">
        <w:rPr>
          <w:rFonts w:ascii="Palatino Linotype" w:hAnsi="Palatino Linotype"/>
          <w:b/>
          <w:sz w:val="28"/>
          <w:lang w:val="es-ES"/>
        </w:rPr>
        <w:t>Del recurso de revisión.</w:t>
      </w:r>
    </w:p>
    <w:p w14:paraId="19CC23DA" w14:textId="629C85DA" w:rsidR="00497466" w:rsidRPr="001708B9" w:rsidRDefault="00497466" w:rsidP="00497466">
      <w:pPr>
        <w:spacing w:before="240" w:line="360" w:lineRule="auto"/>
        <w:jc w:val="both"/>
        <w:rPr>
          <w:rFonts w:ascii="Palatino Linotype" w:hAnsi="Palatino Linotype" w:cs="Arial"/>
          <w:sz w:val="24"/>
          <w:lang w:val="es-ES"/>
        </w:rPr>
      </w:pPr>
      <w:r w:rsidRPr="001708B9">
        <w:rPr>
          <w:rFonts w:ascii="Palatino Linotype" w:hAnsi="Palatino Linotype" w:cs="Arial"/>
          <w:sz w:val="24"/>
          <w:szCs w:val="24"/>
          <w:lang w:val="es-ES"/>
        </w:rPr>
        <w:t xml:space="preserve">Inconforme con la respuesta del sujeto obligado, </w:t>
      </w:r>
      <w:r w:rsidR="00A070F4" w:rsidRPr="001708B9">
        <w:rPr>
          <w:rFonts w:ascii="Palatino Linotype" w:hAnsi="Palatino Linotype" w:cs="Arial"/>
          <w:sz w:val="24"/>
          <w:szCs w:val="24"/>
          <w:lang w:val="es-ES"/>
        </w:rPr>
        <w:t xml:space="preserve">la parte </w:t>
      </w:r>
      <w:r w:rsidR="00A070F4" w:rsidRPr="001708B9">
        <w:rPr>
          <w:rFonts w:ascii="Palatino Linotype" w:hAnsi="Palatino Linotype" w:cs="Arial"/>
          <w:b/>
          <w:sz w:val="24"/>
          <w:szCs w:val="24"/>
          <w:lang w:val="es-ES"/>
        </w:rPr>
        <w:t>r</w:t>
      </w:r>
      <w:r w:rsidRPr="001708B9">
        <w:rPr>
          <w:rFonts w:ascii="Palatino Linotype" w:hAnsi="Palatino Linotype" w:cs="Arial"/>
          <w:b/>
          <w:sz w:val="24"/>
          <w:szCs w:val="24"/>
          <w:lang w:val="es-ES"/>
        </w:rPr>
        <w:t xml:space="preserve">ecurrente </w:t>
      </w:r>
      <w:r w:rsidRPr="001708B9">
        <w:rPr>
          <w:rFonts w:ascii="Palatino Linotype" w:hAnsi="Palatino Linotype" w:cs="Arial"/>
          <w:sz w:val="24"/>
          <w:szCs w:val="24"/>
          <w:lang w:val="es-ES"/>
        </w:rPr>
        <w:t xml:space="preserve">interpuso el recurso de revisión, en fecha </w:t>
      </w:r>
      <w:r w:rsidR="00F05674">
        <w:rPr>
          <w:rFonts w:ascii="Palatino Linotype" w:hAnsi="Palatino Linotype" w:cs="Arial"/>
          <w:sz w:val="24"/>
          <w:szCs w:val="24"/>
          <w:lang w:val="es-ES"/>
        </w:rPr>
        <w:t>once de enero de dos mil veintiuno</w:t>
      </w:r>
      <w:r w:rsidRPr="001708B9">
        <w:rPr>
          <w:rFonts w:ascii="Palatino Linotype" w:hAnsi="Palatino Linotype" w:cs="Arial"/>
          <w:sz w:val="24"/>
          <w:szCs w:val="24"/>
          <w:lang w:val="es-ES"/>
        </w:rPr>
        <w:t>, el cual fue registrado</w:t>
      </w:r>
      <w:r w:rsidRPr="001708B9">
        <w:rPr>
          <w:rFonts w:ascii="Palatino Linotype" w:hAnsi="Palatino Linotype" w:cs="Arial"/>
          <w:b/>
          <w:sz w:val="24"/>
          <w:szCs w:val="24"/>
          <w:lang w:val="es-ES"/>
        </w:rPr>
        <w:t xml:space="preserve"> </w:t>
      </w:r>
      <w:r w:rsidRPr="001708B9">
        <w:rPr>
          <w:rFonts w:ascii="Palatino Linotype" w:hAnsi="Palatino Linotype" w:cs="Arial"/>
          <w:sz w:val="24"/>
          <w:szCs w:val="24"/>
          <w:lang w:val="es-ES"/>
        </w:rPr>
        <w:t xml:space="preserve">en el sistema electrónico con el expediente número </w:t>
      </w:r>
      <w:r w:rsidRPr="001708B9">
        <w:rPr>
          <w:rFonts w:ascii="Palatino Linotype" w:hAnsi="Palatino Linotype" w:cs="Arial"/>
          <w:b/>
          <w:bCs/>
          <w:sz w:val="24"/>
          <w:szCs w:val="24"/>
          <w:lang w:val="es-ES" w:eastAsia="es-MX"/>
        </w:rPr>
        <w:t>0</w:t>
      </w:r>
      <w:r w:rsidR="00F05674">
        <w:rPr>
          <w:rFonts w:ascii="Palatino Linotype" w:hAnsi="Palatino Linotype" w:cs="Arial"/>
          <w:b/>
          <w:bCs/>
          <w:sz w:val="24"/>
          <w:szCs w:val="24"/>
          <w:lang w:val="es-ES" w:eastAsia="es-MX"/>
        </w:rPr>
        <w:t>00</w:t>
      </w:r>
      <w:r w:rsidR="00A070F4" w:rsidRPr="001708B9">
        <w:rPr>
          <w:rFonts w:ascii="Palatino Linotype" w:hAnsi="Palatino Linotype" w:cs="Arial"/>
          <w:b/>
          <w:bCs/>
          <w:sz w:val="24"/>
          <w:szCs w:val="24"/>
          <w:lang w:val="es-ES" w:eastAsia="es-MX"/>
        </w:rPr>
        <w:t>8</w:t>
      </w:r>
      <w:r w:rsidR="00784FE7">
        <w:rPr>
          <w:rFonts w:ascii="Palatino Linotype" w:hAnsi="Palatino Linotype" w:cs="Arial"/>
          <w:b/>
          <w:bCs/>
          <w:sz w:val="24"/>
          <w:szCs w:val="24"/>
          <w:lang w:val="es-ES" w:eastAsia="es-MX"/>
        </w:rPr>
        <w:t>5</w:t>
      </w:r>
      <w:r w:rsidRPr="001708B9">
        <w:rPr>
          <w:rFonts w:ascii="Palatino Linotype" w:hAnsi="Palatino Linotype" w:cs="Arial"/>
          <w:b/>
          <w:bCs/>
          <w:sz w:val="24"/>
          <w:szCs w:val="24"/>
          <w:lang w:val="es-ES" w:eastAsia="es-MX"/>
        </w:rPr>
        <w:t>/INFOEM/IP/RR/202</w:t>
      </w:r>
      <w:r w:rsidR="00F05674">
        <w:rPr>
          <w:rFonts w:ascii="Palatino Linotype" w:hAnsi="Palatino Linotype" w:cs="Arial"/>
          <w:b/>
          <w:bCs/>
          <w:sz w:val="24"/>
          <w:szCs w:val="24"/>
          <w:lang w:val="es-ES" w:eastAsia="es-MX"/>
        </w:rPr>
        <w:t>1</w:t>
      </w:r>
      <w:r w:rsidRPr="001708B9">
        <w:rPr>
          <w:rFonts w:ascii="Palatino Linotype" w:hAnsi="Palatino Linotype" w:cs="Arial"/>
          <w:sz w:val="24"/>
          <w:szCs w:val="24"/>
          <w:lang w:val="es-ES"/>
        </w:rPr>
        <w:t xml:space="preserve">, en el cual </w:t>
      </w:r>
      <w:r w:rsidRPr="001708B9">
        <w:rPr>
          <w:rFonts w:ascii="Palatino Linotype" w:hAnsi="Palatino Linotype" w:cs="Arial"/>
          <w:sz w:val="24"/>
          <w:lang w:val="es-ES"/>
        </w:rPr>
        <w:t>arguye, las siguientes manifestaciones:</w:t>
      </w:r>
    </w:p>
    <w:p w14:paraId="47881239" w14:textId="77777777" w:rsidR="00497466" w:rsidRPr="001708B9" w:rsidRDefault="00497466" w:rsidP="00497466">
      <w:pPr>
        <w:spacing w:before="240"/>
        <w:jc w:val="both"/>
        <w:rPr>
          <w:rFonts w:ascii="Palatino Linotype" w:hAnsi="Palatino Linotype" w:cs="Arial"/>
          <w:b/>
          <w:sz w:val="24"/>
          <w:lang w:val="es-ES"/>
        </w:rPr>
      </w:pPr>
      <w:r w:rsidRPr="001708B9">
        <w:rPr>
          <w:rFonts w:ascii="Palatino Linotype" w:hAnsi="Palatino Linotype" w:cs="Arial"/>
          <w:b/>
          <w:sz w:val="24"/>
          <w:lang w:val="es-ES"/>
        </w:rPr>
        <w:t>Acto Impugnado:</w:t>
      </w:r>
    </w:p>
    <w:p w14:paraId="4A2FFF1B" w14:textId="634E1D7D" w:rsidR="00497466" w:rsidRPr="001708B9" w:rsidRDefault="00497466" w:rsidP="00497466">
      <w:pPr>
        <w:ind w:left="851" w:right="850"/>
        <w:jc w:val="both"/>
        <w:rPr>
          <w:rFonts w:ascii="Palatino Linotype" w:hAnsi="Palatino Linotype"/>
          <w:i/>
          <w:color w:val="000000"/>
          <w:lang w:val="es-ES"/>
        </w:rPr>
      </w:pPr>
      <w:r w:rsidRPr="001708B9">
        <w:rPr>
          <w:rFonts w:ascii="Palatino Linotype" w:hAnsi="Palatino Linotype"/>
          <w:i/>
          <w:color w:val="000000"/>
          <w:lang w:val="es-ES"/>
        </w:rPr>
        <w:t>“</w:t>
      </w:r>
      <w:r w:rsidR="00784FE7" w:rsidRPr="00784FE7">
        <w:rPr>
          <w:rFonts w:ascii="Palatino Linotype" w:hAnsi="Palatino Linotype"/>
          <w:i/>
          <w:color w:val="000000"/>
          <w:lang w:val="es-ES"/>
        </w:rPr>
        <w:t>La contestación del ente obligado</w:t>
      </w:r>
      <w:r w:rsidRPr="001708B9">
        <w:rPr>
          <w:rFonts w:ascii="Palatino Linotype" w:hAnsi="Palatino Linotype"/>
          <w:i/>
          <w:color w:val="000000"/>
          <w:lang w:val="es-ES"/>
        </w:rPr>
        <w:t>."[Sic]</w:t>
      </w:r>
    </w:p>
    <w:p w14:paraId="2E5A85F4" w14:textId="77777777" w:rsidR="00497466" w:rsidRPr="001708B9" w:rsidRDefault="00497466" w:rsidP="00497466">
      <w:pPr>
        <w:spacing w:before="240"/>
        <w:jc w:val="both"/>
        <w:rPr>
          <w:rFonts w:ascii="Palatino Linotype" w:hAnsi="Palatino Linotype" w:cs="Arial"/>
          <w:sz w:val="24"/>
          <w:lang w:val="es-ES"/>
        </w:rPr>
      </w:pPr>
      <w:r w:rsidRPr="001708B9">
        <w:rPr>
          <w:rFonts w:ascii="Palatino Linotype" w:hAnsi="Palatino Linotype" w:cs="Arial"/>
          <w:b/>
          <w:sz w:val="24"/>
          <w:lang w:val="es-ES"/>
        </w:rPr>
        <w:t>Razones o Motivos de Inconformidad</w:t>
      </w:r>
      <w:r w:rsidRPr="001708B9">
        <w:rPr>
          <w:rFonts w:ascii="Palatino Linotype" w:hAnsi="Palatino Linotype" w:cs="Arial"/>
          <w:sz w:val="24"/>
          <w:lang w:val="es-ES"/>
        </w:rPr>
        <w:t xml:space="preserve">: </w:t>
      </w:r>
    </w:p>
    <w:p w14:paraId="61D19EA1" w14:textId="230F6F3B" w:rsidR="00497466" w:rsidRDefault="00497466" w:rsidP="00497466">
      <w:pPr>
        <w:ind w:left="851" w:right="850"/>
        <w:jc w:val="both"/>
        <w:rPr>
          <w:rFonts w:ascii="Palatino Linotype" w:hAnsi="Palatino Linotype" w:cs="Arial"/>
          <w:i/>
          <w:lang w:val="es-ES"/>
        </w:rPr>
      </w:pPr>
      <w:r w:rsidRPr="001708B9">
        <w:rPr>
          <w:rFonts w:ascii="Palatino Linotype" w:hAnsi="Palatino Linotype" w:cs="Arial"/>
          <w:i/>
          <w:lang w:val="es-ES"/>
        </w:rPr>
        <w:t>“</w:t>
      </w:r>
      <w:r w:rsidR="00784FE7" w:rsidRPr="00784FE7">
        <w:rPr>
          <w:rFonts w:ascii="Palatino Linotype" w:hAnsi="Palatino Linotype" w:cs="Arial"/>
          <w:i/>
          <w:lang w:val="es-ES"/>
        </w:rPr>
        <w:t>Se consignan en el documento que se anexa</w:t>
      </w:r>
      <w:r w:rsidR="00A070F4" w:rsidRPr="001708B9">
        <w:rPr>
          <w:rFonts w:ascii="Palatino Linotype" w:hAnsi="Palatino Linotype" w:cs="Arial"/>
          <w:i/>
          <w:lang w:val="es-ES"/>
        </w:rPr>
        <w:t>.</w:t>
      </w:r>
      <w:r w:rsidRPr="001708B9">
        <w:rPr>
          <w:rFonts w:ascii="Palatino Linotype" w:hAnsi="Palatino Linotype" w:cs="Arial"/>
          <w:i/>
          <w:lang w:val="es-ES"/>
        </w:rPr>
        <w:t>” [Sic]</w:t>
      </w:r>
    </w:p>
    <w:p w14:paraId="222AF5E3" w14:textId="2CD42D72" w:rsidR="00784FE7" w:rsidRPr="00784FE7" w:rsidRDefault="00784FE7" w:rsidP="00784FE7">
      <w:pPr>
        <w:ind w:right="850"/>
        <w:jc w:val="both"/>
        <w:rPr>
          <w:rFonts w:ascii="Palatino Linotype" w:hAnsi="Palatino Linotype" w:cs="Arial"/>
          <w:lang w:val="es-ES"/>
        </w:rPr>
      </w:pPr>
      <w:r w:rsidRPr="00784FE7">
        <w:rPr>
          <w:rFonts w:ascii="Palatino Linotype" w:hAnsi="Palatino Linotype" w:cs="Arial"/>
          <w:lang w:val="es-ES"/>
        </w:rPr>
        <w:t>Asimismo, adjunto un archivo electrónico denominado Inconformidad SJDH.docx, el cual es del tenor siguiente:</w:t>
      </w:r>
    </w:p>
    <w:p w14:paraId="287FBC0D"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Me causa inconformidad la contestación del ente obligado, Secretaría de Justicia y Derechos Humanos, porque la información que solicite no fue satisfecha, en virtud de los siguientes puntos: </w:t>
      </w:r>
    </w:p>
    <w:p w14:paraId="475E175D"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Solicité literalmente lo siguiente: </w:t>
      </w:r>
    </w:p>
    <w:p w14:paraId="7FB3200D"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“En relación a la publicación del día trece de noviembre del año en curso, en el Periódico Oficial “Gaceta del Gobierno”, del “ACUERDO DEL EJECUTIVO DEL ESTADO POR EL QUE SE DECLARA LA TERMINACIÓN DE LA FUNCIÓN NOTARIAL DEL LICENCIADO RENÉ CUTBERTO SANTÍN QUIROZ, COMO NOTARIO TITULAR DE LA NOTARÍA PÚBLICA 1 DEL </w:t>
      </w:r>
      <w:r w:rsidRPr="00784FE7">
        <w:rPr>
          <w:rFonts w:ascii="Palatino Linotype" w:hAnsi="Palatino Linotype" w:cs="Arial"/>
        </w:rPr>
        <w:lastRenderedPageBreak/>
        <w:t>ESTADO DE MÉXICO, CON RESIDENCIA EN EL MUNICIPIO DE TOLUCA, POR REVOCACIÓN DE SU NOMBRAMIENTO Y SE DECLARA LA SUSPENSIÓN DE FUNCIONES DE DICHA NOTARÍA”, me permito solicitar lo siguiente, en ejercicio de mi derecho de información pública: 1. Me parece que el acuerdo es incompleto, toda vez que no señala con claridad, los supuestos contenidos en la fracción I del numeral 156 de la Ley del Notariado del Estado de México, ya que ese dispositivo legal a su vez, señala siete incisos por los cuales se configura la fracción I. De tal manera que solicito se me informe el motivo por el cual se declaró la terminación de la función notarial de René Cutberto Santín Quiroz de forma específica. 2. Se me informe, el procedimiento que se lleva para que el Gobernador declare la terminación de la función notaria del un Fedatario Público en el Estado de México. 3. Se me remita en versión pública, 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4. ¿Qué proceso o procedimiento tienen que colmar los empleados de dicha Notaría a efecto de que no queden en estado de indefensión por la terminación de la función notarial de René Cutberto Santín Quiroz?.” (sic)</w:t>
      </w:r>
    </w:p>
    <w:p w14:paraId="15E187B0"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En lo que me permitiré señalar de manera especifica cada uno de los puntos, para que se advierta porque el suscrito, determina que no fue colmado mi derecho a la información pública.</w:t>
      </w:r>
    </w:p>
    <w:p w14:paraId="081F333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Por lo que hace al punto 1, el suscrito solicitó: </w:t>
      </w:r>
    </w:p>
    <w:p w14:paraId="2FFDB63A"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“1. Me parece que el acuerdo es incompleto, toda vez que no señala con claridad, los supuestos contenidos en la fracción I del numeral 156 de la Ley del Notariado del Estado de México, ya que ese dispositivo legal a su vez, señala siete incisos por los cuales se configura la fracción I. De tal manera que solicito se me informe el motivo por el cual se declaró la terminación de la función notarial de René Cutberto Santín Quiroz de forma específica.”</w:t>
      </w:r>
    </w:p>
    <w:p w14:paraId="3344ADB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El ente obligado, me respondió: </w:t>
      </w:r>
    </w:p>
    <w:p w14:paraId="6CC8BC09"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“1.- Respecto al punto 1. (uno) informo a Usted que el Acuerdo del Ejecutivo Estatal publicado en el Periódico Oficial “Gaceta del Gobierno”, no es </w:t>
      </w:r>
      <w:r w:rsidRPr="00784FE7">
        <w:rPr>
          <w:rFonts w:ascii="Palatino Linotype" w:hAnsi="Palatino Linotype" w:cs="Arial"/>
        </w:rPr>
        <w:lastRenderedPageBreak/>
        <w:t>incompleto, toda vez que cumple con lo dispuesto con el artículo 46 de la Ley del Notariado del Estado de México.” (sic)</w:t>
      </w:r>
    </w:p>
    <w:p w14:paraId="6BE2A9D1"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Manifestaciones que estimo, son incompletas e inoperantes, pues el numeral 156 de la Ley del Notariado contempla siete incisos por los cuales se configura la fracción I; de lo cual me permito transcribir para pronta referencia: </w:t>
      </w:r>
    </w:p>
    <w:p w14:paraId="71999D3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Artículo 156. La revocación del nombramiento procederá por: </w:t>
      </w:r>
    </w:p>
    <w:p w14:paraId="2D30AB7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I. Incurrir en falta de probidad en el ejercicio de su función. Se consideran como faltas de probidad, además de la definición genérica contenida en el artículo 20 fracción I de la presente Ley, las siguientes: </w:t>
      </w:r>
    </w:p>
    <w:p w14:paraId="3F2F748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 Haber recibido el monto de impuestos o derechos causados por la operación contenida en un instrumento y no enterarlos en la oficina fiscal recaudadora.</w:t>
      </w:r>
    </w:p>
    <w:p w14:paraId="1A977ADA"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Para los efectos de la presente disposición se entenderá que el notario ha incurrido en falta de probidad, si los montos citados no son pagados a más tardar ciento ochenta días después del término que por ley corresponda para ser enterados, sin que medie justificación legal alguna. </w:t>
      </w:r>
    </w:p>
    <w:p w14:paraId="4050BC0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b). Permitir la suplantación de su persona o el uso por un tercero de su sello de autorizar o su firma autógrafa o electrónica notarial. </w:t>
      </w:r>
    </w:p>
    <w:p w14:paraId="744B747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c). Rendir informes falsos a la Secretaría, autoridades jurisdiccionales o al Ministerio Público. </w:t>
      </w:r>
    </w:p>
    <w:p w14:paraId="0DC11F4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d). Reincidir en el supuesto establecido en la fracción III del artículo anterior. </w:t>
      </w:r>
    </w:p>
    <w:p w14:paraId="44DAADDB"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e). Haber sido condenado por sentencia ejecutoriada por delito grave. </w:t>
      </w:r>
    </w:p>
    <w:p w14:paraId="144C7F1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f). Establecer oficina en local diverso al registrado ante la Secretaría, para atender al público en trámites relacionados con la Notaría a su cargo. </w:t>
      </w:r>
    </w:p>
    <w:p w14:paraId="55B3F7E8"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g). Extraer de la Notaría a su cargo el Protocolo o parte de él, salvo por causa de fuerza mayor o en los casos previstos en esta Ley.</w:t>
      </w:r>
    </w:p>
    <w:p w14:paraId="743A70B8"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Como se aprecia, Rene Cutberto Santín Quiroz no pudo haber configurado los incisos a, b, c, d, e, f, y g, de la fracción I del numeral 156 de la Ley del Notariado, por lo que solicite se me informara con claridad cuál de esos supuestos fue el que cometió el ex fedatario público. </w:t>
      </w:r>
    </w:p>
    <w:p w14:paraId="0103433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lastRenderedPageBreak/>
        <w:t>Y por lo que hace a las manifestaciones contenidas en señalar que Acuerdo del Ejecutivo Estatal publicado en el Periódico Oficial “Gaceta del Gobierno”, no es incompleto, toda vez que cumple con lo dispuesto con el artículo 46 de la Ley del Notariado del Estado de México, me permito señalar que estimo es inoperante invocar dicho numeral al caso que nos ocupa, ya que este únicamente señala el trámite que deberá realizar el Gobernador del Estado para informar sobre la terminación de la función notarial de un notario, ya que este artículo reza de la siguiente forma:</w:t>
      </w:r>
    </w:p>
    <w:p w14:paraId="7535B4D8"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Artículo 46.- La declaratoria de terminación de la función de un Notario y de los interinatos, la hará el Gobernador del Estado, quien ordenará su publicación por una sola vez en el periódico oficial “Gaceta del Gobierno” y en uno de los periódicos de mayor circulación en la entidad. La Secretaría lo comunicará a las instancias a que se refiere el artículo 18 fracción V de la Ley.</w:t>
      </w:r>
    </w:p>
    <w:p w14:paraId="2867C0F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Por lo que no guarda relación lo solicitado con lo respondido por el ente obligado. De manera clara, sucedió lo siguiente:</w:t>
      </w:r>
    </w:p>
    <w:p w14:paraId="2F6200A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Pregunto qué inciso de la fracción I del numeral 156 de la Ley del Notariado, fue el que incurrió René Cutberto Santín Quiroz para que se declara como terminada su función notarial y el ente obligado me responde que el Gobernador ordenará la publicación de la declaratoria en la “Gaceta del Gobierno”. </w:t>
      </w:r>
    </w:p>
    <w:p w14:paraId="5DC08A8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Ahora bien, me causa agravio la determinación del Comité de Transparencia del Comité de Transparencia de la Secretaría de Justicia y Derechos Humanos, contenida en la Décimo Sexta Sesión Extraordinaria, en la que después de tanta argumentación y sofismas, estimo que la contestación agravia mi derecho a la información, bajo las siguientes consideraciones:</w:t>
      </w:r>
    </w:p>
    <w:p w14:paraId="3E8EE77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Solicite lo siguiente: </w:t>
      </w:r>
    </w:p>
    <w:p w14:paraId="0B5256DD"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“3. Se me remita en versión pública, 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(sic)</w:t>
      </w:r>
    </w:p>
    <w:p w14:paraId="70DB0A37"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De lo cual, en primer término, el ente obligado me informó:</w:t>
      </w:r>
    </w:p>
    <w:p w14:paraId="1E23C716"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lastRenderedPageBreak/>
        <w:t>“3.- Respecto al punto 3. (tres) hago de su conocimiento que la resolución solicitada, dictada en el procedimiento administrativo de queja 31/2020, radicado ante esta autoridad, fue notificada al licenciado René Cutberto Santín Quiroz, el veintinueve de octubre de este año. (2020).</w:t>
      </w:r>
    </w:p>
    <w:p w14:paraId="5D994812"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Relacionado con lo anterior, los artículos 186, 188 y 238 del Código de Procedimientos Administrativos del Estado de México, en su parte que interesa disponen lo siguiente: </w:t>
      </w:r>
    </w:p>
    <w:p w14:paraId="5C6EB367"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"Artículo 186.- Contra los actos y resoluciones de las autoridades administrativas y fiscales, los particulares afectados tendrán la opción de interponer el recurso administrativo de inconformidad ante la propia autoridad o el juicio ante el Tribunal de lo Contencioso Administrativo. Cuando se esté haciendo uso del recurso de inconformidad, previo desistimiento del mismo, el interesado podrá promover el juicio ante el propio Tribunal. La resolución que se dicte en el recurso de inconformidad también puede impugnarse ante el Tribunal. </w:t>
      </w:r>
    </w:p>
    <w:p w14:paraId="1DE56098"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Artículo 188.- El escrito de interposición del recurso deberá presentarse ante la autoridad administrativa competente o ante la propia autoridad que emitió o ejecutó el acto impugnado dentro de los 15 días siguientes al en que surta efectos su notificación... </w:t>
      </w:r>
    </w:p>
    <w:p w14:paraId="03B76976"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Artículo 238.- La demanda deberá formularse por escrito y presentarse directamente ante la Sala Regional correspondiente al domicilio de la parte actora, dentro de los quince días al en que surta efectos la notificación del acto que se impugna o al en que haya tenido conocimiento del mismo...". </w:t>
      </w:r>
    </w:p>
    <w:p w14:paraId="2E5576D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De lo anterior, se desprende que en contra de resoluciones de las autoridades administrativas, los particulares afectados tendrán la opción de interponer el recurso administrativo de inconformidad ante la propia autoridad o el juicio ante el Tribunal de Justicia Administrativa del Estado de México; así mismo, que el término para la interposición del recurso ante la autoridad administrativa competente es de quince días, de igual forma, la demanda deberá presentarse dentro de los quince días al en que surta efectos la notificación del acto que se impugna. </w:t>
      </w:r>
    </w:p>
    <w:p w14:paraId="1FBDA918"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Luego entonces, si la resolución que nos ocupa fue notificada el veintinueve de octubre del año en curso, lo que se acredita con la copia simple de la </w:t>
      </w:r>
      <w:r w:rsidRPr="00784FE7">
        <w:rPr>
          <w:rFonts w:ascii="Palatino Linotype" w:hAnsi="Palatino Linotype" w:cs="Arial"/>
        </w:rPr>
        <w:lastRenderedPageBreak/>
        <w:t xml:space="preserve">actuación respectiva, resulta inconcuso que no ha transcurrido el término de quince días previstos por los artículos 186, 188 y 238 del Código de Procedimientos Administrativos del Estado de México, para que el licenciado René Cutberto Santín Quiroz, pueda promover el recurso de inconformidad o en su caso, el juicio administrativo ante el Tribunal de Justicia Administrativa del Estado de México. </w:t>
      </w:r>
    </w:p>
    <w:p w14:paraId="4A0CC90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Por lo anterior, ante la posibilidad de que se vea afectada o vulnerada la conducción o los derechos del debido proceso en perjuicio del licenciado René Cutberto Santín Quiroz, y por no haber quedado firme la resolución respectiva, atento a lo dispuesto por los artículos 91, 132, fracciones I y Il y 140, fracciones VI y VIII de la Ley de Transparencia y Acceso a la Información Pública del Estado de México y Municipios, atentamente se solicita a usted, de no tener inconveniente, se sirva someter a la consideración del Comité de Transparencia clasificar como reservada toda la información relacionada con el procedimiento administrativo de queja 31/2020, radicado ante esta autoridad, en donde se dictó la resolución solicitada, hasta en tanto quede firme esta última o por el periodo de 1 año.” (sic)</w:t>
      </w:r>
    </w:p>
    <w:p w14:paraId="6788B3B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*Énfasis propio.</w:t>
      </w:r>
    </w:p>
    <w:p w14:paraId="0263205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En segundo término, posteriormente el Comité de Transparencia de la Secretaría de Justicia y Derechos Humanos, acordó, lo siguiente:</w:t>
      </w:r>
    </w:p>
    <w:p w14:paraId="2FDD620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“ÚNICO SJDH/CT-IR/006/2020.- Se aprueba por unanimidad la clasificación de la información como reservada de las documentales que integran expediente relativo al recurso administrativo de queja 31/2020, por un periodo de un año o hasta que cause estado, toda vez que lo solicitado en el punto 3 referente a: "...3. Se me remita en versión pública, aprobada por el Comité de Transparencia que corresponda, la resolución, falló y/o sentencia, por el cual el Gobernador determinó la terminación de la función notarial de René Cutberto Santin Quiroz, así como el documento que notificó de manera personal al referido dicho falló y/o acuerdo...", se encuentra en proceso, ya que no ha transcurrido el término de quince días previstos por los artículos 186,188 y 238 del Código de Procedimientos Administrativos del Estado de México para que el Lic. Rene Cutberto Santín Quiroz, pueda promover el recurso de inconformidad ante esta autoridad o en su caso el juicio administrativo ante el Tribunal de Justicia Administrativa del Estado de México, sin haber causado </w:t>
      </w:r>
      <w:r w:rsidRPr="00784FE7">
        <w:rPr>
          <w:rFonts w:ascii="Palatino Linotype" w:hAnsi="Palatino Linotype" w:cs="Arial"/>
        </w:rPr>
        <w:lastRenderedPageBreak/>
        <w:t>ejecutoria y el acceso a dicha información vulneraría la conducción del debido proceso, por lo que se solicita a la Titular de la Unidad de Transparencia, notifique el presente acuerdo al solicitante”</w:t>
      </w:r>
    </w:p>
    <w:p w14:paraId="5B079DD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De ambas determinaciones, tanto del ente obligado como del Comité de Transparencia, estimo se viola mi derecho a la información pública. Por lo que hace al ente obligado, porque considerando que el René Cutberto Santín Quiroz tenía 15 quince días hábiles para interponer algún recurso de defensa por la resolución de la terminación de su función notarial, dicho plazo fenecía el día 24 veinticuatro de noviembre del año dos mil veinte, de acuerdo al Calendario Oficial del Tribunal de Justicia Administrativa del Estado de México para el año 2020, publicado en el Periodico Oficial “Gaceta del Gobierno” el día dos de diciembre del año 2019, contado para ellos los 15 quince días de la siguiente forma:</w:t>
      </w:r>
    </w:p>
    <w:p w14:paraId="4E3FEB8B"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29 de octubre de 2020, se notificó la resolución a René Cutberto Santín Quiroz.</w:t>
      </w:r>
    </w:p>
    <w:p w14:paraId="053C1F8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30 de octubre de 2020, surte efectos dicha notificación.</w:t>
      </w:r>
    </w:p>
    <w:p w14:paraId="6E92EE7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Empiezan a contar los días del plazo concedido por la Ley en la materia:</w:t>
      </w:r>
    </w:p>
    <w:p w14:paraId="15D406D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Primer día: 03 de noviembre de 2020</w:t>
      </w:r>
    </w:p>
    <w:p w14:paraId="0216CF8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Segundo día: 04 de noviembre de 2020</w:t>
      </w:r>
    </w:p>
    <w:p w14:paraId="40253A9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Tercer día: 05 de noviembre de 2020</w:t>
      </w:r>
    </w:p>
    <w:p w14:paraId="6F44F7E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Cuarto día: 06 de noviembre de 2020</w:t>
      </w:r>
    </w:p>
    <w:p w14:paraId="43E6B22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Quinto día: 09 de noviembre de 2020</w:t>
      </w:r>
    </w:p>
    <w:p w14:paraId="044E6C27"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Sexto día: 10 de noviembre de 2020</w:t>
      </w:r>
    </w:p>
    <w:p w14:paraId="4F97B4B0"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Séptimo día: 11 de noviembre de 2020</w:t>
      </w:r>
    </w:p>
    <w:p w14:paraId="09FB9756"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Octavo día: 12 de noviembre de 2020</w:t>
      </w:r>
    </w:p>
    <w:p w14:paraId="13E97817"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Noveno día: 13 de noviembre de 2020</w:t>
      </w:r>
    </w:p>
    <w:p w14:paraId="7EB0C68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Décimo día: 17 de noviembre de 2020</w:t>
      </w:r>
    </w:p>
    <w:p w14:paraId="5EBCD70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Décimo primer día: 18 de noviembre de 2020</w:t>
      </w:r>
    </w:p>
    <w:p w14:paraId="0D92D59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Décimo segundo día: 19 de noviembre de 2020</w:t>
      </w:r>
    </w:p>
    <w:p w14:paraId="55187006"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lastRenderedPageBreak/>
        <w:t>Décimo tercer día: 20 de noviembre de 2020</w:t>
      </w:r>
    </w:p>
    <w:p w14:paraId="258E672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Décimo cuarto día: 23 de noviembre de 2020</w:t>
      </w:r>
    </w:p>
    <w:p w14:paraId="631910B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Décimo quinto día: 24 de noviembre de 2020</w:t>
      </w:r>
    </w:p>
    <w:p w14:paraId="53A462B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Así las cosas, considerando que el ente obligado, respondió mi solicitud a través del oficio número SJDH/UIPPE/1133/2020 de fecha 08 de diciembre del año dos mil veinte y el Comité de Transparencia de la Secretaría de Justicia y Derechos Humanos sesionó en fecha cuatro del mismo mes y año, se hace patente que dicha dependencia estatal ya debió haber sido notificada si René Cutberto Santín Quiroz, presentó algún procedimiento administrativo en contra de la resolución que determinó terminar su función notarial.</w:t>
      </w:r>
    </w:p>
    <w:p w14:paraId="646B5BC5"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En el entendido entonces, de que en la ambivalencia de que Rene Cutberto Santín Quiroz haya presentado algún recurso de inconformidad ante la misma autoridad, del día veinticuatro de noviembre al día cuatro de diciembre, ambos del año 2020, el ente obligado y el Comité de Transparencia, ya deberían haber contado con la información, en caso de que haya sido acaecido de esa forma. </w:t>
      </w:r>
    </w:p>
    <w:p w14:paraId="05AC803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O en caso, de que René Cutberto Santín Quiroz, haya promovido algún juicio administrativo de inconformidad ante el Tribunal de Justicia Administrativa del Estado de México, éste Órgano Jurisdiccional, debió haber en su caso, acordado la admisión o desechamiento de la misma y notificado a la autoridad, pues son ocho días para que ello suceda:</w:t>
      </w:r>
    </w:p>
    <w:p w14:paraId="45C07EAC"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Primer día: 25 de noviembre de 2020</w:t>
      </w:r>
    </w:p>
    <w:p w14:paraId="04C8768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Segundo día: 26 de noviembre de 2020</w:t>
      </w:r>
    </w:p>
    <w:p w14:paraId="197733E4"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Tercer día: 27 de noviembre de 2020</w:t>
      </w:r>
    </w:p>
    <w:p w14:paraId="0D0E836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Cuarto día: 30 de noviembre de 2020</w:t>
      </w:r>
    </w:p>
    <w:p w14:paraId="00D4BF06"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Quinto día: 01 de diciembre de 2020</w:t>
      </w:r>
    </w:p>
    <w:p w14:paraId="7CB0F529"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Sexto día: 02 de diciembre de 2020</w:t>
      </w:r>
    </w:p>
    <w:p w14:paraId="2BBA17A3"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Séptimo día: 03 de diciembre de 2020</w:t>
      </w:r>
    </w:p>
    <w:p w14:paraId="1D29A341"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ab/>
        <w:t>Octavo día: 04 de diciembre de 2020</w:t>
      </w:r>
    </w:p>
    <w:p w14:paraId="6168C2B0"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lastRenderedPageBreak/>
        <w:t xml:space="preserve">Lo anterior, en consideración de que las determinaciones del Tribunal de Justicia Administrativa del Estado de México, serán satisfechas al día hábil siguiente en que se presente, en la especie, si René Cutberto Santín Quiroz, promovió algún juicio hasta el día 24 de noviembre de 2020, el Tribunal debió admitirla al día hábil siguiente, por lo que el suscrito no encuentra algún pretexto por el cual hasta el día 8 de diciembre de 2020, el ente obligado no sabía si Santín Quiroz promovió algún procedimiento. </w:t>
      </w:r>
    </w:p>
    <w:p w14:paraId="0B01BE1F"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Solo como comentario, me parece preocupante que una institución pueda señalar argumentos sin sentido como el que relata, al tenor literal siguiente: </w:t>
      </w:r>
    </w:p>
    <w:p w14:paraId="5CE7591E"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 xml:space="preserve">Luego entonces, si la resolución que nos ocupa fue notificada el veintinueve de octubre del año en curso, lo que se acredita con la copia simple de la actuación respectiva, resulta inconcuso que no ha transcurrido el término de quince días previstos por los artículos 186, 188 y 238 del Código de Procedimientos Administrativos del Estado de México, para que el licenciado René Cutberto Santín Quiroz, pueda promover el recurso de inconformidad o en su caso, el juicio administrativo ante el Tribunal de Justicia Administrativa del Estado de México. </w:t>
      </w:r>
    </w:p>
    <w:p w14:paraId="3252B408" w14:textId="77777777" w:rsidR="00784FE7" w:rsidRPr="00784FE7" w:rsidRDefault="00784FE7" w:rsidP="00784FE7">
      <w:pPr>
        <w:ind w:left="708" w:right="850"/>
        <w:jc w:val="both"/>
        <w:rPr>
          <w:rFonts w:ascii="Palatino Linotype" w:hAnsi="Palatino Linotype" w:cs="Arial"/>
        </w:rPr>
      </w:pPr>
      <w:r w:rsidRPr="00784FE7">
        <w:rPr>
          <w:rFonts w:ascii="Palatino Linotype" w:hAnsi="Palatino Linotype" w:cs="Arial"/>
        </w:rPr>
        <w:t>¿Cómo puede decir que resulta inconcuso que no ha transcurrido el término de quince día, si esa contestación fue instrumentada hasta el día ocho de diciembre de 2020, siendo que el plazo había finalizado el día 24 de noviembre de 2020?</w:t>
      </w:r>
    </w:p>
    <w:p w14:paraId="41BF8125" w14:textId="77777777" w:rsidR="00497466" w:rsidRPr="001708B9" w:rsidRDefault="00497466" w:rsidP="00497466">
      <w:pPr>
        <w:spacing w:before="240" w:line="360" w:lineRule="auto"/>
        <w:jc w:val="both"/>
        <w:rPr>
          <w:rFonts w:ascii="Palatino Linotype" w:hAnsi="Palatino Linotype" w:cs="Arial"/>
          <w:b/>
          <w:sz w:val="24"/>
          <w:szCs w:val="24"/>
          <w:lang w:val="es-ES"/>
        </w:rPr>
      </w:pPr>
      <w:r w:rsidRPr="001708B9">
        <w:rPr>
          <w:rFonts w:ascii="Palatino Linotype" w:hAnsi="Palatino Linotype" w:cs="Arial"/>
          <w:b/>
          <w:sz w:val="28"/>
          <w:lang w:val="es-ES"/>
        </w:rPr>
        <w:t>CUARTO</w:t>
      </w:r>
      <w:r w:rsidRPr="001708B9">
        <w:rPr>
          <w:rFonts w:ascii="Palatino Linotype" w:hAnsi="Palatino Linotype" w:cs="Arial"/>
          <w:b/>
          <w:sz w:val="24"/>
          <w:szCs w:val="24"/>
          <w:lang w:val="es-ES"/>
        </w:rPr>
        <w:t xml:space="preserve">. </w:t>
      </w:r>
      <w:r w:rsidRPr="001708B9">
        <w:rPr>
          <w:rFonts w:ascii="Palatino Linotype" w:hAnsi="Palatino Linotype" w:cs="Arial"/>
          <w:b/>
          <w:sz w:val="28"/>
          <w:szCs w:val="28"/>
          <w:lang w:val="es-ES"/>
        </w:rPr>
        <w:t>Del turno del recurso de revisión.</w:t>
      </w:r>
    </w:p>
    <w:p w14:paraId="6ACA4F8A" w14:textId="63213E15" w:rsidR="00497466" w:rsidRDefault="00497466" w:rsidP="00497466">
      <w:pPr>
        <w:spacing w:before="240" w:line="360" w:lineRule="auto"/>
        <w:jc w:val="both"/>
        <w:rPr>
          <w:rFonts w:ascii="Palatino Linotype" w:hAnsi="Palatino Linotype" w:cs="Arial"/>
          <w:sz w:val="24"/>
          <w:szCs w:val="24"/>
          <w:lang w:val="es-ES"/>
        </w:rPr>
      </w:pPr>
      <w:r w:rsidRPr="001708B9">
        <w:rPr>
          <w:rFonts w:ascii="Palatino Linotype" w:hAnsi="Palatino Linotype" w:cs="Arial"/>
          <w:sz w:val="24"/>
          <w:szCs w:val="24"/>
          <w:lang w:val="es-ES"/>
        </w:rPr>
        <w:t xml:space="preserve">Medio de impugnación que le fue turnado a la Comisionada </w:t>
      </w:r>
      <w:r w:rsidRPr="001708B9">
        <w:rPr>
          <w:rFonts w:ascii="Palatino Linotype" w:hAnsi="Palatino Linotype" w:cs="Arial"/>
          <w:b/>
          <w:sz w:val="24"/>
          <w:szCs w:val="24"/>
          <w:lang w:val="es-ES"/>
        </w:rPr>
        <w:t>Zulema Martínez Sánchez</w:t>
      </w:r>
      <w:r w:rsidRPr="001708B9">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F05674">
        <w:rPr>
          <w:rFonts w:ascii="Palatino Linotype" w:hAnsi="Palatino Linotype" w:cs="Arial"/>
          <w:sz w:val="24"/>
          <w:szCs w:val="24"/>
          <w:lang w:val="es-ES"/>
        </w:rPr>
        <w:t>veintidós de enero de dos mil veintiuno</w:t>
      </w:r>
      <w:r w:rsidRPr="001708B9">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0D579954" w14:textId="77777777" w:rsidR="00784FE7" w:rsidRPr="001708B9" w:rsidRDefault="00784FE7" w:rsidP="00497466">
      <w:pPr>
        <w:spacing w:before="240" w:line="360" w:lineRule="auto"/>
        <w:jc w:val="both"/>
        <w:rPr>
          <w:rFonts w:ascii="Palatino Linotype" w:hAnsi="Palatino Linotype" w:cs="Arial"/>
          <w:sz w:val="24"/>
          <w:szCs w:val="24"/>
          <w:lang w:val="es-ES"/>
        </w:rPr>
      </w:pPr>
    </w:p>
    <w:p w14:paraId="3B73FC2A" w14:textId="77777777" w:rsidR="008265FF" w:rsidRPr="001708B9" w:rsidRDefault="008265FF" w:rsidP="008265FF">
      <w:pPr>
        <w:spacing w:before="240" w:line="360" w:lineRule="auto"/>
        <w:jc w:val="both"/>
        <w:rPr>
          <w:rFonts w:ascii="Palatino Linotype" w:hAnsi="Palatino Linotype" w:cs="Arial"/>
          <w:b/>
          <w:sz w:val="24"/>
          <w:szCs w:val="24"/>
          <w:lang w:val="es-ES"/>
        </w:rPr>
      </w:pPr>
      <w:r w:rsidRPr="001708B9">
        <w:rPr>
          <w:rFonts w:ascii="Palatino Linotype" w:hAnsi="Palatino Linotype" w:cs="Arial"/>
          <w:b/>
          <w:sz w:val="28"/>
          <w:lang w:val="es-ES"/>
        </w:rPr>
        <w:lastRenderedPageBreak/>
        <w:t>QUINTO</w:t>
      </w:r>
      <w:r w:rsidRPr="001708B9">
        <w:rPr>
          <w:rFonts w:ascii="Palatino Linotype" w:hAnsi="Palatino Linotype" w:cs="Arial"/>
          <w:b/>
          <w:sz w:val="24"/>
          <w:szCs w:val="24"/>
          <w:lang w:val="es-ES"/>
        </w:rPr>
        <w:t xml:space="preserve">. </w:t>
      </w:r>
      <w:r w:rsidRPr="001708B9">
        <w:rPr>
          <w:rFonts w:ascii="Palatino Linotype" w:hAnsi="Palatino Linotype" w:cs="Arial"/>
          <w:b/>
          <w:sz w:val="28"/>
          <w:szCs w:val="28"/>
          <w:lang w:val="es-ES"/>
        </w:rPr>
        <w:t>De la etapa de instrucción.</w:t>
      </w:r>
    </w:p>
    <w:p w14:paraId="3DE8D3A8" w14:textId="00818D1F" w:rsidR="008265FF" w:rsidRPr="001708B9" w:rsidRDefault="008265FF" w:rsidP="008265FF">
      <w:pPr>
        <w:spacing w:before="240" w:line="360" w:lineRule="auto"/>
        <w:jc w:val="both"/>
        <w:rPr>
          <w:rFonts w:ascii="Palatino Linotype" w:hAnsi="Palatino Linotype" w:cs="Arial"/>
          <w:sz w:val="24"/>
          <w:szCs w:val="24"/>
          <w:lang w:val="es-ES"/>
        </w:rPr>
      </w:pPr>
      <w:r w:rsidRPr="001708B9">
        <w:rPr>
          <w:rFonts w:ascii="Palatino Linotype" w:hAnsi="Palatino Linotype" w:cs="Arial"/>
          <w:sz w:val="24"/>
          <w:szCs w:val="24"/>
          <w:lang w:val="es-ES"/>
        </w:rPr>
        <w:t xml:space="preserve">Así, una vez abierta la etapa de instrucción, en el sumario se observa que el Sujeto Obligado </w:t>
      </w:r>
      <w:r w:rsidR="00F05674">
        <w:rPr>
          <w:rFonts w:ascii="Palatino Linotype" w:hAnsi="Palatino Linotype" w:cs="Arial"/>
          <w:sz w:val="24"/>
          <w:szCs w:val="24"/>
          <w:lang w:val="es-ES"/>
        </w:rPr>
        <w:t xml:space="preserve">en fecha </w:t>
      </w:r>
      <w:r w:rsidR="00784FE7">
        <w:rPr>
          <w:rFonts w:ascii="Palatino Linotype" w:hAnsi="Palatino Linotype" w:cs="Arial"/>
          <w:sz w:val="24"/>
          <w:szCs w:val="24"/>
          <w:lang w:val="es-ES"/>
        </w:rPr>
        <w:t>dos</w:t>
      </w:r>
      <w:r w:rsidR="00F05674">
        <w:rPr>
          <w:rFonts w:ascii="Palatino Linotype" w:hAnsi="Palatino Linotype" w:cs="Arial"/>
          <w:sz w:val="24"/>
          <w:szCs w:val="24"/>
          <w:lang w:val="es-ES"/>
        </w:rPr>
        <w:t xml:space="preserve"> de febrero de dos mil veintiuno</w:t>
      </w:r>
      <w:r w:rsidRPr="001708B9">
        <w:rPr>
          <w:rFonts w:ascii="Palatino Linotype" w:hAnsi="Palatino Linotype" w:cs="Arial"/>
          <w:sz w:val="24"/>
          <w:szCs w:val="24"/>
          <w:lang w:val="es-ES"/>
        </w:rPr>
        <w:t xml:space="preserve">, asimismo, el recurrente </w:t>
      </w:r>
      <w:r w:rsidR="00E001CC" w:rsidRPr="001708B9">
        <w:rPr>
          <w:rFonts w:ascii="Palatino Linotype" w:hAnsi="Palatino Linotype" w:cs="Arial"/>
          <w:sz w:val="24"/>
          <w:szCs w:val="24"/>
          <w:lang w:val="es-ES"/>
        </w:rPr>
        <w:t>no realizo manifestación alguna</w:t>
      </w:r>
      <w:r w:rsidRPr="001708B9">
        <w:rPr>
          <w:rFonts w:ascii="Palatino Linotype" w:hAnsi="Palatino Linotype" w:cs="Arial"/>
          <w:sz w:val="24"/>
          <w:szCs w:val="24"/>
          <w:lang w:val="es-ES"/>
        </w:rPr>
        <w:t xml:space="preserve">, por lo que habiendo transcurrido el plazo establecido en fecha </w:t>
      </w:r>
      <w:r w:rsidR="00784FE7">
        <w:rPr>
          <w:rFonts w:ascii="Palatino Linotype" w:hAnsi="Palatino Linotype" w:cs="Arial"/>
          <w:sz w:val="24"/>
          <w:szCs w:val="24"/>
          <w:lang w:val="es-ES"/>
        </w:rPr>
        <w:t>doce</w:t>
      </w:r>
      <w:r w:rsidR="00F05674">
        <w:rPr>
          <w:rFonts w:ascii="Palatino Linotype" w:hAnsi="Palatino Linotype" w:cs="Arial"/>
          <w:sz w:val="24"/>
          <w:szCs w:val="24"/>
          <w:lang w:val="es-ES"/>
        </w:rPr>
        <w:t xml:space="preserve"> de febrero de dos mil veintiuno</w:t>
      </w:r>
      <w:r w:rsidRPr="001708B9">
        <w:rPr>
          <w:rFonts w:ascii="Palatino Linotype" w:hAnsi="Palatino Linotype" w:cs="Arial"/>
          <w:sz w:val="24"/>
          <w:szCs w:val="24"/>
          <w:lang w:val="es-ES"/>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77777777" w:rsidR="00E15E85" w:rsidRPr="001708B9" w:rsidRDefault="00E15E85" w:rsidP="00E15E85">
      <w:pPr>
        <w:spacing w:before="240" w:line="360" w:lineRule="auto"/>
        <w:jc w:val="center"/>
        <w:rPr>
          <w:rFonts w:ascii="Palatino Linotype" w:hAnsi="Palatino Linotype" w:cs="Arial"/>
          <w:b/>
          <w:sz w:val="24"/>
          <w:lang w:val="es-ES"/>
        </w:rPr>
      </w:pPr>
      <w:r w:rsidRPr="001708B9">
        <w:rPr>
          <w:rFonts w:ascii="Palatino Linotype" w:hAnsi="Palatino Linotype" w:cs="Arial"/>
          <w:b/>
          <w:sz w:val="24"/>
          <w:lang w:val="es-ES"/>
        </w:rPr>
        <w:t xml:space="preserve">C O N S I D E R A N D O </w:t>
      </w:r>
    </w:p>
    <w:p w14:paraId="4E7D557F" w14:textId="77777777" w:rsidR="00E15E85" w:rsidRPr="001708B9" w:rsidRDefault="00E15E85" w:rsidP="00E15E85">
      <w:pPr>
        <w:spacing w:before="240" w:line="360" w:lineRule="auto"/>
        <w:jc w:val="both"/>
        <w:rPr>
          <w:rFonts w:ascii="Palatino Linotype" w:hAnsi="Palatino Linotype" w:cs="Arial"/>
          <w:sz w:val="24"/>
          <w:lang w:val="es-ES"/>
        </w:rPr>
      </w:pPr>
      <w:r w:rsidRPr="001708B9">
        <w:rPr>
          <w:rFonts w:ascii="Palatino Linotype" w:hAnsi="Palatino Linotype" w:cs="Arial"/>
          <w:b/>
          <w:sz w:val="28"/>
          <w:lang w:val="es-ES"/>
        </w:rPr>
        <w:t>PRIMERO.</w:t>
      </w:r>
      <w:r w:rsidRPr="001708B9">
        <w:rPr>
          <w:rFonts w:ascii="Palatino Linotype" w:hAnsi="Palatino Linotype" w:cs="Arial"/>
          <w:b/>
          <w:lang w:val="es-ES"/>
        </w:rPr>
        <w:t xml:space="preserve"> </w:t>
      </w:r>
      <w:r w:rsidRPr="001708B9">
        <w:rPr>
          <w:rFonts w:ascii="Palatino Linotype" w:hAnsi="Palatino Linotype" w:cs="Arial"/>
          <w:b/>
          <w:sz w:val="28"/>
          <w:szCs w:val="28"/>
          <w:lang w:val="es-ES"/>
        </w:rPr>
        <w:t>De la competencia</w:t>
      </w:r>
      <w:r w:rsidRPr="001708B9">
        <w:rPr>
          <w:rFonts w:ascii="Palatino Linotype" w:hAnsi="Palatino Linotype" w:cs="Arial"/>
          <w:sz w:val="28"/>
          <w:szCs w:val="28"/>
          <w:lang w:val="es-ES"/>
        </w:rPr>
        <w:t>.</w:t>
      </w:r>
    </w:p>
    <w:p w14:paraId="3945B663" w14:textId="3D7D27DE" w:rsidR="00E15E85" w:rsidRDefault="00E15E85" w:rsidP="00E15E85">
      <w:pPr>
        <w:spacing w:before="240" w:line="360" w:lineRule="auto"/>
        <w:jc w:val="both"/>
        <w:rPr>
          <w:rFonts w:ascii="Palatino Linotype" w:hAnsi="Palatino Linotype" w:cs="Arial"/>
          <w:sz w:val="24"/>
          <w:lang w:val="es-ES"/>
        </w:rPr>
      </w:pPr>
      <w:r w:rsidRPr="001708B9">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00D41F41" w:rsidRPr="001708B9">
        <w:rPr>
          <w:rFonts w:ascii="Palatino Linotype" w:hAnsi="Palatino Linotype" w:cs="Arial"/>
          <w:b/>
          <w:sz w:val="24"/>
          <w:lang w:val="es-ES"/>
        </w:rPr>
        <w:t>la</w:t>
      </w:r>
      <w:r w:rsidRPr="001708B9">
        <w:rPr>
          <w:rFonts w:ascii="Palatino Linotype" w:hAnsi="Palatino Linotype" w:cs="Arial"/>
          <w:b/>
          <w:sz w:val="24"/>
          <w:lang w:val="es-ES"/>
        </w:rPr>
        <w:t xml:space="preserve"> </w:t>
      </w:r>
      <w:r w:rsidR="00EE7CBC" w:rsidRPr="001708B9">
        <w:rPr>
          <w:rFonts w:ascii="Palatino Linotype" w:hAnsi="Palatino Linotype" w:cs="Arial"/>
          <w:b/>
          <w:sz w:val="24"/>
          <w:lang w:val="es-ES"/>
        </w:rPr>
        <w:t>parte r</w:t>
      </w:r>
      <w:r w:rsidRPr="001708B9">
        <w:rPr>
          <w:rFonts w:ascii="Palatino Linotype" w:hAnsi="Palatino Linotype" w:cs="Arial"/>
          <w:b/>
          <w:sz w:val="24"/>
          <w:lang w:val="es-ES"/>
        </w:rPr>
        <w:t>ecurrente</w:t>
      </w:r>
      <w:r w:rsidRPr="001708B9">
        <w:rPr>
          <w:rFonts w:ascii="Palatino Linotype" w:hAnsi="Palatino Linotype" w:cs="Arial"/>
          <w:b/>
          <w:sz w:val="24"/>
          <w:szCs w:val="24"/>
          <w:lang w:val="es-ES"/>
        </w:rPr>
        <w:t xml:space="preserve"> </w:t>
      </w:r>
      <w:r w:rsidRPr="001708B9">
        <w:rPr>
          <w:rFonts w:ascii="Palatino Linotype" w:hAnsi="Palatino Linotype" w:cs="Arial"/>
          <w:sz w:val="24"/>
          <w:lang w:val="es-ES"/>
        </w:rPr>
        <w:t xml:space="preserve">conforme a lo dispuesto en los artículos </w:t>
      </w:r>
      <w:r w:rsidR="00AA2CB1" w:rsidRPr="001708B9">
        <w:rPr>
          <w:rFonts w:ascii="Palatino Linotype" w:hAnsi="Palatino Linotype" w:cs="Arial"/>
          <w:sz w:val="24"/>
          <w:lang w:val="es-ES"/>
        </w:rPr>
        <w:t xml:space="preserve">1, párrafos segundo y tercero, </w:t>
      </w:r>
      <w:r w:rsidRPr="001708B9">
        <w:rPr>
          <w:rFonts w:ascii="Palatino Linotype" w:hAnsi="Palatino Linotype" w:cs="Arial"/>
          <w:sz w:val="24"/>
          <w:lang w:val="es-ES"/>
        </w:rPr>
        <w:t xml:space="preserve">6, apartado A, </w:t>
      </w:r>
      <w:r w:rsidR="00AA2CB1" w:rsidRPr="001708B9">
        <w:rPr>
          <w:rFonts w:ascii="Palatino Linotype" w:hAnsi="Palatino Linotype" w:cs="Arial"/>
          <w:sz w:val="24"/>
          <w:lang w:val="es-ES"/>
        </w:rPr>
        <w:t>fracciones I, III y</w:t>
      </w:r>
      <w:r w:rsidRPr="001708B9">
        <w:rPr>
          <w:rFonts w:ascii="Palatino Linotype" w:hAnsi="Palatino Linotype" w:cs="Arial"/>
          <w:sz w:val="24"/>
          <w:lang w:val="es-ES"/>
        </w:rPr>
        <w:t xml:space="preserve"> IV de la Constitución Política de los Estados Unidos Mexicanos, 5, párrafos </w:t>
      </w:r>
      <w:r w:rsidR="00080E38" w:rsidRPr="001708B9">
        <w:rPr>
          <w:rFonts w:ascii="Palatino Linotype" w:hAnsi="Palatino Linotype" w:cs="Arial"/>
          <w:sz w:val="24"/>
          <w:lang w:val="es-ES"/>
        </w:rPr>
        <w:t>vigésimo segundo, vigésimo tercero y vigésimo cuarto fracción</w:t>
      </w:r>
      <w:r w:rsidRPr="001708B9">
        <w:rPr>
          <w:rFonts w:ascii="Palatino Linotype" w:hAnsi="Palatino Linotype" w:cs="Arial"/>
          <w:sz w:val="24"/>
          <w:lang w:val="es-ES"/>
        </w:rPr>
        <w:t xml:space="preserve"> IV de la Constitución Política del Estado Libre y Soberano de México, </w:t>
      </w:r>
      <w:r w:rsidRPr="001708B9">
        <w:rPr>
          <w:rFonts w:ascii="Palatino Linotype" w:hAnsi="Palatino Linotype" w:cs="Arial"/>
          <w:sz w:val="24"/>
          <w:szCs w:val="24"/>
          <w:lang w:val="es-ES"/>
        </w:rPr>
        <w:t xml:space="preserve">1, 2 fracción II, 13, 29, 36 fracciones II y III, 176, 178, 179, 181 párrafo tercero, 182, 185, 188 y 194 </w:t>
      </w:r>
      <w:r w:rsidRPr="001708B9">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272D838" w14:textId="77777777" w:rsidR="00E15E85" w:rsidRPr="001708B9"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1708B9">
        <w:rPr>
          <w:rFonts w:ascii="Palatino Linotype" w:hAnsi="Palatino Linotype" w:cs="Arial"/>
          <w:b/>
          <w:sz w:val="28"/>
        </w:rPr>
        <w:lastRenderedPageBreak/>
        <w:t>SEGUNDO</w:t>
      </w:r>
      <w:r w:rsidRPr="001708B9">
        <w:rPr>
          <w:rFonts w:ascii="Palatino Linotype" w:hAnsi="Palatino Linotype" w:cs="Arial"/>
          <w:b/>
        </w:rPr>
        <w:t xml:space="preserve">. </w:t>
      </w:r>
      <w:r w:rsidRPr="001708B9">
        <w:rPr>
          <w:rFonts w:ascii="Palatino Linotype" w:hAnsi="Palatino Linotype" w:cs="Arial"/>
          <w:b/>
          <w:sz w:val="28"/>
          <w:szCs w:val="28"/>
        </w:rPr>
        <w:t>Sobre los alcances del recurso de revisión.</w:t>
      </w:r>
      <w:r w:rsidRPr="001708B9">
        <w:rPr>
          <w:rFonts w:ascii="Palatino Linotype" w:hAnsi="Palatino Linotype" w:cs="Arial"/>
          <w:b/>
        </w:rPr>
        <w:t xml:space="preserve"> </w:t>
      </w:r>
    </w:p>
    <w:p w14:paraId="4ADDB788" w14:textId="77777777" w:rsidR="00E15E85" w:rsidRPr="001708B9"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1708B9">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F1262C" w14:textId="6E86D57F" w:rsidR="00653B08" w:rsidRPr="001708B9"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sidRPr="001708B9">
        <w:rPr>
          <w:rFonts w:ascii="Palatino Linotype" w:hAnsi="Palatino Linotype" w:cs="Arial"/>
          <w:b/>
          <w:sz w:val="28"/>
        </w:rPr>
        <w:t>TERCERO</w:t>
      </w:r>
      <w:r w:rsidRPr="001708B9">
        <w:rPr>
          <w:rFonts w:ascii="Palatino Linotype" w:hAnsi="Palatino Linotype" w:cs="Arial"/>
          <w:b/>
        </w:rPr>
        <w:t xml:space="preserve">. </w:t>
      </w:r>
      <w:r w:rsidRPr="001708B9">
        <w:rPr>
          <w:rFonts w:ascii="Palatino Linotype" w:hAnsi="Palatino Linotype" w:cs="Arial"/>
          <w:b/>
          <w:sz w:val="28"/>
          <w:szCs w:val="28"/>
        </w:rPr>
        <w:t xml:space="preserve">De las causas </w:t>
      </w:r>
      <w:r w:rsidR="00690A52" w:rsidRPr="001708B9">
        <w:rPr>
          <w:rFonts w:ascii="Palatino Linotype" w:hAnsi="Palatino Linotype" w:cs="Arial"/>
          <w:b/>
          <w:sz w:val="28"/>
          <w:szCs w:val="28"/>
        </w:rPr>
        <w:t>del</w:t>
      </w:r>
      <w:r w:rsidR="00E92E4B" w:rsidRPr="001708B9">
        <w:rPr>
          <w:rFonts w:ascii="Palatino Linotype" w:hAnsi="Palatino Linotype" w:cs="Arial"/>
          <w:b/>
          <w:sz w:val="28"/>
          <w:szCs w:val="28"/>
        </w:rPr>
        <w:t xml:space="preserve"> sobreseimiento.</w:t>
      </w:r>
    </w:p>
    <w:p w14:paraId="305218B6" w14:textId="77777777" w:rsidR="00653B08" w:rsidRPr="001708B9"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sidRPr="001708B9">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8AD6D5" w14:textId="77777777" w:rsidR="00653B08" w:rsidRPr="001708B9"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sidRPr="001708B9">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w:t>
      </w:r>
      <w:r w:rsidRPr="001708B9">
        <w:rPr>
          <w:rFonts w:ascii="Palatino Linotype" w:hAnsi="Palatino Linotype" w:cs="Arial"/>
        </w:rPr>
        <w:lastRenderedPageBreak/>
        <w:t>de revisión se advierta una causa de improcedencia que permita sobreseerlo, sin estudiar el fondo del asunto.</w:t>
      </w:r>
    </w:p>
    <w:p w14:paraId="6160859D" w14:textId="77777777" w:rsidR="00653B08" w:rsidRPr="001708B9" w:rsidRDefault="00653B08" w:rsidP="00122B28">
      <w:pPr>
        <w:pStyle w:val="Prrafodelista"/>
        <w:autoSpaceDE w:val="0"/>
        <w:autoSpaceDN w:val="0"/>
        <w:adjustRightInd w:val="0"/>
        <w:spacing w:before="240" w:after="240" w:line="360" w:lineRule="auto"/>
        <w:ind w:left="0"/>
        <w:jc w:val="both"/>
        <w:rPr>
          <w:rFonts w:ascii="Palatino Linotype" w:hAnsi="Palatino Linotype" w:cs="Arial"/>
        </w:rPr>
      </w:pPr>
      <w:r w:rsidRPr="001708B9">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1708B9">
        <w:rPr>
          <w:rStyle w:val="Refdenotaalpie"/>
          <w:rFonts w:ascii="Palatino Linotype" w:hAnsi="Palatino Linotype" w:cs="Arial"/>
        </w:rPr>
        <w:footnoteReference w:id="1"/>
      </w:r>
      <w:r w:rsidRPr="001708B9">
        <w:rPr>
          <w:rFonts w:ascii="Palatino Linotype" w:hAnsi="Palatino Linotype" w:cs="Arial"/>
        </w:rPr>
        <w:t>.</w:t>
      </w:r>
    </w:p>
    <w:p w14:paraId="762D7ABF" w14:textId="3DADBFE1" w:rsidR="00B75682" w:rsidRPr="001708B9" w:rsidRDefault="00962219" w:rsidP="00B75682">
      <w:pPr>
        <w:tabs>
          <w:tab w:val="left" w:pos="709"/>
        </w:tabs>
        <w:spacing w:before="240" w:line="360" w:lineRule="auto"/>
        <w:ind w:right="51"/>
        <w:jc w:val="both"/>
        <w:rPr>
          <w:rFonts w:ascii="Palatino Linotype" w:hAnsi="Palatino Linotype" w:cs="Arial"/>
          <w:iCs/>
          <w:sz w:val="24"/>
          <w:szCs w:val="24"/>
          <w:lang w:val="es-ES"/>
        </w:rPr>
      </w:pPr>
      <w:r w:rsidRPr="001708B9">
        <w:rPr>
          <w:rFonts w:ascii="Palatino Linotype" w:hAnsi="Palatino Linotype"/>
          <w:sz w:val="24"/>
          <w:szCs w:val="24"/>
          <w:lang w:val="es-ES"/>
        </w:rPr>
        <w:t xml:space="preserve"> </w:t>
      </w:r>
      <w:r w:rsidR="00B75682" w:rsidRPr="001708B9">
        <w:rPr>
          <w:rFonts w:ascii="Palatino Linotype" w:hAnsi="Palatino Linotype" w:cs="Arial"/>
          <w:iCs/>
          <w:sz w:val="24"/>
          <w:szCs w:val="24"/>
          <w:lang w:val="es-ES"/>
        </w:rPr>
        <w:t>Luego entonces, es menester recordar que el particular tuvo a bien solicitar lo siguiente:</w:t>
      </w:r>
    </w:p>
    <w:p w14:paraId="65175291" w14:textId="723DEE5F" w:rsidR="00B75682" w:rsidRPr="00784FE7" w:rsidRDefault="00784FE7" w:rsidP="00F05674">
      <w:pPr>
        <w:pStyle w:val="Prrafodelista"/>
        <w:numPr>
          <w:ilvl w:val="0"/>
          <w:numId w:val="37"/>
        </w:numPr>
        <w:spacing w:before="240" w:after="240" w:line="360" w:lineRule="auto"/>
        <w:jc w:val="both"/>
        <w:rPr>
          <w:rFonts w:ascii="Palatino Linotype" w:hAnsi="Palatino Linotype" w:cs="Arial"/>
          <w:i/>
        </w:rPr>
      </w:pPr>
      <w:r w:rsidRPr="00784FE7">
        <w:rPr>
          <w:rFonts w:ascii="Palatino Linotype" w:hAnsi="Palatino Linotype" w:cs="Arial"/>
          <w:i/>
        </w:rPr>
        <w:t xml:space="preserve">En relación a la publicación del día trece de noviembre del año en curso, en el Periódico Oficial “Gaceta del Gobierno”, del “ACUERDO DEL EJECUTIVO DEL ESTADO POR EL QUE SE DECLARA LA TERMINACIÓN DE LA FUNCIÓN NOTARIAL DEL LICENCIADO RENÉ CUTBERTO SANTÍN QUIROZ, COMO NOTARIO TITULAR DE LA NOTARÍA PÚBLICA 1 DEL ESTADO DE MÉXICO, CON RESIDENCIA EN EL MUNICIPIO DE TOLUCA, POR REVOCACIÓN DE SU NOMBRAMIENTO Y SE DECLARA LA </w:t>
      </w:r>
      <w:r w:rsidRPr="00784FE7">
        <w:rPr>
          <w:rFonts w:ascii="Palatino Linotype" w:hAnsi="Palatino Linotype" w:cs="Arial"/>
          <w:i/>
        </w:rPr>
        <w:lastRenderedPageBreak/>
        <w:t>SUSPENSIÓN DE FUNCIONES DE DICHA NOTARÍA”, me permito solicitar lo siguiente, en ejercicio de mi derecho de información pública: 1. Me parece que el acuerdo es incompleto, toda vez que no señala con claridad, los supuestos contenidos en la fracción I del numeral 156 de la Ley del Notariado del Estado de México, ya que ese dispositivo legal a su vez, señala siete incisos por los cuales se configura la fracción I. De tal manera que solicito se me informe el motivo por el cual se declaró la terminación de la función notarial de René Cutberto Santín Quiroz de forma específica. 2. Se me informe, el procedimiento que se lleva para que el Gobernador declare la terminación de la función notaria del un Fedatario Público en el Estado de México. 3. Se me remita en versión pública, 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4. ¿Qué proceso o procedimiento tienen que colmar los empleados de dicha Notaría a efecto de que no queden en estado de indefensión por la terminación de la función notarial de René Cutberto Santín Quiroz?</w:t>
      </w:r>
      <w:r w:rsidR="00F05674" w:rsidRPr="00F05674">
        <w:rPr>
          <w:rFonts w:ascii="Palatino Linotype" w:hAnsi="Palatino Linotype" w:cs="Arial"/>
          <w:i/>
        </w:rPr>
        <w:t>.</w:t>
      </w:r>
    </w:p>
    <w:p w14:paraId="1FF45551" w14:textId="10A0D0C5" w:rsidR="008A560C" w:rsidRDefault="008F1B0E" w:rsidP="008A560C">
      <w:pPr>
        <w:spacing w:before="240" w:after="240" w:line="360" w:lineRule="auto"/>
        <w:jc w:val="both"/>
        <w:rPr>
          <w:rFonts w:ascii="Palatino Linotype" w:hAnsi="Palatino Linotype" w:cs="Arial"/>
          <w:sz w:val="24"/>
          <w:szCs w:val="24"/>
          <w:lang w:val="es-ES"/>
        </w:rPr>
      </w:pPr>
      <w:r w:rsidRPr="001708B9">
        <w:rPr>
          <w:rFonts w:ascii="Palatino Linotype" w:hAnsi="Palatino Linotype" w:cs="Arial"/>
          <w:sz w:val="24"/>
          <w:szCs w:val="24"/>
          <w:lang w:val="es-ES"/>
        </w:rPr>
        <w:t>Así</w:t>
      </w:r>
      <w:r w:rsidR="008A560C" w:rsidRPr="001708B9">
        <w:rPr>
          <w:rFonts w:ascii="Palatino Linotype" w:hAnsi="Palatino Linotype" w:cs="Arial"/>
          <w:sz w:val="24"/>
          <w:szCs w:val="24"/>
          <w:lang w:val="es-ES"/>
        </w:rPr>
        <w:t xml:space="preserve"> pues, mediante respuesta el sujeto obligado </w:t>
      </w:r>
      <w:r w:rsidR="0009369C">
        <w:rPr>
          <w:rFonts w:ascii="Palatino Linotype" w:hAnsi="Palatino Linotype" w:cs="Arial"/>
          <w:sz w:val="24"/>
          <w:szCs w:val="24"/>
          <w:lang w:val="es-ES"/>
        </w:rPr>
        <w:t>remitió</w:t>
      </w:r>
      <w:r w:rsidR="00784FE7">
        <w:rPr>
          <w:rFonts w:ascii="Palatino Linotype" w:hAnsi="Palatino Linotype" w:cs="Arial"/>
          <w:sz w:val="24"/>
          <w:szCs w:val="24"/>
          <w:lang w:val="es-ES"/>
        </w:rPr>
        <w:t xml:space="preserve"> </w:t>
      </w:r>
      <w:r w:rsidR="0009369C">
        <w:rPr>
          <w:rFonts w:ascii="Palatino Linotype" w:hAnsi="Palatino Linotype" w:cs="Arial"/>
          <w:sz w:val="24"/>
          <w:szCs w:val="24"/>
          <w:lang w:val="es-ES"/>
        </w:rPr>
        <w:t>dos archivos electrónicos los cuales son del tenor siguiente:</w:t>
      </w:r>
    </w:p>
    <w:p w14:paraId="7346CE96" w14:textId="4676F655" w:rsidR="00784FE7" w:rsidRPr="00784FE7" w:rsidRDefault="00784FE7" w:rsidP="00784FE7">
      <w:pPr>
        <w:spacing w:before="240" w:after="240" w:line="360" w:lineRule="auto"/>
        <w:jc w:val="both"/>
        <w:rPr>
          <w:rFonts w:ascii="Palatino Linotype" w:hAnsi="Palatino Linotype" w:cs="Arial"/>
          <w:sz w:val="24"/>
          <w:szCs w:val="24"/>
          <w:lang w:val="es-ES"/>
        </w:rPr>
      </w:pPr>
      <w:r w:rsidRPr="00784FE7">
        <w:rPr>
          <w:rFonts w:ascii="Palatino Linotype" w:hAnsi="Palatino Linotype" w:cs="Arial"/>
          <w:sz w:val="24"/>
          <w:szCs w:val="24"/>
          <w:lang w:val="es-ES"/>
        </w:rPr>
        <w:t>respuesta saimex 189-2020.pdf</w:t>
      </w:r>
      <w:r w:rsidR="0009369C">
        <w:rPr>
          <w:rFonts w:ascii="Palatino Linotype" w:hAnsi="Palatino Linotype" w:cs="Arial"/>
          <w:sz w:val="24"/>
          <w:szCs w:val="24"/>
          <w:lang w:val="es-ES"/>
        </w:rPr>
        <w:t xml:space="preserve">: Consta de dos oficios emitidos por la Titular de la Unidad de Transparencia y la Servidora Pública Habilitada Suplente de la Dirección General de Legalización y del Periódico Oficial “Gaceta del Gobierno”, en los cuales se alude que se da respuesta a los puntos 1, 2 y 4 de los requerimientos vertidos por la parte solicitante y respecto del punto 3 se somete a consideración del Comité de </w:t>
      </w:r>
      <w:r w:rsidR="0009369C">
        <w:rPr>
          <w:rFonts w:ascii="Palatino Linotype" w:hAnsi="Palatino Linotype" w:cs="Arial"/>
          <w:sz w:val="24"/>
          <w:szCs w:val="24"/>
          <w:lang w:val="es-ES"/>
        </w:rPr>
        <w:lastRenderedPageBreak/>
        <w:t>Transparencia el proyecto de clasificación como información reservada de las documentales contenidas en el expediente relativo al recurso administrativo de queja 31/2020 y se reserva por el periodo de 1 año hasta que cause estado.</w:t>
      </w:r>
    </w:p>
    <w:p w14:paraId="4AB39813" w14:textId="08CC84E4" w:rsidR="00F05674" w:rsidRPr="001708B9" w:rsidRDefault="00784FE7" w:rsidP="008A560C">
      <w:pPr>
        <w:spacing w:before="240" w:after="240" w:line="360" w:lineRule="auto"/>
        <w:jc w:val="both"/>
        <w:rPr>
          <w:rFonts w:ascii="Palatino Linotype" w:hAnsi="Palatino Linotype" w:cs="Arial"/>
          <w:sz w:val="24"/>
          <w:szCs w:val="24"/>
          <w:lang w:val="es-ES"/>
        </w:rPr>
      </w:pPr>
      <w:r w:rsidRPr="00784FE7">
        <w:rPr>
          <w:rFonts w:ascii="Palatino Linotype" w:hAnsi="Palatino Linotype" w:cs="Arial"/>
          <w:sz w:val="24"/>
          <w:szCs w:val="24"/>
          <w:lang w:val="es-ES"/>
        </w:rPr>
        <w:t>acta de la decimo sexta sesión extraordinaria.pdf</w:t>
      </w:r>
      <w:r w:rsidR="0009369C">
        <w:rPr>
          <w:rFonts w:ascii="Palatino Linotype" w:hAnsi="Palatino Linotype" w:cs="Arial"/>
          <w:sz w:val="24"/>
          <w:szCs w:val="24"/>
          <w:lang w:val="es-ES"/>
        </w:rPr>
        <w:t xml:space="preserve">: Acta de la Décimo Sexta Sesión Extraordinaria del Comité de </w:t>
      </w:r>
      <w:r w:rsidR="006539D6">
        <w:rPr>
          <w:rFonts w:ascii="Palatino Linotype" w:hAnsi="Palatino Linotype" w:cs="Arial"/>
          <w:sz w:val="24"/>
          <w:szCs w:val="24"/>
          <w:lang w:val="es-ES"/>
        </w:rPr>
        <w:t>Transparencia</w:t>
      </w:r>
      <w:r w:rsidR="0009369C">
        <w:rPr>
          <w:rFonts w:ascii="Palatino Linotype" w:hAnsi="Palatino Linotype" w:cs="Arial"/>
          <w:sz w:val="24"/>
          <w:szCs w:val="24"/>
          <w:lang w:val="es-ES"/>
        </w:rPr>
        <w:t xml:space="preserve">, mediante la cual </w:t>
      </w:r>
      <w:r w:rsidR="006539D6">
        <w:rPr>
          <w:rFonts w:ascii="Palatino Linotype" w:hAnsi="Palatino Linotype" w:cs="Arial"/>
          <w:sz w:val="24"/>
          <w:szCs w:val="24"/>
          <w:lang w:val="es-ES"/>
        </w:rPr>
        <w:t>se aprueba la clasificación de la información con el carácter de reservada por el periodo de un año hasta que cause estado.</w:t>
      </w:r>
    </w:p>
    <w:p w14:paraId="4B8D1414" w14:textId="58B6ADD8" w:rsidR="00311958" w:rsidRPr="001708B9" w:rsidRDefault="00311958" w:rsidP="008A560C">
      <w:pPr>
        <w:spacing w:before="240" w:after="240" w:line="360" w:lineRule="auto"/>
        <w:jc w:val="both"/>
        <w:rPr>
          <w:rFonts w:ascii="Palatino Linotype" w:hAnsi="Palatino Linotype" w:cs="Arial"/>
          <w:sz w:val="24"/>
          <w:szCs w:val="24"/>
          <w:lang w:val="es-ES"/>
        </w:rPr>
      </w:pPr>
      <w:r w:rsidRPr="001708B9">
        <w:rPr>
          <w:rFonts w:ascii="Palatino Linotype" w:hAnsi="Palatino Linotype" w:cs="Arial"/>
          <w:sz w:val="24"/>
          <w:szCs w:val="24"/>
          <w:lang w:val="es-ES"/>
        </w:rPr>
        <w:t xml:space="preserve">Sin embargo, de la respuesta otorgada no fue favorable por el solicitante, por lo que acciono su garantía secundaria aludiendo </w:t>
      </w:r>
      <w:r w:rsidR="006539D6">
        <w:rPr>
          <w:rFonts w:ascii="Palatino Linotype" w:hAnsi="Palatino Linotype" w:cs="Arial"/>
          <w:sz w:val="24"/>
          <w:szCs w:val="24"/>
          <w:lang w:val="es-ES"/>
        </w:rPr>
        <w:t xml:space="preserve">mediante el documento electrónico </w:t>
      </w:r>
      <w:r w:rsidR="006539D6" w:rsidRPr="006539D6">
        <w:rPr>
          <w:rFonts w:ascii="Palatino Linotype" w:hAnsi="Palatino Linotype" w:cs="Arial"/>
          <w:sz w:val="24"/>
          <w:szCs w:val="24"/>
          <w:lang w:val="es-ES"/>
        </w:rPr>
        <w:t>Inconformidad SJDH</w:t>
      </w:r>
      <w:r w:rsidR="006539D6">
        <w:rPr>
          <w:rFonts w:ascii="Palatino Linotype" w:hAnsi="Palatino Linotype" w:cs="Arial"/>
          <w:sz w:val="24"/>
          <w:szCs w:val="24"/>
          <w:lang w:val="es-ES"/>
        </w:rPr>
        <w:t xml:space="preserve">.docx, </w:t>
      </w:r>
      <w:r w:rsidRPr="001708B9">
        <w:rPr>
          <w:rFonts w:ascii="Palatino Linotype" w:hAnsi="Palatino Linotype" w:cs="Arial"/>
          <w:sz w:val="24"/>
          <w:szCs w:val="24"/>
          <w:lang w:val="es-ES"/>
        </w:rPr>
        <w:t>lo siguiente:</w:t>
      </w:r>
    </w:p>
    <w:p w14:paraId="14FC01E0" w14:textId="77777777" w:rsidR="006539D6" w:rsidRPr="006539D6" w:rsidRDefault="00F05674" w:rsidP="006539D6">
      <w:pPr>
        <w:spacing w:before="240" w:after="240" w:line="360" w:lineRule="auto"/>
        <w:ind w:left="708"/>
        <w:jc w:val="both"/>
        <w:rPr>
          <w:rFonts w:ascii="Palatino Linotype" w:hAnsi="Palatino Linotype" w:cs="Arial"/>
          <w:i/>
          <w:sz w:val="24"/>
          <w:szCs w:val="24"/>
          <w:lang w:val="es-ES"/>
        </w:rPr>
      </w:pPr>
      <w:r>
        <w:rPr>
          <w:rFonts w:ascii="Palatino Linotype" w:hAnsi="Palatino Linotype" w:cs="Arial"/>
          <w:i/>
          <w:sz w:val="24"/>
          <w:szCs w:val="24"/>
          <w:lang w:val="es-ES"/>
        </w:rPr>
        <w:t>“</w:t>
      </w:r>
      <w:r w:rsidR="006539D6" w:rsidRPr="006539D6">
        <w:rPr>
          <w:rFonts w:ascii="Palatino Linotype" w:hAnsi="Palatino Linotype" w:cs="Arial"/>
          <w:i/>
          <w:sz w:val="24"/>
          <w:szCs w:val="24"/>
          <w:lang w:val="es-ES"/>
        </w:rPr>
        <w:t xml:space="preserve">Me causa inconformidad la contestación del ente obligado, Secretaría de Justicia y Derechos Humanos, porque la información que solicite no fue satisfecha, en virtud de los siguientes puntos: </w:t>
      </w:r>
    </w:p>
    <w:p w14:paraId="22E09C29"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Solicité literalmente lo siguiente: </w:t>
      </w:r>
    </w:p>
    <w:p w14:paraId="1DD383B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“En relación a la publicación del día trece de noviembre del año en curso, en el Periódico Oficial “Gaceta del Gobierno”, del “ACUERDO DEL EJECUTIVO DEL ESTADO POR EL QUE SE DECLARA LA TERMINACIÓN DE LA FUNCIÓN NOTARIAL DEL LICENCIADO RENÉ CUTBERTO SANTÍN QUIROZ, COMO NOTARIO TITULAR DE LA NOTARÍA PÚBLICA 1 DEL ESTADO DE MÉXICO, CON RESIDENCIA EN EL MUNICIPIO DE TOLUCA, POR REVOCACIÓN DE SU NOMBRAMIENTO Y SE DECLARA LA SUSPENSIÓN DE FUNCIONES DE DICHA NOTARÍA”, me permito solicitar lo siguiente, en ejercicio de mi derecho de </w:t>
      </w:r>
      <w:r w:rsidRPr="006539D6">
        <w:rPr>
          <w:rFonts w:ascii="Palatino Linotype" w:hAnsi="Palatino Linotype" w:cs="Arial"/>
          <w:i/>
          <w:sz w:val="24"/>
          <w:szCs w:val="24"/>
          <w:lang w:val="es-ES"/>
        </w:rPr>
        <w:lastRenderedPageBreak/>
        <w:t>información pública: 1. Me parece que el acuerdo es incompleto, toda vez que no señala con claridad, los supuestos contenidos en la fracción I del numeral 156 de la Ley del Notariado del Estado de México, ya que ese dispositivo legal a su vez, señala siete incisos por los cuales se configura la fracción I. De tal manera que solicito se me informe el motivo por el cual se declaró la terminación de la función notarial de René Cutberto Santín Quiroz de forma específica. 2. Se me informe, el procedimiento que se lleva para que el Gobernador declare la terminación de la función notaria del un Fedatario Público en el Estado de México. 3. Se me remita en versión pública, 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4. ¿Qué proceso o procedimiento tienen que colmar los empleados de dicha Notaría a efecto de que no queden en estado de indefensión por la terminación de la función notarial de René Cutberto Santín Quiroz?.” (sic)</w:t>
      </w:r>
    </w:p>
    <w:p w14:paraId="56702359"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En lo que me permitiré señalar de manera especifica cada uno de los puntos, para que se advierta porque el suscrito, determina que no fue colmado mi derecho a la información pública.</w:t>
      </w:r>
    </w:p>
    <w:p w14:paraId="2708E57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Por lo que hace al punto 1, el suscrito solicitó: </w:t>
      </w:r>
    </w:p>
    <w:p w14:paraId="1B5737A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“1. Me parece que el acuerdo es incompleto, toda vez que no señala con claridad, los supuestos contenidos en la fracción I del numeral 156 de la Ley del Notariado del Estado de México, ya que ese dispositivo legal a su vez, señala siete incisos por los cuales se configura la fracción I. De tal manera que solicito se me informe el motivo por el cual se </w:t>
      </w:r>
      <w:r w:rsidRPr="006539D6">
        <w:rPr>
          <w:rFonts w:ascii="Palatino Linotype" w:hAnsi="Palatino Linotype" w:cs="Arial"/>
          <w:i/>
          <w:sz w:val="24"/>
          <w:szCs w:val="24"/>
          <w:lang w:val="es-ES"/>
        </w:rPr>
        <w:lastRenderedPageBreak/>
        <w:t>declaró la terminación de la función notarial de René Cutberto Santín Quiroz de forma específica.”</w:t>
      </w:r>
    </w:p>
    <w:p w14:paraId="7BFE06EF"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El ente obligado, me respondió: </w:t>
      </w:r>
    </w:p>
    <w:p w14:paraId="5B5CEACB"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“1.- Respecto al punto 1. (uno) informo a Usted que el Acuerdo del Ejecutivo Estatal publicado en el Periódico Oficial “Gaceta del Gobierno”, no es incompleto, toda vez que cumple con lo dispuesto con el artículo 46 de la Ley del Notariado del Estado de México.” (sic)</w:t>
      </w:r>
    </w:p>
    <w:p w14:paraId="16A8643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Manifestaciones que estimo, son incompletas e inoperantes, pues el numeral 156 de la Ley del Notariado contempla siete incisos por los cuales se configura la fracción I; de lo cual me permito transcribir para pronta referencia: </w:t>
      </w:r>
    </w:p>
    <w:p w14:paraId="551925C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Artículo 156. La revocación del nombramiento procederá por: </w:t>
      </w:r>
    </w:p>
    <w:p w14:paraId="40CA81E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I. Incurrir en falta de probidad en el ejercicio de su función. Se consideran como faltas de probidad, además de la definición genérica contenida en el artículo 20 fracción I de la presente Ley, las siguientes: </w:t>
      </w:r>
    </w:p>
    <w:p w14:paraId="33E57EFD"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 Haber recibido el monto de impuestos o derechos causados por la operación contenida en un instrumento y no enterarlos en la oficina fiscal recaudadora.</w:t>
      </w:r>
    </w:p>
    <w:p w14:paraId="0645791E"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Para los efectos de la presente disposición se entenderá que el notario ha incurrido en falta de probidad, si los montos citados no son pagados a más tardar ciento ochenta días después del término que por ley corresponda para ser enterados, sin que medie justificación legal alguna. </w:t>
      </w:r>
    </w:p>
    <w:p w14:paraId="3244392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lastRenderedPageBreak/>
        <w:t xml:space="preserve">b). Permitir la suplantación de su persona o el uso por un tercero de su sello de autorizar o su firma autógrafa o electrónica notarial. </w:t>
      </w:r>
    </w:p>
    <w:p w14:paraId="7E50A0E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c). Rendir informes falsos a la Secretaría, autoridades jurisdiccionales o al Ministerio Público. </w:t>
      </w:r>
    </w:p>
    <w:p w14:paraId="76395F5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d). Reincidir en el supuesto establecido en la fracción III del artículo anterior. </w:t>
      </w:r>
    </w:p>
    <w:p w14:paraId="120B40AF"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e). Haber sido condenado por sentencia ejecutoriada por delito grave. </w:t>
      </w:r>
    </w:p>
    <w:p w14:paraId="54BD3657"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f). Establecer oficina en local diverso al registrado ante la Secretaría, para atender al público en trámites relacionados con la Notaría a su cargo. </w:t>
      </w:r>
    </w:p>
    <w:p w14:paraId="79DA8D5B"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g). Extraer de la Notaría a su cargo el Protocolo o parte de él, salvo por causa de fuerza mayor o en los casos previstos en esta Ley.</w:t>
      </w:r>
    </w:p>
    <w:p w14:paraId="506DCF8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Como se aprecia, Rene Cutberto Santín Quiroz no pudo haber configurado los incisos a, b, c, d, e, f, y g, de la fracción I del numeral 156 de la Ley del Notariado, por lo que solicite se me informara con claridad cuál de esos supuestos fue el que cometió el ex fedatario público. </w:t>
      </w:r>
    </w:p>
    <w:p w14:paraId="1FBF1E1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Y por lo que hace a las manifestaciones contenidas en señalar que Acuerdo del Ejecutivo Estatal publicado en el Periódico Oficial “Gaceta del Gobierno”, no es incompleto, toda vez que cumple con lo dispuesto con el artículo 46 de la Ley del Notariado del Estado de México, me permito señalar que estimo es inoperante invocar dicho numeral al caso que nos ocupa, ya que este únicamente señala el trámite que deberá realizar el Gobernador del Estado para informar sobre la terminación de la función notarial de un notario, ya que este artículo reza de la siguiente forma:</w:t>
      </w:r>
    </w:p>
    <w:p w14:paraId="01F182F1"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lastRenderedPageBreak/>
        <w:t>Artículo 46.- La declaratoria de terminación de la función de un Notario y de los interinatos, la hará el Gobernador del Estado, quien ordenará su publicación por una sola vez en el periódico oficial “Gaceta del Gobierno” y en uno de los periódicos de mayor circulación en la entidad. La Secretaría lo comunicará a las instancias a que se refiere el artículo 18 fracción V de la Ley.</w:t>
      </w:r>
    </w:p>
    <w:p w14:paraId="2939085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Por lo que no guarda relación lo solicitado con lo respondido por el ente obligado. De manera clara, sucedió lo siguiente:</w:t>
      </w:r>
    </w:p>
    <w:p w14:paraId="0C0161E0"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Pregunto qué inciso de la fracción I del numeral 156 de la Ley del Notariado, fue el que incurrió René Cutberto Santín Quiroz para que se declara como terminada su función notarial y el ente obligado me responde que el Gobernador ordenará la publicación de la declaratoria en la “Gaceta del Gobierno”. </w:t>
      </w:r>
    </w:p>
    <w:p w14:paraId="2C149350"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Ahora bien, me causa agravio la determinación del Comité de Transparencia del Comité de Transparencia de la Secretaría de Justicia y Derechos Humanos, contenida en la Décimo Sexta Sesión Extraordinaria, en la que después de tanta argumentación y sofismas, estimo que la contestación agravia mi derecho a la información, bajo las siguientes consideraciones:</w:t>
      </w:r>
    </w:p>
    <w:p w14:paraId="2C641BBC"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Solicite lo siguiente: </w:t>
      </w:r>
    </w:p>
    <w:p w14:paraId="1788D391"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“3. Se me remita en versión pública, 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(sic)</w:t>
      </w:r>
    </w:p>
    <w:p w14:paraId="77291419"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lastRenderedPageBreak/>
        <w:t>De lo cual, en primer término, el ente obligado me informó:</w:t>
      </w:r>
    </w:p>
    <w:p w14:paraId="7DF50CA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“3.- Respecto al punto 3. (tres) hago de su conocimiento que la resolución solicitada, dictada en el procedimiento administrativo de queja 31/2020, radicado ante esta autoridad, fue notificada al licenciado René Cutberto Santín Quiroz, el veintinueve de octubre de este año. (2020).</w:t>
      </w:r>
    </w:p>
    <w:p w14:paraId="3CF32907"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Relacionado con lo anterior, los artículos 186, 188 y 238 del Código de Procedimientos Administrativos del Estado de México, en su parte que interesa disponen lo siguiente: </w:t>
      </w:r>
    </w:p>
    <w:p w14:paraId="5779BA99"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"Artículo 186.- Contra los actos y resoluciones de las autoridades administrativas y fiscales, los particulares afectados tendrán la opción de interponer el recurso administrativo de inconformidad ante la propia autoridad o el juicio ante el Tribunal de lo Contencioso Administrativo. Cuando se esté haciendo uso del recurso de inconformidad, previo desistimiento del mismo, el interesado podrá promover el juicio ante el propio Tribunal. La resolución que se dicte en el recurso de inconformidad también puede impugnarse ante el Tribunal. </w:t>
      </w:r>
    </w:p>
    <w:p w14:paraId="73F85D3D"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Artículo 188.- El escrito de interposición del recurso deberá presentarse ante la autoridad administrativa competente o ante la propia autoridad que emitió o ejecutó el acto impugnado dentro de los 15 días siguientes al en que surta efectos su notificación... </w:t>
      </w:r>
    </w:p>
    <w:p w14:paraId="1A1DEF50"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Artículo 238.- La demanda deberá formularse por escrito y presentarse directamente ante la Sala Regional correspondiente al domicilio de la parte actora, dentro de los quince días al en que surta efectos la notificación del acto que se impugna o al en que haya tenido conocimiento del mismo...". </w:t>
      </w:r>
    </w:p>
    <w:p w14:paraId="0972972C"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lastRenderedPageBreak/>
        <w:t xml:space="preserve">De lo anterior, se desprende que en contra de resoluciones de las autoridades administrativas, los particulares afectados tendrán la opción de interponer el recurso administrativo de inconformidad ante la propia autoridad o el juicio ante el Tribunal de Justicia Administrativa del Estado de México; así mismo, que el término para la interposición del recurso ante la autoridad administrativa competente es de quince días, de igual forma, la demanda deberá presentarse dentro de los quince días al en que surta efectos la notificación del acto que se impugna. </w:t>
      </w:r>
    </w:p>
    <w:p w14:paraId="0C1E34ED"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Luego entonces, si la resolución que nos ocupa fue notificada el veintinueve de octubre del año en curso, lo que se acredita con la copia simple de la actuación respectiva, resulta inconcuso que no ha transcurrido el término de quince días previstos por los artículos 186, 188 y 238 del Código de Procedimientos Administrativos del Estado de México, para que el licenciado René Cutberto Santín Quiroz, pueda promover el recurso de inconformidad o en su caso, el juicio administrativo ante el Tribunal de Justicia Administrativa del Estado de México. </w:t>
      </w:r>
    </w:p>
    <w:p w14:paraId="7DE1159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Por lo anterior, ante la posibilidad de que se vea afectada o vulnerada la conducción o los derechos del debido proceso en perjuicio del licenciado René Cutberto Santín Quiroz, y por no haber quedado firme la resolución respectiva, atento a lo dispuesto por los artículos 91, 132, fracciones I y Il y 140, fracciones VI y VIII de la Ley de Transparencia y Acceso a la Información Pública del Estado de México y Municipios, atentamente se solicita a usted, de no tener inconveniente, se sirva someter a la consideración del Comité de Transparencia clasificar como reservada toda la información relacionada con el procedimiento administrativo de queja 31/2020, radicado ante esta autoridad, en donde </w:t>
      </w:r>
      <w:r w:rsidRPr="006539D6">
        <w:rPr>
          <w:rFonts w:ascii="Palatino Linotype" w:hAnsi="Palatino Linotype" w:cs="Arial"/>
          <w:i/>
          <w:sz w:val="24"/>
          <w:szCs w:val="24"/>
          <w:lang w:val="es-ES"/>
        </w:rPr>
        <w:lastRenderedPageBreak/>
        <w:t>se dictó la resolución solicitada, hasta en tanto quede firme esta última o por el periodo de 1 año.” (sic)</w:t>
      </w:r>
    </w:p>
    <w:p w14:paraId="3F05B26C"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*Énfasis propio.</w:t>
      </w:r>
    </w:p>
    <w:p w14:paraId="589AA330"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En segundo término, posteriormente el Comité de Transparencia de la Secretaría de Justicia y Derechos Humanos, acordó, lo siguiente:</w:t>
      </w:r>
    </w:p>
    <w:p w14:paraId="3F734CFE"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“ÚNICO SJDH/CT-IR/006/2020.- Se aprueba por unanimidad la clasificación de la información como reservada de las documentales que integran expediente relativo al recurso administrativo de queja 31/2020, por un periodo de un año o hasta que cause estado, toda vez que lo solicitado en el punto 3 referente a: "...3. Se me remita en versión pública, aprobada por el Comité de Transparencia que corresponda, la resolución, falló y/o sentencia, por el cual el Gobernador determinó la terminación de la función notarial de René Cutberto Santin Quiroz, así como el documento que notificó de manera personal al referido dicho falló y/o acuerdo...", se encuentra en proceso, ya que no ha transcurrido el término de quince días previstos por los artículos 186,188 y 238 del Código de Procedimientos Administrativos del Estado de México para que el Lic. Rene Cutberto Santín Quiroz, pueda promover el recurso de inconformidad ante esta autoridad o en su caso el juicio administrativo ante el Tribunal de Justicia Administrativa del Estado de México, sin haber causado ejecutoria y el acceso a dicha información vulneraría la conducción del debido proceso, por lo que se solicita a la Titular de la Unidad de Transparencia, notifique el presente acuerdo al solicitante”</w:t>
      </w:r>
    </w:p>
    <w:p w14:paraId="455D7CF9"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De ambas determinaciones, tanto del ente obligado como del Comité de Transparencia, estimo se viola mi derecho a la información pública. Por lo que hace al ente obligado, </w:t>
      </w:r>
      <w:r w:rsidRPr="006539D6">
        <w:rPr>
          <w:rFonts w:ascii="Palatino Linotype" w:hAnsi="Palatino Linotype" w:cs="Arial"/>
          <w:i/>
          <w:sz w:val="24"/>
          <w:szCs w:val="24"/>
          <w:lang w:val="es-ES"/>
        </w:rPr>
        <w:lastRenderedPageBreak/>
        <w:t>porque considerando que el René Cutberto Santín Quiroz tenía 15 quince días hábiles para interponer algún recurso de defensa por la resolución de la terminación de su función notarial, dicho plazo fenecía el día 24 veinticuatro de noviembre del año dos mil veinte, de acuerdo al Calendario Oficial del Tribunal de Justicia Administrativa del Estado de México para el año 2020, publicado en el Periodico Oficial “Gaceta del Gobierno” el día dos de diciembre del año 2019, contado para ellos los 15 quince días de la siguiente forma:</w:t>
      </w:r>
    </w:p>
    <w:p w14:paraId="2E9027FC"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29 de octubre de 2020, se notificó la resolución a René Cutberto Santín Quiroz.</w:t>
      </w:r>
    </w:p>
    <w:p w14:paraId="6B5ACBFB"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30 de octubre de 2020, surte efectos dicha notificación.</w:t>
      </w:r>
    </w:p>
    <w:p w14:paraId="1550496F"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Empiezan a contar los días del plazo concedido por la Ley en la materia:</w:t>
      </w:r>
    </w:p>
    <w:p w14:paraId="441DD48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Primer día: 03 de noviembre de 2020</w:t>
      </w:r>
    </w:p>
    <w:p w14:paraId="476E470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Segundo día: 04 de noviembre de 2020</w:t>
      </w:r>
    </w:p>
    <w:p w14:paraId="6CA6F20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Tercer día: 05 de noviembre de 2020</w:t>
      </w:r>
    </w:p>
    <w:p w14:paraId="5B9F589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Cuarto día: 06 de noviembre de 2020</w:t>
      </w:r>
    </w:p>
    <w:p w14:paraId="0B15C01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Quinto día: 09 de noviembre de 2020</w:t>
      </w:r>
    </w:p>
    <w:p w14:paraId="5C761CA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Sexto día: 10 de noviembre de 2020</w:t>
      </w:r>
    </w:p>
    <w:p w14:paraId="3A35E94B"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Séptimo día: 11 de noviembre de 2020</w:t>
      </w:r>
    </w:p>
    <w:p w14:paraId="4143A5AF"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Octavo día: 12 de noviembre de 2020</w:t>
      </w:r>
    </w:p>
    <w:p w14:paraId="5B37F05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lastRenderedPageBreak/>
        <w:t>Noveno día: 13 de noviembre de 2020</w:t>
      </w:r>
    </w:p>
    <w:p w14:paraId="0C0BCAD8"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Décimo día: 17 de noviembre de 2020</w:t>
      </w:r>
    </w:p>
    <w:p w14:paraId="3B716B67"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Décimo primer día: 18 de noviembre de 2020</w:t>
      </w:r>
    </w:p>
    <w:p w14:paraId="09322B5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Décimo segundo día: 19 de noviembre de 2020</w:t>
      </w:r>
    </w:p>
    <w:p w14:paraId="64B51858"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Décimo tercer día: 20 de noviembre de 2020</w:t>
      </w:r>
    </w:p>
    <w:p w14:paraId="1273D837"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Décimo cuarto día: 23 de noviembre de 2020</w:t>
      </w:r>
    </w:p>
    <w:p w14:paraId="013A6D3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Décimo quinto día: 24 de noviembre de 2020</w:t>
      </w:r>
    </w:p>
    <w:p w14:paraId="397C38B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Así las cosas, considerando que el ente obligado, respondió mi solicitud a través del oficio número SJDH/UIPPE/1133/2020 de fecha 08 de diciembre del año dos mil veinte y el Comité de Transparencia de la Secretaría de Justicia y Derechos Humanos sesionó en fecha cuatro del mismo mes y año, se hace patente que dicha dependencia estatal ya debió haber sido notificada si René Cutberto Santín Quiroz, presentó algún procedimiento administrativo en contra de la resolución que determinó terminar su función notarial.</w:t>
      </w:r>
    </w:p>
    <w:p w14:paraId="6D986945"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En el entendido entonces, de que en la ambivalencia de que Rene Cutberto Santín Quiroz haya presentado algún recurso de inconformidad ante la misma autoridad, del día veinticuatro de noviembre al día cuatro de diciembre, ambos del año 2020, el ente obligado y el Comité de Transparencia, ya deberían haber contado con la información, en caso de que haya sido acaecido de esa forma. </w:t>
      </w:r>
    </w:p>
    <w:p w14:paraId="0B0B687E"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O en caso, de que René Cutberto Santín Quiroz, haya promovido algún juicio administrativo de inconformidad ante el Tribunal de Justicia Administrativa del Estado </w:t>
      </w:r>
      <w:r w:rsidRPr="006539D6">
        <w:rPr>
          <w:rFonts w:ascii="Palatino Linotype" w:hAnsi="Palatino Linotype" w:cs="Arial"/>
          <w:i/>
          <w:sz w:val="24"/>
          <w:szCs w:val="24"/>
          <w:lang w:val="es-ES"/>
        </w:rPr>
        <w:lastRenderedPageBreak/>
        <w:t>de México, éste Órgano Jurisdiccional, debió haber en su caso, acordado la admisión o desechamiento de la misma y notificado a la autoridad, pues son ocho días para que ello suceda:</w:t>
      </w:r>
    </w:p>
    <w:p w14:paraId="4FB456F4"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Primer día: 25 de noviembre de 2020</w:t>
      </w:r>
    </w:p>
    <w:p w14:paraId="5478BCC9"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Segundo día: 26 de noviembre de 2020</w:t>
      </w:r>
    </w:p>
    <w:p w14:paraId="36EF454F"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Tercer día: 27 de noviembre de 2020</w:t>
      </w:r>
    </w:p>
    <w:p w14:paraId="1442BCD2"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Cuarto día: 30 de noviembre de 2020</w:t>
      </w:r>
    </w:p>
    <w:p w14:paraId="5F5284F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Quinto día: 01 de diciembre de 2020</w:t>
      </w:r>
    </w:p>
    <w:p w14:paraId="7BC3551C"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Sexto día: 02 de diciembre de 2020</w:t>
      </w:r>
    </w:p>
    <w:p w14:paraId="0FA5168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Séptimo día: 03 de diciembre de 2020</w:t>
      </w:r>
    </w:p>
    <w:p w14:paraId="4B5DD631"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ab/>
        <w:t>Octavo día: 04 de diciembre de 2020</w:t>
      </w:r>
    </w:p>
    <w:p w14:paraId="69EEE286"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Lo anterior, en consideración de que las determinaciones del Tribunal de Justicia Administrativa del Estado de México, serán satisfechas al día hábil siguiente en que se presente, en la especie, si René Cutberto Santín Quiroz, promovió algún juicio hasta el día 24 de noviembre de 2020, el Tribunal debió admitirla al día hábil siguiente, por lo que el suscrito no encuentra algún pretexto por el cual hasta el día 8 de diciembre de 2020, el ente obligado no sabía si Santín Quiroz promovió algún procedimiento. </w:t>
      </w:r>
    </w:p>
    <w:p w14:paraId="0C752EE3"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 xml:space="preserve">Solo como comentario, me parece preocupante que una institución pueda señalar argumentos sin sentido como el que relata, al tenor literal siguiente: </w:t>
      </w:r>
    </w:p>
    <w:p w14:paraId="069465C7" w14:textId="77777777" w:rsidR="006539D6" w:rsidRPr="006539D6"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lastRenderedPageBreak/>
        <w:t xml:space="preserve">Luego entonces, si la resolución que nos ocupa fue notificada el veintinueve de octubre del año en curso, lo que se acredita con la copia simple de la actuación respectiva, resulta inconcuso que no ha transcurrido el término de quince días previstos por los artículos 186, 188 y 238 del Código de Procedimientos Administrativos del Estado de México, para que el licenciado René Cutberto Santín Quiroz, pueda promover el recurso de inconformidad o en su caso, el juicio administrativo ante el Tribunal de Justicia Administrativa del Estado de México. </w:t>
      </w:r>
    </w:p>
    <w:p w14:paraId="43BDA516" w14:textId="6F1C8334" w:rsidR="00311958" w:rsidRPr="001708B9" w:rsidRDefault="006539D6" w:rsidP="006539D6">
      <w:pPr>
        <w:spacing w:before="240" w:after="240" w:line="360" w:lineRule="auto"/>
        <w:ind w:left="708"/>
        <w:jc w:val="both"/>
        <w:rPr>
          <w:rFonts w:ascii="Palatino Linotype" w:hAnsi="Palatino Linotype" w:cs="Arial"/>
          <w:i/>
          <w:sz w:val="24"/>
          <w:szCs w:val="24"/>
          <w:lang w:val="es-ES"/>
        </w:rPr>
      </w:pPr>
      <w:r w:rsidRPr="006539D6">
        <w:rPr>
          <w:rFonts w:ascii="Palatino Linotype" w:hAnsi="Palatino Linotype" w:cs="Arial"/>
          <w:i/>
          <w:sz w:val="24"/>
          <w:szCs w:val="24"/>
          <w:lang w:val="es-ES"/>
        </w:rPr>
        <w:t>¿Cómo puede decir que resulta inconcuso que no ha transcurrido el término de quince día, si esa contestación fue instrumentada hasta el día ocho de diciembre de 2020, siendo que el plazo había finalizado el día 24 de noviembre de 2020?</w:t>
      </w:r>
      <w:r w:rsidR="00F05674" w:rsidRPr="00F05674">
        <w:rPr>
          <w:rFonts w:ascii="Palatino Linotype" w:hAnsi="Palatino Linotype" w:cs="Arial"/>
          <w:i/>
          <w:sz w:val="24"/>
          <w:szCs w:val="24"/>
          <w:lang w:val="es-ES"/>
        </w:rPr>
        <w:t>.</w:t>
      </w:r>
      <w:r w:rsidR="00F05674">
        <w:rPr>
          <w:rFonts w:ascii="Palatino Linotype" w:hAnsi="Palatino Linotype" w:cs="Arial"/>
          <w:i/>
          <w:sz w:val="24"/>
          <w:szCs w:val="24"/>
          <w:lang w:val="es-ES"/>
        </w:rPr>
        <w:t>”</w:t>
      </w:r>
      <w:r>
        <w:rPr>
          <w:rFonts w:ascii="Palatino Linotype" w:hAnsi="Palatino Linotype" w:cs="Arial"/>
          <w:i/>
          <w:sz w:val="24"/>
          <w:szCs w:val="24"/>
          <w:lang w:val="es-ES"/>
        </w:rPr>
        <w:t xml:space="preserve"> </w:t>
      </w:r>
      <w:r w:rsidR="009F4A77" w:rsidRPr="001708B9">
        <w:rPr>
          <w:rFonts w:ascii="Palatino Linotype" w:hAnsi="Palatino Linotype" w:cs="Arial"/>
          <w:i/>
          <w:sz w:val="24"/>
          <w:szCs w:val="24"/>
          <w:lang w:val="es-ES"/>
        </w:rPr>
        <w:t>[Sic]</w:t>
      </w:r>
    </w:p>
    <w:p w14:paraId="30FC5F28" w14:textId="609D63AA" w:rsidR="009F4A77" w:rsidRDefault="009F4A77" w:rsidP="006539D6">
      <w:pPr>
        <w:spacing w:before="240" w:line="360" w:lineRule="auto"/>
        <w:jc w:val="both"/>
        <w:rPr>
          <w:rFonts w:ascii="Palatino Linotype" w:hAnsi="Palatino Linotype"/>
          <w:sz w:val="24"/>
          <w:szCs w:val="24"/>
          <w:lang w:val="es-ES"/>
        </w:rPr>
      </w:pPr>
      <w:r w:rsidRPr="001708B9">
        <w:rPr>
          <w:rFonts w:ascii="Palatino Linotype" w:hAnsi="Palatino Linotype"/>
          <w:sz w:val="24"/>
          <w:szCs w:val="24"/>
          <w:lang w:val="es-ES"/>
        </w:rPr>
        <w:t>Ahora bien, mediante informe justificado re</w:t>
      </w:r>
      <w:r w:rsidR="0099252D">
        <w:rPr>
          <w:rFonts w:ascii="Palatino Linotype" w:hAnsi="Palatino Linotype"/>
          <w:sz w:val="24"/>
          <w:szCs w:val="24"/>
          <w:lang w:val="es-ES"/>
        </w:rPr>
        <w:t xml:space="preserve">mitido el sujeto obligado </w:t>
      </w:r>
      <w:r w:rsidR="006539D6">
        <w:rPr>
          <w:rFonts w:ascii="Palatino Linotype" w:hAnsi="Palatino Linotype"/>
          <w:sz w:val="24"/>
          <w:szCs w:val="24"/>
          <w:lang w:val="es-ES"/>
        </w:rPr>
        <w:t xml:space="preserve">adjunto dos archivos electrónicos </w:t>
      </w:r>
      <w:r w:rsidR="00BB59A5">
        <w:rPr>
          <w:rFonts w:ascii="Palatino Linotype" w:hAnsi="Palatino Linotype"/>
          <w:sz w:val="24"/>
          <w:szCs w:val="24"/>
          <w:lang w:val="es-ES"/>
        </w:rPr>
        <w:t>denominados</w:t>
      </w:r>
      <w:r w:rsidR="006539D6">
        <w:rPr>
          <w:rFonts w:ascii="Palatino Linotype" w:hAnsi="Palatino Linotype"/>
          <w:sz w:val="24"/>
          <w:szCs w:val="24"/>
          <w:lang w:val="es-ES"/>
        </w:rPr>
        <w:t xml:space="preserve"> </w:t>
      </w:r>
      <w:r w:rsidR="006539D6" w:rsidRPr="006539D6">
        <w:rPr>
          <w:rFonts w:ascii="Palatino Linotype" w:hAnsi="Palatino Linotype"/>
          <w:sz w:val="24"/>
          <w:szCs w:val="24"/>
          <w:lang w:val="es-ES"/>
        </w:rPr>
        <w:t>informe justificado.pdf</w:t>
      </w:r>
      <w:r w:rsidR="00BB59A5">
        <w:rPr>
          <w:rFonts w:ascii="Palatino Linotype" w:hAnsi="Palatino Linotype"/>
          <w:sz w:val="24"/>
          <w:szCs w:val="24"/>
          <w:lang w:val="es-ES"/>
        </w:rPr>
        <w:t xml:space="preserve"> y </w:t>
      </w:r>
      <w:r w:rsidR="006539D6" w:rsidRPr="006539D6">
        <w:rPr>
          <w:rFonts w:ascii="Palatino Linotype" w:hAnsi="Palatino Linotype"/>
          <w:sz w:val="24"/>
          <w:szCs w:val="24"/>
          <w:lang w:val="es-ES"/>
        </w:rPr>
        <w:t>anexo recurso saimex 189-2020.zip</w:t>
      </w:r>
      <w:r w:rsidR="00BB59A5">
        <w:rPr>
          <w:rFonts w:ascii="Palatino Linotype" w:hAnsi="Palatino Linotype"/>
          <w:sz w:val="24"/>
          <w:szCs w:val="24"/>
          <w:lang w:val="es-ES"/>
        </w:rPr>
        <w:t xml:space="preserve">; no siendo óbice mencionar que en este ultimo se encuentran tres documentos, los cuales refieren a los dos archivos remitidos en respuesta y uno mas denominado </w:t>
      </w:r>
      <w:r w:rsidR="00BB59A5" w:rsidRPr="00BB59A5">
        <w:rPr>
          <w:rFonts w:ascii="Palatino Linotype" w:hAnsi="Palatino Linotype"/>
          <w:sz w:val="24"/>
          <w:szCs w:val="24"/>
          <w:lang w:val="es-ES"/>
        </w:rPr>
        <w:t>anexo recurso saimex 189-2020</w:t>
      </w:r>
      <w:r w:rsidR="00BB59A5">
        <w:rPr>
          <w:rFonts w:ascii="Palatino Linotype" w:hAnsi="Palatino Linotype"/>
          <w:sz w:val="24"/>
          <w:szCs w:val="24"/>
          <w:lang w:val="es-ES"/>
        </w:rPr>
        <w:t>.pdf, los cuales son del tenor siguiente:</w:t>
      </w:r>
    </w:p>
    <w:p w14:paraId="7701A7FB" w14:textId="7FFC459A" w:rsidR="00BB59A5" w:rsidRDefault="00BB59A5" w:rsidP="005B7D33">
      <w:pPr>
        <w:tabs>
          <w:tab w:val="left" w:pos="3580"/>
        </w:tabs>
        <w:spacing w:before="240" w:line="360" w:lineRule="auto"/>
        <w:jc w:val="both"/>
        <w:rPr>
          <w:rFonts w:ascii="Palatino Linotype" w:hAnsi="Palatino Linotype"/>
          <w:sz w:val="24"/>
          <w:szCs w:val="24"/>
          <w:lang w:val="es-ES"/>
        </w:rPr>
      </w:pPr>
      <w:r w:rsidRPr="006539D6">
        <w:rPr>
          <w:rFonts w:ascii="Palatino Linotype" w:hAnsi="Palatino Linotype"/>
          <w:sz w:val="24"/>
          <w:szCs w:val="24"/>
          <w:lang w:val="es-ES"/>
        </w:rPr>
        <w:t>informe justificado.pdf</w:t>
      </w:r>
      <w:r>
        <w:rPr>
          <w:rFonts w:ascii="Palatino Linotype" w:hAnsi="Palatino Linotype"/>
          <w:sz w:val="24"/>
          <w:szCs w:val="24"/>
          <w:lang w:val="es-ES"/>
        </w:rPr>
        <w:t>:</w:t>
      </w:r>
      <w:r w:rsidR="005B7D33">
        <w:rPr>
          <w:rFonts w:ascii="Palatino Linotype" w:hAnsi="Palatino Linotype"/>
          <w:sz w:val="24"/>
          <w:szCs w:val="24"/>
          <w:lang w:val="es-ES"/>
        </w:rPr>
        <w:t xml:space="preserve"> Informe </w:t>
      </w:r>
      <w:r w:rsidR="00C60690">
        <w:rPr>
          <w:rFonts w:ascii="Palatino Linotype" w:hAnsi="Palatino Linotype"/>
          <w:sz w:val="24"/>
          <w:szCs w:val="24"/>
          <w:lang w:val="es-ES"/>
        </w:rPr>
        <w:t>justificado</w:t>
      </w:r>
      <w:r w:rsidR="005B7D33">
        <w:rPr>
          <w:rFonts w:ascii="Palatino Linotype" w:hAnsi="Palatino Linotype"/>
          <w:sz w:val="24"/>
          <w:szCs w:val="24"/>
          <w:lang w:val="es-ES"/>
        </w:rPr>
        <w:t xml:space="preserve"> mediante el cual, se alude que se dio respuesta</w:t>
      </w:r>
      <w:r w:rsidR="00F73864">
        <w:rPr>
          <w:rFonts w:ascii="Palatino Linotype" w:hAnsi="Palatino Linotype"/>
          <w:sz w:val="24"/>
          <w:szCs w:val="24"/>
          <w:lang w:val="es-ES"/>
        </w:rPr>
        <w:t xml:space="preserve"> y responde de igual manera las razones o motivos de inconformidad señaladas en el recurso de revisión.</w:t>
      </w:r>
    </w:p>
    <w:p w14:paraId="11054DE6" w14:textId="51FFA1B1" w:rsidR="00BB59A5" w:rsidRPr="001708B9" w:rsidRDefault="00BB59A5" w:rsidP="006539D6">
      <w:pPr>
        <w:spacing w:before="240" w:line="360" w:lineRule="auto"/>
        <w:jc w:val="both"/>
        <w:rPr>
          <w:rFonts w:ascii="Palatino Linotype" w:hAnsi="Palatino Linotype"/>
          <w:sz w:val="24"/>
          <w:szCs w:val="24"/>
          <w:lang w:val="es-ES"/>
        </w:rPr>
      </w:pPr>
      <w:r w:rsidRPr="00BB59A5">
        <w:rPr>
          <w:rFonts w:ascii="Palatino Linotype" w:hAnsi="Palatino Linotype"/>
          <w:sz w:val="24"/>
          <w:szCs w:val="24"/>
          <w:lang w:val="es-ES"/>
        </w:rPr>
        <w:t>anexo recurso saimex 189-2020</w:t>
      </w:r>
      <w:r>
        <w:rPr>
          <w:rFonts w:ascii="Palatino Linotype" w:hAnsi="Palatino Linotype"/>
          <w:sz w:val="24"/>
          <w:szCs w:val="24"/>
          <w:lang w:val="es-ES"/>
        </w:rPr>
        <w:t>.pdf:</w:t>
      </w:r>
      <w:r w:rsidR="00BD6E24">
        <w:rPr>
          <w:rFonts w:ascii="Palatino Linotype" w:hAnsi="Palatino Linotype"/>
          <w:sz w:val="24"/>
          <w:szCs w:val="24"/>
          <w:lang w:val="es-ES"/>
        </w:rPr>
        <w:t xml:space="preserve"> </w:t>
      </w:r>
      <w:r w:rsidR="007366F7">
        <w:rPr>
          <w:rFonts w:ascii="Palatino Linotype" w:hAnsi="Palatino Linotype"/>
          <w:sz w:val="24"/>
          <w:szCs w:val="24"/>
          <w:lang w:val="es-ES"/>
        </w:rPr>
        <w:t xml:space="preserve">Oficio emitido por el </w:t>
      </w:r>
      <w:r w:rsidR="0007599B">
        <w:rPr>
          <w:rFonts w:ascii="Palatino Linotype" w:hAnsi="Palatino Linotype"/>
          <w:sz w:val="24"/>
          <w:szCs w:val="24"/>
          <w:lang w:val="es-ES"/>
        </w:rPr>
        <w:t>actuario</w:t>
      </w:r>
      <w:r w:rsidR="007366F7">
        <w:rPr>
          <w:rFonts w:ascii="Palatino Linotype" w:hAnsi="Palatino Linotype"/>
          <w:sz w:val="24"/>
          <w:szCs w:val="24"/>
          <w:lang w:val="es-ES"/>
        </w:rPr>
        <w:t xml:space="preserve"> habilitado de la séptima sala regional del Tribunal de Justicia Administrativa del Estado de México.</w:t>
      </w:r>
    </w:p>
    <w:p w14:paraId="4997D734" w14:textId="6B925ADB" w:rsidR="00525513" w:rsidRDefault="00525513"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Ahora bien, </w:t>
      </w:r>
      <w:r w:rsidR="00115735">
        <w:rPr>
          <w:rFonts w:ascii="Palatino Linotype" w:hAnsi="Palatino Linotype"/>
          <w:sz w:val="24"/>
          <w:szCs w:val="24"/>
          <w:lang w:val="es-ES"/>
        </w:rPr>
        <w:t xml:space="preserve">a fin de verificar si la información remitida por el sujeto obligado colma con las pretensiones vertidas en la </w:t>
      </w:r>
      <w:r w:rsidR="00AA4163">
        <w:rPr>
          <w:rFonts w:ascii="Palatino Linotype" w:hAnsi="Palatino Linotype"/>
          <w:sz w:val="24"/>
          <w:szCs w:val="24"/>
          <w:lang w:val="es-ES"/>
        </w:rPr>
        <w:t>solicitud</w:t>
      </w:r>
      <w:r w:rsidR="00115735">
        <w:rPr>
          <w:rFonts w:ascii="Palatino Linotype" w:hAnsi="Palatino Linotype"/>
          <w:sz w:val="24"/>
          <w:szCs w:val="24"/>
          <w:lang w:val="es-ES"/>
        </w:rPr>
        <w:t xml:space="preserve"> de información</w:t>
      </w:r>
      <w:r w:rsidR="00AA4163">
        <w:rPr>
          <w:rFonts w:ascii="Palatino Linotype" w:hAnsi="Palatino Linotype"/>
          <w:sz w:val="24"/>
          <w:szCs w:val="24"/>
          <w:lang w:val="es-ES"/>
        </w:rPr>
        <w:t>, se realizará un cuadro con lo enviado en respuesta e informe justificado.</w:t>
      </w:r>
    </w:p>
    <w:tbl>
      <w:tblPr>
        <w:tblStyle w:val="Tablaconcuadrcula"/>
        <w:tblW w:w="0" w:type="auto"/>
        <w:tblLook w:val="04A0" w:firstRow="1" w:lastRow="0" w:firstColumn="1" w:lastColumn="0" w:noHBand="0" w:noVBand="1"/>
      </w:tblPr>
      <w:tblGrid>
        <w:gridCol w:w="2081"/>
        <w:gridCol w:w="1850"/>
        <w:gridCol w:w="2039"/>
        <w:gridCol w:w="2173"/>
        <w:gridCol w:w="919"/>
      </w:tblGrid>
      <w:tr w:rsidR="00303AB5" w14:paraId="0E4C644D" w14:textId="77777777" w:rsidTr="00303AB5">
        <w:tc>
          <w:tcPr>
            <w:tcW w:w="2226" w:type="dxa"/>
          </w:tcPr>
          <w:p w14:paraId="2F77B5D4" w14:textId="580D2500" w:rsidR="00303AB5" w:rsidRDefault="00303AB5" w:rsidP="003C6897">
            <w:pPr>
              <w:spacing w:before="240" w:line="360" w:lineRule="auto"/>
              <w:jc w:val="center"/>
              <w:rPr>
                <w:rFonts w:ascii="Palatino Linotype" w:hAnsi="Palatino Linotype"/>
                <w:sz w:val="24"/>
                <w:szCs w:val="24"/>
                <w:lang w:val="es-ES"/>
              </w:rPr>
            </w:pPr>
            <w:r>
              <w:rPr>
                <w:rFonts w:ascii="Palatino Linotype" w:hAnsi="Palatino Linotype"/>
                <w:sz w:val="24"/>
                <w:szCs w:val="24"/>
                <w:lang w:val="es-ES"/>
              </w:rPr>
              <w:t>Información solicitada</w:t>
            </w:r>
          </w:p>
        </w:tc>
        <w:tc>
          <w:tcPr>
            <w:tcW w:w="1880" w:type="dxa"/>
          </w:tcPr>
          <w:p w14:paraId="1E876062" w14:textId="1ECB5FD1" w:rsidR="00303AB5" w:rsidRDefault="00303AB5" w:rsidP="003C6897">
            <w:pPr>
              <w:spacing w:before="240" w:line="360" w:lineRule="auto"/>
              <w:jc w:val="center"/>
              <w:rPr>
                <w:rFonts w:ascii="Palatino Linotype" w:hAnsi="Palatino Linotype"/>
                <w:sz w:val="24"/>
                <w:szCs w:val="24"/>
                <w:lang w:val="es-ES"/>
              </w:rPr>
            </w:pPr>
            <w:r>
              <w:rPr>
                <w:rFonts w:ascii="Palatino Linotype" w:hAnsi="Palatino Linotype"/>
                <w:sz w:val="24"/>
                <w:szCs w:val="24"/>
                <w:lang w:val="es-ES"/>
              </w:rPr>
              <w:t>Respuesta</w:t>
            </w:r>
          </w:p>
        </w:tc>
        <w:tc>
          <w:tcPr>
            <w:tcW w:w="2126" w:type="dxa"/>
          </w:tcPr>
          <w:p w14:paraId="4A894553" w14:textId="4207CE21" w:rsidR="00303AB5" w:rsidRDefault="00303AB5" w:rsidP="003C6897">
            <w:pPr>
              <w:spacing w:before="240" w:line="360" w:lineRule="auto"/>
              <w:jc w:val="center"/>
              <w:rPr>
                <w:rFonts w:ascii="Palatino Linotype" w:hAnsi="Palatino Linotype"/>
                <w:sz w:val="24"/>
                <w:szCs w:val="24"/>
                <w:lang w:val="es-ES"/>
              </w:rPr>
            </w:pPr>
            <w:r>
              <w:rPr>
                <w:rFonts w:ascii="Palatino Linotype" w:hAnsi="Palatino Linotype"/>
                <w:sz w:val="24"/>
                <w:szCs w:val="24"/>
                <w:lang w:val="es-ES"/>
              </w:rPr>
              <w:t>Informe Justificado</w:t>
            </w:r>
          </w:p>
        </w:tc>
        <w:tc>
          <w:tcPr>
            <w:tcW w:w="2552" w:type="dxa"/>
          </w:tcPr>
          <w:p w14:paraId="17E68451" w14:textId="25FEFBBC" w:rsidR="00303AB5" w:rsidRDefault="00303AB5" w:rsidP="00303AB5">
            <w:pPr>
              <w:spacing w:before="240" w:line="360" w:lineRule="auto"/>
              <w:ind w:left="9" w:hanging="9"/>
              <w:jc w:val="center"/>
              <w:rPr>
                <w:rFonts w:ascii="Palatino Linotype" w:hAnsi="Palatino Linotype"/>
                <w:sz w:val="24"/>
                <w:szCs w:val="24"/>
                <w:lang w:val="es-ES"/>
              </w:rPr>
            </w:pPr>
            <w:r>
              <w:rPr>
                <w:rFonts w:ascii="Palatino Linotype" w:hAnsi="Palatino Linotype"/>
                <w:sz w:val="24"/>
                <w:szCs w:val="24"/>
                <w:lang w:val="es-ES"/>
              </w:rPr>
              <w:t>Alcance al Informe Justificado</w:t>
            </w:r>
          </w:p>
        </w:tc>
        <w:tc>
          <w:tcPr>
            <w:tcW w:w="278" w:type="dxa"/>
          </w:tcPr>
          <w:p w14:paraId="0F356410" w14:textId="7910E322" w:rsidR="00303AB5" w:rsidRDefault="00303AB5" w:rsidP="003C6897">
            <w:pPr>
              <w:spacing w:before="240" w:line="360" w:lineRule="auto"/>
              <w:ind w:left="708" w:hanging="708"/>
              <w:jc w:val="center"/>
              <w:rPr>
                <w:rFonts w:ascii="Palatino Linotype" w:hAnsi="Palatino Linotype"/>
                <w:sz w:val="24"/>
                <w:szCs w:val="24"/>
                <w:lang w:val="es-ES"/>
              </w:rPr>
            </w:pPr>
            <w:r>
              <w:rPr>
                <w:rFonts w:ascii="Palatino Linotype" w:hAnsi="Palatino Linotype"/>
                <w:sz w:val="24"/>
                <w:szCs w:val="24"/>
                <w:lang w:val="es-ES"/>
              </w:rPr>
              <w:t>Colma</w:t>
            </w:r>
          </w:p>
        </w:tc>
      </w:tr>
      <w:tr w:rsidR="00303AB5" w14:paraId="5CBC1DBD" w14:textId="77777777" w:rsidTr="00303AB5">
        <w:tc>
          <w:tcPr>
            <w:tcW w:w="2226" w:type="dxa"/>
          </w:tcPr>
          <w:p w14:paraId="23B09113" w14:textId="26795C7F" w:rsidR="00303AB5" w:rsidRDefault="00303AB5" w:rsidP="00CE424E">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t xml:space="preserve">1. </w:t>
            </w:r>
            <w:r w:rsidRPr="00CE424E">
              <w:rPr>
                <w:rFonts w:ascii="Palatino Linotype" w:hAnsi="Palatino Linotype"/>
                <w:sz w:val="24"/>
                <w:szCs w:val="24"/>
                <w:lang w:val="es-ES"/>
              </w:rPr>
              <w:t xml:space="preserve">Me parece que el acuerdo es incompleto, toda vez que no señala con claridad, los supuestos contenidos en la fracción I del numeral 156 de la Ley del Notariado del Estado de México, ya que ese dispositivo legal a su vez, señala siete </w:t>
            </w:r>
            <w:r w:rsidRPr="00CE424E">
              <w:rPr>
                <w:rFonts w:ascii="Palatino Linotype" w:hAnsi="Palatino Linotype"/>
                <w:sz w:val="24"/>
                <w:szCs w:val="24"/>
                <w:lang w:val="es-ES"/>
              </w:rPr>
              <w:lastRenderedPageBreak/>
              <w:t>incisos por los cuales se configura la fracción I. De tal manera que solicito se me informe el motivo por el cual se declaró la terminación de la función notarial de René Cutberto Santín Quiroz de forma específica.</w:t>
            </w:r>
          </w:p>
        </w:tc>
        <w:tc>
          <w:tcPr>
            <w:tcW w:w="1880" w:type="dxa"/>
          </w:tcPr>
          <w:p w14:paraId="47BA5B18" w14:textId="64DF9AFA" w:rsidR="00303AB5" w:rsidRDefault="00303AB5"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Informó que el Acuerdo del Ejecutivo Estatal publicado en el Periódico Oficial “Gaceta del Gobierno” no es incompleto, toda vez que cumple con lo dispuesto con el articulo 46 de la Ley del Notariado del </w:t>
            </w:r>
            <w:r>
              <w:rPr>
                <w:rFonts w:ascii="Palatino Linotype" w:hAnsi="Palatino Linotype"/>
                <w:sz w:val="24"/>
                <w:szCs w:val="24"/>
                <w:lang w:val="es-ES"/>
              </w:rPr>
              <w:lastRenderedPageBreak/>
              <w:t>Estado de México.</w:t>
            </w:r>
          </w:p>
        </w:tc>
        <w:tc>
          <w:tcPr>
            <w:tcW w:w="2126" w:type="dxa"/>
          </w:tcPr>
          <w:p w14:paraId="08483278" w14:textId="77777777" w:rsidR="00303AB5" w:rsidRDefault="00303AB5"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Señalo que derivado de una resolución administrativa recaída en el procedimiento administrativo de queja 31/2020; fue impuesta a la persona referida en la solicitud la sanción consistente en la revocación de su nombramiento, información que </w:t>
            </w:r>
            <w:r>
              <w:rPr>
                <w:rFonts w:ascii="Palatino Linotype" w:hAnsi="Palatino Linotype"/>
                <w:sz w:val="24"/>
                <w:szCs w:val="24"/>
                <w:lang w:val="es-ES"/>
              </w:rPr>
              <w:lastRenderedPageBreak/>
              <w:t xml:space="preserve">de igual forma se encuentra debidamente fundada y motivada, toda vez que esta autoridad hizo del conocimiento del solicitante el motivo por el cual el Gobernador del Estado de México dio por terminada la función notarial. </w:t>
            </w:r>
          </w:p>
          <w:p w14:paraId="534595B6" w14:textId="4B9019DF" w:rsidR="00303AB5" w:rsidRDefault="00303AB5"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t xml:space="preserve">De igual manera, señalo que el motivo por el cual se revoco su nombramiento fue de conformidad con </w:t>
            </w:r>
            <w:r>
              <w:rPr>
                <w:rFonts w:ascii="Palatino Linotype" w:hAnsi="Palatino Linotype"/>
                <w:sz w:val="24"/>
                <w:szCs w:val="24"/>
                <w:lang w:val="es-ES"/>
              </w:rPr>
              <w:lastRenderedPageBreak/>
              <w:t>lo establecido en el articulo 156 fracción I, de la Ley del Notariado.</w:t>
            </w:r>
          </w:p>
        </w:tc>
        <w:tc>
          <w:tcPr>
            <w:tcW w:w="2552" w:type="dxa"/>
          </w:tcPr>
          <w:p w14:paraId="1589EDA4" w14:textId="77777777" w:rsidR="00303AB5" w:rsidRDefault="00303AB5" w:rsidP="006A6A6C">
            <w:pPr>
              <w:spacing w:before="240" w:line="360" w:lineRule="auto"/>
              <w:jc w:val="both"/>
              <w:rPr>
                <w:rFonts w:ascii="Palatino Linotype" w:hAnsi="Palatino Linotype"/>
                <w:sz w:val="24"/>
                <w:szCs w:val="24"/>
                <w:lang w:val="es-ES"/>
              </w:rPr>
            </w:pPr>
          </w:p>
        </w:tc>
        <w:tc>
          <w:tcPr>
            <w:tcW w:w="278" w:type="dxa"/>
          </w:tcPr>
          <w:p w14:paraId="5ABE0715" w14:textId="016EDFBC" w:rsidR="00303AB5" w:rsidRDefault="00303AB5" w:rsidP="006A6A6C">
            <w:pPr>
              <w:spacing w:before="240" w:line="360" w:lineRule="auto"/>
              <w:jc w:val="both"/>
              <w:rPr>
                <w:rFonts w:ascii="Palatino Linotype" w:hAnsi="Palatino Linotype"/>
                <w:sz w:val="24"/>
                <w:szCs w:val="24"/>
                <w:lang w:val="es-ES"/>
              </w:rPr>
            </w:pPr>
          </w:p>
          <w:p w14:paraId="129175FE" w14:textId="77777777" w:rsidR="00303AB5" w:rsidRDefault="00303AB5" w:rsidP="006A6A6C">
            <w:pPr>
              <w:spacing w:before="240" w:line="360" w:lineRule="auto"/>
              <w:jc w:val="both"/>
              <w:rPr>
                <w:rFonts w:ascii="Palatino Linotype" w:hAnsi="Palatino Linotype"/>
                <w:sz w:val="24"/>
                <w:szCs w:val="24"/>
                <w:lang w:val="es-ES"/>
              </w:rPr>
            </w:pPr>
          </w:p>
          <w:p w14:paraId="4B6F6566" w14:textId="77777777" w:rsidR="00303AB5" w:rsidRDefault="00303AB5" w:rsidP="006A6A6C">
            <w:pPr>
              <w:spacing w:before="240" w:line="360" w:lineRule="auto"/>
              <w:jc w:val="both"/>
              <w:rPr>
                <w:rFonts w:ascii="Palatino Linotype" w:hAnsi="Palatino Linotype"/>
                <w:sz w:val="24"/>
                <w:szCs w:val="24"/>
                <w:lang w:val="es-ES"/>
              </w:rPr>
            </w:pPr>
          </w:p>
          <w:p w14:paraId="76D0AEF6" w14:textId="77777777" w:rsidR="00303AB5" w:rsidRDefault="00303AB5" w:rsidP="006A6A6C">
            <w:pPr>
              <w:spacing w:before="240" w:line="360" w:lineRule="auto"/>
              <w:jc w:val="both"/>
              <w:rPr>
                <w:rFonts w:ascii="Palatino Linotype" w:hAnsi="Palatino Linotype"/>
                <w:sz w:val="24"/>
                <w:szCs w:val="24"/>
                <w:lang w:val="es-ES"/>
              </w:rPr>
            </w:pPr>
          </w:p>
          <w:p w14:paraId="0D517154" w14:textId="77777777" w:rsidR="00303AB5" w:rsidRDefault="00303AB5" w:rsidP="006A6A6C">
            <w:pPr>
              <w:spacing w:before="240" w:line="360" w:lineRule="auto"/>
              <w:jc w:val="both"/>
              <w:rPr>
                <w:rFonts w:ascii="Palatino Linotype" w:hAnsi="Palatino Linotype"/>
                <w:sz w:val="24"/>
                <w:szCs w:val="24"/>
                <w:lang w:val="es-ES"/>
              </w:rPr>
            </w:pPr>
          </w:p>
          <w:p w14:paraId="16FC1271" w14:textId="77777777" w:rsidR="00303AB5" w:rsidRDefault="00303AB5" w:rsidP="006A6A6C">
            <w:pPr>
              <w:spacing w:before="240" w:line="360" w:lineRule="auto"/>
              <w:jc w:val="both"/>
              <w:rPr>
                <w:rFonts w:ascii="Palatino Linotype" w:hAnsi="Palatino Linotype"/>
                <w:sz w:val="24"/>
                <w:szCs w:val="24"/>
                <w:lang w:val="es-ES"/>
              </w:rPr>
            </w:pPr>
          </w:p>
          <w:p w14:paraId="2F8D59D5" w14:textId="30092AD9" w:rsidR="00303AB5" w:rsidRPr="008A630F" w:rsidRDefault="00303AB5" w:rsidP="008A630F">
            <w:pPr>
              <w:spacing w:before="240" w:line="360" w:lineRule="auto"/>
              <w:ind w:left="708" w:hanging="708"/>
              <w:jc w:val="center"/>
              <w:rPr>
                <w:rFonts w:ascii="Palatino Linotype" w:hAnsi="Palatino Linotype"/>
                <w:sz w:val="24"/>
                <w:szCs w:val="24"/>
                <w:lang w:val="es-ES"/>
              </w:rPr>
            </w:pPr>
            <w:r>
              <w:rPr>
                <w:rFonts w:ascii="Palatino Linotype" w:hAnsi="Palatino Linotype"/>
                <w:sz w:val="24"/>
                <w:szCs w:val="24"/>
                <w:lang w:val="es-ES"/>
              </w:rPr>
              <w:t>Si</w:t>
            </w:r>
          </w:p>
        </w:tc>
      </w:tr>
      <w:tr w:rsidR="00303AB5" w14:paraId="2F9A8366" w14:textId="77777777" w:rsidTr="00303AB5">
        <w:tc>
          <w:tcPr>
            <w:tcW w:w="2226" w:type="dxa"/>
          </w:tcPr>
          <w:p w14:paraId="37CDC1F0" w14:textId="71BF1539" w:rsidR="00303AB5" w:rsidRDefault="00303AB5" w:rsidP="006A6A6C">
            <w:pPr>
              <w:spacing w:before="240" w:line="360" w:lineRule="auto"/>
              <w:jc w:val="both"/>
              <w:rPr>
                <w:rFonts w:ascii="Palatino Linotype" w:hAnsi="Palatino Linotype"/>
                <w:sz w:val="24"/>
                <w:szCs w:val="24"/>
                <w:lang w:val="es-ES"/>
              </w:rPr>
            </w:pPr>
            <w:r w:rsidRPr="00CE424E">
              <w:rPr>
                <w:rFonts w:ascii="Palatino Linotype" w:hAnsi="Palatino Linotype"/>
                <w:sz w:val="24"/>
                <w:szCs w:val="24"/>
                <w:lang w:val="es-ES"/>
              </w:rPr>
              <w:lastRenderedPageBreak/>
              <w:t xml:space="preserve">2. Se me informe, el procedimiento que se lleva para que el Gobernador declare la terminación de la función notaria del un Fedatario Público en el Estado de México. </w:t>
            </w:r>
          </w:p>
        </w:tc>
        <w:tc>
          <w:tcPr>
            <w:tcW w:w="1880" w:type="dxa"/>
          </w:tcPr>
          <w:p w14:paraId="6B95EBB4" w14:textId="428868EB" w:rsidR="00303AB5" w:rsidRDefault="00303AB5"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t>Aludió que el procedimiento de atención a quejas en contra de Notarios Públicos, se encuentra previsto en el artículo 127 del Reglamento de la Ley del Notariado del Estado de México.</w:t>
            </w:r>
          </w:p>
        </w:tc>
        <w:tc>
          <w:tcPr>
            <w:tcW w:w="2126" w:type="dxa"/>
          </w:tcPr>
          <w:p w14:paraId="71803839" w14:textId="77777777" w:rsidR="00303AB5" w:rsidRDefault="00303AB5" w:rsidP="006A6A6C">
            <w:pPr>
              <w:spacing w:before="240" w:line="360" w:lineRule="auto"/>
              <w:jc w:val="both"/>
              <w:rPr>
                <w:rFonts w:ascii="Palatino Linotype" w:hAnsi="Palatino Linotype"/>
                <w:sz w:val="24"/>
                <w:szCs w:val="24"/>
                <w:lang w:val="es-ES"/>
              </w:rPr>
            </w:pPr>
          </w:p>
        </w:tc>
        <w:tc>
          <w:tcPr>
            <w:tcW w:w="2552" w:type="dxa"/>
          </w:tcPr>
          <w:p w14:paraId="111FCDFC" w14:textId="77777777" w:rsidR="00303AB5" w:rsidRDefault="00303AB5" w:rsidP="00AE063D">
            <w:pPr>
              <w:spacing w:before="240" w:line="360" w:lineRule="auto"/>
              <w:jc w:val="center"/>
              <w:rPr>
                <w:rFonts w:ascii="Palatino Linotype" w:hAnsi="Palatino Linotype"/>
                <w:sz w:val="24"/>
                <w:szCs w:val="24"/>
                <w:lang w:val="es-ES"/>
              </w:rPr>
            </w:pPr>
          </w:p>
        </w:tc>
        <w:tc>
          <w:tcPr>
            <w:tcW w:w="278" w:type="dxa"/>
          </w:tcPr>
          <w:p w14:paraId="4B25E012" w14:textId="676E64D9" w:rsidR="00303AB5" w:rsidRDefault="00303AB5" w:rsidP="00AE063D">
            <w:pPr>
              <w:spacing w:before="240" w:line="360" w:lineRule="auto"/>
              <w:jc w:val="center"/>
              <w:rPr>
                <w:rFonts w:ascii="Palatino Linotype" w:hAnsi="Palatino Linotype"/>
                <w:sz w:val="24"/>
                <w:szCs w:val="24"/>
                <w:lang w:val="es-ES"/>
              </w:rPr>
            </w:pPr>
          </w:p>
          <w:p w14:paraId="53924ED6" w14:textId="77777777" w:rsidR="00303AB5" w:rsidRDefault="00303AB5" w:rsidP="00AE063D">
            <w:pPr>
              <w:spacing w:before="240" w:line="360" w:lineRule="auto"/>
              <w:jc w:val="center"/>
              <w:rPr>
                <w:rFonts w:ascii="Palatino Linotype" w:hAnsi="Palatino Linotype"/>
                <w:sz w:val="24"/>
                <w:szCs w:val="24"/>
                <w:lang w:val="es-ES"/>
              </w:rPr>
            </w:pPr>
          </w:p>
          <w:p w14:paraId="77FFABFB" w14:textId="77777777" w:rsidR="00303AB5" w:rsidRDefault="00303AB5" w:rsidP="00AE063D">
            <w:pPr>
              <w:spacing w:before="240" w:line="360" w:lineRule="auto"/>
              <w:jc w:val="center"/>
              <w:rPr>
                <w:rFonts w:ascii="Palatino Linotype" w:hAnsi="Palatino Linotype"/>
                <w:sz w:val="24"/>
                <w:szCs w:val="24"/>
                <w:lang w:val="es-ES"/>
              </w:rPr>
            </w:pPr>
          </w:p>
          <w:p w14:paraId="5EF9C8D5" w14:textId="2675ADA0" w:rsidR="00303AB5" w:rsidRDefault="00303AB5" w:rsidP="00AE063D">
            <w:pPr>
              <w:spacing w:before="240" w:line="360" w:lineRule="auto"/>
              <w:jc w:val="center"/>
              <w:rPr>
                <w:rFonts w:ascii="Palatino Linotype" w:hAnsi="Palatino Linotype"/>
                <w:sz w:val="24"/>
                <w:szCs w:val="24"/>
                <w:lang w:val="es-ES"/>
              </w:rPr>
            </w:pPr>
            <w:r>
              <w:rPr>
                <w:rFonts w:ascii="Palatino Linotype" w:hAnsi="Palatino Linotype"/>
                <w:sz w:val="24"/>
                <w:szCs w:val="24"/>
                <w:lang w:val="es-ES"/>
              </w:rPr>
              <w:t>Si</w:t>
            </w:r>
          </w:p>
        </w:tc>
      </w:tr>
      <w:tr w:rsidR="00303AB5" w14:paraId="01D58E29" w14:textId="77777777" w:rsidTr="00303AB5">
        <w:tc>
          <w:tcPr>
            <w:tcW w:w="2226" w:type="dxa"/>
          </w:tcPr>
          <w:p w14:paraId="55AFA8BC" w14:textId="21C04D10" w:rsidR="00303AB5" w:rsidRDefault="00303AB5" w:rsidP="006A6A6C">
            <w:pPr>
              <w:spacing w:before="240" w:line="360" w:lineRule="auto"/>
              <w:jc w:val="both"/>
              <w:rPr>
                <w:rFonts w:ascii="Palatino Linotype" w:hAnsi="Palatino Linotype"/>
                <w:sz w:val="24"/>
                <w:szCs w:val="24"/>
                <w:lang w:val="es-ES"/>
              </w:rPr>
            </w:pPr>
            <w:r w:rsidRPr="00CE424E">
              <w:rPr>
                <w:rFonts w:ascii="Palatino Linotype" w:hAnsi="Palatino Linotype"/>
                <w:sz w:val="24"/>
                <w:szCs w:val="24"/>
                <w:lang w:val="es-ES"/>
              </w:rPr>
              <w:t xml:space="preserve">3. Se me remita en versión pública, </w:t>
            </w:r>
            <w:r w:rsidRPr="00CE424E">
              <w:rPr>
                <w:rFonts w:ascii="Palatino Linotype" w:hAnsi="Palatino Linotype"/>
                <w:sz w:val="24"/>
                <w:szCs w:val="24"/>
                <w:lang w:val="es-ES"/>
              </w:rPr>
              <w:lastRenderedPageBreak/>
              <w:t xml:space="preserve">aprobada por el Comité de Transparencia que corresponda, la resolución, falló y/o sentencia, por el cual el Gobernador determinó la terminación de la función notarial de René Cutberto Santín Quiroz, así como el documento que notificó de manera personal al referido dicho falló y/o acuerdo. </w:t>
            </w:r>
          </w:p>
        </w:tc>
        <w:tc>
          <w:tcPr>
            <w:tcW w:w="1880" w:type="dxa"/>
          </w:tcPr>
          <w:p w14:paraId="4EE9157A" w14:textId="73501200" w:rsidR="00303AB5" w:rsidRDefault="00303AB5" w:rsidP="0080557E">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Hizo del conocimiento que se </w:t>
            </w:r>
            <w:r>
              <w:rPr>
                <w:rFonts w:ascii="Palatino Linotype" w:hAnsi="Palatino Linotype"/>
                <w:sz w:val="24"/>
                <w:szCs w:val="24"/>
                <w:lang w:val="es-ES"/>
              </w:rPr>
              <w:lastRenderedPageBreak/>
              <w:t>clasificaba como reservada toda la información relacionada con el procedimiento administrativo de queja 31/2020, radicado ante esta autoridad, en donde se dictó la resolución solicitada, hasta en tanto quede firme esta ultima o por el periodo de 1 año.</w:t>
            </w:r>
          </w:p>
        </w:tc>
        <w:tc>
          <w:tcPr>
            <w:tcW w:w="2126" w:type="dxa"/>
          </w:tcPr>
          <w:p w14:paraId="5EE9D9B6" w14:textId="618BD6C6" w:rsidR="00303AB5" w:rsidRDefault="00303AB5"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Señalo que derivado de la carga de trabajo </w:t>
            </w:r>
            <w:r>
              <w:rPr>
                <w:rFonts w:ascii="Palatino Linotype" w:hAnsi="Palatino Linotype"/>
                <w:sz w:val="24"/>
                <w:szCs w:val="24"/>
                <w:lang w:val="es-ES"/>
              </w:rPr>
              <w:lastRenderedPageBreak/>
              <w:t xml:space="preserve">del Tribunal de Justicia Administrativa del Estado de México, la cual se ha incrementado como consecuencia de la pandemia de COVID-19, las notificaciones no se realizan dentro del termino indicado por el Código, situación que escapa del ámbito de esta autoridad administrativa; tan es así que la promoción del juicio fue notificada hasta </w:t>
            </w:r>
            <w:r>
              <w:rPr>
                <w:rFonts w:ascii="Palatino Linotype" w:hAnsi="Palatino Linotype"/>
                <w:sz w:val="24"/>
                <w:szCs w:val="24"/>
                <w:lang w:val="es-ES"/>
              </w:rPr>
              <w:lastRenderedPageBreak/>
              <w:t>el 10 de diciembre de 2020, por tanto, en aras de no conculcar derechos, se realizo la petición de reserva al Comité, pues no podía darse a conocer una resolución que aún no tenia firmeza y que a la fecha, conforme a las constancias que obran en autos, se encuentra en procedimiento.</w:t>
            </w:r>
          </w:p>
        </w:tc>
        <w:tc>
          <w:tcPr>
            <w:tcW w:w="2552" w:type="dxa"/>
          </w:tcPr>
          <w:p w14:paraId="5C352721" w14:textId="3119141C" w:rsidR="00303AB5" w:rsidRDefault="002B13D2"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Remitió</w:t>
            </w:r>
            <w:r w:rsidR="00293E51">
              <w:rPr>
                <w:rFonts w:ascii="Palatino Linotype" w:hAnsi="Palatino Linotype"/>
                <w:sz w:val="24"/>
                <w:szCs w:val="24"/>
                <w:lang w:val="es-ES"/>
              </w:rPr>
              <w:t xml:space="preserve"> copia del acuerdo </w:t>
            </w:r>
            <w:r>
              <w:rPr>
                <w:rFonts w:ascii="Palatino Linotype" w:hAnsi="Palatino Linotype"/>
                <w:sz w:val="24"/>
                <w:szCs w:val="24"/>
                <w:lang w:val="es-ES"/>
              </w:rPr>
              <w:t xml:space="preserve">de admisión a </w:t>
            </w:r>
            <w:r>
              <w:rPr>
                <w:rFonts w:ascii="Palatino Linotype" w:hAnsi="Palatino Linotype"/>
                <w:sz w:val="24"/>
                <w:szCs w:val="24"/>
                <w:lang w:val="es-ES"/>
              </w:rPr>
              <w:lastRenderedPageBreak/>
              <w:t>tramite de la demanda.</w:t>
            </w:r>
          </w:p>
        </w:tc>
        <w:tc>
          <w:tcPr>
            <w:tcW w:w="278" w:type="dxa"/>
          </w:tcPr>
          <w:p w14:paraId="4D04BC9D" w14:textId="0C2E02FC" w:rsidR="00303AB5" w:rsidRDefault="00303AB5" w:rsidP="006A6A6C">
            <w:pPr>
              <w:spacing w:before="240" w:line="360" w:lineRule="auto"/>
              <w:jc w:val="both"/>
              <w:rPr>
                <w:rFonts w:ascii="Palatino Linotype" w:hAnsi="Palatino Linotype"/>
                <w:sz w:val="24"/>
                <w:szCs w:val="24"/>
                <w:lang w:val="es-ES"/>
              </w:rPr>
            </w:pPr>
          </w:p>
          <w:p w14:paraId="1854289F" w14:textId="77777777" w:rsidR="00303AB5" w:rsidRDefault="00303AB5" w:rsidP="006A6A6C">
            <w:pPr>
              <w:spacing w:before="240" w:line="360" w:lineRule="auto"/>
              <w:jc w:val="both"/>
              <w:rPr>
                <w:rFonts w:ascii="Palatino Linotype" w:hAnsi="Palatino Linotype"/>
                <w:sz w:val="24"/>
                <w:szCs w:val="24"/>
                <w:lang w:val="es-ES"/>
              </w:rPr>
            </w:pPr>
          </w:p>
          <w:p w14:paraId="76A46CF8" w14:textId="77777777" w:rsidR="00303AB5" w:rsidRDefault="00303AB5" w:rsidP="006A6A6C">
            <w:pPr>
              <w:spacing w:before="240" w:line="360" w:lineRule="auto"/>
              <w:jc w:val="both"/>
              <w:rPr>
                <w:rFonts w:ascii="Palatino Linotype" w:hAnsi="Palatino Linotype"/>
                <w:sz w:val="24"/>
                <w:szCs w:val="24"/>
                <w:lang w:val="es-ES"/>
              </w:rPr>
            </w:pPr>
          </w:p>
          <w:p w14:paraId="0A1AE91F" w14:textId="77777777" w:rsidR="00303AB5" w:rsidRDefault="00303AB5" w:rsidP="006A6A6C">
            <w:pPr>
              <w:spacing w:before="240" w:line="360" w:lineRule="auto"/>
              <w:jc w:val="both"/>
              <w:rPr>
                <w:rFonts w:ascii="Palatino Linotype" w:hAnsi="Palatino Linotype"/>
                <w:sz w:val="24"/>
                <w:szCs w:val="24"/>
                <w:lang w:val="es-ES"/>
              </w:rPr>
            </w:pPr>
          </w:p>
          <w:p w14:paraId="2AC289C5" w14:textId="77777777" w:rsidR="00303AB5" w:rsidRDefault="00303AB5" w:rsidP="006A6A6C">
            <w:pPr>
              <w:spacing w:before="240" w:line="360" w:lineRule="auto"/>
              <w:jc w:val="both"/>
              <w:rPr>
                <w:rFonts w:ascii="Palatino Linotype" w:hAnsi="Palatino Linotype"/>
                <w:sz w:val="24"/>
                <w:szCs w:val="24"/>
                <w:lang w:val="es-ES"/>
              </w:rPr>
            </w:pPr>
          </w:p>
          <w:p w14:paraId="2950000E" w14:textId="77777777" w:rsidR="00303AB5" w:rsidRDefault="00303AB5" w:rsidP="006A6A6C">
            <w:pPr>
              <w:spacing w:before="240" w:line="360" w:lineRule="auto"/>
              <w:jc w:val="both"/>
              <w:rPr>
                <w:rFonts w:ascii="Palatino Linotype" w:hAnsi="Palatino Linotype"/>
                <w:sz w:val="24"/>
                <w:szCs w:val="24"/>
                <w:lang w:val="es-ES"/>
              </w:rPr>
            </w:pPr>
          </w:p>
          <w:p w14:paraId="4C5206A4" w14:textId="0B92AD44" w:rsidR="00303AB5" w:rsidRDefault="00303AB5" w:rsidP="00AE063D">
            <w:pPr>
              <w:spacing w:before="240" w:line="360" w:lineRule="auto"/>
              <w:jc w:val="center"/>
              <w:rPr>
                <w:rFonts w:ascii="Palatino Linotype" w:hAnsi="Palatino Linotype"/>
                <w:sz w:val="24"/>
                <w:szCs w:val="24"/>
                <w:lang w:val="es-ES"/>
              </w:rPr>
            </w:pPr>
            <w:r>
              <w:rPr>
                <w:rFonts w:ascii="Palatino Linotype" w:hAnsi="Palatino Linotype"/>
                <w:sz w:val="24"/>
                <w:szCs w:val="24"/>
                <w:lang w:val="es-ES"/>
              </w:rPr>
              <w:t>Si</w:t>
            </w:r>
          </w:p>
        </w:tc>
      </w:tr>
      <w:tr w:rsidR="00303AB5" w14:paraId="3833B895" w14:textId="77777777" w:rsidTr="00303AB5">
        <w:tc>
          <w:tcPr>
            <w:tcW w:w="2226" w:type="dxa"/>
          </w:tcPr>
          <w:p w14:paraId="748DC6C8" w14:textId="333CEC7E" w:rsidR="00303AB5" w:rsidRPr="00CE424E" w:rsidRDefault="00303AB5" w:rsidP="006A6A6C">
            <w:pPr>
              <w:spacing w:before="240" w:line="360" w:lineRule="auto"/>
              <w:jc w:val="both"/>
              <w:rPr>
                <w:rFonts w:ascii="Palatino Linotype" w:hAnsi="Palatino Linotype"/>
                <w:sz w:val="24"/>
                <w:szCs w:val="24"/>
                <w:lang w:val="es-ES"/>
              </w:rPr>
            </w:pPr>
            <w:r w:rsidRPr="00CE424E">
              <w:rPr>
                <w:rFonts w:ascii="Palatino Linotype" w:hAnsi="Palatino Linotype"/>
                <w:sz w:val="24"/>
                <w:szCs w:val="24"/>
                <w:lang w:val="es-ES"/>
              </w:rPr>
              <w:lastRenderedPageBreak/>
              <w:t xml:space="preserve">4. ¿Qué proceso o procedimiento </w:t>
            </w:r>
            <w:r w:rsidRPr="00CE424E">
              <w:rPr>
                <w:rFonts w:ascii="Palatino Linotype" w:hAnsi="Palatino Linotype"/>
                <w:sz w:val="24"/>
                <w:szCs w:val="24"/>
                <w:lang w:val="es-ES"/>
              </w:rPr>
              <w:lastRenderedPageBreak/>
              <w:t>tienen que colmar los empleados de dicha Notaría a efecto de que no queden en estado de indefensión por la terminación de la función notarial de René Cutberto Santín Quiroz?.</w:t>
            </w:r>
          </w:p>
        </w:tc>
        <w:tc>
          <w:tcPr>
            <w:tcW w:w="1880" w:type="dxa"/>
          </w:tcPr>
          <w:p w14:paraId="7E0FC9A2" w14:textId="4E135D5F" w:rsidR="00303AB5" w:rsidRDefault="00303AB5" w:rsidP="006A6A6C">
            <w:pPr>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Señalo que desconoce el </w:t>
            </w:r>
            <w:r>
              <w:rPr>
                <w:rFonts w:ascii="Palatino Linotype" w:hAnsi="Palatino Linotype"/>
                <w:sz w:val="24"/>
                <w:szCs w:val="24"/>
                <w:lang w:val="es-ES"/>
              </w:rPr>
              <w:lastRenderedPageBreak/>
              <w:t xml:space="preserve">procedimiento al que hace referencia, lo anterior toda vez que únicamente se encuentra facultada para supervisar el ejercicio de la función notarial, que ha sido otorgada al Lic. </w:t>
            </w:r>
            <w:r w:rsidRPr="00CE424E">
              <w:rPr>
                <w:rFonts w:ascii="Palatino Linotype" w:hAnsi="Palatino Linotype"/>
                <w:sz w:val="24"/>
                <w:szCs w:val="24"/>
                <w:lang w:val="es-ES"/>
              </w:rPr>
              <w:t>René Cutberto Santín Quiroz</w:t>
            </w:r>
            <w:r>
              <w:rPr>
                <w:rFonts w:ascii="Palatino Linotype" w:hAnsi="Palatino Linotype"/>
                <w:sz w:val="24"/>
                <w:szCs w:val="24"/>
                <w:lang w:val="es-ES"/>
              </w:rPr>
              <w:t xml:space="preserve">, conforme a lo dispuesto en la Ley del Notariado del Estado de México, no así de la relación laboral </w:t>
            </w:r>
            <w:r>
              <w:rPr>
                <w:rFonts w:ascii="Palatino Linotype" w:hAnsi="Palatino Linotype"/>
                <w:sz w:val="24"/>
                <w:szCs w:val="24"/>
                <w:lang w:val="es-ES"/>
              </w:rPr>
              <w:lastRenderedPageBreak/>
              <w:t>existente entre el anterior fedatario y su personal, en consecuencia esta autoridad se encuentra imposibilitada para proporcionar la información solicitada.</w:t>
            </w:r>
          </w:p>
        </w:tc>
        <w:tc>
          <w:tcPr>
            <w:tcW w:w="2126" w:type="dxa"/>
          </w:tcPr>
          <w:p w14:paraId="3EB74A1B" w14:textId="77777777" w:rsidR="00303AB5" w:rsidRDefault="00303AB5" w:rsidP="006A6A6C">
            <w:pPr>
              <w:spacing w:before="240" w:line="360" w:lineRule="auto"/>
              <w:jc w:val="both"/>
              <w:rPr>
                <w:rFonts w:ascii="Palatino Linotype" w:hAnsi="Palatino Linotype"/>
                <w:sz w:val="24"/>
                <w:szCs w:val="24"/>
                <w:lang w:val="es-ES"/>
              </w:rPr>
            </w:pPr>
          </w:p>
        </w:tc>
        <w:tc>
          <w:tcPr>
            <w:tcW w:w="2552" w:type="dxa"/>
          </w:tcPr>
          <w:p w14:paraId="55F4DF04" w14:textId="77777777" w:rsidR="00303AB5" w:rsidRDefault="00303AB5" w:rsidP="006A6A6C">
            <w:pPr>
              <w:spacing w:before="240" w:line="360" w:lineRule="auto"/>
              <w:jc w:val="both"/>
              <w:rPr>
                <w:rFonts w:ascii="Palatino Linotype" w:hAnsi="Palatino Linotype"/>
                <w:sz w:val="24"/>
                <w:szCs w:val="24"/>
                <w:lang w:val="es-ES"/>
              </w:rPr>
            </w:pPr>
          </w:p>
        </w:tc>
        <w:tc>
          <w:tcPr>
            <w:tcW w:w="278" w:type="dxa"/>
          </w:tcPr>
          <w:p w14:paraId="738E42D3" w14:textId="7E2B15EB" w:rsidR="00303AB5" w:rsidRDefault="00303AB5" w:rsidP="006A6A6C">
            <w:pPr>
              <w:spacing w:before="240" w:line="360" w:lineRule="auto"/>
              <w:jc w:val="both"/>
              <w:rPr>
                <w:rFonts w:ascii="Palatino Linotype" w:hAnsi="Palatino Linotype"/>
                <w:sz w:val="24"/>
                <w:szCs w:val="24"/>
                <w:lang w:val="es-ES"/>
              </w:rPr>
            </w:pPr>
          </w:p>
          <w:p w14:paraId="16549D23" w14:textId="77777777" w:rsidR="00303AB5" w:rsidRDefault="00303AB5" w:rsidP="006A6A6C">
            <w:pPr>
              <w:spacing w:before="240" w:line="360" w:lineRule="auto"/>
              <w:jc w:val="both"/>
              <w:rPr>
                <w:rFonts w:ascii="Palatino Linotype" w:hAnsi="Palatino Linotype"/>
                <w:sz w:val="24"/>
                <w:szCs w:val="24"/>
                <w:lang w:val="es-ES"/>
              </w:rPr>
            </w:pPr>
          </w:p>
          <w:p w14:paraId="40195EBD" w14:textId="77777777" w:rsidR="00303AB5" w:rsidRDefault="00303AB5" w:rsidP="006A6A6C">
            <w:pPr>
              <w:spacing w:before="240" w:line="360" w:lineRule="auto"/>
              <w:jc w:val="both"/>
              <w:rPr>
                <w:rFonts w:ascii="Palatino Linotype" w:hAnsi="Palatino Linotype"/>
                <w:sz w:val="24"/>
                <w:szCs w:val="24"/>
                <w:lang w:val="es-ES"/>
              </w:rPr>
            </w:pPr>
          </w:p>
          <w:p w14:paraId="43B1C3E8" w14:textId="77777777" w:rsidR="00303AB5" w:rsidRDefault="00303AB5" w:rsidP="006A6A6C">
            <w:pPr>
              <w:spacing w:before="240" w:line="360" w:lineRule="auto"/>
              <w:jc w:val="both"/>
              <w:rPr>
                <w:rFonts w:ascii="Palatino Linotype" w:hAnsi="Palatino Linotype"/>
                <w:sz w:val="24"/>
                <w:szCs w:val="24"/>
                <w:lang w:val="es-ES"/>
              </w:rPr>
            </w:pPr>
          </w:p>
          <w:p w14:paraId="6F747FBF" w14:textId="77777777" w:rsidR="00303AB5" w:rsidRDefault="00303AB5" w:rsidP="006A6A6C">
            <w:pPr>
              <w:spacing w:before="240" w:line="360" w:lineRule="auto"/>
              <w:jc w:val="both"/>
              <w:rPr>
                <w:rFonts w:ascii="Palatino Linotype" w:hAnsi="Palatino Linotype"/>
                <w:sz w:val="24"/>
                <w:szCs w:val="24"/>
                <w:lang w:val="es-ES"/>
              </w:rPr>
            </w:pPr>
          </w:p>
          <w:p w14:paraId="6B84531F" w14:textId="77777777" w:rsidR="00303AB5" w:rsidRDefault="00303AB5" w:rsidP="006A6A6C">
            <w:pPr>
              <w:spacing w:before="240" w:line="360" w:lineRule="auto"/>
              <w:jc w:val="both"/>
              <w:rPr>
                <w:rFonts w:ascii="Palatino Linotype" w:hAnsi="Palatino Linotype"/>
                <w:sz w:val="24"/>
                <w:szCs w:val="24"/>
                <w:lang w:val="es-ES"/>
              </w:rPr>
            </w:pPr>
          </w:p>
          <w:p w14:paraId="18A2CA33" w14:textId="6355BEC4" w:rsidR="00303AB5" w:rsidRDefault="00303AB5" w:rsidP="00AE063D">
            <w:pPr>
              <w:spacing w:before="240" w:line="360" w:lineRule="auto"/>
              <w:jc w:val="center"/>
              <w:rPr>
                <w:rFonts w:ascii="Palatino Linotype" w:hAnsi="Palatino Linotype"/>
                <w:sz w:val="24"/>
                <w:szCs w:val="24"/>
                <w:lang w:val="es-ES"/>
              </w:rPr>
            </w:pPr>
            <w:r>
              <w:rPr>
                <w:rFonts w:ascii="Palatino Linotype" w:hAnsi="Palatino Linotype"/>
                <w:sz w:val="24"/>
                <w:szCs w:val="24"/>
                <w:lang w:val="es-ES"/>
              </w:rPr>
              <w:t>Si</w:t>
            </w:r>
          </w:p>
        </w:tc>
      </w:tr>
    </w:tbl>
    <w:p w14:paraId="67C26F35" w14:textId="2A255568" w:rsidR="00AA04B9" w:rsidRDefault="00AA04B9" w:rsidP="00AA04B9">
      <w:pPr>
        <w:tabs>
          <w:tab w:val="left" w:pos="709"/>
        </w:tabs>
        <w:spacing w:before="240" w:after="240" w:line="360" w:lineRule="auto"/>
        <w:jc w:val="both"/>
        <w:rPr>
          <w:rFonts w:ascii="Palatino Linotype" w:hAnsi="Palatino Linotype"/>
          <w:sz w:val="24"/>
          <w:lang w:val="es-ES"/>
        </w:rPr>
      </w:pPr>
      <w:r>
        <w:rPr>
          <w:rFonts w:ascii="Palatino Linotype" w:hAnsi="Palatino Linotype"/>
          <w:sz w:val="24"/>
          <w:lang w:val="es-ES"/>
        </w:rPr>
        <w:lastRenderedPageBreak/>
        <w:t>De tal suerte, como se desprende del cuadro el sujeto obligado remitió mediante informe justificado la información faltante respecto de los puntos 1, 2 y 3, por lo que se entiende que ya satisfizo los requerimientos vertidos por el particular en su solicitud de información y por ende lo procedente es sobreseer el recurso de revisión.</w:t>
      </w:r>
    </w:p>
    <w:p w14:paraId="754A4B73" w14:textId="70491251" w:rsidR="002B13D2" w:rsidRDefault="002B13D2" w:rsidP="00AA04B9">
      <w:pPr>
        <w:tabs>
          <w:tab w:val="left" w:pos="709"/>
        </w:tabs>
        <w:spacing w:before="240" w:after="240" w:line="360" w:lineRule="auto"/>
        <w:jc w:val="both"/>
        <w:rPr>
          <w:rFonts w:ascii="Palatino Linotype" w:hAnsi="Palatino Linotype"/>
          <w:sz w:val="24"/>
          <w:lang w:val="es-ES"/>
        </w:rPr>
      </w:pPr>
      <w:r>
        <w:rPr>
          <w:rFonts w:ascii="Palatino Linotype" w:hAnsi="Palatino Linotype"/>
          <w:sz w:val="24"/>
          <w:lang w:val="es-ES"/>
        </w:rPr>
        <w:t>Asimismo, mediante alcance al informe justificado, se remitió lo siguiente:</w:t>
      </w:r>
    </w:p>
    <w:p w14:paraId="54BA59E3" w14:textId="7D6117D2" w:rsidR="002B13D2" w:rsidRDefault="002B13D2" w:rsidP="00AA04B9">
      <w:pPr>
        <w:tabs>
          <w:tab w:val="left" w:pos="709"/>
        </w:tabs>
        <w:spacing w:before="240" w:after="240" w:line="360" w:lineRule="auto"/>
        <w:jc w:val="both"/>
        <w:rPr>
          <w:rFonts w:ascii="Palatino Linotype" w:hAnsi="Palatino Linotype"/>
          <w:sz w:val="24"/>
          <w:lang w:val="es-ES"/>
        </w:rPr>
      </w:pPr>
      <w:r w:rsidRPr="002B13D2">
        <w:rPr>
          <w:rFonts w:ascii="Palatino Linotype" w:hAnsi="Palatino Linotype"/>
          <w:noProof/>
          <w:sz w:val="24"/>
          <w:lang w:eastAsia="es-MX"/>
        </w:rPr>
        <w:lastRenderedPageBreak/>
        <w:drawing>
          <wp:inline distT="0" distB="0" distL="0" distR="0" wp14:anchorId="588183A5" wp14:editId="6F152352">
            <wp:extent cx="5760720" cy="3159659"/>
            <wp:effectExtent l="0" t="0" r="508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2491" cy="3160630"/>
                    </a:xfrm>
                    <a:prstGeom prst="rect">
                      <a:avLst/>
                    </a:prstGeom>
                  </pic:spPr>
                </pic:pic>
              </a:graphicData>
            </a:graphic>
          </wp:inline>
        </w:drawing>
      </w:r>
    </w:p>
    <w:p w14:paraId="10DBC6C2" w14:textId="2CF47930" w:rsidR="002B13D2" w:rsidRDefault="002B13D2" w:rsidP="00AA04B9">
      <w:pPr>
        <w:tabs>
          <w:tab w:val="left" w:pos="709"/>
        </w:tabs>
        <w:spacing w:before="240" w:after="240" w:line="360" w:lineRule="auto"/>
        <w:jc w:val="both"/>
        <w:rPr>
          <w:rFonts w:ascii="Palatino Linotype" w:hAnsi="Palatino Linotype"/>
          <w:sz w:val="24"/>
          <w:lang w:val="es-ES"/>
        </w:rPr>
      </w:pPr>
      <w:r w:rsidRPr="002B13D2">
        <w:rPr>
          <w:rFonts w:ascii="Palatino Linotype" w:hAnsi="Palatino Linotype"/>
          <w:noProof/>
          <w:sz w:val="24"/>
          <w:lang w:eastAsia="es-MX"/>
        </w:rPr>
        <w:drawing>
          <wp:inline distT="0" distB="0" distL="0" distR="0" wp14:anchorId="39D9E0F5" wp14:editId="132E514C">
            <wp:extent cx="5760720" cy="3363595"/>
            <wp:effectExtent l="0" t="0" r="508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63595"/>
                    </a:xfrm>
                    <a:prstGeom prst="rect">
                      <a:avLst/>
                    </a:prstGeom>
                  </pic:spPr>
                </pic:pic>
              </a:graphicData>
            </a:graphic>
          </wp:inline>
        </w:drawing>
      </w:r>
    </w:p>
    <w:p w14:paraId="649BD5F8" w14:textId="18F8F7B4" w:rsidR="002B13D2" w:rsidRDefault="002B13D2" w:rsidP="00AA04B9">
      <w:pPr>
        <w:tabs>
          <w:tab w:val="left" w:pos="709"/>
        </w:tabs>
        <w:spacing w:before="240" w:after="240" w:line="360" w:lineRule="auto"/>
        <w:jc w:val="both"/>
        <w:rPr>
          <w:rFonts w:ascii="Palatino Linotype" w:hAnsi="Palatino Linotype"/>
          <w:sz w:val="24"/>
          <w:lang w:val="es-ES"/>
        </w:rPr>
      </w:pPr>
      <w:r w:rsidRPr="002B13D2">
        <w:rPr>
          <w:rFonts w:ascii="Palatino Linotype" w:hAnsi="Palatino Linotype"/>
          <w:noProof/>
          <w:sz w:val="24"/>
          <w:lang w:eastAsia="es-MX"/>
        </w:rPr>
        <w:lastRenderedPageBreak/>
        <w:drawing>
          <wp:inline distT="0" distB="0" distL="0" distR="0" wp14:anchorId="14C5BED4" wp14:editId="24B473A4">
            <wp:extent cx="5760720" cy="3847722"/>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6696" cy="3851713"/>
                    </a:xfrm>
                    <a:prstGeom prst="rect">
                      <a:avLst/>
                    </a:prstGeom>
                  </pic:spPr>
                </pic:pic>
              </a:graphicData>
            </a:graphic>
          </wp:inline>
        </w:drawing>
      </w:r>
    </w:p>
    <w:p w14:paraId="2243720F" w14:textId="52637D9A" w:rsidR="002B13D2" w:rsidRDefault="002B13D2" w:rsidP="00AA04B9">
      <w:pPr>
        <w:tabs>
          <w:tab w:val="left" w:pos="709"/>
        </w:tabs>
        <w:spacing w:before="240" w:after="240" w:line="360" w:lineRule="auto"/>
        <w:jc w:val="both"/>
        <w:rPr>
          <w:rFonts w:ascii="Palatino Linotype" w:hAnsi="Palatino Linotype"/>
          <w:sz w:val="24"/>
          <w:lang w:val="es-ES"/>
        </w:rPr>
      </w:pPr>
      <w:r w:rsidRPr="002B13D2">
        <w:rPr>
          <w:rFonts w:ascii="Palatino Linotype" w:hAnsi="Palatino Linotype"/>
          <w:noProof/>
          <w:sz w:val="24"/>
          <w:lang w:eastAsia="es-MX"/>
        </w:rPr>
        <w:drawing>
          <wp:inline distT="0" distB="0" distL="0" distR="0" wp14:anchorId="4DD65164" wp14:editId="219F753B">
            <wp:extent cx="5760720" cy="2652395"/>
            <wp:effectExtent l="0" t="0" r="508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52395"/>
                    </a:xfrm>
                    <a:prstGeom prst="rect">
                      <a:avLst/>
                    </a:prstGeom>
                  </pic:spPr>
                </pic:pic>
              </a:graphicData>
            </a:graphic>
          </wp:inline>
        </w:drawing>
      </w:r>
    </w:p>
    <w:p w14:paraId="7B680DAD" w14:textId="713A61AF" w:rsidR="00A153E0" w:rsidRPr="001708B9" w:rsidRDefault="00A153E0" w:rsidP="00AA04B9">
      <w:pPr>
        <w:tabs>
          <w:tab w:val="left" w:pos="709"/>
        </w:tabs>
        <w:spacing w:before="240" w:after="240" w:line="360" w:lineRule="auto"/>
        <w:jc w:val="both"/>
        <w:rPr>
          <w:rFonts w:ascii="Palatino Linotype" w:hAnsi="Palatino Linotype"/>
          <w:color w:val="000000"/>
          <w:sz w:val="24"/>
          <w:szCs w:val="24"/>
          <w:lang w:val="es-ES"/>
        </w:rPr>
      </w:pPr>
      <w:r w:rsidRPr="001708B9">
        <w:rPr>
          <w:rFonts w:ascii="Palatino Linotype" w:hAnsi="Palatino Linotype"/>
          <w:sz w:val="24"/>
          <w:lang w:val="es-ES"/>
        </w:rPr>
        <w:lastRenderedPageBreak/>
        <w:t xml:space="preserve">Es insoslayable señalar que este Órgano Garante no puede pronunciarse sobre la veracidad de dicha información máxime que al momento en que se pone a disposición para su consulta, se presume que esta es veraz, tan es así que queda registrada en el Sistema de Acceso a Información Mexiquense </w:t>
      </w:r>
      <w:r w:rsidRPr="001708B9">
        <w:rPr>
          <w:rFonts w:ascii="Palatino Linotype" w:hAnsi="Palatino Linotype"/>
          <w:color w:val="000000"/>
          <w:sz w:val="24"/>
          <w:szCs w:val="24"/>
          <w:lang w:val="es-ES"/>
        </w:rPr>
        <w:t>y los alcances del recurso de revisión que contempla la Ley vigente de la materia tiene fines y alcances diversos, no contemplando en la procedibilidad del mismo la veracidad de la información.</w:t>
      </w:r>
    </w:p>
    <w:p w14:paraId="61E19078" w14:textId="77777777" w:rsidR="00A153E0" w:rsidRPr="001708B9" w:rsidRDefault="00A153E0" w:rsidP="00A153E0">
      <w:pPr>
        <w:pStyle w:val="Default"/>
        <w:spacing w:before="240" w:after="360" w:line="360" w:lineRule="auto"/>
        <w:jc w:val="both"/>
        <w:rPr>
          <w:rFonts w:ascii="Palatino Linotype" w:hAnsi="Palatino Linotype"/>
          <w:lang w:val="es-ES"/>
        </w:rPr>
      </w:pPr>
      <w:r w:rsidRPr="001708B9">
        <w:rPr>
          <w:rFonts w:ascii="Palatino Linotype" w:hAnsi="Palatino Linotype"/>
          <w:lang w:val="es-ES"/>
        </w:rPr>
        <w:t>Sirviendo de apoyo a lo anterior por analogía, el criterio 31-10 emitido por el ahora Instituto Nacional de Transparencia, Acceso a la Información y Protección de Datos Personales, que a la letra dice:</w:t>
      </w:r>
    </w:p>
    <w:p w14:paraId="7650C57E" w14:textId="2845869A" w:rsidR="00356CFE" w:rsidRPr="001708B9" w:rsidRDefault="00A153E0" w:rsidP="001708B9">
      <w:pPr>
        <w:pStyle w:val="Default"/>
        <w:spacing w:before="240" w:after="360" w:line="360" w:lineRule="auto"/>
        <w:ind w:left="851" w:right="850"/>
        <w:jc w:val="both"/>
        <w:rPr>
          <w:rFonts w:ascii="Palatino Linotype" w:hAnsi="Palatino Linotype"/>
          <w:i/>
          <w:sz w:val="22"/>
          <w:szCs w:val="20"/>
          <w:lang w:val="es-ES"/>
        </w:rPr>
      </w:pPr>
      <w:r w:rsidRPr="001708B9">
        <w:rPr>
          <w:rFonts w:ascii="Palatino Linotype" w:hAnsi="Palatino Linotype"/>
          <w:i/>
          <w:sz w:val="22"/>
          <w:szCs w:val="20"/>
          <w:lang w:val="es-ES"/>
        </w:rPr>
        <w:t xml:space="preserve">“El Instituto Federal de Acceso a la Información y Protección de Datos </w:t>
      </w:r>
      <w:r w:rsidRPr="001708B9">
        <w:rPr>
          <w:rFonts w:ascii="Palatino Linotype" w:hAnsi="Palatino Linotype"/>
          <w:b/>
          <w:i/>
          <w:sz w:val="22"/>
          <w:szCs w:val="20"/>
          <w:lang w:val="es-ES"/>
        </w:rPr>
        <w:t>no cuenta con facultades para pronunciarse respecto de la veracidad de los documentos proporcionados por los sujetos obligados.</w:t>
      </w:r>
      <w:r w:rsidRPr="001708B9">
        <w:rPr>
          <w:rFonts w:ascii="Palatino Linotype" w:hAnsi="Palatino Linotype"/>
          <w:i/>
          <w:sz w:val="22"/>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FB6620" w14:textId="77777777" w:rsidR="00DE404C" w:rsidRPr="001708B9" w:rsidRDefault="00DE404C" w:rsidP="00DE404C">
      <w:pPr>
        <w:spacing w:before="240" w:line="360" w:lineRule="auto"/>
        <w:jc w:val="both"/>
        <w:rPr>
          <w:rFonts w:ascii="Palatino Linotype" w:hAnsi="Palatino Linotype"/>
          <w:sz w:val="24"/>
          <w:lang w:val="es-ES"/>
        </w:rPr>
      </w:pPr>
      <w:r w:rsidRPr="001708B9">
        <w:rPr>
          <w:rFonts w:ascii="Palatino Linotype" w:hAnsi="Palatino Linotype"/>
          <w:sz w:val="24"/>
          <w:lang w:val="es-ES"/>
        </w:rPr>
        <w:lastRenderedPageBreak/>
        <w:t>Atento a lo anterior, se denota a todas luces que el sujeto obligado modifico su respuesta primigenia, cumpliendo cabalmente con todos los requerimientos vertidos por el impetrante de derechos, motivo por el cual lo procedente es sobreseer el presente medio de impugnación.</w:t>
      </w:r>
    </w:p>
    <w:p w14:paraId="1E89A59B" w14:textId="77777777" w:rsidR="00DE404C" w:rsidRPr="001708B9" w:rsidRDefault="00DE404C" w:rsidP="00DE404C">
      <w:pPr>
        <w:spacing w:before="240" w:line="360" w:lineRule="auto"/>
        <w:jc w:val="both"/>
        <w:rPr>
          <w:rFonts w:ascii="Palatino Linotype" w:hAnsi="Palatino Linotype" w:cs="Arial"/>
          <w:sz w:val="24"/>
          <w:lang w:val="es-ES"/>
        </w:rPr>
      </w:pPr>
      <w:r w:rsidRPr="001708B9">
        <w:rPr>
          <w:rFonts w:ascii="Palatino Linotype" w:hAnsi="Palatino Linotype"/>
          <w:sz w:val="24"/>
          <w:lang w:val="es-ES"/>
        </w:rPr>
        <w:t>Así, de conformidad con lo establecido en el artículo 12 de la Ley de Transparencia y Acceso a la Información Pública del Estado de México y Municipios, EL SUJETO OBLIGADO sólo proporcionará la información que obra en sus archivos, lo que a</w:t>
      </w:r>
      <w:r w:rsidRPr="001708B9">
        <w:rPr>
          <w:rFonts w:ascii="Palatino Linotype" w:hAnsi="Palatino Linotype"/>
          <w:i/>
          <w:sz w:val="24"/>
          <w:lang w:val="es-ES"/>
        </w:rPr>
        <w:t xml:space="preserve"> contrario sensu</w:t>
      </w:r>
      <w:r w:rsidRPr="001708B9">
        <w:rPr>
          <w:rFonts w:ascii="Palatino Linotype" w:hAnsi="Palatino Linotype"/>
          <w:sz w:val="24"/>
          <w:lang w:val="es-ES"/>
        </w:rPr>
        <w:t xml:space="preserve"> significa que no se está obligado a proporcionar lo que no obre en los mismos; </w:t>
      </w:r>
      <w:r w:rsidRPr="001708B9">
        <w:rPr>
          <w:rFonts w:ascii="Palatino Linotype" w:hAnsi="Palatino Linotype" w:cs="Arial"/>
          <w:sz w:val="24"/>
          <w:lang w:val="es-ES"/>
        </w:rPr>
        <w:t>ello con relación al artículo 143 de la Constitución Política del Estado Libre y Soberano de México, pues las autoridades sólo están facultadas para realizar lo que expresamente les faculta la Ley u ordenamientos jurídicos.</w:t>
      </w:r>
    </w:p>
    <w:p w14:paraId="21A2E5D4" w14:textId="77777777" w:rsidR="00DE404C" w:rsidRPr="001708B9" w:rsidRDefault="00DE404C" w:rsidP="00DE404C">
      <w:pPr>
        <w:tabs>
          <w:tab w:val="left" w:pos="709"/>
        </w:tabs>
        <w:spacing w:before="240" w:line="360" w:lineRule="auto"/>
        <w:ind w:right="51"/>
        <w:jc w:val="both"/>
        <w:rPr>
          <w:rFonts w:ascii="Palatino Linotype" w:hAnsi="Palatino Linotype"/>
          <w:sz w:val="24"/>
          <w:szCs w:val="24"/>
          <w:lang w:val="es-ES"/>
        </w:rPr>
      </w:pPr>
      <w:r w:rsidRPr="001708B9">
        <w:rPr>
          <w:rFonts w:ascii="Palatino Linotype" w:hAnsi="Palatino Linotype" w:cs="Arial"/>
          <w:sz w:val="24"/>
          <w:lang w:val="es-ES"/>
        </w:rPr>
        <w:t xml:space="preserve">Por último, atento a que el sujeto obligado ya realizo pronunciamiento, se aprecia que modifico su respuesta inicial, por lo que se entiende para este órgano garante </w:t>
      </w:r>
      <w:r w:rsidRPr="001708B9">
        <w:rPr>
          <w:rFonts w:ascii="Palatino Linotype" w:hAnsi="Palatino Linotype"/>
          <w:sz w:val="24"/>
          <w:szCs w:val="24"/>
          <w:lang w:val="es-ES"/>
        </w:rPr>
        <w:t>que ya satisfizo el derecho accionado por la parte solicitante.</w:t>
      </w:r>
    </w:p>
    <w:p w14:paraId="0157CA8A" w14:textId="77777777" w:rsidR="00DE404C" w:rsidRPr="001708B9" w:rsidRDefault="00DE404C" w:rsidP="00DE404C">
      <w:pPr>
        <w:autoSpaceDE w:val="0"/>
        <w:autoSpaceDN w:val="0"/>
        <w:adjustRightInd w:val="0"/>
        <w:spacing w:before="240" w:line="360" w:lineRule="auto"/>
        <w:jc w:val="both"/>
        <w:rPr>
          <w:rFonts w:ascii="Palatino Linotype" w:eastAsia="Calibri" w:hAnsi="Palatino Linotype" w:cs="Times New Roman"/>
          <w:sz w:val="24"/>
          <w:lang w:val="es-ES"/>
        </w:rPr>
      </w:pPr>
      <w:r w:rsidRPr="001708B9">
        <w:rPr>
          <w:rFonts w:ascii="Palatino Linotype" w:eastAsia="Calibri" w:hAnsi="Palatino Linotype" w:cs="Times New Roman"/>
          <w:sz w:val="24"/>
          <w:lang w:val="es-ES"/>
        </w:rPr>
        <w:t xml:space="preserve">Finalmente podemos concluir que las manifestaciones vertidas por el sujeto obligado resultan fundadas, atendiendo a las consideraciones de hecho y de derecho precisadas en líneas anteriores, en ese sentido se </w:t>
      </w:r>
      <w:r w:rsidRPr="001708B9">
        <w:rPr>
          <w:rFonts w:ascii="Palatino Linotype" w:hAnsi="Palatino Linotype" w:cs="Arial"/>
          <w:sz w:val="24"/>
          <w:lang w:val="es-ES"/>
        </w:rPr>
        <w:t>actualiza lo consagrado en la fracción III del artículo 192, de la Ley de Transparencia y Acceso a la Información Pública del Estado de México y Municipios vigente, que a la letra señala:</w:t>
      </w:r>
    </w:p>
    <w:p w14:paraId="2001BF6A" w14:textId="77777777" w:rsidR="00DE404C" w:rsidRPr="001708B9" w:rsidRDefault="00DE404C" w:rsidP="00DE404C">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1708B9">
        <w:rPr>
          <w:rFonts w:ascii="Palatino Linotype" w:hAnsi="Palatino Linotype" w:cs="Arial"/>
          <w:b/>
          <w:bCs/>
          <w:i/>
          <w:sz w:val="22"/>
          <w:szCs w:val="22"/>
        </w:rPr>
        <w:t xml:space="preserve">“Artículo 192. </w:t>
      </w:r>
      <w:r w:rsidRPr="001708B9">
        <w:rPr>
          <w:rFonts w:ascii="Palatino Linotype" w:hAnsi="Palatino Linotype" w:cs="Arial"/>
          <w:i/>
          <w:sz w:val="22"/>
          <w:szCs w:val="22"/>
        </w:rPr>
        <w:t>El recurso será sobreseído, en todo o en parte, cuando una vez admitido, se actualicen alguno de los siguientes supuestos:</w:t>
      </w:r>
    </w:p>
    <w:p w14:paraId="7E191095" w14:textId="77777777" w:rsidR="00DE404C" w:rsidRPr="001708B9" w:rsidRDefault="00DE404C" w:rsidP="00DE404C">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 </w:t>
      </w:r>
      <w:r w:rsidRPr="001708B9">
        <w:rPr>
          <w:rFonts w:ascii="Palatino Linotype" w:hAnsi="Palatino Linotype" w:cs="Arial"/>
          <w:i/>
          <w:lang w:val="es-ES"/>
        </w:rPr>
        <w:t>El recurrente se desista expresamente del recurso;</w:t>
      </w:r>
    </w:p>
    <w:p w14:paraId="229E2FFC" w14:textId="77777777" w:rsidR="00DE404C" w:rsidRPr="001708B9" w:rsidRDefault="00DE404C" w:rsidP="00DE404C">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lastRenderedPageBreak/>
        <w:t xml:space="preserve">II. </w:t>
      </w:r>
      <w:r w:rsidRPr="001708B9">
        <w:rPr>
          <w:rFonts w:ascii="Palatino Linotype" w:hAnsi="Palatino Linotype" w:cs="Arial"/>
          <w:i/>
          <w:lang w:val="es-ES"/>
        </w:rPr>
        <w:t>El recurrente fallezca o, tratándose de personas jurídicas colectivas, se disuelva;</w:t>
      </w:r>
    </w:p>
    <w:p w14:paraId="29A39E8E" w14:textId="77777777" w:rsidR="00DE404C" w:rsidRPr="001708B9" w:rsidRDefault="00DE404C" w:rsidP="00DE404C">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III. </w:t>
      </w:r>
      <w:r w:rsidRPr="001708B9">
        <w:rPr>
          <w:rFonts w:ascii="Palatino Linotype" w:hAnsi="Palatino Linotype" w:cs="Arial"/>
          <w:i/>
          <w:u w:val="single"/>
          <w:lang w:val="es-ES"/>
        </w:rPr>
        <w:t xml:space="preserve">El sujeto obligado responsable del acto lo </w:t>
      </w:r>
      <w:r w:rsidRPr="001708B9">
        <w:rPr>
          <w:rFonts w:ascii="Palatino Linotype" w:hAnsi="Palatino Linotype" w:cs="Arial"/>
          <w:b/>
          <w:i/>
          <w:u w:val="single"/>
          <w:lang w:val="es-ES"/>
        </w:rPr>
        <w:t>modifique</w:t>
      </w:r>
      <w:r w:rsidRPr="001708B9">
        <w:rPr>
          <w:rFonts w:ascii="Palatino Linotype" w:hAnsi="Palatino Linotype" w:cs="Arial"/>
          <w:i/>
          <w:u w:val="single"/>
          <w:lang w:val="es-ES"/>
        </w:rPr>
        <w:t xml:space="preserve"> o revoque de tal manera que el recurso de revisión quede sin materia;</w:t>
      </w:r>
    </w:p>
    <w:p w14:paraId="0506766C" w14:textId="77777777" w:rsidR="00DE404C" w:rsidRPr="001708B9" w:rsidRDefault="00DE404C" w:rsidP="00DE404C">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IV. </w:t>
      </w:r>
      <w:r w:rsidRPr="001708B9">
        <w:rPr>
          <w:rFonts w:ascii="Palatino Linotype" w:hAnsi="Palatino Linotype" w:cs="Arial"/>
          <w:i/>
          <w:lang w:val="es-ES"/>
        </w:rPr>
        <w:t>Admitido el recurso de revisión, aparezca alguna causal de improcedencia en los términos de la presente Ley; y</w:t>
      </w:r>
    </w:p>
    <w:p w14:paraId="63F9AFA0" w14:textId="77777777" w:rsidR="00DE404C" w:rsidRPr="001708B9" w:rsidRDefault="00DE404C" w:rsidP="00DE404C">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1708B9">
        <w:rPr>
          <w:rFonts w:ascii="Palatino Linotype" w:hAnsi="Palatino Linotype" w:cs="Arial"/>
          <w:b/>
          <w:bCs/>
          <w:i/>
          <w:sz w:val="22"/>
          <w:szCs w:val="22"/>
        </w:rPr>
        <w:t>V</w:t>
      </w:r>
      <w:r w:rsidRPr="001708B9">
        <w:rPr>
          <w:rFonts w:ascii="Palatino Linotype" w:hAnsi="Palatino Linotype" w:cs="Arial"/>
          <w:bCs/>
          <w:i/>
          <w:sz w:val="22"/>
          <w:szCs w:val="22"/>
        </w:rPr>
        <w:t xml:space="preserve">. </w:t>
      </w:r>
      <w:r w:rsidRPr="001708B9">
        <w:rPr>
          <w:rFonts w:ascii="Palatino Linotype" w:hAnsi="Palatino Linotype" w:cs="Arial"/>
          <w:i/>
          <w:sz w:val="22"/>
          <w:szCs w:val="22"/>
        </w:rPr>
        <w:t>Cuando por cualquier motivo quede sin materia el recurso.</w:t>
      </w:r>
    </w:p>
    <w:p w14:paraId="7CD37546" w14:textId="77777777" w:rsidR="00DE404C" w:rsidRPr="001708B9" w:rsidRDefault="00DE404C" w:rsidP="00DE404C">
      <w:pPr>
        <w:spacing w:before="240" w:line="360" w:lineRule="auto"/>
        <w:jc w:val="both"/>
        <w:rPr>
          <w:rFonts w:ascii="Palatino Linotype" w:eastAsia="Batang" w:hAnsi="Palatino Linotype" w:cs="Arial"/>
          <w:lang w:val="es-ES"/>
        </w:rPr>
      </w:pPr>
      <w:r w:rsidRPr="001708B9">
        <w:rPr>
          <w:rFonts w:ascii="Palatino Linotype" w:hAnsi="Palatino Linotype"/>
          <w:sz w:val="24"/>
          <w:lang w:val="es-ES"/>
        </w:rPr>
        <w:t xml:space="preserve">Artículo que establece en su fracción </w:t>
      </w:r>
      <w:r w:rsidRPr="001708B9">
        <w:rPr>
          <w:rFonts w:ascii="Palatino Linotype" w:hAnsi="Palatino Linotype" w:cs="Arial"/>
          <w:sz w:val="24"/>
          <w:lang w:val="es-ES"/>
        </w:rPr>
        <w:t xml:space="preserve">III del artículo 192 </w:t>
      </w:r>
      <w:r w:rsidRPr="001708B9">
        <w:rPr>
          <w:rFonts w:ascii="Palatino Linotype" w:eastAsia="Batang" w:hAnsi="Palatino Linotype" w:cs="Arial"/>
          <w:sz w:val="24"/>
          <w:lang w:val="es-ES"/>
        </w:rPr>
        <w:t>de la Ley de Transparencia y Acceso a la Información Pública del Estado de México y Municipios, la procedencia para sobreseer el recurso de revisión cuando el sujeto obligado mediante un acto posterior, revoque o modifique el acto de origen del recurso de tal manera que se quede sin materia.</w:t>
      </w:r>
    </w:p>
    <w:p w14:paraId="5746EAB3" w14:textId="77777777" w:rsidR="00DE404C" w:rsidRPr="001708B9" w:rsidRDefault="00DE404C" w:rsidP="00DE404C">
      <w:pPr>
        <w:spacing w:before="240" w:line="360" w:lineRule="auto"/>
        <w:jc w:val="both"/>
        <w:rPr>
          <w:rFonts w:ascii="Palatino Linotype" w:eastAsia="Batang" w:hAnsi="Palatino Linotype" w:cs="Arial"/>
          <w:sz w:val="24"/>
          <w:lang w:val="es-ES"/>
        </w:rPr>
      </w:pPr>
      <w:r w:rsidRPr="001708B9">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6A6C0FF" w14:textId="77777777" w:rsidR="00DE404C" w:rsidRPr="001708B9" w:rsidRDefault="00DE404C" w:rsidP="00DE404C">
      <w:pPr>
        <w:pStyle w:val="Prrafodelista"/>
        <w:autoSpaceDE w:val="0"/>
        <w:autoSpaceDN w:val="0"/>
        <w:adjustRightInd w:val="0"/>
        <w:spacing w:line="360" w:lineRule="auto"/>
        <w:ind w:left="567" w:right="567"/>
        <w:jc w:val="both"/>
        <w:rPr>
          <w:rFonts w:ascii="Palatino Linotype" w:eastAsia="Batang" w:hAnsi="Palatino Linotype" w:cs="Arial"/>
          <w:b/>
          <w:i/>
          <w:sz w:val="22"/>
          <w:szCs w:val="22"/>
        </w:rPr>
      </w:pPr>
      <w:r w:rsidRPr="001708B9">
        <w:rPr>
          <w:rFonts w:ascii="Palatino Linotype" w:eastAsia="Batang" w:hAnsi="Palatino Linotype" w:cs="Arial"/>
          <w:b/>
          <w:i/>
          <w:sz w:val="22"/>
          <w:szCs w:val="22"/>
        </w:rPr>
        <w:t>SOBRESEIMIENTO EN EL JUICIO DE AMPARO DIRECTO. IMPIDE EL ESTUDIO DE LAS VIOLACIONES PROCESALES PLANTEADAS EN LOS CONCEPTOS DE VIOLACIÓN.</w:t>
      </w:r>
    </w:p>
    <w:p w14:paraId="5646ED06" w14:textId="77777777" w:rsidR="00DE404C" w:rsidRPr="001708B9" w:rsidRDefault="00DE404C" w:rsidP="00DE404C">
      <w:pPr>
        <w:pStyle w:val="Prrafodelista"/>
        <w:autoSpaceDE w:val="0"/>
        <w:autoSpaceDN w:val="0"/>
        <w:adjustRightInd w:val="0"/>
        <w:spacing w:line="360" w:lineRule="auto"/>
        <w:ind w:left="567" w:right="567"/>
        <w:jc w:val="both"/>
        <w:rPr>
          <w:rFonts w:ascii="Palatino Linotype" w:eastAsia="Batang" w:hAnsi="Palatino Linotype" w:cs="Arial"/>
          <w:i/>
          <w:sz w:val="22"/>
          <w:szCs w:val="22"/>
        </w:rPr>
      </w:pPr>
      <w:r w:rsidRPr="001708B9">
        <w:rPr>
          <w:rFonts w:ascii="Palatino Linotype" w:eastAsia="Batang" w:hAnsi="Palatino Linotype" w:cs="Arial"/>
          <w:b/>
          <w:i/>
          <w:sz w:val="22"/>
          <w:szCs w:val="22"/>
        </w:rPr>
        <w:t>El sobreseimiento</w:t>
      </w:r>
      <w:r w:rsidRPr="001708B9">
        <w:rPr>
          <w:rFonts w:ascii="Palatino Linotype" w:eastAsia="Batang" w:hAnsi="Palatino Linotype" w:cs="Arial"/>
          <w:i/>
          <w:sz w:val="22"/>
          <w:szCs w:val="22"/>
        </w:rPr>
        <w:t xml:space="preserve"> en el juicio de amparo directo </w:t>
      </w:r>
      <w:r w:rsidRPr="001708B9">
        <w:rPr>
          <w:rFonts w:ascii="Palatino Linotype" w:eastAsia="Batang" w:hAnsi="Palatino Linotype" w:cs="Arial"/>
          <w:b/>
          <w:i/>
          <w:sz w:val="22"/>
          <w:szCs w:val="22"/>
        </w:rPr>
        <w:t>provoca la terminación de la controversia planteada</w:t>
      </w:r>
      <w:r w:rsidRPr="001708B9">
        <w:rPr>
          <w:rFonts w:ascii="Palatino Linotype" w:eastAsia="Batang" w:hAnsi="Palatino Linotype" w:cs="Arial"/>
          <w:i/>
          <w:sz w:val="22"/>
          <w:szCs w:val="22"/>
        </w:rPr>
        <w:t xml:space="preserve"> por el quejoso en la demanda de amparo</w:t>
      </w:r>
      <w:r w:rsidRPr="001708B9">
        <w:rPr>
          <w:rFonts w:ascii="Palatino Linotype" w:eastAsia="Batang" w:hAnsi="Palatino Linotype" w:cs="Arial"/>
          <w:b/>
          <w:i/>
          <w:sz w:val="22"/>
          <w:szCs w:val="22"/>
        </w:rPr>
        <w:t xml:space="preserve">, sin hacer un pronunciamiento de fondo sobre la legalidad o ilegalidad de la sentencia </w:t>
      </w:r>
      <w:r w:rsidRPr="001708B9">
        <w:rPr>
          <w:rFonts w:ascii="Palatino Linotype" w:eastAsia="Batang" w:hAnsi="Palatino Linotype" w:cs="Arial"/>
          <w:b/>
          <w:i/>
          <w:sz w:val="22"/>
          <w:szCs w:val="22"/>
        </w:rPr>
        <w:lastRenderedPageBreak/>
        <w:t>reclamada</w:t>
      </w:r>
      <w:r w:rsidRPr="001708B9">
        <w:rPr>
          <w:rFonts w:ascii="Palatino Linotype" w:eastAsia="Batang" w:hAnsi="Palatino Linotype" w:cs="Arial"/>
          <w:i/>
          <w:sz w:val="22"/>
          <w:szCs w:val="22"/>
        </w:rPr>
        <w:t xml:space="preserve">. </w:t>
      </w:r>
      <w:r w:rsidRPr="001708B9">
        <w:rPr>
          <w:rFonts w:ascii="Palatino Linotype" w:eastAsia="Batang" w:hAnsi="Palatino Linotype" w:cs="Arial"/>
          <w:b/>
          <w:i/>
          <w:sz w:val="22"/>
          <w:szCs w:val="22"/>
        </w:rPr>
        <w:t xml:space="preserve">Por consiguiente, si al sobreseerse en el juicio de amparo </w:t>
      </w:r>
      <w:r w:rsidRPr="001708B9">
        <w:rPr>
          <w:rFonts w:ascii="Palatino Linotype" w:eastAsia="Batang" w:hAnsi="Palatino Linotype" w:cs="Arial"/>
          <w:b/>
          <w:i/>
          <w:sz w:val="22"/>
          <w:szCs w:val="22"/>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708B9">
        <w:rPr>
          <w:rFonts w:ascii="Palatino Linotype" w:eastAsia="Batang" w:hAnsi="Palatino Linotype" w:cs="Arial"/>
          <w:i/>
          <w:sz w:val="22"/>
          <w:szCs w:val="22"/>
        </w:rPr>
        <w:t>.</w:t>
      </w:r>
    </w:p>
    <w:p w14:paraId="79FFD8B7" w14:textId="77777777" w:rsidR="00DE404C" w:rsidRPr="001708B9" w:rsidRDefault="00DE404C" w:rsidP="00DE404C">
      <w:pPr>
        <w:pStyle w:val="Prrafodelista"/>
        <w:autoSpaceDE w:val="0"/>
        <w:autoSpaceDN w:val="0"/>
        <w:adjustRightInd w:val="0"/>
        <w:spacing w:line="360" w:lineRule="auto"/>
        <w:ind w:left="567" w:right="567"/>
        <w:jc w:val="both"/>
        <w:rPr>
          <w:rFonts w:ascii="Palatino Linotype" w:eastAsia="Batang" w:hAnsi="Palatino Linotype" w:cs="Arial"/>
          <w:i/>
          <w:sz w:val="22"/>
          <w:szCs w:val="22"/>
        </w:rPr>
      </w:pPr>
      <w:r w:rsidRPr="001708B9">
        <w:rPr>
          <w:rFonts w:ascii="Palatino Linotype" w:eastAsia="Batang" w:hAnsi="Palatino Linotype" w:cs="Arial"/>
          <w:i/>
          <w:sz w:val="22"/>
          <w:szCs w:val="22"/>
        </w:rPr>
        <w:t>SÉPTIMO TRIBUNAL COLEGIADO EN MATERIA CIVIL DEL PRIMER CIRCUITO.</w:t>
      </w:r>
    </w:p>
    <w:p w14:paraId="6729E701" w14:textId="77777777" w:rsidR="00DE404C" w:rsidRPr="001708B9" w:rsidRDefault="00DE404C" w:rsidP="00DE404C">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rPr>
      </w:pPr>
      <w:r w:rsidRPr="001708B9">
        <w:rPr>
          <w:rFonts w:ascii="Palatino Linotype" w:eastAsia="Batang" w:hAnsi="Palatino Linotype" w:cs="Arial"/>
          <w:i/>
          <w:sz w:val="22"/>
          <w:szCs w:val="22"/>
        </w:rPr>
        <w:t>Amparo directo 699/2008. Mariana Leticia González Steele. 13 de noviembre de 2008. Unanimidad de votos. Ponente: Sara Judith Montalvo Trejo. Secretario: Arnulfo Mateos García.</w:t>
      </w:r>
    </w:p>
    <w:p w14:paraId="4D8FFB63" w14:textId="77777777" w:rsidR="00DE404C" w:rsidRPr="001708B9" w:rsidRDefault="00DE404C" w:rsidP="00DE404C">
      <w:pPr>
        <w:spacing w:before="240" w:line="360" w:lineRule="auto"/>
        <w:jc w:val="both"/>
        <w:rPr>
          <w:rFonts w:ascii="Palatino Linotype" w:eastAsia="Batang" w:hAnsi="Palatino Linotype" w:cs="Arial"/>
          <w:sz w:val="24"/>
          <w:lang w:val="es-ES"/>
        </w:rPr>
      </w:pPr>
      <w:r w:rsidRPr="001708B9">
        <w:rPr>
          <w:rFonts w:ascii="Palatino Linotype" w:eastAsia="Batang" w:hAnsi="Palatino Linotype" w:cs="Arial"/>
          <w:sz w:val="24"/>
          <w:lang w:val="es-ES"/>
        </w:rPr>
        <w:t>De 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nos encontramos ante un sobreseimiento definitivo toda vez que pone fin al procedimiento sin entrar al estudio de fondo del mismo.</w:t>
      </w:r>
    </w:p>
    <w:p w14:paraId="27ABDFA1" w14:textId="77777777" w:rsidR="00DE404C" w:rsidRPr="001708B9" w:rsidRDefault="00DE404C" w:rsidP="00DE404C">
      <w:pPr>
        <w:spacing w:before="240" w:after="240" w:line="360" w:lineRule="auto"/>
        <w:jc w:val="both"/>
        <w:rPr>
          <w:rFonts w:ascii="Palatino Linotype" w:hAnsi="Palatino Linotype"/>
          <w:sz w:val="24"/>
          <w:lang w:val="es-ES"/>
        </w:rPr>
      </w:pPr>
      <w:r w:rsidRPr="001708B9">
        <w:rPr>
          <w:rFonts w:ascii="Palatino Linotype" w:hAnsi="Palatino Linotype"/>
          <w:sz w:val="24"/>
          <w:lang w:val="es-ES"/>
        </w:rPr>
        <w:t>Bajo este tenor, un acto impugnado queda sin efectos, cuando aun existiendo jurídicamente (esto es, que no se ha modificado, ni revocado) ya no genera ninguna consecuencia legal.</w:t>
      </w:r>
    </w:p>
    <w:p w14:paraId="07AEF517" w14:textId="77777777" w:rsidR="00DE404C" w:rsidRPr="001708B9" w:rsidRDefault="00DE404C" w:rsidP="00DE404C">
      <w:pPr>
        <w:spacing w:before="240" w:after="240" w:line="360" w:lineRule="auto"/>
        <w:jc w:val="both"/>
        <w:rPr>
          <w:rFonts w:ascii="Palatino Linotype" w:hAnsi="Palatino Linotype" w:cs="Arial"/>
          <w:sz w:val="24"/>
          <w:lang w:val="es-ES"/>
        </w:rPr>
      </w:pPr>
      <w:r w:rsidRPr="001708B9">
        <w:rPr>
          <w:rFonts w:ascii="Palatino Linotype" w:hAnsi="Palatino Linotype"/>
          <w:sz w:val="24"/>
          <w:lang w:val="es-ES"/>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5DFD1F69" w14:textId="412620E0" w:rsidR="00DE404C" w:rsidRPr="001708B9" w:rsidRDefault="00DE404C" w:rsidP="00DE404C">
      <w:pPr>
        <w:spacing w:before="240" w:after="240" w:line="360" w:lineRule="auto"/>
        <w:jc w:val="both"/>
        <w:rPr>
          <w:rFonts w:ascii="Palatino Linotype" w:hAnsi="Palatino Linotype"/>
          <w:sz w:val="24"/>
          <w:lang w:val="es-ES"/>
        </w:rPr>
      </w:pPr>
      <w:r w:rsidRPr="001708B9">
        <w:rPr>
          <w:rFonts w:ascii="Palatino Linotype" w:hAnsi="Palatino Linotype"/>
          <w:sz w:val="24"/>
          <w:lang w:val="es-ES"/>
        </w:rPr>
        <w:lastRenderedPageBreak/>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14:paraId="184F1CAB" w14:textId="579A2E5C" w:rsidR="001708B9" w:rsidRPr="001708B9" w:rsidRDefault="00DE404C" w:rsidP="00DE404C">
      <w:pPr>
        <w:tabs>
          <w:tab w:val="left" w:pos="709"/>
        </w:tabs>
        <w:spacing w:before="240" w:line="360" w:lineRule="auto"/>
        <w:ind w:right="51"/>
        <w:jc w:val="both"/>
        <w:rPr>
          <w:rFonts w:ascii="Palatino Linotype" w:hAnsi="Palatino Linotype"/>
          <w:sz w:val="24"/>
          <w:szCs w:val="24"/>
          <w:lang w:val="es-ES"/>
        </w:rPr>
      </w:pPr>
      <w:r w:rsidRPr="001708B9">
        <w:rPr>
          <w:rFonts w:ascii="Palatino Linotype" w:hAnsi="Palatino Linotype"/>
          <w:sz w:val="24"/>
          <w:szCs w:val="24"/>
          <w:lang w:val="es-ES"/>
        </w:rPr>
        <w:t xml:space="preserve">En consecuencia y en mérito de lo expuesto en líneas anteriores, resultan improcedentes los motivos de inconformidad que arguye El Recurrente en su medio de impugnación que fue materia de estudio, por ello </w:t>
      </w:r>
      <w:r w:rsidRPr="001708B9">
        <w:rPr>
          <w:rFonts w:ascii="Palatino Linotype" w:hAnsi="Palatino Linotype" w:cs="Arial"/>
          <w:b/>
          <w:sz w:val="24"/>
          <w:lang w:val="es-ES"/>
        </w:rPr>
        <w:t xml:space="preserve">con fundamento en la segunda hipótesis de la fracción I del artículo 186, </w:t>
      </w:r>
      <w:r w:rsidRPr="001708B9">
        <w:rPr>
          <w:rFonts w:ascii="Palatino Linotype" w:hAnsi="Palatino Linotype" w:cs="Arial"/>
          <w:sz w:val="24"/>
          <w:lang w:val="es-ES"/>
        </w:rPr>
        <w:t xml:space="preserve">de la Ley de Transparencia y Acceso a la Información Pública del Estado de México y Municipios, se </w:t>
      </w:r>
      <w:r w:rsidRPr="001708B9">
        <w:rPr>
          <w:rFonts w:ascii="Palatino Linotype" w:hAnsi="Palatino Linotype" w:cs="Arial"/>
          <w:b/>
          <w:sz w:val="24"/>
          <w:lang w:val="es-ES"/>
        </w:rPr>
        <w:t xml:space="preserve">SOBRESEE </w:t>
      </w:r>
      <w:r w:rsidRPr="001708B9">
        <w:rPr>
          <w:rFonts w:ascii="Palatino Linotype" w:hAnsi="Palatino Linotype" w:cs="Arial"/>
          <w:sz w:val="24"/>
          <w:lang w:val="es-ES"/>
        </w:rPr>
        <w:t xml:space="preserve">el presente recurso de revisión número </w:t>
      </w:r>
      <w:r w:rsidRPr="001708B9">
        <w:rPr>
          <w:rFonts w:ascii="Palatino Linotype" w:hAnsi="Palatino Linotype" w:cs="Arial"/>
          <w:b/>
          <w:bCs/>
          <w:sz w:val="24"/>
          <w:lang w:val="es-ES" w:eastAsia="es-MX"/>
        </w:rPr>
        <w:t>0</w:t>
      </w:r>
      <w:r w:rsidR="00FA03E9">
        <w:rPr>
          <w:rFonts w:ascii="Palatino Linotype" w:hAnsi="Palatino Linotype" w:cs="Arial"/>
          <w:b/>
          <w:bCs/>
          <w:sz w:val="24"/>
          <w:lang w:val="es-ES" w:eastAsia="es-MX"/>
        </w:rPr>
        <w:t>008</w:t>
      </w:r>
      <w:r w:rsidR="00AA04B9">
        <w:rPr>
          <w:rFonts w:ascii="Palatino Linotype" w:hAnsi="Palatino Linotype" w:cs="Arial"/>
          <w:b/>
          <w:bCs/>
          <w:sz w:val="24"/>
          <w:lang w:val="es-ES" w:eastAsia="es-MX"/>
        </w:rPr>
        <w:t>5</w:t>
      </w:r>
      <w:r w:rsidRPr="001708B9">
        <w:rPr>
          <w:rFonts w:ascii="Palatino Linotype" w:hAnsi="Palatino Linotype" w:cs="Arial"/>
          <w:b/>
          <w:bCs/>
          <w:sz w:val="24"/>
          <w:lang w:val="es-ES" w:eastAsia="es-MX"/>
        </w:rPr>
        <w:t>/INFOEM/IP/RR/202</w:t>
      </w:r>
      <w:r w:rsidR="00FA03E9">
        <w:rPr>
          <w:rFonts w:ascii="Palatino Linotype" w:hAnsi="Palatino Linotype" w:cs="Arial"/>
          <w:b/>
          <w:bCs/>
          <w:sz w:val="24"/>
          <w:lang w:val="es-ES" w:eastAsia="es-MX"/>
        </w:rPr>
        <w:t>1</w:t>
      </w:r>
      <w:r w:rsidRPr="001708B9">
        <w:rPr>
          <w:rFonts w:ascii="Palatino Linotype" w:hAnsi="Palatino Linotype"/>
          <w:sz w:val="24"/>
          <w:szCs w:val="24"/>
          <w:lang w:val="es-ES"/>
        </w:rPr>
        <w:t>, que ha sido materia del presente fallo.</w:t>
      </w:r>
    </w:p>
    <w:p w14:paraId="0B6C9F5D" w14:textId="780D1066" w:rsidR="001708B9" w:rsidRPr="001708B9" w:rsidRDefault="00DE404C" w:rsidP="00DE404C">
      <w:pPr>
        <w:tabs>
          <w:tab w:val="left" w:pos="8931"/>
        </w:tabs>
        <w:spacing w:before="240" w:line="360" w:lineRule="auto"/>
        <w:ind w:right="51"/>
        <w:jc w:val="both"/>
        <w:rPr>
          <w:rFonts w:ascii="Palatino Linotype" w:hAnsi="Palatino Linotype"/>
          <w:sz w:val="24"/>
          <w:szCs w:val="24"/>
          <w:lang w:val="es-ES"/>
        </w:rPr>
      </w:pPr>
      <w:r w:rsidRPr="001708B9">
        <w:rPr>
          <w:rFonts w:ascii="Palatino Linotype" w:hAnsi="Palatino Linotype"/>
          <w:sz w:val="24"/>
          <w:szCs w:val="24"/>
          <w:lang w:val="es-ES"/>
        </w:rPr>
        <w:t>Por lo antes expuesto y fundado es de resolverse y,</w:t>
      </w:r>
    </w:p>
    <w:p w14:paraId="06F07291" w14:textId="283B0BC6" w:rsidR="001708B9" w:rsidRPr="001708B9" w:rsidRDefault="00DE404C" w:rsidP="00FA03E9">
      <w:pPr>
        <w:spacing w:before="240" w:line="360" w:lineRule="auto"/>
        <w:jc w:val="center"/>
        <w:rPr>
          <w:rFonts w:ascii="Palatino Linotype" w:eastAsia="Times New Roman" w:hAnsi="Palatino Linotype"/>
          <w:b/>
          <w:bCs/>
          <w:spacing w:val="60"/>
          <w:sz w:val="28"/>
          <w:lang w:val="es-ES"/>
        </w:rPr>
      </w:pPr>
      <w:r w:rsidRPr="001708B9">
        <w:rPr>
          <w:rFonts w:ascii="Palatino Linotype" w:eastAsia="Times New Roman" w:hAnsi="Palatino Linotype"/>
          <w:b/>
          <w:bCs/>
          <w:spacing w:val="60"/>
          <w:sz w:val="28"/>
          <w:lang w:val="es-ES"/>
        </w:rPr>
        <w:t>SE    RESUELVE</w:t>
      </w:r>
    </w:p>
    <w:p w14:paraId="25A29140" w14:textId="50F16327" w:rsidR="001708B9" w:rsidRPr="001708B9" w:rsidRDefault="00DE404C" w:rsidP="007703CB">
      <w:pPr>
        <w:spacing w:before="240" w:after="240" w:line="360" w:lineRule="auto"/>
        <w:jc w:val="both"/>
        <w:rPr>
          <w:rFonts w:ascii="Palatino Linotype" w:eastAsia="Arial Unicode MS" w:hAnsi="Palatino Linotype" w:cs="Arial"/>
          <w:sz w:val="24"/>
          <w:szCs w:val="24"/>
          <w:lang w:val="es-ES"/>
        </w:rPr>
      </w:pPr>
      <w:r w:rsidRPr="001708B9">
        <w:rPr>
          <w:rFonts w:ascii="Palatino Linotype" w:hAnsi="Palatino Linotype" w:cs="Arial"/>
          <w:b/>
          <w:sz w:val="28"/>
          <w:szCs w:val="28"/>
          <w:lang w:val="es-ES"/>
        </w:rPr>
        <w:t>PRIMERO.</w:t>
      </w:r>
      <w:r w:rsidRPr="001708B9">
        <w:rPr>
          <w:rFonts w:ascii="Palatino Linotype" w:hAnsi="Palatino Linotype" w:cs="Arial"/>
          <w:lang w:val="es-ES"/>
        </w:rPr>
        <w:t xml:space="preserve"> </w:t>
      </w:r>
      <w:r w:rsidRPr="001708B9">
        <w:rPr>
          <w:rFonts w:ascii="Palatino Linotype" w:hAnsi="Palatino Linotype" w:cs="Arial"/>
          <w:sz w:val="24"/>
          <w:szCs w:val="24"/>
          <w:lang w:val="es-ES"/>
        </w:rPr>
        <w:t xml:space="preserve">Se </w:t>
      </w:r>
      <w:r w:rsidRPr="001708B9">
        <w:rPr>
          <w:rFonts w:ascii="Palatino Linotype" w:hAnsi="Palatino Linotype" w:cs="Arial"/>
          <w:b/>
          <w:sz w:val="24"/>
          <w:szCs w:val="24"/>
          <w:lang w:val="es-ES"/>
        </w:rPr>
        <w:t>Sobresee</w:t>
      </w:r>
      <w:r w:rsidRPr="001708B9">
        <w:rPr>
          <w:rFonts w:ascii="Palatino Linotype" w:hAnsi="Palatino Linotype" w:cs="Arial"/>
          <w:sz w:val="24"/>
          <w:szCs w:val="24"/>
          <w:lang w:val="es-ES"/>
        </w:rPr>
        <w:t xml:space="preserve"> </w:t>
      </w:r>
      <w:r w:rsidRPr="001708B9">
        <w:rPr>
          <w:rFonts w:ascii="Palatino Linotype" w:eastAsia="Arial Unicode MS" w:hAnsi="Palatino Linotype" w:cs="Arial"/>
          <w:sz w:val="24"/>
          <w:szCs w:val="24"/>
          <w:lang w:val="es-ES"/>
        </w:rPr>
        <w:t xml:space="preserve">el recurso de revisión número </w:t>
      </w:r>
      <w:r w:rsidR="00FA03E9" w:rsidRPr="001708B9">
        <w:rPr>
          <w:rFonts w:ascii="Palatino Linotype" w:hAnsi="Palatino Linotype" w:cs="Arial"/>
          <w:b/>
          <w:bCs/>
          <w:sz w:val="24"/>
          <w:lang w:val="es-ES" w:eastAsia="es-MX"/>
        </w:rPr>
        <w:t>0</w:t>
      </w:r>
      <w:r w:rsidR="00FA03E9">
        <w:rPr>
          <w:rFonts w:ascii="Palatino Linotype" w:hAnsi="Palatino Linotype" w:cs="Arial"/>
          <w:b/>
          <w:bCs/>
          <w:sz w:val="24"/>
          <w:lang w:val="es-ES" w:eastAsia="es-MX"/>
        </w:rPr>
        <w:t>008</w:t>
      </w:r>
      <w:r w:rsidR="00AA04B9">
        <w:rPr>
          <w:rFonts w:ascii="Palatino Linotype" w:hAnsi="Palatino Linotype" w:cs="Arial"/>
          <w:b/>
          <w:bCs/>
          <w:sz w:val="24"/>
          <w:lang w:val="es-ES" w:eastAsia="es-MX"/>
        </w:rPr>
        <w:t>5</w:t>
      </w:r>
      <w:r w:rsidR="00FA03E9" w:rsidRPr="001708B9">
        <w:rPr>
          <w:rFonts w:ascii="Palatino Linotype" w:hAnsi="Palatino Linotype" w:cs="Arial"/>
          <w:b/>
          <w:bCs/>
          <w:sz w:val="24"/>
          <w:lang w:val="es-ES" w:eastAsia="es-MX"/>
        </w:rPr>
        <w:t>/INFOEM/IP/RR/202</w:t>
      </w:r>
      <w:r w:rsidR="00FA03E9">
        <w:rPr>
          <w:rFonts w:ascii="Palatino Linotype" w:hAnsi="Palatino Linotype" w:cs="Arial"/>
          <w:b/>
          <w:bCs/>
          <w:sz w:val="24"/>
          <w:lang w:val="es-ES" w:eastAsia="es-MX"/>
        </w:rPr>
        <w:t>1</w:t>
      </w:r>
      <w:r w:rsidRPr="001708B9">
        <w:rPr>
          <w:rFonts w:ascii="Palatino Linotype" w:eastAsia="Arial Unicode MS" w:hAnsi="Palatino Linotype" w:cs="Arial"/>
          <w:sz w:val="24"/>
          <w:szCs w:val="24"/>
          <w:lang w:val="es-ES"/>
        </w:rPr>
        <w:t xml:space="preserve">, porque al modificar la respuesta el recurso de revisión quedó sin materia en términos del </w:t>
      </w:r>
      <w:r w:rsidRPr="001708B9">
        <w:rPr>
          <w:rFonts w:ascii="Palatino Linotype" w:eastAsia="Arial Unicode MS" w:hAnsi="Palatino Linotype" w:cs="Arial"/>
          <w:b/>
          <w:sz w:val="24"/>
          <w:szCs w:val="24"/>
          <w:lang w:val="es-ES"/>
        </w:rPr>
        <w:t>Considerando Tercero</w:t>
      </w:r>
      <w:r w:rsidRPr="001708B9">
        <w:rPr>
          <w:rFonts w:ascii="Palatino Linotype" w:eastAsia="Arial Unicode MS" w:hAnsi="Palatino Linotype" w:cs="Arial"/>
          <w:sz w:val="24"/>
          <w:szCs w:val="24"/>
          <w:lang w:val="es-ES"/>
        </w:rPr>
        <w:t xml:space="preserve"> de la presente resolución.</w:t>
      </w:r>
    </w:p>
    <w:p w14:paraId="57CCFA55" w14:textId="612A59D2" w:rsidR="00CB4F7F" w:rsidRPr="001708B9" w:rsidRDefault="00DE404C" w:rsidP="007703CB">
      <w:pPr>
        <w:spacing w:before="240" w:after="240" w:line="360" w:lineRule="auto"/>
        <w:ind w:right="333"/>
        <w:jc w:val="both"/>
        <w:rPr>
          <w:rFonts w:ascii="Palatino Linotype" w:hAnsi="Palatino Linotype" w:cs="Arial"/>
          <w:b/>
          <w:sz w:val="24"/>
          <w:lang w:val="es-ES"/>
        </w:rPr>
      </w:pPr>
      <w:r w:rsidRPr="001708B9">
        <w:rPr>
          <w:rFonts w:ascii="Palatino Linotype" w:hAnsi="Palatino Linotype"/>
          <w:b/>
          <w:sz w:val="28"/>
          <w:lang w:val="es-ES"/>
        </w:rPr>
        <w:t>SEGUNDO.</w:t>
      </w:r>
      <w:r w:rsidRPr="001708B9">
        <w:rPr>
          <w:rFonts w:ascii="Palatino Linotype" w:hAnsi="Palatino Linotype" w:cs="Arial"/>
          <w:lang w:val="es-ES"/>
        </w:rPr>
        <w:t xml:space="preserve"> </w:t>
      </w:r>
      <w:r w:rsidRPr="001708B9">
        <w:rPr>
          <w:rFonts w:ascii="Palatino Linotype" w:hAnsi="Palatino Linotype" w:cs="Arial"/>
          <w:b/>
          <w:sz w:val="24"/>
          <w:lang w:val="es-ES"/>
        </w:rPr>
        <w:t xml:space="preserve">Notifíquese </w:t>
      </w:r>
      <w:r w:rsidRPr="001708B9">
        <w:rPr>
          <w:rFonts w:ascii="Palatino Linotype" w:hAnsi="Palatino Linotype" w:cs="Arial"/>
          <w:sz w:val="24"/>
          <w:lang w:val="es-ES"/>
        </w:rPr>
        <w:t>la presente resolución</w:t>
      </w:r>
      <w:r w:rsidRPr="001708B9">
        <w:rPr>
          <w:rFonts w:ascii="Palatino Linotype" w:hAnsi="Palatino Linotype" w:cs="Arial"/>
          <w:b/>
          <w:sz w:val="24"/>
          <w:lang w:val="es-ES"/>
        </w:rPr>
        <w:t xml:space="preserve"> </w:t>
      </w:r>
      <w:r w:rsidRPr="001708B9">
        <w:rPr>
          <w:rFonts w:ascii="Palatino Linotype" w:hAnsi="Palatino Linotype" w:cs="Arial"/>
          <w:sz w:val="24"/>
          <w:lang w:val="es-ES"/>
        </w:rPr>
        <w:t xml:space="preserve">al </w:t>
      </w:r>
      <w:r w:rsidRPr="001708B9">
        <w:rPr>
          <w:rFonts w:ascii="Palatino Linotype" w:hAnsi="Palatino Linotype" w:cs="Arial"/>
          <w:b/>
          <w:sz w:val="24"/>
          <w:lang w:val="es-ES"/>
        </w:rPr>
        <w:t>Titular de la Unidad de Transparencia del Sujeto Obligado.</w:t>
      </w:r>
    </w:p>
    <w:p w14:paraId="1F541756" w14:textId="0E24747A" w:rsidR="007703CB" w:rsidRPr="001708B9" w:rsidRDefault="00DE404C" w:rsidP="007703CB">
      <w:pPr>
        <w:spacing w:before="240" w:after="240" w:line="360" w:lineRule="auto"/>
        <w:ind w:right="333"/>
        <w:jc w:val="both"/>
        <w:rPr>
          <w:rFonts w:ascii="Palatino Linotype" w:hAnsi="Palatino Linotype"/>
          <w:color w:val="222222"/>
          <w:sz w:val="24"/>
          <w:szCs w:val="24"/>
          <w:shd w:val="clear" w:color="auto" w:fill="FFFFFF"/>
          <w:lang w:val="es-ES"/>
        </w:rPr>
      </w:pPr>
      <w:r w:rsidRPr="001708B9">
        <w:rPr>
          <w:rFonts w:ascii="Palatino Linotype" w:hAnsi="Palatino Linotype" w:cs="Arial"/>
          <w:b/>
          <w:sz w:val="28"/>
          <w:szCs w:val="28"/>
          <w:lang w:val="es-ES"/>
        </w:rPr>
        <w:t>TERCERO.</w:t>
      </w:r>
      <w:r w:rsidRPr="001708B9">
        <w:rPr>
          <w:rFonts w:ascii="Palatino Linotype" w:hAnsi="Palatino Linotype" w:cs="Arial"/>
          <w:sz w:val="28"/>
          <w:szCs w:val="28"/>
          <w:lang w:val="es-ES"/>
        </w:rPr>
        <w:t xml:space="preserve"> </w:t>
      </w:r>
      <w:r w:rsidRPr="001708B9">
        <w:rPr>
          <w:rFonts w:ascii="Palatino Linotype" w:hAnsi="Palatino Linotype" w:cs="Arial"/>
          <w:b/>
          <w:sz w:val="24"/>
          <w:lang w:val="es-ES"/>
        </w:rPr>
        <w:t xml:space="preserve">Notifíquese </w:t>
      </w:r>
      <w:r w:rsidRPr="001708B9">
        <w:rPr>
          <w:rFonts w:ascii="Palatino Linotype" w:hAnsi="Palatino Linotype" w:cs="Arial"/>
          <w:sz w:val="24"/>
          <w:lang w:val="es-ES"/>
        </w:rPr>
        <w:t>la presente resolución</w:t>
      </w:r>
      <w:r w:rsidRPr="001708B9">
        <w:rPr>
          <w:rFonts w:ascii="Palatino Linotype" w:hAnsi="Palatino Linotype" w:cs="Arial"/>
          <w:b/>
          <w:sz w:val="24"/>
          <w:lang w:val="es-ES"/>
        </w:rPr>
        <w:t xml:space="preserve"> </w:t>
      </w:r>
      <w:r w:rsidRPr="001708B9">
        <w:rPr>
          <w:rFonts w:ascii="Palatino Linotype" w:hAnsi="Palatino Linotype" w:cs="Arial"/>
          <w:sz w:val="24"/>
          <w:lang w:val="es-ES"/>
        </w:rPr>
        <w:t xml:space="preserve">a </w:t>
      </w:r>
      <w:r w:rsidRPr="001708B9">
        <w:rPr>
          <w:rFonts w:ascii="Palatino Linotype" w:hAnsi="Palatino Linotype" w:cs="Arial"/>
          <w:b/>
          <w:sz w:val="24"/>
          <w:lang w:val="es-ES"/>
        </w:rPr>
        <w:t>El Recurrente</w:t>
      </w:r>
      <w:r w:rsidRPr="001708B9">
        <w:rPr>
          <w:rFonts w:ascii="Palatino Linotype" w:hAnsi="Palatino Linotype" w:cs="Arial"/>
          <w:sz w:val="24"/>
          <w:lang w:val="es-ES"/>
        </w:rPr>
        <w:t xml:space="preserve">; así mismo, </w:t>
      </w:r>
      <w:r w:rsidRPr="001708B9">
        <w:rPr>
          <w:rFonts w:ascii="Palatino Linotype" w:hAnsi="Palatino Linotype"/>
          <w:color w:val="222222"/>
          <w:sz w:val="24"/>
          <w:szCs w:val="24"/>
          <w:shd w:val="clear" w:color="auto" w:fill="FFFFFF"/>
          <w:lang w:val="es-ES"/>
        </w:rPr>
        <w:t xml:space="preserve">de conformidad con lo establecido en el artículo 196 de la Ley de Transparencia y </w:t>
      </w:r>
      <w:r w:rsidRPr="001708B9">
        <w:rPr>
          <w:rFonts w:ascii="Palatino Linotype" w:hAnsi="Palatino Linotype"/>
          <w:color w:val="222222"/>
          <w:sz w:val="24"/>
          <w:szCs w:val="24"/>
          <w:shd w:val="clear" w:color="auto" w:fill="FFFFFF"/>
          <w:lang w:val="es-ES"/>
        </w:rPr>
        <w:lastRenderedPageBreak/>
        <w:t>Acceso a la Información Pública del Estado de México y Municipios,</w:t>
      </w:r>
      <w:r w:rsidRPr="001708B9">
        <w:rPr>
          <w:rStyle w:val="apple-converted-space"/>
          <w:rFonts w:ascii="Palatino Linotype" w:hAnsi="Palatino Linotype"/>
          <w:color w:val="222222"/>
          <w:sz w:val="24"/>
          <w:szCs w:val="24"/>
          <w:shd w:val="clear" w:color="auto" w:fill="FFFFFF"/>
          <w:lang w:val="es-ES"/>
        </w:rPr>
        <w:t xml:space="preserve"> </w:t>
      </w:r>
      <w:r w:rsidRPr="001708B9">
        <w:rPr>
          <w:rFonts w:ascii="Palatino Linotype" w:hAnsi="Palatino Linotype"/>
          <w:color w:val="222222"/>
          <w:sz w:val="24"/>
          <w:szCs w:val="24"/>
          <w:shd w:val="clear" w:color="auto" w:fill="FFFFFF"/>
          <w:lang w:val="es-ES"/>
        </w:rPr>
        <w:t>podrá promover el Juicio de Amparo en los términos de las leyes aplicables.</w:t>
      </w:r>
    </w:p>
    <w:p w14:paraId="3443571D" w14:textId="6B706094" w:rsidR="00CB4F7F" w:rsidRPr="001708B9" w:rsidRDefault="0074313B" w:rsidP="00330809">
      <w:pPr>
        <w:spacing w:before="240" w:after="240" w:line="360" w:lineRule="auto"/>
        <w:jc w:val="both"/>
        <w:rPr>
          <w:lang w:val="es-ES"/>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1360400" wp14:editId="3D1D3A92">
                <wp:simplePos x="0" y="0"/>
                <wp:positionH relativeFrom="column">
                  <wp:posOffset>24765</wp:posOffset>
                </wp:positionH>
                <wp:positionV relativeFrom="paragraph">
                  <wp:posOffset>2381250</wp:posOffset>
                </wp:positionV>
                <wp:extent cx="5737860" cy="4587240"/>
                <wp:effectExtent l="0" t="0" r="34290" b="22860"/>
                <wp:wrapNone/>
                <wp:docPr id="2" name="Conector recto 2"/>
                <wp:cNvGraphicFramePr/>
                <a:graphic xmlns:a="http://schemas.openxmlformats.org/drawingml/2006/main">
                  <a:graphicData uri="http://schemas.microsoft.com/office/word/2010/wordprocessingShape">
                    <wps:wsp>
                      <wps:cNvCnPr/>
                      <wps:spPr>
                        <a:xfrm>
                          <a:off x="0" y="0"/>
                          <a:ext cx="5737860" cy="458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B110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87.5pt" to="453.75pt,5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" strokecolor="#5b9bd5 [3204]" strokeweight=".5pt">
                <v:stroke joinstyle="miter"/>
              </v:line>
            </w:pict>
          </mc:Fallback>
        </mc:AlternateContent>
      </w:r>
      <w:r w:rsidR="00CB4F7F" w:rsidRPr="001708B9">
        <w:rPr>
          <w:rFonts w:ascii="Palatino Linotype" w:hAnsi="Palatino Linotype" w:cs="Arial"/>
          <w:sz w:val="24"/>
          <w:szCs w:val="24"/>
          <w:lang w:val="es-ES"/>
        </w:rPr>
        <w:t xml:space="preserve">ASÍ LO RESUELVE, POR </w:t>
      </w:r>
      <w:r w:rsidR="00772FE5">
        <w:rPr>
          <w:rFonts w:ascii="Palatino Linotype" w:hAnsi="Palatino Linotype" w:cs="Arial"/>
          <w:sz w:val="24"/>
          <w:szCs w:val="24"/>
          <w:lang w:val="es-ES"/>
        </w:rPr>
        <w:t>UNANIMIDAD</w:t>
      </w:r>
      <w:r w:rsidR="00CB4F7F" w:rsidRPr="001708B9">
        <w:rPr>
          <w:rFonts w:ascii="Palatino Linotype" w:hAnsi="Palatino Linotype" w:cs="Arial"/>
          <w:sz w:val="24"/>
          <w:szCs w:val="24"/>
          <w:lang w:val="es-ES"/>
        </w:rPr>
        <w:t xml:space="preserve"> DE VOTOS EL PLENO DEL</w:t>
      </w:r>
      <w:r w:rsidR="00CB4F7F" w:rsidRPr="001708B9">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00CB4F7F" w:rsidRPr="001708B9">
        <w:rPr>
          <w:rFonts w:ascii="Palatino Linotype" w:hAnsi="Palatino Linotype" w:cs="Arial"/>
          <w:sz w:val="24"/>
          <w:szCs w:val="24"/>
          <w:lang w:val="es-ES"/>
        </w:rPr>
        <w:t>, CONFORMADO POR LOS COMISIONADOS ZULEMA MARTÍNEZ SÁNCHEZ, EVA ABAID YAPUR, JAVIER MARTÍNEZ CRUZ Y LUIS GUSTAVO PARRA NORIEGA</w:t>
      </w:r>
      <w:r w:rsidR="00330809">
        <w:rPr>
          <w:rFonts w:ascii="Palatino Linotype" w:hAnsi="Palatino Linotype" w:cs="Arial"/>
          <w:sz w:val="24"/>
          <w:szCs w:val="24"/>
          <w:lang w:val="es-ES"/>
        </w:rPr>
        <w:t xml:space="preserve"> EMITIENDO VOTO PARTICULAR</w:t>
      </w:r>
      <w:r w:rsidR="00CB4F7F" w:rsidRPr="001708B9">
        <w:rPr>
          <w:rFonts w:ascii="Palatino Linotype" w:hAnsi="Palatino Linotype" w:cs="Arial"/>
          <w:sz w:val="24"/>
          <w:szCs w:val="24"/>
          <w:lang w:val="es-ES"/>
        </w:rPr>
        <w:t xml:space="preserve">, EN LA </w:t>
      </w:r>
      <w:r w:rsidR="00330809">
        <w:rPr>
          <w:rFonts w:ascii="Palatino Linotype" w:hAnsi="Palatino Linotype" w:cs="Arial"/>
          <w:sz w:val="24"/>
          <w:szCs w:val="24"/>
          <w:lang w:val="es-ES"/>
        </w:rPr>
        <w:t>VIGÈSIMO QUINTA</w:t>
      </w:r>
      <w:r w:rsidR="00CB4F7F" w:rsidRPr="001708B9">
        <w:rPr>
          <w:rFonts w:ascii="Palatino Linotype" w:hAnsi="Palatino Linotype" w:cs="Arial"/>
          <w:sz w:val="24"/>
          <w:szCs w:val="24"/>
          <w:lang w:val="es-ES"/>
        </w:rPr>
        <w:t xml:space="preserve"> SESIÓN ORDINARIA CELEBRADA EL </w:t>
      </w:r>
      <w:r w:rsidR="00330809">
        <w:rPr>
          <w:rFonts w:ascii="Palatino Linotype" w:hAnsi="Palatino Linotype" w:cs="Arial"/>
          <w:sz w:val="24"/>
          <w:szCs w:val="24"/>
          <w:lang w:val="es-ES"/>
        </w:rPr>
        <w:t>CATORCE DE JULIO</w:t>
      </w:r>
      <w:r w:rsidR="001708B9" w:rsidRPr="001708B9">
        <w:rPr>
          <w:rFonts w:ascii="Palatino Linotype" w:hAnsi="Palatino Linotype" w:cs="Arial"/>
          <w:sz w:val="24"/>
          <w:szCs w:val="24"/>
          <w:lang w:val="es-ES"/>
        </w:rPr>
        <w:t xml:space="preserve"> DE DOS MIL VEINTIUNO</w:t>
      </w:r>
      <w:r w:rsidR="00CB4F7F" w:rsidRPr="001708B9">
        <w:rPr>
          <w:rFonts w:ascii="Palatino Linotype" w:hAnsi="Palatino Linotype" w:cs="Arial"/>
          <w:sz w:val="24"/>
          <w:szCs w:val="24"/>
          <w:lang w:val="es-ES"/>
        </w:rPr>
        <w:t>, ANTE EL SECRETARIO TÉCNICO DEL PLENO, ALEXIS TAPIA RAMÍREZ</w:t>
      </w:r>
      <w:r w:rsidR="00FA03E9">
        <w:rPr>
          <w:rFonts w:ascii="Palatino Linotype" w:hAnsi="Palatino Linotype" w:cs="Arial"/>
          <w:sz w:val="24"/>
          <w:szCs w:val="24"/>
          <w:lang w:val="es-ES"/>
        </w:rPr>
        <w:t>-----------</w:t>
      </w:r>
    </w:p>
    <w:p w14:paraId="5A2C9589" w14:textId="57E95A29" w:rsidR="00DD13E2" w:rsidRDefault="00DD13E2" w:rsidP="00CB4F7F">
      <w:pPr>
        <w:spacing w:line="360" w:lineRule="auto"/>
        <w:ind w:right="333"/>
        <w:jc w:val="both"/>
        <w:rPr>
          <w:lang w:val="es-ES"/>
        </w:rPr>
      </w:pPr>
    </w:p>
    <w:p w14:paraId="4E463E61" w14:textId="77777777" w:rsidR="0074313B" w:rsidRDefault="0074313B" w:rsidP="00CB4F7F">
      <w:pPr>
        <w:spacing w:line="360" w:lineRule="auto"/>
        <w:ind w:right="333"/>
        <w:jc w:val="both"/>
        <w:rPr>
          <w:lang w:val="es-ES"/>
        </w:rPr>
      </w:pPr>
    </w:p>
    <w:p w14:paraId="77D3EBC6" w14:textId="77777777" w:rsidR="0074313B" w:rsidRDefault="0074313B" w:rsidP="00CB4F7F">
      <w:pPr>
        <w:spacing w:line="360" w:lineRule="auto"/>
        <w:ind w:right="333"/>
        <w:jc w:val="both"/>
        <w:rPr>
          <w:lang w:val="es-ES"/>
        </w:rPr>
      </w:pPr>
    </w:p>
    <w:p w14:paraId="1808F149" w14:textId="77777777" w:rsidR="0074313B" w:rsidRDefault="0074313B" w:rsidP="00CB4F7F">
      <w:pPr>
        <w:spacing w:line="360" w:lineRule="auto"/>
        <w:ind w:right="333"/>
        <w:jc w:val="both"/>
        <w:rPr>
          <w:lang w:val="es-ES"/>
        </w:rPr>
      </w:pPr>
    </w:p>
    <w:p w14:paraId="2A1D35CB" w14:textId="77777777" w:rsidR="0074313B" w:rsidRDefault="0074313B" w:rsidP="00CB4F7F">
      <w:pPr>
        <w:spacing w:line="360" w:lineRule="auto"/>
        <w:ind w:right="333"/>
        <w:jc w:val="both"/>
        <w:rPr>
          <w:lang w:val="es-ES"/>
        </w:rPr>
      </w:pPr>
    </w:p>
    <w:p w14:paraId="3DA57008" w14:textId="77777777" w:rsidR="0074313B" w:rsidRDefault="0074313B" w:rsidP="00CB4F7F">
      <w:pPr>
        <w:spacing w:line="360" w:lineRule="auto"/>
        <w:ind w:right="333"/>
        <w:jc w:val="both"/>
        <w:rPr>
          <w:lang w:val="es-ES"/>
        </w:rPr>
      </w:pPr>
    </w:p>
    <w:p w14:paraId="0EC7C118" w14:textId="77777777" w:rsidR="0074313B" w:rsidRDefault="0074313B" w:rsidP="00CB4F7F">
      <w:pPr>
        <w:spacing w:line="360" w:lineRule="auto"/>
        <w:ind w:right="333"/>
        <w:jc w:val="both"/>
        <w:rPr>
          <w:lang w:val="es-ES"/>
        </w:rPr>
      </w:pPr>
    </w:p>
    <w:p w14:paraId="2047758F" w14:textId="77777777" w:rsidR="0074313B" w:rsidRDefault="0074313B" w:rsidP="00CB4F7F">
      <w:pPr>
        <w:spacing w:line="360" w:lineRule="auto"/>
        <w:ind w:right="333"/>
        <w:jc w:val="both"/>
        <w:rPr>
          <w:lang w:val="es-ES"/>
        </w:rPr>
      </w:pPr>
    </w:p>
    <w:p w14:paraId="7075BF7F" w14:textId="77777777" w:rsidR="0074313B" w:rsidRDefault="0074313B" w:rsidP="00CB4F7F">
      <w:pPr>
        <w:spacing w:line="360" w:lineRule="auto"/>
        <w:ind w:right="333"/>
        <w:jc w:val="both"/>
        <w:rPr>
          <w:lang w:val="es-ES"/>
        </w:rPr>
      </w:pPr>
    </w:p>
    <w:p w14:paraId="70404F17" w14:textId="77777777" w:rsidR="0074313B" w:rsidRDefault="0074313B" w:rsidP="00CB4F7F">
      <w:pPr>
        <w:spacing w:line="360" w:lineRule="auto"/>
        <w:ind w:right="333"/>
        <w:jc w:val="both"/>
        <w:rPr>
          <w:lang w:val="es-ES"/>
        </w:rPr>
      </w:pPr>
    </w:p>
    <w:p w14:paraId="6E270B2E" w14:textId="77777777" w:rsidR="0074313B" w:rsidRDefault="0074313B" w:rsidP="00CB4F7F">
      <w:pPr>
        <w:spacing w:line="360" w:lineRule="auto"/>
        <w:ind w:right="333"/>
        <w:jc w:val="both"/>
        <w:rPr>
          <w:lang w:val="es-ES"/>
        </w:rPr>
      </w:pPr>
    </w:p>
    <w:p w14:paraId="6AE4DE37" w14:textId="77777777" w:rsidR="0074313B" w:rsidRDefault="0074313B" w:rsidP="00CB4F7F">
      <w:pPr>
        <w:spacing w:line="360" w:lineRule="auto"/>
        <w:ind w:right="333"/>
        <w:jc w:val="both"/>
        <w:rPr>
          <w:lang w:val="es-ES"/>
        </w:rPr>
      </w:pPr>
    </w:p>
    <w:p w14:paraId="692DE395" w14:textId="77777777" w:rsidR="0074313B" w:rsidRDefault="0074313B" w:rsidP="00CB4F7F">
      <w:pPr>
        <w:spacing w:line="360" w:lineRule="auto"/>
        <w:ind w:right="333"/>
        <w:jc w:val="both"/>
        <w:rPr>
          <w:lang w:val="es-ES"/>
        </w:rPr>
      </w:pPr>
    </w:p>
    <w:p w14:paraId="2080B1DC" w14:textId="77777777" w:rsidR="0074313B" w:rsidRDefault="0074313B" w:rsidP="00CB4F7F">
      <w:pPr>
        <w:spacing w:line="360" w:lineRule="auto"/>
        <w:ind w:right="333"/>
        <w:jc w:val="both"/>
        <w:rPr>
          <w:lang w:val="es-ES"/>
        </w:rPr>
      </w:pPr>
    </w:p>
    <w:p w14:paraId="0433F987" w14:textId="77777777" w:rsidR="0074313B" w:rsidRDefault="0074313B" w:rsidP="00CB4F7F">
      <w:pPr>
        <w:spacing w:line="360" w:lineRule="auto"/>
        <w:ind w:right="333"/>
        <w:jc w:val="both"/>
        <w:rPr>
          <w:lang w:val="es-ES"/>
        </w:rPr>
      </w:pPr>
    </w:p>
    <w:p w14:paraId="58F850C9" w14:textId="77777777" w:rsidR="0074313B" w:rsidRPr="001708B9" w:rsidRDefault="0074313B" w:rsidP="00CB4F7F">
      <w:pPr>
        <w:spacing w:line="360" w:lineRule="auto"/>
        <w:ind w:right="333"/>
        <w:jc w:val="both"/>
        <w:rPr>
          <w:lang w:val="es-ES"/>
        </w:rPr>
      </w:pPr>
      <w:bookmarkStart w:id="0" w:name="_GoBack"/>
      <w:bookmarkEnd w:id="0"/>
    </w:p>
    <w:sectPr w:rsidR="0074313B" w:rsidRPr="001708B9" w:rsidSect="00E15E85">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5DB42" w14:textId="77777777" w:rsidR="00ED2AC5" w:rsidRDefault="00ED2AC5" w:rsidP="00E15E85">
      <w:pPr>
        <w:spacing w:after="0" w:line="240" w:lineRule="auto"/>
      </w:pPr>
      <w:r>
        <w:separator/>
      </w:r>
    </w:p>
  </w:endnote>
  <w:endnote w:type="continuationSeparator" w:id="0">
    <w:p w14:paraId="0E14B13F" w14:textId="77777777" w:rsidR="00ED2AC5" w:rsidRDefault="00ED2AC5"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313B">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313B">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31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313B">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7838B" w14:textId="77777777" w:rsidR="00ED2AC5" w:rsidRDefault="00ED2AC5" w:rsidP="00E15E85">
      <w:pPr>
        <w:spacing w:after="0" w:line="240" w:lineRule="auto"/>
      </w:pPr>
      <w:r>
        <w:separator/>
      </w:r>
    </w:p>
  </w:footnote>
  <w:footnote w:type="continuationSeparator" w:id="0">
    <w:p w14:paraId="1D4F35C4" w14:textId="77777777" w:rsidR="00ED2AC5" w:rsidRDefault="00ED2AC5" w:rsidP="00E15E85">
      <w:pPr>
        <w:spacing w:after="0" w:line="240" w:lineRule="auto"/>
      </w:pPr>
      <w:r>
        <w:continuationSeparator/>
      </w:r>
    </w:p>
  </w:footnote>
  <w:footnote w:id="1">
    <w:p w14:paraId="2BE207F2"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9578B3C"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801" w14:textId="2CB9D27B" w:rsidR="00D80CD6" w:rsidRDefault="00ED2AC5">
    <w:pPr>
      <w:pStyle w:val="Encabezado"/>
    </w:pPr>
    <w:r>
      <w:rPr>
        <w:noProof/>
        <w:lang w:val="es-MX" w:eastAsia="es-MX"/>
      </w:rPr>
      <w:pict w14:anchorId="6FCC7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69381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11FC1FF2" w:rsidR="00E15E85" w:rsidRDefault="00ED2AC5">
    <w:pPr>
      <w:pStyle w:val="Encabezado"/>
    </w:pPr>
    <w:r>
      <w:rPr>
        <w:noProof/>
        <w:lang w:val="es-MX" w:eastAsia="es-MX"/>
      </w:rPr>
      <w:pict w14:anchorId="10624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693814"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02250D4E"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FE6A4F">
            <w:rPr>
              <w:rFonts w:ascii="Palatino Linotype" w:hAnsi="Palatino Linotype" w:cs="Arial"/>
              <w:bCs/>
              <w:sz w:val="24"/>
              <w:lang w:eastAsia="es-MX"/>
            </w:rPr>
            <w:t>008</w:t>
          </w:r>
          <w:r w:rsidR="00784FE7">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6AC0D129" w:rsidR="00E15E85" w:rsidRDefault="00784FE7" w:rsidP="00E15E85">
          <w:pPr>
            <w:spacing w:after="120" w:line="256" w:lineRule="auto"/>
            <w:ind w:left="-486" w:right="214" w:firstLine="284"/>
            <w:jc w:val="right"/>
            <w:rPr>
              <w:rFonts w:ascii="Palatino Linotype" w:hAnsi="Palatino Linotype" w:cs="Arial"/>
              <w:szCs w:val="20"/>
            </w:rPr>
          </w:pPr>
          <w:r w:rsidRPr="00784FE7">
            <w:rPr>
              <w:rFonts w:ascii="Palatino Linotype" w:hAnsi="Palatino Linotype" w:cs="Arial"/>
              <w:szCs w:val="20"/>
            </w:rPr>
            <w:t>Secretaría de Justicia y Derechos Humanos</w:t>
          </w:r>
        </w:p>
      </w:tc>
    </w:tr>
    <w:tr w:rsidR="00E15E85" w14:paraId="5435A98B" w14:textId="77777777" w:rsidTr="005F32D2">
      <w:trPr>
        <w:trHeight w:val="342"/>
      </w:trPr>
      <w:tc>
        <w:tcPr>
          <w:tcW w:w="4679"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76452985"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FE6A4F">
            <w:rPr>
              <w:rFonts w:ascii="Palatino Linotype" w:hAnsi="Palatino Linotype" w:cs="Arial"/>
              <w:bCs/>
              <w:sz w:val="24"/>
              <w:lang w:eastAsia="es-MX"/>
            </w:rPr>
            <w:t>008</w:t>
          </w:r>
          <w:r w:rsidR="00784FE7">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5EBB5A82" w:rsidR="00E15E85" w:rsidRPr="00F06FED" w:rsidRDefault="0074313B"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w:t>
          </w:r>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1F4FBF64" w:rsidR="00E15E85" w:rsidRDefault="00784FE7" w:rsidP="0015550A">
          <w:pPr>
            <w:spacing w:after="120" w:line="256" w:lineRule="auto"/>
            <w:ind w:left="-495" w:right="214" w:firstLine="567"/>
            <w:jc w:val="right"/>
            <w:rPr>
              <w:rFonts w:ascii="Palatino Linotype" w:hAnsi="Palatino Linotype" w:cs="Arial"/>
              <w:szCs w:val="20"/>
            </w:rPr>
          </w:pPr>
          <w:r w:rsidRPr="00784FE7">
            <w:rPr>
              <w:rFonts w:ascii="Palatino Linotype" w:hAnsi="Palatino Linotype" w:cs="Arial"/>
              <w:szCs w:val="20"/>
            </w:rPr>
            <w:t>Secretaría de Justicia y Derechos Humanos</w:t>
          </w:r>
        </w:p>
      </w:tc>
    </w:tr>
    <w:tr w:rsidR="00E15E85" w14:paraId="4B575BC9" w14:textId="77777777" w:rsidTr="005F32D2">
      <w:trPr>
        <w:trHeight w:val="342"/>
      </w:trPr>
      <w:tc>
        <w:tcPr>
          <w:tcW w:w="4679"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327216E3" w:rsidR="00E15E85" w:rsidRDefault="00ED2AC5">
    <w:pPr>
      <w:pStyle w:val="Encabezado"/>
    </w:pPr>
    <w:r>
      <w:rPr>
        <w:noProof/>
        <w:lang w:val="es-MX" w:eastAsia="es-MX"/>
      </w:rPr>
      <w:pict w14:anchorId="5DE4C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693812"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157DB9"/>
    <w:multiLevelType w:val="hybridMultilevel"/>
    <w:tmpl w:val="18640776"/>
    <w:numStyleLink w:val="Estiloimportado2"/>
  </w:abstractNum>
  <w:abstractNum w:abstractNumId="30">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1">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2"/>
  </w:num>
  <w:num w:numId="2">
    <w:abstractNumId w:val="9"/>
  </w:num>
  <w:num w:numId="3">
    <w:abstractNumId w:val="27"/>
  </w:num>
  <w:num w:numId="4">
    <w:abstractNumId w:val="22"/>
  </w:num>
  <w:num w:numId="5">
    <w:abstractNumId w:val="29"/>
  </w:num>
  <w:num w:numId="6">
    <w:abstractNumId w:val="10"/>
  </w:num>
  <w:num w:numId="7">
    <w:abstractNumId w:val="34"/>
  </w:num>
  <w:num w:numId="8">
    <w:abstractNumId w:val="23"/>
  </w:num>
  <w:num w:numId="9">
    <w:abstractNumId w:val="17"/>
  </w:num>
  <w:num w:numId="10">
    <w:abstractNumId w:val="33"/>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26"/>
  </w:num>
  <w:num w:numId="20">
    <w:abstractNumId w:val="20"/>
  </w:num>
  <w:num w:numId="21">
    <w:abstractNumId w:val="13"/>
  </w:num>
  <w:num w:numId="22">
    <w:abstractNumId w:val="11"/>
  </w:num>
  <w:num w:numId="23">
    <w:abstractNumId w:val="5"/>
  </w:num>
  <w:num w:numId="24">
    <w:abstractNumId w:val="7"/>
  </w:num>
  <w:num w:numId="25">
    <w:abstractNumId w:val="35"/>
  </w:num>
  <w:num w:numId="26">
    <w:abstractNumId w:val="21"/>
  </w:num>
  <w:num w:numId="27">
    <w:abstractNumId w:val="0"/>
  </w:num>
  <w:num w:numId="28">
    <w:abstractNumId w:val="28"/>
  </w:num>
  <w:num w:numId="29">
    <w:abstractNumId w:val="3"/>
  </w:num>
  <w:num w:numId="30">
    <w:abstractNumId w:val="8"/>
  </w:num>
  <w:num w:numId="31">
    <w:abstractNumId w:val="24"/>
  </w:num>
  <w:num w:numId="32">
    <w:abstractNumId w:val="1"/>
  </w:num>
  <w:num w:numId="33">
    <w:abstractNumId w:val="31"/>
  </w:num>
  <w:num w:numId="34">
    <w:abstractNumId w:val="19"/>
  </w:num>
  <w:num w:numId="35">
    <w:abstractNumId w:val="16"/>
  </w:num>
  <w:num w:numId="36">
    <w:abstractNumId w:val="25"/>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65115"/>
    <w:rsid w:val="00073973"/>
    <w:rsid w:val="00074A99"/>
    <w:rsid w:val="000751FB"/>
    <w:rsid w:val="0007599B"/>
    <w:rsid w:val="00076643"/>
    <w:rsid w:val="00080E38"/>
    <w:rsid w:val="00082B75"/>
    <w:rsid w:val="00082DF3"/>
    <w:rsid w:val="00083664"/>
    <w:rsid w:val="0009369C"/>
    <w:rsid w:val="000B00E1"/>
    <w:rsid w:val="000B2E9E"/>
    <w:rsid w:val="000B3319"/>
    <w:rsid w:val="000B44D6"/>
    <w:rsid w:val="000B5CA4"/>
    <w:rsid w:val="000B7E7A"/>
    <w:rsid w:val="000C4D36"/>
    <w:rsid w:val="000C59EE"/>
    <w:rsid w:val="000D23C7"/>
    <w:rsid w:val="000D5294"/>
    <w:rsid w:val="000D7FDC"/>
    <w:rsid w:val="000E2FED"/>
    <w:rsid w:val="000E64FC"/>
    <w:rsid w:val="000F019E"/>
    <w:rsid w:val="000F0611"/>
    <w:rsid w:val="000F2A0E"/>
    <w:rsid w:val="000F51C0"/>
    <w:rsid w:val="00115735"/>
    <w:rsid w:val="0011750A"/>
    <w:rsid w:val="0012266D"/>
    <w:rsid w:val="00122B28"/>
    <w:rsid w:val="00125254"/>
    <w:rsid w:val="00130D58"/>
    <w:rsid w:val="00132E81"/>
    <w:rsid w:val="00133526"/>
    <w:rsid w:val="00134741"/>
    <w:rsid w:val="00143758"/>
    <w:rsid w:val="001501D2"/>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28D0"/>
    <w:rsid w:val="001C3E01"/>
    <w:rsid w:val="001C3F41"/>
    <w:rsid w:val="001C576C"/>
    <w:rsid w:val="001C7069"/>
    <w:rsid w:val="001E0DD6"/>
    <w:rsid w:val="001E5993"/>
    <w:rsid w:val="001E6DE4"/>
    <w:rsid w:val="002019BD"/>
    <w:rsid w:val="002052F6"/>
    <w:rsid w:val="00207283"/>
    <w:rsid w:val="00207FE7"/>
    <w:rsid w:val="00210DAF"/>
    <w:rsid w:val="00217E99"/>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3E51"/>
    <w:rsid w:val="00294D34"/>
    <w:rsid w:val="00294E65"/>
    <w:rsid w:val="002A0B8E"/>
    <w:rsid w:val="002A1820"/>
    <w:rsid w:val="002A30B2"/>
    <w:rsid w:val="002A42E4"/>
    <w:rsid w:val="002A6F17"/>
    <w:rsid w:val="002B13D2"/>
    <w:rsid w:val="002B144D"/>
    <w:rsid w:val="002B1A4F"/>
    <w:rsid w:val="002B78A2"/>
    <w:rsid w:val="002C42B8"/>
    <w:rsid w:val="002C5AC2"/>
    <w:rsid w:val="002C6BFF"/>
    <w:rsid w:val="002D3785"/>
    <w:rsid w:val="003011A8"/>
    <w:rsid w:val="003034F4"/>
    <w:rsid w:val="0030350B"/>
    <w:rsid w:val="00303AB5"/>
    <w:rsid w:val="00307CD9"/>
    <w:rsid w:val="00311958"/>
    <w:rsid w:val="00311C5E"/>
    <w:rsid w:val="00313FE3"/>
    <w:rsid w:val="003160E8"/>
    <w:rsid w:val="00317B8A"/>
    <w:rsid w:val="00320C95"/>
    <w:rsid w:val="00327444"/>
    <w:rsid w:val="00330809"/>
    <w:rsid w:val="00330A95"/>
    <w:rsid w:val="003341B0"/>
    <w:rsid w:val="00334E11"/>
    <w:rsid w:val="00337488"/>
    <w:rsid w:val="00337B49"/>
    <w:rsid w:val="00342A59"/>
    <w:rsid w:val="00343929"/>
    <w:rsid w:val="00345C5E"/>
    <w:rsid w:val="0034696E"/>
    <w:rsid w:val="003470B1"/>
    <w:rsid w:val="003474F2"/>
    <w:rsid w:val="0035101A"/>
    <w:rsid w:val="00356CFE"/>
    <w:rsid w:val="00357BFC"/>
    <w:rsid w:val="003617D2"/>
    <w:rsid w:val="00365A3D"/>
    <w:rsid w:val="003800CC"/>
    <w:rsid w:val="00382E48"/>
    <w:rsid w:val="00385299"/>
    <w:rsid w:val="0039084D"/>
    <w:rsid w:val="00392655"/>
    <w:rsid w:val="00394CC7"/>
    <w:rsid w:val="003A5077"/>
    <w:rsid w:val="003B465B"/>
    <w:rsid w:val="003B5697"/>
    <w:rsid w:val="003C5897"/>
    <w:rsid w:val="003C6897"/>
    <w:rsid w:val="003E2AE6"/>
    <w:rsid w:val="003F1C78"/>
    <w:rsid w:val="003F6C6C"/>
    <w:rsid w:val="00411827"/>
    <w:rsid w:val="00415ED7"/>
    <w:rsid w:val="0041722B"/>
    <w:rsid w:val="0042378C"/>
    <w:rsid w:val="004254FE"/>
    <w:rsid w:val="004275EB"/>
    <w:rsid w:val="00437C82"/>
    <w:rsid w:val="00437E85"/>
    <w:rsid w:val="004867DE"/>
    <w:rsid w:val="00486FE1"/>
    <w:rsid w:val="00487F76"/>
    <w:rsid w:val="004920D8"/>
    <w:rsid w:val="00492244"/>
    <w:rsid w:val="004931E7"/>
    <w:rsid w:val="00497466"/>
    <w:rsid w:val="004A2BFB"/>
    <w:rsid w:val="004A4E4D"/>
    <w:rsid w:val="004C0C26"/>
    <w:rsid w:val="004C3693"/>
    <w:rsid w:val="004D2991"/>
    <w:rsid w:val="004D6125"/>
    <w:rsid w:val="004E271B"/>
    <w:rsid w:val="004E3F30"/>
    <w:rsid w:val="004E6DB3"/>
    <w:rsid w:val="004F05B2"/>
    <w:rsid w:val="004F3EEE"/>
    <w:rsid w:val="0050780F"/>
    <w:rsid w:val="00511AC9"/>
    <w:rsid w:val="0051435E"/>
    <w:rsid w:val="00520D69"/>
    <w:rsid w:val="00525513"/>
    <w:rsid w:val="00527856"/>
    <w:rsid w:val="00527C6A"/>
    <w:rsid w:val="00531D07"/>
    <w:rsid w:val="005329E8"/>
    <w:rsid w:val="00541FE3"/>
    <w:rsid w:val="005733EB"/>
    <w:rsid w:val="0057576D"/>
    <w:rsid w:val="0058641D"/>
    <w:rsid w:val="005A7D62"/>
    <w:rsid w:val="005B1DF4"/>
    <w:rsid w:val="005B7D33"/>
    <w:rsid w:val="005D17CF"/>
    <w:rsid w:val="005E4E2F"/>
    <w:rsid w:val="005E601C"/>
    <w:rsid w:val="005E61EA"/>
    <w:rsid w:val="005F014F"/>
    <w:rsid w:val="005F27DF"/>
    <w:rsid w:val="005F32D2"/>
    <w:rsid w:val="005F4C74"/>
    <w:rsid w:val="00605599"/>
    <w:rsid w:val="00611799"/>
    <w:rsid w:val="006119D3"/>
    <w:rsid w:val="00612A6A"/>
    <w:rsid w:val="00614FDD"/>
    <w:rsid w:val="00616784"/>
    <w:rsid w:val="006200A2"/>
    <w:rsid w:val="00623294"/>
    <w:rsid w:val="00624C9F"/>
    <w:rsid w:val="00625B3E"/>
    <w:rsid w:val="006268BB"/>
    <w:rsid w:val="00630582"/>
    <w:rsid w:val="00631B59"/>
    <w:rsid w:val="00634239"/>
    <w:rsid w:val="00636D22"/>
    <w:rsid w:val="00637A11"/>
    <w:rsid w:val="00650FCE"/>
    <w:rsid w:val="006539D6"/>
    <w:rsid w:val="00653B08"/>
    <w:rsid w:val="00654533"/>
    <w:rsid w:val="00654B56"/>
    <w:rsid w:val="00664CA7"/>
    <w:rsid w:val="00667DE6"/>
    <w:rsid w:val="00673CFD"/>
    <w:rsid w:val="00680423"/>
    <w:rsid w:val="006866FB"/>
    <w:rsid w:val="00690A52"/>
    <w:rsid w:val="006A1167"/>
    <w:rsid w:val="006A6A6C"/>
    <w:rsid w:val="006A6F87"/>
    <w:rsid w:val="006B2E10"/>
    <w:rsid w:val="006C1A4F"/>
    <w:rsid w:val="006C4A13"/>
    <w:rsid w:val="006D27AC"/>
    <w:rsid w:val="006D7C07"/>
    <w:rsid w:val="006E09A0"/>
    <w:rsid w:val="006E375A"/>
    <w:rsid w:val="006F1EF7"/>
    <w:rsid w:val="006F2EA8"/>
    <w:rsid w:val="006F46D5"/>
    <w:rsid w:val="00702AB3"/>
    <w:rsid w:val="00707CD8"/>
    <w:rsid w:val="0071132A"/>
    <w:rsid w:val="00712DB8"/>
    <w:rsid w:val="007135C5"/>
    <w:rsid w:val="0071620F"/>
    <w:rsid w:val="007222CB"/>
    <w:rsid w:val="00732C05"/>
    <w:rsid w:val="007366F7"/>
    <w:rsid w:val="0074313B"/>
    <w:rsid w:val="00755099"/>
    <w:rsid w:val="007703CB"/>
    <w:rsid w:val="00772FE5"/>
    <w:rsid w:val="0077680C"/>
    <w:rsid w:val="00777EDB"/>
    <w:rsid w:val="00784FE7"/>
    <w:rsid w:val="0079194D"/>
    <w:rsid w:val="00793344"/>
    <w:rsid w:val="00793FB4"/>
    <w:rsid w:val="007A0267"/>
    <w:rsid w:val="007A1EFA"/>
    <w:rsid w:val="007A31F8"/>
    <w:rsid w:val="007B5366"/>
    <w:rsid w:val="007B7A2B"/>
    <w:rsid w:val="007C1445"/>
    <w:rsid w:val="007C5165"/>
    <w:rsid w:val="007D276C"/>
    <w:rsid w:val="007D48FA"/>
    <w:rsid w:val="007E2959"/>
    <w:rsid w:val="0080557E"/>
    <w:rsid w:val="008265FF"/>
    <w:rsid w:val="00834F4B"/>
    <w:rsid w:val="0084425F"/>
    <w:rsid w:val="00845C1C"/>
    <w:rsid w:val="00857F9A"/>
    <w:rsid w:val="00860F0A"/>
    <w:rsid w:val="00871B5D"/>
    <w:rsid w:val="00872278"/>
    <w:rsid w:val="00873EF8"/>
    <w:rsid w:val="00875499"/>
    <w:rsid w:val="00881D0D"/>
    <w:rsid w:val="008904FC"/>
    <w:rsid w:val="008A0C8F"/>
    <w:rsid w:val="008A12F6"/>
    <w:rsid w:val="008A560C"/>
    <w:rsid w:val="008A630F"/>
    <w:rsid w:val="008A7A86"/>
    <w:rsid w:val="008B34EC"/>
    <w:rsid w:val="008C2D55"/>
    <w:rsid w:val="008D33FE"/>
    <w:rsid w:val="008E0DD2"/>
    <w:rsid w:val="008E0E21"/>
    <w:rsid w:val="008E5141"/>
    <w:rsid w:val="008F084E"/>
    <w:rsid w:val="008F1B0E"/>
    <w:rsid w:val="008F7A52"/>
    <w:rsid w:val="0090367F"/>
    <w:rsid w:val="009050B2"/>
    <w:rsid w:val="00905E09"/>
    <w:rsid w:val="009152B5"/>
    <w:rsid w:val="00917901"/>
    <w:rsid w:val="00925375"/>
    <w:rsid w:val="00940EBE"/>
    <w:rsid w:val="00943223"/>
    <w:rsid w:val="00944134"/>
    <w:rsid w:val="0094613F"/>
    <w:rsid w:val="0095157B"/>
    <w:rsid w:val="00951B8D"/>
    <w:rsid w:val="00956134"/>
    <w:rsid w:val="00962219"/>
    <w:rsid w:val="00963155"/>
    <w:rsid w:val="00964C9E"/>
    <w:rsid w:val="0097286C"/>
    <w:rsid w:val="00976A80"/>
    <w:rsid w:val="00980401"/>
    <w:rsid w:val="009838CD"/>
    <w:rsid w:val="009845EC"/>
    <w:rsid w:val="00985E6C"/>
    <w:rsid w:val="009877A2"/>
    <w:rsid w:val="00991CC2"/>
    <w:rsid w:val="00992273"/>
    <w:rsid w:val="0099252D"/>
    <w:rsid w:val="00994336"/>
    <w:rsid w:val="00997030"/>
    <w:rsid w:val="009A0459"/>
    <w:rsid w:val="009A4B31"/>
    <w:rsid w:val="009B4889"/>
    <w:rsid w:val="009B76BF"/>
    <w:rsid w:val="009C691F"/>
    <w:rsid w:val="009C75A5"/>
    <w:rsid w:val="009D427C"/>
    <w:rsid w:val="009D4C08"/>
    <w:rsid w:val="009D666C"/>
    <w:rsid w:val="009E3B36"/>
    <w:rsid w:val="009E5649"/>
    <w:rsid w:val="009F286F"/>
    <w:rsid w:val="009F30E4"/>
    <w:rsid w:val="009F4A77"/>
    <w:rsid w:val="009F4D4F"/>
    <w:rsid w:val="009F6268"/>
    <w:rsid w:val="009F7948"/>
    <w:rsid w:val="00A070F4"/>
    <w:rsid w:val="00A153E0"/>
    <w:rsid w:val="00A15A9C"/>
    <w:rsid w:val="00A21B83"/>
    <w:rsid w:val="00A21DA5"/>
    <w:rsid w:val="00A253C5"/>
    <w:rsid w:val="00A34786"/>
    <w:rsid w:val="00A401A6"/>
    <w:rsid w:val="00A447F3"/>
    <w:rsid w:val="00A459D0"/>
    <w:rsid w:val="00A46AA9"/>
    <w:rsid w:val="00A70873"/>
    <w:rsid w:val="00A70BE5"/>
    <w:rsid w:val="00A74AE1"/>
    <w:rsid w:val="00A75D74"/>
    <w:rsid w:val="00A77CBE"/>
    <w:rsid w:val="00A863D6"/>
    <w:rsid w:val="00A92C85"/>
    <w:rsid w:val="00A948EF"/>
    <w:rsid w:val="00AA04B9"/>
    <w:rsid w:val="00AA2733"/>
    <w:rsid w:val="00AA2CB1"/>
    <w:rsid w:val="00AA4163"/>
    <w:rsid w:val="00AA4538"/>
    <w:rsid w:val="00AA5258"/>
    <w:rsid w:val="00AC1215"/>
    <w:rsid w:val="00AC1D50"/>
    <w:rsid w:val="00AC4880"/>
    <w:rsid w:val="00AC5FA1"/>
    <w:rsid w:val="00AE063D"/>
    <w:rsid w:val="00AE1180"/>
    <w:rsid w:val="00AE2701"/>
    <w:rsid w:val="00AE6C3B"/>
    <w:rsid w:val="00AE7232"/>
    <w:rsid w:val="00AF2CBB"/>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4A6D"/>
    <w:rsid w:val="00B355AB"/>
    <w:rsid w:val="00B36690"/>
    <w:rsid w:val="00B40651"/>
    <w:rsid w:val="00B43530"/>
    <w:rsid w:val="00B44BB1"/>
    <w:rsid w:val="00B50BD7"/>
    <w:rsid w:val="00B51395"/>
    <w:rsid w:val="00B51AF4"/>
    <w:rsid w:val="00B54578"/>
    <w:rsid w:val="00B553D5"/>
    <w:rsid w:val="00B57A54"/>
    <w:rsid w:val="00B66DDA"/>
    <w:rsid w:val="00B67466"/>
    <w:rsid w:val="00B74369"/>
    <w:rsid w:val="00B75085"/>
    <w:rsid w:val="00B75682"/>
    <w:rsid w:val="00B86E3B"/>
    <w:rsid w:val="00B90BC9"/>
    <w:rsid w:val="00BA225C"/>
    <w:rsid w:val="00BA2458"/>
    <w:rsid w:val="00BA2908"/>
    <w:rsid w:val="00BA3963"/>
    <w:rsid w:val="00BA68FA"/>
    <w:rsid w:val="00BB59A5"/>
    <w:rsid w:val="00BC1280"/>
    <w:rsid w:val="00BC1A30"/>
    <w:rsid w:val="00BC1C0A"/>
    <w:rsid w:val="00BC4EF7"/>
    <w:rsid w:val="00BD368C"/>
    <w:rsid w:val="00BD3741"/>
    <w:rsid w:val="00BD5907"/>
    <w:rsid w:val="00BD652F"/>
    <w:rsid w:val="00BD6E24"/>
    <w:rsid w:val="00BE35D8"/>
    <w:rsid w:val="00BF1F57"/>
    <w:rsid w:val="00BF2F26"/>
    <w:rsid w:val="00C06006"/>
    <w:rsid w:val="00C13508"/>
    <w:rsid w:val="00C13DE9"/>
    <w:rsid w:val="00C16071"/>
    <w:rsid w:val="00C1645F"/>
    <w:rsid w:val="00C203E8"/>
    <w:rsid w:val="00C25BA8"/>
    <w:rsid w:val="00C546B6"/>
    <w:rsid w:val="00C56A1E"/>
    <w:rsid w:val="00C56C4E"/>
    <w:rsid w:val="00C60690"/>
    <w:rsid w:val="00C63001"/>
    <w:rsid w:val="00C6478B"/>
    <w:rsid w:val="00C64C22"/>
    <w:rsid w:val="00C66E70"/>
    <w:rsid w:val="00C80AEF"/>
    <w:rsid w:val="00CA3C0C"/>
    <w:rsid w:val="00CA79BC"/>
    <w:rsid w:val="00CA7BDA"/>
    <w:rsid w:val="00CB4F7F"/>
    <w:rsid w:val="00CD55BD"/>
    <w:rsid w:val="00CD7242"/>
    <w:rsid w:val="00CE424E"/>
    <w:rsid w:val="00CE7A1C"/>
    <w:rsid w:val="00CF53DF"/>
    <w:rsid w:val="00D029FC"/>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7629"/>
    <w:rsid w:val="00D70FE3"/>
    <w:rsid w:val="00D75F50"/>
    <w:rsid w:val="00D80CD6"/>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738B6"/>
    <w:rsid w:val="00E819A2"/>
    <w:rsid w:val="00E83C46"/>
    <w:rsid w:val="00E8593B"/>
    <w:rsid w:val="00E85DB7"/>
    <w:rsid w:val="00E87E34"/>
    <w:rsid w:val="00E91B25"/>
    <w:rsid w:val="00E92E34"/>
    <w:rsid w:val="00E92E4B"/>
    <w:rsid w:val="00E94BA2"/>
    <w:rsid w:val="00E95D7C"/>
    <w:rsid w:val="00E95E8E"/>
    <w:rsid w:val="00EA0D06"/>
    <w:rsid w:val="00EA4B96"/>
    <w:rsid w:val="00EA663A"/>
    <w:rsid w:val="00EB1C9E"/>
    <w:rsid w:val="00EB2D51"/>
    <w:rsid w:val="00EB551F"/>
    <w:rsid w:val="00EC601F"/>
    <w:rsid w:val="00EC7EDE"/>
    <w:rsid w:val="00ED007C"/>
    <w:rsid w:val="00ED2AC5"/>
    <w:rsid w:val="00ED3DC4"/>
    <w:rsid w:val="00ED466F"/>
    <w:rsid w:val="00ED6532"/>
    <w:rsid w:val="00ED7C88"/>
    <w:rsid w:val="00EE109E"/>
    <w:rsid w:val="00EE3C39"/>
    <w:rsid w:val="00EE5CB5"/>
    <w:rsid w:val="00EE7CBC"/>
    <w:rsid w:val="00EF2AE9"/>
    <w:rsid w:val="00EF330C"/>
    <w:rsid w:val="00F05674"/>
    <w:rsid w:val="00F07156"/>
    <w:rsid w:val="00F10E76"/>
    <w:rsid w:val="00F3348A"/>
    <w:rsid w:val="00F342A1"/>
    <w:rsid w:val="00F433DC"/>
    <w:rsid w:val="00F46209"/>
    <w:rsid w:val="00F72E4A"/>
    <w:rsid w:val="00F73864"/>
    <w:rsid w:val="00F77632"/>
    <w:rsid w:val="00F812A0"/>
    <w:rsid w:val="00F87F64"/>
    <w:rsid w:val="00F9756D"/>
    <w:rsid w:val="00FA03E9"/>
    <w:rsid w:val="00FA1E45"/>
    <w:rsid w:val="00FB42C9"/>
    <w:rsid w:val="00FC2F6B"/>
    <w:rsid w:val="00FD04A9"/>
    <w:rsid w:val="00FD2984"/>
    <w:rsid w:val="00FD3BFD"/>
    <w:rsid w:val="00FE0916"/>
    <w:rsid w:val="00FE2CEA"/>
    <w:rsid w:val="00FE515D"/>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E5F8D-6916-4BB8-BDAE-807340C9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6712</TotalTime>
  <Pages>43</Pages>
  <Words>8874</Words>
  <Characters>48808</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101</cp:revision>
  <cp:lastPrinted>2020-02-13T19:37:00Z</cp:lastPrinted>
  <dcterms:created xsi:type="dcterms:W3CDTF">2018-11-30T01:49:00Z</dcterms:created>
  <dcterms:modified xsi:type="dcterms:W3CDTF">2021-08-05T15:43:00Z</dcterms:modified>
</cp:coreProperties>
</file>