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BCD" w:rsidRPr="000D558D" w:rsidRDefault="00E25BCD" w:rsidP="00E25BCD">
      <w:pPr>
        <w:shd w:val="clear" w:color="auto" w:fill="FFFFFF"/>
        <w:spacing w:after="0" w:line="360" w:lineRule="auto"/>
        <w:jc w:val="both"/>
        <w:rPr>
          <w:rFonts w:ascii="Palatino Linotype" w:eastAsia="Times New Roman" w:hAnsi="Palatino Linotype" w:cs="Arial"/>
          <w:color w:val="000000"/>
          <w:sz w:val="24"/>
          <w:szCs w:val="24"/>
          <w:lang w:eastAsia="es-MX"/>
        </w:rPr>
      </w:pPr>
      <w:r w:rsidRPr="000D558D">
        <w:rPr>
          <w:rFonts w:ascii="Palatino Linotype" w:eastAsia="Times New Roman" w:hAnsi="Palatino Linotype" w:cs="Arial"/>
          <w:color w:val="000000"/>
          <w:sz w:val="24"/>
          <w:szCs w:val="24"/>
          <w:lang w:eastAsia="es-MX"/>
        </w:rPr>
        <w:t>Resolución del Pleno del Instituto de Transparencia, Acceso a la Información Pública y Protección de Datos Personales del Estado de México y Municipios, con domicilio en Metepec, Estado de México, a veintiuno de abril de dos mil veintiuno.</w:t>
      </w:r>
    </w:p>
    <w:p w:rsidR="00E25BCD" w:rsidRPr="000D558D" w:rsidRDefault="00E25BCD" w:rsidP="00E25BCD">
      <w:pPr>
        <w:pStyle w:val="Sinespaciado"/>
        <w:ind w:left="708" w:hanging="708"/>
        <w:jc w:val="right"/>
        <w:rPr>
          <w:rFonts w:ascii="Palatino Linotype" w:hAnsi="Palatino Linotype"/>
        </w:rPr>
      </w:pPr>
    </w:p>
    <w:p w:rsidR="00E25BCD" w:rsidRPr="000D558D" w:rsidRDefault="00E25BCD" w:rsidP="00E25BCD">
      <w:pPr>
        <w:tabs>
          <w:tab w:val="left" w:pos="1701"/>
        </w:tabs>
        <w:spacing w:after="0" w:line="360" w:lineRule="auto"/>
        <w:jc w:val="both"/>
        <w:rPr>
          <w:rFonts w:ascii="Palatino Linotype" w:hAnsi="Palatino Linotype" w:cs="Arial"/>
          <w:sz w:val="24"/>
        </w:rPr>
      </w:pPr>
      <w:r w:rsidRPr="000D558D">
        <w:rPr>
          <w:rFonts w:ascii="Palatino Linotype" w:hAnsi="Palatino Linotype" w:cs="Arial"/>
          <w:b/>
          <w:sz w:val="24"/>
        </w:rPr>
        <w:t>VISTOS</w:t>
      </w:r>
      <w:r w:rsidRPr="000D558D">
        <w:rPr>
          <w:rFonts w:ascii="Palatino Linotype" w:hAnsi="Palatino Linotype" w:cs="Arial"/>
          <w:sz w:val="24"/>
        </w:rPr>
        <w:t xml:space="preserve"> los expedientes electrónicos formados con motivo de los recursos de revisión números </w:t>
      </w:r>
      <w:r w:rsidRPr="000D558D">
        <w:rPr>
          <w:rFonts w:ascii="Palatino Linotype" w:hAnsi="Palatino Linotype" w:cs="Arial"/>
          <w:b/>
          <w:bCs/>
          <w:sz w:val="23"/>
          <w:szCs w:val="23"/>
          <w:lang w:eastAsia="es-MX"/>
        </w:rPr>
        <w:t>00805/INFOEM/IP/RR/2021</w:t>
      </w:r>
      <w:r w:rsidRPr="000D558D">
        <w:rPr>
          <w:rFonts w:ascii="Palatino Linotype" w:hAnsi="Palatino Linotype" w:cs="Arial"/>
          <w:bCs/>
          <w:sz w:val="23"/>
          <w:szCs w:val="23"/>
          <w:lang w:eastAsia="es-MX"/>
        </w:rPr>
        <w:t xml:space="preserve">, </w:t>
      </w:r>
      <w:r w:rsidRPr="000D558D">
        <w:rPr>
          <w:rFonts w:ascii="Palatino Linotype" w:hAnsi="Palatino Linotype" w:cs="Arial"/>
          <w:b/>
          <w:bCs/>
          <w:sz w:val="23"/>
          <w:szCs w:val="23"/>
          <w:lang w:eastAsia="es-MX"/>
        </w:rPr>
        <w:t>00806/INFOEM/IP/RR/2021</w:t>
      </w:r>
      <w:r w:rsidRPr="000D558D">
        <w:rPr>
          <w:rFonts w:ascii="Palatino Linotype" w:hAnsi="Palatino Linotype" w:cs="Arial"/>
          <w:bCs/>
          <w:sz w:val="23"/>
          <w:szCs w:val="23"/>
          <w:lang w:eastAsia="es-MX"/>
        </w:rPr>
        <w:t xml:space="preserve"> y </w:t>
      </w:r>
      <w:r w:rsidRPr="000D558D">
        <w:rPr>
          <w:rFonts w:ascii="Palatino Linotype" w:hAnsi="Palatino Linotype" w:cs="Arial"/>
          <w:b/>
          <w:bCs/>
          <w:sz w:val="23"/>
          <w:szCs w:val="23"/>
          <w:lang w:eastAsia="es-MX"/>
        </w:rPr>
        <w:t>00807/INFOEM/IP/RR/2021</w:t>
      </w:r>
      <w:r w:rsidRPr="000D558D">
        <w:rPr>
          <w:rFonts w:ascii="Palatino Linotype" w:hAnsi="Palatino Linotype" w:cs="Arial"/>
          <w:bCs/>
          <w:sz w:val="23"/>
          <w:szCs w:val="23"/>
          <w:lang w:eastAsia="es-MX"/>
        </w:rPr>
        <w:t>,</w:t>
      </w:r>
      <w:r w:rsidRPr="000D558D">
        <w:rPr>
          <w:rFonts w:ascii="Palatino Linotype" w:hAnsi="Palatino Linotype" w:cs="Arial"/>
          <w:b/>
          <w:bCs/>
          <w:sz w:val="23"/>
          <w:szCs w:val="23"/>
          <w:lang w:eastAsia="es-MX"/>
        </w:rPr>
        <w:t xml:space="preserve"> </w:t>
      </w:r>
      <w:r w:rsidRPr="000D558D">
        <w:rPr>
          <w:rFonts w:ascii="Palatino Linotype" w:hAnsi="Palatino Linotype" w:cs="Arial"/>
          <w:sz w:val="24"/>
          <w:szCs w:val="24"/>
        </w:rPr>
        <w:t xml:space="preserve">interpuestos por la </w:t>
      </w:r>
      <w:r w:rsidRPr="000D558D">
        <w:rPr>
          <w:rFonts w:ascii="Palatino Linotype" w:hAnsi="Palatino Linotype" w:cs="Arial"/>
          <w:b/>
          <w:sz w:val="24"/>
          <w:szCs w:val="24"/>
        </w:rPr>
        <w:t xml:space="preserve">C. </w:t>
      </w:r>
      <w:proofErr w:type="spellStart"/>
      <w:r w:rsidR="006C21F3">
        <w:rPr>
          <w:rFonts w:ascii="Palatino Linotype" w:hAnsi="Palatino Linotype" w:cs="Arial"/>
          <w:b/>
          <w:sz w:val="24"/>
          <w:szCs w:val="24"/>
        </w:rPr>
        <w:t>xxxxxxxxxxxxxxxxxxxxxxx</w:t>
      </w:r>
      <w:proofErr w:type="spellEnd"/>
      <w:r w:rsidRPr="000D558D">
        <w:rPr>
          <w:rFonts w:ascii="Palatino Linotype" w:hAnsi="Palatino Linotype" w:cs="Arial"/>
          <w:b/>
          <w:sz w:val="24"/>
          <w:szCs w:val="24"/>
        </w:rPr>
        <w:t xml:space="preserve"> </w:t>
      </w:r>
      <w:r w:rsidR="006C21F3">
        <w:rPr>
          <w:rFonts w:ascii="Palatino Linotype" w:hAnsi="Palatino Linotype" w:cs="Arial"/>
          <w:b/>
          <w:sz w:val="24"/>
          <w:szCs w:val="24"/>
        </w:rPr>
        <w:t>xxxxxxxxxxxxx</w:t>
      </w:r>
      <w:bookmarkStart w:id="0" w:name="_GoBack"/>
      <w:bookmarkEnd w:id="0"/>
      <w:r w:rsidRPr="000D558D">
        <w:rPr>
          <w:rFonts w:ascii="Palatino Linotype" w:hAnsi="Palatino Linotype" w:cs="Arial"/>
          <w:sz w:val="24"/>
          <w:szCs w:val="24"/>
        </w:rPr>
        <w:t>,</w:t>
      </w:r>
      <w:r w:rsidRPr="000D558D">
        <w:rPr>
          <w:rFonts w:ascii="Palatino Linotype" w:hAnsi="Palatino Linotype" w:cs="Arial"/>
          <w:b/>
          <w:sz w:val="24"/>
          <w:szCs w:val="24"/>
        </w:rPr>
        <w:t xml:space="preserve"> </w:t>
      </w:r>
      <w:r w:rsidRPr="000D558D">
        <w:rPr>
          <w:rFonts w:ascii="Palatino Linotype" w:hAnsi="Palatino Linotype" w:cs="Arial"/>
          <w:sz w:val="24"/>
          <w:szCs w:val="24"/>
        </w:rPr>
        <w:t xml:space="preserve">en lo sucesivo </w:t>
      </w:r>
      <w:r w:rsidRPr="000D558D">
        <w:rPr>
          <w:rFonts w:ascii="Palatino Linotype" w:hAnsi="Palatino Linotype" w:cs="Arial"/>
          <w:b/>
          <w:sz w:val="24"/>
          <w:szCs w:val="24"/>
        </w:rPr>
        <w:t>El Recurrente</w:t>
      </w:r>
      <w:r w:rsidRPr="000D558D">
        <w:rPr>
          <w:rFonts w:ascii="Palatino Linotype" w:hAnsi="Palatino Linotype" w:cs="Arial"/>
          <w:sz w:val="24"/>
          <w:szCs w:val="24"/>
        </w:rPr>
        <w:t xml:space="preserve">, en contra de las respuestas del </w:t>
      </w:r>
      <w:r w:rsidRPr="000D558D">
        <w:rPr>
          <w:rFonts w:ascii="Palatino Linotype" w:hAnsi="Palatino Linotype" w:cs="Arial"/>
          <w:b/>
          <w:sz w:val="24"/>
          <w:szCs w:val="24"/>
        </w:rPr>
        <w:t>Ayuntamiento de Cuautitlán</w:t>
      </w:r>
      <w:r w:rsidRPr="000D558D">
        <w:rPr>
          <w:rFonts w:ascii="Palatino Linotype" w:hAnsi="Palatino Linotype" w:cs="Arial"/>
          <w:sz w:val="24"/>
          <w:szCs w:val="24"/>
        </w:rPr>
        <w:t>, en lo subsecuente</w:t>
      </w:r>
      <w:r w:rsidRPr="000D558D">
        <w:rPr>
          <w:rFonts w:ascii="Palatino Linotype" w:hAnsi="Palatino Linotype" w:cs="Arial"/>
          <w:b/>
          <w:sz w:val="24"/>
          <w:szCs w:val="24"/>
        </w:rPr>
        <w:t xml:space="preserve"> El Sujeto Obligado</w:t>
      </w:r>
      <w:r w:rsidRPr="000D558D">
        <w:rPr>
          <w:rFonts w:ascii="Palatino Linotype" w:hAnsi="Palatino Linotype" w:cs="Arial"/>
          <w:sz w:val="24"/>
          <w:szCs w:val="24"/>
        </w:rPr>
        <w:t>,</w:t>
      </w:r>
      <w:r w:rsidRPr="000D558D">
        <w:rPr>
          <w:rFonts w:ascii="Palatino Linotype" w:hAnsi="Palatino Linotype" w:cs="Arial"/>
          <w:b/>
          <w:sz w:val="24"/>
          <w:szCs w:val="24"/>
        </w:rPr>
        <w:t xml:space="preserve"> </w:t>
      </w:r>
      <w:r w:rsidRPr="000D558D">
        <w:rPr>
          <w:rFonts w:ascii="Palatino Linotype" w:hAnsi="Palatino Linotype" w:cs="Arial"/>
          <w:sz w:val="24"/>
          <w:szCs w:val="24"/>
        </w:rPr>
        <w:t>se procede a</w:t>
      </w:r>
      <w:r w:rsidRPr="000D558D">
        <w:rPr>
          <w:rFonts w:ascii="Palatino Linotype" w:hAnsi="Palatino Linotype" w:cs="Arial"/>
          <w:sz w:val="24"/>
        </w:rPr>
        <w:t xml:space="preserve"> dictar la presente resolución.</w:t>
      </w:r>
    </w:p>
    <w:p w:rsidR="00E25BCD" w:rsidRPr="000D558D" w:rsidRDefault="00E25BCD" w:rsidP="00E25BCD">
      <w:pPr>
        <w:pStyle w:val="Sinespaciado"/>
        <w:jc w:val="both"/>
        <w:rPr>
          <w:rFonts w:ascii="Palatino Linotype" w:hAnsi="Palatino Linotype"/>
        </w:rPr>
      </w:pPr>
    </w:p>
    <w:p w:rsidR="00E25BCD" w:rsidRPr="000D558D" w:rsidRDefault="00E25BCD" w:rsidP="00E25BCD">
      <w:pPr>
        <w:spacing w:after="0" w:line="360" w:lineRule="auto"/>
        <w:jc w:val="center"/>
        <w:rPr>
          <w:rFonts w:ascii="Palatino Linotype" w:hAnsi="Palatino Linotype"/>
          <w:b/>
          <w:sz w:val="28"/>
        </w:rPr>
      </w:pPr>
      <w:r w:rsidRPr="000D558D">
        <w:rPr>
          <w:rFonts w:ascii="Palatino Linotype" w:hAnsi="Palatino Linotype"/>
          <w:b/>
          <w:sz w:val="28"/>
        </w:rPr>
        <w:t>A N T E C E D E N T E S   D E L   A S U N T O</w:t>
      </w:r>
    </w:p>
    <w:p w:rsidR="00E25BCD" w:rsidRPr="000D558D" w:rsidRDefault="00E25BCD" w:rsidP="00E25BCD">
      <w:pPr>
        <w:spacing w:after="0" w:line="360" w:lineRule="auto"/>
        <w:jc w:val="both"/>
        <w:rPr>
          <w:rFonts w:ascii="Palatino Linotype" w:hAnsi="Palatino Linotype" w:cs="Arial"/>
          <w:b/>
          <w:sz w:val="24"/>
        </w:rPr>
      </w:pPr>
    </w:p>
    <w:p w:rsidR="00E25BCD" w:rsidRPr="000D558D" w:rsidRDefault="00E25BCD" w:rsidP="00E25BCD">
      <w:pPr>
        <w:spacing w:after="0" w:line="360" w:lineRule="auto"/>
        <w:jc w:val="both"/>
        <w:rPr>
          <w:rFonts w:ascii="Palatino Linotype" w:hAnsi="Palatino Linotype"/>
        </w:rPr>
      </w:pPr>
      <w:r w:rsidRPr="000D558D">
        <w:rPr>
          <w:rFonts w:ascii="Palatino Linotype" w:hAnsi="Palatino Linotype" w:cs="Arial"/>
          <w:b/>
          <w:sz w:val="28"/>
        </w:rPr>
        <w:t>PRIMERO.</w:t>
      </w:r>
      <w:r w:rsidRPr="000D558D">
        <w:rPr>
          <w:rFonts w:ascii="Palatino Linotype" w:hAnsi="Palatino Linotype" w:cs="Arial"/>
        </w:rPr>
        <w:t xml:space="preserve"> </w:t>
      </w:r>
      <w:r w:rsidRPr="000D558D">
        <w:rPr>
          <w:rFonts w:ascii="Palatino Linotype" w:hAnsi="Palatino Linotype"/>
          <w:b/>
          <w:sz w:val="28"/>
          <w:szCs w:val="28"/>
        </w:rPr>
        <w:t>De las Solicitudes de Información.</w:t>
      </w:r>
    </w:p>
    <w:p w:rsidR="00E25BCD" w:rsidRPr="000D558D" w:rsidRDefault="00E25BCD" w:rsidP="00E25BCD">
      <w:pPr>
        <w:spacing w:after="0" w:line="360" w:lineRule="auto"/>
        <w:jc w:val="both"/>
        <w:rPr>
          <w:rFonts w:ascii="Palatino Linotype" w:hAnsi="Palatino Linotype" w:cs="Arial"/>
          <w:sz w:val="24"/>
        </w:rPr>
      </w:pPr>
      <w:r w:rsidRPr="000D558D">
        <w:rPr>
          <w:rFonts w:ascii="Palatino Linotype" w:hAnsi="Palatino Linotype" w:cs="Arial"/>
          <w:sz w:val="24"/>
        </w:rPr>
        <w:t xml:space="preserve">Con fecha dieciocho de enero de dos mil veintiuno, </w:t>
      </w:r>
      <w:r w:rsidRPr="000D558D">
        <w:rPr>
          <w:rFonts w:ascii="Palatino Linotype" w:hAnsi="Palatino Linotype" w:cs="Arial"/>
          <w:b/>
          <w:sz w:val="24"/>
        </w:rPr>
        <w:t>El Recurrente</w:t>
      </w:r>
      <w:r w:rsidRPr="000D558D">
        <w:rPr>
          <w:rFonts w:ascii="Palatino Linotype" w:hAnsi="Palatino Linotype" w:cs="Arial"/>
          <w:sz w:val="24"/>
        </w:rPr>
        <w:t xml:space="preserve">, presentó a través </w:t>
      </w:r>
      <w:proofErr w:type="gramStart"/>
      <w:r w:rsidRPr="000D558D">
        <w:rPr>
          <w:rFonts w:ascii="Palatino Linotype" w:hAnsi="Palatino Linotype" w:cs="Arial"/>
          <w:sz w:val="24"/>
        </w:rPr>
        <w:t>del</w:t>
      </w:r>
      <w:proofErr w:type="gramEnd"/>
      <w:r w:rsidRPr="000D558D">
        <w:rPr>
          <w:rFonts w:ascii="Palatino Linotype" w:hAnsi="Palatino Linotype" w:cs="Arial"/>
          <w:sz w:val="24"/>
        </w:rPr>
        <w:t xml:space="preserve"> Sistema de Acceso a la Información Mexiquense </w:t>
      </w:r>
      <w:r w:rsidRPr="000D558D">
        <w:rPr>
          <w:rFonts w:ascii="Palatino Linotype" w:hAnsi="Palatino Linotype" w:cs="Arial"/>
          <w:b/>
          <w:sz w:val="24"/>
        </w:rPr>
        <w:t>(SAIMEX)</w:t>
      </w:r>
      <w:r w:rsidRPr="000D558D">
        <w:rPr>
          <w:rFonts w:ascii="Palatino Linotype" w:hAnsi="Palatino Linotype" w:cs="Arial"/>
          <w:sz w:val="24"/>
        </w:rPr>
        <w:t xml:space="preserve"> ante </w:t>
      </w:r>
      <w:r w:rsidRPr="000D558D">
        <w:rPr>
          <w:rFonts w:ascii="Palatino Linotype" w:hAnsi="Palatino Linotype" w:cs="Arial"/>
          <w:b/>
          <w:sz w:val="24"/>
        </w:rPr>
        <w:t>El Sujeto Obligado</w:t>
      </w:r>
      <w:r w:rsidRPr="000D558D">
        <w:rPr>
          <w:rFonts w:ascii="Palatino Linotype" w:hAnsi="Palatino Linotype" w:cs="Arial"/>
          <w:sz w:val="24"/>
        </w:rPr>
        <w:t>, las solicitudes de acceso a la información pública, registradas bajo los números de expediente</w:t>
      </w:r>
      <w:r w:rsidRPr="000D558D">
        <w:rPr>
          <w:rFonts w:ascii="Palatino Linotype" w:hAnsi="Palatino Linotype" w:cs="Arial"/>
          <w:b/>
          <w:sz w:val="24"/>
        </w:rPr>
        <w:t xml:space="preserve">  00001/CUAUTIT/IP/2021</w:t>
      </w:r>
      <w:r w:rsidRPr="000D558D">
        <w:rPr>
          <w:rFonts w:ascii="Palatino Linotype" w:hAnsi="Palatino Linotype" w:cs="Arial"/>
          <w:sz w:val="24"/>
        </w:rPr>
        <w:t xml:space="preserve">, </w:t>
      </w:r>
      <w:r w:rsidRPr="000D558D">
        <w:rPr>
          <w:rFonts w:ascii="Palatino Linotype" w:hAnsi="Palatino Linotype" w:cs="Arial"/>
          <w:b/>
          <w:sz w:val="24"/>
        </w:rPr>
        <w:t>00002/CUAUTIT/IP/2021</w:t>
      </w:r>
      <w:r w:rsidRPr="000D558D">
        <w:rPr>
          <w:rFonts w:ascii="Palatino Linotype" w:hAnsi="Palatino Linotype" w:cs="Arial"/>
          <w:sz w:val="24"/>
        </w:rPr>
        <w:t xml:space="preserve"> </w:t>
      </w:r>
      <w:r w:rsidRPr="000D558D">
        <w:rPr>
          <w:rFonts w:ascii="Palatino Linotype" w:hAnsi="Palatino Linotype" w:cs="Arial"/>
          <w:b/>
          <w:sz w:val="24"/>
        </w:rPr>
        <w:t xml:space="preserve"> </w:t>
      </w:r>
      <w:r w:rsidRPr="000D558D">
        <w:rPr>
          <w:rFonts w:ascii="Palatino Linotype" w:hAnsi="Palatino Linotype" w:cs="Arial"/>
          <w:sz w:val="24"/>
        </w:rPr>
        <w:t xml:space="preserve">y </w:t>
      </w:r>
      <w:r w:rsidRPr="000D558D">
        <w:rPr>
          <w:rFonts w:ascii="Palatino Linotype" w:hAnsi="Palatino Linotype" w:cs="Arial"/>
          <w:b/>
          <w:sz w:val="24"/>
        </w:rPr>
        <w:t>00003/CUAUTIT/IP/2021</w:t>
      </w:r>
      <w:r w:rsidRPr="000D558D">
        <w:rPr>
          <w:rFonts w:ascii="Palatino Linotype" w:hAnsi="Palatino Linotype" w:cs="Arial"/>
          <w:sz w:val="24"/>
          <w:lang w:eastAsia="es-MX"/>
        </w:rPr>
        <w:t>,</w:t>
      </w:r>
      <w:r w:rsidRPr="000D558D">
        <w:rPr>
          <w:rFonts w:ascii="Palatino Linotype" w:hAnsi="Palatino Linotype" w:cs="Arial"/>
          <w:b/>
          <w:sz w:val="24"/>
          <w:lang w:eastAsia="es-MX"/>
        </w:rPr>
        <w:t xml:space="preserve"> </w:t>
      </w:r>
      <w:r w:rsidRPr="000D558D">
        <w:rPr>
          <w:rFonts w:ascii="Palatino Linotype" w:hAnsi="Palatino Linotype" w:cs="Arial"/>
          <w:sz w:val="24"/>
        </w:rPr>
        <w:t>mediante las cuales solicitó información en el tenor siguiente:</w:t>
      </w:r>
    </w:p>
    <w:p w:rsidR="00E25BCD" w:rsidRPr="000D558D" w:rsidRDefault="00E25BCD" w:rsidP="00E25BCD">
      <w:pPr>
        <w:pStyle w:val="Sinespaciado"/>
      </w:pPr>
    </w:p>
    <w:p w:rsidR="00E25BCD" w:rsidRPr="000D558D" w:rsidRDefault="00E25BCD" w:rsidP="00E25BCD">
      <w:pPr>
        <w:pStyle w:val="Prrafodelista"/>
        <w:numPr>
          <w:ilvl w:val="0"/>
          <w:numId w:val="5"/>
        </w:numPr>
        <w:jc w:val="both"/>
        <w:rPr>
          <w:rFonts w:ascii="Palatino Linotype" w:eastAsiaTheme="minorHAnsi" w:hAnsi="Palatino Linotype" w:cs="Arial"/>
          <w:i/>
          <w:u w:val="thick"/>
          <w:lang w:val="es-MX" w:eastAsia="en-US"/>
        </w:rPr>
      </w:pPr>
      <w:r w:rsidRPr="000D558D">
        <w:rPr>
          <w:rFonts w:ascii="Palatino Linotype" w:hAnsi="Palatino Linotype" w:cs="Arial"/>
          <w:b/>
          <w:i/>
          <w:u w:val="thick"/>
        </w:rPr>
        <w:t>Solicitud de información</w:t>
      </w:r>
      <w:r w:rsidRPr="000D558D">
        <w:rPr>
          <w:rFonts w:ascii="Palatino Linotype" w:hAnsi="Palatino Linotype" w:cs="Arial"/>
          <w:i/>
          <w:u w:val="thick"/>
        </w:rPr>
        <w:t xml:space="preserve"> </w:t>
      </w:r>
      <w:r w:rsidRPr="000D558D">
        <w:rPr>
          <w:rFonts w:ascii="Palatino Linotype" w:hAnsi="Palatino Linotype" w:cs="Arial"/>
          <w:b/>
          <w:i/>
          <w:u w:val="thick"/>
        </w:rPr>
        <w:t>00001/CUAUTIT/IP/2021.</w:t>
      </w:r>
    </w:p>
    <w:p w:rsidR="00E25BCD" w:rsidRPr="000D558D" w:rsidRDefault="00E25BCD" w:rsidP="00E25BCD">
      <w:pPr>
        <w:spacing w:after="0" w:line="276" w:lineRule="auto"/>
        <w:ind w:left="567" w:right="567"/>
        <w:jc w:val="both"/>
        <w:rPr>
          <w:rFonts w:ascii="Palatino Linotype" w:eastAsia="Times New Roman" w:hAnsi="Palatino Linotype" w:cs="Times New Roman"/>
          <w:i/>
          <w:szCs w:val="24"/>
          <w:lang w:val="es-ES_tradnl" w:eastAsia="es-ES"/>
        </w:rPr>
      </w:pPr>
      <w:r w:rsidRPr="000D558D">
        <w:rPr>
          <w:rFonts w:ascii="Palatino Linotype" w:eastAsia="Times New Roman" w:hAnsi="Palatino Linotype" w:cs="Times New Roman"/>
          <w:i/>
          <w:szCs w:val="24"/>
          <w:lang w:val="es-ES_tradnl" w:eastAsia="es-ES"/>
        </w:rPr>
        <w:t>“</w:t>
      </w:r>
      <w:r w:rsidRPr="000D558D">
        <w:rPr>
          <w:rFonts w:ascii="Palatino Linotype" w:hAnsi="Palatino Linotype"/>
          <w:i/>
          <w:color w:val="000000"/>
          <w:szCs w:val="24"/>
        </w:rPr>
        <w:t xml:space="preserve">CON FUNDAMENTO EN LA LEY DE TRANSPARENCIA FEDERAL Y LA LEY DE TRANSPARENCIA DEL ESTADO DE MEXICO Y MUNICIPIO, SOLICITO LO SIGUIENTE: 1.- CONTRATO DE PRESTACIÓN DE SERVICIOS DEL DESPACHO </w:t>
      </w:r>
      <w:r w:rsidRPr="000D558D">
        <w:rPr>
          <w:rFonts w:ascii="Palatino Linotype" w:hAnsi="Palatino Linotype"/>
          <w:i/>
          <w:color w:val="000000"/>
          <w:szCs w:val="24"/>
        </w:rPr>
        <w:lastRenderedPageBreak/>
        <w:t>LARA, 2.- QUE LA DIRECTORA DE ADMINISTRACIÓN EXPLIQUE LA JUSTIFICACIÓN DE LA CONTRATACIÓN Y POR QUE DEBE RESOLVER EL MAL TRABAJO REALIZADO POR LA TESORERÍA MUNICIPAL; DEPENDENCIA QUE HA DADO MUCHO QUE DESEAR POR EL MAL TRABAJO REALIZADO. 3.- EXPEDIENTES DE LOS TRABAJADORES DE LA SUBTESORERÍA DE EGRESOS</w:t>
      </w:r>
      <w:r w:rsidRPr="000D558D">
        <w:rPr>
          <w:rFonts w:ascii="Palatino Linotype" w:eastAsia="Times New Roman" w:hAnsi="Palatino Linotype" w:cs="Times New Roman"/>
          <w:i/>
          <w:szCs w:val="24"/>
          <w:lang w:val="es-ES_tradnl" w:eastAsia="es-ES"/>
        </w:rPr>
        <w:t>” [Sic]</w:t>
      </w:r>
    </w:p>
    <w:p w:rsidR="00E25BCD" w:rsidRPr="000D558D" w:rsidRDefault="00E25BCD" w:rsidP="00E25BCD">
      <w:pPr>
        <w:spacing w:after="0"/>
        <w:ind w:left="567" w:right="567"/>
        <w:jc w:val="both"/>
        <w:rPr>
          <w:rFonts w:ascii="Palatino Linotype" w:eastAsia="Times New Roman" w:hAnsi="Palatino Linotype" w:cs="Times New Roman"/>
          <w:i/>
          <w:szCs w:val="24"/>
          <w:lang w:val="es-ES_tradnl" w:eastAsia="es-ES"/>
        </w:rPr>
      </w:pPr>
    </w:p>
    <w:p w:rsidR="00E25BCD" w:rsidRPr="000D558D" w:rsidRDefault="00E25BCD" w:rsidP="00E25BCD">
      <w:pPr>
        <w:spacing w:after="0"/>
        <w:ind w:left="567" w:right="567"/>
        <w:jc w:val="both"/>
        <w:rPr>
          <w:rFonts w:ascii="Palatino Linotype" w:eastAsia="Times New Roman" w:hAnsi="Palatino Linotype" w:cs="Times New Roman"/>
          <w:i/>
          <w:szCs w:val="24"/>
          <w:lang w:val="es-ES_tradnl" w:eastAsia="es-ES"/>
        </w:rPr>
      </w:pPr>
    </w:p>
    <w:p w:rsidR="00E25BCD" w:rsidRPr="000D558D" w:rsidRDefault="00E25BCD" w:rsidP="00E25BCD">
      <w:pPr>
        <w:pStyle w:val="Prrafodelista"/>
        <w:numPr>
          <w:ilvl w:val="0"/>
          <w:numId w:val="5"/>
        </w:numPr>
        <w:jc w:val="both"/>
        <w:rPr>
          <w:rFonts w:ascii="Palatino Linotype" w:hAnsi="Palatino Linotype" w:cs="Arial"/>
          <w:i/>
          <w:u w:val="thick"/>
        </w:rPr>
      </w:pPr>
      <w:r w:rsidRPr="000D558D">
        <w:rPr>
          <w:rFonts w:ascii="Palatino Linotype" w:hAnsi="Palatino Linotype" w:cs="Arial"/>
          <w:b/>
          <w:i/>
          <w:u w:val="thick"/>
        </w:rPr>
        <w:t>Solicitud de información</w:t>
      </w:r>
      <w:r w:rsidRPr="000D558D">
        <w:rPr>
          <w:rFonts w:ascii="Palatino Linotype" w:hAnsi="Palatino Linotype" w:cs="Arial"/>
          <w:i/>
          <w:u w:val="thick"/>
        </w:rPr>
        <w:t xml:space="preserve"> </w:t>
      </w:r>
      <w:r w:rsidRPr="000D558D">
        <w:rPr>
          <w:rFonts w:ascii="Palatino Linotype" w:hAnsi="Palatino Linotype" w:cs="Arial"/>
          <w:b/>
          <w:i/>
          <w:u w:val="thick"/>
        </w:rPr>
        <w:t>00002/CUAUTIT/IP/2021.</w:t>
      </w:r>
    </w:p>
    <w:p w:rsidR="00E25BCD" w:rsidRPr="000D558D" w:rsidRDefault="00E25BCD" w:rsidP="00E25BCD">
      <w:pPr>
        <w:spacing w:after="0" w:line="276" w:lineRule="auto"/>
        <w:ind w:left="567" w:right="567"/>
        <w:jc w:val="both"/>
        <w:rPr>
          <w:rFonts w:ascii="Palatino Linotype" w:eastAsia="Times New Roman" w:hAnsi="Palatino Linotype" w:cs="Times New Roman"/>
          <w:i/>
          <w:szCs w:val="24"/>
          <w:lang w:val="es-ES_tradnl" w:eastAsia="es-ES"/>
        </w:rPr>
      </w:pPr>
      <w:r w:rsidRPr="000D558D">
        <w:rPr>
          <w:rFonts w:ascii="Palatino Linotype" w:eastAsia="Times New Roman" w:hAnsi="Palatino Linotype" w:cs="Times New Roman"/>
          <w:i/>
          <w:szCs w:val="24"/>
          <w:lang w:val="es-ES_tradnl" w:eastAsia="es-ES"/>
        </w:rPr>
        <w:t>“</w:t>
      </w:r>
      <w:r w:rsidRPr="000D558D">
        <w:rPr>
          <w:rFonts w:ascii="Palatino Linotype" w:hAnsi="Palatino Linotype"/>
          <w:i/>
          <w:color w:val="000000"/>
          <w:szCs w:val="24"/>
        </w:rPr>
        <w:t>CON FUNDAMENTO EN LA LEY DE TRANSPARENCIA FEDERAL Y LA LEY DE TRANSPARENCIA DEL ESTADO DE MEXICO Y MUNICIPIO, SOLICITO LO SIGUIENTE A LA CONTROLARÍA MUNICIPAL: 1.- EL RESULTADO DE LA AUDITORIA REALIZADA POR EL OSFEM Y QUE ES LO QUE HA HECHO AL RESPECTO 2.- SOPORTE DOCUMENTAL DE LAS AUDITORIAS, ARQUEOS DE CAJA Y/O CUALQUIER AUDITORIA INTERNA REALIZADAS A LA TESORERÍA MUNICIPAL. 2.- SI NO SE HA REALIZADO NINGUNA QUE EXPLIQUE POR QUE NO LO HAN HECHO Y QUE ES LO QUE HACEN EN CUMPLIMIENTO DE LAS FUNCIONES QUE A LA CONTRALORÍA LE CORRESPONDEN REALIZAR PARA EVITAR MALOS MANEJOS, DESVÍO DE RECURSOS Y EVITAR QUE EL MAL MANEJO DEL DINERO. 3.- QUE HA REALIZADO LA CONTRALORÍA MUNICIPAL PARA SANCIONAR A SERVIDORES PUBLICOS QUE HAN REALIZADO MAL SUS FUNCIONES YA QUE ESTO HA OCASIONADO LA CONTRATACIÓN DE DESPACHOS Y ASESORES PARA ARREGLAR LO QUE PERSONAL INEFICIENTE HA OCASIONADO Y HA PERJUDICADO.</w:t>
      </w:r>
      <w:r w:rsidRPr="000D558D">
        <w:rPr>
          <w:rFonts w:ascii="Palatino Linotype" w:eastAsia="Times New Roman" w:hAnsi="Palatino Linotype" w:cs="Times New Roman"/>
          <w:i/>
          <w:szCs w:val="24"/>
          <w:lang w:val="es-ES_tradnl" w:eastAsia="es-ES"/>
        </w:rPr>
        <w:t>” [Sic]</w:t>
      </w:r>
    </w:p>
    <w:p w:rsidR="00E25BCD" w:rsidRPr="000D558D" w:rsidRDefault="00E25BCD" w:rsidP="00E25BCD">
      <w:pPr>
        <w:spacing w:after="0" w:line="240" w:lineRule="auto"/>
        <w:ind w:left="567" w:right="567"/>
        <w:jc w:val="both"/>
        <w:rPr>
          <w:rFonts w:ascii="Palatino Linotype" w:eastAsia="Times New Roman" w:hAnsi="Palatino Linotype" w:cs="Times New Roman"/>
          <w:i/>
          <w:szCs w:val="24"/>
          <w:lang w:val="es-ES_tradnl" w:eastAsia="es-ES"/>
        </w:rPr>
      </w:pPr>
    </w:p>
    <w:p w:rsidR="00E25BCD" w:rsidRPr="000D558D" w:rsidRDefault="00E25BCD" w:rsidP="00E25BCD">
      <w:pPr>
        <w:spacing w:after="0" w:line="240" w:lineRule="auto"/>
        <w:ind w:left="567" w:right="567"/>
        <w:jc w:val="both"/>
        <w:rPr>
          <w:rFonts w:ascii="Palatino Linotype" w:eastAsia="Times New Roman" w:hAnsi="Palatino Linotype" w:cs="Times New Roman"/>
          <w:i/>
          <w:szCs w:val="24"/>
          <w:lang w:val="es-ES_tradnl" w:eastAsia="es-ES"/>
        </w:rPr>
      </w:pPr>
    </w:p>
    <w:p w:rsidR="00E25BCD" w:rsidRPr="000D558D" w:rsidRDefault="00E25BCD" w:rsidP="00E25BCD">
      <w:pPr>
        <w:pStyle w:val="Prrafodelista"/>
        <w:numPr>
          <w:ilvl w:val="0"/>
          <w:numId w:val="5"/>
        </w:numPr>
        <w:ind w:right="567"/>
        <w:jc w:val="both"/>
        <w:rPr>
          <w:rFonts w:ascii="Palatino Linotype" w:hAnsi="Palatino Linotype"/>
          <w:u w:val="thick"/>
          <w:lang w:val="es-ES_tradnl"/>
        </w:rPr>
      </w:pPr>
      <w:r w:rsidRPr="000D558D">
        <w:rPr>
          <w:rFonts w:ascii="Palatino Linotype" w:hAnsi="Palatino Linotype" w:cs="Arial"/>
          <w:b/>
          <w:i/>
          <w:u w:val="thick"/>
        </w:rPr>
        <w:t>Solicitud de información</w:t>
      </w:r>
      <w:r w:rsidRPr="000D558D">
        <w:rPr>
          <w:rFonts w:ascii="Palatino Linotype" w:hAnsi="Palatino Linotype" w:cs="Arial"/>
          <w:i/>
          <w:u w:val="thick"/>
        </w:rPr>
        <w:t xml:space="preserve"> </w:t>
      </w:r>
      <w:r w:rsidRPr="000D558D">
        <w:rPr>
          <w:rFonts w:ascii="Palatino Linotype" w:hAnsi="Palatino Linotype" w:cs="Arial"/>
          <w:b/>
          <w:i/>
          <w:u w:val="thick"/>
        </w:rPr>
        <w:t>00003/CUAUTIT/IP/2021.</w:t>
      </w:r>
    </w:p>
    <w:p w:rsidR="00E25BCD" w:rsidRPr="000D558D" w:rsidRDefault="00E25BCD" w:rsidP="00E25BCD">
      <w:pPr>
        <w:pStyle w:val="Prrafodelista"/>
        <w:spacing w:line="276" w:lineRule="auto"/>
        <w:ind w:left="567" w:right="567"/>
        <w:jc w:val="both"/>
        <w:rPr>
          <w:rFonts w:ascii="Palatino Linotype" w:hAnsi="Palatino Linotype"/>
          <w:sz w:val="22"/>
          <w:lang w:val="es-ES_tradnl"/>
        </w:rPr>
      </w:pPr>
      <w:r w:rsidRPr="000D558D">
        <w:rPr>
          <w:rFonts w:ascii="Palatino Linotype" w:hAnsi="Palatino Linotype"/>
          <w:i/>
          <w:sz w:val="22"/>
          <w:lang w:val="es-ES_tradnl"/>
        </w:rPr>
        <w:t>“</w:t>
      </w:r>
      <w:r w:rsidRPr="000D558D">
        <w:rPr>
          <w:rFonts w:ascii="Palatino Linotype" w:hAnsi="Palatino Linotype"/>
          <w:i/>
          <w:color w:val="000000"/>
          <w:sz w:val="22"/>
        </w:rPr>
        <w:t>CON FUNDAMENTO EN LA LEY DE TRANSPARENCIA FEDERAL Y LA LEY DE TRANSPARENCIA DEL ESTADO DE MEXICO Y MUNICIPIOS, SOLICITO SOPORTE DOCUMENTAL DE LOS PAGOS REALIZADOS AL DESPACHO LARA Y QUE INCLUYAN LAS ACTIVIDADES A DETALLE REALIZADAS Y QUE LOGROS HAN OBTENIDO CON SU CONTRATACIÓN.</w:t>
      </w:r>
      <w:r w:rsidRPr="000D558D">
        <w:rPr>
          <w:rFonts w:ascii="Palatino Linotype" w:hAnsi="Palatino Linotype"/>
          <w:i/>
          <w:sz w:val="22"/>
          <w:lang w:val="es-ES_tradnl"/>
        </w:rPr>
        <w:t>” [Sic]</w:t>
      </w:r>
    </w:p>
    <w:p w:rsidR="00E25BCD" w:rsidRPr="000D558D" w:rsidRDefault="00E25BCD" w:rsidP="00E25BCD">
      <w:pPr>
        <w:pStyle w:val="Sinespaciado"/>
        <w:rPr>
          <w:rFonts w:ascii="Palatino Linotype" w:hAnsi="Palatino Linotype"/>
          <w:lang w:val="es-ES_tradnl"/>
        </w:rPr>
      </w:pPr>
    </w:p>
    <w:p w:rsidR="00E25BCD" w:rsidRPr="000D558D" w:rsidRDefault="00E25BCD" w:rsidP="00E25BCD">
      <w:pPr>
        <w:spacing w:after="0" w:line="360" w:lineRule="auto"/>
        <w:jc w:val="both"/>
        <w:rPr>
          <w:rFonts w:ascii="Palatino Linotype" w:hAnsi="Palatino Linotype"/>
          <w:sz w:val="24"/>
          <w:lang w:val="es-ES_tradnl"/>
        </w:rPr>
      </w:pPr>
      <w:r w:rsidRPr="000D558D">
        <w:rPr>
          <w:rFonts w:ascii="Palatino Linotype" w:hAnsi="Palatino Linotype"/>
          <w:b/>
          <w:sz w:val="24"/>
          <w:lang w:val="es-ES_tradnl"/>
        </w:rPr>
        <w:t>MODALIDAD DE ENTREGA:</w:t>
      </w:r>
      <w:r w:rsidRPr="000D558D">
        <w:rPr>
          <w:rFonts w:ascii="Palatino Linotype" w:hAnsi="Palatino Linotype"/>
          <w:sz w:val="24"/>
          <w:lang w:val="es-ES_tradnl"/>
        </w:rPr>
        <w:t xml:space="preserve"> A través del </w:t>
      </w:r>
      <w:r w:rsidRPr="000D558D">
        <w:rPr>
          <w:rFonts w:ascii="Palatino Linotype" w:hAnsi="Palatino Linotype"/>
          <w:b/>
          <w:sz w:val="24"/>
          <w:lang w:val="es-ES_tradnl"/>
        </w:rPr>
        <w:t>SAIMEX</w:t>
      </w:r>
      <w:r w:rsidRPr="000D558D">
        <w:rPr>
          <w:rFonts w:ascii="Palatino Linotype" w:hAnsi="Palatino Linotype"/>
          <w:sz w:val="24"/>
          <w:lang w:val="es-ES_tradnl"/>
        </w:rPr>
        <w:t>, en todos los casos.</w:t>
      </w:r>
    </w:p>
    <w:p w:rsidR="00E25BCD" w:rsidRPr="000D558D" w:rsidRDefault="00E25BCD" w:rsidP="00E25BCD">
      <w:pPr>
        <w:spacing w:after="0" w:line="360" w:lineRule="auto"/>
        <w:jc w:val="both"/>
        <w:rPr>
          <w:rFonts w:ascii="Palatino Linotype" w:hAnsi="Palatino Linotype" w:cs="Arial"/>
          <w:b/>
          <w:sz w:val="28"/>
          <w:szCs w:val="24"/>
        </w:rPr>
      </w:pPr>
      <w:r w:rsidRPr="000D558D">
        <w:rPr>
          <w:rFonts w:ascii="Palatino Linotype" w:hAnsi="Palatino Linotype" w:cs="Arial"/>
          <w:b/>
          <w:sz w:val="28"/>
          <w:szCs w:val="24"/>
        </w:rPr>
        <w:lastRenderedPageBreak/>
        <w:t xml:space="preserve">SEGUNDO. De la solicitud de prórroga por parte del Sujeto Obligado. </w:t>
      </w:r>
    </w:p>
    <w:p w:rsidR="00E25BCD" w:rsidRPr="000D558D" w:rsidRDefault="00E25BCD" w:rsidP="00E25BCD">
      <w:pPr>
        <w:spacing w:after="0" w:line="360" w:lineRule="auto"/>
        <w:jc w:val="both"/>
        <w:rPr>
          <w:rFonts w:ascii="Palatino Linotype" w:hAnsi="Palatino Linotype" w:cs="Arial"/>
          <w:sz w:val="24"/>
          <w:szCs w:val="24"/>
        </w:rPr>
      </w:pPr>
      <w:r w:rsidRPr="000D558D">
        <w:rPr>
          <w:rFonts w:ascii="Palatino Linotype" w:hAnsi="Palatino Linotype" w:cs="Arial"/>
          <w:sz w:val="24"/>
          <w:szCs w:val="24"/>
        </w:rPr>
        <w:t xml:space="preserve">En fecha ocho de febrero de dos mil veintiuno, </w:t>
      </w:r>
      <w:r w:rsidRPr="000D558D">
        <w:rPr>
          <w:rFonts w:ascii="Palatino Linotype" w:hAnsi="Palatino Linotype" w:cs="Arial"/>
          <w:b/>
          <w:sz w:val="24"/>
          <w:szCs w:val="24"/>
        </w:rPr>
        <w:t>El Sujeto Obligado</w:t>
      </w:r>
      <w:r w:rsidRPr="000D558D">
        <w:rPr>
          <w:rFonts w:ascii="Palatino Linotype" w:hAnsi="Palatino Linotype" w:cs="Arial"/>
          <w:sz w:val="24"/>
          <w:szCs w:val="24"/>
        </w:rPr>
        <w:t xml:space="preserve"> solicitó prórroga para dar respuesta a las solicitudes de información </w:t>
      </w:r>
      <w:r w:rsidRPr="000D558D">
        <w:rPr>
          <w:rFonts w:ascii="Palatino Linotype" w:hAnsi="Palatino Linotype" w:cs="Arial"/>
          <w:b/>
          <w:sz w:val="24"/>
        </w:rPr>
        <w:t>00001/CUAUTIT/IP/2021</w:t>
      </w:r>
      <w:r w:rsidRPr="000D558D">
        <w:rPr>
          <w:rFonts w:ascii="Palatino Linotype" w:hAnsi="Palatino Linotype" w:cs="Arial"/>
          <w:sz w:val="24"/>
        </w:rPr>
        <w:t xml:space="preserve"> y </w:t>
      </w:r>
      <w:r w:rsidRPr="000D558D">
        <w:rPr>
          <w:rFonts w:ascii="Palatino Linotype" w:hAnsi="Palatino Linotype" w:cs="Arial"/>
          <w:b/>
          <w:sz w:val="24"/>
        </w:rPr>
        <w:t>00003/CUAUTIT/IP/2021</w:t>
      </w:r>
      <w:r w:rsidRPr="000D558D">
        <w:rPr>
          <w:rFonts w:ascii="Palatino Linotype" w:hAnsi="Palatino Linotype" w:cs="Arial"/>
          <w:sz w:val="24"/>
          <w:szCs w:val="24"/>
        </w:rPr>
        <w:t>, en los siguientes términos:</w:t>
      </w:r>
    </w:p>
    <w:p w:rsidR="00E25BCD" w:rsidRPr="000D558D" w:rsidRDefault="00E25BCD" w:rsidP="00E25BCD">
      <w:pPr>
        <w:pStyle w:val="Sinespaciado"/>
      </w:pPr>
    </w:p>
    <w:p w:rsidR="00E25BCD" w:rsidRPr="000D558D" w:rsidRDefault="00E25BCD" w:rsidP="00E25BCD">
      <w:pPr>
        <w:spacing w:after="0" w:line="276" w:lineRule="auto"/>
        <w:ind w:left="567" w:right="567"/>
        <w:jc w:val="both"/>
        <w:rPr>
          <w:rFonts w:ascii="Palatino Linotype" w:eastAsia="Times New Roman" w:hAnsi="Palatino Linotype" w:cs="Times New Roman"/>
          <w:i/>
          <w:lang w:eastAsia="es-MX"/>
        </w:rPr>
      </w:pPr>
      <w:r w:rsidRPr="000D558D">
        <w:rPr>
          <w:rFonts w:ascii="Palatino Linotype" w:eastAsia="Times New Roman" w:hAnsi="Palatino Linotype" w:cs="Times New Roman"/>
          <w:i/>
          <w:lang w:eastAsia="es-MX"/>
        </w:rPr>
        <w:t>“Con fundamento en el artículo 163 de la Ley de Transparencia y Acceso a la Información Pública del Estado de México y Municipios, se le hace de su conocimiento que el plazo de 15 días hábiles para atender su solicitud de información ha sido prorrogado por 7 días en virtud de las siguientes razones:</w:t>
      </w:r>
    </w:p>
    <w:p w:rsidR="00E25BCD" w:rsidRPr="000D558D" w:rsidRDefault="00E25BCD" w:rsidP="00E25BCD">
      <w:pPr>
        <w:spacing w:after="0" w:line="276" w:lineRule="auto"/>
        <w:ind w:left="567" w:right="567"/>
        <w:jc w:val="both"/>
        <w:rPr>
          <w:rFonts w:ascii="Palatino Linotype" w:eastAsia="Times New Roman" w:hAnsi="Palatino Linotype" w:cs="Times New Roman"/>
          <w:i/>
          <w:lang w:eastAsia="es-MX"/>
        </w:rPr>
      </w:pPr>
    </w:p>
    <w:p w:rsidR="00E25BCD" w:rsidRPr="000D558D" w:rsidRDefault="00E25BCD" w:rsidP="00E25BCD">
      <w:pPr>
        <w:spacing w:after="0" w:line="276" w:lineRule="auto"/>
        <w:ind w:left="567" w:right="567"/>
        <w:jc w:val="both"/>
        <w:rPr>
          <w:rFonts w:ascii="Palatino Linotype" w:eastAsia="Times New Roman" w:hAnsi="Palatino Linotype" w:cs="Times New Roman"/>
          <w:i/>
          <w:lang w:eastAsia="es-MX"/>
        </w:rPr>
      </w:pPr>
      <w:r w:rsidRPr="000D558D">
        <w:rPr>
          <w:rFonts w:ascii="Palatino Linotype" w:eastAsia="Times New Roman" w:hAnsi="Palatino Linotype" w:cs="Times New Roman"/>
          <w:i/>
          <w:lang w:eastAsia="es-MX"/>
        </w:rPr>
        <w:t>APROBADA</w:t>
      </w:r>
    </w:p>
    <w:p w:rsidR="00E25BCD" w:rsidRPr="000D558D" w:rsidRDefault="00E25BCD" w:rsidP="00E25BCD">
      <w:pPr>
        <w:spacing w:after="0" w:line="276" w:lineRule="auto"/>
        <w:ind w:left="567" w:right="567"/>
        <w:jc w:val="both"/>
        <w:rPr>
          <w:rFonts w:ascii="Palatino Linotype" w:eastAsia="Times New Roman" w:hAnsi="Palatino Linotype" w:cs="Times New Roman"/>
          <w:i/>
          <w:lang w:eastAsia="es-MX"/>
        </w:rPr>
      </w:pPr>
    </w:p>
    <w:p w:rsidR="00E25BCD" w:rsidRPr="000D558D" w:rsidRDefault="00E25BCD" w:rsidP="00E25BCD">
      <w:pPr>
        <w:spacing w:after="0" w:line="276" w:lineRule="auto"/>
        <w:ind w:left="567" w:right="567"/>
        <w:jc w:val="both"/>
        <w:rPr>
          <w:rFonts w:ascii="Palatino Linotype" w:eastAsia="Times New Roman" w:hAnsi="Palatino Linotype" w:cs="Times New Roman"/>
          <w:i/>
          <w:lang w:eastAsia="es-MX"/>
        </w:rPr>
      </w:pPr>
      <w:r w:rsidRPr="000D558D">
        <w:rPr>
          <w:rFonts w:ascii="Palatino Linotype" w:eastAsia="Times New Roman" w:hAnsi="Palatino Linotype" w:cs="Times New Roman"/>
          <w:i/>
          <w:lang w:eastAsia="es-MX"/>
        </w:rPr>
        <w:t>LIC. LUIS UBALDO GARAY RIOS</w:t>
      </w:r>
    </w:p>
    <w:p w:rsidR="00E25BCD" w:rsidRPr="000D558D" w:rsidRDefault="00E25BCD" w:rsidP="00E25BCD">
      <w:pPr>
        <w:spacing w:after="0" w:line="276" w:lineRule="auto"/>
        <w:ind w:left="567" w:right="567"/>
        <w:jc w:val="both"/>
        <w:rPr>
          <w:rFonts w:ascii="Palatino Linotype" w:hAnsi="Palatino Linotype" w:cs="Arial"/>
          <w:sz w:val="24"/>
          <w:szCs w:val="24"/>
        </w:rPr>
      </w:pPr>
      <w:r w:rsidRPr="000D558D">
        <w:rPr>
          <w:rFonts w:ascii="Palatino Linotype" w:eastAsia="Times New Roman" w:hAnsi="Palatino Linotype" w:cs="Times New Roman"/>
          <w:i/>
          <w:lang w:eastAsia="es-MX"/>
        </w:rPr>
        <w:t>Responsable de la Unidad de Transparencia” (Sic).</w:t>
      </w:r>
    </w:p>
    <w:p w:rsidR="00E25BCD" w:rsidRPr="000D558D" w:rsidRDefault="00E25BCD" w:rsidP="00E25BCD">
      <w:pPr>
        <w:spacing w:after="0" w:line="360" w:lineRule="auto"/>
        <w:jc w:val="both"/>
        <w:rPr>
          <w:rFonts w:ascii="Palatino Linotype" w:hAnsi="Palatino Linotype"/>
          <w:sz w:val="24"/>
          <w:lang w:val="es-ES_tradnl"/>
        </w:rPr>
      </w:pPr>
    </w:p>
    <w:p w:rsidR="00E25BCD" w:rsidRPr="000D558D" w:rsidRDefault="00E25BCD" w:rsidP="00E25BCD">
      <w:pPr>
        <w:spacing w:after="0" w:line="360" w:lineRule="auto"/>
        <w:jc w:val="both"/>
        <w:rPr>
          <w:rFonts w:ascii="Palatino Linotype" w:hAnsi="Palatino Linotype" w:cs="Arial"/>
          <w:b/>
          <w:sz w:val="28"/>
        </w:rPr>
      </w:pPr>
      <w:r w:rsidRPr="000D558D">
        <w:rPr>
          <w:rFonts w:ascii="Palatino Linotype" w:hAnsi="Palatino Linotype" w:cs="Arial"/>
          <w:b/>
          <w:sz w:val="28"/>
        </w:rPr>
        <w:t xml:space="preserve">TERCERO. </w:t>
      </w:r>
      <w:r w:rsidRPr="000D558D">
        <w:rPr>
          <w:rFonts w:ascii="Palatino Linotype" w:hAnsi="Palatino Linotype" w:cs="Arial"/>
          <w:b/>
          <w:sz w:val="28"/>
          <w:szCs w:val="20"/>
        </w:rPr>
        <w:t>De las respuestas del Sujeto Obligado.</w:t>
      </w:r>
    </w:p>
    <w:p w:rsidR="00E25BCD" w:rsidRPr="000D558D" w:rsidRDefault="00E25BCD" w:rsidP="00E25BCD">
      <w:pPr>
        <w:spacing w:after="0" w:line="360" w:lineRule="auto"/>
        <w:jc w:val="both"/>
        <w:rPr>
          <w:rFonts w:ascii="Palatino Linotype" w:hAnsi="Palatino Linotype" w:cs="Arial"/>
          <w:b/>
          <w:sz w:val="28"/>
        </w:rPr>
      </w:pPr>
      <w:r w:rsidRPr="000D558D">
        <w:rPr>
          <w:rFonts w:ascii="Palatino Linotype" w:hAnsi="Palatino Linotype" w:cs="Arial"/>
          <w:sz w:val="24"/>
        </w:rPr>
        <w:t xml:space="preserve">En el expediente electrónico </w:t>
      </w:r>
      <w:r w:rsidRPr="000D558D">
        <w:rPr>
          <w:rFonts w:ascii="Palatino Linotype" w:hAnsi="Palatino Linotype" w:cs="Arial"/>
          <w:b/>
          <w:sz w:val="24"/>
        </w:rPr>
        <w:t>SAIMEX</w:t>
      </w:r>
      <w:r w:rsidRPr="000D558D">
        <w:rPr>
          <w:rFonts w:ascii="Palatino Linotype" w:hAnsi="Palatino Linotype" w:cs="Arial"/>
          <w:sz w:val="24"/>
        </w:rPr>
        <w:t xml:space="preserve">, se aprecia que los días nueve y dieciocho de febrero de dos mil veintiuno, </w:t>
      </w:r>
      <w:r w:rsidRPr="000D558D">
        <w:rPr>
          <w:rFonts w:ascii="Palatino Linotype" w:hAnsi="Palatino Linotype" w:cs="Arial"/>
          <w:b/>
          <w:sz w:val="24"/>
        </w:rPr>
        <w:t>El Sujeto Obligado</w:t>
      </w:r>
      <w:r w:rsidRPr="000D558D">
        <w:rPr>
          <w:rFonts w:ascii="Palatino Linotype" w:hAnsi="Palatino Linotype" w:cs="Arial"/>
          <w:sz w:val="24"/>
        </w:rPr>
        <w:t xml:space="preserve"> dio respuesta a las solicitudes de información señalando lo siguiente: </w:t>
      </w:r>
    </w:p>
    <w:p w:rsidR="00E25BCD" w:rsidRPr="000D558D" w:rsidRDefault="00E25BCD" w:rsidP="00E25BCD">
      <w:pPr>
        <w:spacing w:after="0" w:line="276" w:lineRule="auto"/>
        <w:ind w:right="567"/>
        <w:jc w:val="both"/>
        <w:rPr>
          <w:rFonts w:ascii="Palatino Linotype" w:hAnsi="Palatino Linotype" w:cs="Arial"/>
          <w:sz w:val="24"/>
        </w:rPr>
      </w:pPr>
    </w:p>
    <w:p w:rsidR="00E25BCD" w:rsidRPr="000D558D" w:rsidRDefault="00E25BCD" w:rsidP="00E25BCD">
      <w:pPr>
        <w:pStyle w:val="Prrafodelista"/>
        <w:numPr>
          <w:ilvl w:val="0"/>
          <w:numId w:val="5"/>
        </w:numPr>
        <w:rPr>
          <w:rFonts w:ascii="Palatino Linotype" w:hAnsi="Palatino Linotype" w:cs="Arial"/>
          <w:b/>
          <w:i/>
          <w:u w:val="thick"/>
        </w:rPr>
      </w:pPr>
      <w:r w:rsidRPr="000D558D">
        <w:rPr>
          <w:rFonts w:ascii="Palatino Linotype" w:hAnsi="Palatino Linotype" w:cs="Arial"/>
          <w:b/>
          <w:i/>
          <w:u w:val="thick"/>
        </w:rPr>
        <w:t>Respuesta a la Solicitud de información</w:t>
      </w:r>
      <w:r w:rsidRPr="000D558D">
        <w:rPr>
          <w:rFonts w:ascii="Palatino Linotype" w:hAnsi="Palatino Linotype" w:cs="Arial"/>
          <w:i/>
          <w:u w:val="thick"/>
        </w:rPr>
        <w:t xml:space="preserve"> </w:t>
      </w:r>
      <w:r w:rsidRPr="000D558D">
        <w:rPr>
          <w:rFonts w:ascii="Palatino Linotype" w:hAnsi="Palatino Linotype" w:cs="Arial"/>
          <w:b/>
          <w:i/>
          <w:u w:val="thick"/>
        </w:rPr>
        <w:t>00001/CUAUTIT/IP/2021.</w:t>
      </w:r>
    </w:p>
    <w:p w:rsidR="00E25BCD" w:rsidRPr="000D558D" w:rsidRDefault="00E25BCD" w:rsidP="00E25BCD">
      <w:pPr>
        <w:spacing w:after="0" w:line="240" w:lineRule="auto"/>
        <w:jc w:val="both"/>
        <w:rPr>
          <w:rFonts w:ascii="Palatino Linotype" w:hAnsi="Palatino Linotype"/>
          <w:i/>
          <w:color w:val="000000"/>
        </w:rPr>
      </w:pPr>
      <w:r w:rsidRPr="000D558D">
        <w:rPr>
          <w:rFonts w:ascii="Palatino Linotype" w:eastAsia="Times New Roman" w:hAnsi="Palatino Linotype" w:cs="Times New Roman"/>
          <w:i/>
          <w:lang w:val="es-ES_tradnl" w:eastAsia="es-ES"/>
        </w:rPr>
        <w:t>“</w:t>
      </w:r>
      <w:r w:rsidRPr="000D558D">
        <w:rPr>
          <w:rFonts w:ascii="Palatino Linotype" w:hAnsi="Palatino Linotype"/>
          <w:i/>
          <w:color w:val="000000"/>
        </w:rPr>
        <w:t>En respuesta a la solicitud recibida, nos permitimos hacer de su conocimiento que con fundamento en el artículo 53, Fracciones: II, V y VI de la Ley de Transparencia y Acceso a la Información Pública del Estado de México y Municipios, le contestamos que:</w:t>
      </w:r>
    </w:p>
    <w:p w:rsidR="00E25BCD" w:rsidRPr="000D558D" w:rsidRDefault="00E25BCD" w:rsidP="00E25BCD">
      <w:pPr>
        <w:spacing w:after="0" w:line="240" w:lineRule="auto"/>
        <w:jc w:val="both"/>
        <w:rPr>
          <w:rFonts w:ascii="Palatino Linotype" w:hAnsi="Palatino Linotype"/>
          <w:i/>
          <w:color w:val="000000"/>
        </w:rPr>
      </w:pPr>
    </w:p>
    <w:p w:rsidR="00E25BCD" w:rsidRPr="000D558D" w:rsidRDefault="00E25BCD" w:rsidP="00E25BCD">
      <w:pPr>
        <w:spacing w:after="0" w:line="240" w:lineRule="auto"/>
        <w:jc w:val="both"/>
        <w:rPr>
          <w:rFonts w:ascii="Palatino Linotype" w:hAnsi="Palatino Linotype"/>
          <w:i/>
          <w:color w:val="000000"/>
        </w:rPr>
      </w:pPr>
      <w:r w:rsidRPr="000D558D">
        <w:rPr>
          <w:rFonts w:ascii="Palatino Linotype" w:hAnsi="Palatino Linotype"/>
          <w:i/>
          <w:color w:val="000000"/>
        </w:rPr>
        <w:t xml:space="preserve">En relación a su oficio No. UT/007/2021, de fecha 14 de enero de 2021 recibido en esta oficina con la misma fecha relativa a la solicitud de información pública identificada con el número 00001/CUAUTIT/IP/2021 ingresada el 11 de enero del año 2021 mediante el Sistema de Acceso a la Información Mexiquense (SAIMEX), en la que se solicita: “……..………………., Contrato de prestación de servicios del despacho Lara”. </w:t>
      </w:r>
      <w:proofErr w:type="gramStart"/>
      <w:r w:rsidRPr="000D558D">
        <w:rPr>
          <w:rFonts w:ascii="Palatino Linotype" w:hAnsi="Palatino Linotype"/>
          <w:i/>
          <w:color w:val="000000"/>
        </w:rPr>
        <w:t>al</w:t>
      </w:r>
      <w:proofErr w:type="gramEnd"/>
      <w:r w:rsidRPr="000D558D">
        <w:rPr>
          <w:rFonts w:ascii="Palatino Linotype" w:hAnsi="Palatino Linotype"/>
          <w:i/>
          <w:color w:val="000000"/>
        </w:rPr>
        <w:t xml:space="preserve"> respecto y derivado de la revisión realizada en los archivos que obran en esta Subdirección de Recursos Materiales, me permito enviarle lo siguiente: - Copia simple </w:t>
      </w:r>
      <w:r w:rsidRPr="000D558D">
        <w:rPr>
          <w:rFonts w:ascii="Palatino Linotype" w:hAnsi="Palatino Linotype"/>
          <w:i/>
          <w:color w:val="000000"/>
        </w:rPr>
        <w:lastRenderedPageBreak/>
        <w:t>de Contrato No. DA/SRM/AD/149.2/2020 celebrado con el prestador de servicios “Lara Moreno y Asociados S.C. Lo anterior para que sean testados los datos sensibles y se elabore la versión pública.</w:t>
      </w:r>
    </w:p>
    <w:p w:rsidR="00E25BCD" w:rsidRPr="000D558D" w:rsidRDefault="00E25BCD" w:rsidP="00E25BCD">
      <w:pPr>
        <w:spacing w:after="0" w:line="240" w:lineRule="auto"/>
        <w:jc w:val="both"/>
        <w:rPr>
          <w:rFonts w:ascii="Palatino Linotype" w:hAnsi="Palatino Linotype"/>
          <w:i/>
          <w:color w:val="000000"/>
        </w:rPr>
      </w:pPr>
    </w:p>
    <w:p w:rsidR="00E25BCD" w:rsidRPr="000D558D" w:rsidRDefault="00E25BCD" w:rsidP="00E25BCD">
      <w:pPr>
        <w:spacing w:after="0" w:line="240" w:lineRule="auto"/>
        <w:jc w:val="both"/>
        <w:rPr>
          <w:rFonts w:ascii="Palatino Linotype" w:hAnsi="Palatino Linotype"/>
          <w:i/>
          <w:color w:val="000000"/>
        </w:rPr>
      </w:pPr>
      <w:r w:rsidRPr="000D558D">
        <w:rPr>
          <w:rFonts w:ascii="Palatino Linotype" w:hAnsi="Palatino Linotype"/>
          <w:i/>
          <w:color w:val="000000"/>
        </w:rPr>
        <w:t>ATENTAMENTE</w:t>
      </w: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r w:rsidRPr="000D558D">
        <w:rPr>
          <w:rFonts w:ascii="Palatino Linotype" w:hAnsi="Palatino Linotype"/>
          <w:i/>
          <w:color w:val="000000"/>
        </w:rPr>
        <w:t>LIC. LUIS UBALDO GARAY RIOS</w:t>
      </w:r>
      <w:r w:rsidRPr="000D558D">
        <w:rPr>
          <w:rFonts w:ascii="Palatino Linotype" w:eastAsia="Times New Roman" w:hAnsi="Palatino Linotype" w:cs="Times New Roman"/>
          <w:i/>
          <w:lang w:val="es-ES_tradnl" w:eastAsia="es-ES"/>
        </w:rPr>
        <w:t>” [Sic]</w:t>
      </w: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p>
    <w:p w:rsidR="00E25BCD" w:rsidRPr="000D558D" w:rsidRDefault="00E25BCD" w:rsidP="00E25BCD">
      <w:pPr>
        <w:pStyle w:val="Prrafodelista"/>
        <w:numPr>
          <w:ilvl w:val="0"/>
          <w:numId w:val="10"/>
        </w:numPr>
        <w:jc w:val="both"/>
        <w:rPr>
          <w:rFonts w:ascii="Palatino Linotype" w:hAnsi="Palatino Linotype"/>
          <w:lang w:val="es-ES_tradnl"/>
        </w:rPr>
      </w:pPr>
      <w:r w:rsidRPr="000D558D">
        <w:rPr>
          <w:rFonts w:ascii="Palatino Linotype" w:hAnsi="Palatino Linotype"/>
          <w:lang w:val="es-ES_tradnl"/>
        </w:rPr>
        <w:t xml:space="preserve">Adjuntando a dicha respuesta, el archivo denominado </w:t>
      </w:r>
      <w:r w:rsidRPr="000D558D">
        <w:rPr>
          <w:rFonts w:ascii="Palatino Linotype" w:hAnsi="Palatino Linotype"/>
          <w:i/>
          <w:lang w:val="es-ES_tradnl"/>
        </w:rPr>
        <w:t xml:space="preserve">“Contestación 0001-2020.zip”, </w:t>
      </w:r>
      <w:r w:rsidRPr="000D558D">
        <w:rPr>
          <w:rFonts w:ascii="Palatino Linotype" w:hAnsi="Palatino Linotype"/>
          <w:lang w:val="es-ES_tradnl"/>
        </w:rPr>
        <w:t>mismo que será motivo de estudio en el Considerando respectivo.</w:t>
      </w: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p>
    <w:p w:rsidR="00E25BCD" w:rsidRPr="000D558D" w:rsidRDefault="00E25BCD" w:rsidP="00E25BCD">
      <w:pPr>
        <w:pStyle w:val="Prrafodelista"/>
        <w:numPr>
          <w:ilvl w:val="0"/>
          <w:numId w:val="5"/>
        </w:numPr>
        <w:rPr>
          <w:rFonts w:ascii="Palatino Linotype" w:hAnsi="Palatino Linotype" w:cs="Arial"/>
          <w:b/>
          <w:i/>
          <w:u w:val="thick"/>
        </w:rPr>
      </w:pPr>
      <w:r w:rsidRPr="000D558D">
        <w:rPr>
          <w:rFonts w:ascii="Palatino Linotype" w:hAnsi="Palatino Linotype" w:cs="Arial"/>
          <w:b/>
          <w:i/>
          <w:u w:val="thick"/>
        </w:rPr>
        <w:t>Respuesta a la Solicitud de información</w:t>
      </w:r>
      <w:r w:rsidRPr="000D558D">
        <w:rPr>
          <w:rFonts w:ascii="Palatino Linotype" w:hAnsi="Palatino Linotype" w:cs="Arial"/>
          <w:i/>
          <w:u w:val="thick"/>
        </w:rPr>
        <w:t xml:space="preserve"> </w:t>
      </w:r>
      <w:r w:rsidRPr="000D558D">
        <w:rPr>
          <w:rFonts w:ascii="Palatino Linotype" w:hAnsi="Palatino Linotype" w:cs="Arial"/>
          <w:b/>
          <w:i/>
          <w:u w:val="thick"/>
        </w:rPr>
        <w:t>00002/CUAUTIT/IP/2021.</w:t>
      </w: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r w:rsidRPr="000D558D">
        <w:rPr>
          <w:rFonts w:ascii="Palatino Linotype" w:eastAsia="Times New Roman" w:hAnsi="Palatino Linotype" w:cs="Times New Roman"/>
          <w:i/>
          <w:lang w:val="es-ES_tradnl" w:eastAsia="es-ES"/>
        </w:rPr>
        <w:t xml:space="preserve">“Me permito hacer entrega de la información solicitada y dar cumplimiento a lo estipulado en el Artículo 53 fracciones II, V y VI IV de la Ley de Transparencia Y Acceso a la Información </w:t>
      </w:r>
      <w:proofErr w:type="spellStart"/>
      <w:r w:rsidRPr="000D558D">
        <w:rPr>
          <w:rFonts w:ascii="Palatino Linotype" w:eastAsia="Times New Roman" w:hAnsi="Palatino Linotype" w:cs="Times New Roman"/>
          <w:i/>
          <w:lang w:val="es-ES_tradnl" w:eastAsia="es-ES"/>
        </w:rPr>
        <w:t>publica</w:t>
      </w:r>
      <w:proofErr w:type="spellEnd"/>
      <w:r w:rsidRPr="000D558D">
        <w:rPr>
          <w:rFonts w:ascii="Palatino Linotype" w:eastAsia="Times New Roman" w:hAnsi="Palatino Linotype" w:cs="Times New Roman"/>
          <w:i/>
          <w:lang w:val="es-ES_tradnl" w:eastAsia="es-ES"/>
        </w:rPr>
        <w:t xml:space="preserve"> del Estado de México y Municipios. Sin otro particular que el presente, le extiendo un cordial saludo.</w:t>
      </w: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r w:rsidRPr="000D558D">
        <w:rPr>
          <w:rFonts w:ascii="Palatino Linotype" w:eastAsia="Times New Roman" w:hAnsi="Palatino Linotype" w:cs="Times New Roman"/>
          <w:i/>
          <w:lang w:val="es-ES_tradnl" w:eastAsia="es-ES"/>
        </w:rPr>
        <w:t>ATENTAMENTE</w:t>
      </w: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r w:rsidRPr="000D558D">
        <w:rPr>
          <w:rFonts w:ascii="Palatino Linotype" w:eastAsia="Times New Roman" w:hAnsi="Palatino Linotype" w:cs="Times New Roman"/>
          <w:i/>
          <w:lang w:val="es-ES_tradnl" w:eastAsia="es-ES"/>
        </w:rPr>
        <w:t>LIC. LUIS UBALDO GARAY RIOS” [Sic]</w:t>
      </w: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p>
    <w:p w:rsidR="00E25BCD" w:rsidRPr="000D558D" w:rsidRDefault="00E25BCD" w:rsidP="00E25BCD">
      <w:pPr>
        <w:pStyle w:val="Prrafodelista"/>
        <w:numPr>
          <w:ilvl w:val="0"/>
          <w:numId w:val="10"/>
        </w:numPr>
        <w:jc w:val="both"/>
        <w:rPr>
          <w:rFonts w:ascii="Palatino Linotype" w:hAnsi="Palatino Linotype"/>
          <w:lang w:val="es-ES_tradnl"/>
        </w:rPr>
      </w:pPr>
      <w:r w:rsidRPr="000D558D">
        <w:rPr>
          <w:rFonts w:ascii="Palatino Linotype" w:hAnsi="Palatino Linotype"/>
          <w:lang w:val="es-ES_tradnl"/>
        </w:rPr>
        <w:t xml:space="preserve">Adjuntando a dicha respuesta, el archivo denominado </w:t>
      </w:r>
      <w:r w:rsidRPr="000D558D">
        <w:rPr>
          <w:rFonts w:ascii="Palatino Linotype" w:hAnsi="Palatino Linotype"/>
          <w:i/>
          <w:lang w:val="es-ES_tradnl"/>
        </w:rPr>
        <w:t xml:space="preserve">“Contestación 0002-2021.zip”, </w:t>
      </w:r>
      <w:r w:rsidRPr="000D558D">
        <w:rPr>
          <w:rFonts w:ascii="Palatino Linotype" w:hAnsi="Palatino Linotype"/>
          <w:lang w:val="es-ES_tradnl"/>
        </w:rPr>
        <w:t>mismo que será motivo de estudio en el Considerando respectivo.</w:t>
      </w:r>
    </w:p>
    <w:p w:rsidR="00E25BCD" w:rsidRPr="000D558D" w:rsidRDefault="00E25BCD" w:rsidP="00E25BCD">
      <w:pPr>
        <w:spacing w:after="0" w:line="240" w:lineRule="auto"/>
        <w:ind w:right="567"/>
        <w:jc w:val="both"/>
        <w:rPr>
          <w:rFonts w:ascii="Palatino Linotype" w:eastAsia="Times New Roman" w:hAnsi="Palatino Linotype" w:cs="Times New Roman"/>
          <w:i/>
          <w:lang w:val="es-ES_tradnl" w:eastAsia="es-ES"/>
        </w:rPr>
      </w:pPr>
    </w:p>
    <w:p w:rsidR="00E25BCD" w:rsidRPr="000D558D" w:rsidRDefault="00E25BCD" w:rsidP="00E25BCD">
      <w:pPr>
        <w:spacing w:after="0" w:line="240" w:lineRule="auto"/>
        <w:ind w:right="567"/>
        <w:jc w:val="both"/>
        <w:rPr>
          <w:rFonts w:ascii="Palatino Linotype" w:eastAsia="Times New Roman" w:hAnsi="Palatino Linotype" w:cs="Times New Roman"/>
          <w:i/>
          <w:lang w:val="es-ES_tradnl" w:eastAsia="es-ES"/>
        </w:rPr>
      </w:pPr>
    </w:p>
    <w:p w:rsidR="00E25BCD" w:rsidRPr="000D558D" w:rsidRDefault="00E25BCD" w:rsidP="00E25BCD">
      <w:pPr>
        <w:pStyle w:val="Prrafodelista"/>
        <w:numPr>
          <w:ilvl w:val="0"/>
          <w:numId w:val="5"/>
        </w:numPr>
        <w:rPr>
          <w:rFonts w:ascii="Palatino Linotype" w:hAnsi="Palatino Linotype" w:cs="Arial"/>
          <w:b/>
          <w:i/>
          <w:u w:val="thick"/>
        </w:rPr>
      </w:pPr>
      <w:r w:rsidRPr="000D558D">
        <w:rPr>
          <w:rFonts w:ascii="Palatino Linotype" w:hAnsi="Palatino Linotype" w:cs="Arial"/>
          <w:b/>
          <w:i/>
          <w:u w:val="thick"/>
        </w:rPr>
        <w:t>Respuesta a la Solicitud de información</w:t>
      </w:r>
      <w:r w:rsidRPr="000D558D">
        <w:rPr>
          <w:rFonts w:ascii="Palatino Linotype" w:hAnsi="Palatino Linotype" w:cs="Arial"/>
          <w:i/>
          <w:u w:val="thick"/>
        </w:rPr>
        <w:t xml:space="preserve"> </w:t>
      </w:r>
      <w:r w:rsidRPr="000D558D">
        <w:rPr>
          <w:rFonts w:ascii="Palatino Linotype" w:hAnsi="Palatino Linotype" w:cs="Arial"/>
          <w:b/>
          <w:i/>
          <w:u w:val="thick"/>
        </w:rPr>
        <w:t>00003/CUAUTIT/IP/2021.</w:t>
      </w: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r w:rsidRPr="000D558D">
        <w:rPr>
          <w:rFonts w:ascii="Palatino Linotype" w:eastAsia="Times New Roman" w:hAnsi="Palatino Linotype" w:cs="Times New Roman"/>
          <w:i/>
          <w:lang w:val="es-ES_tradnl" w:eastAsia="es-ES"/>
        </w:rPr>
        <w:t>“En respuesta a la solicitud recibida, nos permitimos hacer de su conocimiento que con fundamento en el artículo 53, Fracciones: II, V y VI de la Ley de Transparencia y Acceso a la Información Pública del Estado de México y Municipios, le contestamos que:</w:t>
      </w: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r w:rsidRPr="000D558D">
        <w:rPr>
          <w:rFonts w:ascii="Palatino Linotype" w:eastAsia="Times New Roman" w:hAnsi="Palatino Linotype" w:cs="Times New Roman"/>
          <w:i/>
          <w:lang w:val="es-ES_tradnl" w:eastAsia="es-ES"/>
        </w:rPr>
        <w:t xml:space="preserve">En relación a su oficio No. UT/010/2021, de fecha 14 de enero de 2021 recibido en esta oficina con la misma fecha relativa a la solicitud de información pública identificada con el número 00003/CUAUTIT/IP/2021 ingresada el 11 de enero del año 2021 mediante el Sistema de Acceso a la Información Mexiquense (SAIMEX), en la que se solicita: “……..………………., Soporte documental de los pagos realizados al despacho Lara y que incluyan las actividades a detalle realizadas y que logros han obtenido con su contratación”. </w:t>
      </w:r>
      <w:proofErr w:type="gramStart"/>
      <w:r w:rsidRPr="000D558D">
        <w:rPr>
          <w:rFonts w:ascii="Palatino Linotype" w:eastAsia="Times New Roman" w:hAnsi="Palatino Linotype" w:cs="Times New Roman"/>
          <w:i/>
          <w:lang w:val="es-ES_tradnl" w:eastAsia="es-ES"/>
        </w:rPr>
        <w:t>al</w:t>
      </w:r>
      <w:proofErr w:type="gramEnd"/>
      <w:r w:rsidRPr="000D558D">
        <w:rPr>
          <w:rFonts w:ascii="Palatino Linotype" w:eastAsia="Times New Roman" w:hAnsi="Palatino Linotype" w:cs="Times New Roman"/>
          <w:i/>
          <w:lang w:val="es-ES_tradnl" w:eastAsia="es-ES"/>
        </w:rPr>
        <w:t xml:space="preserve"> respecto me permito hacer de su conocimiento que la respuesta a dicha solicitud de información corresponde a la tesorería municipal.</w:t>
      </w: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r w:rsidRPr="000D558D">
        <w:rPr>
          <w:rFonts w:ascii="Palatino Linotype" w:eastAsia="Times New Roman" w:hAnsi="Palatino Linotype" w:cs="Times New Roman"/>
          <w:i/>
          <w:lang w:val="es-ES_tradnl" w:eastAsia="es-ES"/>
        </w:rPr>
        <w:t>ATENTAMENTE</w:t>
      </w: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r w:rsidRPr="000D558D">
        <w:rPr>
          <w:rFonts w:ascii="Palatino Linotype" w:eastAsia="Times New Roman" w:hAnsi="Palatino Linotype" w:cs="Times New Roman"/>
          <w:i/>
          <w:lang w:val="es-ES_tradnl" w:eastAsia="es-ES"/>
        </w:rPr>
        <w:t>LIC. LUIS UBALDO GARAY RIOS” [Sic]</w:t>
      </w:r>
    </w:p>
    <w:p w:rsidR="00E25BCD" w:rsidRPr="000D558D" w:rsidRDefault="00E25BCD" w:rsidP="00E25BCD">
      <w:pPr>
        <w:spacing w:after="0" w:line="240" w:lineRule="auto"/>
        <w:jc w:val="both"/>
        <w:rPr>
          <w:rFonts w:ascii="Palatino Linotype" w:eastAsia="Times New Roman" w:hAnsi="Palatino Linotype" w:cs="Times New Roman"/>
          <w:i/>
          <w:lang w:val="es-ES_tradnl" w:eastAsia="es-ES"/>
        </w:rPr>
      </w:pPr>
    </w:p>
    <w:p w:rsidR="00E25BCD" w:rsidRPr="000D558D" w:rsidRDefault="00E25BCD" w:rsidP="00E25BCD">
      <w:pPr>
        <w:pStyle w:val="Prrafodelista"/>
        <w:numPr>
          <w:ilvl w:val="0"/>
          <w:numId w:val="10"/>
        </w:numPr>
        <w:jc w:val="both"/>
        <w:rPr>
          <w:rFonts w:ascii="Palatino Linotype" w:hAnsi="Palatino Linotype"/>
          <w:lang w:val="es-ES_tradnl"/>
        </w:rPr>
      </w:pPr>
      <w:r w:rsidRPr="000D558D">
        <w:rPr>
          <w:rFonts w:ascii="Palatino Linotype" w:hAnsi="Palatino Linotype"/>
          <w:lang w:val="es-ES_tradnl"/>
        </w:rPr>
        <w:lastRenderedPageBreak/>
        <w:t xml:space="preserve">Adjuntando a dicha respuesta, el archivo denominado </w:t>
      </w:r>
      <w:r w:rsidRPr="000D558D">
        <w:rPr>
          <w:rFonts w:ascii="Palatino Linotype" w:hAnsi="Palatino Linotype"/>
          <w:i/>
          <w:lang w:val="es-ES_tradnl"/>
        </w:rPr>
        <w:t>“OFICIO CONTESTACIÓN SOL INF 00003 ACTIVIDADES Y PAGOS LARA.pdf”</w:t>
      </w:r>
      <w:r w:rsidRPr="000D558D">
        <w:rPr>
          <w:rFonts w:ascii="Palatino Linotype" w:hAnsi="Palatino Linotype"/>
          <w:lang w:val="es-ES_tradnl"/>
        </w:rPr>
        <w:t>, mismo que será motivo de estudio en el Considerando respectivo.</w:t>
      </w:r>
    </w:p>
    <w:p w:rsidR="00E25BCD" w:rsidRPr="000D558D" w:rsidRDefault="00E25BCD" w:rsidP="00E25BCD">
      <w:pPr>
        <w:spacing w:after="0" w:line="240" w:lineRule="auto"/>
        <w:ind w:left="567" w:right="567"/>
        <w:jc w:val="both"/>
        <w:rPr>
          <w:rFonts w:ascii="Palatino Linotype" w:eastAsia="Times New Roman" w:hAnsi="Palatino Linotype" w:cs="Times New Roman"/>
          <w:i/>
          <w:lang w:val="es-ES_tradnl" w:eastAsia="es-ES"/>
        </w:rPr>
      </w:pPr>
    </w:p>
    <w:p w:rsidR="00E25BCD" w:rsidRPr="000D558D" w:rsidRDefault="00E25BCD" w:rsidP="00E25BCD">
      <w:pPr>
        <w:spacing w:after="0" w:line="276" w:lineRule="auto"/>
        <w:ind w:right="567"/>
        <w:jc w:val="both"/>
        <w:rPr>
          <w:rFonts w:ascii="Palatino Linotype" w:hAnsi="Palatino Linotype" w:cs="Arial"/>
          <w:b/>
          <w:sz w:val="18"/>
        </w:rPr>
      </w:pPr>
    </w:p>
    <w:p w:rsidR="00E25BCD" w:rsidRPr="000D558D" w:rsidRDefault="00E25BCD" w:rsidP="00E25BCD">
      <w:pPr>
        <w:spacing w:after="0" w:line="360" w:lineRule="auto"/>
        <w:jc w:val="both"/>
        <w:rPr>
          <w:rFonts w:ascii="Palatino Linotype" w:hAnsi="Palatino Linotype" w:cs="Arial"/>
          <w:b/>
          <w:sz w:val="28"/>
        </w:rPr>
      </w:pPr>
      <w:r w:rsidRPr="000D558D">
        <w:rPr>
          <w:rFonts w:ascii="Palatino Linotype" w:hAnsi="Palatino Linotype" w:cs="Arial"/>
          <w:b/>
          <w:sz w:val="28"/>
        </w:rPr>
        <w:t xml:space="preserve">CUARTO. </w:t>
      </w:r>
      <w:r w:rsidRPr="000D558D">
        <w:rPr>
          <w:rFonts w:ascii="Palatino Linotype" w:hAnsi="Palatino Linotype"/>
          <w:b/>
          <w:sz w:val="28"/>
        </w:rPr>
        <w:t>Del recurso de revisión.</w:t>
      </w:r>
    </w:p>
    <w:p w:rsidR="00E25BCD" w:rsidRPr="000D558D" w:rsidRDefault="00E25BCD" w:rsidP="00E25BCD">
      <w:pPr>
        <w:spacing w:after="0" w:line="360" w:lineRule="auto"/>
        <w:jc w:val="both"/>
        <w:rPr>
          <w:rFonts w:ascii="Palatino Linotype" w:hAnsi="Palatino Linotype" w:cs="Arial"/>
          <w:sz w:val="24"/>
        </w:rPr>
      </w:pPr>
      <w:r w:rsidRPr="000D558D">
        <w:rPr>
          <w:rFonts w:ascii="Palatino Linotype" w:hAnsi="Palatino Linotype" w:cs="Arial"/>
          <w:sz w:val="24"/>
          <w:szCs w:val="24"/>
        </w:rPr>
        <w:t xml:space="preserve">Inconforme con las respuestas notificadas por </w:t>
      </w:r>
      <w:r w:rsidRPr="000D558D">
        <w:rPr>
          <w:rFonts w:ascii="Palatino Linotype" w:hAnsi="Palatino Linotype" w:cs="Arial"/>
          <w:b/>
          <w:sz w:val="24"/>
          <w:szCs w:val="24"/>
        </w:rPr>
        <w:t>El Sujeto Obligado</w:t>
      </w:r>
      <w:r w:rsidRPr="000D558D">
        <w:rPr>
          <w:rFonts w:ascii="Palatino Linotype" w:hAnsi="Palatino Linotype" w:cs="Arial"/>
          <w:sz w:val="24"/>
          <w:szCs w:val="24"/>
        </w:rPr>
        <w:t xml:space="preserve">, </w:t>
      </w:r>
      <w:r w:rsidRPr="000D558D">
        <w:rPr>
          <w:rFonts w:ascii="Palatino Linotype" w:hAnsi="Palatino Linotype" w:cs="Arial"/>
          <w:b/>
          <w:sz w:val="24"/>
          <w:szCs w:val="24"/>
        </w:rPr>
        <w:t xml:space="preserve">El Recurrente </w:t>
      </w:r>
      <w:r w:rsidRPr="000D558D">
        <w:rPr>
          <w:rFonts w:ascii="Palatino Linotype" w:hAnsi="Palatino Linotype" w:cs="Arial"/>
          <w:sz w:val="24"/>
          <w:szCs w:val="24"/>
        </w:rPr>
        <w:t>interpuso los recursos de revisión, en fecha tres de marzo de dos mil veintiuno, los cuales fueron registrados</w:t>
      </w:r>
      <w:r w:rsidRPr="000D558D">
        <w:rPr>
          <w:rFonts w:ascii="Palatino Linotype" w:hAnsi="Palatino Linotype" w:cs="Arial"/>
          <w:b/>
          <w:sz w:val="24"/>
          <w:szCs w:val="24"/>
        </w:rPr>
        <w:t xml:space="preserve"> </w:t>
      </w:r>
      <w:r w:rsidRPr="000D558D">
        <w:rPr>
          <w:rFonts w:ascii="Palatino Linotype" w:hAnsi="Palatino Linotype" w:cs="Arial"/>
          <w:sz w:val="24"/>
          <w:szCs w:val="24"/>
        </w:rPr>
        <w:t xml:space="preserve">en el sistema electrónico con los expedientes números </w:t>
      </w:r>
      <w:r w:rsidRPr="000D558D">
        <w:rPr>
          <w:rFonts w:ascii="Palatino Linotype" w:hAnsi="Palatino Linotype" w:cs="Arial"/>
          <w:b/>
          <w:bCs/>
          <w:sz w:val="24"/>
          <w:szCs w:val="24"/>
          <w:lang w:eastAsia="es-MX"/>
        </w:rPr>
        <w:t xml:space="preserve">00805/INFOEM/IP/RR/2021 </w:t>
      </w:r>
      <w:r w:rsidRPr="000D558D">
        <w:rPr>
          <w:rFonts w:ascii="Palatino Linotype" w:hAnsi="Palatino Linotype" w:cs="Arial"/>
          <w:bCs/>
          <w:i/>
          <w:sz w:val="24"/>
          <w:szCs w:val="24"/>
          <w:lang w:eastAsia="es-MX"/>
        </w:rPr>
        <w:t xml:space="preserve">(para la solicitud </w:t>
      </w:r>
      <w:r w:rsidRPr="000D558D">
        <w:rPr>
          <w:rFonts w:ascii="Palatino Linotype" w:hAnsi="Palatino Linotype" w:cs="Arial"/>
          <w:i/>
          <w:sz w:val="24"/>
        </w:rPr>
        <w:t>00001/CUAUTIT/IP/2021)</w:t>
      </w:r>
      <w:r w:rsidRPr="000D558D">
        <w:rPr>
          <w:rFonts w:ascii="Palatino Linotype" w:hAnsi="Palatino Linotype" w:cs="Arial"/>
          <w:sz w:val="24"/>
        </w:rPr>
        <w:t xml:space="preserve">, </w:t>
      </w:r>
      <w:r w:rsidRPr="000D558D">
        <w:rPr>
          <w:rFonts w:ascii="Palatino Linotype" w:hAnsi="Palatino Linotype" w:cs="Arial"/>
          <w:b/>
          <w:bCs/>
          <w:sz w:val="24"/>
          <w:szCs w:val="24"/>
          <w:lang w:eastAsia="es-MX"/>
        </w:rPr>
        <w:t xml:space="preserve">00806/INFOEM/IP/RR/2021 </w:t>
      </w:r>
      <w:r w:rsidRPr="000D558D">
        <w:rPr>
          <w:rFonts w:ascii="Palatino Linotype" w:hAnsi="Palatino Linotype" w:cs="Arial"/>
          <w:bCs/>
          <w:i/>
          <w:sz w:val="24"/>
          <w:szCs w:val="24"/>
          <w:lang w:eastAsia="es-MX"/>
        </w:rPr>
        <w:t xml:space="preserve">(para la solicitud </w:t>
      </w:r>
      <w:r w:rsidRPr="000D558D">
        <w:rPr>
          <w:rFonts w:ascii="Palatino Linotype" w:hAnsi="Palatino Linotype" w:cs="Arial"/>
          <w:i/>
          <w:sz w:val="24"/>
        </w:rPr>
        <w:t>00002/CUAUTIT/IP/2021)</w:t>
      </w:r>
      <w:r w:rsidRPr="000D558D">
        <w:rPr>
          <w:rFonts w:ascii="Palatino Linotype" w:hAnsi="Palatino Linotype" w:cs="Arial"/>
          <w:sz w:val="24"/>
        </w:rPr>
        <w:t xml:space="preserve"> </w:t>
      </w:r>
      <w:r w:rsidRPr="000D558D">
        <w:rPr>
          <w:rFonts w:ascii="Palatino Linotype" w:hAnsi="Palatino Linotype" w:cs="Arial"/>
          <w:i/>
          <w:sz w:val="24"/>
        </w:rPr>
        <w:t>y</w:t>
      </w:r>
      <w:r w:rsidRPr="000D558D">
        <w:rPr>
          <w:rFonts w:ascii="Palatino Linotype" w:hAnsi="Palatino Linotype" w:cs="Arial"/>
          <w:b/>
          <w:bCs/>
          <w:sz w:val="24"/>
          <w:szCs w:val="24"/>
          <w:lang w:eastAsia="es-MX"/>
        </w:rPr>
        <w:t xml:space="preserve"> 00807/INFOEM/IP/RR/2021 </w:t>
      </w:r>
      <w:r w:rsidRPr="000D558D">
        <w:rPr>
          <w:rFonts w:ascii="Palatino Linotype" w:hAnsi="Palatino Linotype" w:cs="Arial"/>
          <w:bCs/>
          <w:i/>
          <w:sz w:val="24"/>
          <w:szCs w:val="24"/>
          <w:lang w:eastAsia="es-MX"/>
        </w:rPr>
        <w:t xml:space="preserve">(para la solicitud </w:t>
      </w:r>
      <w:r w:rsidRPr="000D558D">
        <w:rPr>
          <w:rFonts w:ascii="Palatino Linotype" w:hAnsi="Palatino Linotype" w:cs="Arial"/>
          <w:i/>
          <w:sz w:val="24"/>
        </w:rPr>
        <w:t>00003/CUAUTIT/IP/2021)</w:t>
      </w:r>
      <w:r w:rsidRPr="000D558D">
        <w:rPr>
          <w:rFonts w:ascii="Palatino Linotype" w:hAnsi="Palatino Linotype" w:cs="Arial"/>
          <w:sz w:val="24"/>
          <w:szCs w:val="24"/>
        </w:rPr>
        <w:t xml:space="preserve">, en los cuales </w:t>
      </w:r>
      <w:r w:rsidRPr="000D558D">
        <w:rPr>
          <w:rFonts w:ascii="Palatino Linotype" w:hAnsi="Palatino Linotype" w:cs="Arial"/>
          <w:sz w:val="24"/>
        </w:rPr>
        <w:t>arguye, las siguientes manifestaciones:</w:t>
      </w:r>
    </w:p>
    <w:p w:rsidR="00E25BCD" w:rsidRPr="000D558D" w:rsidRDefault="00E25BCD" w:rsidP="00E25BCD">
      <w:pPr>
        <w:spacing w:after="0" w:line="360" w:lineRule="auto"/>
        <w:jc w:val="both"/>
        <w:rPr>
          <w:rFonts w:ascii="Palatino Linotype" w:hAnsi="Palatino Linotype" w:cs="Arial"/>
          <w:b/>
        </w:rPr>
      </w:pPr>
    </w:p>
    <w:p w:rsidR="00E25BCD" w:rsidRPr="000D558D" w:rsidRDefault="00E25BCD" w:rsidP="00E25BCD">
      <w:pPr>
        <w:pStyle w:val="Prrafodelista"/>
        <w:numPr>
          <w:ilvl w:val="0"/>
          <w:numId w:val="1"/>
        </w:numPr>
        <w:spacing w:line="360" w:lineRule="auto"/>
        <w:jc w:val="both"/>
        <w:rPr>
          <w:rFonts w:ascii="Palatino Linotype" w:hAnsi="Palatino Linotype" w:cs="Arial"/>
          <w:b/>
          <w:sz w:val="28"/>
        </w:rPr>
      </w:pPr>
      <w:r w:rsidRPr="000D558D">
        <w:rPr>
          <w:rFonts w:ascii="Palatino Linotype" w:hAnsi="Palatino Linotype" w:cs="Arial"/>
          <w:b/>
          <w:sz w:val="28"/>
        </w:rPr>
        <w:t>Acto Impugnado:</w:t>
      </w:r>
    </w:p>
    <w:p w:rsidR="00E25BCD" w:rsidRPr="000D558D" w:rsidRDefault="00E25BCD" w:rsidP="00E25BCD">
      <w:pPr>
        <w:spacing w:after="0" w:line="240" w:lineRule="auto"/>
        <w:ind w:left="851" w:right="851"/>
        <w:jc w:val="both"/>
        <w:rPr>
          <w:rFonts w:ascii="Palatino Linotype" w:hAnsi="Palatino Linotype" w:cs="Arial"/>
          <w:b/>
          <w:bCs/>
          <w:i/>
          <w:sz w:val="24"/>
          <w:szCs w:val="24"/>
          <w:u w:val="thick"/>
          <w:lang w:eastAsia="es-MX"/>
        </w:rPr>
      </w:pPr>
      <w:r w:rsidRPr="000D558D">
        <w:rPr>
          <w:rFonts w:ascii="Palatino Linotype" w:hAnsi="Palatino Linotype" w:cs="Arial"/>
          <w:b/>
          <w:bCs/>
          <w:i/>
          <w:sz w:val="24"/>
          <w:szCs w:val="24"/>
          <w:u w:val="thick"/>
          <w:lang w:eastAsia="es-MX"/>
        </w:rPr>
        <w:t>00805/INFOEM/IP/RR/2021</w:t>
      </w:r>
    </w:p>
    <w:p w:rsidR="00E25BCD" w:rsidRPr="000D558D" w:rsidRDefault="00E25BCD" w:rsidP="00E25BCD">
      <w:pPr>
        <w:spacing w:after="0" w:line="240" w:lineRule="auto"/>
        <w:ind w:left="851" w:right="851"/>
        <w:jc w:val="both"/>
        <w:rPr>
          <w:rFonts w:ascii="Palatino Linotype" w:hAnsi="Palatino Linotype" w:cs="Arial"/>
          <w:i/>
        </w:rPr>
      </w:pPr>
      <w:r w:rsidRPr="000D558D">
        <w:rPr>
          <w:rFonts w:ascii="Palatino Linotype" w:hAnsi="Palatino Linotype" w:cs="Arial"/>
          <w:i/>
        </w:rPr>
        <w:t>“INFORMACIÓN INCOMPLETA” [sic]</w:t>
      </w:r>
    </w:p>
    <w:p w:rsidR="00E25BCD" w:rsidRPr="000D558D" w:rsidRDefault="00E25BCD" w:rsidP="00E25BCD">
      <w:pPr>
        <w:spacing w:after="0" w:line="240" w:lineRule="auto"/>
        <w:ind w:left="851" w:right="851"/>
        <w:jc w:val="both"/>
        <w:rPr>
          <w:rFonts w:ascii="Palatino Linotype" w:hAnsi="Palatino Linotype" w:cs="Arial"/>
          <w:i/>
        </w:rPr>
      </w:pPr>
    </w:p>
    <w:p w:rsidR="00E25BCD" w:rsidRPr="000D558D" w:rsidRDefault="00E25BCD" w:rsidP="00E25BCD">
      <w:pPr>
        <w:spacing w:after="0" w:line="240" w:lineRule="auto"/>
        <w:ind w:left="851" w:right="851"/>
        <w:jc w:val="both"/>
        <w:rPr>
          <w:rFonts w:ascii="Palatino Linotype" w:hAnsi="Palatino Linotype" w:cs="Arial"/>
          <w:b/>
          <w:bCs/>
          <w:i/>
          <w:sz w:val="24"/>
          <w:szCs w:val="24"/>
          <w:u w:val="thick"/>
          <w:lang w:eastAsia="es-MX"/>
        </w:rPr>
      </w:pPr>
      <w:r w:rsidRPr="000D558D">
        <w:rPr>
          <w:rFonts w:ascii="Palatino Linotype" w:hAnsi="Palatino Linotype" w:cs="Arial"/>
          <w:b/>
          <w:bCs/>
          <w:i/>
          <w:sz w:val="24"/>
          <w:szCs w:val="24"/>
          <w:u w:val="thick"/>
          <w:lang w:eastAsia="es-MX"/>
        </w:rPr>
        <w:t xml:space="preserve">00806/INFOEM/IP/RR/2021 </w:t>
      </w:r>
    </w:p>
    <w:p w:rsidR="00E25BCD" w:rsidRPr="000D558D" w:rsidRDefault="00E25BCD" w:rsidP="00E25BCD">
      <w:pPr>
        <w:spacing w:after="0" w:line="240" w:lineRule="auto"/>
        <w:ind w:left="851" w:right="851"/>
        <w:jc w:val="both"/>
        <w:rPr>
          <w:rFonts w:ascii="Palatino Linotype" w:hAnsi="Palatino Linotype" w:cs="Arial"/>
          <w:i/>
        </w:rPr>
      </w:pPr>
      <w:r w:rsidRPr="000D558D">
        <w:rPr>
          <w:rFonts w:ascii="Palatino Linotype" w:hAnsi="Palatino Linotype" w:cs="Arial"/>
          <w:i/>
        </w:rPr>
        <w:t>“INFORMACIÓN INCOMPLETA” [sic]</w:t>
      </w:r>
    </w:p>
    <w:p w:rsidR="00E25BCD" w:rsidRPr="000D558D" w:rsidRDefault="00E25BCD" w:rsidP="00E25BCD">
      <w:pPr>
        <w:spacing w:after="0" w:line="240" w:lineRule="auto"/>
        <w:ind w:left="851" w:right="851"/>
        <w:jc w:val="both"/>
        <w:rPr>
          <w:rFonts w:ascii="Palatino Linotype" w:hAnsi="Palatino Linotype" w:cs="Arial"/>
          <w:i/>
        </w:rPr>
      </w:pPr>
    </w:p>
    <w:p w:rsidR="00E25BCD" w:rsidRPr="000D558D" w:rsidRDefault="00E25BCD" w:rsidP="00E25BCD">
      <w:pPr>
        <w:spacing w:after="0" w:line="240" w:lineRule="auto"/>
        <w:ind w:left="851" w:right="851"/>
        <w:jc w:val="both"/>
        <w:rPr>
          <w:rFonts w:ascii="Palatino Linotype" w:hAnsi="Palatino Linotype" w:cs="Arial"/>
          <w:b/>
          <w:bCs/>
          <w:i/>
          <w:sz w:val="24"/>
          <w:szCs w:val="24"/>
          <w:u w:val="thick"/>
          <w:lang w:eastAsia="es-MX"/>
        </w:rPr>
      </w:pPr>
      <w:r w:rsidRPr="000D558D">
        <w:rPr>
          <w:rFonts w:ascii="Palatino Linotype" w:hAnsi="Palatino Linotype" w:cs="Arial"/>
          <w:b/>
          <w:bCs/>
          <w:i/>
          <w:sz w:val="24"/>
          <w:szCs w:val="24"/>
          <w:u w:val="thick"/>
          <w:lang w:eastAsia="es-MX"/>
        </w:rPr>
        <w:t xml:space="preserve">00807/INFOEM/IP/RR/2021 </w:t>
      </w:r>
    </w:p>
    <w:p w:rsidR="00E25BCD" w:rsidRPr="000D558D" w:rsidRDefault="00E25BCD" w:rsidP="00E25BCD">
      <w:pPr>
        <w:spacing w:after="0" w:line="240" w:lineRule="auto"/>
        <w:ind w:left="851" w:right="851"/>
        <w:jc w:val="both"/>
        <w:rPr>
          <w:rFonts w:ascii="Palatino Linotype" w:hAnsi="Palatino Linotype" w:cs="Arial"/>
          <w:i/>
        </w:rPr>
      </w:pPr>
      <w:r w:rsidRPr="000D558D">
        <w:rPr>
          <w:rFonts w:ascii="Palatino Linotype" w:hAnsi="Palatino Linotype" w:cs="Arial"/>
          <w:i/>
        </w:rPr>
        <w:t>“INFORMACIÓN INCOMPLETA” [sic]</w:t>
      </w:r>
    </w:p>
    <w:p w:rsidR="00E25BCD" w:rsidRPr="000D558D" w:rsidRDefault="00E25BCD" w:rsidP="00E25BCD">
      <w:pPr>
        <w:spacing w:after="0" w:line="240" w:lineRule="auto"/>
        <w:ind w:left="851" w:right="851"/>
        <w:jc w:val="both"/>
        <w:rPr>
          <w:rFonts w:ascii="Palatino Linotype" w:hAnsi="Palatino Linotype" w:cs="Arial"/>
          <w:i/>
        </w:rPr>
      </w:pPr>
    </w:p>
    <w:p w:rsidR="00E25BCD" w:rsidRPr="000D558D" w:rsidRDefault="00E25BCD" w:rsidP="00E25BCD">
      <w:pPr>
        <w:spacing w:after="0" w:line="240" w:lineRule="auto"/>
        <w:ind w:right="851"/>
        <w:jc w:val="both"/>
        <w:rPr>
          <w:rFonts w:ascii="Palatino Linotype" w:hAnsi="Palatino Linotype" w:cs="Arial"/>
          <w:i/>
        </w:rPr>
      </w:pPr>
    </w:p>
    <w:p w:rsidR="00E25BCD" w:rsidRPr="000D558D" w:rsidRDefault="00E25BCD" w:rsidP="00E25BCD">
      <w:pPr>
        <w:pStyle w:val="Prrafodelista"/>
        <w:numPr>
          <w:ilvl w:val="0"/>
          <w:numId w:val="1"/>
        </w:numPr>
        <w:spacing w:line="360" w:lineRule="auto"/>
        <w:jc w:val="both"/>
        <w:rPr>
          <w:rFonts w:ascii="Palatino Linotype" w:hAnsi="Palatino Linotype" w:cs="Arial"/>
          <w:sz w:val="28"/>
        </w:rPr>
      </w:pPr>
      <w:r w:rsidRPr="000D558D">
        <w:rPr>
          <w:rFonts w:ascii="Palatino Linotype" w:hAnsi="Palatino Linotype" w:cs="Arial"/>
          <w:b/>
          <w:sz w:val="28"/>
        </w:rPr>
        <w:t>Razones o Motivos de Inconformidad</w:t>
      </w:r>
      <w:r w:rsidRPr="000D558D">
        <w:rPr>
          <w:rFonts w:ascii="Palatino Linotype" w:hAnsi="Palatino Linotype" w:cs="Arial"/>
          <w:sz w:val="28"/>
        </w:rPr>
        <w:t xml:space="preserve">: </w:t>
      </w:r>
    </w:p>
    <w:p w:rsidR="00E25BCD" w:rsidRPr="000D558D" w:rsidRDefault="00E25BCD" w:rsidP="00E25BCD">
      <w:pPr>
        <w:pStyle w:val="Prrafodelista"/>
        <w:ind w:left="720" w:right="851"/>
        <w:jc w:val="both"/>
        <w:rPr>
          <w:rFonts w:ascii="Palatino Linotype" w:hAnsi="Palatino Linotype" w:cs="Arial"/>
          <w:b/>
          <w:bCs/>
          <w:i/>
          <w:u w:val="thick"/>
          <w:lang w:eastAsia="es-MX"/>
        </w:rPr>
      </w:pPr>
      <w:r w:rsidRPr="000D558D">
        <w:rPr>
          <w:rFonts w:ascii="Palatino Linotype" w:hAnsi="Palatino Linotype" w:cs="Arial"/>
          <w:b/>
          <w:bCs/>
          <w:i/>
          <w:u w:val="thick"/>
          <w:lang w:eastAsia="es-MX"/>
        </w:rPr>
        <w:t>00805/INFOEM/IP/RR/2021</w:t>
      </w:r>
    </w:p>
    <w:p w:rsidR="00E25BCD" w:rsidRPr="000D558D" w:rsidRDefault="00E25BCD" w:rsidP="00E25BCD">
      <w:pPr>
        <w:pStyle w:val="Prrafodelista"/>
        <w:ind w:left="720" w:right="851"/>
        <w:jc w:val="both"/>
        <w:rPr>
          <w:rFonts w:ascii="Palatino Linotype" w:hAnsi="Palatino Linotype" w:cs="Arial"/>
          <w:i/>
        </w:rPr>
      </w:pPr>
      <w:r w:rsidRPr="000D558D">
        <w:rPr>
          <w:rFonts w:ascii="Palatino Linotype" w:hAnsi="Palatino Linotype" w:cs="Arial"/>
          <w:i/>
        </w:rPr>
        <w:t xml:space="preserve"> “INFORMACIÓN INCOMPLETA” [sic]</w:t>
      </w:r>
    </w:p>
    <w:p w:rsidR="00E25BCD" w:rsidRPr="000D558D" w:rsidRDefault="00E25BCD" w:rsidP="00E25BCD">
      <w:pPr>
        <w:pStyle w:val="Prrafodelista"/>
        <w:ind w:left="720" w:right="851"/>
        <w:jc w:val="both"/>
        <w:rPr>
          <w:rFonts w:ascii="Palatino Linotype" w:hAnsi="Palatino Linotype" w:cs="Arial"/>
          <w:i/>
        </w:rPr>
      </w:pPr>
    </w:p>
    <w:p w:rsidR="00E25BCD" w:rsidRPr="000D558D" w:rsidRDefault="00E25BCD" w:rsidP="00E25BCD">
      <w:pPr>
        <w:pStyle w:val="Prrafodelista"/>
        <w:ind w:left="720" w:right="851"/>
        <w:jc w:val="both"/>
        <w:rPr>
          <w:rFonts w:ascii="Palatino Linotype" w:hAnsi="Palatino Linotype" w:cs="Arial"/>
          <w:b/>
          <w:bCs/>
          <w:i/>
          <w:u w:val="thick"/>
          <w:lang w:eastAsia="es-MX"/>
        </w:rPr>
      </w:pPr>
      <w:r w:rsidRPr="000D558D">
        <w:rPr>
          <w:rFonts w:ascii="Palatino Linotype" w:hAnsi="Palatino Linotype" w:cs="Arial"/>
          <w:b/>
          <w:bCs/>
          <w:i/>
          <w:u w:val="thick"/>
          <w:lang w:eastAsia="es-MX"/>
        </w:rPr>
        <w:t>00806/INFOEM/IP/RR/2021</w:t>
      </w:r>
    </w:p>
    <w:p w:rsidR="00E25BCD" w:rsidRPr="000D558D" w:rsidRDefault="00E25BCD" w:rsidP="00E25BCD">
      <w:pPr>
        <w:pStyle w:val="Prrafodelista"/>
        <w:ind w:left="720" w:right="851"/>
        <w:jc w:val="both"/>
        <w:rPr>
          <w:rFonts w:ascii="Palatino Linotype" w:hAnsi="Palatino Linotype" w:cs="Arial"/>
          <w:b/>
          <w:bCs/>
          <w:i/>
          <w:u w:val="thick"/>
          <w:lang w:eastAsia="es-MX"/>
        </w:rPr>
      </w:pPr>
      <w:r w:rsidRPr="000D558D">
        <w:rPr>
          <w:rFonts w:ascii="Palatino Linotype" w:hAnsi="Palatino Linotype" w:cs="Arial"/>
          <w:i/>
        </w:rPr>
        <w:t>“INFORMACIÓN INCOMPLETA” [sic]</w:t>
      </w:r>
    </w:p>
    <w:p w:rsidR="00E25BCD" w:rsidRPr="000D558D" w:rsidRDefault="00E25BCD" w:rsidP="00E25BCD">
      <w:pPr>
        <w:spacing w:after="0" w:line="240" w:lineRule="auto"/>
        <w:ind w:left="851" w:right="851"/>
        <w:jc w:val="both"/>
        <w:rPr>
          <w:rFonts w:ascii="Palatino Linotype" w:hAnsi="Palatino Linotype" w:cs="Arial"/>
          <w:b/>
          <w:bCs/>
          <w:i/>
          <w:sz w:val="24"/>
          <w:szCs w:val="24"/>
          <w:u w:val="thick"/>
          <w:lang w:eastAsia="es-MX"/>
        </w:rPr>
      </w:pPr>
      <w:r w:rsidRPr="000D558D">
        <w:rPr>
          <w:rFonts w:ascii="Palatino Linotype" w:hAnsi="Palatino Linotype" w:cs="Arial"/>
          <w:b/>
          <w:bCs/>
          <w:i/>
          <w:sz w:val="24"/>
          <w:szCs w:val="24"/>
          <w:u w:val="thick"/>
          <w:lang w:eastAsia="es-MX"/>
        </w:rPr>
        <w:lastRenderedPageBreak/>
        <w:t xml:space="preserve">00807/INFOEM/IP/RR/2021 </w:t>
      </w:r>
    </w:p>
    <w:p w:rsidR="00E25BCD" w:rsidRPr="000D558D" w:rsidRDefault="00E25BCD" w:rsidP="00E25BCD">
      <w:pPr>
        <w:spacing w:after="0" w:line="240" w:lineRule="auto"/>
        <w:ind w:left="851" w:right="851"/>
        <w:jc w:val="both"/>
        <w:rPr>
          <w:rFonts w:ascii="Palatino Linotype" w:hAnsi="Palatino Linotype" w:cs="Arial"/>
          <w:i/>
        </w:rPr>
      </w:pPr>
      <w:r w:rsidRPr="000D558D">
        <w:rPr>
          <w:rFonts w:ascii="Palatino Linotype" w:hAnsi="Palatino Linotype" w:cs="Arial"/>
          <w:i/>
        </w:rPr>
        <w:t>“NO PRESENTA DOCUMENTACIÓN QUE AMPARE LOS SERVICIOS BRINDADOS” [sic]</w:t>
      </w:r>
    </w:p>
    <w:p w:rsidR="00E25BCD" w:rsidRPr="000D558D" w:rsidRDefault="00E25BCD" w:rsidP="00E25BCD">
      <w:pPr>
        <w:spacing w:after="0" w:line="360" w:lineRule="auto"/>
        <w:jc w:val="both"/>
        <w:rPr>
          <w:rFonts w:ascii="Palatino Linotype" w:hAnsi="Palatino Linotype" w:cs="Arial"/>
          <w:b/>
          <w:sz w:val="16"/>
        </w:rPr>
      </w:pPr>
    </w:p>
    <w:p w:rsidR="00E25BCD" w:rsidRPr="000D558D" w:rsidRDefault="00E25BCD" w:rsidP="00E25BCD">
      <w:pPr>
        <w:spacing w:after="0" w:line="360" w:lineRule="auto"/>
        <w:jc w:val="both"/>
        <w:rPr>
          <w:rFonts w:ascii="Palatino Linotype" w:hAnsi="Palatino Linotype" w:cs="Arial"/>
          <w:b/>
          <w:sz w:val="16"/>
        </w:rPr>
      </w:pPr>
    </w:p>
    <w:p w:rsidR="00E25BCD" w:rsidRPr="000D558D" w:rsidRDefault="00E25BCD" w:rsidP="00E25BCD">
      <w:pPr>
        <w:spacing w:after="0" w:line="360" w:lineRule="auto"/>
        <w:jc w:val="both"/>
        <w:rPr>
          <w:rFonts w:ascii="Palatino Linotype" w:hAnsi="Palatino Linotype" w:cs="Arial"/>
          <w:b/>
          <w:sz w:val="24"/>
          <w:szCs w:val="24"/>
        </w:rPr>
      </w:pPr>
      <w:r w:rsidRPr="000D558D">
        <w:rPr>
          <w:rFonts w:ascii="Palatino Linotype" w:hAnsi="Palatino Linotype" w:cs="Arial"/>
          <w:b/>
          <w:sz w:val="28"/>
        </w:rPr>
        <w:t>QUINTO</w:t>
      </w:r>
      <w:r w:rsidRPr="000D558D">
        <w:rPr>
          <w:rFonts w:ascii="Palatino Linotype" w:hAnsi="Palatino Linotype" w:cs="Arial"/>
          <w:b/>
          <w:sz w:val="24"/>
          <w:szCs w:val="24"/>
        </w:rPr>
        <w:t xml:space="preserve">. </w:t>
      </w:r>
      <w:r w:rsidRPr="000D558D">
        <w:rPr>
          <w:rFonts w:ascii="Palatino Linotype" w:hAnsi="Palatino Linotype" w:cs="Arial"/>
          <w:b/>
          <w:sz w:val="28"/>
          <w:szCs w:val="28"/>
        </w:rPr>
        <w:t>Del turno del recurso de revisión.</w:t>
      </w:r>
    </w:p>
    <w:p w:rsidR="00E25BCD" w:rsidRPr="000D558D" w:rsidRDefault="00E25BCD" w:rsidP="00E25BCD">
      <w:pPr>
        <w:spacing w:after="0" w:line="360" w:lineRule="auto"/>
        <w:jc w:val="both"/>
        <w:rPr>
          <w:rFonts w:ascii="Palatino Linotype" w:hAnsi="Palatino Linotype" w:cs="Arial"/>
          <w:sz w:val="24"/>
          <w:szCs w:val="24"/>
        </w:rPr>
      </w:pPr>
      <w:r w:rsidRPr="000D558D">
        <w:rPr>
          <w:rFonts w:ascii="Palatino Linotype" w:hAnsi="Palatino Linotype" w:cs="Arial"/>
          <w:sz w:val="24"/>
          <w:szCs w:val="24"/>
        </w:rPr>
        <w:t xml:space="preserve">Los medios de impugnación le fueron turnados a los Comisionados </w:t>
      </w:r>
      <w:r w:rsidRPr="000D558D">
        <w:rPr>
          <w:rFonts w:ascii="Palatino Linotype" w:hAnsi="Palatino Linotype" w:cs="Arial"/>
          <w:b/>
          <w:sz w:val="24"/>
          <w:szCs w:val="24"/>
        </w:rPr>
        <w:t>Zulema Martínez Sánchez</w:t>
      </w:r>
      <w:r w:rsidRPr="000D558D">
        <w:rPr>
          <w:rFonts w:ascii="Palatino Linotype" w:hAnsi="Palatino Linotype" w:cs="Arial"/>
          <w:sz w:val="24"/>
          <w:szCs w:val="24"/>
        </w:rPr>
        <w:t xml:space="preserve">, </w:t>
      </w:r>
      <w:r w:rsidRPr="000D558D">
        <w:rPr>
          <w:rFonts w:ascii="Palatino Linotype" w:hAnsi="Palatino Linotype" w:cs="Arial"/>
          <w:b/>
          <w:sz w:val="24"/>
          <w:szCs w:val="24"/>
        </w:rPr>
        <w:t xml:space="preserve">Luis Gustavo Parra Noriega </w:t>
      </w:r>
      <w:r w:rsidRPr="000D558D">
        <w:rPr>
          <w:rFonts w:ascii="Palatino Linotype" w:hAnsi="Palatino Linotype" w:cs="Arial"/>
          <w:sz w:val="24"/>
          <w:szCs w:val="24"/>
        </w:rPr>
        <w:t>y</w:t>
      </w:r>
      <w:r w:rsidRPr="000D558D">
        <w:rPr>
          <w:rFonts w:ascii="Palatino Linotype" w:hAnsi="Palatino Linotype" w:cs="Arial"/>
          <w:b/>
          <w:sz w:val="24"/>
          <w:szCs w:val="24"/>
        </w:rPr>
        <w:t xml:space="preserve"> Eva Abaid Yapur</w:t>
      </w:r>
      <w:r w:rsidRPr="000D558D">
        <w:rPr>
          <w:rFonts w:ascii="Palatino Linotype" w:hAnsi="Palatino Linotype" w:cs="Arial"/>
          <w:sz w:val="24"/>
          <w:szCs w:val="24"/>
        </w:rPr>
        <w:t>, por medio del sistema electrónico SAIMEX, en términos del arábigo 185, fracción I, de la Ley de Transparencia y Acceso a la información Pública del Estado de México y Municipios, de los cuales recayeron acuerdos de admisión en fecha ocho y nueve de marzo de dos mil veintiuno, determinándose en ellos, un plazo de siete días para que las partes manifestaran lo que a su derecho corresponda en términos del numeral ya citado.</w:t>
      </w:r>
    </w:p>
    <w:p w:rsidR="00E25BCD" w:rsidRPr="000D558D" w:rsidRDefault="00E25BCD" w:rsidP="00E25BCD">
      <w:pPr>
        <w:spacing w:after="0"/>
        <w:rPr>
          <w:rFonts w:ascii="Palatino Linotype" w:hAnsi="Palatino Linotype"/>
          <w:sz w:val="28"/>
        </w:rPr>
      </w:pPr>
    </w:p>
    <w:p w:rsidR="00E25BCD" w:rsidRPr="000D558D" w:rsidRDefault="00E25BCD" w:rsidP="00E25BCD">
      <w:pPr>
        <w:spacing w:after="0"/>
        <w:rPr>
          <w:rFonts w:ascii="Palatino Linotype" w:hAnsi="Palatino Linotype"/>
          <w:sz w:val="2"/>
        </w:rPr>
      </w:pPr>
    </w:p>
    <w:p w:rsidR="00E25BCD" w:rsidRPr="000D558D" w:rsidRDefault="00E25BCD" w:rsidP="00E25BCD">
      <w:pPr>
        <w:pStyle w:val="Prrafodelista"/>
        <w:spacing w:line="360" w:lineRule="auto"/>
        <w:ind w:left="0"/>
        <w:jc w:val="both"/>
        <w:rPr>
          <w:rFonts w:ascii="Palatino Linotype" w:hAnsi="Palatino Linotype" w:cs="Arial"/>
          <w:b/>
          <w:sz w:val="28"/>
          <w:szCs w:val="28"/>
        </w:rPr>
      </w:pPr>
      <w:r w:rsidRPr="000D558D">
        <w:rPr>
          <w:rFonts w:ascii="Palatino Linotype" w:hAnsi="Palatino Linotype" w:cs="Arial"/>
          <w:b/>
          <w:color w:val="000000" w:themeColor="text1"/>
          <w:sz w:val="28"/>
        </w:rPr>
        <w:t>SEXTO</w:t>
      </w:r>
      <w:r w:rsidRPr="000D558D">
        <w:rPr>
          <w:rFonts w:ascii="Palatino Linotype" w:hAnsi="Palatino Linotype" w:cs="Arial"/>
          <w:b/>
          <w:color w:val="000000" w:themeColor="text1"/>
          <w:sz w:val="28"/>
          <w:szCs w:val="28"/>
        </w:rPr>
        <w:t xml:space="preserve">. </w:t>
      </w:r>
      <w:r w:rsidRPr="000D558D">
        <w:rPr>
          <w:rFonts w:ascii="Palatino Linotype" w:hAnsi="Palatino Linotype" w:cs="Arial"/>
          <w:b/>
          <w:sz w:val="28"/>
          <w:szCs w:val="28"/>
        </w:rPr>
        <w:t>De la acumulación.</w:t>
      </w:r>
    </w:p>
    <w:p w:rsidR="00E25BCD" w:rsidRPr="000D558D" w:rsidRDefault="00E25BCD" w:rsidP="00E25BCD">
      <w:pPr>
        <w:pStyle w:val="Prrafodelista"/>
        <w:spacing w:line="360" w:lineRule="auto"/>
        <w:ind w:left="0"/>
        <w:jc w:val="both"/>
        <w:rPr>
          <w:rFonts w:ascii="Palatino Linotype" w:hAnsi="Palatino Linotype" w:cs="Arial"/>
        </w:rPr>
      </w:pPr>
      <w:r w:rsidRPr="000D558D">
        <w:rPr>
          <w:rFonts w:ascii="Palatino Linotype" w:hAnsi="Palatino Linotype" w:cs="Arial"/>
        </w:rPr>
        <w:t>Posteriormente por acuerdo del Pleno del Instituto, en la Octava Sesión Ordinaria de Pleno de fecha diez de marzo del año dos mil veintiuno, se determinó acumular los recursos de revisión en estudio, ya que existe identidad del solicitante, del sujeto obligado y similitud de causas y objeto de solicitud.</w:t>
      </w:r>
    </w:p>
    <w:p w:rsidR="00E25BCD" w:rsidRPr="000D558D" w:rsidRDefault="00E25BCD" w:rsidP="00E25BCD">
      <w:pPr>
        <w:pStyle w:val="Sinespaciado"/>
        <w:rPr>
          <w:rFonts w:ascii="Palatino Linotype" w:hAnsi="Palatino Linotype"/>
        </w:rPr>
      </w:pPr>
    </w:p>
    <w:p w:rsidR="00E25BCD" w:rsidRPr="000D558D" w:rsidRDefault="00E25BCD" w:rsidP="00E25BCD">
      <w:pPr>
        <w:spacing w:after="0" w:line="360" w:lineRule="auto"/>
        <w:jc w:val="both"/>
        <w:rPr>
          <w:rFonts w:ascii="Palatino Linotype" w:hAnsi="Palatino Linotype"/>
          <w:sz w:val="24"/>
          <w:szCs w:val="24"/>
        </w:rPr>
      </w:pPr>
      <w:r w:rsidRPr="000D558D">
        <w:rPr>
          <w:rFonts w:ascii="Palatino Linotype" w:hAnsi="Palatino Linotype"/>
          <w:sz w:val="24"/>
          <w:szCs w:val="24"/>
        </w:rPr>
        <w:t>Lo anterior de conformidad con lo dispuesto en el artículo 195, de la Ley de Transparencia y Acceso a la información Pública del Estado de México y Municipios, y con el artículo 18 del Código de Procedimientos Administrativos del Estado de México, los cuales establecen respectivamente:</w:t>
      </w:r>
    </w:p>
    <w:p w:rsidR="00E25BCD" w:rsidRPr="000D558D" w:rsidRDefault="00E25BCD" w:rsidP="00E25BCD">
      <w:pPr>
        <w:spacing w:after="0" w:line="360" w:lineRule="auto"/>
        <w:jc w:val="both"/>
        <w:rPr>
          <w:rFonts w:ascii="Palatino Linotype" w:hAnsi="Palatino Linotype"/>
          <w:sz w:val="6"/>
          <w:szCs w:val="24"/>
        </w:rPr>
      </w:pPr>
    </w:p>
    <w:p w:rsidR="00E25BCD" w:rsidRPr="000D558D" w:rsidRDefault="00E25BCD" w:rsidP="00E25BCD">
      <w:pPr>
        <w:spacing w:after="0" w:line="240" w:lineRule="auto"/>
        <w:ind w:left="851" w:right="851"/>
        <w:jc w:val="both"/>
        <w:rPr>
          <w:rFonts w:ascii="Palatino Linotype" w:hAnsi="Palatino Linotype"/>
          <w:i/>
          <w:szCs w:val="24"/>
        </w:rPr>
      </w:pPr>
      <w:r w:rsidRPr="000D558D">
        <w:rPr>
          <w:rFonts w:ascii="Palatino Linotype" w:hAnsi="Palatino Linotype"/>
          <w:i/>
          <w:szCs w:val="24"/>
        </w:rPr>
        <w:t>“</w:t>
      </w:r>
      <w:r w:rsidRPr="000D558D">
        <w:rPr>
          <w:rFonts w:ascii="Palatino Linotype" w:hAnsi="Palatino Linotype"/>
          <w:b/>
          <w:i/>
          <w:szCs w:val="24"/>
        </w:rPr>
        <w:t>Artículo 195.</w:t>
      </w:r>
      <w:r w:rsidRPr="000D558D">
        <w:rPr>
          <w:rFonts w:ascii="Palatino Linotype" w:hAnsi="Palatino Linotype"/>
          <w:i/>
          <w:szCs w:val="24"/>
        </w:rPr>
        <w:t xml:space="preserve"> En la tramitación del recurso de revisión se aplicarán supletoriamente las disposiciones contenidas en el </w:t>
      </w:r>
      <w:r w:rsidRPr="000D558D">
        <w:rPr>
          <w:rFonts w:ascii="Palatino Linotype" w:hAnsi="Palatino Linotype"/>
          <w:b/>
          <w:i/>
          <w:szCs w:val="24"/>
          <w:u w:val="single"/>
        </w:rPr>
        <w:t>Código de Procedimientos Administrativos del Estado de México</w:t>
      </w:r>
      <w:r w:rsidRPr="000D558D">
        <w:rPr>
          <w:rFonts w:ascii="Palatino Linotype" w:hAnsi="Palatino Linotype"/>
          <w:i/>
          <w:szCs w:val="24"/>
        </w:rPr>
        <w:t>.”</w:t>
      </w:r>
    </w:p>
    <w:p w:rsidR="00E25BCD" w:rsidRPr="000D558D" w:rsidRDefault="00E25BCD" w:rsidP="00E25BCD">
      <w:pPr>
        <w:spacing w:after="0" w:line="240" w:lineRule="auto"/>
        <w:ind w:left="851" w:right="851"/>
        <w:jc w:val="both"/>
        <w:rPr>
          <w:rFonts w:ascii="Palatino Linotype" w:hAnsi="Palatino Linotype"/>
          <w:i/>
          <w:szCs w:val="24"/>
        </w:rPr>
      </w:pPr>
      <w:r w:rsidRPr="000D558D">
        <w:rPr>
          <w:rFonts w:ascii="Palatino Linotype" w:hAnsi="Palatino Linotype"/>
          <w:i/>
          <w:szCs w:val="24"/>
        </w:rPr>
        <w:lastRenderedPageBreak/>
        <w:t>“</w:t>
      </w:r>
      <w:r w:rsidRPr="000D558D">
        <w:rPr>
          <w:rFonts w:ascii="Palatino Linotype" w:hAnsi="Palatino Linotype"/>
          <w:b/>
          <w:i/>
          <w:szCs w:val="24"/>
        </w:rPr>
        <w:t>Artículo 18.</w:t>
      </w:r>
      <w:r w:rsidRPr="000D558D">
        <w:rPr>
          <w:rFonts w:ascii="Palatino Linotype" w:hAnsi="Palatino Linotype"/>
          <w:i/>
          <w:szCs w:val="24"/>
        </w:rPr>
        <w:t xml:space="preserve"> </w:t>
      </w:r>
      <w:r w:rsidRPr="000D558D">
        <w:rPr>
          <w:rFonts w:ascii="Palatino Linotype" w:hAnsi="Palatino Linotype"/>
          <w:b/>
          <w:i/>
          <w:szCs w:val="24"/>
          <w:u w:val="single"/>
        </w:rPr>
        <w:t>La autoridad administrativa</w:t>
      </w:r>
      <w:r w:rsidRPr="000D558D">
        <w:rPr>
          <w:rFonts w:ascii="Palatino Linotype" w:hAnsi="Palatino Linotype"/>
          <w:i/>
          <w:szCs w:val="24"/>
        </w:rPr>
        <w:t xml:space="preserve"> o el Tribunal </w:t>
      </w:r>
      <w:r w:rsidRPr="000D558D">
        <w:rPr>
          <w:rFonts w:ascii="Palatino Linotype" w:hAnsi="Palatino Linotype"/>
          <w:b/>
          <w:i/>
          <w:szCs w:val="24"/>
          <w:u w:val="single"/>
        </w:rPr>
        <w:t>acordarán la acumulación</w:t>
      </w:r>
      <w:r w:rsidRPr="000D558D">
        <w:rPr>
          <w:rFonts w:ascii="Palatino Linotype" w:hAnsi="Palatino Linotype"/>
          <w:i/>
          <w:szCs w:val="24"/>
        </w:rPr>
        <w:t xml:space="preserve"> de los expedientes del procedimiento y proceso administrativo que ante ellos se sigan</w:t>
      </w:r>
      <w:r w:rsidRPr="000D558D">
        <w:rPr>
          <w:rFonts w:ascii="Palatino Linotype" w:hAnsi="Palatino Linotype"/>
          <w:b/>
          <w:i/>
          <w:szCs w:val="24"/>
          <w:u w:val="single"/>
        </w:rPr>
        <w:t>, de oficio</w:t>
      </w:r>
      <w:r w:rsidRPr="000D558D">
        <w:rPr>
          <w:rFonts w:ascii="Palatino Linotype" w:hAnsi="Palatino Linotype"/>
          <w:i/>
          <w:szCs w:val="24"/>
        </w:rPr>
        <w:t xml:space="preserve"> o a petición de parte, </w:t>
      </w:r>
      <w:r w:rsidRPr="000D558D">
        <w:rPr>
          <w:rFonts w:ascii="Palatino Linotype" w:hAnsi="Palatino Linotype"/>
          <w:b/>
          <w:i/>
          <w:szCs w:val="24"/>
          <w:u w:val="single"/>
        </w:rPr>
        <w:t>cuando las partes o los actos administrativos sean iguales, se trate de actos conexos o resulte conveniente el trámite unificado de los asuntos</w:t>
      </w:r>
      <w:r w:rsidRPr="000D558D">
        <w:rPr>
          <w:rFonts w:ascii="Palatino Linotype" w:hAnsi="Palatino Linotype"/>
          <w:i/>
          <w:szCs w:val="24"/>
        </w:rPr>
        <w:t>, para evitar la emisión de resoluciones contradictorias. La misma regla se aplicará, en lo conducente, para la separación de los expedientes.”</w:t>
      </w:r>
    </w:p>
    <w:p w:rsidR="00E25BCD" w:rsidRPr="000D558D" w:rsidRDefault="00E25BCD" w:rsidP="00E25BCD">
      <w:pPr>
        <w:spacing w:after="0" w:line="240" w:lineRule="auto"/>
        <w:ind w:left="851" w:right="851"/>
        <w:jc w:val="both"/>
        <w:rPr>
          <w:rFonts w:ascii="Palatino Linotype" w:hAnsi="Palatino Linotype"/>
          <w:i/>
          <w:sz w:val="24"/>
          <w:szCs w:val="24"/>
        </w:rPr>
      </w:pPr>
    </w:p>
    <w:p w:rsidR="00E25BCD" w:rsidRPr="000D558D" w:rsidRDefault="00E25BCD" w:rsidP="00E25BCD">
      <w:pPr>
        <w:spacing w:after="0" w:line="240" w:lineRule="auto"/>
        <w:ind w:right="851"/>
        <w:jc w:val="both"/>
        <w:rPr>
          <w:rFonts w:ascii="Palatino Linotype" w:hAnsi="Palatino Linotype"/>
          <w:i/>
          <w:sz w:val="18"/>
          <w:szCs w:val="24"/>
        </w:rPr>
      </w:pPr>
    </w:p>
    <w:p w:rsidR="00E25BCD" w:rsidRPr="000D558D" w:rsidRDefault="00E25BCD" w:rsidP="00E25BCD">
      <w:pPr>
        <w:spacing w:after="0" w:line="360" w:lineRule="auto"/>
        <w:jc w:val="both"/>
        <w:rPr>
          <w:rFonts w:ascii="Palatino Linotype" w:hAnsi="Palatino Linotype" w:cs="Arial"/>
          <w:b/>
          <w:sz w:val="24"/>
          <w:szCs w:val="24"/>
        </w:rPr>
      </w:pPr>
      <w:r w:rsidRPr="000D558D">
        <w:rPr>
          <w:rFonts w:ascii="Palatino Linotype" w:hAnsi="Palatino Linotype" w:cs="Arial"/>
          <w:b/>
          <w:sz w:val="28"/>
        </w:rPr>
        <w:t>SÉPTIMO</w:t>
      </w:r>
      <w:r w:rsidRPr="000D558D">
        <w:rPr>
          <w:rFonts w:ascii="Palatino Linotype" w:hAnsi="Palatino Linotype" w:cs="Arial"/>
          <w:b/>
          <w:sz w:val="24"/>
          <w:szCs w:val="24"/>
        </w:rPr>
        <w:t xml:space="preserve">. </w:t>
      </w:r>
      <w:r w:rsidRPr="000D558D">
        <w:rPr>
          <w:rFonts w:ascii="Palatino Linotype" w:hAnsi="Palatino Linotype" w:cs="Arial"/>
          <w:b/>
          <w:sz w:val="28"/>
          <w:szCs w:val="28"/>
        </w:rPr>
        <w:t>De la etapa de instrucción.</w:t>
      </w:r>
    </w:p>
    <w:p w:rsidR="00E25BCD" w:rsidRPr="000D558D" w:rsidRDefault="00E25BCD" w:rsidP="00E25BCD">
      <w:pPr>
        <w:spacing w:after="0" w:line="360" w:lineRule="auto"/>
        <w:jc w:val="both"/>
        <w:rPr>
          <w:rFonts w:ascii="Palatino Linotype" w:hAnsi="Palatino Linotype" w:cs="Arial"/>
          <w:sz w:val="24"/>
          <w:szCs w:val="24"/>
        </w:rPr>
      </w:pPr>
      <w:r w:rsidRPr="000D558D">
        <w:rPr>
          <w:rFonts w:ascii="Palatino Linotype" w:hAnsi="Palatino Linotype" w:cs="Arial"/>
          <w:sz w:val="24"/>
          <w:szCs w:val="24"/>
        </w:rPr>
        <w:t xml:space="preserve">De las constancias que obran en el expediente electrónico del SAIMEX se desprende que </w:t>
      </w:r>
      <w:r w:rsidRPr="000D558D">
        <w:rPr>
          <w:rFonts w:ascii="Palatino Linotype" w:hAnsi="Palatino Linotype" w:cs="Arial"/>
          <w:b/>
          <w:sz w:val="24"/>
          <w:szCs w:val="24"/>
        </w:rPr>
        <w:t>El Sujeto Obligado</w:t>
      </w:r>
      <w:r w:rsidRPr="000D558D">
        <w:rPr>
          <w:rFonts w:ascii="Palatino Linotype" w:hAnsi="Palatino Linotype" w:cs="Arial"/>
          <w:sz w:val="24"/>
          <w:szCs w:val="24"/>
        </w:rPr>
        <w:t xml:space="preserve"> fue omiso en remitir el informe justificado; por su parte, </w:t>
      </w:r>
      <w:r w:rsidRPr="000D558D">
        <w:rPr>
          <w:rFonts w:ascii="Palatino Linotype" w:hAnsi="Palatino Linotype" w:cs="Arial"/>
          <w:b/>
          <w:sz w:val="24"/>
          <w:szCs w:val="24"/>
        </w:rPr>
        <w:t>El Recurrente</w:t>
      </w:r>
      <w:r w:rsidRPr="000D558D">
        <w:rPr>
          <w:rFonts w:ascii="Palatino Linotype" w:hAnsi="Palatino Linotype" w:cs="Arial"/>
          <w:sz w:val="24"/>
          <w:szCs w:val="24"/>
        </w:rPr>
        <w:t xml:space="preserve">, tampoco realizó alegatos, pruebas o manifestaciones. </w:t>
      </w:r>
    </w:p>
    <w:p w:rsidR="00E25BCD" w:rsidRPr="000D558D" w:rsidRDefault="00E25BCD" w:rsidP="00E25BCD">
      <w:pPr>
        <w:spacing w:after="0" w:line="360" w:lineRule="auto"/>
        <w:jc w:val="both"/>
        <w:rPr>
          <w:rFonts w:ascii="Palatino Linotype" w:hAnsi="Palatino Linotype" w:cs="Arial"/>
          <w:sz w:val="24"/>
          <w:szCs w:val="24"/>
        </w:rPr>
      </w:pPr>
    </w:p>
    <w:p w:rsidR="00E25BCD" w:rsidRPr="000D558D" w:rsidRDefault="00E25BCD" w:rsidP="00E25BCD">
      <w:pPr>
        <w:spacing w:after="0" w:line="360" w:lineRule="auto"/>
        <w:jc w:val="both"/>
        <w:rPr>
          <w:rFonts w:ascii="Palatino Linotype" w:hAnsi="Palatino Linotype" w:cs="Arial"/>
          <w:sz w:val="24"/>
          <w:szCs w:val="24"/>
        </w:rPr>
      </w:pPr>
      <w:r w:rsidRPr="000D558D">
        <w:rPr>
          <w:rFonts w:ascii="Palatino Linotype" w:hAnsi="Palatino Linotype" w:cs="Arial"/>
          <w:sz w:val="24"/>
          <w:szCs w:val="24"/>
        </w:rPr>
        <w:t>Por lo que se decretó el cierre de las mismas en fecha veintidós de marzo del año en curso, en términos del artículo 185, fracción VI, de la Ley de Transparencia y Acceso a la Información Pública del Estado de México y Municipios, iniciando el término legal para dictar resolución definitiva del asunto.</w:t>
      </w:r>
    </w:p>
    <w:p w:rsidR="00E25BCD" w:rsidRPr="000D558D" w:rsidRDefault="00E25BCD" w:rsidP="00E25BCD">
      <w:pPr>
        <w:pStyle w:val="Sinespaciado"/>
        <w:spacing w:line="360" w:lineRule="auto"/>
        <w:jc w:val="both"/>
        <w:rPr>
          <w:rFonts w:ascii="Palatino Linotype" w:hAnsi="Palatino Linotype"/>
        </w:rPr>
      </w:pPr>
    </w:p>
    <w:p w:rsidR="00E25BCD" w:rsidRPr="000D558D" w:rsidRDefault="00E25BCD" w:rsidP="00E25BCD">
      <w:pPr>
        <w:spacing w:after="0" w:line="360" w:lineRule="auto"/>
        <w:jc w:val="center"/>
        <w:rPr>
          <w:rFonts w:ascii="Palatino Linotype" w:hAnsi="Palatino Linotype" w:cs="Arial"/>
          <w:b/>
          <w:sz w:val="28"/>
        </w:rPr>
      </w:pPr>
      <w:r w:rsidRPr="000D558D">
        <w:rPr>
          <w:rFonts w:ascii="Palatino Linotype" w:hAnsi="Palatino Linotype" w:cs="Arial"/>
          <w:b/>
          <w:sz w:val="28"/>
        </w:rPr>
        <w:t xml:space="preserve">C O N S I D E R A N D O </w:t>
      </w:r>
    </w:p>
    <w:p w:rsidR="00E25BCD" w:rsidRPr="000D558D" w:rsidRDefault="00E25BCD" w:rsidP="00E25BCD">
      <w:pPr>
        <w:spacing w:after="0" w:line="360" w:lineRule="auto"/>
        <w:jc w:val="both"/>
        <w:rPr>
          <w:rFonts w:ascii="Palatino Linotype" w:hAnsi="Palatino Linotype" w:cs="Arial"/>
          <w:b/>
          <w:sz w:val="18"/>
        </w:rPr>
      </w:pPr>
    </w:p>
    <w:p w:rsidR="00E25BCD" w:rsidRPr="000D558D" w:rsidRDefault="00E25BCD" w:rsidP="00E25BCD">
      <w:pPr>
        <w:spacing w:after="0" w:line="360" w:lineRule="auto"/>
        <w:jc w:val="both"/>
        <w:rPr>
          <w:rFonts w:ascii="Palatino Linotype" w:hAnsi="Palatino Linotype" w:cs="Arial"/>
          <w:sz w:val="24"/>
        </w:rPr>
      </w:pPr>
      <w:r w:rsidRPr="000D558D">
        <w:rPr>
          <w:rFonts w:ascii="Palatino Linotype" w:hAnsi="Palatino Linotype" w:cs="Arial"/>
          <w:b/>
          <w:sz w:val="28"/>
        </w:rPr>
        <w:t>PRIMERO.</w:t>
      </w:r>
      <w:r w:rsidRPr="000D558D">
        <w:rPr>
          <w:rFonts w:ascii="Palatino Linotype" w:hAnsi="Palatino Linotype" w:cs="Arial"/>
          <w:b/>
        </w:rPr>
        <w:t xml:space="preserve"> </w:t>
      </w:r>
      <w:r w:rsidRPr="000D558D">
        <w:rPr>
          <w:rFonts w:ascii="Palatino Linotype" w:hAnsi="Palatino Linotype" w:cs="Arial"/>
          <w:b/>
          <w:sz w:val="28"/>
          <w:szCs w:val="28"/>
        </w:rPr>
        <w:t>De la competencia</w:t>
      </w:r>
      <w:r w:rsidRPr="000D558D">
        <w:rPr>
          <w:rFonts w:ascii="Palatino Linotype" w:hAnsi="Palatino Linotype" w:cs="Arial"/>
          <w:sz w:val="28"/>
          <w:szCs w:val="28"/>
        </w:rPr>
        <w:t>.</w:t>
      </w:r>
    </w:p>
    <w:p w:rsidR="00E25BCD" w:rsidRPr="000D558D" w:rsidRDefault="00E25BCD" w:rsidP="00E25BCD">
      <w:pPr>
        <w:spacing w:after="0" w:line="360" w:lineRule="auto"/>
        <w:jc w:val="both"/>
        <w:rPr>
          <w:rFonts w:ascii="Palatino Linotype" w:hAnsi="Palatino Linotype" w:cs="Arial"/>
          <w:sz w:val="24"/>
        </w:rPr>
      </w:pPr>
      <w:r w:rsidRPr="000D558D">
        <w:rPr>
          <w:rFonts w:ascii="Palatino Linotype" w:hAnsi="Palatino Linotype" w:cs="Arial"/>
          <w:sz w:val="24"/>
        </w:rPr>
        <w:t xml:space="preserve">Este Instituto de Transparencia, Acceso a la Información Pública y Protección de Datos Personales del Estado de México y Municipios, es competente para conocer y resolver el presente recurso de revisión, conforme a lo dispuesto en los artículos 6, Apartado A de la Constitución Política de los Estados Unidos Mexicanos; 5, párrafos vigésimo noveno, trigésimo y trigésimo primero, fracciones IV y V de la Constitución Política </w:t>
      </w:r>
      <w:r w:rsidRPr="000D558D">
        <w:rPr>
          <w:rFonts w:ascii="Palatino Linotype" w:hAnsi="Palatino Linotype" w:cs="Arial"/>
          <w:sz w:val="24"/>
        </w:rPr>
        <w:lastRenderedPageBreak/>
        <w:t>del Estado Libre y Soberano de México; 2 fracción II, 13, 29, 36, fracciones I y II, 176, 178, 179, 181 párrafo tercero y 185 de la Ley de Transparencia y Acceso a la Información Pública del Estado de México y Municipios; y 9, fracciones I y XXIV y 11 del Reglamento Interior del Instituto de Transparencia, Acceso a la Información Pública y Protección de Datos Personales del Estado de México y Municipios.</w:t>
      </w:r>
    </w:p>
    <w:p w:rsidR="00E25BCD" w:rsidRPr="000D558D" w:rsidRDefault="00E25BCD" w:rsidP="00E25BCD">
      <w:pPr>
        <w:spacing w:after="0" w:line="360" w:lineRule="auto"/>
        <w:jc w:val="both"/>
        <w:rPr>
          <w:rFonts w:ascii="Palatino Linotype" w:hAnsi="Palatino Linotype" w:cs="Arial"/>
          <w:sz w:val="24"/>
        </w:rPr>
      </w:pPr>
    </w:p>
    <w:p w:rsidR="00E25BCD" w:rsidRPr="000D558D" w:rsidRDefault="00E25BCD" w:rsidP="00E25BCD">
      <w:pPr>
        <w:pStyle w:val="Sinespaciado"/>
        <w:spacing w:line="360" w:lineRule="auto"/>
        <w:jc w:val="both"/>
        <w:rPr>
          <w:rFonts w:ascii="Palatino Linotype" w:hAnsi="Palatino Linotype" w:cs="Arial"/>
        </w:rPr>
      </w:pPr>
      <w:r w:rsidRPr="000D558D">
        <w:rPr>
          <w:rFonts w:ascii="Palatino Linotype" w:hAnsi="Palatino Linotype" w:cs="Arial"/>
        </w:rPr>
        <w:t>Aunado a lo anterior, este Órgano Garante estima pertinente realizar un pronunciamiento ya que consientes de la situación que se vive en la actualidad a fin de otorgarle a los ciudadanos herramientas ágiles y accesibles para el ejercicio de los derechos humanos que se tutelan, se considera que a pesar de las condiciones a las que nos enfrentamos, se cuentan con las herramientas técnicas y tecnológicas necesarias que eviten mermar el ejercicio de los derechos correspondientes, sin que ello implique el poner en riesgo el diverso derecho a la salud de todos los partícipes en los procesos que conllevan.</w:t>
      </w:r>
    </w:p>
    <w:p w:rsidR="00E25BCD" w:rsidRPr="000D558D" w:rsidRDefault="00E25BCD" w:rsidP="00E25BCD">
      <w:pPr>
        <w:pStyle w:val="Sinespaciado"/>
        <w:spacing w:line="360" w:lineRule="auto"/>
        <w:jc w:val="both"/>
        <w:rPr>
          <w:rFonts w:ascii="Palatino Linotype" w:hAnsi="Palatino Linotype" w:cs="Arial"/>
        </w:rPr>
      </w:pPr>
    </w:p>
    <w:p w:rsidR="00E25BCD" w:rsidRPr="000D558D" w:rsidRDefault="00E25BCD" w:rsidP="00E25BCD">
      <w:pPr>
        <w:autoSpaceDE w:val="0"/>
        <w:autoSpaceDN w:val="0"/>
        <w:adjustRightInd w:val="0"/>
        <w:spacing w:after="0" w:line="360" w:lineRule="auto"/>
        <w:jc w:val="both"/>
        <w:rPr>
          <w:rFonts w:ascii="Palatino Linotype" w:hAnsi="Palatino Linotype" w:cs="Arial"/>
          <w:b/>
          <w:sz w:val="28"/>
          <w:szCs w:val="28"/>
        </w:rPr>
      </w:pPr>
      <w:r w:rsidRPr="000D558D">
        <w:rPr>
          <w:rFonts w:ascii="Palatino Linotype" w:hAnsi="Palatino Linotype" w:cs="Arial"/>
          <w:b/>
          <w:sz w:val="28"/>
          <w:szCs w:val="28"/>
        </w:rPr>
        <w:t xml:space="preserve">SEGUNDO. Alcances del Recurso de Revisión. </w:t>
      </w:r>
    </w:p>
    <w:p w:rsidR="00E25BCD" w:rsidRPr="000D558D" w:rsidRDefault="00E25BCD" w:rsidP="00E25BCD">
      <w:pPr>
        <w:autoSpaceDE w:val="0"/>
        <w:autoSpaceDN w:val="0"/>
        <w:adjustRightInd w:val="0"/>
        <w:spacing w:after="0" w:line="360" w:lineRule="auto"/>
        <w:jc w:val="both"/>
        <w:rPr>
          <w:rFonts w:ascii="Palatino Linotype" w:hAnsi="Palatino Linotype" w:cs="Arial"/>
          <w:b/>
          <w:sz w:val="32"/>
          <w:szCs w:val="28"/>
        </w:rPr>
      </w:pPr>
      <w:r w:rsidRPr="000D558D">
        <w:rPr>
          <w:rFonts w:ascii="Palatino Linotype" w:hAnsi="Palatino Linotype" w:cs="Arial"/>
          <w:sz w:val="24"/>
        </w:rPr>
        <w:t>Derivado de la impugnación realizada, es preciso e importante señalar que el recurso de revisión inmerso en la Ley de Transparencia vigente en la entidad, tiene el fin y alcance que señalan los numerales 176, 179, 181 párrafo cuarto, 194 y 195, y demás aplicables de la Ley de Transparencia y Acceso a la Información Pública del Estado de México y Municipios vigente, el cual será analizado conforme a las actuaciones que obren en el expediente electrónico, con la finalidad de reparar cualquier posible afectación al derecho de acceso a la información pública y garantizando el principio rector de máxima publicidad.</w:t>
      </w:r>
    </w:p>
    <w:p w:rsidR="00E25BCD" w:rsidRPr="000D558D" w:rsidRDefault="00E25BCD" w:rsidP="00E25BCD">
      <w:pPr>
        <w:spacing w:after="0" w:line="360" w:lineRule="auto"/>
        <w:jc w:val="both"/>
        <w:rPr>
          <w:rFonts w:ascii="Palatino Linotype" w:hAnsi="Palatino Linotype" w:cs="Arial"/>
          <w:b/>
          <w:sz w:val="28"/>
          <w:szCs w:val="28"/>
        </w:rPr>
      </w:pPr>
      <w:r w:rsidRPr="000D558D">
        <w:rPr>
          <w:rFonts w:ascii="Palatino Linotype" w:hAnsi="Palatino Linotype" w:cs="Arial"/>
          <w:b/>
          <w:sz w:val="28"/>
          <w:szCs w:val="28"/>
        </w:rPr>
        <w:lastRenderedPageBreak/>
        <w:t>TERCERO. De las causas de improcedencia.</w:t>
      </w:r>
    </w:p>
    <w:p w:rsidR="00E25BCD" w:rsidRPr="000D558D" w:rsidRDefault="00E25BCD" w:rsidP="00E25BCD">
      <w:pPr>
        <w:pStyle w:val="Prrafodelista"/>
        <w:autoSpaceDE w:val="0"/>
        <w:autoSpaceDN w:val="0"/>
        <w:adjustRightInd w:val="0"/>
        <w:spacing w:line="360" w:lineRule="auto"/>
        <w:ind w:left="0"/>
        <w:jc w:val="both"/>
        <w:rPr>
          <w:rFonts w:ascii="Palatino Linotype" w:hAnsi="Palatino Linotype" w:cs="Arial"/>
        </w:rPr>
      </w:pPr>
      <w:r w:rsidRPr="000D558D">
        <w:rPr>
          <w:rFonts w:ascii="Palatino Linotype" w:hAnsi="Palatino Linotype" w:cs="Arial"/>
        </w:rPr>
        <w:t>El estudio de las causas de improcedencia que se hagan valer por las partes o que se advierta de oficio por este Resolutor debe ser objeto de análisis previo al estudio de fondo del asunto, ya que el estudio de los presupuestos procesales sobre el inicio o trámite de un proceso genera eficacia jurídica de las resoluciones, más aún que se trata de una figura procesal adoptada en la ley de la materia la cual impide su estudio y resolución cuando una vez admitido el recurso de revisión se advierta una causa de improcedencia que permita sobreseer el recurso de revisión sin estudiar el fondo del asunto; las circunstancias anteriores que no son incompatibles con el derecho de acceso a la justicia, ya que éste no se coarta por regular causas de improcedencia y sobreseimiento con tales fines</w:t>
      </w:r>
      <w:r w:rsidRPr="000D558D">
        <w:rPr>
          <w:rStyle w:val="Refdenotaalpie"/>
          <w:rFonts w:ascii="Palatino Linotype" w:hAnsi="Palatino Linotype" w:cs="Arial"/>
        </w:rPr>
        <w:footnoteReference w:id="1"/>
      </w:r>
      <w:r w:rsidRPr="000D558D">
        <w:rPr>
          <w:rFonts w:ascii="Palatino Linotype" w:hAnsi="Palatino Linotype" w:cs="Arial"/>
        </w:rPr>
        <w:t>.</w:t>
      </w:r>
    </w:p>
    <w:p w:rsidR="00E25BCD" w:rsidRPr="000D558D" w:rsidRDefault="00E25BCD" w:rsidP="00E25BCD">
      <w:pPr>
        <w:pStyle w:val="Prrafodelista"/>
        <w:autoSpaceDE w:val="0"/>
        <w:autoSpaceDN w:val="0"/>
        <w:adjustRightInd w:val="0"/>
        <w:spacing w:line="360" w:lineRule="auto"/>
        <w:ind w:left="0"/>
        <w:jc w:val="both"/>
        <w:rPr>
          <w:rFonts w:ascii="Palatino Linotype" w:hAnsi="Palatino Linotype" w:cs="Arial"/>
        </w:rPr>
      </w:pPr>
      <w:r w:rsidRPr="000D558D">
        <w:rPr>
          <w:rFonts w:ascii="Palatino Linotype" w:hAnsi="Palatino Linotype" w:cs="Arial"/>
        </w:rPr>
        <w:lastRenderedPageBreak/>
        <w:t>Así las cosas, del análisis del expediente electrónico no se actualiza ninguna causa de improcedencia de las referidas en el artículo 191, de la Ley de Transparencia y Acceso a la Información Pública del Estado de México y Municipios, ni mucho menos se hizo valer causa de improcedencia alguna por las partes, que resulte dable abordar, encontrándose actualizados todos los presupuestos procesales para atender el fondo del asunto, en los términos del considerando posterior.</w:t>
      </w:r>
    </w:p>
    <w:p w:rsidR="00E25BCD" w:rsidRPr="000D558D" w:rsidRDefault="00E25BCD" w:rsidP="00E25BCD">
      <w:pPr>
        <w:pStyle w:val="Prrafodelista"/>
        <w:autoSpaceDE w:val="0"/>
        <w:autoSpaceDN w:val="0"/>
        <w:adjustRightInd w:val="0"/>
        <w:spacing w:line="360" w:lineRule="auto"/>
        <w:ind w:left="0"/>
        <w:jc w:val="both"/>
        <w:rPr>
          <w:rFonts w:ascii="Palatino Linotype" w:hAnsi="Palatino Linotype" w:cs="Arial"/>
          <w:b/>
        </w:rPr>
      </w:pPr>
    </w:p>
    <w:p w:rsidR="00E25BCD" w:rsidRPr="000D558D" w:rsidRDefault="00E25BCD" w:rsidP="00E25BCD">
      <w:pPr>
        <w:pStyle w:val="Prrafodelista"/>
        <w:autoSpaceDE w:val="0"/>
        <w:autoSpaceDN w:val="0"/>
        <w:adjustRightInd w:val="0"/>
        <w:spacing w:line="360" w:lineRule="auto"/>
        <w:ind w:left="0"/>
        <w:jc w:val="both"/>
        <w:rPr>
          <w:rFonts w:ascii="Palatino Linotype" w:hAnsi="Palatino Linotype" w:cs="Arial"/>
          <w:sz w:val="28"/>
          <w:szCs w:val="28"/>
        </w:rPr>
      </w:pPr>
      <w:r w:rsidRPr="000D558D">
        <w:rPr>
          <w:rFonts w:ascii="Palatino Linotype" w:hAnsi="Palatino Linotype" w:cs="Arial"/>
          <w:b/>
          <w:sz w:val="28"/>
        </w:rPr>
        <w:t>CUARTO</w:t>
      </w:r>
      <w:r w:rsidRPr="000D558D">
        <w:rPr>
          <w:rFonts w:ascii="Palatino Linotype" w:hAnsi="Palatino Linotype" w:cs="Arial"/>
          <w:b/>
          <w:sz w:val="28"/>
          <w:szCs w:val="28"/>
        </w:rPr>
        <w:t>.</w:t>
      </w:r>
      <w:r w:rsidRPr="000D558D">
        <w:rPr>
          <w:rFonts w:ascii="Palatino Linotype" w:hAnsi="Palatino Linotype" w:cs="Arial"/>
          <w:sz w:val="28"/>
          <w:szCs w:val="28"/>
        </w:rPr>
        <w:t xml:space="preserve"> </w:t>
      </w:r>
      <w:r w:rsidRPr="000D558D">
        <w:rPr>
          <w:rFonts w:ascii="Palatino Linotype" w:hAnsi="Palatino Linotype" w:cs="Arial"/>
          <w:b/>
          <w:sz w:val="28"/>
          <w:szCs w:val="28"/>
        </w:rPr>
        <w:t>Estudio y resolución del asunto.</w:t>
      </w:r>
    </w:p>
    <w:p w:rsidR="00E25BCD" w:rsidRPr="000D558D" w:rsidRDefault="00E25BCD" w:rsidP="00E25BCD">
      <w:pPr>
        <w:pStyle w:val="Prrafodelista"/>
        <w:autoSpaceDE w:val="0"/>
        <w:autoSpaceDN w:val="0"/>
        <w:adjustRightInd w:val="0"/>
        <w:spacing w:line="360" w:lineRule="auto"/>
        <w:ind w:left="0"/>
        <w:jc w:val="both"/>
        <w:rPr>
          <w:rFonts w:ascii="Palatino Linotype" w:hAnsi="Palatino Linotype" w:cs="Arial"/>
          <w:sz w:val="28"/>
          <w:szCs w:val="28"/>
        </w:rPr>
      </w:pPr>
      <w:r w:rsidRPr="000D558D">
        <w:rPr>
          <w:rFonts w:ascii="Palatino Linotype" w:hAnsi="Palatino Linotype" w:cs="Arial"/>
        </w:rPr>
        <w:t>Ahora bien, se procede al análisis de los presentes recursos, así como al contenido íntegro de las actuaciones que obran en los expedientes electrónicos, para así estar en posibilidad este Órgano Colegiado de dictar el fallo correspondiente conforme a derecho, tomando en consideración los elementos aportados por las partes y apegándose en todo momento al principio de máxima publicidad consagrado en nuestra Constitución Federal, Local y demás leyes aplicables en la materia, así como en los tratados internacionales en los que el Estado Mexicano sea parte, en concordancia con el párrafo tercero del artículo 1 de la Constitución Federal y el diverso 8, de la Ley de Transparencia local.</w:t>
      </w:r>
    </w:p>
    <w:p w:rsidR="00E25BCD" w:rsidRPr="000D558D" w:rsidRDefault="00E25BCD" w:rsidP="00E25BCD">
      <w:pPr>
        <w:tabs>
          <w:tab w:val="left" w:pos="709"/>
        </w:tabs>
        <w:spacing w:after="0" w:line="360" w:lineRule="auto"/>
        <w:jc w:val="both"/>
        <w:rPr>
          <w:rFonts w:ascii="Palatino Linotype" w:hAnsi="Palatino Linotype" w:cs="Arial"/>
          <w:sz w:val="24"/>
          <w:szCs w:val="24"/>
        </w:rPr>
      </w:pPr>
    </w:p>
    <w:p w:rsidR="00E25BCD" w:rsidRPr="000D558D" w:rsidRDefault="00E25BCD" w:rsidP="00E25BCD">
      <w:pPr>
        <w:tabs>
          <w:tab w:val="left" w:pos="709"/>
        </w:tabs>
        <w:spacing w:after="0" w:line="360" w:lineRule="auto"/>
        <w:jc w:val="both"/>
        <w:rPr>
          <w:rFonts w:ascii="Palatino Linotype" w:hAnsi="Palatino Linotype" w:cs="Arial"/>
          <w:sz w:val="24"/>
          <w:szCs w:val="24"/>
        </w:rPr>
      </w:pPr>
      <w:r w:rsidRPr="000D558D">
        <w:rPr>
          <w:rFonts w:ascii="Palatino Linotype" w:hAnsi="Palatino Linotype" w:cs="Arial"/>
          <w:sz w:val="24"/>
          <w:szCs w:val="24"/>
        </w:rPr>
        <w:t xml:space="preserve">El estudio de los recursos de revisión tiene como antecedentes, que el hoy </w:t>
      </w:r>
      <w:r w:rsidRPr="000D558D">
        <w:rPr>
          <w:rFonts w:ascii="Palatino Linotype" w:hAnsi="Palatino Linotype" w:cs="Arial"/>
          <w:b/>
          <w:sz w:val="24"/>
          <w:szCs w:val="24"/>
        </w:rPr>
        <w:t xml:space="preserve">Recurrente </w:t>
      </w:r>
      <w:r w:rsidRPr="000D558D">
        <w:rPr>
          <w:rFonts w:ascii="Palatino Linotype" w:hAnsi="Palatino Linotype" w:cs="Arial"/>
          <w:sz w:val="24"/>
          <w:szCs w:val="24"/>
        </w:rPr>
        <w:t xml:space="preserve">solicitó al </w:t>
      </w:r>
      <w:r w:rsidRPr="000D558D">
        <w:rPr>
          <w:rFonts w:ascii="Palatino Linotype" w:hAnsi="Palatino Linotype" w:cs="Arial"/>
          <w:b/>
          <w:sz w:val="24"/>
          <w:szCs w:val="24"/>
        </w:rPr>
        <w:t>Ayuntamiento de Cuautitlán</w:t>
      </w:r>
      <w:r w:rsidRPr="000D558D">
        <w:rPr>
          <w:rFonts w:ascii="Palatino Linotype" w:hAnsi="Palatino Linotype" w:cs="Arial"/>
          <w:sz w:val="24"/>
          <w:szCs w:val="24"/>
        </w:rPr>
        <w:t>,</w:t>
      </w:r>
      <w:r w:rsidRPr="000D558D">
        <w:rPr>
          <w:rFonts w:ascii="Palatino Linotype" w:hAnsi="Palatino Linotype" w:cs="Arial"/>
          <w:b/>
          <w:sz w:val="24"/>
          <w:szCs w:val="24"/>
        </w:rPr>
        <w:t xml:space="preserve"> </w:t>
      </w:r>
      <w:r w:rsidRPr="000D558D">
        <w:rPr>
          <w:rFonts w:ascii="Palatino Linotype" w:hAnsi="Palatino Linotype" w:cs="Arial"/>
          <w:sz w:val="24"/>
          <w:szCs w:val="24"/>
        </w:rPr>
        <w:t xml:space="preserve">diversa información que se desglosará mediante el siguiente cuadro comparativo junto con las respuestas emitidas por parte del </w:t>
      </w:r>
      <w:r w:rsidRPr="000D558D">
        <w:rPr>
          <w:rFonts w:ascii="Palatino Linotype" w:hAnsi="Palatino Linotype" w:cs="Arial"/>
          <w:b/>
          <w:sz w:val="24"/>
          <w:szCs w:val="24"/>
        </w:rPr>
        <w:t>Sujeto Obligado</w:t>
      </w:r>
      <w:r w:rsidRPr="000D558D">
        <w:rPr>
          <w:rFonts w:ascii="Palatino Linotype" w:hAnsi="Palatino Linotype" w:cs="Arial"/>
          <w:sz w:val="24"/>
          <w:szCs w:val="24"/>
        </w:rPr>
        <w:t>, mediante las cuales solicitó información en el tenor siguiente:</w:t>
      </w:r>
    </w:p>
    <w:p w:rsidR="00E25BCD" w:rsidRPr="000D558D" w:rsidRDefault="00E25BCD" w:rsidP="00E25BCD">
      <w:pPr>
        <w:pStyle w:val="Sinespaciado"/>
      </w:pPr>
    </w:p>
    <w:p w:rsidR="00E25BCD" w:rsidRPr="000D558D" w:rsidRDefault="00E25BCD" w:rsidP="00E25BCD">
      <w:pPr>
        <w:pStyle w:val="Prrafodelista"/>
        <w:numPr>
          <w:ilvl w:val="0"/>
          <w:numId w:val="16"/>
        </w:numPr>
        <w:spacing w:after="240" w:line="360" w:lineRule="auto"/>
        <w:ind w:right="567"/>
        <w:jc w:val="both"/>
        <w:rPr>
          <w:rFonts w:ascii="Palatino Linotype" w:hAnsi="Palatino Linotype"/>
          <w:lang w:val="es-ES_tradnl"/>
        </w:rPr>
      </w:pPr>
      <w:r w:rsidRPr="000D558D">
        <w:rPr>
          <w:rFonts w:ascii="Palatino Linotype" w:hAnsi="Palatino Linotype"/>
          <w:color w:val="000000"/>
        </w:rPr>
        <w:t>Contrato de Prestación de Servicios del Despacho Lara.</w:t>
      </w:r>
    </w:p>
    <w:p w:rsidR="00E25BCD" w:rsidRPr="000D558D" w:rsidRDefault="00E25BCD" w:rsidP="00E25BCD">
      <w:pPr>
        <w:pStyle w:val="Prrafodelista"/>
        <w:numPr>
          <w:ilvl w:val="0"/>
          <w:numId w:val="16"/>
        </w:numPr>
        <w:spacing w:after="240" w:line="360" w:lineRule="auto"/>
        <w:ind w:right="567"/>
        <w:jc w:val="both"/>
        <w:rPr>
          <w:rFonts w:ascii="Palatino Linotype" w:hAnsi="Palatino Linotype"/>
          <w:lang w:val="es-ES_tradnl"/>
        </w:rPr>
      </w:pPr>
      <w:r w:rsidRPr="000D558D">
        <w:rPr>
          <w:rFonts w:ascii="Palatino Linotype" w:hAnsi="Palatino Linotype"/>
          <w:color w:val="000000"/>
        </w:rPr>
        <w:lastRenderedPageBreak/>
        <w:t xml:space="preserve">Que la Directora de Administración explique la justificación de la contratación y por qué debe resolver el mal trabajo realizado por la Tesorería Municipal; dependencia que ha dado mucho que desear por el mal trabajo realizado. </w:t>
      </w:r>
    </w:p>
    <w:p w:rsidR="00E25BCD" w:rsidRPr="000D558D" w:rsidRDefault="00E25BCD" w:rsidP="00E25BCD">
      <w:pPr>
        <w:pStyle w:val="Prrafodelista"/>
        <w:numPr>
          <w:ilvl w:val="0"/>
          <w:numId w:val="16"/>
        </w:numPr>
        <w:spacing w:after="240" w:line="360" w:lineRule="auto"/>
        <w:ind w:right="567"/>
        <w:jc w:val="both"/>
        <w:rPr>
          <w:rFonts w:ascii="Palatino Linotype" w:hAnsi="Palatino Linotype"/>
          <w:lang w:val="es-ES_tradnl"/>
        </w:rPr>
      </w:pPr>
      <w:r w:rsidRPr="000D558D">
        <w:rPr>
          <w:rFonts w:ascii="Palatino Linotype" w:hAnsi="Palatino Linotype"/>
          <w:color w:val="000000"/>
        </w:rPr>
        <w:t xml:space="preserve">Expedientes de los trabajadores de la </w:t>
      </w:r>
      <w:proofErr w:type="spellStart"/>
      <w:r w:rsidRPr="000D558D">
        <w:rPr>
          <w:rFonts w:ascii="Palatino Linotype" w:hAnsi="Palatino Linotype"/>
          <w:color w:val="000000"/>
        </w:rPr>
        <w:t>Subtesorería</w:t>
      </w:r>
      <w:proofErr w:type="spellEnd"/>
      <w:r w:rsidRPr="000D558D">
        <w:rPr>
          <w:rFonts w:ascii="Palatino Linotype" w:hAnsi="Palatino Linotype"/>
          <w:color w:val="000000"/>
        </w:rPr>
        <w:t xml:space="preserve"> de Egresos.</w:t>
      </w:r>
    </w:p>
    <w:p w:rsidR="00E25BCD" w:rsidRPr="000D558D" w:rsidRDefault="00E25BCD" w:rsidP="00E25BCD">
      <w:pPr>
        <w:pStyle w:val="Prrafodelista"/>
        <w:numPr>
          <w:ilvl w:val="0"/>
          <w:numId w:val="16"/>
        </w:numPr>
        <w:spacing w:after="240" w:line="360" w:lineRule="auto"/>
        <w:ind w:right="567"/>
        <w:jc w:val="both"/>
        <w:rPr>
          <w:rFonts w:ascii="Palatino Linotype" w:hAnsi="Palatino Linotype"/>
          <w:lang w:val="es-ES_tradnl"/>
        </w:rPr>
      </w:pPr>
      <w:r w:rsidRPr="000D558D">
        <w:rPr>
          <w:rFonts w:ascii="Palatino Linotype" w:hAnsi="Palatino Linotype"/>
          <w:color w:val="000000"/>
        </w:rPr>
        <w:t xml:space="preserve">El resultado de la auditoría realizada por el OSFEM y que es lo que ha hecho al respecto. </w:t>
      </w:r>
    </w:p>
    <w:p w:rsidR="00E25BCD" w:rsidRPr="000D558D" w:rsidRDefault="00E25BCD" w:rsidP="00E25BCD">
      <w:pPr>
        <w:pStyle w:val="Prrafodelista"/>
        <w:numPr>
          <w:ilvl w:val="0"/>
          <w:numId w:val="16"/>
        </w:numPr>
        <w:spacing w:after="240" w:line="360" w:lineRule="auto"/>
        <w:ind w:right="567"/>
        <w:jc w:val="both"/>
        <w:rPr>
          <w:rFonts w:ascii="Palatino Linotype" w:hAnsi="Palatino Linotype"/>
          <w:lang w:val="es-ES_tradnl"/>
        </w:rPr>
      </w:pPr>
      <w:r w:rsidRPr="000D558D">
        <w:rPr>
          <w:rFonts w:ascii="Palatino Linotype" w:hAnsi="Palatino Linotype"/>
          <w:color w:val="000000"/>
        </w:rPr>
        <w:t xml:space="preserve">Soporte documental de las auditorias, arqueos de caja y/o cualquier auditoria interna realizadas a la Tesorería Municipal. </w:t>
      </w:r>
    </w:p>
    <w:p w:rsidR="00E25BCD" w:rsidRPr="000D558D" w:rsidRDefault="00E25BCD" w:rsidP="00E25BCD">
      <w:pPr>
        <w:pStyle w:val="Prrafodelista"/>
        <w:numPr>
          <w:ilvl w:val="0"/>
          <w:numId w:val="16"/>
        </w:numPr>
        <w:spacing w:after="240" w:line="360" w:lineRule="auto"/>
        <w:ind w:right="567"/>
        <w:jc w:val="both"/>
        <w:rPr>
          <w:rFonts w:ascii="Palatino Linotype" w:hAnsi="Palatino Linotype"/>
          <w:lang w:val="es-ES_tradnl"/>
        </w:rPr>
      </w:pPr>
      <w:r w:rsidRPr="000D558D">
        <w:rPr>
          <w:rFonts w:ascii="Palatino Linotype" w:hAnsi="Palatino Linotype"/>
          <w:color w:val="000000"/>
        </w:rPr>
        <w:t xml:space="preserve">Si no se ha realizado ninguna que explique por qué no lo han hecho y que es lo que hacen en cumplimiento de las funciones que a la contraloría le corresponden realizar para evitar malos manejos, desvío de recursos y evitar que el mal manejo del dinero. </w:t>
      </w:r>
    </w:p>
    <w:p w:rsidR="00E25BCD" w:rsidRPr="000D558D" w:rsidRDefault="00E25BCD" w:rsidP="00E25BCD">
      <w:pPr>
        <w:pStyle w:val="Prrafodelista"/>
        <w:numPr>
          <w:ilvl w:val="0"/>
          <w:numId w:val="16"/>
        </w:numPr>
        <w:spacing w:after="240" w:line="360" w:lineRule="auto"/>
        <w:ind w:right="567"/>
        <w:jc w:val="both"/>
        <w:rPr>
          <w:rFonts w:ascii="Palatino Linotype" w:hAnsi="Palatino Linotype"/>
          <w:lang w:val="es-ES_tradnl"/>
        </w:rPr>
      </w:pPr>
      <w:r w:rsidRPr="000D558D">
        <w:rPr>
          <w:rFonts w:ascii="Palatino Linotype" w:hAnsi="Palatino Linotype"/>
          <w:color w:val="000000"/>
        </w:rPr>
        <w:t>Que ha realizado la Contraloría Municipal para sancionar a Servidores Públicos que han realizado mal sus funciones ya que esto ha ocasionado la contratación de despachos y asesores para arreglar lo que personal ineficiente ha ocasionado y ha perjudicado.</w:t>
      </w:r>
    </w:p>
    <w:p w:rsidR="00E25BCD" w:rsidRPr="000D558D" w:rsidRDefault="00E25BCD" w:rsidP="00E25BCD">
      <w:pPr>
        <w:pStyle w:val="Prrafodelista"/>
        <w:numPr>
          <w:ilvl w:val="0"/>
          <w:numId w:val="16"/>
        </w:numPr>
        <w:spacing w:after="240" w:line="360" w:lineRule="auto"/>
        <w:ind w:right="567"/>
        <w:jc w:val="both"/>
        <w:rPr>
          <w:rFonts w:ascii="Palatino Linotype" w:hAnsi="Palatino Linotype"/>
          <w:lang w:val="es-ES_tradnl"/>
        </w:rPr>
      </w:pPr>
      <w:r w:rsidRPr="000D558D">
        <w:rPr>
          <w:rFonts w:ascii="Palatino Linotype" w:hAnsi="Palatino Linotype"/>
          <w:lang w:val="es-ES_tradnl"/>
        </w:rPr>
        <w:t>Soporte documental de los pagos realizados al Despacho Lara y que incluyan las actividades a detalle realizadas y que logros han obtenido con su contratación.</w:t>
      </w:r>
    </w:p>
    <w:p w:rsidR="00E25BCD" w:rsidRPr="000D558D" w:rsidRDefault="00E25BCD" w:rsidP="00E25BCD">
      <w:pPr>
        <w:spacing w:after="0" w:line="240" w:lineRule="auto"/>
        <w:ind w:left="567" w:right="567"/>
        <w:jc w:val="both"/>
        <w:rPr>
          <w:rFonts w:ascii="Palatino Linotype" w:eastAsia="Times New Roman" w:hAnsi="Palatino Linotype" w:cs="Times New Roman"/>
          <w:sz w:val="2"/>
          <w:szCs w:val="24"/>
          <w:lang w:val="es-ES_tradnl" w:eastAsia="es-ES"/>
        </w:rPr>
      </w:pPr>
    </w:p>
    <w:p w:rsidR="00E25BCD" w:rsidRPr="000D558D" w:rsidRDefault="00E25BCD" w:rsidP="00E25BCD">
      <w:pPr>
        <w:spacing w:after="0" w:line="360" w:lineRule="auto"/>
        <w:jc w:val="both"/>
        <w:rPr>
          <w:rFonts w:ascii="Palatino Linotype" w:hAnsi="Palatino Linotype"/>
          <w:sz w:val="24"/>
          <w:szCs w:val="24"/>
        </w:rPr>
      </w:pPr>
      <w:r w:rsidRPr="000D558D">
        <w:rPr>
          <w:rFonts w:ascii="Palatino Linotype" w:hAnsi="Palatino Linotype"/>
          <w:sz w:val="24"/>
          <w:szCs w:val="24"/>
          <w:lang w:eastAsia="es-MX"/>
        </w:rPr>
        <w:lastRenderedPageBreak/>
        <w:t xml:space="preserve">En este sentido nuestro estudio versará en determinar si la información remitida mediante respuesta, colma el derecho de acceso a la información solicitado por </w:t>
      </w:r>
      <w:r w:rsidRPr="000D558D">
        <w:rPr>
          <w:rFonts w:ascii="Palatino Linotype" w:hAnsi="Palatino Linotype"/>
          <w:b/>
          <w:sz w:val="24"/>
          <w:szCs w:val="24"/>
          <w:lang w:eastAsia="es-MX"/>
        </w:rPr>
        <w:t>El Recurrente</w:t>
      </w:r>
      <w:r w:rsidRPr="000D558D">
        <w:rPr>
          <w:rFonts w:ascii="Palatino Linotype" w:hAnsi="Palatino Linotype"/>
          <w:sz w:val="24"/>
          <w:szCs w:val="24"/>
          <w:lang w:eastAsia="es-MX"/>
        </w:rPr>
        <w:t xml:space="preserve">, para ello analizaremos lo solicitado y la información proporcionada por parte del </w:t>
      </w:r>
      <w:r w:rsidRPr="000D558D">
        <w:rPr>
          <w:rFonts w:ascii="Palatino Linotype" w:hAnsi="Palatino Linotype"/>
          <w:b/>
          <w:sz w:val="24"/>
          <w:szCs w:val="24"/>
        </w:rPr>
        <w:t>Sujeto Obligado</w:t>
      </w:r>
      <w:r w:rsidRPr="000D558D">
        <w:rPr>
          <w:rFonts w:ascii="Palatino Linotype" w:hAnsi="Palatino Linotype"/>
          <w:sz w:val="24"/>
          <w:szCs w:val="24"/>
        </w:rPr>
        <w:t>, que se desagrega en el cuadro comparativo siguiente, en el cual se inserta la respuesta respectiva:</w:t>
      </w:r>
    </w:p>
    <w:tbl>
      <w:tblPr>
        <w:tblStyle w:val="Tablaconcuadrcula"/>
        <w:tblW w:w="9067" w:type="dxa"/>
        <w:tblLayout w:type="fixed"/>
        <w:tblLook w:val="04A0" w:firstRow="1" w:lastRow="0" w:firstColumn="1" w:lastColumn="0" w:noHBand="0" w:noVBand="1"/>
      </w:tblPr>
      <w:tblGrid>
        <w:gridCol w:w="2547"/>
        <w:gridCol w:w="4819"/>
        <w:gridCol w:w="1701"/>
      </w:tblGrid>
      <w:tr w:rsidR="00E25BCD" w:rsidRPr="000D558D" w:rsidTr="004C317E">
        <w:tc>
          <w:tcPr>
            <w:tcW w:w="9067" w:type="dxa"/>
            <w:gridSpan w:val="3"/>
            <w:shd w:val="clear" w:color="auto" w:fill="D9D9D9" w:themeFill="background1" w:themeFillShade="D9"/>
            <w:vAlign w:val="center"/>
          </w:tcPr>
          <w:p w:rsidR="00E25BCD" w:rsidRPr="000D558D" w:rsidRDefault="00E25BCD" w:rsidP="004C317E">
            <w:pPr>
              <w:spacing w:before="240" w:after="240"/>
              <w:jc w:val="center"/>
              <w:rPr>
                <w:rFonts w:ascii="Verdana" w:hAnsi="Verdana"/>
                <w:b/>
                <w:sz w:val="18"/>
                <w:szCs w:val="18"/>
              </w:rPr>
            </w:pPr>
            <w:r w:rsidRPr="000D558D">
              <w:rPr>
                <w:rFonts w:ascii="Palatino Linotype" w:hAnsi="Palatino Linotype"/>
                <w:b/>
                <w:color w:val="000000"/>
                <w:sz w:val="24"/>
                <w:szCs w:val="18"/>
              </w:rPr>
              <w:t>Folio de la Solicitud 00001/CUAUTIT/IP/2021</w:t>
            </w:r>
          </w:p>
        </w:tc>
      </w:tr>
      <w:tr w:rsidR="00E25BCD" w:rsidRPr="000D558D" w:rsidTr="004C317E">
        <w:tc>
          <w:tcPr>
            <w:tcW w:w="2547" w:type="dxa"/>
            <w:shd w:val="clear" w:color="auto" w:fill="D9D9D9" w:themeFill="background1" w:themeFillShade="D9"/>
            <w:vAlign w:val="center"/>
          </w:tcPr>
          <w:p w:rsidR="00E25BCD" w:rsidRPr="000D558D" w:rsidRDefault="00E25BCD" w:rsidP="004C317E">
            <w:pPr>
              <w:jc w:val="center"/>
              <w:rPr>
                <w:rFonts w:ascii="Palatino Linotype" w:hAnsi="Palatino Linotype"/>
                <w:b/>
              </w:rPr>
            </w:pPr>
            <w:r w:rsidRPr="000D558D">
              <w:rPr>
                <w:rFonts w:ascii="Palatino Linotype" w:hAnsi="Palatino Linotype"/>
                <w:b/>
              </w:rPr>
              <w:t>Solicitud de Información</w:t>
            </w:r>
          </w:p>
        </w:tc>
        <w:tc>
          <w:tcPr>
            <w:tcW w:w="4819" w:type="dxa"/>
            <w:shd w:val="clear" w:color="auto" w:fill="D9D9D9" w:themeFill="background1" w:themeFillShade="D9"/>
            <w:vAlign w:val="center"/>
          </w:tcPr>
          <w:p w:rsidR="00E25BCD" w:rsidRPr="000D558D" w:rsidRDefault="00E25BCD" w:rsidP="004C317E">
            <w:pPr>
              <w:jc w:val="center"/>
              <w:rPr>
                <w:rFonts w:ascii="Palatino Linotype" w:hAnsi="Palatino Linotype"/>
                <w:b/>
              </w:rPr>
            </w:pPr>
            <w:r w:rsidRPr="000D558D">
              <w:rPr>
                <w:rFonts w:ascii="Palatino Linotype" w:hAnsi="Palatino Linotype"/>
                <w:b/>
              </w:rPr>
              <w:t>Respuesta</w:t>
            </w:r>
          </w:p>
        </w:tc>
        <w:tc>
          <w:tcPr>
            <w:tcW w:w="1701" w:type="dxa"/>
            <w:shd w:val="clear" w:color="auto" w:fill="D9D9D9" w:themeFill="background1" w:themeFillShade="D9"/>
            <w:vAlign w:val="center"/>
          </w:tcPr>
          <w:p w:rsidR="00E25BCD" w:rsidRPr="000D558D" w:rsidRDefault="00E25BCD" w:rsidP="004C317E">
            <w:pPr>
              <w:spacing w:before="240" w:after="240"/>
              <w:jc w:val="center"/>
              <w:rPr>
                <w:rFonts w:ascii="Palatino Linotype" w:hAnsi="Palatino Linotype"/>
                <w:b/>
              </w:rPr>
            </w:pPr>
            <w:r w:rsidRPr="000D558D">
              <w:rPr>
                <w:rFonts w:ascii="Palatino Linotype" w:hAnsi="Palatino Linotype"/>
                <w:b/>
              </w:rPr>
              <w:t>Cumplimiento</w:t>
            </w:r>
          </w:p>
        </w:tc>
      </w:tr>
      <w:tr w:rsidR="00E25BCD" w:rsidRPr="000D558D" w:rsidTr="004C317E">
        <w:tc>
          <w:tcPr>
            <w:tcW w:w="2547" w:type="dxa"/>
            <w:vAlign w:val="center"/>
          </w:tcPr>
          <w:p w:rsidR="00E25BCD" w:rsidRPr="000D558D" w:rsidRDefault="00E25BCD" w:rsidP="004C317E">
            <w:pPr>
              <w:spacing w:line="276" w:lineRule="auto"/>
              <w:jc w:val="both"/>
              <w:rPr>
                <w:rFonts w:ascii="Palatino Linotype" w:hAnsi="Palatino Linotype"/>
                <w:lang w:val="es-ES_tradnl"/>
              </w:rPr>
            </w:pPr>
            <w:r w:rsidRPr="000D558D">
              <w:rPr>
                <w:rFonts w:ascii="Palatino Linotype" w:hAnsi="Palatino Linotype"/>
                <w:color w:val="000000"/>
              </w:rPr>
              <w:t>Contrato de Prestación de Servicios del Despacho Lara.</w:t>
            </w:r>
          </w:p>
        </w:tc>
        <w:tc>
          <w:tcPr>
            <w:tcW w:w="4819" w:type="dxa"/>
            <w:vMerge w:val="restart"/>
            <w:vAlign w:val="center"/>
          </w:tcPr>
          <w:p w:rsidR="00E25BCD" w:rsidRPr="000D558D" w:rsidRDefault="00E25BCD" w:rsidP="004C317E">
            <w:pPr>
              <w:spacing w:after="240" w:line="360" w:lineRule="auto"/>
              <w:ind w:right="567"/>
              <w:jc w:val="center"/>
              <w:rPr>
                <w:rFonts w:ascii="Palatino Linotype" w:hAnsi="Palatino Linotype"/>
                <w:color w:val="000000"/>
                <w:sz w:val="2"/>
                <w:szCs w:val="18"/>
              </w:rPr>
            </w:pPr>
            <w:r w:rsidRPr="000D558D">
              <w:object w:dxaOrig="9765" w:dyaOrig="10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0.4pt;height:343.2pt" o:ole="">
                  <v:imagedata r:id="rId7" o:title=""/>
                </v:shape>
                <o:OLEObject Type="Embed" ProgID="PBrush" ShapeID="_x0000_i1025" DrawAspect="Content" ObjectID="_1682325465" r:id="rId8"/>
              </w:object>
            </w:r>
          </w:p>
        </w:tc>
        <w:tc>
          <w:tcPr>
            <w:tcW w:w="1701" w:type="dxa"/>
            <w:vMerge w:val="restart"/>
            <w:vAlign w:val="center"/>
          </w:tcPr>
          <w:p w:rsidR="00E25BCD" w:rsidRPr="000D558D" w:rsidRDefault="00E25BCD" w:rsidP="004C317E">
            <w:pPr>
              <w:spacing w:before="240" w:after="240"/>
              <w:jc w:val="center"/>
              <w:rPr>
                <w:rFonts w:ascii="Palatino Linotype" w:hAnsi="Palatino Linotype"/>
                <w:b/>
                <w:sz w:val="18"/>
                <w:szCs w:val="18"/>
              </w:rPr>
            </w:pPr>
            <w:r w:rsidRPr="000D558D">
              <w:rPr>
                <w:rFonts w:ascii="Palatino Linotype" w:hAnsi="Palatino Linotype"/>
                <w:b/>
                <w:sz w:val="24"/>
                <w:szCs w:val="18"/>
              </w:rPr>
              <w:t>NO</w:t>
            </w:r>
          </w:p>
        </w:tc>
      </w:tr>
      <w:tr w:rsidR="00E25BCD" w:rsidRPr="000D558D" w:rsidTr="004C317E">
        <w:tc>
          <w:tcPr>
            <w:tcW w:w="2547" w:type="dxa"/>
            <w:vAlign w:val="center"/>
          </w:tcPr>
          <w:p w:rsidR="00E25BCD" w:rsidRPr="000D558D" w:rsidRDefault="00E25BCD" w:rsidP="004C317E">
            <w:pPr>
              <w:spacing w:line="276" w:lineRule="auto"/>
              <w:jc w:val="both"/>
              <w:rPr>
                <w:rFonts w:ascii="Palatino Linotype" w:hAnsi="Palatino Linotype"/>
                <w:sz w:val="24"/>
                <w:szCs w:val="24"/>
                <w:lang w:val="es-ES_tradnl" w:eastAsia="es-ES"/>
              </w:rPr>
            </w:pPr>
            <w:r w:rsidRPr="000D558D">
              <w:rPr>
                <w:rFonts w:ascii="Palatino Linotype" w:hAnsi="Palatino Linotype"/>
                <w:color w:val="000000"/>
              </w:rPr>
              <w:t xml:space="preserve">Que la Directora de Administración explique la justificación de la contratación y por qué debe resolver el mal trabajo realizado por la Tesorería Municipal; dependencia que ha dado mucho que desear por el mal trabajo realizado. </w:t>
            </w:r>
          </w:p>
        </w:tc>
        <w:tc>
          <w:tcPr>
            <w:tcW w:w="4819" w:type="dxa"/>
            <w:vMerge/>
          </w:tcPr>
          <w:p w:rsidR="00E25BCD" w:rsidRPr="000D558D" w:rsidRDefault="00E25BCD" w:rsidP="004C317E">
            <w:pPr>
              <w:jc w:val="both"/>
              <w:rPr>
                <w:rFonts w:ascii="Palatino Linotype" w:hAnsi="Palatino Linotype"/>
                <w:color w:val="000000"/>
                <w:sz w:val="24"/>
                <w:szCs w:val="18"/>
              </w:rPr>
            </w:pPr>
          </w:p>
        </w:tc>
        <w:tc>
          <w:tcPr>
            <w:tcW w:w="1701" w:type="dxa"/>
            <w:vMerge/>
            <w:vAlign w:val="center"/>
          </w:tcPr>
          <w:p w:rsidR="00E25BCD" w:rsidRPr="000D558D" w:rsidRDefault="00E25BCD" w:rsidP="004C317E">
            <w:pPr>
              <w:spacing w:before="240" w:after="240"/>
              <w:jc w:val="center"/>
              <w:rPr>
                <w:rFonts w:ascii="Verdana" w:hAnsi="Verdana"/>
                <w:sz w:val="18"/>
                <w:szCs w:val="18"/>
              </w:rPr>
            </w:pPr>
          </w:p>
        </w:tc>
      </w:tr>
      <w:tr w:rsidR="00E25BCD" w:rsidRPr="000D558D" w:rsidTr="004C317E">
        <w:tc>
          <w:tcPr>
            <w:tcW w:w="2547" w:type="dxa"/>
            <w:vAlign w:val="center"/>
          </w:tcPr>
          <w:p w:rsidR="00E25BCD" w:rsidRPr="000D558D" w:rsidRDefault="00E25BCD" w:rsidP="004C317E">
            <w:pPr>
              <w:spacing w:line="276" w:lineRule="auto"/>
              <w:jc w:val="both"/>
              <w:rPr>
                <w:rFonts w:ascii="Palatino Linotype" w:hAnsi="Palatino Linotype"/>
                <w:lang w:val="es-ES_tradnl"/>
              </w:rPr>
            </w:pPr>
            <w:r w:rsidRPr="000D558D">
              <w:rPr>
                <w:rFonts w:ascii="Palatino Linotype" w:hAnsi="Palatino Linotype"/>
                <w:color w:val="000000"/>
              </w:rPr>
              <w:t xml:space="preserve">Expedientes de los trabajadores de la </w:t>
            </w:r>
            <w:proofErr w:type="spellStart"/>
            <w:r w:rsidRPr="000D558D">
              <w:rPr>
                <w:rFonts w:ascii="Palatino Linotype" w:hAnsi="Palatino Linotype"/>
                <w:color w:val="000000"/>
              </w:rPr>
              <w:t>Subtesorería</w:t>
            </w:r>
            <w:proofErr w:type="spellEnd"/>
            <w:r w:rsidRPr="000D558D">
              <w:rPr>
                <w:rFonts w:ascii="Palatino Linotype" w:hAnsi="Palatino Linotype"/>
                <w:color w:val="000000"/>
              </w:rPr>
              <w:t xml:space="preserve"> de Egresos.</w:t>
            </w:r>
          </w:p>
        </w:tc>
        <w:tc>
          <w:tcPr>
            <w:tcW w:w="4819" w:type="dxa"/>
            <w:vMerge/>
          </w:tcPr>
          <w:p w:rsidR="00E25BCD" w:rsidRPr="000D558D" w:rsidRDefault="00E25BCD" w:rsidP="004C317E">
            <w:pPr>
              <w:jc w:val="both"/>
              <w:rPr>
                <w:rFonts w:ascii="Palatino Linotype" w:hAnsi="Palatino Linotype"/>
                <w:color w:val="000000"/>
                <w:sz w:val="24"/>
                <w:szCs w:val="18"/>
              </w:rPr>
            </w:pPr>
          </w:p>
        </w:tc>
        <w:tc>
          <w:tcPr>
            <w:tcW w:w="1701" w:type="dxa"/>
            <w:vMerge/>
            <w:vAlign w:val="center"/>
          </w:tcPr>
          <w:p w:rsidR="00E25BCD" w:rsidRPr="000D558D" w:rsidRDefault="00E25BCD" w:rsidP="004C317E">
            <w:pPr>
              <w:spacing w:before="240"/>
              <w:jc w:val="center"/>
              <w:rPr>
                <w:rFonts w:ascii="Verdana" w:hAnsi="Verdana"/>
                <w:sz w:val="18"/>
                <w:szCs w:val="18"/>
              </w:rPr>
            </w:pPr>
          </w:p>
        </w:tc>
      </w:tr>
    </w:tbl>
    <w:p w:rsidR="00E25BCD" w:rsidRPr="000D558D" w:rsidRDefault="00E25BCD" w:rsidP="00E25BCD">
      <w:pPr>
        <w:autoSpaceDE w:val="0"/>
        <w:autoSpaceDN w:val="0"/>
        <w:adjustRightInd w:val="0"/>
        <w:spacing w:after="0" w:line="360" w:lineRule="auto"/>
        <w:jc w:val="both"/>
        <w:rPr>
          <w:rFonts w:ascii="Palatino Linotype" w:hAnsi="Palatino Linotype" w:cs="Arial"/>
          <w:sz w:val="24"/>
          <w:szCs w:val="24"/>
        </w:rPr>
      </w:pPr>
    </w:p>
    <w:tbl>
      <w:tblPr>
        <w:tblStyle w:val="Tablaconcuadrcula"/>
        <w:tblW w:w="9067" w:type="dxa"/>
        <w:tblLayout w:type="fixed"/>
        <w:tblLook w:val="04A0" w:firstRow="1" w:lastRow="0" w:firstColumn="1" w:lastColumn="0" w:noHBand="0" w:noVBand="1"/>
      </w:tblPr>
      <w:tblGrid>
        <w:gridCol w:w="2547"/>
        <w:gridCol w:w="4819"/>
        <w:gridCol w:w="1701"/>
      </w:tblGrid>
      <w:tr w:rsidR="00E25BCD" w:rsidRPr="000D558D" w:rsidTr="004C317E">
        <w:tc>
          <w:tcPr>
            <w:tcW w:w="9067" w:type="dxa"/>
            <w:gridSpan w:val="3"/>
            <w:shd w:val="clear" w:color="auto" w:fill="D9D9D9" w:themeFill="background1" w:themeFillShade="D9"/>
            <w:vAlign w:val="center"/>
          </w:tcPr>
          <w:p w:rsidR="00E25BCD" w:rsidRPr="000D558D" w:rsidRDefault="00E25BCD" w:rsidP="004C317E">
            <w:pPr>
              <w:spacing w:before="240" w:after="240"/>
              <w:jc w:val="center"/>
              <w:rPr>
                <w:rFonts w:ascii="Verdana" w:hAnsi="Verdana"/>
                <w:b/>
                <w:sz w:val="18"/>
                <w:szCs w:val="18"/>
              </w:rPr>
            </w:pPr>
            <w:r w:rsidRPr="000D558D">
              <w:rPr>
                <w:rFonts w:ascii="Palatino Linotype" w:hAnsi="Palatino Linotype"/>
                <w:b/>
                <w:color w:val="000000"/>
                <w:sz w:val="24"/>
                <w:szCs w:val="18"/>
              </w:rPr>
              <w:lastRenderedPageBreak/>
              <w:t>Folio de la Solicitud 00002/CUAUTIT/IP/2021</w:t>
            </w:r>
          </w:p>
        </w:tc>
      </w:tr>
      <w:tr w:rsidR="00E25BCD" w:rsidRPr="000D558D" w:rsidTr="004C317E">
        <w:tc>
          <w:tcPr>
            <w:tcW w:w="2547" w:type="dxa"/>
            <w:shd w:val="clear" w:color="auto" w:fill="D9D9D9" w:themeFill="background1" w:themeFillShade="D9"/>
            <w:vAlign w:val="center"/>
          </w:tcPr>
          <w:p w:rsidR="00E25BCD" w:rsidRPr="000D558D" w:rsidRDefault="00E25BCD" w:rsidP="004C317E">
            <w:pPr>
              <w:jc w:val="center"/>
              <w:rPr>
                <w:rFonts w:ascii="Palatino Linotype" w:hAnsi="Palatino Linotype"/>
                <w:b/>
              </w:rPr>
            </w:pPr>
            <w:r w:rsidRPr="000D558D">
              <w:rPr>
                <w:rFonts w:ascii="Palatino Linotype" w:hAnsi="Palatino Linotype"/>
                <w:b/>
              </w:rPr>
              <w:t>Solicitud de Información</w:t>
            </w:r>
          </w:p>
        </w:tc>
        <w:tc>
          <w:tcPr>
            <w:tcW w:w="4819" w:type="dxa"/>
            <w:shd w:val="clear" w:color="auto" w:fill="D9D9D9" w:themeFill="background1" w:themeFillShade="D9"/>
            <w:vAlign w:val="center"/>
          </w:tcPr>
          <w:p w:rsidR="00E25BCD" w:rsidRPr="000D558D" w:rsidRDefault="00E25BCD" w:rsidP="004C317E">
            <w:pPr>
              <w:jc w:val="center"/>
              <w:rPr>
                <w:rFonts w:ascii="Palatino Linotype" w:hAnsi="Palatino Linotype"/>
                <w:b/>
              </w:rPr>
            </w:pPr>
            <w:r w:rsidRPr="000D558D">
              <w:rPr>
                <w:rFonts w:ascii="Palatino Linotype" w:hAnsi="Palatino Linotype"/>
                <w:b/>
              </w:rPr>
              <w:t>Respuesta</w:t>
            </w:r>
          </w:p>
        </w:tc>
        <w:tc>
          <w:tcPr>
            <w:tcW w:w="1701" w:type="dxa"/>
            <w:shd w:val="clear" w:color="auto" w:fill="D9D9D9" w:themeFill="background1" w:themeFillShade="D9"/>
            <w:vAlign w:val="center"/>
          </w:tcPr>
          <w:p w:rsidR="00E25BCD" w:rsidRPr="000D558D" w:rsidRDefault="00E25BCD" w:rsidP="004C317E">
            <w:pPr>
              <w:spacing w:before="240" w:after="240"/>
              <w:jc w:val="center"/>
              <w:rPr>
                <w:rFonts w:ascii="Palatino Linotype" w:hAnsi="Palatino Linotype"/>
                <w:b/>
              </w:rPr>
            </w:pPr>
            <w:r w:rsidRPr="000D558D">
              <w:rPr>
                <w:rFonts w:ascii="Palatino Linotype" w:hAnsi="Palatino Linotype"/>
                <w:b/>
              </w:rPr>
              <w:t>Cumplimiento</w:t>
            </w:r>
          </w:p>
        </w:tc>
      </w:tr>
      <w:tr w:rsidR="00E25BCD" w:rsidRPr="000D558D" w:rsidTr="004C317E">
        <w:tc>
          <w:tcPr>
            <w:tcW w:w="2547" w:type="dxa"/>
            <w:vAlign w:val="center"/>
          </w:tcPr>
          <w:p w:rsidR="00E25BCD" w:rsidRPr="000D558D" w:rsidRDefault="00E25BCD" w:rsidP="004C317E">
            <w:pPr>
              <w:spacing w:line="276" w:lineRule="auto"/>
              <w:jc w:val="both"/>
              <w:rPr>
                <w:rFonts w:ascii="Palatino Linotype" w:hAnsi="Palatino Linotype"/>
                <w:lang w:val="es-ES_tradnl"/>
              </w:rPr>
            </w:pPr>
            <w:r w:rsidRPr="000D558D">
              <w:rPr>
                <w:rFonts w:ascii="Palatino Linotype" w:hAnsi="Palatino Linotype"/>
                <w:color w:val="000000"/>
              </w:rPr>
              <w:t>El resultado de la auditoría realizada por el OSFEM y que es lo que ha hecho al respecto.</w:t>
            </w:r>
          </w:p>
        </w:tc>
        <w:tc>
          <w:tcPr>
            <w:tcW w:w="4819" w:type="dxa"/>
            <w:vAlign w:val="center"/>
          </w:tcPr>
          <w:p w:rsidR="00E25BCD" w:rsidRPr="000D558D" w:rsidRDefault="00E25BCD" w:rsidP="004C317E">
            <w:pPr>
              <w:spacing w:line="360" w:lineRule="auto"/>
              <w:ind w:right="567"/>
              <w:jc w:val="center"/>
              <w:rPr>
                <w:rFonts w:ascii="Palatino Linotype" w:hAnsi="Palatino Linotype"/>
                <w:color w:val="000000"/>
                <w:sz w:val="2"/>
                <w:szCs w:val="18"/>
              </w:rPr>
            </w:pPr>
            <w:r w:rsidRPr="000D558D">
              <w:rPr>
                <w:rFonts w:ascii="Palatino Linotype" w:hAnsi="Palatino Linotype"/>
                <w:noProof/>
                <w:color w:val="000000"/>
                <w:sz w:val="2"/>
                <w:szCs w:val="18"/>
                <w:lang w:eastAsia="es-MX"/>
              </w:rPr>
              <w:drawing>
                <wp:inline distT="0" distB="0" distL="0" distR="0" wp14:anchorId="5232C54A" wp14:editId="00C783D3">
                  <wp:extent cx="2964684" cy="993914"/>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2177" cy="1009836"/>
                          </a:xfrm>
                          <a:prstGeom prst="rect">
                            <a:avLst/>
                          </a:prstGeom>
                          <a:noFill/>
                          <a:ln>
                            <a:noFill/>
                          </a:ln>
                        </pic:spPr>
                      </pic:pic>
                    </a:graphicData>
                  </a:graphic>
                </wp:inline>
              </w:drawing>
            </w:r>
          </w:p>
        </w:tc>
        <w:tc>
          <w:tcPr>
            <w:tcW w:w="1701" w:type="dxa"/>
            <w:vAlign w:val="center"/>
          </w:tcPr>
          <w:p w:rsidR="00E25BCD" w:rsidRPr="000D558D" w:rsidRDefault="00E25BCD" w:rsidP="004C317E">
            <w:pPr>
              <w:spacing w:before="240" w:after="240"/>
              <w:jc w:val="center"/>
              <w:rPr>
                <w:rFonts w:ascii="Palatino Linotype" w:hAnsi="Palatino Linotype"/>
                <w:b/>
                <w:sz w:val="18"/>
                <w:szCs w:val="18"/>
              </w:rPr>
            </w:pPr>
            <w:r w:rsidRPr="000D558D">
              <w:rPr>
                <w:rFonts w:ascii="Palatino Linotype" w:hAnsi="Palatino Linotype"/>
                <w:b/>
                <w:sz w:val="24"/>
                <w:szCs w:val="18"/>
              </w:rPr>
              <w:t>NO</w:t>
            </w:r>
          </w:p>
        </w:tc>
      </w:tr>
      <w:tr w:rsidR="00E25BCD" w:rsidRPr="000D558D" w:rsidTr="004C317E">
        <w:tc>
          <w:tcPr>
            <w:tcW w:w="2547" w:type="dxa"/>
            <w:vAlign w:val="center"/>
          </w:tcPr>
          <w:p w:rsidR="00E25BCD" w:rsidRPr="000D558D" w:rsidRDefault="00E25BCD" w:rsidP="004C317E">
            <w:pPr>
              <w:spacing w:line="276" w:lineRule="auto"/>
              <w:jc w:val="both"/>
              <w:rPr>
                <w:rFonts w:ascii="Palatino Linotype" w:hAnsi="Palatino Linotype"/>
                <w:sz w:val="24"/>
                <w:szCs w:val="24"/>
                <w:lang w:val="es-ES_tradnl" w:eastAsia="es-ES"/>
              </w:rPr>
            </w:pPr>
            <w:r w:rsidRPr="000D558D">
              <w:rPr>
                <w:rFonts w:ascii="Palatino Linotype" w:hAnsi="Palatino Linotype"/>
                <w:color w:val="000000"/>
              </w:rPr>
              <w:t>Soporte documental de las auditorias, arqueos de caja y/o cualquier auditoria interna realizadas a la Tesorería Municipal.</w:t>
            </w:r>
          </w:p>
        </w:tc>
        <w:tc>
          <w:tcPr>
            <w:tcW w:w="4819" w:type="dxa"/>
          </w:tcPr>
          <w:p w:rsidR="00E25BCD" w:rsidRPr="000D558D" w:rsidRDefault="00E25BCD" w:rsidP="004C317E">
            <w:pPr>
              <w:jc w:val="both"/>
              <w:rPr>
                <w:rFonts w:ascii="Palatino Linotype" w:hAnsi="Palatino Linotype"/>
                <w:color w:val="000000"/>
                <w:sz w:val="24"/>
                <w:szCs w:val="18"/>
              </w:rPr>
            </w:pPr>
            <w:r w:rsidRPr="000D558D">
              <w:rPr>
                <w:rFonts w:ascii="Palatino Linotype" w:hAnsi="Palatino Linotype"/>
                <w:noProof/>
                <w:color w:val="000000"/>
                <w:sz w:val="24"/>
                <w:szCs w:val="18"/>
                <w:lang w:eastAsia="es-MX"/>
              </w:rPr>
              <w:drawing>
                <wp:inline distT="0" distB="0" distL="0" distR="0" wp14:anchorId="0118E443" wp14:editId="32F99112">
                  <wp:extent cx="2963331" cy="1272209"/>
                  <wp:effectExtent l="0" t="0" r="889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9972" cy="1287940"/>
                          </a:xfrm>
                          <a:prstGeom prst="rect">
                            <a:avLst/>
                          </a:prstGeom>
                          <a:noFill/>
                          <a:ln>
                            <a:noFill/>
                          </a:ln>
                        </pic:spPr>
                      </pic:pic>
                    </a:graphicData>
                  </a:graphic>
                </wp:inline>
              </w:drawing>
            </w:r>
          </w:p>
        </w:tc>
        <w:tc>
          <w:tcPr>
            <w:tcW w:w="1701" w:type="dxa"/>
            <w:vAlign w:val="center"/>
          </w:tcPr>
          <w:p w:rsidR="00E25BCD" w:rsidRPr="000D558D" w:rsidRDefault="00E25BCD" w:rsidP="004C317E">
            <w:pPr>
              <w:spacing w:before="240" w:after="240"/>
              <w:jc w:val="center"/>
              <w:rPr>
                <w:rFonts w:ascii="Verdana" w:hAnsi="Verdana"/>
                <w:sz w:val="18"/>
                <w:szCs w:val="18"/>
              </w:rPr>
            </w:pPr>
            <w:r w:rsidRPr="000D558D">
              <w:rPr>
                <w:rFonts w:ascii="Palatino Linotype" w:hAnsi="Palatino Linotype"/>
                <w:b/>
                <w:sz w:val="24"/>
                <w:szCs w:val="18"/>
              </w:rPr>
              <w:t>NO</w:t>
            </w:r>
          </w:p>
        </w:tc>
      </w:tr>
      <w:tr w:rsidR="00E25BCD" w:rsidRPr="000D558D" w:rsidTr="004C317E">
        <w:tc>
          <w:tcPr>
            <w:tcW w:w="2547" w:type="dxa"/>
            <w:vAlign w:val="center"/>
          </w:tcPr>
          <w:p w:rsidR="00E25BCD" w:rsidRPr="000D558D" w:rsidRDefault="00E25BCD" w:rsidP="004C317E">
            <w:pPr>
              <w:spacing w:line="276" w:lineRule="auto"/>
              <w:jc w:val="both"/>
              <w:rPr>
                <w:rFonts w:ascii="Palatino Linotype" w:hAnsi="Palatino Linotype"/>
                <w:lang w:val="es-ES_tradnl"/>
              </w:rPr>
            </w:pPr>
            <w:r w:rsidRPr="000D558D">
              <w:rPr>
                <w:rFonts w:ascii="Palatino Linotype" w:hAnsi="Palatino Linotype"/>
                <w:color w:val="000000"/>
              </w:rPr>
              <w:t>Si no se ha realizado ninguna que explique por qué no lo han hecho y que es lo que hacen en cumplimiento de las funciones que a la contraloría le corresponden realizar para evitar malos manejos, desvío de recursos y evitar que el mal manejo del dinero.</w:t>
            </w:r>
          </w:p>
        </w:tc>
        <w:tc>
          <w:tcPr>
            <w:tcW w:w="4819" w:type="dxa"/>
          </w:tcPr>
          <w:p w:rsidR="00E25BCD" w:rsidRPr="000D558D" w:rsidRDefault="00E25BCD" w:rsidP="004C317E">
            <w:pPr>
              <w:jc w:val="both"/>
              <w:rPr>
                <w:rFonts w:ascii="Palatino Linotype" w:hAnsi="Palatino Linotype"/>
                <w:color w:val="000000"/>
                <w:sz w:val="10"/>
                <w:szCs w:val="18"/>
              </w:rPr>
            </w:pPr>
          </w:p>
          <w:p w:rsidR="00E25BCD" w:rsidRPr="000D558D" w:rsidRDefault="00E25BCD" w:rsidP="004C317E">
            <w:pPr>
              <w:jc w:val="both"/>
              <w:rPr>
                <w:rFonts w:ascii="Palatino Linotype" w:hAnsi="Palatino Linotype"/>
                <w:color w:val="000000"/>
                <w:sz w:val="24"/>
                <w:szCs w:val="18"/>
              </w:rPr>
            </w:pPr>
            <w:r w:rsidRPr="000D558D">
              <w:rPr>
                <w:rFonts w:ascii="Palatino Linotype" w:hAnsi="Palatino Linotype"/>
                <w:noProof/>
                <w:color w:val="000000"/>
                <w:sz w:val="24"/>
                <w:szCs w:val="18"/>
                <w:lang w:eastAsia="es-MX"/>
              </w:rPr>
              <w:drawing>
                <wp:inline distT="0" distB="0" distL="0" distR="0" wp14:anchorId="2B3F1D64" wp14:editId="2F575936">
                  <wp:extent cx="2962733" cy="118474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0739" cy="1203942"/>
                          </a:xfrm>
                          <a:prstGeom prst="rect">
                            <a:avLst/>
                          </a:prstGeom>
                          <a:noFill/>
                          <a:ln>
                            <a:noFill/>
                          </a:ln>
                        </pic:spPr>
                      </pic:pic>
                    </a:graphicData>
                  </a:graphic>
                </wp:inline>
              </w:drawing>
            </w:r>
          </w:p>
          <w:p w:rsidR="00E25BCD" w:rsidRPr="000D558D" w:rsidRDefault="00E25BCD" w:rsidP="004C317E">
            <w:pPr>
              <w:jc w:val="both"/>
              <w:rPr>
                <w:rFonts w:ascii="Palatino Linotype" w:hAnsi="Palatino Linotype"/>
                <w:color w:val="000000"/>
                <w:sz w:val="24"/>
                <w:szCs w:val="18"/>
              </w:rPr>
            </w:pPr>
            <w:r w:rsidRPr="000D558D">
              <w:rPr>
                <w:rFonts w:ascii="Palatino Linotype" w:hAnsi="Palatino Linotype"/>
                <w:noProof/>
                <w:color w:val="000000"/>
                <w:sz w:val="24"/>
                <w:szCs w:val="18"/>
                <w:lang w:eastAsia="es-MX"/>
              </w:rPr>
              <w:drawing>
                <wp:inline distT="0" distB="0" distL="0" distR="0" wp14:anchorId="45064093" wp14:editId="1BE82255">
                  <wp:extent cx="3003695" cy="1311965"/>
                  <wp:effectExtent l="0" t="0" r="6350" b="254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7879" cy="1392414"/>
                          </a:xfrm>
                          <a:prstGeom prst="rect">
                            <a:avLst/>
                          </a:prstGeom>
                          <a:noFill/>
                          <a:ln>
                            <a:noFill/>
                          </a:ln>
                        </pic:spPr>
                      </pic:pic>
                    </a:graphicData>
                  </a:graphic>
                </wp:inline>
              </w:drawing>
            </w:r>
          </w:p>
        </w:tc>
        <w:tc>
          <w:tcPr>
            <w:tcW w:w="1701" w:type="dxa"/>
            <w:vAlign w:val="center"/>
          </w:tcPr>
          <w:p w:rsidR="00E25BCD" w:rsidRPr="000D558D" w:rsidRDefault="00E25BCD" w:rsidP="004C317E">
            <w:pPr>
              <w:spacing w:before="240"/>
              <w:jc w:val="center"/>
              <w:rPr>
                <w:rFonts w:ascii="Palatino Linotype" w:hAnsi="Palatino Linotype"/>
                <w:b/>
                <w:sz w:val="18"/>
                <w:szCs w:val="18"/>
              </w:rPr>
            </w:pPr>
            <w:r w:rsidRPr="000D558D">
              <w:rPr>
                <w:rFonts w:ascii="Palatino Linotype" w:hAnsi="Palatino Linotype"/>
                <w:b/>
                <w:sz w:val="24"/>
                <w:szCs w:val="18"/>
              </w:rPr>
              <w:t>Parcialmente</w:t>
            </w:r>
          </w:p>
        </w:tc>
      </w:tr>
      <w:tr w:rsidR="00E25BCD" w:rsidRPr="000D558D" w:rsidTr="004C317E">
        <w:tc>
          <w:tcPr>
            <w:tcW w:w="2547" w:type="dxa"/>
            <w:vAlign w:val="center"/>
          </w:tcPr>
          <w:p w:rsidR="00E25BCD" w:rsidRPr="000D558D" w:rsidRDefault="00E25BCD" w:rsidP="004C317E">
            <w:pPr>
              <w:jc w:val="both"/>
              <w:rPr>
                <w:rFonts w:ascii="Palatino Linotype" w:hAnsi="Palatino Linotype"/>
                <w:lang w:val="es-ES_tradnl"/>
              </w:rPr>
            </w:pPr>
            <w:r w:rsidRPr="000D558D">
              <w:rPr>
                <w:rFonts w:ascii="Palatino Linotype" w:hAnsi="Palatino Linotype"/>
                <w:color w:val="000000"/>
              </w:rPr>
              <w:t xml:space="preserve">Que ha realizado la Contraloría Municipal para sancionar a Servidores Públicos que han realizado mal sus funciones ya que esto ha ocasionado la </w:t>
            </w:r>
            <w:r w:rsidRPr="000D558D">
              <w:rPr>
                <w:rFonts w:ascii="Palatino Linotype" w:hAnsi="Palatino Linotype"/>
                <w:color w:val="000000"/>
              </w:rPr>
              <w:lastRenderedPageBreak/>
              <w:t>contratación de despachos y asesores para arreglar lo que personal ineficiente ha ocasionado y ha perjudicado.</w:t>
            </w:r>
          </w:p>
        </w:tc>
        <w:tc>
          <w:tcPr>
            <w:tcW w:w="4819" w:type="dxa"/>
          </w:tcPr>
          <w:p w:rsidR="00E25BCD" w:rsidRPr="000D558D" w:rsidRDefault="00E25BCD" w:rsidP="004C317E">
            <w:pPr>
              <w:jc w:val="both"/>
              <w:rPr>
                <w:rFonts w:ascii="Palatino Linotype" w:hAnsi="Palatino Linotype"/>
                <w:color w:val="000000"/>
                <w:sz w:val="24"/>
                <w:szCs w:val="18"/>
              </w:rPr>
            </w:pPr>
            <w:r w:rsidRPr="000D558D">
              <w:rPr>
                <w:rFonts w:ascii="Palatino Linotype" w:hAnsi="Palatino Linotype"/>
                <w:noProof/>
                <w:color w:val="000000"/>
                <w:sz w:val="24"/>
                <w:szCs w:val="18"/>
                <w:lang w:eastAsia="es-MX"/>
              </w:rPr>
              <w:lastRenderedPageBreak/>
              <w:drawing>
                <wp:inline distT="0" distB="0" distL="0" distR="0" wp14:anchorId="3379C749" wp14:editId="61DEFC08">
                  <wp:extent cx="3003550" cy="1295806"/>
                  <wp:effectExtent l="0" t="0" r="635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5691" cy="1313987"/>
                          </a:xfrm>
                          <a:prstGeom prst="rect">
                            <a:avLst/>
                          </a:prstGeom>
                          <a:noFill/>
                          <a:ln>
                            <a:noFill/>
                          </a:ln>
                        </pic:spPr>
                      </pic:pic>
                    </a:graphicData>
                  </a:graphic>
                </wp:inline>
              </w:drawing>
            </w:r>
          </w:p>
        </w:tc>
        <w:tc>
          <w:tcPr>
            <w:tcW w:w="1701" w:type="dxa"/>
            <w:vAlign w:val="center"/>
          </w:tcPr>
          <w:p w:rsidR="00E25BCD" w:rsidRPr="000D558D" w:rsidRDefault="00E25BCD" w:rsidP="004C317E">
            <w:pPr>
              <w:spacing w:before="240"/>
              <w:jc w:val="center"/>
              <w:rPr>
                <w:rFonts w:ascii="Verdana" w:hAnsi="Verdana"/>
                <w:sz w:val="18"/>
                <w:szCs w:val="18"/>
              </w:rPr>
            </w:pPr>
            <w:r w:rsidRPr="000D558D">
              <w:rPr>
                <w:rFonts w:ascii="Palatino Linotype" w:hAnsi="Palatino Linotype"/>
                <w:b/>
                <w:sz w:val="24"/>
                <w:szCs w:val="18"/>
              </w:rPr>
              <w:t>Parcialmente</w:t>
            </w:r>
          </w:p>
        </w:tc>
      </w:tr>
    </w:tbl>
    <w:p w:rsidR="00E25BCD" w:rsidRPr="000D558D" w:rsidRDefault="00E25BCD" w:rsidP="00E25BCD">
      <w:pPr>
        <w:spacing w:after="240" w:line="360" w:lineRule="auto"/>
        <w:ind w:right="567"/>
        <w:jc w:val="both"/>
        <w:rPr>
          <w:rFonts w:ascii="Palatino Linotype" w:hAnsi="Palatino Linotype"/>
          <w:sz w:val="2"/>
          <w:lang w:val="es-ES_tradnl"/>
        </w:rPr>
      </w:pPr>
    </w:p>
    <w:p w:rsidR="00E25BCD" w:rsidRPr="000D558D" w:rsidRDefault="00E25BCD" w:rsidP="00E25BCD">
      <w:pPr>
        <w:spacing w:after="240" w:line="360" w:lineRule="auto"/>
        <w:ind w:right="567"/>
        <w:jc w:val="both"/>
        <w:rPr>
          <w:rFonts w:ascii="Palatino Linotype" w:hAnsi="Palatino Linotype"/>
          <w:sz w:val="2"/>
          <w:lang w:val="es-ES_tradnl"/>
        </w:rPr>
      </w:pPr>
    </w:p>
    <w:p w:rsidR="00E25BCD" w:rsidRPr="000D558D" w:rsidRDefault="00E25BCD" w:rsidP="00E25BCD">
      <w:pPr>
        <w:pStyle w:val="Prrafodelista"/>
        <w:spacing w:line="360" w:lineRule="auto"/>
        <w:ind w:left="0"/>
        <w:contextualSpacing/>
        <w:jc w:val="both"/>
        <w:rPr>
          <w:lang w:val="es-MX" w:eastAsia="en-US"/>
        </w:rPr>
      </w:pPr>
      <w:r w:rsidRPr="000D558D">
        <w:rPr>
          <w:rFonts w:ascii="Palatino Linotype" w:hAnsi="Palatino Linotype"/>
          <w:color w:val="000000"/>
        </w:rPr>
        <w:t xml:space="preserve">Ahora bien, en dicha solicitud se observa en primer lugar que la información solicitada fue formulada parcialmente a través de planteamientos en donde </w:t>
      </w:r>
      <w:r w:rsidRPr="000D558D">
        <w:rPr>
          <w:rFonts w:ascii="Palatino Linotype" w:hAnsi="Palatino Linotype" w:cs="Arial"/>
          <w:bCs/>
          <w:iCs/>
          <w:color w:val="222222"/>
        </w:rPr>
        <w:t>no se identifica un documento en específico</w:t>
      </w:r>
      <w:r w:rsidRPr="000D558D">
        <w:rPr>
          <w:rFonts w:ascii="Palatino Linotype" w:hAnsi="Palatino Linotype"/>
          <w:color w:val="000000"/>
        </w:rPr>
        <w:t>, en segundo lugar se aprecia que en la misma se vierten manifestaciones subjetivas que no pueden ser atendidas mediante el Derecho de Acceso a la Información.</w:t>
      </w:r>
    </w:p>
    <w:p w:rsidR="00E25BCD" w:rsidRPr="000D558D" w:rsidRDefault="00E25BCD" w:rsidP="00E25BCD">
      <w:pPr>
        <w:pStyle w:val="Prrafodelista"/>
        <w:autoSpaceDE w:val="0"/>
        <w:autoSpaceDN w:val="0"/>
        <w:adjustRightInd w:val="0"/>
        <w:spacing w:line="360" w:lineRule="auto"/>
        <w:ind w:left="0"/>
        <w:jc w:val="both"/>
        <w:rPr>
          <w:rFonts w:ascii="Palatino Linotype" w:hAnsi="Palatino Linotype" w:cs="Arial"/>
        </w:rPr>
      </w:pPr>
    </w:p>
    <w:p w:rsidR="00E25BCD" w:rsidRPr="000D558D" w:rsidRDefault="00E25BCD" w:rsidP="00E25BCD">
      <w:pPr>
        <w:pStyle w:val="Prrafodelista"/>
        <w:autoSpaceDE w:val="0"/>
        <w:autoSpaceDN w:val="0"/>
        <w:adjustRightInd w:val="0"/>
        <w:spacing w:line="360" w:lineRule="auto"/>
        <w:ind w:left="0"/>
        <w:contextualSpacing/>
        <w:jc w:val="both"/>
        <w:rPr>
          <w:rFonts w:ascii="Palatino Linotype" w:hAnsi="Palatino Linotype" w:cs="Arial"/>
          <w:lang w:val="es-MX"/>
        </w:rPr>
      </w:pPr>
      <w:r w:rsidRPr="000D558D">
        <w:rPr>
          <w:rFonts w:ascii="Palatino Linotype" w:hAnsi="Palatino Linotype"/>
        </w:rPr>
        <w:t xml:space="preserve">Bajo éste tenor cabe aclarar que cuando los planteamientos que formulen los particulares se pueda colmar con la entrega de </w:t>
      </w:r>
      <w:r w:rsidRPr="000D558D">
        <w:rPr>
          <w:rFonts w:ascii="Palatino Linotype" w:hAnsi="Palatino Linotype" w:cs="Arial"/>
        </w:rPr>
        <w:t xml:space="preserve">documentos que los Sujetos Obligados generen, posean o administren en ejercicio de sus atribuciones, se está en presencia del derecho fundamental de acceso a la información, previsto en el artículo 6, Apartado </w:t>
      </w:r>
      <w:r w:rsidRPr="000D558D">
        <w:rPr>
          <w:rFonts w:ascii="Palatino Linotype" w:hAnsi="Palatino Linotype"/>
        </w:rPr>
        <w:t>A, fracción IV, de la Constitución Política de los Estados Unidos Mexicanos, el cual deberá garantizarse ordenando la entrega de tales documentales, siempre y cuando éstas sean de acceso público.</w:t>
      </w:r>
    </w:p>
    <w:p w:rsidR="00E25BCD" w:rsidRPr="000D558D" w:rsidRDefault="00E25BCD" w:rsidP="00E25BCD">
      <w:pPr>
        <w:pStyle w:val="Prrafodelista"/>
        <w:autoSpaceDE w:val="0"/>
        <w:autoSpaceDN w:val="0"/>
        <w:adjustRightInd w:val="0"/>
        <w:spacing w:line="360" w:lineRule="auto"/>
        <w:ind w:left="0"/>
        <w:jc w:val="both"/>
        <w:rPr>
          <w:rFonts w:ascii="Palatino Linotype" w:hAnsi="Palatino Linotype" w:cs="Arial"/>
        </w:rPr>
      </w:pPr>
    </w:p>
    <w:p w:rsidR="00E25BCD" w:rsidRPr="000D558D" w:rsidRDefault="00E25BCD" w:rsidP="00E25BCD">
      <w:pPr>
        <w:pStyle w:val="Prrafodelista"/>
        <w:autoSpaceDE w:val="0"/>
        <w:autoSpaceDN w:val="0"/>
        <w:adjustRightInd w:val="0"/>
        <w:spacing w:line="360" w:lineRule="auto"/>
        <w:ind w:left="0"/>
        <w:contextualSpacing/>
        <w:jc w:val="both"/>
        <w:rPr>
          <w:rFonts w:ascii="Palatino Linotype" w:hAnsi="Palatino Linotype" w:cs="Arial"/>
          <w:color w:val="000000" w:themeColor="text1"/>
        </w:rPr>
      </w:pPr>
      <w:r w:rsidRPr="000D558D">
        <w:rPr>
          <w:rFonts w:ascii="Palatino Linotype" w:hAnsi="Palatino Linotype" w:cs="Arial"/>
          <w:color w:val="000000" w:themeColor="text1"/>
        </w:rPr>
        <w:t>Sirve de sustento a lo anterior, el</w:t>
      </w:r>
      <w:r w:rsidRPr="000D558D">
        <w:rPr>
          <w:rStyle w:val="apple-converted-space"/>
          <w:rFonts w:ascii="Palatino Linotype" w:eastAsia="Calibri" w:hAnsi="Palatino Linotype" w:cs="Arial"/>
          <w:color w:val="000000" w:themeColor="text1"/>
        </w:rPr>
        <w:t xml:space="preserve"> </w:t>
      </w:r>
      <w:r w:rsidRPr="000D558D">
        <w:rPr>
          <w:rStyle w:val="il"/>
          <w:rFonts w:ascii="Palatino Linotype" w:hAnsi="Palatino Linotype" w:cs="Arial"/>
          <w:color w:val="000000" w:themeColor="text1"/>
        </w:rPr>
        <w:t>Criterio</w:t>
      </w:r>
      <w:r w:rsidRPr="000D558D">
        <w:rPr>
          <w:rStyle w:val="apple-converted-space"/>
          <w:rFonts w:ascii="Palatino Linotype" w:eastAsia="Calibri" w:hAnsi="Palatino Linotype" w:cs="Arial"/>
          <w:color w:val="000000" w:themeColor="text1"/>
        </w:rPr>
        <w:t xml:space="preserve"> </w:t>
      </w:r>
      <w:r w:rsidRPr="000D558D">
        <w:rPr>
          <w:rStyle w:val="il"/>
          <w:rFonts w:ascii="Palatino Linotype" w:hAnsi="Palatino Linotype" w:cs="Arial"/>
          <w:color w:val="000000" w:themeColor="text1"/>
        </w:rPr>
        <w:t>028</w:t>
      </w:r>
      <w:r w:rsidRPr="000D558D">
        <w:rPr>
          <w:rFonts w:ascii="Palatino Linotype" w:hAnsi="Palatino Linotype" w:cs="Arial"/>
          <w:color w:val="000000" w:themeColor="text1"/>
        </w:rPr>
        <w:t>-</w:t>
      </w:r>
      <w:r w:rsidRPr="000D558D">
        <w:rPr>
          <w:rStyle w:val="il"/>
          <w:rFonts w:ascii="Palatino Linotype" w:hAnsi="Palatino Linotype" w:cs="Arial"/>
          <w:color w:val="000000" w:themeColor="text1"/>
        </w:rPr>
        <w:t>10</w:t>
      </w:r>
      <w:r w:rsidRPr="000D558D">
        <w:rPr>
          <w:rStyle w:val="apple-converted-space"/>
          <w:rFonts w:ascii="Palatino Linotype" w:eastAsia="Calibri" w:hAnsi="Palatino Linotype" w:cs="Arial"/>
          <w:color w:val="000000" w:themeColor="text1"/>
        </w:rPr>
        <w:t xml:space="preserve"> </w:t>
      </w:r>
      <w:r w:rsidRPr="000D558D">
        <w:rPr>
          <w:rFonts w:ascii="Palatino Linotype" w:hAnsi="Palatino Linotype" w:cs="Arial"/>
          <w:color w:val="000000" w:themeColor="text1"/>
        </w:rPr>
        <w:t>emitido por el Pleno del entonces llamado</w:t>
      </w:r>
      <w:r w:rsidRPr="000D558D">
        <w:rPr>
          <w:rStyle w:val="apple-converted-space"/>
          <w:rFonts w:ascii="Palatino Linotype" w:eastAsia="Calibri" w:hAnsi="Palatino Linotype" w:cs="Arial"/>
          <w:color w:val="000000" w:themeColor="text1"/>
        </w:rPr>
        <w:t xml:space="preserve"> </w:t>
      </w:r>
      <w:r w:rsidRPr="000D558D">
        <w:rPr>
          <w:rFonts w:ascii="Palatino Linotype" w:hAnsi="Palatino Linotype" w:cs="Arial"/>
          <w:color w:val="000000" w:themeColor="text1"/>
        </w:rPr>
        <w:t>Instituto Federal de Acceso a la Información y Protección de Datos, ahora Instituto Nacional de Transparencia, Acceso a la Información y Protección de Datos Personales que establece que se deberá garantizar</w:t>
      </w:r>
      <w:r w:rsidRPr="000D558D">
        <w:rPr>
          <w:rStyle w:val="apple-converted-space"/>
          <w:rFonts w:ascii="Palatino Linotype" w:eastAsia="Calibri" w:hAnsi="Palatino Linotype" w:cs="Arial"/>
          <w:color w:val="000000" w:themeColor="text1"/>
        </w:rPr>
        <w:t xml:space="preserve"> </w:t>
      </w:r>
      <w:r w:rsidRPr="000D558D">
        <w:rPr>
          <w:rFonts w:ascii="Palatino Linotype" w:hAnsi="Palatino Linotype" w:cs="Arial"/>
          <w:color w:val="000000" w:themeColor="text1"/>
        </w:rPr>
        <w:t xml:space="preserve">el acceso a la información contenida en documentos que los sujetos obligados generen, obtengan, adquieran, transformen </w:t>
      </w:r>
      <w:r w:rsidRPr="000D558D">
        <w:rPr>
          <w:rFonts w:ascii="Palatino Linotype" w:hAnsi="Palatino Linotype" w:cs="Arial"/>
          <w:color w:val="000000" w:themeColor="text1"/>
        </w:rPr>
        <w:lastRenderedPageBreak/>
        <w:t>o conserven por cualquier título; que se entienden como cualquier registro que documente el ejercicio de las facultades o la actividad de los sujetos obligados sin importar su fuente o fecha de elaboración</w:t>
      </w:r>
      <w:r w:rsidRPr="000D558D">
        <w:rPr>
          <w:rStyle w:val="apple-converted-space"/>
          <w:rFonts w:ascii="Palatino Linotype" w:eastAsia="Calibri" w:hAnsi="Palatino Linotype" w:cs="Arial"/>
          <w:i/>
          <w:iCs/>
          <w:color w:val="000000" w:themeColor="text1"/>
        </w:rPr>
        <w:t xml:space="preserve"> </w:t>
      </w:r>
      <w:r w:rsidRPr="000D558D">
        <w:rPr>
          <w:rFonts w:ascii="Palatino Linotype" w:hAnsi="Palatino Linotype" w:cs="Arial"/>
          <w:color w:val="000000" w:themeColor="text1"/>
        </w:rPr>
        <w:t xml:space="preserve">aunque el particular lleve a cabo una solicitud de información sin identificar de forma precisa la documentación, </w:t>
      </w:r>
      <w:r w:rsidRPr="000D558D">
        <w:rPr>
          <w:rFonts w:ascii="Palatino Linotype" w:hAnsi="Palatino Linotype" w:cs="Arial"/>
          <w:b/>
          <w:color w:val="000000" w:themeColor="text1"/>
        </w:rPr>
        <w:t>El Sujeto Obligado</w:t>
      </w:r>
      <w:r w:rsidRPr="000D558D">
        <w:rPr>
          <w:rStyle w:val="apple-converted-space"/>
          <w:rFonts w:ascii="Palatino Linotype" w:eastAsia="Calibri" w:hAnsi="Palatino Linotype" w:cs="Arial"/>
          <w:b/>
          <w:color w:val="000000" w:themeColor="text1"/>
        </w:rPr>
        <w:t xml:space="preserve"> </w:t>
      </w:r>
      <w:r w:rsidRPr="000D558D">
        <w:rPr>
          <w:rFonts w:ascii="Palatino Linotype" w:hAnsi="Palatino Linotype" w:cs="Arial"/>
          <w:color w:val="000000" w:themeColor="text1"/>
        </w:rPr>
        <w:t>deberá hacer entrega del mismo al solicitante</w:t>
      </w:r>
      <w:r w:rsidRPr="000D558D">
        <w:rPr>
          <w:rStyle w:val="apple-converted-space"/>
          <w:rFonts w:ascii="Palatino Linotype" w:eastAsia="Calibri" w:hAnsi="Palatino Linotype" w:cs="Arial"/>
          <w:color w:val="000000" w:themeColor="text1"/>
        </w:rPr>
        <w:t xml:space="preserve"> </w:t>
      </w:r>
      <w:r w:rsidRPr="000D558D">
        <w:rPr>
          <w:rFonts w:ascii="Palatino Linotype" w:hAnsi="Palatino Linotype" w:cs="Arial"/>
          <w:color w:val="000000" w:themeColor="text1"/>
        </w:rPr>
        <w:t>mismo que a continuación se cita:</w:t>
      </w:r>
    </w:p>
    <w:p w:rsidR="00E25BCD" w:rsidRPr="000D558D" w:rsidRDefault="00E25BCD" w:rsidP="00E25BCD">
      <w:pPr>
        <w:pStyle w:val="Sinespaciado"/>
      </w:pPr>
    </w:p>
    <w:p w:rsidR="00E25BCD" w:rsidRPr="000D558D" w:rsidRDefault="00E25BCD" w:rsidP="00E25BCD">
      <w:pPr>
        <w:pStyle w:val="Prrafodelista"/>
        <w:autoSpaceDE w:val="0"/>
        <w:autoSpaceDN w:val="0"/>
        <w:adjustRightInd w:val="0"/>
        <w:ind w:left="851" w:right="708"/>
        <w:jc w:val="both"/>
        <w:rPr>
          <w:rFonts w:ascii="Palatino Linotype" w:hAnsi="Palatino Linotype" w:cs="Arial"/>
        </w:rPr>
      </w:pPr>
      <w:r w:rsidRPr="000D558D">
        <w:rPr>
          <w:rFonts w:ascii="Palatino Linotype" w:hAnsi="Palatino Linotype" w:cs="Arial"/>
          <w:b/>
          <w:bCs/>
          <w:i/>
          <w:iCs/>
          <w:color w:val="000000" w:themeColor="text1"/>
          <w:sz w:val="22"/>
          <w:szCs w:val="22"/>
          <w:lang w:val="es-ES_tradnl"/>
        </w:rPr>
        <w:t>“Cuando en una solicitud de información no se identifique un documento en específico, si ésta tiene una expresión documental, el sujeto obligado deberá entregar al particular el documento en específico.</w:t>
      </w:r>
      <w:r w:rsidRPr="000D558D">
        <w:rPr>
          <w:rStyle w:val="apple-converted-space"/>
          <w:rFonts w:ascii="Palatino Linotype" w:eastAsia="Calibri" w:hAnsi="Palatino Linotype" w:cs="Arial"/>
          <w:i/>
          <w:iCs/>
          <w:color w:val="000000" w:themeColor="text1"/>
          <w:sz w:val="22"/>
          <w:szCs w:val="22"/>
          <w:lang w:val="es-ES_tradnl"/>
        </w:rPr>
        <w:t xml:space="preserve"> </w:t>
      </w:r>
      <w:r w:rsidRPr="000D558D">
        <w:rPr>
          <w:rFonts w:ascii="Palatino Linotype" w:hAnsi="Palatino Linotype" w:cs="Arial"/>
          <w:i/>
          <w:iCs/>
          <w:color w:val="000000" w:themeColor="text1"/>
          <w:sz w:val="22"/>
          <w:szCs w:val="22"/>
          <w:lang w:val="es-ES_tradnl"/>
        </w:rPr>
        <w:t>La Ley Federal de Transparencia y Acceso a la Información Pública Gubernamental tiene por objeto garantizar el acceso a la información contenida en documentos que los sujetos obligados generen, obtengan, adquieran, transformen o conserven por cualquier título; que se entienden como cualquier registro que documente el ejercicio de las facultades o la actividad de los sujetos obligados sin importar su fuente o fecha de elaboración. En este sentido, cuando el particular lleve a cabo una solicitud de información sin identificar de forma precisa la documentación específica que pudiera contener dicha información, o bien pareciera que más bien la solicitud se constituye como una consulta y no como una solicitud de acceso en términos de la Ley Federal de Transparencia y Acceso a la Información Pública Gubernamental, pero su respuesta puede obrar en algún documento, el sujeto obligado debe dar a la solicitud una interpretación que le dé una expresión documental. Es decir, si la respuesta a la solicitud obra en algún documento en poder de la autoridad, pero el particular no hace referencia específica a tal documento, se deberá hacer entrega del mismo al solicitante.”</w:t>
      </w:r>
    </w:p>
    <w:p w:rsidR="00E25BCD" w:rsidRPr="000D558D" w:rsidRDefault="00E25BCD" w:rsidP="00E25BCD">
      <w:pPr>
        <w:spacing w:after="0" w:line="360" w:lineRule="auto"/>
        <w:ind w:right="141"/>
        <w:jc w:val="both"/>
        <w:rPr>
          <w:rFonts w:ascii="Palatino Linotype" w:hAnsi="Palatino Linotype" w:cs="Arial"/>
          <w:bCs/>
          <w:noProof/>
          <w:sz w:val="24"/>
          <w:szCs w:val="24"/>
          <w:lang w:eastAsia="es-MX"/>
        </w:rPr>
      </w:pPr>
    </w:p>
    <w:p w:rsidR="00E25BCD" w:rsidRPr="000D558D" w:rsidRDefault="00E25BCD" w:rsidP="00E25BCD">
      <w:pPr>
        <w:spacing w:after="0" w:line="360" w:lineRule="auto"/>
        <w:ind w:right="141"/>
        <w:jc w:val="both"/>
        <w:rPr>
          <w:rFonts w:ascii="Palatino Linotype" w:hAnsi="Palatino Linotype" w:cs="Arial"/>
          <w:bCs/>
          <w:noProof/>
          <w:sz w:val="24"/>
          <w:szCs w:val="24"/>
          <w:lang w:eastAsia="es-MX"/>
        </w:rPr>
      </w:pPr>
      <w:r w:rsidRPr="000D558D">
        <w:rPr>
          <w:rFonts w:ascii="Palatino Linotype" w:hAnsi="Palatino Linotype" w:cs="Arial"/>
          <w:bCs/>
          <w:noProof/>
          <w:sz w:val="24"/>
          <w:szCs w:val="24"/>
          <w:lang w:eastAsia="es-MX"/>
        </w:rPr>
        <w:t xml:space="preserve">Por lo anterior, se colige que el </w:t>
      </w:r>
      <w:r w:rsidRPr="000D558D">
        <w:rPr>
          <w:rFonts w:ascii="Palatino Linotype" w:hAnsi="Palatino Linotype" w:cs="Arial"/>
          <w:b/>
          <w:bCs/>
          <w:noProof/>
          <w:sz w:val="24"/>
          <w:szCs w:val="24"/>
          <w:lang w:eastAsia="es-MX"/>
        </w:rPr>
        <w:t>Sujeto Obligado</w:t>
      </w:r>
      <w:r w:rsidRPr="000D558D">
        <w:rPr>
          <w:rFonts w:ascii="Palatino Linotype" w:hAnsi="Palatino Linotype" w:cs="Arial"/>
          <w:bCs/>
          <w:noProof/>
          <w:sz w:val="24"/>
          <w:szCs w:val="24"/>
          <w:lang w:eastAsia="es-MX"/>
        </w:rPr>
        <w:t xml:space="preserve"> colmó parcialmente lo requerido por el particular, ya que existió un pronunciaminento en dos puntos solicitados; sin embargo, como se aprecia en la captura de pantalla, el Servidor Público Habiltado de la Contraloría Municipal, omitió remitir información.</w:t>
      </w:r>
    </w:p>
    <w:p w:rsidR="00E25BCD" w:rsidRPr="000D558D" w:rsidRDefault="00E25BCD" w:rsidP="00E25BCD">
      <w:pPr>
        <w:spacing w:after="0" w:line="360" w:lineRule="auto"/>
        <w:ind w:right="141"/>
        <w:jc w:val="both"/>
        <w:rPr>
          <w:rFonts w:ascii="Palatino Linotype" w:hAnsi="Palatino Linotype" w:cs="Arial"/>
          <w:bCs/>
          <w:noProof/>
          <w:sz w:val="24"/>
          <w:szCs w:val="24"/>
          <w:lang w:eastAsia="es-MX"/>
        </w:rPr>
      </w:pPr>
    </w:p>
    <w:p w:rsidR="00E25BCD" w:rsidRPr="000D558D" w:rsidRDefault="00E25BCD" w:rsidP="00E25BCD">
      <w:pPr>
        <w:pStyle w:val="Prrafodelista"/>
        <w:spacing w:line="360" w:lineRule="auto"/>
        <w:ind w:left="0"/>
        <w:jc w:val="both"/>
        <w:rPr>
          <w:rFonts w:ascii="Palatino Linotype" w:hAnsi="Palatino Linotype" w:cs="Arial"/>
        </w:rPr>
      </w:pPr>
      <w:r w:rsidRPr="000D558D">
        <w:rPr>
          <w:rFonts w:ascii="Palatino Linotype" w:eastAsiaTheme="minorHAnsi" w:hAnsi="Palatino Linotype" w:cs="Arial"/>
          <w:lang w:val="es-MX" w:eastAsia="en-US"/>
        </w:rPr>
        <w:lastRenderedPageBreak/>
        <w:t xml:space="preserve">De lo manifestado por el </w:t>
      </w:r>
      <w:r w:rsidRPr="000D558D">
        <w:rPr>
          <w:rFonts w:ascii="Palatino Linotype" w:eastAsiaTheme="minorHAnsi" w:hAnsi="Palatino Linotype" w:cs="Arial"/>
          <w:b/>
          <w:lang w:val="es-MX" w:eastAsia="en-US"/>
        </w:rPr>
        <w:t>Sujeto Obligado</w:t>
      </w:r>
      <w:r w:rsidRPr="000D558D">
        <w:rPr>
          <w:rFonts w:ascii="Palatino Linotype" w:eastAsiaTheme="minorHAnsi" w:hAnsi="Palatino Linotype" w:cs="Arial"/>
          <w:lang w:val="es-MX" w:eastAsia="en-US"/>
        </w:rPr>
        <w:t xml:space="preserve"> así como de la imagen antes referida, se advierte que el pronunciamiento al que hace referencia el </w:t>
      </w:r>
      <w:r w:rsidRPr="000D558D">
        <w:rPr>
          <w:rFonts w:ascii="Palatino Linotype" w:eastAsiaTheme="minorHAnsi" w:hAnsi="Palatino Linotype" w:cs="Arial"/>
          <w:b/>
          <w:lang w:val="es-MX" w:eastAsia="en-US"/>
        </w:rPr>
        <w:t>Sujeto Obligado</w:t>
      </w:r>
      <w:r w:rsidRPr="000D558D">
        <w:rPr>
          <w:rFonts w:ascii="Palatino Linotype" w:eastAsiaTheme="minorHAnsi" w:hAnsi="Palatino Linotype" w:cs="Arial"/>
          <w:lang w:val="es-MX" w:eastAsia="en-US"/>
        </w:rPr>
        <w:t xml:space="preserve"> en su respuesta primigenia, consistente en la normatividad que regula las responsabilidades administrativas.</w:t>
      </w:r>
      <w:r w:rsidRPr="000D558D">
        <w:rPr>
          <w:rFonts w:ascii="Palatino Linotype" w:hAnsi="Palatino Linotype" w:cs="Arial"/>
        </w:rPr>
        <w:t xml:space="preserve"> </w:t>
      </w:r>
    </w:p>
    <w:p w:rsidR="00E25BCD" w:rsidRPr="000D558D" w:rsidRDefault="00E25BCD" w:rsidP="00E25BCD">
      <w:pPr>
        <w:spacing w:after="240" w:line="360" w:lineRule="auto"/>
        <w:ind w:right="567"/>
        <w:jc w:val="both"/>
        <w:rPr>
          <w:rFonts w:ascii="Palatino Linotype" w:hAnsi="Palatino Linotype"/>
          <w:sz w:val="2"/>
          <w:lang w:val="es-ES_tradnl"/>
        </w:rPr>
      </w:pPr>
    </w:p>
    <w:tbl>
      <w:tblPr>
        <w:tblStyle w:val="Tablaconcuadrcula"/>
        <w:tblW w:w="0" w:type="auto"/>
        <w:tblLayout w:type="fixed"/>
        <w:tblLook w:val="04A0" w:firstRow="1" w:lastRow="0" w:firstColumn="1" w:lastColumn="0" w:noHBand="0" w:noVBand="1"/>
      </w:tblPr>
      <w:tblGrid>
        <w:gridCol w:w="2547"/>
        <w:gridCol w:w="4819"/>
        <w:gridCol w:w="1696"/>
      </w:tblGrid>
      <w:tr w:rsidR="00E25BCD" w:rsidRPr="000D558D" w:rsidTr="004C317E">
        <w:tc>
          <w:tcPr>
            <w:tcW w:w="9062" w:type="dxa"/>
            <w:gridSpan w:val="3"/>
            <w:shd w:val="clear" w:color="auto" w:fill="D9D9D9" w:themeFill="background1" w:themeFillShade="D9"/>
            <w:vAlign w:val="center"/>
          </w:tcPr>
          <w:p w:rsidR="00E25BCD" w:rsidRPr="000D558D" w:rsidRDefault="00E25BCD" w:rsidP="004C317E">
            <w:pPr>
              <w:spacing w:before="240" w:after="240"/>
              <w:jc w:val="center"/>
              <w:rPr>
                <w:rFonts w:ascii="Palatino Linotype" w:hAnsi="Palatino Linotype"/>
                <w:b/>
                <w:color w:val="000000"/>
                <w:sz w:val="24"/>
                <w:szCs w:val="18"/>
              </w:rPr>
            </w:pPr>
            <w:r w:rsidRPr="000D558D">
              <w:rPr>
                <w:rFonts w:ascii="Palatino Linotype" w:hAnsi="Palatino Linotype"/>
                <w:b/>
                <w:color w:val="000000"/>
                <w:sz w:val="24"/>
                <w:szCs w:val="18"/>
              </w:rPr>
              <w:t>Folio de la Solicitud 00003/CUAUTIT/IP/2021</w:t>
            </w:r>
          </w:p>
        </w:tc>
      </w:tr>
      <w:tr w:rsidR="00E25BCD" w:rsidRPr="000D558D" w:rsidTr="004C317E">
        <w:tc>
          <w:tcPr>
            <w:tcW w:w="2547" w:type="dxa"/>
            <w:shd w:val="clear" w:color="auto" w:fill="D9D9D9" w:themeFill="background1" w:themeFillShade="D9"/>
            <w:vAlign w:val="center"/>
          </w:tcPr>
          <w:p w:rsidR="00E25BCD" w:rsidRPr="000D558D" w:rsidRDefault="00E25BCD" w:rsidP="004C317E">
            <w:pPr>
              <w:jc w:val="center"/>
              <w:rPr>
                <w:rFonts w:ascii="Palatino Linotype" w:hAnsi="Palatino Linotype"/>
                <w:lang w:val="es-ES_tradnl"/>
              </w:rPr>
            </w:pPr>
            <w:r w:rsidRPr="000D558D">
              <w:rPr>
                <w:rFonts w:ascii="Palatino Linotype" w:hAnsi="Palatino Linotype"/>
                <w:b/>
              </w:rPr>
              <w:t>Solicitud de Información</w:t>
            </w:r>
          </w:p>
        </w:tc>
        <w:tc>
          <w:tcPr>
            <w:tcW w:w="4819" w:type="dxa"/>
            <w:shd w:val="clear" w:color="auto" w:fill="D9D9D9" w:themeFill="background1" w:themeFillShade="D9"/>
            <w:vAlign w:val="center"/>
          </w:tcPr>
          <w:p w:rsidR="00E25BCD" w:rsidRPr="000D558D" w:rsidRDefault="00E25BCD" w:rsidP="004C317E">
            <w:pPr>
              <w:jc w:val="center"/>
              <w:rPr>
                <w:rFonts w:ascii="Palatino Linotype" w:hAnsi="Palatino Linotype"/>
                <w:b/>
              </w:rPr>
            </w:pPr>
            <w:r w:rsidRPr="000D558D">
              <w:rPr>
                <w:rFonts w:ascii="Palatino Linotype" w:hAnsi="Palatino Linotype"/>
                <w:b/>
              </w:rPr>
              <w:t>Respuesta</w:t>
            </w:r>
          </w:p>
        </w:tc>
        <w:tc>
          <w:tcPr>
            <w:tcW w:w="1696" w:type="dxa"/>
            <w:shd w:val="clear" w:color="auto" w:fill="D9D9D9" w:themeFill="background1" w:themeFillShade="D9"/>
            <w:vAlign w:val="center"/>
          </w:tcPr>
          <w:p w:rsidR="00E25BCD" w:rsidRPr="000D558D" w:rsidRDefault="00E25BCD" w:rsidP="004C317E">
            <w:pPr>
              <w:jc w:val="center"/>
              <w:rPr>
                <w:rFonts w:ascii="Palatino Linotype" w:hAnsi="Palatino Linotype"/>
                <w:b/>
              </w:rPr>
            </w:pPr>
            <w:r w:rsidRPr="000D558D">
              <w:rPr>
                <w:rFonts w:ascii="Palatino Linotype" w:hAnsi="Palatino Linotype"/>
                <w:b/>
              </w:rPr>
              <w:t>Cumplimiento</w:t>
            </w:r>
          </w:p>
        </w:tc>
      </w:tr>
      <w:tr w:rsidR="00E25BCD" w:rsidRPr="000D558D" w:rsidTr="004C317E">
        <w:tc>
          <w:tcPr>
            <w:tcW w:w="2547" w:type="dxa"/>
            <w:vAlign w:val="center"/>
          </w:tcPr>
          <w:p w:rsidR="00E25BCD" w:rsidRPr="000D558D" w:rsidRDefault="00E25BCD" w:rsidP="004C317E">
            <w:pPr>
              <w:spacing w:line="276" w:lineRule="auto"/>
              <w:jc w:val="both"/>
              <w:rPr>
                <w:rFonts w:ascii="Palatino Linotype" w:hAnsi="Palatino Linotype"/>
                <w:lang w:val="es-ES_tradnl"/>
              </w:rPr>
            </w:pPr>
            <w:r w:rsidRPr="000D558D">
              <w:rPr>
                <w:rFonts w:ascii="Palatino Linotype" w:hAnsi="Palatino Linotype"/>
                <w:lang w:val="es-ES_tradnl"/>
              </w:rPr>
              <w:t>Soporte documental de los pagos realizados al Despacho Lara y que incluyan las actividades a detalle realizadas y que logros han obtenido con su contratación.</w:t>
            </w:r>
          </w:p>
        </w:tc>
        <w:tc>
          <w:tcPr>
            <w:tcW w:w="4819" w:type="dxa"/>
            <w:vAlign w:val="center"/>
          </w:tcPr>
          <w:p w:rsidR="00E25BCD" w:rsidRPr="000D558D" w:rsidRDefault="00E25BCD" w:rsidP="004C317E">
            <w:pPr>
              <w:spacing w:line="360" w:lineRule="auto"/>
              <w:ind w:right="567"/>
              <w:jc w:val="center"/>
              <w:rPr>
                <w:rFonts w:ascii="Palatino Linotype" w:hAnsi="Palatino Linotype"/>
                <w:sz w:val="2"/>
                <w:lang w:val="es-ES_tradnl"/>
              </w:rPr>
            </w:pPr>
            <w:r w:rsidRPr="000D558D">
              <w:object w:dxaOrig="8850" w:dyaOrig="10050">
                <v:shape id="_x0000_i1026" type="#_x0000_t75" style="width:235.2pt;height:328.8pt" o:ole="">
                  <v:imagedata r:id="rId14" o:title=""/>
                </v:shape>
                <o:OLEObject Type="Embed" ProgID="PBrush" ShapeID="_x0000_i1026" DrawAspect="Content" ObjectID="_1682325466" r:id="rId15"/>
              </w:object>
            </w:r>
          </w:p>
        </w:tc>
        <w:tc>
          <w:tcPr>
            <w:tcW w:w="1696" w:type="dxa"/>
            <w:vAlign w:val="center"/>
          </w:tcPr>
          <w:p w:rsidR="00E25BCD" w:rsidRPr="000D558D" w:rsidRDefault="00E25BCD" w:rsidP="004C317E">
            <w:pPr>
              <w:spacing w:line="360" w:lineRule="auto"/>
              <w:ind w:right="28"/>
              <w:jc w:val="center"/>
              <w:rPr>
                <w:rFonts w:ascii="Palatino Linotype" w:hAnsi="Palatino Linotype"/>
                <w:b/>
                <w:lang w:val="es-ES_tradnl"/>
              </w:rPr>
            </w:pPr>
            <w:r w:rsidRPr="000D558D">
              <w:rPr>
                <w:rFonts w:ascii="Palatino Linotype" w:hAnsi="Palatino Linotype"/>
                <w:b/>
                <w:lang w:val="es-ES_tradnl"/>
              </w:rPr>
              <w:t>NO</w:t>
            </w:r>
          </w:p>
        </w:tc>
      </w:tr>
    </w:tbl>
    <w:p w:rsidR="00E25BCD" w:rsidRPr="000D558D" w:rsidRDefault="00E25BCD" w:rsidP="00E25BCD">
      <w:pPr>
        <w:autoSpaceDE w:val="0"/>
        <w:autoSpaceDN w:val="0"/>
        <w:adjustRightInd w:val="0"/>
        <w:spacing w:after="0" w:line="360" w:lineRule="auto"/>
        <w:jc w:val="both"/>
        <w:rPr>
          <w:rFonts w:ascii="Palatino Linotype" w:hAnsi="Palatino Linotype" w:cs="Arial"/>
          <w:sz w:val="24"/>
          <w:szCs w:val="24"/>
        </w:rPr>
      </w:pPr>
    </w:p>
    <w:p w:rsidR="00E25BCD" w:rsidRPr="000D558D" w:rsidRDefault="00E25BCD" w:rsidP="00E25BCD">
      <w:pPr>
        <w:shd w:val="clear" w:color="auto" w:fill="FFFFFF"/>
        <w:spacing w:after="0" w:line="360" w:lineRule="auto"/>
        <w:jc w:val="both"/>
        <w:rPr>
          <w:rFonts w:ascii="Palatino Linotype" w:hAnsi="Palatino Linotype"/>
          <w:color w:val="222222"/>
          <w:sz w:val="24"/>
        </w:rPr>
      </w:pPr>
      <w:r w:rsidRPr="000D558D">
        <w:rPr>
          <w:rFonts w:ascii="Palatino Linotype" w:hAnsi="Palatino Linotype"/>
          <w:color w:val="222222"/>
          <w:sz w:val="24"/>
        </w:rPr>
        <w:t>En este sentido, debe dejarse claro que al haber existido un pronunciamiento por parte del </w:t>
      </w:r>
      <w:r w:rsidRPr="000D558D">
        <w:rPr>
          <w:rFonts w:ascii="Palatino Linotype" w:hAnsi="Palatino Linotype"/>
          <w:b/>
          <w:bCs/>
          <w:color w:val="222222"/>
          <w:sz w:val="24"/>
        </w:rPr>
        <w:t>Sujeto Obligado</w:t>
      </w:r>
      <w:r w:rsidRPr="000D558D">
        <w:rPr>
          <w:rFonts w:ascii="Palatino Linotype" w:hAnsi="Palatino Linotype"/>
          <w:color w:val="222222"/>
          <w:sz w:val="24"/>
        </w:rPr>
        <w:t xml:space="preserve">, este Instituto no está facultado para manifestarse sobre la </w:t>
      </w:r>
      <w:r w:rsidRPr="000D558D">
        <w:rPr>
          <w:rFonts w:ascii="Palatino Linotype" w:hAnsi="Palatino Linotype"/>
          <w:color w:val="222222"/>
          <w:sz w:val="24"/>
        </w:rPr>
        <w:lastRenderedPageBreak/>
        <w:t>veracidad del mismo, pues no existe precepto legal alguno en la Ley de la materia que lo faculte para, vía recurso de revisión, pronunciarse al respecto. Sirve de apoyo a lo anterior, por analogía, el criterio 31-10 emitido por el entonces Instituto Federal de Acceso a la Información que a la letra dice:</w:t>
      </w:r>
    </w:p>
    <w:p w:rsidR="00E25BCD" w:rsidRPr="000D558D" w:rsidRDefault="00E25BCD" w:rsidP="00E25BCD">
      <w:pPr>
        <w:shd w:val="clear" w:color="auto" w:fill="FFFFFF"/>
        <w:spacing w:after="0" w:line="360" w:lineRule="auto"/>
        <w:jc w:val="both"/>
        <w:rPr>
          <w:color w:val="222222"/>
          <w:sz w:val="16"/>
        </w:rPr>
      </w:pPr>
    </w:p>
    <w:p w:rsidR="00E25BCD" w:rsidRPr="000D558D" w:rsidRDefault="00E25BCD" w:rsidP="00E25BCD">
      <w:pPr>
        <w:shd w:val="clear" w:color="auto" w:fill="FFFFFF"/>
        <w:spacing w:after="0" w:line="221" w:lineRule="atLeast"/>
        <w:ind w:left="851" w:right="1276"/>
        <w:jc w:val="both"/>
        <w:rPr>
          <w:rFonts w:ascii="Palatino Linotype" w:hAnsi="Palatino Linotype"/>
          <w:i/>
          <w:iCs/>
          <w:color w:val="222222"/>
        </w:rPr>
      </w:pPr>
      <w:r w:rsidRPr="000D558D">
        <w:rPr>
          <w:rFonts w:ascii="Palatino Linotype" w:hAnsi="Palatino Linotype"/>
          <w:i/>
          <w:iCs/>
          <w:color w:val="222222"/>
        </w:rPr>
        <w:t>“</w:t>
      </w:r>
      <w:r w:rsidRPr="000D558D">
        <w:rPr>
          <w:rFonts w:ascii="Palatino Linotype" w:hAnsi="Palatino Linotype"/>
          <w:b/>
          <w:i/>
          <w:iCs/>
          <w:color w:val="222222"/>
        </w:rPr>
        <w:t>El Instituto Federal de Acceso a la Información y Protección de Datos no cuenta con facultades para pronunciarse respecto de la veracidad de los documentos proporcionados por los sujetos obligados.</w:t>
      </w:r>
      <w:r w:rsidRPr="000D558D">
        <w:rPr>
          <w:rFonts w:ascii="Palatino Linotype" w:hAnsi="Palatino Linotype"/>
          <w:i/>
          <w:iCs/>
          <w:color w:val="222222"/>
        </w:rPr>
        <w:t xml:space="preserve">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no está facultado para pronunciarse sobre la veracidad de la información proporcionada por las autoridades en respuesta a las solicitudes de información que les presentan los particulares, en virtud de que en los artículos 49 y 50 de la Ley Federal de Transparencia y Acceso a la Información Pública Gubernamental no se prevé una causal que permita al Instituto Federal de Acceso a la Información y Protección de Datos conocer, vía recurso revisión, al respecto.”</w:t>
      </w:r>
    </w:p>
    <w:p w:rsidR="00E25BCD" w:rsidRPr="000D558D" w:rsidRDefault="00E25BCD" w:rsidP="00E25BCD">
      <w:pPr>
        <w:shd w:val="clear" w:color="auto" w:fill="FFFFFF"/>
        <w:spacing w:after="0" w:line="221" w:lineRule="atLeast"/>
        <w:ind w:left="851" w:right="1276"/>
        <w:jc w:val="both"/>
        <w:rPr>
          <w:color w:val="222222"/>
        </w:rPr>
      </w:pPr>
    </w:p>
    <w:p w:rsidR="00E25BCD" w:rsidRPr="000D558D" w:rsidRDefault="00E25BCD" w:rsidP="00E25BCD">
      <w:pPr>
        <w:pStyle w:val="Sinespaciado"/>
      </w:pPr>
    </w:p>
    <w:p w:rsidR="00E25BCD" w:rsidRPr="000D558D" w:rsidRDefault="00E25BCD" w:rsidP="00E25BCD">
      <w:pPr>
        <w:spacing w:after="0" w:line="360" w:lineRule="auto"/>
        <w:jc w:val="both"/>
        <w:rPr>
          <w:rFonts w:ascii="Palatino Linotype" w:hAnsi="Palatino Linotype" w:cs="Arial"/>
          <w:sz w:val="24"/>
          <w:szCs w:val="24"/>
        </w:rPr>
      </w:pPr>
      <w:r w:rsidRPr="000D558D">
        <w:rPr>
          <w:rFonts w:ascii="Palatino Linotype" w:hAnsi="Palatino Linotype" w:cs="Arial"/>
          <w:sz w:val="24"/>
          <w:szCs w:val="24"/>
        </w:rPr>
        <w:t xml:space="preserve">Así que las respuestas emitidas por el </w:t>
      </w:r>
      <w:r w:rsidRPr="000D558D">
        <w:rPr>
          <w:rFonts w:ascii="Palatino Linotype" w:hAnsi="Palatino Linotype" w:cs="Arial"/>
          <w:b/>
          <w:sz w:val="24"/>
          <w:szCs w:val="24"/>
        </w:rPr>
        <w:t>Sujeto Obligado</w:t>
      </w:r>
      <w:r w:rsidRPr="000D558D">
        <w:rPr>
          <w:rFonts w:ascii="Palatino Linotype" w:hAnsi="Palatino Linotype" w:cs="Arial"/>
          <w:sz w:val="24"/>
          <w:szCs w:val="24"/>
        </w:rPr>
        <w:t xml:space="preserve">, le es desfavorable a la particular y hace valer las siguientes </w:t>
      </w:r>
      <w:r w:rsidRPr="000D558D">
        <w:rPr>
          <w:rFonts w:ascii="Palatino Linotype" w:hAnsi="Palatino Linotype" w:cs="Arial"/>
          <w:b/>
          <w:i/>
          <w:sz w:val="24"/>
          <w:szCs w:val="24"/>
        </w:rPr>
        <w:t>razones o motivos de inconformidad</w:t>
      </w:r>
      <w:r w:rsidRPr="000D558D">
        <w:rPr>
          <w:rFonts w:ascii="Palatino Linotype" w:hAnsi="Palatino Linotype" w:cs="Arial"/>
          <w:sz w:val="24"/>
          <w:szCs w:val="24"/>
        </w:rPr>
        <w:t xml:space="preserve">: </w:t>
      </w:r>
    </w:p>
    <w:p w:rsidR="00E25BCD" w:rsidRPr="000D558D" w:rsidRDefault="00E25BCD" w:rsidP="00E25BCD">
      <w:pPr>
        <w:spacing w:after="0" w:line="360" w:lineRule="auto"/>
        <w:jc w:val="both"/>
        <w:rPr>
          <w:rFonts w:ascii="Palatino Linotype" w:hAnsi="Palatino Linotype" w:cs="Arial"/>
          <w:sz w:val="24"/>
          <w:szCs w:val="24"/>
        </w:rPr>
      </w:pPr>
    </w:p>
    <w:p w:rsidR="00E25BCD" w:rsidRPr="000D558D" w:rsidRDefault="00E25BCD" w:rsidP="00E25BCD">
      <w:pPr>
        <w:pStyle w:val="Prrafodelista"/>
        <w:numPr>
          <w:ilvl w:val="0"/>
          <w:numId w:val="5"/>
        </w:numPr>
        <w:spacing w:line="360" w:lineRule="auto"/>
        <w:rPr>
          <w:rFonts w:ascii="Palatino Linotype" w:hAnsi="Palatino Linotype" w:cs="Arial"/>
          <w:i/>
        </w:rPr>
      </w:pPr>
      <w:r w:rsidRPr="000D558D">
        <w:rPr>
          <w:rFonts w:ascii="Palatino Linotype" w:hAnsi="Palatino Linotype" w:cs="Arial"/>
          <w:i/>
        </w:rPr>
        <w:t>“INFORMACIÓN INCOMPLETA” [Sic]</w:t>
      </w:r>
    </w:p>
    <w:p w:rsidR="00E25BCD" w:rsidRPr="000D558D" w:rsidRDefault="00E25BCD" w:rsidP="00E25BCD">
      <w:pPr>
        <w:spacing w:after="0" w:line="360" w:lineRule="auto"/>
        <w:rPr>
          <w:rFonts w:ascii="Palatino Linotype" w:hAnsi="Palatino Linotype" w:cs="Arial"/>
          <w:i/>
          <w:sz w:val="24"/>
          <w:szCs w:val="24"/>
        </w:rPr>
      </w:pPr>
    </w:p>
    <w:p w:rsidR="00E25BCD" w:rsidRPr="000D558D" w:rsidRDefault="00E25BCD" w:rsidP="00E25BCD">
      <w:pPr>
        <w:pStyle w:val="Prrafodelista"/>
        <w:numPr>
          <w:ilvl w:val="0"/>
          <w:numId w:val="5"/>
        </w:numPr>
        <w:spacing w:line="360" w:lineRule="auto"/>
        <w:rPr>
          <w:rFonts w:ascii="Palatino Linotype" w:hAnsi="Palatino Linotype" w:cs="Arial"/>
          <w:i/>
        </w:rPr>
      </w:pPr>
      <w:r w:rsidRPr="000D558D">
        <w:rPr>
          <w:rFonts w:ascii="Palatino Linotype" w:hAnsi="Palatino Linotype" w:cs="Arial"/>
          <w:i/>
        </w:rPr>
        <w:t>“NO PRESENTA DOCUMENTACIÓN QUE AMPARE LOS SERVICIOS BRINDADOS” [Sic]</w:t>
      </w:r>
    </w:p>
    <w:p w:rsidR="00E25BCD" w:rsidRPr="000D558D" w:rsidRDefault="00E25BCD" w:rsidP="00E25BCD">
      <w:pPr>
        <w:spacing w:after="0" w:line="360" w:lineRule="auto"/>
        <w:jc w:val="both"/>
        <w:rPr>
          <w:rFonts w:ascii="Palatino Linotype" w:eastAsia="Arial Unicode MS" w:hAnsi="Palatino Linotype" w:cs="Arial"/>
          <w:b/>
          <w:sz w:val="24"/>
        </w:rPr>
      </w:pPr>
      <w:r w:rsidRPr="000D558D">
        <w:rPr>
          <w:rFonts w:ascii="Palatino Linotype" w:hAnsi="Palatino Linotype" w:cs="Arial"/>
          <w:color w:val="000000"/>
          <w:sz w:val="24"/>
          <w:lang w:val="es-ES_tradnl"/>
        </w:rPr>
        <w:lastRenderedPageBreak/>
        <w:t xml:space="preserve">Por consiguiente, </w:t>
      </w:r>
      <w:r w:rsidRPr="000D558D">
        <w:rPr>
          <w:rFonts w:ascii="Palatino Linotype" w:hAnsi="Palatino Linotype" w:cs="Arial"/>
          <w:sz w:val="24"/>
        </w:rPr>
        <w:t>es importante señalar que el artículo 4, párrafo segundo de la Ley de Transparencia y Acceso a la Información Pública del Estado de México y Municipios, dispone:</w:t>
      </w:r>
    </w:p>
    <w:p w:rsidR="00E25BCD" w:rsidRPr="000D558D" w:rsidRDefault="00E25BCD" w:rsidP="00E25BCD">
      <w:pPr>
        <w:ind w:left="851" w:right="902"/>
        <w:jc w:val="both"/>
        <w:rPr>
          <w:rFonts w:ascii="Palatino Linotype" w:hAnsi="Palatino Linotype" w:cs="Arial"/>
          <w:sz w:val="2"/>
        </w:rPr>
      </w:pPr>
    </w:p>
    <w:p w:rsidR="00E25BCD" w:rsidRPr="000D558D" w:rsidRDefault="00E25BCD" w:rsidP="00E25BCD">
      <w:pPr>
        <w:spacing w:after="0" w:line="240" w:lineRule="auto"/>
        <w:ind w:left="567" w:right="567"/>
        <w:jc w:val="both"/>
        <w:rPr>
          <w:rFonts w:ascii="Palatino Linotype" w:hAnsi="Palatino Linotype" w:cs="Arial"/>
          <w:i/>
          <w:color w:val="000000"/>
        </w:rPr>
      </w:pPr>
      <w:r w:rsidRPr="000D558D">
        <w:rPr>
          <w:rFonts w:ascii="Palatino Linotype" w:hAnsi="Palatino Linotype" w:cs="Arial"/>
          <w:i/>
        </w:rPr>
        <w:t>“</w:t>
      </w:r>
      <w:r w:rsidRPr="000D558D">
        <w:rPr>
          <w:rFonts w:ascii="Palatino Linotype" w:hAnsi="Palatino Linotype" w:cs="Arial"/>
          <w:b/>
          <w:i/>
          <w:color w:val="000000"/>
        </w:rPr>
        <w:t xml:space="preserve">Artículo 4. </w:t>
      </w:r>
      <w:r w:rsidRPr="000D558D">
        <w:rPr>
          <w:rFonts w:ascii="Palatino Linotype" w:hAnsi="Palatino Linotype" w:cs="Arial"/>
          <w:i/>
          <w:color w:val="000000"/>
        </w:rPr>
        <w:t xml:space="preserve">… </w:t>
      </w:r>
    </w:p>
    <w:p w:rsidR="00E25BCD" w:rsidRPr="000D558D" w:rsidRDefault="00E25BCD" w:rsidP="00E25BCD">
      <w:pPr>
        <w:spacing w:after="0" w:line="240" w:lineRule="auto"/>
        <w:ind w:left="567" w:right="567"/>
        <w:jc w:val="both"/>
        <w:rPr>
          <w:rFonts w:ascii="Palatino Linotype" w:hAnsi="Palatino Linotype" w:cs="Arial"/>
          <w:i/>
          <w:color w:val="000000"/>
        </w:rPr>
      </w:pPr>
      <w:r w:rsidRPr="000D558D">
        <w:rPr>
          <w:rFonts w:ascii="Palatino Linotype" w:hAnsi="Palatino Linotype" w:cs="Arial"/>
          <w:i/>
          <w:color w:val="000000"/>
        </w:rPr>
        <w:t xml:space="preserve"> 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como reservada temporalmente por razones de interés público, en los términos de las causas legítimas y estrictamente necesarias previstas por esta Ley.</w:t>
      </w:r>
    </w:p>
    <w:p w:rsidR="00E25BCD" w:rsidRPr="000D558D" w:rsidRDefault="00E25BCD" w:rsidP="00E25BCD">
      <w:pPr>
        <w:spacing w:after="0" w:line="240" w:lineRule="auto"/>
        <w:ind w:left="567" w:right="567"/>
        <w:jc w:val="both"/>
        <w:rPr>
          <w:rFonts w:ascii="Palatino Linotype" w:hAnsi="Palatino Linotype" w:cs="Arial"/>
          <w:i/>
          <w:color w:val="000000"/>
        </w:rPr>
      </w:pPr>
      <w:r w:rsidRPr="000D558D">
        <w:rPr>
          <w:rFonts w:ascii="Palatino Linotype" w:hAnsi="Palatino Linotype" w:cs="Arial"/>
          <w:i/>
          <w:color w:val="000000"/>
        </w:rPr>
        <w:t xml:space="preserve">( </w:t>
      </w:r>
      <w:r w:rsidRPr="000D558D">
        <w:rPr>
          <w:rFonts w:ascii="Palatino Linotype" w:hAnsi="Palatino Linotype" w:cs="Arial"/>
          <w:i/>
        </w:rPr>
        <w:t>...)”</w:t>
      </w:r>
    </w:p>
    <w:p w:rsidR="00E25BCD" w:rsidRPr="000D558D" w:rsidRDefault="00E25BCD" w:rsidP="00E25BCD">
      <w:pPr>
        <w:ind w:left="851" w:right="902"/>
        <w:jc w:val="both"/>
        <w:rPr>
          <w:rFonts w:ascii="Palatino Linotype" w:hAnsi="Palatino Linotype" w:cs="Arial"/>
          <w:sz w:val="14"/>
        </w:rPr>
      </w:pPr>
    </w:p>
    <w:p w:rsidR="00E25BCD" w:rsidRPr="000D558D" w:rsidRDefault="00E25BCD" w:rsidP="00E25BCD">
      <w:pPr>
        <w:spacing w:after="0" w:line="360" w:lineRule="auto"/>
        <w:jc w:val="both"/>
        <w:rPr>
          <w:rFonts w:ascii="Palatino Linotype" w:hAnsi="Palatino Linotype" w:cs="Arial"/>
          <w:i/>
          <w:sz w:val="24"/>
        </w:rPr>
      </w:pPr>
      <w:r w:rsidRPr="000D558D">
        <w:rPr>
          <w:rFonts w:ascii="Palatino Linotype" w:hAnsi="Palatino Linotype" w:cs="Arial"/>
          <w:sz w:val="24"/>
        </w:rPr>
        <w:t>De lo anterior, se desprende, que la información generada, obtenida, adquirida, transmitida, administrada o en posesión de los Sujetos Obligados, será accesible de manera permanente a cualquier persona, privilegiando el principio de máxima publicidad de la información.</w:t>
      </w:r>
    </w:p>
    <w:p w:rsidR="00E25BCD" w:rsidRPr="000D558D" w:rsidRDefault="00E25BCD" w:rsidP="00E25BCD">
      <w:pPr>
        <w:spacing w:after="0" w:line="360" w:lineRule="auto"/>
        <w:jc w:val="both"/>
        <w:rPr>
          <w:rFonts w:ascii="Palatino Linotype" w:hAnsi="Palatino Linotype" w:cs="Arial"/>
          <w:sz w:val="24"/>
        </w:rPr>
      </w:pPr>
    </w:p>
    <w:p w:rsidR="00E25BCD" w:rsidRPr="000D558D" w:rsidRDefault="00E25BCD" w:rsidP="00E25BCD">
      <w:pPr>
        <w:spacing w:after="0" w:line="360" w:lineRule="auto"/>
        <w:jc w:val="both"/>
        <w:rPr>
          <w:rFonts w:ascii="Palatino Linotype" w:hAnsi="Palatino Linotype" w:cs="Arial"/>
          <w:sz w:val="24"/>
        </w:rPr>
      </w:pPr>
      <w:r w:rsidRPr="000D558D">
        <w:rPr>
          <w:rFonts w:ascii="Palatino Linotype" w:hAnsi="Palatino Linotype" w:cs="Arial"/>
          <w:sz w:val="24"/>
        </w:rPr>
        <w:t xml:space="preserve">Por su parte, el artículo 12, de la Ley de la materia establece que los Sujetos Obligados sólo proporcionarán la información que generen, recopilen, administren, manejen, procesen, archiven o conserven, y sólo facilitarán las que se les requiera y obre en sus archivos, en el estado en el que se encuentre, sin la obligación de generarla, resumirla, efectuar cálculos o practicar investigaciones; tal y como se señala a continuación: </w:t>
      </w:r>
    </w:p>
    <w:p w:rsidR="00E25BCD" w:rsidRPr="000D558D" w:rsidRDefault="00E25BCD" w:rsidP="00E25BCD">
      <w:pPr>
        <w:pStyle w:val="Sinespaciado"/>
        <w:rPr>
          <w:rFonts w:ascii="Palatino Linotype" w:hAnsi="Palatino Linotype"/>
        </w:rPr>
      </w:pPr>
    </w:p>
    <w:p w:rsidR="00E25BCD" w:rsidRPr="000D558D" w:rsidRDefault="00E25BCD" w:rsidP="00E25BCD">
      <w:pPr>
        <w:ind w:left="567" w:right="567"/>
        <w:jc w:val="both"/>
        <w:rPr>
          <w:rFonts w:ascii="Palatino Linotype" w:hAnsi="Palatino Linotype" w:cs="Arial"/>
          <w:i/>
        </w:rPr>
      </w:pPr>
      <w:r w:rsidRPr="000D558D">
        <w:rPr>
          <w:rFonts w:ascii="Palatino Linotype" w:hAnsi="Palatino Linotype" w:cs="Arial"/>
          <w:i/>
        </w:rPr>
        <w:t>“</w:t>
      </w:r>
      <w:r w:rsidRPr="000D558D">
        <w:rPr>
          <w:rFonts w:ascii="Palatino Linotype" w:hAnsi="Palatino Linotype" w:cs="Arial"/>
          <w:b/>
          <w:i/>
          <w:color w:val="000000"/>
        </w:rPr>
        <w:t>Artículo 12.</w:t>
      </w:r>
      <w:r w:rsidRPr="000D558D">
        <w:rPr>
          <w:rFonts w:ascii="Palatino Linotype" w:hAnsi="Palatino Linotype" w:cs="Arial"/>
          <w:i/>
          <w:color w:val="000000"/>
        </w:rPr>
        <w:t xml:space="preserve"> Quienes generen, recopilen, administren, manejen, procesen, archiven o conserven información pública serán responsables de la misma en los términos de las disposiciones jurídicas aplicables. </w:t>
      </w:r>
    </w:p>
    <w:p w:rsidR="00E25BCD" w:rsidRPr="000D558D" w:rsidRDefault="00E25BCD" w:rsidP="00E25BCD">
      <w:pPr>
        <w:ind w:left="567" w:right="567"/>
        <w:jc w:val="both"/>
        <w:rPr>
          <w:rFonts w:ascii="Palatino Linotype" w:hAnsi="Palatino Linotype" w:cs="Arial"/>
          <w:i/>
          <w:color w:val="000000"/>
          <w:sz w:val="2"/>
        </w:rPr>
      </w:pPr>
    </w:p>
    <w:p w:rsidR="00E25BCD" w:rsidRPr="000D558D" w:rsidRDefault="00E25BCD" w:rsidP="00E25BCD">
      <w:pPr>
        <w:ind w:left="567" w:right="567"/>
        <w:jc w:val="both"/>
        <w:rPr>
          <w:rFonts w:ascii="Palatino Linotype" w:hAnsi="Palatino Linotype" w:cs="Arial"/>
          <w:i/>
        </w:rPr>
      </w:pPr>
      <w:r w:rsidRPr="000D558D">
        <w:rPr>
          <w:rFonts w:ascii="Palatino Linotype" w:hAnsi="Palatino Linotype" w:cs="Arial"/>
          <w:i/>
          <w:color w:val="000000"/>
        </w:rPr>
        <w:lastRenderedPageBreak/>
        <w:t>Los sujetos obligados sólo proporcionarán la información pública que se les requiera y que obre en sus archivos y en el estado en que ésta se encuentre. La obligación de proporcionar información no comprende el procesamiento de la misma, ni el presentarla conforme al interés del solicitante; no estarán obligados a generarla, resumirla, efectuar cálculos o practicar investigaciones.</w:t>
      </w:r>
      <w:r w:rsidRPr="000D558D">
        <w:rPr>
          <w:rFonts w:ascii="Palatino Linotype" w:hAnsi="Palatino Linotype" w:cs="Arial"/>
          <w:i/>
        </w:rPr>
        <w:t>”</w:t>
      </w:r>
    </w:p>
    <w:p w:rsidR="00E25BCD" w:rsidRPr="000D558D" w:rsidRDefault="00E25BCD" w:rsidP="00E25BCD">
      <w:pPr>
        <w:pStyle w:val="Sinespaciado"/>
      </w:pPr>
    </w:p>
    <w:p w:rsidR="00E25BCD" w:rsidRPr="000D558D" w:rsidRDefault="00E25BCD" w:rsidP="00E25BCD">
      <w:pPr>
        <w:spacing w:line="360" w:lineRule="auto"/>
        <w:jc w:val="both"/>
        <w:rPr>
          <w:rFonts w:ascii="Palatino Linotype" w:hAnsi="Palatino Linotype" w:cs="Arial"/>
          <w:color w:val="000000"/>
          <w:sz w:val="24"/>
        </w:rPr>
      </w:pPr>
      <w:r w:rsidRPr="000D558D">
        <w:rPr>
          <w:rFonts w:ascii="Palatino Linotype" w:hAnsi="Palatino Linotype" w:cs="Arial"/>
          <w:color w:val="000000"/>
          <w:sz w:val="24"/>
        </w:rPr>
        <w:t>En síntesis, el derecho de acceso a la información pública se satisface en aquellos casos en que se entregue el soporte documental en que conste la información pública, toda vez que, los Sujetos Obligados</w:t>
      </w:r>
      <w:r w:rsidRPr="000D558D">
        <w:rPr>
          <w:rFonts w:ascii="Palatino Linotype" w:hAnsi="Palatino Linotype" w:cs="Arial"/>
          <w:b/>
          <w:color w:val="000000"/>
          <w:sz w:val="24"/>
        </w:rPr>
        <w:t xml:space="preserve"> </w:t>
      </w:r>
      <w:r w:rsidRPr="000D558D">
        <w:rPr>
          <w:rFonts w:ascii="Palatino Linotype" w:hAnsi="Palatino Linotype" w:cs="Arial"/>
          <w:color w:val="000000"/>
          <w:sz w:val="24"/>
        </w:rPr>
        <w:t xml:space="preserve">no tienen el deber de generar, poseer o administrar la información pública con el grado de detalle solicitado; esto es, que no tienen el deber de generar un documento </w:t>
      </w:r>
      <w:r w:rsidRPr="000D558D">
        <w:rPr>
          <w:rFonts w:ascii="Palatino Linotype" w:hAnsi="Palatino Linotype" w:cs="Arial"/>
          <w:i/>
          <w:color w:val="000000"/>
          <w:sz w:val="24"/>
        </w:rPr>
        <w:t>ad hoc</w:t>
      </w:r>
      <w:r w:rsidRPr="000D558D">
        <w:rPr>
          <w:rFonts w:ascii="Palatino Linotype" w:hAnsi="Palatino Linotype" w:cs="Arial"/>
          <w:color w:val="000000"/>
          <w:sz w:val="24"/>
        </w:rPr>
        <w:t>, para satisfacer el derecho de acceso a la información pública.</w:t>
      </w:r>
    </w:p>
    <w:p w:rsidR="00E25BCD" w:rsidRPr="000D558D" w:rsidRDefault="00E25BCD" w:rsidP="00E25BCD">
      <w:pPr>
        <w:spacing w:line="360" w:lineRule="auto"/>
        <w:jc w:val="both"/>
        <w:rPr>
          <w:rFonts w:ascii="Palatino Linotype" w:hAnsi="Palatino Linotype" w:cs="Arial"/>
          <w:color w:val="000000"/>
          <w:sz w:val="4"/>
        </w:rPr>
      </w:pPr>
    </w:p>
    <w:p w:rsidR="00E25BCD" w:rsidRPr="000D558D" w:rsidRDefault="00E25BCD" w:rsidP="00E25BCD">
      <w:pPr>
        <w:spacing w:line="360" w:lineRule="auto"/>
        <w:jc w:val="both"/>
        <w:rPr>
          <w:rFonts w:ascii="Palatino Linotype" w:hAnsi="Palatino Linotype"/>
          <w:b/>
          <w:bCs/>
          <w:color w:val="000000"/>
          <w:sz w:val="24"/>
        </w:rPr>
      </w:pPr>
      <w:r w:rsidRPr="000D558D">
        <w:rPr>
          <w:rFonts w:ascii="Palatino Linotype" w:hAnsi="Palatino Linotype" w:cs="Arial"/>
          <w:color w:val="000000"/>
          <w:sz w:val="24"/>
        </w:rPr>
        <w:t xml:space="preserve">Como apoyo a lo anterior, es aplicable el Criterio 03-17, emitido por </w:t>
      </w:r>
      <w:r w:rsidRPr="000D558D">
        <w:rPr>
          <w:rFonts w:ascii="Palatino Linotype" w:eastAsia="Arial Unicode MS" w:hAnsi="Palatino Linotype" w:cs="Arial"/>
          <w:color w:val="000000"/>
          <w:sz w:val="24"/>
        </w:rPr>
        <w:t>el Instituto Nacional de Transparencia, Acceso a la Información y Protección de Datos Personales,</w:t>
      </w:r>
      <w:r w:rsidRPr="000D558D">
        <w:rPr>
          <w:rFonts w:ascii="Palatino Linotype" w:hAnsi="Palatino Linotype"/>
          <w:bCs/>
          <w:color w:val="000000"/>
          <w:sz w:val="24"/>
        </w:rPr>
        <w:t xml:space="preserve"> que dice:</w:t>
      </w:r>
      <w:r w:rsidRPr="000D558D">
        <w:rPr>
          <w:rFonts w:ascii="Palatino Linotype" w:hAnsi="Palatino Linotype"/>
          <w:b/>
          <w:bCs/>
          <w:color w:val="000000"/>
          <w:sz w:val="24"/>
        </w:rPr>
        <w:t xml:space="preserve"> </w:t>
      </w:r>
    </w:p>
    <w:p w:rsidR="00E25BCD" w:rsidRPr="000D558D" w:rsidRDefault="00E25BCD" w:rsidP="00E25BCD">
      <w:pPr>
        <w:ind w:left="851" w:right="850"/>
        <w:jc w:val="both"/>
        <w:rPr>
          <w:rFonts w:ascii="Palatino Linotype" w:hAnsi="Palatino Linotype" w:cs="Arial"/>
          <w:color w:val="000000"/>
          <w:sz w:val="2"/>
        </w:rPr>
      </w:pPr>
    </w:p>
    <w:p w:rsidR="00E25BCD" w:rsidRPr="000D558D" w:rsidRDefault="00E25BCD" w:rsidP="00E25BCD">
      <w:pPr>
        <w:ind w:left="567" w:right="567"/>
        <w:jc w:val="both"/>
        <w:rPr>
          <w:rFonts w:ascii="Palatino Linotype" w:hAnsi="Palatino Linotype" w:cs="Arial"/>
          <w:i/>
          <w:color w:val="000000"/>
        </w:rPr>
      </w:pPr>
      <w:r w:rsidRPr="000D558D">
        <w:rPr>
          <w:rFonts w:ascii="Palatino Linotype" w:hAnsi="Palatino Linotype" w:cs="Arial"/>
          <w:i/>
          <w:color w:val="000000"/>
        </w:rPr>
        <w:t>“</w:t>
      </w:r>
      <w:r w:rsidRPr="000D558D">
        <w:rPr>
          <w:rFonts w:ascii="Palatino Linotype" w:hAnsi="Palatino Linotype" w:cs="Arial"/>
          <w:b/>
          <w:i/>
          <w:color w:val="000000"/>
        </w:rPr>
        <w:t>No existe obligación de elaborar documentos ad hoc para atender las solicitudes de acceso a la información.</w:t>
      </w:r>
      <w:r w:rsidRPr="000D558D">
        <w:rPr>
          <w:rFonts w:ascii="Palatino Linotype" w:hAnsi="Palatino Linotype" w:cs="Arial"/>
          <w:i/>
          <w:color w:val="000000"/>
        </w:rPr>
        <w:t xml:space="preserve"> Los artículos 129 de la Ley General de Transparencia y Acceso a la Información Pública y 130, párrafo cuarto, de la Ley Federal de Transparencia y Acceso a la Información Pública, señalan que los sujetos obligados deberán otorgar acceso a los documentos que se encuentren en sus archivos o que estén obligados a documentar, de acuerdo con sus facultades, competencias o funciones, conforme a las características físicas de la información o del lugar donde se encuentre. Por lo anterior, los sujetos obligados deben garantizar el derecho de acceso a la información del particular, proporcionando la información con la que cuentan en el formato en que la misma obre en sus archivos; sin necesidad de elaborar documentos ad hoc para atender las solicitudes de información.</w:t>
      </w:r>
    </w:p>
    <w:p w:rsidR="00E25BCD" w:rsidRPr="000D558D" w:rsidRDefault="00E25BCD" w:rsidP="00E25BCD">
      <w:pPr>
        <w:ind w:left="567" w:right="567"/>
        <w:jc w:val="both"/>
        <w:rPr>
          <w:rFonts w:ascii="Palatino Linotype" w:hAnsi="Palatino Linotype" w:cs="Arial"/>
          <w:i/>
          <w:color w:val="000000"/>
          <w:sz w:val="2"/>
        </w:rPr>
      </w:pPr>
    </w:p>
    <w:p w:rsidR="00E25BCD" w:rsidRPr="000D558D" w:rsidRDefault="00E25BCD" w:rsidP="00E25BCD">
      <w:pPr>
        <w:spacing w:after="0"/>
        <w:ind w:left="567" w:right="567"/>
        <w:jc w:val="both"/>
        <w:rPr>
          <w:rFonts w:ascii="Palatino Linotype" w:hAnsi="Palatino Linotype" w:cs="Arial"/>
          <w:i/>
          <w:color w:val="000000"/>
          <w:sz w:val="20"/>
        </w:rPr>
      </w:pPr>
      <w:r w:rsidRPr="000D558D">
        <w:rPr>
          <w:rFonts w:ascii="Palatino Linotype" w:hAnsi="Palatino Linotype" w:cs="Arial"/>
          <w:i/>
          <w:color w:val="000000"/>
          <w:sz w:val="20"/>
        </w:rPr>
        <w:t xml:space="preserve">Resoluciones: </w:t>
      </w:r>
    </w:p>
    <w:p w:rsidR="00E25BCD" w:rsidRPr="000D558D" w:rsidRDefault="00E25BCD" w:rsidP="00E25BCD">
      <w:pPr>
        <w:spacing w:after="0"/>
        <w:ind w:left="567" w:right="567"/>
        <w:jc w:val="both"/>
        <w:rPr>
          <w:rFonts w:ascii="Palatino Linotype" w:hAnsi="Palatino Linotype" w:cs="Arial"/>
          <w:i/>
          <w:color w:val="000000"/>
          <w:sz w:val="20"/>
        </w:rPr>
      </w:pPr>
      <w:r w:rsidRPr="000D558D">
        <w:rPr>
          <w:rFonts w:ascii="Palatino Linotype" w:hAnsi="Palatino Linotype" w:cs="Arial"/>
          <w:i/>
          <w:color w:val="000000"/>
          <w:sz w:val="20"/>
        </w:rPr>
        <w:sym w:font="Symbol" w:char="F0B7"/>
      </w:r>
      <w:r w:rsidRPr="000D558D">
        <w:rPr>
          <w:rFonts w:ascii="Palatino Linotype" w:hAnsi="Palatino Linotype" w:cs="Arial"/>
          <w:i/>
          <w:color w:val="000000"/>
          <w:sz w:val="20"/>
        </w:rPr>
        <w:t xml:space="preserve"> RRA 0050/16. Instituto Nacional para la Evaluación de la Educación. 13 julio de 2016. Por unanimidad. Comisionado Ponente: Francisco Javier Acuña Llamas.</w:t>
      </w:r>
    </w:p>
    <w:p w:rsidR="00E25BCD" w:rsidRPr="000D558D" w:rsidRDefault="00E25BCD" w:rsidP="00E25BCD">
      <w:pPr>
        <w:spacing w:after="0"/>
        <w:ind w:left="567" w:right="567"/>
        <w:jc w:val="both"/>
        <w:rPr>
          <w:rFonts w:ascii="Palatino Linotype" w:hAnsi="Palatino Linotype" w:cs="Arial"/>
          <w:i/>
          <w:color w:val="000000"/>
          <w:sz w:val="20"/>
        </w:rPr>
      </w:pPr>
      <w:r w:rsidRPr="000D558D">
        <w:rPr>
          <w:rFonts w:ascii="Palatino Linotype" w:hAnsi="Palatino Linotype" w:cs="Arial"/>
          <w:i/>
          <w:color w:val="000000"/>
          <w:sz w:val="20"/>
        </w:rPr>
        <w:lastRenderedPageBreak/>
        <w:sym w:font="Symbol" w:char="F0B7"/>
      </w:r>
      <w:r w:rsidRPr="000D558D">
        <w:rPr>
          <w:rFonts w:ascii="Palatino Linotype" w:hAnsi="Palatino Linotype" w:cs="Arial"/>
          <w:i/>
          <w:color w:val="000000"/>
          <w:sz w:val="20"/>
        </w:rPr>
        <w:t xml:space="preserve"> RRA 0310/16. Instituto Nacional de Transparencia, Acceso a la Información y Protección de Datos Personales. 10 de agosto de 2016. Por unanimidad. Comisionada Ponente. Areli Cano Guadiana. </w:t>
      </w:r>
    </w:p>
    <w:p w:rsidR="00E25BCD" w:rsidRPr="000D558D" w:rsidRDefault="00E25BCD" w:rsidP="00E25BCD">
      <w:pPr>
        <w:spacing w:after="0"/>
        <w:ind w:left="567" w:right="567"/>
        <w:jc w:val="both"/>
        <w:rPr>
          <w:rFonts w:ascii="Palatino Linotype" w:hAnsi="Palatino Linotype" w:cs="Arial"/>
          <w:i/>
          <w:color w:val="000000"/>
          <w:sz w:val="20"/>
        </w:rPr>
      </w:pPr>
      <w:r w:rsidRPr="000D558D">
        <w:rPr>
          <w:rFonts w:ascii="Palatino Linotype" w:hAnsi="Palatino Linotype" w:cs="Arial"/>
          <w:i/>
          <w:color w:val="000000"/>
          <w:sz w:val="20"/>
        </w:rPr>
        <w:sym w:font="Symbol" w:char="F0B7"/>
      </w:r>
      <w:r w:rsidRPr="000D558D">
        <w:rPr>
          <w:rFonts w:ascii="Palatino Linotype" w:hAnsi="Palatino Linotype" w:cs="Arial"/>
          <w:i/>
          <w:color w:val="000000"/>
          <w:sz w:val="20"/>
        </w:rPr>
        <w:t xml:space="preserve"> RRA 1889/16. Secretaría de Hacienda y Crédito Público. 05 de octubre de 2016. Por unanimidad. Comisionada Ponente. Ximena Puente de la Mora.”</w:t>
      </w:r>
    </w:p>
    <w:p w:rsidR="00E25BCD" w:rsidRPr="000D558D" w:rsidRDefault="00E25BCD" w:rsidP="00E25BCD">
      <w:pPr>
        <w:jc w:val="both"/>
        <w:rPr>
          <w:rFonts w:ascii="Palatino Linotype" w:hAnsi="Palatino Linotype" w:cs="Arial"/>
          <w:sz w:val="16"/>
        </w:rPr>
      </w:pPr>
    </w:p>
    <w:p w:rsidR="00E25BCD" w:rsidRPr="000D558D" w:rsidRDefault="00E25BCD" w:rsidP="00E25BCD">
      <w:pPr>
        <w:spacing w:line="360" w:lineRule="auto"/>
        <w:jc w:val="both"/>
        <w:rPr>
          <w:rFonts w:ascii="Palatino Linotype" w:hAnsi="Palatino Linotype" w:cs="Arial"/>
          <w:color w:val="000000" w:themeColor="text1"/>
          <w:sz w:val="24"/>
        </w:rPr>
      </w:pPr>
      <w:r w:rsidRPr="000D558D">
        <w:rPr>
          <w:rFonts w:ascii="Palatino Linotype" w:hAnsi="Palatino Linotype" w:cs="Arial"/>
          <w:color w:val="000000" w:themeColor="text1"/>
          <w:sz w:val="24"/>
        </w:rPr>
        <w:t xml:space="preserve">Asimismo, el artículo 24, de la Ley de la materia, dispone que los Sujetos Obligados sólo proporcionarán la información pública que </w:t>
      </w:r>
      <w:r w:rsidRPr="000D558D">
        <w:rPr>
          <w:rFonts w:ascii="Palatino Linotype" w:hAnsi="Palatino Linotype" w:cs="Arial"/>
          <w:sz w:val="24"/>
        </w:rPr>
        <w:t>generen</w:t>
      </w:r>
      <w:r w:rsidRPr="000D558D">
        <w:rPr>
          <w:rFonts w:ascii="Palatino Linotype" w:hAnsi="Palatino Linotype" w:cs="Arial"/>
          <w:color w:val="000000" w:themeColor="text1"/>
          <w:sz w:val="24"/>
        </w:rPr>
        <w:t>, administren o posean en el ejercicio de sus atribuciones; por consiguiente, la información pública se encuentra a disposición de cualquier persona, lo que implica que es deber de los Sujetos Obligados, garantizar el derecho de acceso a la información pública.</w:t>
      </w:r>
    </w:p>
    <w:p w:rsidR="00E25BCD" w:rsidRPr="000D558D" w:rsidRDefault="00E25BCD" w:rsidP="00E25BCD">
      <w:pPr>
        <w:spacing w:line="360" w:lineRule="auto"/>
        <w:jc w:val="both"/>
        <w:rPr>
          <w:rFonts w:ascii="Palatino Linotype" w:hAnsi="Palatino Linotype" w:cs="Arial"/>
          <w:color w:val="000000" w:themeColor="text1"/>
          <w:sz w:val="6"/>
        </w:rPr>
      </w:pPr>
    </w:p>
    <w:p w:rsidR="00E25BCD" w:rsidRPr="000D558D" w:rsidRDefault="00E25BCD" w:rsidP="00E25BCD">
      <w:pPr>
        <w:spacing w:line="360" w:lineRule="auto"/>
        <w:jc w:val="both"/>
        <w:rPr>
          <w:rFonts w:ascii="Palatino Linotype" w:hAnsi="Palatino Linotype" w:cs="Arial"/>
          <w:color w:val="000000" w:themeColor="text1"/>
          <w:sz w:val="24"/>
        </w:rPr>
      </w:pPr>
      <w:r w:rsidRPr="000D558D">
        <w:rPr>
          <w:rFonts w:ascii="Palatino Linotype" w:hAnsi="Palatino Linotype" w:cs="Arial"/>
          <w:color w:val="000000" w:themeColor="text1"/>
          <w:sz w:val="24"/>
        </w:rPr>
        <w:t xml:space="preserve">En esta misma tesitura, es de subrayar que el derecho de acceso a la información pública, consiste en que la información solicitada conste en un soporte documental en cualquiera de sus formas, a saber: </w:t>
      </w:r>
      <w:r w:rsidRPr="000D558D">
        <w:rPr>
          <w:rFonts w:ascii="Palatino Linotype" w:hAnsi="Palatino Linotype" w:cs="Arial"/>
          <w:sz w:val="24"/>
        </w:rPr>
        <w:t>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Obligados</w:t>
      </w:r>
      <w:r w:rsidRPr="000D558D">
        <w:rPr>
          <w:rFonts w:ascii="Palatino Linotype" w:hAnsi="Palatino Linotype" w:cs="Arial"/>
          <w:color w:val="000000" w:themeColor="text1"/>
          <w:sz w:val="24"/>
        </w:rPr>
        <w:t xml:space="preserve">; los que, </w:t>
      </w:r>
      <w:r w:rsidRPr="000D558D">
        <w:rPr>
          <w:rFonts w:ascii="Palatino Linotype" w:hAnsi="Palatino Linotype" w:cs="Arial"/>
          <w:sz w:val="24"/>
        </w:rPr>
        <w:t>podrán estar en cualquier medio, sea escrito, impreso, sonoro, visual, electrónico, informático u holográfico</w:t>
      </w:r>
      <w:r w:rsidRPr="000D558D">
        <w:rPr>
          <w:rFonts w:ascii="Palatino Linotype" w:hAnsi="Palatino Linotype" w:cs="Arial"/>
          <w:color w:val="000000" w:themeColor="text1"/>
          <w:sz w:val="24"/>
        </w:rPr>
        <w:t xml:space="preserve">, de conformidad con el artículo 3, fracción XI de la Ley de la materia, el cual dispone lo siguiente: </w:t>
      </w:r>
    </w:p>
    <w:p w:rsidR="00E25BCD" w:rsidRPr="000D558D" w:rsidRDefault="00E25BCD" w:rsidP="00E25BCD">
      <w:pPr>
        <w:ind w:left="851" w:right="902"/>
        <w:jc w:val="both"/>
        <w:rPr>
          <w:rFonts w:ascii="Palatino Linotype" w:hAnsi="Palatino Linotype" w:cs="Arial"/>
          <w:i/>
          <w:color w:val="000000"/>
          <w:sz w:val="6"/>
        </w:rPr>
      </w:pPr>
    </w:p>
    <w:p w:rsidR="00E25BCD" w:rsidRPr="000D558D" w:rsidRDefault="00E25BCD" w:rsidP="00E25BCD">
      <w:pPr>
        <w:spacing w:line="240" w:lineRule="auto"/>
        <w:ind w:left="567" w:right="567"/>
        <w:jc w:val="both"/>
        <w:rPr>
          <w:rFonts w:ascii="Palatino Linotype" w:hAnsi="Palatino Linotype" w:cs="Arial"/>
          <w:i/>
          <w:color w:val="000000"/>
        </w:rPr>
      </w:pPr>
      <w:r w:rsidRPr="000D558D">
        <w:rPr>
          <w:rFonts w:ascii="Palatino Linotype" w:hAnsi="Palatino Linotype" w:cs="Arial"/>
          <w:i/>
          <w:color w:val="000000"/>
        </w:rPr>
        <w:t>“</w:t>
      </w:r>
      <w:r w:rsidRPr="000D558D">
        <w:rPr>
          <w:rFonts w:ascii="Palatino Linotype" w:hAnsi="Palatino Linotype" w:cs="Arial"/>
          <w:b/>
          <w:i/>
          <w:color w:val="000000"/>
        </w:rPr>
        <w:t xml:space="preserve">Artículo 3. </w:t>
      </w:r>
      <w:r w:rsidRPr="000D558D">
        <w:rPr>
          <w:rFonts w:ascii="Palatino Linotype" w:hAnsi="Palatino Linotype" w:cs="Arial"/>
          <w:i/>
          <w:color w:val="000000"/>
        </w:rPr>
        <w:t>Para los efectos de la presente Ley se entenderá por:</w:t>
      </w:r>
    </w:p>
    <w:p w:rsidR="00E25BCD" w:rsidRPr="000D558D" w:rsidRDefault="00E25BCD" w:rsidP="00E25BCD">
      <w:pPr>
        <w:spacing w:line="240" w:lineRule="auto"/>
        <w:ind w:left="567" w:right="567"/>
        <w:jc w:val="both"/>
        <w:rPr>
          <w:rFonts w:ascii="Palatino Linotype" w:hAnsi="Palatino Linotype" w:cs="Arial"/>
          <w:i/>
          <w:color w:val="000000"/>
        </w:rPr>
      </w:pPr>
      <w:r w:rsidRPr="000D558D">
        <w:rPr>
          <w:rFonts w:ascii="Palatino Linotype" w:hAnsi="Palatino Linotype" w:cs="Arial"/>
          <w:i/>
          <w:color w:val="000000"/>
        </w:rPr>
        <w:t>(…)</w:t>
      </w:r>
    </w:p>
    <w:p w:rsidR="00E25BCD" w:rsidRPr="000D558D" w:rsidRDefault="00E25BCD" w:rsidP="00E25BCD">
      <w:pPr>
        <w:spacing w:line="240" w:lineRule="auto"/>
        <w:ind w:left="567" w:right="567"/>
        <w:jc w:val="both"/>
        <w:rPr>
          <w:rFonts w:ascii="Palatino Linotype" w:hAnsi="Palatino Linotype" w:cs="Arial"/>
          <w:i/>
          <w:color w:val="000000"/>
        </w:rPr>
      </w:pPr>
      <w:r w:rsidRPr="000D558D">
        <w:rPr>
          <w:rFonts w:ascii="Palatino Linotype" w:hAnsi="Palatino Linotype" w:cs="Arial"/>
          <w:b/>
          <w:i/>
          <w:color w:val="000000"/>
        </w:rPr>
        <w:t>XI. Documento:</w:t>
      </w:r>
      <w:r w:rsidRPr="000D558D">
        <w:rPr>
          <w:rFonts w:ascii="Palatino Linotype" w:hAnsi="Palatino Linotype" w:cs="Arial"/>
          <w:i/>
          <w:color w:val="000000"/>
        </w:rPr>
        <w:t xml:space="preserve"> Los 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obligados, sus servidores públicos e integrantes, sin importar su fuente o fecha de elaboración. Los </w:t>
      </w:r>
      <w:r w:rsidRPr="000D558D">
        <w:rPr>
          <w:rFonts w:ascii="Palatino Linotype" w:hAnsi="Palatino Linotype" w:cs="Arial"/>
          <w:i/>
          <w:color w:val="000000"/>
        </w:rPr>
        <w:lastRenderedPageBreak/>
        <w:t>documentos podrán estar en cualquier medio, sea escrito, impreso, sonoro, visual, electrónico, informático u holográfico;</w:t>
      </w:r>
    </w:p>
    <w:p w:rsidR="00E25BCD" w:rsidRPr="000D558D" w:rsidRDefault="00E25BCD" w:rsidP="00E25BCD">
      <w:pPr>
        <w:spacing w:line="240" w:lineRule="auto"/>
        <w:ind w:left="567" w:right="567"/>
        <w:jc w:val="both"/>
        <w:rPr>
          <w:rFonts w:ascii="Palatino Linotype" w:hAnsi="Palatino Linotype" w:cs="Arial"/>
          <w:i/>
          <w:color w:val="000000"/>
        </w:rPr>
      </w:pPr>
      <w:r w:rsidRPr="000D558D">
        <w:rPr>
          <w:rFonts w:ascii="Palatino Linotype" w:hAnsi="Palatino Linotype" w:cs="Arial"/>
          <w:i/>
          <w:color w:val="000000"/>
        </w:rPr>
        <w:t>(…)”</w:t>
      </w:r>
    </w:p>
    <w:p w:rsidR="00E25BCD" w:rsidRPr="000D558D" w:rsidRDefault="00E25BCD" w:rsidP="00E25BCD">
      <w:pPr>
        <w:ind w:left="851" w:right="902"/>
        <w:jc w:val="both"/>
        <w:rPr>
          <w:rFonts w:ascii="Palatino Linotype" w:hAnsi="Palatino Linotype" w:cs="Arial"/>
          <w:sz w:val="10"/>
        </w:rPr>
      </w:pPr>
    </w:p>
    <w:p w:rsidR="00E25BCD" w:rsidRPr="000D558D" w:rsidRDefault="00E25BCD" w:rsidP="00E25BCD">
      <w:pPr>
        <w:autoSpaceDE w:val="0"/>
        <w:autoSpaceDN w:val="0"/>
        <w:adjustRightInd w:val="0"/>
        <w:spacing w:line="360" w:lineRule="auto"/>
        <w:jc w:val="both"/>
        <w:rPr>
          <w:rFonts w:ascii="Palatino Linotype" w:hAnsi="Palatino Linotype" w:cs="Arial"/>
          <w:sz w:val="24"/>
        </w:rPr>
      </w:pPr>
      <w:r w:rsidRPr="000D558D">
        <w:rPr>
          <w:rFonts w:ascii="Palatino Linotype" w:hAnsi="Palatino Linotype" w:cs="Arial"/>
          <w:sz w:val="24"/>
        </w:rPr>
        <w:t xml:space="preserve">Siendo aplicable el Criterio </w:t>
      </w:r>
      <w:r w:rsidRPr="000D558D">
        <w:rPr>
          <w:rFonts w:ascii="Palatino Linotype" w:hAnsi="Palatino Linotype" w:cs="Arial"/>
          <w:bCs/>
          <w:sz w:val="24"/>
          <w:lang w:eastAsia="es-MX"/>
        </w:rPr>
        <w:t xml:space="preserve">de interpretación en el orden administrativo número 0002-11, emitido por Acuerdo del Pleno del Instituto de Transparencia y Acceso a la Información Pública del Estado de México y Municipios; publicado en el Periódico Oficial del Gobierno del Estado Libre y Soberano de México “Gaceta del Gobierno”, el diecinueve de octubre de dos mil once, </w:t>
      </w:r>
      <w:r w:rsidRPr="000D558D">
        <w:rPr>
          <w:rFonts w:ascii="Palatino Linotype" w:hAnsi="Palatino Linotype" w:cs="Arial"/>
          <w:sz w:val="24"/>
        </w:rPr>
        <w:t>cuyo rubro y texto dispone:</w:t>
      </w:r>
    </w:p>
    <w:p w:rsidR="00E25BCD" w:rsidRPr="000D558D" w:rsidRDefault="00E25BCD" w:rsidP="00E25BCD">
      <w:pPr>
        <w:ind w:left="567" w:right="567"/>
        <w:jc w:val="both"/>
        <w:rPr>
          <w:rFonts w:ascii="Palatino Linotype" w:hAnsi="Palatino Linotype" w:cs="Arial"/>
          <w:sz w:val="2"/>
        </w:rPr>
      </w:pPr>
    </w:p>
    <w:p w:rsidR="00E25BCD" w:rsidRPr="000D558D" w:rsidRDefault="00E25BCD" w:rsidP="00E25BCD">
      <w:pPr>
        <w:ind w:left="567" w:right="567"/>
        <w:jc w:val="both"/>
        <w:rPr>
          <w:rFonts w:ascii="Palatino Linotype" w:hAnsi="Palatino Linotype" w:cs="Arial"/>
          <w:b/>
          <w:i/>
          <w:lang w:eastAsia="es-MX"/>
        </w:rPr>
      </w:pPr>
      <w:r w:rsidRPr="000D558D">
        <w:rPr>
          <w:rFonts w:ascii="Palatino Linotype" w:hAnsi="Palatino Linotype" w:cs="Arial"/>
          <w:b/>
          <w:lang w:eastAsia="es-MX"/>
        </w:rPr>
        <w:t>“</w:t>
      </w:r>
      <w:r w:rsidRPr="000D558D">
        <w:rPr>
          <w:rFonts w:ascii="Palatino Linotype" w:hAnsi="Palatino Linotype" w:cs="Arial"/>
          <w:b/>
          <w:i/>
          <w:lang w:eastAsia="es-MX"/>
        </w:rPr>
        <w:t>CRITERIO 0002-11</w:t>
      </w:r>
    </w:p>
    <w:p w:rsidR="00E25BCD" w:rsidRPr="000D558D" w:rsidRDefault="00E25BCD" w:rsidP="00E25BCD">
      <w:pPr>
        <w:ind w:left="567" w:right="567"/>
        <w:jc w:val="both"/>
        <w:rPr>
          <w:rFonts w:ascii="Palatino Linotype" w:hAnsi="Palatino Linotype" w:cs="Arial"/>
          <w:i/>
          <w:lang w:eastAsia="es-MX"/>
        </w:rPr>
      </w:pPr>
      <w:r w:rsidRPr="000D558D">
        <w:rPr>
          <w:rFonts w:ascii="Palatino Linotype" w:hAnsi="Palatino Linotype" w:cs="Arial"/>
          <w:b/>
          <w:i/>
          <w:lang w:eastAsia="es-MX"/>
        </w:rPr>
        <w:t xml:space="preserve">INFORMACIÓN PÚBLICA, CONCEPTO DE, EN MATERIA DE TRANSPARENCIA. INTERPRETACIÓN SISTEMÁTICA DE LOS ARTÍCULOS 2°, FRACCIÓN </w:t>
      </w:r>
      <w:r w:rsidRPr="000D558D">
        <w:rPr>
          <w:rFonts w:ascii="Palatino Linotype" w:hAnsi="Palatino Linotype" w:cs="Arial"/>
          <w:b/>
          <w:bCs/>
          <w:i/>
          <w:lang w:eastAsia="es-MX"/>
        </w:rPr>
        <w:t xml:space="preserve">V, XV, Y XVI, </w:t>
      </w:r>
      <w:r w:rsidRPr="000D558D">
        <w:rPr>
          <w:rFonts w:ascii="Palatino Linotype" w:hAnsi="Palatino Linotype" w:cs="Arial"/>
          <w:b/>
          <w:i/>
          <w:lang w:eastAsia="es-MX"/>
        </w:rPr>
        <w:t>3°, 4°, 11 Y 41.</w:t>
      </w:r>
      <w:r w:rsidRPr="000D558D">
        <w:rPr>
          <w:rFonts w:ascii="Palatino Linotype" w:hAnsi="Palatino Linotype" w:cs="Arial"/>
          <w:i/>
          <w:lang w:eastAsia="es-MX"/>
        </w:rPr>
        <w:t xml:space="preserve"> De conformidad con los artículos antes referidos, el derecho de acceso a la información pública, se define en cuanto a su alcance y resultado material, el acceso a los archivos, registros y documentos públicos, administrados, generados o en posesión de los órganos u organismos públicos, en virtud del ejercicio de sus funciones de derecho público, sin importar su fuente, soporte o fecha de elaboración.</w:t>
      </w:r>
    </w:p>
    <w:p w:rsidR="00E25BCD" w:rsidRPr="000D558D" w:rsidRDefault="00E25BCD" w:rsidP="00E25BCD">
      <w:pPr>
        <w:ind w:left="567" w:right="567"/>
        <w:jc w:val="both"/>
        <w:rPr>
          <w:rFonts w:ascii="Palatino Linotype" w:hAnsi="Palatino Linotype" w:cs="Arial"/>
          <w:i/>
          <w:lang w:eastAsia="es-MX"/>
        </w:rPr>
      </w:pPr>
      <w:r w:rsidRPr="000D558D">
        <w:rPr>
          <w:rFonts w:ascii="Palatino Linotype" w:hAnsi="Palatino Linotype" w:cs="Arial"/>
          <w:i/>
          <w:lang w:eastAsia="es-MX"/>
        </w:rPr>
        <w:t>En consecuencia el acceso a la información se refiere a que se cumplan cualquiera de los siguientes tres supuestos:</w:t>
      </w:r>
    </w:p>
    <w:p w:rsidR="00E25BCD" w:rsidRPr="000D558D" w:rsidRDefault="00E25BCD" w:rsidP="00E25BCD">
      <w:pPr>
        <w:ind w:left="567" w:right="567"/>
        <w:jc w:val="both"/>
        <w:rPr>
          <w:rFonts w:ascii="Palatino Linotype" w:hAnsi="Palatino Linotype" w:cs="Arial"/>
          <w:b/>
          <w:i/>
          <w:lang w:eastAsia="es-MX"/>
        </w:rPr>
      </w:pPr>
      <w:r w:rsidRPr="000D558D">
        <w:rPr>
          <w:rFonts w:ascii="Palatino Linotype" w:hAnsi="Palatino Linotype" w:cs="Arial"/>
          <w:b/>
          <w:i/>
          <w:lang w:eastAsia="es-MX"/>
        </w:rPr>
        <w:t>1) Que se trate de información registrada en cualquier soporte documental, que en ejercicio de las atribuciones conferidas, sea generada por los Sujetos Obligados;</w:t>
      </w:r>
    </w:p>
    <w:p w:rsidR="00E25BCD" w:rsidRPr="000D558D" w:rsidRDefault="00E25BCD" w:rsidP="00E25BCD">
      <w:pPr>
        <w:ind w:left="567" w:right="567"/>
        <w:jc w:val="both"/>
        <w:rPr>
          <w:rFonts w:ascii="Palatino Linotype" w:hAnsi="Palatino Linotype" w:cs="Arial"/>
          <w:i/>
          <w:lang w:eastAsia="es-MX"/>
        </w:rPr>
      </w:pPr>
      <w:r w:rsidRPr="000D558D">
        <w:rPr>
          <w:rFonts w:ascii="Palatino Linotype" w:hAnsi="Palatino Linotype" w:cs="Arial"/>
          <w:i/>
          <w:lang w:eastAsia="es-MX"/>
        </w:rPr>
        <w:t>2) Que se trate de información registrada en cualquier soporte documental, que en ejercicio de las atribuciones conferidas, sea administrada por los Sujetos Obligados, y</w:t>
      </w:r>
    </w:p>
    <w:p w:rsidR="00E25BCD" w:rsidRPr="000D558D" w:rsidRDefault="00E25BCD" w:rsidP="00E25BCD">
      <w:pPr>
        <w:ind w:left="567" w:right="567"/>
        <w:jc w:val="both"/>
        <w:rPr>
          <w:rFonts w:ascii="Palatino Linotype" w:hAnsi="Palatino Linotype" w:cs="Arial"/>
          <w:i/>
          <w:lang w:eastAsia="es-MX"/>
        </w:rPr>
      </w:pPr>
      <w:r w:rsidRPr="000D558D">
        <w:rPr>
          <w:rFonts w:ascii="Palatino Linotype" w:hAnsi="Palatino Linotype" w:cs="Arial"/>
          <w:i/>
          <w:lang w:eastAsia="es-MX"/>
        </w:rPr>
        <w:t>3) Que se trate de información registrada en cualquier soporte documental, que en ejercicio de las atribuciones conferidas, se encuentre en posesión de los Sujetos Obligados.” (SIC)</w:t>
      </w:r>
    </w:p>
    <w:p w:rsidR="00E25BCD" w:rsidRPr="000D558D" w:rsidRDefault="00E25BCD" w:rsidP="00E25BCD">
      <w:pPr>
        <w:spacing w:after="0" w:line="360" w:lineRule="auto"/>
        <w:jc w:val="both"/>
        <w:rPr>
          <w:rFonts w:ascii="Palatino Linotype" w:hAnsi="Palatino Linotype" w:cs="Arial"/>
          <w:sz w:val="24"/>
        </w:rPr>
      </w:pPr>
    </w:p>
    <w:p w:rsidR="00E25BCD" w:rsidRPr="000D558D" w:rsidRDefault="00E25BCD" w:rsidP="00E25BCD">
      <w:pPr>
        <w:spacing w:after="0" w:line="360" w:lineRule="auto"/>
        <w:jc w:val="both"/>
        <w:rPr>
          <w:rFonts w:ascii="Palatino Linotype" w:hAnsi="Palatino Linotype" w:cs="Arial"/>
          <w:sz w:val="24"/>
        </w:rPr>
      </w:pPr>
      <w:r w:rsidRPr="000D558D">
        <w:rPr>
          <w:rFonts w:ascii="Palatino Linotype" w:hAnsi="Palatino Linotype" w:cs="Arial"/>
          <w:sz w:val="24"/>
        </w:rPr>
        <w:t xml:space="preserve">Expuesto lo anterior, se procede al análisis de la totalidad de las constancias que integran el expediente electrónico del </w:t>
      </w:r>
      <w:r w:rsidRPr="000D558D">
        <w:rPr>
          <w:rFonts w:ascii="Palatino Linotype" w:hAnsi="Palatino Linotype" w:cs="Arial"/>
          <w:b/>
          <w:sz w:val="24"/>
        </w:rPr>
        <w:t>SAIMEX</w:t>
      </w:r>
      <w:r w:rsidRPr="000D558D">
        <w:rPr>
          <w:rFonts w:ascii="Palatino Linotype" w:hAnsi="Palatino Linotype" w:cs="Arial"/>
          <w:sz w:val="24"/>
        </w:rPr>
        <w:t xml:space="preserve">, a efecto de determinar si con la </w:t>
      </w:r>
      <w:r w:rsidRPr="000D558D">
        <w:rPr>
          <w:rFonts w:ascii="Palatino Linotype" w:hAnsi="Palatino Linotype" w:cs="Arial"/>
          <w:sz w:val="24"/>
        </w:rPr>
        <w:lastRenderedPageBreak/>
        <w:t xml:space="preserve">información remitida por </w:t>
      </w:r>
      <w:r w:rsidRPr="000D558D">
        <w:rPr>
          <w:rFonts w:ascii="Palatino Linotype" w:hAnsi="Palatino Linotype" w:cs="Arial"/>
          <w:b/>
          <w:sz w:val="24"/>
        </w:rPr>
        <w:t>El Sujeto Obligado</w:t>
      </w:r>
      <w:r w:rsidRPr="000D558D">
        <w:rPr>
          <w:rFonts w:ascii="Palatino Linotype" w:hAnsi="Palatino Linotype" w:cs="Arial"/>
          <w:sz w:val="24"/>
        </w:rPr>
        <w:t xml:space="preserve"> a través de su respuesta, se colma lo requerido en dichas solicitudes. </w:t>
      </w:r>
    </w:p>
    <w:p w:rsidR="00E25BCD" w:rsidRPr="000D558D" w:rsidRDefault="00E25BCD" w:rsidP="00E25BCD">
      <w:pPr>
        <w:spacing w:after="0" w:line="360" w:lineRule="auto"/>
        <w:jc w:val="both"/>
        <w:rPr>
          <w:rFonts w:ascii="Palatino Linotype" w:hAnsi="Palatino Linotype" w:cs="Arial"/>
          <w:sz w:val="24"/>
        </w:rPr>
      </w:pPr>
    </w:p>
    <w:p w:rsidR="00E25BCD" w:rsidRPr="000D558D" w:rsidRDefault="00E25BCD" w:rsidP="00E25BCD">
      <w:pPr>
        <w:spacing w:after="0" w:line="360" w:lineRule="auto"/>
        <w:jc w:val="both"/>
        <w:rPr>
          <w:rFonts w:ascii="Palatino Linotype" w:hAnsi="Palatino Linotype"/>
          <w:sz w:val="24"/>
          <w:szCs w:val="24"/>
        </w:rPr>
      </w:pPr>
      <w:r w:rsidRPr="000D558D">
        <w:rPr>
          <w:rFonts w:ascii="Palatino Linotype" w:hAnsi="Palatino Linotype" w:cs="Arial"/>
          <w:sz w:val="24"/>
          <w:szCs w:val="24"/>
        </w:rPr>
        <w:t xml:space="preserve">Primeramente, empezaremos a desglosar los puntos solicitados de los cuadros anteriormente expuestos, por lo que se refiere al </w:t>
      </w:r>
      <w:r w:rsidRPr="000D558D">
        <w:rPr>
          <w:rFonts w:ascii="Palatino Linotype" w:hAnsi="Palatino Linotype" w:cs="Arial"/>
          <w:b/>
          <w:sz w:val="24"/>
          <w:szCs w:val="24"/>
          <w:u w:val="thick"/>
        </w:rPr>
        <w:t xml:space="preserve">contrato de prestación de servicios del Despacho Lara; </w:t>
      </w:r>
      <w:r w:rsidRPr="000D558D">
        <w:rPr>
          <w:rFonts w:ascii="Palatino Linotype" w:hAnsi="Palatino Linotype"/>
          <w:sz w:val="24"/>
          <w:szCs w:val="24"/>
        </w:rPr>
        <w:t xml:space="preserve">cabe traer a colación que un </w:t>
      </w:r>
      <w:r w:rsidRPr="000D558D">
        <w:rPr>
          <w:rFonts w:ascii="Palatino Linotype" w:hAnsi="Palatino Linotype"/>
          <w:i/>
          <w:sz w:val="24"/>
          <w:szCs w:val="24"/>
        </w:rPr>
        <w:t>contrato</w:t>
      </w:r>
      <w:r w:rsidRPr="000D558D">
        <w:rPr>
          <w:rFonts w:ascii="Palatino Linotype" w:hAnsi="Palatino Linotype"/>
          <w:sz w:val="24"/>
          <w:szCs w:val="24"/>
        </w:rPr>
        <w:t xml:space="preserve"> es el instrumento usual para formalizar la voluntad y compromiso de las partes que intervienen; por lo general, se utiliza para emplear los servicios de una persona. </w:t>
      </w:r>
    </w:p>
    <w:p w:rsidR="00E25BCD" w:rsidRPr="000D558D" w:rsidRDefault="00E25BCD" w:rsidP="00E25BCD">
      <w:pPr>
        <w:spacing w:after="0" w:line="360" w:lineRule="auto"/>
        <w:jc w:val="both"/>
        <w:rPr>
          <w:rFonts w:ascii="Palatino Linotype" w:hAnsi="Palatino Linotype"/>
          <w:sz w:val="24"/>
          <w:szCs w:val="24"/>
        </w:rPr>
      </w:pPr>
    </w:p>
    <w:p w:rsidR="00E25BCD" w:rsidRPr="000D558D" w:rsidRDefault="00E25BCD" w:rsidP="00E25BCD">
      <w:pPr>
        <w:spacing w:after="0" w:line="360" w:lineRule="auto"/>
        <w:jc w:val="both"/>
        <w:rPr>
          <w:rFonts w:ascii="Palatino Linotype" w:hAnsi="Palatino Linotype"/>
          <w:sz w:val="24"/>
        </w:rPr>
      </w:pPr>
      <w:r w:rsidRPr="000D558D">
        <w:rPr>
          <w:rFonts w:ascii="Palatino Linotype" w:eastAsia="Times New Roman" w:hAnsi="Palatino Linotype" w:cs="Times New Roman"/>
          <w:color w:val="222222"/>
          <w:sz w:val="24"/>
          <w:szCs w:val="24"/>
          <w:lang w:eastAsia="es-MX"/>
        </w:rPr>
        <w:t xml:space="preserve">Es </w:t>
      </w:r>
      <w:r w:rsidRPr="000D558D">
        <w:rPr>
          <w:rFonts w:ascii="Palatino Linotype" w:hAnsi="Palatino Linotype" w:cs="Arial"/>
          <w:sz w:val="24"/>
        </w:rPr>
        <w:t xml:space="preserve">importante señalar que, dicha solicitud fue turnada al Servidor Público Habilitado correspondiente; situación, que se advierte de las constancias que obran en el expediente electrónico del </w:t>
      </w:r>
      <w:r w:rsidRPr="000D558D">
        <w:rPr>
          <w:rFonts w:ascii="Palatino Linotype" w:hAnsi="Palatino Linotype" w:cs="Arial"/>
          <w:b/>
          <w:sz w:val="24"/>
        </w:rPr>
        <w:t>SAIMEX</w:t>
      </w:r>
      <w:r w:rsidRPr="000D558D">
        <w:rPr>
          <w:rFonts w:ascii="Palatino Linotype" w:hAnsi="Palatino Linotype" w:cs="Arial"/>
          <w:sz w:val="24"/>
        </w:rPr>
        <w:t xml:space="preserve"> y, específicamente en el apartado de </w:t>
      </w:r>
      <w:r w:rsidRPr="000D558D">
        <w:rPr>
          <w:rFonts w:ascii="Palatino Linotype" w:hAnsi="Palatino Linotype" w:cs="Arial"/>
          <w:i/>
          <w:sz w:val="24"/>
        </w:rPr>
        <w:t>Requerimientos</w:t>
      </w:r>
      <w:r w:rsidRPr="000D558D">
        <w:rPr>
          <w:rFonts w:ascii="Palatino Linotype" w:hAnsi="Palatino Linotype" w:cs="Arial"/>
          <w:sz w:val="24"/>
        </w:rPr>
        <w:t xml:space="preserve">, donde se aprecia que </w:t>
      </w:r>
      <w:r w:rsidRPr="000D558D">
        <w:rPr>
          <w:rFonts w:ascii="Palatino Linotype" w:hAnsi="Palatino Linotype"/>
          <w:sz w:val="24"/>
        </w:rPr>
        <w:t>la solicitud de información fue turnada de la siguiente manera:</w:t>
      </w:r>
    </w:p>
    <w:p w:rsidR="00E25BCD" w:rsidRPr="000D558D" w:rsidRDefault="00E25BCD" w:rsidP="00E25BCD">
      <w:pPr>
        <w:pStyle w:val="Sinespaciado"/>
      </w:pPr>
    </w:p>
    <w:p w:rsidR="00E25BCD" w:rsidRPr="000D558D" w:rsidRDefault="00E25BCD" w:rsidP="00E25BCD">
      <w:pPr>
        <w:spacing w:after="0" w:line="360" w:lineRule="auto"/>
        <w:jc w:val="both"/>
        <w:rPr>
          <w:rFonts w:ascii="Palatino Linotype" w:eastAsia="Times New Roman" w:hAnsi="Palatino Linotype" w:cs="Times New Roman"/>
          <w:color w:val="222222"/>
          <w:sz w:val="24"/>
          <w:szCs w:val="24"/>
          <w:lang w:eastAsia="es-MX"/>
        </w:rPr>
      </w:pPr>
      <w:r w:rsidRPr="000D558D">
        <w:rPr>
          <w:rFonts w:ascii="Palatino Linotype" w:hAnsi="Palatino Linotype"/>
          <w:noProof/>
          <w:sz w:val="24"/>
          <w:lang w:eastAsia="es-MX"/>
        </w:rPr>
        <mc:AlternateContent>
          <mc:Choice Requires="wps">
            <w:drawing>
              <wp:anchor distT="0" distB="0" distL="114300" distR="114300" simplePos="0" relativeHeight="251659264" behindDoc="0" locked="0" layoutInCell="1" allowOverlap="1" wp14:anchorId="4277A7CE" wp14:editId="036D6F11">
                <wp:simplePos x="0" y="0"/>
                <wp:positionH relativeFrom="column">
                  <wp:posOffset>1242</wp:posOffset>
                </wp:positionH>
                <wp:positionV relativeFrom="paragraph">
                  <wp:posOffset>264133</wp:posOffset>
                </wp:positionV>
                <wp:extent cx="5796280" cy="596348"/>
                <wp:effectExtent l="19050" t="19050" r="13970" b="13335"/>
                <wp:wrapNone/>
                <wp:docPr id="2" name="Rectángulo redondeado 2"/>
                <wp:cNvGraphicFramePr/>
                <a:graphic xmlns:a="http://schemas.openxmlformats.org/drawingml/2006/main">
                  <a:graphicData uri="http://schemas.microsoft.com/office/word/2010/wordprocessingShape">
                    <wps:wsp>
                      <wps:cNvSpPr/>
                      <wps:spPr>
                        <a:xfrm>
                          <a:off x="0" y="0"/>
                          <a:ext cx="5796280" cy="596348"/>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00E9272" id="Rectángulo redondeado 2" o:spid="_x0000_s1026" style="position:absolute;margin-left:.1pt;margin-top:20.8pt;width:456.4pt;height:46.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" filled="f" strokecolor="red" strokeweight="2.25pt">
                <v:stroke joinstyle="miter"/>
              </v:roundrect>
            </w:pict>
          </mc:Fallback>
        </mc:AlternateContent>
      </w:r>
      <w:r w:rsidRPr="000D558D">
        <w:rPr>
          <w:rFonts w:ascii="Palatino Linotype" w:eastAsia="Times New Roman" w:hAnsi="Palatino Linotype" w:cs="Times New Roman"/>
          <w:noProof/>
          <w:color w:val="222222"/>
          <w:sz w:val="24"/>
          <w:szCs w:val="24"/>
          <w:lang w:eastAsia="es-MX"/>
        </w:rPr>
        <w:drawing>
          <wp:inline distT="0" distB="0" distL="0" distR="0" wp14:anchorId="184AA1DD" wp14:editId="02306817">
            <wp:extent cx="5754842" cy="1160891"/>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9303" cy="1167843"/>
                    </a:xfrm>
                    <a:prstGeom prst="rect">
                      <a:avLst/>
                    </a:prstGeom>
                    <a:noFill/>
                    <a:ln>
                      <a:noFill/>
                    </a:ln>
                  </pic:spPr>
                </pic:pic>
              </a:graphicData>
            </a:graphic>
          </wp:inline>
        </w:drawing>
      </w:r>
    </w:p>
    <w:p w:rsidR="00E25BCD" w:rsidRPr="000D558D" w:rsidRDefault="00E25BCD" w:rsidP="00E25BCD">
      <w:pPr>
        <w:spacing w:after="0" w:line="360" w:lineRule="auto"/>
        <w:jc w:val="both"/>
        <w:rPr>
          <w:rFonts w:ascii="Palatino Linotype" w:hAnsi="Palatino Linotype"/>
          <w:sz w:val="24"/>
          <w:szCs w:val="24"/>
        </w:rPr>
      </w:pPr>
    </w:p>
    <w:p w:rsidR="00E25BCD" w:rsidRPr="000D558D" w:rsidRDefault="00E25BCD" w:rsidP="00E25BCD">
      <w:pPr>
        <w:pStyle w:val="Prrafodelista"/>
        <w:spacing w:line="360" w:lineRule="auto"/>
        <w:ind w:left="0"/>
        <w:jc w:val="both"/>
        <w:rPr>
          <w:rFonts w:ascii="Palatino Linotype" w:eastAsiaTheme="minorHAnsi" w:hAnsi="Palatino Linotype" w:cs="Arial"/>
          <w:lang w:val="es-MX" w:eastAsia="en-US"/>
        </w:rPr>
      </w:pPr>
      <w:r w:rsidRPr="000D558D">
        <w:rPr>
          <w:rFonts w:ascii="Palatino Linotype" w:eastAsiaTheme="minorHAnsi" w:hAnsi="Palatino Linotype" w:cs="Arial"/>
          <w:lang w:val="es-MX" w:eastAsia="en-US"/>
        </w:rPr>
        <w:t xml:space="preserve">De lo manifestado por el </w:t>
      </w:r>
      <w:r w:rsidRPr="000D558D">
        <w:rPr>
          <w:rFonts w:ascii="Palatino Linotype" w:eastAsiaTheme="minorHAnsi" w:hAnsi="Palatino Linotype" w:cs="Arial"/>
          <w:b/>
          <w:lang w:val="es-MX" w:eastAsia="en-US"/>
        </w:rPr>
        <w:t>Sujeto Obligado</w:t>
      </w:r>
      <w:r w:rsidRPr="000D558D">
        <w:rPr>
          <w:rFonts w:ascii="Palatino Linotype" w:eastAsiaTheme="minorHAnsi" w:hAnsi="Palatino Linotype" w:cs="Arial"/>
          <w:lang w:val="es-MX" w:eastAsia="en-US"/>
        </w:rPr>
        <w:t xml:space="preserve"> así como de la imagen antes referida, se advierte que el documento al que hace referencia el </w:t>
      </w:r>
      <w:r w:rsidRPr="000D558D">
        <w:rPr>
          <w:rFonts w:ascii="Palatino Linotype" w:eastAsiaTheme="minorHAnsi" w:hAnsi="Palatino Linotype" w:cs="Arial"/>
          <w:b/>
          <w:lang w:val="es-MX" w:eastAsia="en-US"/>
        </w:rPr>
        <w:t>Sujeto Obligado</w:t>
      </w:r>
      <w:r w:rsidRPr="000D558D">
        <w:rPr>
          <w:rFonts w:ascii="Palatino Linotype" w:eastAsiaTheme="minorHAnsi" w:hAnsi="Palatino Linotype" w:cs="Arial"/>
          <w:lang w:val="es-MX" w:eastAsia="en-US"/>
        </w:rPr>
        <w:t xml:space="preserve"> en su respuesta primigenia, consistente en el </w:t>
      </w:r>
      <w:r w:rsidRPr="000D558D">
        <w:rPr>
          <w:rFonts w:ascii="Palatino Linotype" w:eastAsiaTheme="minorHAnsi" w:hAnsi="Palatino Linotype" w:cs="Arial"/>
          <w:b/>
          <w:u w:val="single"/>
          <w:lang w:val="es-MX" w:eastAsia="en-US"/>
        </w:rPr>
        <w:t>Contrato No. DA/SRM/AD/149.2/2020, celebrado con el prestador de servicios “Lara Moreno y Asociados S.C.”</w:t>
      </w:r>
      <w:r w:rsidRPr="000D558D">
        <w:rPr>
          <w:rFonts w:ascii="Palatino Linotype" w:hAnsi="Palatino Linotype" w:cs="Arial"/>
        </w:rPr>
        <w:t>; requerido por el Particular</w:t>
      </w:r>
      <w:r w:rsidRPr="000D558D">
        <w:rPr>
          <w:rFonts w:ascii="Palatino Linotype" w:eastAsiaTheme="minorHAnsi" w:hAnsi="Palatino Linotype" w:cs="Arial"/>
          <w:lang w:val="es-MX" w:eastAsia="en-US"/>
        </w:rPr>
        <w:t xml:space="preserve">, </w:t>
      </w:r>
      <w:r w:rsidRPr="000D558D">
        <w:rPr>
          <w:rFonts w:ascii="Palatino Linotype" w:eastAsiaTheme="minorHAnsi" w:hAnsi="Palatino Linotype" w:cs="Arial"/>
          <w:lang w:val="es-MX" w:eastAsia="en-US"/>
        </w:rPr>
        <w:lastRenderedPageBreak/>
        <w:t xml:space="preserve">se encuentra en el apartado de requerimientos, y si bien se otorgó respuesta, el documento referido no se encuentra en el apartado correspondiente a la misma, por tal motivo, se debe aclarar al </w:t>
      </w:r>
      <w:r w:rsidRPr="000D558D">
        <w:rPr>
          <w:rFonts w:ascii="Palatino Linotype" w:eastAsiaTheme="minorHAnsi" w:hAnsi="Palatino Linotype" w:cs="Arial"/>
          <w:b/>
          <w:lang w:val="es-MX" w:eastAsia="en-US"/>
        </w:rPr>
        <w:t>Sujeto Obligado</w:t>
      </w:r>
      <w:r w:rsidRPr="000D558D">
        <w:rPr>
          <w:rFonts w:ascii="Palatino Linotype" w:eastAsiaTheme="minorHAnsi" w:hAnsi="Palatino Linotype" w:cs="Arial"/>
          <w:lang w:val="es-MX" w:eastAsia="en-US"/>
        </w:rPr>
        <w:t xml:space="preserve"> que dicho apartado de requerimientos únicamente es visible para los servidores públicos habilitados a quienes se les haya turnado la solicitud y para el Titular de la Unidad de Transparencia, pues para que sea visualizada por los particulares requiere que la misma sea notificada como respuesta al ciudadano según lo indicado en las guías de uso proporcionadas por este Instituto a los </w:t>
      </w:r>
      <w:r w:rsidRPr="000D558D">
        <w:rPr>
          <w:rFonts w:ascii="Palatino Linotype" w:eastAsiaTheme="minorHAnsi" w:hAnsi="Palatino Linotype" w:cs="Arial"/>
          <w:b/>
          <w:lang w:val="es-MX" w:eastAsia="en-US"/>
        </w:rPr>
        <w:t>Sujetos Obligados</w:t>
      </w:r>
      <w:r w:rsidRPr="000D558D">
        <w:rPr>
          <w:rFonts w:ascii="Palatino Linotype" w:eastAsiaTheme="minorHAnsi" w:hAnsi="Palatino Linotype" w:cs="Arial"/>
          <w:lang w:val="es-MX" w:eastAsia="en-US"/>
        </w:rPr>
        <w:t xml:space="preserve"> para que atiendan cabalmente las solicitudes que les sean formuladas, que en caso específico la guía que se insta a seguir al Ayuntamiento en cuestión, es la denominada </w:t>
      </w:r>
      <w:r w:rsidRPr="000D558D">
        <w:rPr>
          <w:rFonts w:ascii="Palatino Linotype" w:eastAsiaTheme="minorHAnsi" w:hAnsi="Palatino Linotype" w:cs="Arial"/>
          <w:i/>
          <w:lang w:val="es-MX" w:eastAsia="en-US"/>
        </w:rPr>
        <w:t>“Seguimiento de Solicitudes”</w:t>
      </w:r>
      <w:r w:rsidRPr="000D558D">
        <w:rPr>
          <w:rFonts w:ascii="Palatino Linotype" w:eastAsiaTheme="minorHAnsi" w:hAnsi="Palatino Linotype" w:cs="Arial"/>
          <w:lang w:val="es-MX" w:eastAsia="en-US"/>
        </w:rPr>
        <w:t>; la cual, se encuentra a su disposición en la página web del SAIMEX.</w:t>
      </w:r>
    </w:p>
    <w:p w:rsidR="00E25BCD" w:rsidRPr="000D558D" w:rsidRDefault="00E25BCD" w:rsidP="00E25BCD">
      <w:pPr>
        <w:pStyle w:val="Prrafodelista"/>
        <w:spacing w:line="360" w:lineRule="auto"/>
        <w:ind w:left="0"/>
        <w:jc w:val="both"/>
        <w:rPr>
          <w:rFonts w:ascii="Palatino Linotype" w:eastAsiaTheme="minorHAnsi" w:hAnsi="Palatino Linotype" w:cs="Arial"/>
          <w:lang w:val="es-MX" w:eastAsia="en-US"/>
        </w:rPr>
      </w:pPr>
    </w:p>
    <w:p w:rsidR="00E25BCD" w:rsidRPr="000D558D" w:rsidRDefault="00E25BCD" w:rsidP="00E25BCD">
      <w:pPr>
        <w:pStyle w:val="Prrafodelista"/>
        <w:spacing w:line="360" w:lineRule="auto"/>
        <w:ind w:left="0"/>
        <w:jc w:val="both"/>
        <w:rPr>
          <w:rFonts w:ascii="Palatino Linotype" w:eastAsiaTheme="minorHAnsi" w:hAnsi="Palatino Linotype" w:cs="Arial"/>
          <w:lang w:val="es-MX" w:eastAsia="en-US"/>
        </w:rPr>
      </w:pPr>
      <w:r w:rsidRPr="000D558D">
        <w:rPr>
          <w:rFonts w:ascii="Palatino Linotype" w:eastAsiaTheme="minorHAnsi" w:hAnsi="Palatino Linotype" w:cs="Arial"/>
          <w:lang w:val="es-MX" w:eastAsia="en-US"/>
        </w:rPr>
        <w:t xml:space="preserve">Por lo anterior, es de resaltar que la información que argumenta fue entregada a través de los requerimientos no es del conocimiento del particular y por ende no se notificó como una respuesta al ciudadano y no se puede tomar en consideración para efectos de la presente resolución, por ello, los motivos de inconformidad planteados por el </w:t>
      </w:r>
      <w:r w:rsidRPr="000D558D">
        <w:rPr>
          <w:rFonts w:ascii="Palatino Linotype" w:eastAsiaTheme="minorHAnsi" w:hAnsi="Palatino Linotype" w:cs="Arial"/>
          <w:b/>
          <w:lang w:val="es-MX" w:eastAsia="en-US"/>
        </w:rPr>
        <w:t>Recurrente</w:t>
      </w:r>
      <w:r w:rsidRPr="000D558D">
        <w:rPr>
          <w:rFonts w:ascii="Palatino Linotype" w:eastAsiaTheme="minorHAnsi" w:hAnsi="Palatino Linotype" w:cs="Arial"/>
          <w:lang w:val="es-MX" w:eastAsia="en-US"/>
        </w:rPr>
        <w:t xml:space="preserve"> resulten fundados.</w:t>
      </w:r>
    </w:p>
    <w:p w:rsidR="00E25BCD" w:rsidRPr="000D558D" w:rsidRDefault="00E25BCD" w:rsidP="00E25BCD">
      <w:pPr>
        <w:spacing w:after="0" w:line="360" w:lineRule="auto"/>
        <w:jc w:val="both"/>
        <w:rPr>
          <w:rFonts w:ascii="Palatino Linotype" w:hAnsi="Palatino Linotype"/>
          <w:sz w:val="24"/>
          <w:szCs w:val="24"/>
        </w:rPr>
      </w:pPr>
    </w:p>
    <w:p w:rsidR="00E25BCD" w:rsidRPr="000D558D" w:rsidRDefault="00E25BCD" w:rsidP="00E25BCD">
      <w:pPr>
        <w:spacing w:after="0" w:line="360" w:lineRule="auto"/>
        <w:jc w:val="both"/>
        <w:rPr>
          <w:rFonts w:ascii="Palatino Linotype" w:hAnsi="Palatino Linotype"/>
          <w:sz w:val="24"/>
          <w:szCs w:val="24"/>
        </w:rPr>
      </w:pPr>
      <w:r w:rsidRPr="000D558D">
        <w:rPr>
          <w:rFonts w:ascii="Palatino Linotype" w:hAnsi="Palatino Linotype"/>
          <w:sz w:val="24"/>
          <w:szCs w:val="24"/>
        </w:rPr>
        <w:t xml:space="preserve">Hay que mencionar, que lo solicitado por el particular es un </w:t>
      </w:r>
      <w:r w:rsidRPr="000D558D">
        <w:rPr>
          <w:rFonts w:ascii="Palatino Linotype" w:hAnsi="Palatino Linotype"/>
          <w:i/>
          <w:sz w:val="24"/>
          <w:szCs w:val="24"/>
        </w:rPr>
        <w:t>contrato</w:t>
      </w:r>
      <w:r w:rsidRPr="000D558D">
        <w:rPr>
          <w:rFonts w:ascii="Palatino Linotype" w:hAnsi="Palatino Linotype"/>
          <w:sz w:val="24"/>
          <w:szCs w:val="24"/>
        </w:rPr>
        <w:t>,</w:t>
      </w:r>
      <w:r w:rsidRPr="000D558D">
        <w:rPr>
          <w:rFonts w:ascii="Palatino Linotype" w:hAnsi="Palatino Linotype"/>
          <w:i/>
          <w:sz w:val="24"/>
          <w:szCs w:val="24"/>
        </w:rPr>
        <w:t xml:space="preserve"> </w:t>
      </w:r>
      <w:r w:rsidRPr="000D558D">
        <w:rPr>
          <w:rFonts w:ascii="Palatino Linotype" w:hAnsi="Palatino Linotype"/>
          <w:sz w:val="24"/>
          <w:szCs w:val="24"/>
        </w:rPr>
        <w:t>el cual, es un instrumento normativo, y como tal, debe precisar en todo momento las diversas condiciones que las partes contratantes se imponen como obligaciones y derechos; éstos son asentados en cláusulas cuyo conjunto norma la actuación de las partes contratantes durante la vigencia del mismo. También puede decirse que el contrato es un convenio firmado, en virtud del cual se transfiere una obligación o un derecho.</w:t>
      </w:r>
    </w:p>
    <w:p w:rsidR="00E25BCD" w:rsidRPr="000D558D" w:rsidRDefault="00E25BCD" w:rsidP="00E25BCD">
      <w:pPr>
        <w:spacing w:after="0" w:line="360" w:lineRule="auto"/>
        <w:jc w:val="both"/>
        <w:rPr>
          <w:rFonts w:ascii="Palatino Linotype" w:hAnsi="Palatino Linotype"/>
          <w:sz w:val="24"/>
          <w:szCs w:val="24"/>
        </w:rPr>
      </w:pPr>
      <w:r w:rsidRPr="000D558D">
        <w:rPr>
          <w:rFonts w:ascii="Palatino Linotype" w:hAnsi="Palatino Linotype"/>
          <w:sz w:val="24"/>
          <w:szCs w:val="24"/>
        </w:rPr>
        <w:lastRenderedPageBreak/>
        <w:t xml:space="preserve">No obstante un </w:t>
      </w:r>
      <w:r w:rsidRPr="000D558D">
        <w:rPr>
          <w:rFonts w:ascii="Palatino Linotype" w:hAnsi="Palatino Linotype"/>
          <w:i/>
          <w:sz w:val="24"/>
          <w:szCs w:val="24"/>
        </w:rPr>
        <w:t>convenio</w:t>
      </w:r>
      <w:r w:rsidRPr="000D558D">
        <w:rPr>
          <w:rFonts w:ascii="Palatino Linotype" w:hAnsi="Palatino Linotype"/>
          <w:sz w:val="24"/>
          <w:szCs w:val="24"/>
        </w:rPr>
        <w:t xml:space="preserve"> es el acuerdo de dos o más personas destinados a crear, transferir, modificar o extinguir una obligación.</w:t>
      </w:r>
    </w:p>
    <w:p w:rsidR="00E25BCD" w:rsidRPr="000D558D" w:rsidRDefault="00E25BCD" w:rsidP="00E25BCD">
      <w:pPr>
        <w:spacing w:after="0" w:line="360" w:lineRule="auto"/>
        <w:jc w:val="both"/>
        <w:rPr>
          <w:rFonts w:ascii="Palatino Linotype" w:hAnsi="Palatino Linotype"/>
          <w:sz w:val="24"/>
          <w:szCs w:val="24"/>
        </w:rPr>
      </w:pPr>
    </w:p>
    <w:p w:rsidR="00E25BCD" w:rsidRPr="000D558D" w:rsidRDefault="00E25BCD" w:rsidP="00E25BCD">
      <w:pPr>
        <w:pStyle w:val="Textoindependiente"/>
        <w:spacing w:after="0" w:line="360" w:lineRule="auto"/>
        <w:jc w:val="both"/>
        <w:rPr>
          <w:rFonts w:ascii="Palatino Linotype" w:hAnsi="Palatino Linotype"/>
          <w:sz w:val="24"/>
          <w:szCs w:val="24"/>
        </w:rPr>
      </w:pPr>
      <w:r w:rsidRPr="000D558D">
        <w:rPr>
          <w:rFonts w:ascii="Palatino Linotype" w:hAnsi="Palatino Linotype"/>
          <w:sz w:val="24"/>
          <w:szCs w:val="24"/>
        </w:rPr>
        <w:t>Si bien es cierto un convenio o contrato suscrito entre el Municipio y una persona física o jurídico colectivo, lo suscribe el Presidente Municipal, de acuerdo a la Ley Orgánica Municipal del Estado de México, la cual menciona que dentro de sus atribuciones se encuentra la de contratar y concertar en representación del Ayuntamiento y previo acuerdo de éste.</w:t>
      </w:r>
    </w:p>
    <w:p w:rsidR="00E25BCD" w:rsidRPr="000D558D" w:rsidRDefault="00E25BCD" w:rsidP="00E25BCD">
      <w:pPr>
        <w:pStyle w:val="Textoindependiente"/>
        <w:spacing w:after="0" w:line="360" w:lineRule="auto"/>
        <w:jc w:val="both"/>
        <w:rPr>
          <w:rFonts w:ascii="Palatino Linotype" w:hAnsi="Palatino Linotype"/>
          <w:sz w:val="24"/>
          <w:szCs w:val="24"/>
        </w:rPr>
      </w:pPr>
    </w:p>
    <w:p w:rsidR="00E25BCD" w:rsidRPr="000D558D" w:rsidRDefault="00E25BCD" w:rsidP="00E25BCD">
      <w:pPr>
        <w:pStyle w:val="Textoindependiente"/>
        <w:spacing w:after="0" w:line="360" w:lineRule="auto"/>
        <w:jc w:val="both"/>
        <w:rPr>
          <w:rFonts w:ascii="Palatino Linotype" w:hAnsi="Palatino Linotype"/>
          <w:sz w:val="24"/>
          <w:szCs w:val="24"/>
        </w:rPr>
      </w:pPr>
      <w:r w:rsidRPr="000D558D">
        <w:rPr>
          <w:rFonts w:ascii="Palatino Linotype" w:hAnsi="Palatino Linotype"/>
          <w:sz w:val="24"/>
          <w:szCs w:val="24"/>
        </w:rPr>
        <w:t xml:space="preserve">Igualmente, relacionado con lo requerido del </w:t>
      </w:r>
      <w:r w:rsidRPr="000D558D">
        <w:rPr>
          <w:rFonts w:ascii="Palatino Linotype" w:hAnsi="Palatino Linotype"/>
          <w:b/>
          <w:sz w:val="24"/>
          <w:szCs w:val="24"/>
          <w:u w:val="thick"/>
        </w:rPr>
        <w:t>soporte documental de los pagos realizados al “Despacho Lara” y que incluyan las actividades a detalle realizadas y que logros han obtenido con su contratación</w:t>
      </w:r>
      <w:r w:rsidRPr="000D558D">
        <w:rPr>
          <w:rFonts w:ascii="Palatino Linotype" w:hAnsi="Palatino Linotype"/>
          <w:sz w:val="24"/>
          <w:szCs w:val="24"/>
        </w:rPr>
        <w:t xml:space="preserve">, en la solicitud de información </w:t>
      </w:r>
      <w:r w:rsidRPr="000D558D">
        <w:rPr>
          <w:rFonts w:ascii="Palatino Linotype" w:hAnsi="Palatino Linotype"/>
          <w:b/>
          <w:sz w:val="24"/>
          <w:szCs w:val="24"/>
        </w:rPr>
        <w:t>00003/CUAUTIT/IP/2021</w:t>
      </w:r>
      <w:r w:rsidRPr="000D558D">
        <w:rPr>
          <w:rFonts w:ascii="Palatino Linotype" w:hAnsi="Palatino Linotype"/>
          <w:sz w:val="24"/>
          <w:szCs w:val="24"/>
        </w:rPr>
        <w:t>.</w:t>
      </w:r>
    </w:p>
    <w:p w:rsidR="00E25BCD" w:rsidRPr="000D558D" w:rsidRDefault="00E25BCD" w:rsidP="00E25BCD">
      <w:pPr>
        <w:pStyle w:val="Textoindependiente"/>
        <w:spacing w:after="0" w:line="360" w:lineRule="auto"/>
        <w:jc w:val="both"/>
        <w:rPr>
          <w:rFonts w:ascii="Palatino Linotype" w:hAnsi="Palatino Linotype"/>
          <w:sz w:val="24"/>
          <w:szCs w:val="24"/>
        </w:rPr>
      </w:pPr>
    </w:p>
    <w:p w:rsidR="00E25BCD" w:rsidRPr="000D558D" w:rsidRDefault="00E25BCD" w:rsidP="00E25BCD">
      <w:pPr>
        <w:pStyle w:val="Textoindependiente"/>
        <w:spacing w:after="0" w:line="360" w:lineRule="auto"/>
        <w:jc w:val="both"/>
        <w:rPr>
          <w:rFonts w:ascii="Palatino Linotype" w:hAnsi="Palatino Linotype"/>
          <w:sz w:val="24"/>
          <w:szCs w:val="24"/>
        </w:rPr>
      </w:pPr>
      <w:r w:rsidRPr="000D558D">
        <w:rPr>
          <w:rFonts w:ascii="Palatino Linotype" w:hAnsi="Palatino Linotype"/>
          <w:sz w:val="24"/>
          <w:szCs w:val="24"/>
        </w:rPr>
        <w:t xml:space="preserve">Es importante señalar que dicha solicitud únicamente fue atendida por el </w:t>
      </w:r>
      <w:r w:rsidRPr="000D558D">
        <w:rPr>
          <w:rFonts w:ascii="Palatino Linotype" w:hAnsi="Palatino Linotype"/>
          <w:b/>
          <w:sz w:val="24"/>
          <w:szCs w:val="24"/>
        </w:rPr>
        <w:t>Servidor Público Habilitado de la Subdirección de Recursos Materiales</w:t>
      </w:r>
      <w:r w:rsidRPr="000D558D">
        <w:rPr>
          <w:rFonts w:ascii="Palatino Linotype" w:hAnsi="Palatino Linotype"/>
          <w:sz w:val="24"/>
          <w:szCs w:val="24"/>
        </w:rPr>
        <w:t>, y en su respuesta indicó que la Tesorería Municipal era el área competente para dar respuesta al requerimiento solicitado, por lo que las atribuciones de la Unidad Administrativa que nos ocupa, tiene las siguientes facultades, de conformidad con lo estipulado en el artículo 53, del Bando Municipal de Cuautitlán, Estado de México 2020:</w:t>
      </w:r>
    </w:p>
    <w:p w:rsidR="00E25BCD" w:rsidRPr="000D558D" w:rsidRDefault="00E25BCD" w:rsidP="00E25BCD">
      <w:pPr>
        <w:pStyle w:val="Textoindependiente"/>
        <w:spacing w:after="0" w:line="360" w:lineRule="auto"/>
        <w:jc w:val="both"/>
        <w:rPr>
          <w:rFonts w:ascii="Palatino Linotype" w:hAnsi="Palatino Linotype"/>
          <w:sz w:val="24"/>
          <w:szCs w:val="24"/>
        </w:rPr>
      </w:pPr>
    </w:p>
    <w:p w:rsidR="00E25BCD" w:rsidRPr="000D558D" w:rsidRDefault="00E25BCD" w:rsidP="00E25BCD">
      <w:pPr>
        <w:pStyle w:val="Textoindependiente"/>
        <w:spacing w:after="0" w:line="240" w:lineRule="auto"/>
        <w:ind w:left="567" w:right="567"/>
        <w:jc w:val="center"/>
        <w:rPr>
          <w:rFonts w:ascii="Palatino Linotype" w:hAnsi="Palatino Linotype"/>
          <w:b/>
          <w:i/>
          <w:szCs w:val="24"/>
        </w:rPr>
      </w:pPr>
      <w:r w:rsidRPr="000D558D">
        <w:rPr>
          <w:rFonts w:ascii="Palatino Linotype" w:hAnsi="Palatino Linotype"/>
          <w:b/>
          <w:i/>
          <w:szCs w:val="24"/>
        </w:rPr>
        <w:t>Capítulo II</w:t>
      </w:r>
    </w:p>
    <w:p w:rsidR="00E25BCD" w:rsidRPr="000D558D" w:rsidRDefault="00E25BCD" w:rsidP="00E25BCD">
      <w:pPr>
        <w:pStyle w:val="Textoindependiente"/>
        <w:spacing w:after="0" w:line="240" w:lineRule="auto"/>
        <w:ind w:left="567" w:right="567"/>
        <w:jc w:val="center"/>
        <w:rPr>
          <w:rFonts w:ascii="Palatino Linotype" w:hAnsi="Palatino Linotype"/>
          <w:b/>
          <w:i/>
          <w:szCs w:val="24"/>
        </w:rPr>
      </w:pPr>
      <w:r w:rsidRPr="000D558D">
        <w:rPr>
          <w:rFonts w:ascii="Palatino Linotype" w:hAnsi="Palatino Linotype"/>
          <w:b/>
          <w:i/>
          <w:szCs w:val="24"/>
        </w:rPr>
        <w:t>De la Tesorería Municipal</w:t>
      </w:r>
    </w:p>
    <w:p w:rsidR="00E25BCD" w:rsidRPr="000D558D" w:rsidRDefault="00E25BCD" w:rsidP="00E25BCD">
      <w:pPr>
        <w:pStyle w:val="Textoindependiente"/>
        <w:spacing w:after="0" w:line="240" w:lineRule="auto"/>
        <w:ind w:left="567" w:right="567"/>
        <w:jc w:val="center"/>
        <w:rPr>
          <w:rFonts w:ascii="Palatino Linotype" w:hAnsi="Palatino Linotype"/>
          <w:b/>
          <w:i/>
          <w:szCs w:val="24"/>
        </w:rPr>
      </w:pPr>
    </w:p>
    <w:p w:rsidR="00E25BCD" w:rsidRPr="000D558D" w:rsidRDefault="00E25BCD" w:rsidP="00E25BCD">
      <w:pPr>
        <w:pStyle w:val="Textoindependiente"/>
        <w:spacing w:after="0" w:line="240" w:lineRule="auto"/>
        <w:ind w:left="567" w:right="567"/>
        <w:jc w:val="both"/>
        <w:rPr>
          <w:rFonts w:ascii="Palatino Linotype" w:hAnsi="Palatino Linotype"/>
          <w:i/>
          <w:szCs w:val="24"/>
        </w:rPr>
      </w:pPr>
      <w:r w:rsidRPr="000D558D">
        <w:rPr>
          <w:rFonts w:ascii="Palatino Linotype" w:hAnsi="Palatino Linotype"/>
          <w:b/>
          <w:i/>
          <w:szCs w:val="24"/>
        </w:rPr>
        <w:t xml:space="preserve">Artículo 53. </w:t>
      </w:r>
      <w:r w:rsidRPr="000D558D">
        <w:rPr>
          <w:rFonts w:ascii="Palatino Linotype" w:hAnsi="Palatino Linotype"/>
          <w:i/>
          <w:szCs w:val="24"/>
        </w:rPr>
        <w:t xml:space="preserve">La Tesorería Municipal tendrá a su cargo recaudar los ingresos del Municipio, conducir la disciplina presupuestal de la administración pública municipal y </w:t>
      </w:r>
      <w:r w:rsidRPr="000D558D">
        <w:rPr>
          <w:rFonts w:ascii="Palatino Linotype" w:hAnsi="Palatino Linotype"/>
          <w:i/>
          <w:szCs w:val="24"/>
        </w:rPr>
        <w:lastRenderedPageBreak/>
        <w:t>coordinar las diferentes fuentes de captación de ingresos, en coordinación con las entidades federales, estatales y municipales, buscando lograr la realización de los objetivos contemplados en el Plan de Desarrollo Municipal a través de una adecuada implementación de los procesos de planeación y presupuestación del gasto público del</w:t>
      </w:r>
    </w:p>
    <w:p w:rsidR="00E25BCD" w:rsidRPr="000D558D" w:rsidRDefault="00E25BCD" w:rsidP="00E25BCD">
      <w:pPr>
        <w:pStyle w:val="Textoindependiente"/>
        <w:spacing w:after="0" w:line="240" w:lineRule="auto"/>
        <w:ind w:left="567" w:right="567"/>
        <w:jc w:val="both"/>
        <w:rPr>
          <w:rFonts w:ascii="Palatino Linotype" w:hAnsi="Palatino Linotype"/>
          <w:i/>
          <w:szCs w:val="24"/>
        </w:rPr>
      </w:pPr>
      <w:r w:rsidRPr="000D558D">
        <w:rPr>
          <w:rFonts w:ascii="Palatino Linotype" w:hAnsi="Palatino Linotype"/>
          <w:i/>
          <w:szCs w:val="24"/>
        </w:rPr>
        <w:t>Municipio, para la correcta administración de la hacienda municipal.</w:t>
      </w:r>
    </w:p>
    <w:p w:rsidR="00E25BCD" w:rsidRPr="000D558D" w:rsidRDefault="00E25BCD" w:rsidP="00E25BCD">
      <w:pPr>
        <w:spacing w:after="0" w:line="360" w:lineRule="auto"/>
        <w:jc w:val="both"/>
        <w:rPr>
          <w:rFonts w:ascii="Palatino Linotype" w:hAnsi="Palatino Linotype"/>
          <w:sz w:val="24"/>
          <w:szCs w:val="24"/>
        </w:rPr>
      </w:pPr>
    </w:p>
    <w:p w:rsidR="00E25BCD" w:rsidRPr="000D558D" w:rsidRDefault="00E25BCD" w:rsidP="00E25BCD">
      <w:pPr>
        <w:pStyle w:val="Textoindependiente"/>
        <w:spacing w:after="0" w:line="360" w:lineRule="auto"/>
        <w:jc w:val="both"/>
        <w:rPr>
          <w:rFonts w:ascii="Palatino Linotype" w:hAnsi="Palatino Linotype"/>
          <w:sz w:val="24"/>
          <w:szCs w:val="24"/>
        </w:rPr>
      </w:pPr>
      <w:r w:rsidRPr="000D558D">
        <w:rPr>
          <w:rFonts w:ascii="Palatino Linotype" w:hAnsi="Palatino Linotype"/>
          <w:sz w:val="24"/>
          <w:szCs w:val="24"/>
        </w:rPr>
        <w:t xml:space="preserve">Es por esto que, la Tesorería Municipal, tiene la facultad para realizar una búsqueda dentro de sus archivos, a fin de hacer entrega de los pagos realizados a la persona moral inmersa en la solicitud de información </w:t>
      </w:r>
      <w:r w:rsidRPr="000D558D">
        <w:rPr>
          <w:rFonts w:ascii="Palatino Linotype" w:hAnsi="Palatino Linotype"/>
          <w:b/>
          <w:sz w:val="24"/>
          <w:szCs w:val="24"/>
        </w:rPr>
        <w:t>00003/CUAUTIT/IP/2021</w:t>
      </w:r>
      <w:r w:rsidRPr="000D558D">
        <w:rPr>
          <w:rFonts w:ascii="Palatino Linotype" w:hAnsi="Palatino Linotype"/>
          <w:sz w:val="24"/>
          <w:szCs w:val="24"/>
        </w:rPr>
        <w:t>.</w:t>
      </w:r>
    </w:p>
    <w:p w:rsidR="00E25BCD" w:rsidRPr="000D558D" w:rsidRDefault="00E25BCD" w:rsidP="00E25BCD">
      <w:pPr>
        <w:spacing w:after="0" w:line="360" w:lineRule="auto"/>
        <w:jc w:val="both"/>
        <w:rPr>
          <w:rFonts w:ascii="Palatino Linotype" w:hAnsi="Palatino Linotype"/>
          <w:sz w:val="24"/>
          <w:szCs w:val="24"/>
        </w:rPr>
      </w:pPr>
    </w:p>
    <w:p w:rsidR="00E25BCD" w:rsidRPr="000D558D" w:rsidRDefault="00E25BCD" w:rsidP="00E25BCD">
      <w:pPr>
        <w:spacing w:after="0" w:line="360" w:lineRule="auto"/>
        <w:jc w:val="both"/>
        <w:rPr>
          <w:rFonts w:ascii="Palatino Linotype" w:hAnsi="Palatino Linotype" w:cs="Arial"/>
          <w:sz w:val="24"/>
          <w:szCs w:val="24"/>
        </w:rPr>
      </w:pPr>
      <w:r w:rsidRPr="000D558D">
        <w:rPr>
          <w:rFonts w:ascii="Palatino Linotype" w:hAnsi="Palatino Linotype"/>
          <w:sz w:val="24"/>
          <w:szCs w:val="24"/>
        </w:rPr>
        <w:t xml:space="preserve">Continuando con el estudio del presente caso, ahondaremos en el punto relativo al siguiente punto que es, </w:t>
      </w:r>
      <w:r w:rsidRPr="000D558D">
        <w:rPr>
          <w:rFonts w:ascii="Palatino Linotype" w:hAnsi="Palatino Linotype"/>
          <w:b/>
          <w:sz w:val="24"/>
          <w:szCs w:val="24"/>
          <w:u w:val="thick"/>
        </w:rPr>
        <w:t>“…y que incluyan las actividades a detalle realizadas y que logros han obtenido con su contratación.”</w:t>
      </w:r>
      <w:r w:rsidRPr="000D558D">
        <w:rPr>
          <w:rFonts w:ascii="Palatino Linotype" w:hAnsi="Palatino Linotype"/>
          <w:sz w:val="24"/>
          <w:szCs w:val="24"/>
        </w:rPr>
        <w:t xml:space="preserve">, así como lo relativo a  </w:t>
      </w:r>
      <w:r w:rsidRPr="000D558D">
        <w:rPr>
          <w:rFonts w:ascii="Palatino Linotype" w:hAnsi="Palatino Linotype" w:cs="Arial"/>
          <w:b/>
          <w:sz w:val="24"/>
          <w:szCs w:val="24"/>
          <w:u w:val="thick"/>
        </w:rPr>
        <w:t>que la Directora de Administración explique la justificación de la contratación y por qué debe resolver el mal trabajo realizado por la tesorería municipal; dependencia que ha dado mucho que desear por el mal trabajo realizado</w:t>
      </w:r>
      <w:r w:rsidRPr="000D558D">
        <w:rPr>
          <w:rFonts w:ascii="Palatino Linotype" w:hAnsi="Palatino Linotype" w:cs="Arial"/>
          <w:sz w:val="24"/>
          <w:szCs w:val="24"/>
        </w:rPr>
        <w:t>.</w:t>
      </w:r>
    </w:p>
    <w:p w:rsidR="00E25BCD" w:rsidRPr="000D558D" w:rsidRDefault="00E25BCD" w:rsidP="00E25BCD">
      <w:pPr>
        <w:spacing w:after="0" w:line="360" w:lineRule="auto"/>
        <w:jc w:val="both"/>
        <w:rPr>
          <w:rFonts w:ascii="Palatino Linotype" w:hAnsi="Palatino Linotype" w:cs="Arial"/>
          <w:sz w:val="24"/>
          <w:szCs w:val="24"/>
        </w:rPr>
      </w:pPr>
    </w:p>
    <w:p w:rsidR="00E25BCD" w:rsidRPr="000D558D" w:rsidRDefault="00E25BCD" w:rsidP="00E25BCD">
      <w:pPr>
        <w:pStyle w:val="Prrafodelista"/>
        <w:spacing w:line="360" w:lineRule="auto"/>
        <w:ind w:left="0"/>
        <w:contextualSpacing/>
        <w:jc w:val="both"/>
        <w:rPr>
          <w:lang w:val="es-MX" w:eastAsia="en-US"/>
        </w:rPr>
      </w:pPr>
      <w:r w:rsidRPr="000D558D">
        <w:rPr>
          <w:rFonts w:ascii="Palatino Linotype" w:hAnsi="Palatino Linotype" w:cs="Arial"/>
        </w:rPr>
        <w:t>Como citamos anteriormente en las páginas 14 y 15, de la presente resolución, en este punto s</w:t>
      </w:r>
      <w:r w:rsidRPr="000D558D">
        <w:rPr>
          <w:rFonts w:ascii="Palatino Linotype" w:hAnsi="Palatino Linotype"/>
        </w:rPr>
        <w:t xml:space="preserve">e observa que fue formulado parcialmente a través de planteamientos en donde </w:t>
      </w:r>
      <w:r w:rsidRPr="000D558D">
        <w:rPr>
          <w:rFonts w:ascii="Palatino Linotype" w:hAnsi="Palatino Linotype" w:cs="Arial"/>
          <w:bCs/>
          <w:iCs/>
        </w:rPr>
        <w:t>no se identifica un documento en específico</w:t>
      </w:r>
      <w:r w:rsidRPr="000D558D">
        <w:rPr>
          <w:rFonts w:ascii="Palatino Linotype" w:hAnsi="Palatino Linotype"/>
        </w:rPr>
        <w:t>, en segundo lugar se aprecia que en la misma se vierten manifestaciones subjetivas que no pueden ser atendidas mediante el Derecho de Acceso a la Información.</w:t>
      </w:r>
    </w:p>
    <w:p w:rsidR="00E25BCD" w:rsidRPr="000D558D" w:rsidRDefault="00E25BCD" w:rsidP="00E25BCD">
      <w:pPr>
        <w:pStyle w:val="Prrafodelista"/>
        <w:autoSpaceDE w:val="0"/>
        <w:autoSpaceDN w:val="0"/>
        <w:adjustRightInd w:val="0"/>
        <w:spacing w:line="360" w:lineRule="auto"/>
        <w:ind w:left="0"/>
        <w:contextualSpacing/>
        <w:jc w:val="both"/>
        <w:rPr>
          <w:rFonts w:ascii="Palatino Linotype" w:hAnsi="Palatino Linotype"/>
        </w:rPr>
      </w:pPr>
    </w:p>
    <w:p w:rsidR="00E25BCD" w:rsidRPr="000D558D" w:rsidRDefault="00E25BCD" w:rsidP="00E25BCD">
      <w:pPr>
        <w:spacing w:after="0" w:line="360" w:lineRule="auto"/>
        <w:ind w:right="141"/>
        <w:jc w:val="both"/>
        <w:rPr>
          <w:rFonts w:ascii="Palatino Linotype" w:hAnsi="Palatino Linotype" w:cs="Arial"/>
          <w:bCs/>
          <w:sz w:val="24"/>
          <w:szCs w:val="24"/>
        </w:rPr>
      </w:pPr>
      <w:r w:rsidRPr="000D558D">
        <w:rPr>
          <w:rFonts w:ascii="Palatino Linotype" w:hAnsi="Palatino Linotype" w:cs="Arial"/>
          <w:sz w:val="24"/>
          <w:szCs w:val="24"/>
        </w:rPr>
        <w:t xml:space="preserve">Así que, hay que hacer un énfasis en que </w:t>
      </w:r>
      <w:r w:rsidRPr="000D558D">
        <w:rPr>
          <w:rFonts w:ascii="Palatino Linotype" w:eastAsia="MS Mincho" w:hAnsi="Palatino Linotype" w:cs="Times New Roman"/>
          <w:sz w:val="24"/>
          <w:szCs w:val="24"/>
        </w:rPr>
        <w:t>son solicitudes que deben señalarse</w:t>
      </w:r>
      <w:r w:rsidRPr="000D558D">
        <w:rPr>
          <w:rFonts w:ascii="Palatino Linotype" w:hAnsi="Palatino Linotype"/>
          <w:i/>
          <w:sz w:val="24"/>
          <w:szCs w:val="24"/>
        </w:rPr>
        <w:t xml:space="preserve">, </w:t>
      </w:r>
      <w:r w:rsidRPr="000D558D">
        <w:rPr>
          <w:rFonts w:ascii="Palatino Linotype" w:hAnsi="Palatino Linotype" w:cs="Arial"/>
          <w:sz w:val="24"/>
          <w:szCs w:val="24"/>
        </w:rPr>
        <w:t xml:space="preserve">no constituyen un derecho de acceso a la información pública y por lo tanto </w:t>
      </w:r>
      <w:r w:rsidRPr="000D558D">
        <w:rPr>
          <w:rFonts w:ascii="Palatino Linotype" w:hAnsi="Palatino Linotype" w:cs="Arial"/>
          <w:b/>
          <w:sz w:val="24"/>
          <w:szCs w:val="24"/>
          <w:u w:val="single"/>
        </w:rPr>
        <w:t>no es atendible mediante una solicitud de Acceso a la Información</w:t>
      </w:r>
      <w:r w:rsidRPr="000D558D">
        <w:rPr>
          <w:rFonts w:ascii="Palatino Linotype" w:hAnsi="Palatino Linotype" w:cs="Arial"/>
          <w:sz w:val="24"/>
          <w:szCs w:val="24"/>
        </w:rPr>
        <w:t xml:space="preserve">, porque se tratan de </w:t>
      </w:r>
      <w:r w:rsidRPr="000D558D">
        <w:rPr>
          <w:rFonts w:ascii="Palatino Linotype" w:hAnsi="Palatino Linotype" w:cs="Arial"/>
          <w:sz w:val="24"/>
          <w:szCs w:val="24"/>
        </w:rPr>
        <w:lastRenderedPageBreak/>
        <w:t xml:space="preserve">manifestaciones subjetivas vertidas por el particular, </w:t>
      </w:r>
      <w:r w:rsidRPr="000D558D">
        <w:rPr>
          <w:rFonts w:ascii="Palatino Linotype" w:hAnsi="Palatino Linotype" w:cs="Arial"/>
          <w:b/>
          <w:sz w:val="24"/>
          <w:szCs w:val="24"/>
        </w:rPr>
        <w:t>interrogantes</w:t>
      </w:r>
      <w:r w:rsidRPr="000D558D">
        <w:rPr>
          <w:rFonts w:ascii="Palatino Linotype" w:hAnsi="Palatino Linotype" w:cs="Arial"/>
          <w:sz w:val="24"/>
          <w:szCs w:val="24"/>
        </w:rPr>
        <w:t xml:space="preserve"> y declaraciones que no se colman con la entrega de documentos, situación que conlleva a afirmar que se está en presencia del ejercicio del </w:t>
      </w:r>
      <w:r w:rsidRPr="000D558D">
        <w:rPr>
          <w:rFonts w:ascii="Palatino Linotype" w:hAnsi="Palatino Linotype" w:cs="Arial"/>
          <w:b/>
          <w:sz w:val="24"/>
          <w:szCs w:val="24"/>
          <w:u w:val="single"/>
        </w:rPr>
        <w:t>DERECHO DE PETICIÓN</w:t>
      </w:r>
      <w:r w:rsidRPr="000D558D">
        <w:rPr>
          <w:rFonts w:ascii="Palatino Linotype" w:hAnsi="Palatino Linotype" w:cs="Arial"/>
          <w:sz w:val="24"/>
          <w:szCs w:val="24"/>
        </w:rPr>
        <w:t>.</w:t>
      </w:r>
    </w:p>
    <w:p w:rsidR="00E25BCD" w:rsidRPr="000D558D" w:rsidRDefault="00E25BCD" w:rsidP="00E25BCD">
      <w:pPr>
        <w:pStyle w:val="Prrafodelista"/>
        <w:spacing w:line="360" w:lineRule="auto"/>
        <w:ind w:left="0"/>
        <w:jc w:val="both"/>
        <w:rPr>
          <w:rFonts w:ascii="Palatino Linotype" w:hAnsi="Palatino Linotype"/>
          <w:sz w:val="22"/>
          <w:szCs w:val="22"/>
        </w:rPr>
      </w:pPr>
    </w:p>
    <w:p w:rsidR="00E25BCD" w:rsidRPr="000D558D" w:rsidRDefault="00E25BCD" w:rsidP="00E25BCD">
      <w:pPr>
        <w:spacing w:after="0" w:line="360" w:lineRule="auto"/>
        <w:ind w:right="141"/>
        <w:jc w:val="both"/>
        <w:rPr>
          <w:rFonts w:ascii="Palatino Linotype" w:hAnsi="Palatino Linotype" w:cs="Arial"/>
          <w:sz w:val="24"/>
        </w:rPr>
      </w:pPr>
      <w:r w:rsidRPr="000D558D">
        <w:rPr>
          <w:rFonts w:ascii="Palatino Linotype" w:hAnsi="Palatino Linotype" w:cs="Arial"/>
          <w:sz w:val="24"/>
        </w:rPr>
        <w:t xml:space="preserve">Por lo que la entrega de una razón o un razonamiento por parte del </w:t>
      </w:r>
      <w:r w:rsidRPr="000D558D">
        <w:rPr>
          <w:rFonts w:ascii="Palatino Linotype" w:hAnsi="Palatino Linotype" w:cs="Arial"/>
          <w:b/>
          <w:sz w:val="24"/>
        </w:rPr>
        <w:t>Sujeto Obligado</w:t>
      </w:r>
      <w:r w:rsidRPr="000D558D">
        <w:rPr>
          <w:rFonts w:ascii="Palatino Linotype" w:hAnsi="Palatino Linotype" w:cs="Arial"/>
          <w:sz w:val="24"/>
        </w:rPr>
        <w:t xml:space="preserve"> no es algo que la ley establezca como atribución, derecho, o facultad; pues ello implicaría un juicio de valor referente a </w:t>
      </w:r>
      <w:r w:rsidRPr="000D558D">
        <w:rPr>
          <w:rFonts w:ascii="Palatino Linotype" w:hAnsi="Palatino Linotype" w:cs="Arial"/>
          <w:b/>
          <w:sz w:val="24"/>
          <w:u w:val="single"/>
        </w:rPr>
        <w:t>un cuestionamiento</w:t>
      </w:r>
      <w:r w:rsidRPr="000D558D">
        <w:rPr>
          <w:rFonts w:ascii="Palatino Linotype" w:hAnsi="Palatino Linotype" w:cs="Arial"/>
          <w:sz w:val="24"/>
        </w:rPr>
        <w:t xml:space="preserve"> realizado, los cuales, </w:t>
      </w:r>
      <w:r w:rsidRPr="000D558D">
        <w:rPr>
          <w:rFonts w:ascii="Palatino Linotype" w:hAnsi="Palatino Linotype" w:cs="Arial"/>
          <w:b/>
          <w:sz w:val="24"/>
          <w:u w:val="single"/>
        </w:rPr>
        <w:t>al constituir interrogantes</w:t>
      </w:r>
      <w:r w:rsidRPr="000D558D">
        <w:rPr>
          <w:rFonts w:ascii="Palatino Linotype" w:hAnsi="Palatino Linotype" w:cs="Arial"/>
          <w:sz w:val="24"/>
        </w:rPr>
        <w:t xml:space="preserve">, </w:t>
      </w:r>
      <w:r w:rsidRPr="000D558D">
        <w:rPr>
          <w:rFonts w:ascii="Palatino Linotype" w:hAnsi="Palatino Linotype" w:cs="Arial"/>
          <w:b/>
          <w:sz w:val="24"/>
          <w:u w:val="single"/>
        </w:rPr>
        <w:t>inquietudes</w:t>
      </w:r>
      <w:r w:rsidRPr="000D558D">
        <w:rPr>
          <w:rFonts w:ascii="Palatino Linotype" w:hAnsi="Palatino Linotype" w:cs="Arial"/>
          <w:sz w:val="24"/>
        </w:rPr>
        <w:t xml:space="preserve"> y manifestaciones se satisfacen vía derecho de petición.</w:t>
      </w:r>
    </w:p>
    <w:p w:rsidR="00E25BCD" w:rsidRPr="000D558D" w:rsidRDefault="00E25BCD" w:rsidP="00E25BCD">
      <w:pPr>
        <w:spacing w:after="0" w:line="360" w:lineRule="auto"/>
        <w:jc w:val="both"/>
        <w:rPr>
          <w:rFonts w:ascii="Palatino Linotype" w:hAnsi="Palatino Linotype" w:cs="Arial"/>
        </w:rPr>
      </w:pPr>
    </w:p>
    <w:p w:rsidR="00E25BCD" w:rsidRPr="000D558D" w:rsidRDefault="00E25BCD" w:rsidP="00E25BCD">
      <w:pPr>
        <w:spacing w:after="0" w:line="360" w:lineRule="auto"/>
        <w:jc w:val="both"/>
        <w:rPr>
          <w:rFonts w:ascii="Palatino Linotype" w:hAnsi="Palatino Linotype" w:cs="Arial"/>
          <w:sz w:val="24"/>
        </w:rPr>
      </w:pPr>
      <w:r w:rsidRPr="000D558D">
        <w:rPr>
          <w:rFonts w:ascii="Palatino Linotype" w:hAnsi="Palatino Linotype" w:cs="Arial"/>
          <w:sz w:val="24"/>
        </w:rPr>
        <w:t>Asimismo, se puede advertir que el ejercicio del derecho de acceso a la información pública se centra en la potestad de los particulares para conocer el contenido de los documentos que obren en los archivos de los Sujetos Obligados, ya sea porque los generen, administren o simplemente los posean en el ejercicio de sus atribuciones.</w:t>
      </w:r>
    </w:p>
    <w:p w:rsidR="00E25BCD" w:rsidRPr="000D558D" w:rsidRDefault="00E25BCD" w:rsidP="00E25BCD">
      <w:pPr>
        <w:spacing w:after="0" w:line="360" w:lineRule="auto"/>
        <w:jc w:val="both"/>
        <w:rPr>
          <w:rFonts w:ascii="Palatino Linotype" w:hAnsi="Palatino Linotype" w:cs="Arial"/>
          <w:sz w:val="24"/>
        </w:rPr>
      </w:pPr>
    </w:p>
    <w:p w:rsidR="00E25BCD" w:rsidRPr="000D558D" w:rsidRDefault="00E25BCD" w:rsidP="00E25BCD">
      <w:pPr>
        <w:spacing w:after="0" w:line="360" w:lineRule="auto"/>
        <w:jc w:val="both"/>
        <w:rPr>
          <w:rFonts w:ascii="Palatino Linotype" w:hAnsi="Palatino Linotype" w:cs="Arial"/>
          <w:sz w:val="24"/>
        </w:rPr>
      </w:pPr>
      <w:r w:rsidRPr="000D558D">
        <w:rPr>
          <w:rFonts w:ascii="Palatino Linotype" w:hAnsi="Palatino Linotype" w:cs="Arial"/>
          <w:sz w:val="24"/>
        </w:rPr>
        <w:t xml:space="preserve">Para ello, la Ley de la materia otorga la calidad de documento a los expedientes, reportes, estudios, actas, resoluciones, oficios, correspondencia, acuerdos, directivas, directrices, circulares, contratos, convenios, instructivos, notas, memorandos, estadísticas o bien, </w:t>
      </w:r>
      <w:r w:rsidRPr="000D558D">
        <w:rPr>
          <w:rFonts w:ascii="Palatino Linotype" w:hAnsi="Palatino Linotype" w:cs="Arial"/>
          <w:b/>
          <w:sz w:val="24"/>
        </w:rPr>
        <w:t>cualquier otro registro que documente el ejercicio de las facultades, funciones y competencias de los Sujetos Obligados</w:t>
      </w:r>
      <w:r w:rsidRPr="000D558D">
        <w:rPr>
          <w:rFonts w:ascii="Palatino Linotype" w:hAnsi="Palatino Linotype" w:cs="Arial"/>
          <w:sz w:val="24"/>
        </w:rPr>
        <w:t>, sus servidores públicos e integrantes, sin importar su fuente o fecha de elaboración. Los documentos podrán estar en cualquier medio, sea escrito, impreso, sonoro, visual, electrónico, informático u holográfico.</w:t>
      </w:r>
    </w:p>
    <w:p w:rsidR="00E25BCD" w:rsidRPr="000D558D" w:rsidRDefault="00E25BCD" w:rsidP="00E25BCD">
      <w:pPr>
        <w:spacing w:after="0" w:line="360" w:lineRule="auto"/>
        <w:jc w:val="both"/>
        <w:rPr>
          <w:rFonts w:ascii="Palatino Linotype" w:hAnsi="Palatino Linotype" w:cs="Arial"/>
          <w:sz w:val="24"/>
        </w:rPr>
      </w:pPr>
    </w:p>
    <w:p w:rsidR="00E25BCD" w:rsidRPr="000D558D" w:rsidRDefault="00E25BCD" w:rsidP="00E25BCD">
      <w:pPr>
        <w:spacing w:after="0" w:line="360" w:lineRule="auto"/>
        <w:jc w:val="both"/>
        <w:rPr>
          <w:rFonts w:ascii="Palatino Linotype" w:hAnsi="Palatino Linotype" w:cs="Arial"/>
          <w:b/>
          <w:sz w:val="24"/>
          <w:u w:val="single"/>
        </w:rPr>
      </w:pPr>
      <w:r w:rsidRPr="000D558D">
        <w:rPr>
          <w:rFonts w:ascii="Palatino Linotype" w:hAnsi="Palatino Linotype" w:cs="Arial"/>
          <w:sz w:val="24"/>
        </w:rPr>
        <w:lastRenderedPageBreak/>
        <w:t xml:space="preserve">De lo anterior, se puede concluir que la distinción entre el derecho de petición y el derecho de acceso a la información pública estriba principalmente en que en el primero de ellos, </w:t>
      </w:r>
      <w:r w:rsidRPr="000D558D">
        <w:rPr>
          <w:rFonts w:ascii="Palatino Linotype" w:hAnsi="Palatino Linotype" w:cs="Arial"/>
          <w:color w:val="000000"/>
          <w:sz w:val="24"/>
          <w:lang w:eastAsia="es-MX"/>
        </w:rPr>
        <w:t xml:space="preserve">la pretensión del peticionario consiste generalmente en obligar a la autoridad responsable a que actúe en el sentido de contestar lo solicitado, mientras que en el </w:t>
      </w:r>
      <w:r w:rsidRPr="000D558D">
        <w:rPr>
          <w:rFonts w:ascii="Palatino Linotype" w:hAnsi="Palatino Linotype" w:cs="Arial"/>
          <w:bCs/>
          <w:sz w:val="24"/>
          <w:lang w:eastAsia="es-CO"/>
        </w:rPr>
        <w:t xml:space="preserve">segundo supuesto </w:t>
      </w:r>
      <w:r w:rsidRPr="000D558D">
        <w:rPr>
          <w:rFonts w:ascii="Palatino Linotype" w:hAnsi="Palatino Linotype" w:cs="Arial"/>
          <w:b/>
          <w:bCs/>
          <w:sz w:val="24"/>
          <w:u w:val="single"/>
          <w:lang w:eastAsia="es-CO"/>
        </w:rPr>
        <w:t>la solicitud de acceso a la información pública se encamina primordialmente a</w:t>
      </w:r>
      <w:r w:rsidRPr="000D558D">
        <w:rPr>
          <w:rFonts w:ascii="Palatino Linotype" w:hAnsi="Palatino Linotype" w:cs="Arial"/>
          <w:b/>
          <w:sz w:val="24"/>
          <w:u w:val="single"/>
        </w:rPr>
        <w:t xml:space="preserve"> permitir el </w:t>
      </w:r>
      <w:r w:rsidRPr="000D558D">
        <w:rPr>
          <w:rFonts w:ascii="Palatino Linotype" w:hAnsi="Palatino Linotype" w:cs="Arial"/>
          <w:b/>
          <w:sz w:val="24"/>
          <w:u w:val="single"/>
          <w:lang w:eastAsia="es-CO"/>
        </w:rPr>
        <w:t xml:space="preserve">acceso a datos, registros y todo tipo de información pública que conste en documentos, sea generada o se encuentre en posesión de </w:t>
      </w:r>
      <w:r w:rsidRPr="000D558D">
        <w:rPr>
          <w:rFonts w:ascii="Palatino Linotype" w:hAnsi="Palatino Linotype" w:cs="Arial"/>
          <w:b/>
          <w:sz w:val="24"/>
          <w:u w:val="single"/>
        </w:rPr>
        <w:t xml:space="preserve">la autoridad. </w:t>
      </w:r>
    </w:p>
    <w:p w:rsidR="00E25BCD" w:rsidRPr="000D558D" w:rsidRDefault="00E25BCD" w:rsidP="00E25BCD">
      <w:pPr>
        <w:spacing w:after="0" w:line="360" w:lineRule="auto"/>
        <w:jc w:val="both"/>
        <w:rPr>
          <w:rFonts w:ascii="Palatino Linotype" w:hAnsi="Palatino Linotype" w:cs="Arial"/>
          <w:b/>
          <w:sz w:val="24"/>
          <w:u w:val="single"/>
        </w:rPr>
      </w:pPr>
    </w:p>
    <w:p w:rsidR="00E25BCD" w:rsidRPr="000D558D" w:rsidRDefault="00E25BCD" w:rsidP="00E25BCD">
      <w:pPr>
        <w:spacing w:after="0" w:line="360" w:lineRule="auto"/>
        <w:jc w:val="both"/>
        <w:rPr>
          <w:rFonts w:ascii="Palatino Linotype" w:hAnsi="Palatino Linotype" w:cs="Arial"/>
          <w:color w:val="000000"/>
          <w:sz w:val="24"/>
        </w:rPr>
      </w:pPr>
      <w:r w:rsidRPr="000D558D">
        <w:rPr>
          <w:rFonts w:ascii="Palatino Linotype" w:hAnsi="Palatino Linotype" w:cs="Arial"/>
          <w:color w:val="000000"/>
          <w:sz w:val="24"/>
        </w:rPr>
        <w:t>En síntesis, el derecho de acceso a la información pública se satisface en aquellos casos en que se entregue el soporte documental en que conste la información pública, toda vez que, los Sujetos Obligados</w:t>
      </w:r>
      <w:r w:rsidRPr="000D558D">
        <w:rPr>
          <w:rFonts w:ascii="Palatino Linotype" w:hAnsi="Palatino Linotype" w:cs="Arial"/>
          <w:b/>
          <w:color w:val="000000"/>
          <w:sz w:val="24"/>
        </w:rPr>
        <w:t xml:space="preserve"> </w:t>
      </w:r>
      <w:r w:rsidRPr="000D558D">
        <w:rPr>
          <w:rFonts w:ascii="Palatino Linotype" w:hAnsi="Palatino Linotype" w:cs="Arial"/>
          <w:color w:val="000000"/>
          <w:sz w:val="24"/>
        </w:rPr>
        <w:t xml:space="preserve">no tienen el deber de generar, poseer o administrar la información pública con el grado de detalle solicitado; esto es, que no tienen el deber de generar un documento </w:t>
      </w:r>
      <w:r w:rsidRPr="000D558D">
        <w:rPr>
          <w:rFonts w:ascii="Palatino Linotype" w:hAnsi="Palatino Linotype" w:cs="Arial"/>
          <w:i/>
          <w:color w:val="000000"/>
          <w:sz w:val="24"/>
        </w:rPr>
        <w:t>ad hoc</w:t>
      </w:r>
      <w:r w:rsidRPr="000D558D">
        <w:rPr>
          <w:rFonts w:ascii="Palatino Linotype" w:hAnsi="Palatino Linotype" w:cs="Arial"/>
          <w:color w:val="000000"/>
          <w:sz w:val="24"/>
        </w:rPr>
        <w:t xml:space="preserve">, para satisfacer el derecho de acceso a la información pública; </w:t>
      </w:r>
      <w:r w:rsidRPr="000D558D">
        <w:rPr>
          <w:rFonts w:ascii="Palatino Linotype" w:hAnsi="Palatino Linotype" w:cs="Arial"/>
          <w:b/>
          <w:color w:val="000000"/>
          <w:sz w:val="24"/>
          <w:u w:val="thick"/>
        </w:rPr>
        <w:t>por lo que no es atendible dicho punto por parte del Sujeto Obligado</w:t>
      </w:r>
      <w:r w:rsidRPr="000D558D">
        <w:rPr>
          <w:rFonts w:ascii="Palatino Linotype" w:hAnsi="Palatino Linotype" w:cs="Arial"/>
          <w:color w:val="000000"/>
          <w:sz w:val="24"/>
        </w:rPr>
        <w:t>.</w:t>
      </w:r>
    </w:p>
    <w:p w:rsidR="00E25BCD" w:rsidRPr="000D558D" w:rsidRDefault="00E25BCD" w:rsidP="00E25BCD">
      <w:pPr>
        <w:spacing w:after="0" w:line="360" w:lineRule="auto"/>
        <w:jc w:val="both"/>
        <w:rPr>
          <w:rFonts w:ascii="Palatino Linotype" w:hAnsi="Palatino Linotype" w:cs="Arial"/>
          <w:color w:val="000000"/>
          <w:sz w:val="24"/>
        </w:rPr>
      </w:pPr>
    </w:p>
    <w:p w:rsidR="00E25BCD" w:rsidRPr="000D558D" w:rsidRDefault="00E25BCD" w:rsidP="00E25BCD">
      <w:pPr>
        <w:spacing w:after="0" w:line="360" w:lineRule="auto"/>
        <w:jc w:val="both"/>
        <w:rPr>
          <w:rFonts w:ascii="Palatino Linotype" w:hAnsi="Palatino Linotype" w:cs="Arial"/>
          <w:sz w:val="24"/>
          <w:szCs w:val="24"/>
        </w:rPr>
      </w:pPr>
      <w:r w:rsidRPr="000D558D">
        <w:rPr>
          <w:rFonts w:ascii="Palatino Linotype" w:hAnsi="Palatino Linotype" w:cs="Arial"/>
          <w:color w:val="000000"/>
          <w:sz w:val="24"/>
        </w:rPr>
        <w:t xml:space="preserve">No obstante, lo relacionado con los </w:t>
      </w:r>
      <w:r w:rsidRPr="000D558D">
        <w:rPr>
          <w:rFonts w:ascii="Palatino Linotype" w:hAnsi="Palatino Linotype" w:cs="Arial"/>
          <w:b/>
          <w:sz w:val="24"/>
          <w:szCs w:val="24"/>
          <w:u w:val="thick"/>
        </w:rPr>
        <w:t xml:space="preserve">expedientes de los trabajadores de la </w:t>
      </w:r>
      <w:proofErr w:type="spellStart"/>
      <w:r w:rsidRPr="000D558D">
        <w:rPr>
          <w:rFonts w:ascii="Palatino Linotype" w:hAnsi="Palatino Linotype" w:cs="Arial"/>
          <w:b/>
          <w:sz w:val="24"/>
          <w:szCs w:val="24"/>
          <w:u w:val="thick"/>
        </w:rPr>
        <w:t>Subtesorería</w:t>
      </w:r>
      <w:proofErr w:type="spellEnd"/>
      <w:r w:rsidRPr="000D558D">
        <w:rPr>
          <w:rFonts w:ascii="Palatino Linotype" w:hAnsi="Palatino Linotype" w:cs="Arial"/>
          <w:b/>
          <w:sz w:val="24"/>
          <w:szCs w:val="24"/>
          <w:u w:val="thick"/>
        </w:rPr>
        <w:t xml:space="preserve"> de Egresos</w:t>
      </w:r>
      <w:r w:rsidRPr="000D558D">
        <w:rPr>
          <w:rFonts w:ascii="Palatino Linotype" w:hAnsi="Palatino Linotype" w:cs="Arial"/>
          <w:sz w:val="24"/>
          <w:szCs w:val="24"/>
        </w:rPr>
        <w:t>; es importante destacar que el Reglamento Interno de Cuautitlán, Estado de México Administración Municipal 2019-2021, establece en su artículo 4.2, fracción II, que la Tesorería Municipal tendrá diversas unidades administrativas para su auxilio, de conformidad con lo siguiente:</w:t>
      </w:r>
    </w:p>
    <w:p w:rsidR="00E25BCD" w:rsidRPr="000D558D" w:rsidRDefault="00E25BCD" w:rsidP="00E25BCD">
      <w:pPr>
        <w:pStyle w:val="Sinespaciado"/>
      </w:pPr>
    </w:p>
    <w:p w:rsidR="00E25BCD" w:rsidRPr="000D558D" w:rsidRDefault="00E25BCD" w:rsidP="00E25BCD">
      <w:pPr>
        <w:spacing w:after="0" w:line="240" w:lineRule="auto"/>
        <w:ind w:left="567" w:right="567"/>
        <w:jc w:val="both"/>
        <w:rPr>
          <w:rFonts w:ascii="Palatino Linotype" w:hAnsi="Palatino Linotype"/>
          <w:i/>
        </w:rPr>
      </w:pPr>
      <w:r w:rsidRPr="000D558D">
        <w:rPr>
          <w:rFonts w:ascii="Palatino Linotype" w:hAnsi="Palatino Linotype"/>
          <w:b/>
          <w:i/>
        </w:rPr>
        <w:t>Artículo 4.2.-</w:t>
      </w:r>
      <w:r w:rsidRPr="000D558D">
        <w:rPr>
          <w:rFonts w:ascii="Palatino Linotype" w:hAnsi="Palatino Linotype"/>
          <w:i/>
        </w:rPr>
        <w:t xml:space="preserve"> Para el desarrollo de sus atribuciones, la Tesorería Municipal contará con un titular que será responsable de la conducción, supervisión y ejecución de las acciones a que se refiere el artículo que antecede y que para su auxilio tendrá a su cargo las siguientes unidades administrativas: </w:t>
      </w:r>
    </w:p>
    <w:p w:rsidR="00E25BCD" w:rsidRPr="000D558D" w:rsidRDefault="00E25BCD" w:rsidP="00E25BCD">
      <w:pPr>
        <w:spacing w:after="0" w:line="240" w:lineRule="auto"/>
        <w:ind w:left="567" w:right="567"/>
        <w:jc w:val="both"/>
        <w:rPr>
          <w:rFonts w:ascii="Palatino Linotype" w:hAnsi="Palatino Linotype"/>
          <w:i/>
        </w:rPr>
      </w:pPr>
      <w:r w:rsidRPr="000D558D">
        <w:rPr>
          <w:rFonts w:ascii="Palatino Linotype" w:hAnsi="Palatino Linotype"/>
          <w:i/>
        </w:rPr>
        <w:lastRenderedPageBreak/>
        <w:t xml:space="preserve">I. </w:t>
      </w:r>
      <w:proofErr w:type="spellStart"/>
      <w:r w:rsidRPr="000D558D">
        <w:rPr>
          <w:rFonts w:ascii="Palatino Linotype" w:hAnsi="Palatino Linotype"/>
          <w:i/>
        </w:rPr>
        <w:t>Subtesorería</w:t>
      </w:r>
      <w:proofErr w:type="spellEnd"/>
      <w:r w:rsidRPr="000D558D">
        <w:rPr>
          <w:rFonts w:ascii="Palatino Linotype" w:hAnsi="Palatino Linotype"/>
          <w:i/>
        </w:rPr>
        <w:t xml:space="preserve"> de Ingresos; </w:t>
      </w:r>
    </w:p>
    <w:p w:rsidR="00E25BCD" w:rsidRPr="000D558D" w:rsidRDefault="00E25BCD" w:rsidP="00E25BCD">
      <w:pPr>
        <w:spacing w:after="0" w:line="240" w:lineRule="auto"/>
        <w:ind w:left="567" w:right="567"/>
        <w:jc w:val="both"/>
        <w:rPr>
          <w:rFonts w:ascii="Palatino Linotype" w:hAnsi="Palatino Linotype"/>
          <w:i/>
        </w:rPr>
      </w:pPr>
      <w:r w:rsidRPr="000D558D">
        <w:rPr>
          <w:rFonts w:ascii="Palatino Linotype" w:hAnsi="Palatino Linotype"/>
          <w:b/>
          <w:i/>
          <w:u w:val="single"/>
        </w:rPr>
        <w:t xml:space="preserve">II. </w:t>
      </w:r>
      <w:proofErr w:type="spellStart"/>
      <w:r w:rsidRPr="000D558D">
        <w:rPr>
          <w:rFonts w:ascii="Palatino Linotype" w:hAnsi="Palatino Linotype"/>
          <w:b/>
          <w:i/>
          <w:u w:val="single"/>
        </w:rPr>
        <w:t>Subtesorería</w:t>
      </w:r>
      <w:proofErr w:type="spellEnd"/>
      <w:r w:rsidRPr="000D558D">
        <w:rPr>
          <w:rFonts w:ascii="Palatino Linotype" w:hAnsi="Palatino Linotype"/>
          <w:b/>
          <w:i/>
          <w:u w:val="single"/>
        </w:rPr>
        <w:t xml:space="preserve"> de Egresos</w:t>
      </w:r>
      <w:r w:rsidRPr="000D558D">
        <w:rPr>
          <w:rFonts w:ascii="Palatino Linotype" w:hAnsi="Palatino Linotype"/>
          <w:i/>
        </w:rPr>
        <w:t xml:space="preserve">; </w:t>
      </w:r>
    </w:p>
    <w:p w:rsidR="00E25BCD" w:rsidRPr="000D558D" w:rsidRDefault="00E25BCD" w:rsidP="00E25BCD">
      <w:pPr>
        <w:spacing w:after="0" w:line="240" w:lineRule="auto"/>
        <w:ind w:left="567" w:right="567"/>
        <w:jc w:val="both"/>
        <w:rPr>
          <w:rFonts w:ascii="Palatino Linotype" w:hAnsi="Palatino Linotype"/>
          <w:i/>
        </w:rPr>
      </w:pPr>
      <w:r w:rsidRPr="000D558D">
        <w:rPr>
          <w:rFonts w:ascii="Palatino Linotype" w:hAnsi="Palatino Linotype"/>
          <w:i/>
        </w:rPr>
        <w:t xml:space="preserve">III. Coordinación de Asuntos Jurídicos; </w:t>
      </w:r>
    </w:p>
    <w:p w:rsidR="00E25BCD" w:rsidRPr="000D558D" w:rsidRDefault="00E25BCD" w:rsidP="00E25BCD">
      <w:pPr>
        <w:spacing w:after="0" w:line="240" w:lineRule="auto"/>
        <w:ind w:left="567" w:right="567"/>
        <w:jc w:val="both"/>
        <w:rPr>
          <w:rFonts w:ascii="Palatino Linotype" w:hAnsi="Palatino Linotype" w:cs="Arial"/>
          <w:i/>
          <w:sz w:val="24"/>
          <w:szCs w:val="24"/>
        </w:rPr>
      </w:pPr>
      <w:r w:rsidRPr="000D558D">
        <w:rPr>
          <w:rFonts w:ascii="Palatino Linotype" w:hAnsi="Palatino Linotype"/>
          <w:i/>
        </w:rPr>
        <w:t>IV. Enlace Administrativo.</w:t>
      </w:r>
    </w:p>
    <w:p w:rsidR="00E25BCD" w:rsidRPr="000D558D" w:rsidRDefault="00E25BCD" w:rsidP="00E25BCD">
      <w:pPr>
        <w:spacing w:after="0" w:line="360" w:lineRule="auto"/>
        <w:jc w:val="both"/>
        <w:rPr>
          <w:rFonts w:ascii="Palatino Linotype" w:hAnsi="Palatino Linotype" w:cs="Arial"/>
          <w:sz w:val="24"/>
          <w:szCs w:val="24"/>
        </w:rPr>
      </w:pPr>
    </w:p>
    <w:p w:rsidR="00E25BCD" w:rsidRPr="000D558D" w:rsidRDefault="00E25BCD" w:rsidP="00E25BCD">
      <w:pPr>
        <w:spacing w:after="0" w:line="360" w:lineRule="auto"/>
        <w:jc w:val="both"/>
        <w:rPr>
          <w:rFonts w:ascii="Palatino Linotype" w:hAnsi="Palatino Linotype" w:cs="Arial"/>
          <w:sz w:val="24"/>
          <w:szCs w:val="24"/>
        </w:rPr>
      </w:pPr>
      <w:r w:rsidRPr="000D558D">
        <w:rPr>
          <w:rFonts w:ascii="Palatino Linotype" w:hAnsi="Palatino Linotype" w:cs="Arial"/>
          <w:sz w:val="24"/>
          <w:szCs w:val="24"/>
        </w:rPr>
        <w:t xml:space="preserve">Por lo anterior, se establece que dentro de la organización y funcionamiento de la Administración Pública Municipal de Cuautitlán, Estado de México, se encuentra la Unidad Administrativa denominada </w:t>
      </w:r>
      <w:r w:rsidRPr="000D558D">
        <w:rPr>
          <w:rFonts w:ascii="Palatino Linotype" w:hAnsi="Palatino Linotype" w:cs="Arial"/>
          <w:i/>
          <w:sz w:val="24"/>
          <w:szCs w:val="24"/>
        </w:rPr>
        <w:t>“</w:t>
      </w:r>
      <w:proofErr w:type="spellStart"/>
      <w:r w:rsidRPr="000D558D">
        <w:rPr>
          <w:rFonts w:ascii="Palatino Linotype" w:hAnsi="Palatino Linotype" w:cs="Arial"/>
          <w:i/>
          <w:sz w:val="24"/>
          <w:szCs w:val="24"/>
        </w:rPr>
        <w:t>Subtesorería</w:t>
      </w:r>
      <w:proofErr w:type="spellEnd"/>
      <w:r w:rsidRPr="000D558D">
        <w:rPr>
          <w:rFonts w:ascii="Palatino Linotype" w:hAnsi="Palatino Linotype" w:cs="Arial"/>
          <w:i/>
          <w:sz w:val="24"/>
          <w:szCs w:val="24"/>
        </w:rPr>
        <w:t xml:space="preserve"> de Egresos”</w:t>
      </w:r>
      <w:r w:rsidRPr="000D558D">
        <w:rPr>
          <w:rFonts w:ascii="Palatino Linotype" w:hAnsi="Palatino Linotype" w:cs="Arial"/>
          <w:sz w:val="24"/>
          <w:szCs w:val="24"/>
        </w:rPr>
        <w:t>.</w:t>
      </w:r>
    </w:p>
    <w:p w:rsidR="00E25BCD" w:rsidRPr="000D558D" w:rsidRDefault="00E25BCD" w:rsidP="00E25BCD">
      <w:pPr>
        <w:spacing w:after="0" w:line="360" w:lineRule="auto"/>
        <w:jc w:val="both"/>
        <w:rPr>
          <w:rFonts w:ascii="Palatino Linotype" w:hAnsi="Palatino Linotype" w:cs="Arial"/>
          <w:sz w:val="24"/>
          <w:szCs w:val="24"/>
        </w:rPr>
      </w:pPr>
    </w:p>
    <w:p w:rsidR="00E25BCD" w:rsidRPr="000D558D" w:rsidRDefault="00E25BCD" w:rsidP="00E25BCD">
      <w:pPr>
        <w:spacing w:after="0" w:line="360" w:lineRule="auto"/>
        <w:jc w:val="both"/>
        <w:rPr>
          <w:rFonts w:ascii="Palatino Linotype" w:hAnsi="Palatino Linotype" w:cs="Arial"/>
          <w:sz w:val="24"/>
          <w:szCs w:val="24"/>
        </w:rPr>
      </w:pPr>
      <w:r w:rsidRPr="000D558D">
        <w:rPr>
          <w:rFonts w:ascii="Palatino Linotype" w:hAnsi="Palatino Linotype" w:cs="Arial"/>
          <w:sz w:val="24"/>
          <w:szCs w:val="24"/>
        </w:rPr>
        <w:t>Asimismo, es necesario traer a colación</w:t>
      </w:r>
      <w:r w:rsidRPr="000D558D">
        <w:rPr>
          <w:rFonts w:ascii="Palatino Linotype" w:hAnsi="Palatino Linotype"/>
          <w:sz w:val="24"/>
        </w:rPr>
        <w:t xml:space="preserve"> lo dispuesto en la fracción XVII, del precepto legal 98, de la </w:t>
      </w:r>
      <w:r w:rsidRPr="000D558D">
        <w:rPr>
          <w:rFonts w:ascii="Palatino Linotype" w:eastAsia="Calibri" w:hAnsi="Palatino Linotype"/>
          <w:sz w:val="24"/>
          <w:lang w:val="es-ES_tradnl"/>
        </w:rPr>
        <w:t>la Ley del Trabajo de los Servidores Púbicos del Estado y Municipios</w:t>
      </w:r>
      <w:r w:rsidRPr="000D558D">
        <w:rPr>
          <w:rStyle w:val="Refdenotaalpie"/>
          <w:rFonts w:ascii="Palatino Linotype" w:eastAsia="Calibri" w:hAnsi="Palatino Linotype"/>
          <w:sz w:val="24"/>
          <w:lang w:val="es-ES_tradnl"/>
        </w:rPr>
        <w:footnoteReference w:id="2"/>
      </w:r>
      <w:r w:rsidRPr="000D558D">
        <w:rPr>
          <w:rFonts w:ascii="Palatino Linotype" w:eastAsia="Calibri" w:hAnsi="Palatino Linotype"/>
          <w:sz w:val="24"/>
          <w:lang w:val="es-ES_tradnl"/>
        </w:rPr>
        <w:t xml:space="preserve">, en donde </w:t>
      </w:r>
      <w:r w:rsidRPr="000D558D">
        <w:rPr>
          <w:rFonts w:ascii="Palatino Linotype" w:eastAsia="Calibri" w:hAnsi="Palatino Linotype" w:cs="Arial"/>
          <w:sz w:val="24"/>
        </w:rPr>
        <w:t>se advierte que las entidades públicas tienen la obligación de integrar los expedientes laborales de cada servidor público, dentro de los cuales debe constar los documentos exhibidos para ingresar al servicio público, dispuestos en el diverso 47, que son los siguientes:</w:t>
      </w:r>
    </w:p>
    <w:p w:rsidR="00E25BCD" w:rsidRPr="000D558D" w:rsidRDefault="00E25BCD" w:rsidP="00E25BCD">
      <w:pPr>
        <w:pStyle w:val="Sinespaciado"/>
        <w:rPr>
          <w:rFonts w:eastAsiaTheme="minorHAnsi"/>
        </w:rPr>
      </w:pP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r w:rsidRPr="000D558D">
        <w:rPr>
          <w:rFonts w:ascii="Palatino Linotype" w:hAnsi="Palatino Linotype" w:cs="Arial"/>
          <w:i/>
          <w:szCs w:val="20"/>
        </w:rPr>
        <w:t xml:space="preserve"> “</w:t>
      </w:r>
      <w:r w:rsidRPr="000D558D">
        <w:rPr>
          <w:rFonts w:ascii="Palatino Linotype" w:hAnsi="Palatino Linotype" w:cs="Arial"/>
          <w:b/>
          <w:i/>
          <w:szCs w:val="20"/>
        </w:rPr>
        <w:t>ARTÍCULO 47.</w:t>
      </w:r>
      <w:r w:rsidRPr="000D558D">
        <w:rPr>
          <w:rFonts w:ascii="Palatino Linotype" w:hAnsi="Palatino Linotype" w:cs="Arial"/>
          <w:i/>
          <w:szCs w:val="20"/>
        </w:rPr>
        <w:t xml:space="preserve">  Para ingresar al servicio público se requiere:  </w:t>
      </w: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r w:rsidRPr="000D558D">
        <w:rPr>
          <w:rFonts w:ascii="Palatino Linotype" w:hAnsi="Palatino Linotype" w:cs="Arial"/>
          <w:i/>
          <w:szCs w:val="20"/>
        </w:rPr>
        <w:t xml:space="preserve">I. Presentar una solicitud utilizando la forma oficial que se autorice por la institución pública o dependencia correspondiente;  </w:t>
      </w: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r w:rsidRPr="000D558D">
        <w:rPr>
          <w:rFonts w:ascii="Palatino Linotype" w:hAnsi="Palatino Linotype" w:cs="Arial"/>
          <w:i/>
          <w:szCs w:val="20"/>
        </w:rPr>
        <w:t xml:space="preserve">II. Ser de nacionalidad mexicana, con la excepción prevista en el artículo 17 de la presente ley;  </w:t>
      </w: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r w:rsidRPr="000D558D">
        <w:rPr>
          <w:rFonts w:ascii="Palatino Linotype" w:hAnsi="Palatino Linotype" w:cs="Arial"/>
          <w:i/>
          <w:szCs w:val="20"/>
        </w:rPr>
        <w:t xml:space="preserve">III. Estar en pleno ejercicio de sus derechos civiles y políticos, en su caso;  </w:t>
      </w: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r w:rsidRPr="000D558D">
        <w:rPr>
          <w:rFonts w:ascii="Palatino Linotype" w:hAnsi="Palatino Linotype" w:cs="Arial"/>
          <w:i/>
          <w:szCs w:val="20"/>
        </w:rPr>
        <w:t xml:space="preserve">IV. Acreditar, cuando proceda, el cumplimiento de la Ley del Servicio Militar Nacional;  </w:t>
      </w: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r w:rsidRPr="000D558D">
        <w:rPr>
          <w:rFonts w:ascii="Palatino Linotype" w:hAnsi="Palatino Linotype" w:cs="Arial"/>
          <w:i/>
          <w:szCs w:val="20"/>
        </w:rPr>
        <w:t xml:space="preserve">V. No tener antecedentes penales por delitos intencionales;  </w:t>
      </w: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r w:rsidRPr="000D558D">
        <w:rPr>
          <w:rFonts w:ascii="Palatino Linotype" w:hAnsi="Palatino Linotype" w:cs="Arial"/>
          <w:i/>
          <w:szCs w:val="20"/>
        </w:rPr>
        <w:t xml:space="preserve">VI. No haber sido separado anteriormente del servicio por las causas previstas en la fracción V del artículo 89 y en el artículo 93 de la presente ley;  </w:t>
      </w: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r w:rsidRPr="000D558D">
        <w:rPr>
          <w:rFonts w:ascii="Palatino Linotype" w:hAnsi="Palatino Linotype" w:cs="Arial"/>
          <w:i/>
          <w:szCs w:val="20"/>
        </w:rPr>
        <w:lastRenderedPageBreak/>
        <w:t xml:space="preserve">VII. Tener buena salud, lo que se comprobará con los certificados médicos correspondientes, en la forma en que se establezca en cada institución pública;  </w:t>
      </w: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r w:rsidRPr="000D558D">
        <w:rPr>
          <w:rFonts w:ascii="Palatino Linotype" w:hAnsi="Palatino Linotype" w:cs="Arial"/>
          <w:i/>
          <w:szCs w:val="20"/>
        </w:rPr>
        <w:t xml:space="preserve">VIII. Cumplir con los requisitos que se establezcan para los diferentes puestos;  </w:t>
      </w: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r w:rsidRPr="000D558D">
        <w:rPr>
          <w:rFonts w:ascii="Palatino Linotype" w:hAnsi="Palatino Linotype" w:cs="Arial"/>
          <w:i/>
          <w:szCs w:val="20"/>
        </w:rPr>
        <w:t xml:space="preserve">IX. Acreditar por medio de los exámenes correspondientes los conocimientos y aptitudes necesarios para el desempeño del puesto; y  </w:t>
      </w: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r w:rsidRPr="000D558D">
        <w:rPr>
          <w:rFonts w:ascii="Palatino Linotype" w:hAnsi="Palatino Linotype" w:cs="Arial"/>
          <w:i/>
          <w:szCs w:val="20"/>
        </w:rPr>
        <w:t xml:space="preserve">X. No estar inhabilitado para el ejercicio del servicio público.  </w:t>
      </w: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r w:rsidRPr="000D558D">
        <w:rPr>
          <w:rFonts w:ascii="Palatino Linotype" w:hAnsi="Palatino Linotype" w:cs="Arial"/>
          <w:i/>
          <w:szCs w:val="20"/>
        </w:rPr>
        <w:t xml:space="preserve">XI. Presentar certificado expedido por la Unidad del Registro de Deudores Alimentarios Morosos en el que conste, si se encuentra inscrito o no en el mismo.   </w:t>
      </w: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p>
    <w:p w:rsidR="00E25BCD" w:rsidRPr="000D558D" w:rsidRDefault="00E25BCD" w:rsidP="00E25BCD">
      <w:pPr>
        <w:autoSpaceDE w:val="0"/>
        <w:autoSpaceDN w:val="0"/>
        <w:adjustRightInd w:val="0"/>
        <w:spacing w:after="0" w:line="240" w:lineRule="auto"/>
        <w:ind w:left="567" w:right="567"/>
        <w:jc w:val="both"/>
        <w:rPr>
          <w:rFonts w:ascii="Palatino Linotype" w:hAnsi="Palatino Linotype" w:cs="Arial"/>
          <w:i/>
          <w:szCs w:val="20"/>
        </w:rPr>
      </w:pPr>
      <w:r w:rsidRPr="000D558D">
        <w:rPr>
          <w:rFonts w:ascii="Palatino Linotype" w:hAnsi="Palatino Linotype" w:cs="Arial"/>
          <w:i/>
          <w:szCs w:val="20"/>
        </w:rPr>
        <w:t>La institución o dependencia que reciba un certificado en que conste que la persona que se incorpora al servicio público se encuentra inscrito el Registro de Deudores Alimentarios Morosos deberá dar aviso al juez de conocimiento de dicha circunstancia, para los efectos legales a que haya lugar.”</w:t>
      </w:r>
    </w:p>
    <w:p w:rsidR="00E25BCD" w:rsidRPr="000D558D" w:rsidRDefault="00E25BCD" w:rsidP="00E25BCD"/>
    <w:p w:rsidR="00E25BCD" w:rsidRPr="000D558D" w:rsidRDefault="00E25BCD" w:rsidP="00E25BCD">
      <w:pPr>
        <w:spacing w:after="0" w:line="360" w:lineRule="auto"/>
        <w:jc w:val="both"/>
        <w:rPr>
          <w:rFonts w:ascii="Palatino Linotype" w:hAnsi="Palatino Linotype"/>
          <w:sz w:val="24"/>
          <w:szCs w:val="24"/>
        </w:rPr>
      </w:pPr>
      <w:r w:rsidRPr="000D558D">
        <w:rPr>
          <w:rFonts w:ascii="Palatino Linotype" w:hAnsi="Palatino Linotype" w:cs="Arial"/>
          <w:sz w:val="24"/>
          <w:szCs w:val="24"/>
        </w:rPr>
        <w:t xml:space="preserve">En relación directa con lo anterior, resulta alusivo lo dispuesto en el </w:t>
      </w:r>
      <w:r w:rsidRPr="000D558D">
        <w:rPr>
          <w:rFonts w:ascii="Palatino Linotype" w:hAnsi="Palatino Linotype" w:cs="Times"/>
          <w:bCs/>
          <w:i/>
          <w:sz w:val="24"/>
          <w:szCs w:val="24"/>
          <w:shd w:val="clear" w:color="auto" w:fill="FFFFFF"/>
        </w:rPr>
        <w:t>Manual de Procedimientos para la Integración del Expediente Personal de las Servidoras y</w:t>
      </w:r>
      <w:r w:rsidRPr="000D558D">
        <w:rPr>
          <w:rFonts w:ascii="Palatino Linotype" w:hAnsi="Palatino Linotype"/>
          <w:bCs/>
          <w:i/>
          <w:sz w:val="24"/>
          <w:szCs w:val="24"/>
        </w:rPr>
        <w:t xml:space="preserve"> </w:t>
      </w:r>
      <w:r w:rsidRPr="000D558D">
        <w:rPr>
          <w:rFonts w:ascii="Palatino Linotype" w:hAnsi="Palatino Linotype" w:cs="Times"/>
          <w:bCs/>
          <w:i/>
          <w:sz w:val="24"/>
          <w:szCs w:val="24"/>
          <w:shd w:val="clear" w:color="auto" w:fill="FFFFFF"/>
        </w:rPr>
        <w:t>Servidores Públicos del Tribunal Electoral para el Poder Judicial de la Federación</w:t>
      </w:r>
      <w:r w:rsidRPr="000D558D">
        <w:rPr>
          <w:rFonts w:ascii="Palatino Linotype" w:hAnsi="Palatino Linotype" w:cs="Times"/>
          <w:b/>
          <w:bCs/>
          <w:i/>
          <w:sz w:val="24"/>
          <w:szCs w:val="24"/>
          <w:shd w:val="clear" w:color="auto" w:fill="FFFFFF"/>
        </w:rPr>
        <w:t>,</w:t>
      </w:r>
      <w:r w:rsidRPr="000D558D">
        <w:rPr>
          <w:rFonts w:ascii="Palatino Linotype" w:hAnsi="Palatino Linotype" w:cs="Times"/>
          <w:bCs/>
          <w:sz w:val="24"/>
          <w:szCs w:val="24"/>
          <w:shd w:val="clear" w:color="auto" w:fill="FFFFFF"/>
        </w:rPr>
        <w:t xml:space="preserve"> el cual tiene como </w:t>
      </w:r>
      <w:r w:rsidRPr="000D558D">
        <w:rPr>
          <w:rFonts w:ascii="Palatino Linotype" w:hAnsi="Palatino Linotype"/>
          <w:sz w:val="24"/>
          <w:szCs w:val="24"/>
        </w:rPr>
        <w:t>propósito documentar en forma sencilla, objetiva y ordenada, los procedimientos que tiene a su cargo la Dirección General de Recursos Humanos en materia de integración de expedientes personales, con una visión integral del funcionamiento.</w:t>
      </w:r>
    </w:p>
    <w:p w:rsidR="00E25BCD" w:rsidRPr="000D558D" w:rsidRDefault="00E25BCD" w:rsidP="00E25BCD">
      <w:pPr>
        <w:spacing w:after="0" w:line="360" w:lineRule="auto"/>
        <w:jc w:val="both"/>
        <w:rPr>
          <w:rFonts w:ascii="Palatino Linotype" w:hAnsi="Palatino Linotype" w:cs="Times"/>
          <w:bCs/>
          <w:sz w:val="24"/>
          <w:szCs w:val="24"/>
          <w:shd w:val="clear" w:color="auto" w:fill="FFFFFF"/>
        </w:rPr>
      </w:pPr>
    </w:p>
    <w:p w:rsidR="00E25BCD" w:rsidRPr="000D558D" w:rsidRDefault="00E25BCD" w:rsidP="00E25BCD">
      <w:pPr>
        <w:spacing w:after="0" w:line="360" w:lineRule="auto"/>
        <w:jc w:val="both"/>
        <w:rPr>
          <w:rFonts w:ascii="Palatino Linotype" w:hAnsi="Palatino Linotype" w:cs="Times"/>
          <w:bCs/>
          <w:sz w:val="24"/>
          <w:szCs w:val="24"/>
          <w:shd w:val="clear" w:color="auto" w:fill="FFFFFF"/>
        </w:rPr>
      </w:pPr>
      <w:r w:rsidRPr="000D558D">
        <w:rPr>
          <w:rFonts w:ascii="Palatino Linotype" w:hAnsi="Palatino Linotype" w:cs="Times"/>
          <w:bCs/>
          <w:sz w:val="24"/>
          <w:szCs w:val="24"/>
          <w:shd w:val="clear" w:color="auto" w:fill="FFFFFF"/>
        </w:rPr>
        <w:t>Ahora bien, para la integración del expediente laboral se derivan los siguientes requisitos oficiales que deberán presentar los servidores públicos de nuevo ingreso:</w:t>
      </w:r>
    </w:p>
    <w:p w:rsidR="00E25BCD" w:rsidRPr="000D558D" w:rsidRDefault="00E25BCD" w:rsidP="00E25BCD">
      <w:pPr>
        <w:pStyle w:val="Sinespaciado"/>
        <w:rPr>
          <w:shd w:val="clear" w:color="auto" w:fill="FFFFFF"/>
        </w:rPr>
      </w:pP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ACTA DE NACIMIENTO.</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ACTAS DE NACIMIENTO DE DESCENDIENTES, (en su caso).</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RFC.</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CURRÍCULUM VITAE (con firma y fecha).</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CURRÍCULUM VITAE (VERSIÓN PÚBLICA, UNICAMENTE DATOS ESCOLARES Y LABORALES).</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HOJA DE SERVICIOS (en caso haber laborado en otras instituciones o dependencias públicas, donde cotizó en el ISSSTE)</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lastRenderedPageBreak/>
        <w:t>CARTILLA DEL S. M. N. (solo hombres, opcional)</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COMPROBANTE DE DOMICILIO (agua, luz, teléfono, predial)</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ÚLTIMO COMPROBANTE DE ESTUDIOS (En caso de ser pasantes deberán presentar original de carta de pasante y/o constancia de créditos e historia académica hasta el último grado cursado).</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TÍTULO Y CÉDULA PROFESIONAL</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LICENCIA DE MANEJO (solo chóferes)</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 xml:space="preserve">CURP (clave única de registro de población) </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NUMERO DE CUENTA BANCARIA BANORTE, EXPEDIDA POR EL BANCO (para depositar la nómina)</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CREDENCIAL DE ELECTOR.</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FORMATO "CUESTIONARIO PARA LA INTEGRACIÓN DE EXPEDIENTE PERSONAL" (Anexo)</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CARTA COMPROMISO (la proporciona el tribunal electoral)</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DOCUMENTO MEDICO QUE ACREDITE DISCAPACIDAD O ALERGIA, SEGÚN SEA EL CASO.</w:t>
      </w:r>
    </w:p>
    <w:p w:rsidR="00E25BCD" w:rsidRPr="000D558D" w:rsidRDefault="00E25BCD" w:rsidP="00E25BCD">
      <w:pPr>
        <w:pStyle w:val="ROMANOS"/>
        <w:numPr>
          <w:ilvl w:val="0"/>
          <w:numId w:val="22"/>
        </w:numPr>
        <w:tabs>
          <w:tab w:val="clear" w:pos="720"/>
        </w:tabs>
        <w:spacing w:after="0" w:line="240" w:lineRule="auto"/>
        <w:rPr>
          <w:rFonts w:ascii="Palatino Linotype" w:hAnsi="Palatino Linotype"/>
          <w:sz w:val="24"/>
          <w:szCs w:val="20"/>
        </w:rPr>
      </w:pPr>
      <w:r w:rsidRPr="000D558D">
        <w:rPr>
          <w:rFonts w:ascii="Palatino Linotype" w:hAnsi="Palatino Linotype"/>
          <w:sz w:val="24"/>
          <w:szCs w:val="20"/>
        </w:rPr>
        <w:t>4 FOTOGRAFÍAS TAMAÑO INFANTIL A COLOR, RECIENTES, IMPRESAS.</w:t>
      </w:r>
    </w:p>
    <w:p w:rsidR="00E25BCD" w:rsidRPr="000D558D" w:rsidRDefault="00E25BCD" w:rsidP="00E25BCD">
      <w:pPr>
        <w:ind w:left="284"/>
        <w:jc w:val="both"/>
        <w:rPr>
          <w:rFonts w:ascii="Palatino Linotype" w:hAnsi="Palatino Linotype" w:cs="Times"/>
          <w:bCs/>
          <w:sz w:val="20"/>
          <w:szCs w:val="20"/>
          <w:shd w:val="clear" w:color="auto" w:fill="FFFFFF"/>
        </w:rPr>
      </w:pPr>
    </w:p>
    <w:p w:rsidR="00E25BCD" w:rsidRPr="000D558D" w:rsidRDefault="00E25BCD" w:rsidP="00E25BCD">
      <w:pPr>
        <w:spacing w:after="0" w:line="360" w:lineRule="auto"/>
        <w:jc w:val="both"/>
        <w:rPr>
          <w:rFonts w:ascii="Palatino Linotype" w:hAnsi="Palatino Linotype"/>
          <w:sz w:val="24"/>
        </w:rPr>
      </w:pPr>
      <w:r w:rsidRPr="000D558D">
        <w:rPr>
          <w:rFonts w:ascii="Palatino Linotype" w:hAnsi="Palatino Linotype" w:cs="Times"/>
          <w:bCs/>
          <w:sz w:val="24"/>
          <w:shd w:val="clear" w:color="auto" w:fill="FFFFFF"/>
        </w:rPr>
        <w:t xml:space="preserve">En ese sentido, se tiene que el </w:t>
      </w:r>
      <w:r w:rsidRPr="000D558D">
        <w:rPr>
          <w:rFonts w:ascii="Palatino Linotype" w:hAnsi="Palatino Linotype" w:cs="Times"/>
          <w:b/>
          <w:bCs/>
          <w:sz w:val="24"/>
          <w:shd w:val="clear" w:color="auto" w:fill="FFFFFF"/>
        </w:rPr>
        <w:t xml:space="preserve">Sujeto Obligado </w:t>
      </w:r>
      <w:r w:rsidRPr="000D558D">
        <w:rPr>
          <w:rFonts w:ascii="Palatino Linotype" w:hAnsi="Palatino Linotype" w:cs="Times"/>
          <w:bCs/>
          <w:sz w:val="24"/>
          <w:shd w:val="clear" w:color="auto" w:fill="FFFFFF"/>
        </w:rPr>
        <w:t xml:space="preserve">general, posee y administra en sus archivos, los expedientes laborales de los servidores públicos, sirve de sustento la tesis de rubro y texto siguiente de la </w:t>
      </w:r>
      <w:r w:rsidRPr="000D558D">
        <w:rPr>
          <w:rFonts w:ascii="Palatino Linotype" w:hAnsi="Palatino Linotype"/>
          <w:sz w:val="24"/>
        </w:rPr>
        <w:t>Suprema Corte de Justicia de la Nación.</w:t>
      </w:r>
    </w:p>
    <w:p w:rsidR="00E25BCD" w:rsidRPr="000D558D" w:rsidRDefault="00E25BCD" w:rsidP="00E25BCD">
      <w:pPr>
        <w:pStyle w:val="Sinespaciado"/>
      </w:pPr>
    </w:p>
    <w:p w:rsidR="00E25BCD" w:rsidRPr="000D558D" w:rsidRDefault="00E25BCD" w:rsidP="00E25BCD">
      <w:pPr>
        <w:spacing w:after="0"/>
        <w:ind w:left="567" w:right="567"/>
        <w:jc w:val="both"/>
        <w:rPr>
          <w:rFonts w:ascii="Palatino Linotype" w:hAnsi="Palatino Linotype"/>
          <w:i/>
          <w:szCs w:val="20"/>
        </w:rPr>
      </w:pPr>
      <w:r w:rsidRPr="000D558D">
        <w:rPr>
          <w:rFonts w:ascii="Palatino Linotype" w:hAnsi="Palatino Linotype"/>
          <w:i/>
          <w:szCs w:val="20"/>
        </w:rPr>
        <w:t>“</w:t>
      </w:r>
      <w:r w:rsidRPr="000D558D">
        <w:rPr>
          <w:rFonts w:ascii="Palatino Linotype" w:hAnsi="Palatino Linotype"/>
          <w:b/>
          <w:i/>
          <w:szCs w:val="20"/>
        </w:rPr>
        <w:t>Criterio 15/2006 EXPEDIENTES LABORALES ADMINISTRATIVOS DE LOS SERVIDORES PÚBLICOS DE LA SUPREMA CORTE DE JUSTICIA DE LA NACIÓN. ES PÚBLICA LA INFORMACIÓN QUE EN ELLOS SE CONTIENE, SALVO LOS DATOS PERSONALES.</w:t>
      </w:r>
      <w:r w:rsidRPr="000D558D">
        <w:rPr>
          <w:rFonts w:ascii="Palatino Linotype" w:hAnsi="Palatino Linotype"/>
          <w:i/>
          <w:szCs w:val="20"/>
        </w:rPr>
        <w:t xml:space="preserve"> La información que se contiene en los expedientes laborales administrativos de los servidores públicos de este Alto Tribunal es pública, específicamente, la inherente a sus percepciones, el ejercicio del cargo, a </w:t>
      </w:r>
      <w:r w:rsidRPr="000D558D">
        <w:rPr>
          <w:rFonts w:ascii="Palatino Linotype" w:hAnsi="Palatino Linotype"/>
          <w:i/>
          <w:szCs w:val="20"/>
          <w:u w:val="single"/>
        </w:rPr>
        <w:t>la identificación de la plaza y sus funciones</w:t>
      </w:r>
      <w:r w:rsidRPr="000D558D">
        <w:rPr>
          <w:rFonts w:ascii="Palatino Linotype" w:hAnsi="Palatino Linotype"/>
          <w:i/>
          <w:szCs w:val="20"/>
        </w:rPr>
        <w:t xml:space="preserve">, </w:t>
      </w:r>
      <w:r w:rsidRPr="000D558D">
        <w:rPr>
          <w:rFonts w:ascii="Palatino Linotype" w:hAnsi="Palatino Linotype"/>
          <w:i/>
          <w:szCs w:val="20"/>
          <w:u w:val="single"/>
        </w:rPr>
        <w:t>los datos relevantes sobre el perfil profesional del servidor público</w:t>
      </w:r>
      <w:r w:rsidRPr="000D558D">
        <w:rPr>
          <w:rFonts w:ascii="Palatino Linotype" w:hAnsi="Palatino Linotype"/>
          <w:i/>
          <w:szCs w:val="20"/>
        </w:rPr>
        <w:t xml:space="preserve"> y, en su caso, sobre su desempeño, en tanto establecen el marco de referencia laboral administrativo. A diferencia de lo que sucede con los datos personales que en dichos expedientes se contengan, pues debe tenerse en cuenta que una de las excepciones al principio de publicidad de la información la constituyen los datos de tal naturaleza que requieran del consentimiento de los individuos para su difusión, distribución o </w:t>
      </w:r>
      <w:r w:rsidRPr="000D558D">
        <w:rPr>
          <w:rFonts w:ascii="Palatino Linotype" w:hAnsi="Palatino Linotype"/>
          <w:i/>
          <w:szCs w:val="20"/>
        </w:rPr>
        <w:lastRenderedPageBreak/>
        <w:t xml:space="preserve">comercialización en los términos de los artículos 3°, fracción II, y 18, fracción II, de la Ley Federal de Transparencia y Acceso a la Información Pública Gubernamental. Para ello es necesario considerar que constituyen datos personales toda aquella información concerniente a una persona física identificada o identificable, relacionada con cualquier aspecto que afecte su intimidad, y tendrán el carácter de información confidencial, cuando en términos de lo previsto en la Ley Federal invocada, su difusión, distribución o comercialización requiera el consentimiento de los individuos a los que pertenezcan. </w:t>
      </w:r>
    </w:p>
    <w:p w:rsidR="00E25BCD" w:rsidRPr="000D558D" w:rsidRDefault="00E25BCD" w:rsidP="00E25BCD">
      <w:pPr>
        <w:autoSpaceDE w:val="0"/>
        <w:autoSpaceDN w:val="0"/>
        <w:adjustRightInd w:val="0"/>
        <w:spacing w:after="0" w:line="360" w:lineRule="auto"/>
        <w:jc w:val="both"/>
        <w:rPr>
          <w:rFonts w:ascii="Palatino Linotype" w:hAnsi="Palatino Linotype" w:cs="Times"/>
          <w:bCs/>
          <w:sz w:val="24"/>
          <w:szCs w:val="24"/>
          <w:shd w:val="clear" w:color="auto" w:fill="FFFFFF"/>
        </w:rPr>
      </w:pPr>
    </w:p>
    <w:p w:rsidR="00E25BCD" w:rsidRPr="000D558D" w:rsidRDefault="00E25BCD" w:rsidP="00E25BCD">
      <w:pPr>
        <w:autoSpaceDE w:val="0"/>
        <w:autoSpaceDN w:val="0"/>
        <w:adjustRightInd w:val="0"/>
        <w:spacing w:after="0" w:line="360" w:lineRule="auto"/>
        <w:jc w:val="both"/>
        <w:rPr>
          <w:rFonts w:ascii="Palatino Linotype" w:hAnsi="Palatino Linotype"/>
          <w:sz w:val="24"/>
          <w:szCs w:val="24"/>
        </w:rPr>
      </w:pPr>
      <w:r w:rsidRPr="000D558D">
        <w:rPr>
          <w:rFonts w:ascii="Palatino Linotype" w:hAnsi="Palatino Linotype" w:cs="Times"/>
          <w:bCs/>
          <w:sz w:val="24"/>
          <w:szCs w:val="24"/>
          <w:shd w:val="clear" w:color="auto" w:fill="FFFFFF"/>
        </w:rPr>
        <w:t>Por lo anterior, este Instituto advierte que la información relativa a los expedientes laborales,</w:t>
      </w:r>
      <w:r w:rsidRPr="000D558D">
        <w:rPr>
          <w:rFonts w:ascii="Palatino Linotype" w:eastAsiaTheme="minorEastAsia" w:hAnsi="Palatino Linotype" w:cs="Bookman Old Style"/>
          <w:sz w:val="24"/>
          <w:szCs w:val="24"/>
        </w:rPr>
        <w:t xml:space="preserve"> </w:t>
      </w:r>
      <w:r w:rsidRPr="000D558D">
        <w:rPr>
          <w:rFonts w:ascii="Palatino Linotype" w:hAnsi="Palatino Linotype" w:cs="Times"/>
          <w:bCs/>
          <w:sz w:val="24"/>
          <w:szCs w:val="24"/>
          <w:shd w:val="clear" w:color="auto" w:fill="FFFFFF"/>
        </w:rPr>
        <w:t xml:space="preserve">es información que el </w:t>
      </w:r>
      <w:r w:rsidRPr="000D558D">
        <w:rPr>
          <w:rFonts w:ascii="Palatino Linotype" w:hAnsi="Palatino Linotype" w:cs="Times"/>
          <w:b/>
          <w:bCs/>
          <w:sz w:val="24"/>
          <w:szCs w:val="24"/>
          <w:shd w:val="clear" w:color="auto" w:fill="FFFFFF"/>
        </w:rPr>
        <w:t xml:space="preserve">Sujeto Obligado </w:t>
      </w:r>
      <w:r w:rsidRPr="000D558D">
        <w:rPr>
          <w:rFonts w:ascii="Palatino Linotype" w:hAnsi="Palatino Linotype" w:cs="Times"/>
          <w:bCs/>
          <w:sz w:val="24"/>
          <w:szCs w:val="24"/>
          <w:shd w:val="clear" w:color="auto" w:fill="FFFFFF"/>
        </w:rPr>
        <w:t xml:space="preserve">genera, posee y administra en el ejercicio de sus funciones, por lo que </w:t>
      </w:r>
      <w:r w:rsidRPr="000D558D">
        <w:rPr>
          <w:rFonts w:ascii="Palatino Linotype" w:hAnsi="Palatino Linotype"/>
          <w:sz w:val="24"/>
          <w:szCs w:val="24"/>
        </w:rPr>
        <w:t xml:space="preserve">respecta de la documentación que pudiera constar en los expedientes de los servidores públicos, se advierte que, parte de ella es susceptible de ser entregada de manera </w:t>
      </w:r>
      <w:r w:rsidRPr="000D558D">
        <w:rPr>
          <w:rFonts w:ascii="Palatino Linotype" w:hAnsi="Palatino Linotype"/>
          <w:b/>
          <w:sz w:val="24"/>
          <w:szCs w:val="24"/>
        </w:rPr>
        <w:t>íntegra</w:t>
      </w:r>
      <w:r w:rsidRPr="000D558D">
        <w:rPr>
          <w:rFonts w:ascii="Palatino Linotype" w:hAnsi="Palatino Linotype"/>
          <w:sz w:val="24"/>
          <w:szCs w:val="24"/>
        </w:rPr>
        <w:t xml:space="preserve">; sin embargo, otro tanto, debe procederse a su entrega en </w:t>
      </w:r>
      <w:r w:rsidRPr="000D558D">
        <w:rPr>
          <w:rFonts w:ascii="Palatino Linotype" w:hAnsi="Palatino Linotype"/>
          <w:b/>
          <w:sz w:val="24"/>
          <w:szCs w:val="24"/>
        </w:rPr>
        <w:t>versión pública</w:t>
      </w:r>
      <w:r w:rsidRPr="000D558D">
        <w:rPr>
          <w:rFonts w:ascii="Palatino Linotype" w:hAnsi="Palatino Linotype"/>
          <w:sz w:val="24"/>
          <w:szCs w:val="24"/>
        </w:rPr>
        <w:t xml:space="preserve">, en la que se protejan, </w:t>
      </w:r>
      <w:r w:rsidRPr="000D558D">
        <w:rPr>
          <w:rFonts w:ascii="Palatino Linotype" w:hAnsi="Palatino Linotype"/>
          <w:b/>
          <w:sz w:val="24"/>
          <w:szCs w:val="24"/>
        </w:rPr>
        <w:t>únicamente</w:t>
      </w:r>
      <w:r w:rsidRPr="000D558D">
        <w:rPr>
          <w:rFonts w:ascii="Palatino Linotype" w:hAnsi="Palatino Linotype"/>
          <w:sz w:val="24"/>
          <w:szCs w:val="24"/>
        </w:rPr>
        <w:t xml:space="preserve">, los datos personales, datos personales sensibles e información pública, y otra más, que debe ser clasificada como confidencial </w:t>
      </w:r>
      <w:r w:rsidRPr="000D558D">
        <w:rPr>
          <w:rFonts w:ascii="Palatino Linotype" w:hAnsi="Palatino Linotype"/>
          <w:b/>
          <w:sz w:val="24"/>
          <w:szCs w:val="24"/>
        </w:rPr>
        <w:t>en su totalidad</w:t>
      </w:r>
      <w:r w:rsidRPr="000D558D">
        <w:rPr>
          <w:rFonts w:ascii="Palatino Linotype" w:hAnsi="Palatino Linotype"/>
          <w:sz w:val="24"/>
          <w:szCs w:val="24"/>
        </w:rPr>
        <w:t>.</w:t>
      </w:r>
    </w:p>
    <w:p w:rsidR="00E25BCD" w:rsidRPr="000D558D" w:rsidRDefault="00E25BCD" w:rsidP="00E25BCD">
      <w:pPr>
        <w:autoSpaceDE w:val="0"/>
        <w:autoSpaceDN w:val="0"/>
        <w:adjustRightInd w:val="0"/>
        <w:spacing w:after="0" w:line="360" w:lineRule="auto"/>
        <w:jc w:val="both"/>
        <w:rPr>
          <w:rFonts w:ascii="Palatino Linotype" w:hAnsi="Palatino Linotype"/>
          <w:sz w:val="24"/>
          <w:szCs w:val="24"/>
        </w:rPr>
      </w:pPr>
    </w:p>
    <w:p w:rsidR="00E25BCD" w:rsidRPr="000D558D" w:rsidRDefault="00E25BCD" w:rsidP="00E25BCD">
      <w:pPr>
        <w:autoSpaceDE w:val="0"/>
        <w:autoSpaceDN w:val="0"/>
        <w:adjustRightInd w:val="0"/>
        <w:spacing w:after="0" w:line="360" w:lineRule="auto"/>
        <w:jc w:val="both"/>
        <w:rPr>
          <w:rFonts w:ascii="Palatino Linotype" w:hAnsi="Palatino Linotype"/>
          <w:sz w:val="24"/>
          <w:szCs w:val="24"/>
        </w:rPr>
      </w:pPr>
      <w:r w:rsidRPr="000D558D">
        <w:rPr>
          <w:rFonts w:ascii="Palatino Linotype" w:hAnsi="Palatino Linotype"/>
          <w:sz w:val="24"/>
          <w:szCs w:val="24"/>
        </w:rPr>
        <w:t xml:space="preserve">Respecto, de la información que debe ser entregada de forma </w:t>
      </w:r>
      <w:r w:rsidRPr="000D558D">
        <w:rPr>
          <w:rFonts w:ascii="Palatino Linotype" w:hAnsi="Palatino Linotype"/>
          <w:b/>
          <w:sz w:val="24"/>
          <w:szCs w:val="24"/>
          <w:u w:val="thick"/>
        </w:rPr>
        <w:t>ÍNTEGRA</w:t>
      </w:r>
      <w:r w:rsidRPr="000D558D">
        <w:rPr>
          <w:rFonts w:ascii="Palatino Linotype" w:hAnsi="Palatino Linotype"/>
          <w:b/>
          <w:sz w:val="24"/>
          <w:szCs w:val="24"/>
        </w:rPr>
        <w:t>,</w:t>
      </w:r>
      <w:r w:rsidRPr="000D558D">
        <w:rPr>
          <w:rFonts w:ascii="Palatino Linotype" w:hAnsi="Palatino Linotype"/>
          <w:sz w:val="24"/>
          <w:szCs w:val="24"/>
        </w:rPr>
        <w:t xml:space="preserve"> de manera enunciativa más no limitativa se encuentran, las fichas curriculares y los comprobantes de experiencia laboral, cursos y talleres.</w:t>
      </w:r>
    </w:p>
    <w:p w:rsidR="00E25BCD" w:rsidRPr="000D558D" w:rsidRDefault="00E25BCD" w:rsidP="00E25BCD">
      <w:pPr>
        <w:autoSpaceDE w:val="0"/>
        <w:autoSpaceDN w:val="0"/>
        <w:adjustRightInd w:val="0"/>
        <w:spacing w:after="0" w:line="360" w:lineRule="auto"/>
        <w:jc w:val="both"/>
        <w:rPr>
          <w:rFonts w:ascii="Palatino Linotype" w:hAnsi="Palatino Linotype"/>
          <w:sz w:val="24"/>
          <w:szCs w:val="24"/>
        </w:rPr>
      </w:pPr>
    </w:p>
    <w:p w:rsidR="00E25BCD" w:rsidRPr="000D558D" w:rsidRDefault="00E25BCD" w:rsidP="00E25BCD">
      <w:pPr>
        <w:autoSpaceDE w:val="0"/>
        <w:autoSpaceDN w:val="0"/>
        <w:adjustRightInd w:val="0"/>
        <w:spacing w:after="0" w:line="360" w:lineRule="auto"/>
        <w:jc w:val="both"/>
        <w:rPr>
          <w:rFonts w:ascii="Palatino Linotype" w:hAnsi="Palatino Linotype"/>
          <w:sz w:val="24"/>
          <w:szCs w:val="24"/>
        </w:rPr>
      </w:pPr>
      <w:r w:rsidRPr="000D558D">
        <w:rPr>
          <w:rFonts w:ascii="Palatino Linotype" w:hAnsi="Palatino Linotype"/>
          <w:sz w:val="24"/>
          <w:szCs w:val="24"/>
        </w:rPr>
        <w:t xml:space="preserve">Por su parte, respecto de la información susceptible de ser entregada en </w:t>
      </w:r>
      <w:r w:rsidRPr="000D558D">
        <w:rPr>
          <w:rFonts w:ascii="Palatino Linotype" w:hAnsi="Palatino Linotype"/>
          <w:b/>
          <w:sz w:val="24"/>
          <w:szCs w:val="24"/>
          <w:u w:val="thick"/>
        </w:rPr>
        <w:t>VERSIÓN PÚBLICA</w:t>
      </w:r>
      <w:r w:rsidRPr="000D558D">
        <w:rPr>
          <w:rFonts w:ascii="Palatino Linotype" w:hAnsi="Palatino Linotype"/>
          <w:sz w:val="24"/>
          <w:szCs w:val="24"/>
        </w:rPr>
        <w:t xml:space="preserve">, de manera enunciativa más no limitativa se podría enunciar, la </w:t>
      </w:r>
      <w:r w:rsidRPr="000D558D">
        <w:rPr>
          <w:rFonts w:ascii="Palatino Linotype" w:hAnsi="Palatino Linotype"/>
          <w:b/>
          <w:sz w:val="24"/>
          <w:szCs w:val="24"/>
          <w:u w:val="single"/>
        </w:rPr>
        <w:t>solicitud de empleo</w:t>
      </w:r>
      <w:r w:rsidRPr="000D558D">
        <w:rPr>
          <w:rFonts w:ascii="Palatino Linotype" w:hAnsi="Palatino Linotype"/>
          <w:sz w:val="24"/>
          <w:szCs w:val="24"/>
        </w:rPr>
        <w:t xml:space="preserve">, la </w:t>
      </w:r>
      <w:r w:rsidRPr="000D558D">
        <w:rPr>
          <w:rFonts w:ascii="Palatino Linotype" w:hAnsi="Palatino Linotype"/>
          <w:b/>
          <w:sz w:val="24"/>
          <w:szCs w:val="24"/>
          <w:u w:val="single"/>
        </w:rPr>
        <w:t>Cartilla de Identidad del Servicio Militar Nacional liberada</w:t>
      </w:r>
      <w:r w:rsidRPr="000D558D">
        <w:rPr>
          <w:rFonts w:ascii="Palatino Linotype" w:hAnsi="Palatino Linotype"/>
          <w:sz w:val="24"/>
          <w:szCs w:val="24"/>
        </w:rPr>
        <w:t xml:space="preserve">, los </w:t>
      </w:r>
      <w:r w:rsidRPr="000D558D">
        <w:rPr>
          <w:rFonts w:ascii="Palatino Linotype" w:hAnsi="Palatino Linotype"/>
          <w:b/>
          <w:sz w:val="24"/>
          <w:szCs w:val="24"/>
          <w:u w:val="single"/>
        </w:rPr>
        <w:t>títulos profesionales y/o documentos que acrediten la experiencia mínima</w:t>
      </w:r>
      <w:r w:rsidRPr="000D558D">
        <w:rPr>
          <w:rFonts w:ascii="Palatino Linotype" w:hAnsi="Palatino Linotype"/>
          <w:sz w:val="24"/>
          <w:szCs w:val="24"/>
        </w:rPr>
        <w:t xml:space="preserve">, las </w:t>
      </w:r>
      <w:r w:rsidRPr="000D558D">
        <w:rPr>
          <w:rFonts w:ascii="Palatino Linotype" w:hAnsi="Palatino Linotype"/>
          <w:b/>
          <w:sz w:val="24"/>
          <w:szCs w:val="24"/>
          <w:u w:val="single"/>
        </w:rPr>
        <w:t>certificaciones de competencia laboral</w:t>
      </w:r>
      <w:r w:rsidRPr="000D558D">
        <w:rPr>
          <w:rFonts w:ascii="Palatino Linotype" w:hAnsi="Palatino Linotype"/>
          <w:sz w:val="24"/>
          <w:szCs w:val="24"/>
        </w:rPr>
        <w:t xml:space="preserve">, las </w:t>
      </w:r>
      <w:r w:rsidRPr="000D558D">
        <w:rPr>
          <w:rFonts w:ascii="Palatino Linotype" w:hAnsi="Palatino Linotype"/>
          <w:b/>
          <w:sz w:val="24"/>
          <w:szCs w:val="24"/>
          <w:u w:val="single"/>
        </w:rPr>
        <w:t>constancias de no inhabilitación</w:t>
      </w:r>
      <w:r w:rsidRPr="000D558D">
        <w:rPr>
          <w:rFonts w:ascii="Palatino Linotype" w:hAnsi="Palatino Linotype"/>
          <w:sz w:val="24"/>
          <w:szCs w:val="24"/>
        </w:rPr>
        <w:t xml:space="preserve">, </w:t>
      </w:r>
      <w:r w:rsidRPr="000D558D">
        <w:rPr>
          <w:rFonts w:ascii="Palatino Linotype" w:hAnsi="Palatino Linotype"/>
          <w:b/>
          <w:sz w:val="24"/>
          <w:szCs w:val="24"/>
          <w:u w:val="single"/>
        </w:rPr>
        <w:t xml:space="preserve">cédulas </w:t>
      </w:r>
      <w:r w:rsidRPr="000D558D">
        <w:rPr>
          <w:rFonts w:ascii="Palatino Linotype" w:hAnsi="Palatino Linotype"/>
          <w:b/>
          <w:sz w:val="24"/>
          <w:szCs w:val="24"/>
          <w:u w:val="single"/>
        </w:rPr>
        <w:lastRenderedPageBreak/>
        <w:t>profesionales</w:t>
      </w:r>
      <w:r w:rsidRPr="000D558D">
        <w:rPr>
          <w:rFonts w:ascii="Palatino Linotype" w:hAnsi="Palatino Linotype"/>
          <w:sz w:val="24"/>
          <w:szCs w:val="24"/>
        </w:rPr>
        <w:t xml:space="preserve"> y </w:t>
      </w:r>
      <w:r w:rsidRPr="000D558D">
        <w:rPr>
          <w:rFonts w:ascii="Palatino Linotype" w:hAnsi="Palatino Linotype"/>
          <w:b/>
          <w:i/>
          <w:sz w:val="24"/>
          <w:szCs w:val="24"/>
          <w:u w:val="single"/>
        </w:rPr>
        <w:t>curriculum vitae</w:t>
      </w:r>
      <w:r w:rsidRPr="000D558D">
        <w:rPr>
          <w:rFonts w:ascii="Palatino Linotype" w:hAnsi="Palatino Linotype"/>
          <w:sz w:val="24"/>
          <w:szCs w:val="24"/>
        </w:rPr>
        <w:t xml:space="preserve">, con o sin fotografía, </w:t>
      </w:r>
      <w:r w:rsidRPr="000D558D">
        <w:rPr>
          <w:rFonts w:ascii="Palatino Linotype" w:hAnsi="Palatino Linotype"/>
          <w:b/>
          <w:sz w:val="24"/>
          <w:szCs w:val="24"/>
          <w:u w:val="single"/>
        </w:rPr>
        <w:t>los informes</w:t>
      </w:r>
      <w:r w:rsidRPr="000D558D">
        <w:rPr>
          <w:rFonts w:ascii="Palatino Linotype" w:hAnsi="Palatino Linotype"/>
          <w:sz w:val="24"/>
          <w:szCs w:val="24"/>
        </w:rPr>
        <w:t xml:space="preserve"> y certificados de no antecedentes penales.</w:t>
      </w:r>
    </w:p>
    <w:p w:rsidR="00E25BCD" w:rsidRPr="000D558D" w:rsidRDefault="00E25BCD" w:rsidP="00E25BCD">
      <w:pPr>
        <w:autoSpaceDE w:val="0"/>
        <w:autoSpaceDN w:val="0"/>
        <w:adjustRightInd w:val="0"/>
        <w:spacing w:after="0" w:line="360" w:lineRule="auto"/>
        <w:jc w:val="both"/>
        <w:rPr>
          <w:rFonts w:ascii="Palatino Linotype" w:hAnsi="Palatino Linotype"/>
          <w:sz w:val="24"/>
          <w:szCs w:val="24"/>
        </w:rPr>
      </w:pPr>
    </w:p>
    <w:p w:rsidR="00E25BCD" w:rsidRPr="000D558D" w:rsidRDefault="00E25BCD" w:rsidP="00E25BCD">
      <w:pPr>
        <w:autoSpaceDE w:val="0"/>
        <w:autoSpaceDN w:val="0"/>
        <w:adjustRightInd w:val="0"/>
        <w:spacing w:after="0" w:line="360" w:lineRule="auto"/>
        <w:jc w:val="both"/>
        <w:rPr>
          <w:rFonts w:ascii="Palatino Linotype" w:hAnsi="Palatino Linotype" w:cs="Times"/>
          <w:b/>
          <w:bCs/>
          <w:sz w:val="24"/>
          <w:szCs w:val="24"/>
          <w:shd w:val="clear" w:color="auto" w:fill="FFFFFF"/>
        </w:rPr>
      </w:pPr>
      <w:r w:rsidRPr="000D558D">
        <w:rPr>
          <w:rFonts w:ascii="Palatino Linotype" w:hAnsi="Palatino Linotype"/>
          <w:sz w:val="24"/>
          <w:szCs w:val="24"/>
        </w:rPr>
        <w:t xml:space="preserve">Finalmente, por cuanto hace a la información que debe ser protegida mediante su clasificación como </w:t>
      </w:r>
      <w:r w:rsidRPr="000D558D">
        <w:rPr>
          <w:rFonts w:ascii="Palatino Linotype" w:hAnsi="Palatino Linotype"/>
          <w:b/>
          <w:sz w:val="24"/>
          <w:szCs w:val="24"/>
          <w:u w:val="thick"/>
        </w:rPr>
        <w:t>CONFIDENCIAL</w:t>
      </w:r>
      <w:r w:rsidRPr="000D558D">
        <w:rPr>
          <w:rFonts w:ascii="Palatino Linotype" w:hAnsi="Palatino Linotype"/>
          <w:sz w:val="24"/>
          <w:szCs w:val="24"/>
          <w:u w:val="thick"/>
        </w:rPr>
        <w:t xml:space="preserve"> </w:t>
      </w:r>
      <w:r w:rsidRPr="000D558D">
        <w:rPr>
          <w:rFonts w:ascii="Palatino Linotype" w:hAnsi="Palatino Linotype"/>
          <w:b/>
          <w:sz w:val="24"/>
          <w:szCs w:val="24"/>
          <w:u w:val="thick"/>
        </w:rPr>
        <w:t>en su totalidad</w:t>
      </w:r>
      <w:r w:rsidRPr="000D558D">
        <w:rPr>
          <w:rFonts w:ascii="Palatino Linotype" w:hAnsi="Palatino Linotype"/>
          <w:sz w:val="24"/>
          <w:szCs w:val="24"/>
        </w:rPr>
        <w:t xml:space="preserve">, de manera enunciativa más no limitativa, podemos señalar, el </w:t>
      </w:r>
      <w:r w:rsidRPr="000D558D">
        <w:rPr>
          <w:rFonts w:ascii="Palatino Linotype" w:hAnsi="Palatino Linotype"/>
          <w:b/>
          <w:sz w:val="24"/>
          <w:szCs w:val="24"/>
          <w:u w:val="single"/>
        </w:rPr>
        <w:t>acta de nacimiento</w:t>
      </w:r>
      <w:r w:rsidRPr="000D558D">
        <w:rPr>
          <w:rFonts w:ascii="Palatino Linotype" w:hAnsi="Palatino Linotype"/>
          <w:sz w:val="24"/>
          <w:szCs w:val="24"/>
        </w:rPr>
        <w:t xml:space="preserve">, </w:t>
      </w:r>
      <w:r w:rsidRPr="000D558D">
        <w:rPr>
          <w:rFonts w:ascii="Palatino Linotype" w:hAnsi="Palatino Linotype"/>
          <w:sz w:val="24"/>
          <w:szCs w:val="24"/>
          <w:lang w:val="es-ES"/>
        </w:rPr>
        <w:t>el</w:t>
      </w:r>
      <w:r w:rsidRPr="000D558D">
        <w:rPr>
          <w:rFonts w:ascii="Palatino Linotype" w:hAnsi="Palatino Linotype"/>
          <w:sz w:val="24"/>
          <w:szCs w:val="24"/>
        </w:rPr>
        <w:t xml:space="preserve"> </w:t>
      </w:r>
      <w:r w:rsidRPr="000D558D">
        <w:rPr>
          <w:rFonts w:ascii="Palatino Linotype" w:hAnsi="Palatino Linotype"/>
          <w:b/>
          <w:sz w:val="24"/>
          <w:szCs w:val="24"/>
          <w:u w:val="single"/>
        </w:rPr>
        <w:t xml:space="preserve">certificado de nacionalidad mexicana, el pasaporte, la carta de naturalización, la cédula de identidad ciudadana, la matrícula consular, los certificados médicos, los certificados de deudor o no deudor alimentario moroso, identificaciones oficiales con fotografía, comprobantes domiciliarios, Constancias del Registro Federal de Contribuyentes con </w:t>
      </w:r>
      <w:proofErr w:type="spellStart"/>
      <w:r w:rsidRPr="000D558D">
        <w:rPr>
          <w:rFonts w:ascii="Palatino Linotype" w:hAnsi="Palatino Linotype"/>
          <w:b/>
          <w:sz w:val="24"/>
          <w:szCs w:val="24"/>
          <w:u w:val="single"/>
        </w:rPr>
        <w:t>homoclave</w:t>
      </w:r>
      <w:proofErr w:type="spellEnd"/>
      <w:r w:rsidRPr="000D558D">
        <w:rPr>
          <w:rFonts w:ascii="Palatino Linotype" w:hAnsi="Palatino Linotype"/>
          <w:b/>
          <w:sz w:val="24"/>
          <w:szCs w:val="24"/>
          <w:u w:val="single"/>
        </w:rPr>
        <w:t xml:space="preserve"> y Clave Única de Registro de Población (CURP).</w:t>
      </w:r>
    </w:p>
    <w:p w:rsidR="00E25BCD" w:rsidRPr="000D558D" w:rsidRDefault="00E25BCD" w:rsidP="00E25BCD">
      <w:pPr>
        <w:spacing w:after="0" w:line="360" w:lineRule="auto"/>
        <w:jc w:val="both"/>
        <w:rPr>
          <w:rFonts w:ascii="Palatino Linotype" w:hAnsi="Palatino Linotype" w:cs="Arial"/>
          <w:sz w:val="24"/>
          <w:szCs w:val="24"/>
        </w:rPr>
      </w:pPr>
    </w:p>
    <w:p w:rsidR="00E25BCD" w:rsidRPr="000D558D" w:rsidRDefault="00E25BCD" w:rsidP="00E25BCD">
      <w:pPr>
        <w:spacing w:after="0" w:line="360" w:lineRule="auto"/>
        <w:jc w:val="both"/>
        <w:rPr>
          <w:rFonts w:ascii="Palatino Linotype" w:hAnsi="Palatino Linotype" w:cs="Arial"/>
          <w:sz w:val="24"/>
          <w:szCs w:val="24"/>
        </w:rPr>
      </w:pPr>
      <w:r w:rsidRPr="000D558D">
        <w:rPr>
          <w:rFonts w:ascii="Palatino Linotype" w:hAnsi="Palatino Linotype" w:cs="Arial"/>
          <w:sz w:val="24"/>
          <w:szCs w:val="24"/>
        </w:rPr>
        <w:t xml:space="preserve">Continuando con el estudio de las solicitudes de información, abordaremos lo requerido con el folio </w:t>
      </w:r>
      <w:r w:rsidRPr="000D558D">
        <w:rPr>
          <w:rFonts w:ascii="Palatino Linotype" w:hAnsi="Palatino Linotype" w:cs="Arial"/>
          <w:b/>
          <w:sz w:val="24"/>
          <w:szCs w:val="24"/>
        </w:rPr>
        <w:t>00002/CUAUTIT/IP/2021</w:t>
      </w:r>
      <w:r w:rsidRPr="000D558D">
        <w:rPr>
          <w:rFonts w:ascii="Palatino Linotype" w:hAnsi="Palatino Linotype" w:cs="Arial"/>
          <w:sz w:val="24"/>
          <w:szCs w:val="24"/>
        </w:rPr>
        <w:t xml:space="preserve">; la cual, hace referencia a auditorias por parte del Órgano Superior de Fiscalización del Estado de México </w:t>
      </w:r>
      <w:r w:rsidRPr="000D558D">
        <w:rPr>
          <w:rFonts w:ascii="Palatino Linotype" w:hAnsi="Palatino Linotype" w:cs="Arial"/>
          <w:i/>
          <w:sz w:val="24"/>
          <w:szCs w:val="24"/>
        </w:rPr>
        <w:t>(OSFEM)</w:t>
      </w:r>
      <w:r w:rsidRPr="000D558D">
        <w:rPr>
          <w:rFonts w:ascii="Palatino Linotype" w:hAnsi="Palatino Linotype" w:cs="Arial"/>
          <w:sz w:val="24"/>
          <w:szCs w:val="24"/>
        </w:rPr>
        <w:t xml:space="preserve">, y las acciones ejecutadas por parte de la </w:t>
      </w:r>
      <w:r w:rsidRPr="000D558D">
        <w:rPr>
          <w:rFonts w:ascii="Palatino Linotype" w:hAnsi="Palatino Linotype" w:cs="Arial"/>
          <w:b/>
          <w:sz w:val="24"/>
          <w:szCs w:val="24"/>
        </w:rPr>
        <w:t>Contraloría Municipal del Sujeto Obligado</w:t>
      </w:r>
      <w:r w:rsidRPr="000D558D">
        <w:rPr>
          <w:rFonts w:ascii="Palatino Linotype" w:hAnsi="Palatino Linotype" w:cs="Arial"/>
          <w:sz w:val="24"/>
          <w:szCs w:val="24"/>
        </w:rPr>
        <w:t xml:space="preserve"> para sancionar a servidores públicos que han realizado de manera deficiente sus funciones.</w:t>
      </w:r>
    </w:p>
    <w:p w:rsidR="00E25BCD" w:rsidRPr="000D558D" w:rsidRDefault="00E25BCD" w:rsidP="00E25BCD">
      <w:pPr>
        <w:spacing w:after="0" w:line="360" w:lineRule="auto"/>
        <w:jc w:val="both"/>
        <w:rPr>
          <w:rFonts w:ascii="Palatino Linotype" w:hAnsi="Palatino Linotype" w:cs="Arial"/>
          <w:sz w:val="24"/>
          <w:szCs w:val="24"/>
        </w:rPr>
      </w:pPr>
    </w:p>
    <w:p w:rsidR="00E25BCD" w:rsidRPr="000D558D" w:rsidRDefault="00E25BCD" w:rsidP="00E25BCD">
      <w:pPr>
        <w:spacing w:after="0" w:line="360" w:lineRule="auto"/>
        <w:jc w:val="both"/>
        <w:rPr>
          <w:rFonts w:ascii="Palatino Linotype" w:hAnsi="Palatino Linotype" w:cs="Arial"/>
          <w:sz w:val="24"/>
          <w:szCs w:val="24"/>
        </w:rPr>
      </w:pPr>
      <w:r w:rsidRPr="000D558D">
        <w:rPr>
          <w:rFonts w:ascii="Palatino Linotype" w:hAnsi="Palatino Linotype" w:cs="Arial"/>
          <w:sz w:val="24"/>
          <w:szCs w:val="24"/>
        </w:rPr>
        <w:t xml:space="preserve">Por lo que primeramente, es de destacar que la respuesta emitida por parte del </w:t>
      </w:r>
      <w:r w:rsidRPr="000D558D">
        <w:rPr>
          <w:rFonts w:ascii="Palatino Linotype" w:hAnsi="Palatino Linotype" w:cs="Arial"/>
          <w:b/>
          <w:sz w:val="24"/>
          <w:szCs w:val="24"/>
        </w:rPr>
        <w:t>Servidor Público Habilitado de la Contraloría Municipal del Sujeto Obligado</w:t>
      </w:r>
      <w:r w:rsidRPr="000D558D">
        <w:rPr>
          <w:rFonts w:ascii="Palatino Linotype" w:hAnsi="Palatino Linotype" w:cs="Arial"/>
          <w:sz w:val="24"/>
          <w:szCs w:val="24"/>
        </w:rPr>
        <w:t xml:space="preserve">, se pronunció respecto de todos los puntos solicitados, sin embargo, no remitió documentales que avalen dichas acciones, así que, es necesario retomar los puntos solicitados y la respuesta emitida por parte del </w:t>
      </w:r>
      <w:r w:rsidRPr="000D558D">
        <w:rPr>
          <w:rFonts w:ascii="Palatino Linotype" w:hAnsi="Palatino Linotype" w:cs="Arial"/>
          <w:b/>
          <w:sz w:val="24"/>
          <w:szCs w:val="24"/>
        </w:rPr>
        <w:t>Sujeto  Obligado</w:t>
      </w:r>
      <w:r w:rsidRPr="000D558D">
        <w:rPr>
          <w:rFonts w:ascii="Palatino Linotype" w:hAnsi="Palatino Linotype" w:cs="Arial"/>
          <w:sz w:val="24"/>
          <w:szCs w:val="24"/>
        </w:rPr>
        <w:t>, con la finalidad de verificar si colma con dichos pronunciamientos lo requerido.</w:t>
      </w:r>
    </w:p>
    <w:p w:rsidR="00E25BCD" w:rsidRPr="000D558D" w:rsidRDefault="00E25BCD" w:rsidP="00E25BCD">
      <w:pPr>
        <w:spacing w:after="0" w:line="360" w:lineRule="auto"/>
        <w:ind w:right="49"/>
        <w:jc w:val="both"/>
        <w:rPr>
          <w:rFonts w:ascii="Palatino Linotype" w:hAnsi="Palatino Linotype"/>
          <w:sz w:val="24"/>
          <w:szCs w:val="24"/>
          <w:lang w:eastAsia="es-MX"/>
        </w:rPr>
      </w:pPr>
      <w:r w:rsidRPr="000D558D">
        <w:rPr>
          <w:rFonts w:ascii="Palatino Linotype" w:hAnsi="Palatino Linotype" w:cs="Arial"/>
          <w:sz w:val="24"/>
          <w:szCs w:val="24"/>
        </w:rPr>
        <w:lastRenderedPageBreak/>
        <w:t xml:space="preserve">Así que, referente al </w:t>
      </w:r>
      <w:r w:rsidRPr="000D558D">
        <w:rPr>
          <w:rFonts w:ascii="Palatino Linotype" w:hAnsi="Palatino Linotype"/>
          <w:color w:val="000000"/>
          <w:sz w:val="24"/>
          <w:szCs w:val="24"/>
        </w:rPr>
        <w:t xml:space="preserve">resultado de la auditoría realizada por el </w:t>
      </w:r>
      <w:r w:rsidRPr="000D558D">
        <w:rPr>
          <w:rFonts w:ascii="Palatino Linotype" w:hAnsi="Palatino Linotype"/>
          <w:b/>
          <w:color w:val="000000"/>
          <w:sz w:val="24"/>
          <w:szCs w:val="24"/>
        </w:rPr>
        <w:t>OSFEM</w:t>
      </w:r>
      <w:r w:rsidRPr="000D558D">
        <w:rPr>
          <w:rFonts w:ascii="Palatino Linotype" w:hAnsi="Palatino Linotype"/>
          <w:color w:val="000000"/>
          <w:sz w:val="24"/>
          <w:szCs w:val="24"/>
        </w:rPr>
        <w:t xml:space="preserve"> y que es lo que ha hecho al respecto, el </w:t>
      </w:r>
      <w:r w:rsidRPr="000D558D">
        <w:rPr>
          <w:rFonts w:ascii="Palatino Linotype" w:hAnsi="Palatino Linotype"/>
          <w:b/>
          <w:color w:val="000000"/>
          <w:sz w:val="24"/>
          <w:szCs w:val="24"/>
        </w:rPr>
        <w:t>Sujeto Obligado</w:t>
      </w:r>
      <w:r w:rsidRPr="000D558D">
        <w:rPr>
          <w:rFonts w:ascii="Palatino Linotype" w:hAnsi="Palatino Linotype"/>
          <w:color w:val="000000"/>
          <w:sz w:val="24"/>
          <w:szCs w:val="24"/>
        </w:rPr>
        <w:t xml:space="preserve"> únicamente comunicó que no sabía a qué auditoría estaba haciendo referencia el solicitante; por lo que, </w:t>
      </w:r>
      <w:r w:rsidRPr="000D558D">
        <w:rPr>
          <w:rFonts w:ascii="Palatino Linotype" w:hAnsi="Palatino Linotype"/>
          <w:sz w:val="24"/>
          <w:szCs w:val="24"/>
          <w:lang w:eastAsia="es-MX"/>
        </w:rPr>
        <w:t xml:space="preserve">conforme a lo dispuesto en los artículos 1, 2, fracción V; 8, fracciones I y XV; 13, fracción IV;  de la Ley de Fiscalización Superior del Estado de México, ésta tiene por objeto establecer las disposiciones para fiscalizar, auditar, revisar, substanciar, resolver y sancionar las cuentas y actos relativos a la aplicación de los fondos públicos del Estado y de los Municipios. </w:t>
      </w:r>
    </w:p>
    <w:p w:rsidR="00E25BCD" w:rsidRPr="000D558D" w:rsidRDefault="00E25BCD" w:rsidP="00E25BCD">
      <w:pPr>
        <w:spacing w:after="0" w:line="360" w:lineRule="auto"/>
        <w:ind w:right="49"/>
        <w:jc w:val="both"/>
        <w:rPr>
          <w:rFonts w:ascii="Palatino Linotype" w:hAnsi="Palatino Linotype"/>
          <w:sz w:val="24"/>
          <w:szCs w:val="24"/>
          <w:lang w:eastAsia="es-MX"/>
        </w:rPr>
      </w:pPr>
    </w:p>
    <w:p w:rsidR="00E25BCD" w:rsidRPr="000D558D" w:rsidRDefault="00E25BCD" w:rsidP="00E25BCD">
      <w:pPr>
        <w:spacing w:after="0" w:line="360" w:lineRule="auto"/>
        <w:ind w:right="49"/>
        <w:jc w:val="both"/>
        <w:rPr>
          <w:rFonts w:ascii="Palatino Linotype" w:hAnsi="Palatino Linotype"/>
          <w:sz w:val="24"/>
          <w:szCs w:val="24"/>
          <w:lang w:eastAsia="es-MX"/>
        </w:rPr>
      </w:pPr>
      <w:r w:rsidRPr="000D558D">
        <w:rPr>
          <w:rFonts w:ascii="Palatino Linotype" w:hAnsi="Palatino Linotype"/>
          <w:sz w:val="24"/>
          <w:szCs w:val="24"/>
          <w:lang w:eastAsia="es-MX"/>
        </w:rPr>
        <w:t xml:space="preserve">Organizar el funcionamiento y atribuciones del Órgano Superior de Fiscalización del Estado de México, el cual tiene entre sus atribuciones, fiscalizar en todo momento los ingresos y egresos de las entidades fiscalizables a efecto de comprobar que su recaudación, administración y aplicación se apegue a las disposiciones legales, administrativas, presupuestales, financieras y de planeación aplicables y rendir los informes a la Comisión sobre el resultado de la verificación de los informes trimestrales, los estados de origen y aplicación de recursos de las entidades fiscalizables, entre otras. </w:t>
      </w:r>
    </w:p>
    <w:p w:rsidR="00E25BCD" w:rsidRPr="000D558D" w:rsidRDefault="00E25BCD" w:rsidP="00E25BCD">
      <w:pPr>
        <w:spacing w:after="0" w:line="360" w:lineRule="auto"/>
        <w:ind w:right="49"/>
        <w:jc w:val="both"/>
        <w:rPr>
          <w:rFonts w:ascii="Palatino Linotype" w:hAnsi="Palatino Linotype"/>
          <w:sz w:val="24"/>
          <w:szCs w:val="24"/>
          <w:lang w:eastAsia="es-MX"/>
        </w:rPr>
      </w:pPr>
    </w:p>
    <w:p w:rsidR="00E25BCD" w:rsidRPr="000D558D" w:rsidRDefault="00E25BCD" w:rsidP="00E25BCD">
      <w:pPr>
        <w:spacing w:after="0" w:line="360" w:lineRule="auto"/>
        <w:ind w:right="49"/>
        <w:jc w:val="both"/>
        <w:rPr>
          <w:rFonts w:ascii="Palatino Linotype" w:hAnsi="Palatino Linotype"/>
          <w:sz w:val="24"/>
          <w:szCs w:val="24"/>
          <w:lang w:eastAsia="es-MX"/>
        </w:rPr>
      </w:pPr>
      <w:r w:rsidRPr="000D558D">
        <w:rPr>
          <w:rFonts w:ascii="Palatino Linotype" w:hAnsi="Palatino Linotype"/>
          <w:sz w:val="24"/>
          <w:szCs w:val="24"/>
          <w:lang w:eastAsia="es-MX"/>
        </w:rPr>
        <w:t xml:space="preserve">Por su parte, el </w:t>
      </w:r>
      <w:r w:rsidRPr="000D558D">
        <w:rPr>
          <w:rFonts w:ascii="Palatino Linotype" w:hAnsi="Palatino Linotype"/>
          <w:b/>
          <w:sz w:val="24"/>
          <w:szCs w:val="24"/>
          <w:lang w:eastAsia="es-MX"/>
        </w:rPr>
        <w:t>Auditor Superior</w:t>
      </w:r>
      <w:r w:rsidRPr="000D558D">
        <w:rPr>
          <w:rFonts w:ascii="Palatino Linotype" w:hAnsi="Palatino Linotype"/>
          <w:sz w:val="24"/>
          <w:szCs w:val="24"/>
          <w:lang w:eastAsia="es-MX"/>
        </w:rPr>
        <w:t xml:space="preserve"> deberá formular los pliegos de observaciones y recomendaciones necesarias a las entidades fiscalizables, así como verificar su debida cumplimentación, entendiendo por  “</w:t>
      </w:r>
      <w:r w:rsidRPr="000D558D">
        <w:rPr>
          <w:rFonts w:ascii="Palatino Linotype" w:hAnsi="Palatino Linotype"/>
          <w:b/>
          <w:sz w:val="24"/>
          <w:szCs w:val="24"/>
          <w:lang w:eastAsia="es-MX"/>
        </w:rPr>
        <w:t>entidades fiscalizables</w:t>
      </w:r>
      <w:r w:rsidRPr="000D558D">
        <w:rPr>
          <w:rFonts w:ascii="Palatino Linotype" w:hAnsi="Palatino Linotype"/>
          <w:sz w:val="24"/>
          <w:szCs w:val="24"/>
          <w:lang w:eastAsia="es-MX"/>
        </w:rPr>
        <w:t xml:space="preserve">” a los Poderes Públicos, Municipios, organismos autónomos, organismos auxiliares y demás entes públicos que manejen recursos del Estado y Municipios. </w:t>
      </w:r>
    </w:p>
    <w:p w:rsidR="00E25BCD" w:rsidRPr="000D558D" w:rsidRDefault="00E25BCD" w:rsidP="00E25BCD">
      <w:pPr>
        <w:spacing w:after="0" w:line="360" w:lineRule="auto"/>
        <w:ind w:right="49"/>
        <w:jc w:val="both"/>
        <w:rPr>
          <w:rFonts w:ascii="Palatino Linotype" w:hAnsi="Palatino Linotype"/>
          <w:sz w:val="24"/>
          <w:szCs w:val="24"/>
          <w:lang w:eastAsia="es-MX"/>
        </w:rPr>
      </w:pPr>
      <w:r w:rsidRPr="000D558D">
        <w:rPr>
          <w:rFonts w:ascii="Palatino Linotype" w:hAnsi="Palatino Linotype"/>
          <w:sz w:val="24"/>
          <w:szCs w:val="24"/>
          <w:lang w:eastAsia="es-MX"/>
        </w:rPr>
        <w:lastRenderedPageBreak/>
        <w:t>Ahora bien, conforme a lo dispuesto en los artículos 3, fracción II, 18, fracciones III y IX; 19, fracciones II y VIII y 22, fracción X del “</w:t>
      </w:r>
      <w:r w:rsidRPr="000D558D">
        <w:rPr>
          <w:rFonts w:ascii="Palatino Linotype" w:hAnsi="Palatino Linotype"/>
          <w:b/>
          <w:sz w:val="24"/>
          <w:szCs w:val="24"/>
          <w:lang w:eastAsia="es-MX"/>
        </w:rPr>
        <w:t>Reglamento Interior del Órgano Superior de Fiscalización del Estado de México</w:t>
      </w:r>
      <w:r w:rsidRPr="000D558D">
        <w:rPr>
          <w:rFonts w:ascii="Palatino Linotype" w:hAnsi="Palatino Linotype"/>
          <w:sz w:val="24"/>
          <w:szCs w:val="24"/>
          <w:lang w:eastAsia="es-MX"/>
        </w:rPr>
        <w:t>”, “</w:t>
      </w:r>
      <w:r w:rsidRPr="000D558D">
        <w:rPr>
          <w:rFonts w:ascii="Palatino Linotype" w:hAnsi="Palatino Linotype"/>
          <w:b/>
          <w:sz w:val="24"/>
          <w:szCs w:val="24"/>
          <w:lang w:eastAsia="es-MX"/>
        </w:rPr>
        <w:t>OSFEM</w:t>
      </w:r>
      <w:r w:rsidRPr="000D558D">
        <w:rPr>
          <w:rFonts w:ascii="Palatino Linotype" w:hAnsi="Palatino Linotype"/>
          <w:sz w:val="24"/>
          <w:szCs w:val="24"/>
          <w:lang w:eastAsia="es-MX"/>
        </w:rPr>
        <w:t xml:space="preserve">”, para el ejercicio de sus atribuciones contará, entre sus unidades administrativas, con la </w:t>
      </w:r>
      <w:r w:rsidRPr="000D558D">
        <w:rPr>
          <w:rFonts w:ascii="Palatino Linotype" w:hAnsi="Palatino Linotype"/>
          <w:b/>
          <w:i/>
          <w:sz w:val="24"/>
          <w:szCs w:val="24"/>
          <w:lang w:eastAsia="es-MX"/>
        </w:rPr>
        <w:t>“Auditoría Especial de Informes Mensuales, Planeación e Investigación”</w:t>
      </w:r>
      <w:r w:rsidRPr="000D558D">
        <w:rPr>
          <w:rFonts w:ascii="Palatino Linotype" w:hAnsi="Palatino Linotype"/>
          <w:sz w:val="24"/>
          <w:szCs w:val="24"/>
          <w:lang w:eastAsia="es-MX"/>
        </w:rPr>
        <w:t xml:space="preserve">, que entre sus atribuciones tiene ordenar la práctica de actos de fiscalización a las entidades fiscalizables correspondientes, conforme al Programa Anual de Fiscalización aprobado; emitir los pliegos de observaciones o recomendaciones y demás documentos derivados de los actos de fiscalización que practiquen las unidades administrativas a su cargo. </w:t>
      </w:r>
    </w:p>
    <w:p w:rsidR="00E25BCD" w:rsidRPr="000D558D" w:rsidRDefault="00E25BCD" w:rsidP="00E25BCD">
      <w:pPr>
        <w:spacing w:after="0" w:line="360" w:lineRule="auto"/>
        <w:ind w:right="49"/>
        <w:jc w:val="both"/>
        <w:rPr>
          <w:rFonts w:ascii="Palatino Linotype" w:hAnsi="Palatino Linotype"/>
          <w:sz w:val="24"/>
          <w:szCs w:val="24"/>
          <w:lang w:eastAsia="es-MX"/>
        </w:rPr>
      </w:pPr>
    </w:p>
    <w:p w:rsidR="00E25BCD" w:rsidRPr="000D558D" w:rsidRDefault="00E25BCD" w:rsidP="00E25BCD">
      <w:pPr>
        <w:spacing w:after="0" w:line="360" w:lineRule="auto"/>
        <w:ind w:right="49"/>
        <w:jc w:val="both"/>
        <w:rPr>
          <w:rFonts w:ascii="Palatino Linotype" w:hAnsi="Palatino Linotype"/>
          <w:sz w:val="24"/>
          <w:szCs w:val="24"/>
          <w:lang w:eastAsia="es-MX"/>
        </w:rPr>
      </w:pPr>
      <w:r w:rsidRPr="000D558D">
        <w:rPr>
          <w:rFonts w:ascii="Palatino Linotype" w:hAnsi="Palatino Linotype"/>
          <w:sz w:val="24"/>
          <w:szCs w:val="24"/>
          <w:lang w:eastAsia="es-MX"/>
        </w:rPr>
        <w:t xml:space="preserve">A su vez, contará con la </w:t>
      </w:r>
      <w:r w:rsidRPr="000D558D">
        <w:rPr>
          <w:rFonts w:ascii="Palatino Linotype" w:hAnsi="Palatino Linotype"/>
          <w:b/>
          <w:i/>
          <w:sz w:val="24"/>
          <w:szCs w:val="24"/>
          <w:lang w:eastAsia="es-MX"/>
        </w:rPr>
        <w:t>“Dirección de Fiscalización e Integración de Cuenta Pública”</w:t>
      </w:r>
      <w:r w:rsidRPr="000D558D">
        <w:rPr>
          <w:rFonts w:ascii="Palatino Linotype" w:hAnsi="Palatino Linotype"/>
          <w:sz w:val="24"/>
          <w:szCs w:val="24"/>
          <w:lang w:eastAsia="es-MX"/>
        </w:rPr>
        <w:t xml:space="preserve"> la cual tendrá entre sus atribuciones “coordinar la remisión de los pliegos de observaciones a la “Unidad de </w:t>
      </w:r>
      <w:proofErr w:type="spellStart"/>
      <w:r w:rsidRPr="000D558D">
        <w:rPr>
          <w:rFonts w:ascii="Palatino Linotype" w:hAnsi="Palatino Linotype"/>
          <w:sz w:val="24"/>
          <w:szCs w:val="24"/>
          <w:lang w:eastAsia="es-MX"/>
        </w:rPr>
        <w:t>Solventaciones</w:t>
      </w:r>
      <w:proofErr w:type="spellEnd"/>
      <w:r w:rsidRPr="000D558D">
        <w:rPr>
          <w:rFonts w:ascii="Palatino Linotype" w:hAnsi="Palatino Linotype"/>
          <w:sz w:val="24"/>
          <w:szCs w:val="24"/>
          <w:lang w:eastAsia="es-MX"/>
        </w:rPr>
        <w:t xml:space="preserve">” para el desahogo de la etapa de aclaración, Dirección que tiene bajo su adscripción al </w:t>
      </w:r>
      <w:r w:rsidRPr="000D558D">
        <w:rPr>
          <w:rFonts w:ascii="Palatino Linotype" w:hAnsi="Palatino Linotype"/>
          <w:b/>
          <w:i/>
          <w:sz w:val="24"/>
          <w:szCs w:val="24"/>
          <w:lang w:eastAsia="es-MX"/>
        </w:rPr>
        <w:t>“Departamento de Fiscalización de Informes Mensuales Municipales”</w:t>
      </w:r>
      <w:r w:rsidRPr="000D558D">
        <w:rPr>
          <w:rFonts w:ascii="Palatino Linotype" w:hAnsi="Palatino Linotype"/>
          <w:sz w:val="24"/>
          <w:szCs w:val="24"/>
          <w:lang w:eastAsia="es-MX"/>
        </w:rPr>
        <w:t xml:space="preserve">,  el cual coordinara y supervisará las actividades de fiscalización relacionadas con los informes mensuales de las entidades fiscalizables, entre las que se encuentran los municipios, como fue analizado. </w:t>
      </w:r>
    </w:p>
    <w:p w:rsidR="00E25BCD" w:rsidRPr="000D558D" w:rsidRDefault="00E25BCD" w:rsidP="00E25BCD">
      <w:pPr>
        <w:spacing w:after="0" w:line="360" w:lineRule="auto"/>
        <w:ind w:right="49"/>
        <w:jc w:val="both"/>
        <w:rPr>
          <w:rFonts w:ascii="Palatino Linotype" w:hAnsi="Palatino Linotype"/>
          <w:sz w:val="24"/>
          <w:szCs w:val="24"/>
          <w:lang w:eastAsia="es-MX"/>
        </w:rPr>
      </w:pPr>
    </w:p>
    <w:p w:rsidR="00E25BCD" w:rsidRPr="000D558D" w:rsidRDefault="00E25BCD" w:rsidP="00E25BCD">
      <w:pPr>
        <w:spacing w:after="0" w:line="360" w:lineRule="auto"/>
        <w:ind w:right="49"/>
        <w:jc w:val="both"/>
        <w:rPr>
          <w:rFonts w:ascii="Palatino Linotype" w:hAnsi="Palatino Linotype"/>
          <w:sz w:val="24"/>
          <w:szCs w:val="24"/>
          <w:lang w:eastAsia="es-MX"/>
        </w:rPr>
      </w:pPr>
      <w:r w:rsidRPr="000D558D">
        <w:rPr>
          <w:rFonts w:ascii="Palatino Linotype" w:hAnsi="Palatino Linotype"/>
          <w:sz w:val="24"/>
          <w:szCs w:val="24"/>
          <w:lang w:eastAsia="es-MX"/>
        </w:rPr>
        <w:t xml:space="preserve">Cabe destacar que en términos de lo dispuesto en el artículo 46, fracciones I, II, III y VI, del Reglamento Interior del OSFEM, la </w:t>
      </w:r>
      <w:r w:rsidRPr="000D558D">
        <w:rPr>
          <w:rFonts w:ascii="Palatino Linotype" w:hAnsi="Palatino Linotype"/>
          <w:b/>
          <w:sz w:val="24"/>
          <w:szCs w:val="24"/>
          <w:lang w:eastAsia="es-MX"/>
        </w:rPr>
        <w:t xml:space="preserve">Unidad de </w:t>
      </w:r>
      <w:proofErr w:type="spellStart"/>
      <w:r w:rsidRPr="000D558D">
        <w:rPr>
          <w:rFonts w:ascii="Palatino Linotype" w:hAnsi="Palatino Linotype"/>
          <w:b/>
          <w:sz w:val="24"/>
          <w:szCs w:val="24"/>
          <w:lang w:eastAsia="es-MX"/>
        </w:rPr>
        <w:t>Solventaciones</w:t>
      </w:r>
      <w:proofErr w:type="spellEnd"/>
      <w:r w:rsidRPr="000D558D">
        <w:rPr>
          <w:rFonts w:ascii="Palatino Linotype" w:hAnsi="Palatino Linotype"/>
          <w:sz w:val="24"/>
          <w:szCs w:val="24"/>
          <w:lang w:eastAsia="es-MX"/>
        </w:rPr>
        <w:t xml:space="preserve">, recibirá y dará seguimiento a los pliegos de observaciones que le sean remitidos; instruirá la atención a los servidores públicos de las entidades fiscalizables o quienes hayan dejado de serlo, así como a las personas autorizadas, para solventar las observaciones determinadas por el Órgano Superior;  recibirá  y turnará los oficios de respuesta </w:t>
      </w:r>
      <w:r w:rsidRPr="000D558D">
        <w:rPr>
          <w:rFonts w:ascii="Palatino Linotype" w:hAnsi="Palatino Linotype"/>
          <w:sz w:val="24"/>
          <w:szCs w:val="24"/>
          <w:lang w:eastAsia="es-MX"/>
        </w:rPr>
        <w:lastRenderedPageBreak/>
        <w:t xml:space="preserve">formulados para la </w:t>
      </w:r>
      <w:proofErr w:type="spellStart"/>
      <w:r w:rsidRPr="000D558D">
        <w:rPr>
          <w:rFonts w:ascii="Palatino Linotype" w:hAnsi="Palatino Linotype"/>
          <w:sz w:val="24"/>
          <w:szCs w:val="24"/>
          <w:lang w:eastAsia="es-MX"/>
        </w:rPr>
        <w:t>solventación</w:t>
      </w:r>
      <w:proofErr w:type="spellEnd"/>
      <w:r w:rsidRPr="000D558D">
        <w:rPr>
          <w:rFonts w:ascii="Palatino Linotype" w:hAnsi="Palatino Linotype"/>
          <w:sz w:val="24"/>
          <w:szCs w:val="24"/>
          <w:lang w:eastAsia="es-MX"/>
        </w:rPr>
        <w:t xml:space="preserve"> de observaciones derivadas de los actos de fiscalización; coordinará el desahogo de la etapa de aclaración a los servidores públicos de las entidades fiscalizables o quienes hayan dejado de serlo, para solventar, reparar o manifestar lo que a su interés convenga;  determinará si la documentación y demás elementos presentados son o no suficientes para aclarar, solventar o demostrar que el daño ha quedado reparado, entre otras atribuciones.  </w:t>
      </w:r>
    </w:p>
    <w:p w:rsidR="00E25BCD" w:rsidRPr="000D558D" w:rsidRDefault="00E25BCD" w:rsidP="00E25BCD">
      <w:pPr>
        <w:spacing w:after="0" w:line="360" w:lineRule="auto"/>
        <w:ind w:right="49"/>
        <w:jc w:val="both"/>
        <w:rPr>
          <w:rFonts w:ascii="Palatino Linotype" w:hAnsi="Palatino Linotype"/>
          <w:sz w:val="24"/>
          <w:szCs w:val="24"/>
          <w:lang w:eastAsia="es-MX"/>
        </w:rPr>
      </w:pPr>
    </w:p>
    <w:p w:rsidR="00E25BCD" w:rsidRPr="000D558D" w:rsidRDefault="00E25BCD" w:rsidP="00E25BCD">
      <w:pPr>
        <w:spacing w:after="0" w:line="360" w:lineRule="auto"/>
        <w:ind w:right="49"/>
        <w:jc w:val="both"/>
        <w:rPr>
          <w:rFonts w:ascii="Palatino Linotype" w:hAnsi="Palatino Linotype"/>
          <w:sz w:val="24"/>
          <w:szCs w:val="24"/>
          <w:lang w:eastAsia="es-MX"/>
        </w:rPr>
      </w:pPr>
      <w:r w:rsidRPr="000D558D">
        <w:rPr>
          <w:rFonts w:ascii="Palatino Linotype" w:hAnsi="Palatino Linotype"/>
          <w:sz w:val="24"/>
          <w:szCs w:val="24"/>
          <w:lang w:eastAsia="es-MX"/>
        </w:rPr>
        <w:t xml:space="preserve">Normatividad de la que se colige que si bien la fiscalización de los informes mensuales de los municipios corresponde al OSFEM a través de sus áreas administrativas descritas,  para lo cual emitirá los respectivos pliegos de observaciones o recomendaciones y demás documentos derivados de los actos de fiscalización, éstos se harán del conocimiento, a través de la Unidad de </w:t>
      </w:r>
      <w:proofErr w:type="spellStart"/>
      <w:r w:rsidRPr="000D558D">
        <w:rPr>
          <w:rFonts w:ascii="Palatino Linotype" w:hAnsi="Palatino Linotype"/>
          <w:sz w:val="24"/>
          <w:szCs w:val="24"/>
          <w:lang w:eastAsia="es-MX"/>
        </w:rPr>
        <w:t>Solventaciones</w:t>
      </w:r>
      <w:proofErr w:type="spellEnd"/>
      <w:r w:rsidRPr="000D558D">
        <w:rPr>
          <w:rFonts w:ascii="Palatino Linotype" w:hAnsi="Palatino Linotype"/>
          <w:sz w:val="24"/>
          <w:szCs w:val="24"/>
          <w:lang w:eastAsia="es-MX"/>
        </w:rPr>
        <w:t>, a los servidores públicos adscritos a las entidades fiscalizables, para que a su vez, en la etapa de aclaración, solventen, reparen o manifiesten lo que a su interés convenga.</w:t>
      </w:r>
    </w:p>
    <w:p w:rsidR="00E25BCD" w:rsidRPr="000D558D" w:rsidRDefault="00E25BCD" w:rsidP="00E25BCD">
      <w:pPr>
        <w:spacing w:after="0" w:line="360" w:lineRule="auto"/>
        <w:ind w:right="49"/>
        <w:jc w:val="both"/>
        <w:rPr>
          <w:rFonts w:ascii="Palatino Linotype" w:hAnsi="Palatino Linotype"/>
          <w:sz w:val="24"/>
          <w:szCs w:val="24"/>
          <w:lang w:eastAsia="es-MX"/>
        </w:rPr>
      </w:pPr>
    </w:p>
    <w:p w:rsidR="00E25BCD" w:rsidRPr="000D558D" w:rsidRDefault="00E25BCD" w:rsidP="00E25BCD">
      <w:pPr>
        <w:spacing w:after="0" w:line="360" w:lineRule="auto"/>
        <w:ind w:right="49"/>
        <w:jc w:val="both"/>
        <w:rPr>
          <w:rFonts w:ascii="Palatino Linotype" w:hAnsi="Palatino Linotype"/>
          <w:sz w:val="24"/>
          <w:lang w:eastAsia="es-MX"/>
        </w:rPr>
      </w:pPr>
      <w:r w:rsidRPr="000D558D">
        <w:rPr>
          <w:rFonts w:ascii="Palatino Linotype" w:hAnsi="Palatino Linotype"/>
          <w:sz w:val="24"/>
          <w:lang w:eastAsia="es-MX"/>
        </w:rPr>
        <w:t xml:space="preserve">En ese tenor, el </w:t>
      </w:r>
      <w:r w:rsidRPr="000D558D">
        <w:rPr>
          <w:rFonts w:ascii="Palatino Linotype" w:hAnsi="Palatino Linotype"/>
          <w:b/>
          <w:sz w:val="24"/>
          <w:lang w:eastAsia="es-MX"/>
        </w:rPr>
        <w:t>Sujeto Obligado</w:t>
      </w:r>
      <w:r w:rsidRPr="000D558D">
        <w:rPr>
          <w:rFonts w:ascii="Palatino Linotype" w:hAnsi="Palatino Linotype"/>
          <w:sz w:val="24"/>
          <w:lang w:eastAsia="es-MX"/>
        </w:rPr>
        <w:t xml:space="preserve"> tiene la posibilidad de atender el requerimiento del particular, toda vez que en caso de existir observaciones o recomendaciones a sus informes mensuales correspondientes durante el año 2020, podrá otorgar satisfacción al derecho de acceso a la información del hoy</w:t>
      </w:r>
      <w:r w:rsidRPr="000D558D">
        <w:rPr>
          <w:rFonts w:ascii="Palatino Linotype" w:hAnsi="Palatino Linotype"/>
          <w:b/>
          <w:sz w:val="24"/>
          <w:lang w:eastAsia="es-MX"/>
        </w:rPr>
        <w:t xml:space="preserve"> Recurrente</w:t>
      </w:r>
      <w:r w:rsidRPr="000D558D">
        <w:rPr>
          <w:rFonts w:ascii="Palatino Linotype" w:hAnsi="Palatino Linotype"/>
          <w:sz w:val="24"/>
          <w:lang w:eastAsia="es-MX"/>
        </w:rPr>
        <w:t xml:space="preserve">.   </w:t>
      </w:r>
    </w:p>
    <w:p w:rsidR="00E25BCD" w:rsidRPr="000D558D" w:rsidRDefault="00E25BCD" w:rsidP="00E25BCD">
      <w:pPr>
        <w:spacing w:after="0" w:line="360" w:lineRule="auto"/>
        <w:ind w:right="49"/>
        <w:jc w:val="both"/>
        <w:rPr>
          <w:rFonts w:ascii="Palatino Linotype" w:hAnsi="Palatino Linotype"/>
          <w:sz w:val="24"/>
          <w:lang w:eastAsia="es-MX"/>
        </w:rPr>
      </w:pPr>
    </w:p>
    <w:p w:rsidR="00E25BCD" w:rsidRPr="000D558D" w:rsidRDefault="00E25BCD" w:rsidP="00E25BCD">
      <w:pPr>
        <w:spacing w:after="0" w:line="360" w:lineRule="auto"/>
        <w:ind w:right="49"/>
        <w:jc w:val="both"/>
        <w:rPr>
          <w:rFonts w:ascii="Palatino Linotype" w:hAnsi="Palatino Linotype"/>
          <w:sz w:val="24"/>
          <w:lang w:eastAsia="es-MX"/>
        </w:rPr>
      </w:pPr>
      <w:r w:rsidRPr="000D558D">
        <w:rPr>
          <w:rFonts w:ascii="Palatino Linotype" w:hAnsi="Palatino Linotype"/>
          <w:sz w:val="24"/>
          <w:lang w:eastAsia="es-MX"/>
        </w:rPr>
        <w:t xml:space="preserve">Aunado lo anterior, se destaca que la información solicitada por el particular, se encuentra relacionada con  la obligación de transparencia prevista en el artículo 92, fracción XXVIII de la Ley de Transparencia en la materia que dispone: </w:t>
      </w:r>
    </w:p>
    <w:p w:rsidR="00E25BCD" w:rsidRPr="000D558D" w:rsidRDefault="00E25BCD" w:rsidP="00E25BCD">
      <w:pPr>
        <w:spacing w:after="0" w:line="360" w:lineRule="auto"/>
        <w:ind w:right="49"/>
        <w:jc w:val="both"/>
        <w:rPr>
          <w:rFonts w:ascii="Palatino Linotype" w:hAnsi="Palatino Linotype"/>
          <w:sz w:val="24"/>
          <w:lang w:eastAsia="es-MX"/>
        </w:rPr>
      </w:pPr>
    </w:p>
    <w:p w:rsidR="00E25BCD" w:rsidRPr="000D558D" w:rsidRDefault="00E25BCD" w:rsidP="00E25BCD">
      <w:pPr>
        <w:autoSpaceDE w:val="0"/>
        <w:autoSpaceDN w:val="0"/>
        <w:adjustRightInd w:val="0"/>
        <w:spacing w:after="0" w:line="240" w:lineRule="auto"/>
        <w:ind w:left="851" w:right="900"/>
        <w:jc w:val="both"/>
        <w:rPr>
          <w:rFonts w:ascii="Palatino Linotype" w:eastAsiaTheme="minorEastAsia" w:hAnsi="Palatino Linotype" w:cs="Bookman Old Style"/>
          <w:i/>
        </w:rPr>
      </w:pPr>
      <w:r w:rsidRPr="000D558D">
        <w:rPr>
          <w:rFonts w:ascii="Palatino Linotype" w:eastAsiaTheme="minorEastAsia" w:hAnsi="Palatino Linotype" w:cs="Bookman Old Style,Bold"/>
          <w:bCs/>
          <w:i/>
        </w:rPr>
        <w:lastRenderedPageBreak/>
        <w:t>“</w:t>
      </w:r>
      <w:r w:rsidRPr="000D558D">
        <w:rPr>
          <w:rFonts w:ascii="Palatino Linotype" w:eastAsiaTheme="minorEastAsia" w:hAnsi="Palatino Linotype" w:cs="Bookman Old Style,Bold"/>
          <w:b/>
          <w:bCs/>
          <w:i/>
        </w:rPr>
        <w:t xml:space="preserve">Artículo 92. </w:t>
      </w:r>
      <w:r w:rsidRPr="000D558D">
        <w:rPr>
          <w:rFonts w:ascii="Palatino Linotype" w:eastAsiaTheme="minorEastAsia" w:hAnsi="Palatino Linotype" w:cs="Bookman Old Style"/>
          <w:i/>
        </w:rPr>
        <w:t>Los sujetos obligados deberán poner a disposición del público de manera permanente y actualizada de forma sencilla, precisa y entendible, en los respectivos medios electrónicos, de acuerdo con sus facultades, atribuciones, funciones u objeto social, según corresponda, la información, por lo menos, de los temas, documentos y políticas que a continuación se señalan:</w:t>
      </w:r>
    </w:p>
    <w:p w:rsidR="00E25BCD" w:rsidRPr="000D558D" w:rsidRDefault="00E25BCD" w:rsidP="00E25BCD">
      <w:pPr>
        <w:autoSpaceDE w:val="0"/>
        <w:autoSpaceDN w:val="0"/>
        <w:adjustRightInd w:val="0"/>
        <w:spacing w:after="0" w:line="240" w:lineRule="auto"/>
        <w:ind w:left="851" w:right="900"/>
        <w:jc w:val="both"/>
        <w:rPr>
          <w:rFonts w:ascii="Palatino Linotype" w:eastAsiaTheme="minorEastAsia" w:hAnsi="Palatino Linotype" w:cs="Bookman Old Style"/>
          <w:i/>
        </w:rPr>
      </w:pPr>
      <w:r w:rsidRPr="000D558D">
        <w:rPr>
          <w:rFonts w:ascii="Palatino Linotype" w:eastAsiaTheme="minorEastAsia" w:hAnsi="Palatino Linotype" w:cs="Bookman Old Style"/>
          <w:i/>
        </w:rPr>
        <w:t>(…)</w:t>
      </w:r>
    </w:p>
    <w:p w:rsidR="00E25BCD" w:rsidRPr="000D558D" w:rsidRDefault="00E25BCD" w:rsidP="00E25BCD">
      <w:pPr>
        <w:autoSpaceDE w:val="0"/>
        <w:autoSpaceDN w:val="0"/>
        <w:adjustRightInd w:val="0"/>
        <w:spacing w:after="0" w:line="240" w:lineRule="auto"/>
        <w:ind w:left="851" w:right="900"/>
        <w:jc w:val="both"/>
        <w:rPr>
          <w:rFonts w:ascii="Palatino Linotype" w:eastAsiaTheme="minorEastAsia" w:hAnsi="Palatino Linotype" w:cs="Bookman Old Style"/>
          <w:i/>
        </w:rPr>
      </w:pPr>
      <w:r w:rsidRPr="000D558D">
        <w:rPr>
          <w:rFonts w:ascii="Palatino Linotype" w:eastAsiaTheme="minorEastAsia" w:hAnsi="Palatino Linotype" w:cs="Bookman Old Style,Bold"/>
          <w:b/>
          <w:bCs/>
          <w:i/>
        </w:rPr>
        <w:t xml:space="preserve">XXVIII. </w:t>
      </w:r>
      <w:r w:rsidRPr="000D558D">
        <w:rPr>
          <w:rFonts w:ascii="Palatino Linotype" w:eastAsiaTheme="minorEastAsia" w:hAnsi="Palatino Linotype" w:cs="Bookman Old Style"/>
          <w:i/>
        </w:rPr>
        <w:t>Los informes de resultados de las auditorías al ejercicio presupuestal de cada sujeto obligado que se realicen y, en su caso, las aclaraciones que correspondan;</w:t>
      </w:r>
    </w:p>
    <w:p w:rsidR="00E25BCD" w:rsidRPr="000D558D" w:rsidRDefault="00E25BCD" w:rsidP="00E25BCD">
      <w:pPr>
        <w:autoSpaceDE w:val="0"/>
        <w:autoSpaceDN w:val="0"/>
        <w:adjustRightInd w:val="0"/>
        <w:spacing w:after="0" w:line="240" w:lineRule="auto"/>
        <w:ind w:left="143" w:right="900" w:firstLine="708"/>
        <w:jc w:val="both"/>
        <w:rPr>
          <w:rFonts w:ascii="Palatino Linotype" w:eastAsiaTheme="minorEastAsia" w:hAnsi="Palatino Linotype" w:cs="Bookman Old Style"/>
          <w:i/>
        </w:rPr>
      </w:pPr>
      <w:r w:rsidRPr="000D558D">
        <w:rPr>
          <w:rFonts w:ascii="Palatino Linotype" w:eastAsiaTheme="minorEastAsia" w:hAnsi="Palatino Linotype" w:cs="Bookman Old Style"/>
          <w:i/>
        </w:rPr>
        <w:t>(…)”</w:t>
      </w:r>
    </w:p>
    <w:p w:rsidR="00E25BCD" w:rsidRPr="000D558D" w:rsidRDefault="00E25BCD" w:rsidP="00E25BCD">
      <w:pPr>
        <w:autoSpaceDE w:val="0"/>
        <w:autoSpaceDN w:val="0"/>
        <w:adjustRightInd w:val="0"/>
        <w:ind w:right="900"/>
        <w:jc w:val="both"/>
        <w:rPr>
          <w:rFonts w:ascii="Palatino Linotype" w:eastAsiaTheme="minorEastAsia" w:hAnsi="Palatino Linotype" w:cs="Bookman Old Style"/>
          <w:i/>
          <w:sz w:val="20"/>
          <w:szCs w:val="20"/>
        </w:rPr>
      </w:pPr>
    </w:p>
    <w:p w:rsidR="00E25BCD" w:rsidRPr="000D558D" w:rsidRDefault="00E25BCD" w:rsidP="00E25BCD">
      <w:pPr>
        <w:spacing w:after="0" w:line="360" w:lineRule="auto"/>
        <w:jc w:val="both"/>
        <w:rPr>
          <w:rFonts w:ascii="Palatino Linotype" w:eastAsiaTheme="minorEastAsia" w:hAnsi="Palatino Linotype" w:cs="Bookman Old Style"/>
          <w:sz w:val="24"/>
        </w:rPr>
      </w:pPr>
      <w:r w:rsidRPr="000D558D">
        <w:rPr>
          <w:rFonts w:ascii="Palatino Linotype" w:eastAsiaTheme="minorEastAsia" w:hAnsi="Palatino Linotype" w:cs="Bookman Old Style"/>
          <w:sz w:val="24"/>
        </w:rPr>
        <w:t xml:space="preserve">Información que conforme a los </w:t>
      </w:r>
      <w:r w:rsidRPr="000D558D">
        <w:rPr>
          <w:rFonts w:ascii="Palatino Linotype" w:eastAsia="Calibri" w:hAnsi="Palatino Linotype"/>
          <w:sz w:val="24"/>
        </w:rPr>
        <w:t xml:space="preserve">“Lineamientos Técnicos Generales para la Publicación, Homologación y Estandarización de la Información de las Obligaciones establecidas en el Título Quinto y en la Fracción IV del artículos 31 de la Ley General de Transparencia y Acceso a la Información Pública, que deberán difundir los Sujetos Obligados en los Portales de Internet y en la Plataforma Nacional de Transparencia”, relacionado con el artículo 70 de la Ley General de Transparencia y Acceso a la Información Pública,   que de manera análoga prevé en su fracción XXIV la obligación de transparencia consistente en “Los informes de resultados de las auditorías al ejercicio presupuestal de cada sujeto obligado que se realicen y, en su caso, las aclaraciones que correspondan;”, determinado que dicha información </w:t>
      </w:r>
      <w:r w:rsidRPr="000D558D">
        <w:rPr>
          <w:rFonts w:ascii="Palatino Linotype" w:eastAsiaTheme="minorEastAsia" w:hAnsi="Palatino Linotype" w:cs="Bookman Old Style"/>
          <w:sz w:val="24"/>
        </w:rPr>
        <w:t xml:space="preserve">  debe ser publicada por todo Sujeto Obligado, </w:t>
      </w:r>
      <w:proofErr w:type="spellStart"/>
      <w:r w:rsidRPr="000D558D">
        <w:rPr>
          <w:rFonts w:ascii="Palatino Linotype" w:eastAsiaTheme="minorEastAsia" w:hAnsi="Palatino Linotype" w:cs="Bookman Old Style"/>
          <w:sz w:val="24"/>
        </w:rPr>
        <w:t>aún</w:t>
      </w:r>
      <w:proofErr w:type="spellEnd"/>
      <w:r w:rsidRPr="000D558D">
        <w:rPr>
          <w:rFonts w:ascii="Palatino Linotype" w:eastAsiaTheme="minorEastAsia" w:hAnsi="Palatino Linotype" w:cs="Bookman Old Style"/>
          <w:sz w:val="24"/>
        </w:rPr>
        <w:t xml:space="preserve"> cuando su seguimiento no esté concluido, como se advierte enseguida: </w:t>
      </w:r>
    </w:p>
    <w:p w:rsidR="00E25BCD" w:rsidRPr="000D558D" w:rsidRDefault="00E25BCD" w:rsidP="00E25BCD">
      <w:pPr>
        <w:autoSpaceDE w:val="0"/>
        <w:autoSpaceDN w:val="0"/>
        <w:adjustRightInd w:val="0"/>
        <w:spacing w:after="0"/>
        <w:ind w:right="900"/>
        <w:jc w:val="both"/>
        <w:rPr>
          <w:rFonts w:ascii="Palatino Linotype" w:eastAsiaTheme="minorEastAsia" w:hAnsi="Palatino Linotype" w:cs="Bookman Old Style"/>
          <w:i/>
          <w:sz w:val="14"/>
        </w:rPr>
      </w:pPr>
    </w:p>
    <w:p w:rsidR="00E25BCD" w:rsidRPr="000D558D" w:rsidRDefault="00E25BCD" w:rsidP="00E25BCD">
      <w:pPr>
        <w:autoSpaceDE w:val="0"/>
        <w:autoSpaceDN w:val="0"/>
        <w:adjustRightInd w:val="0"/>
        <w:ind w:left="567" w:right="567"/>
        <w:jc w:val="both"/>
        <w:rPr>
          <w:rFonts w:ascii="Palatino Linotype" w:eastAsiaTheme="minorEastAsia" w:hAnsi="Palatino Linotype" w:cs="CIDFont+F3"/>
          <w:i/>
        </w:rPr>
      </w:pPr>
      <w:r w:rsidRPr="000D558D">
        <w:rPr>
          <w:rFonts w:ascii="Palatino Linotype" w:eastAsiaTheme="minorEastAsia" w:hAnsi="Palatino Linotype" w:cs="Bookman Old Style"/>
          <w:i/>
        </w:rPr>
        <w:t xml:space="preserve">“Las Auditorías son verificaciones a fin de comprobar el cumplimiento de objetivos fiscales; sirven para </w:t>
      </w:r>
      <w:r w:rsidRPr="000D558D">
        <w:rPr>
          <w:rFonts w:ascii="Palatino Linotype" w:eastAsiaTheme="minorEastAsia" w:hAnsi="Palatino Linotype" w:cs="CIDFont+F3"/>
          <w:i/>
        </w:rPr>
        <w:t>responsabilizar a los sujetos obligados y/o servidores(as) públicos(as), integrantes y/o miembros, así como toda persona que desempeñe un empleo, cargo o comisión y/o ejerza actos de autoridad en los sujetos obligados, sobre el manejo de los recursos presupuestarios que utilizan para la realización de sus funciones y la prestación de servicios hacia la ciudadanía, de acuerdo con los documentos normativos que correspondan.</w:t>
      </w:r>
    </w:p>
    <w:p w:rsidR="00E25BCD" w:rsidRPr="000D558D" w:rsidRDefault="00E25BCD" w:rsidP="00E25BCD">
      <w:pPr>
        <w:autoSpaceDE w:val="0"/>
        <w:autoSpaceDN w:val="0"/>
        <w:adjustRightInd w:val="0"/>
        <w:spacing w:after="0"/>
        <w:ind w:left="567" w:right="567"/>
        <w:jc w:val="both"/>
        <w:rPr>
          <w:rFonts w:ascii="Palatino Linotype" w:eastAsiaTheme="minorEastAsia" w:hAnsi="Palatino Linotype" w:cs="CIDFont+F3"/>
          <w:i/>
        </w:rPr>
      </w:pPr>
      <w:r w:rsidRPr="000D558D">
        <w:rPr>
          <w:rFonts w:ascii="Palatino Linotype" w:eastAsiaTheme="minorEastAsia" w:hAnsi="Palatino Linotype" w:cs="CIDFont+F3"/>
          <w:i/>
          <w:u w:val="single"/>
        </w:rPr>
        <w:lastRenderedPageBreak/>
        <w:t>Los resultados de estas verificaciones, mismos que emiten los órganos fiscalizadores, deben ser publicados por el sujeto obligado, así como las aclaraciones correspondientes aun cuando su seguimiento no esté concluido</w:t>
      </w:r>
      <w:r w:rsidRPr="000D558D">
        <w:rPr>
          <w:rFonts w:ascii="Palatino Linotype" w:eastAsiaTheme="minorEastAsia" w:hAnsi="Palatino Linotype" w:cs="CIDFont+F3"/>
          <w:i/>
        </w:rPr>
        <w:t>.</w:t>
      </w:r>
    </w:p>
    <w:p w:rsidR="00E25BCD" w:rsidRPr="000D558D" w:rsidRDefault="00E25BCD" w:rsidP="00E25BCD">
      <w:pPr>
        <w:autoSpaceDE w:val="0"/>
        <w:autoSpaceDN w:val="0"/>
        <w:adjustRightInd w:val="0"/>
        <w:spacing w:after="0"/>
        <w:ind w:left="567" w:right="567"/>
        <w:jc w:val="both"/>
        <w:rPr>
          <w:rFonts w:ascii="Palatino Linotype" w:eastAsiaTheme="minorEastAsia" w:hAnsi="Palatino Linotype" w:cs="CIDFont+F3"/>
          <w:i/>
        </w:rPr>
      </w:pPr>
    </w:p>
    <w:p w:rsidR="00E25BCD" w:rsidRPr="000D558D" w:rsidRDefault="00E25BCD" w:rsidP="00E25BCD">
      <w:pPr>
        <w:autoSpaceDE w:val="0"/>
        <w:autoSpaceDN w:val="0"/>
        <w:adjustRightInd w:val="0"/>
        <w:spacing w:after="0"/>
        <w:ind w:left="567" w:right="567"/>
        <w:jc w:val="both"/>
        <w:rPr>
          <w:rFonts w:ascii="Palatino Linotype" w:eastAsiaTheme="minorEastAsia" w:hAnsi="Palatino Linotype" w:cs="CIDFont+F3"/>
          <w:i/>
        </w:rPr>
      </w:pPr>
      <w:r w:rsidRPr="000D558D">
        <w:rPr>
          <w:rFonts w:ascii="Palatino Linotype" w:eastAsiaTheme="minorEastAsia" w:hAnsi="Palatino Linotype" w:cs="CIDFont+F3"/>
          <w:i/>
        </w:rPr>
        <w:t>El sujeto obligado deberá ordenar la información en dos rubros:</w:t>
      </w:r>
    </w:p>
    <w:p w:rsidR="00E25BCD" w:rsidRPr="000D558D" w:rsidRDefault="00E25BCD" w:rsidP="00E25BCD">
      <w:pPr>
        <w:pStyle w:val="Prrafodelista"/>
        <w:numPr>
          <w:ilvl w:val="0"/>
          <w:numId w:val="25"/>
        </w:numPr>
        <w:autoSpaceDE w:val="0"/>
        <w:autoSpaceDN w:val="0"/>
        <w:adjustRightInd w:val="0"/>
        <w:ind w:left="567" w:right="567"/>
        <w:contextualSpacing/>
        <w:jc w:val="both"/>
        <w:rPr>
          <w:rFonts w:ascii="Palatino Linotype" w:eastAsiaTheme="minorEastAsia" w:hAnsi="Palatino Linotype" w:cs="CIDFont+F3"/>
          <w:i/>
          <w:sz w:val="22"/>
          <w:szCs w:val="22"/>
          <w:lang w:val="es-MX"/>
        </w:rPr>
      </w:pPr>
      <w:r w:rsidRPr="000D558D">
        <w:rPr>
          <w:rFonts w:ascii="Palatino Linotype" w:eastAsiaTheme="minorEastAsia" w:hAnsi="Palatino Linotype" w:cs="CIDFont+F3"/>
          <w:i/>
          <w:sz w:val="22"/>
          <w:szCs w:val="22"/>
          <w:lang w:val="es-MX"/>
        </w:rPr>
        <w:t>Auditorías Internas</w:t>
      </w:r>
    </w:p>
    <w:p w:rsidR="00E25BCD" w:rsidRPr="000D558D" w:rsidRDefault="00E25BCD" w:rsidP="00E25BCD">
      <w:pPr>
        <w:pStyle w:val="Prrafodelista"/>
        <w:numPr>
          <w:ilvl w:val="0"/>
          <w:numId w:val="25"/>
        </w:numPr>
        <w:autoSpaceDE w:val="0"/>
        <w:autoSpaceDN w:val="0"/>
        <w:adjustRightInd w:val="0"/>
        <w:ind w:left="567" w:right="567"/>
        <w:contextualSpacing/>
        <w:jc w:val="both"/>
        <w:rPr>
          <w:rFonts w:ascii="Palatino Linotype" w:eastAsiaTheme="minorEastAsia" w:hAnsi="Palatino Linotype" w:cs="CIDFont+F3"/>
          <w:i/>
          <w:sz w:val="22"/>
          <w:szCs w:val="22"/>
          <w:lang w:val="es-MX"/>
        </w:rPr>
      </w:pPr>
      <w:r w:rsidRPr="000D558D">
        <w:rPr>
          <w:rFonts w:ascii="Palatino Linotype" w:eastAsiaTheme="minorEastAsia" w:hAnsi="Palatino Linotype" w:cs="CIDFont+F3"/>
          <w:i/>
          <w:sz w:val="22"/>
          <w:szCs w:val="22"/>
          <w:lang w:val="es-MX"/>
        </w:rPr>
        <w:t>Auditorías Externas</w:t>
      </w:r>
    </w:p>
    <w:p w:rsidR="00E25BCD" w:rsidRPr="000D558D" w:rsidRDefault="00E25BCD" w:rsidP="00E25BCD">
      <w:pPr>
        <w:autoSpaceDE w:val="0"/>
        <w:autoSpaceDN w:val="0"/>
        <w:adjustRightInd w:val="0"/>
        <w:spacing w:after="0"/>
        <w:ind w:left="567" w:right="567"/>
        <w:jc w:val="both"/>
        <w:rPr>
          <w:rFonts w:ascii="Palatino Linotype" w:eastAsiaTheme="minorEastAsia" w:hAnsi="Palatino Linotype" w:cs="CIDFont+F3"/>
          <w:i/>
        </w:rPr>
      </w:pPr>
    </w:p>
    <w:p w:rsidR="00E25BCD" w:rsidRPr="000D558D" w:rsidRDefault="00E25BCD" w:rsidP="00E25BCD">
      <w:pPr>
        <w:autoSpaceDE w:val="0"/>
        <w:autoSpaceDN w:val="0"/>
        <w:adjustRightInd w:val="0"/>
        <w:spacing w:after="0"/>
        <w:ind w:left="567" w:right="567"/>
        <w:jc w:val="both"/>
        <w:rPr>
          <w:rFonts w:ascii="Palatino Linotype" w:eastAsiaTheme="minorEastAsia" w:hAnsi="Palatino Linotype" w:cs="CIDFont+F3"/>
          <w:i/>
        </w:rPr>
      </w:pPr>
      <w:r w:rsidRPr="000D558D">
        <w:rPr>
          <w:rFonts w:ascii="Palatino Linotype" w:eastAsiaTheme="minorEastAsia" w:hAnsi="Palatino Linotype" w:cs="CIDFont+F3"/>
          <w:i/>
        </w:rPr>
        <w:t xml:space="preserve">Las auditorías internas se refieren a las revisiones realizadas por los órganos internos de control o contralorías de cada sujeto obligado, los cuales actúan a lo largo de todo el año o durante la gestión del sujeto. Las auditorías externas se refieren a las revisiones realizadas por el </w:t>
      </w:r>
      <w:r w:rsidRPr="000D558D">
        <w:rPr>
          <w:rFonts w:ascii="Palatino Linotype" w:eastAsiaTheme="minorEastAsia" w:hAnsi="Palatino Linotype" w:cs="CIDFont+F4"/>
          <w:i/>
        </w:rPr>
        <w:t>organismo fiscalizador encargado de la entidad que corresponda</w:t>
      </w:r>
      <w:r w:rsidRPr="000D558D">
        <w:rPr>
          <w:rStyle w:val="Refdenotaalpie"/>
          <w:rFonts w:ascii="Palatino Linotype" w:eastAsiaTheme="minorEastAsia" w:hAnsi="Palatino Linotype" w:cs="CIDFont+F4"/>
          <w:i/>
        </w:rPr>
        <w:footnoteReference w:id="3"/>
      </w:r>
      <w:r w:rsidRPr="000D558D">
        <w:rPr>
          <w:rFonts w:ascii="Palatino Linotype" w:eastAsiaTheme="minorEastAsia" w:hAnsi="Palatino Linotype" w:cs="CIDFont+F4"/>
          <w:i/>
        </w:rPr>
        <w:t xml:space="preserve"> </w:t>
      </w:r>
      <w:r w:rsidRPr="000D558D">
        <w:rPr>
          <w:rFonts w:ascii="Palatino Linotype" w:eastAsiaTheme="minorEastAsia" w:hAnsi="Palatino Linotype" w:cs="CIDFont+F3"/>
          <w:i/>
        </w:rPr>
        <w:t>, así como por las organizaciones, instituciones, consultoras u homólogas externas que el sujeto obligado haya contratado para tal finalidad. Además, en el rubro correspondiente a esta fracción se publicarán los datos obtenidos de las revisiones hechas por la Auditoría Superior de la Federación (ASF) independientemente del nivel del sujeto obligado…”</w:t>
      </w:r>
    </w:p>
    <w:p w:rsidR="00E25BCD" w:rsidRPr="000D558D" w:rsidRDefault="00E25BCD" w:rsidP="00E25BCD">
      <w:pPr>
        <w:autoSpaceDE w:val="0"/>
        <w:autoSpaceDN w:val="0"/>
        <w:adjustRightInd w:val="0"/>
        <w:spacing w:line="360" w:lineRule="auto"/>
        <w:ind w:right="49"/>
        <w:jc w:val="both"/>
        <w:rPr>
          <w:rFonts w:ascii="Palatino Linotype" w:eastAsiaTheme="minorEastAsia" w:hAnsi="Palatino Linotype" w:cs="CIDFont+F3"/>
          <w:sz w:val="8"/>
        </w:rPr>
      </w:pPr>
    </w:p>
    <w:p w:rsidR="00E25BCD" w:rsidRPr="000D558D" w:rsidRDefault="00E25BCD" w:rsidP="00E25BCD">
      <w:pPr>
        <w:autoSpaceDE w:val="0"/>
        <w:autoSpaceDN w:val="0"/>
        <w:adjustRightInd w:val="0"/>
        <w:spacing w:line="360" w:lineRule="auto"/>
        <w:ind w:right="49"/>
        <w:jc w:val="both"/>
        <w:rPr>
          <w:rFonts w:ascii="Palatino Linotype" w:eastAsiaTheme="minorEastAsia" w:hAnsi="Palatino Linotype" w:cs="CIDFont+F3"/>
          <w:sz w:val="24"/>
        </w:rPr>
      </w:pPr>
      <w:r w:rsidRPr="000D558D">
        <w:rPr>
          <w:rFonts w:ascii="Palatino Linotype" w:eastAsiaTheme="minorEastAsia" w:hAnsi="Palatino Linotype" w:cs="CIDFont+F3"/>
          <w:sz w:val="24"/>
        </w:rPr>
        <w:t>Asimismo, se prevén, en lo que al presente estudio interesa, los siguientes “Criterios sustantivos de contenido”  y “Adjetivos de Actualización”:</w:t>
      </w:r>
    </w:p>
    <w:p w:rsidR="00E25BCD" w:rsidRPr="000D558D" w:rsidRDefault="00E25BCD" w:rsidP="00E25BCD">
      <w:pPr>
        <w:autoSpaceDE w:val="0"/>
        <w:autoSpaceDN w:val="0"/>
        <w:adjustRightInd w:val="0"/>
        <w:spacing w:line="360" w:lineRule="auto"/>
        <w:ind w:right="49"/>
        <w:jc w:val="center"/>
        <w:rPr>
          <w:noProof/>
          <w:lang w:eastAsia="es-MX"/>
        </w:rPr>
      </w:pPr>
      <w:r w:rsidRPr="000D558D">
        <w:rPr>
          <w:noProof/>
          <w:lang w:eastAsia="es-MX"/>
        </w:rPr>
        <w:drawing>
          <wp:inline distT="0" distB="0" distL="0" distR="0" wp14:anchorId="1615F4CD" wp14:editId="635D2A06">
            <wp:extent cx="4103203" cy="2782957"/>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091" t="14401" r="26323" b="11273"/>
                    <a:stretch/>
                  </pic:blipFill>
                  <pic:spPr bwMode="auto">
                    <a:xfrm>
                      <a:off x="0" y="0"/>
                      <a:ext cx="4152431" cy="2816346"/>
                    </a:xfrm>
                    <a:prstGeom prst="rect">
                      <a:avLst/>
                    </a:prstGeom>
                    <a:ln>
                      <a:noFill/>
                    </a:ln>
                    <a:extLst>
                      <a:ext uri="{53640926-AAD7-44D8-BBD7-CCE9431645EC}">
                        <a14:shadowObscured xmlns:a14="http://schemas.microsoft.com/office/drawing/2010/main"/>
                      </a:ext>
                    </a:extLst>
                  </pic:spPr>
                </pic:pic>
              </a:graphicData>
            </a:graphic>
          </wp:inline>
        </w:drawing>
      </w:r>
    </w:p>
    <w:p w:rsidR="00E25BCD" w:rsidRPr="000D558D" w:rsidRDefault="00E25BCD" w:rsidP="00E25BCD">
      <w:pPr>
        <w:autoSpaceDE w:val="0"/>
        <w:autoSpaceDN w:val="0"/>
        <w:adjustRightInd w:val="0"/>
        <w:spacing w:line="360" w:lineRule="auto"/>
        <w:ind w:right="49"/>
        <w:jc w:val="center"/>
        <w:rPr>
          <w:rFonts w:ascii="Palatino Linotype" w:eastAsiaTheme="minorEastAsia" w:hAnsi="Palatino Linotype" w:cs="CIDFont+F3"/>
        </w:rPr>
      </w:pPr>
      <w:r w:rsidRPr="000D558D">
        <w:rPr>
          <w:noProof/>
          <w:lang w:eastAsia="es-MX"/>
        </w:rPr>
        <w:lastRenderedPageBreak/>
        <w:drawing>
          <wp:inline distT="0" distB="0" distL="0" distR="0" wp14:anchorId="082218F3" wp14:editId="1F23E3EB">
            <wp:extent cx="4234180" cy="352857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0491" t="14045" r="26223" b="8962"/>
                    <a:stretch/>
                  </pic:blipFill>
                  <pic:spPr bwMode="auto">
                    <a:xfrm>
                      <a:off x="0" y="0"/>
                      <a:ext cx="4276317" cy="3563689"/>
                    </a:xfrm>
                    <a:prstGeom prst="rect">
                      <a:avLst/>
                    </a:prstGeom>
                    <a:ln>
                      <a:noFill/>
                    </a:ln>
                    <a:extLst>
                      <a:ext uri="{53640926-AAD7-44D8-BBD7-CCE9431645EC}">
                        <a14:shadowObscured xmlns:a14="http://schemas.microsoft.com/office/drawing/2010/main"/>
                      </a:ext>
                    </a:extLst>
                  </pic:spPr>
                </pic:pic>
              </a:graphicData>
            </a:graphic>
          </wp:inline>
        </w:drawing>
      </w:r>
    </w:p>
    <w:p w:rsidR="00E25BCD" w:rsidRPr="000D558D" w:rsidRDefault="00E25BCD" w:rsidP="00E25BCD">
      <w:pPr>
        <w:autoSpaceDE w:val="0"/>
        <w:autoSpaceDN w:val="0"/>
        <w:adjustRightInd w:val="0"/>
        <w:spacing w:line="360" w:lineRule="auto"/>
        <w:ind w:right="49"/>
        <w:jc w:val="center"/>
        <w:rPr>
          <w:rFonts w:ascii="Palatino Linotype" w:hAnsi="Palatino Linotype"/>
          <w:lang w:eastAsia="es-MX"/>
        </w:rPr>
      </w:pPr>
      <w:r w:rsidRPr="000D558D">
        <w:rPr>
          <w:noProof/>
          <w:lang w:eastAsia="es-MX"/>
        </w:rPr>
        <w:drawing>
          <wp:inline distT="0" distB="0" distL="0" distR="0" wp14:anchorId="3EEB6658" wp14:editId="67C20BBE">
            <wp:extent cx="4543951" cy="3572510"/>
            <wp:effectExtent l="0" t="0" r="9525" b="889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292" t="16889" r="20422" b="9492"/>
                    <a:stretch/>
                  </pic:blipFill>
                  <pic:spPr bwMode="auto">
                    <a:xfrm>
                      <a:off x="0" y="0"/>
                      <a:ext cx="4576853" cy="3598378"/>
                    </a:xfrm>
                    <a:prstGeom prst="rect">
                      <a:avLst/>
                    </a:prstGeom>
                    <a:ln>
                      <a:noFill/>
                    </a:ln>
                    <a:extLst>
                      <a:ext uri="{53640926-AAD7-44D8-BBD7-CCE9431645EC}">
                        <a14:shadowObscured xmlns:a14="http://schemas.microsoft.com/office/drawing/2010/main"/>
                      </a:ext>
                    </a:extLst>
                  </pic:spPr>
                </pic:pic>
              </a:graphicData>
            </a:graphic>
          </wp:inline>
        </w:drawing>
      </w:r>
    </w:p>
    <w:p w:rsidR="00E25BCD" w:rsidRPr="000D558D" w:rsidRDefault="00E25BCD" w:rsidP="00E25BCD">
      <w:pPr>
        <w:spacing w:after="0" w:line="360" w:lineRule="auto"/>
        <w:ind w:right="49"/>
        <w:jc w:val="both"/>
        <w:rPr>
          <w:rFonts w:ascii="Palatino Linotype" w:hAnsi="Palatino Linotype"/>
          <w:sz w:val="24"/>
          <w:lang w:eastAsia="es-MX"/>
        </w:rPr>
      </w:pPr>
      <w:r w:rsidRPr="000D558D">
        <w:rPr>
          <w:rFonts w:ascii="Palatino Linotype" w:hAnsi="Palatino Linotype"/>
          <w:sz w:val="24"/>
          <w:lang w:eastAsia="es-MX"/>
        </w:rPr>
        <w:lastRenderedPageBreak/>
        <w:t xml:space="preserve">Por lo que éste Instituto, en términos de los artículos 13 y 181, párrafo cuarto de la Ley de Transparencia supra indicada, para mejor proveer al derecho humano de acceso a la información pública del requirente y considerando la fecha de ingreso de la solicitud de información, 19 de agosto de 2019 y la fecha de emisión de la presente resolución, es procedente </w:t>
      </w:r>
      <w:r w:rsidRPr="000D558D">
        <w:rPr>
          <w:rFonts w:ascii="Palatino Linotype" w:hAnsi="Palatino Linotype"/>
          <w:b/>
          <w:sz w:val="24"/>
          <w:lang w:eastAsia="es-MX"/>
        </w:rPr>
        <w:t>ordenar</w:t>
      </w:r>
      <w:r w:rsidRPr="000D558D">
        <w:rPr>
          <w:rFonts w:ascii="Palatino Linotype" w:hAnsi="Palatino Linotype"/>
          <w:sz w:val="24"/>
          <w:lang w:eastAsia="es-MX"/>
        </w:rPr>
        <w:t xml:space="preserve"> al </w:t>
      </w:r>
      <w:r w:rsidRPr="000D558D">
        <w:rPr>
          <w:rFonts w:ascii="Palatino Linotype" w:hAnsi="Palatino Linotype"/>
          <w:b/>
          <w:sz w:val="24"/>
          <w:lang w:eastAsia="es-MX"/>
        </w:rPr>
        <w:t>Sujeto Obligado</w:t>
      </w:r>
      <w:r w:rsidRPr="000D558D">
        <w:rPr>
          <w:rFonts w:ascii="Palatino Linotype" w:hAnsi="Palatino Linotype"/>
          <w:sz w:val="24"/>
          <w:lang w:eastAsia="es-MX"/>
        </w:rPr>
        <w:t xml:space="preserve">, entregue al peticionario, previa búsqueda exhaustiva y razonable, en su caso en versión pública, los resultados de las observaciones emitidas por el OSFEM, del ejercicio fiscal 2020.   </w:t>
      </w:r>
    </w:p>
    <w:p w:rsidR="00E25BCD" w:rsidRPr="000D558D" w:rsidRDefault="00E25BCD" w:rsidP="00E25BCD">
      <w:pPr>
        <w:spacing w:after="0" w:line="360" w:lineRule="auto"/>
        <w:ind w:right="49"/>
        <w:jc w:val="both"/>
        <w:rPr>
          <w:rFonts w:ascii="Palatino Linotype" w:hAnsi="Palatino Linotype"/>
          <w:sz w:val="24"/>
          <w:szCs w:val="24"/>
          <w:lang w:eastAsia="es-MX"/>
        </w:rPr>
      </w:pPr>
    </w:p>
    <w:p w:rsidR="00E25BCD" w:rsidRPr="000D558D" w:rsidRDefault="00E25BCD" w:rsidP="00E25BCD">
      <w:pPr>
        <w:spacing w:after="0" w:line="360" w:lineRule="auto"/>
        <w:ind w:right="49"/>
        <w:jc w:val="both"/>
        <w:rPr>
          <w:rFonts w:ascii="Palatino Linotype" w:hAnsi="Palatino Linotype"/>
          <w:color w:val="000000"/>
          <w:sz w:val="24"/>
          <w:szCs w:val="24"/>
        </w:rPr>
      </w:pPr>
      <w:r w:rsidRPr="000D558D">
        <w:rPr>
          <w:rFonts w:ascii="Palatino Linotype" w:hAnsi="Palatino Linotype"/>
          <w:sz w:val="24"/>
          <w:szCs w:val="24"/>
          <w:lang w:eastAsia="es-MX"/>
        </w:rPr>
        <w:t xml:space="preserve">Por otra parte, el punto anteriormente estipulado, viene concatenado con lo solicitado al </w:t>
      </w:r>
      <w:r w:rsidRPr="000D558D">
        <w:rPr>
          <w:rFonts w:ascii="Palatino Linotype" w:hAnsi="Palatino Linotype"/>
          <w:b/>
          <w:color w:val="000000"/>
          <w:sz w:val="24"/>
          <w:szCs w:val="24"/>
          <w:u w:val="thick"/>
        </w:rPr>
        <w:t>soporte documental de las auditorias, arqueos de caja y/o cualquier auditoria interna realizadas a la Tesorería Municipal</w:t>
      </w:r>
      <w:r w:rsidRPr="000D558D">
        <w:rPr>
          <w:rFonts w:ascii="Palatino Linotype" w:hAnsi="Palatino Linotype"/>
          <w:color w:val="000000"/>
          <w:sz w:val="24"/>
          <w:szCs w:val="24"/>
        </w:rPr>
        <w:t>, así que de conformidad con los artículos 55 y 56 del Bando Municipal de Cuautitlán, Estado De México 2020, establece lo siguiente:</w:t>
      </w:r>
    </w:p>
    <w:p w:rsidR="00E25BCD" w:rsidRPr="000D558D" w:rsidRDefault="00E25BCD" w:rsidP="00E25BCD">
      <w:pPr>
        <w:spacing w:after="0" w:line="360" w:lineRule="auto"/>
        <w:ind w:right="49"/>
        <w:jc w:val="both"/>
        <w:rPr>
          <w:rFonts w:ascii="Palatino Linotype" w:hAnsi="Palatino Linotype"/>
          <w:color w:val="000000"/>
          <w:sz w:val="16"/>
          <w:szCs w:val="24"/>
        </w:rPr>
      </w:pPr>
    </w:p>
    <w:p w:rsidR="00E25BCD" w:rsidRPr="000D558D" w:rsidRDefault="00E25BCD" w:rsidP="00E25BCD">
      <w:pPr>
        <w:spacing w:after="0" w:line="240" w:lineRule="auto"/>
        <w:ind w:left="567" w:right="567"/>
        <w:jc w:val="center"/>
        <w:rPr>
          <w:rFonts w:ascii="Palatino Linotype" w:hAnsi="Palatino Linotype"/>
          <w:b/>
          <w:i/>
        </w:rPr>
      </w:pPr>
      <w:r w:rsidRPr="000D558D">
        <w:rPr>
          <w:rFonts w:ascii="Palatino Linotype" w:hAnsi="Palatino Linotype"/>
          <w:b/>
          <w:i/>
        </w:rPr>
        <w:t>Capítulo III</w:t>
      </w:r>
    </w:p>
    <w:p w:rsidR="00E25BCD" w:rsidRPr="000D558D" w:rsidRDefault="00E25BCD" w:rsidP="00E25BCD">
      <w:pPr>
        <w:spacing w:after="0" w:line="240" w:lineRule="auto"/>
        <w:ind w:left="567" w:right="567"/>
        <w:jc w:val="center"/>
        <w:rPr>
          <w:rFonts w:ascii="Palatino Linotype" w:hAnsi="Palatino Linotype"/>
          <w:b/>
          <w:i/>
        </w:rPr>
      </w:pPr>
      <w:r w:rsidRPr="000D558D">
        <w:rPr>
          <w:rFonts w:ascii="Palatino Linotype" w:hAnsi="Palatino Linotype"/>
          <w:b/>
          <w:i/>
        </w:rPr>
        <w:t>De la Contraloría Municipal</w:t>
      </w:r>
    </w:p>
    <w:p w:rsidR="00E25BCD" w:rsidRPr="000D558D" w:rsidRDefault="00E25BCD" w:rsidP="00E25BCD">
      <w:pPr>
        <w:spacing w:after="0" w:line="240" w:lineRule="auto"/>
        <w:ind w:left="567" w:right="567"/>
        <w:jc w:val="center"/>
        <w:rPr>
          <w:rFonts w:ascii="Palatino Linotype" w:hAnsi="Palatino Linotype"/>
          <w:b/>
          <w:i/>
        </w:rPr>
      </w:pPr>
    </w:p>
    <w:p w:rsidR="00E25BCD" w:rsidRPr="000D558D" w:rsidRDefault="00E25BCD" w:rsidP="00E25BCD">
      <w:pPr>
        <w:spacing w:after="0" w:line="240" w:lineRule="auto"/>
        <w:ind w:left="567" w:right="567"/>
        <w:jc w:val="both"/>
        <w:rPr>
          <w:rFonts w:ascii="Palatino Linotype" w:hAnsi="Palatino Linotype"/>
          <w:i/>
        </w:rPr>
      </w:pPr>
      <w:r w:rsidRPr="000D558D">
        <w:rPr>
          <w:rFonts w:ascii="Palatino Linotype" w:hAnsi="Palatino Linotype"/>
          <w:b/>
          <w:i/>
        </w:rPr>
        <w:t>Artículo 55.</w:t>
      </w:r>
      <w:r w:rsidRPr="000D558D">
        <w:rPr>
          <w:rFonts w:ascii="Palatino Linotype" w:hAnsi="Palatino Linotype"/>
          <w:i/>
        </w:rPr>
        <w:t xml:space="preserve"> La Contraloría Municipal tiene las funciones de planear, organizar, programar, asesorar, controlar, verificar, sancionar, evaluar, dictaminar y denunciar, sobre el adecuado manejo de los recursos y programas de gobierno federal, estatal y municipal, para que éstos se apliquen en términos estipulados en las leyes, reglamentos, convenios y el Sistema Estatal Anticorrupción.</w:t>
      </w:r>
    </w:p>
    <w:p w:rsidR="00E25BCD" w:rsidRPr="000D558D" w:rsidRDefault="00E25BCD" w:rsidP="00E25BCD">
      <w:pPr>
        <w:spacing w:after="0" w:line="240" w:lineRule="auto"/>
        <w:ind w:left="567" w:right="567"/>
        <w:jc w:val="both"/>
        <w:rPr>
          <w:rFonts w:ascii="Palatino Linotype" w:hAnsi="Palatino Linotype"/>
          <w:i/>
        </w:rPr>
      </w:pPr>
    </w:p>
    <w:p w:rsidR="00E25BCD" w:rsidRPr="000D558D" w:rsidRDefault="00E25BCD" w:rsidP="00E25BCD">
      <w:pPr>
        <w:spacing w:after="0" w:line="240" w:lineRule="auto"/>
        <w:ind w:left="567" w:right="567"/>
        <w:jc w:val="both"/>
        <w:rPr>
          <w:rFonts w:ascii="Palatino Linotype" w:hAnsi="Palatino Linotype"/>
          <w:i/>
        </w:rPr>
      </w:pPr>
      <w:r w:rsidRPr="000D558D">
        <w:rPr>
          <w:rFonts w:ascii="Palatino Linotype" w:hAnsi="Palatino Linotype"/>
          <w:b/>
          <w:i/>
        </w:rPr>
        <w:t>Artículo 56.</w:t>
      </w:r>
      <w:r w:rsidRPr="000D558D">
        <w:rPr>
          <w:rFonts w:ascii="Palatino Linotype" w:hAnsi="Palatino Linotype"/>
          <w:i/>
        </w:rPr>
        <w:t xml:space="preserve"> Las atribuciones de la Contraloría Municipal son el establecer y operar un sistema de atención de quejas y denuncias ciudadanas, para garantizar el desempeño de los servidores públicos municipales, Autoridades Auxiliares Municipales, Organismos de Participación Social y el Consejo Ciudadano de Control y Vigilancia. Teniendo la facultad de iniciar procedimientos administrativos, disciplinarios, resarcitorios y patrimoniales al servidor público que incumpla lo establecido en la Ley de Responsabilidades Administrativas del Estado de México y Municipios, en el presente Bando Municipal, el Reglamento Interno y demás disposiciones legales aplicables.</w:t>
      </w:r>
    </w:p>
    <w:p w:rsidR="00E25BCD" w:rsidRPr="000D558D" w:rsidRDefault="00E25BCD" w:rsidP="00E25BCD">
      <w:pPr>
        <w:spacing w:after="0" w:line="360" w:lineRule="auto"/>
        <w:ind w:right="49"/>
        <w:jc w:val="both"/>
        <w:rPr>
          <w:rFonts w:ascii="Palatino Linotype" w:hAnsi="Palatino Linotype"/>
          <w:color w:val="000000"/>
          <w:sz w:val="24"/>
          <w:szCs w:val="24"/>
        </w:rPr>
      </w:pPr>
      <w:r w:rsidRPr="000D558D">
        <w:rPr>
          <w:rFonts w:ascii="Palatino Linotype" w:hAnsi="Palatino Linotype"/>
          <w:color w:val="000000"/>
          <w:sz w:val="24"/>
          <w:szCs w:val="24"/>
        </w:rPr>
        <w:lastRenderedPageBreak/>
        <w:t>Visto lo anterior, es indudable que la Contraloría Municipal, cuenta con todas las facultades para planear, organizar, programar, asesorar, controlar, verificar, sancionar, evaluar, dictaminar y denunciar, sobre el adecuado manejo de los recursos y programas de gobierno federal, estatal y municipal.</w:t>
      </w:r>
    </w:p>
    <w:p w:rsidR="00E25BCD" w:rsidRPr="000D558D" w:rsidRDefault="00E25BCD" w:rsidP="00E25BCD">
      <w:pPr>
        <w:spacing w:after="0" w:line="360" w:lineRule="auto"/>
        <w:ind w:right="49"/>
        <w:jc w:val="both"/>
        <w:rPr>
          <w:rFonts w:ascii="Palatino Linotype" w:hAnsi="Palatino Linotype"/>
          <w:color w:val="000000"/>
          <w:sz w:val="24"/>
          <w:szCs w:val="24"/>
        </w:rPr>
      </w:pPr>
    </w:p>
    <w:p w:rsidR="00E25BCD" w:rsidRPr="000D558D" w:rsidRDefault="00E25BCD" w:rsidP="00E25BCD">
      <w:pPr>
        <w:spacing w:after="0" w:line="360" w:lineRule="auto"/>
        <w:ind w:right="49"/>
        <w:jc w:val="both"/>
        <w:rPr>
          <w:rFonts w:ascii="Palatino Linotype" w:hAnsi="Palatino Linotype"/>
          <w:b/>
          <w:color w:val="000000"/>
          <w:sz w:val="24"/>
          <w:szCs w:val="24"/>
          <w:u w:val="thick"/>
        </w:rPr>
      </w:pPr>
      <w:r w:rsidRPr="000D558D">
        <w:rPr>
          <w:rFonts w:ascii="Palatino Linotype" w:hAnsi="Palatino Linotype"/>
          <w:color w:val="000000"/>
          <w:sz w:val="24"/>
          <w:szCs w:val="24"/>
        </w:rPr>
        <w:t xml:space="preserve">Al mismo tiempo y relacionado con las atribuciones de la Contraloría Municipal, el ahora </w:t>
      </w:r>
      <w:r w:rsidRPr="000D558D">
        <w:rPr>
          <w:rFonts w:ascii="Palatino Linotype" w:hAnsi="Palatino Linotype"/>
          <w:b/>
          <w:color w:val="000000"/>
          <w:sz w:val="24"/>
          <w:szCs w:val="24"/>
        </w:rPr>
        <w:t>Recurrente</w:t>
      </w:r>
      <w:r w:rsidRPr="000D558D">
        <w:rPr>
          <w:rFonts w:ascii="Palatino Linotype" w:hAnsi="Palatino Linotype"/>
          <w:color w:val="000000"/>
          <w:sz w:val="24"/>
          <w:szCs w:val="24"/>
        </w:rPr>
        <w:t xml:space="preserve"> solicitó realizar un pronunciamiento respecto de lo siguientes puntos; </w:t>
      </w:r>
      <w:r w:rsidRPr="000D558D">
        <w:rPr>
          <w:rFonts w:ascii="Palatino Linotype" w:hAnsi="Palatino Linotype"/>
          <w:b/>
          <w:color w:val="000000"/>
          <w:sz w:val="24"/>
          <w:szCs w:val="24"/>
          <w:u w:val="thick"/>
        </w:rPr>
        <w:t>si no se ha realizado ninguna que explique por qué no lo han hecho y que es lo que hacen en cumplimiento de las funciones que a la contraloría le corresponden realizar para evitar malos manejos, desvío de recursos y evitar que el mal manejo del dinero.</w:t>
      </w:r>
    </w:p>
    <w:p w:rsidR="00E25BCD" w:rsidRPr="000D558D" w:rsidRDefault="00E25BCD" w:rsidP="00E25BCD">
      <w:pPr>
        <w:spacing w:after="0" w:line="360" w:lineRule="auto"/>
        <w:ind w:right="49"/>
        <w:jc w:val="both"/>
        <w:rPr>
          <w:rFonts w:ascii="Palatino Linotype" w:hAnsi="Palatino Linotype"/>
          <w:color w:val="000000"/>
          <w:sz w:val="24"/>
          <w:szCs w:val="24"/>
        </w:rPr>
      </w:pPr>
    </w:p>
    <w:p w:rsidR="00E25BCD" w:rsidRPr="000D558D" w:rsidRDefault="00E25BCD" w:rsidP="00E25BCD">
      <w:pPr>
        <w:spacing w:after="0" w:line="360" w:lineRule="auto"/>
        <w:ind w:right="49"/>
        <w:jc w:val="both"/>
        <w:rPr>
          <w:rFonts w:ascii="Palatino Linotype" w:hAnsi="Palatino Linotype"/>
          <w:b/>
          <w:color w:val="000000"/>
          <w:sz w:val="24"/>
          <w:szCs w:val="24"/>
          <w:u w:val="thick"/>
        </w:rPr>
      </w:pPr>
      <w:r w:rsidRPr="000D558D">
        <w:rPr>
          <w:rFonts w:ascii="Palatino Linotype" w:hAnsi="Palatino Linotype"/>
          <w:b/>
          <w:color w:val="000000"/>
          <w:sz w:val="24"/>
          <w:szCs w:val="24"/>
          <w:u w:val="thick"/>
        </w:rPr>
        <w:t>Que ha realizado la contraloría municipal para sancionar a servidores públicos que han realizado mal sus funciones ya que esto ha ocasionado la contratación de despachos y asesores para arreglar lo que personal ineficiente ha ocasionado y ha perjudicado.</w:t>
      </w:r>
    </w:p>
    <w:p w:rsidR="00E25BCD" w:rsidRPr="000D558D" w:rsidRDefault="00E25BCD" w:rsidP="00E25BCD">
      <w:pPr>
        <w:spacing w:after="0" w:line="360" w:lineRule="auto"/>
        <w:jc w:val="both"/>
        <w:rPr>
          <w:rFonts w:ascii="Palatino Linotype" w:hAnsi="Palatino Linotype" w:cs="Arial"/>
          <w:sz w:val="24"/>
          <w:szCs w:val="24"/>
        </w:rPr>
      </w:pPr>
    </w:p>
    <w:p w:rsidR="00E25BCD" w:rsidRPr="000D558D" w:rsidRDefault="00E25BCD" w:rsidP="00E25BCD">
      <w:pPr>
        <w:spacing w:after="0" w:line="360" w:lineRule="auto"/>
        <w:jc w:val="both"/>
        <w:rPr>
          <w:rFonts w:ascii="Palatino Linotype" w:hAnsi="Palatino Linotype" w:cs="Arial"/>
          <w:sz w:val="24"/>
          <w:szCs w:val="24"/>
        </w:rPr>
      </w:pPr>
      <w:r w:rsidRPr="000D558D">
        <w:rPr>
          <w:rFonts w:ascii="Palatino Linotype" w:hAnsi="Palatino Linotype" w:cs="Arial"/>
          <w:sz w:val="24"/>
          <w:szCs w:val="24"/>
        </w:rPr>
        <w:t xml:space="preserve">Por lo que se refiere a lo anterior, y como se señaló anteriormente en el cuadro comparativo de la respuesta por parte del </w:t>
      </w:r>
      <w:r w:rsidRPr="000D558D">
        <w:rPr>
          <w:rFonts w:ascii="Palatino Linotype" w:hAnsi="Palatino Linotype" w:cs="Arial"/>
          <w:b/>
          <w:sz w:val="24"/>
          <w:szCs w:val="24"/>
        </w:rPr>
        <w:t>Sujeto Obligado</w:t>
      </w:r>
      <w:r w:rsidRPr="000D558D">
        <w:rPr>
          <w:rFonts w:ascii="Palatino Linotype" w:hAnsi="Palatino Linotype" w:cs="Arial"/>
          <w:sz w:val="24"/>
          <w:szCs w:val="24"/>
        </w:rPr>
        <w:t xml:space="preserve">, cuando en una solicitud de información no se identifique un documento en específico, si ésta tiene una expresión documental, el </w:t>
      </w:r>
      <w:r w:rsidRPr="000D558D">
        <w:rPr>
          <w:rFonts w:ascii="Palatino Linotype" w:hAnsi="Palatino Linotype" w:cs="Arial"/>
          <w:b/>
          <w:sz w:val="24"/>
          <w:szCs w:val="24"/>
        </w:rPr>
        <w:t>Sujeto Obligado</w:t>
      </w:r>
      <w:r w:rsidRPr="000D558D">
        <w:rPr>
          <w:rFonts w:ascii="Palatino Linotype" w:hAnsi="Palatino Linotype" w:cs="Arial"/>
          <w:sz w:val="24"/>
          <w:szCs w:val="24"/>
        </w:rPr>
        <w:t xml:space="preserve"> deberá entregar al particular el documento en específico.</w:t>
      </w:r>
    </w:p>
    <w:p w:rsidR="00E25BCD" w:rsidRPr="000D558D" w:rsidRDefault="00E25BCD" w:rsidP="00E25BCD">
      <w:pPr>
        <w:spacing w:after="0" w:line="360" w:lineRule="auto"/>
        <w:jc w:val="both"/>
        <w:rPr>
          <w:rFonts w:ascii="Palatino Linotype" w:hAnsi="Palatino Linotype" w:cs="Arial"/>
          <w:sz w:val="24"/>
          <w:szCs w:val="24"/>
        </w:rPr>
      </w:pPr>
    </w:p>
    <w:p w:rsidR="00E25BCD" w:rsidRPr="000D558D" w:rsidRDefault="00E25BCD" w:rsidP="00E25BCD">
      <w:pPr>
        <w:spacing w:after="0" w:line="360" w:lineRule="auto"/>
        <w:jc w:val="both"/>
        <w:rPr>
          <w:rFonts w:ascii="Palatino Linotype" w:hAnsi="Palatino Linotype" w:cs="Arial"/>
          <w:sz w:val="24"/>
          <w:szCs w:val="24"/>
        </w:rPr>
      </w:pPr>
    </w:p>
    <w:p w:rsidR="00E25BCD" w:rsidRPr="000D558D" w:rsidRDefault="00E25BCD" w:rsidP="00E25BCD">
      <w:pPr>
        <w:pStyle w:val="Prrafodelista"/>
        <w:spacing w:line="360" w:lineRule="auto"/>
        <w:ind w:left="0" w:right="49"/>
        <w:contextualSpacing/>
        <w:jc w:val="both"/>
        <w:rPr>
          <w:rFonts w:ascii="Palatino Linotype" w:hAnsi="Palatino Linotype" w:cs="Arial"/>
          <w:color w:val="000000"/>
        </w:rPr>
      </w:pPr>
      <w:r w:rsidRPr="000D558D">
        <w:rPr>
          <w:rFonts w:ascii="Palatino Linotype" w:hAnsi="Palatino Linotype" w:cs="Arial"/>
          <w:color w:val="000000"/>
        </w:rPr>
        <w:lastRenderedPageBreak/>
        <w:t xml:space="preserve">Primeramente es de destacarse que el recurrente desea conocer </w:t>
      </w:r>
      <w:r w:rsidRPr="000D558D">
        <w:rPr>
          <w:rFonts w:ascii="Palatino Linotype" w:hAnsi="Palatino Linotype" w:cs="Arial"/>
          <w:b/>
          <w:color w:val="000000"/>
          <w:sz w:val="28"/>
        </w:rPr>
        <w:t>l</w:t>
      </w:r>
      <w:r w:rsidRPr="000D558D">
        <w:rPr>
          <w:rFonts w:ascii="Palatino Linotype" w:hAnsi="Palatino Linotype" w:cs="Arial"/>
          <w:b/>
          <w:color w:val="000000"/>
        </w:rPr>
        <w:t>o</w:t>
      </w:r>
      <w:r w:rsidRPr="000D558D">
        <w:rPr>
          <w:rFonts w:ascii="Palatino Linotype" w:hAnsi="Palatino Linotype"/>
          <w:b/>
          <w:color w:val="000000"/>
        </w:rPr>
        <w:t xml:space="preserve">s </w:t>
      </w:r>
      <w:r w:rsidRPr="000D558D">
        <w:rPr>
          <w:rFonts w:ascii="Palatino Linotype" w:hAnsi="Palatino Linotype"/>
          <w:b/>
          <w:color w:val="000000"/>
          <w:szCs w:val="14"/>
        </w:rPr>
        <w:t>procedimientos y sanciones que se tengan registrados en contra de servidores públicos del Municipio</w:t>
      </w:r>
      <w:r w:rsidRPr="000D558D">
        <w:rPr>
          <w:rFonts w:ascii="Palatino Linotype" w:hAnsi="Palatino Linotype"/>
          <w:color w:val="000000"/>
          <w:szCs w:val="14"/>
        </w:rPr>
        <w:t xml:space="preserve">, de tal manera que es conveniente traer a colación lo señalado en la Ley de Responsabilidades Administrativas del Estado de México y Municipios que establece lo siguiente: </w:t>
      </w:r>
    </w:p>
    <w:p w:rsidR="00E25BCD" w:rsidRPr="000D558D" w:rsidRDefault="00E25BCD" w:rsidP="00E25BCD">
      <w:pPr>
        <w:pStyle w:val="Prrafodelista"/>
        <w:ind w:left="0" w:right="49"/>
        <w:jc w:val="both"/>
        <w:rPr>
          <w:rFonts w:ascii="Palatino Linotype" w:hAnsi="Palatino Linotype" w:cs="Arial"/>
          <w:color w:val="000000"/>
          <w:sz w:val="22"/>
          <w:szCs w:val="22"/>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
          <w:bCs/>
          <w:i/>
        </w:rPr>
        <w:t>Artículo 94</w:t>
      </w:r>
      <w:r w:rsidRPr="000D558D">
        <w:rPr>
          <w:rFonts w:ascii="Palatino Linotype" w:hAnsi="Palatino Linotype" w:cs="Tahoma"/>
          <w:bCs/>
          <w:i/>
        </w:rPr>
        <w:t>. Durante el desarrollo del procedimiento de investigación las autoridades competentes serán responsables de:</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I. Observar los principios de legalidad, imparcialidad, objetividad, congruencia, verdad material y respeto a los derechos humanos.</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II. Realizar con oportunidad, exhaustividad y eficiencia la investigación, la integralidad de los datos y documentos, así como el resguardo del expediente en su conjunto.</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III. Incorporar a sus investigaciones, las técnicas, tecnologías y métodos de investigación que observen las mejores prácticas internacionales.</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IV. Cooperar con las autoridades nacionales como internacionales a fin de fortalecer los procedimientos de investigación, compartir las mejores prácticas internacionales y combatir de manera efectiva la corrupción.</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
          <w:bCs/>
          <w:i/>
        </w:rPr>
        <w:t>Artículo 95</w:t>
      </w:r>
      <w:r w:rsidRPr="000D558D">
        <w:rPr>
          <w:rFonts w:ascii="Palatino Linotype" w:hAnsi="Palatino Linotype" w:cs="Tahoma"/>
          <w:bCs/>
          <w:i/>
        </w:rPr>
        <w:t>. La investigación por la presunta responsabilidad de faltas administrativas podrá iniciar:</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I. De oficio.</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II. Por denuncia.</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III. Derivado de las auditorías practicadas por parte de las autoridades competentes o en su caso, de auditores externos.</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Las denuncias podrán ser anónimas. En su caso, las autoridades investigadoras deberán garantizar, proteger y mantener el carácter de confidencial la identidad de las personas que denuncien las presuntas infracciones.</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
          <w:bCs/>
          <w:i/>
        </w:rPr>
        <w:t>Artículo 98.</w:t>
      </w:r>
      <w:r w:rsidRPr="000D558D">
        <w:rPr>
          <w:rFonts w:ascii="Palatino Linotype" w:hAnsi="Palatino Linotype" w:cs="Tahoma"/>
          <w:bCs/>
          <w:i/>
        </w:rPr>
        <w:t xml:space="preserve"> Las autoridades investigadoras llevarán de oficio las auditorías o investigaciones debidamente fundadas y motivadas respecto de las conductas de los servidores públicos y particulares que puedan constituir responsabilidades administrativas en el ámbito de su competencia.</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Lo anterior sin menoscabo de las investigaciones que se deriven de las denuncias a que se hace referencia en el Capítulo anterior.</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
          <w:bCs/>
          <w:i/>
        </w:rPr>
        <w:lastRenderedPageBreak/>
        <w:t>Artículo 99.</w:t>
      </w:r>
      <w:r w:rsidRPr="000D558D">
        <w:rPr>
          <w:rFonts w:ascii="Palatino Linotype" w:hAnsi="Palatino Linotype" w:cs="Tahoma"/>
          <w:bCs/>
          <w:i/>
        </w:rPr>
        <w:t xml:space="preserve"> Las autoridades investigadoras deberán tener acceso a toda la información necesaria para el esclarecimiento de los hechos, incluyendo aquélla que las disposiciones legales en la materia consideren con carácter de reservada o confidencial, siempre que esté relacionada con la comisión de infracciones a que se refiere la presente Ley, con la obligación de mantener la misma reserva o secrecía, conforme a lo que determinen las leyes.</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Las autoridades investigadoras, durante el desarrollo de investigaciones por faltas administrativas graves, no les serán oponibles las disposiciones dirigidas a proteger la secrecía de la información en materia fiscal bursátil, fiduciario o la relacionada con operaciones de depósito, administración, ahorro e inversión de recursos monetarios. Esta información conservará su calidad en los expedientes correspondientes, para lo cual se deberán celebrar convenios de colaboración con las autoridades correspondientes.</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Para efectos de lo previsto en el párrafo anterior, se observará lo dispuesto en el artículo 39 de la presente Ley.</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Las autoridades encargadas de la investigación, por conducto de su titular, podrán ordenar la práctica de visitas de verificación, las cuales se sujetarán a lo previsto en el Código de Procedimientos Administrativos del Estado de México, incluyendo acciones encubiertas y usuario simulado con apego a la legalidad, la presente Ley y demás normatividad que para este fin sea expedida por los titulares de los entes públicos responsables.</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
          <w:bCs/>
          <w:i/>
        </w:rPr>
        <w:t>Artículo 104.</w:t>
      </w:r>
      <w:r w:rsidRPr="000D558D">
        <w:rPr>
          <w:rFonts w:ascii="Palatino Linotype" w:hAnsi="Palatino Linotype" w:cs="Tahoma"/>
          <w:bCs/>
          <w:i/>
        </w:rPr>
        <w:t xml:space="preserve"> Las autoridades investigadoras una vez concluidas las diligencias de investigación, procederán al análisis de los hechos, así como de la información recabada, a efecto de determinar la existencia o inexistencia de actos u omisiones que la Ley señale como falta administrativa y en su caso, determinar su calificación como grave o no grave.</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Una vez determinada la calificación de la conducta en los términos del párrafo anterior, se incluirá la misma en el Informe de Presunta Responsabilidad Administrativa y éste se presentará ante la autoridad substanciadora a efecto de iniciar el procedimiento de responsabilidad administrativa correspondiente.</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En el supuesto de no haberse encontrado elementos suficientes para demostrar la existencia de la infracción y acreditar la presunta responsabilidad del infractor, se emitirá un acuerdo de conclusión y archivo del expediente debidamente fundado y motivado.</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 xml:space="preserve">Lo anterior sin perjuicio de poder reabrir la investigación en el supuesto de presentarse nuevos indicios o pruebas y no hubiere prescrito la facultad para sancionar. Dicha determinación, en su caso, se notificará a los servidores públicos y particulares sujetos a la </w:t>
      </w:r>
      <w:r w:rsidRPr="000D558D">
        <w:rPr>
          <w:rFonts w:ascii="Palatino Linotype" w:hAnsi="Palatino Linotype" w:cs="Tahoma"/>
          <w:bCs/>
          <w:i/>
        </w:rPr>
        <w:lastRenderedPageBreak/>
        <w:t>investigación, así como a los denunciantes cuando éstos fueren identificables, dentro los diez días hábiles siguientes a su emisión.</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
          <w:bCs/>
          <w:i/>
        </w:rPr>
        <w:t>Artículo 116.</w:t>
      </w:r>
      <w:r w:rsidRPr="000D558D">
        <w:rPr>
          <w:rFonts w:ascii="Palatino Linotype" w:hAnsi="Palatino Linotype" w:cs="Tahoma"/>
          <w:bCs/>
          <w:i/>
        </w:rPr>
        <w:t xml:space="preserve"> El procedimiento de responsabilidad administrativa dará inicio cuando las autoridades substanciadoras, en el ámbito de su competencia, admitan el informe de presunta responsabilidad administrativa.</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
          <w:bCs/>
          <w:i/>
        </w:rPr>
        <w:t>Artículo 119</w:t>
      </w:r>
      <w:r w:rsidRPr="000D558D">
        <w:rPr>
          <w:rFonts w:ascii="Palatino Linotype" w:hAnsi="Palatino Linotype" w:cs="Tahoma"/>
          <w:bCs/>
          <w:i/>
        </w:rPr>
        <w:t>. La autoridad a quien se encomiende la substanciación y en su caso, la resolución del procedimiento de responsabilidad administrativa, deberá ser distinto de aquél o aquellos encargados de la investigación. Para tal efecto, la Secretaría de la Contraloría, los órganos internos de control, el Órgano Superior de Fiscalización, así como las unidades de responsabilidades de las empresas de participación estatal o municipal, contarán con la estructura orgánica necesaria para realizar las funciones correspondientes a las autoridades investigadoras y substanciadoras y garantizarán la independencia entre ambas en el ejercicio de sus funciones.</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
          <w:bCs/>
          <w:i/>
        </w:rPr>
        <w:t>Artículo 188.</w:t>
      </w:r>
      <w:r w:rsidRPr="000D558D">
        <w:rPr>
          <w:rFonts w:ascii="Palatino Linotype" w:hAnsi="Palatino Linotype" w:cs="Tahoma"/>
          <w:bCs/>
          <w:i/>
        </w:rPr>
        <w:t xml:space="preserve"> Las resoluciones serán:</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I. Acuerdos, cuando se trate de resoluciones de trámite.</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II. Autos provisionales, los que se refieren a determinaciones que se ejecuten provisionalmente.</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III. Autos preparatorios, a las resoluciones por las que se prepara el conocimiento y decisión de un asunto, se ordena la admisión, la preparación y desahogo de pruebas.</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 xml:space="preserve">IV. Sentencias interlocutorias, aquellas que resuelven sobre un incidente o una cuestión </w:t>
      </w:r>
      <w:proofErr w:type="spellStart"/>
      <w:r w:rsidRPr="000D558D">
        <w:rPr>
          <w:rFonts w:ascii="Palatino Linotype" w:hAnsi="Palatino Linotype" w:cs="Tahoma"/>
          <w:bCs/>
          <w:i/>
        </w:rPr>
        <w:t>intraprocesal</w:t>
      </w:r>
      <w:proofErr w:type="spellEnd"/>
      <w:r w:rsidRPr="000D558D">
        <w:rPr>
          <w:rFonts w:ascii="Palatino Linotype" w:hAnsi="Palatino Linotype" w:cs="Tahoma"/>
          <w:bCs/>
          <w:i/>
        </w:rPr>
        <w:t xml:space="preserve"> o accesoria al procedimiento.</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V. Sentencias definitivas, las que resuelven el fondo del procedimiento de responsabilidad administrativa.</w:t>
      </w:r>
      <w:r w:rsidRPr="000D558D">
        <w:rPr>
          <w:rFonts w:ascii="Palatino Linotype" w:hAnsi="Palatino Linotype" w:cs="Tahoma"/>
          <w:bCs/>
          <w:i/>
        </w:rPr>
        <w:cr/>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
          <w:bCs/>
          <w:i/>
        </w:rPr>
        <w:t>Artículo 208.</w:t>
      </w:r>
      <w:r w:rsidRPr="000D558D">
        <w:rPr>
          <w:rFonts w:ascii="Palatino Linotype" w:hAnsi="Palatino Linotype" w:cs="Tahoma"/>
          <w:bCs/>
          <w:i/>
        </w:rPr>
        <w:t xml:space="preserve"> Una vez que haya causado ejecutoria la sentencia que determina la plena responsabilidad de un servidor público por faltas administrativas graves, el Tribunal de Justicia Administrativa, de oficio y sin demora alguna, girará oficio por el que notificará la sentencia respectiva, así como sus puntos resolutivos para su cumplimiento, de conformidad con las siguientes reglas:</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I. Cuando el servidor público haya sido suspendido, destituido o inhabilitado, se dará vista a su superior jerárquico y a la Secretaría de la Contraloría.</w:t>
      </w:r>
    </w:p>
    <w:p w:rsidR="00E25BCD" w:rsidRPr="000D558D" w:rsidRDefault="00E25BCD" w:rsidP="00E25BCD">
      <w:pPr>
        <w:tabs>
          <w:tab w:val="left" w:pos="8222"/>
        </w:tabs>
        <w:spacing w:after="0" w:line="240" w:lineRule="auto"/>
        <w:ind w:left="567" w:right="539"/>
        <w:jc w:val="both"/>
        <w:rPr>
          <w:rFonts w:ascii="Palatino Linotype" w:hAnsi="Palatino Linotype" w:cs="Tahoma"/>
          <w:bCs/>
          <w:i/>
        </w:rPr>
      </w:pPr>
      <w:r w:rsidRPr="000D558D">
        <w:rPr>
          <w:rFonts w:ascii="Palatino Linotype" w:hAnsi="Palatino Linotype" w:cs="Tahoma"/>
          <w:bCs/>
          <w:i/>
        </w:rPr>
        <w:t>II. Cuando se haya impuesto una indemnización resarcitoria o sanción económica al responsable, se dará vista a la Secretaría de Finanzas del Gobierno del Estado de México.</w:t>
      </w:r>
    </w:p>
    <w:p w:rsidR="00E25BCD" w:rsidRPr="000D558D" w:rsidRDefault="00E25BCD" w:rsidP="00E25BCD">
      <w:pPr>
        <w:tabs>
          <w:tab w:val="left" w:pos="8222"/>
        </w:tabs>
        <w:spacing w:after="0" w:line="240" w:lineRule="auto"/>
        <w:ind w:left="567" w:right="539"/>
        <w:jc w:val="both"/>
        <w:rPr>
          <w:rFonts w:ascii="Palatino Linotype" w:hAnsi="Palatino Linotype" w:cs="Tahoma"/>
          <w:bCs/>
          <w:i/>
          <w:sz w:val="24"/>
        </w:rPr>
      </w:pPr>
      <w:r w:rsidRPr="000D558D">
        <w:rPr>
          <w:rFonts w:ascii="Palatino Linotype" w:hAnsi="Palatino Linotype" w:cs="Tahoma"/>
          <w:bCs/>
          <w:i/>
        </w:rPr>
        <w:t xml:space="preserve">En el oficio respectivo, el Tribunal de Justicia Administrativa prevendrá a las autoridades señaladas para que informen, dentro del término de diez días, sobre el cumplimiento que se </w:t>
      </w:r>
      <w:r w:rsidRPr="000D558D">
        <w:rPr>
          <w:rFonts w:ascii="Palatino Linotype" w:hAnsi="Palatino Linotype" w:cs="Tahoma"/>
          <w:bCs/>
          <w:i/>
        </w:rPr>
        <w:lastRenderedPageBreak/>
        <w:t>dé a la sentencia, en el supuesto establecido en la fracción I del presente artículo. En el supuesto de la fracción II, la Secretaría de Finanzas del Gobierno del Estado de México, informará al Tribunal de Justicia Administrativa una vez que se haya cubierto la indemnización y la sanción económica correspondiente.</w:t>
      </w:r>
      <w:r w:rsidRPr="000D558D">
        <w:rPr>
          <w:rFonts w:ascii="Palatino Linotype" w:hAnsi="Palatino Linotype" w:cs="Tahoma"/>
          <w:bCs/>
          <w:i/>
        </w:rPr>
        <w:cr/>
      </w:r>
    </w:p>
    <w:p w:rsidR="00E25BCD" w:rsidRPr="000D558D" w:rsidRDefault="00E25BCD" w:rsidP="00E25BCD">
      <w:pPr>
        <w:pStyle w:val="Prrafodelista"/>
        <w:spacing w:after="160" w:line="360" w:lineRule="auto"/>
        <w:ind w:left="0"/>
        <w:contextualSpacing/>
        <w:jc w:val="both"/>
        <w:rPr>
          <w:rFonts w:ascii="Palatino Linotype" w:eastAsia="Calibri" w:hAnsi="Palatino Linotype" w:cs="Tahoma"/>
          <w:bCs/>
        </w:rPr>
      </w:pPr>
      <w:r w:rsidRPr="000D558D">
        <w:rPr>
          <w:rFonts w:ascii="Palatino Linotype" w:eastAsia="Calibri" w:hAnsi="Palatino Linotype" w:cs="Tahoma"/>
          <w:bCs/>
        </w:rPr>
        <w:t xml:space="preserve">De igual forma, es necesario traer a contexto la fracción XXII del artículo 92 de la Ley de Transparencia y Acceso a la Información Pública del Estado de México y Municipios, el cual menciona que: </w:t>
      </w:r>
    </w:p>
    <w:p w:rsidR="00E25BCD" w:rsidRPr="000D558D" w:rsidRDefault="00E25BCD" w:rsidP="00E25BCD">
      <w:pPr>
        <w:pStyle w:val="Prrafodelista"/>
        <w:spacing w:after="160" w:line="360" w:lineRule="auto"/>
        <w:ind w:left="0"/>
        <w:contextualSpacing/>
        <w:jc w:val="both"/>
        <w:rPr>
          <w:rFonts w:ascii="Palatino Linotype" w:eastAsia="Calibri" w:hAnsi="Palatino Linotype" w:cs="Tahoma"/>
          <w:bCs/>
        </w:rPr>
      </w:pPr>
    </w:p>
    <w:p w:rsidR="00E25BCD" w:rsidRPr="000D558D" w:rsidRDefault="00E25BCD" w:rsidP="00E25BCD">
      <w:pPr>
        <w:pStyle w:val="Prrafodelista"/>
        <w:ind w:left="567" w:right="567"/>
        <w:jc w:val="both"/>
        <w:rPr>
          <w:rFonts w:ascii="Palatino Linotype" w:hAnsi="Palatino Linotype"/>
          <w:i/>
          <w:sz w:val="22"/>
        </w:rPr>
      </w:pPr>
      <w:r w:rsidRPr="000D558D">
        <w:rPr>
          <w:rFonts w:ascii="Palatino Linotype" w:eastAsia="Calibri" w:hAnsi="Palatino Linotype" w:cs="Tahoma"/>
          <w:bCs/>
          <w:i/>
          <w:sz w:val="22"/>
        </w:rPr>
        <w:t>“</w:t>
      </w:r>
      <w:r w:rsidRPr="000D558D">
        <w:rPr>
          <w:rFonts w:ascii="Palatino Linotype" w:hAnsi="Palatino Linotype"/>
          <w:b/>
          <w:i/>
          <w:sz w:val="22"/>
        </w:rPr>
        <w:t>XXII.</w:t>
      </w:r>
      <w:r w:rsidRPr="000D558D">
        <w:rPr>
          <w:rFonts w:ascii="Palatino Linotype" w:hAnsi="Palatino Linotype"/>
          <w:i/>
          <w:sz w:val="22"/>
        </w:rPr>
        <w:t xml:space="preserve"> El listado de Servidores Públicos con sanciones administrativas definitivas, especificando la causa de sanción y la disposición”. </w:t>
      </w:r>
    </w:p>
    <w:p w:rsidR="00E25BCD" w:rsidRPr="000D558D" w:rsidRDefault="00E25BCD" w:rsidP="00E25BCD">
      <w:pPr>
        <w:pStyle w:val="Prrafodelista"/>
        <w:spacing w:line="360" w:lineRule="auto"/>
        <w:ind w:left="0"/>
        <w:jc w:val="both"/>
        <w:rPr>
          <w:rFonts w:ascii="Palatino Linotype" w:eastAsia="Calibri" w:hAnsi="Palatino Linotype" w:cs="Tahoma"/>
          <w:bCs/>
        </w:rPr>
      </w:pPr>
    </w:p>
    <w:p w:rsidR="00E25BCD" w:rsidRPr="000D558D" w:rsidRDefault="00E25BCD" w:rsidP="00E25BCD">
      <w:pPr>
        <w:pStyle w:val="Prrafodelista"/>
        <w:spacing w:line="360" w:lineRule="auto"/>
        <w:ind w:left="0"/>
        <w:contextualSpacing/>
        <w:jc w:val="both"/>
        <w:rPr>
          <w:rFonts w:ascii="Palatino Linotype" w:eastAsia="Calibri" w:hAnsi="Palatino Linotype" w:cs="Tahoma"/>
          <w:bCs/>
        </w:rPr>
      </w:pPr>
      <w:r w:rsidRPr="000D558D">
        <w:rPr>
          <w:rFonts w:ascii="Palatino Linotype" w:eastAsia="Calibri" w:hAnsi="Palatino Linotype" w:cs="Tahoma"/>
          <w:bCs/>
        </w:rPr>
        <w:t xml:space="preserve">De lo anterior, se desprende que evidentemente se trata de información pública, no obstante no hay que perder de vista lo dispuesto por la </w:t>
      </w:r>
      <w:r w:rsidRPr="000D558D">
        <w:rPr>
          <w:rFonts w:ascii="Palatino Linotype" w:eastAsia="Calibri" w:hAnsi="Palatino Linotype" w:cs="Tahoma"/>
          <w:b/>
          <w:bCs/>
        </w:rPr>
        <w:t>Ley del Sistema Anticorrupción del Estado de México y Municipios</w:t>
      </w:r>
      <w:r w:rsidRPr="000D558D">
        <w:rPr>
          <w:rFonts w:ascii="Palatino Linotype" w:eastAsia="Calibri" w:hAnsi="Palatino Linotype" w:cs="Tahoma"/>
          <w:bCs/>
        </w:rPr>
        <w:t xml:space="preserve">, que en su artículo 53 dispone lo siguiente:  </w:t>
      </w:r>
    </w:p>
    <w:p w:rsidR="00E25BCD" w:rsidRPr="000D558D" w:rsidRDefault="00E25BCD" w:rsidP="00E25BCD">
      <w:pPr>
        <w:pStyle w:val="Sinespaciado"/>
        <w:rPr>
          <w:rFonts w:eastAsia="Calibri"/>
        </w:rPr>
      </w:pPr>
    </w:p>
    <w:p w:rsidR="00E25BCD" w:rsidRPr="000D558D" w:rsidRDefault="00E25BCD" w:rsidP="00E25BCD">
      <w:pPr>
        <w:spacing w:after="0" w:line="240" w:lineRule="auto"/>
        <w:ind w:left="567" w:right="567"/>
        <w:jc w:val="both"/>
        <w:rPr>
          <w:rFonts w:ascii="Palatino Linotype" w:eastAsia="Arial Unicode MS" w:hAnsi="Palatino Linotype" w:cs="Arial"/>
          <w:i/>
        </w:rPr>
      </w:pPr>
      <w:r w:rsidRPr="000D558D">
        <w:rPr>
          <w:rFonts w:ascii="Palatino Linotype" w:eastAsia="Arial Unicode MS" w:hAnsi="Palatino Linotype" w:cs="Arial"/>
          <w:i/>
        </w:rPr>
        <w:t>“</w:t>
      </w:r>
      <w:r w:rsidRPr="000D558D">
        <w:rPr>
          <w:rFonts w:ascii="Palatino Linotype" w:eastAsia="Arial Unicode MS" w:hAnsi="Palatino Linotype" w:cs="Arial"/>
          <w:b/>
          <w:i/>
        </w:rPr>
        <w:t>Artículo 53.</w:t>
      </w:r>
      <w:r w:rsidRPr="000D558D">
        <w:rPr>
          <w:rFonts w:ascii="Palatino Linotype" w:eastAsia="Arial Unicode MS" w:hAnsi="Palatino Linotype" w:cs="Arial"/>
          <w:i/>
        </w:rPr>
        <w:t xml:space="preserve"> </w:t>
      </w:r>
      <w:r w:rsidRPr="000D558D">
        <w:rPr>
          <w:rFonts w:ascii="Palatino Linotype" w:eastAsia="Arial Unicode MS" w:hAnsi="Palatino Linotype" w:cs="Arial"/>
          <w:b/>
          <w:i/>
        </w:rPr>
        <w:t>Las sanciones impuestas por faltas administrativas graves serán del conocimiento público</w:t>
      </w:r>
      <w:r w:rsidRPr="000D558D">
        <w:rPr>
          <w:rFonts w:ascii="Palatino Linotype" w:eastAsia="Arial Unicode MS" w:hAnsi="Palatino Linotype" w:cs="Arial"/>
          <w:i/>
        </w:rPr>
        <w:t xml:space="preserve"> cuando éstas contengan impedimentos o inhabilitaciones para ser contratados como servidores públicos o como prestadores de servicios o contratistas del sector público, en términos de la Ley de Responsabilidades Administrativas del Estado de México y Municipios.</w:t>
      </w:r>
    </w:p>
    <w:p w:rsidR="00E25BCD" w:rsidRPr="000D558D" w:rsidRDefault="00E25BCD" w:rsidP="00E25BCD">
      <w:pPr>
        <w:spacing w:after="0" w:line="240" w:lineRule="auto"/>
        <w:ind w:left="567" w:right="567"/>
        <w:jc w:val="both"/>
        <w:rPr>
          <w:rFonts w:ascii="Palatino Linotype" w:eastAsia="Arial Unicode MS" w:hAnsi="Palatino Linotype" w:cs="Arial"/>
          <w:b/>
          <w:i/>
        </w:rPr>
      </w:pPr>
    </w:p>
    <w:p w:rsidR="00E25BCD" w:rsidRPr="000D558D" w:rsidRDefault="00E25BCD" w:rsidP="00E25BCD">
      <w:pPr>
        <w:spacing w:after="0" w:line="240" w:lineRule="auto"/>
        <w:ind w:left="567" w:right="567"/>
        <w:jc w:val="both"/>
        <w:rPr>
          <w:rFonts w:ascii="Palatino Linotype" w:eastAsia="Calibri" w:hAnsi="Palatino Linotype" w:cs="Tahoma"/>
          <w:bCs/>
          <w:sz w:val="24"/>
        </w:rPr>
      </w:pPr>
      <w:r w:rsidRPr="000D558D">
        <w:rPr>
          <w:rFonts w:ascii="Palatino Linotype" w:eastAsia="Arial Unicode MS" w:hAnsi="Palatino Linotype" w:cs="Arial"/>
          <w:b/>
          <w:i/>
        </w:rPr>
        <w:t xml:space="preserve">Los registros de las sanciones relativas a responsabilidades administrativas no graves, quedarán registradas para efectos de eventual reincidencia, </w:t>
      </w:r>
      <w:r w:rsidRPr="000D558D">
        <w:rPr>
          <w:rFonts w:ascii="Palatino Linotype" w:eastAsia="Arial Unicode MS" w:hAnsi="Palatino Linotype" w:cs="Arial"/>
          <w:b/>
          <w:i/>
          <w:u w:val="single"/>
        </w:rPr>
        <w:t>pero no serán públicas</w:t>
      </w:r>
      <w:r w:rsidRPr="000D558D">
        <w:rPr>
          <w:rFonts w:ascii="Palatino Linotype" w:eastAsia="Arial Unicode MS" w:hAnsi="Palatino Linotype" w:cs="Arial"/>
          <w:b/>
          <w:i/>
        </w:rPr>
        <w:t>.</w:t>
      </w:r>
      <w:r w:rsidRPr="000D558D">
        <w:rPr>
          <w:rFonts w:ascii="Palatino Linotype" w:eastAsia="Arial Unicode MS" w:hAnsi="Palatino Linotype" w:cs="Arial"/>
          <w:i/>
        </w:rPr>
        <w:t>”</w:t>
      </w:r>
    </w:p>
    <w:p w:rsidR="00E25BCD" w:rsidRPr="000D558D" w:rsidRDefault="00E25BCD" w:rsidP="00E25BCD">
      <w:pPr>
        <w:pStyle w:val="Prrafodelista"/>
        <w:spacing w:line="360" w:lineRule="auto"/>
        <w:ind w:left="0"/>
        <w:jc w:val="both"/>
        <w:rPr>
          <w:rFonts w:ascii="Palatino Linotype" w:eastAsia="Calibri" w:hAnsi="Palatino Linotype" w:cs="Tahoma"/>
          <w:bCs/>
        </w:rPr>
      </w:pPr>
    </w:p>
    <w:p w:rsidR="00E25BCD" w:rsidRPr="000D558D" w:rsidRDefault="00E25BCD" w:rsidP="00E25BCD">
      <w:pPr>
        <w:pStyle w:val="Prrafodelista"/>
        <w:spacing w:after="160" w:line="360" w:lineRule="auto"/>
        <w:ind w:left="0"/>
        <w:contextualSpacing/>
        <w:jc w:val="both"/>
        <w:rPr>
          <w:rFonts w:ascii="Palatino Linotype" w:eastAsia="Calibri" w:hAnsi="Palatino Linotype" w:cs="Tahoma"/>
          <w:bCs/>
        </w:rPr>
      </w:pPr>
      <w:r w:rsidRPr="000D558D">
        <w:rPr>
          <w:rFonts w:ascii="Palatino Linotype" w:eastAsia="Calibri" w:hAnsi="Palatino Linotype" w:cs="Tahoma"/>
          <w:bCs/>
        </w:rPr>
        <w:t xml:space="preserve">Como se observa, dicha normatividad ha establecido que únicamente deberán ser públicas las sanciones que revisan el carácter de grave. En ese sentido la </w:t>
      </w:r>
      <w:r w:rsidRPr="000D558D">
        <w:rPr>
          <w:rFonts w:ascii="Palatino Linotype" w:eastAsia="Calibri" w:hAnsi="Palatino Linotype" w:cs="Tahoma"/>
          <w:b/>
          <w:bCs/>
        </w:rPr>
        <w:t>Ley de Responsabilidades Administrativas del Estado de México y Municipios</w:t>
      </w:r>
      <w:r w:rsidRPr="000D558D">
        <w:rPr>
          <w:rFonts w:ascii="Palatino Linotype" w:eastAsia="Calibri" w:hAnsi="Palatino Linotype" w:cs="Tahoma"/>
          <w:bCs/>
        </w:rPr>
        <w:t xml:space="preserve">, cataloga a las sanciones graves y no graves de la siguiente manera: </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lastRenderedPageBreak/>
        <w:t>“</w:t>
      </w:r>
      <w:r w:rsidRPr="000D558D">
        <w:rPr>
          <w:rFonts w:ascii="Palatino Linotype" w:eastAsia="Arial Unicode MS" w:hAnsi="Palatino Linotype" w:cs="Arial"/>
          <w:b/>
          <w:i/>
          <w:sz w:val="22"/>
        </w:rPr>
        <w:t>Artículo 3.</w:t>
      </w:r>
      <w:r w:rsidRPr="000D558D">
        <w:rPr>
          <w:rFonts w:ascii="Palatino Linotype" w:eastAsia="Arial Unicode MS" w:hAnsi="Palatino Linotype" w:cs="Arial"/>
          <w:i/>
          <w:sz w:val="22"/>
        </w:rPr>
        <w:t xml:space="preserve"> Para los efectos de la presente Ley, se entenderá por:</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 xml:space="preserve">XII. </w:t>
      </w:r>
      <w:r w:rsidRPr="000D558D">
        <w:rPr>
          <w:rFonts w:ascii="Palatino Linotype" w:eastAsia="Arial Unicode MS" w:hAnsi="Palatino Linotype" w:cs="Arial"/>
          <w:b/>
          <w:i/>
          <w:sz w:val="22"/>
        </w:rPr>
        <w:t>Faltas administrativas</w:t>
      </w:r>
      <w:r w:rsidRPr="000D558D">
        <w:rPr>
          <w:rFonts w:ascii="Palatino Linotype" w:eastAsia="Arial Unicode MS" w:hAnsi="Palatino Linotype" w:cs="Arial"/>
          <w:i/>
          <w:sz w:val="22"/>
        </w:rPr>
        <w:t>: A las faltas administrativas graves y no graves, así como las faltas cometidas por particulares conforme a lo dispuesto en la presente Ley.</w:t>
      </w:r>
    </w:p>
    <w:p w:rsidR="00E25BCD" w:rsidRPr="000D558D" w:rsidRDefault="00E25BCD" w:rsidP="00E25BCD">
      <w:pPr>
        <w:pStyle w:val="Prrafodelista"/>
        <w:ind w:left="567" w:right="474"/>
        <w:jc w:val="both"/>
        <w:rPr>
          <w:rFonts w:ascii="Palatino Linotype" w:eastAsia="Arial Unicode MS" w:hAnsi="Palatino Linotype" w:cs="Arial"/>
          <w:i/>
          <w:sz w:val="22"/>
        </w:rPr>
      </w:pP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 xml:space="preserve">XIII. </w:t>
      </w:r>
      <w:r w:rsidRPr="000D558D">
        <w:rPr>
          <w:rFonts w:ascii="Palatino Linotype" w:eastAsia="Arial Unicode MS" w:hAnsi="Palatino Linotype" w:cs="Arial"/>
          <w:b/>
          <w:i/>
          <w:sz w:val="22"/>
        </w:rPr>
        <w:t>Falta administrativa no grave</w:t>
      </w:r>
      <w:r w:rsidRPr="000D558D">
        <w:rPr>
          <w:rFonts w:ascii="Palatino Linotype" w:eastAsia="Arial Unicode MS" w:hAnsi="Palatino Linotype" w:cs="Arial"/>
          <w:i/>
          <w:sz w:val="22"/>
        </w:rPr>
        <w:t>: A las faltas administrativas de los servidores públicos en los términos de la presente Ley, cuya imposición de la sanción corresponde a la Secretaría de la Contraloría del Estado de México y a los órganos internos de control.</w:t>
      </w:r>
    </w:p>
    <w:p w:rsidR="00E25BCD" w:rsidRPr="000D558D" w:rsidRDefault="00E25BCD" w:rsidP="00E25BCD">
      <w:pPr>
        <w:pStyle w:val="Prrafodelista"/>
        <w:ind w:left="567" w:right="474"/>
        <w:jc w:val="both"/>
        <w:rPr>
          <w:rFonts w:ascii="Palatino Linotype" w:eastAsia="Arial Unicode MS" w:hAnsi="Palatino Linotype" w:cs="Arial"/>
          <w:sz w:val="22"/>
        </w:rPr>
      </w:pPr>
      <w:r w:rsidRPr="000D558D">
        <w:rPr>
          <w:rFonts w:ascii="Palatino Linotype" w:eastAsia="Arial Unicode MS" w:hAnsi="Palatino Linotype" w:cs="Arial"/>
          <w:i/>
          <w:sz w:val="22"/>
        </w:rPr>
        <w:t xml:space="preserve">XIV. </w:t>
      </w:r>
      <w:r w:rsidRPr="000D558D">
        <w:rPr>
          <w:rFonts w:ascii="Palatino Linotype" w:eastAsia="Arial Unicode MS" w:hAnsi="Palatino Linotype" w:cs="Arial"/>
          <w:b/>
          <w:i/>
          <w:sz w:val="22"/>
        </w:rPr>
        <w:t>Falta administrativa grave</w:t>
      </w:r>
      <w:r w:rsidRPr="000D558D">
        <w:rPr>
          <w:rFonts w:ascii="Palatino Linotype" w:eastAsia="Arial Unicode MS" w:hAnsi="Palatino Linotype" w:cs="Arial"/>
          <w:i/>
          <w:sz w:val="22"/>
        </w:rPr>
        <w:t xml:space="preserve">: A las faltas administrativas de los servidores públicos catalogadas como graves en los términos de la presente Ley, cuya sanción corresponde al Tribunal de Justicia Administrativa del Estado de México.” </w:t>
      </w:r>
      <w:r w:rsidRPr="000D558D">
        <w:rPr>
          <w:rFonts w:ascii="Palatino Linotype" w:eastAsia="Arial Unicode MS" w:hAnsi="Palatino Linotype" w:cs="Arial"/>
          <w:sz w:val="22"/>
        </w:rPr>
        <w:t>Énfasis añadido</w:t>
      </w:r>
    </w:p>
    <w:p w:rsidR="00E25BCD" w:rsidRPr="000D558D" w:rsidRDefault="00E25BCD" w:rsidP="00E25BCD">
      <w:pPr>
        <w:pStyle w:val="Prrafodelista"/>
        <w:ind w:left="567" w:right="474"/>
        <w:jc w:val="both"/>
        <w:rPr>
          <w:rFonts w:ascii="Palatino Linotype" w:eastAsia="Arial Unicode MS" w:hAnsi="Palatino Linotype" w:cs="Arial"/>
          <w:sz w:val="22"/>
        </w:rPr>
      </w:pP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w:t>
      </w:r>
      <w:r w:rsidRPr="000D558D">
        <w:rPr>
          <w:rFonts w:ascii="Palatino Linotype" w:eastAsia="Arial Unicode MS" w:hAnsi="Palatino Linotype" w:cs="Arial"/>
          <w:b/>
          <w:i/>
          <w:sz w:val="22"/>
        </w:rPr>
        <w:t>Artículo 52.</w:t>
      </w:r>
      <w:r w:rsidRPr="000D558D">
        <w:rPr>
          <w:rFonts w:ascii="Palatino Linotype" w:eastAsia="Arial Unicode MS" w:hAnsi="Palatino Linotype" w:cs="Arial"/>
          <w:i/>
          <w:sz w:val="22"/>
        </w:rPr>
        <w:t xml:space="preserve"> Para efectos de la presente Ley, </w:t>
      </w:r>
      <w:r w:rsidRPr="000D558D">
        <w:rPr>
          <w:rFonts w:ascii="Palatino Linotype" w:eastAsia="Arial Unicode MS" w:hAnsi="Palatino Linotype" w:cs="Arial"/>
          <w:b/>
          <w:i/>
          <w:sz w:val="22"/>
        </w:rPr>
        <w:t>se consideran faltas administrativas graves de los servidores públicos</w:t>
      </w:r>
      <w:r w:rsidRPr="000D558D">
        <w:rPr>
          <w:rFonts w:ascii="Palatino Linotype" w:eastAsia="Arial Unicode MS" w:hAnsi="Palatino Linotype" w:cs="Arial"/>
          <w:i/>
          <w:sz w:val="22"/>
        </w:rPr>
        <w:t>, mediante cualquier acto u omisión, las siguientes:</w:t>
      </w:r>
    </w:p>
    <w:p w:rsidR="00E25BCD" w:rsidRPr="000D558D" w:rsidRDefault="00E25BCD" w:rsidP="00E25BCD">
      <w:pPr>
        <w:pStyle w:val="Prrafodelista"/>
        <w:ind w:left="567" w:right="474"/>
        <w:jc w:val="both"/>
        <w:rPr>
          <w:rFonts w:ascii="Palatino Linotype" w:eastAsia="Arial Unicode MS" w:hAnsi="Palatino Linotype" w:cs="Arial"/>
          <w:i/>
          <w:sz w:val="22"/>
        </w:rPr>
      </w:pP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I. El cohecho.</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II. El peculado.</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III. El desvío de recursos públicos.</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IV. La utilización indebida de información.</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V. El abuso de funciones.</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VI. Cometer o tolerar conductas de hostigamiento y acoso sexual.</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VII. El actuar bajo conflicto de interés.</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VIII. La contratación indebida.</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IX. El enriquecimiento oculto u ocultamiento de conflicto de interés.</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X. El tráfico de influencias.</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XI. El encubrimiento.</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XII. El desacato.</w:t>
      </w:r>
    </w:p>
    <w:p w:rsidR="00E25BCD" w:rsidRPr="000D558D" w:rsidRDefault="00E25BCD" w:rsidP="00E25BCD">
      <w:pPr>
        <w:pStyle w:val="Prrafodelista"/>
        <w:ind w:left="567" w:right="474"/>
        <w:jc w:val="both"/>
        <w:rPr>
          <w:rFonts w:ascii="Palatino Linotype" w:eastAsia="Arial Unicode MS" w:hAnsi="Palatino Linotype" w:cs="Arial"/>
          <w:i/>
          <w:sz w:val="22"/>
        </w:rPr>
      </w:pPr>
      <w:r w:rsidRPr="000D558D">
        <w:rPr>
          <w:rFonts w:ascii="Palatino Linotype" w:eastAsia="Arial Unicode MS" w:hAnsi="Palatino Linotype" w:cs="Arial"/>
          <w:i/>
          <w:sz w:val="22"/>
        </w:rPr>
        <w:t xml:space="preserve">XIII. La obstrucción de la Justicia.” </w:t>
      </w:r>
    </w:p>
    <w:p w:rsidR="00E25BCD" w:rsidRPr="000D558D" w:rsidRDefault="00E25BCD" w:rsidP="00E25BCD">
      <w:pPr>
        <w:pStyle w:val="Prrafodelista"/>
        <w:spacing w:after="160" w:line="360" w:lineRule="auto"/>
        <w:ind w:left="0"/>
        <w:contextualSpacing/>
        <w:jc w:val="both"/>
        <w:rPr>
          <w:rFonts w:ascii="Palatino Linotype" w:eastAsia="Calibri" w:hAnsi="Palatino Linotype" w:cs="Tahoma"/>
          <w:bCs/>
        </w:rPr>
      </w:pPr>
    </w:p>
    <w:p w:rsidR="00E25BCD" w:rsidRPr="000D558D" w:rsidRDefault="00E25BCD" w:rsidP="00E25BCD">
      <w:pPr>
        <w:pStyle w:val="Prrafodelista"/>
        <w:spacing w:after="160" w:line="360" w:lineRule="auto"/>
        <w:ind w:left="0"/>
        <w:contextualSpacing/>
        <w:jc w:val="both"/>
        <w:rPr>
          <w:rFonts w:ascii="Palatino Linotype" w:eastAsia="Calibri" w:hAnsi="Palatino Linotype" w:cs="Tahoma"/>
          <w:bCs/>
        </w:rPr>
      </w:pPr>
      <w:r w:rsidRPr="000D558D">
        <w:rPr>
          <w:rFonts w:ascii="Palatino Linotype" w:eastAsia="Calibri" w:hAnsi="Palatino Linotype" w:cs="Tahoma"/>
          <w:bCs/>
        </w:rPr>
        <w:t xml:space="preserve">Atento a lo anterior, es que los </w:t>
      </w:r>
      <w:r w:rsidRPr="000D558D">
        <w:rPr>
          <w:rFonts w:ascii="Palatino Linotype" w:eastAsia="Calibri" w:hAnsi="Palatino Linotype" w:cs="Tahoma"/>
          <w:b/>
          <w:bCs/>
        </w:rPr>
        <w:t xml:space="preserve">Sujetos Obligados </w:t>
      </w:r>
      <w:r w:rsidRPr="000D558D">
        <w:rPr>
          <w:rFonts w:ascii="Palatino Linotype" w:eastAsia="Calibri" w:hAnsi="Palatino Linotype" w:cs="Tahoma"/>
          <w:bCs/>
        </w:rPr>
        <w:t xml:space="preserve">deberán abstenerse de publicitar aquellas sanciones administrativas impuestas a servidores públicos que revistan el carácter de </w:t>
      </w:r>
      <w:r w:rsidR="00800857" w:rsidRPr="000D558D">
        <w:rPr>
          <w:rFonts w:ascii="Palatino Linotype" w:eastAsia="Calibri" w:hAnsi="Palatino Linotype" w:cs="Tahoma"/>
          <w:b/>
          <w:bCs/>
        </w:rPr>
        <w:t>no grave</w:t>
      </w:r>
      <w:r w:rsidRPr="000D558D">
        <w:rPr>
          <w:rFonts w:ascii="Palatino Linotype" w:eastAsia="Calibri" w:hAnsi="Palatino Linotype" w:cs="Tahoma"/>
          <w:bCs/>
        </w:rPr>
        <w:t xml:space="preserve">. Siendo entonces que, con apego a lo establecido en las disposiciones legales en la materia y en el supuesto que los servidores públicos que incurran en faltas administrativas </w:t>
      </w:r>
      <w:r w:rsidRPr="000D558D">
        <w:rPr>
          <w:rFonts w:ascii="Palatino Linotype" w:eastAsia="Calibri" w:hAnsi="Palatino Linotype" w:cs="Tahoma"/>
          <w:b/>
          <w:bCs/>
        </w:rPr>
        <w:t>no graves</w:t>
      </w:r>
      <w:r w:rsidRPr="000D558D">
        <w:rPr>
          <w:rFonts w:ascii="Palatino Linotype" w:eastAsia="Calibri" w:hAnsi="Palatino Linotype" w:cs="Tahoma"/>
          <w:bCs/>
        </w:rPr>
        <w:t xml:space="preserve">, estos deben guardar el carácter de información </w:t>
      </w:r>
      <w:r w:rsidR="00800857" w:rsidRPr="000D558D">
        <w:rPr>
          <w:rFonts w:ascii="Palatino Linotype" w:eastAsia="Calibri" w:hAnsi="Palatino Linotype" w:cs="Tahoma"/>
          <w:b/>
          <w:bCs/>
        </w:rPr>
        <w:t>CONFIDENCIAL</w:t>
      </w:r>
      <w:r w:rsidRPr="000D558D">
        <w:rPr>
          <w:rFonts w:ascii="Palatino Linotype" w:eastAsia="Calibri" w:hAnsi="Palatino Linotype" w:cs="Tahoma"/>
          <w:bCs/>
        </w:rPr>
        <w:t xml:space="preserve">, por lo que el </w:t>
      </w:r>
      <w:r w:rsidRPr="000D558D">
        <w:rPr>
          <w:rFonts w:ascii="Palatino Linotype" w:eastAsia="Calibri" w:hAnsi="Palatino Linotype" w:cs="Tahoma"/>
          <w:b/>
          <w:bCs/>
        </w:rPr>
        <w:t xml:space="preserve">Sujeto Obligado </w:t>
      </w:r>
      <w:r w:rsidRPr="000D558D">
        <w:rPr>
          <w:rFonts w:ascii="Palatino Linotype" w:eastAsia="Calibri" w:hAnsi="Palatino Linotype" w:cs="Tahoma"/>
          <w:bCs/>
        </w:rPr>
        <w:t xml:space="preserve">deberá generar y emitir </w:t>
      </w:r>
      <w:r w:rsidRPr="000D558D">
        <w:rPr>
          <w:rFonts w:ascii="Palatino Linotype" w:eastAsia="Calibri" w:hAnsi="Palatino Linotype" w:cs="Tahoma"/>
          <w:bCs/>
        </w:rPr>
        <w:lastRenderedPageBreak/>
        <w:t xml:space="preserve">el </w:t>
      </w:r>
      <w:r w:rsidRPr="000D558D">
        <w:rPr>
          <w:rFonts w:ascii="Palatino Linotype" w:eastAsia="Calibri" w:hAnsi="Palatino Linotype" w:cs="Tahoma"/>
          <w:b/>
          <w:bCs/>
        </w:rPr>
        <w:t xml:space="preserve">Acuerdo del Comité de Transparencia </w:t>
      </w:r>
      <w:r w:rsidRPr="000D558D">
        <w:rPr>
          <w:rFonts w:ascii="Palatino Linotype" w:eastAsia="Calibri" w:hAnsi="Palatino Linotype" w:cs="Tahoma"/>
          <w:bCs/>
        </w:rPr>
        <w:t xml:space="preserve">mediante el cual se clasifique como </w:t>
      </w:r>
      <w:r w:rsidRPr="000D558D">
        <w:rPr>
          <w:rFonts w:ascii="Palatino Linotype" w:eastAsia="Calibri" w:hAnsi="Palatino Linotype" w:cs="Tahoma"/>
          <w:b/>
          <w:bCs/>
        </w:rPr>
        <w:t>confidencial la información relativa a las faltas administrativas NO GRAVES</w:t>
      </w:r>
      <w:r w:rsidR="00800857" w:rsidRPr="000D558D">
        <w:rPr>
          <w:rFonts w:ascii="Palatino Linotype" w:eastAsia="Calibri" w:hAnsi="Palatino Linotype" w:cs="Tahoma"/>
          <w:b/>
          <w:bCs/>
        </w:rPr>
        <w:t xml:space="preserve"> </w:t>
      </w:r>
      <w:r w:rsidR="00800857" w:rsidRPr="000D558D">
        <w:rPr>
          <w:rFonts w:ascii="Palatino Linotype" w:eastAsia="Calibri" w:hAnsi="Palatino Linotype" w:cs="Tahoma"/>
          <w:bCs/>
        </w:rPr>
        <w:t>impuestas a servidores públicos</w:t>
      </w:r>
      <w:r w:rsidRPr="000D558D">
        <w:rPr>
          <w:rFonts w:ascii="Palatino Linotype" w:eastAsia="Calibri" w:hAnsi="Palatino Linotype" w:cs="Tahoma"/>
          <w:b/>
          <w:bCs/>
        </w:rPr>
        <w:t xml:space="preserve">. </w:t>
      </w:r>
    </w:p>
    <w:p w:rsidR="00E25BCD" w:rsidRPr="000D558D" w:rsidRDefault="00E25BCD" w:rsidP="00E25BCD">
      <w:pPr>
        <w:pStyle w:val="Prrafodelista"/>
        <w:spacing w:line="360" w:lineRule="auto"/>
        <w:ind w:left="0" w:right="49"/>
        <w:contextualSpacing/>
        <w:jc w:val="both"/>
        <w:rPr>
          <w:rFonts w:ascii="Palatino Linotype" w:hAnsi="Palatino Linotype" w:cs="Arial"/>
          <w:color w:val="000000"/>
        </w:rPr>
      </w:pPr>
    </w:p>
    <w:p w:rsidR="00E25BCD" w:rsidRPr="000D558D" w:rsidRDefault="00E25BCD" w:rsidP="00E25BCD">
      <w:pPr>
        <w:spacing w:after="0" w:line="360" w:lineRule="auto"/>
        <w:jc w:val="both"/>
        <w:rPr>
          <w:rFonts w:ascii="Palatino Linotype" w:hAnsi="Palatino Linotype" w:cs="Tahoma"/>
          <w:sz w:val="24"/>
          <w:szCs w:val="24"/>
          <w:lang w:val="es-ES"/>
        </w:rPr>
      </w:pPr>
      <w:r w:rsidRPr="000D558D">
        <w:rPr>
          <w:rFonts w:ascii="Palatino Linotype" w:hAnsi="Palatino Linotype" w:cs="Tahoma"/>
          <w:sz w:val="24"/>
          <w:szCs w:val="24"/>
          <w:lang w:val="es-ES"/>
        </w:rPr>
        <w:t xml:space="preserve">De tales circunstancias, se concluye que los </w:t>
      </w:r>
      <w:r w:rsidRPr="000D558D">
        <w:rPr>
          <w:rFonts w:ascii="Palatino Linotype" w:hAnsi="Palatino Linotype" w:cs="Tahoma"/>
          <w:b/>
          <w:sz w:val="24"/>
          <w:szCs w:val="24"/>
          <w:lang w:val="es-ES"/>
        </w:rPr>
        <w:t>Sujetos Obligados</w:t>
      </w:r>
      <w:r w:rsidRPr="000D558D">
        <w:rPr>
          <w:rFonts w:ascii="Palatino Linotype" w:hAnsi="Palatino Linotype" w:cs="Tahoma"/>
          <w:sz w:val="24"/>
          <w:szCs w:val="24"/>
          <w:lang w:val="es-ES"/>
        </w:rPr>
        <w:t xml:space="preserve"> únicamente se encuentran constreñidos a proporcionar los documentos que den cuenta de la información solicitada, como obren en sus archivos, sin tener que elaborarlos a las necesidades del </w:t>
      </w:r>
      <w:r w:rsidRPr="000D558D">
        <w:rPr>
          <w:rFonts w:ascii="Palatino Linotype" w:hAnsi="Palatino Linotype" w:cs="Tahoma"/>
          <w:b/>
          <w:sz w:val="24"/>
          <w:szCs w:val="24"/>
          <w:lang w:val="es-ES"/>
        </w:rPr>
        <w:t>Recurrente</w:t>
      </w:r>
      <w:r w:rsidRPr="000D558D">
        <w:rPr>
          <w:rFonts w:ascii="Palatino Linotype" w:hAnsi="Palatino Linotype" w:cs="Tahoma"/>
          <w:sz w:val="24"/>
          <w:szCs w:val="24"/>
          <w:lang w:val="es-ES"/>
        </w:rPr>
        <w:t>.</w:t>
      </w:r>
    </w:p>
    <w:p w:rsidR="00E25BCD" w:rsidRPr="000D558D" w:rsidRDefault="00E25BCD" w:rsidP="00E25BCD">
      <w:pPr>
        <w:spacing w:after="0" w:line="360" w:lineRule="auto"/>
        <w:jc w:val="both"/>
        <w:rPr>
          <w:rFonts w:ascii="Palatino Linotype" w:hAnsi="Palatino Linotype" w:cs="Tahoma"/>
          <w:sz w:val="24"/>
          <w:szCs w:val="24"/>
          <w:lang w:val="es-ES"/>
        </w:rPr>
      </w:pPr>
    </w:p>
    <w:p w:rsidR="00E25BCD" w:rsidRPr="000D558D" w:rsidRDefault="00E25BCD" w:rsidP="00E25BCD">
      <w:pPr>
        <w:pStyle w:val="Sinespaciado"/>
        <w:numPr>
          <w:ilvl w:val="0"/>
          <w:numId w:val="38"/>
        </w:numPr>
        <w:spacing w:line="360" w:lineRule="auto"/>
        <w:jc w:val="both"/>
        <w:rPr>
          <w:rFonts w:ascii="Palatino Linotype" w:hAnsi="Palatino Linotype"/>
          <w:b/>
          <w:i/>
          <w:sz w:val="28"/>
          <w:szCs w:val="28"/>
          <w:u w:val="single"/>
        </w:rPr>
      </w:pPr>
      <w:r w:rsidRPr="000D558D">
        <w:rPr>
          <w:rFonts w:ascii="Palatino Linotype" w:hAnsi="Palatino Linotype"/>
          <w:b/>
          <w:i/>
          <w:sz w:val="28"/>
          <w:szCs w:val="28"/>
          <w:u w:val="single"/>
        </w:rPr>
        <w:t>De la Versión Pública</w:t>
      </w:r>
    </w:p>
    <w:p w:rsidR="00E25BCD" w:rsidRPr="000D558D" w:rsidRDefault="00E25BCD" w:rsidP="00E25BCD">
      <w:pPr>
        <w:spacing w:after="0" w:line="360" w:lineRule="auto"/>
        <w:jc w:val="both"/>
        <w:rPr>
          <w:rFonts w:ascii="Palatino Linotype" w:eastAsia="Arial Unicode MS" w:hAnsi="Palatino Linotype" w:cs="Times New Roman"/>
          <w:sz w:val="24"/>
          <w:szCs w:val="24"/>
          <w:lang w:val="es-ES" w:eastAsia="es-ES"/>
        </w:rPr>
      </w:pPr>
      <w:r w:rsidRPr="000D558D">
        <w:rPr>
          <w:rFonts w:ascii="Palatino Linotype" w:eastAsia="Arial Unicode MS" w:hAnsi="Palatino Linotype" w:cs="Times New Roman"/>
          <w:sz w:val="24"/>
          <w:szCs w:val="24"/>
          <w:lang w:val="es-ES" w:eastAsia="es-ES"/>
        </w:rPr>
        <w:t xml:space="preserve">Toda vez que los documentos referidos tienen datos susceptibles de ser testados, este Órgano Garante determina ordenar que la entrega de la información al </w:t>
      </w:r>
      <w:r w:rsidRPr="000D558D">
        <w:rPr>
          <w:rFonts w:ascii="Palatino Linotype" w:eastAsia="Arial Unicode MS" w:hAnsi="Palatino Linotype" w:cs="Times New Roman"/>
          <w:b/>
          <w:sz w:val="24"/>
          <w:szCs w:val="24"/>
          <w:lang w:val="es-ES" w:eastAsia="es-ES"/>
        </w:rPr>
        <w:t>Recurrente</w:t>
      </w:r>
      <w:r w:rsidRPr="000D558D">
        <w:rPr>
          <w:rFonts w:ascii="Palatino Linotype" w:eastAsia="Arial Unicode MS" w:hAnsi="Palatino Linotype" w:cs="Times New Roman"/>
          <w:sz w:val="24"/>
          <w:szCs w:val="24"/>
          <w:lang w:val="es-ES" w:eastAsia="es-ES"/>
        </w:rPr>
        <w:t xml:space="preserve"> se haga en </w:t>
      </w:r>
      <w:r w:rsidRPr="000D558D">
        <w:rPr>
          <w:rFonts w:ascii="Palatino Linotype" w:eastAsia="Arial Unicode MS" w:hAnsi="Palatino Linotype" w:cs="Times New Roman"/>
          <w:b/>
          <w:i/>
          <w:sz w:val="24"/>
          <w:szCs w:val="24"/>
          <w:lang w:val="es-ES" w:eastAsia="es-ES"/>
        </w:rPr>
        <w:t>versión pública</w:t>
      </w:r>
      <w:r w:rsidRPr="000D558D">
        <w:rPr>
          <w:rFonts w:ascii="Palatino Linotype" w:eastAsia="Arial Unicode MS" w:hAnsi="Palatino Linotype" w:cs="Times New Roman"/>
          <w:sz w:val="24"/>
          <w:szCs w:val="24"/>
          <w:lang w:val="es-ES" w:eastAsia="es-ES"/>
        </w:rPr>
        <w:t xml:space="preserve">, esto es, omitiendo, eliminando o suprimiendo la información personal de cada funcionario público, susceptibles de ser clasificadas como </w:t>
      </w:r>
      <w:r w:rsidRPr="000D558D">
        <w:rPr>
          <w:rFonts w:ascii="Palatino Linotype" w:eastAsia="Arial Unicode MS" w:hAnsi="Palatino Linotype" w:cs="Times New Roman"/>
          <w:b/>
          <w:sz w:val="24"/>
          <w:szCs w:val="24"/>
          <w:lang w:val="es-ES" w:eastAsia="es-ES"/>
        </w:rPr>
        <w:t>CONFIDENCIAL</w:t>
      </w:r>
      <w:r w:rsidRPr="000D558D">
        <w:rPr>
          <w:rFonts w:ascii="Palatino Linotype" w:eastAsia="Arial Unicode MS" w:hAnsi="Palatino Linotype" w:cs="Times New Roman"/>
          <w:sz w:val="24"/>
          <w:szCs w:val="24"/>
          <w:lang w:val="es-ES" w:eastAsia="es-ES"/>
        </w:rPr>
        <w:t xml:space="preserve"> o cualquier otro dato que ponga en riesgo la vida, seguridad o salud de dicha persona.</w:t>
      </w:r>
    </w:p>
    <w:p w:rsidR="00E25BCD" w:rsidRPr="000D558D" w:rsidRDefault="00E25BCD" w:rsidP="00E25BCD">
      <w:pPr>
        <w:spacing w:after="0" w:line="360" w:lineRule="auto"/>
        <w:jc w:val="both"/>
        <w:rPr>
          <w:rFonts w:ascii="Palatino Linotype" w:eastAsia="Times New Roman" w:hAnsi="Palatino Linotype" w:cs="Times New Roman"/>
          <w:bCs/>
          <w:sz w:val="24"/>
          <w:szCs w:val="24"/>
          <w:lang w:eastAsia="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r w:rsidRPr="000D558D">
        <w:rPr>
          <w:rFonts w:ascii="Palatino Linotype" w:eastAsia="Times New Roman" w:hAnsi="Palatino Linotype" w:cs="Times New Roman"/>
          <w:bCs/>
          <w:sz w:val="24"/>
          <w:szCs w:val="24"/>
          <w:lang w:eastAsia="es-ES"/>
        </w:rPr>
        <w:t>A este respecto, los</w:t>
      </w:r>
      <w:r w:rsidRPr="000D558D">
        <w:rPr>
          <w:rFonts w:ascii="Palatino Linotype" w:eastAsia="Times New Roman" w:hAnsi="Palatino Linotype" w:cs="Times New Roman"/>
          <w:sz w:val="24"/>
          <w:szCs w:val="24"/>
          <w:lang w:eastAsia="es-ES"/>
        </w:rPr>
        <w:t xml:space="preserve"> artículos 3, fracciones IX, XX, XXI y XLV; 51 y 52, de la Ley de Transparencia y Acceso a la Información Pública del Estado de México y Municipios establecen:</w:t>
      </w:r>
    </w:p>
    <w:p w:rsidR="00E25BCD" w:rsidRPr="000D558D" w:rsidRDefault="00E25BCD" w:rsidP="00E25BCD">
      <w:pPr>
        <w:pStyle w:val="Sinespaciado"/>
        <w:spacing w:line="360" w:lineRule="auto"/>
        <w:rPr>
          <w:rFonts w:ascii="Palatino Linotype" w:hAnsi="Palatino Linotype"/>
          <w:noProof/>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ES"/>
        </w:rPr>
      </w:pPr>
      <w:r w:rsidRPr="000D558D">
        <w:rPr>
          <w:rFonts w:ascii="Palatino Linotype" w:eastAsia="Times New Roman" w:hAnsi="Palatino Linotype" w:cs="Arial"/>
          <w:b/>
          <w:bCs/>
          <w:i/>
          <w:noProof/>
          <w:lang w:eastAsia="es-ES"/>
        </w:rPr>
        <w:t>“</w:t>
      </w:r>
      <w:r w:rsidRPr="000D558D">
        <w:rPr>
          <w:rFonts w:ascii="Palatino Linotype" w:eastAsia="Times New Roman" w:hAnsi="Palatino Linotype" w:cs="Arial"/>
          <w:b/>
          <w:bCs/>
          <w:i/>
          <w:lang w:eastAsia="es-MX"/>
        </w:rPr>
        <w:t>Artículo</w:t>
      </w:r>
      <w:r w:rsidRPr="000D558D">
        <w:rPr>
          <w:rFonts w:ascii="Palatino Linotype" w:eastAsia="Times New Roman" w:hAnsi="Palatino Linotype" w:cs="Arial"/>
          <w:b/>
          <w:bCs/>
          <w:i/>
          <w:lang w:eastAsia="es-ES"/>
        </w:rPr>
        <w:t xml:space="preserve"> 3. </w:t>
      </w:r>
      <w:r w:rsidRPr="000D558D">
        <w:rPr>
          <w:rFonts w:ascii="Palatino Linotype" w:eastAsia="Times New Roman" w:hAnsi="Palatino Linotype" w:cs="Times New Roman"/>
          <w:i/>
          <w:lang w:eastAsia="es-ES"/>
        </w:rPr>
        <w:t xml:space="preserve">Para los efectos de la presente Ley se entenderá por: </w:t>
      </w:r>
    </w:p>
    <w:p w:rsidR="00E25BCD" w:rsidRPr="000D558D" w:rsidRDefault="00E25BCD" w:rsidP="00E25BCD">
      <w:pPr>
        <w:pStyle w:val="Sinespaciado"/>
        <w:rPr>
          <w:rFonts w:ascii="Palatino Linotype" w:hAnsi="Palatino Linotype"/>
        </w:rPr>
      </w:pPr>
    </w:p>
    <w:p w:rsidR="00E25BCD" w:rsidRPr="000D558D" w:rsidRDefault="00E25BCD" w:rsidP="00E25BCD">
      <w:pPr>
        <w:spacing w:after="0" w:line="240" w:lineRule="auto"/>
        <w:ind w:left="567" w:right="616"/>
        <w:jc w:val="both"/>
        <w:rPr>
          <w:rFonts w:ascii="Palatino Linotype" w:eastAsia="Times New Roman" w:hAnsi="Palatino Linotype" w:cs="Arial"/>
          <w:i/>
          <w:lang w:eastAsia="es-ES"/>
        </w:rPr>
      </w:pPr>
      <w:r w:rsidRPr="000D558D">
        <w:rPr>
          <w:rFonts w:ascii="Palatino Linotype" w:eastAsia="Times New Roman" w:hAnsi="Palatino Linotype" w:cs="Arial"/>
          <w:b/>
          <w:i/>
          <w:lang w:eastAsia="es-ES"/>
        </w:rPr>
        <w:lastRenderedPageBreak/>
        <w:t>IX.</w:t>
      </w:r>
      <w:r w:rsidRPr="000D558D">
        <w:rPr>
          <w:rFonts w:ascii="Palatino Linotype" w:eastAsia="Times New Roman" w:hAnsi="Palatino Linotype" w:cs="Arial"/>
          <w:i/>
          <w:lang w:eastAsia="es-ES"/>
        </w:rPr>
        <w:t xml:space="preserve"> </w:t>
      </w:r>
      <w:r w:rsidRPr="000D558D">
        <w:rPr>
          <w:rFonts w:ascii="Palatino Linotype" w:eastAsia="Times New Roman" w:hAnsi="Palatino Linotype" w:cs="Arial"/>
          <w:b/>
          <w:i/>
          <w:lang w:eastAsia="es-ES"/>
        </w:rPr>
        <w:t xml:space="preserve">Datos personales: </w:t>
      </w:r>
      <w:r w:rsidRPr="000D558D">
        <w:rPr>
          <w:rFonts w:ascii="Palatino Linotype" w:eastAsia="Times New Roman" w:hAnsi="Palatino Linotype" w:cs="Arial"/>
          <w:i/>
          <w:lang w:eastAsia="es-ES"/>
        </w:rPr>
        <w:t xml:space="preserve">La información concerniente a una persona, identificada o identificable según lo dispuesto por la Ley de Protección de Datos Personales del Estado de México; </w:t>
      </w:r>
    </w:p>
    <w:p w:rsidR="00E25BCD" w:rsidRPr="000D558D" w:rsidRDefault="00E25BCD" w:rsidP="00E25BCD">
      <w:pPr>
        <w:spacing w:after="0" w:line="240" w:lineRule="auto"/>
        <w:ind w:left="567" w:right="616"/>
        <w:jc w:val="both"/>
        <w:rPr>
          <w:rFonts w:ascii="Palatino Linotype" w:eastAsia="Times New Roman" w:hAnsi="Palatino Linotype" w:cs="Arial"/>
          <w:i/>
          <w:lang w:eastAsia="es-ES"/>
        </w:rPr>
      </w:pPr>
    </w:p>
    <w:p w:rsidR="00E25BCD" w:rsidRPr="000D558D" w:rsidRDefault="00E25BCD" w:rsidP="00E25BCD">
      <w:pPr>
        <w:spacing w:after="0" w:line="240" w:lineRule="auto"/>
        <w:ind w:left="567" w:right="616"/>
        <w:jc w:val="both"/>
        <w:rPr>
          <w:rFonts w:ascii="Palatino Linotype" w:eastAsia="Times New Roman" w:hAnsi="Palatino Linotype" w:cs="Arial"/>
          <w:i/>
          <w:lang w:eastAsia="es-ES"/>
        </w:rPr>
      </w:pPr>
      <w:r w:rsidRPr="000D558D">
        <w:rPr>
          <w:rFonts w:ascii="Palatino Linotype" w:eastAsia="Times New Roman" w:hAnsi="Palatino Linotype" w:cs="Arial"/>
          <w:b/>
          <w:i/>
          <w:lang w:eastAsia="es-ES"/>
        </w:rPr>
        <w:t>XX.</w:t>
      </w:r>
      <w:r w:rsidRPr="000D558D">
        <w:rPr>
          <w:rFonts w:ascii="Palatino Linotype" w:eastAsia="Times New Roman" w:hAnsi="Palatino Linotype" w:cs="Arial"/>
          <w:i/>
          <w:lang w:eastAsia="es-ES"/>
        </w:rPr>
        <w:t xml:space="preserve"> </w:t>
      </w:r>
      <w:r w:rsidRPr="000D558D">
        <w:rPr>
          <w:rFonts w:ascii="Palatino Linotype" w:eastAsia="Times New Roman" w:hAnsi="Palatino Linotype" w:cs="Arial"/>
          <w:b/>
          <w:i/>
          <w:lang w:eastAsia="es-ES"/>
        </w:rPr>
        <w:t>Información clasificada:</w:t>
      </w:r>
      <w:r w:rsidRPr="000D558D">
        <w:rPr>
          <w:rFonts w:ascii="Palatino Linotype" w:eastAsia="Times New Roman" w:hAnsi="Palatino Linotype" w:cs="Arial"/>
          <w:i/>
          <w:lang w:eastAsia="es-ES"/>
        </w:rPr>
        <w:t xml:space="preserve"> Aquella considerada por la presente Ley como reservada o confidencial; </w:t>
      </w:r>
    </w:p>
    <w:p w:rsidR="00E25BCD" w:rsidRPr="000D558D" w:rsidRDefault="00E25BCD" w:rsidP="00E25BCD">
      <w:pPr>
        <w:spacing w:after="0" w:line="240" w:lineRule="auto"/>
        <w:ind w:left="567" w:right="616"/>
        <w:jc w:val="both"/>
        <w:rPr>
          <w:rFonts w:ascii="Palatino Linotype" w:eastAsia="Times New Roman" w:hAnsi="Palatino Linotype" w:cs="Arial"/>
          <w:i/>
          <w:lang w:eastAsia="es-ES"/>
        </w:rPr>
      </w:pPr>
    </w:p>
    <w:p w:rsidR="00E25BCD" w:rsidRPr="000D558D" w:rsidRDefault="00E25BCD" w:rsidP="00E25BCD">
      <w:pPr>
        <w:spacing w:after="0" w:line="240" w:lineRule="auto"/>
        <w:ind w:left="567" w:right="616"/>
        <w:jc w:val="both"/>
        <w:rPr>
          <w:rFonts w:ascii="Palatino Linotype" w:eastAsia="Times New Roman" w:hAnsi="Palatino Linotype" w:cs="Arial"/>
          <w:i/>
          <w:lang w:eastAsia="es-ES"/>
        </w:rPr>
      </w:pPr>
      <w:r w:rsidRPr="000D558D">
        <w:rPr>
          <w:rFonts w:ascii="Palatino Linotype" w:eastAsia="Times New Roman" w:hAnsi="Palatino Linotype" w:cs="Arial"/>
          <w:b/>
          <w:i/>
          <w:lang w:eastAsia="es-ES"/>
        </w:rPr>
        <w:t>XXI.</w:t>
      </w:r>
      <w:r w:rsidRPr="000D558D">
        <w:rPr>
          <w:rFonts w:ascii="Palatino Linotype" w:eastAsia="Times New Roman" w:hAnsi="Palatino Linotype" w:cs="Arial"/>
          <w:i/>
          <w:lang w:eastAsia="es-ES"/>
        </w:rPr>
        <w:t xml:space="preserve"> </w:t>
      </w:r>
      <w:r w:rsidRPr="000D558D">
        <w:rPr>
          <w:rFonts w:ascii="Palatino Linotype" w:eastAsia="Times New Roman" w:hAnsi="Palatino Linotype" w:cs="Arial"/>
          <w:b/>
          <w:i/>
          <w:lang w:eastAsia="es-ES"/>
        </w:rPr>
        <w:t>Información confidencial</w:t>
      </w:r>
      <w:r w:rsidRPr="000D558D">
        <w:rPr>
          <w:rFonts w:ascii="Palatino Linotype" w:eastAsia="Times New Roman" w:hAnsi="Palatino Linotype" w:cs="Arial"/>
          <w:i/>
          <w:lang w:eastAsia="es-ES"/>
        </w:rPr>
        <w:t xml:space="preserve">: Se considera como información confidencial los secretos bancario, fiduciario, industrial, comercial, fiscal, bursátil y postal, cuya titularidad corresponda a particulares, sujetos de derecho internacional o a sujetos obligados cuando no involucren el ejercicio de recursos públicos; </w:t>
      </w:r>
    </w:p>
    <w:p w:rsidR="00E25BCD" w:rsidRPr="000D558D" w:rsidRDefault="00E25BCD" w:rsidP="00E25BCD">
      <w:pPr>
        <w:spacing w:after="0" w:line="240" w:lineRule="auto"/>
        <w:ind w:left="567" w:right="616"/>
        <w:jc w:val="both"/>
        <w:rPr>
          <w:rFonts w:ascii="Palatino Linotype" w:eastAsia="Times New Roman" w:hAnsi="Palatino Linotype" w:cs="Arial"/>
          <w:i/>
          <w:lang w:eastAsia="es-ES"/>
        </w:rPr>
      </w:pPr>
    </w:p>
    <w:p w:rsidR="00E25BCD" w:rsidRPr="000D558D" w:rsidRDefault="00E25BCD" w:rsidP="00E25BCD">
      <w:pPr>
        <w:spacing w:after="0" w:line="240" w:lineRule="auto"/>
        <w:ind w:left="567" w:right="616"/>
        <w:jc w:val="both"/>
        <w:rPr>
          <w:rFonts w:ascii="Palatino Linotype" w:eastAsia="Times New Roman" w:hAnsi="Palatino Linotype" w:cs="Arial"/>
          <w:i/>
          <w:lang w:eastAsia="es-ES"/>
        </w:rPr>
      </w:pPr>
      <w:r w:rsidRPr="000D558D">
        <w:rPr>
          <w:rFonts w:ascii="Palatino Linotype" w:eastAsia="Times New Roman" w:hAnsi="Palatino Linotype" w:cs="Arial"/>
          <w:b/>
          <w:i/>
          <w:lang w:eastAsia="es-ES"/>
        </w:rPr>
        <w:t>XLV. Versión pública:</w:t>
      </w:r>
      <w:r w:rsidRPr="000D558D">
        <w:rPr>
          <w:rFonts w:ascii="Palatino Linotype" w:eastAsia="Times New Roman" w:hAnsi="Palatino Linotype" w:cs="Arial"/>
          <w:i/>
          <w:lang w:eastAsia="es-ES"/>
        </w:rPr>
        <w:t xml:space="preserve"> Documento en el que se elimine, suprime o borra la información clasificada como reservada o confidencial para permitir su acceso. </w:t>
      </w:r>
    </w:p>
    <w:p w:rsidR="00E25BCD" w:rsidRPr="000D558D" w:rsidRDefault="00E25BCD" w:rsidP="00E25BCD">
      <w:pPr>
        <w:spacing w:after="0" w:line="240" w:lineRule="auto"/>
        <w:ind w:left="567" w:right="616"/>
        <w:jc w:val="both"/>
        <w:rPr>
          <w:rFonts w:ascii="Palatino Linotype" w:eastAsia="Times New Roman" w:hAnsi="Palatino Linotype" w:cs="Arial"/>
          <w:i/>
          <w:lang w:eastAsia="es-ES"/>
        </w:rPr>
      </w:pPr>
    </w:p>
    <w:p w:rsidR="00E25BCD" w:rsidRPr="000D558D" w:rsidRDefault="00E25BCD" w:rsidP="00E25BCD">
      <w:pPr>
        <w:spacing w:after="0" w:line="240" w:lineRule="auto"/>
        <w:ind w:left="567" w:right="616"/>
        <w:jc w:val="both"/>
        <w:rPr>
          <w:rFonts w:ascii="Palatino Linotype" w:eastAsia="Times New Roman" w:hAnsi="Palatino Linotype" w:cs="Arial"/>
          <w:i/>
          <w:lang w:eastAsia="es-ES"/>
        </w:rPr>
      </w:pPr>
      <w:r w:rsidRPr="000D558D">
        <w:rPr>
          <w:rFonts w:ascii="Palatino Linotype" w:eastAsia="Times New Roman" w:hAnsi="Palatino Linotype" w:cs="Arial"/>
          <w:b/>
          <w:i/>
          <w:lang w:eastAsia="es-ES"/>
        </w:rPr>
        <w:t>Artículo 51.</w:t>
      </w:r>
      <w:r w:rsidRPr="000D558D">
        <w:rPr>
          <w:rFonts w:ascii="Palatino Linotype" w:eastAsia="Times New Roman" w:hAnsi="Palatino Linotype" w:cs="Arial"/>
          <w:i/>
          <w:lang w:eastAsia="es-ES"/>
        </w:rPr>
        <w:t xml:space="preserve"> Los sujetos obligados designaran a un responsable para atender la Unidad de Transparencia, quien fungirá como enlace entre éstos y los solicitantes. Dicha Unidad será la encargada de tramitar internamente la solicitud de información </w:t>
      </w:r>
      <w:r w:rsidRPr="000D558D">
        <w:rPr>
          <w:rFonts w:ascii="Palatino Linotype" w:eastAsia="Times New Roman" w:hAnsi="Palatino Linotype" w:cs="Arial"/>
          <w:b/>
          <w:i/>
          <w:lang w:eastAsia="es-ES"/>
        </w:rPr>
        <w:t xml:space="preserve">y tendrá la responsabilidad de verificar en cada caso que la misma no sea confidencial o reservada. </w:t>
      </w:r>
      <w:r w:rsidRPr="000D558D">
        <w:rPr>
          <w:rFonts w:ascii="Palatino Linotype" w:eastAsia="Times New Roman" w:hAnsi="Palatino Linotype" w:cs="Arial"/>
          <w:i/>
          <w:lang w:eastAsia="es-ES"/>
        </w:rPr>
        <w:t xml:space="preserve">Dicha Unidad contará con las facultades internas necesarias para gestionar la atención a las solicitudes de información en los términos de la Ley General y la presente Ley. </w:t>
      </w:r>
    </w:p>
    <w:p w:rsidR="00E25BCD" w:rsidRPr="000D558D" w:rsidRDefault="00E25BCD" w:rsidP="00E25BCD">
      <w:pPr>
        <w:spacing w:after="0" w:line="240" w:lineRule="auto"/>
        <w:ind w:left="567" w:right="616"/>
        <w:jc w:val="both"/>
        <w:rPr>
          <w:rFonts w:ascii="Palatino Linotype" w:eastAsia="Times New Roman" w:hAnsi="Palatino Linotype" w:cs="Arial"/>
          <w:i/>
          <w:lang w:eastAsia="es-ES"/>
        </w:rPr>
      </w:pPr>
    </w:p>
    <w:p w:rsidR="00E25BCD" w:rsidRPr="000D558D" w:rsidRDefault="00E25BCD" w:rsidP="00E25BCD">
      <w:pPr>
        <w:spacing w:after="0" w:line="240" w:lineRule="auto"/>
        <w:ind w:left="567" w:right="616"/>
        <w:jc w:val="both"/>
        <w:rPr>
          <w:rFonts w:ascii="Palatino Linotype" w:eastAsia="Times New Roman" w:hAnsi="Palatino Linotype" w:cs="Arial"/>
          <w:bCs/>
          <w:i/>
          <w:noProof/>
          <w:lang w:eastAsia="es-ES"/>
        </w:rPr>
      </w:pPr>
      <w:r w:rsidRPr="000D558D">
        <w:rPr>
          <w:rFonts w:ascii="Palatino Linotype" w:eastAsia="Times New Roman" w:hAnsi="Palatino Linotype" w:cs="Arial"/>
          <w:b/>
          <w:i/>
          <w:lang w:eastAsia="es-ES"/>
        </w:rPr>
        <w:t>Artículo 52.</w:t>
      </w:r>
      <w:r w:rsidRPr="000D558D">
        <w:rPr>
          <w:rFonts w:ascii="Palatino Linotype" w:eastAsia="Times New Roman" w:hAnsi="Palatino Linotype" w:cs="Arial"/>
          <w:i/>
          <w:lang w:eastAsia="es-ES"/>
        </w:rPr>
        <w:t xml:space="preserve"> Las solicitudes de acceso a la información y las respuestas que se les dé, incluyendo, en su caso, la información entregada, así como las resoluciones a los recursos que en su caso se promuevan serán públicas, y de ser el caso que contenga datos personales que deban ser protegidos se podrá dar su acceso en su versión pública, siempre y cuando la resolución de referencia se someta a un proceso de disociación, es decir, no haga identificable al titular de tales datos personales.</w:t>
      </w:r>
      <w:r w:rsidRPr="000D558D">
        <w:rPr>
          <w:rFonts w:ascii="Palatino Linotype" w:eastAsia="Times New Roman" w:hAnsi="Palatino Linotype" w:cs="Arial"/>
          <w:bCs/>
          <w:i/>
          <w:noProof/>
          <w:lang w:eastAsia="es-ES"/>
        </w:rPr>
        <w:t>”</w:t>
      </w:r>
    </w:p>
    <w:p w:rsidR="00E25BCD" w:rsidRPr="000D558D" w:rsidRDefault="00E25BCD" w:rsidP="00E25BCD">
      <w:pPr>
        <w:spacing w:after="0" w:line="360" w:lineRule="auto"/>
        <w:ind w:left="567" w:right="616"/>
        <w:jc w:val="both"/>
        <w:rPr>
          <w:rFonts w:ascii="Palatino Linotype" w:eastAsia="Times New Roman" w:hAnsi="Palatino Linotype" w:cs="Arial"/>
          <w:bCs/>
          <w:noProof/>
          <w:sz w:val="24"/>
          <w:szCs w:val="24"/>
          <w:lang w:eastAsia="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r w:rsidRPr="000D558D">
        <w:rPr>
          <w:rFonts w:ascii="Palatino Linotype" w:eastAsia="Times New Roman" w:hAnsi="Palatino Linotype" w:cs="Times New Roman"/>
          <w:sz w:val="24"/>
          <w:szCs w:val="24"/>
          <w:lang w:eastAsia="es-ES"/>
        </w:rPr>
        <w:t xml:space="preserve">Así, los datos personales que obren en poder de los Sujetos Obligados deben estar protegidos, adoptando las medidas de seguridad administrativas, físicas y técnicas necesarias para garantizar la integridad, confidencialidad y disponibilidad de los datos personales, considerando además, que conforme al principio de finalidad, todo tratamiento de datos personales que efectúen deberá estar justificado en la Ley, lo </w:t>
      </w:r>
      <w:r w:rsidRPr="000D558D">
        <w:rPr>
          <w:rFonts w:ascii="Palatino Linotype" w:eastAsia="Times New Roman" w:hAnsi="Palatino Linotype" w:cs="Times New Roman"/>
          <w:sz w:val="24"/>
          <w:szCs w:val="24"/>
          <w:lang w:eastAsia="es-ES"/>
        </w:rPr>
        <w:lastRenderedPageBreak/>
        <w:t xml:space="preserve">anterior, en términos de lo dispuesto por el artículo 22, con relación con el 38, de la Ley de Protección de Datos Personales en Posesión de Sujetos Obligados del Estado de México y Municipios, los cuales se transcriben para mayor referencia: </w:t>
      </w:r>
    </w:p>
    <w:p w:rsidR="00E25BCD" w:rsidRPr="000D558D" w:rsidRDefault="00E25BCD" w:rsidP="00E25BCD">
      <w:pPr>
        <w:pStyle w:val="Sinespaciado"/>
        <w:rPr>
          <w:rFonts w:ascii="Palatino Linotype" w:hAnsi="Palatino Linotype"/>
        </w:rPr>
      </w:pPr>
    </w:p>
    <w:p w:rsidR="00E25BCD" w:rsidRPr="000D558D" w:rsidRDefault="00E25BCD" w:rsidP="00E25BCD">
      <w:pPr>
        <w:spacing w:after="0" w:line="240" w:lineRule="auto"/>
        <w:ind w:left="567" w:right="616"/>
        <w:jc w:val="both"/>
        <w:rPr>
          <w:rFonts w:ascii="Palatino Linotype" w:eastAsia="Arial Unicode MS" w:hAnsi="Palatino Linotype" w:cs="Arial"/>
          <w:i/>
          <w:szCs w:val="24"/>
          <w:lang w:eastAsia="es-ES"/>
        </w:rPr>
      </w:pPr>
      <w:r w:rsidRPr="000D558D">
        <w:rPr>
          <w:rFonts w:ascii="Palatino Linotype" w:eastAsia="Arial Unicode MS" w:hAnsi="Palatino Linotype" w:cs="Arial"/>
          <w:i/>
          <w:szCs w:val="24"/>
          <w:lang w:eastAsia="es-ES"/>
        </w:rPr>
        <w:t>“</w:t>
      </w:r>
      <w:r w:rsidRPr="000D558D">
        <w:rPr>
          <w:rFonts w:ascii="Palatino Linotype" w:eastAsia="Arial Unicode MS" w:hAnsi="Palatino Linotype" w:cs="Arial"/>
          <w:b/>
          <w:i/>
          <w:szCs w:val="24"/>
          <w:lang w:eastAsia="es-ES"/>
        </w:rPr>
        <w:t>Artículo</w:t>
      </w:r>
      <w:r w:rsidRPr="000D558D">
        <w:rPr>
          <w:rFonts w:ascii="Palatino Linotype" w:eastAsia="Arial Unicode MS" w:hAnsi="Palatino Linotype" w:cs="Arial"/>
          <w:i/>
          <w:szCs w:val="24"/>
          <w:lang w:eastAsia="es-ES"/>
        </w:rPr>
        <w:t xml:space="preserve"> </w:t>
      </w:r>
      <w:r w:rsidRPr="000D558D">
        <w:rPr>
          <w:rFonts w:ascii="Palatino Linotype" w:eastAsia="Arial Unicode MS" w:hAnsi="Palatino Linotype" w:cs="Arial"/>
          <w:b/>
          <w:i/>
          <w:szCs w:val="24"/>
          <w:lang w:eastAsia="es-ES"/>
        </w:rPr>
        <w:t>22</w:t>
      </w:r>
      <w:r w:rsidRPr="000D558D">
        <w:rPr>
          <w:rFonts w:ascii="Palatino Linotype" w:eastAsia="Arial Unicode MS" w:hAnsi="Palatino Linotype" w:cs="Arial"/>
          <w:i/>
          <w:szCs w:val="24"/>
          <w:lang w:eastAsia="es-ES"/>
        </w:rPr>
        <w:t>. Todo tratamiento de datos personales que efectúe el responsable deberá estar justificado por finalidades concretas, lícitas, explícitas y legítimas, relacionadas con las atribuciones que la normatividad aplicable les confiera.</w:t>
      </w:r>
    </w:p>
    <w:p w:rsidR="00E25BCD" w:rsidRPr="000D558D" w:rsidRDefault="00E25BCD" w:rsidP="00E25BCD">
      <w:pPr>
        <w:spacing w:after="0" w:line="240" w:lineRule="auto"/>
        <w:ind w:left="567" w:right="616"/>
        <w:jc w:val="both"/>
        <w:rPr>
          <w:rFonts w:ascii="Palatino Linotype" w:eastAsia="Arial Unicode MS" w:hAnsi="Palatino Linotype" w:cs="Arial"/>
          <w:i/>
          <w:szCs w:val="24"/>
          <w:lang w:eastAsia="es-ES"/>
        </w:rPr>
      </w:pPr>
    </w:p>
    <w:p w:rsidR="00E25BCD" w:rsidRPr="000D558D" w:rsidRDefault="00E25BCD" w:rsidP="00E25BCD">
      <w:pPr>
        <w:spacing w:after="0" w:line="240" w:lineRule="auto"/>
        <w:ind w:left="567" w:right="616"/>
        <w:jc w:val="both"/>
        <w:rPr>
          <w:rFonts w:ascii="Palatino Linotype" w:eastAsia="Arial Unicode MS" w:hAnsi="Palatino Linotype" w:cs="Arial"/>
          <w:i/>
          <w:szCs w:val="24"/>
          <w:lang w:eastAsia="es-ES"/>
        </w:rPr>
      </w:pPr>
      <w:r w:rsidRPr="000D558D">
        <w:rPr>
          <w:rFonts w:ascii="Palatino Linotype" w:eastAsia="Arial Unicode MS" w:hAnsi="Palatino Linotype" w:cs="Arial"/>
          <w:i/>
          <w:szCs w:val="24"/>
          <w:lang w:eastAsia="es-ES"/>
        </w:rPr>
        <w:t>El responsable podrá tratar datos personales para finalidades distintas a aquéllas establecidas en el aviso de privacidad, en los casos siguientes:</w:t>
      </w:r>
    </w:p>
    <w:p w:rsidR="00E25BCD" w:rsidRPr="000D558D" w:rsidRDefault="00E25BCD" w:rsidP="00E25BCD">
      <w:pPr>
        <w:spacing w:after="0" w:line="240" w:lineRule="auto"/>
        <w:ind w:left="567" w:right="616"/>
        <w:jc w:val="both"/>
        <w:rPr>
          <w:rFonts w:ascii="Palatino Linotype" w:eastAsia="Arial Unicode MS" w:hAnsi="Palatino Linotype" w:cs="Arial"/>
          <w:i/>
          <w:szCs w:val="24"/>
          <w:lang w:eastAsia="es-ES"/>
        </w:rPr>
      </w:pPr>
    </w:p>
    <w:p w:rsidR="00E25BCD" w:rsidRPr="000D558D" w:rsidRDefault="00E25BCD" w:rsidP="00E25BCD">
      <w:pPr>
        <w:spacing w:after="0" w:line="240" w:lineRule="auto"/>
        <w:ind w:left="567" w:right="616"/>
        <w:jc w:val="both"/>
        <w:rPr>
          <w:rFonts w:ascii="Palatino Linotype" w:eastAsia="Arial Unicode MS" w:hAnsi="Palatino Linotype" w:cs="Arial"/>
          <w:i/>
          <w:szCs w:val="24"/>
          <w:lang w:eastAsia="es-ES"/>
        </w:rPr>
      </w:pPr>
      <w:r w:rsidRPr="000D558D">
        <w:rPr>
          <w:rFonts w:ascii="Palatino Linotype" w:eastAsia="Arial Unicode MS" w:hAnsi="Palatino Linotype" w:cs="Arial"/>
          <w:i/>
          <w:szCs w:val="24"/>
          <w:lang w:eastAsia="es-ES"/>
        </w:rPr>
        <w:t>I. Cuente con atribuciones conferidas en ley y medie el consentimiento del titular.</w:t>
      </w:r>
    </w:p>
    <w:p w:rsidR="00E25BCD" w:rsidRPr="000D558D" w:rsidRDefault="00E25BCD" w:rsidP="00E25BCD">
      <w:pPr>
        <w:spacing w:after="0" w:line="240" w:lineRule="auto"/>
        <w:ind w:left="567" w:right="616"/>
        <w:jc w:val="both"/>
        <w:rPr>
          <w:rFonts w:ascii="Palatino Linotype" w:eastAsia="Arial Unicode MS" w:hAnsi="Palatino Linotype" w:cs="Arial"/>
          <w:i/>
          <w:szCs w:val="24"/>
          <w:lang w:eastAsia="es-ES"/>
        </w:rPr>
      </w:pPr>
      <w:r w:rsidRPr="000D558D">
        <w:rPr>
          <w:rFonts w:ascii="Palatino Linotype" w:eastAsia="Arial Unicode MS" w:hAnsi="Palatino Linotype" w:cs="Arial"/>
          <w:i/>
          <w:szCs w:val="24"/>
          <w:lang w:eastAsia="es-ES"/>
        </w:rPr>
        <w:t>II. Se trate de una persona reportada como desaparecida, en los términos previstos en la presente Ley y demás disposiciones legales aplicables...</w:t>
      </w:r>
    </w:p>
    <w:p w:rsidR="00E25BCD" w:rsidRPr="000D558D" w:rsidRDefault="00E25BCD" w:rsidP="00E25BCD">
      <w:pPr>
        <w:spacing w:after="0" w:line="240" w:lineRule="auto"/>
        <w:ind w:left="567" w:right="616"/>
        <w:jc w:val="both"/>
        <w:rPr>
          <w:rFonts w:ascii="Palatino Linotype" w:eastAsia="Arial Unicode MS" w:hAnsi="Palatino Linotype" w:cs="Arial"/>
          <w:i/>
          <w:szCs w:val="24"/>
          <w:lang w:eastAsia="es-ES"/>
        </w:rPr>
      </w:pPr>
    </w:p>
    <w:p w:rsidR="00E25BCD" w:rsidRPr="000D558D" w:rsidRDefault="00E25BCD" w:rsidP="00E25BCD">
      <w:pPr>
        <w:spacing w:after="0" w:line="240" w:lineRule="auto"/>
        <w:ind w:left="567" w:right="616"/>
        <w:jc w:val="both"/>
        <w:rPr>
          <w:rFonts w:ascii="Palatino Linotype" w:eastAsia="Arial Unicode MS" w:hAnsi="Palatino Linotype" w:cs="Arial"/>
          <w:i/>
          <w:szCs w:val="24"/>
          <w:lang w:eastAsia="es-ES"/>
        </w:rPr>
      </w:pPr>
      <w:r w:rsidRPr="000D558D">
        <w:rPr>
          <w:rFonts w:ascii="Palatino Linotype" w:eastAsia="Arial Unicode MS" w:hAnsi="Palatino Linotype" w:cs="Arial"/>
          <w:b/>
          <w:i/>
          <w:szCs w:val="24"/>
          <w:lang w:eastAsia="es-ES"/>
        </w:rPr>
        <w:t>Artículo</w:t>
      </w:r>
      <w:r w:rsidRPr="000D558D">
        <w:rPr>
          <w:rFonts w:ascii="Palatino Linotype" w:eastAsia="Arial Unicode MS" w:hAnsi="Palatino Linotype" w:cs="Arial"/>
          <w:i/>
          <w:szCs w:val="24"/>
          <w:lang w:eastAsia="es-ES"/>
        </w:rPr>
        <w:t xml:space="preserve"> </w:t>
      </w:r>
      <w:r w:rsidRPr="000D558D">
        <w:rPr>
          <w:rFonts w:ascii="Palatino Linotype" w:eastAsia="Arial Unicode MS" w:hAnsi="Palatino Linotype" w:cs="Arial"/>
          <w:b/>
          <w:i/>
          <w:szCs w:val="24"/>
          <w:lang w:eastAsia="es-ES"/>
        </w:rPr>
        <w:t>38</w:t>
      </w:r>
      <w:r w:rsidRPr="000D558D">
        <w:rPr>
          <w:rFonts w:ascii="Palatino Linotype" w:eastAsia="Arial Unicode MS" w:hAnsi="Palatino Linotype" w:cs="Arial"/>
          <w:i/>
          <w:szCs w:val="24"/>
          <w:lang w:eastAsia="es-ES"/>
        </w:rPr>
        <w:t xml:space="preserve">. Con independencia del tipo de sistema y base de datos en el que se encuentren los datos personales o el tipo de tratamiento que se efectúe, el responsable adoptará, establecerá, mantendrá y documentará las medidas de seguridad administrativas, físicas y técnicas para garantizar la integridad, confidencialidad y disponibilidad de los datos personales, a través de controles y acciones que eviten su daño, alteración, pérdida, destrucción, o el uso, transferencia, acceso o cualquier tratamiento no autorizado o ilícito, de conformidad con lo dispuesto en los lineamientos que al efecto se expidan.” </w:t>
      </w:r>
    </w:p>
    <w:p w:rsidR="00E25BCD" w:rsidRPr="000D558D" w:rsidRDefault="00E25BCD" w:rsidP="00E25BCD">
      <w:pPr>
        <w:spacing w:after="0" w:line="360" w:lineRule="auto"/>
        <w:ind w:left="567" w:right="616"/>
        <w:jc w:val="both"/>
        <w:rPr>
          <w:rFonts w:ascii="Palatino Linotype" w:eastAsia="Arial Unicode MS" w:hAnsi="Palatino Linotype" w:cs="Arial"/>
          <w:i/>
          <w:sz w:val="36"/>
          <w:szCs w:val="24"/>
          <w:lang w:eastAsia="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r w:rsidRPr="000D558D">
        <w:rPr>
          <w:rFonts w:ascii="Palatino Linotype" w:eastAsia="Times New Roman" w:hAnsi="Palatino Linotype" w:cs="Times New Roman"/>
          <w:sz w:val="24"/>
          <w:szCs w:val="24"/>
          <w:lang w:eastAsia="es-ES"/>
        </w:rPr>
        <w:t xml:space="preserve">De este modo, en armonía entre los principios constitucionales de máxima publicidad y de protección de datos personales, la Ley permite la elaboración de versiones públicas en las que se suprima aquella información relacionada con la vida privada de los particulares y de los servidores públicos toda vez que ésta tiene por objeto proteger datos personales, entendiéndose por tales, aquéllos que hacen identificable a una persona. </w:t>
      </w: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p>
    <w:p w:rsidR="00E25BCD" w:rsidRPr="000D558D" w:rsidRDefault="00E25BCD" w:rsidP="00E25BCD">
      <w:pPr>
        <w:spacing w:after="0" w:line="360" w:lineRule="auto"/>
        <w:jc w:val="both"/>
        <w:rPr>
          <w:rFonts w:ascii="Palatino Linotype" w:eastAsia="Arial Unicode MS" w:hAnsi="Palatino Linotype" w:cs="Times New Roman"/>
          <w:sz w:val="24"/>
          <w:szCs w:val="24"/>
          <w:lang w:val="es-ES" w:eastAsia="es-ES"/>
        </w:rPr>
      </w:pPr>
      <w:r w:rsidRPr="000D558D">
        <w:rPr>
          <w:rFonts w:ascii="Palatino Linotype" w:eastAsia="Arial Unicode MS" w:hAnsi="Palatino Linotype" w:cs="Times New Roman"/>
          <w:sz w:val="24"/>
          <w:szCs w:val="24"/>
          <w:lang w:val="es-ES" w:eastAsia="es-ES"/>
        </w:rPr>
        <w:lastRenderedPageBreak/>
        <w:t xml:space="preserve">En efecto, toda la información relativa a una persona física que le pueda hacer identificada o identificable constituye un dato personal en términos del artículo 4 fracción XI, de la Ley de Protección de Datos Personales en Posesión de Sujetos Obligados del Estado de México y Municipios; por consiguiente, se trata de información confidencial, que debe ser protegida por </w:t>
      </w:r>
      <w:r w:rsidRPr="000D558D">
        <w:rPr>
          <w:rFonts w:ascii="Palatino Linotype" w:eastAsia="Arial Unicode MS" w:hAnsi="Palatino Linotype" w:cs="Times New Roman"/>
          <w:color w:val="000000"/>
          <w:sz w:val="24"/>
          <w:szCs w:val="24"/>
          <w:lang w:eastAsia="es-MX"/>
        </w:rPr>
        <w:t>el Sujeto Obligado</w:t>
      </w:r>
      <w:r w:rsidRPr="000D558D">
        <w:rPr>
          <w:rFonts w:ascii="Palatino Linotype" w:eastAsia="Arial Unicode MS" w:hAnsi="Palatino Linotype" w:cs="Times New Roman"/>
          <w:sz w:val="24"/>
          <w:szCs w:val="24"/>
          <w:lang w:val="es-ES" w:eastAsia="es-ES"/>
        </w:rPr>
        <w:t xml:space="preserve">, en ese contexto, todo dato personal susceptible de clasificación debe ser protegido. </w:t>
      </w:r>
    </w:p>
    <w:p w:rsidR="00E25BCD" w:rsidRPr="000D558D" w:rsidRDefault="00E25BCD" w:rsidP="00E25BCD">
      <w:pPr>
        <w:pStyle w:val="Sinespaciado"/>
        <w:spacing w:line="360" w:lineRule="auto"/>
        <w:rPr>
          <w:rFonts w:ascii="Palatino Linotype" w:hAnsi="Palatino Linotype"/>
          <w:lang w:val="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ES"/>
        </w:rPr>
      </w:pPr>
      <w:r w:rsidRPr="000D558D">
        <w:rPr>
          <w:rFonts w:ascii="Palatino Linotype" w:eastAsia="Times New Roman" w:hAnsi="Palatino Linotype" w:cs="Times New Roman"/>
          <w:sz w:val="24"/>
          <w:szCs w:val="24"/>
          <w:lang w:val="es-ES" w:eastAsia="es-ES"/>
        </w:rPr>
        <w:t>Robustece lo anterior, el criterio sustentado por la Segunda Sala de la Suprema Corte de Justicia de la Nación, visible en la página 2518 del Tomo XXII, de la Novena Época del Semanario Judicial de la Federación y su Gaceta, Julio de 2008, de rubro y texto siguientes:</w:t>
      </w:r>
    </w:p>
    <w:p w:rsidR="00E25BCD" w:rsidRPr="000D558D" w:rsidRDefault="00E25BCD" w:rsidP="00E25BCD">
      <w:pPr>
        <w:pStyle w:val="Sinespaciado"/>
        <w:spacing w:line="360" w:lineRule="auto"/>
        <w:rPr>
          <w:rFonts w:ascii="Palatino Linotype" w:hAnsi="Palatino Linotype"/>
          <w:lang w:val="es-ES"/>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i/>
          <w:lang w:eastAsia="es-MX"/>
        </w:rPr>
        <w:t>"</w:t>
      </w:r>
      <w:r w:rsidRPr="000D558D">
        <w:rPr>
          <w:rFonts w:ascii="Palatino Linotype" w:eastAsia="Times New Roman" w:hAnsi="Palatino Linotype" w:cs="Times New Roman"/>
          <w:b/>
          <w:i/>
          <w:lang w:eastAsia="es-MX"/>
        </w:rPr>
        <w:t>TRANSPARENCIA Y ACCESO A LA INFORMACIÓN PÚBLICA GUBERNAMENTAL. LOS ARTÍCULOS 3o., FRACCIÓN II, Y 18, FRACCIÓN II, DE LA LEY FEDERAL RELATIVA, NO VIOLAN LA GARANTÍA DE IGUALDAD, AL TUTELAR EL DERECHO A LA PROTECCIÓN DE DATOS PERSONALES SÓLO DE LAS PERSONAS FÍSICAS.</w:t>
      </w:r>
      <w:r w:rsidRPr="000D558D">
        <w:rPr>
          <w:rFonts w:ascii="Palatino Linotype" w:eastAsia="Times New Roman" w:hAnsi="Palatino Linotype" w:cs="Times New Roman"/>
          <w:i/>
          <w:lang w:eastAsia="es-MX"/>
        </w:rPr>
        <w:t xml:space="preserve"> Si se toma en cuenta que la garantía constitucional indicada no implica que todos los sujetos de la norma siempre se encuentren en condiciones de absoluta igualdad, sino que gocen de una igualdad jurídica traducida en la seguridad de no tener que soportar un perjuicio (o privarse de un beneficio) desigual e injustificado, se concluye que los artículos 3o., fracción II, y 18, fracción II, de la Ley Federal de Transparencia y Acceso a la Información Pública Gubernamental, al tutelar sólo el derecho a la protección de datos personales de las personas físicas y no de las morales, colectivas o jurídicas privadas, no violan la indicada garantía contenida en el artículo 1o. de la Constitución Política de los Estados Unidos Mexicanos, pues tal distinción se justifica porque el derecho a la protección de los datos personales se refiere únicamente a las personas físicas por estar encausado al respeto de un derecho personalísimo, como es el de la intimidad, del cual derivó aquél. Esto es, en el apuntado supuesto no se actualiza una igualdad jurídica entre las personas físicas y las morales porque ambas están en situaciones de derecho dispares, ya que la protección de datos personales, entre ellos el del patrimonio y su confidencialidad, es una derivación del </w:t>
      </w:r>
      <w:r w:rsidRPr="000D558D">
        <w:rPr>
          <w:rFonts w:ascii="Palatino Linotype" w:eastAsia="Times New Roman" w:hAnsi="Palatino Linotype" w:cs="Times New Roman"/>
          <w:i/>
          <w:lang w:eastAsia="es-MX"/>
        </w:rPr>
        <w:lastRenderedPageBreak/>
        <w:t>derecho a la intimidad, del cual únicamente goza el individuo, entendido como la persona humana."</w:t>
      </w: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MX"/>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ES"/>
        </w:rPr>
      </w:pPr>
      <w:r w:rsidRPr="000D558D">
        <w:rPr>
          <w:rFonts w:ascii="Palatino Linotype" w:eastAsia="Times New Roman" w:hAnsi="Palatino Linotype" w:cs="Times New Roman"/>
          <w:sz w:val="24"/>
          <w:szCs w:val="24"/>
          <w:lang w:val="es-ES_tradnl" w:eastAsia="es-ES"/>
        </w:rPr>
        <w:t xml:space="preserve">Por ende, en el presente caso el Sujeto Obligado sólo podrá testar los datos referidos con antelación, clasificación que tiene que efectuar mediante las formalidades que la Ley impone, es decir, </w:t>
      </w:r>
      <w:r w:rsidRPr="000D558D">
        <w:rPr>
          <w:rFonts w:ascii="Palatino Linotype" w:eastAsia="Times New Roman" w:hAnsi="Palatino Linotype" w:cs="Times New Roman"/>
          <w:sz w:val="24"/>
          <w:szCs w:val="24"/>
          <w:lang w:val="es-ES" w:eastAsia="es-ES"/>
        </w:rPr>
        <w:t>resulta necesario que el Comité de Transparencia d</w:t>
      </w:r>
      <w:r w:rsidRPr="000D558D">
        <w:rPr>
          <w:rFonts w:ascii="Palatino Linotype" w:eastAsia="Times New Roman" w:hAnsi="Palatino Linotype" w:cs="Times New Roman"/>
          <w:sz w:val="24"/>
          <w:szCs w:val="24"/>
          <w:lang w:val="es-ES_tradnl" w:eastAsia="es-ES"/>
        </w:rPr>
        <w:t xml:space="preserve">el Sujeto Obligado </w:t>
      </w:r>
      <w:r w:rsidRPr="000D558D">
        <w:rPr>
          <w:rFonts w:ascii="Palatino Linotype" w:eastAsia="Times New Roman" w:hAnsi="Palatino Linotype" w:cs="Times New Roman"/>
          <w:sz w:val="24"/>
          <w:szCs w:val="24"/>
          <w:lang w:val="es-ES" w:eastAsia="es-ES"/>
        </w:rPr>
        <w:t>emita el Acuerdo de Clasificación correspondiente</w:t>
      </w:r>
      <w:r w:rsidRPr="000D558D">
        <w:rPr>
          <w:rFonts w:ascii="Palatino Linotype" w:eastAsia="Times New Roman" w:hAnsi="Palatino Linotype" w:cs="Times New Roman"/>
          <w:sz w:val="24"/>
          <w:szCs w:val="24"/>
          <w:lang w:val="es-ES_tradnl" w:eastAsia="es-ES"/>
        </w:rPr>
        <w:t xml:space="preserve"> debidamente fundado y motivado, </w:t>
      </w:r>
      <w:r w:rsidRPr="000D558D">
        <w:rPr>
          <w:rFonts w:ascii="Palatino Linotype" w:eastAsia="Times New Roman" w:hAnsi="Palatino Linotype" w:cs="Times New Roman"/>
          <w:sz w:val="24"/>
          <w:szCs w:val="24"/>
          <w:lang w:val="es-ES" w:eastAsia="es-ES"/>
        </w:rPr>
        <w:t xml:space="preserve">que sustente la versión pública, el cual deberá cumplir cabalmente con las formalidades previstas en el artículo 137, de la Ley de Transparencia y Acceso a la Información Pública del Estado de México y Municipios, así como con los numerales aplicables de los </w:t>
      </w:r>
      <w:r w:rsidRPr="000D558D">
        <w:rPr>
          <w:rFonts w:ascii="Palatino Linotype" w:eastAsia="Times New Roman" w:hAnsi="Palatino Linotype" w:cs="Times New Roman"/>
          <w:b/>
          <w:sz w:val="24"/>
          <w:szCs w:val="24"/>
          <w:lang w:val="es-ES" w:eastAsia="es-ES"/>
        </w:rPr>
        <w:t>LINEAMIENTOS GENERALES EN MATERIA DE CLASIFICACIÓN Y DESCLASIFICACIÓN DE LA INFORMACIÓN, ASÍ COMO PARA LA ELABORACIÓN DE VERSIONES PÚBLICAS</w:t>
      </w:r>
      <w:r w:rsidRPr="000D558D">
        <w:rPr>
          <w:rFonts w:ascii="Palatino Linotype" w:eastAsia="Times New Roman" w:hAnsi="Palatino Linotype" w:cs="Times New Roman"/>
          <w:sz w:val="24"/>
          <w:szCs w:val="24"/>
          <w:lang w:val="es-ES" w:eastAsia="es-ES"/>
        </w:rPr>
        <w:t>, publicados en el Diario Oficial de la Federación en fecha quince de abril del año dos mil dieciséis, mediante Acuerdo del Consejo Nacional del Sistema Nacional de Transparencia, Acceso a la Información Pública y Protección de Datos Personales.</w:t>
      </w:r>
    </w:p>
    <w:p w:rsidR="00E25BCD" w:rsidRPr="000D558D" w:rsidRDefault="00E25BCD" w:rsidP="00E25BCD">
      <w:pPr>
        <w:pStyle w:val="Sinespaciado"/>
        <w:spacing w:line="360" w:lineRule="auto"/>
        <w:rPr>
          <w:rFonts w:ascii="Palatino Linotype" w:hAnsi="Palatino Linotype"/>
          <w:lang w:val="es-ES"/>
        </w:rPr>
      </w:pPr>
    </w:p>
    <w:p w:rsidR="00E25BCD" w:rsidRPr="000D558D" w:rsidRDefault="00E25BCD" w:rsidP="00E25BCD">
      <w:pPr>
        <w:spacing w:after="0" w:line="360" w:lineRule="auto"/>
        <w:jc w:val="both"/>
        <w:rPr>
          <w:rFonts w:ascii="Palatino Linotype" w:eastAsia="Times New Roman" w:hAnsi="Palatino Linotype" w:cs="Times New Roman"/>
          <w:b/>
          <w:sz w:val="24"/>
          <w:szCs w:val="24"/>
          <w:lang w:val="es-ES" w:eastAsia="es-ES"/>
        </w:rPr>
      </w:pPr>
      <w:r w:rsidRPr="000D558D">
        <w:rPr>
          <w:rFonts w:ascii="Palatino Linotype" w:eastAsia="Times New Roman" w:hAnsi="Palatino Linotype" w:cs="Times New Roman"/>
          <w:sz w:val="24"/>
          <w:szCs w:val="24"/>
          <w:lang w:val="es-ES" w:eastAsia="es-ES"/>
        </w:rPr>
        <w:t xml:space="preserve">En caso específico, de los documentos solicitados obran datos que son considerados confidenciales, cuyo acceso debe ser restringido, los cuales deben testarse al momento de la elaboración de versiones públicas, como es el caso del </w:t>
      </w:r>
      <w:r w:rsidRPr="000D558D">
        <w:rPr>
          <w:rFonts w:ascii="Palatino Linotype" w:eastAsia="Times New Roman" w:hAnsi="Palatino Linotype" w:cs="Times New Roman"/>
          <w:b/>
          <w:sz w:val="24"/>
          <w:szCs w:val="24"/>
          <w:lang w:val="es-ES" w:eastAsia="es-ES"/>
        </w:rPr>
        <w:t>Registro Federal de Contribuyentes</w:t>
      </w:r>
      <w:r w:rsidRPr="000D558D">
        <w:rPr>
          <w:rFonts w:ascii="Palatino Linotype" w:eastAsia="Times New Roman" w:hAnsi="Palatino Linotype" w:cs="Times New Roman"/>
          <w:sz w:val="24"/>
          <w:szCs w:val="24"/>
          <w:lang w:val="es-ES" w:eastAsia="es-ES"/>
        </w:rPr>
        <w:t xml:space="preserve"> (RFC), la </w:t>
      </w:r>
      <w:r w:rsidRPr="000D558D">
        <w:rPr>
          <w:rFonts w:ascii="Palatino Linotype" w:eastAsia="Times New Roman" w:hAnsi="Palatino Linotype" w:cs="Times New Roman"/>
          <w:b/>
          <w:sz w:val="24"/>
          <w:szCs w:val="24"/>
          <w:lang w:val="es-ES" w:eastAsia="es-ES"/>
        </w:rPr>
        <w:t>Clave Única de Registro de Población</w:t>
      </w:r>
      <w:r w:rsidRPr="000D558D">
        <w:rPr>
          <w:rFonts w:ascii="Palatino Linotype" w:eastAsia="Times New Roman" w:hAnsi="Palatino Linotype" w:cs="Times New Roman"/>
          <w:sz w:val="24"/>
          <w:szCs w:val="24"/>
          <w:lang w:val="es-ES" w:eastAsia="es-ES"/>
        </w:rPr>
        <w:t xml:space="preserve"> (CURP), la </w:t>
      </w:r>
      <w:r w:rsidRPr="000D558D">
        <w:rPr>
          <w:rFonts w:ascii="Palatino Linotype" w:eastAsia="Times New Roman" w:hAnsi="Palatino Linotype" w:cs="Times New Roman"/>
          <w:b/>
          <w:sz w:val="24"/>
          <w:szCs w:val="24"/>
          <w:lang w:val="es-ES" w:eastAsia="es-ES"/>
        </w:rPr>
        <w:t>Clave de cualquier tipo de seguridad social</w:t>
      </w:r>
      <w:r w:rsidRPr="000D558D">
        <w:rPr>
          <w:rFonts w:ascii="Palatino Linotype" w:eastAsia="Times New Roman" w:hAnsi="Palatino Linotype" w:cs="Times New Roman"/>
          <w:sz w:val="24"/>
          <w:szCs w:val="24"/>
          <w:lang w:val="es-ES" w:eastAsia="es-ES"/>
        </w:rPr>
        <w:t xml:space="preserve"> (ISSEMYM, u otros), así como, los </w:t>
      </w:r>
      <w:r w:rsidRPr="000D558D">
        <w:rPr>
          <w:rFonts w:ascii="Palatino Linotype" w:eastAsia="Times New Roman" w:hAnsi="Palatino Linotype" w:cs="Times New Roman"/>
          <w:b/>
          <w:sz w:val="24"/>
          <w:szCs w:val="24"/>
          <w:lang w:val="es-ES" w:eastAsia="es-ES"/>
        </w:rPr>
        <w:t xml:space="preserve">préstamos o descuentos </w:t>
      </w:r>
      <w:r w:rsidRPr="000D558D">
        <w:rPr>
          <w:rFonts w:ascii="Palatino Linotype" w:eastAsia="Times New Roman" w:hAnsi="Palatino Linotype" w:cs="Times New Roman"/>
          <w:sz w:val="24"/>
          <w:szCs w:val="24"/>
          <w:lang w:val="es-ES" w:eastAsia="es-ES"/>
        </w:rPr>
        <w:t xml:space="preserve">que se le hagan al servidor público, que no se encuentren relacionados con los impuestos o la </w:t>
      </w:r>
      <w:r w:rsidRPr="000D558D">
        <w:rPr>
          <w:rFonts w:ascii="Palatino Linotype" w:eastAsia="Times New Roman" w:hAnsi="Palatino Linotype" w:cs="Times New Roman"/>
          <w:b/>
          <w:sz w:val="24"/>
          <w:szCs w:val="24"/>
          <w:lang w:val="es-ES" w:eastAsia="es-ES"/>
        </w:rPr>
        <w:t>cuotas</w:t>
      </w:r>
      <w:r w:rsidRPr="000D558D">
        <w:rPr>
          <w:rFonts w:ascii="Palatino Linotype" w:eastAsia="Times New Roman" w:hAnsi="Palatino Linotype" w:cs="Times New Roman"/>
          <w:sz w:val="24"/>
          <w:szCs w:val="24"/>
          <w:lang w:val="es-ES" w:eastAsia="es-ES"/>
        </w:rPr>
        <w:t xml:space="preserve"> por </w:t>
      </w:r>
      <w:r w:rsidRPr="000D558D">
        <w:rPr>
          <w:rFonts w:ascii="Palatino Linotype" w:eastAsia="Times New Roman" w:hAnsi="Palatino Linotype" w:cs="Times New Roman"/>
          <w:b/>
          <w:sz w:val="24"/>
          <w:szCs w:val="24"/>
          <w:lang w:val="es-ES" w:eastAsia="es-ES"/>
        </w:rPr>
        <w:t xml:space="preserve">seguridad social, Cadenas Originales </w:t>
      </w:r>
      <w:r w:rsidRPr="000D558D">
        <w:rPr>
          <w:rFonts w:ascii="Palatino Linotype" w:eastAsia="Times New Roman" w:hAnsi="Palatino Linotype" w:cs="Times New Roman"/>
          <w:sz w:val="24"/>
          <w:szCs w:val="24"/>
          <w:lang w:val="es-ES" w:eastAsia="es-ES"/>
        </w:rPr>
        <w:t>y</w:t>
      </w:r>
      <w:r w:rsidRPr="000D558D">
        <w:rPr>
          <w:rFonts w:ascii="Palatino Linotype" w:eastAsia="Times New Roman" w:hAnsi="Palatino Linotype" w:cs="Times New Roman"/>
          <w:b/>
          <w:sz w:val="24"/>
          <w:szCs w:val="24"/>
          <w:lang w:val="es-ES" w:eastAsia="es-ES"/>
        </w:rPr>
        <w:t xml:space="preserve"> Sellos Digitales</w:t>
      </w:r>
    </w:p>
    <w:p w:rsidR="00E25BCD" w:rsidRPr="000D558D" w:rsidRDefault="00E25BCD" w:rsidP="00800857">
      <w:pPr>
        <w:spacing w:after="0" w:line="360" w:lineRule="auto"/>
        <w:jc w:val="both"/>
        <w:rPr>
          <w:rFonts w:ascii="Palatino Linotype" w:eastAsia="Times New Roman" w:hAnsi="Palatino Linotype" w:cs="Times New Roman"/>
          <w:sz w:val="24"/>
          <w:szCs w:val="24"/>
          <w:lang w:val="es-ES" w:eastAsia="es-ES"/>
        </w:rPr>
      </w:pPr>
      <w:r w:rsidRPr="000D558D">
        <w:rPr>
          <w:rFonts w:ascii="Palatino Linotype" w:eastAsia="Times New Roman" w:hAnsi="Palatino Linotype" w:cs="Times New Roman"/>
          <w:b/>
          <w:sz w:val="24"/>
          <w:szCs w:val="24"/>
          <w:lang w:val="es-ES" w:eastAsia="es-ES"/>
        </w:rPr>
        <w:t xml:space="preserve">Códigos Bidimensionales </w:t>
      </w:r>
      <w:r w:rsidRPr="000D558D">
        <w:rPr>
          <w:rFonts w:ascii="Palatino Linotype" w:eastAsia="Times New Roman" w:hAnsi="Palatino Linotype" w:cs="Times New Roman"/>
          <w:sz w:val="24"/>
          <w:szCs w:val="24"/>
          <w:lang w:val="es-ES" w:eastAsia="es-ES"/>
        </w:rPr>
        <w:t>y los denominados</w:t>
      </w:r>
      <w:r w:rsidRPr="000D558D">
        <w:rPr>
          <w:rFonts w:ascii="Palatino Linotype" w:eastAsia="Times New Roman" w:hAnsi="Palatino Linotype" w:cs="Times New Roman"/>
          <w:b/>
          <w:sz w:val="24"/>
          <w:szCs w:val="24"/>
          <w:lang w:val="es-ES" w:eastAsia="es-ES"/>
        </w:rPr>
        <w:t xml:space="preserve"> Códigos QR.</w:t>
      </w: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ES"/>
        </w:rPr>
      </w:pPr>
      <w:r w:rsidRPr="000D558D">
        <w:rPr>
          <w:rFonts w:ascii="Palatino Linotype" w:eastAsia="Times New Roman" w:hAnsi="Palatino Linotype" w:cs="Times New Roman"/>
          <w:sz w:val="24"/>
          <w:szCs w:val="24"/>
          <w:lang w:val="es-ES" w:eastAsia="es-MX"/>
        </w:rPr>
        <w:lastRenderedPageBreak/>
        <w:t xml:space="preserve">Por cuanto hace al </w:t>
      </w:r>
      <w:r w:rsidRPr="000D558D">
        <w:rPr>
          <w:rFonts w:ascii="Palatino Linotype" w:eastAsia="Times New Roman" w:hAnsi="Palatino Linotype" w:cs="Times New Roman"/>
          <w:b/>
          <w:sz w:val="24"/>
          <w:szCs w:val="24"/>
          <w:lang w:val="es-ES" w:eastAsia="es-MX"/>
        </w:rPr>
        <w:t>Registro Federal de Contribuyentes</w:t>
      </w:r>
      <w:r w:rsidRPr="000D558D">
        <w:rPr>
          <w:rFonts w:ascii="Palatino Linotype" w:eastAsia="Times New Roman" w:hAnsi="Palatino Linotype" w:cs="Times New Roman"/>
          <w:sz w:val="24"/>
          <w:szCs w:val="24"/>
          <w:lang w:val="es-ES" w:eastAsia="es-MX"/>
        </w:rPr>
        <w:t xml:space="preserve"> </w:t>
      </w:r>
      <w:r w:rsidRPr="000D558D">
        <w:rPr>
          <w:rFonts w:ascii="Palatino Linotype" w:eastAsia="Times New Roman" w:hAnsi="Palatino Linotype" w:cs="Times New Roman"/>
          <w:b/>
          <w:sz w:val="24"/>
          <w:szCs w:val="24"/>
          <w:lang w:val="es-ES" w:eastAsia="es-MX"/>
        </w:rPr>
        <w:t>de las personas físicas</w:t>
      </w:r>
      <w:r w:rsidRPr="000D558D">
        <w:rPr>
          <w:rFonts w:ascii="Palatino Linotype" w:eastAsia="Times New Roman" w:hAnsi="Palatino Linotype" w:cs="Times New Roman"/>
          <w:sz w:val="24"/>
          <w:szCs w:val="24"/>
          <w:lang w:val="es-ES" w:eastAsia="es-MX"/>
        </w:rPr>
        <w:t xml:space="preserve"> constituye un dato personal, ya que se genera con caracteres alfanuméricos obtenidos a partir del nombre en mayúsculas sin acentos ni diéresis y la fecha de nacimiento de cada persona; es decir la primera letra del apellido paterno; seguida de la primera letra vocal del primer apellido; seguida de la primera letra del segundo apellido y por último la primera letra del nombre, posterior la fecha de nacimiento año/mes/día</w:t>
      </w:r>
      <w:r w:rsidRPr="000D558D">
        <w:rPr>
          <w:rFonts w:ascii="Palatino Linotype" w:eastAsia="Times New Roman" w:hAnsi="Palatino Linotype" w:cs="Times New Roman"/>
          <w:sz w:val="24"/>
          <w:szCs w:val="24"/>
          <w:lang w:val="es-ES" w:eastAsia="es-ES"/>
        </w:rPr>
        <w:t xml:space="preserve"> y finalmente la </w:t>
      </w:r>
      <w:proofErr w:type="spellStart"/>
      <w:r w:rsidRPr="000D558D">
        <w:rPr>
          <w:rFonts w:ascii="Palatino Linotype" w:eastAsia="Times New Roman" w:hAnsi="Palatino Linotype" w:cs="Times New Roman"/>
          <w:sz w:val="24"/>
          <w:szCs w:val="24"/>
          <w:lang w:val="es-ES" w:eastAsia="es-ES"/>
        </w:rPr>
        <w:t>homoclave</w:t>
      </w:r>
      <w:proofErr w:type="spellEnd"/>
      <w:r w:rsidRPr="000D558D">
        <w:rPr>
          <w:rFonts w:ascii="Palatino Linotype" w:eastAsia="Times New Roman" w:hAnsi="Palatino Linotype" w:cs="Times New Roman"/>
          <w:sz w:val="24"/>
          <w:szCs w:val="24"/>
          <w:lang w:val="es-ES" w:eastAsia="es-ES"/>
        </w:rPr>
        <w:t>; la cual para su obtención es necesario acreditar personalidad, fecha de nacimiento entre otros con documentos oficiales.</w:t>
      </w:r>
    </w:p>
    <w:p w:rsidR="00E25BCD" w:rsidRPr="000D558D" w:rsidRDefault="00E25BCD" w:rsidP="00E25BCD">
      <w:pPr>
        <w:pStyle w:val="Sinespaciado"/>
        <w:spacing w:line="360" w:lineRule="auto"/>
        <w:rPr>
          <w:rFonts w:ascii="Palatino Linotype" w:hAnsi="Palatino Linotype"/>
          <w:lang w:val="es-ES" w:eastAsia="es-MX"/>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MX"/>
        </w:rPr>
      </w:pPr>
      <w:r w:rsidRPr="000D558D">
        <w:rPr>
          <w:rFonts w:ascii="Palatino Linotype" w:eastAsia="Times New Roman" w:hAnsi="Palatino Linotype" w:cs="Times New Roman"/>
          <w:sz w:val="24"/>
          <w:szCs w:val="24"/>
          <w:lang w:val="es-ES" w:eastAsia="es-MX"/>
        </w:rPr>
        <w:t>Al respecto, el Instituto Nacional Transparencia, Acceso a la Información y Protección de Datos Personales (INAI) a través del Criterio 19/17, señala literalmente lo siguiente:</w:t>
      </w:r>
    </w:p>
    <w:p w:rsidR="00E25BCD" w:rsidRPr="000D558D" w:rsidRDefault="00E25BCD" w:rsidP="00E25BCD">
      <w:pPr>
        <w:pStyle w:val="Sinespaciado"/>
        <w:rPr>
          <w:rFonts w:ascii="Palatino Linotype" w:hAnsi="Palatino Linotype"/>
          <w:lang w:val="es-ES"/>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val="es-ES" w:eastAsia="es-ES"/>
        </w:rPr>
      </w:pPr>
      <w:r w:rsidRPr="000D558D">
        <w:rPr>
          <w:rFonts w:ascii="Palatino Linotype" w:eastAsia="Times New Roman" w:hAnsi="Palatino Linotype" w:cs="Times New Roman"/>
          <w:i/>
          <w:lang w:val="es-ES" w:eastAsia="es-ES"/>
        </w:rPr>
        <w:t>“</w:t>
      </w:r>
      <w:r w:rsidRPr="000D558D">
        <w:rPr>
          <w:rFonts w:ascii="Palatino Linotype" w:eastAsia="Times New Roman" w:hAnsi="Palatino Linotype" w:cs="Times New Roman"/>
          <w:b/>
          <w:i/>
          <w:lang w:val="es-ES" w:eastAsia="es-ES"/>
        </w:rPr>
        <w:t>Registro Federal de Contribuyentes (RFC) de personas físicas</w:t>
      </w:r>
      <w:r w:rsidRPr="000D558D">
        <w:rPr>
          <w:rFonts w:ascii="Palatino Linotype" w:eastAsia="Times New Roman" w:hAnsi="Palatino Linotype" w:cs="Times New Roman"/>
          <w:i/>
          <w:lang w:val="es-ES" w:eastAsia="es-ES"/>
        </w:rPr>
        <w:t>. El RFC es una clave de carácter fiscal, única e irrepetible, que permite identificar al titular, su edad y fecha de nacimiento, por lo que es un dato personal de carácter confidencial.”</w:t>
      </w:r>
    </w:p>
    <w:p w:rsidR="00E25BCD" w:rsidRPr="000D558D" w:rsidRDefault="00E25BCD" w:rsidP="00E25BCD">
      <w:pPr>
        <w:pStyle w:val="Sinespaciado"/>
        <w:spacing w:line="360" w:lineRule="auto"/>
        <w:rPr>
          <w:rFonts w:ascii="Palatino Linotype" w:hAnsi="Palatino Linotype"/>
          <w:lang w:val="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MX"/>
        </w:rPr>
      </w:pPr>
      <w:r w:rsidRPr="000D558D">
        <w:rPr>
          <w:rFonts w:ascii="Palatino Linotype" w:eastAsia="Times New Roman" w:hAnsi="Palatino Linotype" w:cs="Times New Roman"/>
          <w:sz w:val="24"/>
          <w:szCs w:val="24"/>
          <w:lang w:eastAsia="es-MX"/>
        </w:rPr>
        <w:t xml:space="preserve">De lo anterior, se desprende que el Registro Federal de Contribuyentes se vincula al nombre de su titular, permitiendo identificar la edad de la persona, fecha de nacimiento, así como su </w:t>
      </w:r>
      <w:proofErr w:type="spellStart"/>
      <w:r w:rsidRPr="000D558D">
        <w:rPr>
          <w:rFonts w:ascii="Palatino Linotype" w:eastAsia="Times New Roman" w:hAnsi="Palatino Linotype" w:cs="Times New Roman"/>
          <w:sz w:val="24"/>
          <w:szCs w:val="24"/>
          <w:lang w:eastAsia="es-MX"/>
        </w:rPr>
        <w:t>homoclave</w:t>
      </w:r>
      <w:proofErr w:type="spellEnd"/>
      <w:r w:rsidRPr="000D558D">
        <w:rPr>
          <w:rFonts w:ascii="Palatino Linotype" w:eastAsia="Times New Roman" w:hAnsi="Palatino Linotype" w:cs="Times New Roman"/>
          <w:sz w:val="24"/>
          <w:szCs w:val="24"/>
          <w:lang w:eastAsia="es-MX"/>
        </w:rPr>
        <w:t xml:space="preserve">, determinando la identificación de dicha persona para efectos fiscales, por lo que éste constituye un dato personal que concierne a una persona física identificada e identificable en términos de los artículos 2 fracción II de la Ley de Transparencia y Acceso a la Información Pública del Estado de México y Municipios y  </w:t>
      </w:r>
      <w:r w:rsidRPr="000D558D">
        <w:rPr>
          <w:rFonts w:ascii="Palatino Linotype" w:eastAsia="Arial Unicode MS" w:hAnsi="Palatino Linotype" w:cs="Times New Roman"/>
          <w:sz w:val="24"/>
          <w:szCs w:val="24"/>
          <w:lang w:val="es-ES" w:eastAsia="es-ES"/>
        </w:rPr>
        <w:t>4 fracción XI de la Ley de Protección de Datos Personales en Posesión de los Sujetos Obligados del Estado de México y Municipios</w:t>
      </w:r>
      <w:r w:rsidRPr="000D558D">
        <w:rPr>
          <w:rFonts w:ascii="Palatino Linotype" w:eastAsia="Times New Roman" w:hAnsi="Palatino Linotype" w:cs="Times New Roman"/>
          <w:sz w:val="24"/>
          <w:szCs w:val="24"/>
          <w:lang w:eastAsia="es-MX"/>
        </w:rPr>
        <w:t>.</w:t>
      </w: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MX"/>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MX"/>
        </w:rPr>
      </w:pPr>
      <w:r w:rsidRPr="000D558D">
        <w:rPr>
          <w:rFonts w:ascii="Palatino Linotype" w:eastAsia="Times New Roman" w:hAnsi="Palatino Linotype" w:cs="Times New Roman"/>
          <w:sz w:val="24"/>
          <w:szCs w:val="24"/>
          <w:lang w:val="es-ES" w:eastAsia="es-MX"/>
        </w:rPr>
        <w:lastRenderedPageBreak/>
        <w:t xml:space="preserve">Por cuanto hace a la </w:t>
      </w:r>
      <w:r w:rsidRPr="000D558D">
        <w:rPr>
          <w:rFonts w:ascii="Palatino Linotype" w:eastAsia="Times New Roman" w:hAnsi="Palatino Linotype" w:cs="Times New Roman"/>
          <w:b/>
          <w:sz w:val="24"/>
          <w:szCs w:val="24"/>
          <w:lang w:val="es-ES" w:eastAsia="es-ES"/>
        </w:rPr>
        <w:t xml:space="preserve">Clave Única de Registro de Población, </w:t>
      </w:r>
      <w:r w:rsidRPr="000D558D">
        <w:rPr>
          <w:rFonts w:ascii="Palatino Linotype" w:eastAsia="Times New Roman" w:hAnsi="Palatino Linotype" w:cs="Times New Roman"/>
          <w:sz w:val="24"/>
          <w:szCs w:val="24"/>
          <w:lang w:val="es-ES" w:eastAsia="es-MX"/>
        </w:rPr>
        <w:t>constituye un dato personal, ya que tiene como finalidad registrar a cada una de las personas que integran la población del país, con los datos que permitan certificar y acreditar fehacientemente su identidad, la cual servirá para identificarla de manera individual.</w:t>
      </w:r>
    </w:p>
    <w:p w:rsidR="00E25BCD" w:rsidRPr="000D558D" w:rsidRDefault="00E25BCD" w:rsidP="00E25BCD">
      <w:pPr>
        <w:pStyle w:val="Sinespaciado"/>
        <w:spacing w:line="360" w:lineRule="auto"/>
        <w:rPr>
          <w:rFonts w:ascii="Palatino Linotype" w:hAnsi="Palatino Linotype"/>
          <w:lang w:val="es-ES" w:eastAsia="es-MX"/>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MX"/>
        </w:rPr>
      </w:pPr>
      <w:r w:rsidRPr="000D558D">
        <w:rPr>
          <w:rFonts w:ascii="Palatino Linotype" w:eastAsia="Times New Roman" w:hAnsi="Palatino Linotype" w:cs="Times New Roman"/>
          <w:sz w:val="24"/>
          <w:szCs w:val="24"/>
          <w:lang w:val="es-ES" w:eastAsia="es-MX"/>
        </w:rPr>
        <w:t>Lo anterior, tiene sustento en los artículos 86 y 91, de la Ley General de Población, la cual señala lo siguiente:</w:t>
      </w:r>
    </w:p>
    <w:p w:rsidR="00E25BCD" w:rsidRPr="000D558D" w:rsidRDefault="00E25BCD" w:rsidP="00E25BCD">
      <w:pPr>
        <w:spacing w:after="0" w:line="360" w:lineRule="auto"/>
        <w:ind w:left="709" w:right="757"/>
        <w:jc w:val="both"/>
        <w:rPr>
          <w:rFonts w:ascii="Palatino Linotype" w:eastAsia="Times New Roman" w:hAnsi="Palatino Linotype" w:cs="Arial,Bold"/>
          <w:b/>
          <w:bCs/>
          <w:i/>
          <w:szCs w:val="24"/>
          <w:lang w:val="es-ES" w:eastAsia="es-MX"/>
        </w:rPr>
      </w:pPr>
    </w:p>
    <w:p w:rsidR="00E25BCD" w:rsidRPr="000D558D" w:rsidRDefault="00E25BCD" w:rsidP="00E25BCD">
      <w:pPr>
        <w:spacing w:after="0" w:line="240" w:lineRule="auto"/>
        <w:ind w:left="709" w:right="757"/>
        <w:jc w:val="both"/>
        <w:rPr>
          <w:rFonts w:ascii="Palatino Linotype" w:eastAsia="Times New Roman" w:hAnsi="Palatino Linotype" w:cs="Arial"/>
          <w:i/>
          <w:szCs w:val="24"/>
          <w:lang w:val="es-ES" w:eastAsia="es-MX"/>
        </w:rPr>
      </w:pPr>
      <w:r w:rsidRPr="000D558D">
        <w:rPr>
          <w:rFonts w:ascii="Palatino Linotype" w:eastAsia="Times New Roman" w:hAnsi="Palatino Linotype" w:cs="Arial,Bold"/>
          <w:b/>
          <w:bCs/>
          <w:i/>
          <w:szCs w:val="24"/>
          <w:lang w:val="es-ES" w:eastAsia="es-MX"/>
        </w:rPr>
        <w:t xml:space="preserve">“Artículo 86. </w:t>
      </w:r>
      <w:r w:rsidRPr="000D558D">
        <w:rPr>
          <w:rFonts w:ascii="Palatino Linotype" w:eastAsia="Times New Roman" w:hAnsi="Palatino Linotype" w:cs="Arial"/>
          <w:i/>
          <w:szCs w:val="24"/>
          <w:lang w:val="es-ES" w:eastAsia="es-MX"/>
        </w:rPr>
        <w:t>El Registro Nacional de Población tiene como finalidad registrar a cada una de las personas que integran la población del país, con los datos que permitan certificar y acreditar fehacientemente su identidad.</w:t>
      </w:r>
    </w:p>
    <w:p w:rsidR="00E25BCD" w:rsidRPr="000D558D" w:rsidRDefault="00E25BCD" w:rsidP="00E25BCD">
      <w:pPr>
        <w:spacing w:after="0" w:line="240" w:lineRule="auto"/>
        <w:ind w:left="709" w:right="757"/>
        <w:jc w:val="both"/>
        <w:rPr>
          <w:rFonts w:ascii="Palatino Linotype" w:eastAsia="Times New Roman" w:hAnsi="Palatino Linotype" w:cs="Arial"/>
          <w:i/>
          <w:szCs w:val="24"/>
          <w:lang w:val="es-ES" w:eastAsia="es-MX"/>
        </w:rPr>
      </w:pPr>
    </w:p>
    <w:p w:rsidR="00E25BCD" w:rsidRPr="000D558D" w:rsidRDefault="00E25BCD" w:rsidP="00E25BCD">
      <w:pPr>
        <w:spacing w:after="0" w:line="240" w:lineRule="auto"/>
        <w:ind w:left="709" w:right="757"/>
        <w:jc w:val="both"/>
        <w:rPr>
          <w:rFonts w:ascii="Palatino Linotype" w:eastAsia="Times New Roman" w:hAnsi="Palatino Linotype" w:cs="Arial"/>
          <w:i/>
          <w:szCs w:val="24"/>
          <w:lang w:val="es-ES" w:eastAsia="es-MX"/>
        </w:rPr>
      </w:pPr>
      <w:r w:rsidRPr="000D558D">
        <w:rPr>
          <w:rFonts w:ascii="Palatino Linotype" w:eastAsia="Times New Roman" w:hAnsi="Palatino Linotype" w:cs="Arial,Bold"/>
          <w:b/>
          <w:bCs/>
          <w:i/>
          <w:szCs w:val="24"/>
          <w:lang w:val="es-ES" w:eastAsia="es-MX"/>
        </w:rPr>
        <w:t xml:space="preserve">Artículo 91. </w:t>
      </w:r>
      <w:r w:rsidRPr="000D558D">
        <w:rPr>
          <w:rFonts w:ascii="Palatino Linotype" w:eastAsia="Times New Roman" w:hAnsi="Palatino Linotype" w:cs="Arial"/>
          <w:i/>
          <w:szCs w:val="24"/>
          <w:lang w:val="es-ES" w:eastAsia="es-MX"/>
        </w:rPr>
        <w:t>Al incorporar a una persona en el Registro Nacional de Población, se le asignará una clave que se denominará Clave Única de Registro de Población. Esta servirá para registrarla e identificarla en forma individual.”</w:t>
      </w:r>
    </w:p>
    <w:p w:rsidR="00E25BCD" w:rsidRPr="000D558D" w:rsidRDefault="00E25BCD" w:rsidP="00E25BCD">
      <w:pPr>
        <w:spacing w:after="0" w:line="360" w:lineRule="auto"/>
        <w:ind w:left="709" w:right="757"/>
        <w:jc w:val="both"/>
        <w:rPr>
          <w:rFonts w:ascii="Palatino Linotype" w:eastAsia="Times New Roman" w:hAnsi="Palatino Linotype" w:cs="Arial"/>
          <w:i/>
          <w:szCs w:val="24"/>
          <w:lang w:val="es-ES" w:eastAsia="es-MX"/>
        </w:rPr>
      </w:pPr>
    </w:p>
    <w:p w:rsidR="00E25BCD" w:rsidRPr="000D558D" w:rsidRDefault="00E25BCD" w:rsidP="00E25BCD">
      <w:pPr>
        <w:pStyle w:val="Sinespaciado"/>
        <w:rPr>
          <w:rFonts w:ascii="Palatino Linotype" w:hAnsi="Palatino Linotype"/>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MX"/>
        </w:rPr>
      </w:pPr>
      <w:r w:rsidRPr="000D558D">
        <w:rPr>
          <w:rFonts w:ascii="Palatino Linotype" w:eastAsia="Times New Roman" w:hAnsi="Palatino Linotype" w:cs="Times New Roman"/>
          <w:sz w:val="24"/>
          <w:szCs w:val="24"/>
          <w:lang w:val="es-ES" w:eastAsia="es-MX"/>
        </w:rPr>
        <w:t xml:space="preserve">Ahora bien, la Clave Única de Registro de Población, está integrada de 18 elementos representados por letras y números, que se generan a partir de los datos contenidos en un documento probatorio de identidad (acta de nacimiento, carta de naturalización o documento migratorio), la cual se integra de la primera letra del apellido paterno; seguida de la primera letra vocal del primer apellido; seguida de la primera letra del segundo apellido y por último la primera letra del nombre; fecha de nacimiento año/mes/día; sexo; Entidad Federativa o lugar de nacimiento; finalmente un digito verificador, compuesto de dos elementos, con el que se evitan duplicaciones en la Clave, identifican el cambio de siglo y garantizan la correcta integración. </w:t>
      </w:r>
    </w:p>
    <w:p w:rsidR="00E25BCD" w:rsidRPr="000D558D" w:rsidRDefault="00E25BCD" w:rsidP="00E25BCD">
      <w:pPr>
        <w:pStyle w:val="Sinespaciado"/>
        <w:spacing w:line="360" w:lineRule="auto"/>
        <w:rPr>
          <w:rFonts w:ascii="Palatino Linotype" w:hAnsi="Palatino Linotype"/>
          <w:lang w:val="es-ES" w:eastAsia="es-MX"/>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MX"/>
        </w:rPr>
      </w:pPr>
      <w:r w:rsidRPr="000D558D">
        <w:rPr>
          <w:rFonts w:ascii="Palatino Linotype" w:eastAsia="Times New Roman" w:hAnsi="Palatino Linotype" w:cs="Times New Roman"/>
          <w:sz w:val="24"/>
          <w:szCs w:val="24"/>
          <w:lang w:val="es-ES" w:eastAsia="es-MX"/>
        </w:rPr>
        <w:lastRenderedPageBreak/>
        <w:t>Al respecto, el Instituto Nacional de Transparencia, Acceso a la Información y Protección de Datos Personales (INAI) a través del Criterio 18/17, señala literalmente lo siguiente:</w:t>
      </w:r>
    </w:p>
    <w:p w:rsidR="00E25BCD" w:rsidRPr="000D558D" w:rsidRDefault="00E25BCD" w:rsidP="00E25BCD">
      <w:pPr>
        <w:pStyle w:val="Sinespaciado"/>
        <w:spacing w:line="360" w:lineRule="auto"/>
        <w:rPr>
          <w:rFonts w:ascii="Palatino Linotype" w:hAnsi="Palatino Linotype"/>
          <w:lang w:val="es-ES"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val="es-ES" w:eastAsia="es-MX"/>
        </w:rPr>
      </w:pPr>
      <w:r w:rsidRPr="000D558D">
        <w:rPr>
          <w:rFonts w:ascii="Palatino Linotype" w:eastAsia="Times New Roman" w:hAnsi="Palatino Linotype" w:cs="Times New Roman"/>
          <w:b/>
          <w:i/>
          <w:lang w:val="es-ES" w:eastAsia="es-MX"/>
        </w:rPr>
        <w:t>Clave Única de Registro de Población (CURP)</w:t>
      </w:r>
      <w:r w:rsidRPr="000D558D">
        <w:rPr>
          <w:rFonts w:ascii="Palatino Linotype" w:eastAsia="Times New Roman" w:hAnsi="Palatino Linotype" w:cs="Times New Roman"/>
          <w:i/>
          <w:lang w:val="es-ES" w:eastAsia="es-MX"/>
        </w:rPr>
        <w:t>. La Clave Única de Registro de Población se integra por datos personales que sólo conciernen al particular titular de la misma, como lo son su nombre, apellidos, fecha de nacimiento, lugar de nacimiento y sexo. Dichos datos, constituyen información que distingue plenamente a una persona física del resto de los habitantes del país, por lo que la CURP está considerada como información confidencial.</w:t>
      </w:r>
    </w:p>
    <w:p w:rsidR="00E25BCD" w:rsidRPr="000D558D" w:rsidRDefault="00E25BCD" w:rsidP="00E25BCD">
      <w:pPr>
        <w:spacing w:after="0" w:line="360" w:lineRule="auto"/>
        <w:ind w:left="567" w:right="616"/>
        <w:jc w:val="both"/>
        <w:rPr>
          <w:rFonts w:ascii="Palatino Linotype" w:eastAsia="Times New Roman" w:hAnsi="Palatino Linotype" w:cs="Arial"/>
          <w:bCs/>
          <w:i/>
          <w:lang w:val="es-ES" w:eastAsia="es-MX"/>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MX"/>
        </w:rPr>
      </w:pPr>
      <w:r w:rsidRPr="000D558D">
        <w:rPr>
          <w:rFonts w:ascii="Palatino Linotype" w:eastAsia="Times New Roman" w:hAnsi="Palatino Linotype" w:cs="Times New Roman"/>
          <w:sz w:val="24"/>
          <w:szCs w:val="24"/>
          <w:lang w:val="es-ES" w:eastAsia="es-MX"/>
        </w:rPr>
        <w:t>De lo anterior, se desprende que la Clave Única de Registro de Población, se encuentra vinculada al nombre de la persona, permitiendo identificar la edad, fecha de nacimiento, sexo, lugar de nacimiento, así como el código identificador; datos que únicamente le atañen a un particular, por lo que ésta constituye un dato personal que concierne a una persona física identificada e identificable en términos de los artículos 2 fracción II de la Ley de Transparencia y Acceso a la Información Pública del Estado de México y Municipios y  4 fracción XI de la Ley de Protección de Datos Personales en Posesión de Sujetos Obligados del Estado de México y Municipios.</w:t>
      </w:r>
    </w:p>
    <w:p w:rsidR="00E25BCD" w:rsidRPr="000D558D" w:rsidRDefault="00E25BCD" w:rsidP="00E25BCD">
      <w:pPr>
        <w:pStyle w:val="Sinespaciado"/>
        <w:spacing w:line="360" w:lineRule="auto"/>
        <w:rPr>
          <w:rFonts w:ascii="Palatino Linotype" w:hAnsi="Palatino Linotype"/>
          <w:lang w:val="es-ES" w:eastAsia="es-MX"/>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MX"/>
        </w:rPr>
      </w:pPr>
      <w:r w:rsidRPr="000D558D">
        <w:rPr>
          <w:rFonts w:ascii="Palatino Linotype" w:eastAsia="Times New Roman" w:hAnsi="Palatino Linotype" w:cs="Times New Roman"/>
          <w:sz w:val="24"/>
          <w:szCs w:val="24"/>
          <w:lang w:val="es-ES" w:eastAsia="es-MX"/>
        </w:rPr>
        <w:t xml:space="preserve">Por cuanto hace a la </w:t>
      </w:r>
      <w:r w:rsidRPr="000D558D">
        <w:rPr>
          <w:rFonts w:ascii="Palatino Linotype" w:eastAsia="Times New Roman" w:hAnsi="Palatino Linotype" w:cs="Times New Roman"/>
          <w:b/>
          <w:sz w:val="24"/>
          <w:szCs w:val="24"/>
          <w:lang w:val="es-ES" w:eastAsia="es-ES"/>
        </w:rPr>
        <w:t>Clave de cualquier tipo de seguridad social</w:t>
      </w:r>
      <w:r w:rsidRPr="000D558D">
        <w:rPr>
          <w:rFonts w:ascii="Palatino Linotype" w:eastAsia="Times New Roman" w:hAnsi="Palatino Linotype" w:cs="Times New Roman"/>
          <w:sz w:val="24"/>
          <w:szCs w:val="24"/>
          <w:lang w:val="es-ES" w:eastAsia="es-ES"/>
        </w:rPr>
        <w:t xml:space="preserve"> (ISSEMYM, u otros), está integrado por una </w:t>
      </w:r>
      <w:r w:rsidRPr="000D558D">
        <w:rPr>
          <w:rFonts w:ascii="Palatino Linotype" w:eastAsia="Times New Roman" w:hAnsi="Palatino Linotype" w:cs="Times New Roman"/>
          <w:bCs/>
          <w:sz w:val="24"/>
          <w:szCs w:val="24"/>
          <w:lang w:val="es-ES" w:eastAsia="es-MX"/>
        </w:rPr>
        <w:t xml:space="preserve">secuencia de números con los que se identifica a los trabajadores que cubren las cuotas respectivas, asimismo, lo identifica con la fuente de trabajo; por lo que al ser una clave de identificación de los trabajadores, constituye información confidencial, </w:t>
      </w:r>
      <w:r w:rsidRPr="000D558D">
        <w:rPr>
          <w:rFonts w:ascii="Palatino Linotype" w:eastAsia="Times New Roman" w:hAnsi="Palatino Linotype" w:cs="Times New Roman"/>
          <w:sz w:val="24"/>
          <w:szCs w:val="24"/>
          <w:lang w:val="es-ES" w:eastAsia="es-MX"/>
        </w:rPr>
        <w:t xml:space="preserve">dato que únicamente le atañe al servidor público, por lo que constituye un dato personal que concierne a una persona física identificada e identificable en términos de los artículos 2 fracción II de la Ley de Transparencia y </w:t>
      </w:r>
      <w:r w:rsidRPr="000D558D">
        <w:rPr>
          <w:rFonts w:ascii="Palatino Linotype" w:eastAsia="Times New Roman" w:hAnsi="Palatino Linotype" w:cs="Times New Roman"/>
          <w:sz w:val="24"/>
          <w:szCs w:val="24"/>
          <w:lang w:val="es-ES" w:eastAsia="es-MX"/>
        </w:rPr>
        <w:lastRenderedPageBreak/>
        <w:t xml:space="preserve">Acceso a la Información Pública del Estado de México y Municipios y  </w:t>
      </w:r>
      <w:r w:rsidRPr="000D558D">
        <w:rPr>
          <w:rFonts w:ascii="Palatino Linotype" w:eastAsia="Arial Unicode MS" w:hAnsi="Palatino Linotype" w:cs="Times New Roman"/>
          <w:sz w:val="24"/>
          <w:szCs w:val="24"/>
          <w:lang w:val="es-ES" w:eastAsia="es-ES"/>
        </w:rPr>
        <w:t>4 fracción XI de la Ley de Protección de Datos Personales en Posesión de Sujetos Obligados del Estado de México y Municipios</w:t>
      </w:r>
      <w:r w:rsidRPr="000D558D">
        <w:rPr>
          <w:rFonts w:ascii="Palatino Linotype" w:eastAsia="Times New Roman" w:hAnsi="Palatino Linotype" w:cs="Times New Roman"/>
          <w:sz w:val="24"/>
          <w:szCs w:val="24"/>
          <w:lang w:val="es-ES" w:eastAsia="es-MX"/>
        </w:rPr>
        <w:t>.</w:t>
      </w:r>
    </w:p>
    <w:p w:rsidR="00E25BCD" w:rsidRPr="000D558D" w:rsidRDefault="00E25BCD" w:rsidP="00E25BCD">
      <w:pPr>
        <w:pStyle w:val="Sinespaciado"/>
        <w:spacing w:line="360" w:lineRule="auto"/>
        <w:rPr>
          <w:rFonts w:ascii="Palatino Linotype" w:hAnsi="Palatino Linotype"/>
          <w:lang w:val="es-ES" w:eastAsia="es-MX"/>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MX"/>
        </w:rPr>
      </w:pPr>
      <w:r w:rsidRPr="000D558D">
        <w:rPr>
          <w:rFonts w:ascii="Palatino Linotype" w:eastAsia="Times New Roman" w:hAnsi="Palatino Linotype" w:cs="Times New Roman"/>
          <w:sz w:val="24"/>
          <w:szCs w:val="24"/>
          <w:lang w:val="es-ES" w:eastAsia="es-ES"/>
        </w:rPr>
        <w:t xml:space="preserve">Respecto de los </w:t>
      </w:r>
      <w:r w:rsidRPr="000D558D">
        <w:rPr>
          <w:rFonts w:ascii="Palatino Linotype" w:eastAsia="Times New Roman" w:hAnsi="Palatino Linotype" w:cs="Times New Roman"/>
          <w:b/>
          <w:sz w:val="24"/>
          <w:szCs w:val="24"/>
          <w:lang w:val="es-ES" w:eastAsia="es-ES"/>
        </w:rPr>
        <w:t>préstamos o descuentos</w:t>
      </w:r>
      <w:r w:rsidRPr="000D558D">
        <w:rPr>
          <w:rFonts w:ascii="Palatino Linotype" w:eastAsia="Times New Roman" w:hAnsi="Palatino Linotype" w:cs="Times New Roman"/>
          <w:sz w:val="24"/>
          <w:szCs w:val="24"/>
          <w:lang w:val="es-ES" w:eastAsia="es-ES"/>
        </w:rPr>
        <w:t xml:space="preserve"> </w:t>
      </w:r>
      <w:r w:rsidRPr="000D558D">
        <w:rPr>
          <w:rFonts w:ascii="Palatino Linotype" w:eastAsia="Times New Roman" w:hAnsi="Palatino Linotype" w:cs="Times New Roman"/>
          <w:b/>
          <w:sz w:val="24"/>
          <w:szCs w:val="24"/>
          <w:lang w:val="es-ES" w:eastAsia="es-ES"/>
        </w:rPr>
        <w:t>de carácter personal</w:t>
      </w:r>
      <w:r w:rsidRPr="000D558D">
        <w:rPr>
          <w:rFonts w:ascii="Palatino Linotype" w:eastAsia="Times New Roman" w:hAnsi="Palatino Linotype" w:cs="Times New Roman"/>
          <w:sz w:val="24"/>
          <w:szCs w:val="24"/>
          <w:lang w:val="es-ES" w:eastAsia="es-ES"/>
        </w:rPr>
        <w:t xml:space="preserve">, éstos no deben tener relación con la prestación del servicio; es decir, son confidenciales los préstamos o descuentos que se le hagan a la persona en los que no se involucren instituciones públicas, en virtud de  no </w:t>
      </w:r>
      <w:r w:rsidRPr="000D558D">
        <w:rPr>
          <w:rFonts w:ascii="Palatino Linotype" w:eastAsia="Times New Roman" w:hAnsi="Palatino Linotype" w:cs="Times New Roman"/>
          <w:sz w:val="24"/>
          <w:szCs w:val="24"/>
          <w:lang w:val="es-ES" w:eastAsia="es-MX"/>
        </w:rPr>
        <w:t>favorecer  en la transparencia y rendición de cuentas, sino, por el contrario con ello se violentaría la</w:t>
      </w:r>
      <w:r w:rsidRPr="000D558D">
        <w:rPr>
          <w:rFonts w:ascii="Palatino Linotype" w:eastAsia="Times New Roman" w:hAnsi="Palatino Linotype" w:cs="Times New Roman"/>
          <w:sz w:val="24"/>
          <w:szCs w:val="24"/>
          <w:lang w:val="es-ES" w:eastAsia="es-ES"/>
        </w:rPr>
        <w:t xml:space="preserve"> </w:t>
      </w:r>
      <w:r w:rsidRPr="000D558D">
        <w:rPr>
          <w:rFonts w:ascii="Palatino Linotype" w:eastAsia="Times New Roman" w:hAnsi="Palatino Linotype" w:cs="Times New Roman"/>
          <w:sz w:val="24"/>
          <w:szCs w:val="24"/>
          <w:lang w:val="es-ES" w:eastAsia="es-MX"/>
        </w:rPr>
        <w:t>protección de información confidencial, porque incide en la intimidad de un individuo</w:t>
      </w:r>
      <w:r w:rsidRPr="000D558D">
        <w:rPr>
          <w:rFonts w:ascii="Palatino Linotype" w:eastAsia="Times New Roman" w:hAnsi="Palatino Linotype" w:cs="Times New Roman"/>
          <w:sz w:val="24"/>
          <w:szCs w:val="24"/>
          <w:lang w:val="es-ES" w:eastAsia="es-ES"/>
        </w:rPr>
        <w:t xml:space="preserve"> </w:t>
      </w:r>
      <w:r w:rsidRPr="000D558D">
        <w:rPr>
          <w:rFonts w:ascii="Palatino Linotype" w:eastAsia="Times New Roman" w:hAnsi="Palatino Linotype" w:cs="Times New Roman"/>
          <w:sz w:val="24"/>
          <w:szCs w:val="24"/>
          <w:lang w:val="es-ES" w:eastAsia="es-MX"/>
        </w:rPr>
        <w:t>identificado.</w:t>
      </w:r>
    </w:p>
    <w:p w:rsidR="00E25BCD" w:rsidRPr="000D558D" w:rsidRDefault="00E25BCD" w:rsidP="00E25BCD">
      <w:pPr>
        <w:pStyle w:val="Sinespaciado"/>
        <w:spacing w:line="360" w:lineRule="auto"/>
        <w:rPr>
          <w:rFonts w:ascii="Palatino Linotype" w:hAnsi="Palatino Linotype"/>
          <w:lang w:val="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ES"/>
        </w:rPr>
      </w:pPr>
      <w:r w:rsidRPr="000D558D">
        <w:rPr>
          <w:rFonts w:ascii="Palatino Linotype" w:eastAsia="Times New Roman" w:hAnsi="Palatino Linotype" w:cs="Times New Roman"/>
          <w:sz w:val="24"/>
          <w:szCs w:val="24"/>
          <w:lang w:val="es-ES" w:eastAsia="es-MX"/>
        </w:rPr>
        <w:t xml:space="preserve">Por su parte, el </w:t>
      </w:r>
      <w:r w:rsidRPr="000D558D">
        <w:rPr>
          <w:rFonts w:ascii="Palatino Linotype" w:eastAsia="Times New Roman" w:hAnsi="Palatino Linotype" w:cs="Times New Roman"/>
          <w:sz w:val="24"/>
          <w:szCs w:val="24"/>
          <w:lang w:val="es-ES" w:eastAsia="es-ES"/>
        </w:rPr>
        <w:t>artículo 84 de la Ley del Trabajo de los Servidores Públicos del Estado y Municipios, señala:</w:t>
      </w:r>
    </w:p>
    <w:p w:rsidR="00E25BCD" w:rsidRPr="000D558D" w:rsidRDefault="00E25BCD" w:rsidP="00E25BCD">
      <w:pPr>
        <w:pStyle w:val="Sinespaciado"/>
        <w:rPr>
          <w:rFonts w:ascii="Palatino Linotype" w:hAnsi="Palatino Linotype"/>
        </w:rPr>
      </w:pPr>
    </w:p>
    <w:p w:rsidR="00E25BCD" w:rsidRPr="000D558D" w:rsidRDefault="00E25BCD" w:rsidP="00E25BCD">
      <w:pPr>
        <w:spacing w:after="0" w:line="240" w:lineRule="auto"/>
        <w:ind w:left="567" w:right="616"/>
        <w:jc w:val="both"/>
        <w:rPr>
          <w:rFonts w:ascii="Palatino Linotype" w:eastAsia="Times New Roman" w:hAnsi="Palatino Linotype" w:cs="Times New Roman"/>
          <w:i/>
          <w:noProof/>
          <w:szCs w:val="24"/>
          <w:lang w:val="es-ES" w:eastAsia="es-ES"/>
        </w:rPr>
      </w:pPr>
      <w:r w:rsidRPr="000D558D">
        <w:rPr>
          <w:rFonts w:ascii="Palatino Linotype" w:eastAsia="Times New Roman" w:hAnsi="Palatino Linotype" w:cs="Times New Roman"/>
          <w:b/>
          <w:i/>
          <w:noProof/>
          <w:szCs w:val="24"/>
          <w:lang w:val="es-ES" w:eastAsia="es-ES"/>
        </w:rPr>
        <w:t>ARTICULO 84.</w:t>
      </w:r>
      <w:r w:rsidRPr="000D558D">
        <w:rPr>
          <w:rFonts w:ascii="Palatino Linotype" w:eastAsia="Times New Roman" w:hAnsi="Palatino Linotype" w:cs="Times New Roman"/>
          <w:i/>
          <w:noProof/>
          <w:szCs w:val="24"/>
          <w:lang w:val="es-ES" w:eastAsia="es-ES"/>
        </w:rPr>
        <w:t xml:space="preserve"> Sólo podrán hacerse retenciones, descuentos o deducciones al sueldo de los servidores públicos por concepto de:</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szCs w:val="24"/>
          <w:lang w:val="es-ES" w:eastAsia="es-ES"/>
        </w:rPr>
      </w:pPr>
    </w:p>
    <w:p w:rsidR="00E25BCD" w:rsidRPr="000D558D" w:rsidRDefault="00E25BCD" w:rsidP="00E25BCD">
      <w:pPr>
        <w:spacing w:after="0" w:line="240" w:lineRule="auto"/>
        <w:ind w:left="567" w:right="616"/>
        <w:jc w:val="both"/>
        <w:rPr>
          <w:rFonts w:ascii="Palatino Linotype" w:eastAsia="Times New Roman" w:hAnsi="Palatino Linotype" w:cs="Times New Roman"/>
          <w:i/>
          <w:noProof/>
          <w:szCs w:val="24"/>
          <w:lang w:val="es-ES" w:eastAsia="es-ES"/>
        </w:rPr>
      </w:pPr>
      <w:r w:rsidRPr="000D558D">
        <w:rPr>
          <w:rFonts w:ascii="Palatino Linotype" w:eastAsia="Times New Roman" w:hAnsi="Palatino Linotype" w:cs="Times New Roman"/>
          <w:i/>
          <w:noProof/>
          <w:szCs w:val="24"/>
          <w:lang w:val="es-ES" w:eastAsia="es-ES"/>
        </w:rPr>
        <w:t>I. Gravámenes fiscales relacionados con el sueldo;</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szCs w:val="24"/>
          <w:lang w:val="es-ES" w:eastAsia="es-ES"/>
        </w:rPr>
      </w:pPr>
      <w:r w:rsidRPr="000D558D">
        <w:rPr>
          <w:rFonts w:ascii="Palatino Linotype" w:eastAsia="Times New Roman" w:hAnsi="Palatino Linotype" w:cs="Times New Roman"/>
          <w:i/>
          <w:noProof/>
          <w:szCs w:val="24"/>
          <w:lang w:val="es-ES" w:eastAsia="es-ES"/>
        </w:rPr>
        <w:t>II. Deudas contraídas con las instituciones públicas o dependencias por concepto de anticipos de sueldo, pagos hechos con exceso, errores o pérdidas debidamente comprobados;</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szCs w:val="24"/>
          <w:lang w:val="es-ES" w:eastAsia="es-ES"/>
        </w:rPr>
      </w:pPr>
      <w:r w:rsidRPr="000D558D">
        <w:rPr>
          <w:rFonts w:ascii="Palatino Linotype" w:eastAsia="Times New Roman" w:hAnsi="Palatino Linotype" w:cs="Times New Roman"/>
          <w:i/>
          <w:noProof/>
          <w:szCs w:val="24"/>
          <w:lang w:val="es-ES" w:eastAsia="es-ES"/>
        </w:rPr>
        <w:t>III. Cuotas sindicales;</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szCs w:val="24"/>
          <w:lang w:val="es-ES" w:eastAsia="es-ES"/>
        </w:rPr>
      </w:pPr>
      <w:r w:rsidRPr="000D558D">
        <w:rPr>
          <w:rFonts w:ascii="Palatino Linotype" w:eastAsia="Times New Roman" w:hAnsi="Palatino Linotype" w:cs="Times New Roman"/>
          <w:i/>
          <w:noProof/>
          <w:szCs w:val="24"/>
          <w:lang w:val="es-ES" w:eastAsia="es-ES"/>
        </w:rPr>
        <w:t>IV. Cuotas de aportación a fondos para la constitución de cooperativas y de cajas de ahorro, siempre que el servidor público hubiese manifestado previamente, de manera expresa, su conformidad;</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szCs w:val="24"/>
          <w:lang w:val="es-ES" w:eastAsia="es-ES"/>
        </w:rPr>
      </w:pPr>
      <w:r w:rsidRPr="000D558D">
        <w:rPr>
          <w:rFonts w:ascii="Palatino Linotype" w:eastAsia="Times New Roman" w:hAnsi="Palatino Linotype" w:cs="Times New Roman"/>
          <w:i/>
          <w:noProof/>
          <w:szCs w:val="24"/>
          <w:lang w:val="es-ES" w:eastAsia="es-ES"/>
        </w:rPr>
        <w:t>V. Descuentos ordenados por el Instituto de Seguridad Social del Estado de México y Municipios, con motivo de cuotas y obligaciones contraídas con éste por los servidores públicos;</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szCs w:val="24"/>
          <w:lang w:val="es-ES" w:eastAsia="es-ES"/>
        </w:rPr>
      </w:pPr>
      <w:r w:rsidRPr="000D558D">
        <w:rPr>
          <w:rFonts w:ascii="Palatino Linotype" w:eastAsia="Times New Roman" w:hAnsi="Palatino Linotype" w:cs="Times New Roman"/>
          <w:i/>
          <w:noProof/>
          <w:szCs w:val="24"/>
          <w:lang w:val="es-ES" w:eastAsia="es-ES"/>
        </w:rPr>
        <w:t>VI. Obligaciones a cargo del servidor público con las que haya consentido, derivadas de la adquisición o del uso de habitaciones consideradas como de interés social;</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szCs w:val="24"/>
          <w:lang w:val="es-ES" w:eastAsia="es-ES"/>
        </w:rPr>
      </w:pPr>
      <w:r w:rsidRPr="000D558D">
        <w:rPr>
          <w:rFonts w:ascii="Palatino Linotype" w:eastAsia="Times New Roman" w:hAnsi="Palatino Linotype" w:cs="Times New Roman"/>
          <w:i/>
          <w:noProof/>
          <w:szCs w:val="24"/>
          <w:lang w:val="es-ES" w:eastAsia="es-ES"/>
        </w:rPr>
        <w:t>VII. Faltas de puntualidad o de asistencia injustificadas;</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szCs w:val="24"/>
          <w:lang w:val="es-ES" w:eastAsia="es-ES"/>
        </w:rPr>
      </w:pPr>
      <w:r w:rsidRPr="000D558D">
        <w:rPr>
          <w:rFonts w:ascii="Palatino Linotype" w:eastAsia="Times New Roman" w:hAnsi="Palatino Linotype" w:cs="Times New Roman"/>
          <w:i/>
          <w:noProof/>
          <w:szCs w:val="24"/>
          <w:lang w:val="es-ES" w:eastAsia="es-ES"/>
        </w:rPr>
        <w:t>VIII. Pensiones alimenticias ordenadas por la autoridad judicial; o</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szCs w:val="24"/>
          <w:lang w:val="es-ES" w:eastAsia="es-ES"/>
        </w:rPr>
      </w:pPr>
      <w:r w:rsidRPr="000D558D">
        <w:rPr>
          <w:rFonts w:ascii="Palatino Linotype" w:eastAsia="Times New Roman" w:hAnsi="Palatino Linotype" w:cs="Times New Roman"/>
          <w:i/>
          <w:noProof/>
          <w:szCs w:val="24"/>
          <w:lang w:val="es-ES" w:eastAsia="es-ES"/>
        </w:rPr>
        <w:lastRenderedPageBreak/>
        <w:t>IX. Cualquier otro convenido con instituciones de servicios y aceptado por el servidor público.</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szCs w:val="24"/>
          <w:lang w:val="es-ES" w:eastAsia="es-ES"/>
        </w:rPr>
      </w:pPr>
    </w:p>
    <w:p w:rsidR="00E25BCD" w:rsidRPr="000D558D" w:rsidRDefault="00E25BCD" w:rsidP="00E25BCD">
      <w:pPr>
        <w:spacing w:after="0" w:line="240" w:lineRule="auto"/>
        <w:ind w:left="567" w:right="616"/>
        <w:jc w:val="both"/>
        <w:rPr>
          <w:rFonts w:ascii="Palatino Linotype" w:eastAsia="Times New Roman" w:hAnsi="Palatino Linotype" w:cs="Times New Roman"/>
          <w:szCs w:val="24"/>
          <w:lang w:val="es-ES" w:eastAsia="es-ES"/>
        </w:rPr>
      </w:pPr>
      <w:r w:rsidRPr="000D558D">
        <w:rPr>
          <w:rFonts w:ascii="Palatino Linotype" w:eastAsia="Times New Roman" w:hAnsi="Palatino Linotype" w:cs="Times New Roman"/>
          <w:i/>
          <w:noProof/>
          <w:szCs w:val="24"/>
          <w:lang w:val="es-ES" w:eastAsia="es-ES"/>
        </w:rPr>
        <w:t>El monto total de las retenciones, descuentos o deducciones no podrá exceder del 30% de la remuneración total, excepto en los casos a que se refieren las fracciones IV, V y VI de este artículo, en que podrán ser de hasta el 50%, salvo en los casos en que se demuestre que el crédito se concedió con base en los ingresos familiares para hacer posible el derecho constitucional a una vivienda digna, o se refieran a lo establecido en la fracción VIII de este artículo, en que se ajustará a lo determinado por la autoridad judicial.</w:t>
      </w:r>
    </w:p>
    <w:p w:rsidR="00E25BCD" w:rsidRPr="000D558D" w:rsidRDefault="00E25BCD" w:rsidP="00E25BCD">
      <w:pPr>
        <w:spacing w:after="0" w:line="360" w:lineRule="auto"/>
        <w:jc w:val="both"/>
        <w:rPr>
          <w:rFonts w:ascii="Palatino Linotype" w:eastAsia="Times New Roman" w:hAnsi="Palatino Linotype" w:cs="Times New Roman"/>
          <w:szCs w:val="24"/>
          <w:lang w:val="es-ES" w:eastAsia="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ES"/>
        </w:rPr>
      </w:pPr>
      <w:r w:rsidRPr="000D558D">
        <w:rPr>
          <w:rFonts w:ascii="Palatino Linotype" w:eastAsia="Times New Roman" w:hAnsi="Palatino Linotype" w:cs="Times New Roman"/>
          <w:sz w:val="24"/>
          <w:szCs w:val="24"/>
          <w:lang w:val="es-ES" w:eastAsia="es-ES"/>
        </w:rPr>
        <w:t>Derivado de lo anterior, la Ley establece claramente cuáles son esos descuentos o gravámenes que directamente se relacionan con las obligaciones adquiridas como servidores públicos y aquéllos que únicamente inciden en su vida privada. De este modo, descuentos por pensiones alimenticias o créditos adquiridos con instituciones privadas o públicas pero que fueron contraídas en forma individual, son información que debe clasificarse como confidencial.</w:t>
      </w: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r w:rsidRPr="000D558D">
        <w:rPr>
          <w:rFonts w:ascii="Palatino Linotype" w:eastAsia="Arial Unicode MS" w:hAnsi="Palatino Linotype" w:cs="Times New Roman"/>
          <w:sz w:val="24"/>
          <w:szCs w:val="24"/>
          <w:lang w:eastAsia="es-ES"/>
        </w:rPr>
        <w:t xml:space="preserve">En ese sentido, </w:t>
      </w:r>
      <w:r w:rsidRPr="000D558D">
        <w:rPr>
          <w:rFonts w:ascii="Palatino Linotype" w:eastAsia="Times New Roman" w:hAnsi="Palatino Linotype" w:cs="Times New Roman"/>
          <w:sz w:val="24"/>
          <w:szCs w:val="24"/>
          <w:lang w:eastAsia="es-ES"/>
        </w:rPr>
        <w:t xml:space="preserve">las </w:t>
      </w:r>
      <w:r w:rsidRPr="000D558D">
        <w:rPr>
          <w:rFonts w:ascii="Palatino Linotype" w:eastAsia="Times New Roman" w:hAnsi="Palatino Linotype" w:cs="Times New Roman"/>
          <w:b/>
          <w:sz w:val="24"/>
          <w:szCs w:val="24"/>
          <w:lang w:eastAsia="es-ES"/>
        </w:rPr>
        <w:t xml:space="preserve">Cadenas Originales </w:t>
      </w:r>
      <w:r w:rsidRPr="000D558D">
        <w:rPr>
          <w:rFonts w:ascii="Palatino Linotype" w:eastAsia="Times New Roman" w:hAnsi="Palatino Linotype" w:cs="Times New Roman"/>
          <w:sz w:val="24"/>
          <w:szCs w:val="24"/>
          <w:lang w:eastAsia="es-ES"/>
        </w:rPr>
        <w:t xml:space="preserve">y </w:t>
      </w:r>
      <w:r w:rsidRPr="000D558D">
        <w:rPr>
          <w:rFonts w:ascii="Palatino Linotype" w:eastAsia="Times New Roman" w:hAnsi="Palatino Linotype" w:cs="Times New Roman"/>
          <w:b/>
          <w:sz w:val="24"/>
          <w:szCs w:val="24"/>
          <w:lang w:eastAsia="es-ES"/>
        </w:rPr>
        <w:t>Sellos</w:t>
      </w:r>
      <w:r w:rsidRPr="000D558D">
        <w:rPr>
          <w:rFonts w:ascii="Palatino Linotype" w:eastAsia="Times New Roman" w:hAnsi="Palatino Linotype" w:cs="Times New Roman"/>
          <w:sz w:val="24"/>
          <w:szCs w:val="24"/>
          <w:lang w:eastAsia="es-ES"/>
        </w:rPr>
        <w:t xml:space="preserve"> </w:t>
      </w:r>
      <w:r w:rsidRPr="000D558D">
        <w:rPr>
          <w:rFonts w:ascii="Palatino Linotype" w:eastAsia="Times New Roman" w:hAnsi="Palatino Linotype" w:cs="Times New Roman"/>
          <w:b/>
          <w:sz w:val="24"/>
          <w:szCs w:val="24"/>
          <w:lang w:eastAsia="es-ES"/>
        </w:rPr>
        <w:t>Digitales</w:t>
      </w:r>
      <w:r w:rsidRPr="000D558D">
        <w:rPr>
          <w:rFonts w:ascii="Palatino Linotype" w:eastAsia="Times New Roman" w:hAnsi="Palatino Linotype" w:cs="Times New Roman"/>
          <w:sz w:val="24"/>
          <w:szCs w:val="24"/>
          <w:lang w:eastAsia="es-ES"/>
        </w:rPr>
        <w:t xml:space="preserve">, forman parte del </w:t>
      </w:r>
      <w:r w:rsidRPr="000D558D">
        <w:rPr>
          <w:rFonts w:ascii="Palatino Linotype" w:eastAsia="Times New Roman" w:hAnsi="Palatino Linotype" w:cs="Times New Roman"/>
          <w:sz w:val="24"/>
          <w:szCs w:val="24"/>
          <w:lang w:val="es-ES_tradnl" w:eastAsia="es-ES"/>
        </w:rPr>
        <w:t xml:space="preserve">certificado de sello digital, los cuales </w:t>
      </w:r>
      <w:r w:rsidRPr="000D558D">
        <w:rPr>
          <w:rFonts w:ascii="Palatino Linotype" w:eastAsia="Times New Roman" w:hAnsi="Palatino Linotype" w:cs="Times New Roman"/>
          <w:sz w:val="24"/>
          <w:szCs w:val="24"/>
          <w:lang w:eastAsia="es-ES"/>
        </w:rPr>
        <w:t xml:space="preserve">son documentos electrónicos, mismos que de conformidad con el artículo 17-G y 29 del Código Fiscal de la Federación le permiten a la autoridad hacendaria federal garantizar una </w:t>
      </w:r>
      <w:r w:rsidRPr="000D558D">
        <w:rPr>
          <w:rFonts w:ascii="Palatino Linotype" w:eastAsia="Times New Roman" w:hAnsi="Palatino Linotype" w:cs="Times New Roman"/>
          <w:b/>
          <w:sz w:val="24"/>
          <w:szCs w:val="24"/>
          <w:lang w:eastAsia="es-ES"/>
        </w:rPr>
        <w:t xml:space="preserve">vinculación </w:t>
      </w:r>
      <w:r w:rsidRPr="000D558D">
        <w:rPr>
          <w:rFonts w:ascii="Palatino Linotype" w:eastAsia="Times New Roman" w:hAnsi="Palatino Linotype" w:cs="Times New Roman"/>
          <w:sz w:val="24"/>
          <w:szCs w:val="24"/>
          <w:lang w:eastAsia="es-ES"/>
        </w:rPr>
        <w:t xml:space="preserve">entre la </w:t>
      </w:r>
      <w:r w:rsidRPr="000D558D">
        <w:rPr>
          <w:rFonts w:ascii="Palatino Linotype" w:eastAsia="Times New Roman" w:hAnsi="Palatino Linotype" w:cs="Times New Roman"/>
          <w:b/>
          <w:sz w:val="24"/>
          <w:szCs w:val="24"/>
          <w:lang w:eastAsia="es-ES"/>
        </w:rPr>
        <w:t>identidad de un sujeto o entidad</w:t>
      </w:r>
      <w:r w:rsidRPr="000D558D">
        <w:rPr>
          <w:rFonts w:ascii="Palatino Linotype" w:eastAsia="Times New Roman" w:hAnsi="Palatino Linotype" w:cs="Times New Roman"/>
          <w:sz w:val="24"/>
          <w:szCs w:val="24"/>
          <w:lang w:eastAsia="es-ES"/>
        </w:rPr>
        <w:t xml:space="preserve"> con su clave pública, lo que hace identificable a una persona o entidad, además de que dichos certificados tienen como finalidad o propósito específico firmar digitalmente las facturas electrónicas </w:t>
      </w:r>
      <w:r w:rsidRPr="000D558D">
        <w:rPr>
          <w:rFonts w:ascii="Palatino Linotype" w:eastAsia="Times New Roman" w:hAnsi="Palatino Linotype" w:cs="Times New Roman"/>
          <w:b/>
          <w:sz w:val="24"/>
          <w:szCs w:val="24"/>
          <w:lang w:eastAsia="es-ES"/>
        </w:rPr>
        <w:t>para acreditar la autoría de los comprobantes fiscales digitales</w:t>
      </w:r>
      <w:r w:rsidRPr="000D558D">
        <w:rPr>
          <w:rFonts w:ascii="Palatino Linotype" w:eastAsia="Times New Roman" w:hAnsi="Palatino Linotype" w:cs="Times New Roman"/>
          <w:sz w:val="24"/>
          <w:szCs w:val="24"/>
          <w:lang w:eastAsia="es-ES"/>
        </w:rPr>
        <w:t>. En ese tenor se transcriben los artículos señalados con antelación para mejor ilustración:</w:t>
      </w:r>
    </w:p>
    <w:p w:rsidR="00E25BCD" w:rsidRPr="000D558D" w:rsidRDefault="00E25BCD" w:rsidP="00E25BCD">
      <w:pPr>
        <w:pStyle w:val="Sinespaciado"/>
        <w:spacing w:line="360" w:lineRule="auto"/>
        <w:rPr>
          <w:rFonts w:ascii="Palatino Linotype" w:hAnsi="Palatino Linotype"/>
        </w:rPr>
      </w:pPr>
    </w:p>
    <w:p w:rsidR="00E25BCD" w:rsidRPr="000D558D" w:rsidRDefault="00E25BCD" w:rsidP="00E25BCD">
      <w:pPr>
        <w:spacing w:after="0" w:line="240" w:lineRule="auto"/>
        <w:ind w:left="567" w:right="616"/>
        <w:jc w:val="both"/>
        <w:rPr>
          <w:rFonts w:ascii="Palatino Linotype" w:eastAsia="Times New Roman" w:hAnsi="Palatino Linotype" w:cs="Times New Roman"/>
          <w:i/>
          <w:noProof/>
          <w:lang w:eastAsia="es-ES"/>
        </w:rPr>
      </w:pPr>
      <w:r w:rsidRPr="000D558D">
        <w:rPr>
          <w:rFonts w:ascii="Palatino Linotype" w:eastAsia="Times New Roman" w:hAnsi="Palatino Linotype" w:cs="Times New Roman"/>
          <w:i/>
          <w:noProof/>
          <w:lang w:eastAsia="es-ES"/>
        </w:rPr>
        <w:lastRenderedPageBreak/>
        <w:t>“</w:t>
      </w:r>
      <w:r w:rsidRPr="000D558D">
        <w:rPr>
          <w:rFonts w:ascii="Palatino Linotype" w:eastAsia="Times New Roman" w:hAnsi="Palatino Linotype" w:cs="Times New Roman"/>
          <w:b/>
          <w:i/>
          <w:noProof/>
          <w:lang w:eastAsia="es-ES"/>
        </w:rPr>
        <w:t xml:space="preserve">Artículo 17-G.- </w:t>
      </w:r>
      <w:r w:rsidRPr="000D558D">
        <w:rPr>
          <w:rFonts w:ascii="Palatino Linotype" w:eastAsia="Times New Roman" w:hAnsi="Palatino Linotype" w:cs="Times New Roman"/>
          <w:i/>
          <w:noProof/>
          <w:lang w:eastAsia="es-ES"/>
        </w:rPr>
        <w:t xml:space="preserve">Los certificados que emita el Servicio de Administración Tributaria para ser considerados válidos deberán contener los datos siguientes: </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lang w:eastAsia="es-ES"/>
        </w:rPr>
      </w:pPr>
    </w:p>
    <w:p w:rsidR="00E25BCD" w:rsidRPr="000D558D" w:rsidRDefault="00E25BCD" w:rsidP="00E25BCD">
      <w:pPr>
        <w:numPr>
          <w:ilvl w:val="0"/>
          <w:numId w:val="37"/>
        </w:numPr>
        <w:spacing w:after="0" w:line="240" w:lineRule="auto"/>
        <w:ind w:right="616"/>
        <w:jc w:val="both"/>
        <w:rPr>
          <w:rFonts w:ascii="Palatino Linotype" w:eastAsia="Times New Roman" w:hAnsi="Palatino Linotype" w:cs="Times New Roman"/>
          <w:i/>
          <w:noProof/>
          <w:lang w:eastAsia="es-ES"/>
        </w:rPr>
      </w:pPr>
      <w:r w:rsidRPr="000D558D">
        <w:rPr>
          <w:rFonts w:ascii="Palatino Linotype" w:eastAsia="Times New Roman" w:hAnsi="Palatino Linotype" w:cs="Times New Roman"/>
          <w:i/>
          <w:noProof/>
          <w:lang w:eastAsia="es-ES"/>
        </w:rPr>
        <w:t>La mención de que se expiden como tales. Tratándose de certificados de sellos digitales, se deberán especificar las limitantes que tengan para su uso.</w:t>
      </w:r>
    </w:p>
    <w:p w:rsidR="00E25BCD" w:rsidRPr="000D558D" w:rsidRDefault="00E25BCD" w:rsidP="00E25BCD">
      <w:pPr>
        <w:spacing w:after="0" w:line="360" w:lineRule="auto"/>
        <w:ind w:left="1422" w:right="616"/>
        <w:jc w:val="both"/>
        <w:rPr>
          <w:rFonts w:ascii="Palatino Linotype" w:eastAsia="Times New Roman" w:hAnsi="Palatino Linotype" w:cs="Times New Roman"/>
          <w:i/>
          <w:noProof/>
          <w:lang w:eastAsia="es-ES"/>
        </w:rPr>
      </w:pPr>
    </w:p>
    <w:p w:rsidR="00E25BCD" w:rsidRPr="000D558D" w:rsidRDefault="00E25BCD" w:rsidP="00E25BCD">
      <w:pPr>
        <w:spacing w:after="0" w:line="240" w:lineRule="auto"/>
        <w:ind w:left="567" w:right="616"/>
        <w:jc w:val="both"/>
        <w:rPr>
          <w:rFonts w:ascii="Palatino Linotype" w:eastAsia="Times New Roman" w:hAnsi="Palatino Linotype" w:cs="Times New Roman"/>
          <w:i/>
          <w:noProof/>
          <w:lang w:eastAsia="es-ES"/>
        </w:rPr>
      </w:pPr>
      <w:r w:rsidRPr="000D558D">
        <w:rPr>
          <w:rFonts w:ascii="Palatino Linotype" w:eastAsia="Times New Roman" w:hAnsi="Palatino Linotype" w:cs="Times New Roman"/>
          <w:b/>
          <w:i/>
          <w:noProof/>
          <w:lang w:eastAsia="es-ES"/>
        </w:rPr>
        <w:t>Artículo 29.</w:t>
      </w:r>
      <w:r w:rsidRPr="000D558D">
        <w:rPr>
          <w:rFonts w:ascii="Palatino Linotype" w:eastAsia="Times New Roman" w:hAnsi="Palatino Linotype" w:cs="Times New Roman"/>
          <w:i/>
          <w:noProof/>
          <w:lang w:eastAsia="es-ES"/>
        </w:rPr>
        <w:t xml:space="preserve"> Cuando las leyes fiscales establezcan la obligación de expedir comprobantes fiscales por los actos o actividades que realicen, por los ingresos que se perciban o por las retenciones de contribuciones que efectúen, los contribuyentes deberán emitirlos mediante documentos digitales a través de la página de Internet del Servicio de Administración Tributaria. Las personas que adquieran bienes, disfruten de su uso o goce temporal, reciban servicios o aquéllas a las que les hubieren retenido contribuciones deberán solicitar el comprobante fiscal digital por Internet respectivo.</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lang w:eastAsia="es-ES"/>
        </w:rPr>
      </w:pPr>
    </w:p>
    <w:p w:rsidR="00E25BCD" w:rsidRPr="000D558D" w:rsidRDefault="00E25BCD" w:rsidP="00E25BCD">
      <w:pPr>
        <w:spacing w:after="0" w:line="240" w:lineRule="auto"/>
        <w:ind w:left="567" w:right="616"/>
        <w:jc w:val="both"/>
        <w:rPr>
          <w:rFonts w:ascii="Palatino Linotype" w:eastAsia="Times New Roman" w:hAnsi="Palatino Linotype" w:cs="Times New Roman"/>
          <w:i/>
          <w:noProof/>
          <w:lang w:eastAsia="es-ES"/>
        </w:rPr>
      </w:pPr>
      <w:r w:rsidRPr="000D558D">
        <w:rPr>
          <w:rFonts w:ascii="Palatino Linotype" w:eastAsia="Times New Roman" w:hAnsi="Palatino Linotype" w:cs="Times New Roman"/>
          <w:i/>
          <w:noProof/>
          <w:lang w:eastAsia="es-ES"/>
        </w:rPr>
        <w:t>Los contribuyentes a que se refiere el párrafo anterior deberán cumplir con las obligaciones siguientes:</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lang w:eastAsia="es-ES"/>
        </w:rPr>
      </w:pPr>
    </w:p>
    <w:p w:rsidR="00E25BCD" w:rsidRPr="000D558D" w:rsidRDefault="00E25BCD" w:rsidP="00E25BCD">
      <w:pPr>
        <w:spacing w:after="0" w:line="240" w:lineRule="auto"/>
        <w:ind w:left="567" w:right="616"/>
        <w:jc w:val="both"/>
        <w:rPr>
          <w:rFonts w:ascii="Palatino Linotype" w:eastAsia="Times New Roman" w:hAnsi="Palatino Linotype" w:cs="Times New Roman"/>
          <w:i/>
          <w:noProof/>
          <w:lang w:eastAsia="es-ES"/>
        </w:rPr>
      </w:pPr>
      <w:r w:rsidRPr="000D558D">
        <w:rPr>
          <w:rFonts w:ascii="Palatino Linotype" w:eastAsia="Times New Roman" w:hAnsi="Palatino Linotype" w:cs="Times New Roman"/>
          <w:i/>
          <w:noProof/>
          <w:lang w:eastAsia="es-ES"/>
        </w:rPr>
        <w:t xml:space="preserve">I. </w:t>
      </w:r>
      <w:r w:rsidRPr="000D558D">
        <w:rPr>
          <w:rFonts w:ascii="Palatino Linotype" w:eastAsia="Times New Roman" w:hAnsi="Palatino Linotype" w:cs="Times New Roman"/>
          <w:i/>
          <w:noProof/>
          <w:lang w:eastAsia="es-ES"/>
        </w:rPr>
        <w:tab/>
        <w:t>(…)</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lang w:eastAsia="es-ES"/>
        </w:rPr>
      </w:pPr>
      <w:r w:rsidRPr="000D558D">
        <w:rPr>
          <w:rFonts w:ascii="Palatino Linotype" w:eastAsia="Times New Roman" w:hAnsi="Palatino Linotype" w:cs="Times New Roman"/>
          <w:i/>
          <w:noProof/>
          <w:lang w:eastAsia="es-ES"/>
        </w:rPr>
        <w:t xml:space="preserve">II. </w:t>
      </w:r>
      <w:r w:rsidRPr="000D558D">
        <w:rPr>
          <w:rFonts w:ascii="Palatino Linotype" w:eastAsia="Times New Roman" w:hAnsi="Palatino Linotype" w:cs="Times New Roman"/>
          <w:i/>
          <w:noProof/>
          <w:lang w:eastAsia="es-ES"/>
        </w:rPr>
        <w:tab/>
        <w:t>Tramitar ante el Servicio de Administración Tributaria el certificado para el uso de los sellos digitales.</w:t>
      </w:r>
    </w:p>
    <w:p w:rsidR="00E25BCD" w:rsidRPr="000D558D" w:rsidRDefault="00E25BCD" w:rsidP="00E25BCD">
      <w:pPr>
        <w:spacing w:after="0" w:line="240" w:lineRule="auto"/>
        <w:ind w:left="567" w:right="616"/>
        <w:jc w:val="both"/>
        <w:rPr>
          <w:rFonts w:ascii="Palatino Linotype" w:eastAsia="Times New Roman" w:hAnsi="Palatino Linotype" w:cs="Times New Roman"/>
          <w:i/>
          <w:noProof/>
          <w:lang w:eastAsia="es-ES"/>
        </w:rPr>
      </w:pPr>
    </w:p>
    <w:p w:rsidR="00E25BCD" w:rsidRPr="000D558D" w:rsidRDefault="00E25BCD" w:rsidP="00E25BCD">
      <w:pPr>
        <w:spacing w:after="0" w:line="240" w:lineRule="auto"/>
        <w:ind w:left="567" w:right="616"/>
        <w:jc w:val="both"/>
        <w:rPr>
          <w:rFonts w:ascii="Palatino Linotype" w:eastAsia="Times New Roman" w:hAnsi="Palatino Linotype" w:cs="Times New Roman"/>
          <w:noProof/>
          <w:sz w:val="24"/>
          <w:szCs w:val="24"/>
          <w:lang w:eastAsia="es-ES"/>
        </w:rPr>
      </w:pPr>
      <w:r w:rsidRPr="000D558D">
        <w:rPr>
          <w:rFonts w:ascii="Palatino Linotype" w:eastAsia="Times New Roman" w:hAnsi="Palatino Linotype" w:cs="Times New Roman"/>
          <w:i/>
          <w:noProof/>
          <w:lang w:eastAsia="es-ES"/>
        </w:rPr>
        <w:t>Los contribuyentes podrán optar por el uso de uno o más certificados de sellos digitales que se utilizarán exclusivamente para la expedición de los comprobantes fiscales mediante documentos digitales. El sello digital permitirá acreditar la autoría de los comprobantes fiscales digitales por Internet que expidan las personas físicas y morales, el cual queda sujeto a la regulación aplicable al uso de la firma electrónica avanzada.”</w:t>
      </w: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MX"/>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r w:rsidRPr="000D558D">
        <w:rPr>
          <w:rFonts w:ascii="Palatino Linotype" w:eastAsia="Times New Roman" w:hAnsi="Palatino Linotype" w:cs="Times New Roman"/>
          <w:sz w:val="24"/>
          <w:szCs w:val="24"/>
          <w:lang w:eastAsia="es-ES"/>
        </w:rPr>
        <w:t xml:space="preserve">Por lo que hace a los </w:t>
      </w:r>
      <w:r w:rsidRPr="000D558D">
        <w:rPr>
          <w:rFonts w:ascii="Palatino Linotype" w:eastAsia="Times New Roman" w:hAnsi="Palatino Linotype" w:cs="Times New Roman"/>
          <w:b/>
          <w:sz w:val="24"/>
          <w:szCs w:val="24"/>
          <w:lang w:eastAsia="es-ES"/>
        </w:rPr>
        <w:t>Códigos Bidimensionales</w:t>
      </w:r>
      <w:r w:rsidRPr="000D558D">
        <w:rPr>
          <w:rFonts w:ascii="Palatino Linotype" w:eastAsia="Times New Roman" w:hAnsi="Palatino Linotype" w:cs="Times New Roman"/>
          <w:sz w:val="24"/>
          <w:szCs w:val="24"/>
          <w:lang w:eastAsia="es-ES"/>
        </w:rPr>
        <w:t xml:space="preserve"> y los denominados </w:t>
      </w:r>
      <w:r w:rsidRPr="000D558D">
        <w:rPr>
          <w:rFonts w:ascii="Palatino Linotype" w:eastAsia="Times New Roman" w:hAnsi="Palatino Linotype" w:cs="Times New Roman"/>
          <w:b/>
          <w:sz w:val="24"/>
          <w:szCs w:val="24"/>
          <w:lang w:eastAsia="es-ES"/>
        </w:rPr>
        <w:t>Códigos QR</w:t>
      </w:r>
      <w:r w:rsidRPr="000D558D">
        <w:rPr>
          <w:rFonts w:ascii="Palatino Linotype" w:eastAsia="Times New Roman" w:hAnsi="Palatino Linotype" w:cs="Times New Roman"/>
          <w:sz w:val="24"/>
          <w:szCs w:val="24"/>
          <w:lang w:eastAsia="es-ES"/>
        </w:rPr>
        <w:t xml:space="preserve">, se trata </w:t>
      </w:r>
      <w:r w:rsidRPr="000D558D">
        <w:rPr>
          <w:rFonts w:ascii="Palatino Linotype" w:eastAsia="Times New Roman" w:hAnsi="Palatino Linotype" w:cs="Times New Roman"/>
          <w:sz w:val="24"/>
          <w:szCs w:val="24"/>
          <w:lang w:val="es-ES_tradnl" w:eastAsia="es-ES"/>
        </w:rPr>
        <w:t>de</w:t>
      </w:r>
      <w:r w:rsidRPr="000D558D">
        <w:rPr>
          <w:rFonts w:ascii="Palatino Linotype" w:eastAsia="Times New Roman" w:hAnsi="Palatino Linotype" w:cs="Times New Roman"/>
          <w:sz w:val="24"/>
          <w:szCs w:val="24"/>
          <w:lang w:eastAsia="es-ES"/>
        </w:rPr>
        <w:t xml:space="preserve"> barras en dos dimensiones que al igual a los códigos de barras o códigos unidimensionales, son utilizados para almacenar diversos tipos datos de manera codificada, los cuales a través de lectores que pueden ser obtenidos por cualquier persona, teniendo acceso a dichos datos almacenados, mismos que al tratarse de recibos de nómina, generalmente, corresponde a </w:t>
      </w:r>
      <w:r w:rsidRPr="000D558D">
        <w:rPr>
          <w:rFonts w:ascii="Palatino Linotype" w:eastAsia="Times New Roman" w:hAnsi="Palatino Linotype" w:cs="Times New Roman"/>
          <w:sz w:val="24"/>
          <w:szCs w:val="24"/>
          <w:lang w:eastAsia="es-MX"/>
        </w:rPr>
        <w:t>datos</w:t>
      </w:r>
      <w:r w:rsidRPr="000D558D">
        <w:rPr>
          <w:rFonts w:ascii="Palatino Linotype" w:eastAsia="Times New Roman" w:hAnsi="Palatino Linotype" w:cs="Times New Roman"/>
          <w:sz w:val="24"/>
          <w:szCs w:val="24"/>
          <w:lang w:eastAsia="es-ES"/>
        </w:rPr>
        <w:t xml:space="preserve"> personales como lo son el </w:t>
      </w:r>
      <w:r w:rsidRPr="000D558D">
        <w:rPr>
          <w:rFonts w:ascii="Palatino Linotype" w:eastAsia="Times New Roman" w:hAnsi="Palatino Linotype" w:cs="Times New Roman"/>
          <w:b/>
          <w:sz w:val="24"/>
          <w:szCs w:val="24"/>
          <w:lang w:eastAsia="es-ES"/>
        </w:rPr>
        <w:lastRenderedPageBreak/>
        <w:t>Registro Federal de Contribuyentes</w:t>
      </w:r>
      <w:r w:rsidRPr="000D558D">
        <w:rPr>
          <w:rFonts w:ascii="Palatino Linotype" w:eastAsia="Times New Roman" w:hAnsi="Palatino Linotype" w:cs="Times New Roman"/>
          <w:sz w:val="24"/>
          <w:szCs w:val="24"/>
          <w:lang w:eastAsia="es-ES"/>
        </w:rPr>
        <w:t xml:space="preserve"> (RFC) y la </w:t>
      </w:r>
      <w:r w:rsidRPr="000D558D">
        <w:rPr>
          <w:rFonts w:ascii="Palatino Linotype" w:eastAsia="Times New Roman" w:hAnsi="Palatino Linotype" w:cs="Times New Roman"/>
          <w:b/>
          <w:sz w:val="24"/>
          <w:szCs w:val="24"/>
          <w:lang w:eastAsia="es-ES"/>
        </w:rPr>
        <w:t>Clave Única de Registro de Población</w:t>
      </w:r>
      <w:r w:rsidRPr="000D558D">
        <w:rPr>
          <w:rFonts w:ascii="Palatino Linotype" w:eastAsia="Times New Roman" w:hAnsi="Palatino Linotype" w:cs="Times New Roman"/>
          <w:sz w:val="24"/>
          <w:szCs w:val="24"/>
          <w:lang w:eastAsia="es-ES"/>
        </w:rPr>
        <w:t xml:space="preserve"> (CURP), por lo cual, deberán ser protegidos.</w:t>
      </w:r>
    </w:p>
    <w:p w:rsidR="00E25BCD" w:rsidRPr="000D558D" w:rsidRDefault="00E25BCD" w:rsidP="00E25BCD">
      <w:pPr>
        <w:pStyle w:val="Sinespaciado"/>
        <w:spacing w:line="360" w:lineRule="auto"/>
        <w:rPr>
          <w:rFonts w:ascii="Palatino Linotype" w:hAnsi="Palatino Linotype"/>
          <w:lang w:val="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MX"/>
        </w:rPr>
      </w:pPr>
      <w:r w:rsidRPr="000D558D">
        <w:rPr>
          <w:rFonts w:ascii="Palatino Linotype" w:eastAsia="Times New Roman" w:hAnsi="Palatino Linotype" w:cs="Times New Roman"/>
          <w:sz w:val="24"/>
          <w:szCs w:val="24"/>
          <w:lang w:val="es-ES_tradnl" w:eastAsia="es-ES"/>
        </w:rPr>
        <w:t xml:space="preserve">Por ende, en el presente caso el Sujeto Obligado debe </w:t>
      </w:r>
      <w:r w:rsidRPr="000D558D">
        <w:rPr>
          <w:rFonts w:ascii="Palatino Linotype" w:eastAsia="Times New Roman" w:hAnsi="Palatino Linotype" w:cs="Times New Roman"/>
          <w:sz w:val="24"/>
          <w:szCs w:val="24"/>
          <w:lang w:eastAsia="es-MX"/>
        </w:rPr>
        <w:t xml:space="preserve">atender las disposiciones en materia de protección de datos, a fin de salvaguardar los datos de particulares testando estos y emitir el debido Acuerdo que sustente la versión pública que se genere, ya que la clasificación de la información no se da por el simple mandato de la Ley, sino que es necesario que </w:t>
      </w:r>
      <w:r w:rsidRPr="000D558D">
        <w:rPr>
          <w:rFonts w:ascii="Palatino Linotype" w:eastAsia="Times New Roman" w:hAnsi="Palatino Linotype" w:cs="Times New Roman"/>
          <w:sz w:val="24"/>
          <w:szCs w:val="24"/>
          <w:lang w:val="es-ES_tradnl" w:eastAsia="es-ES"/>
        </w:rPr>
        <w:t xml:space="preserve">el Sujeto Obligado </w:t>
      </w:r>
      <w:r w:rsidRPr="000D558D">
        <w:rPr>
          <w:rFonts w:ascii="Palatino Linotype" w:eastAsia="Times New Roman" w:hAnsi="Palatino Linotype" w:cs="Times New Roman"/>
          <w:sz w:val="24"/>
          <w:szCs w:val="24"/>
          <w:lang w:eastAsia="es-MX"/>
        </w:rPr>
        <w:t>cuando clasifique un documento, ya sea en todo o en parte, debe atender lo dispuesto por la Ley de la materia, siendo que dicha clasificación es un trabajo en conjunto tanto de los Servidores Públicos Habilitados, de las Unidades de Transparencia y del Comité de Transparencia d</w:t>
      </w:r>
      <w:r w:rsidRPr="000D558D">
        <w:rPr>
          <w:rFonts w:ascii="Palatino Linotype" w:eastAsia="Times New Roman" w:hAnsi="Palatino Linotype" w:cs="Times New Roman"/>
          <w:sz w:val="24"/>
          <w:szCs w:val="24"/>
          <w:lang w:val="es-ES_tradnl" w:eastAsia="es-ES"/>
        </w:rPr>
        <w:t>el Sujeto Obligado</w:t>
      </w:r>
      <w:r w:rsidRPr="000D558D">
        <w:rPr>
          <w:rFonts w:ascii="Palatino Linotype" w:eastAsia="Times New Roman" w:hAnsi="Palatino Linotype" w:cs="Times New Roman"/>
          <w:sz w:val="24"/>
          <w:szCs w:val="24"/>
          <w:lang w:eastAsia="es-MX"/>
        </w:rPr>
        <w:t>, teniendo el deber los primeros, de presentar ante la Unidad de Transparencia la propuesta de clasificación de la información, para que luego ésta se presente ante el Comité de Transparencia de así resultar procedente el proyecto de clasificación de la información y finalmente sea éste último quien apruebe, modifique o revoque la clasificación de la información solicitada.</w:t>
      </w:r>
    </w:p>
    <w:p w:rsidR="00E25BCD" w:rsidRPr="000D558D" w:rsidRDefault="00E25BCD" w:rsidP="00E25BCD">
      <w:pPr>
        <w:pStyle w:val="Sinespaciado"/>
        <w:spacing w:line="360" w:lineRule="auto"/>
        <w:rPr>
          <w:rFonts w:ascii="Palatino Linotype" w:eastAsia="Calibri" w:hAnsi="Palatino Linotype"/>
        </w:rPr>
      </w:pPr>
    </w:p>
    <w:p w:rsidR="00E25BCD" w:rsidRPr="000D558D" w:rsidRDefault="00E25BCD" w:rsidP="00E25BCD">
      <w:pPr>
        <w:spacing w:after="0" w:line="360" w:lineRule="auto"/>
        <w:jc w:val="both"/>
        <w:rPr>
          <w:rFonts w:ascii="Palatino Linotype" w:eastAsia="Calibri" w:hAnsi="Palatino Linotype" w:cs="Times New Roman"/>
          <w:sz w:val="24"/>
          <w:szCs w:val="24"/>
          <w:lang w:eastAsia="es-ES"/>
        </w:rPr>
      </w:pPr>
      <w:r w:rsidRPr="000D558D">
        <w:rPr>
          <w:rFonts w:ascii="Palatino Linotype" w:eastAsia="Calibri" w:hAnsi="Palatino Linotype" w:cs="Times New Roman"/>
          <w:sz w:val="24"/>
          <w:szCs w:val="24"/>
          <w:lang w:eastAsia="es-ES"/>
        </w:rPr>
        <w:t xml:space="preserve">Así, es que </w:t>
      </w:r>
      <w:r w:rsidRPr="000D558D">
        <w:rPr>
          <w:rFonts w:ascii="Palatino Linotype" w:eastAsia="Times New Roman" w:hAnsi="Palatino Linotype" w:cs="Times New Roman"/>
          <w:sz w:val="24"/>
          <w:szCs w:val="24"/>
          <w:lang w:val="es-ES_tradnl" w:eastAsia="es-ES"/>
        </w:rPr>
        <w:t xml:space="preserve">el Sujeto Obligado </w:t>
      </w:r>
      <w:r w:rsidRPr="000D558D">
        <w:rPr>
          <w:rFonts w:ascii="Palatino Linotype" w:eastAsia="Calibri" w:hAnsi="Palatino Linotype" w:cs="Times New Roman"/>
          <w:sz w:val="24"/>
          <w:szCs w:val="24"/>
          <w:lang w:eastAsia="es-ES"/>
        </w:rPr>
        <w:t xml:space="preserve">deberá cumplir con todos y cada uno de los requisitos señalados en la Ley de Protección de Datos Personales en Posesión de Sujetos Obligados del Estado de México y Municipios, en la Ley de Transparencia y Acceso a la Información Pública del Estado de México y Municipios, y con los Lineamientos Generales en Materia de Clasificación y Desclasificación de la información, así como para la elaboración de Versiones Públicas; máxime que de conformidad con lo establecido en las Leyes y Lineamientos citados, para fundar la clasificación de la </w:t>
      </w:r>
      <w:r w:rsidRPr="000D558D">
        <w:rPr>
          <w:rFonts w:ascii="Palatino Linotype" w:eastAsia="Calibri" w:hAnsi="Palatino Linotype" w:cs="Times New Roman"/>
          <w:sz w:val="24"/>
          <w:szCs w:val="24"/>
          <w:lang w:eastAsia="es-ES"/>
        </w:rPr>
        <w:lastRenderedPageBreak/>
        <w:t>información se debe señalar el artículo, fracción, inciso, párrafo o numeral de la Ley que expresamente le otorga el carácter de confidencial.</w:t>
      </w:r>
    </w:p>
    <w:p w:rsidR="00E25BCD" w:rsidRPr="000D558D" w:rsidRDefault="00E25BCD" w:rsidP="00E25BCD">
      <w:pPr>
        <w:pStyle w:val="Sinespaciado"/>
        <w:spacing w:line="360" w:lineRule="auto"/>
        <w:rPr>
          <w:rFonts w:ascii="Palatino Linotype" w:eastAsia="Calibri" w:hAnsi="Palatino Linotype"/>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r w:rsidRPr="000D558D">
        <w:rPr>
          <w:rFonts w:ascii="Palatino Linotype" w:eastAsia="Times New Roman" w:hAnsi="Palatino Linotype" w:cs="Times New Roman"/>
          <w:sz w:val="24"/>
          <w:szCs w:val="24"/>
          <w:lang w:eastAsia="es-ES"/>
        </w:rPr>
        <w:t>Ello, sin pasar por alto que la clasificación respectiva tiene que cumplirse mediante las formalidades impuestas por la ley; es decir, mediante Acuerdo debidamente fundado y motivado, en términos de los numerales 49, fracción VIII, y 132, fracciones I, II y III, de la Ley de Transparencia y Acceso a la Información Pública del Estado de México y Municipios en vigor, así como los numerales Segundo, fracción XVIII, y del Cuarto al Décimo Primero de los Lineamientos Generales en materia de Clasificación y Desclasificación de la Información, así como para la elaboración de Versiones Públicas, que literalmente expresan:</w:t>
      </w:r>
    </w:p>
    <w:p w:rsidR="00E25BCD" w:rsidRPr="000D558D" w:rsidRDefault="00E25BCD" w:rsidP="00E25BCD">
      <w:pPr>
        <w:pStyle w:val="Sinespaciado"/>
        <w:spacing w:line="360" w:lineRule="auto"/>
        <w:rPr>
          <w:rFonts w:ascii="Palatino Linotype" w:hAnsi="Palatino Linotype"/>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 xml:space="preserve">“Artículo 49. </w:t>
      </w:r>
      <w:r w:rsidRPr="000D558D">
        <w:rPr>
          <w:rFonts w:ascii="Palatino Linotype" w:eastAsia="Times New Roman" w:hAnsi="Palatino Linotype" w:cs="Times New Roman"/>
          <w:i/>
          <w:lang w:eastAsia="es-MX"/>
        </w:rPr>
        <w:t>Los Comités de Transparencia tendrán las siguientes atribuciones:</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VIII.</w:t>
      </w:r>
      <w:r w:rsidRPr="000D558D">
        <w:rPr>
          <w:rFonts w:ascii="Palatino Linotype" w:eastAsia="Times New Roman" w:hAnsi="Palatino Linotype" w:cs="Times New Roman"/>
          <w:i/>
          <w:lang w:eastAsia="es-MX"/>
        </w:rPr>
        <w:t xml:space="preserve"> Aprobar, modificar o revocar la clasificación de la información;</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Artículo 132.</w:t>
      </w:r>
      <w:r w:rsidRPr="000D558D">
        <w:rPr>
          <w:rFonts w:ascii="Palatino Linotype" w:eastAsia="Times New Roman" w:hAnsi="Palatino Linotype" w:cs="Times New Roman"/>
          <w:i/>
          <w:lang w:eastAsia="es-MX"/>
        </w:rPr>
        <w:t xml:space="preserve"> La clasificación de la información se llevará a cabo en el momento en que:</w:t>
      </w:r>
    </w:p>
    <w:p w:rsidR="00E25BCD" w:rsidRPr="000D558D" w:rsidRDefault="00E25BCD" w:rsidP="00E25BCD">
      <w:pPr>
        <w:spacing w:after="0" w:line="240" w:lineRule="auto"/>
        <w:ind w:left="567" w:right="616"/>
        <w:jc w:val="both"/>
        <w:rPr>
          <w:rFonts w:ascii="Palatino Linotype" w:eastAsia="Times New Roman" w:hAnsi="Palatino Linotype" w:cs="Times New Roman"/>
          <w:b/>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I.</w:t>
      </w:r>
      <w:r w:rsidRPr="000D558D">
        <w:rPr>
          <w:rFonts w:ascii="Palatino Linotype" w:eastAsia="Times New Roman" w:hAnsi="Palatino Linotype" w:cs="Times New Roman"/>
          <w:i/>
          <w:lang w:eastAsia="es-MX"/>
        </w:rPr>
        <w:t xml:space="preserve"> Se reciba una solicitud de acceso a la información;</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II.</w:t>
      </w:r>
      <w:r w:rsidRPr="000D558D">
        <w:rPr>
          <w:rFonts w:ascii="Palatino Linotype" w:eastAsia="Times New Roman" w:hAnsi="Palatino Linotype" w:cs="Times New Roman"/>
          <w:i/>
          <w:lang w:eastAsia="es-MX"/>
        </w:rPr>
        <w:t xml:space="preserve"> Se determine mediante resolución de autoridad competente; o</w:t>
      </w:r>
    </w:p>
    <w:p w:rsidR="00E25BCD" w:rsidRPr="000D558D" w:rsidRDefault="00E25BCD" w:rsidP="00E25BCD">
      <w:pPr>
        <w:spacing w:after="0" w:line="240" w:lineRule="auto"/>
        <w:ind w:left="567" w:right="616"/>
        <w:jc w:val="both"/>
        <w:rPr>
          <w:rFonts w:ascii="Palatino Linotype" w:eastAsia="Times New Roman" w:hAnsi="Palatino Linotype" w:cs="Times New Roman"/>
          <w:b/>
          <w:i/>
          <w:lang w:eastAsia="es-MX"/>
        </w:rPr>
      </w:pPr>
      <w:r w:rsidRPr="000D558D">
        <w:rPr>
          <w:rFonts w:ascii="Palatino Linotype" w:eastAsia="Times New Roman" w:hAnsi="Palatino Linotype" w:cs="Times New Roman"/>
          <w:i/>
          <w:lang w:eastAsia="es-MX"/>
        </w:rPr>
        <w:t>III. Se generen versiones públicas para dar cumplimiento a las obligaciones de transparencia previstas en esta Ley.</w:t>
      </w:r>
      <w:r w:rsidRPr="000D558D">
        <w:rPr>
          <w:rFonts w:ascii="Palatino Linotype" w:eastAsia="Times New Roman" w:hAnsi="Palatino Linotype" w:cs="Times New Roman"/>
          <w:b/>
          <w:i/>
          <w:lang w:eastAsia="es-MX"/>
        </w:rPr>
        <w:t>”</w:t>
      </w:r>
    </w:p>
    <w:p w:rsidR="00E25BCD" w:rsidRPr="000D558D" w:rsidRDefault="00E25BCD" w:rsidP="00E25BCD">
      <w:pPr>
        <w:spacing w:after="0" w:line="240" w:lineRule="auto"/>
        <w:ind w:left="567" w:right="616"/>
        <w:jc w:val="both"/>
        <w:rPr>
          <w:rFonts w:ascii="Palatino Linotype" w:eastAsia="Times New Roman" w:hAnsi="Palatino Linotype" w:cs="Times New Roman"/>
          <w:b/>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“Segundo.-</w:t>
      </w:r>
      <w:r w:rsidRPr="000D558D">
        <w:rPr>
          <w:rFonts w:ascii="Palatino Linotype" w:eastAsia="Times New Roman" w:hAnsi="Palatino Linotype" w:cs="Times New Roman"/>
          <w:i/>
          <w:lang w:eastAsia="es-MX"/>
        </w:rPr>
        <w:t xml:space="preserve"> Para efectos de los presentes Lineamientos Generales, se entenderá por:</w:t>
      </w:r>
    </w:p>
    <w:p w:rsidR="00E25BCD" w:rsidRPr="000D558D" w:rsidRDefault="00E25BCD" w:rsidP="00E25BCD">
      <w:pPr>
        <w:spacing w:after="0" w:line="240" w:lineRule="auto"/>
        <w:ind w:left="567" w:right="616"/>
        <w:jc w:val="both"/>
        <w:rPr>
          <w:rFonts w:ascii="Palatino Linotype" w:eastAsia="Times New Roman" w:hAnsi="Palatino Linotype" w:cs="Times New Roman"/>
          <w:b/>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XVIII.</w:t>
      </w:r>
      <w:r w:rsidRPr="000D558D">
        <w:rPr>
          <w:rFonts w:ascii="Palatino Linotype" w:eastAsia="Times New Roman" w:hAnsi="Palatino Linotype" w:cs="Times New Roman"/>
          <w:i/>
          <w:lang w:eastAsia="es-MX"/>
        </w:rPr>
        <w:t xml:space="preserve"> </w:t>
      </w:r>
      <w:r w:rsidRPr="000D558D">
        <w:rPr>
          <w:rFonts w:ascii="Palatino Linotype" w:eastAsia="Times New Roman" w:hAnsi="Palatino Linotype" w:cs="Times New Roman"/>
          <w:b/>
          <w:i/>
          <w:lang w:eastAsia="es-MX"/>
        </w:rPr>
        <w:t>Versión pública:</w:t>
      </w:r>
      <w:r w:rsidRPr="000D558D">
        <w:rPr>
          <w:rFonts w:ascii="Palatino Linotype" w:eastAsia="Times New Roman" w:hAnsi="Palatino Linotype" w:cs="Times New Roman"/>
          <w:i/>
          <w:lang w:eastAsia="es-MX"/>
        </w:rPr>
        <w:t xml:space="preserve"> El documento a partir del que se otorga acceso a la información, en el que se testan partes o secciones clasificadas, indicando el contenido de éstas de manera genérica, fundando y motivando la reserva o confidencialidad, a través de la resolución que para tal efecto emita el Comité de Transparencia.</w:t>
      </w:r>
    </w:p>
    <w:p w:rsidR="00E25BCD" w:rsidRPr="000D558D" w:rsidRDefault="00E25BCD" w:rsidP="00E25BCD">
      <w:pPr>
        <w:spacing w:after="0" w:line="240" w:lineRule="auto"/>
        <w:ind w:left="567" w:right="616"/>
        <w:jc w:val="both"/>
        <w:rPr>
          <w:rFonts w:ascii="Palatino Linotype" w:eastAsia="Times New Roman" w:hAnsi="Palatino Linotype" w:cs="Times New Roman"/>
          <w:b/>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Cuarto.</w:t>
      </w:r>
      <w:r w:rsidRPr="000D558D">
        <w:rPr>
          <w:rFonts w:ascii="Palatino Linotype" w:eastAsia="Times New Roman" w:hAnsi="Palatino Linotype" w:cs="Times New Roman"/>
          <w:i/>
          <w:lang w:eastAsia="es-MX"/>
        </w:rPr>
        <w:t xml:space="preserve"> Para clasificar la información como reservada o confidencial, de manera total o parcial, el titular del área del sujeto obligado deberá atender lo dispuesto por el Título Sexto de la Ley General, en relación con las disposiciones contenidas en los presentes </w:t>
      </w:r>
      <w:r w:rsidRPr="000D558D">
        <w:rPr>
          <w:rFonts w:ascii="Palatino Linotype" w:eastAsia="Times New Roman" w:hAnsi="Palatino Linotype" w:cs="Times New Roman"/>
          <w:i/>
          <w:lang w:eastAsia="es-MX"/>
        </w:rPr>
        <w:lastRenderedPageBreak/>
        <w:t>lineamientos, así como en aquellas disposiciones legales aplicables a la materia en el ámbito de sus respectivas competencias, en tanto estas últimas no contravengan lo dispuesto en la Ley General.</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i/>
          <w:lang w:eastAsia="es-MX"/>
        </w:rPr>
        <w:t>Los Sujetos Obligados deberán aplicar, de manera estricta, las excepciones al derecho de acceso a la información y sólo podrán invocarlas cuando acrediten su procedencia.</w:t>
      </w:r>
    </w:p>
    <w:p w:rsidR="00E25BCD" w:rsidRPr="000D558D" w:rsidRDefault="00E25BCD" w:rsidP="00E25BCD">
      <w:pPr>
        <w:spacing w:after="0" w:line="240" w:lineRule="auto"/>
        <w:ind w:left="567" w:right="616"/>
        <w:jc w:val="both"/>
        <w:rPr>
          <w:rFonts w:ascii="Palatino Linotype" w:eastAsia="Times New Roman" w:hAnsi="Palatino Linotype" w:cs="Times New Roman"/>
          <w:b/>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Quinto.</w:t>
      </w:r>
      <w:r w:rsidRPr="000D558D">
        <w:rPr>
          <w:rFonts w:ascii="Palatino Linotype" w:eastAsia="Times New Roman" w:hAnsi="Palatino Linotype" w:cs="Times New Roman"/>
          <w:i/>
          <w:lang w:eastAsia="es-MX"/>
        </w:rPr>
        <w:t xml:space="preserve"> La carga de la prueba para justificar toda negativa de acceso a la información, por actualizarse cualquiera de los supuestos de clasificación previstos en la Ley General, la Ley Federal y leyes estatales, corresponderá a los Sujetos Obligados, por lo que deberán fundar y motivar debidamente la clasificación de la información ante una solicitud de acceso o al momento en que generen versiones públicas para dar cumplimiento a las obligaciones de transparencia, observando lo dispuesto en la Ley General y las demás disposiciones aplicables en la materia.</w:t>
      </w:r>
    </w:p>
    <w:p w:rsidR="00E25BCD" w:rsidRPr="000D558D" w:rsidRDefault="00E25BCD" w:rsidP="00E25BCD">
      <w:pPr>
        <w:spacing w:after="0" w:line="240" w:lineRule="auto"/>
        <w:ind w:left="567" w:right="616"/>
        <w:jc w:val="both"/>
        <w:rPr>
          <w:rFonts w:ascii="Palatino Linotype" w:eastAsia="Times New Roman" w:hAnsi="Palatino Linotype" w:cs="Times New Roman"/>
          <w:b/>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Sexto.</w:t>
      </w:r>
      <w:r w:rsidRPr="000D558D">
        <w:rPr>
          <w:rFonts w:ascii="Palatino Linotype" w:eastAsia="Times New Roman" w:hAnsi="Palatino Linotype" w:cs="Times New Roman"/>
          <w:i/>
          <w:lang w:eastAsia="es-MX"/>
        </w:rPr>
        <w:t xml:space="preserve"> Los Sujetos Obligados no podrán emitir acuerdos de carácter general ni particular que clasifiquen documentos o expedientes como reservados, ni clasificar documentos antes de que se genere la información o cuando éstos no obren en sus archivos.</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i/>
          <w:lang w:eastAsia="es-MX"/>
        </w:rPr>
        <w:t>La clasificación de información se realizará conforme a un análisis caso por caso, mediante la aplicación de la prueba de daño y de interés público.</w:t>
      </w:r>
    </w:p>
    <w:p w:rsidR="00E25BCD" w:rsidRPr="000D558D" w:rsidRDefault="00E25BCD" w:rsidP="00E25BCD">
      <w:pPr>
        <w:spacing w:after="0" w:line="240" w:lineRule="auto"/>
        <w:ind w:left="567" w:right="616"/>
        <w:jc w:val="both"/>
        <w:rPr>
          <w:rFonts w:ascii="Palatino Linotype" w:eastAsia="Times New Roman" w:hAnsi="Palatino Linotype" w:cs="Times New Roman"/>
          <w:b/>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Séptimo.</w:t>
      </w:r>
      <w:r w:rsidRPr="000D558D">
        <w:rPr>
          <w:rFonts w:ascii="Palatino Linotype" w:eastAsia="Times New Roman" w:hAnsi="Palatino Linotype" w:cs="Times New Roman"/>
          <w:i/>
          <w:lang w:eastAsia="es-MX"/>
        </w:rPr>
        <w:t xml:space="preserve"> La clasificación de la información se llevará a cabo en el momento en que:</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I.</w:t>
      </w:r>
      <w:r w:rsidRPr="000D558D">
        <w:rPr>
          <w:rFonts w:ascii="Palatino Linotype" w:eastAsia="Times New Roman" w:hAnsi="Palatino Linotype" w:cs="Times New Roman"/>
          <w:i/>
          <w:lang w:eastAsia="es-MX"/>
        </w:rPr>
        <w:t xml:space="preserve"> Se reciba una solicitud de acceso a la información;</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II.</w:t>
      </w:r>
      <w:r w:rsidRPr="000D558D">
        <w:rPr>
          <w:rFonts w:ascii="Palatino Linotype" w:eastAsia="Times New Roman" w:hAnsi="Palatino Linotype" w:cs="Times New Roman"/>
          <w:i/>
          <w:lang w:eastAsia="es-MX"/>
        </w:rPr>
        <w:t xml:space="preserve"> Se determine mediante resolución de autoridad competente, o</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III.</w:t>
      </w:r>
      <w:r w:rsidRPr="000D558D">
        <w:rPr>
          <w:rFonts w:ascii="Palatino Linotype" w:eastAsia="Times New Roman" w:hAnsi="Palatino Linotype" w:cs="Times New Roman"/>
          <w:i/>
          <w:lang w:eastAsia="es-MX"/>
        </w:rPr>
        <w:t xml:space="preserve"> Se generen versiones públicas para dar cumplimiento a las obligaciones de transparencia previstas en la Ley General, la Ley Federal y las correspondientes de las entidades federativas.</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i/>
          <w:lang w:eastAsia="es-MX"/>
        </w:rPr>
        <w:t>Los titulares de las áreas deberán revisar la clasificación al momento de la recepción de una solicitud de acceso a la información, para verificar si encuadra en una causal de reserva o de confidencialidad.</w:t>
      </w:r>
    </w:p>
    <w:p w:rsidR="00E25BCD" w:rsidRPr="000D558D" w:rsidRDefault="00E25BCD" w:rsidP="00E25BCD">
      <w:pPr>
        <w:spacing w:after="0" w:line="240" w:lineRule="auto"/>
        <w:ind w:left="567" w:right="616"/>
        <w:jc w:val="both"/>
        <w:rPr>
          <w:rFonts w:ascii="Palatino Linotype" w:eastAsia="Times New Roman" w:hAnsi="Palatino Linotype" w:cs="Times New Roman"/>
          <w:b/>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Octavo.</w:t>
      </w:r>
      <w:r w:rsidRPr="000D558D">
        <w:rPr>
          <w:rFonts w:ascii="Palatino Linotype" w:eastAsia="Times New Roman" w:hAnsi="Palatino Linotype" w:cs="Times New Roman"/>
          <w:i/>
          <w:lang w:eastAsia="es-MX"/>
        </w:rPr>
        <w:t xml:space="preserve"> Para fundar la clasificación de la información se debe señalar el artículo, fracción, inciso, párrafo o numeral de la ley o tratado internacional suscrito por el Estado mexicano que expresamente le otorga el carácter de reservada o confidencial.</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i/>
          <w:lang w:eastAsia="es-MX"/>
        </w:rPr>
        <w:t>Para motivar la clasificación se deberán señalar las razones o circunstancias especiales que lo llevaron a concluir que el caso particular se ajusta al supuesto previsto por la norma legal invocada como fundamento.</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i/>
          <w:lang w:eastAsia="es-MX"/>
        </w:rPr>
        <w:t>En caso de referirse a información reservada, la motivación de la clasificación también deberá comprender las circunstancias que justifican el establecimiento de determinado plazo de reserva.</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i/>
          <w:lang w:eastAsia="es-MX"/>
        </w:rPr>
        <w:t>Tratándose de información clasificada como confidencial respecto de la cual se haya determinado su conservación permanente por tener valor histórico, ésta conservará tal carácter de conformidad con la normativa aplicable en materia de archivos.</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i/>
          <w:lang w:eastAsia="es-MX"/>
        </w:rPr>
        <w:t>Los documentos contenidos en los archivos históricos y los identificados como históricos confidenciales no serán susceptibles de clasificación como reservados.</w:t>
      </w:r>
    </w:p>
    <w:p w:rsidR="00E25BCD" w:rsidRPr="000D558D" w:rsidRDefault="00E25BCD" w:rsidP="00E25BCD">
      <w:pPr>
        <w:spacing w:after="0" w:line="240" w:lineRule="auto"/>
        <w:ind w:left="567" w:right="616"/>
        <w:jc w:val="both"/>
        <w:rPr>
          <w:rFonts w:ascii="Palatino Linotype" w:eastAsia="Times New Roman" w:hAnsi="Palatino Linotype" w:cs="Times New Roman"/>
          <w:b/>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Noveno.</w:t>
      </w:r>
      <w:r w:rsidRPr="000D558D">
        <w:rPr>
          <w:rFonts w:ascii="Palatino Linotype" w:eastAsia="Times New Roman" w:hAnsi="Palatino Linotype" w:cs="Times New Roman"/>
          <w:i/>
          <w:lang w:eastAsia="es-MX"/>
        </w:rPr>
        <w:t xml:space="preserve"> En los casos en que se solicite un documento o expediente que contenga partes o secciones clasificadas, los titulares de las áreas deberán elaborar una versión pública fundando y motivando la clasificación de las partes o secciones que se testen, siguiendo los procedimientos establecidos en el Capítulo IX de los presentes lineamientos.</w:t>
      </w:r>
    </w:p>
    <w:p w:rsidR="00E25BCD" w:rsidRPr="000D558D" w:rsidRDefault="00E25BCD" w:rsidP="00E25BCD">
      <w:pPr>
        <w:spacing w:after="0" w:line="240" w:lineRule="auto"/>
        <w:ind w:left="567" w:right="616"/>
        <w:jc w:val="both"/>
        <w:rPr>
          <w:rFonts w:ascii="Palatino Linotype" w:eastAsia="Times New Roman" w:hAnsi="Palatino Linotype" w:cs="Times New Roman"/>
          <w:b/>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b/>
          <w:i/>
          <w:lang w:eastAsia="es-MX"/>
        </w:rPr>
        <w:t>Décimo.</w:t>
      </w:r>
      <w:r w:rsidRPr="000D558D">
        <w:rPr>
          <w:rFonts w:ascii="Palatino Linotype" w:eastAsia="Times New Roman" w:hAnsi="Palatino Linotype" w:cs="Times New Roman"/>
          <w:i/>
          <w:lang w:eastAsia="es-MX"/>
        </w:rPr>
        <w:t xml:space="preserve"> Los titulares de las áreas, deberán tener conocimiento y llevar un registro del personal que, por la naturaleza de sus atribuciones, tenga acceso a los documentos clasificados. Asimismo, deberán asegurarse de que dicho personal cuente con los conocimientos técnicos y legales que le permitan manejar adecuadamente la información clasificada, en los términos de los Lineamientos para la Organización y Conservación de Archivos.</w:t>
      </w: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MX"/>
        </w:rPr>
      </w:pPr>
      <w:r w:rsidRPr="000D558D">
        <w:rPr>
          <w:rFonts w:ascii="Palatino Linotype" w:eastAsia="Times New Roman" w:hAnsi="Palatino Linotype" w:cs="Times New Roman"/>
          <w:i/>
          <w:lang w:eastAsia="es-MX"/>
        </w:rPr>
        <w:t>En ausencia de los titulares de las áreas, la información será clasificada o desclasificada por la persona que lo supla, en términos de la normativa que rija la actuación del sujeto obligado.</w:t>
      </w:r>
    </w:p>
    <w:p w:rsidR="00E25BCD" w:rsidRPr="000D558D" w:rsidRDefault="00E25BCD" w:rsidP="00E25BCD">
      <w:pPr>
        <w:spacing w:after="0" w:line="240" w:lineRule="auto"/>
        <w:ind w:left="567" w:right="616"/>
        <w:jc w:val="both"/>
        <w:rPr>
          <w:rFonts w:ascii="Palatino Linotype" w:eastAsia="Times New Roman" w:hAnsi="Palatino Linotype" w:cs="Times New Roman"/>
          <w:b/>
          <w:i/>
          <w:lang w:eastAsia="es-MX"/>
        </w:rPr>
      </w:pPr>
    </w:p>
    <w:p w:rsidR="00E25BCD" w:rsidRPr="000D558D" w:rsidRDefault="00E25BCD" w:rsidP="00E25BCD">
      <w:pPr>
        <w:spacing w:after="0" w:line="240" w:lineRule="auto"/>
        <w:ind w:left="567" w:right="616"/>
        <w:jc w:val="both"/>
        <w:rPr>
          <w:rFonts w:ascii="Palatino Linotype" w:eastAsia="Times New Roman" w:hAnsi="Palatino Linotype" w:cs="Times New Roman"/>
          <w:b/>
          <w:sz w:val="24"/>
          <w:szCs w:val="24"/>
          <w:lang w:eastAsia="es-MX"/>
        </w:rPr>
      </w:pPr>
      <w:r w:rsidRPr="000D558D">
        <w:rPr>
          <w:rFonts w:ascii="Palatino Linotype" w:eastAsia="Times New Roman" w:hAnsi="Palatino Linotype" w:cs="Times New Roman"/>
          <w:b/>
          <w:i/>
          <w:lang w:eastAsia="es-MX"/>
        </w:rPr>
        <w:t>Décimo primero.</w:t>
      </w:r>
      <w:r w:rsidRPr="000D558D">
        <w:rPr>
          <w:rFonts w:ascii="Palatino Linotype" w:eastAsia="Times New Roman" w:hAnsi="Palatino Linotype" w:cs="Times New Roman"/>
          <w:i/>
          <w:lang w:eastAsia="es-MX"/>
        </w:rPr>
        <w:t xml:space="preserve"> En el intercambio de información entre Sujetos Obligados para el ejercicio de sus atribuciones, los documentos que se encuentren clasificados deberán llevar la leyenda correspondiente de conformidad con lo dispuesto en el Capítulo VIII de los presentes lineamientos.</w:t>
      </w:r>
      <w:r w:rsidRPr="000D558D">
        <w:rPr>
          <w:rFonts w:ascii="Palatino Linotype" w:eastAsia="Times New Roman" w:hAnsi="Palatino Linotype" w:cs="Times New Roman"/>
          <w:b/>
          <w:i/>
          <w:lang w:eastAsia="es-MX"/>
        </w:rPr>
        <w:t>”</w:t>
      </w:r>
    </w:p>
    <w:p w:rsidR="00E25BCD" w:rsidRPr="000D558D" w:rsidRDefault="00E25BCD" w:rsidP="00E25BCD">
      <w:pPr>
        <w:spacing w:after="0" w:line="360" w:lineRule="auto"/>
        <w:jc w:val="both"/>
        <w:rPr>
          <w:rFonts w:ascii="Palatino Linotype" w:eastAsia="Times New Roman" w:hAnsi="Palatino Linotype" w:cs="Arial"/>
          <w:i/>
          <w:sz w:val="24"/>
          <w:szCs w:val="24"/>
          <w:lang w:eastAsia="es-MX"/>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r w:rsidRPr="000D558D">
        <w:rPr>
          <w:rFonts w:ascii="Palatino Linotype" w:eastAsia="Times New Roman" w:hAnsi="Palatino Linotype" w:cs="Times New Roman"/>
          <w:sz w:val="24"/>
          <w:szCs w:val="24"/>
          <w:lang w:eastAsia="es-ES"/>
        </w:rPr>
        <w:t xml:space="preserve">De este modo, como ha sido señalado en la presente resolución, en armonía entre los principios constitucionales de máxima publicidad y de protección de datos personales, la Ley de Transparencia y Acceso a la Información Pública del Estado de México y Municipios permite la elaboración de versiones públicas en las que se suprima aquella información relacionada con la vida privada de particulares mediante el debido Acuerdo fundado y motivado en el que </w:t>
      </w:r>
      <w:r w:rsidRPr="000D558D">
        <w:rPr>
          <w:rFonts w:ascii="Palatino Linotype" w:eastAsia="Times New Roman" w:hAnsi="Palatino Linotype" w:cs="Times New Roman"/>
          <w:sz w:val="24"/>
          <w:szCs w:val="24"/>
          <w:lang w:val="es-ES_tradnl" w:eastAsia="es-ES"/>
        </w:rPr>
        <w:t>el Sujeto Obligado</w:t>
      </w:r>
      <w:r w:rsidRPr="000D558D">
        <w:rPr>
          <w:rFonts w:ascii="Palatino Linotype" w:eastAsia="Times New Roman" w:hAnsi="Palatino Linotype" w:cs="Times New Roman"/>
          <w:sz w:val="24"/>
          <w:szCs w:val="24"/>
          <w:lang w:eastAsia="es-ES"/>
        </w:rPr>
        <w:t xml:space="preserve"> precise las razones objetivas por las que la apertura de la información generaría una afectación, asimismo, es claro </w:t>
      </w:r>
      <w:r w:rsidRPr="000D558D">
        <w:rPr>
          <w:rFonts w:ascii="Palatino Linotype" w:eastAsia="Times New Roman" w:hAnsi="Palatino Linotype" w:cs="Times New Roman"/>
          <w:sz w:val="24"/>
          <w:szCs w:val="24"/>
          <w:lang w:eastAsia="es-ES"/>
        </w:rPr>
        <w:lastRenderedPageBreak/>
        <w:t>que el mismo debe aplicar de manera restrictiva y limitada las hipótesis de clasificación y no hacerlas valer de manera general. Es importante señalar que, para acreditar dichos supuestos jurídicos se debe fundar y motivar correctamente la categorización de la información.</w:t>
      </w: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r w:rsidRPr="000D558D">
        <w:rPr>
          <w:rFonts w:ascii="Palatino Linotype" w:eastAsia="Times New Roman" w:hAnsi="Palatino Linotype" w:cs="Times New Roman"/>
          <w:sz w:val="24"/>
          <w:szCs w:val="24"/>
          <w:lang w:eastAsia="es-ES"/>
        </w:rPr>
        <w:t>Por tanto, la fundamentación y motivación consiste en la obligación que tiene todo ente público de expresar los preceptos jurídicos aplicables al asunto motivo del acto y las razones o argumentos de su actuar.</w:t>
      </w: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r w:rsidRPr="000D558D">
        <w:rPr>
          <w:rFonts w:ascii="Palatino Linotype" w:eastAsia="Times New Roman" w:hAnsi="Palatino Linotype" w:cs="Times New Roman"/>
          <w:sz w:val="24"/>
          <w:szCs w:val="24"/>
          <w:lang w:eastAsia="es-ES"/>
        </w:rPr>
        <w:t>Al respecto, el máximo tribunal del país ha establecido jurisprudencia respecto a qué debe entenderse por fundamentación y motivación, en los siguientes términos:</w:t>
      </w:r>
    </w:p>
    <w:p w:rsidR="00E25BCD" w:rsidRPr="000D558D" w:rsidRDefault="00E25BCD" w:rsidP="00E25BCD">
      <w:pPr>
        <w:pStyle w:val="Sinespaciado"/>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ES"/>
        </w:rPr>
      </w:pPr>
      <w:r w:rsidRPr="000D558D">
        <w:rPr>
          <w:rFonts w:ascii="Palatino Linotype" w:eastAsia="Times New Roman" w:hAnsi="Palatino Linotype" w:cs="Times New Roman"/>
          <w:b/>
          <w:i/>
          <w:lang w:eastAsia="es-ES"/>
        </w:rPr>
        <w:t xml:space="preserve">FUNDAMENTACIÓN Y MOTIVACIÓN. </w:t>
      </w:r>
      <w:r w:rsidRPr="000D558D">
        <w:rPr>
          <w:rFonts w:ascii="Palatino Linotype" w:eastAsia="Times New Roman" w:hAnsi="Palatino Linotype" w:cs="Times New Roman"/>
          <w:i/>
          <w:lang w:eastAsia="es-ES"/>
        </w:rPr>
        <w:t>La debida fundamentación y motivación legal, deben entenderse, por lo primero, la cita del precepto legal aplicable al caso, y por lo segundo, las razones, motivos o circunstancias especiales que llevaron a la autoridad a concluir que el caso particular encuadra en el supuesto previsto por la norma legal invocada como fundamento.</w:t>
      </w:r>
    </w:p>
    <w:p w:rsidR="00E25BCD" w:rsidRPr="000D558D" w:rsidRDefault="00E25BCD" w:rsidP="00E25BCD">
      <w:pPr>
        <w:pStyle w:val="Sinespaciado"/>
      </w:pPr>
    </w:p>
    <w:p w:rsidR="00E25BCD" w:rsidRPr="000D558D" w:rsidRDefault="00E25BCD" w:rsidP="00E25BCD">
      <w:pPr>
        <w:pStyle w:val="Sinespaciado"/>
        <w:rPr>
          <w:sz w:val="8"/>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r w:rsidRPr="000D558D">
        <w:rPr>
          <w:rFonts w:ascii="Palatino Linotype" w:eastAsia="Times New Roman" w:hAnsi="Palatino Linotype" w:cs="Times New Roman"/>
          <w:sz w:val="24"/>
          <w:szCs w:val="24"/>
          <w:lang w:eastAsia="es-ES"/>
        </w:rPr>
        <w:t>Así, en un acto de autoridad se surte la debida fundamentación cuando se cita el precepto legal aplicable al caso concreto y la debida motivación cuando se expresan las razones, motivos o circunstancias que tomó en cuenta la autoridad para adecuar el hecho a los fundamentos de derecho.</w:t>
      </w:r>
    </w:p>
    <w:p w:rsidR="00800857" w:rsidRPr="000D558D" w:rsidRDefault="00800857" w:rsidP="00E25BCD">
      <w:pPr>
        <w:spacing w:after="0" w:line="360" w:lineRule="auto"/>
        <w:jc w:val="both"/>
        <w:rPr>
          <w:rFonts w:ascii="Palatino Linotype" w:eastAsia="Times New Roman" w:hAnsi="Palatino Linotype" w:cs="Times New Roman"/>
          <w:sz w:val="24"/>
          <w:szCs w:val="24"/>
          <w:lang w:eastAsia="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r w:rsidRPr="000D558D">
        <w:rPr>
          <w:rFonts w:ascii="Palatino Linotype" w:eastAsia="Times New Roman" w:hAnsi="Palatino Linotype" w:cs="Times New Roman"/>
          <w:sz w:val="24"/>
          <w:szCs w:val="24"/>
          <w:lang w:eastAsia="es-ES"/>
        </w:rPr>
        <w:t>Más aún, a través de diversa jurisprudencia dictada por el Poder Judicial de la Federación se sostiene que la finalidad de la fundamentación o motivación es la de explicar, justificar, posibilitar la defensa y comunicar la decisión de la autoridad:</w:t>
      </w:r>
    </w:p>
    <w:p w:rsidR="00E25BCD" w:rsidRPr="000D558D" w:rsidRDefault="00E25BCD" w:rsidP="00E25BCD">
      <w:pPr>
        <w:pStyle w:val="Sinespaciado"/>
        <w:spacing w:line="360" w:lineRule="auto"/>
        <w:rPr>
          <w:rFonts w:ascii="Palatino Linotype" w:hAnsi="Palatino Linotype"/>
        </w:rPr>
      </w:pPr>
    </w:p>
    <w:p w:rsidR="00E25BCD" w:rsidRPr="000D558D" w:rsidRDefault="00E25BCD" w:rsidP="00E25BCD">
      <w:pPr>
        <w:spacing w:after="0" w:line="240" w:lineRule="auto"/>
        <w:ind w:left="567" w:right="616"/>
        <w:jc w:val="both"/>
        <w:rPr>
          <w:rFonts w:ascii="Palatino Linotype" w:eastAsia="Times New Roman" w:hAnsi="Palatino Linotype" w:cs="Times New Roman"/>
          <w:i/>
          <w:lang w:eastAsia="es-ES"/>
        </w:rPr>
      </w:pPr>
      <w:r w:rsidRPr="000D558D">
        <w:rPr>
          <w:rFonts w:ascii="Palatino Linotype" w:eastAsia="Times New Roman" w:hAnsi="Palatino Linotype" w:cs="Times New Roman"/>
          <w:b/>
          <w:i/>
          <w:lang w:eastAsia="es-ES"/>
        </w:rPr>
        <w:lastRenderedPageBreak/>
        <w:t>FUNDAMENTACIÓN Y MOTIVACIÓN. EL ASPECTO FORMAL DE LA GARANTÍA Y SU FINALIDAD SE TRADUCEN EN EXPLICAR, JUSTIFICAR, POSIBILITAR LA DEFENSA Y COMUNICAR LA DECISIÓN</w:t>
      </w:r>
      <w:r w:rsidRPr="000D558D">
        <w:rPr>
          <w:rFonts w:ascii="Palatino Linotype" w:eastAsia="Times New Roman" w:hAnsi="Palatino Linotype" w:cs="Times New Roman"/>
          <w:i/>
          <w:lang w:eastAsia="es-ES"/>
        </w:rPr>
        <w:t>. El contenido formal de la garantía de legalidad prevista en el artículo 16 constitucional relativa a la fundamentación y motivación tiene como propósito primordial y ratio que el justiciable conozca el "para qué" de la conducta de la autoridad, lo que se traduce en darle a conocer en detalle y de manera completa la esencia de todas las circunstancias y condiciones que determinaron el acto de voluntad, de manera que sea evidente y muy claro para el afectado poder cuestionar y controvertir el mérito de la decisión, permitiéndole una real y auténtica defensa. Por tanto, no basta que el acto de autoridad apenas observe una motivación pro forma pero de una manera incongruente, insuficiente o imprecisa, que impida la finalidad del conocimiento, comprobación y defensa pertinente, ni es válido exigirle una amplitud o abundancia superflua, pues es suficiente la expresión de lo estrictamente necesario para explicar, justificar y posibilitar la defensa, así como para comunicar la decisión a efecto de que se considere debidamente fundado y motivado, exponiendo los hechos relevantes para decidir, citando la norma habilitante y un argumento mínimo pero suficiente para acreditar el razonamiento del que se deduzca la relación de pertenencia lógica de los hechos al derecho invocado, que es la subsunción.</w:t>
      </w: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r w:rsidRPr="000D558D">
        <w:rPr>
          <w:rFonts w:ascii="Palatino Linotype" w:eastAsia="Times New Roman" w:hAnsi="Palatino Linotype" w:cs="Times New Roman"/>
          <w:sz w:val="24"/>
          <w:szCs w:val="24"/>
          <w:lang w:eastAsia="es-ES"/>
        </w:rPr>
        <w:t>En consecuencia, la fundamentación y motivación implica que en el acto de autoridad, además de contenerse los supuestos jurídicos aplicables se expliquen claramente, por qué, a través de la utilización de la norma se emitió el acto. De este modo, la persona que se siente afectada pueda impugnar la decisión, permitiéndole una real y auténtica defensa.</w:t>
      </w:r>
    </w:p>
    <w:p w:rsidR="00E25BCD" w:rsidRPr="000D558D" w:rsidRDefault="00E25BCD" w:rsidP="00E25BCD">
      <w:pPr>
        <w:spacing w:after="0" w:line="360" w:lineRule="auto"/>
        <w:jc w:val="both"/>
        <w:rPr>
          <w:rFonts w:ascii="Palatino Linotype" w:eastAsia="Times New Roman" w:hAnsi="Palatino Linotype" w:cs="Times New Roman"/>
          <w:sz w:val="24"/>
          <w:szCs w:val="24"/>
          <w:lang w:eastAsia="es-ES"/>
        </w:rPr>
      </w:pPr>
    </w:p>
    <w:p w:rsidR="00E25BCD" w:rsidRPr="000D558D" w:rsidRDefault="00E25BCD" w:rsidP="00E25BCD">
      <w:pPr>
        <w:spacing w:after="0" w:line="360" w:lineRule="auto"/>
        <w:jc w:val="both"/>
        <w:rPr>
          <w:rFonts w:ascii="Palatino Linotype" w:eastAsia="Times New Roman" w:hAnsi="Palatino Linotype" w:cs="Times New Roman"/>
          <w:sz w:val="24"/>
          <w:szCs w:val="24"/>
          <w:lang w:val="es-ES" w:eastAsia="es-ES"/>
        </w:rPr>
      </w:pPr>
      <w:r w:rsidRPr="000D558D">
        <w:rPr>
          <w:rFonts w:ascii="Palatino Linotype" w:eastAsia="Times New Roman" w:hAnsi="Palatino Linotype" w:cs="Times New Roman"/>
          <w:sz w:val="24"/>
          <w:szCs w:val="24"/>
          <w:lang w:val="es-ES" w:eastAsia="es-ES"/>
        </w:rPr>
        <w:t>Por lo tanto, la entrega de documentos en su versión pública debe acompañarse necesariamente del Acuerdo del Comité de Transparencia del Sujeto Obligado</w:t>
      </w:r>
      <w:r w:rsidRPr="000D558D">
        <w:rPr>
          <w:rFonts w:ascii="Palatino Linotype" w:eastAsia="Times New Roman" w:hAnsi="Palatino Linotype" w:cs="Times New Roman"/>
          <w:b/>
          <w:sz w:val="24"/>
          <w:szCs w:val="24"/>
          <w:lang w:val="es-ES" w:eastAsia="es-ES"/>
        </w:rPr>
        <w:t xml:space="preserve"> </w:t>
      </w:r>
      <w:r w:rsidRPr="000D558D">
        <w:rPr>
          <w:rFonts w:ascii="Palatino Linotype" w:eastAsia="Times New Roman" w:hAnsi="Palatino Linotype" w:cs="Times New Roman"/>
          <w:sz w:val="24"/>
          <w:szCs w:val="24"/>
          <w:lang w:val="es-ES" w:eastAsia="es-ES"/>
        </w:rPr>
        <w:t xml:space="preserve">que la sustente, en el que se expongan los fundamentos y razones que llevaron a la autoridad a testar, suprimir o eliminar datos de dicho soporte documental, ya que el no hacerlo implica que lo entregado no es legal ni formalmente una versión pública, sino más bien una documentación ilegible, incompleta o tachada; pues no señalar las razones por las </w:t>
      </w:r>
      <w:r w:rsidRPr="000D558D">
        <w:rPr>
          <w:rFonts w:ascii="Palatino Linotype" w:eastAsia="Times New Roman" w:hAnsi="Palatino Linotype" w:cs="Times New Roman"/>
          <w:sz w:val="24"/>
          <w:szCs w:val="24"/>
          <w:lang w:val="es-ES" w:eastAsia="es-ES"/>
        </w:rPr>
        <w:lastRenderedPageBreak/>
        <w:t>que no se aprecian determinados datos, ya sea porque se testan o suprimen, deja al solicitante en estado de incertidumbre, al no conocer o comprender porque no aparecen en la documentación respectiva, es decir, si no se exponen de manera puntual las razones de ello se estaría violentando desde un inicio el derecho de acceso a la información del solicitante.</w:t>
      </w:r>
    </w:p>
    <w:p w:rsidR="00E25BCD" w:rsidRPr="000D558D" w:rsidRDefault="00E25BCD" w:rsidP="00E25BCD">
      <w:pPr>
        <w:autoSpaceDE w:val="0"/>
        <w:autoSpaceDN w:val="0"/>
        <w:adjustRightInd w:val="0"/>
        <w:spacing w:after="0" w:line="360" w:lineRule="auto"/>
        <w:ind w:right="49"/>
        <w:jc w:val="both"/>
        <w:rPr>
          <w:rFonts w:ascii="Palatino Linotype" w:hAnsi="Palatino Linotype" w:cs="Arial"/>
          <w:color w:val="000000"/>
          <w:sz w:val="24"/>
        </w:rPr>
      </w:pPr>
    </w:p>
    <w:p w:rsidR="00E25BCD" w:rsidRPr="000D558D" w:rsidRDefault="00E25BCD" w:rsidP="00E25BCD">
      <w:pPr>
        <w:spacing w:after="0" w:line="360" w:lineRule="auto"/>
        <w:jc w:val="both"/>
        <w:rPr>
          <w:rFonts w:ascii="Palatino Linotype" w:hAnsi="Palatino Linotype"/>
          <w:sz w:val="24"/>
          <w:szCs w:val="24"/>
        </w:rPr>
      </w:pPr>
      <w:r w:rsidRPr="000D558D">
        <w:rPr>
          <w:rFonts w:ascii="Palatino Linotype" w:hAnsi="Palatino Linotype" w:cs="Arial"/>
          <w:sz w:val="24"/>
          <w:szCs w:val="24"/>
          <w:lang w:eastAsia="es-MX"/>
        </w:rPr>
        <w:t>Final</w:t>
      </w:r>
      <w:r w:rsidRPr="000D558D">
        <w:rPr>
          <w:rFonts w:ascii="Palatino Linotype" w:hAnsi="Palatino Linotype"/>
          <w:sz w:val="24"/>
          <w:szCs w:val="24"/>
        </w:rPr>
        <w:t xml:space="preserve">mente y en mérito de lo expuesto en líneas anteriores, resultan </w:t>
      </w:r>
      <w:r w:rsidR="004C317E" w:rsidRPr="000D558D">
        <w:rPr>
          <w:rFonts w:ascii="Palatino Linotype" w:hAnsi="Palatino Linotype"/>
          <w:sz w:val="24"/>
          <w:szCs w:val="24"/>
        </w:rPr>
        <w:t xml:space="preserve">parcialmente </w:t>
      </w:r>
      <w:r w:rsidRPr="000D558D">
        <w:rPr>
          <w:rFonts w:ascii="Palatino Linotype" w:hAnsi="Palatino Linotype"/>
          <w:sz w:val="24"/>
          <w:szCs w:val="24"/>
        </w:rPr>
        <w:t xml:space="preserve">fundados los motivos de inconformidad vertidos por </w:t>
      </w:r>
      <w:r w:rsidRPr="000D558D">
        <w:rPr>
          <w:rFonts w:ascii="Palatino Linotype" w:hAnsi="Palatino Linotype"/>
          <w:b/>
          <w:sz w:val="24"/>
          <w:szCs w:val="24"/>
        </w:rPr>
        <w:t>El Recurrente</w:t>
      </w:r>
      <w:r w:rsidRPr="000D558D">
        <w:rPr>
          <w:rFonts w:ascii="Palatino Linotype" w:hAnsi="Palatino Linotype"/>
          <w:sz w:val="24"/>
          <w:szCs w:val="24"/>
        </w:rPr>
        <w:t xml:space="preserve">, por ello con fundamento en la </w:t>
      </w:r>
      <w:r w:rsidRPr="000D558D">
        <w:rPr>
          <w:rFonts w:ascii="Palatino Linotype" w:hAnsi="Palatino Linotype"/>
          <w:i/>
          <w:sz w:val="24"/>
          <w:szCs w:val="24"/>
        </w:rPr>
        <w:t>segunda hipótesis</w:t>
      </w:r>
      <w:r w:rsidRPr="000D558D">
        <w:rPr>
          <w:rFonts w:ascii="Palatino Linotype" w:hAnsi="Palatino Linotype"/>
          <w:sz w:val="24"/>
          <w:szCs w:val="24"/>
        </w:rPr>
        <w:t xml:space="preserve"> del artículo 186, fracción III, de la Ley de Transparencia y Acceso a la Información Pública del Estado de México y Municipios, se </w:t>
      </w:r>
      <w:r w:rsidRPr="000D558D">
        <w:rPr>
          <w:rFonts w:ascii="Palatino Linotype" w:hAnsi="Palatino Linotype"/>
          <w:b/>
          <w:sz w:val="24"/>
          <w:szCs w:val="24"/>
        </w:rPr>
        <w:t xml:space="preserve">MODIFICAN </w:t>
      </w:r>
      <w:r w:rsidRPr="000D558D">
        <w:rPr>
          <w:rFonts w:ascii="Palatino Linotype" w:hAnsi="Palatino Linotype"/>
          <w:sz w:val="24"/>
          <w:szCs w:val="24"/>
        </w:rPr>
        <w:t xml:space="preserve">las respuestas a las solicitudes de información </w:t>
      </w:r>
      <w:r w:rsidRPr="000D558D">
        <w:rPr>
          <w:rFonts w:ascii="Palatino Linotype" w:hAnsi="Palatino Linotype" w:cs="Arial"/>
          <w:b/>
          <w:sz w:val="24"/>
          <w:szCs w:val="24"/>
        </w:rPr>
        <w:t>00001/CUAUTIT/IP/2021, 00002/CUAUTIT/IP/2021</w:t>
      </w:r>
      <w:r w:rsidR="004C317E" w:rsidRPr="000D558D">
        <w:rPr>
          <w:rFonts w:ascii="Palatino Linotype" w:hAnsi="Palatino Linotype" w:cs="Arial"/>
          <w:sz w:val="24"/>
          <w:szCs w:val="24"/>
        </w:rPr>
        <w:t>;</w:t>
      </w:r>
      <w:r w:rsidRPr="000D558D">
        <w:rPr>
          <w:rFonts w:ascii="Palatino Linotype" w:hAnsi="Palatino Linotype" w:cs="Arial"/>
          <w:b/>
          <w:sz w:val="24"/>
          <w:szCs w:val="24"/>
        </w:rPr>
        <w:t xml:space="preserve">  </w:t>
      </w:r>
      <w:r w:rsidR="004C317E" w:rsidRPr="000D558D">
        <w:rPr>
          <w:rFonts w:ascii="Palatino Linotype" w:hAnsi="Palatino Linotype" w:cs="Arial"/>
          <w:sz w:val="24"/>
          <w:szCs w:val="24"/>
        </w:rPr>
        <w:t xml:space="preserve">y con fundamento en la </w:t>
      </w:r>
      <w:r w:rsidR="004C317E" w:rsidRPr="000D558D">
        <w:rPr>
          <w:rFonts w:ascii="Palatino Linotype" w:hAnsi="Palatino Linotype" w:cs="Arial"/>
          <w:i/>
          <w:sz w:val="24"/>
          <w:szCs w:val="24"/>
        </w:rPr>
        <w:t>primera hipótesis</w:t>
      </w:r>
      <w:r w:rsidR="004C317E" w:rsidRPr="000D558D">
        <w:rPr>
          <w:rFonts w:ascii="Palatino Linotype" w:hAnsi="Palatino Linotype" w:cs="Arial"/>
          <w:sz w:val="24"/>
          <w:szCs w:val="24"/>
        </w:rPr>
        <w:t xml:space="preserve"> del artículo 186, fracción III, se </w:t>
      </w:r>
      <w:r w:rsidR="004C317E" w:rsidRPr="000D558D">
        <w:rPr>
          <w:rFonts w:ascii="Palatino Linotype" w:hAnsi="Palatino Linotype" w:cs="Arial"/>
          <w:b/>
          <w:sz w:val="24"/>
          <w:szCs w:val="24"/>
        </w:rPr>
        <w:t>REVOCA</w:t>
      </w:r>
      <w:r w:rsidR="004C317E" w:rsidRPr="000D558D">
        <w:rPr>
          <w:rFonts w:ascii="Palatino Linotype" w:hAnsi="Palatino Linotype" w:cs="Arial"/>
          <w:sz w:val="24"/>
          <w:szCs w:val="24"/>
        </w:rPr>
        <w:t xml:space="preserve"> la respuesta a la solicitud de información</w:t>
      </w:r>
      <w:r w:rsidRPr="000D558D">
        <w:rPr>
          <w:rFonts w:ascii="Palatino Linotype" w:hAnsi="Palatino Linotype" w:cs="Arial"/>
          <w:sz w:val="24"/>
          <w:szCs w:val="24"/>
        </w:rPr>
        <w:t xml:space="preserve"> </w:t>
      </w:r>
      <w:r w:rsidRPr="000D558D">
        <w:rPr>
          <w:rFonts w:ascii="Palatino Linotype" w:hAnsi="Palatino Linotype" w:cs="Arial"/>
          <w:b/>
          <w:sz w:val="24"/>
          <w:szCs w:val="24"/>
        </w:rPr>
        <w:t>00003/CUAUTIT/IP/2021</w:t>
      </w:r>
      <w:r w:rsidRPr="000D558D">
        <w:rPr>
          <w:rFonts w:ascii="Palatino Linotype" w:eastAsiaTheme="minorEastAsia" w:hAnsi="Palatino Linotype"/>
          <w:sz w:val="24"/>
          <w:szCs w:val="24"/>
          <w:lang w:val="es-ES_tradnl"/>
        </w:rPr>
        <w:t>,</w:t>
      </w:r>
      <w:r w:rsidRPr="000D558D">
        <w:rPr>
          <w:rFonts w:ascii="Palatino Linotype" w:hAnsi="Palatino Linotype" w:cs="Arial"/>
          <w:sz w:val="24"/>
          <w:szCs w:val="24"/>
        </w:rPr>
        <w:t xml:space="preserve"> </w:t>
      </w:r>
      <w:r w:rsidRPr="000D558D">
        <w:rPr>
          <w:rFonts w:ascii="Palatino Linotype" w:hAnsi="Palatino Linotype"/>
          <w:sz w:val="24"/>
          <w:szCs w:val="24"/>
        </w:rPr>
        <w:t>que han sido materia del presente fallo.</w:t>
      </w:r>
    </w:p>
    <w:p w:rsidR="00E25BCD" w:rsidRPr="000D558D" w:rsidRDefault="00E25BCD" w:rsidP="00E25BCD">
      <w:pPr>
        <w:spacing w:after="0" w:line="360" w:lineRule="auto"/>
        <w:jc w:val="both"/>
        <w:rPr>
          <w:rFonts w:ascii="Palatino Linotype" w:hAnsi="Palatino Linotype"/>
          <w:sz w:val="24"/>
          <w:szCs w:val="24"/>
        </w:rPr>
      </w:pPr>
      <w:r w:rsidRPr="000D558D">
        <w:rPr>
          <w:rFonts w:ascii="Palatino Linotype" w:hAnsi="Palatino Linotype"/>
          <w:sz w:val="24"/>
          <w:szCs w:val="24"/>
        </w:rPr>
        <w:t xml:space="preserve">Por lo antes expuesto y fundado. </w:t>
      </w:r>
    </w:p>
    <w:p w:rsidR="00E25BCD" w:rsidRPr="000D558D" w:rsidRDefault="00E25BCD" w:rsidP="00E25BCD">
      <w:pPr>
        <w:spacing w:after="0" w:line="360" w:lineRule="auto"/>
        <w:jc w:val="both"/>
        <w:rPr>
          <w:rFonts w:ascii="Palatino Linotype" w:hAnsi="Palatino Linotype"/>
          <w:sz w:val="24"/>
          <w:szCs w:val="24"/>
        </w:rPr>
      </w:pPr>
    </w:p>
    <w:p w:rsidR="00E25BCD" w:rsidRPr="000D558D" w:rsidRDefault="00E25BCD" w:rsidP="00E25BCD">
      <w:pPr>
        <w:spacing w:after="0" w:line="360" w:lineRule="auto"/>
        <w:jc w:val="center"/>
        <w:rPr>
          <w:rFonts w:ascii="Palatino Linotype" w:eastAsia="Times New Roman" w:hAnsi="Palatino Linotype"/>
          <w:b/>
          <w:bCs/>
          <w:spacing w:val="60"/>
          <w:sz w:val="28"/>
          <w:szCs w:val="24"/>
          <w:lang w:val="es-ES_tradnl"/>
        </w:rPr>
      </w:pPr>
      <w:r w:rsidRPr="000D558D">
        <w:rPr>
          <w:rFonts w:ascii="Palatino Linotype" w:eastAsia="Times New Roman" w:hAnsi="Palatino Linotype"/>
          <w:b/>
          <w:bCs/>
          <w:spacing w:val="60"/>
          <w:sz w:val="28"/>
          <w:szCs w:val="24"/>
          <w:lang w:val="es-ES_tradnl"/>
        </w:rPr>
        <w:t>SE    RESUELVE</w:t>
      </w:r>
    </w:p>
    <w:p w:rsidR="00E25BCD" w:rsidRPr="000D558D" w:rsidRDefault="00E25BCD" w:rsidP="00E25BCD">
      <w:pPr>
        <w:spacing w:after="0" w:line="360" w:lineRule="auto"/>
        <w:jc w:val="center"/>
        <w:rPr>
          <w:rFonts w:ascii="Palatino Linotype" w:eastAsia="Times New Roman" w:hAnsi="Palatino Linotype"/>
          <w:b/>
          <w:bCs/>
          <w:spacing w:val="60"/>
          <w:sz w:val="24"/>
          <w:szCs w:val="24"/>
          <w:lang w:val="es-ES_tradnl"/>
        </w:rPr>
      </w:pPr>
    </w:p>
    <w:p w:rsidR="00E25BCD" w:rsidRPr="000D558D" w:rsidRDefault="00E25BCD" w:rsidP="00E25BCD">
      <w:pPr>
        <w:autoSpaceDE w:val="0"/>
        <w:autoSpaceDN w:val="0"/>
        <w:adjustRightInd w:val="0"/>
        <w:spacing w:after="0" w:line="360" w:lineRule="auto"/>
        <w:ind w:right="49"/>
        <w:jc w:val="both"/>
        <w:rPr>
          <w:rFonts w:ascii="Palatino Linotype" w:hAnsi="Palatino Linotype" w:cs="Arial"/>
          <w:sz w:val="24"/>
          <w:szCs w:val="24"/>
        </w:rPr>
      </w:pPr>
      <w:r w:rsidRPr="000D558D">
        <w:rPr>
          <w:rFonts w:ascii="Palatino Linotype" w:hAnsi="Palatino Linotype" w:cs="Arial"/>
          <w:b/>
          <w:sz w:val="28"/>
          <w:szCs w:val="28"/>
          <w:lang w:val="es-ES_tradnl"/>
        </w:rPr>
        <w:t>PRIMERO.</w:t>
      </w:r>
      <w:r w:rsidRPr="000D558D">
        <w:rPr>
          <w:rFonts w:ascii="Palatino Linotype" w:hAnsi="Palatino Linotype" w:cs="Arial"/>
          <w:sz w:val="24"/>
          <w:szCs w:val="24"/>
          <w:lang w:val="es-ES_tradnl"/>
        </w:rPr>
        <w:t xml:space="preserve"> </w:t>
      </w:r>
      <w:r w:rsidRPr="000D558D">
        <w:rPr>
          <w:rFonts w:ascii="Palatino Linotype" w:hAnsi="Palatino Linotype" w:cs="Arial"/>
          <w:sz w:val="24"/>
          <w:szCs w:val="24"/>
        </w:rPr>
        <w:t>Se</w:t>
      </w:r>
      <w:r w:rsidRPr="000D558D">
        <w:rPr>
          <w:rFonts w:ascii="Palatino Linotype" w:hAnsi="Palatino Linotype" w:cs="Arial"/>
          <w:b/>
          <w:sz w:val="24"/>
          <w:szCs w:val="24"/>
        </w:rPr>
        <w:t xml:space="preserve"> MODIFICAN </w:t>
      </w:r>
      <w:r w:rsidRPr="000D558D">
        <w:rPr>
          <w:rFonts w:ascii="Palatino Linotype" w:eastAsia="Arial Unicode MS" w:hAnsi="Palatino Linotype" w:cs="Arial"/>
          <w:sz w:val="24"/>
          <w:szCs w:val="24"/>
        </w:rPr>
        <w:t xml:space="preserve">las respuestas entregadas por </w:t>
      </w:r>
      <w:r w:rsidRPr="000D558D">
        <w:rPr>
          <w:rFonts w:ascii="Palatino Linotype" w:eastAsia="Arial Unicode MS" w:hAnsi="Palatino Linotype" w:cs="Arial"/>
          <w:b/>
          <w:sz w:val="24"/>
          <w:szCs w:val="24"/>
        </w:rPr>
        <w:t xml:space="preserve">El Sujeto Obligado </w:t>
      </w:r>
      <w:r w:rsidRPr="000D558D">
        <w:rPr>
          <w:rFonts w:ascii="Palatino Linotype" w:eastAsia="Arial Unicode MS" w:hAnsi="Palatino Linotype" w:cs="Arial"/>
          <w:sz w:val="24"/>
          <w:szCs w:val="24"/>
        </w:rPr>
        <w:t xml:space="preserve">a las solicitudes de información número </w:t>
      </w:r>
      <w:r w:rsidRPr="000D558D">
        <w:rPr>
          <w:rFonts w:ascii="Palatino Linotype" w:hAnsi="Palatino Linotype" w:cs="Arial"/>
          <w:b/>
          <w:sz w:val="24"/>
          <w:szCs w:val="24"/>
        </w:rPr>
        <w:t>00001/CUAUTIT/</w:t>
      </w:r>
      <w:r w:rsidR="004C317E" w:rsidRPr="000D558D">
        <w:rPr>
          <w:rFonts w:ascii="Palatino Linotype" w:hAnsi="Palatino Linotype" w:cs="Arial"/>
          <w:b/>
          <w:sz w:val="24"/>
          <w:szCs w:val="24"/>
        </w:rPr>
        <w:t>IP/2021, 00002/CUAUTIT/IP/2021</w:t>
      </w:r>
      <w:r w:rsidRPr="000D558D">
        <w:rPr>
          <w:rFonts w:ascii="Palatino Linotype" w:hAnsi="Palatino Linotype" w:cs="Arial"/>
          <w:sz w:val="24"/>
          <w:szCs w:val="24"/>
        </w:rPr>
        <w:t xml:space="preserve">, por resultar parcialmente fundados los motivos de inconformidad vertidos por </w:t>
      </w:r>
      <w:r w:rsidRPr="000D558D">
        <w:rPr>
          <w:rFonts w:ascii="Palatino Linotype" w:hAnsi="Palatino Linotype" w:cs="Arial"/>
          <w:b/>
          <w:sz w:val="24"/>
          <w:szCs w:val="24"/>
        </w:rPr>
        <w:t>El Recurrente</w:t>
      </w:r>
      <w:r w:rsidRPr="000D558D">
        <w:rPr>
          <w:rFonts w:ascii="Palatino Linotype" w:hAnsi="Palatino Linotype" w:cs="Arial"/>
          <w:sz w:val="24"/>
          <w:szCs w:val="24"/>
        </w:rPr>
        <w:t xml:space="preserve">, en términos del Considerando </w:t>
      </w:r>
      <w:r w:rsidRPr="000D558D">
        <w:rPr>
          <w:rFonts w:ascii="Palatino Linotype" w:hAnsi="Palatino Linotype" w:cs="Arial"/>
          <w:b/>
          <w:sz w:val="24"/>
          <w:szCs w:val="24"/>
        </w:rPr>
        <w:t>CUARTO</w:t>
      </w:r>
      <w:r w:rsidRPr="000D558D">
        <w:rPr>
          <w:rFonts w:ascii="Palatino Linotype" w:hAnsi="Palatino Linotype" w:cs="Arial"/>
          <w:sz w:val="24"/>
          <w:szCs w:val="24"/>
        </w:rPr>
        <w:t xml:space="preserve"> de ésta resolución.</w:t>
      </w:r>
    </w:p>
    <w:p w:rsidR="004C317E" w:rsidRPr="000D558D" w:rsidRDefault="004C317E" w:rsidP="00E25BCD">
      <w:pPr>
        <w:autoSpaceDE w:val="0"/>
        <w:autoSpaceDN w:val="0"/>
        <w:adjustRightInd w:val="0"/>
        <w:spacing w:after="0" w:line="360" w:lineRule="auto"/>
        <w:ind w:right="49"/>
        <w:jc w:val="both"/>
        <w:rPr>
          <w:rFonts w:ascii="Palatino Linotype" w:hAnsi="Palatino Linotype" w:cs="Arial"/>
          <w:sz w:val="24"/>
          <w:szCs w:val="24"/>
        </w:rPr>
      </w:pPr>
    </w:p>
    <w:p w:rsidR="004C317E" w:rsidRPr="000D558D" w:rsidRDefault="004C317E" w:rsidP="004C317E">
      <w:pPr>
        <w:autoSpaceDE w:val="0"/>
        <w:autoSpaceDN w:val="0"/>
        <w:adjustRightInd w:val="0"/>
        <w:spacing w:after="0" w:line="360" w:lineRule="auto"/>
        <w:ind w:right="49"/>
        <w:jc w:val="both"/>
        <w:rPr>
          <w:rFonts w:ascii="Palatino Linotype" w:hAnsi="Palatino Linotype" w:cs="Arial"/>
          <w:sz w:val="24"/>
          <w:szCs w:val="24"/>
        </w:rPr>
      </w:pPr>
      <w:r w:rsidRPr="000D558D">
        <w:rPr>
          <w:rFonts w:ascii="Palatino Linotype" w:hAnsi="Palatino Linotype" w:cs="Arial"/>
          <w:b/>
          <w:sz w:val="28"/>
          <w:szCs w:val="28"/>
          <w:lang w:val="es-ES_tradnl"/>
        </w:rPr>
        <w:lastRenderedPageBreak/>
        <w:t>SEGUNDO.</w:t>
      </w:r>
      <w:r w:rsidRPr="000D558D">
        <w:rPr>
          <w:rFonts w:ascii="Palatino Linotype" w:hAnsi="Palatino Linotype" w:cs="Arial"/>
          <w:sz w:val="24"/>
          <w:szCs w:val="24"/>
          <w:lang w:val="es-ES_tradnl"/>
        </w:rPr>
        <w:t xml:space="preserve"> </w:t>
      </w:r>
      <w:r w:rsidRPr="000D558D">
        <w:rPr>
          <w:rFonts w:ascii="Palatino Linotype" w:hAnsi="Palatino Linotype" w:cs="Arial"/>
          <w:sz w:val="24"/>
          <w:szCs w:val="24"/>
        </w:rPr>
        <w:t>Se</w:t>
      </w:r>
      <w:r w:rsidRPr="000D558D">
        <w:rPr>
          <w:rFonts w:ascii="Palatino Linotype" w:hAnsi="Palatino Linotype" w:cs="Arial"/>
          <w:b/>
          <w:sz w:val="24"/>
          <w:szCs w:val="24"/>
        </w:rPr>
        <w:t xml:space="preserve"> REVOCA </w:t>
      </w:r>
      <w:r w:rsidRPr="000D558D">
        <w:rPr>
          <w:rFonts w:ascii="Palatino Linotype" w:eastAsia="Arial Unicode MS" w:hAnsi="Palatino Linotype" w:cs="Arial"/>
          <w:sz w:val="24"/>
          <w:szCs w:val="24"/>
        </w:rPr>
        <w:t xml:space="preserve">la respuesta entregada por </w:t>
      </w:r>
      <w:r w:rsidRPr="000D558D">
        <w:rPr>
          <w:rFonts w:ascii="Palatino Linotype" w:eastAsia="Arial Unicode MS" w:hAnsi="Palatino Linotype" w:cs="Arial"/>
          <w:b/>
          <w:sz w:val="24"/>
          <w:szCs w:val="24"/>
        </w:rPr>
        <w:t xml:space="preserve">El Sujeto Obligado </w:t>
      </w:r>
      <w:r w:rsidRPr="000D558D">
        <w:rPr>
          <w:rFonts w:ascii="Palatino Linotype" w:eastAsia="Arial Unicode MS" w:hAnsi="Palatino Linotype" w:cs="Arial"/>
          <w:sz w:val="24"/>
          <w:szCs w:val="24"/>
        </w:rPr>
        <w:t xml:space="preserve">a la solicitud de información número </w:t>
      </w:r>
      <w:r w:rsidRPr="000D558D">
        <w:rPr>
          <w:rFonts w:ascii="Palatino Linotype" w:hAnsi="Palatino Linotype" w:cs="Arial"/>
          <w:b/>
          <w:sz w:val="24"/>
          <w:szCs w:val="24"/>
        </w:rPr>
        <w:t>00003/CUAUTIT/IP/2021</w:t>
      </w:r>
      <w:r w:rsidRPr="000D558D">
        <w:rPr>
          <w:rFonts w:ascii="Palatino Linotype" w:hAnsi="Palatino Linotype" w:cs="Arial"/>
          <w:sz w:val="24"/>
          <w:szCs w:val="24"/>
        </w:rPr>
        <w:t xml:space="preserve">, por resultar fundados los motivos de inconformidad vertidos por </w:t>
      </w:r>
      <w:r w:rsidRPr="000D558D">
        <w:rPr>
          <w:rFonts w:ascii="Palatino Linotype" w:hAnsi="Palatino Linotype" w:cs="Arial"/>
          <w:b/>
          <w:sz w:val="24"/>
          <w:szCs w:val="24"/>
        </w:rPr>
        <w:t>El Recurrente</w:t>
      </w:r>
      <w:r w:rsidRPr="000D558D">
        <w:rPr>
          <w:rFonts w:ascii="Palatino Linotype" w:hAnsi="Palatino Linotype" w:cs="Arial"/>
          <w:sz w:val="24"/>
          <w:szCs w:val="24"/>
        </w:rPr>
        <w:t xml:space="preserve">, en términos del Considerando </w:t>
      </w:r>
      <w:r w:rsidRPr="000D558D">
        <w:rPr>
          <w:rFonts w:ascii="Palatino Linotype" w:hAnsi="Palatino Linotype" w:cs="Arial"/>
          <w:b/>
          <w:sz w:val="24"/>
          <w:szCs w:val="24"/>
        </w:rPr>
        <w:t>CUARTO</w:t>
      </w:r>
      <w:r w:rsidRPr="000D558D">
        <w:rPr>
          <w:rFonts w:ascii="Palatino Linotype" w:hAnsi="Palatino Linotype" w:cs="Arial"/>
          <w:sz w:val="24"/>
          <w:szCs w:val="24"/>
        </w:rPr>
        <w:t xml:space="preserve"> de ésta resolución.</w:t>
      </w:r>
    </w:p>
    <w:p w:rsidR="00E25BCD" w:rsidRPr="000D558D" w:rsidRDefault="00E25BCD" w:rsidP="00E25BCD">
      <w:pPr>
        <w:autoSpaceDE w:val="0"/>
        <w:autoSpaceDN w:val="0"/>
        <w:adjustRightInd w:val="0"/>
        <w:spacing w:after="0" w:line="360" w:lineRule="auto"/>
        <w:ind w:right="49"/>
        <w:jc w:val="both"/>
        <w:rPr>
          <w:rFonts w:ascii="Palatino Linotype" w:hAnsi="Palatino Linotype" w:cs="Arial"/>
          <w:sz w:val="24"/>
          <w:szCs w:val="24"/>
        </w:rPr>
      </w:pPr>
    </w:p>
    <w:p w:rsidR="00E25BCD" w:rsidRPr="000D558D" w:rsidRDefault="004C317E" w:rsidP="00E25BCD">
      <w:pPr>
        <w:spacing w:after="0" w:line="360" w:lineRule="auto"/>
        <w:jc w:val="both"/>
        <w:rPr>
          <w:rFonts w:ascii="Palatino Linotype" w:hAnsi="Palatino Linotype" w:cs="Arial"/>
          <w:sz w:val="24"/>
          <w:szCs w:val="24"/>
        </w:rPr>
      </w:pPr>
      <w:r w:rsidRPr="000D558D">
        <w:rPr>
          <w:rFonts w:ascii="Palatino Linotype" w:hAnsi="Palatino Linotype" w:cs="Arial"/>
          <w:b/>
          <w:sz w:val="28"/>
          <w:szCs w:val="28"/>
        </w:rPr>
        <w:t>TERCER</w:t>
      </w:r>
      <w:r w:rsidR="00E25BCD" w:rsidRPr="000D558D">
        <w:rPr>
          <w:rFonts w:ascii="Palatino Linotype" w:hAnsi="Palatino Linotype" w:cs="Arial"/>
          <w:b/>
          <w:sz w:val="28"/>
          <w:szCs w:val="28"/>
        </w:rPr>
        <w:t>O.</w:t>
      </w:r>
      <w:r w:rsidR="00E25BCD" w:rsidRPr="000D558D">
        <w:rPr>
          <w:rFonts w:ascii="Palatino Linotype" w:hAnsi="Palatino Linotype" w:cs="Arial"/>
          <w:sz w:val="24"/>
          <w:szCs w:val="24"/>
        </w:rPr>
        <w:t xml:space="preserve"> Se </w:t>
      </w:r>
      <w:r w:rsidR="00E25BCD" w:rsidRPr="000D558D">
        <w:rPr>
          <w:rFonts w:ascii="Palatino Linotype" w:hAnsi="Palatino Linotype" w:cs="Arial"/>
          <w:b/>
          <w:sz w:val="24"/>
          <w:szCs w:val="24"/>
        </w:rPr>
        <w:t>ORDENA</w:t>
      </w:r>
      <w:r w:rsidR="00E25BCD" w:rsidRPr="000D558D">
        <w:rPr>
          <w:rFonts w:ascii="Palatino Linotype" w:hAnsi="Palatino Linotype" w:cs="Arial"/>
          <w:sz w:val="24"/>
          <w:szCs w:val="24"/>
        </w:rPr>
        <w:t xml:space="preserve"> al </w:t>
      </w:r>
      <w:r w:rsidR="00E25BCD" w:rsidRPr="000D558D">
        <w:rPr>
          <w:rFonts w:ascii="Palatino Linotype" w:hAnsi="Palatino Linotype" w:cs="Arial"/>
          <w:b/>
          <w:sz w:val="24"/>
          <w:szCs w:val="24"/>
        </w:rPr>
        <w:t>Sujeto Obligado</w:t>
      </w:r>
      <w:r w:rsidR="00E25BCD" w:rsidRPr="000D558D">
        <w:rPr>
          <w:rFonts w:ascii="Palatino Linotype" w:hAnsi="Palatino Linotype" w:cs="Arial"/>
          <w:sz w:val="24"/>
          <w:szCs w:val="24"/>
        </w:rPr>
        <w:t xml:space="preserve"> haga entrega al </w:t>
      </w:r>
      <w:r w:rsidR="00E25BCD" w:rsidRPr="000D558D">
        <w:rPr>
          <w:rFonts w:ascii="Palatino Linotype" w:hAnsi="Palatino Linotype" w:cs="Arial"/>
          <w:b/>
          <w:sz w:val="24"/>
          <w:szCs w:val="24"/>
        </w:rPr>
        <w:t>Recurrente</w:t>
      </w:r>
      <w:r w:rsidR="00E25BCD" w:rsidRPr="000D558D">
        <w:rPr>
          <w:rFonts w:ascii="Palatino Linotype" w:hAnsi="Palatino Linotype" w:cs="Arial"/>
          <w:sz w:val="24"/>
          <w:szCs w:val="24"/>
        </w:rPr>
        <w:t xml:space="preserve"> a través </w:t>
      </w:r>
      <w:r w:rsidR="00E25BCD" w:rsidRPr="000D558D">
        <w:rPr>
          <w:rFonts w:ascii="Palatino Linotype" w:hAnsi="Palatino Linotype"/>
          <w:color w:val="222222"/>
          <w:sz w:val="24"/>
          <w:szCs w:val="24"/>
          <w:shd w:val="clear" w:color="auto" w:fill="FFFFFF"/>
        </w:rPr>
        <w:t xml:space="preserve">del </w:t>
      </w:r>
      <w:r w:rsidR="00E25BCD" w:rsidRPr="000D558D">
        <w:rPr>
          <w:rFonts w:ascii="Palatino Linotype" w:hAnsi="Palatino Linotype"/>
          <w:b/>
          <w:color w:val="222222"/>
          <w:sz w:val="24"/>
          <w:szCs w:val="24"/>
          <w:shd w:val="clear" w:color="auto" w:fill="FFFFFF"/>
        </w:rPr>
        <w:t>SAIMEX</w:t>
      </w:r>
      <w:r w:rsidR="00E25BCD" w:rsidRPr="000D558D">
        <w:rPr>
          <w:rFonts w:ascii="Palatino Linotype" w:hAnsi="Palatino Linotype" w:cs="Arial"/>
          <w:sz w:val="24"/>
          <w:szCs w:val="24"/>
        </w:rPr>
        <w:t>, previa búsqueda exhaustiva y razonable, en los casos que corresponda la versión pública, de lo siguiente:</w:t>
      </w:r>
    </w:p>
    <w:p w:rsidR="00E25BCD" w:rsidRPr="000D558D" w:rsidRDefault="00E25BCD" w:rsidP="00E25BCD">
      <w:pPr>
        <w:spacing w:after="0" w:line="360" w:lineRule="auto"/>
        <w:jc w:val="both"/>
        <w:rPr>
          <w:rFonts w:ascii="Palatino Linotype" w:hAnsi="Palatino Linotype"/>
        </w:rPr>
      </w:pPr>
    </w:p>
    <w:p w:rsidR="00E25BCD" w:rsidRPr="000D558D" w:rsidRDefault="00E25BCD" w:rsidP="00800857">
      <w:pPr>
        <w:pStyle w:val="Prrafodelista"/>
        <w:numPr>
          <w:ilvl w:val="0"/>
          <w:numId w:val="9"/>
        </w:numPr>
        <w:spacing w:line="360" w:lineRule="auto"/>
        <w:contextualSpacing/>
        <w:jc w:val="both"/>
        <w:rPr>
          <w:rFonts w:ascii="Palatino Linotype" w:hAnsi="Palatino Linotype"/>
          <w:lang w:val="es-MX" w:eastAsia="es-MX"/>
        </w:rPr>
      </w:pPr>
      <w:r w:rsidRPr="000D558D">
        <w:rPr>
          <w:rFonts w:ascii="Palatino Linotype" w:hAnsi="Palatino Linotype"/>
          <w:lang w:eastAsia="es-MX"/>
        </w:rPr>
        <w:t>El Contrato No. DA/SRM/AD/149.2/2020, celebrado con el prestador de servicios “Lara Moreno y Asociados S.C.”, remitido por el Servidor Público Habilitado de la Subdirección de Recursos Materiales del H. Ayuntamiento de Cuautitlán al Titular de la Unidad de Transparencia</w:t>
      </w:r>
      <w:r w:rsidRPr="000D558D">
        <w:rPr>
          <w:rFonts w:ascii="Palatino Linotype" w:hAnsi="Palatino Linotype"/>
          <w:lang w:val="es-MX" w:eastAsia="es-MX"/>
        </w:rPr>
        <w:t>.</w:t>
      </w:r>
    </w:p>
    <w:p w:rsidR="00800857" w:rsidRPr="000D558D" w:rsidRDefault="00800857" w:rsidP="00800857">
      <w:pPr>
        <w:pStyle w:val="Prrafodelista"/>
        <w:spacing w:line="360" w:lineRule="auto"/>
        <w:ind w:left="720"/>
        <w:contextualSpacing/>
        <w:jc w:val="both"/>
        <w:rPr>
          <w:rFonts w:ascii="Palatino Linotype" w:hAnsi="Palatino Linotype"/>
          <w:lang w:val="es-MX" w:eastAsia="es-MX"/>
        </w:rPr>
      </w:pPr>
    </w:p>
    <w:p w:rsidR="00E25BCD" w:rsidRPr="000D558D" w:rsidRDefault="00E25BCD" w:rsidP="00800857">
      <w:pPr>
        <w:pStyle w:val="Prrafodelista"/>
        <w:numPr>
          <w:ilvl w:val="0"/>
          <w:numId w:val="9"/>
        </w:numPr>
        <w:spacing w:line="360" w:lineRule="auto"/>
        <w:contextualSpacing/>
        <w:jc w:val="both"/>
        <w:rPr>
          <w:rFonts w:ascii="Palatino Linotype" w:hAnsi="Palatino Linotype"/>
          <w:lang w:val="es-MX" w:eastAsia="es-MX"/>
        </w:rPr>
      </w:pPr>
      <w:r w:rsidRPr="000D558D">
        <w:rPr>
          <w:rFonts w:ascii="Palatino Linotype" w:hAnsi="Palatino Linotype" w:cs="Arial"/>
        </w:rPr>
        <w:t>El soporte documental en donde consten los pagos realizados al prestador de servicios “Lara Moreno y Asociados S.C.”, derivado del Contrato No. DA/SRM/AD/149.2/2020.</w:t>
      </w:r>
    </w:p>
    <w:p w:rsidR="00800857" w:rsidRPr="000D558D" w:rsidRDefault="00800857" w:rsidP="00800857">
      <w:pPr>
        <w:spacing w:line="360" w:lineRule="auto"/>
        <w:contextualSpacing/>
        <w:jc w:val="both"/>
        <w:rPr>
          <w:rFonts w:ascii="Palatino Linotype" w:hAnsi="Palatino Linotype"/>
          <w:lang w:eastAsia="es-MX"/>
        </w:rPr>
      </w:pPr>
    </w:p>
    <w:p w:rsidR="004C317E" w:rsidRPr="000D558D" w:rsidRDefault="00E25BCD" w:rsidP="00800857">
      <w:pPr>
        <w:pStyle w:val="Prrafodelista"/>
        <w:numPr>
          <w:ilvl w:val="0"/>
          <w:numId w:val="9"/>
        </w:numPr>
        <w:spacing w:line="360" w:lineRule="auto"/>
        <w:contextualSpacing/>
        <w:jc w:val="both"/>
        <w:rPr>
          <w:rFonts w:ascii="Palatino Linotype" w:hAnsi="Palatino Linotype" w:cs="Arial"/>
        </w:rPr>
      </w:pPr>
      <w:r w:rsidRPr="000D558D">
        <w:rPr>
          <w:rFonts w:ascii="Palatino Linotype" w:hAnsi="Palatino Linotype" w:cs="Arial"/>
        </w:rPr>
        <w:t xml:space="preserve">Los expedientes laborales de los servidores públicos adscritos a la </w:t>
      </w:r>
      <w:proofErr w:type="spellStart"/>
      <w:r w:rsidRPr="000D558D">
        <w:rPr>
          <w:rFonts w:ascii="Palatino Linotype" w:hAnsi="Palatino Linotype" w:cs="Arial"/>
        </w:rPr>
        <w:t>Subtesorería</w:t>
      </w:r>
      <w:proofErr w:type="spellEnd"/>
      <w:r w:rsidRPr="000D558D">
        <w:rPr>
          <w:rFonts w:ascii="Palatino Linotype" w:hAnsi="Palatino Linotype" w:cs="Arial"/>
        </w:rPr>
        <w:t xml:space="preserve"> de Egresos, vigentes al 18 de enero de 2021.</w:t>
      </w:r>
    </w:p>
    <w:p w:rsidR="00800857" w:rsidRPr="000D558D" w:rsidRDefault="00800857" w:rsidP="00800857">
      <w:pPr>
        <w:spacing w:line="360" w:lineRule="auto"/>
        <w:contextualSpacing/>
        <w:jc w:val="both"/>
        <w:rPr>
          <w:rFonts w:ascii="Palatino Linotype" w:hAnsi="Palatino Linotype" w:cs="Arial"/>
        </w:rPr>
      </w:pPr>
    </w:p>
    <w:p w:rsidR="00E25BCD" w:rsidRPr="000D558D" w:rsidRDefault="00E25BCD" w:rsidP="00800857">
      <w:pPr>
        <w:pStyle w:val="Prrafodelista"/>
        <w:numPr>
          <w:ilvl w:val="0"/>
          <w:numId w:val="9"/>
        </w:numPr>
        <w:spacing w:line="360" w:lineRule="auto"/>
        <w:contextualSpacing/>
        <w:jc w:val="both"/>
        <w:rPr>
          <w:rFonts w:ascii="Palatino Linotype" w:hAnsi="Palatino Linotype" w:cs="Arial"/>
        </w:rPr>
      </w:pPr>
      <w:r w:rsidRPr="000D558D">
        <w:rPr>
          <w:rFonts w:ascii="Palatino Linotype" w:hAnsi="Palatino Linotype" w:cs="Arial"/>
        </w:rPr>
        <w:lastRenderedPageBreak/>
        <w:t xml:space="preserve">Los informes de los resultados de las auditorías concluidas, emitidas por el Órgano Superior de Fiscalización del Estado de México, correspondientes al ejercicio presupuestal 2020. </w:t>
      </w:r>
    </w:p>
    <w:p w:rsidR="00800857" w:rsidRPr="000D558D" w:rsidRDefault="00800857" w:rsidP="00800857">
      <w:pPr>
        <w:spacing w:line="360" w:lineRule="auto"/>
        <w:contextualSpacing/>
        <w:jc w:val="both"/>
        <w:rPr>
          <w:rFonts w:ascii="Palatino Linotype" w:hAnsi="Palatino Linotype" w:cs="Arial"/>
        </w:rPr>
      </w:pPr>
    </w:p>
    <w:p w:rsidR="00E25BCD" w:rsidRPr="000D558D" w:rsidRDefault="00E25BCD" w:rsidP="00800857">
      <w:pPr>
        <w:pStyle w:val="Prrafodelista"/>
        <w:numPr>
          <w:ilvl w:val="0"/>
          <w:numId w:val="9"/>
        </w:numPr>
        <w:spacing w:line="360" w:lineRule="auto"/>
        <w:contextualSpacing/>
        <w:jc w:val="both"/>
        <w:rPr>
          <w:rFonts w:ascii="Palatino Linotype" w:hAnsi="Palatino Linotype" w:cs="Arial"/>
        </w:rPr>
      </w:pPr>
      <w:r w:rsidRPr="000D558D">
        <w:rPr>
          <w:rFonts w:ascii="Palatino Linotype" w:hAnsi="Palatino Linotype" w:cs="Arial"/>
        </w:rPr>
        <w:t xml:space="preserve">Los expedientes de auditorías concluidas, realizadas por la Contraloría Municipal de Cuautitlán, referente a los arqueos de caja y/o cualquier otra auditoría, correspondientes al ejercicio presupuestal 2020. </w:t>
      </w:r>
    </w:p>
    <w:p w:rsidR="00800857" w:rsidRPr="000D558D" w:rsidRDefault="00800857" w:rsidP="00800857">
      <w:pPr>
        <w:spacing w:line="360" w:lineRule="auto"/>
        <w:contextualSpacing/>
        <w:jc w:val="both"/>
        <w:rPr>
          <w:rFonts w:ascii="Palatino Linotype" w:hAnsi="Palatino Linotype" w:cs="Arial"/>
        </w:rPr>
      </w:pPr>
    </w:p>
    <w:p w:rsidR="00E25BCD" w:rsidRPr="000D558D" w:rsidRDefault="00E25BCD" w:rsidP="00800857">
      <w:pPr>
        <w:pStyle w:val="Prrafodelista"/>
        <w:numPr>
          <w:ilvl w:val="0"/>
          <w:numId w:val="9"/>
        </w:numPr>
        <w:spacing w:line="360" w:lineRule="auto"/>
        <w:contextualSpacing/>
        <w:jc w:val="both"/>
        <w:rPr>
          <w:rFonts w:ascii="Palatino Linotype" w:hAnsi="Palatino Linotype"/>
          <w:lang w:eastAsia="es-MX"/>
        </w:rPr>
      </w:pPr>
      <w:r w:rsidRPr="000D558D">
        <w:rPr>
          <w:rFonts w:ascii="Palatino Linotype" w:hAnsi="Palatino Linotype"/>
          <w:lang w:eastAsia="es-MX"/>
        </w:rPr>
        <w:t xml:space="preserve">Los Procedimientos administrativos con sanciones graves que hayan concluido, del periodo comprendido del 18 de enero de 2020 al 18 de enero de 2021. </w:t>
      </w:r>
    </w:p>
    <w:p w:rsidR="00E25BCD" w:rsidRPr="000D558D" w:rsidRDefault="00E25BCD" w:rsidP="00800857">
      <w:pPr>
        <w:spacing w:line="360" w:lineRule="auto"/>
        <w:contextualSpacing/>
        <w:jc w:val="both"/>
        <w:rPr>
          <w:rFonts w:ascii="Palatino Linotype" w:hAnsi="Palatino Linotype"/>
          <w:lang w:eastAsia="es-MX"/>
        </w:rPr>
      </w:pPr>
    </w:p>
    <w:p w:rsidR="00E25BCD" w:rsidRPr="000D558D" w:rsidRDefault="00E25BCD" w:rsidP="00800857">
      <w:pPr>
        <w:pStyle w:val="Prrafodelista"/>
        <w:numPr>
          <w:ilvl w:val="0"/>
          <w:numId w:val="9"/>
        </w:numPr>
        <w:spacing w:line="360" w:lineRule="auto"/>
        <w:contextualSpacing/>
        <w:jc w:val="both"/>
        <w:rPr>
          <w:rFonts w:ascii="Palatino Linotype" w:hAnsi="Palatino Linotype"/>
          <w:lang w:eastAsia="es-MX"/>
        </w:rPr>
      </w:pPr>
      <w:r w:rsidRPr="000D558D">
        <w:rPr>
          <w:rFonts w:ascii="Palatino Linotype" w:hAnsi="Palatino Linotype"/>
          <w:lang w:eastAsia="es-MX"/>
        </w:rPr>
        <w:t xml:space="preserve">El Acuerdo emitido por el Comité de Transparencia, mediante el cual se clasifique como </w:t>
      </w:r>
      <w:r w:rsidRPr="000D558D">
        <w:rPr>
          <w:rFonts w:ascii="Palatino Linotype" w:hAnsi="Palatino Linotype"/>
          <w:b/>
          <w:lang w:eastAsia="es-MX"/>
        </w:rPr>
        <w:t>CONFIDENCIAL</w:t>
      </w:r>
      <w:r w:rsidRPr="000D558D">
        <w:rPr>
          <w:rFonts w:ascii="Palatino Linotype" w:hAnsi="Palatino Linotype"/>
          <w:lang w:eastAsia="es-MX"/>
        </w:rPr>
        <w:t xml:space="preserve"> la información relativa a las sanciones administrativas </w:t>
      </w:r>
      <w:r w:rsidRPr="000D558D">
        <w:rPr>
          <w:rFonts w:ascii="Palatino Linotype" w:hAnsi="Palatino Linotype"/>
          <w:b/>
          <w:lang w:eastAsia="es-MX"/>
        </w:rPr>
        <w:t xml:space="preserve">NO </w:t>
      </w:r>
      <w:r w:rsidRPr="000D558D">
        <w:rPr>
          <w:rFonts w:ascii="Palatino Linotype" w:hAnsi="Palatino Linotype"/>
          <w:lang w:eastAsia="es-MX"/>
        </w:rPr>
        <w:t xml:space="preserve">graves cometidas por los servidores públicos, del periodo comprendido del 18 de enero de 2020 al 18 de enero de 2021. </w:t>
      </w:r>
    </w:p>
    <w:p w:rsidR="00E25BCD" w:rsidRPr="000D558D" w:rsidRDefault="00E25BCD" w:rsidP="004C317E">
      <w:pPr>
        <w:pStyle w:val="Prrafodelista"/>
        <w:spacing w:line="276" w:lineRule="auto"/>
        <w:ind w:left="720"/>
        <w:contextualSpacing/>
        <w:jc w:val="both"/>
        <w:rPr>
          <w:rFonts w:ascii="Palatino Linotype" w:hAnsi="Palatino Linotype"/>
          <w:lang w:eastAsia="es-MX"/>
        </w:rPr>
      </w:pPr>
      <w:r w:rsidRPr="000D558D">
        <w:rPr>
          <w:rFonts w:ascii="Palatino Linotype" w:hAnsi="Palatino Linotype"/>
          <w:lang w:eastAsia="es-MX"/>
        </w:rPr>
        <w:t xml:space="preserve"> </w:t>
      </w:r>
    </w:p>
    <w:p w:rsidR="00E25BCD" w:rsidRPr="000D558D" w:rsidRDefault="00E25BCD" w:rsidP="00E25BCD">
      <w:pPr>
        <w:spacing w:after="0" w:line="276" w:lineRule="auto"/>
        <w:ind w:left="709" w:right="567"/>
        <w:jc w:val="both"/>
        <w:rPr>
          <w:rFonts w:ascii="Palatino Linotype" w:hAnsi="Palatino Linotype" w:cs="Arial"/>
          <w:i/>
        </w:rPr>
      </w:pPr>
      <w:r w:rsidRPr="000D558D">
        <w:rPr>
          <w:rFonts w:ascii="Palatino Linotype" w:hAnsi="Palatino Linotype" w:cs="Arial"/>
          <w:i/>
        </w:rPr>
        <w:t xml:space="preserve">Como sustento de la versión pública se deberá entregar el Acuerdo del Comité de Transparencia correspondiente, en términos del artículo 49, fracción VIII y 132, fracción II, de la Ley de Transparencia y Acceso a la Información Pública del Estado de México y Municipios, en el que funde y motive las razones sobre los datos que se supriman o eliminen dentro de los documentos respectivos y se ponga a disposición del </w:t>
      </w:r>
      <w:r w:rsidRPr="000D558D">
        <w:rPr>
          <w:rFonts w:ascii="Palatino Linotype" w:hAnsi="Palatino Linotype" w:cs="Arial"/>
          <w:b/>
          <w:i/>
        </w:rPr>
        <w:t>Recurrente</w:t>
      </w:r>
      <w:r w:rsidRPr="000D558D">
        <w:rPr>
          <w:rFonts w:ascii="Palatino Linotype" w:hAnsi="Palatino Linotype" w:cs="Arial"/>
          <w:i/>
        </w:rPr>
        <w:t>.</w:t>
      </w:r>
    </w:p>
    <w:p w:rsidR="00E25BCD" w:rsidRPr="000D558D" w:rsidRDefault="00E25BCD" w:rsidP="00E25BCD">
      <w:pPr>
        <w:spacing w:after="0" w:line="276" w:lineRule="auto"/>
        <w:ind w:left="709" w:right="567"/>
        <w:jc w:val="both"/>
        <w:rPr>
          <w:rFonts w:ascii="Palatino Linotype" w:hAnsi="Palatino Linotype" w:cs="Arial"/>
          <w:i/>
        </w:rPr>
      </w:pPr>
    </w:p>
    <w:p w:rsidR="00E25BCD" w:rsidRPr="000D558D" w:rsidRDefault="00E25BCD" w:rsidP="00E25BCD">
      <w:pPr>
        <w:spacing w:after="0" w:line="276" w:lineRule="auto"/>
        <w:ind w:left="709" w:right="567"/>
        <w:jc w:val="both"/>
        <w:rPr>
          <w:rFonts w:ascii="Palatino Linotype" w:hAnsi="Palatino Linotype" w:cs="Arial"/>
          <w:i/>
        </w:rPr>
      </w:pPr>
      <w:r w:rsidRPr="000D558D">
        <w:rPr>
          <w:rFonts w:ascii="Palatino Linotype" w:hAnsi="Palatino Linotype"/>
          <w:bCs/>
          <w:i/>
        </w:rPr>
        <w:t xml:space="preserve">Debiendo notificar al </w:t>
      </w:r>
      <w:r w:rsidRPr="000D558D">
        <w:rPr>
          <w:rFonts w:ascii="Palatino Linotype" w:hAnsi="Palatino Linotype"/>
          <w:b/>
          <w:bCs/>
          <w:i/>
        </w:rPr>
        <w:t>Recurrente</w:t>
      </w:r>
      <w:r w:rsidRPr="000D558D">
        <w:rPr>
          <w:rFonts w:ascii="Palatino Linotype" w:hAnsi="Palatino Linotype"/>
          <w:bCs/>
          <w:i/>
        </w:rPr>
        <w:t xml:space="preserve"> el Acuerdo de Clasificación de la información que emita el Comité de Transparencia</w:t>
      </w:r>
      <w:r w:rsidRPr="000D558D">
        <w:rPr>
          <w:rFonts w:ascii="Palatino Linotype" w:hAnsi="Palatino Linotype"/>
          <w:i/>
        </w:rPr>
        <w:t xml:space="preserve">, mediante el cual se clasifiquen como </w:t>
      </w:r>
      <w:r w:rsidRPr="000D558D">
        <w:rPr>
          <w:rFonts w:ascii="Palatino Linotype" w:hAnsi="Palatino Linotype"/>
          <w:b/>
          <w:i/>
        </w:rPr>
        <w:t>CONFIDENCIALES</w:t>
      </w:r>
      <w:r w:rsidRPr="000D558D">
        <w:rPr>
          <w:rFonts w:ascii="Palatino Linotype" w:hAnsi="Palatino Linotype"/>
          <w:i/>
        </w:rPr>
        <w:t xml:space="preserve"> </w:t>
      </w:r>
      <w:r w:rsidRPr="000D558D">
        <w:rPr>
          <w:rFonts w:ascii="Palatino Linotype" w:hAnsi="Palatino Linotype"/>
          <w:b/>
          <w:i/>
        </w:rPr>
        <w:t>en su totalidad</w:t>
      </w:r>
      <w:r w:rsidRPr="000D558D">
        <w:rPr>
          <w:rFonts w:ascii="Palatino Linotype" w:hAnsi="Palatino Linotype"/>
          <w:i/>
        </w:rPr>
        <w:t xml:space="preserve"> </w:t>
      </w:r>
      <w:r w:rsidRPr="000D558D">
        <w:rPr>
          <w:rFonts w:ascii="Palatino Linotype" w:hAnsi="Palatino Linotype"/>
          <w:b/>
          <w:i/>
        </w:rPr>
        <w:t xml:space="preserve">los documentos precisados en el considerando correspondiente, que integran parte de </w:t>
      </w:r>
      <w:r w:rsidRPr="000D558D">
        <w:rPr>
          <w:rFonts w:ascii="Palatino Linotype" w:hAnsi="Palatino Linotype" w:cs="Arial"/>
          <w:b/>
          <w:i/>
          <w:lang w:eastAsia="es-MX"/>
        </w:rPr>
        <w:t>los expedientes señalados en el</w:t>
      </w:r>
      <w:r w:rsidRPr="000D558D">
        <w:rPr>
          <w:rFonts w:ascii="Palatino Linotype" w:hAnsi="Palatino Linotype" w:cs="Arial"/>
          <w:i/>
          <w:lang w:eastAsia="es-MX"/>
        </w:rPr>
        <w:t xml:space="preserve"> </w:t>
      </w:r>
      <w:r w:rsidRPr="000D558D">
        <w:rPr>
          <w:rFonts w:ascii="Palatino Linotype" w:hAnsi="Palatino Linotype" w:cs="Arial"/>
          <w:b/>
          <w:i/>
          <w:lang w:eastAsia="es-MX"/>
        </w:rPr>
        <w:t>inciso c)</w:t>
      </w:r>
      <w:r w:rsidRPr="000D558D">
        <w:rPr>
          <w:rFonts w:ascii="Palatino Linotype" w:hAnsi="Palatino Linotype"/>
          <w:i/>
        </w:rPr>
        <w:t xml:space="preserve">, en términos de los artículos 49, fracción II, 143, fracción I y 149, de la Ley de Transparencia y Acceso a la </w:t>
      </w:r>
      <w:r w:rsidRPr="000D558D">
        <w:rPr>
          <w:rFonts w:ascii="Palatino Linotype" w:hAnsi="Palatino Linotype"/>
          <w:i/>
        </w:rPr>
        <w:lastRenderedPageBreak/>
        <w:t xml:space="preserve">Información Pública del Estado de México y Municipios y demás normatividades aplicables. </w:t>
      </w:r>
    </w:p>
    <w:p w:rsidR="00E25BCD" w:rsidRPr="000D558D" w:rsidRDefault="00E25BCD" w:rsidP="00E25BCD">
      <w:pPr>
        <w:spacing w:after="0" w:line="276" w:lineRule="auto"/>
        <w:ind w:left="709" w:right="567"/>
        <w:jc w:val="both"/>
        <w:rPr>
          <w:rFonts w:ascii="Palatino Linotype" w:hAnsi="Palatino Linotype" w:cs="Arial"/>
          <w:i/>
        </w:rPr>
      </w:pPr>
    </w:p>
    <w:p w:rsidR="00E25BCD" w:rsidRPr="000D558D" w:rsidRDefault="00E25BCD" w:rsidP="00E25BCD">
      <w:pPr>
        <w:spacing w:after="0" w:line="276" w:lineRule="auto"/>
        <w:ind w:left="709" w:right="567"/>
        <w:jc w:val="both"/>
        <w:rPr>
          <w:rFonts w:ascii="Palatino Linotype" w:hAnsi="Palatino Linotype" w:cs="Arial"/>
          <w:i/>
        </w:rPr>
      </w:pPr>
      <w:r w:rsidRPr="000D558D">
        <w:rPr>
          <w:rFonts w:ascii="Palatino Linotype" w:eastAsia="Times New Roman" w:hAnsi="Palatino Linotype" w:cs="Calibri"/>
          <w:i/>
          <w:iCs/>
          <w:color w:val="222222"/>
          <w:szCs w:val="24"/>
          <w:lang w:val="es-ES" w:eastAsia="es-MX"/>
        </w:rPr>
        <w:t xml:space="preserve">En el supuesto de que la información referidas en los incisos </w:t>
      </w:r>
      <w:r w:rsidRPr="000D558D">
        <w:rPr>
          <w:rFonts w:ascii="Palatino Linotype" w:eastAsia="Times New Roman" w:hAnsi="Palatino Linotype" w:cs="Calibri"/>
          <w:b/>
          <w:i/>
          <w:iCs/>
          <w:color w:val="222222"/>
          <w:szCs w:val="24"/>
          <w:lang w:val="es-ES" w:eastAsia="es-MX"/>
        </w:rPr>
        <w:t>d), e)</w:t>
      </w:r>
      <w:r w:rsidR="004C317E" w:rsidRPr="000D558D">
        <w:rPr>
          <w:rFonts w:ascii="Palatino Linotype" w:eastAsia="Times New Roman" w:hAnsi="Palatino Linotype" w:cs="Calibri"/>
          <w:b/>
          <w:i/>
          <w:iCs/>
          <w:color w:val="222222"/>
          <w:szCs w:val="24"/>
          <w:lang w:val="es-ES" w:eastAsia="es-MX"/>
        </w:rPr>
        <w:t>,</w:t>
      </w:r>
      <w:r w:rsidRPr="000D558D">
        <w:rPr>
          <w:rFonts w:ascii="Palatino Linotype" w:eastAsia="Times New Roman" w:hAnsi="Palatino Linotype" w:cs="Calibri"/>
          <w:b/>
          <w:i/>
          <w:iCs/>
          <w:color w:val="222222"/>
          <w:szCs w:val="24"/>
          <w:lang w:val="es-ES" w:eastAsia="es-MX"/>
        </w:rPr>
        <w:t xml:space="preserve"> f)</w:t>
      </w:r>
      <w:r w:rsidR="004C317E" w:rsidRPr="000D558D">
        <w:rPr>
          <w:rFonts w:ascii="Palatino Linotype" w:eastAsia="Times New Roman" w:hAnsi="Palatino Linotype" w:cs="Calibri"/>
          <w:b/>
          <w:i/>
          <w:iCs/>
          <w:color w:val="222222"/>
          <w:szCs w:val="24"/>
          <w:lang w:val="es-ES" w:eastAsia="es-MX"/>
        </w:rPr>
        <w:t xml:space="preserve"> </w:t>
      </w:r>
      <w:r w:rsidR="004C317E" w:rsidRPr="000D558D">
        <w:rPr>
          <w:rFonts w:ascii="Palatino Linotype" w:eastAsia="Times New Roman" w:hAnsi="Palatino Linotype" w:cs="Calibri"/>
          <w:i/>
          <w:iCs/>
          <w:color w:val="222222"/>
          <w:szCs w:val="24"/>
          <w:lang w:val="es-ES" w:eastAsia="es-MX"/>
        </w:rPr>
        <w:t>y</w:t>
      </w:r>
      <w:r w:rsidRPr="000D558D">
        <w:rPr>
          <w:rFonts w:ascii="Palatino Linotype" w:eastAsia="Times New Roman" w:hAnsi="Palatino Linotype" w:cs="Calibri"/>
          <w:b/>
          <w:i/>
          <w:iCs/>
          <w:color w:val="222222"/>
          <w:szCs w:val="24"/>
          <w:lang w:val="es-ES" w:eastAsia="es-MX"/>
        </w:rPr>
        <w:t xml:space="preserve"> g)</w:t>
      </w:r>
      <w:r w:rsidRPr="000D558D">
        <w:rPr>
          <w:rFonts w:ascii="Palatino Linotype" w:eastAsia="Times New Roman" w:hAnsi="Palatino Linotype" w:cs="Calibri"/>
          <w:i/>
          <w:iCs/>
          <w:color w:val="222222"/>
          <w:szCs w:val="24"/>
          <w:lang w:val="es-ES" w:eastAsia="es-MX"/>
        </w:rPr>
        <w:t xml:space="preserve">, no hayan sido generadas, poseída o administrada por el </w:t>
      </w:r>
      <w:r w:rsidRPr="000D558D">
        <w:rPr>
          <w:rFonts w:ascii="Palatino Linotype" w:eastAsia="Times New Roman" w:hAnsi="Palatino Linotype" w:cs="Calibri"/>
          <w:b/>
          <w:i/>
          <w:iCs/>
          <w:color w:val="222222"/>
          <w:szCs w:val="24"/>
          <w:lang w:val="es-ES" w:eastAsia="es-MX"/>
        </w:rPr>
        <w:t>Sujeto Obligado</w:t>
      </w:r>
      <w:r w:rsidRPr="000D558D">
        <w:rPr>
          <w:rFonts w:ascii="Palatino Linotype" w:eastAsia="Times New Roman" w:hAnsi="Palatino Linotype" w:cs="Calibri"/>
          <w:i/>
          <w:iCs/>
          <w:color w:val="222222"/>
          <w:szCs w:val="24"/>
          <w:lang w:val="es-ES" w:eastAsia="es-MX"/>
        </w:rPr>
        <w:t>, bastará con que así lo manifieste.</w:t>
      </w:r>
    </w:p>
    <w:p w:rsidR="00E25BCD" w:rsidRPr="000D558D" w:rsidRDefault="00E25BCD" w:rsidP="00E25BCD">
      <w:pPr>
        <w:spacing w:after="0" w:line="240" w:lineRule="auto"/>
        <w:ind w:left="567" w:right="709"/>
        <w:jc w:val="both"/>
        <w:rPr>
          <w:rFonts w:ascii="Palatino Linotype" w:eastAsia="Times New Roman" w:hAnsi="Palatino Linotype" w:cs="Calibri"/>
          <w:i/>
          <w:iCs/>
          <w:color w:val="222222"/>
          <w:sz w:val="14"/>
          <w:szCs w:val="24"/>
          <w:lang w:val="es-ES" w:eastAsia="es-MX"/>
        </w:rPr>
      </w:pPr>
    </w:p>
    <w:p w:rsidR="00E25BCD" w:rsidRPr="000D558D" w:rsidRDefault="00E25BCD" w:rsidP="00E25BCD">
      <w:pPr>
        <w:pStyle w:val="Sinespaciado"/>
      </w:pPr>
    </w:p>
    <w:p w:rsidR="00E25BCD" w:rsidRPr="000D558D" w:rsidRDefault="004C317E" w:rsidP="00E25BCD">
      <w:pPr>
        <w:autoSpaceDE w:val="0"/>
        <w:autoSpaceDN w:val="0"/>
        <w:adjustRightInd w:val="0"/>
        <w:spacing w:after="0" w:line="360" w:lineRule="auto"/>
        <w:ind w:right="49"/>
        <w:jc w:val="both"/>
        <w:rPr>
          <w:rFonts w:ascii="Palatino Linotype" w:hAnsi="Palatino Linotype" w:cs="Arial"/>
          <w:sz w:val="24"/>
          <w:szCs w:val="28"/>
          <w:lang w:val="es-ES_tradnl"/>
        </w:rPr>
      </w:pPr>
      <w:r w:rsidRPr="000D558D">
        <w:rPr>
          <w:rFonts w:ascii="Palatino Linotype" w:hAnsi="Palatino Linotype" w:cs="Arial"/>
          <w:b/>
          <w:sz w:val="28"/>
          <w:szCs w:val="28"/>
          <w:lang w:val="es-ES_tradnl"/>
        </w:rPr>
        <w:t>CUART</w:t>
      </w:r>
      <w:r w:rsidR="00E25BCD" w:rsidRPr="000D558D">
        <w:rPr>
          <w:rFonts w:ascii="Palatino Linotype" w:hAnsi="Palatino Linotype" w:cs="Arial"/>
          <w:b/>
          <w:sz w:val="28"/>
          <w:szCs w:val="28"/>
          <w:lang w:val="es-ES_tradnl"/>
        </w:rPr>
        <w:t xml:space="preserve">O. </w:t>
      </w:r>
      <w:r w:rsidR="00E25BCD" w:rsidRPr="000D558D">
        <w:rPr>
          <w:rFonts w:ascii="Palatino Linotype" w:hAnsi="Palatino Linotype" w:cs="Arial"/>
          <w:b/>
          <w:sz w:val="24"/>
          <w:szCs w:val="28"/>
          <w:lang w:val="es-ES_tradnl"/>
        </w:rPr>
        <w:t>NOTIFÍQUESE</w:t>
      </w:r>
      <w:r w:rsidR="00E25BCD" w:rsidRPr="000D558D">
        <w:rPr>
          <w:rFonts w:ascii="Palatino Linotype" w:hAnsi="Palatino Linotype" w:cs="Arial"/>
          <w:b/>
          <w:sz w:val="28"/>
          <w:szCs w:val="28"/>
          <w:lang w:val="es-ES_tradnl"/>
        </w:rPr>
        <w:t xml:space="preserve"> </w:t>
      </w:r>
      <w:r w:rsidR="00E25BCD" w:rsidRPr="000D558D">
        <w:rPr>
          <w:rFonts w:ascii="Palatino Linotype" w:hAnsi="Palatino Linotype" w:cs="Arial"/>
          <w:sz w:val="24"/>
          <w:szCs w:val="28"/>
          <w:lang w:val="es-ES_tradnl"/>
        </w:rPr>
        <w:t>la presente resolución al Titular de la Unidad de Transparencia del Sujeto Obligado, para que conforme al artículo 186, último párrafo, 189, segundo párrafo y 194, de la Ley de Transparencia y Acceso a la Información Pública del Estado de México y Municipios; dé cumplimiento a lo ordenado dentro del plazo de quince días hábiles, debiendo informar a este Instituto en un plazo de tres días hábiles siguientes sobre el cumplimiento dado a la presente.</w:t>
      </w:r>
    </w:p>
    <w:p w:rsidR="00E25BCD" w:rsidRPr="000D558D" w:rsidRDefault="00E25BCD" w:rsidP="00E25BCD">
      <w:pPr>
        <w:autoSpaceDE w:val="0"/>
        <w:autoSpaceDN w:val="0"/>
        <w:adjustRightInd w:val="0"/>
        <w:spacing w:after="0" w:line="360" w:lineRule="auto"/>
        <w:ind w:right="49"/>
        <w:jc w:val="both"/>
        <w:rPr>
          <w:rFonts w:ascii="Palatino Linotype" w:hAnsi="Palatino Linotype" w:cs="Arial"/>
          <w:sz w:val="24"/>
          <w:szCs w:val="28"/>
          <w:lang w:val="es-ES_tradnl"/>
        </w:rPr>
      </w:pPr>
    </w:p>
    <w:p w:rsidR="00E25BCD" w:rsidRPr="000D558D" w:rsidRDefault="004C317E" w:rsidP="00E25BCD">
      <w:pPr>
        <w:autoSpaceDE w:val="0"/>
        <w:autoSpaceDN w:val="0"/>
        <w:adjustRightInd w:val="0"/>
        <w:spacing w:after="0" w:line="360" w:lineRule="auto"/>
        <w:jc w:val="both"/>
        <w:rPr>
          <w:rFonts w:ascii="Palatino Linotype" w:hAnsi="Palatino Linotype" w:cs="Arial"/>
          <w:sz w:val="24"/>
          <w:szCs w:val="24"/>
        </w:rPr>
      </w:pPr>
      <w:r w:rsidRPr="000D558D">
        <w:rPr>
          <w:rFonts w:ascii="Palatino Linotype" w:hAnsi="Palatino Linotype" w:cs="Arial"/>
          <w:b/>
          <w:sz w:val="28"/>
          <w:szCs w:val="24"/>
        </w:rPr>
        <w:t>QUIN</w:t>
      </w:r>
      <w:r w:rsidR="00E25BCD" w:rsidRPr="000D558D">
        <w:rPr>
          <w:rFonts w:ascii="Palatino Linotype" w:hAnsi="Palatino Linotype" w:cs="Arial"/>
          <w:b/>
          <w:sz w:val="28"/>
          <w:szCs w:val="24"/>
        </w:rPr>
        <w:t xml:space="preserve">TO. </w:t>
      </w:r>
      <w:r w:rsidR="00E25BCD" w:rsidRPr="000D558D">
        <w:rPr>
          <w:rFonts w:ascii="Palatino Linotype" w:hAnsi="Palatino Linotype" w:cs="Arial"/>
          <w:sz w:val="24"/>
          <w:szCs w:val="24"/>
        </w:rPr>
        <w:t xml:space="preserve">De conformidad con el artículo 198, de la Ley de Transparencia y Acceso a la Información Pública del Estado de México y Municipios, de considerarlo procedente, el </w:t>
      </w:r>
      <w:r w:rsidR="00E25BCD" w:rsidRPr="000D558D">
        <w:rPr>
          <w:rFonts w:ascii="Palatino Linotype" w:hAnsi="Palatino Linotype" w:cs="Arial"/>
          <w:b/>
          <w:sz w:val="24"/>
          <w:szCs w:val="24"/>
        </w:rPr>
        <w:t>Sujeto Obligado</w:t>
      </w:r>
      <w:r w:rsidR="00E25BCD" w:rsidRPr="000D558D">
        <w:rPr>
          <w:rFonts w:ascii="Palatino Linotype" w:hAnsi="Palatino Linotype" w:cs="Arial"/>
          <w:sz w:val="24"/>
          <w:szCs w:val="24"/>
        </w:rPr>
        <w:t xml:space="preserve"> de manera fundada y motivada, podrá solicitar una ampliación de plazo para el cumplimiento de la presente resolución.</w:t>
      </w:r>
    </w:p>
    <w:p w:rsidR="00E25BCD" w:rsidRPr="000D558D" w:rsidRDefault="00E25BCD" w:rsidP="00E25BCD">
      <w:pPr>
        <w:autoSpaceDE w:val="0"/>
        <w:autoSpaceDN w:val="0"/>
        <w:adjustRightInd w:val="0"/>
        <w:spacing w:after="0" w:line="360" w:lineRule="auto"/>
        <w:jc w:val="both"/>
        <w:rPr>
          <w:rFonts w:ascii="Palatino Linotype" w:hAnsi="Palatino Linotype" w:cs="Arial"/>
          <w:sz w:val="24"/>
          <w:szCs w:val="24"/>
        </w:rPr>
      </w:pPr>
    </w:p>
    <w:p w:rsidR="00E25BCD" w:rsidRPr="000D558D" w:rsidRDefault="004C317E" w:rsidP="00E25BCD">
      <w:pPr>
        <w:autoSpaceDE w:val="0"/>
        <w:autoSpaceDN w:val="0"/>
        <w:adjustRightInd w:val="0"/>
        <w:spacing w:after="0" w:line="360" w:lineRule="auto"/>
        <w:jc w:val="both"/>
        <w:rPr>
          <w:rFonts w:ascii="Palatino Linotype" w:hAnsi="Palatino Linotype" w:cs="Arial"/>
          <w:sz w:val="24"/>
          <w:szCs w:val="24"/>
        </w:rPr>
      </w:pPr>
      <w:r w:rsidRPr="000D558D">
        <w:rPr>
          <w:rFonts w:ascii="Palatino Linotype" w:hAnsi="Palatino Linotype" w:cs="Arial"/>
          <w:b/>
          <w:sz w:val="28"/>
          <w:szCs w:val="28"/>
        </w:rPr>
        <w:t>SEX</w:t>
      </w:r>
      <w:r w:rsidR="00E25BCD" w:rsidRPr="000D558D">
        <w:rPr>
          <w:rFonts w:ascii="Palatino Linotype" w:hAnsi="Palatino Linotype" w:cs="Arial"/>
          <w:b/>
          <w:sz w:val="28"/>
          <w:szCs w:val="28"/>
        </w:rPr>
        <w:t>TO.</w:t>
      </w:r>
      <w:r w:rsidR="00E25BCD" w:rsidRPr="000D558D">
        <w:rPr>
          <w:rFonts w:ascii="Palatino Linotype" w:hAnsi="Palatino Linotype" w:cs="Arial"/>
          <w:b/>
          <w:sz w:val="24"/>
          <w:szCs w:val="24"/>
        </w:rPr>
        <w:t xml:space="preserve"> NOTIFÍQUESE</w:t>
      </w:r>
      <w:r w:rsidR="00E25BCD" w:rsidRPr="000D558D">
        <w:rPr>
          <w:rFonts w:ascii="Palatino Linotype" w:hAnsi="Palatino Linotype" w:cs="Arial"/>
          <w:sz w:val="24"/>
          <w:szCs w:val="24"/>
        </w:rPr>
        <w:t xml:space="preserve"> al </w:t>
      </w:r>
      <w:r w:rsidR="00E25BCD" w:rsidRPr="000D558D">
        <w:rPr>
          <w:rFonts w:ascii="Palatino Linotype" w:hAnsi="Palatino Linotype" w:cs="Arial"/>
          <w:b/>
          <w:sz w:val="24"/>
          <w:szCs w:val="24"/>
        </w:rPr>
        <w:t>Recurrente</w:t>
      </w:r>
      <w:r w:rsidR="00E25BCD" w:rsidRPr="000D558D">
        <w:rPr>
          <w:rFonts w:ascii="Palatino Linotype" w:hAnsi="Palatino Linotype" w:cs="Arial"/>
          <w:sz w:val="24"/>
          <w:szCs w:val="24"/>
        </w:rPr>
        <w:t xml:space="preserve"> la presente resolución y hágase de su conocimiento que en caso de considerar que le causa algún perjuicio, podrá promover el Juicio de Amparo en los términos de las leyes aplicables, de acuerdo a lo estipulado por el artículo 196, de la Ley de Transparencia y Acceso a la Información Pública del Estado de México y Municipios; o en su caso, interponer recurso de inconformidad de </w:t>
      </w:r>
      <w:r w:rsidR="00E25BCD" w:rsidRPr="000D558D">
        <w:rPr>
          <w:rFonts w:ascii="Palatino Linotype" w:hAnsi="Palatino Linotype" w:cs="Arial"/>
          <w:sz w:val="24"/>
          <w:szCs w:val="24"/>
        </w:rPr>
        <w:lastRenderedPageBreak/>
        <w:t>conformidad con el artículo 159 y 160, de la Ley General de Transparencia y Acceso a la Información Pública.</w:t>
      </w:r>
    </w:p>
    <w:p w:rsidR="00E25BCD" w:rsidRPr="000D558D" w:rsidRDefault="00E25BCD" w:rsidP="00E25BCD">
      <w:pPr>
        <w:autoSpaceDE w:val="0"/>
        <w:autoSpaceDN w:val="0"/>
        <w:adjustRightInd w:val="0"/>
        <w:spacing w:after="0" w:line="360" w:lineRule="auto"/>
        <w:jc w:val="both"/>
        <w:rPr>
          <w:rFonts w:ascii="Palatino Linotype" w:hAnsi="Palatino Linotype" w:cs="Arial"/>
          <w:sz w:val="24"/>
          <w:szCs w:val="24"/>
        </w:rPr>
      </w:pPr>
    </w:p>
    <w:p w:rsidR="00E25BCD" w:rsidRPr="000D558D" w:rsidRDefault="00E25BCD" w:rsidP="00E25BCD">
      <w:pPr>
        <w:tabs>
          <w:tab w:val="left" w:pos="0"/>
        </w:tabs>
        <w:spacing w:after="0" w:line="360" w:lineRule="auto"/>
        <w:jc w:val="both"/>
        <w:rPr>
          <w:rFonts w:ascii="Palatino Linotype" w:eastAsiaTheme="minorEastAsia" w:hAnsi="Palatino Linotype"/>
          <w:color w:val="000000" w:themeColor="text1"/>
          <w:sz w:val="24"/>
          <w:szCs w:val="24"/>
          <w:lang w:val="es-ES_tradnl" w:eastAsia="es-ES"/>
        </w:rPr>
      </w:pPr>
      <w:r w:rsidRPr="000D558D">
        <w:rPr>
          <w:rFonts w:ascii="Palatino Linotype" w:eastAsiaTheme="minorEastAsia" w:hAnsi="Palatino Linotype"/>
          <w:color w:val="000000" w:themeColor="text1"/>
          <w:sz w:val="24"/>
          <w:szCs w:val="24"/>
          <w:lang w:val="es-ES_tradnl" w:eastAsia="es-ES"/>
        </w:rPr>
        <w:t>ASÍ LO RESUELVE, POR UNANIMIDAD DE VOTOS, EL PLENO DEL INSTITUTO DE TRANSPARENCIA, ACCESO A LA INFORMACIÓN PÚBLICA Y PROTECCIÓN DE DATOS PERSONALES DEL ESTADO DE MÉXICO Y MUNICIPIOS, CONFORMADO POR LOS COMISIONADOS ZULEMA MARTÍNEZ SÁNCHEZ</w:t>
      </w:r>
      <w:r w:rsidR="00FE26D4" w:rsidRPr="000D558D">
        <w:rPr>
          <w:rFonts w:ascii="Palatino Linotype" w:eastAsiaTheme="minorEastAsia" w:hAnsi="Palatino Linotype"/>
          <w:color w:val="000000" w:themeColor="text1"/>
          <w:sz w:val="24"/>
          <w:szCs w:val="24"/>
          <w:lang w:val="es-ES_tradnl" w:eastAsia="es-ES"/>
        </w:rPr>
        <w:t xml:space="preserve"> (EMITIENDO VOTO PARTICULAR)</w:t>
      </w:r>
      <w:r w:rsidRPr="000D558D">
        <w:rPr>
          <w:rFonts w:ascii="Palatino Linotype" w:eastAsiaTheme="minorEastAsia" w:hAnsi="Palatino Linotype"/>
          <w:color w:val="000000" w:themeColor="text1"/>
          <w:sz w:val="24"/>
          <w:szCs w:val="24"/>
          <w:lang w:val="es-ES_tradnl" w:eastAsia="es-ES"/>
        </w:rPr>
        <w:t>; EVA ABAID YAPUR</w:t>
      </w:r>
      <w:r w:rsidR="000D558D">
        <w:rPr>
          <w:rFonts w:ascii="Palatino Linotype" w:eastAsiaTheme="minorEastAsia" w:hAnsi="Palatino Linotype"/>
          <w:color w:val="000000" w:themeColor="text1"/>
          <w:sz w:val="24"/>
          <w:szCs w:val="24"/>
          <w:lang w:val="es-ES_tradnl" w:eastAsia="es-ES"/>
        </w:rPr>
        <w:t xml:space="preserve"> </w:t>
      </w:r>
      <w:r w:rsidR="000D558D">
        <w:rPr>
          <w:rFonts w:ascii="Palatino Linotype" w:hAnsi="Palatino Linotype" w:cs="Arial"/>
          <w:sz w:val="24"/>
          <w:szCs w:val="24"/>
        </w:rPr>
        <w:t>(AUSENCIA JUSTIFICADA)</w:t>
      </w:r>
      <w:r w:rsidRPr="000D558D">
        <w:rPr>
          <w:rFonts w:ascii="Palatino Linotype" w:eastAsiaTheme="minorEastAsia" w:hAnsi="Palatino Linotype"/>
          <w:color w:val="000000" w:themeColor="text1"/>
          <w:sz w:val="24"/>
          <w:szCs w:val="24"/>
          <w:lang w:val="es-ES_tradnl" w:eastAsia="es-ES"/>
        </w:rPr>
        <w:t>; JOSÉ GUADALUPE LUNA HERNÁNDEZ</w:t>
      </w:r>
      <w:r w:rsidR="000D558D">
        <w:rPr>
          <w:rFonts w:ascii="Palatino Linotype" w:eastAsiaTheme="minorEastAsia" w:hAnsi="Palatino Linotype"/>
          <w:color w:val="000000" w:themeColor="text1"/>
          <w:sz w:val="24"/>
          <w:szCs w:val="24"/>
          <w:lang w:val="es-ES_tradnl" w:eastAsia="es-ES"/>
        </w:rPr>
        <w:t xml:space="preserve"> </w:t>
      </w:r>
      <w:r w:rsidR="000D558D" w:rsidRPr="000D558D">
        <w:rPr>
          <w:rFonts w:ascii="Palatino Linotype" w:eastAsiaTheme="minorEastAsia" w:hAnsi="Palatino Linotype"/>
          <w:color w:val="000000" w:themeColor="text1"/>
          <w:sz w:val="24"/>
          <w:szCs w:val="24"/>
          <w:lang w:val="es-ES_tradnl" w:eastAsia="es-ES"/>
        </w:rPr>
        <w:t>(EMITIENDO VOTO PARTICULAR)</w:t>
      </w:r>
      <w:r w:rsidRPr="000D558D">
        <w:rPr>
          <w:rFonts w:ascii="Palatino Linotype" w:eastAsiaTheme="minorEastAsia" w:hAnsi="Palatino Linotype"/>
          <w:color w:val="000000" w:themeColor="text1"/>
          <w:sz w:val="24"/>
          <w:szCs w:val="24"/>
          <w:lang w:val="es-ES_tradnl" w:eastAsia="es-ES"/>
        </w:rPr>
        <w:t>, JAVIER MARTÍNEZ CRUZ</w:t>
      </w:r>
      <w:r w:rsidR="000D558D">
        <w:rPr>
          <w:rFonts w:ascii="Palatino Linotype" w:eastAsiaTheme="minorEastAsia" w:hAnsi="Palatino Linotype"/>
          <w:color w:val="000000" w:themeColor="text1"/>
          <w:sz w:val="24"/>
          <w:szCs w:val="24"/>
          <w:lang w:val="es-ES_tradnl" w:eastAsia="es-ES"/>
        </w:rPr>
        <w:t xml:space="preserve"> </w:t>
      </w:r>
      <w:r w:rsidR="000D558D" w:rsidRPr="000D558D">
        <w:rPr>
          <w:rFonts w:ascii="Palatino Linotype" w:eastAsiaTheme="minorEastAsia" w:hAnsi="Palatino Linotype"/>
          <w:color w:val="000000" w:themeColor="text1"/>
          <w:sz w:val="24"/>
          <w:szCs w:val="24"/>
          <w:lang w:val="es-ES_tradnl" w:eastAsia="es-ES"/>
        </w:rPr>
        <w:t>(EMITIENDO VOTO PARTICULAR)</w:t>
      </w:r>
      <w:r w:rsidRPr="000D558D">
        <w:rPr>
          <w:rFonts w:ascii="Palatino Linotype" w:eastAsiaTheme="minorEastAsia" w:hAnsi="Palatino Linotype"/>
          <w:color w:val="000000" w:themeColor="text1"/>
          <w:sz w:val="24"/>
          <w:szCs w:val="24"/>
          <w:lang w:val="es-ES_tradnl" w:eastAsia="es-ES"/>
        </w:rPr>
        <w:t xml:space="preserve"> Y LUIS GUSTAVO PARRA NORIEGA; EN LA DÉCIMA TERCERA SESIÓN ORDINARIA CELEBRADA EL VEINTIUNO DE ABRIL DE DOS MIL VEINTIUNO, ANTE EL SECRETARIO TÉCNICO DEL PLENO ALEXIS TAPIA RAMÍREZ.-------------------------------------------------------------------</w:t>
      </w:r>
      <w:r w:rsidR="00FE26D4" w:rsidRPr="000D558D">
        <w:rPr>
          <w:rFonts w:ascii="Palatino Linotype" w:eastAsiaTheme="minorEastAsia" w:hAnsi="Palatino Linotype"/>
          <w:color w:val="000000" w:themeColor="text1"/>
          <w:sz w:val="24"/>
          <w:szCs w:val="24"/>
          <w:lang w:val="es-ES_tradnl" w:eastAsia="es-ES"/>
        </w:rPr>
        <w:t>-------------------------------</w:t>
      </w:r>
      <w:r w:rsidRPr="000D558D">
        <w:rPr>
          <w:rFonts w:ascii="Palatino Linotype" w:eastAsiaTheme="minorEastAsia" w:hAnsi="Palatino Linotype"/>
          <w:color w:val="000000" w:themeColor="text1"/>
          <w:sz w:val="24"/>
          <w:szCs w:val="24"/>
          <w:lang w:val="es-ES_tradnl" w:eastAsia="es-ES"/>
        </w:rPr>
        <w:t>-------------------------------------------------------------------------------------------------------------------------------------------------------------------------------------------------------------------------------------------------------------------------------------------------------------------------------------------------------------------------------------------------------------------------------------------------------------------------------------------------------------------------------------------------------------------------------------</w:t>
      </w:r>
      <w:r w:rsidR="00FE26D4" w:rsidRPr="000D558D">
        <w:rPr>
          <w:rFonts w:ascii="Palatino Linotype" w:eastAsiaTheme="minorEastAsia" w:hAnsi="Palatino Linotype"/>
          <w:color w:val="000000" w:themeColor="text1"/>
          <w:sz w:val="24"/>
          <w:szCs w:val="24"/>
          <w:lang w:val="es-ES_tradnl" w:eastAsia="es-ES"/>
        </w:rPr>
        <w:t>--------------</w:t>
      </w:r>
      <w:r w:rsidR="000D558D">
        <w:rPr>
          <w:rFonts w:ascii="Palatino Linotype" w:eastAsiaTheme="minorEastAsia" w:hAnsi="Palatino Linotype"/>
          <w:color w:val="000000" w:themeColor="text1"/>
          <w:sz w:val="24"/>
          <w:szCs w:val="24"/>
          <w:lang w:val="es-ES_tradnl" w:eastAsia="es-ES"/>
        </w:rPr>
        <w:t>-----------</w:t>
      </w:r>
    </w:p>
    <w:p w:rsidR="00E25BCD" w:rsidRPr="000D558D" w:rsidRDefault="00E25BCD" w:rsidP="00E25BCD">
      <w:pPr>
        <w:tabs>
          <w:tab w:val="left" w:pos="0"/>
        </w:tabs>
        <w:spacing w:after="0" w:line="360" w:lineRule="auto"/>
        <w:jc w:val="both"/>
        <w:rPr>
          <w:rFonts w:ascii="Palatino Linotype" w:eastAsiaTheme="minorEastAsia" w:hAnsi="Palatino Linotype"/>
          <w:color w:val="000000" w:themeColor="text1"/>
          <w:sz w:val="24"/>
          <w:szCs w:val="24"/>
          <w:lang w:val="es-ES_tradnl" w:eastAsia="es-ES"/>
        </w:rPr>
      </w:pPr>
      <w:r w:rsidRPr="000D558D">
        <w:rPr>
          <w:rFonts w:ascii="Palatino Linotype" w:eastAsiaTheme="minorEastAsia" w:hAnsi="Palatino Linotype"/>
          <w:color w:val="000000" w:themeColor="text1"/>
          <w:sz w:val="24"/>
          <w:szCs w:val="24"/>
          <w:lang w:val="es-ES_tradnl" w:eastAsia="es-ES"/>
        </w:rPr>
        <w:t>--------------------------------------------------------------------------------------------------------------------------------------------------------------------------------------------------------------------------------------------------------------------------------------------------------------------------------------------------------------------------------------------------------------------------------------------------------------------</w:t>
      </w:r>
    </w:p>
    <w:p w:rsidR="00E25BCD" w:rsidRPr="00A57669" w:rsidRDefault="00E25BCD" w:rsidP="00E25BCD">
      <w:pPr>
        <w:tabs>
          <w:tab w:val="left" w:pos="0"/>
        </w:tabs>
        <w:spacing w:after="0" w:line="360" w:lineRule="auto"/>
        <w:jc w:val="both"/>
        <w:rPr>
          <w:rFonts w:ascii="Palatino Linotype" w:eastAsiaTheme="minorEastAsia" w:hAnsi="Palatino Linotype"/>
          <w:color w:val="000000" w:themeColor="text1"/>
          <w:sz w:val="24"/>
          <w:szCs w:val="24"/>
          <w:lang w:val="es-ES_tradnl" w:eastAsia="es-ES"/>
        </w:rPr>
      </w:pPr>
      <w:r w:rsidRPr="000D558D">
        <w:rPr>
          <w:rFonts w:ascii="Palatino Linotype" w:eastAsiaTheme="minorEastAsia" w:hAnsi="Palatino Linotype"/>
          <w:color w:val="000000" w:themeColor="text1"/>
          <w:sz w:val="24"/>
          <w:szCs w:val="24"/>
          <w:lang w:val="es-ES_tradnl" w:eastAsia="es-ES"/>
        </w:rPr>
        <w:t>----------------------------------------------------------------------------------------------------</w:t>
      </w:r>
      <w:r w:rsidR="00FE26D4" w:rsidRPr="000D558D">
        <w:rPr>
          <w:rFonts w:ascii="Palatino Linotype" w:eastAsiaTheme="minorEastAsia" w:hAnsi="Palatino Linotype"/>
          <w:color w:val="000000" w:themeColor="text1"/>
          <w:sz w:val="24"/>
          <w:szCs w:val="24"/>
          <w:lang w:val="es-ES_tradnl" w:eastAsia="es-ES"/>
        </w:rPr>
        <w:t>-------------</w:t>
      </w:r>
    </w:p>
    <w:p w:rsidR="00E25BCD" w:rsidRPr="00A57669" w:rsidRDefault="00E25BCD" w:rsidP="00E25BCD">
      <w:pPr>
        <w:tabs>
          <w:tab w:val="left" w:pos="0"/>
        </w:tabs>
        <w:spacing w:after="0" w:line="360" w:lineRule="auto"/>
        <w:jc w:val="both"/>
        <w:rPr>
          <w:rFonts w:ascii="Palatino Linotype" w:eastAsia="Times New Roman" w:hAnsi="Palatino Linotype" w:cs="Arial"/>
          <w:color w:val="000000" w:themeColor="text1"/>
          <w:sz w:val="24"/>
          <w:szCs w:val="24"/>
          <w:lang w:val="es-ES_tradnl" w:eastAsia="es-MX"/>
        </w:rPr>
      </w:pPr>
    </w:p>
    <w:p w:rsidR="00E25BCD" w:rsidRPr="00A57669" w:rsidRDefault="00E25BCD" w:rsidP="00E25BCD">
      <w:pPr>
        <w:tabs>
          <w:tab w:val="left" w:pos="0"/>
        </w:tabs>
        <w:spacing w:after="0" w:line="360" w:lineRule="auto"/>
        <w:jc w:val="both"/>
        <w:rPr>
          <w:rFonts w:ascii="Palatino Linotype" w:eastAsia="Times New Roman" w:hAnsi="Palatino Linotype" w:cs="Arial"/>
          <w:color w:val="000000" w:themeColor="text1"/>
          <w:sz w:val="32"/>
          <w:szCs w:val="24"/>
          <w:lang w:val="es-ES_tradnl" w:eastAsia="es-MX"/>
        </w:rPr>
      </w:pPr>
    </w:p>
    <w:p w:rsidR="00E25BCD" w:rsidRPr="00A57669" w:rsidRDefault="00E25BCD" w:rsidP="00E25BCD">
      <w:pPr>
        <w:spacing w:after="0" w:line="360" w:lineRule="auto"/>
        <w:jc w:val="both"/>
        <w:rPr>
          <w:rFonts w:ascii="Palatino Linotype" w:hAnsi="Palatino Linotype"/>
        </w:rPr>
      </w:pPr>
    </w:p>
    <w:p w:rsidR="00E25BCD" w:rsidRPr="00A57669" w:rsidRDefault="00E25BCD" w:rsidP="00E25BCD">
      <w:pPr>
        <w:spacing w:after="0" w:line="360" w:lineRule="auto"/>
        <w:jc w:val="both"/>
        <w:rPr>
          <w:rFonts w:ascii="Palatino Linotype" w:hAnsi="Palatino Linotype"/>
        </w:rPr>
      </w:pPr>
    </w:p>
    <w:p w:rsidR="00E25BCD" w:rsidRPr="00A57669" w:rsidRDefault="00E25BCD" w:rsidP="00E25BCD">
      <w:pPr>
        <w:spacing w:after="0" w:line="360" w:lineRule="auto"/>
        <w:rPr>
          <w:rFonts w:ascii="Palatino Linotype" w:hAnsi="Palatino Linotype"/>
          <w:b/>
          <w:sz w:val="16"/>
        </w:rPr>
      </w:pPr>
    </w:p>
    <w:p w:rsidR="00E25BCD" w:rsidRPr="00A57669" w:rsidRDefault="00E25BCD" w:rsidP="00E25BCD">
      <w:pPr>
        <w:spacing w:after="0" w:line="360" w:lineRule="auto"/>
        <w:rPr>
          <w:rFonts w:ascii="Palatino Linotype" w:hAnsi="Palatino Linotype"/>
          <w:b/>
          <w:sz w:val="12"/>
          <w:szCs w:val="18"/>
        </w:rPr>
      </w:pPr>
    </w:p>
    <w:p w:rsidR="00E25BCD" w:rsidRPr="00A57669" w:rsidRDefault="00E25BCD" w:rsidP="00E25BCD">
      <w:pPr>
        <w:spacing w:after="0" w:line="360" w:lineRule="auto"/>
        <w:rPr>
          <w:rFonts w:ascii="Palatino Linotype" w:hAnsi="Palatino Linotype"/>
          <w:b/>
          <w:sz w:val="18"/>
          <w:szCs w:val="18"/>
        </w:rPr>
      </w:pPr>
    </w:p>
    <w:p w:rsidR="00E25BCD" w:rsidRPr="00A57669" w:rsidRDefault="00E25BCD" w:rsidP="00E25BCD">
      <w:pPr>
        <w:spacing w:after="0" w:line="360" w:lineRule="auto"/>
        <w:rPr>
          <w:rFonts w:ascii="Palatino Linotype" w:hAnsi="Palatino Linotype"/>
          <w:b/>
          <w:sz w:val="18"/>
          <w:szCs w:val="18"/>
        </w:rPr>
      </w:pPr>
    </w:p>
    <w:p w:rsidR="00E25BCD" w:rsidRPr="00A57669" w:rsidRDefault="00E25BCD" w:rsidP="00E25BCD">
      <w:pPr>
        <w:spacing w:after="0" w:line="360" w:lineRule="auto"/>
        <w:rPr>
          <w:rFonts w:ascii="Palatino Linotype" w:hAnsi="Palatino Linotype"/>
          <w:b/>
          <w:sz w:val="28"/>
          <w:szCs w:val="18"/>
        </w:rPr>
      </w:pPr>
    </w:p>
    <w:p w:rsidR="00E25BCD" w:rsidRPr="00A57669" w:rsidRDefault="00E25BCD" w:rsidP="00E25BCD">
      <w:pPr>
        <w:spacing w:after="0" w:line="360" w:lineRule="auto"/>
        <w:rPr>
          <w:rFonts w:ascii="Palatino Linotype" w:hAnsi="Palatino Linotype"/>
          <w:b/>
        </w:rPr>
      </w:pPr>
    </w:p>
    <w:p w:rsidR="00E25BCD" w:rsidRDefault="00E25BCD" w:rsidP="00E25BCD">
      <w:pPr>
        <w:spacing w:after="0" w:line="240" w:lineRule="auto"/>
        <w:rPr>
          <w:rFonts w:ascii="Palatino Linotype" w:hAnsi="Palatino Linotype"/>
          <w:b/>
          <w:sz w:val="18"/>
          <w:szCs w:val="18"/>
        </w:rPr>
      </w:pPr>
    </w:p>
    <w:p w:rsidR="00E25BCD" w:rsidRPr="00F472E8" w:rsidRDefault="00E25BCD" w:rsidP="00E25BCD">
      <w:pPr>
        <w:spacing w:after="0" w:line="240" w:lineRule="auto"/>
        <w:rPr>
          <w:rFonts w:ascii="Palatino Linotype" w:hAnsi="Palatino Linotype"/>
          <w:sz w:val="16"/>
          <w:szCs w:val="20"/>
        </w:rPr>
      </w:pPr>
    </w:p>
    <w:p w:rsidR="00EB088E" w:rsidRDefault="00EB088E"/>
    <w:sectPr w:rsidR="00EB088E" w:rsidSect="004C317E">
      <w:headerReference w:type="even" r:id="rId20"/>
      <w:headerReference w:type="default" r:id="rId21"/>
      <w:footerReference w:type="default" r:id="rId22"/>
      <w:headerReference w:type="first" r:id="rId23"/>
      <w:footerReference w:type="first" r:id="rId24"/>
      <w:pgSz w:w="12240" w:h="15840"/>
      <w:pgMar w:top="1417" w:right="1467"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5474" w:rsidRDefault="00325474" w:rsidP="00E25BCD">
      <w:pPr>
        <w:spacing w:after="0" w:line="240" w:lineRule="auto"/>
      </w:pPr>
      <w:r>
        <w:separator/>
      </w:r>
    </w:p>
  </w:endnote>
  <w:endnote w:type="continuationSeparator" w:id="0">
    <w:p w:rsidR="00325474" w:rsidRDefault="00325474" w:rsidP="00E25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 w:name="Bookman Old Style,Bold">
    <w:panose1 w:val="00000000000000000000"/>
    <w:charset w:val="00"/>
    <w:family w:val="swiss"/>
    <w:notTrueType/>
    <w:pitch w:val="default"/>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CIDFont+F4">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1F3" w:rsidRPr="000B69FA" w:rsidRDefault="006C21F3" w:rsidP="004C317E">
    <w:pPr>
      <w:pStyle w:val="Piedepgina"/>
      <w:jc w:val="right"/>
      <w:rPr>
        <w:rFonts w:ascii="Palatino Linotype" w:hAnsi="Palatino Linotype"/>
        <w:sz w:val="20"/>
      </w:rPr>
    </w:pPr>
    <w:r w:rsidRPr="000B69FA">
      <w:rPr>
        <w:rFonts w:ascii="Palatino Linotype" w:hAnsi="Palatino Linotype"/>
        <w:sz w:val="20"/>
      </w:rPr>
      <w:t xml:space="preserve">Página </w:t>
    </w:r>
    <w:r w:rsidRPr="000B69FA">
      <w:rPr>
        <w:rFonts w:ascii="Palatino Linotype" w:hAnsi="Palatino Linotype"/>
        <w:bCs/>
        <w:sz w:val="20"/>
      </w:rPr>
      <w:fldChar w:fldCharType="begin"/>
    </w:r>
    <w:r w:rsidRPr="000B69FA">
      <w:rPr>
        <w:rFonts w:ascii="Palatino Linotype" w:hAnsi="Palatino Linotype"/>
        <w:bCs/>
        <w:sz w:val="20"/>
      </w:rPr>
      <w:instrText>PAGE  \* Arabic  \* MERGEFORMAT</w:instrText>
    </w:r>
    <w:r w:rsidRPr="000B69FA">
      <w:rPr>
        <w:rFonts w:ascii="Palatino Linotype" w:hAnsi="Palatino Linotype"/>
        <w:bCs/>
        <w:sz w:val="20"/>
      </w:rPr>
      <w:fldChar w:fldCharType="separate"/>
    </w:r>
    <w:r w:rsidR="00144F18">
      <w:rPr>
        <w:rFonts w:ascii="Palatino Linotype" w:hAnsi="Palatino Linotype"/>
        <w:bCs/>
        <w:noProof/>
        <w:sz w:val="20"/>
      </w:rPr>
      <w:t>68</w:t>
    </w:r>
    <w:r w:rsidRPr="000B69FA">
      <w:rPr>
        <w:rFonts w:ascii="Palatino Linotype" w:hAnsi="Palatino Linotype"/>
        <w:bCs/>
        <w:sz w:val="20"/>
      </w:rPr>
      <w:fldChar w:fldCharType="end"/>
    </w:r>
    <w:r w:rsidRPr="000B69FA">
      <w:rPr>
        <w:rFonts w:ascii="Palatino Linotype" w:hAnsi="Palatino Linotype"/>
        <w:sz w:val="20"/>
      </w:rPr>
      <w:t xml:space="preserve"> de </w:t>
    </w:r>
    <w:r w:rsidRPr="000B69FA">
      <w:rPr>
        <w:rFonts w:ascii="Palatino Linotype" w:hAnsi="Palatino Linotype"/>
        <w:bCs/>
        <w:sz w:val="20"/>
      </w:rPr>
      <w:fldChar w:fldCharType="begin"/>
    </w:r>
    <w:r w:rsidRPr="000B69FA">
      <w:rPr>
        <w:rFonts w:ascii="Palatino Linotype" w:hAnsi="Palatino Linotype"/>
        <w:bCs/>
        <w:sz w:val="20"/>
      </w:rPr>
      <w:instrText>NUMPAGES  \* Arabic  \* MERGEFORMAT</w:instrText>
    </w:r>
    <w:r w:rsidRPr="000B69FA">
      <w:rPr>
        <w:rFonts w:ascii="Palatino Linotype" w:hAnsi="Palatino Linotype"/>
        <w:bCs/>
        <w:sz w:val="20"/>
      </w:rPr>
      <w:fldChar w:fldCharType="separate"/>
    </w:r>
    <w:r w:rsidR="00144F18">
      <w:rPr>
        <w:rFonts w:ascii="Palatino Linotype" w:hAnsi="Palatino Linotype"/>
        <w:bCs/>
        <w:noProof/>
        <w:sz w:val="20"/>
      </w:rPr>
      <w:t>68</w:t>
    </w:r>
    <w:r w:rsidRPr="000B69FA">
      <w:rPr>
        <w:rFonts w:ascii="Palatino Linotype" w:hAnsi="Palatino Linotype"/>
        <w:bCs/>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1F3" w:rsidRPr="000B69FA" w:rsidRDefault="006C21F3" w:rsidP="004C317E">
    <w:pPr>
      <w:pStyle w:val="Piedepgina"/>
      <w:jc w:val="right"/>
      <w:rPr>
        <w:rFonts w:ascii="Palatino Linotype" w:hAnsi="Palatino Linotype"/>
        <w:sz w:val="20"/>
      </w:rPr>
    </w:pPr>
    <w:r w:rsidRPr="000B69FA">
      <w:rPr>
        <w:rFonts w:ascii="Palatino Linotype" w:hAnsi="Palatino Linotype"/>
        <w:sz w:val="20"/>
      </w:rPr>
      <w:t xml:space="preserve">Página </w:t>
    </w:r>
    <w:r w:rsidRPr="000B69FA">
      <w:rPr>
        <w:rFonts w:ascii="Palatino Linotype" w:hAnsi="Palatino Linotype"/>
        <w:bCs/>
        <w:sz w:val="20"/>
      </w:rPr>
      <w:fldChar w:fldCharType="begin"/>
    </w:r>
    <w:r w:rsidRPr="000B69FA">
      <w:rPr>
        <w:rFonts w:ascii="Palatino Linotype" w:hAnsi="Palatino Linotype"/>
        <w:bCs/>
        <w:sz w:val="20"/>
      </w:rPr>
      <w:instrText>PAGE  \* Arabic  \* MERGEFORMAT</w:instrText>
    </w:r>
    <w:r w:rsidRPr="000B69FA">
      <w:rPr>
        <w:rFonts w:ascii="Palatino Linotype" w:hAnsi="Palatino Linotype"/>
        <w:bCs/>
        <w:sz w:val="20"/>
      </w:rPr>
      <w:fldChar w:fldCharType="separate"/>
    </w:r>
    <w:r w:rsidR="00144F18">
      <w:rPr>
        <w:rFonts w:ascii="Palatino Linotype" w:hAnsi="Palatino Linotype"/>
        <w:bCs/>
        <w:noProof/>
        <w:sz w:val="20"/>
      </w:rPr>
      <w:t>1</w:t>
    </w:r>
    <w:r w:rsidRPr="000B69FA">
      <w:rPr>
        <w:rFonts w:ascii="Palatino Linotype" w:hAnsi="Palatino Linotype"/>
        <w:bCs/>
        <w:sz w:val="20"/>
      </w:rPr>
      <w:fldChar w:fldCharType="end"/>
    </w:r>
    <w:r w:rsidRPr="000B69FA">
      <w:rPr>
        <w:rFonts w:ascii="Palatino Linotype" w:hAnsi="Palatino Linotype"/>
        <w:sz w:val="20"/>
      </w:rPr>
      <w:t xml:space="preserve"> de </w:t>
    </w:r>
    <w:r w:rsidRPr="000B69FA">
      <w:rPr>
        <w:rFonts w:ascii="Palatino Linotype" w:hAnsi="Palatino Linotype"/>
        <w:bCs/>
        <w:sz w:val="20"/>
      </w:rPr>
      <w:fldChar w:fldCharType="begin"/>
    </w:r>
    <w:r w:rsidRPr="000B69FA">
      <w:rPr>
        <w:rFonts w:ascii="Palatino Linotype" w:hAnsi="Palatino Linotype"/>
        <w:bCs/>
        <w:sz w:val="20"/>
      </w:rPr>
      <w:instrText>NUMPAGES  \* Arabic  \* MERGEFORMAT</w:instrText>
    </w:r>
    <w:r w:rsidRPr="000B69FA">
      <w:rPr>
        <w:rFonts w:ascii="Palatino Linotype" w:hAnsi="Palatino Linotype"/>
        <w:bCs/>
        <w:sz w:val="20"/>
      </w:rPr>
      <w:fldChar w:fldCharType="separate"/>
    </w:r>
    <w:r w:rsidR="00144F18">
      <w:rPr>
        <w:rFonts w:ascii="Palatino Linotype" w:hAnsi="Palatino Linotype"/>
        <w:bCs/>
        <w:noProof/>
        <w:sz w:val="20"/>
      </w:rPr>
      <w:t>68</w:t>
    </w:r>
    <w:r w:rsidRPr="000B69FA">
      <w:rPr>
        <w:rFonts w:ascii="Palatino Linotype" w:hAnsi="Palatino Linotype"/>
        <w:bCs/>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5474" w:rsidRDefault="00325474" w:rsidP="00E25BCD">
      <w:pPr>
        <w:spacing w:after="0" w:line="240" w:lineRule="auto"/>
      </w:pPr>
      <w:r>
        <w:separator/>
      </w:r>
    </w:p>
  </w:footnote>
  <w:footnote w:type="continuationSeparator" w:id="0">
    <w:p w:rsidR="00325474" w:rsidRDefault="00325474" w:rsidP="00E25BCD">
      <w:pPr>
        <w:spacing w:after="0" w:line="240" w:lineRule="auto"/>
      </w:pPr>
      <w:r>
        <w:continuationSeparator/>
      </w:r>
    </w:p>
  </w:footnote>
  <w:footnote w:id="1">
    <w:p w:rsidR="006C21F3" w:rsidRPr="00F07740" w:rsidRDefault="006C21F3" w:rsidP="00E25BCD">
      <w:pPr>
        <w:spacing w:after="0" w:line="276" w:lineRule="auto"/>
        <w:jc w:val="both"/>
        <w:rPr>
          <w:rFonts w:ascii="Palatino Linotype" w:eastAsia="Times New Roman" w:hAnsi="Palatino Linotype"/>
          <w:b/>
          <w:bCs/>
          <w:i/>
          <w:sz w:val="20"/>
          <w:szCs w:val="20"/>
          <w:lang w:eastAsia="es-MX"/>
        </w:rPr>
      </w:pPr>
      <w:r>
        <w:rPr>
          <w:rStyle w:val="Refdenotaalpie"/>
        </w:rPr>
        <w:footnoteRef/>
      </w:r>
      <w:r>
        <w:t xml:space="preserve"> </w:t>
      </w:r>
      <w:r w:rsidRPr="00946E1F">
        <w:rPr>
          <w:rFonts w:ascii="Palatino Linotype" w:hAnsi="Palatino Linotype"/>
          <w:b/>
          <w:bCs/>
          <w:i/>
          <w:sz w:val="20"/>
          <w:szCs w:val="20"/>
        </w:rPr>
        <w:t>IMPROCEDENCIA Y SOBRESEIMIENTO EN EL JUICIO DE AMPARO. LAS CAUSAS PREVISTAS EN LOS ARTÍCULOS 73 Y 74 DE LA LEY DE LA MATERIA, RESPECTIVAMENTE, NO SON INCOMPATIBLES CON EL ARTÍCULO 25.1 DE LA CONVENCIÓN AMERICANA SOBRE DERECHOS HUMANOS.</w:t>
      </w:r>
    </w:p>
    <w:p w:rsidR="006C21F3" w:rsidRPr="00946E1F" w:rsidRDefault="006C21F3" w:rsidP="00E25BCD">
      <w:pPr>
        <w:spacing w:after="0" w:line="276" w:lineRule="auto"/>
        <w:jc w:val="both"/>
        <w:rPr>
          <w:rFonts w:ascii="Palatino Linotype" w:hAnsi="Palatino Linotype"/>
          <w:i/>
          <w:sz w:val="20"/>
          <w:szCs w:val="20"/>
        </w:rPr>
      </w:pPr>
      <w:r w:rsidRPr="00946E1F">
        <w:rPr>
          <w:rFonts w:ascii="Palatino Linotype" w:hAnsi="Palatino Linotype"/>
          <w:i/>
          <w:sz w:val="20"/>
          <w:szCs w:val="20"/>
        </w:rPr>
        <w:t>Del examen de compatibilidad de los artículos</w:t>
      </w:r>
      <w:r w:rsidRPr="00946E1F">
        <w:rPr>
          <w:rStyle w:val="apple-converted-space"/>
          <w:rFonts w:ascii="Palatino Linotype" w:hAnsi="Palatino Linotype"/>
          <w:i/>
          <w:sz w:val="20"/>
          <w:szCs w:val="20"/>
        </w:rPr>
        <w:t> </w:t>
      </w:r>
      <w:hyperlink r:id="rId1" w:history="1">
        <w:r w:rsidRPr="00946E1F">
          <w:rPr>
            <w:rStyle w:val="Hipervnculo"/>
            <w:rFonts w:ascii="Palatino Linotype" w:hAnsi="Palatino Linotype"/>
            <w:i/>
            <w:sz w:val="20"/>
            <w:szCs w:val="20"/>
          </w:rPr>
          <w:t>73 y 74 de la Ley de Amparo</w:t>
        </w:r>
      </w:hyperlink>
      <w:r w:rsidRPr="00946E1F">
        <w:rPr>
          <w:rStyle w:val="apple-converted-space"/>
          <w:rFonts w:ascii="Palatino Linotype" w:hAnsi="Palatino Linotype"/>
          <w:i/>
          <w:sz w:val="20"/>
          <w:szCs w:val="20"/>
        </w:rPr>
        <w:t> </w:t>
      </w:r>
      <w:r w:rsidRPr="00946E1F">
        <w:rPr>
          <w:rFonts w:ascii="Palatino Linotype" w:hAnsi="Palatino Linotype"/>
          <w:i/>
          <w:sz w:val="20"/>
          <w:szCs w:val="20"/>
        </w:rPr>
        <w:t>con el artículo</w:t>
      </w:r>
      <w:r w:rsidRPr="00946E1F">
        <w:rPr>
          <w:rStyle w:val="apple-converted-space"/>
          <w:rFonts w:ascii="Palatino Linotype" w:hAnsi="Palatino Linotype"/>
          <w:i/>
          <w:sz w:val="20"/>
          <w:szCs w:val="20"/>
        </w:rPr>
        <w:t> </w:t>
      </w:r>
      <w:hyperlink r:id="rId2" w:history="1">
        <w:r w:rsidRPr="00946E1F">
          <w:rPr>
            <w:rStyle w:val="Hipervnculo"/>
            <w:rFonts w:ascii="Palatino Linotype" w:hAnsi="Palatino Linotype"/>
            <w:i/>
            <w:sz w:val="20"/>
            <w:szCs w:val="20"/>
          </w:rPr>
          <w:t>25.1 de la Convención Americana sobre Derechos Humanos</w:t>
        </w:r>
      </w:hyperlink>
      <w:r w:rsidRPr="00946E1F">
        <w:rPr>
          <w:rStyle w:val="apple-converted-space"/>
          <w:rFonts w:ascii="Palatino Linotype" w:hAnsi="Palatino Linotype"/>
          <w:i/>
          <w:sz w:val="20"/>
          <w:szCs w:val="20"/>
        </w:rPr>
        <w:t> </w:t>
      </w:r>
      <w:r w:rsidRPr="00946E1F">
        <w:rPr>
          <w:rFonts w:ascii="Palatino Linotype" w:hAnsi="Palatino Linotype"/>
          <w:b/>
          <w:i/>
          <w:sz w:val="20"/>
          <w:szCs w:val="20"/>
          <w:u w:val="single"/>
        </w:rPr>
        <w:t>no se advierte que el derecho interno desatienda los estándares que pretenden proteger los derechos humanos en dicho tratado, por regular causas de improcedencia y sobreseimiento que impiden abordar el estudio de fondo del asunto en el juicio de amparo,</w:t>
      </w:r>
      <w:r w:rsidRPr="00946E1F">
        <w:rPr>
          <w:rFonts w:ascii="Palatino Linotype" w:hAnsi="Palatino Linotype"/>
          <w:i/>
          <w:sz w:val="20"/>
          <w:szCs w:val="20"/>
        </w:rPr>
        <w:t xml:space="preserve"> en virtud de que el propósito de condicionar el acceso a los tribunales para evitar un sobrecargo de casos sin mérito, es en sí legítimo, por lo que esa compatibilidad, en cuanto a los requisitos para la admisibilidad de los recursos dependerá, en principio, de los siguientes criterios: no pueden ser irracionales ni de tal naturaleza que despojen al derecho de su esencia, ni discriminatorios y, en el caso, la razonabilidad de esas causas se justifica por la viabilidad de que una eventual sentencia </w:t>
      </w:r>
      <w:proofErr w:type="spellStart"/>
      <w:r w:rsidRPr="00946E1F">
        <w:rPr>
          <w:rFonts w:ascii="Palatino Linotype" w:hAnsi="Palatino Linotype"/>
          <w:i/>
          <w:sz w:val="20"/>
          <w:szCs w:val="20"/>
        </w:rPr>
        <w:t>concesoria</w:t>
      </w:r>
      <w:proofErr w:type="spellEnd"/>
      <w:r w:rsidRPr="00946E1F">
        <w:rPr>
          <w:rFonts w:ascii="Palatino Linotype" w:hAnsi="Palatino Linotype"/>
          <w:i/>
          <w:sz w:val="20"/>
          <w:szCs w:val="20"/>
        </w:rPr>
        <w:t xml:space="preserve"> tenga un ámbito de protección concreto y no entre en conflicto con el orden jurídico, no son de tal naturaleza que despojen al derecho de su esencia ni tampoco son discriminatorias, pues no existe alguna condicionante para su aplicabilidad, en función de cuestiones personales o particulares del quejoso. Por tanto, las indicadas causas de improcedencia y sobreseimiento no son incompatibles con el citado precepto 25.1, pues no impiden decidir sencilla, rápida y efectivamente sobre los derechos fundamentales reclamados como violados dentro del juicio de garantías.</w:t>
      </w:r>
    </w:p>
  </w:footnote>
  <w:footnote w:id="2">
    <w:p w:rsidR="006C21F3" w:rsidRPr="00420577" w:rsidRDefault="006C21F3" w:rsidP="00E25BCD">
      <w:pPr>
        <w:autoSpaceDE w:val="0"/>
        <w:autoSpaceDN w:val="0"/>
        <w:adjustRightInd w:val="0"/>
        <w:spacing w:before="240"/>
        <w:ind w:right="49"/>
        <w:jc w:val="both"/>
        <w:rPr>
          <w:rFonts w:ascii="Palatino Linotype" w:eastAsia="Calibri" w:hAnsi="Palatino Linotype"/>
          <w:i/>
          <w:sz w:val="16"/>
          <w:szCs w:val="16"/>
          <w:lang w:val="es-ES_tradnl"/>
        </w:rPr>
      </w:pPr>
      <w:r w:rsidRPr="00420577">
        <w:rPr>
          <w:rStyle w:val="Refdenotaalpie"/>
          <w:sz w:val="16"/>
          <w:szCs w:val="16"/>
        </w:rPr>
        <w:footnoteRef/>
      </w:r>
      <w:r w:rsidRPr="00420577">
        <w:rPr>
          <w:sz w:val="16"/>
          <w:szCs w:val="16"/>
        </w:rPr>
        <w:t xml:space="preserve"> </w:t>
      </w:r>
      <w:r w:rsidRPr="00420577">
        <w:rPr>
          <w:rFonts w:ascii="Palatino Linotype" w:eastAsia="Calibri" w:hAnsi="Palatino Linotype"/>
          <w:b/>
          <w:i/>
          <w:sz w:val="16"/>
          <w:szCs w:val="16"/>
        </w:rPr>
        <w:t>ARTÍCULO 98.</w:t>
      </w:r>
      <w:r w:rsidRPr="00420577">
        <w:rPr>
          <w:rFonts w:ascii="Palatino Linotype" w:eastAsia="Calibri" w:hAnsi="Palatino Linotype"/>
          <w:i/>
          <w:sz w:val="16"/>
          <w:szCs w:val="16"/>
        </w:rPr>
        <w:t xml:space="preserve"> Son obligaciones de las instituciones públicas:</w:t>
      </w:r>
      <w:r>
        <w:rPr>
          <w:rFonts w:ascii="Palatino Linotype" w:eastAsia="Calibri" w:hAnsi="Palatino Linotype"/>
          <w:i/>
          <w:sz w:val="16"/>
          <w:szCs w:val="16"/>
        </w:rPr>
        <w:t xml:space="preserve"> …</w:t>
      </w:r>
      <w:r w:rsidRPr="00420577">
        <w:rPr>
          <w:rFonts w:ascii="Palatino Linotype" w:eastAsia="Calibri" w:hAnsi="Palatino Linotype"/>
          <w:i/>
          <w:sz w:val="16"/>
          <w:szCs w:val="16"/>
        </w:rPr>
        <w:t xml:space="preserve">XVII. </w:t>
      </w:r>
      <w:r w:rsidRPr="00420577">
        <w:rPr>
          <w:rFonts w:ascii="Palatino Linotype" w:eastAsia="Calibri" w:hAnsi="Palatino Linotype"/>
          <w:b/>
          <w:i/>
          <w:sz w:val="16"/>
          <w:szCs w:val="16"/>
        </w:rPr>
        <w:t>Integrar los expedientes de los servidores públicos</w:t>
      </w:r>
      <w:r w:rsidRPr="00420577">
        <w:rPr>
          <w:rFonts w:ascii="Palatino Linotype" w:eastAsia="Calibri" w:hAnsi="Palatino Linotype"/>
          <w:i/>
          <w:sz w:val="16"/>
          <w:szCs w:val="16"/>
        </w:rPr>
        <w:t xml:space="preserve"> y proporcionar las constancias que éstos soliciten para el trámite de los asuntos de su interés en los términos que señalen los ordenamientos respectivos.</w:t>
      </w:r>
    </w:p>
    <w:p w:rsidR="006C21F3" w:rsidRPr="00420577" w:rsidRDefault="006C21F3" w:rsidP="00E25BCD">
      <w:pPr>
        <w:pStyle w:val="Textonotapie"/>
        <w:rPr>
          <w:lang w:val="es-ES"/>
        </w:rPr>
      </w:pPr>
    </w:p>
  </w:footnote>
  <w:footnote w:id="3">
    <w:p w:rsidR="006C21F3" w:rsidRPr="00B97CAB" w:rsidRDefault="006C21F3" w:rsidP="00E25BCD">
      <w:pPr>
        <w:pStyle w:val="Textonotapie"/>
        <w:rPr>
          <w:rFonts w:ascii="Palatino Linotype" w:hAnsi="Palatino Linotype"/>
          <w:i/>
        </w:rPr>
      </w:pPr>
      <w:r>
        <w:rPr>
          <w:rStyle w:val="Refdenotaalpie"/>
        </w:rPr>
        <w:footnoteRef/>
      </w:r>
      <w:r>
        <w:t xml:space="preserve"> </w:t>
      </w:r>
      <w:r w:rsidRPr="00B97CAB">
        <w:rPr>
          <w:rFonts w:ascii="Palatino Linotype" w:hAnsi="Palatino Linotype"/>
          <w:i/>
        </w:rPr>
        <w:t>Artículo 116, fracción II, párrafo 6, de la Constitución Política de los Estados Unidos Mexicanos.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1F3" w:rsidRDefault="006C21F3">
    <w:pPr>
      <w:pStyle w:val="Encabezado"/>
    </w:pPr>
    <w:r>
      <w:rPr>
        <w:noProof/>
        <w:lang w:val="es-MX" w:eastAsia="es-MX"/>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593594" o:spid="_x0000_s2050" type="#_x0000_t75" style="position:absolute;margin-left:0;margin-top:0;width:609.4pt;height:793.75pt;z-index:-251657216;mso-position-horizontal:center;mso-position-horizontal-relative:margin;mso-position-vertical:center;mso-position-vertical-relative:margin" o:allowincell="f">
          <v:imagedata r:id="rId1" o:title="logo infoem (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1F3" w:rsidRDefault="006C21F3">
    <w:pPr>
      <w:pStyle w:val="Encabezado"/>
    </w:pPr>
    <w:r>
      <w:rPr>
        <w:noProof/>
        <w:lang w:val="es-MX" w:eastAsia="es-MX"/>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593595" o:spid="_x0000_s2051" type="#_x0000_t75" style="position:absolute;margin-left:-82.3pt;margin-top:-125.1pt;width:609.4pt;height:793.75pt;z-index:-251656192;mso-position-horizontal-relative:margin;mso-position-vertical-relative:margin" o:allowincell="f">
          <v:imagedata r:id="rId1" o:title="logo infoem (1)"/>
          <w10:wrap anchorx="margin" anchory="margin"/>
        </v:shape>
      </w:pict>
    </w:r>
  </w:p>
  <w:tbl>
    <w:tblPr>
      <w:tblW w:w="10065" w:type="dxa"/>
      <w:tblInd w:w="-851" w:type="dxa"/>
      <w:tblCellMar>
        <w:left w:w="70" w:type="dxa"/>
        <w:right w:w="70" w:type="dxa"/>
      </w:tblCellMar>
      <w:tblLook w:val="04A0" w:firstRow="1" w:lastRow="0" w:firstColumn="1" w:lastColumn="0" w:noHBand="0" w:noVBand="1"/>
    </w:tblPr>
    <w:tblGrid>
      <w:gridCol w:w="5529"/>
      <w:gridCol w:w="4536"/>
    </w:tblGrid>
    <w:tr w:rsidR="006C21F3" w:rsidTr="004C317E">
      <w:trPr>
        <w:trHeight w:val="227"/>
      </w:trPr>
      <w:tc>
        <w:tcPr>
          <w:tcW w:w="5529" w:type="dxa"/>
          <w:hideMark/>
        </w:tcPr>
        <w:p w:rsidR="006C21F3" w:rsidRDefault="006C21F3" w:rsidP="004C317E">
          <w:pPr>
            <w:spacing w:after="0" w:line="256" w:lineRule="auto"/>
            <w:ind w:right="204"/>
            <w:jc w:val="right"/>
            <w:rPr>
              <w:rFonts w:ascii="Palatino Linotype" w:hAnsi="Palatino Linotype" w:cs="Arial"/>
              <w:b/>
              <w:szCs w:val="20"/>
            </w:rPr>
          </w:pPr>
          <w:r>
            <w:rPr>
              <w:rFonts w:ascii="Palatino Linotype" w:hAnsi="Palatino Linotype" w:cs="Arial"/>
              <w:b/>
              <w:szCs w:val="20"/>
            </w:rPr>
            <w:t>Recurso de Revisión N°:</w:t>
          </w:r>
        </w:p>
      </w:tc>
      <w:tc>
        <w:tcPr>
          <w:tcW w:w="4536" w:type="dxa"/>
          <w:hideMark/>
        </w:tcPr>
        <w:p w:rsidR="006C21F3" w:rsidRPr="00B4142F" w:rsidRDefault="006C21F3" w:rsidP="004C317E">
          <w:pPr>
            <w:spacing w:after="0" w:line="256" w:lineRule="auto"/>
            <w:ind w:left="639" w:right="214"/>
            <w:jc w:val="right"/>
            <w:rPr>
              <w:rFonts w:ascii="Palatino Linotype" w:hAnsi="Palatino Linotype" w:cs="Arial"/>
              <w:szCs w:val="20"/>
            </w:rPr>
          </w:pPr>
          <w:r>
            <w:rPr>
              <w:rFonts w:ascii="Palatino Linotype" w:hAnsi="Palatino Linotype" w:cs="Arial"/>
              <w:bCs/>
              <w:sz w:val="24"/>
              <w:lang w:eastAsia="es-MX"/>
            </w:rPr>
            <w:t>00805/INFOEM/IP/RR/2021 y acumulados</w:t>
          </w:r>
        </w:p>
      </w:tc>
    </w:tr>
    <w:tr w:rsidR="006C21F3" w:rsidTr="004C317E">
      <w:trPr>
        <w:trHeight w:val="242"/>
      </w:trPr>
      <w:tc>
        <w:tcPr>
          <w:tcW w:w="5529" w:type="dxa"/>
          <w:hideMark/>
        </w:tcPr>
        <w:p w:rsidR="006C21F3" w:rsidRDefault="006C21F3" w:rsidP="004C317E">
          <w:pPr>
            <w:spacing w:after="0" w:line="256" w:lineRule="auto"/>
            <w:ind w:right="204"/>
            <w:jc w:val="right"/>
            <w:rPr>
              <w:rFonts w:ascii="Palatino Linotype" w:hAnsi="Palatino Linotype" w:cs="Arial"/>
              <w:b/>
              <w:szCs w:val="20"/>
            </w:rPr>
          </w:pPr>
          <w:r>
            <w:rPr>
              <w:rFonts w:ascii="Palatino Linotype" w:hAnsi="Palatino Linotype" w:cs="Arial"/>
              <w:b/>
              <w:szCs w:val="20"/>
            </w:rPr>
            <w:t>Sujeto Obligado:</w:t>
          </w:r>
        </w:p>
      </w:tc>
      <w:tc>
        <w:tcPr>
          <w:tcW w:w="4536" w:type="dxa"/>
          <w:hideMark/>
        </w:tcPr>
        <w:p w:rsidR="006C21F3" w:rsidRPr="00F472E8" w:rsidRDefault="006C21F3" w:rsidP="004C317E">
          <w:pPr>
            <w:spacing w:after="0" w:line="256" w:lineRule="auto"/>
            <w:ind w:right="214"/>
            <w:jc w:val="right"/>
            <w:rPr>
              <w:rFonts w:ascii="Palatino Linotype" w:hAnsi="Palatino Linotype" w:cs="Arial"/>
              <w:sz w:val="24"/>
              <w:szCs w:val="24"/>
            </w:rPr>
          </w:pPr>
          <w:r w:rsidRPr="002766B3">
            <w:rPr>
              <w:rFonts w:ascii="Palatino Linotype" w:hAnsi="Palatino Linotype" w:cs="Arial"/>
              <w:sz w:val="24"/>
              <w:szCs w:val="24"/>
            </w:rPr>
            <w:t>Ayuntamiento de Cuautitlán</w:t>
          </w:r>
        </w:p>
      </w:tc>
    </w:tr>
    <w:tr w:rsidR="006C21F3" w:rsidTr="004C317E">
      <w:trPr>
        <w:trHeight w:val="342"/>
      </w:trPr>
      <w:tc>
        <w:tcPr>
          <w:tcW w:w="5529" w:type="dxa"/>
          <w:hideMark/>
        </w:tcPr>
        <w:p w:rsidR="006C21F3" w:rsidRDefault="006C21F3" w:rsidP="004C317E">
          <w:pPr>
            <w:tabs>
              <w:tab w:val="left" w:pos="4892"/>
            </w:tabs>
            <w:spacing w:after="0" w:line="256" w:lineRule="auto"/>
            <w:ind w:right="204"/>
            <w:jc w:val="right"/>
            <w:rPr>
              <w:rFonts w:ascii="Palatino Linotype" w:hAnsi="Palatino Linotype" w:cs="Arial"/>
              <w:b/>
              <w:szCs w:val="20"/>
            </w:rPr>
          </w:pPr>
          <w:r>
            <w:rPr>
              <w:rFonts w:ascii="Palatino Linotype" w:hAnsi="Palatino Linotype" w:cs="Arial"/>
              <w:b/>
              <w:szCs w:val="20"/>
            </w:rPr>
            <w:t>Comisionada Ponente:</w:t>
          </w:r>
        </w:p>
      </w:tc>
      <w:tc>
        <w:tcPr>
          <w:tcW w:w="4536" w:type="dxa"/>
          <w:hideMark/>
        </w:tcPr>
        <w:p w:rsidR="006C21F3" w:rsidRPr="00F472E8" w:rsidRDefault="006C21F3" w:rsidP="004C317E">
          <w:pPr>
            <w:spacing w:after="0" w:line="256" w:lineRule="auto"/>
            <w:ind w:left="497" w:right="214" w:firstLine="142"/>
            <w:jc w:val="right"/>
            <w:rPr>
              <w:rFonts w:ascii="Palatino Linotype" w:hAnsi="Palatino Linotype" w:cs="Arial"/>
              <w:sz w:val="24"/>
              <w:szCs w:val="24"/>
            </w:rPr>
          </w:pPr>
          <w:r w:rsidRPr="00F472E8">
            <w:rPr>
              <w:rFonts w:ascii="Palatino Linotype" w:hAnsi="Palatino Linotype" w:cs="Arial"/>
              <w:sz w:val="24"/>
              <w:szCs w:val="24"/>
            </w:rPr>
            <w:t>Zulema Martínez Sánchez</w:t>
          </w:r>
        </w:p>
      </w:tc>
    </w:tr>
  </w:tbl>
  <w:p w:rsidR="006C21F3" w:rsidRPr="00696691" w:rsidRDefault="006C21F3">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65" w:type="dxa"/>
      <w:tblInd w:w="-851" w:type="dxa"/>
      <w:tblLayout w:type="fixed"/>
      <w:tblCellMar>
        <w:left w:w="70" w:type="dxa"/>
        <w:right w:w="70" w:type="dxa"/>
      </w:tblCellMar>
      <w:tblLook w:val="04A0" w:firstRow="1" w:lastRow="0" w:firstColumn="1" w:lastColumn="0" w:noHBand="0" w:noVBand="1"/>
    </w:tblPr>
    <w:tblGrid>
      <w:gridCol w:w="5529"/>
      <w:gridCol w:w="4536"/>
    </w:tblGrid>
    <w:tr w:rsidR="006C21F3" w:rsidTr="004C317E">
      <w:trPr>
        <w:trHeight w:val="227"/>
      </w:trPr>
      <w:tc>
        <w:tcPr>
          <w:tcW w:w="5529" w:type="dxa"/>
          <w:hideMark/>
        </w:tcPr>
        <w:p w:rsidR="006C21F3" w:rsidRDefault="006C21F3" w:rsidP="004C317E">
          <w:pPr>
            <w:spacing w:after="0" w:line="256" w:lineRule="auto"/>
            <w:ind w:right="204"/>
            <w:jc w:val="right"/>
            <w:rPr>
              <w:rFonts w:ascii="Palatino Linotype" w:hAnsi="Palatino Linotype" w:cs="Arial"/>
              <w:b/>
              <w:szCs w:val="20"/>
            </w:rPr>
          </w:pPr>
          <w:r>
            <w:rPr>
              <w:rFonts w:ascii="Palatino Linotype" w:hAnsi="Palatino Linotype" w:cs="Arial"/>
              <w:b/>
              <w:szCs w:val="20"/>
            </w:rPr>
            <w:t>Recurso de Revisión N°:</w:t>
          </w:r>
        </w:p>
      </w:tc>
      <w:tc>
        <w:tcPr>
          <w:tcW w:w="4536" w:type="dxa"/>
          <w:hideMark/>
        </w:tcPr>
        <w:p w:rsidR="006C21F3" w:rsidRPr="00B4142F" w:rsidRDefault="006C21F3" w:rsidP="004C317E">
          <w:pPr>
            <w:spacing w:after="0" w:line="256" w:lineRule="auto"/>
            <w:ind w:left="639" w:right="214"/>
            <w:jc w:val="right"/>
            <w:rPr>
              <w:rFonts w:ascii="Palatino Linotype" w:hAnsi="Palatino Linotype" w:cs="Arial"/>
              <w:szCs w:val="20"/>
            </w:rPr>
          </w:pPr>
          <w:r>
            <w:rPr>
              <w:rFonts w:ascii="Palatino Linotype" w:hAnsi="Palatino Linotype" w:cs="Arial"/>
              <w:bCs/>
              <w:sz w:val="24"/>
              <w:lang w:eastAsia="es-MX"/>
            </w:rPr>
            <w:t>00805/INFOEM/IP/RR/2021 y acumulados</w:t>
          </w:r>
        </w:p>
      </w:tc>
    </w:tr>
    <w:tr w:rsidR="006C21F3" w:rsidTr="004C317E">
      <w:trPr>
        <w:trHeight w:val="196"/>
      </w:trPr>
      <w:tc>
        <w:tcPr>
          <w:tcW w:w="5529" w:type="dxa"/>
          <w:hideMark/>
        </w:tcPr>
        <w:p w:rsidR="006C21F3" w:rsidRDefault="006C21F3" w:rsidP="004C317E">
          <w:pPr>
            <w:spacing w:after="0" w:line="256" w:lineRule="auto"/>
            <w:ind w:right="204"/>
            <w:jc w:val="right"/>
            <w:rPr>
              <w:rFonts w:ascii="Palatino Linotype" w:hAnsi="Palatino Linotype" w:cs="Arial"/>
              <w:b/>
              <w:szCs w:val="20"/>
            </w:rPr>
          </w:pPr>
          <w:r>
            <w:rPr>
              <w:rFonts w:ascii="Palatino Linotype" w:hAnsi="Palatino Linotype" w:cs="Arial"/>
              <w:b/>
              <w:szCs w:val="20"/>
            </w:rPr>
            <w:t>Recurrente:</w:t>
          </w:r>
        </w:p>
      </w:tc>
      <w:tc>
        <w:tcPr>
          <w:tcW w:w="4536" w:type="dxa"/>
          <w:hideMark/>
        </w:tcPr>
        <w:p w:rsidR="006C21F3" w:rsidRPr="006C21F3" w:rsidRDefault="006C21F3" w:rsidP="004C317E">
          <w:pPr>
            <w:spacing w:after="0" w:line="256" w:lineRule="auto"/>
            <w:ind w:left="639" w:right="214"/>
            <w:jc w:val="right"/>
            <w:rPr>
              <w:rFonts w:ascii="Palatino Linotype" w:hAnsi="Palatino Linotype" w:cs="Arial"/>
              <w:b/>
              <w:sz w:val="24"/>
            </w:rPr>
          </w:pPr>
          <w:proofErr w:type="spellStart"/>
          <w:r w:rsidRPr="006C21F3">
            <w:rPr>
              <w:rFonts w:ascii="Palatino Linotype" w:hAnsi="Palatino Linotype" w:cs="Arial"/>
              <w:b/>
              <w:sz w:val="24"/>
            </w:rPr>
            <w:t>xxxxxxxxxxxxxxxxxxx</w:t>
          </w:r>
          <w:proofErr w:type="spellEnd"/>
          <w:r w:rsidRPr="006C21F3">
            <w:rPr>
              <w:rFonts w:ascii="Palatino Linotype" w:hAnsi="Palatino Linotype" w:cs="Arial"/>
              <w:b/>
              <w:sz w:val="24"/>
            </w:rPr>
            <w:t xml:space="preserve"> </w:t>
          </w:r>
          <w:proofErr w:type="spellStart"/>
          <w:r w:rsidRPr="006C21F3">
            <w:rPr>
              <w:rFonts w:ascii="Palatino Linotype" w:hAnsi="Palatino Linotype" w:cs="Arial"/>
              <w:b/>
              <w:sz w:val="24"/>
            </w:rPr>
            <w:t>xxxxxxxxxxxxxx</w:t>
          </w:r>
          <w:proofErr w:type="spellEnd"/>
        </w:p>
      </w:tc>
    </w:tr>
    <w:tr w:rsidR="006C21F3" w:rsidTr="004C317E">
      <w:trPr>
        <w:trHeight w:val="242"/>
      </w:trPr>
      <w:tc>
        <w:tcPr>
          <w:tcW w:w="5529" w:type="dxa"/>
          <w:hideMark/>
        </w:tcPr>
        <w:p w:rsidR="006C21F3" w:rsidRDefault="006C21F3" w:rsidP="004C317E">
          <w:pPr>
            <w:spacing w:after="0" w:line="256" w:lineRule="auto"/>
            <w:ind w:right="204"/>
            <w:jc w:val="right"/>
            <w:rPr>
              <w:rFonts w:ascii="Palatino Linotype" w:hAnsi="Palatino Linotype" w:cs="Arial"/>
              <w:b/>
              <w:szCs w:val="20"/>
            </w:rPr>
          </w:pPr>
          <w:r>
            <w:rPr>
              <w:rFonts w:ascii="Palatino Linotype" w:hAnsi="Palatino Linotype" w:cs="Arial"/>
              <w:b/>
              <w:szCs w:val="20"/>
            </w:rPr>
            <w:t>Sujeto Obligado:</w:t>
          </w:r>
        </w:p>
      </w:tc>
      <w:tc>
        <w:tcPr>
          <w:tcW w:w="4536" w:type="dxa"/>
          <w:hideMark/>
        </w:tcPr>
        <w:p w:rsidR="006C21F3" w:rsidRPr="00F472E8" w:rsidRDefault="006C21F3" w:rsidP="004C317E">
          <w:pPr>
            <w:spacing w:after="0" w:line="256" w:lineRule="auto"/>
            <w:ind w:right="214"/>
            <w:jc w:val="right"/>
            <w:rPr>
              <w:rFonts w:ascii="Palatino Linotype" w:hAnsi="Palatino Linotype" w:cs="Arial"/>
              <w:sz w:val="24"/>
              <w:szCs w:val="20"/>
            </w:rPr>
          </w:pPr>
          <w:r w:rsidRPr="002766B3">
            <w:rPr>
              <w:rFonts w:ascii="Palatino Linotype" w:hAnsi="Palatino Linotype" w:cs="Arial"/>
              <w:sz w:val="24"/>
              <w:szCs w:val="20"/>
            </w:rPr>
            <w:t>Ayuntamiento de Cuautitlán</w:t>
          </w:r>
        </w:p>
      </w:tc>
    </w:tr>
    <w:tr w:rsidR="006C21F3" w:rsidTr="004C317E">
      <w:trPr>
        <w:trHeight w:val="342"/>
      </w:trPr>
      <w:tc>
        <w:tcPr>
          <w:tcW w:w="5529" w:type="dxa"/>
          <w:hideMark/>
        </w:tcPr>
        <w:p w:rsidR="006C21F3" w:rsidRDefault="006C21F3" w:rsidP="004C317E">
          <w:pPr>
            <w:tabs>
              <w:tab w:val="left" w:pos="4892"/>
            </w:tabs>
            <w:spacing w:after="0" w:line="256" w:lineRule="auto"/>
            <w:ind w:right="204"/>
            <w:jc w:val="right"/>
            <w:rPr>
              <w:rFonts w:ascii="Palatino Linotype" w:hAnsi="Palatino Linotype" w:cs="Arial"/>
              <w:b/>
              <w:szCs w:val="20"/>
            </w:rPr>
          </w:pPr>
          <w:r>
            <w:rPr>
              <w:rFonts w:ascii="Palatino Linotype" w:hAnsi="Palatino Linotype" w:cs="Arial"/>
              <w:b/>
              <w:szCs w:val="20"/>
            </w:rPr>
            <w:t>Comisionada Ponente:</w:t>
          </w:r>
        </w:p>
      </w:tc>
      <w:tc>
        <w:tcPr>
          <w:tcW w:w="4536" w:type="dxa"/>
          <w:hideMark/>
        </w:tcPr>
        <w:p w:rsidR="006C21F3" w:rsidRDefault="006C21F3" w:rsidP="004C317E">
          <w:pPr>
            <w:spacing w:after="0" w:line="256" w:lineRule="auto"/>
            <w:ind w:left="639" w:right="214"/>
            <w:jc w:val="right"/>
            <w:rPr>
              <w:rFonts w:ascii="Palatino Linotype" w:hAnsi="Palatino Linotype" w:cs="Arial"/>
              <w:szCs w:val="20"/>
            </w:rPr>
          </w:pPr>
          <w:r w:rsidRPr="00F472E8">
            <w:rPr>
              <w:rFonts w:ascii="Palatino Linotype" w:hAnsi="Palatino Linotype" w:cs="Arial"/>
              <w:sz w:val="24"/>
              <w:szCs w:val="20"/>
            </w:rPr>
            <w:t>Zulema Martínez Sánchez</w:t>
          </w:r>
        </w:p>
      </w:tc>
    </w:tr>
  </w:tbl>
  <w:p w:rsidR="006C21F3" w:rsidRPr="00696691" w:rsidRDefault="006C21F3" w:rsidP="004C317E">
    <w:pPr>
      <w:pStyle w:val="Encabezado"/>
      <w:rPr>
        <w:sz w:val="16"/>
      </w:rPr>
    </w:pPr>
    <w:r>
      <w:rPr>
        <w:noProof/>
        <w:sz w:val="16"/>
        <w:lang w:val="es-MX" w:eastAsia="es-MX"/>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593593" o:spid="_x0000_s2049" type="#_x0000_t75" style="position:absolute;margin-left:-82.3pt;margin-top:-136.8pt;width:609.4pt;height:793.75pt;z-index:-251658240;mso-position-horizontal-relative:margin;mso-position-vertical-relative:margin" o:allowincell="f">
          <v:imagedata r:id="rId1" o:title="logo infoem (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23234"/>
    <w:multiLevelType w:val="hybridMultilevel"/>
    <w:tmpl w:val="09A41C74"/>
    <w:lvl w:ilvl="0" w:tplc="D53C1576">
      <w:start w:val="1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5471EE3"/>
    <w:multiLevelType w:val="hybridMultilevel"/>
    <w:tmpl w:val="71CAF18A"/>
    <w:lvl w:ilvl="0" w:tplc="F202EA0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5B115B8"/>
    <w:multiLevelType w:val="hybridMultilevel"/>
    <w:tmpl w:val="E802404E"/>
    <w:lvl w:ilvl="0" w:tplc="40A46832">
      <w:start w:val="13"/>
      <w:numFmt w:val="decimal"/>
      <w:lvlText w:val="%1."/>
      <w:lvlJc w:val="left"/>
      <w:pPr>
        <w:ind w:left="720" w:hanging="360"/>
      </w:pPr>
      <w:rPr>
        <w:rFonts w:cstheme="minorBidi" w:hint="default"/>
        <w:b/>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6DA7F76"/>
    <w:multiLevelType w:val="hybridMultilevel"/>
    <w:tmpl w:val="8020AFE4"/>
    <w:lvl w:ilvl="0" w:tplc="ABCA19E4">
      <w:numFmt w:val="bullet"/>
      <w:lvlText w:val=""/>
      <w:lvlJc w:val="left"/>
      <w:pPr>
        <w:ind w:left="720" w:hanging="360"/>
      </w:pPr>
      <w:rPr>
        <w:rFonts w:ascii="Symbol" w:eastAsiaTheme="minorHAns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79D3100"/>
    <w:multiLevelType w:val="hybridMultilevel"/>
    <w:tmpl w:val="C6868C0C"/>
    <w:lvl w:ilvl="0" w:tplc="11D8D87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B7F2CF1"/>
    <w:multiLevelType w:val="hybridMultilevel"/>
    <w:tmpl w:val="E1A61B6E"/>
    <w:lvl w:ilvl="0" w:tplc="46745498">
      <w:start w:val="1"/>
      <w:numFmt w:val="upperRoman"/>
      <w:lvlText w:val="%1."/>
      <w:lvlJc w:val="left"/>
      <w:pPr>
        <w:ind w:left="1571" w:hanging="720"/>
      </w:pPr>
      <w:rPr>
        <w:rFonts w:hint="default"/>
        <w:b/>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6">
    <w:nsid w:val="0D9E2B3F"/>
    <w:multiLevelType w:val="hybridMultilevel"/>
    <w:tmpl w:val="35A2F5C2"/>
    <w:lvl w:ilvl="0" w:tplc="CEE81992">
      <w:start w:val="1"/>
      <w:numFmt w:val="decimal"/>
      <w:lvlText w:val="%1."/>
      <w:lvlJc w:val="left"/>
      <w:pPr>
        <w:ind w:left="720" w:hanging="360"/>
      </w:pPr>
      <w:rPr>
        <w:rFonts w:eastAsiaTheme="minorHAnsi" w:cstheme="minorBidi" w:hint="default"/>
        <w:b/>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0F5728F2"/>
    <w:multiLevelType w:val="hybridMultilevel"/>
    <w:tmpl w:val="BEE60F72"/>
    <w:lvl w:ilvl="0" w:tplc="F286B25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04259F4"/>
    <w:multiLevelType w:val="hybridMultilevel"/>
    <w:tmpl w:val="D5FA98E8"/>
    <w:lvl w:ilvl="0" w:tplc="9F7CC402">
      <w:start w:val="6"/>
      <w:numFmt w:val="decimal"/>
      <w:lvlText w:val="%1."/>
      <w:lvlJc w:val="lef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14D437BB"/>
    <w:multiLevelType w:val="hybridMultilevel"/>
    <w:tmpl w:val="5C4C2558"/>
    <w:lvl w:ilvl="0" w:tplc="080A0001">
      <w:start w:val="29"/>
      <w:numFmt w:val="bullet"/>
      <w:lvlText w:val=""/>
      <w:lvlJc w:val="left"/>
      <w:pPr>
        <w:ind w:left="720" w:hanging="360"/>
      </w:pPr>
      <w:rPr>
        <w:rFonts w:ascii="Symbol" w:eastAsia="Times New Roman"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15F4654D"/>
    <w:multiLevelType w:val="hybridMultilevel"/>
    <w:tmpl w:val="7DCC7B78"/>
    <w:lvl w:ilvl="0" w:tplc="2B64FF3A">
      <w:start w:val="17"/>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1EA97006"/>
    <w:multiLevelType w:val="hybridMultilevel"/>
    <w:tmpl w:val="FBDE0FE4"/>
    <w:lvl w:ilvl="0" w:tplc="C88A04EA">
      <w:numFmt w:val="bullet"/>
      <w:lvlText w:val=""/>
      <w:lvlJc w:val="left"/>
      <w:pPr>
        <w:ind w:left="720" w:hanging="360"/>
      </w:pPr>
      <w:rPr>
        <w:rFonts w:ascii="Symbol" w:eastAsiaTheme="minorHAnsi" w:hAnsi="Symbol" w:cs="Aria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A4C5947"/>
    <w:multiLevelType w:val="hybridMultilevel"/>
    <w:tmpl w:val="4DE6DEF0"/>
    <w:lvl w:ilvl="0" w:tplc="F8B6EEEC">
      <w:start w:val="1"/>
      <w:numFmt w:val="upperRoman"/>
      <w:lvlText w:val="%1."/>
      <w:lvlJc w:val="left"/>
      <w:pPr>
        <w:ind w:left="1422" w:hanging="855"/>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3">
    <w:nsid w:val="2C586A65"/>
    <w:multiLevelType w:val="hybridMultilevel"/>
    <w:tmpl w:val="F2869C76"/>
    <w:lvl w:ilvl="0" w:tplc="055E5B74">
      <w:start w:val="5"/>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30F72F60"/>
    <w:multiLevelType w:val="hybridMultilevel"/>
    <w:tmpl w:val="35A2F5C2"/>
    <w:lvl w:ilvl="0" w:tplc="CEE81992">
      <w:start w:val="1"/>
      <w:numFmt w:val="decimal"/>
      <w:lvlText w:val="%1."/>
      <w:lvlJc w:val="left"/>
      <w:pPr>
        <w:ind w:left="720" w:hanging="360"/>
      </w:pPr>
      <w:rPr>
        <w:rFonts w:eastAsiaTheme="minorHAnsi" w:cstheme="minorBidi" w:hint="default"/>
        <w:b/>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2273548"/>
    <w:multiLevelType w:val="hybridMultilevel"/>
    <w:tmpl w:val="D5DE1D58"/>
    <w:lvl w:ilvl="0" w:tplc="40B4B65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2406E06"/>
    <w:multiLevelType w:val="hybridMultilevel"/>
    <w:tmpl w:val="BAE8FBF8"/>
    <w:lvl w:ilvl="0" w:tplc="F3EC5DB2">
      <w:start w:val="1"/>
      <w:numFmt w:val="decimal"/>
      <w:lvlText w:val="%1."/>
      <w:lvlJc w:val="left"/>
      <w:pPr>
        <w:ind w:left="2258" w:hanging="720"/>
      </w:pPr>
      <w:rPr>
        <w:rFonts w:hint="default"/>
        <w:b/>
      </w:rPr>
    </w:lvl>
    <w:lvl w:ilvl="1" w:tplc="080A0019" w:tentative="1">
      <w:start w:val="1"/>
      <w:numFmt w:val="lowerLetter"/>
      <w:lvlText w:val="%2."/>
      <w:lvlJc w:val="left"/>
      <w:pPr>
        <w:ind w:left="2210" w:hanging="360"/>
      </w:pPr>
    </w:lvl>
    <w:lvl w:ilvl="2" w:tplc="080A001B" w:tentative="1">
      <w:start w:val="1"/>
      <w:numFmt w:val="lowerRoman"/>
      <w:lvlText w:val="%3."/>
      <w:lvlJc w:val="right"/>
      <w:pPr>
        <w:ind w:left="2930" w:hanging="180"/>
      </w:pPr>
    </w:lvl>
    <w:lvl w:ilvl="3" w:tplc="080A000F" w:tentative="1">
      <w:start w:val="1"/>
      <w:numFmt w:val="decimal"/>
      <w:lvlText w:val="%4."/>
      <w:lvlJc w:val="left"/>
      <w:pPr>
        <w:ind w:left="3650" w:hanging="360"/>
      </w:pPr>
    </w:lvl>
    <w:lvl w:ilvl="4" w:tplc="080A0019" w:tentative="1">
      <w:start w:val="1"/>
      <w:numFmt w:val="lowerLetter"/>
      <w:lvlText w:val="%5."/>
      <w:lvlJc w:val="left"/>
      <w:pPr>
        <w:ind w:left="4370" w:hanging="360"/>
      </w:pPr>
    </w:lvl>
    <w:lvl w:ilvl="5" w:tplc="080A001B" w:tentative="1">
      <w:start w:val="1"/>
      <w:numFmt w:val="lowerRoman"/>
      <w:lvlText w:val="%6."/>
      <w:lvlJc w:val="right"/>
      <w:pPr>
        <w:ind w:left="5090" w:hanging="180"/>
      </w:pPr>
    </w:lvl>
    <w:lvl w:ilvl="6" w:tplc="080A000F" w:tentative="1">
      <w:start w:val="1"/>
      <w:numFmt w:val="decimal"/>
      <w:lvlText w:val="%7."/>
      <w:lvlJc w:val="left"/>
      <w:pPr>
        <w:ind w:left="5810" w:hanging="360"/>
      </w:pPr>
    </w:lvl>
    <w:lvl w:ilvl="7" w:tplc="080A0019" w:tentative="1">
      <w:start w:val="1"/>
      <w:numFmt w:val="lowerLetter"/>
      <w:lvlText w:val="%8."/>
      <w:lvlJc w:val="left"/>
      <w:pPr>
        <w:ind w:left="6530" w:hanging="360"/>
      </w:pPr>
    </w:lvl>
    <w:lvl w:ilvl="8" w:tplc="080A001B" w:tentative="1">
      <w:start w:val="1"/>
      <w:numFmt w:val="lowerRoman"/>
      <w:lvlText w:val="%9."/>
      <w:lvlJc w:val="right"/>
      <w:pPr>
        <w:ind w:left="7250" w:hanging="180"/>
      </w:pPr>
    </w:lvl>
  </w:abstractNum>
  <w:abstractNum w:abstractNumId="17">
    <w:nsid w:val="33CC5F72"/>
    <w:multiLevelType w:val="hybridMultilevel"/>
    <w:tmpl w:val="857EC99C"/>
    <w:lvl w:ilvl="0" w:tplc="B9F45384">
      <w:numFmt w:val="bullet"/>
      <w:lvlText w:val=""/>
      <w:lvlJc w:val="left"/>
      <w:pPr>
        <w:ind w:left="720" w:hanging="360"/>
      </w:pPr>
      <w:rPr>
        <w:rFonts w:ascii="Symbol" w:eastAsiaTheme="minorHAnsi" w:hAnsi="Symbol" w:cstheme="minorBidi"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373530B1"/>
    <w:multiLevelType w:val="hybridMultilevel"/>
    <w:tmpl w:val="B6C4F5E0"/>
    <w:lvl w:ilvl="0" w:tplc="22AEF9CE">
      <w:start w:val="1"/>
      <w:numFmt w:val="upperRoman"/>
      <w:lvlText w:val="%1."/>
      <w:lvlJc w:val="left"/>
      <w:pPr>
        <w:ind w:left="1488" w:hanging="720"/>
      </w:pPr>
      <w:rPr>
        <w:rFonts w:hint="default"/>
        <w:b/>
      </w:rPr>
    </w:lvl>
    <w:lvl w:ilvl="1" w:tplc="080A0019" w:tentative="1">
      <w:start w:val="1"/>
      <w:numFmt w:val="lowerLetter"/>
      <w:lvlText w:val="%2."/>
      <w:lvlJc w:val="left"/>
      <w:pPr>
        <w:ind w:left="1848" w:hanging="360"/>
      </w:pPr>
    </w:lvl>
    <w:lvl w:ilvl="2" w:tplc="080A001B" w:tentative="1">
      <w:start w:val="1"/>
      <w:numFmt w:val="lowerRoman"/>
      <w:lvlText w:val="%3."/>
      <w:lvlJc w:val="right"/>
      <w:pPr>
        <w:ind w:left="2568" w:hanging="180"/>
      </w:pPr>
    </w:lvl>
    <w:lvl w:ilvl="3" w:tplc="080A000F" w:tentative="1">
      <w:start w:val="1"/>
      <w:numFmt w:val="decimal"/>
      <w:lvlText w:val="%4."/>
      <w:lvlJc w:val="left"/>
      <w:pPr>
        <w:ind w:left="3288" w:hanging="360"/>
      </w:pPr>
    </w:lvl>
    <w:lvl w:ilvl="4" w:tplc="080A0019" w:tentative="1">
      <w:start w:val="1"/>
      <w:numFmt w:val="lowerLetter"/>
      <w:lvlText w:val="%5."/>
      <w:lvlJc w:val="left"/>
      <w:pPr>
        <w:ind w:left="4008" w:hanging="360"/>
      </w:pPr>
    </w:lvl>
    <w:lvl w:ilvl="5" w:tplc="080A001B" w:tentative="1">
      <w:start w:val="1"/>
      <w:numFmt w:val="lowerRoman"/>
      <w:lvlText w:val="%6."/>
      <w:lvlJc w:val="right"/>
      <w:pPr>
        <w:ind w:left="4728" w:hanging="180"/>
      </w:pPr>
    </w:lvl>
    <w:lvl w:ilvl="6" w:tplc="080A000F" w:tentative="1">
      <w:start w:val="1"/>
      <w:numFmt w:val="decimal"/>
      <w:lvlText w:val="%7."/>
      <w:lvlJc w:val="left"/>
      <w:pPr>
        <w:ind w:left="5448" w:hanging="360"/>
      </w:pPr>
    </w:lvl>
    <w:lvl w:ilvl="7" w:tplc="080A0019" w:tentative="1">
      <w:start w:val="1"/>
      <w:numFmt w:val="lowerLetter"/>
      <w:lvlText w:val="%8."/>
      <w:lvlJc w:val="left"/>
      <w:pPr>
        <w:ind w:left="6168" w:hanging="360"/>
      </w:pPr>
    </w:lvl>
    <w:lvl w:ilvl="8" w:tplc="080A001B" w:tentative="1">
      <w:start w:val="1"/>
      <w:numFmt w:val="lowerRoman"/>
      <w:lvlText w:val="%9."/>
      <w:lvlJc w:val="right"/>
      <w:pPr>
        <w:ind w:left="6888" w:hanging="180"/>
      </w:pPr>
    </w:lvl>
  </w:abstractNum>
  <w:abstractNum w:abstractNumId="19">
    <w:nsid w:val="38914BF3"/>
    <w:multiLevelType w:val="hybridMultilevel"/>
    <w:tmpl w:val="C8E8FF3E"/>
    <w:lvl w:ilvl="0" w:tplc="8A72C36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38985675"/>
    <w:multiLevelType w:val="hybridMultilevel"/>
    <w:tmpl w:val="B0F2AB02"/>
    <w:lvl w:ilvl="0" w:tplc="080A0017">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3A7B47DB"/>
    <w:multiLevelType w:val="hybridMultilevel"/>
    <w:tmpl w:val="4F02829E"/>
    <w:lvl w:ilvl="0" w:tplc="591C23FC">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440C4DDE"/>
    <w:multiLevelType w:val="hybridMultilevel"/>
    <w:tmpl w:val="5F325DD4"/>
    <w:lvl w:ilvl="0" w:tplc="131A2E84">
      <w:start w:val="1"/>
      <w:numFmt w:val="decimal"/>
      <w:lvlText w:val="%1."/>
      <w:lvlJc w:val="lef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4EFC582C"/>
    <w:multiLevelType w:val="hybridMultilevel"/>
    <w:tmpl w:val="C9A69E02"/>
    <w:lvl w:ilvl="0" w:tplc="080A0017">
      <w:start w:val="1"/>
      <w:numFmt w:val="lowerLetter"/>
      <w:lvlText w:val="%1)"/>
      <w:lvlJc w:val="left"/>
      <w:pPr>
        <w:ind w:left="1287" w:hanging="360"/>
      </w:p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24">
    <w:nsid w:val="4F7A48F3"/>
    <w:multiLevelType w:val="hybridMultilevel"/>
    <w:tmpl w:val="35A2F5C2"/>
    <w:lvl w:ilvl="0" w:tplc="CEE81992">
      <w:start w:val="1"/>
      <w:numFmt w:val="decimal"/>
      <w:lvlText w:val="%1."/>
      <w:lvlJc w:val="left"/>
      <w:pPr>
        <w:ind w:left="720" w:hanging="360"/>
      </w:pPr>
      <w:rPr>
        <w:rFonts w:eastAsiaTheme="minorHAnsi" w:cstheme="minorBidi" w:hint="default"/>
        <w:b/>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52D508F6"/>
    <w:multiLevelType w:val="hybridMultilevel"/>
    <w:tmpl w:val="511AB748"/>
    <w:lvl w:ilvl="0" w:tplc="BBDEB6E0">
      <w:start w:val="1"/>
      <w:numFmt w:val="decimal"/>
      <w:lvlText w:val="%1."/>
      <w:lvlJc w:val="lef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38D112A"/>
    <w:multiLevelType w:val="hybridMultilevel"/>
    <w:tmpl w:val="7C02E586"/>
    <w:lvl w:ilvl="0" w:tplc="080A0001">
      <w:start w:val="1"/>
      <w:numFmt w:val="bullet"/>
      <w:lvlText w:val=""/>
      <w:lvlJc w:val="left"/>
      <w:pPr>
        <w:ind w:left="1571" w:hanging="360"/>
      </w:pPr>
      <w:rPr>
        <w:rFonts w:ascii="Symbol" w:hAnsi="Symbol" w:hint="default"/>
      </w:rPr>
    </w:lvl>
    <w:lvl w:ilvl="1" w:tplc="080A0003" w:tentative="1">
      <w:start w:val="1"/>
      <w:numFmt w:val="bullet"/>
      <w:lvlText w:val="o"/>
      <w:lvlJc w:val="left"/>
      <w:pPr>
        <w:ind w:left="2291" w:hanging="360"/>
      </w:pPr>
      <w:rPr>
        <w:rFonts w:ascii="Courier New" w:hAnsi="Courier New" w:cs="Courier New"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cs="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cs="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27">
    <w:nsid w:val="5C6976A2"/>
    <w:multiLevelType w:val="hybridMultilevel"/>
    <w:tmpl w:val="35A2F5C2"/>
    <w:lvl w:ilvl="0" w:tplc="CEE81992">
      <w:start w:val="1"/>
      <w:numFmt w:val="decimal"/>
      <w:lvlText w:val="%1."/>
      <w:lvlJc w:val="left"/>
      <w:pPr>
        <w:ind w:left="720" w:hanging="360"/>
      </w:pPr>
      <w:rPr>
        <w:rFonts w:eastAsiaTheme="minorHAnsi" w:cstheme="minorBidi" w:hint="default"/>
        <w:b/>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5EB93C11"/>
    <w:multiLevelType w:val="hybridMultilevel"/>
    <w:tmpl w:val="DC4861CC"/>
    <w:lvl w:ilvl="0" w:tplc="270AF41C">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5F5D4588"/>
    <w:multiLevelType w:val="hybridMultilevel"/>
    <w:tmpl w:val="99B67834"/>
    <w:lvl w:ilvl="0" w:tplc="080A0001">
      <w:start w:val="1"/>
      <w:numFmt w:val="bullet"/>
      <w:lvlText w:val=""/>
      <w:lvlJc w:val="left"/>
      <w:pPr>
        <w:ind w:left="773" w:hanging="360"/>
      </w:pPr>
      <w:rPr>
        <w:rFonts w:ascii="Symbol" w:hAnsi="Symbol" w:hint="default"/>
      </w:rPr>
    </w:lvl>
    <w:lvl w:ilvl="1" w:tplc="080A0003" w:tentative="1">
      <w:start w:val="1"/>
      <w:numFmt w:val="bullet"/>
      <w:lvlText w:val="o"/>
      <w:lvlJc w:val="left"/>
      <w:pPr>
        <w:ind w:left="1493" w:hanging="360"/>
      </w:pPr>
      <w:rPr>
        <w:rFonts w:ascii="Courier New" w:hAnsi="Courier New" w:cs="Courier New" w:hint="default"/>
      </w:rPr>
    </w:lvl>
    <w:lvl w:ilvl="2" w:tplc="080A0005" w:tentative="1">
      <w:start w:val="1"/>
      <w:numFmt w:val="bullet"/>
      <w:lvlText w:val=""/>
      <w:lvlJc w:val="left"/>
      <w:pPr>
        <w:ind w:left="2213" w:hanging="360"/>
      </w:pPr>
      <w:rPr>
        <w:rFonts w:ascii="Wingdings" w:hAnsi="Wingdings" w:hint="default"/>
      </w:rPr>
    </w:lvl>
    <w:lvl w:ilvl="3" w:tplc="080A0001" w:tentative="1">
      <w:start w:val="1"/>
      <w:numFmt w:val="bullet"/>
      <w:lvlText w:val=""/>
      <w:lvlJc w:val="left"/>
      <w:pPr>
        <w:ind w:left="2933" w:hanging="360"/>
      </w:pPr>
      <w:rPr>
        <w:rFonts w:ascii="Symbol" w:hAnsi="Symbol" w:hint="default"/>
      </w:rPr>
    </w:lvl>
    <w:lvl w:ilvl="4" w:tplc="080A0003" w:tentative="1">
      <w:start w:val="1"/>
      <w:numFmt w:val="bullet"/>
      <w:lvlText w:val="o"/>
      <w:lvlJc w:val="left"/>
      <w:pPr>
        <w:ind w:left="3653" w:hanging="360"/>
      </w:pPr>
      <w:rPr>
        <w:rFonts w:ascii="Courier New" w:hAnsi="Courier New" w:cs="Courier New" w:hint="default"/>
      </w:rPr>
    </w:lvl>
    <w:lvl w:ilvl="5" w:tplc="080A0005" w:tentative="1">
      <w:start w:val="1"/>
      <w:numFmt w:val="bullet"/>
      <w:lvlText w:val=""/>
      <w:lvlJc w:val="left"/>
      <w:pPr>
        <w:ind w:left="4373" w:hanging="360"/>
      </w:pPr>
      <w:rPr>
        <w:rFonts w:ascii="Wingdings" w:hAnsi="Wingdings" w:hint="default"/>
      </w:rPr>
    </w:lvl>
    <w:lvl w:ilvl="6" w:tplc="080A0001" w:tentative="1">
      <w:start w:val="1"/>
      <w:numFmt w:val="bullet"/>
      <w:lvlText w:val=""/>
      <w:lvlJc w:val="left"/>
      <w:pPr>
        <w:ind w:left="5093" w:hanging="360"/>
      </w:pPr>
      <w:rPr>
        <w:rFonts w:ascii="Symbol" w:hAnsi="Symbol" w:hint="default"/>
      </w:rPr>
    </w:lvl>
    <w:lvl w:ilvl="7" w:tplc="080A0003" w:tentative="1">
      <w:start w:val="1"/>
      <w:numFmt w:val="bullet"/>
      <w:lvlText w:val="o"/>
      <w:lvlJc w:val="left"/>
      <w:pPr>
        <w:ind w:left="5813" w:hanging="360"/>
      </w:pPr>
      <w:rPr>
        <w:rFonts w:ascii="Courier New" w:hAnsi="Courier New" w:cs="Courier New" w:hint="default"/>
      </w:rPr>
    </w:lvl>
    <w:lvl w:ilvl="8" w:tplc="080A0005" w:tentative="1">
      <w:start w:val="1"/>
      <w:numFmt w:val="bullet"/>
      <w:lvlText w:val=""/>
      <w:lvlJc w:val="left"/>
      <w:pPr>
        <w:ind w:left="6533" w:hanging="360"/>
      </w:pPr>
      <w:rPr>
        <w:rFonts w:ascii="Wingdings" w:hAnsi="Wingdings" w:hint="default"/>
      </w:rPr>
    </w:lvl>
  </w:abstractNum>
  <w:abstractNum w:abstractNumId="30">
    <w:nsid w:val="63E51343"/>
    <w:multiLevelType w:val="hybridMultilevel"/>
    <w:tmpl w:val="F0464C62"/>
    <w:lvl w:ilvl="0" w:tplc="C4DE36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67591656"/>
    <w:multiLevelType w:val="hybridMultilevel"/>
    <w:tmpl w:val="35A2F5C2"/>
    <w:lvl w:ilvl="0" w:tplc="CEE81992">
      <w:start w:val="1"/>
      <w:numFmt w:val="decimal"/>
      <w:lvlText w:val="%1."/>
      <w:lvlJc w:val="left"/>
      <w:pPr>
        <w:ind w:left="720" w:hanging="360"/>
      </w:pPr>
      <w:rPr>
        <w:rFonts w:eastAsiaTheme="minorHAnsi" w:cstheme="minorBidi" w:hint="default"/>
        <w:b/>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692167DA"/>
    <w:multiLevelType w:val="hybridMultilevel"/>
    <w:tmpl w:val="AB185334"/>
    <w:lvl w:ilvl="0" w:tplc="6232796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6AA0407A"/>
    <w:multiLevelType w:val="hybridMultilevel"/>
    <w:tmpl w:val="41D8750E"/>
    <w:lvl w:ilvl="0" w:tplc="14F8B11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7C8A1A72"/>
    <w:multiLevelType w:val="hybridMultilevel"/>
    <w:tmpl w:val="9DDA23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7D3E0EBE"/>
    <w:multiLevelType w:val="hybridMultilevel"/>
    <w:tmpl w:val="8C6EFEC6"/>
    <w:lvl w:ilvl="0" w:tplc="A6F0CDA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F6524CE"/>
    <w:multiLevelType w:val="hybridMultilevel"/>
    <w:tmpl w:val="FCFAAAEA"/>
    <w:lvl w:ilvl="0" w:tplc="458C6932">
      <w:start w:val="3"/>
      <w:numFmt w:val="decimal"/>
      <w:lvlText w:val="%1."/>
      <w:lvlJc w:val="left"/>
      <w:pPr>
        <w:ind w:left="720" w:hanging="360"/>
      </w:pPr>
      <w:rPr>
        <w:rFonts w:cs="Aria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7FA41715"/>
    <w:multiLevelType w:val="hybridMultilevel"/>
    <w:tmpl w:val="5AD40A80"/>
    <w:lvl w:ilvl="0" w:tplc="122EC3E8">
      <w:start w:val="12"/>
      <w:numFmt w:val="bullet"/>
      <w:lvlText w:val="-"/>
      <w:lvlJc w:val="left"/>
      <w:pPr>
        <w:ind w:left="720" w:hanging="360"/>
      </w:pPr>
      <w:rPr>
        <w:rFonts w:ascii="Palatino Linotype" w:eastAsia="Times New Roman" w:hAnsi="Palatino Linotype" w:cs="Times New Roman"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30"/>
  </w:num>
  <w:num w:numId="4">
    <w:abstractNumId w:val="33"/>
  </w:num>
  <w:num w:numId="5">
    <w:abstractNumId w:val="11"/>
  </w:num>
  <w:num w:numId="6">
    <w:abstractNumId w:val="7"/>
  </w:num>
  <w:num w:numId="7">
    <w:abstractNumId w:val="26"/>
  </w:num>
  <w:num w:numId="8">
    <w:abstractNumId w:val="4"/>
  </w:num>
  <w:num w:numId="9">
    <w:abstractNumId w:val="32"/>
  </w:num>
  <w:num w:numId="10">
    <w:abstractNumId w:val="37"/>
  </w:num>
  <w:num w:numId="11">
    <w:abstractNumId w:val="3"/>
  </w:num>
  <w:num w:numId="12">
    <w:abstractNumId w:val="35"/>
  </w:num>
  <w:num w:numId="13">
    <w:abstractNumId w:val="18"/>
  </w:num>
  <w:num w:numId="14">
    <w:abstractNumId w:val="16"/>
  </w:num>
  <w:num w:numId="15">
    <w:abstractNumId w:val="21"/>
  </w:num>
  <w:num w:numId="16">
    <w:abstractNumId w:val="24"/>
  </w:num>
  <w:num w:numId="17">
    <w:abstractNumId w:val="27"/>
  </w:num>
  <w:num w:numId="18">
    <w:abstractNumId w:val="6"/>
  </w:num>
  <w:num w:numId="19">
    <w:abstractNumId w:val="14"/>
  </w:num>
  <w:num w:numId="20">
    <w:abstractNumId w:val="31"/>
  </w:num>
  <w:num w:numId="21">
    <w:abstractNumId w:val="9"/>
  </w:num>
  <w:num w:numId="22">
    <w:abstractNumId w:val="1"/>
  </w:num>
  <w:num w:numId="23">
    <w:abstractNumId w:val="28"/>
  </w:num>
  <w:num w:numId="24">
    <w:abstractNumId w:val="19"/>
  </w:num>
  <w:num w:numId="25">
    <w:abstractNumId w:val="29"/>
  </w:num>
  <w:num w:numId="26">
    <w:abstractNumId w:val="34"/>
  </w:num>
  <w:num w:numId="27">
    <w:abstractNumId w:val="22"/>
  </w:num>
  <w:num w:numId="28">
    <w:abstractNumId w:val="25"/>
  </w:num>
  <w:num w:numId="29">
    <w:abstractNumId w:val="8"/>
  </w:num>
  <w:num w:numId="30">
    <w:abstractNumId w:val="0"/>
  </w:num>
  <w:num w:numId="31">
    <w:abstractNumId w:val="10"/>
  </w:num>
  <w:num w:numId="32">
    <w:abstractNumId w:val="36"/>
  </w:num>
  <w:num w:numId="33">
    <w:abstractNumId w:val="13"/>
  </w:num>
  <w:num w:numId="34">
    <w:abstractNumId w:val="2"/>
  </w:num>
  <w:num w:numId="35">
    <w:abstractNumId w:val="5"/>
  </w:num>
  <w:num w:numId="36">
    <w:abstractNumId w:val="23"/>
  </w:num>
  <w:num w:numId="37">
    <w:abstractNumId w:val="12"/>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BCD"/>
    <w:rsid w:val="000D558D"/>
    <w:rsid w:val="00144F18"/>
    <w:rsid w:val="00325474"/>
    <w:rsid w:val="003B6C05"/>
    <w:rsid w:val="004833B2"/>
    <w:rsid w:val="004C317E"/>
    <w:rsid w:val="006C21F3"/>
    <w:rsid w:val="00800857"/>
    <w:rsid w:val="009577F2"/>
    <w:rsid w:val="00A9584B"/>
    <w:rsid w:val="00E25BCD"/>
    <w:rsid w:val="00EA27DF"/>
    <w:rsid w:val="00EB088E"/>
    <w:rsid w:val="00F0515E"/>
    <w:rsid w:val="00FE26D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1C434FEF-C16A-4C34-AC88-5689A218A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BCD"/>
  </w:style>
  <w:style w:type="paragraph" w:styleId="Ttulo1">
    <w:name w:val="heading 1"/>
    <w:basedOn w:val="Normal"/>
    <w:next w:val="Normal"/>
    <w:link w:val="Ttulo1Car"/>
    <w:uiPriority w:val="9"/>
    <w:qFormat/>
    <w:rsid w:val="00E25BCD"/>
    <w:pPr>
      <w:keepNext/>
      <w:spacing w:before="240" w:after="60" w:line="240" w:lineRule="auto"/>
      <w:outlineLvl w:val="0"/>
    </w:pPr>
    <w:rPr>
      <w:rFonts w:ascii="Arial" w:eastAsia="Times New Roman" w:hAnsi="Arial" w:cs="Times New Roman"/>
      <w:b/>
      <w:bCs/>
      <w:spacing w:val="30"/>
      <w:kern w:val="32"/>
      <w:sz w:val="24"/>
      <w:szCs w:val="32"/>
      <w:lang w:val="es-ES_tradnl"/>
    </w:rPr>
  </w:style>
  <w:style w:type="paragraph" w:styleId="Ttulo2">
    <w:name w:val="heading 2"/>
    <w:basedOn w:val="Normal"/>
    <w:next w:val="Normal"/>
    <w:link w:val="Ttulo2Car"/>
    <w:uiPriority w:val="9"/>
    <w:unhideWhenUsed/>
    <w:qFormat/>
    <w:rsid w:val="00E25BC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link w:val="Ttulo4Car"/>
    <w:uiPriority w:val="9"/>
    <w:qFormat/>
    <w:rsid w:val="00E25BCD"/>
    <w:pPr>
      <w:spacing w:before="100" w:beforeAutospacing="1" w:after="100" w:afterAutospacing="1" w:line="240" w:lineRule="auto"/>
      <w:outlineLvl w:val="3"/>
    </w:pPr>
    <w:rPr>
      <w:rFonts w:ascii="Times New Roman" w:eastAsia="Times New Roman" w:hAnsi="Times New Roman" w:cs="Times New Roman"/>
      <w:b/>
      <w:bCs/>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25BCD"/>
    <w:rPr>
      <w:rFonts w:ascii="Arial" w:eastAsia="Times New Roman" w:hAnsi="Arial" w:cs="Times New Roman"/>
      <w:b/>
      <w:bCs/>
      <w:spacing w:val="30"/>
      <w:kern w:val="32"/>
      <w:sz w:val="24"/>
      <w:szCs w:val="32"/>
      <w:lang w:val="es-ES_tradnl"/>
    </w:rPr>
  </w:style>
  <w:style w:type="character" w:customStyle="1" w:styleId="Ttulo2Car">
    <w:name w:val="Título 2 Car"/>
    <w:basedOn w:val="Fuentedeprrafopredeter"/>
    <w:link w:val="Ttulo2"/>
    <w:uiPriority w:val="9"/>
    <w:rsid w:val="00E25BCD"/>
    <w:rPr>
      <w:rFonts w:asciiTheme="majorHAnsi" w:eastAsiaTheme="majorEastAsia" w:hAnsiTheme="majorHAnsi" w:cstheme="majorBidi"/>
      <w:color w:val="2E74B5" w:themeColor="accent1" w:themeShade="BF"/>
      <w:sz w:val="26"/>
      <w:szCs w:val="26"/>
    </w:rPr>
  </w:style>
  <w:style w:type="character" w:customStyle="1" w:styleId="Ttulo4Car">
    <w:name w:val="Título 4 Car"/>
    <w:basedOn w:val="Fuentedeprrafopredeter"/>
    <w:link w:val="Ttulo4"/>
    <w:uiPriority w:val="9"/>
    <w:rsid w:val="00E25BCD"/>
    <w:rPr>
      <w:rFonts w:ascii="Times New Roman" w:eastAsia="Times New Roman" w:hAnsi="Times New Roman" w:cs="Times New Roman"/>
      <w:b/>
      <w:bCs/>
      <w:sz w:val="24"/>
      <w:szCs w:val="24"/>
      <w:lang w:eastAsia="es-MX"/>
    </w:rPr>
  </w:style>
  <w:style w:type="paragraph" w:styleId="Encabezado">
    <w:name w:val="header"/>
    <w:basedOn w:val="Normal"/>
    <w:link w:val="EncabezadoCar"/>
    <w:uiPriority w:val="99"/>
    <w:unhideWhenUsed/>
    <w:rsid w:val="00E25BCD"/>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EncabezadoCar">
    <w:name w:val="Encabezado Car"/>
    <w:basedOn w:val="Fuentedeprrafopredeter"/>
    <w:link w:val="Encabezado"/>
    <w:uiPriority w:val="99"/>
    <w:rsid w:val="00E25BCD"/>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unhideWhenUsed/>
    <w:rsid w:val="00E25BCD"/>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E25BCD"/>
    <w:rPr>
      <w:rFonts w:ascii="Times New Roman" w:eastAsia="Calibri" w:hAnsi="Times New Roman" w:cs="Times New Roman"/>
      <w:sz w:val="24"/>
      <w:szCs w:val="24"/>
      <w:lang w:val="es-ES"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72"/>
    <w:qFormat/>
    <w:rsid w:val="00E25BCD"/>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72"/>
    <w:qFormat/>
    <w:locked/>
    <w:rsid w:val="00E25BCD"/>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E25BCD"/>
  </w:style>
  <w:style w:type="character" w:styleId="Refdenotaalpie">
    <w:name w:val="footnote reference"/>
    <w:aliases w:val="Footnotes refss,Texto de nota al pie,Ref. de nota al pie 2,Appel note de bas de page,referencia nota al pie,BVI fnr,Footnote number,f,4_G,16 Point,Superscript 6 Point,Texto nota al pie,Footnote Reference Char3,Ref,de nota al pie,註腳內容"/>
    <w:basedOn w:val="Fuentedeprrafopredeter"/>
    <w:uiPriority w:val="99"/>
    <w:unhideWhenUsed/>
    <w:qFormat/>
    <w:rsid w:val="00E25BCD"/>
    <w:rPr>
      <w:vertAlign w:val="superscript"/>
    </w:rPr>
  </w:style>
  <w:style w:type="character" w:styleId="Hipervnculo">
    <w:name w:val="Hyperlink"/>
    <w:aliases w:val="Hipervínculo1,Hipervínculo11,Hipervínculo12,Hipervínculo13,Hipervínculo14,Hipervínculo15"/>
    <w:basedOn w:val="Fuentedeprrafopredeter"/>
    <w:uiPriority w:val="99"/>
    <w:unhideWhenUsed/>
    <w:rsid w:val="00E25BCD"/>
    <w:rPr>
      <w:color w:val="0563C1" w:themeColor="hyperlink"/>
      <w:u w:val="single"/>
    </w:rPr>
  </w:style>
  <w:style w:type="paragraph" w:styleId="Sinespaciado">
    <w:name w:val="No Spacing"/>
    <w:aliases w:val="Francesa,INAI"/>
    <w:link w:val="SinespaciadoCar"/>
    <w:uiPriority w:val="1"/>
    <w:qFormat/>
    <w:rsid w:val="00E25BC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Francesa Car,INAI Car"/>
    <w:link w:val="Sinespaciado"/>
    <w:uiPriority w:val="1"/>
    <w:locked/>
    <w:rsid w:val="00E25BCD"/>
    <w:rPr>
      <w:rFonts w:ascii="Times New Roman" w:eastAsia="Times New Roman" w:hAnsi="Times New Roman" w:cs="Times New Roman"/>
      <w:sz w:val="24"/>
      <w:szCs w:val="24"/>
      <w:lang w:eastAsia="es-ES"/>
    </w:rPr>
  </w:style>
  <w:style w:type="table" w:styleId="Tablaconcuadrcula">
    <w:name w:val="Table Grid"/>
    <w:basedOn w:val="Tablanormal"/>
    <w:uiPriority w:val="39"/>
    <w:rsid w:val="00E25B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25BCD"/>
    <w:pPr>
      <w:autoSpaceDE w:val="0"/>
      <w:autoSpaceDN w:val="0"/>
      <w:adjustRightInd w:val="0"/>
      <w:spacing w:after="0" w:line="240" w:lineRule="auto"/>
    </w:pPr>
    <w:rPr>
      <w:rFonts w:ascii="Bookman Old Style" w:hAnsi="Bookman Old Style" w:cs="Bookman Old Style"/>
      <w:color w:val="000000"/>
      <w:sz w:val="24"/>
      <w:szCs w:val="24"/>
    </w:rPr>
  </w:style>
  <w:style w:type="paragraph" w:styleId="Textoindependiente2">
    <w:name w:val="Body Text 2"/>
    <w:basedOn w:val="Normal"/>
    <w:link w:val="Textoindependiente2Car"/>
    <w:uiPriority w:val="99"/>
    <w:unhideWhenUsed/>
    <w:rsid w:val="00E25BC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E25BCD"/>
    <w:rPr>
      <w:rFonts w:ascii="Times New Roman" w:eastAsia="Times New Roman" w:hAnsi="Times New Roman" w:cs="Times New Roman"/>
      <w:sz w:val="24"/>
      <w:szCs w:val="24"/>
      <w:lang w:val="es-ES" w:eastAsia="es-ES"/>
    </w:rPr>
  </w:style>
  <w:style w:type="character" w:customStyle="1" w:styleId="il">
    <w:name w:val="il"/>
    <w:basedOn w:val="Fuentedeprrafopredeter"/>
    <w:rsid w:val="00E25BCD"/>
  </w:style>
  <w:style w:type="paragraph" w:styleId="Textoindependiente">
    <w:name w:val="Body Text"/>
    <w:basedOn w:val="Normal"/>
    <w:link w:val="TextoindependienteCar"/>
    <w:uiPriority w:val="1"/>
    <w:unhideWhenUsed/>
    <w:qFormat/>
    <w:rsid w:val="00E25BCD"/>
    <w:pPr>
      <w:spacing w:after="120"/>
    </w:pPr>
  </w:style>
  <w:style w:type="character" w:customStyle="1" w:styleId="TextoindependienteCar">
    <w:name w:val="Texto independiente Car"/>
    <w:basedOn w:val="Fuentedeprrafopredeter"/>
    <w:link w:val="Textoindependiente"/>
    <w:uiPriority w:val="1"/>
    <w:rsid w:val="00E25BCD"/>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nhideWhenUsed/>
    <w:qFormat/>
    <w:rsid w:val="00E25BCD"/>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rsid w:val="00E25BCD"/>
    <w:rPr>
      <w:sz w:val="20"/>
      <w:szCs w:val="20"/>
    </w:rPr>
  </w:style>
  <w:style w:type="paragraph" w:customStyle="1" w:styleId="ROMANOS">
    <w:name w:val="ROMANOS"/>
    <w:basedOn w:val="Normal"/>
    <w:link w:val="ROMANOSCar"/>
    <w:rsid w:val="00E25BCD"/>
    <w:pPr>
      <w:tabs>
        <w:tab w:val="left" w:pos="720"/>
      </w:tabs>
      <w:spacing w:after="101" w:line="216" w:lineRule="exact"/>
      <w:ind w:left="720" w:hanging="432"/>
      <w:jc w:val="both"/>
    </w:pPr>
    <w:rPr>
      <w:rFonts w:ascii="Arial" w:eastAsia="Times New Roman" w:hAnsi="Arial" w:cs="Arial"/>
      <w:sz w:val="18"/>
      <w:szCs w:val="18"/>
      <w:lang w:val="es-ES" w:eastAsia="es-ES"/>
    </w:rPr>
  </w:style>
  <w:style w:type="character" w:customStyle="1" w:styleId="ROMANOSCar">
    <w:name w:val="ROMANOS Car"/>
    <w:link w:val="ROMANOS"/>
    <w:locked/>
    <w:rsid w:val="00E25BCD"/>
    <w:rPr>
      <w:rFonts w:ascii="Arial" w:eastAsia="Times New Roman" w:hAnsi="Arial" w:cs="Arial"/>
      <w:sz w:val="18"/>
      <w:szCs w:val="18"/>
      <w:lang w:val="es-ES" w:eastAsia="es-ES"/>
    </w:rPr>
  </w:style>
  <w:style w:type="character" w:styleId="Textoennegrita">
    <w:name w:val="Strong"/>
    <w:uiPriority w:val="22"/>
    <w:qFormat/>
    <w:rsid w:val="00E25BCD"/>
    <w:rPr>
      <w:b/>
      <w:bCs/>
    </w:rPr>
  </w:style>
  <w:style w:type="character" w:customStyle="1" w:styleId="TextodegloboCar">
    <w:name w:val="Texto de globo Car"/>
    <w:basedOn w:val="Fuentedeprrafopredeter"/>
    <w:link w:val="Textodeglobo"/>
    <w:uiPriority w:val="99"/>
    <w:semiHidden/>
    <w:rsid w:val="00E25BCD"/>
    <w:rPr>
      <w:rFonts w:ascii="Segoe UI" w:hAnsi="Segoe UI" w:cs="Segoe UI"/>
      <w:sz w:val="18"/>
      <w:szCs w:val="18"/>
    </w:rPr>
  </w:style>
  <w:style w:type="paragraph" w:styleId="Textodeglobo">
    <w:name w:val="Balloon Text"/>
    <w:basedOn w:val="Normal"/>
    <w:link w:val="TextodegloboCar"/>
    <w:uiPriority w:val="99"/>
    <w:semiHidden/>
    <w:unhideWhenUsed/>
    <w:rsid w:val="00E25BCD"/>
    <w:pPr>
      <w:spacing w:after="0" w:line="240" w:lineRule="auto"/>
    </w:pPr>
    <w:rPr>
      <w:rFonts w:ascii="Segoe UI" w:hAnsi="Segoe UI" w:cs="Segoe UI"/>
      <w:sz w:val="18"/>
      <w:szCs w:val="18"/>
    </w:rPr>
  </w:style>
  <w:style w:type="character" w:customStyle="1" w:styleId="TextocomentarioCar">
    <w:name w:val="Texto comentario Car"/>
    <w:basedOn w:val="Fuentedeprrafopredeter"/>
    <w:link w:val="Textocomentario"/>
    <w:uiPriority w:val="99"/>
    <w:semiHidden/>
    <w:rsid w:val="00E25BCD"/>
    <w:rPr>
      <w:sz w:val="20"/>
      <w:szCs w:val="20"/>
    </w:rPr>
  </w:style>
  <w:style w:type="paragraph" w:styleId="Textocomentario">
    <w:name w:val="annotation text"/>
    <w:basedOn w:val="Normal"/>
    <w:link w:val="TextocomentarioCar"/>
    <w:uiPriority w:val="99"/>
    <w:semiHidden/>
    <w:unhideWhenUsed/>
    <w:rsid w:val="00E25BCD"/>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E25BCD"/>
    <w:rPr>
      <w:b/>
      <w:bCs/>
      <w:sz w:val="20"/>
      <w:szCs w:val="20"/>
    </w:rPr>
  </w:style>
  <w:style w:type="paragraph" w:styleId="Asuntodelcomentario">
    <w:name w:val="annotation subject"/>
    <w:basedOn w:val="Textocomentario"/>
    <w:next w:val="Textocomentario"/>
    <w:link w:val="AsuntodelcomentarioCar"/>
    <w:uiPriority w:val="99"/>
    <w:semiHidden/>
    <w:unhideWhenUsed/>
    <w:rsid w:val="00E25BCD"/>
    <w:rPr>
      <w:b/>
      <w:bCs/>
    </w:rPr>
  </w:style>
  <w:style w:type="character" w:customStyle="1" w:styleId="apple-style-span">
    <w:name w:val="apple-style-span"/>
    <w:rsid w:val="00E25BCD"/>
  </w:style>
  <w:style w:type="paragraph" w:styleId="Textosinformato">
    <w:name w:val="Plain Text"/>
    <w:basedOn w:val="Normal"/>
    <w:link w:val="TextosinformatoCar"/>
    <w:rsid w:val="00E25BCD"/>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E25BCD"/>
    <w:rPr>
      <w:rFonts w:ascii="Courier New" w:eastAsia="Times New Roman" w:hAnsi="Courier New" w:cs="Times New Roman"/>
      <w:sz w:val="20"/>
      <w:szCs w:val="20"/>
      <w:lang w:val="es-ES" w:eastAsia="es-ES"/>
    </w:rPr>
  </w:style>
  <w:style w:type="character" w:customStyle="1" w:styleId="lbl-encabezado-negro">
    <w:name w:val="lbl-encabezado-negro"/>
    <w:basedOn w:val="Fuentedeprrafopredeter"/>
    <w:rsid w:val="00E25BCD"/>
  </w:style>
  <w:style w:type="character" w:customStyle="1" w:styleId="red">
    <w:name w:val="red"/>
    <w:basedOn w:val="Fuentedeprrafopredeter"/>
    <w:rsid w:val="00E25BCD"/>
  </w:style>
  <w:style w:type="paragraph" w:customStyle="1" w:styleId="francesa">
    <w:name w:val="francesa"/>
    <w:basedOn w:val="Normal"/>
    <w:rsid w:val="00E25BCD"/>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Pa0">
    <w:name w:val="Pa0"/>
    <w:basedOn w:val="Default"/>
    <w:next w:val="Default"/>
    <w:uiPriority w:val="99"/>
    <w:rsid w:val="00E25BCD"/>
    <w:pPr>
      <w:spacing w:line="221" w:lineRule="atLeast"/>
    </w:pPr>
    <w:rPr>
      <w:rFonts w:ascii="Arial" w:hAnsi="Arial" w:cs="Arial"/>
      <w:color w:val="auto"/>
    </w:rPr>
  </w:style>
  <w:style w:type="paragraph" w:customStyle="1" w:styleId="n2">
    <w:name w:val="n2"/>
    <w:basedOn w:val="Normal"/>
    <w:rsid w:val="00E25BC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nfasis">
    <w:name w:val="Emphasis"/>
    <w:basedOn w:val="Fuentedeprrafopredeter"/>
    <w:uiPriority w:val="20"/>
    <w:qFormat/>
    <w:rsid w:val="00E25BCD"/>
    <w:rPr>
      <w:i/>
      <w:iCs/>
    </w:rPr>
  </w:style>
  <w:style w:type="paragraph" w:customStyle="1" w:styleId="j">
    <w:name w:val="j"/>
    <w:basedOn w:val="Normal"/>
    <w:rsid w:val="00E25BCD"/>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j2">
    <w:name w:val="j2"/>
    <w:basedOn w:val="Normal"/>
    <w:rsid w:val="00E25BCD"/>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o">
    <w:name w:val="o"/>
    <w:basedOn w:val="Normal"/>
    <w:rsid w:val="00E25BC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acep">
    <w:name w:val="n_acep"/>
    <w:basedOn w:val="Fuentedeprrafopredeter"/>
    <w:rsid w:val="00E25BCD"/>
  </w:style>
  <w:style w:type="character" w:customStyle="1" w:styleId="h">
    <w:name w:val="h"/>
    <w:basedOn w:val="Fuentedeprrafopredeter"/>
    <w:rsid w:val="00E25BCD"/>
  </w:style>
  <w:style w:type="character" w:customStyle="1" w:styleId="i1">
    <w:name w:val="i1"/>
    <w:basedOn w:val="Fuentedeprrafopredeter"/>
    <w:rsid w:val="00E25BCD"/>
  </w:style>
  <w:style w:type="paragraph" w:styleId="Sangradetextonormal">
    <w:name w:val="Body Text Indent"/>
    <w:basedOn w:val="Normal"/>
    <w:link w:val="SangradetextonormalCar"/>
    <w:uiPriority w:val="99"/>
    <w:unhideWhenUsed/>
    <w:rsid w:val="00E25BCD"/>
    <w:pPr>
      <w:spacing w:after="120" w:line="276" w:lineRule="auto"/>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uiPriority w:val="99"/>
    <w:rsid w:val="00E25BCD"/>
    <w:rPr>
      <w:rFonts w:ascii="Calibri" w:eastAsia="Calibri" w:hAnsi="Calibri" w:cs="Times New Roman"/>
    </w:rPr>
  </w:style>
  <w:style w:type="paragraph" w:styleId="NormalWeb">
    <w:name w:val="Normal (Web)"/>
    <w:basedOn w:val="Normal"/>
    <w:uiPriority w:val="99"/>
    <w:rsid w:val="00E25B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translate">
    <w:name w:val="notranslate"/>
    <w:basedOn w:val="Fuentedeprrafopredeter"/>
    <w:rsid w:val="00E25B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emf"/><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header" Target="header3.xml"/><Relationship Id="rId10" Type="http://schemas.openxmlformats.org/officeDocument/2006/relationships/image" Target="media/image3.emf"/><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javascript:AbrirModal(2)" TargetMode="External"/><Relationship Id="rId1" Type="http://schemas.openxmlformats.org/officeDocument/2006/relationships/hyperlink" Target="javascript:AbrirModal(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_rels/header3.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68</Pages>
  <Words>17252</Words>
  <Characters>94889</Characters>
  <Application>Microsoft Office Word</Application>
  <DocSecurity>0</DocSecurity>
  <Lines>790</Lines>
  <Paragraphs>223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7</cp:revision>
  <dcterms:created xsi:type="dcterms:W3CDTF">2021-04-15T18:51:00Z</dcterms:created>
  <dcterms:modified xsi:type="dcterms:W3CDTF">2021-05-12T16:51:00Z</dcterms:modified>
</cp:coreProperties>
</file>