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quince de diciembre del dos mil veintiuno</w:t>
      </w:r>
      <w:r>
        <w:rPr>
          <w:rFonts w:ascii="Palatino Linotype" w:eastAsia="Palatino Linotype" w:hAnsi="Palatino Linotype" w:cs="Palatino Linotype"/>
        </w:rPr>
        <w:t>.</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04939/INFOEM/IP</w:t>
      </w:r>
      <w:r>
        <w:rPr>
          <w:rFonts w:ascii="Palatino Linotype" w:eastAsia="Palatino Linotype" w:hAnsi="Palatino Linotype" w:cs="Palatino Linotype"/>
          <w:b/>
          <w:color w:val="000000"/>
          <w:sz w:val="22"/>
          <w:szCs w:val="22"/>
        </w:rPr>
        <w:t>/RR/2021</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a quien en lo sucesivo se le denominará </w:t>
      </w:r>
      <w:r>
        <w:rPr>
          <w:rFonts w:ascii="Palatino Linotype" w:eastAsia="Palatino Linotype" w:hAnsi="Palatino Linotype" w:cs="Palatino Linotype"/>
          <w:b/>
        </w:rPr>
        <w:t>la parte</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Pr>
          <w:rFonts w:ascii="Palatino Linotype" w:eastAsia="Palatino Linotype" w:hAnsi="Palatino Linotype" w:cs="Palatino Linotype"/>
          <w:b/>
          <w:sz w:val="22"/>
          <w:szCs w:val="22"/>
        </w:rPr>
        <w:t>00115/CHIAUTLA/IP/2021</w:t>
      </w:r>
      <w:r>
        <w:rPr>
          <w:rFonts w:ascii="Palatino Linotype" w:eastAsia="Palatino Linotype" w:hAnsi="Palatino Linotype" w:cs="Palatino Linotype"/>
          <w:b/>
        </w:rPr>
        <w:t>,</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Ayuntamiento de Chiautla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rsidR="00A002CB" w:rsidRDefault="00E2079C">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A002CB" w:rsidRDefault="00E2079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nueve de septiembre del dos mil veintiuno,</w:t>
      </w:r>
      <w:r>
        <w:rPr>
          <w:rFonts w:ascii="Palatino Linotype" w:eastAsia="Palatino Linotype" w:hAnsi="Palatino Linotype" w:cs="Palatino Linotype"/>
        </w:rPr>
        <w:t xml:space="preserve"> la ahora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A002CB" w:rsidRDefault="00E2079C">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“requiero todos los avisos de privacidad del municipio” (Sic)</w:t>
      </w:r>
    </w:p>
    <w:p w:rsidR="00A002CB" w:rsidRDefault="00A002CB">
      <w:pPr>
        <w:ind w:left="851" w:right="902"/>
        <w:jc w:val="both"/>
        <w:rPr>
          <w:rFonts w:ascii="Palatino Linotype" w:eastAsia="Palatino Linotype" w:hAnsi="Palatino Linotype" w:cs="Palatino Linotype"/>
          <w:i/>
          <w:sz w:val="22"/>
          <w:szCs w:val="22"/>
        </w:rPr>
      </w:pPr>
    </w:p>
    <w:p w:rsidR="00A002CB" w:rsidRDefault="00E2079C">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uno de octubre del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SAIMEX, respuesta a la solicitud de acceso a la información de la siguiente manera:</w:t>
      </w:r>
    </w:p>
    <w:p w:rsidR="00A002CB" w:rsidRDefault="00E2079C">
      <w:pPr>
        <w:spacing w:before="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w:t>
      </w:r>
      <w:r>
        <w:rPr>
          <w:rFonts w:ascii="Palatino Linotype" w:eastAsia="Palatino Linotype" w:hAnsi="Palatino Linotype" w:cs="Palatino Linotype"/>
          <w:i/>
          <w:sz w:val="22"/>
          <w:szCs w:val="22"/>
        </w:rPr>
        <w:lastRenderedPageBreak/>
        <w:t>que: Con fundamento en el artículo 53 fracción II de la Ley de Transparencia y Acceso a la Información Pública del Estado de México y Municipios, se adjunta la respuesta a su solicitud de información pública. ATENTAMENTE Lic. en D. Roberto García Juárez” (Sic)</w:t>
      </w:r>
    </w:p>
    <w:p w:rsidR="00A002CB" w:rsidRDefault="00A002CB">
      <w:pPr>
        <w:spacing w:line="360" w:lineRule="auto"/>
        <w:jc w:val="both"/>
      </w:pPr>
    </w:p>
    <w:p w:rsidR="00A002CB" w:rsidRDefault="00E2079C">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Sujeto Obligado remitió el archivo electrónico denominado </w:t>
      </w:r>
      <w:r>
        <w:rPr>
          <w:rFonts w:ascii="Palatino Linotype" w:eastAsia="Palatino Linotype" w:hAnsi="Palatino Linotype" w:cs="Palatino Linotype"/>
          <w:b/>
          <w:i/>
        </w:rPr>
        <w:t xml:space="preserve">“RESPUESTA_TRANSPARENCIA_00115.pdf..pdf”, </w:t>
      </w:r>
      <w:r>
        <w:rPr>
          <w:rFonts w:ascii="Palatino Linotype" w:eastAsia="Palatino Linotype" w:hAnsi="Palatino Linotype" w:cs="Palatino Linotype"/>
        </w:rPr>
        <w:t>el cual se inserta a continuación para mayor referencia:</w:t>
      </w:r>
    </w:p>
    <w:p w:rsidR="00A002CB" w:rsidRDefault="00E2079C">
      <w:pPr>
        <w:spacing w:line="360" w:lineRule="auto"/>
        <w:ind w:left="567" w:right="900"/>
        <w:jc w:val="both"/>
        <w:rPr>
          <w:rFonts w:ascii="Palatino Linotype" w:eastAsia="Palatino Linotype" w:hAnsi="Palatino Linotype" w:cs="Palatino Linotype"/>
          <w:b/>
          <w:i/>
        </w:rPr>
      </w:pPr>
      <w:r>
        <w:rPr>
          <w:noProof/>
          <w:lang w:val="es-MX"/>
        </w:rPr>
        <w:drawing>
          <wp:anchor distT="0" distB="0" distL="114300" distR="114300" simplePos="0" relativeHeight="251658240" behindDoc="0" locked="0" layoutInCell="1" hidden="0" allowOverlap="1">
            <wp:simplePos x="0" y="0"/>
            <wp:positionH relativeFrom="column">
              <wp:posOffset>710565</wp:posOffset>
            </wp:positionH>
            <wp:positionV relativeFrom="paragraph">
              <wp:posOffset>228600</wp:posOffset>
            </wp:positionV>
            <wp:extent cx="4305300" cy="5591175"/>
            <wp:effectExtent l="0" t="0" r="0" b="0"/>
            <wp:wrapTopAndBottom distT="0" dist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05300" cy="5591175"/>
                    </a:xfrm>
                    <a:prstGeom prst="rect">
                      <a:avLst/>
                    </a:prstGeom>
                    <a:ln/>
                  </pic:spPr>
                </pic:pic>
              </a:graphicData>
            </a:graphic>
          </wp:anchor>
        </w:drawing>
      </w: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la parte Recurrente interpuso en fecha </w:t>
      </w:r>
      <w:r>
        <w:rPr>
          <w:rFonts w:ascii="Palatino Linotype" w:eastAsia="Palatino Linotype" w:hAnsi="Palatino Linotype" w:cs="Palatino Linotype"/>
          <w:b/>
        </w:rPr>
        <w:t>cinco de octubre del año dos mil veintiuno</w:t>
      </w:r>
      <w:r>
        <w:rPr>
          <w:rFonts w:ascii="Palatino Linotype" w:eastAsia="Palatino Linotype" w:hAnsi="Palatino Linotype" w:cs="Palatino Linotype"/>
        </w:rPr>
        <w:t>, el presente medio de impugnación expresando las siguientes manifestaciones:</w:t>
      </w:r>
    </w:p>
    <w:p w:rsidR="00A002CB" w:rsidRDefault="00A002CB">
      <w:pPr>
        <w:spacing w:line="360" w:lineRule="auto"/>
        <w:jc w:val="both"/>
        <w:rPr>
          <w:rFonts w:ascii="Palatino Linotype" w:eastAsia="Palatino Linotype" w:hAnsi="Palatino Linotype" w:cs="Palatino Linotype"/>
        </w:rPr>
      </w:pPr>
    </w:p>
    <w:p w:rsidR="00A002CB" w:rsidRDefault="00E2079C">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A002CB" w:rsidRDefault="00E2079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base en la Ley de transparencia cuando la información se encuentra disponible al publico deben entregar la información en un plazo no mayor a 5 días, por lo tanto este sujeto obligado es omiso y no entrega la información,” (Sic)</w:t>
      </w:r>
    </w:p>
    <w:p w:rsidR="00A002CB" w:rsidRDefault="00A002CB">
      <w:pPr>
        <w:ind w:left="851" w:right="902"/>
        <w:jc w:val="both"/>
        <w:rPr>
          <w:rFonts w:ascii="Palatino Linotype" w:eastAsia="Palatino Linotype" w:hAnsi="Palatino Linotype" w:cs="Palatino Linotype"/>
          <w:i/>
          <w:sz w:val="22"/>
          <w:szCs w:val="22"/>
        </w:rPr>
      </w:pPr>
    </w:p>
    <w:p w:rsidR="00A002CB" w:rsidRDefault="00E2079C">
      <w:pPr>
        <w:spacing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rsidR="00A002CB" w:rsidRDefault="00E2079C">
      <w:pPr>
        <w:spacing w:before="240" w:after="240"/>
        <w:ind w:left="567" w:right="900"/>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“Con base en la Ley de transparencia cuando la información se encuentra disponible al publico deben entregar la información en un plazo no mayor a 5 días, por lo tanto este sujeto obligado es omiso y no entrega la información,” (Sic)</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para su análisis, estudio, elaboración del proyecto y presentación ante el Pleno de este Instituto.</w:t>
      </w:r>
    </w:p>
    <w:p w:rsidR="00A002CB" w:rsidRDefault="00E2079C">
      <w:pPr>
        <w:spacing w:before="240" w:after="240" w:line="360" w:lineRule="auto"/>
        <w:jc w:val="both"/>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once de octubre del dos mil veintiuno</w:t>
      </w:r>
      <w:r>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w:t>
      </w:r>
      <w:r>
        <w:rPr>
          <w:rFonts w:ascii="Palatino Linotype" w:eastAsia="Palatino Linotype" w:hAnsi="Palatino Linotype" w:cs="Palatino Linotype"/>
        </w:rPr>
        <w:lastRenderedPageBreak/>
        <w:t xml:space="preserve">IV de la Ley de Transparencia y Acceso a la Información Pública del Estado de México y Municipios. </w:t>
      </w:r>
    </w:p>
    <w:p w:rsidR="00A002CB" w:rsidRDefault="00E2079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De las constancias que integran el expediente en que se actúan se advierte que el Sujeto Obligado remitió su informe justificado en fecha </w:t>
      </w:r>
      <w:r>
        <w:rPr>
          <w:rFonts w:ascii="Palatino Linotype" w:eastAsia="Palatino Linotype" w:hAnsi="Palatino Linotype" w:cs="Palatino Linotype"/>
          <w:b/>
          <w:color w:val="000000"/>
        </w:rPr>
        <w:t>dieciocho de octubre de dos mil veintiuno</w:t>
      </w:r>
      <w:r>
        <w:rPr>
          <w:rFonts w:ascii="Palatino Linotype" w:eastAsia="Palatino Linotype" w:hAnsi="Palatino Linotype" w:cs="Palatino Linotype"/>
          <w:color w:val="000000"/>
        </w:rPr>
        <w:t xml:space="preserve">, el cual se puso a la vista de la parte Recurrente el </w:t>
      </w:r>
      <w:r>
        <w:rPr>
          <w:rFonts w:ascii="Palatino Linotype" w:eastAsia="Palatino Linotype" w:hAnsi="Palatino Linotype" w:cs="Palatino Linotype"/>
          <w:b/>
          <w:color w:val="000000"/>
        </w:rPr>
        <w:t>dieciocho de noviembre de la presente anualidad</w:t>
      </w:r>
      <w:r>
        <w:rPr>
          <w:rFonts w:ascii="Palatino Linotype" w:eastAsia="Palatino Linotype" w:hAnsi="Palatino Linotype" w:cs="Palatino Linotype"/>
          <w:color w:val="000000"/>
        </w:rPr>
        <w:t>, asimismo se precisa que la parte Recurrente fue omisa en remitir sus alegatos, manifestaciones o cualquier argumento que a su derecho convenga, por lo cual se tiene por precluido su derecho para tal efecto.</w:t>
      </w:r>
    </w:p>
    <w:p w:rsidR="00A002CB" w:rsidRDefault="00E2079C">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tres de diciembre del año dos mil veintiuno</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diciembre de dos mil veintiuno</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w:t>
      </w:r>
      <w:r>
        <w:rPr>
          <w:rFonts w:ascii="Palatino Linotype" w:eastAsia="Palatino Linotype" w:hAnsi="Palatino Linotype" w:cs="Palatino Linotype"/>
        </w:rPr>
        <w:lastRenderedPageBreak/>
        <w:t>que obran en el expediente electrónico, adoptando las medidas pertinentes, a fin de aminorar los efectos que conlleva.</w:t>
      </w:r>
    </w:p>
    <w:p w:rsidR="00A002CB" w:rsidRDefault="00E2079C">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rsidR="00A002CB" w:rsidRDefault="00E2079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A002CB" w:rsidRDefault="00E207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el día</w:t>
      </w:r>
      <w:r>
        <w:rPr>
          <w:rFonts w:ascii="Palatino Linotype" w:eastAsia="Palatino Linotype" w:hAnsi="Palatino Linotype" w:cs="Palatino Linotype"/>
          <w:b/>
        </w:rPr>
        <w:t xml:space="preserve"> uno de octubre de dos mil veintiuno</w:t>
      </w:r>
      <w:r>
        <w:rPr>
          <w:rFonts w:ascii="Palatino Linotype" w:eastAsia="Palatino Linotype" w:hAnsi="Palatino Linotype" w:cs="Palatino Linotype"/>
        </w:rPr>
        <w:t xml:space="preserve">, mientras que el solicitante presentó su recurso de revisión el día </w:t>
      </w:r>
      <w:r>
        <w:rPr>
          <w:rFonts w:ascii="Palatino Linotype" w:eastAsia="Palatino Linotype" w:hAnsi="Palatino Linotype" w:cs="Palatino Linotype"/>
          <w:b/>
        </w:rPr>
        <w:t>cinco de octubre del mismo año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siguiente en que tuvo conocimiento de la respuesta impugnada, de tal forma, se considera que la </w:t>
      </w:r>
      <w:r>
        <w:rPr>
          <w:rFonts w:ascii="Palatino Linotype" w:eastAsia="Palatino Linotype" w:hAnsi="Palatino Linotype" w:cs="Palatino Linotype"/>
        </w:rPr>
        <w:lastRenderedPageBreak/>
        <w:t>interposición del presente medio de impugnación se encuentra dentro de los márgenes temporales previstos en el citado precepto legal.</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A002CB" w:rsidRDefault="00A002CB">
      <w:pPr>
        <w:spacing w:after="120"/>
        <w:ind w:left="1134" w:right="902"/>
        <w:jc w:val="both"/>
        <w:rPr>
          <w:rFonts w:ascii="Palatino Linotype" w:eastAsia="Palatino Linotype" w:hAnsi="Palatino Linotype" w:cs="Palatino Linotype"/>
          <w:i/>
          <w:sz w:val="22"/>
          <w:szCs w:val="22"/>
        </w:rPr>
      </w:pPr>
    </w:p>
    <w:p w:rsidR="00A002CB" w:rsidRDefault="00E2079C">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002CB" w:rsidRDefault="00E2079C">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A002CB" w:rsidRDefault="00E2079C">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 IV, VII y VIII.”</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Instituto resolverá el recurso de revisión en un plazo que no podrá exceder de treinta días hábiles, contados a partir de la admisión del mismo, en los términos </w:t>
      </w:r>
      <w:r>
        <w:rPr>
          <w:rFonts w:ascii="Palatino Linotype" w:eastAsia="Palatino Linotype" w:hAnsi="Palatino Linotype" w:cs="Palatino Linotype"/>
          <w:i/>
          <w:sz w:val="22"/>
          <w:szCs w:val="22"/>
        </w:rPr>
        <w:lastRenderedPageBreak/>
        <w:t xml:space="preserve">que establezca la presente ley, plazo que podrá ampliarse por una sola vez y hasta por un periodo de quince días hábiles. </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A002CB" w:rsidRDefault="00E2079C">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A002CB" w:rsidRDefault="00E207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A002CB" w:rsidRDefault="00E207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 la revisión al expediente electrónico del SAIMEX se desprende que la parte solicitante, en ejercicio de su derecho de acceso a la información pública, y ahora recurrente, </w:t>
      </w:r>
      <w:r>
        <w:rPr>
          <w:rFonts w:ascii="Palatino Linotype" w:eastAsia="Palatino Linotype" w:hAnsi="Palatino Linotype" w:cs="Palatino Linotype"/>
          <w:b/>
          <w:color w:val="000000"/>
        </w:rPr>
        <w:t>no proporcionó datos que lo hagan identificable, 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lo que en estricto sentido provoca que no se colmen los requisitos establecidos en el citado artículo 180 de la Ley de Transparencia.</w:t>
      </w:r>
    </w:p>
    <w:p w:rsidR="00A002CB" w:rsidRDefault="00E207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w:t>
      </w:r>
      <w:r>
        <w:rPr>
          <w:rFonts w:ascii="Palatino Linotype" w:eastAsia="Palatino Linotype" w:hAnsi="Palatino Linotype" w:cs="Palatino Linotype"/>
        </w:rPr>
        <w:lastRenderedPageBreak/>
        <w:t>posibilidad de que las solicitudes de información sean anónimas, con nombre incompleto o seudónimo.</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002CB" w:rsidRDefault="00E2079C" w:rsidP="00E20E87">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bookmarkStart w:id="0" w:name="_GoBack"/>
      <w:r>
        <w:rPr>
          <w:rFonts w:ascii="Palatino Linotype" w:eastAsia="Palatino Linotype" w:hAnsi="Palatino Linotype" w:cs="Palatino Linotype"/>
          <w:i/>
          <w:sz w:val="22"/>
          <w:szCs w:val="22"/>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002CB" w:rsidRDefault="00E2079C" w:rsidP="00E20E87">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002CB" w:rsidRDefault="00E2079C" w:rsidP="00E20E87">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A002CB" w:rsidRDefault="00E2079C" w:rsidP="00E20E87">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Para el ejercicio del derecho de acceso a la información, la Federación, los Estados y el Distrito Federal, en el ámbito de sus respectivas competencias, se regirán por los siguientes principios y bases: </w:t>
      </w:r>
    </w:p>
    <w:bookmarkEnd w:id="0"/>
    <w:p w:rsidR="00A002CB" w:rsidRDefault="00E207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002CB" w:rsidRDefault="00E207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La información que se refiere a la vida privada y los datos personales será protegida en los términos y con las excepciones que fijen las leyes. </w:t>
      </w:r>
    </w:p>
    <w:p w:rsidR="00A002CB" w:rsidRDefault="00A002CB">
      <w:pPr>
        <w:spacing w:after="120"/>
        <w:ind w:left="567" w:right="902"/>
        <w:jc w:val="both"/>
        <w:rPr>
          <w:rFonts w:ascii="Palatino Linotype" w:eastAsia="Palatino Linotype" w:hAnsi="Palatino Linotype" w:cs="Palatino Linotype"/>
          <w:b/>
          <w:i/>
          <w:sz w:val="22"/>
          <w:szCs w:val="22"/>
          <w:u w:val="single"/>
        </w:rPr>
      </w:pPr>
    </w:p>
    <w:p w:rsidR="00A002CB" w:rsidRDefault="00E2079C">
      <w:pPr>
        <w:spacing w:after="120"/>
        <w:ind w:left="567"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la información pública, a sus datos personales o a la rectificación de éstos. </w:t>
      </w:r>
    </w:p>
    <w:p w:rsidR="00A002CB" w:rsidRDefault="00E207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A002CB" w:rsidRDefault="00E2079C">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002CB" w:rsidRDefault="00E2079C">
      <w:pPr>
        <w:spacing w:after="120"/>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A002CB" w:rsidRDefault="00E2079C">
      <w:pPr>
        <w:spacing w:after="120"/>
        <w:ind w:left="567"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Pr>
          <w:rFonts w:ascii="Palatino Linotype" w:eastAsia="Palatino Linotype" w:hAnsi="Palatino Linotype" w:cs="Palatino Linotype"/>
          <w:i/>
          <w:sz w:val="20"/>
          <w:szCs w:val="20"/>
        </w:rPr>
        <w:t>”</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A002CB" w:rsidRDefault="00E2079C">
      <w:pPr>
        <w:tabs>
          <w:tab w:val="left" w:pos="7655"/>
        </w:tabs>
        <w:spacing w:after="120"/>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A002CB" w:rsidRDefault="00E2079C">
      <w:pPr>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Robustece lo anterior, el Criterio 6/2014 del entonces Instituto Federal de Acceso a la Información y Protección de Datos, el cual se reproduce para una mayor referencia:</w:t>
      </w:r>
    </w:p>
    <w:p w:rsidR="00A002CB" w:rsidRDefault="00E2079C">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Acceso a información gubernamental. No debe condicionarse a que el solicitante acredite su personalidad, demuestre interés alguno o justifique su utilización. </w:t>
      </w:r>
      <w:r>
        <w:rPr>
          <w:rFonts w:ascii="Palatino Linotype" w:eastAsia="Palatino Linotype" w:hAnsi="Palatino Linotype" w:cs="Palatino Linotype"/>
          <w:i/>
          <w:sz w:val="22"/>
          <w:szCs w:val="22"/>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002CB" w:rsidRDefault="00E2079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A002CB" w:rsidRDefault="00E2079C">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en primera instancia resulta procedente la interposición del recurso, según lo aducido por el recurrente en sus razones o </w:t>
      </w:r>
      <w:r>
        <w:rPr>
          <w:rFonts w:ascii="Palatino Linotype" w:eastAsia="Palatino Linotype" w:hAnsi="Palatino Linotype" w:cs="Palatino Linotype"/>
          <w:color w:val="000000"/>
        </w:rPr>
        <w:t>motivos de inconformidad, de acuerdo a los artículos 176 y 179, fracción X de la Ley de Transparencia y Acceso a la Información Pública del Estado de México y Municipios; que a la letra dice:</w:t>
      </w:r>
    </w:p>
    <w:p w:rsidR="00A002CB" w:rsidRDefault="00A002CB">
      <w:pPr>
        <w:spacing w:after="120"/>
        <w:ind w:left="851" w:right="902"/>
        <w:jc w:val="both"/>
        <w:rPr>
          <w:rFonts w:ascii="Palatino Linotype" w:eastAsia="Palatino Linotype" w:hAnsi="Palatino Linotype" w:cs="Palatino Linotype"/>
          <w:b/>
          <w:i/>
          <w:sz w:val="20"/>
          <w:szCs w:val="20"/>
        </w:rPr>
      </w:pP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p>
    <w:p w:rsidR="00A002CB" w:rsidRDefault="00E2079C">
      <w:pPr>
        <w:spacing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 Los costos o tiempos de entrega de la información; </w:t>
      </w:r>
    </w:p>
    <w:p w:rsidR="00A002CB" w:rsidRDefault="00E2079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(Sic)</w:t>
      </w:r>
      <w:r>
        <w:rPr>
          <w:rFonts w:ascii="Palatino Linotype" w:eastAsia="Palatino Linotype" w:hAnsi="Palatino Linotype" w:cs="Palatino Linotype"/>
          <w:b/>
          <w:i/>
          <w:sz w:val="22"/>
          <w:szCs w:val="22"/>
        </w:rPr>
        <w:t xml:space="preserve">              </w:t>
      </w:r>
    </w:p>
    <w:p w:rsidR="00A002CB" w:rsidRDefault="00E2079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002CB" w:rsidRDefault="00E2079C">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002CB" w:rsidRDefault="00E2079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002CB" w:rsidRDefault="00E2079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A002CB" w:rsidRDefault="00A002CB">
      <w:pPr>
        <w:ind w:left="709" w:right="760"/>
        <w:jc w:val="both"/>
        <w:rPr>
          <w:rFonts w:ascii="Palatino Linotype" w:eastAsia="Palatino Linotype" w:hAnsi="Palatino Linotype" w:cs="Palatino Linotype"/>
          <w:i/>
        </w:rPr>
      </w:pP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002CB" w:rsidRDefault="00E2079C">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002CB" w:rsidRDefault="00E2079C">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A002CB" w:rsidRDefault="00A002CB">
      <w:pPr>
        <w:spacing w:line="360" w:lineRule="auto"/>
        <w:ind w:right="-93"/>
        <w:jc w:val="both"/>
        <w:rPr>
          <w:rFonts w:ascii="Palatino Linotype" w:eastAsia="Palatino Linotype" w:hAnsi="Palatino Linotype" w:cs="Palatino Linotype"/>
          <w:color w:val="000000"/>
        </w:rPr>
      </w:pPr>
    </w:p>
    <w:p w:rsidR="00A002CB" w:rsidRDefault="00E2079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w:t>
      </w:r>
      <w:r>
        <w:rPr>
          <w:rFonts w:ascii="Palatino Linotype" w:eastAsia="Palatino Linotype" w:hAnsi="Palatino Linotype" w:cs="Palatino Linotype"/>
          <w:color w:val="000000"/>
        </w:rPr>
        <w:lastRenderedPageBreak/>
        <w:t>información pública se encuentra a disposición de cualquier persona, lo que implica que es deber de los Sujetos Obligados, garantizar el Derecho de Acceso a la Información Pública, lo que no sucedió en el presente caso.</w:t>
      </w:r>
    </w:p>
    <w:p w:rsidR="00A002CB" w:rsidRDefault="00A002CB">
      <w:pPr>
        <w:spacing w:line="360" w:lineRule="auto"/>
        <w:jc w:val="both"/>
        <w:rPr>
          <w:rFonts w:ascii="Palatino Linotype" w:eastAsia="Palatino Linotype" w:hAnsi="Palatino Linotype" w:cs="Palatino Linotype"/>
          <w:color w:val="000000"/>
        </w:rPr>
      </w:pPr>
    </w:p>
    <w:p w:rsidR="00A002CB" w:rsidRDefault="00E2079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002CB" w:rsidRDefault="00A002CB">
      <w:pPr>
        <w:spacing w:line="360" w:lineRule="auto"/>
        <w:ind w:right="49"/>
        <w:jc w:val="both"/>
        <w:rPr>
          <w:rFonts w:ascii="Palatino Linotype" w:eastAsia="Palatino Linotype" w:hAnsi="Palatino Linotype" w:cs="Palatino Linotype"/>
        </w:rPr>
      </w:pP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002CB" w:rsidRDefault="00A002CB">
      <w:pPr>
        <w:ind w:left="851" w:right="899"/>
        <w:jc w:val="both"/>
        <w:rPr>
          <w:rFonts w:ascii="Palatino Linotype" w:eastAsia="Palatino Linotype" w:hAnsi="Palatino Linotype" w:cs="Palatino Linotype"/>
          <w:i/>
          <w:sz w:val="22"/>
          <w:szCs w:val="22"/>
        </w:rPr>
      </w:pPr>
    </w:p>
    <w:p w:rsidR="00A002CB" w:rsidRDefault="00E2079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A002CB" w:rsidRDefault="00E2079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002CB" w:rsidRDefault="00E2079C">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eastAsia="Palatino Linotype" w:hAnsi="Palatino Linotype" w:cs="Palatino Linotype"/>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002CB" w:rsidRDefault="00A002CB">
      <w:pPr>
        <w:ind w:left="851" w:right="899"/>
        <w:jc w:val="both"/>
        <w:rPr>
          <w:rFonts w:ascii="Palatino Linotype" w:eastAsia="Palatino Linotype" w:hAnsi="Palatino Linotype" w:cs="Palatino Linotype"/>
          <w:sz w:val="22"/>
          <w:szCs w:val="22"/>
        </w:rPr>
      </w:pP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002CB" w:rsidRDefault="00A002CB">
      <w:pPr>
        <w:ind w:left="851" w:right="899"/>
        <w:jc w:val="both"/>
        <w:rPr>
          <w:rFonts w:ascii="Palatino Linotype" w:eastAsia="Palatino Linotype" w:hAnsi="Palatino Linotype" w:cs="Palatino Linotype"/>
        </w:rPr>
      </w:pPr>
    </w:p>
    <w:p w:rsidR="00A002CB" w:rsidRDefault="00E2079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002CB" w:rsidRDefault="00E2079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002CB" w:rsidRDefault="00E2079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002CB" w:rsidRDefault="00E2079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A002CB" w:rsidRDefault="00E2079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A002CB" w:rsidRDefault="00E2079C">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A002CB" w:rsidRDefault="00A002CB">
      <w:pPr>
        <w:spacing w:line="360" w:lineRule="auto"/>
        <w:jc w:val="both"/>
        <w:rPr>
          <w:rFonts w:ascii="Palatino Linotype" w:eastAsia="Palatino Linotype" w:hAnsi="Palatino Linotype" w:cs="Palatino Linotype"/>
        </w:rPr>
      </w:pPr>
    </w:p>
    <w:p w:rsidR="00A002CB" w:rsidRDefault="00E2079C">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uno de los principios en materia de Transparencia y Acceso a la Información Pública, consiste en que en la entrega de la información deberá garantizar que sea </w:t>
      </w:r>
      <w:r>
        <w:rPr>
          <w:rFonts w:ascii="Palatino Linotype" w:eastAsia="Palatino Linotype" w:hAnsi="Palatino Linotype" w:cs="Palatino Linotype"/>
          <w:b/>
          <w:u w:val="single"/>
        </w:rPr>
        <w:t>congruente</w:t>
      </w:r>
      <w:r>
        <w:rPr>
          <w:rFonts w:ascii="Palatino Linotype" w:eastAsia="Palatino Linotype" w:hAnsi="Palatino Linotype" w:cs="Palatino Linotype"/>
        </w:rPr>
        <w:t xml:space="preserve"> y </w:t>
      </w:r>
      <w:r>
        <w:rPr>
          <w:rFonts w:ascii="Palatino Linotype" w:eastAsia="Palatino Linotype" w:hAnsi="Palatino Linotype" w:cs="Palatino Linotype"/>
          <w:b/>
          <w:u w:val="single"/>
        </w:rPr>
        <w:t xml:space="preserve"> sujeta a un claro régimen de excepciones</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tal como lo estipula el artículo 11 de la Ley en la materia que en su texto literal refiere:</w:t>
      </w:r>
    </w:p>
    <w:p w:rsidR="00A002CB" w:rsidRDefault="00A002CB">
      <w:pPr>
        <w:spacing w:line="360" w:lineRule="auto"/>
        <w:ind w:right="141"/>
        <w:jc w:val="both"/>
        <w:rPr>
          <w:rFonts w:ascii="Palatino Linotype" w:eastAsia="Palatino Linotype" w:hAnsi="Palatino Linotype" w:cs="Palatino Linotype"/>
        </w:rPr>
      </w:pPr>
    </w:p>
    <w:p w:rsidR="00A002CB" w:rsidRDefault="00E2079C">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 la generación, publicación y entrega de información se deberá</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garantizar que ésta</w:t>
      </w:r>
      <w:r>
        <w:rPr>
          <w:rFonts w:ascii="Palatino Linotype" w:eastAsia="Palatino Linotype" w:hAnsi="Palatino Linotype" w:cs="Palatino Linotype"/>
          <w:i/>
          <w:sz w:val="22"/>
          <w:szCs w:val="22"/>
        </w:rPr>
        <w:t xml:space="preserve"> sea accesible, actualizada, completa, </w:t>
      </w:r>
      <w:r>
        <w:rPr>
          <w:rFonts w:ascii="Palatino Linotype" w:eastAsia="Palatino Linotype" w:hAnsi="Palatino Linotype" w:cs="Palatino Linotype"/>
          <w:b/>
          <w:i/>
          <w:sz w:val="22"/>
          <w:szCs w:val="22"/>
          <w:u w:val="single"/>
        </w:rPr>
        <w:t>congruente,</w:t>
      </w:r>
      <w:r>
        <w:rPr>
          <w:rFonts w:ascii="Palatino Linotype" w:eastAsia="Palatino Linotype" w:hAnsi="Palatino Linotype" w:cs="Palatino Linotype"/>
          <w:i/>
          <w:sz w:val="22"/>
          <w:szCs w:val="22"/>
        </w:rPr>
        <w:t xml:space="preserve"> confiable, verificable, veraz, integral, oportuna y expedita, </w:t>
      </w:r>
      <w:r>
        <w:rPr>
          <w:rFonts w:ascii="Palatino Linotype" w:eastAsia="Palatino Linotype" w:hAnsi="Palatino Linotype" w:cs="Palatino Linotype"/>
          <w:b/>
          <w:i/>
          <w:sz w:val="22"/>
          <w:szCs w:val="22"/>
          <w:u w:val="single"/>
        </w:rPr>
        <w:t xml:space="preserve">sujeta a un claro régimen de excepciones que deberá estar definido y ser además legítima y estrictamente necesaria </w:t>
      </w:r>
      <w:r>
        <w:rPr>
          <w:rFonts w:ascii="Palatino Linotype" w:eastAsia="Palatino Linotype" w:hAnsi="Palatino Linotype" w:cs="Palatino Linotype"/>
          <w:i/>
          <w:sz w:val="22"/>
          <w:szCs w:val="22"/>
        </w:rPr>
        <w:t>en una sociedad democrática, por lo que atenderá las necesidades del derecho de acceso a la información de toda persona.</w:t>
      </w:r>
    </w:p>
    <w:p w:rsidR="00A002CB" w:rsidRDefault="00E2079C">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002CB" w:rsidRDefault="00A002CB">
      <w:pPr>
        <w:spacing w:line="360" w:lineRule="auto"/>
        <w:ind w:right="141"/>
        <w:jc w:val="both"/>
        <w:rPr>
          <w:rFonts w:ascii="Palatino Linotype" w:eastAsia="Palatino Linotype" w:hAnsi="Palatino Linotype" w:cs="Palatino Linotype"/>
        </w:rPr>
      </w:pPr>
    </w:p>
    <w:p w:rsidR="00A002CB" w:rsidRDefault="00E2079C">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análisis en el presente asunto consiste en determinar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atendió puntualmente la solicitud de información que apertura el presente expediente.</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Previo al estudio del presente asunto, es conveniente recordar que la parte solicitante requirió al sujeto obligado, le proporcionara lo siguiente:</w:t>
      </w:r>
    </w:p>
    <w:p w:rsidR="00A002CB" w:rsidRDefault="00E2079C">
      <w:pPr>
        <w:numPr>
          <w:ilvl w:val="0"/>
          <w:numId w:val="3"/>
        </w:numPr>
        <w:pBdr>
          <w:top w:val="nil"/>
          <w:left w:val="nil"/>
          <w:bottom w:val="nil"/>
          <w:right w:val="nil"/>
          <w:between w:val="nil"/>
        </w:pBdr>
        <w:spacing w:after="240" w:line="360" w:lineRule="auto"/>
        <w:ind w:lef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Todos los avisos de privacidad del municipio </w:t>
      </w:r>
    </w:p>
    <w:p w:rsidR="00A002CB" w:rsidRDefault="00E2079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la Titular de la Unidad de Transparencia remitió el archivo electrónico denominado </w:t>
      </w:r>
      <w:r>
        <w:rPr>
          <w:rFonts w:ascii="Palatino Linotype" w:eastAsia="Palatino Linotype" w:hAnsi="Palatino Linotype" w:cs="Palatino Linotype"/>
          <w:b/>
          <w:i/>
        </w:rPr>
        <w:t xml:space="preserve">“RESPUESTA_TRANSPARENCIA_00115.pdf..pdf” </w:t>
      </w:r>
      <w:r>
        <w:rPr>
          <w:rFonts w:ascii="Palatino Linotype" w:eastAsia="Palatino Linotype" w:hAnsi="Palatino Linotype" w:cs="Palatino Linotype"/>
        </w:rPr>
        <w:t xml:space="preserve">del cual medularmente se colige lo siguiente: </w:t>
      </w:r>
    </w:p>
    <w:p w:rsidR="00A002CB" w:rsidRDefault="00E2079C">
      <w:pPr>
        <w:numPr>
          <w:ilvl w:val="0"/>
          <w:numId w:val="2"/>
        </w:numPr>
        <w:pBdr>
          <w:top w:val="nil"/>
          <w:left w:val="nil"/>
          <w:bottom w:val="nil"/>
          <w:right w:val="nil"/>
          <w:between w:val="nil"/>
        </w:pBdr>
        <w:spacing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Titular de la Unidad de Transparencia remite una liga electrónica  </w:t>
      </w:r>
      <w:hyperlink r:id="rId9" w:anchor="1516221672685-7a3a58e5-91c5">
        <w:r>
          <w:rPr>
            <w:rFonts w:ascii="Palatino Linotype" w:eastAsia="Palatino Linotype" w:hAnsi="Palatino Linotype" w:cs="Palatino Linotype"/>
            <w:color w:val="0000FF"/>
            <w:u w:val="single"/>
          </w:rPr>
          <w:t>https://demo.chiautlaedomex.gob.mx/avisosprivacidad/#151622167</w:t>
        </w:r>
        <w:r>
          <w:rPr>
            <w:rFonts w:ascii="Palatino Linotype" w:eastAsia="Palatino Linotype" w:hAnsi="Palatino Linotype" w:cs="Palatino Linotype"/>
            <w:color w:val="0000FF"/>
            <w:u w:val="single"/>
          </w:rPr>
          <w:lastRenderedPageBreak/>
          <w:t>2685-7a3a58e5-91c5</w:t>
        </w:r>
      </w:hyperlink>
      <w:r>
        <w:rPr>
          <w:rFonts w:ascii="Palatino Linotype" w:eastAsia="Palatino Linotype" w:hAnsi="Palatino Linotype" w:cs="Palatino Linotype"/>
          <w:color w:val="000000"/>
        </w:rPr>
        <w:t>, en el cual se encuentran todos los avisos de privacidad con los que cuenta el municipio de Chiautla.</w:t>
      </w:r>
      <w:r>
        <w:rPr>
          <w:noProof/>
          <w:lang w:val="es-MX"/>
        </w:rPr>
        <w:drawing>
          <wp:anchor distT="0" distB="0" distL="114300" distR="114300" simplePos="0" relativeHeight="251659264" behindDoc="0" locked="0" layoutInCell="1" hidden="0" allowOverlap="1">
            <wp:simplePos x="0" y="0"/>
            <wp:positionH relativeFrom="column">
              <wp:posOffset>-112394</wp:posOffset>
            </wp:positionH>
            <wp:positionV relativeFrom="paragraph">
              <wp:posOffset>0</wp:posOffset>
            </wp:positionV>
            <wp:extent cx="5610225" cy="5943600"/>
            <wp:effectExtent l="0" t="0" r="0" b="0"/>
            <wp:wrapTopAndBottom distT="0" dist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0225" cy="5943600"/>
                    </a:xfrm>
                    <a:prstGeom prst="rect">
                      <a:avLst/>
                    </a:prstGeom>
                    <a:ln/>
                  </pic:spPr>
                </pic:pic>
              </a:graphicData>
            </a:graphic>
          </wp:anchor>
        </w:drawing>
      </w:r>
    </w:p>
    <w:p w:rsidR="00A002CB" w:rsidRDefault="00E2079C">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rPr>
        <w:t xml:space="preserve">Bajo dichos argumentos, nace el motivo de inconformidad del particular, el cual versa de la siguiente manera  </w:t>
      </w:r>
      <w:r>
        <w:rPr>
          <w:rFonts w:ascii="Palatino Linotype" w:eastAsia="Palatino Linotype" w:hAnsi="Palatino Linotype" w:cs="Palatino Linotype"/>
          <w:i/>
          <w:sz w:val="22"/>
          <w:szCs w:val="22"/>
        </w:rPr>
        <w:t xml:space="preserve">“Con base en la Ley de transparencia cuando la información se </w:t>
      </w:r>
      <w:r>
        <w:rPr>
          <w:rFonts w:ascii="Palatino Linotype" w:eastAsia="Palatino Linotype" w:hAnsi="Palatino Linotype" w:cs="Palatino Linotype"/>
          <w:i/>
          <w:sz w:val="22"/>
          <w:szCs w:val="22"/>
        </w:rPr>
        <w:lastRenderedPageBreak/>
        <w:t>encuentra disponible al publico deben entregar la información en un plazo no mayor a 5 días, por lo tanto este sujeto obligado es omiso y no entrega la información,” (Sic)</w:t>
      </w:r>
    </w:p>
    <w:p w:rsidR="00A002CB" w:rsidRDefault="00E2079C">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interpuesto el recurso de revisión citado al rubro, este Órgano Garante concedió a las partes un plazo de siete días para que manifestaran lo que a su derecho convenga, por lo cual, de las constancias que conforman el expediente electrónico, se advierte que el Sujeto Obligado rindió su informe justificado mediante el archivo electrónico </w:t>
      </w:r>
      <w:r>
        <w:rPr>
          <w:rFonts w:ascii="Palatino Linotype" w:eastAsia="Palatino Linotype" w:hAnsi="Palatino Linotype" w:cs="Palatino Linotype"/>
          <w:b/>
          <w:i/>
        </w:rPr>
        <w:t xml:space="preserve">“INFORME_JUSTIFICADO_04939.pdf..pdf”, </w:t>
      </w:r>
      <w:r>
        <w:rPr>
          <w:rFonts w:ascii="Palatino Linotype" w:eastAsia="Palatino Linotype" w:hAnsi="Palatino Linotype" w:cs="Palatino Linotype"/>
        </w:rPr>
        <w:t xml:space="preserve">en el cual medularmente se advierte el siguiente contenido: </w:t>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304800</wp:posOffset>
                </wp:positionH>
                <wp:positionV relativeFrom="paragraph">
                  <wp:posOffset>1993900</wp:posOffset>
                </wp:positionV>
                <wp:extent cx="5191125" cy="4600575"/>
                <wp:effectExtent l="0" t="0" r="0" b="0"/>
                <wp:wrapNone/>
                <wp:docPr id="26" name=""/>
                <wp:cNvGraphicFramePr/>
                <a:graphic xmlns:a="http://schemas.openxmlformats.org/drawingml/2006/main">
                  <a:graphicData uri="http://schemas.microsoft.com/office/word/2010/wordprocessingShape">
                    <wps:wsp>
                      <wps:cNvCnPr/>
                      <wps:spPr>
                        <a:xfrm flipH="1">
                          <a:off x="2755200" y="1484475"/>
                          <a:ext cx="5181600" cy="45910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wp:posOffset>
                </wp:positionH>
                <wp:positionV relativeFrom="paragraph">
                  <wp:posOffset>1993900</wp:posOffset>
                </wp:positionV>
                <wp:extent cx="5191125" cy="4600575"/>
                <wp:effectExtent b="0" l="0" r="0" t="0"/>
                <wp:wrapNone/>
                <wp:docPr id="2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191125" cy="4600575"/>
                        </a:xfrm>
                        <a:prstGeom prst="rect"/>
                        <a:ln/>
                      </pic:spPr>
                    </pic:pic>
                  </a:graphicData>
                </a:graphic>
              </wp:anchor>
            </w:drawing>
          </mc:Fallback>
        </mc:AlternateContent>
      </w:r>
    </w:p>
    <w:p w:rsidR="00A002CB" w:rsidRDefault="00E2079C">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57825" cy="7381875"/>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57825" cy="7381875"/>
                    </a:xfrm>
                    <a:prstGeom prst="rect">
                      <a:avLst/>
                    </a:prstGeom>
                    <a:ln/>
                  </pic:spPr>
                </pic:pic>
              </a:graphicData>
            </a:graphic>
          </wp:inline>
        </w:drawing>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a efecto de garantizar el efectivo ejercicio del derecho de acceso a la información pública que asiste al particular, resulta conveniente entrar al estudio de las siguientes consideraciones de hecho y derecho: </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 apuntarse que es pertinente mencionar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existencia de la información peticionada, por el contrario, mediante el pronunciamiento emitido por el Titular de la Unidad de Transparencia, asume generar, administrar o poseer la información solicitada, sin embargo a efecto de determinar si la razón asiste al particular, este Instituto procedió a consultar la liga electrónica remitida por el SujETO Obligado </w:t>
      </w:r>
      <w:hyperlink r:id="rId13" w:anchor="1516221672685-7a3a58e5-91c5">
        <w:r>
          <w:rPr>
            <w:rFonts w:ascii="Palatino Linotype" w:eastAsia="Palatino Linotype" w:hAnsi="Palatino Linotype" w:cs="Palatino Linotype"/>
            <w:color w:val="0000FF"/>
            <w:u w:val="single"/>
          </w:rPr>
          <w:t>https://demo.chiautlaedomex.gob.mx/avisosprivacidad/#1516221672685-7a3a58e5-91c5</w:t>
        </w:r>
      </w:hyperlink>
      <w:r>
        <w:rPr>
          <w:rFonts w:ascii="Palatino Linotype" w:eastAsia="Palatino Linotype" w:hAnsi="Palatino Linotype" w:cs="Palatino Linotype"/>
        </w:rPr>
        <w:t xml:space="preserve"> , de la cual se obtuvo lo siguiente: </w: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190500</wp:posOffset>
                </wp:positionH>
                <wp:positionV relativeFrom="paragraph">
                  <wp:posOffset>2438400</wp:posOffset>
                </wp:positionV>
                <wp:extent cx="5267325" cy="4257675"/>
                <wp:effectExtent l="0" t="0" r="0" b="0"/>
                <wp:wrapNone/>
                <wp:docPr id="27" name=""/>
                <wp:cNvGraphicFramePr/>
                <a:graphic xmlns:a="http://schemas.openxmlformats.org/drawingml/2006/main">
                  <a:graphicData uri="http://schemas.microsoft.com/office/word/2010/wordprocessingShape">
                    <wps:wsp>
                      <wps:cNvCnPr/>
                      <wps:spPr>
                        <a:xfrm flipH="1">
                          <a:off x="2717100" y="1655925"/>
                          <a:ext cx="5257800" cy="42481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2438400</wp:posOffset>
                </wp:positionV>
                <wp:extent cx="5267325" cy="4257675"/>
                <wp:effectExtent b="0" l="0" r="0" t="0"/>
                <wp:wrapNone/>
                <wp:docPr id="27"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267325" cy="4257675"/>
                        </a:xfrm>
                        <a:prstGeom prst="rect"/>
                        <a:ln/>
                      </pic:spPr>
                    </pic:pic>
                  </a:graphicData>
                </a:graphic>
              </wp:anchor>
            </w:drawing>
          </mc:Fallback>
        </mc:AlternateConten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665797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0225" cy="6657975"/>
                    </a:xfrm>
                    <a:prstGeom prst="rect">
                      <a:avLst/>
                    </a:prstGeom>
                    <a:ln/>
                  </pic:spPr>
                </pic:pic>
              </a:graphicData>
            </a:graphic>
          </wp:inline>
        </w:drawing>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análisis a la liga electrónica que el Sujeto Obligado remitió en respuesta, es posible vislumbrar los avisos de privacidad que se emplean dentro de diversas unidades administrativas que conforman la administración pública municipal.</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determinar si se colmó el derecho de acceso a la información pública que asiste al particular, resulta conveniente analizar si los avisos de privacidad enviados por el Sujeto Obligado cuentan con los elementos mínimos previstos por la legislación, por lo cual resulta pertinente traer a colación el contenido de un aviso de privacidad empleado por el municipio: </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noProof/>
          <w:lang w:val="es-MX"/>
        </w:rPr>
        <w:drawing>
          <wp:inline distT="0" distB="0" distL="0" distR="0">
            <wp:extent cx="4969130" cy="5787477"/>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969130" cy="5787477"/>
                    </a:xfrm>
                    <a:prstGeom prst="rect">
                      <a:avLst/>
                    </a:prstGeom>
                    <a:ln/>
                  </pic:spPr>
                </pic:pic>
              </a:graphicData>
            </a:graphic>
          </wp:inline>
        </w:drawing>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6372225"/>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10225" cy="6372225"/>
                    </a:xfrm>
                    <a:prstGeom prst="rect">
                      <a:avLst/>
                    </a:prstGeom>
                    <a:ln/>
                  </pic:spPr>
                </pic:pic>
              </a:graphicData>
            </a:graphic>
          </wp:inline>
        </w:drawing>
      </w:r>
    </w:p>
    <w:p w:rsidR="00A002CB" w:rsidRDefault="00A002CB">
      <w:pPr>
        <w:spacing w:before="240" w:after="240" w:line="360" w:lineRule="auto"/>
        <w:jc w:val="both"/>
        <w:rPr>
          <w:rFonts w:ascii="Palatino Linotype" w:eastAsia="Palatino Linotype" w:hAnsi="Palatino Linotype" w:cs="Palatino Linotype"/>
        </w:rPr>
      </w:pPr>
    </w:p>
    <w:p w:rsidR="00A002CB" w:rsidRDefault="00A002CB">
      <w:pPr>
        <w:spacing w:before="240" w:after="240" w:line="360" w:lineRule="auto"/>
        <w:jc w:val="both"/>
        <w:rPr>
          <w:rFonts w:ascii="Palatino Linotype" w:eastAsia="Palatino Linotype" w:hAnsi="Palatino Linotype" w:cs="Palatino Linotype"/>
        </w:rPr>
      </w:pPr>
    </w:p>
    <w:p w:rsidR="00A002CB" w:rsidRDefault="00A002CB">
      <w:pPr>
        <w:spacing w:before="240" w:after="240" w:line="360" w:lineRule="auto"/>
        <w:jc w:val="both"/>
        <w:rPr>
          <w:rFonts w:ascii="Palatino Linotype" w:eastAsia="Palatino Linotype" w:hAnsi="Palatino Linotype" w:cs="Palatino Linotype"/>
        </w:rPr>
      </w:pP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906392" cy="7029509"/>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06392" cy="7029509"/>
                    </a:xfrm>
                    <a:prstGeom prst="rect">
                      <a:avLst/>
                    </a:prstGeom>
                    <a:ln/>
                  </pic:spPr>
                </pic:pic>
              </a:graphicData>
            </a:graphic>
          </wp:inline>
        </w:drawing>
      </w:r>
    </w:p>
    <w:p w:rsidR="00A002CB" w:rsidRDefault="00A002CB">
      <w:pPr>
        <w:spacing w:line="360" w:lineRule="auto"/>
        <w:ind w:right="49"/>
        <w:jc w:val="both"/>
        <w:rPr>
          <w:rFonts w:ascii="Palatino Linotype" w:eastAsia="Palatino Linotype" w:hAnsi="Palatino Linotype" w:cs="Palatino Linotype"/>
        </w:rPr>
      </w:pPr>
    </w:p>
    <w:p w:rsidR="00A002CB" w:rsidRDefault="00E2079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orden de ideas, es dable sostener que al haber existido un pronunciamiento por parte de los Servidores Públicos competentes al interior del Sujeto Obligado, es decir, los titulares de las unidades administrativas que componen la administración pública municipal,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A002CB" w:rsidRDefault="00A002CB">
      <w:pPr>
        <w:tabs>
          <w:tab w:val="left" w:pos="709"/>
        </w:tabs>
        <w:ind w:left="567" w:right="1324"/>
        <w:jc w:val="both"/>
        <w:rPr>
          <w:rFonts w:ascii="Palatino Linotype" w:eastAsia="Palatino Linotype" w:hAnsi="Palatino Linotype" w:cs="Palatino Linotype"/>
          <w:b/>
          <w:i/>
          <w:sz w:val="22"/>
          <w:szCs w:val="22"/>
        </w:rPr>
      </w:pPr>
    </w:p>
    <w:p w:rsidR="00A002CB" w:rsidRDefault="00E2079C">
      <w:pPr>
        <w:tabs>
          <w:tab w:val="left" w:pos="709"/>
        </w:tabs>
        <w:ind w:left="567" w:right="132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rsidR="00A002CB" w:rsidRDefault="00E2079C">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recurso revisión, al respecto.</w:t>
      </w:r>
      <w:r>
        <w:rPr>
          <w:rFonts w:ascii="Palatino Linotype" w:eastAsia="Palatino Linotype" w:hAnsi="Palatino Linotype" w:cs="Palatino Linotype"/>
          <w:b/>
          <w:i/>
          <w:sz w:val="22"/>
          <w:szCs w:val="22"/>
        </w:rPr>
        <w:t>”</w:t>
      </w:r>
    </w:p>
    <w:p w:rsidR="00A002CB" w:rsidRDefault="00A002CB">
      <w:pPr>
        <w:spacing w:line="360" w:lineRule="auto"/>
        <w:jc w:val="both"/>
        <w:rPr>
          <w:rFonts w:ascii="Palatino Linotype" w:eastAsia="Palatino Linotype" w:hAnsi="Palatino Linotype" w:cs="Palatino Linotype"/>
        </w:rPr>
      </w:pP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el artículo 4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w:t>
      </w:r>
      <w:r>
        <w:rPr>
          <w:rFonts w:ascii="Palatino Linotype" w:eastAsia="Palatino Linotype" w:hAnsi="Palatino Linotype" w:cs="Palatino Linotype"/>
        </w:rPr>
        <w:lastRenderedPageBreak/>
        <w:t>deberán apegarse en todo momento a los criterios de publicidad, veracidad, oportunidad entre otros, dispositivo legal en comento que a la letra señala:</w:t>
      </w:r>
    </w:p>
    <w:p w:rsidR="00A002CB" w:rsidRDefault="00A002CB">
      <w:pPr>
        <w:spacing w:line="360" w:lineRule="auto"/>
        <w:ind w:left="426"/>
        <w:jc w:val="both"/>
        <w:rPr>
          <w:rFonts w:ascii="Palatino Linotype" w:eastAsia="Palatino Linotype" w:hAnsi="Palatino Linotype" w:cs="Palatino Linotype"/>
        </w:rPr>
      </w:pPr>
    </w:p>
    <w:p w:rsidR="00A002CB" w:rsidRDefault="00E2079C">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A002CB" w:rsidRDefault="00A002CB">
      <w:pPr>
        <w:spacing w:line="360" w:lineRule="auto"/>
        <w:ind w:left="426"/>
        <w:jc w:val="both"/>
        <w:rPr>
          <w:rFonts w:ascii="Palatino Linotype" w:eastAsia="Palatino Linotype" w:hAnsi="Palatino Linotype" w:cs="Palatino Linotype"/>
        </w:rPr>
      </w:pP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Numerales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A002CB" w:rsidRDefault="00A002CB">
      <w:pPr>
        <w:spacing w:line="360" w:lineRule="auto"/>
        <w:jc w:val="both"/>
        <w:rPr>
          <w:rFonts w:ascii="Palatino Linotype" w:eastAsia="Palatino Linotype" w:hAnsi="Palatino Linotype" w:cs="Palatino Linotype"/>
        </w:rPr>
      </w:pP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a los avisos de privacidad enviados por el Sujeto Obligado en su respuesta, se tiene que cumplen con los elementos previstos por la legislación, por lo que, si bien es cierto, el Sujeto Obligado no dio cumplimiento al artículo 161 de la Ley de Transparencia y Acceso a la Información Pública al momento de entregar información que obra en medios electrónicos, no es menos cierto que se otorgó respuesta dentro del plazo de quince días y además reúne los requisitos que mandata la normatividad, tal como se vislumbrará en páginas subsecuentes.</w:t>
      </w:r>
    </w:p>
    <w:p w:rsidR="00A002CB" w:rsidRDefault="00A002CB">
      <w:pPr>
        <w:spacing w:line="360" w:lineRule="auto"/>
        <w:jc w:val="both"/>
        <w:rPr>
          <w:rFonts w:ascii="Palatino Linotype" w:eastAsia="Palatino Linotype" w:hAnsi="Palatino Linotype" w:cs="Palatino Linotype"/>
        </w:rPr>
      </w:pPr>
    </w:p>
    <w:p w:rsidR="00A002CB" w:rsidRDefault="00E207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w:t>
      </w:r>
      <w:r>
        <w:rPr>
          <w:rFonts w:ascii="Palatino Linotype" w:eastAsia="Palatino Linotype" w:hAnsi="Palatino Linotype" w:cs="Palatino Linotype"/>
          <w:color w:val="000000"/>
        </w:rPr>
        <w:t xml:space="preserve"> primera instancia debemos recordar que en términos de la fracción XI y L del artículo 4 de la Ley de Protección de Datos Personales en Posesión de Sujetos Obligados del Estado de México y Municipios, se entiende por </w:t>
      </w:r>
      <w:r>
        <w:rPr>
          <w:rFonts w:ascii="Palatino Linotype" w:eastAsia="Palatino Linotype" w:hAnsi="Palatino Linotype" w:cs="Palatino Linotype"/>
          <w:b/>
          <w:color w:val="000000"/>
        </w:rPr>
        <w:t xml:space="preserve">datos personales </w:t>
      </w:r>
      <w:r>
        <w:rPr>
          <w:rFonts w:ascii="Palatino Linotype" w:eastAsia="Palatino Linotype" w:hAnsi="Palatino Linotype" w:cs="Palatino Linotype"/>
          <w:color w:val="000000"/>
        </w:rPr>
        <w:t xml:space="preserve">a la </w:t>
      </w:r>
      <w:r>
        <w:rPr>
          <w:rFonts w:ascii="Palatino Linotype" w:eastAsia="Palatino Linotype" w:hAnsi="Palatino Linotype" w:cs="Palatino Linotype"/>
        </w:rPr>
        <w:t xml:space="preserve">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y por </w:t>
      </w:r>
      <w:r>
        <w:rPr>
          <w:rFonts w:ascii="Palatino Linotype" w:eastAsia="Palatino Linotype" w:hAnsi="Palatino Linotype" w:cs="Palatino Linotype"/>
          <w:b/>
        </w:rPr>
        <w:t xml:space="preserve">tratamiento </w:t>
      </w:r>
      <w:r>
        <w:rPr>
          <w:rFonts w:ascii="Palatino Linotype" w:eastAsia="Palatino Linotype" w:hAnsi="Palatino Linotype" w:cs="Palatino Linotype"/>
        </w:rPr>
        <w:t>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rsidR="00A002CB" w:rsidRDefault="00A002CB">
      <w:pPr>
        <w:spacing w:line="360" w:lineRule="auto"/>
        <w:jc w:val="both"/>
        <w:rPr>
          <w:rFonts w:ascii="Palatino Linotype" w:eastAsia="Palatino Linotype" w:hAnsi="Palatino Linotype" w:cs="Palatino Linotype"/>
        </w:rPr>
      </w:pPr>
    </w:p>
    <w:p w:rsidR="00A002CB" w:rsidRDefault="00E2079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responsables en el tratamiento de datos personales, observarán los principios de calidad, consentimiento, finalidad, información, lealtad, licitud, proporcionalidad y responsabilidad</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se presume que se cumple con la calidad en los datos personales cuando éstos son proporcionados directamente por la o el titular y hasta que éste no manifieste y acredite lo contrario. </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Cuando los datos personales hayan dejado de ser necesarios para el cumplimiento de las finalidades previstas en el aviso de privacidad y que motivaron su tratamiento conforme a las disposiciones que resulten aplicables, serán suprimidos previo </w:t>
      </w:r>
      <w:r>
        <w:rPr>
          <w:rFonts w:ascii="Palatino Linotype" w:eastAsia="Palatino Linotype" w:hAnsi="Palatino Linotype" w:cs="Palatino Linotype"/>
        </w:rPr>
        <w:lastRenderedPageBreak/>
        <w:t>bloqueo y concluido su plazo de conservación, esto en términos del párrafo tercero del artículo 16 de la Ley en cita.</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en términos del artículo 23 el </w:t>
      </w:r>
      <w:r>
        <w:rPr>
          <w:rFonts w:ascii="Palatino Linotype" w:eastAsia="Palatino Linotype" w:hAnsi="Palatino Linotype" w:cs="Palatino Linotype"/>
          <w:u w:val="single"/>
        </w:rPr>
        <w:t>responsable del tratamiento de datos personales tendrá la obligación de informar a través del aviso de privacidad</w:t>
      </w:r>
      <w:r>
        <w:rPr>
          <w:rFonts w:ascii="Palatino Linotype" w:eastAsia="Palatino Linotype" w:hAnsi="Palatino Linotype" w:cs="Palatino Linotype"/>
        </w:rPr>
        <w:t xml:space="preserve">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bajo un redactado y estructurado aviso, el cual será difundido por los medios electrónicos y físicos con que cuente el responsable.</w:t>
      </w:r>
    </w:p>
    <w:p w:rsidR="00A002CB" w:rsidRDefault="00E2079C">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Mientras que el diverso 4 fracción V de la Ley en comento, define al </w:t>
      </w:r>
      <w:r>
        <w:rPr>
          <w:rFonts w:ascii="Palatino Linotype" w:eastAsia="Palatino Linotype" w:hAnsi="Palatino Linotype" w:cs="Palatino Linotype"/>
          <w:i/>
        </w:rPr>
        <w:t xml:space="preserve">aviso de privacidad </w:t>
      </w:r>
      <w:r>
        <w:rPr>
          <w:rFonts w:ascii="Palatino Linotype" w:eastAsia="Palatino Linotype" w:hAnsi="Palatino Linotype" w:cs="Palatino Linotype"/>
        </w:rPr>
        <w:t xml:space="preserve">como el </w:t>
      </w:r>
      <w:r>
        <w:rPr>
          <w:rFonts w:ascii="Palatino Linotype" w:eastAsia="Palatino Linotype" w:hAnsi="Palatino Linotype" w:cs="Palatino Linotype"/>
          <w:i/>
        </w:rPr>
        <w:t>documento físico, electrónico o en cualquier formato generado por el responsable que es puesto a disposición del Titular con el objeto de informarle los propósitos del tratamiento al que serán sometidos sus datos personales.</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decir, que los responsables del tratamiento de datos personales, deberán poner a disposición de la o el titular en formatos impresos, digitales, visuales, sonoros o de cualquier otra tecnología el aviso de privacidad en la modalidad simplificado e integral, cuando los datos hayan sido obtenidos personalmente, salvo que se hubiese facilitado el aviso con anterioridad</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A002CB" w:rsidRDefault="00E207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el artículo 32 de la misma Ley, dispone que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p>
    <w:p w:rsidR="00A002CB" w:rsidRDefault="00E207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Sin soslayar, que en el supuesto de que los datos hayan sido obtenidos personalmente de la o el titular, se deberá facilitar en el momento en el que se recabe el dato el aviso de privacidad integral, a través de los formatos por los que se recaban, salvo que se hubiere facilitado el aviso con anterioridad, supuesto en el que podrá instrumentarse una señal de aviso para cumplir con el principio de responsabilidad</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en el que se establecerá lo siguiente:</w:t>
      </w:r>
    </w:p>
    <w:p w:rsidR="00A002CB" w:rsidRDefault="00E2079C">
      <w:pPr>
        <w:tabs>
          <w:tab w:val="left" w:pos="2595"/>
        </w:tabs>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u w:val="single"/>
        </w:rPr>
        <w:t>aviso de privacidad integral contendrá</w:t>
      </w:r>
      <w:r>
        <w:rPr>
          <w:rFonts w:ascii="Palatino Linotype" w:eastAsia="Palatino Linotype" w:hAnsi="Palatino Linotype" w:cs="Palatino Linotype"/>
          <w:i/>
          <w:sz w:val="22"/>
          <w:szCs w:val="22"/>
        </w:rPr>
        <w:t xml:space="preserve"> la información siguiente: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denominación del responsable.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y cargo del administrador, así como el área o unidad administrativa a la que se encuentra adscrito.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datos personales que serán sometidos a tratamiento, identificando los que son sensibles.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El carácter obligatorio o facultativo de la entrega de los datos personales.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Las consecuencias de la negativa a suministrarlos.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Cuando se realicen transferencias de datos personales se informará: </w:t>
      </w:r>
    </w:p>
    <w:p w:rsidR="00A002CB" w:rsidRDefault="00E2079C">
      <w:pPr>
        <w:tabs>
          <w:tab w:val="left" w:pos="2595"/>
        </w:tabs>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 Destinatario de los datos. </w:t>
      </w:r>
    </w:p>
    <w:p w:rsidR="00A002CB" w:rsidRDefault="00E2079C">
      <w:pPr>
        <w:tabs>
          <w:tab w:val="left" w:pos="2595"/>
        </w:tabs>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Finalidad de la transferencia. </w:t>
      </w:r>
    </w:p>
    <w:p w:rsidR="00A002CB" w:rsidRDefault="00E2079C">
      <w:pPr>
        <w:tabs>
          <w:tab w:val="left" w:pos="2595"/>
        </w:tabs>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El fundamento que autoriza la transferencia. </w:t>
      </w:r>
    </w:p>
    <w:p w:rsidR="00A002CB" w:rsidRDefault="00E2079C">
      <w:pPr>
        <w:tabs>
          <w:tab w:val="left" w:pos="2595"/>
        </w:tabs>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Los datos personales a transferir. </w:t>
      </w:r>
    </w:p>
    <w:p w:rsidR="00A002CB" w:rsidRDefault="00E2079C">
      <w:pPr>
        <w:tabs>
          <w:tab w:val="left" w:pos="2595"/>
        </w:tabs>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Las implicaciones de otorgar, el consentimiento expreso. </w:t>
      </w:r>
    </w:p>
    <w:p w:rsidR="00A002CB" w:rsidRDefault="00E2079C">
      <w:pPr>
        <w:tabs>
          <w:tab w:val="left" w:pos="2595"/>
        </w:tabs>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se realicen transferencias de datos personales que requieran consentimiento, se acreditará el otorgamiento.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Cuando aplique, las opciones y medios que el responsable ofrezca a las o los titulares para limitar el uso o divulgación, o la portabilidad de datos.</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Los medios a través de los cuales el responsable comunicará a los titulares los cambios al aviso de privacidad.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El fundamento legal que faculta al responsable para llevar a cabo el tratamiento.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El procedimiento para que se ejerza el derecho a la portabilidad.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El domicilio de la Unidad de Transparencia. </w:t>
      </w:r>
    </w:p>
    <w:p w:rsidR="00A002CB" w:rsidRDefault="00E2079C">
      <w:pPr>
        <w:tabs>
          <w:tab w:val="left" w:pos="2595"/>
        </w:tabs>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rsidR="00A002CB" w:rsidRDefault="00E2079C">
      <w:pPr>
        <w:tabs>
          <w:tab w:val="left" w:pos="2595"/>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“Aviso de Privacidad Simplificado”, deberá contener al menos: la denominación del responsable, las finalidades del tratamiento para las cuales se obtienen los datos personales, distinguiendo aquéllas que requieran el consentimiento de la o el titular; en el supuesto de que se realicen transferencias de datos personales, el destinatario de los datos, finalidad de la transferencia, fundamento que autoriza, datos personales a transferir, implicaciones de otorgar, el consentimiento expreso. Así como los mecanismos y medios en que estarán disponibles para el uso previo al tratamiento de los datos personales, para que la o el titular, pueda manifestar su negativa para la finalidad y transferencia que requieran el consentimiento de la o el titular. </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debemos perder de vista que si bien es cierto que en el presente asunto, se insiste en que el Sujeto Obligado remitió la información mediante la liga electrónica, en la cual obran los avisos de privacidad al décimo quinto día hábil contabilizados a partir de la fecha de la solicitud, esto contraviene a lo previsto por el artículo 161 de la legislación aplicable a la materia, no menos cierto es que del análisis a lo remitido en respuesta por el Sujeto Obligado, se advierte que dicha información obra en la liga electrónica, es decir, no requiere que la parte recurrente realice una búsqueda, toda vez que como se vislumbró en las capturas de pantalla insertadas con antelación, la información requerida se visualiza de manera precisa y concreta.</w:t>
      </w:r>
    </w:p>
    <w:p w:rsidR="00A002CB" w:rsidRDefault="00E207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debe subrayarse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circunstancia que se actualizó en el presente asunto, en razón de que la respuesta se proporcionó </w:t>
      </w:r>
      <w:r>
        <w:rPr>
          <w:rFonts w:ascii="Palatino Linotype" w:eastAsia="Palatino Linotype" w:hAnsi="Palatino Linotype" w:cs="Palatino Linotype"/>
        </w:rPr>
        <w:lastRenderedPageBreak/>
        <w:t xml:space="preserve">dentro del plazo de quince días, de conformidad con lo previsto por el artículo 163 de la legislación aplicable en la materia: </w:t>
      </w:r>
    </w:p>
    <w:p w:rsidR="00A002CB" w:rsidRDefault="00E2079C">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163. La Unidad de Transparencia deberá notificar la respuesta a la solicitud al interesado en el menor tiempo posible, que no podrá exceder de quince días hábiles, contados a partir del día siguiente a la presentación de aquélla.”</w:t>
      </w:r>
    </w:p>
    <w:p w:rsidR="00A002CB" w:rsidRDefault="00E2079C">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en ocasiones subsecuentes se invita al Sujeto Obligado a observar en estricto sentido los plazos establecidos por la legislación aplicable en la materia para efecto de dar respuesta a las solicitudes de información que les corresponda atender.</w:t>
      </w:r>
    </w:p>
    <w:p w:rsidR="00A002CB" w:rsidRDefault="00E2079C">
      <w:pPr>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lo anteriormente expuesto, resultan infundadas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toda vez que la información fue entregada dentro del término previsto por la normatividad en la materia</w:t>
      </w:r>
    </w:p>
    <w:p w:rsidR="00A002CB" w:rsidRDefault="00E2079C">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A002CB" w:rsidRDefault="00E2079C">
      <w:pPr>
        <w:numPr>
          <w:ilvl w:val="0"/>
          <w:numId w:val="1"/>
        </w:numPr>
        <w:spacing w:before="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A002CB" w:rsidRDefault="00E2079C">
      <w:pPr>
        <w:spacing w:after="36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rPr>
        <w:t xml:space="preserve">Resultan infundadas las razones y motivos de inconformidad hechos valer en el recurso de revisión </w:t>
      </w:r>
      <w:r>
        <w:rPr>
          <w:rFonts w:ascii="Palatino Linotype" w:eastAsia="Palatino Linotype" w:hAnsi="Palatino Linotype" w:cs="Palatino Linotype"/>
          <w:b/>
        </w:rPr>
        <w:t>04939/INFOEM/IP/RR/2021</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de la presente resolución.</w:t>
      </w:r>
    </w:p>
    <w:p w:rsidR="00A002CB" w:rsidRDefault="00E2079C">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Ayuntamiento de Chiautla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rPr>
        <w:t>00115/CHIAUTLA/IP/2021.</w:t>
      </w:r>
    </w:p>
    <w:p w:rsidR="00A002CB" w:rsidRDefault="00E2079C">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Notifíquese, </w:t>
      </w:r>
      <w:r>
        <w:rPr>
          <w:rFonts w:ascii="Palatino Linotype" w:eastAsia="Palatino Linotype" w:hAnsi="Palatino Linotype" w:cs="Palatino Linotype"/>
        </w:rPr>
        <w:t xml:space="preserve">vía Sistema de Acceso a la Información Mexiquense (SAIMEX),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A002CB" w:rsidRDefault="00E2079C">
      <w:pPr>
        <w:spacing w:before="240" w:after="36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vía Sistema de Acceso a la Información Mexiquense (SAIMEX) la presente</w:t>
      </w:r>
      <w:r>
        <w:rPr>
          <w:rFonts w:ascii="Palatino Linotype" w:eastAsia="Palatino Linotype" w:hAnsi="Palatino Linotype" w:cs="Palatino Linotype"/>
          <w:color w:val="222222"/>
        </w:rPr>
        <w:t xml:space="preserve"> resolución. </w:t>
      </w:r>
    </w:p>
    <w:p w:rsidR="00A002CB" w:rsidRDefault="00E2079C">
      <w:pPr>
        <w:spacing w:before="240" w:after="3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222222"/>
        </w:rPr>
        <w:t xml:space="preserve">Quinto. Notifíquese </w:t>
      </w:r>
      <w:r>
        <w:rPr>
          <w:rFonts w:ascii="Palatino Linotype" w:eastAsia="Palatino Linotype" w:hAnsi="Palatino Linotype" w:cs="Palatino Linotype"/>
          <w:color w:val="222222"/>
        </w:rPr>
        <w:t>al Recurrente</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color w:val="222222"/>
        </w:rPr>
        <w:t xml:space="preserve">por la misma vía, que </w:t>
      </w:r>
      <w:r>
        <w:rPr>
          <w:rFonts w:ascii="Palatino Linotype" w:eastAsia="Palatino Linotype" w:hAnsi="Palatino Linotype" w:cs="Palatino Linotype"/>
        </w:rPr>
        <w:t xml:space="preserve">de conformidad con lo establecido en el artículo 196 de la Ley de Transparencia y Acceso a la Información Pública del Estado de México y Municipios </w:t>
      </w:r>
      <w:r>
        <w:rPr>
          <w:rFonts w:ascii="Palatino Linotype" w:eastAsia="Palatino Linotype" w:hAnsi="Palatino Linotype" w:cs="Palatino Linotype"/>
          <w:color w:val="000000"/>
        </w:rPr>
        <w:t>podrá impugnarla vía juicio de amparo en los términos de las Leyes aplicables.</w:t>
      </w:r>
    </w:p>
    <w:p w:rsidR="00E2079C" w:rsidRDefault="00E2079C">
      <w:pPr>
        <w:spacing w:before="240" w:after="240" w:line="360" w:lineRule="auto"/>
        <w:jc w:val="both"/>
        <w:rPr>
          <w:rFonts w:ascii="Palatino Linotype" w:eastAsia="Palatino Linotype" w:hAnsi="Palatino Linotype" w:cs="Palatino Linotype"/>
        </w:rPr>
        <w:sectPr w:rsidR="00E2079C">
          <w:headerReference w:type="default" r:id="rId19"/>
          <w:footerReference w:type="default" r:id="rId20"/>
          <w:headerReference w:type="first" r:id="rId21"/>
          <w:footerReference w:type="first" r:id="rId22"/>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w:t>
      </w:r>
      <w:r>
        <w:rPr>
          <w:rFonts w:ascii="Palatino Linotype" w:eastAsia="Palatino Linotype" w:hAnsi="Palatino Linotype" w:cs="Palatino Linotype"/>
        </w:rPr>
        <w:t xml:space="preserve"> DE DICIEMBRE DEL DOS MIL VEINTIUNO, ANTE EL SECRETARIO TÉCNICO DEL PLENO ALEXIS TAPIA RAMÍREZ.</w:t>
      </w:r>
    </w:p>
    <w:p w:rsidR="00A002CB" w:rsidRDefault="00A002CB">
      <w:pPr>
        <w:spacing w:before="240" w:after="240" w:line="360" w:lineRule="auto"/>
        <w:jc w:val="both"/>
        <w:rPr>
          <w:rFonts w:ascii="Palatino Linotype" w:eastAsia="Palatino Linotype" w:hAnsi="Palatino Linotype" w:cs="Palatino Linotype"/>
        </w:rPr>
      </w:pPr>
    </w:p>
    <w:sectPr w:rsidR="00A002CB">
      <w:headerReference w:type="first" r:id="rId23"/>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FF6" w:rsidRDefault="00E2079C">
      <w:r>
        <w:separator/>
      </w:r>
    </w:p>
  </w:endnote>
  <w:endnote w:type="continuationSeparator" w:id="0">
    <w:p w:rsidR="004E0FF6" w:rsidRDefault="00E2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B" w:rsidRDefault="00E207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20E8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20E87">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A002CB" w:rsidRDefault="00A002C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B" w:rsidRDefault="00E207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20E8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20E87">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A002CB" w:rsidRDefault="00A002C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FF6" w:rsidRDefault="00E2079C">
      <w:r>
        <w:separator/>
      </w:r>
    </w:p>
  </w:footnote>
  <w:footnote w:type="continuationSeparator" w:id="0">
    <w:p w:rsidR="004E0FF6" w:rsidRDefault="00E2079C">
      <w:r>
        <w:continuationSeparator/>
      </w:r>
    </w:p>
  </w:footnote>
  <w:footnote w:id="1">
    <w:p w:rsidR="00A002CB" w:rsidRDefault="00E2079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6"/>
          <w:szCs w:val="16"/>
        </w:rPr>
        <w:t xml:space="preserve">Cfr. </w:t>
      </w:r>
      <w:r>
        <w:rPr>
          <w:rFonts w:ascii="Palatino Linotype" w:eastAsia="Palatino Linotype" w:hAnsi="Palatino Linotype" w:cs="Palatino Linotype"/>
          <w:color w:val="000000"/>
          <w:sz w:val="16"/>
          <w:szCs w:val="16"/>
        </w:rPr>
        <w:t>Artículo 15 de la Ley de Protección de Datos Personales en Posesión de Sujetos Obligados del Estado de México y Municipios.</w:t>
      </w:r>
    </w:p>
  </w:footnote>
  <w:footnote w:id="2">
    <w:p w:rsidR="00A002CB" w:rsidRDefault="00E2079C">
      <w:pPr>
        <w:ind w:right="49"/>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b/>
          <w:i/>
          <w:sz w:val="16"/>
          <w:szCs w:val="16"/>
        </w:rPr>
        <w:t>Comunicación del Aviso de Privacidad. Artículo 29.</w:t>
      </w:r>
      <w:r>
        <w:rPr>
          <w:rFonts w:ascii="Palatino Linotype" w:eastAsia="Palatino Linotype" w:hAnsi="Palatino Linotype" w:cs="Palatino Linotype"/>
          <w:i/>
          <w:sz w:val="16"/>
          <w:szCs w:val="16"/>
        </w:rPr>
        <w:t xml:space="preserve"> Los responsables pondrán a disposición de la o el titular en formatos impresos, digitales, visuales, sonoros o de cualquier otra tecnología, el aviso de privacidad, en las modalidades simplificado e integral.</w:t>
      </w:r>
    </w:p>
    <w:p w:rsidR="00A002CB" w:rsidRDefault="00E2079C">
      <w:pPr>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 xml:space="preserve">Del Aviso de Privacidad Integral. Artículo 30. </w:t>
      </w:r>
      <w:r>
        <w:rPr>
          <w:rFonts w:ascii="Palatino Linotype" w:eastAsia="Palatino Linotype" w:hAnsi="Palatino Linotype" w:cs="Palatino Linotype"/>
          <w:i/>
          <w:sz w:val="16"/>
          <w:szCs w:val="16"/>
        </w:rPr>
        <w:t>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footnote>
  <w:footnote w:id="3">
    <w:p w:rsidR="00A002CB" w:rsidRDefault="00E2079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6"/>
          <w:szCs w:val="16"/>
        </w:rPr>
        <w:t xml:space="preserve">Cfr. </w:t>
      </w:r>
      <w:r>
        <w:rPr>
          <w:rFonts w:ascii="Palatino Linotype" w:eastAsia="Palatino Linotype" w:hAnsi="Palatino Linotype" w:cs="Palatino Linotype"/>
          <w:color w:val="000000"/>
          <w:sz w:val="16"/>
          <w:szCs w:val="16"/>
        </w:rPr>
        <w:t>Artículo 30 de la Ley de Protección de Datos Personales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B" w:rsidRDefault="00E2079C">
    <w:pPr>
      <w:pBdr>
        <w:top w:val="nil"/>
        <w:left w:val="nil"/>
        <w:bottom w:val="nil"/>
        <w:right w:val="nil"/>
        <w:between w:val="nil"/>
      </w:pBdr>
      <w:tabs>
        <w:tab w:val="center" w:pos="4252"/>
        <w:tab w:val="right" w:pos="8504"/>
      </w:tabs>
      <w:jc w:val="both"/>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-665860</wp:posOffset>
          </wp:positionH>
          <wp:positionV relativeFrom="paragraph">
            <wp:posOffset>-453617</wp:posOffset>
          </wp:positionV>
          <wp:extent cx="7635600" cy="9943200"/>
          <wp:effectExtent l="0" t="0" r="0" b="0"/>
          <wp:wrapNone/>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A002CB">
      <w:tc>
        <w:tcPr>
          <w:tcW w:w="2551" w:type="dxa"/>
          <w:vAlign w:val="center"/>
        </w:tcPr>
        <w:p w:rsidR="00A002CB" w:rsidRDefault="00E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A002CB" w:rsidRDefault="00E2079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04939/INFOEM/IP/RR/2021. </w:t>
          </w:r>
        </w:p>
      </w:tc>
    </w:tr>
    <w:tr w:rsidR="00A002CB">
      <w:trPr>
        <w:trHeight w:val="228"/>
      </w:trPr>
      <w:tc>
        <w:tcPr>
          <w:tcW w:w="2551" w:type="dxa"/>
          <w:vAlign w:val="center"/>
        </w:tcPr>
        <w:p w:rsidR="00A002CB" w:rsidRDefault="00E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A002CB" w:rsidRDefault="00E2079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Chiautla</w:t>
          </w:r>
        </w:p>
      </w:tc>
    </w:tr>
    <w:tr w:rsidR="00A002CB">
      <w:tc>
        <w:tcPr>
          <w:tcW w:w="2551" w:type="dxa"/>
          <w:vAlign w:val="center"/>
        </w:tcPr>
        <w:p w:rsidR="00A002CB" w:rsidRDefault="00E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A002CB" w:rsidRDefault="00E2079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002CB" w:rsidRDefault="00A002C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B" w:rsidRDefault="00E2079C">
    <w:pPr>
      <w:pBdr>
        <w:top w:val="nil"/>
        <w:left w:val="nil"/>
        <w:bottom w:val="nil"/>
        <w:right w:val="nil"/>
        <w:between w:val="nil"/>
      </w:pBdr>
      <w:tabs>
        <w:tab w:val="center" w:pos="4252"/>
        <w:tab w:val="right" w:pos="8504"/>
      </w:tabs>
      <w:jc w:val="both"/>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-680313</wp:posOffset>
          </wp:positionH>
          <wp:positionV relativeFrom="paragraph">
            <wp:posOffset>-168884</wp:posOffset>
          </wp:positionV>
          <wp:extent cx="7635600" cy="9943200"/>
          <wp:effectExtent l="0" t="0" r="0" b="0"/>
          <wp:wrapNone/>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5812" w:type="dxa"/>
      <w:tblInd w:w="3119" w:type="dxa"/>
      <w:tblLayout w:type="fixed"/>
      <w:tblLook w:val="0400" w:firstRow="0" w:lastRow="0" w:firstColumn="0" w:lastColumn="0" w:noHBand="0" w:noVBand="1"/>
    </w:tblPr>
    <w:tblGrid>
      <w:gridCol w:w="2551"/>
      <w:gridCol w:w="3261"/>
    </w:tblGrid>
    <w:tr w:rsidR="00A002CB">
      <w:tc>
        <w:tcPr>
          <w:tcW w:w="2551" w:type="dxa"/>
          <w:vAlign w:val="center"/>
        </w:tcPr>
        <w:p w:rsidR="00A002CB" w:rsidRDefault="00E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A002CB" w:rsidRDefault="00E2079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04939/INFOEM/IP/RR/2021. </w:t>
          </w:r>
        </w:p>
      </w:tc>
    </w:tr>
    <w:tr w:rsidR="00A002CB">
      <w:tc>
        <w:tcPr>
          <w:tcW w:w="2551" w:type="dxa"/>
          <w:vAlign w:val="center"/>
        </w:tcPr>
        <w:p w:rsidR="00A002CB" w:rsidRDefault="00E2079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A002CB" w:rsidRDefault="00A002CB">
          <w:pPr>
            <w:jc w:val="both"/>
            <w:rPr>
              <w:rFonts w:ascii="Palatino Linotype" w:eastAsia="Palatino Linotype" w:hAnsi="Palatino Linotype" w:cs="Palatino Linotype"/>
              <w:b/>
              <w:sz w:val="22"/>
              <w:szCs w:val="22"/>
            </w:rPr>
          </w:pPr>
        </w:p>
      </w:tc>
    </w:tr>
    <w:tr w:rsidR="00A002CB">
      <w:trPr>
        <w:trHeight w:val="228"/>
      </w:trPr>
      <w:tc>
        <w:tcPr>
          <w:tcW w:w="2551" w:type="dxa"/>
          <w:vAlign w:val="center"/>
        </w:tcPr>
        <w:p w:rsidR="00A002CB" w:rsidRDefault="00E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A002CB" w:rsidRDefault="00E2079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Chiautla.</w:t>
          </w:r>
        </w:p>
      </w:tc>
    </w:tr>
    <w:tr w:rsidR="00A002CB">
      <w:tc>
        <w:tcPr>
          <w:tcW w:w="2551" w:type="dxa"/>
          <w:vAlign w:val="center"/>
        </w:tcPr>
        <w:p w:rsidR="00A002CB" w:rsidRDefault="00E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A002CB" w:rsidRDefault="00E2079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002CB" w:rsidRDefault="00A002C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79C" w:rsidRDefault="00E2079C">
    <w:pPr>
      <w:pBdr>
        <w:top w:val="nil"/>
        <w:left w:val="nil"/>
        <w:bottom w:val="nil"/>
        <w:right w:val="nil"/>
        <w:between w:val="nil"/>
      </w:pBdr>
      <w:tabs>
        <w:tab w:val="center" w:pos="4252"/>
        <w:tab w:val="right" w:pos="8504"/>
      </w:tabs>
      <w:jc w:val="both"/>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B04B3"/>
    <w:multiLevelType w:val="multilevel"/>
    <w:tmpl w:val="F54E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4242CBF"/>
    <w:multiLevelType w:val="multilevel"/>
    <w:tmpl w:val="BE86BA6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8F44CBC"/>
    <w:multiLevelType w:val="multilevel"/>
    <w:tmpl w:val="00E6B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2CB"/>
    <w:rsid w:val="004E0FF6"/>
    <w:rsid w:val="00A002CB"/>
    <w:rsid w:val="00E2079C"/>
    <w:rsid w:val="00E20E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06D56-60A2-403C-93B0-1598D1262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C64F8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mo.chiautlaedomex.gob.mx/avisosprivacidad/"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mo.chiautlaedomex.gob.mx/avisosprivacidad/" TargetMode="External"/><Relationship Id="rId14" Type="http://schemas.openxmlformats.org/officeDocument/2006/relationships/image" Target="media/image10.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wiaC1lOvmwWUX+x4UBZHt1N5Zw==">AMUW2mXnhCrezpSJID17M7mJrlhj4O/H6UE6WxTbxeJ5Ur1fkoX4J1GjELzeB1j4o4pDJFGVVtCGnvHIkbgXjTjOLfDa4ENJWxfnFPJgbomlomgNiWHcZWB5cNQPEYSCXErziC8sb1oA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7604</Words>
  <Characters>41827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dcterms:created xsi:type="dcterms:W3CDTF">2021-12-15T23:47:00Z</dcterms:created>
  <dcterms:modified xsi:type="dcterms:W3CDTF">2021-12-16T17:39:00Z</dcterms:modified>
</cp:coreProperties>
</file>