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E793085"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AA12A0">
        <w:rPr>
          <w:rFonts w:ascii="Palatino Linotype" w:hAnsi="Palatino Linotype"/>
          <w:sz w:val="24"/>
          <w:szCs w:val="24"/>
        </w:rPr>
        <w:t>uno</w:t>
      </w:r>
      <w:r w:rsidRPr="00941EE1">
        <w:rPr>
          <w:rFonts w:ascii="Palatino Linotype" w:hAnsi="Palatino Linotype"/>
          <w:sz w:val="24"/>
          <w:szCs w:val="24"/>
        </w:rPr>
        <w:t xml:space="preserve"> (</w:t>
      </w:r>
      <w:r w:rsidR="00AA12A0">
        <w:rPr>
          <w:rFonts w:ascii="Palatino Linotype" w:hAnsi="Palatino Linotype"/>
          <w:sz w:val="24"/>
          <w:szCs w:val="24"/>
        </w:rPr>
        <w:t>1</w:t>
      </w:r>
      <w:r w:rsidR="00BE6E79" w:rsidRPr="00941EE1">
        <w:rPr>
          <w:rFonts w:ascii="Palatino Linotype" w:hAnsi="Palatino Linotype"/>
          <w:sz w:val="24"/>
          <w:szCs w:val="24"/>
        </w:rPr>
        <w:t xml:space="preserve">) de </w:t>
      </w:r>
      <w:r w:rsidR="00AA12A0">
        <w:rPr>
          <w:rFonts w:ascii="Palatino Linotype" w:hAnsi="Palatino Linotype"/>
          <w:sz w:val="24"/>
          <w:szCs w:val="24"/>
        </w:rPr>
        <w:t>diciembre</w:t>
      </w:r>
      <w:r w:rsidRPr="00941EE1">
        <w:rPr>
          <w:rFonts w:ascii="Palatino Linotype" w:hAnsi="Palatino Linotype"/>
          <w:sz w:val="24"/>
          <w:szCs w:val="24"/>
        </w:rPr>
        <w:t xml:space="preserve"> de dos mil veintiuno.</w:t>
      </w:r>
    </w:p>
    <w:p w14:paraId="4C818016" w14:textId="4062CEC6"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AA12A0" w:rsidRPr="00AA12A0">
        <w:rPr>
          <w:rFonts w:ascii="Palatino Linotype" w:eastAsia="Calibri" w:hAnsi="Palatino Linotype" w:cs="Tahoma"/>
          <w:b/>
          <w:bCs/>
          <w:sz w:val="24"/>
          <w:szCs w:val="22"/>
          <w:lang w:eastAsia="en-US"/>
        </w:rPr>
        <w:t>05183/INFOEM/IP/RR/2021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AA12A0">
        <w:rPr>
          <w:rFonts w:ascii="Palatino Linotype" w:hAnsi="Palatino Linotype"/>
          <w:sz w:val="24"/>
          <w:szCs w:val="24"/>
        </w:rPr>
        <w:t xml:space="preserve">un </w:t>
      </w:r>
      <w:r w:rsidR="00AA12A0" w:rsidRPr="00AA12A0">
        <w:rPr>
          <w:rFonts w:ascii="Palatino Linotype" w:hAnsi="Palatino Linotype"/>
          <w:b/>
          <w:sz w:val="24"/>
          <w:szCs w:val="24"/>
        </w:rPr>
        <w:t>Usuario del Sistema de Acceso a la Información Mexiquense (SAIMEX) que no proporcionó su nombre para ser identificado</w:t>
      </w:r>
      <w:r w:rsidR="00BE6E79">
        <w:rPr>
          <w:rFonts w:ascii="Palatino Linotype" w:hAnsi="Palatino Linotype"/>
          <w:sz w:val="24"/>
          <w:szCs w:val="24"/>
        </w:rPr>
        <w:t xml:space="preserve">, </w:t>
      </w:r>
      <w:r w:rsidRPr="00624AAD">
        <w:rPr>
          <w:rFonts w:ascii="Palatino Linotype" w:hAnsi="Palatino Linotype"/>
          <w:sz w:val="24"/>
          <w:szCs w:val="24"/>
        </w:rPr>
        <w:t xml:space="preserve">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respuesta del </w:t>
      </w:r>
      <w:r w:rsidR="00AA12A0" w:rsidRPr="00AA12A0">
        <w:rPr>
          <w:rFonts w:ascii="Palatino Linotype" w:eastAsia="Calibri" w:hAnsi="Palatino Linotype" w:cs="Tahoma"/>
          <w:b/>
          <w:sz w:val="24"/>
          <w:szCs w:val="22"/>
          <w:lang w:eastAsia="en-US"/>
        </w:rPr>
        <w:t>Sistema Municipal Para el Desarrollo Integral de la Familia de Tianguistenco</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6917933"/>
      <w:bookmarkStart w:id="1" w:name="_Toc88745502"/>
      <w:r w:rsidRPr="00624AAD">
        <w:rPr>
          <w:rFonts w:ascii="Palatino Linotype" w:hAnsi="Palatino Linotype"/>
          <w:b/>
          <w:color w:val="auto"/>
          <w:sz w:val="24"/>
          <w:szCs w:val="24"/>
        </w:rPr>
        <w:t>ANTECEDENTES</w:t>
      </w:r>
      <w:bookmarkEnd w:id="0"/>
      <w:bookmarkEnd w:id="1"/>
    </w:p>
    <w:p w14:paraId="04287D5F" w14:textId="77777777" w:rsidR="005000AA" w:rsidRPr="00624AAD" w:rsidRDefault="005000AA" w:rsidP="005000AA">
      <w:pPr>
        <w:rPr>
          <w:rFonts w:ascii="Palatino Linotype" w:hAnsi="Palatino Linotype"/>
          <w:sz w:val="24"/>
          <w:szCs w:val="24"/>
          <w:lang w:eastAsia="en-US"/>
        </w:rPr>
      </w:pPr>
    </w:p>
    <w:p w14:paraId="205E5E03" w14:textId="34CD2988" w:rsidR="005000AA" w:rsidRPr="00624AAD"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E65B7C">
        <w:rPr>
          <w:rFonts w:ascii="Palatino Linotype" w:eastAsia="Calibri" w:hAnsi="Palatino Linotype" w:cs="Arial"/>
          <w:sz w:val="24"/>
          <w:lang w:val="es-ES"/>
        </w:rPr>
        <w:t>siete</w:t>
      </w:r>
      <w:r w:rsidR="005000AA" w:rsidRPr="00624AAD">
        <w:rPr>
          <w:rFonts w:ascii="Palatino Linotype" w:eastAsia="Calibri" w:hAnsi="Palatino Linotype" w:cs="Arial"/>
          <w:sz w:val="24"/>
          <w:lang w:val="es-ES"/>
        </w:rPr>
        <w:t xml:space="preserve"> (</w:t>
      </w:r>
      <w:r w:rsidR="00E65B7C">
        <w:rPr>
          <w:rFonts w:ascii="Palatino Linotype" w:eastAsia="Calibri" w:hAnsi="Palatino Linotype" w:cs="Arial"/>
          <w:sz w:val="24"/>
          <w:lang w:val="es-ES"/>
        </w:rPr>
        <w:t>7</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AA12A0">
        <w:rPr>
          <w:rFonts w:ascii="Palatino Linotype" w:eastAsia="Calibri" w:hAnsi="Palatino Linotype"/>
          <w:sz w:val="24"/>
          <w:lang w:val="es-ES"/>
        </w:rPr>
        <w:t xml:space="preserve">septiembre </w:t>
      </w:r>
      <w:r w:rsidR="005000AA" w:rsidRPr="00624AAD">
        <w:rPr>
          <w:rFonts w:ascii="Palatino Linotype" w:eastAsia="Calibri" w:hAnsi="Palatino Linotype"/>
          <w:sz w:val="24"/>
          <w:lang w:val="es-ES"/>
        </w:rPr>
        <w:t>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AA12A0">
        <w:rPr>
          <w:rFonts w:ascii="Palatino Linotype" w:eastAsia="Calibri" w:hAnsi="Palatino Linotype" w:cs="Arial"/>
          <w:b/>
          <w:sz w:val="24"/>
          <w:lang w:val="es-ES"/>
        </w:rPr>
        <w:t>006</w:t>
      </w:r>
      <w:r w:rsidR="00624AAD" w:rsidRPr="00624AAD">
        <w:rPr>
          <w:rFonts w:ascii="Palatino Linotype" w:eastAsia="Calibri" w:hAnsi="Palatino Linotype" w:cs="Arial"/>
          <w:b/>
          <w:sz w:val="24"/>
          <w:lang w:val="es-ES"/>
        </w:rPr>
        <w:t>/</w:t>
      </w:r>
      <w:r w:rsidR="00AA12A0">
        <w:rPr>
          <w:rFonts w:ascii="Palatino Linotype" w:eastAsia="Calibri" w:hAnsi="Palatino Linotype" w:cs="Arial"/>
          <w:b/>
          <w:sz w:val="24"/>
          <w:lang w:val="es-ES"/>
        </w:rPr>
        <w:t>DIFTIANGUI</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7402FE52"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AA12A0" w:rsidRPr="00AA12A0">
        <w:rPr>
          <w:rFonts w:ascii="Palatino Linotype" w:hAnsi="Palatino Linotype"/>
          <w:i/>
          <w:sz w:val="24"/>
          <w:szCs w:val="24"/>
          <w:lang w:eastAsia="es-MX"/>
        </w:rPr>
        <w:t>solicito el recibo de nómina del tesorero del dif y tesorero del ayuntamiento, el recibo de nómina de la directora del dif, recibo de nómina del director de desarrollo economico o equivalente, todos de la quincena del 15 de agosto al 31 de agosto</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58F961F6"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lastRenderedPageBreak/>
        <w:t xml:space="preserve">El </w:t>
      </w:r>
      <w:r w:rsidR="00E65B7C">
        <w:rPr>
          <w:rFonts w:ascii="Palatino Linotype" w:eastAsia="Calibri" w:hAnsi="Palatino Linotype"/>
          <w:sz w:val="24"/>
          <w:lang w:val="es-ES"/>
        </w:rPr>
        <w:t>veintinueve</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E65B7C">
        <w:rPr>
          <w:rFonts w:ascii="Palatino Linotype" w:eastAsia="Calibri" w:hAnsi="Palatino Linotype" w:cs="Arial"/>
          <w:sz w:val="24"/>
          <w:lang w:val="es-ES"/>
        </w:rPr>
        <w:t>29</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F942BD">
        <w:rPr>
          <w:rFonts w:ascii="Palatino Linotype" w:eastAsia="Calibri" w:hAnsi="Palatino Linotype"/>
          <w:sz w:val="24"/>
          <w:lang w:val="es-ES"/>
        </w:rPr>
        <w:t>septiembre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7B457F59" w14:textId="77777777" w:rsidR="00AA12A0" w:rsidRPr="00AA12A0" w:rsidRDefault="005000AA" w:rsidP="00AA12A0">
      <w:pPr>
        <w:pStyle w:val="Prrafodelista"/>
        <w:spacing w:before="240" w:after="240" w:line="360" w:lineRule="auto"/>
        <w:ind w:left="567" w:right="567"/>
        <w:jc w:val="both"/>
        <w:rPr>
          <w:rFonts w:ascii="Palatino Linotype" w:hAnsi="Palatino Linotype"/>
          <w:i/>
          <w:color w:val="000000"/>
        </w:rPr>
      </w:pPr>
      <w:r w:rsidRPr="00380BDB">
        <w:rPr>
          <w:rFonts w:ascii="Palatino Linotype" w:eastAsia="Calibri" w:hAnsi="Palatino Linotype"/>
          <w:i/>
          <w:lang w:val="es-ES"/>
        </w:rPr>
        <w:t>“</w:t>
      </w:r>
      <w:r w:rsidR="00AA12A0" w:rsidRPr="00AA12A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336F58" w14:textId="77777777" w:rsidR="00AA12A0" w:rsidRPr="00AA12A0" w:rsidRDefault="00AA12A0" w:rsidP="00AA12A0">
      <w:pPr>
        <w:pStyle w:val="Prrafodelista"/>
        <w:spacing w:before="240" w:after="240" w:line="360" w:lineRule="auto"/>
        <w:ind w:left="567" w:right="567"/>
        <w:jc w:val="both"/>
        <w:rPr>
          <w:rFonts w:ascii="Palatino Linotype" w:hAnsi="Palatino Linotype"/>
          <w:i/>
          <w:color w:val="000000"/>
        </w:rPr>
      </w:pPr>
      <w:r w:rsidRPr="00AA12A0">
        <w:rPr>
          <w:rFonts w:ascii="Palatino Linotype" w:hAnsi="Palatino Linotype"/>
          <w:i/>
          <w:color w:val="000000"/>
        </w:rPr>
        <w:t>entrega de información</w:t>
      </w:r>
    </w:p>
    <w:p w14:paraId="3443601B" w14:textId="77777777" w:rsidR="00AA12A0" w:rsidRPr="00AA12A0" w:rsidRDefault="00AA12A0" w:rsidP="00AA12A0">
      <w:pPr>
        <w:pStyle w:val="Prrafodelista"/>
        <w:spacing w:before="240" w:after="240" w:line="360" w:lineRule="auto"/>
        <w:ind w:left="567" w:right="567"/>
        <w:jc w:val="both"/>
        <w:rPr>
          <w:rFonts w:ascii="Palatino Linotype" w:hAnsi="Palatino Linotype"/>
          <w:i/>
          <w:color w:val="000000"/>
        </w:rPr>
      </w:pPr>
      <w:r w:rsidRPr="00AA12A0">
        <w:rPr>
          <w:rFonts w:ascii="Palatino Linotype" w:hAnsi="Palatino Linotype"/>
          <w:i/>
          <w:color w:val="000000"/>
        </w:rPr>
        <w:t>ATENTAMENTE</w:t>
      </w:r>
    </w:p>
    <w:p w14:paraId="362915EB" w14:textId="17CABD2F" w:rsidR="005000AA" w:rsidRPr="00380BDB" w:rsidRDefault="00AA12A0" w:rsidP="00AA12A0">
      <w:pPr>
        <w:pStyle w:val="Prrafodelista"/>
        <w:spacing w:before="240" w:after="240" w:line="360" w:lineRule="auto"/>
        <w:ind w:left="567" w:right="567"/>
        <w:jc w:val="both"/>
        <w:rPr>
          <w:rFonts w:ascii="Palatino Linotype" w:hAnsi="Palatino Linotype"/>
          <w:i/>
          <w:color w:val="000000"/>
        </w:rPr>
      </w:pPr>
      <w:r w:rsidRPr="00AA12A0">
        <w:rPr>
          <w:rFonts w:ascii="Palatino Linotype" w:hAnsi="Palatino Linotype"/>
          <w:i/>
          <w:color w:val="000000"/>
        </w:rPr>
        <w:t>LIC. MARIO ALBERTO GUTIERREZ TORRES</w:t>
      </w:r>
      <w:r w:rsidR="005000AA" w:rsidRPr="00380BDB">
        <w:rPr>
          <w:rFonts w:ascii="Palatino Linotype" w:hAnsi="Palatino Linotype"/>
          <w:i/>
          <w:color w:val="000000"/>
        </w:rPr>
        <w:t>” (sic)</w:t>
      </w:r>
    </w:p>
    <w:p w14:paraId="613A96EF" w14:textId="77777777" w:rsidR="005000AA" w:rsidRDefault="005000AA" w:rsidP="005000AA">
      <w:pPr>
        <w:pStyle w:val="Prrafodelista"/>
        <w:spacing w:before="240" w:after="240" w:line="360" w:lineRule="auto"/>
        <w:ind w:left="567" w:right="567"/>
        <w:jc w:val="both"/>
        <w:rPr>
          <w:rFonts w:ascii="Palatino Linotype" w:hAnsi="Palatino Linotype"/>
          <w:i/>
          <w:color w:val="000000"/>
          <w:sz w:val="24"/>
        </w:rPr>
      </w:pPr>
    </w:p>
    <w:p w14:paraId="2AA061E3" w14:textId="30D747B6" w:rsidR="00AA12A0" w:rsidRPr="00AA12A0" w:rsidRDefault="006E5197" w:rsidP="00AA12A0">
      <w:pPr>
        <w:pStyle w:val="Prrafodelista"/>
        <w:numPr>
          <w:ilvl w:val="0"/>
          <w:numId w:val="44"/>
        </w:numPr>
        <w:spacing w:before="240" w:after="240" w:line="360" w:lineRule="auto"/>
        <w:ind w:right="567"/>
        <w:jc w:val="both"/>
        <w:rPr>
          <w:rFonts w:ascii="Palatino Linotype" w:hAnsi="Palatino Linotype"/>
          <w:b/>
          <w:i/>
          <w:szCs w:val="22"/>
        </w:rPr>
      </w:pPr>
      <w:hyperlink r:id="rId9" w:tgtFrame="_blank" w:history="1">
        <w:r w:rsidR="00AA12A0" w:rsidRPr="00AA12A0">
          <w:rPr>
            <w:rStyle w:val="Hipervnculo"/>
            <w:rFonts w:ascii="Palatino Linotype" w:hAnsi="Palatino Linotype" w:cs="Arial"/>
            <w:b/>
            <w:bCs/>
            <w:color w:val="auto"/>
            <w:szCs w:val="22"/>
            <w:u w:val="none"/>
          </w:rPr>
          <w:t>tercerasesionincompetencia.pdf</w:t>
        </w:r>
      </w:hyperlink>
      <w:r w:rsidR="000B572F">
        <w:rPr>
          <w:rFonts w:ascii="Palatino Linotype" w:hAnsi="Palatino Linotype"/>
          <w:b/>
          <w:szCs w:val="22"/>
        </w:rPr>
        <w:t xml:space="preserve">: </w:t>
      </w:r>
      <w:r w:rsidR="000B572F" w:rsidRPr="000B572F">
        <w:rPr>
          <w:rFonts w:ascii="Palatino Linotype" w:hAnsi="Palatino Linotype"/>
          <w:szCs w:val="22"/>
        </w:rPr>
        <w:t>Acta de la Tercera Sesión Extraordinaria del Comité de Transparencia del DIF mediante el cual se declara incompetente para contar con la información relativa al recibo de nómina del Tesorero del Ayuntamiento y del Desarrollo Económico o equivalente.</w:t>
      </w:r>
    </w:p>
    <w:p w14:paraId="4632D203" w14:textId="1703C2F0" w:rsidR="00AA12A0" w:rsidRPr="000B572F" w:rsidRDefault="006E5197" w:rsidP="00AA12A0">
      <w:pPr>
        <w:pStyle w:val="Prrafodelista"/>
        <w:numPr>
          <w:ilvl w:val="0"/>
          <w:numId w:val="44"/>
        </w:numPr>
        <w:spacing w:before="240" w:after="240" w:line="360" w:lineRule="auto"/>
        <w:ind w:right="567"/>
        <w:jc w:val="both"/>
        <w:rPr>
          <w:rFonts w:ascii="Palatino Linotype" w:hAnsi="Palatino Linotype"/>
          <w:b/>
          <w:i/>
          <w:szCs w:val="22"/>
        </w:rPr>
      </w:pPr>
      <w:hyperlink r:id="rId10" w:tgtFrame="_blank" w:history="1">
        <w:r w:rsidR="00AA12A0" w:rsidRPr="00AA12A0">
          <w:rPr>
            <w:rStyle w:val="Hipervnculo"/>
            <w:rFonts w:ascii="Palatino Linotype" w:hAnsi="Palatino Linotype" w:cs="Arial"/>
            <w:b/>
            <w:bCs/>
            <w:color w:val="auto"/>
            <w:szCs w:val="22"/>
            <w:u w:val="none"/>
          </w:rPr>
          <w:t>recibodirector.pdf</w:t>
        </w:r>
      </w:hyperlink>
      <w:r w:rsidR="000B572F">
        <w:rPr>
          <w:rFonts w:ascii="Palatino Linotype" w:hAnsi="Palatino Linotype"/>
          <w:b/>
          <w:szCs w:val="22"/>
        </w:rPr>
        <w:t xml:space="preserve">: </w:t>
      </w:r>
      <w:r w:rsidR="000B572F" w:rsidRPr="000B572F">
        <w:rPr>
          <w:rFonts w:ascii="Palatino Linotype" w:hAnsi="Palatino Linotype"/>
          <w:szCs w:val="22"/>
        </w:rPr>
        <w:t>Contiene el recibo de nómina correspondiente a la segunda quincena del mes de agosto de 2021 del Director, en versión pública.</w:t>
      </w:r>
    </w:p>
    <w:p w14:paraId="253A393C" w14:textId="246A28A8" w:rsidR="00AA12A0" w:rsidRPr="00AA12A0" w:rsidRDefault="006E5197" w:rsidP="00AA12A0">
      <w:pPr>
        <w:pStyle w:val="Prrafodelista"/>
        <w:numPr>
          <w:ilvl w:val="0"/>
          <w:numId w:val="44"/>
        </w:numPr>
        <w:spacing w:before="240" w:after="240" w:line="360" w:lineRule="auto"/>
        <w:ind w:right="567"/>
        <w:jc w:val="both"/>
        <w:rPr>
          <w:rFonts w:ascii="Palatino Linotype" w:hAnsi="Palatino Linotype"/>
          <w:b/>
          <w:i/>
          <w:szCs w:val="22"/>
        </w:rPr>
      </w:pPr>
      <w:hyperlink r:id="rId11" w:tgtFrame="_blank" w:history="1">
        <w:r w:rsidR="00AA12A0" w:rsidRPr="00AA12A0">
          <w:rPr>
            <w:rStyle w:val="Hipervnculo"/>
            <w:rFonts w:ascii="Palatino Linotype" w:hAnsi="Palatino Linotype" w:cs="Arial"/>
            <w:b/>
            <w:bCs/>
            <w:color w:val="auto"/>
            <w:szCs w:val="22"/>
            <w:u w:val="none"/>
          </w:rPr>
          <w:t>actadoceava recibos.pdf</w:t>
        </w:r>
      </w:hyperlink>
      <w:r w:rsidR="000B572F">
        <w:rPr>
          <w:rFonts w:ascii="Palatino Linotype" w:hAnsi="Palatino Linotype"/>
          <w:b/>
          <w:szCs w:val="22"/>
        </w:rPr>
        <w:t xml:space="preserve">: </w:t>
      </w:r>
      <w:r w:rsidR="000B572F" w:rsidRPr="000B572F">
        <w:rPr>
          <w:rFonts w:ascii="Palatino Linotype" w:hAnsi="Palatino Linotype"/>
          <w:szCs w:val="22"/>
        </w:rPr>
        <w:t>Contiene el acta de la décima sesión ordinaria del Comité de Transparencia mediante la cual se aprobó la clasificación del RFC, CURP, ISSEMyM QR, firma del servidor público como información confidencial para elaborar las versiones públicas.</w:t>
      </w:r>
    </w:p>
    <w:p w14:paraId="0BB58E26" w14:textId="0634E41A" w:rsidR="00E65B7C" w:rsidRPr="00AA12A0" w:rsidRDefault="006E5197" w:rsidP="00AA12A0">
      <w:pPr>
        <w:pStyle w:val="Prrafodelista"/>
        <w:numPr>
          <w:ilvl w:val="0"/>
          <w:numId w:val="44"/>
        </w:numPr>
        <w:spacing w:before="240" w:after="240" w:line="360" w:lineRule="auto"/>
        <w:ind w:right="567"/>
        <w:jc w:val="both"/>
        <w:rPr>
          <w:rFonts w:ascii="Palatino Linotype" w:hAnsi="Palatino Linotype"/>
          <w:b/>
          <w:i/>
          <w:szCs w:val="22"/>
        </w:rPr>
      </w:pPr>
      <w:hyperlink r:id="rId12" w:tgtFrame="_blank" w:history="1">
        <w:r w:rsidR="00AA12A0" w:rsidRPr="00AA12A0">
          <w:rPr>
            <w:rStyle w:val="Hipervnculo"/>
            <w:rFonts w:ascii="Palatino Linotype" w:hAnsi="Palatino Linotype" w:cs="Arial"/>
            <w:b/>
            <w:bCs/>
            <w:color w:val="auto"/>
            <w:szCs w:val="22"/>
            <w:u w:val="none"/>
          </w:rPr>
          <w:t>recibotesorero.pdf</w:t>
        </w:r>
      </w:hyperlink>
      <w:r w:rsidR="000B572F">
        <w:rPr>
          <w:rFonts w:ascii="Palatino Linotype" w:hAnsi="Palatino Linotype"/>
          <w:b/>
          <w:szCs w:val="22"/>
        </w:rPr>
        <w:t xml:space="preserve">: </w:t>
      </w:r>
      <w:r w:rsidR="000B572F" w:rsidRPr="000B572F">
        <w:rPr>
          <w:rFonts w:ascii="Palatino Linotype" w:hAnsi="Palatino Linotype"/>
          <w:szCs w:val="22"/>
        </w:rPr>
        <w:t>Contiene en versión pública dl recibo de nómina correspondiente a la segunda quincena del mes de agosto de 2021 del encargado de despacho de la Tesorería.</w:t>
      </w:r>
    </w:p>
    <w:p w14:paraId="690751B8" w14:textId="77777777" w:rsidR="00AA12A0" w:rsidRPr="00AA12A0" w:rsidRDefault="00AA12A0" w:rsidP="00AA12A0">
      <w:pPr>
        <w:pStyle w:val="Prrafodelista"/>
        <w:spacing w:before="240" w:after="240" w:line="360" w:lineRule="auto"/>
        <w:ind w:left="1287" w:right="567"/>
        <w:jc w:val="both"/>
        <w:rPr>
          <w:rFonts w:ascii="Palatino Linotype" w:hAnsi="Palatino Linotype"/>
          <w:b/>
          <w:i/>
          <w:szCs w:val="22"/>
        </w:rPr>
      </w:pPr>
    </w:p>
    <w:p w14:paraId="518CDCD9" w14:textId="0B00DF55"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El veint</w:t>
      </w:r>
      <w:r w:rsidR="00E25344">
        <w:rPr>
          <w:rFonts w:ascii="Palatino Linotype" w:eastAsia="Calibri" w:hAnsi="Palatino Linotype" w:cs="Arial"/>
          <w:sz w:val="24"/>
          <w:lang w:val="es-AR"/>
        </w:rPr>
        <w:t>e</w:t>
      </w:r>
      <w:r w:rsidR="005000AA" w:rsidRPr="00624AAD">
        <w:rPr>
          <w:rFonts w:ascii="Palatino Linotype" w:eastAsia="Calibri" w:hAnsi="Palatino Linotype" w:cs="Arial"/>
          <w:sz w:val="24"/>
          <w:lang w:val="es-AR"/>
        </w:rPr>
        <w:t xml:space="preserve"> (</w:t>
      </w:r>
      <w:r w:rsidR="00E25344">
        <w:rPr>
          <w:rFonts w:ascii="Palatino Linotype" w:eastAsia="Calibri" w:hAnsi="Palatino Linotype" w:cs="Arial"/>
          <w:sz w:val="24"/>
          <w:lang w:val="es-AR"/>
        </w:rPr>
        <w:t>20</w:t>
      </w:r>
      <w:r w:rsidR="005000AA" w:rsidRPr="00624AAD">
        <w:rPr>
          <w:rFonts w:ascii="Palatino Linotype" w:eastAsia="Calibri" w:hAnsi="Palatino Linotype" w:cs="Arial"/>
          <w:sz w:val="24"/>
          <w:lang w:val="es-AR"/>
        </w:rPr>
        <w:t xml:space="preserve">) de </w:t>
      </w:r>
      <w:r w:rsidR="00E25344">
        <w:rPr>
          <w:rFonts w:ascii="Palatino Linotype" w:eastAsia="Calibri" w:hAnsi="Palatino Linotype" w:cs="Arial"/>
          <w:sz w:val="24"/>
          <w:lang w:val="es-AR"/>
        </w:rPr>
        <w:t>octubre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5AE78435"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E25344" w:rsidRPr="00E25344">
        <w:rPr>
          <w:rFonts w:ascii="Palatino Linotype" w:eastAsia="Calibri" w:hAnsi="Palatino Linotype" w:cs="Tahoma"/>
          <w:sz w:val="24"/>
          <w:szCs w:val="22"/>
          <w:lang w:eastAsia="en-US"/>
        </w:rPr>
        <w:t>Sistema Municipal Para el Desarrollo Integral de la Familia de Tianguistenco</w:t>
      </w:r>
      <w:r w:rsidRPr="00624AAD">
        <w:rPr>
          <w:rFonts w:ascii="Palatino Linotype" w:hAnsi="Palatino Linotype"/>
          <w:bCs/>
          <w:i/>
          <w:iCs/>
          <w:sz w:val="24"/>
        </w:rPr>
        <w:t>” (sic) y,</w:t>
      </w:r>
    </w:p>
    <w:p w14:paraId="777595D3" w14:textId="6142F767"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E25344" w:rsidRPr="00E25344">
        <w:rPr>
          <w:rFonts w:ascii="Palatino Linotype" w:hAnsi="Palatino Linotype"/>
          <w:i/>
          <w:sz w:val="24"/>
        </w:rPr>
        <w:t>Se me entrega. Información incompleta y mal fundada y motivada su acta de Comite de transparencia!</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Pr="00624AAD" w:rsidRDefault="005000AA"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A9B3D9C"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E25344">
        <w:rPr>
          <w:rFonts w:ascii="Palatino Linotype" w:eastAsia="Calibri" w:hAnsi="Palatino Linotype" w:cs="Arial"/>
          <w:sz w:val="24"/>
          <w:lang w:val="es-ES"/>
        </w:rPr>
        <w:t>veintidós</w:t>
      </w:r>
      <w:r w:rsidR="005000AA"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E25344">
        <w:rPr>
          <w:rFonts w:ascii="Palatino Linotype" w:eastAsia="Calibri" w:hAnsi="Palatino Linotype" w:cs="Arial"/>
          <w:sz w:val="24"/>
          <w:lang w:val="es-ES"/>
        </w:rPr>
        <w:t>22</w:t>
      </w:r>
      <w:r w:rsidR="004E6A3B">
        <w:rPr>
          <w:rFonts w:ascii="Palatino Linotype" w:eastAsia="Calibri" w:hAnsi="Palatino Linotype" w:cs="Arial"/>
          <w:sz w:val="24"/>
          <w:lang w:val="es-ES"/>
        </w:rPr>
        <w:t xml:space="preserve">) de </w:t>
      </w:r>
      <w:r w:rsidR="00E65B7C">
        <w:rPr>
          <w:rFonts w:ascii="Palatino Linotype" w:eastAsia="Calibri" w:hAnsi="Palatino Linotype" w:cs="Arial"/>
          <w:sz w:val="24"/>
          <w:lang w:val="es-ES"/>
        </w:rPr>
        <w:t>octubre</w:t>
      </w:r>
      <w:r w:rsidR="005000AA" w:rsidRPr="00624AAD">
        <w:rPr>
          <w:rFonts w:ascii="Palatino Linotype" w:eastAsia="Calibri" w:hAnsi="Palatino Linotype" w:cs="Arial"/>
          <w:sz w:val="24"/>
          <w:lang w:val="es-ES"/>
        </w:rPr>
        <w:t xml:space="preserve"> de dos mil veintiuno, puso a disposición de las partes el expediente </w:t>
      </w:r>
      <w:r w:rsidR="005000AA" w:rsidRPr="00624AAD">
        <w:rPr>
          <w:rFonts w:ascii="Palatino Linotype" w:eastAsia="Calibri" w:hAnsi="Palatino Linotype" w:cs="Arial"/>
          <w:sz w:val="24"/>
          <w:lang w:val="es-ES"/>
        </w:rPr>
        <w:lastRenderedPageBreak/>
        <w:t xml:space="preserve">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2A7EACE" w14:textId="77777777" w:rsidR="003C497F" w:rsidRPr="003C497F" w:rsidRDefault="003C497F" w:rsidP="003C497F">
      <w:pPr>
        <w:pStyle w:val="Prrafodelista"/>
        <w:rPr>
          <w:rFonts w:ascii="Palatino Linotype" w:eastAsiaTheme="minorEastAsia" w:hAnsi="Palatino Linotype" w:cstheme="minorBidi"/>
          <w:i/>
          <w:color w:val="000000"/>
          <w:sz w:val="24"/>
          <w:lang w:val="es-ES_tradnl"/>
        </w:rPr>
      </w:pPr>
    </w:p>
    <w:p w14:paraId="170130F6" w14:textId="5AF8B94C" w:rsidR="00FA3DE8" w:rsidRPr="00FA3DE8" w:rsidRDefault="00FA3DE8" w:rsidP="00FA3DE8">
      <w:pPr>
        <w:pStyle w:val="Prrafodelista"/>
        <w:numPr>
          <w:ilvl w:val="0"/>
          <w:numId w:val="3"/>
        </w:numPr>
        <w:spacing w:before="240" w:after="240" w:line="360" w:lineRule="auto"/>
        <w:ind w:left="0" w:firstLine="0"/>
        <w:jc w:val="both"/>
        <w:rPr>
          <w:rFonts w:ascii="Palatino Linotype" w:hAnsi="Palatino Linotype"/>
          <w:i/>
          <w:color w:val="000000"/>
          <w:sz w:val="24"/>
        </w:rPr>
      </w:pPr>
      <w:r w:rsidRPr="00FA3DE8">
        <w:rPr>
          <w:rFonts w:ascii="Palatino Linotype" w:hAnsi="Palatino Linotype"/>
          <w:iCs/>
          <w:color w:val="000000"/>
          <w:sz w:val="24"/>
        </w:rPr>
        <w:t xml:space="preserve">De las constancias que obran en el expediente electrónico del SAIMEX se aprecia que, tanto el Sujeto Obligado </w:t>
      </w:r>
      <w:r>
        <w:rPr>
          <w:rFonts w:ascii="Palatino Linotype" w:hAnsi="Palatino Linotype"/>
          <w:iCs/>
          <w:color w:val="000000"/>
          <w:sz w:val="24"/>
        </w:rPr>
        <w:t xml:space="preserve">como el Recurrente fueron omisos en </w:t>
      </w:r>
      <w:r w:rsidRPr="00FA3DE8">
        <w:rPr>
          <w:rFonts w:ascii="Palatino Linotype" w:hAnsi="Palatino Linotype"/>
          <w:iCs/>
          <w:color w:val="000000"/>
          <w:sz w:val="24"/>
        </w:rPr>
        <w:t>presentar el informe justificado y realizar manifestaciones; se inserta imagen de referencia:</w:t>
      </w:r>
    </w:p>
    <w:p w14:paraId="23C00EA2" w14:textId="77777777" w:rsidR="00FA3DE8" w:rsidRDefault="00FA3DE8" w:rsidP="00FA3DE8">
      <w:pPr>
        <w:pStyle w:val="Prrafodelista"/>
        <w:spacing w:before="240" w:after="240" w:line="360" w:lineRule="auto"/>
        <w:ind w:left="0"/>
        <w:jc w:val="both"/>
        <w:rPr>
          <w:rFonts w:ascii="Palatino Linotype" w:hAnsi="Palatino Linotype"/>
          <w:i/>
          <w:color w:val="000000"/>
          <w:sz w:val="24"/>
        </w:rPr>
      </w:pPr>
    </w:p>
    <w:p w14:paraId="19FE1859" w14:textId="175BA588" w:rsidR="00FA3DE8" w:rsidRDefault="00FA3DE8" w:rsidP="00FA3DE8">
      <w:pPr>
        <w:pStyle w:val="Prrafodelista"/>
        <w:spacing w:before="240" w:after="240" w:line="360" w:lineRule="auto"/>
        <w:ind w:left="0"/>
        <w:jc w:val="both"/>
        <w:rPr>
          <w:rFonts w:ascii="Palatino Linotype" w:hAnsi="Palatino Linotype"/>
          <w:i/>
          <w:color w:val="000000"/>
          <w:sz w:val="24"/>
        </w:rPr>
      </w:pPr>
      <w:r>
        <w:rPr>
          <w:noProof/>
          <w:lang w:eastAsia="es-MX"/>
        </w:rPr>
        <w:drawing>
          <wp:inline distT="0" distB="0" distL="0" distR="0" wp14:anchorId="31EA1F22" wp14:editId="11679312">
            <wp:extent cx="56769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 t="31256" r="1150" b="20975"/>
                    <a:stretch/>
                  </pic:blipFill>
                  <pic:spPr bwMode="auto">
                    <a:xfrm>
                      <a:off x="0" y="0"/>
                      <a:ext cx="5676900" cy="1543050"/>
                    </a:xfrm>
                    <a:prstGeom prst="rect">
                      <a:avLst/>
                    </a:prstGeom>
                    <a:ln>
                      <a:noFill/>
                    </a:ln>
                    <a:extLst>
                      <a:ext uri="{53640926-AAD7-44D8-BBD7-CCE9431645EC}">
                        <a14:shadowObscured xmlns:a14="http://schemas.microsoft.com/office/drawing/2010/main"/>
                      </a:ext>
                    </a:extLst>
                  </pic:spPr>
                </pic:pic>
              </a:graphicData>
            </a:graphic>
          </wp:inline>
        </w:drawing>
      </w:r>
    </w:p>
    <w:p w14:paraId="43F8CA5A" w14:textId="77777777" w:rsidR="00FA3DE8" w:rsidRPr="00F942BD" w:rsidRDefault="00FA3DE8" w:rsidP="00FA3DE8">
      <w:pPr>
        <w:pStyle w:val="Prrafodelista"/>
        <w:spacing w:before="240" w:after="240" w:line="360" w:lineRule="auto"/>
        <w:ind w:left="0"/>
        <w:jc w:val="both"/>
        <w:rPr>
          <w:rFonts w:ascii="Palatino Linotype" w:hAnsi="Palatino Linotype"/>
          <w:i/>
          <w:color w:val="000000"/>
          <w:sz w:val="24"/>
        </w:rPr>
      </w:pPr>
    </w:p>
    <w:p w14:paraId="3A77A521" w14:textId="77777777" w:rsidR="00FA3DE8" w:rsidRPr="00A34D56" w:rsidRDefault="00FA3DE8" w:rsidP="00FA3DE8">
      <w:pPr>
        <w:pStyle w:val="Prrafodelista"/>
        <w:numPr>
          <w:ilvl w:val="0"/>
          <w:numId w:val="2"/>
        </w:numPr>
        <w:spacing w:line="360" w:lineRule="auto"/>
        <w:ind w:left="0" w:firstLine="0"/>
        <w:jc w:val="both"/>
        <w:rPr>
          <w:rFonts w:ascii="Palatino Linotype" w:hAnsi="Palatino Linotype" w:cs="Arial"/>
          <w:sz w:val="24"/>
        </w:rPr>
      </w:pPr>
      <w:r w:rsidRPr="00A34D56">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B06B2F0" w14:textId="77777777" w:rsidR="00FA3DE8" w:rsidRPr="002152A6" w:rsidRDefault="00FA3DE8" w:rsidP="00FA3DE8">
      <w:pPr>
        <w:pStyle w:val="Prrafodelista"/>
        <w:spacing w:line="360" w:lineRule="auto"/>
        <w:ind w:left="0"/>
        <w:jc w:val="both"/>
        <w:rPr>
          <w:rFonts w:ascii="Palatino Linotype" w:hAnsi="Palatino Linotype" w:cs="Arial"/>
        </w:rPr>
      </w:pPr>
    </w:p>
    <w:p w14:paraId="6B0B73C2" w14:textId="77777777" w:rsidR="00FA3DE8" w:rsidRPr="002152A6" w:rsidRDefault="00FA3DE8" w:rsidP="00FA3DE8">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3614AE">
        <w:rPr>
          <w:rFonts w:ascii="Palatino Linotype" w:hAnsi="Palatino Linotype" w:cs="Arial"/>
          <w:b/>
          <w:bCs/>
          <w:i/>
          <w:iCs/>
          <w:color w:val="222222"/>
          <w:sz w:val="22"/>
          <w:lang w:val="es-ES_tradnl"/>
        </w:rPr>
        <w:lastRenderedPageBreak/>
        <w:t>QUEJA, RECURSO DE. LA OMISION DE RENDIR EL INFORME RESPECTIVO NO IMPIDE QUE SE RESUELV</w:t>
      </w:r>
      <w:r w:rsidRPr="003614AE">
        <w:rPr>
          <w:rFonts w:ascii="Palatino Linotype" w:hAnsi="Palatino Linotype" w:cs="Arial"/>
          <w:b/>
          <w:i/>
          <w:iCs/>
          <w:color w:val="222222"/>
          <w:sz w:val="22"/>
          <w:lang w:val="es-ES_tradnl"/>
        </w:rPr>
        <w:t>A.</w:t>
      </w:r>
      <w:r w:rsidRPr="002152A6">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3164B9C3" w14:textId="77777777" w:rsidR="00FA3DE8" w:rsidRPr="002152A6" w:rsidRDefault="00FA3DE8" w:rsidP="00FA3DE8">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0037310E" w14:textId="77777777" w:rsidR="00FA3DE8" w:rsidRPr="00384F20" w:rsidRDefault="00FA3DE8" w:rsidP="00FA3DE8">
      <w:pPr>
        <w:pStyle w:val="Prrafodelista"/>
        <w:numPr>
          <w:ilvl w:val="0"/>
          <w:numId w:val="2"/>
        </w:numPr>
        <w:spacing w:line="360" w:lineRule="auto"/>
        <w:ind w:left="0" w:firstLine="0"/>
        <w:jc w:val="both"/>
        <w:rPr>
          <w:rFonts w:ascii="Palatino Linotype" w:hAnsi="Palatino Linotype" w:cs="Arial"/>
          <w:b/>
          <w:sz w:val="24"/>
          <w:lang w:val="es-ES"/>
        </w:rPr>
      </w:pPr>
      <w:r w:rsidRPr="00A34D5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A34D56">
        <w:rPr>
          <w:rFonts w:ascii="Palatino Linotype" w:hAnsi="Palatino Linotype" w:cs="Arial"/>
          <w:b/>
          <w:bCs/>
          <w:color w:val="222222"/>
          <w:sz w:val="24"/>
        </w:rPr>
        <w:t>SUJETO OBLIGADO</w:t>
      </w:r>
      <w:r w:rsidRPr="00A34D56">
        <w:rPr>
          <w:rFonts w:ascii="Palatino Linotype" w:hAnsi="Palatino Linotype" w:cs="Arial"/>
          <w:color w:val="222222"/>
          <w:sz w:val="24"/>
        </w:rPr>
        <w:t> pierda la oportunidad de justificar su falta de respuesta y manifestar lo que a su derecho convenga.</w:t>
      </w:r>
    </w:p>
    <w:p w14:paraId="3E533D7F" w14:textId="77777777" w:rsidR="00FA3DE8" w:rsidRDefault="00FA3DE8" w:rsidP="00FA3DE8">
      <w:pPr>
        <w:pStyle w:val="Prrafodelista"/>
        <w:spacing w:before="240" w:after="240" w:line="360" w:lineRule="auto"/>
        <w:ind w:left="0"/>
        <w:jc w:val="both"/>
        <w:rPr>
          <w:rFonts w:ascii="Palatino Linotype" w:hAnsi="Palatino Linotype"/>
          <w:i/>
          <w:color w:val="000000"/>
          <w:sz w:val="24"/>
        </w:rPr>
      </w:pPr>
    </w:p>
    <w:p w14:paraId="3AA783A7" w14:textId="11C6006C" w:rsidR="005000AA" w:rsidRPr="003C497F" w:rsidRDefault="0096040D" w:rsidP="00B81022">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lastRenderedPageBreak/>
        <w:t>El día once</w:t>
      </w:r>
      <w:r w:rsidR="005000AA" w:rsidRPr="003C497F">
        <w:rPr>
          <w:rFonts w:ascii="Palatino Linotype" w:eastAsia="Calibri" w:hAnsi="Palatino Linotype" w:cs="Arial"/>
          <w:sz w:val="24"/>
          <w:lang w:val="es-ES"/>
        </w:rPr>
        <w:t xml:space="preserve"> (</w:t>
      </w:r>
      <w:r>
        <w:rPr>
          <w:rFonts w:ascii="Palatino Linotype" w:eastAsia="Calibri" w:hAnsi="Palatino Linotype" w:cs="Arial"/>
          <w:sz w:val="24"/>
          <w:lang w:val="es-ES"/>
        </w:rPr>
        <w:t>11</w:t>
      </w:r>
      <w:r w:rsidR="005000AA" w:rsidRPr="003C497F">
        <w:rPr>
          <w:rFonts w:ascii="Palatino Linotype" w:eastAsia="Calibri" w:hAnsi="Palatino Linotype" w:cs="Arial"/>
          <w:sz w:val="24"/>
          <w:lang w:val="es-ES"/>
        </w:rPr>
        <w:t xml:space="preserve">) de </w:t>
      </w:r>
      <w:r>
        <w:rPr>
          <w:rFonts w:ascii="Palatino Linotype" w:eastAsia="Calibri" w:hAnsi="Palatino Linotype" w:cs="Arial"/>
          <w:sz w:val="24"/>
          <w:lang w:val="es-ES"/>
        </w:rPr>
        <w:t>noviembre</w:t>
      </w:r>
      <w:r w:rsidR="00E65B7C" w:rsidRPr="003C497F">
        <w:rPr>
          <w:rFonts w:ascii="Palatino Linotype" w:eastAsia="Calibri" w:hAnsi="Palatino Linotype" w:cs="Arial"/>
          <w:sz w:val="24"/>
          <w:lang w:val="es-ES"/>
        </w:rPr>
        <w:t xml:space="preserve"> de </w:t>
      </w:r>
      <w:r w:rsidR="00D73603" w:rsidRPr="003C497F">
        <w:rPr>
          <w:rFonts w:ascii="Palatino Linotype" w:eastAsia="Calibri" w:hAnsi="Palatino Linotype" w:cs="Arial"/>
          <w:sz w:val="24"/>
          <w:lang w:val="es-ES"/>
        </w:rPr>
        <w:t>dos mil veintiuno, la</w:t>
      </w:r>
      <w:r w:rsidR="005000AA" w:rsidRPr="003C497F">
        <w:rPr>
          <w:rFonts w:ascii="Palatino Linotype" w:hAnsi="Palatino Linotype"/>
          <w:sz w:val="24"/>
        </w:rPr>
        <w:t xml:space="preserve"> Comisionad</w:t>
      </w:r>
      <w:r w:rsidR="00D73603" w:rsidRPr="003C497F">
        <w:rPr>
          <w:rFonts w:ascii="Palatino Linotype" w:hAnsi="Palatino Linotype"/>
          <w:sz w:val="24"/>
        </w:rPr>
        <w:t>a</w:t>
      </w:r>
      <w:r w:rsidR="005000AA" w:rsidRPr="003C497F">
        <w:rPr>
          <w:rFonts w:ascii="Palatino Linotype" w:hAnsi="Palatino Linotype"/>
          <w:sz w:val="24"/>
        </w:rPr>
        <w:t xml:space="preserve"> Ponente decretó el cierre de instrucción</w:t>
      </w:r>
      <w:r w:rsidR="005000AA" w:rsidRPr="003C497F">
        <w:rPr>
          <w:rFonts w:ascii="Palatino Linotype" w:hAnsi="Palatino Linotype" w:cs="Arial"/>
          <w:sz w:val="24"/>
        </w:rPr>
        <w:t>.</w:t>
      </w:r>
      <w:r w:rsidR="005000AA" w:rsidRPr="003C497F">
        <w:rPr>
          <w:rFonts w:ascii="Palatino Linotype" w:hAnsi="Palatino Linotype" w:cs="Tahoma"/>
          <w:sz w:val="24"/>
        </w:rPr>
        <w:t xml:space="preserve"> </w:t>
      </w:r>
      <w:r w:rsidR="003C497F" w:rsidRPr="003C497F">
        <w:rPr>
          <w:rFonts w:ascii="Palatino Linotype" w:hAnsi="Palatino Linotype" w:cs="Tahoma"/>
          <w:sz w:val="24"/>
        </w:rPr>
        <w:t xml:space="preserve">Por lo que turnó la presente </w:t>
      </w:r>
      <w:r>
        <w:rPr>
          <w:rFonts w:ascii="Palatino Linotype" w:hAnsi="Palatino Linotype" w:cs="Tahoma"/>
          <w:sz w:val="24"/>
        </w:rPr>
        <w:t>resolución para su aprobación.</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6917934"/>
      <w:bookmarkStart w:id="6" w:name="_Toc88745503"/>
      <w:r w:rsidRPr="00624AAD">
        <w:rPr>
          <w:rFonts w:ascii="Palatino Linotype" w:hAnsi="Palatino Linotype"/>
          <w:b/>
          <w:color w:val="auto"/>
          <w:sz w:val="24"/>
          <w:szCs w:val="24"/>
        </w:rPr>
        <w:t>CONSIDERANDO</w:t>
      </w:r>
      <w:bookmarkEnd w:id="5"/>
      <w:bookmarkEnd w:id="6"/>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7" w:name="_Toc86917935"/>
      <w:bookmarkStart w:id="8" w:name="_Toc88745504"/>
      <w:r w:rsidRPr="00624AAD">
        <w:rPr>
          <w:rFonts w:ascii="Palatino Linotype" w:hAnsi="Palatino Linotype"/>
          <w:b/>
          <w:color w:val="auto"/>
          <w:sz w:val="24"/>
          <w:szCs w:val="24"/>
        </w:rPr>
        <w:t>PRIMERO. De la competencia</w:t>
      </w:r>
      <w:bookmarkEnd w:id="7"/>
      <w:bookmarkEnd w:id="8"/>
    </w:p>
    <w:p w14:paraId="38B24DFE" w14:textId="6B8D8330"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5,</w:t>
      </w:r>
      <w:r w:rsidR="00744263">
        <w:rPr>
          <w:rFonts w:ascii="Palatino Linotype" w:eastAsia="Calibri" w:hAnsi="Palatino Linotype"/>
          <w:sz w:val="24"/>
          <w:lang w:val="es-ES"/>
        </w:rPr>
        <w:t xml:space="preserve"> vigésimo noveno,</w:t>
      </w:r>
      <w:r w:rsidRPr="00624AAD">
        <w:rPr>
          <w:rFonts w:ascii="Palatino Linotype" w:eastAsia="Calibri" w:hAnsi="Palatino Linotype"/>
          <w:sz w:val="24"/>
          <w:lang w:val="es-ES"/>
        </w:rPr>
        <w:t xml:space="preserve">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9" w:name="_Toc86917936"/>
      <w:bookmarkStart w:id="10" w:name="_Toc88745505"/>
      <w:r w:rsidRPr="00624AAD">
        <w:rPr>
          <w:rFonts w:ascii="Palatino Linotype" w:hAnsi="Palatino Linotype"/>
          <w:b/>
          <w:color w:val="auto"/>
          <w:sz w:val="24"/>
          <w:szCs w:val="24"/>
        </w:rPr>
        <w:t>SEGUNDO. De la oportunidad y procedencia.</w:t>
      </w:r>
      <w:bookmarkEnd w:id="9"/>
      <w:bookmarkEnd w:id="10"/>
    </w:p>
    <w:p w14:paraId="68EB8895" w14:textId="16791EB2" w:rsidR="005000AA"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w:t>
      </w:r>
      <w:r w:rsidRPr="00624AAD">
        <w:rPr>
          <w:rFonts w:ascii="Palatino Linotype" w:eastAsia="Calibri" w:hAnsi="Palatino Linotype" w:cs="Arial"/>
          <w:sz w:val="24"/>
        </w:rPr>
        <w:lastRenderedPageBreak/>
        <w:t xml:space="preserve">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19375E">
        <w:rPr>
          <w:rFonts w:ascii="Palatino Linotype" w:eastAsia="Calibri" w:hAnsi="Palatino Linotype" w:cs="Arial"/>
          <w:sz w:val="24"/>
        </w:rPr>
        <w:t>veintinueve</w:t>
      </w:r>
      <w:r w:rsidRPr="00624AAD">
        <w:rPr>
          <w:rFonts w:ascii="Palatino Linotype" w:eastAsia="Calibri" w:hAnsi="Palatino Linotype" w:cs="Arial"/>
          <w:sz w:val="24"/>
        </w:rPr>
        <w:t xml:space="preserve"> (</w:t>
      </w:r>
      <w:r w:rsidR="0019375E">
        <w:rPr>
          <w:rFonts w:ascii="Palatino Linotype" w:eastAsia="Calibri" w:hAnsi="Palatino Linotype" w:cs="Arial"/>
          <w:sz w:val="24"/>
        </w:rPr>
        <w:t>29</w:t>
      </w:r>
      <w:r w:rsidRPr="00624AAD">
        <w:rPr>
          <w:rFonts w:ascii="Palatino Linotype" w:eastAsia="Calibri" w:hAnsi="Palatino Linotype" w:cs="Arial"/>
          <w:sz w:val="24"/>
        </w:rPr>
        <w:t xml:space="preserve">) de </w:t>
      </w:r>
      <w:r w:rsidR="00495DAC">
        <w:rPr>
          <w:rFonts w:ascii="Palatino Linotype" w:eastAsia="Calibri" w:hAnsi="Palatino Linotype" w:cs="Arial"/>
          <w:sz w:val="24"/>
        </w:rPr>
        <w:t>septiembre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19375E">
        <w:rPr>
          <w:rFonts w:ascii="Palatino Linotype" w:hAnsi="Palatino Linotype" w:cs="Arial"/>
          <w:sz w:val="24"/>
        </w:rPr>
        <w:t>treinta</w:t>
      </w:r>
      <w:r w:rsidRPr="00624AAD">
        <w:rPr>
          <w:rFonts w:ascii="Palatino Linotype" w:hAnsi="Palatino Linotype" w:cs="Arial"/>
          <w:sz w:val="24"/>
        </w:rPr>
        <w:t xml:space="preserve"> (</w:t>
      </w:r>
      <w:r w:rsidR="0019375E">
        <w:rPr>
          <w:rFonts w:ascii="Palatino Linotype" w:hAnsi="Palatino Linotype" w:cs="Arial"/>
          <w:sz w:val="24"/>
        </w:rPr>
        <w:t>30</w:t>
      </w:r>
      <w:r w:rsidRPr="00624AAD">
        <w:rPr>
          <w:rFonts w:ascii="Palatino Linotype" w:hAnsi="Palatino Linotype" w:cs="Arial"/>
          <w:sz w:val="24"/>
        </w:rPr>
        <w:t xml:space="preserve">) </w:t>
      </w:r>
      <w:r w:rsidR="0019375E">
        <w:rPr>
          <w:rFonts w:ascii="Palatino Linotype" w:hAnsi="Palatino Linotype" w:cs="Arial"/>
          <w:sz w:val="24"/>
        </w:rPr>
        <w:t xml:space="preserve">de septiembre </w:t>
      </w:r>
      <w:r w:rsidR="00495DAC">
        <w:rPr>
          <w:rFonts w:ascii="Palatino Linotype" w:hAnsi="Palatino Linotype" w:cs="Arial"/>
          <w:sz w:val="24"/>
        </w:rPr>
        <w:t>al veint</w:t>
      </w:r>
      <w:r w:rsidR="0019375E">
        <w:rPr>
          <w:rFonts w:ascii="Palatino Linotype" w:hAnsi="Palatino Linotype" w:cs="Arial"/>
          <w:sz w:val="24"/>
        </w:rPr>
        <w:t>e</w:t>
      </w:r>
      <w:r w:rsidR="00495DAC">
        <w:rPr>
          <w:rFonts w:ascii="Palatino Linotype" w:hAnsi="Palatino Linotype" w:cs="Arial"/>
          <w:sz w:val="24"/>
        </w:rPr>
        <w:t xml:space="preserve"> (</w:t>
      </w:r>
      <w:r w:rsidR="0019375E">
        <w:rPr>
          <w:rFonts w:ascii="Palatino Linotype" w:hAnsi="Palatino Linotype" w:cs="Arial"/>
          <w:sz w:val="24"/>
        </w:rPr>
        <w:t>20</w:t>
      </w:r>
      <w:r w:rsidR="00495DAC">
        <w:rPr>
          <w:rFonts w:ascii="Palatino Linotype" w:hAnsi="Palatino Linotype" w:cs="Arial"/>
          <w:sz w:val="24"/>
        </w:rPr>
        <w:t xml:space="preserve">) </w:t>
      </w:r>
      <w:r w:rsidRPr="00624AAD">
        <w:rPr>
          <w:rFonts w:ascii="Palatino Linotype" w:hAnsi="Palatino Linotype" w:cs="Arial"/>
          <w:sz w:val="24"/>
        </w:rPr>
        <w:t xml:space="preserve">de </w:t>
      </w:r>
      <w:r w:rsidR="0019375E">
        <w:rPr>
          <w:rFonts w:ascii="Palatino Linotype" w:hAnsi="Palatino Linotype" w:cs="Arial"/>
          <w:sz w:val="24"/>
        </w:rPr>
        <w:t>octubre</w:t>
      </w:r>
      <w:r w:rsidRPr="00624AAD">
        <w:rPr>
          <w:rFonts w:ascii="Palatino Linotype" w:hAnsi="Palatino Linotype" w:cs="Arial"/>
          <w:sz w:val="24"/>
        </w:rPr>
        <w:t xml:space="preserve"> de dos mil veintiuno; en consecuencia, presentó su inconformidad el día </w:t>
      </w:r>
      <w:r w:rsidR="0019375E">
        <w:rPr>
          <w:rFonts w:ascii="Palatino Linotype" w:hAnsi="Palatino Linotype" w:cs="Arial"/>
          <w:sz w:val="24"/>
        </w:rPr>
        <w:t>veint</w:t>
      </w:r>
      <w:r w:rsidR="00744263">
        <w:rPr>
          <w:rFonts w:ascii="Palatino Linotype" w:hAnsi="Palatino Linotype" w:cs="Arial"/>
          <w:sz w:val="24"/>
        </w:rPr>
        <w:t>e</w:t>
      </w:r>
      <w:r w:rsidRPr="00624AAD">
        <w:rPr>
          <w:rFonts w:ascii="Palatino Linotype" w:hAnsi="Palatino Linotype" w:cs="Arial"/>
          <w:sz w:val="24"/>
        </w:rPr>
        <w:t xml:space="preserve"> </w:t>
      </w:r>
      <w:r w:rsidRPr="00624AAD">
        <w:rPr>
          <w:rFonts w:ascii="Palatino Linotype" w:eastAsia="Calibri" w:hAnsi="Palatino Linotype" w:cs="Arial"/>
          <w:sz w:val="24"/>
        </w:rPr>
        <w:t>(</w:t>
      </w:r>
      <w:r w:rsidR="00744263">
        <w:rPr>
          <w:rFonts w:ascii="Palatino Linotype" w:eastAsia="Calibri" w:hAnsi="Palatino Linotype" w:cs="Arial"/>
          <w:sz w:val="24"/>
        </w:rPr>
        <w:t>20</w:t>
      </w:r>
      <w:r w:rsidRPr="00624AAD">
        <w:rPr>
          <w:rFonts w:ascii="Palatino Linotype" w:eastAsia="Calibri" w:hAnsi="Palatino Linotype" w:cs="Arial"/>
          <w:sz w:val="24"/>
        </w:rPr>
        <w:t xml:space="preserve">) de </w:t>
      </w:r>
      <w:r w:rsidR="00495DAC">
        <w:rPr>
          <w:rFonts w:ascii="Palatino Linotype" w:eastAsia="Calibri" w:hAnsi="Palatino Linotype" w:cs="Arial"/>
          <w:sz w:val="24"/>
        </w:rPr>
        <w:t>septiembre</w:t>
      </w:r>
      <w:r w:rsidRPr="00624AAD">
        <w:rPr>
          <w:rFonts w:ascii="Palatino Linotype" w:eastAsia="Calibri" w:hAnsi="Palatino Linotype" w:cs="Arial"/>
          <w:sz w:val="24"/>
        </w:rPr>
        <w:t xml:space="preserve"> de dos 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75D0067F" w14:textId="77777777" w:rsidR="00495DAC" w:rsidRDefault="00495DAC" w:rsidP="00495DAC">
      <w:pPr>
        <w:pStyle w:val="Prrafodelista"/>
        <w:spacing w:before="240" w:after="240" w:line="360" w:lineRule="auto"/>
        <w:ind w:left="0" w:right="49"/>
        <w:jc w:val="both"/>
        <w:rPr>
          <w:rFonts w:ascii="Palatino Linotype" w:hAnsi="Palatino Linotype" w:cs="Arial"/>
          <w:b/>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11" w:name="_Toc86917937"/>
      <w:bookmarkStart w:id="12" w:name="_Toc88745506"/>
      <w:r w:rsidRPr="00624AAD">
        <w:rPr>
          <w:rFonts w:ascii="Palatino Linotype" w:hAnsi="Palatino Linotype"/>
          <w:b/>
          <w:color w:val="auto"/>
          <w:sz w:val="24"/>
          <w:szCs w:val="24"/>
        </w:rPr>
        <w:t>TERCERO. Planteamiento de la Litis</w:t>
      </w:r>
      <w:bookmarkEnd w:id="11"/>
      <w:bookmarkEnd w:id="12"/>
      <w:r w:rsidRPr="00624AAD">
        <w:rPr>
          <w:rFonts w:ascii="Palatino Linotype" w:hAnsi="Palatino Linotype"/>
          <w:b/>
          <w:color w:val="auto"/>
          <w:sz w:val="24"/>
          <w:szCs w:val="24"/>
        </w:rPr>
        <w:t xml:space="preserve"> </w:t>
      </w:r>
    </w:p>
    <w:p w14:paraId="7501CD4B" w14:textId="1B6774F7" w:rsidR="00495DAC"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w:t>
      </w:r>
      <w:r w:rsidR="00744263">
        <w:rPr>
          <w:rFonts w:ascii="Palatino Linotype" w:hAnsi="Palatino Linotype"/>
          <w:bCs/>
          <w:sz w:val="24"/>
        </w:rPr>
        <w:t>los recibos de nómina correspondientes a la segunda quincena del mes de agosto de 2021 de los siguientes:</w:t>
      </w:r>
    </w:p>
    <w:p w14:paraId="2F560734" w14:textId="77777777" w:rsidR="00495DAC" w:rsidRPr="00495DAC" w:rsidRDefault="00495DAC" w:rsidP="00495DAC">
      <w:pPr>
        <w:pStyle w:val="Prrafodelista"/>
        <w:spacing w:before="240" w:after="240" w:line="360" w:lineRule="auto"/>
        <w:ind w:left="0" w:right="49"/>
        <w:jc w:val="both"/>
        <w:rPr>
          <w:rFonts w:ascii="Palatino Linotype" w:hAnsi="Palatino Linotype"/>
          <w:i/>
          <w:sz w:val="24"/>
          <w:lang w:eastAsia="es-MX"/>
        </w:rPr>
      </w:pPr>
    </w:p>
    <w:p w14:paraId="766DE21A" w14:textId="77777777" w:rsidR="00744263" w:rsidRDefault="00744263" w:rsidP="00495DAC">
      <w:pPr>
        <w:pStyle w:val="Prrafodelista"/>
        <w:numPr>
          <w:ilvl w:val="0"/>
          <w:numId w:val="34"/>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Tesorero del DIF;</w:t>
      </w:r>
    </w:p>
    <w:p w14:paraId="2959783B" w14:textId="77777777" w:rsidR="00744263" w:rsidRDefault="00744263" w:rsidP="00495DAC">
      <w:pPr>
        <w:pStyle w:val="Prrafodelista"/>
        <w:numPr>
          <w:ilvl w:val="0"/>
          <w:numId w:val="34"/>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Tesorero del Ayuntamiento;</w:t>
      </w:r>
    </w:p>
    <w:p w14:paraId="3394FC74" w14:textId="436022AE" w:rsidR="00744263" w:rsidRDefault="00744263" w:rsidP="00495DAC">
      <w:pPr>
        <w:pStyle w:val="Prrafodelista"/>
        <w:numPr>
          <w:ilvl w:val="0"/>
          <w:numId w:val="34"/>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Directora del DIF; y,</w:t>
      </w:r>
    </w:p>
    <w:p w14:paraId="78CFA812" w14:textId="77777777" w:rsidR="00744263" w:rsidRDefault="00744263" w:rsidP="00495DAC">
      <w:pPr>
        <w:pStyle w:val="Prrafodelista"/>
        <w:numPr>
          <w:ilvl w:val="0"/>
          <w:numId w:val="34"/>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Director del Desarrollo Económico o equivalente.</w:t>
      </w:r>
    </w:p>
    <w:p w14:paraId="651B4557" w14:textId="59434743" w:rsidR="0019375E" w:rsidRDefault="00D31521" w:rsidP="0019375E">
      <w:pPr>
        <w:pStyle w:val="Prrafodelista"/>
        <w:numPr>
          <w:ilvl w:val="0"/>
          <w:numId w:val="3"/>
        </w:numPr>
        <w:spacing w:before="240" w:after="240" w:line="360" w:lineRule="auto"/>
        <w:ind w:left="0" w:right="49" w:firstLine="0"/>
        <w:jc w:val="both"/>
        <w:rPr>
          <w:rFonts w:ascii="Palatino Linotype" w:hAnsi="Palatino Linotype"/>
          <w:bCs/>
          <w:sz w:val="24"/>
        </w:rPr>
      </w:pPr>
      <w:r>
        <w:rPr>
          <w:rFonts w:ascii="Palatino Linotype" w:hAnsi="Palatino Linotype"/>
          <w:bCs/>
          <w:sz w:val="24"/>
        </w:rPr>
        <w:lastRenderedPageBreak/>
        <w:t xml:space="preserve">El Sujeto Obligado </w:t>
      </w:r>
      <w:r w:rsidR="00495DAC">
        <w:rPr>
          <w:rFonts w:ascii="Palatino Linotype" w:hAnsi="Palatino Linotype"/>
          <w:bCs/>
          <w:sz w:val="24"/>
        </w:rPr>
        <w:t xml:space="preserve">entregó </w:t>
      </w:r>
      <w:r w:rsidR="0019375E">
        <w:rPr>
          <w:rFonts w:ascii="Palatino Linotype" w:hAnsi="Palatino Linotype"/>
          <w:bCs/>
          <w:sz w:val="24"/>
        </w:rPr>
        <w:t xml:space="preserve">diversos </w:t>
      </w:r>
      <w:r w:rsidR="00744263">
        <w:rPr>
          <w:rFonts w:ascii="Palatino Linotype" w:hAnsi="Palatino Linotype"/>
          <w:bCs/>
          <w:sz w:val="24"/>
        </w:rPr>
        <w:t xml:space="preserve">recibos de nómina en versión pública del Tesorero </w:t>
      </w:r>
      <w:r w:rsidR="00683A30">
        <w:rPr>
          <w:rFonts w:ascii="Palatino Linotype" w:hAnsi="Palatino Linotype"/>
          <w:bCs/>
          <w:sz w:val="24"/>
        </w:rPr>
        <w:t xml:space="preserve">y del Director del </w:t>
      </w:r>
      <w:r w:rsidR="00744263">
        <w:rPr>
          <w:rFonts w:ascii="Palatino Linotype" w:hAnsi="Palatino Linotype"/>
          <w:bCs/>
          <w:sz w:val="24"/>
        </w:rPr>
        <w:t>DIF</w:t>
      </w:r>
      <w:r w:rsidR="00683A30">
        <w:rPr>
          <w:rFonts w:ascii="Palatino Linotype" w:hAnsi="Palatino Linotype"/>
          <w:bCs/>
          <w:sz w:val="24"/>
        </w:rPr>
        <w:t>, asimismo, por lo que corresponde al Tesorero del Ayuntamiento y Director de Desarrollo Económico, entregó el acuerdo mediante el cual se declara incompetente.</w:t>
      </w:r>
      <w:r w:rsidR="00744263">
        <w:rPr>
          <w:rFonts w:ascii="Palatino Linotype" w:hAnsi="Palatino Linotype"/>
          <w:bCs/>
          <w:sz w:val="24"/>
        </w:rPr>
        <w:t xml:space="preserve"> </w:t>
      </w:r>
    </w:p>
    <w:p w14:paraId="2CA2960A" w14:textId="624009DF" w:rsidR="005000AA" w:rsidRPr="00624AAD" w:rsidRDefault="0019375E" w:rsidP="0019375E">
      <w:pPr>
        <w:pStyle w:val="Prrafodelista"/>
        <w:spacing w:before="240" w:after="240" w:line="360" w:lineRule="auto"/>
        <w:ind w:left="0" w:right="49"/>
        <w:jc w:val="both"/>
        <w:rPr>
          <w:rFonts w:ascii="Palatino Linotype" w:hAnsi="Palatino Linotype"/>
          <w:bCs/>
          <w:sz w:val="24"/>
        </w:rPr>
      </w:pPr>
      <w:r w:rsidRPr="00624AAD">
        <w:rPr>
          <w:rFonts w:ascii="Palatino Linotype" w:hAnsi="Palatino Linotype"/>
          <w:bCs/>
          <w:sz w:val="24"/>
        </w:rPr>
        <w:t xml:space="preserve"> </w:t>
      </w:r>
    </w:p>
    <w:p w14:paraId="7462CE1A" w14:textId="38A7CFDF"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El recurrente se inconformó por</w:t>
      </w:r>
      <w:r w:rsidR="00683A30">
        <w:rPr>
          <w:rFonts w:ascii="Palatino Linotype" w:hAnsi="Palatino Linotype"/>
          <w:bCs/>
          <w:sz w:val="24"/>
        </w:rPr>
        <w:t>que el acuerdo no se encuentra fundado y motivado.</w:t>
      </w:r>
    </w:p>
    <w:p w14:paraId="0D89BECC" w14:textId="77777777" w:rsidR="005000AA" w:rsidRPr="00624AAD" w:rsidRDefault="005000AA" w:rsidP="005000AA">
      <w:pPr>
        <w:pStyle w:val="Prrafodelista"/>
        <w:rPr>
          <w:rFonts w:ascii="Palatino Linotype" w:hAnsi="Palatino Linotype"/>
          <w:bCs/>
          <w:sz w:val="24"/>
        </w:rPr>
      </w:pPr>
    </w:p>
    <w:p w14:paraId="78695B9E" w14:textId="60EB7F30" w:rsidR="005000A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Por lo anterior, en este recurso de revisión se analizará si se actualiza la causal de procedencia de las fracciones I</w:t>
      </w:r>
      <w:r w:rsidR="0019375E">
        <w:rPr>
          <w:rFonts w:ascii="Palatino Linotype" w:hAnsi="Palatino Linotype"/>
          <w:sz w:val="24"/>
        </w:rPr>
        <w:t>I</w:t>
      </w:r>
      <w:r w:rsidRPr="00624AAD">
        <w:rPr>
          <w:rFonts w:ascii="Palatino Linotype" w:hAnsi="Palatino Linotype"/>
          <w:sz w:val="24"/>
        </w:rPr>
        <w:t xml:space="preserve"> </w:t>
      </w:r>
      <w:r w:rsidR="00683A30">
        <w:rPr>
          <w:rFonts w:ascii="Palatino Linotype" w:hAnsi="Palatino Linotype"/>
          <w:sz w:val="24"/>
        </w:rPr>
        <w:t xml:space="preserve">y IV </w:t>
      </w:r>
      <w:r w:rsidRPr="00624AAD">
        <w:rPr>
          <w:rFonts w:ascii="Palatino Linotype" w:hAnsi="Palatino Linotype"/>
          <w:sz w:val="24"/>
        </w:rPr>
        <w:t xml:space="preserve">del artículo 179 de la Ley de Transparencia y Acceso a la Información Pública del Estado de México y Municipios, relativos a la </w:t>
      </w:r>
      <w:r w:rsidR="0019375E">
        <w:rPr>
          <w:rFonts w:ascii="Palatino Linotype" w:hAnsi="Palatino Linotype"/>
          <w:sz w:val="24"/>
        </w:rPr>
        <w:t xml:space="preserve">clasificación </w:t>
      </w:r>
      <w:bookmarkStart w:id="13" w:name="_Toc486525253"/>
      <w:r w:rsidR="00683A30">
        <w:rPr>
          <w:rFonts w:ascii="Palatino Linotype" w:hAnsi="Palatino Linotype"/>
          <w:sz w:val="24"/>
        </w:rPr>
        <w:t>de la información y la declaración de incompetencia.</w:t>
      </w:r>
    </w:p>
    <w:p w14:paraId="5E0E121E" w14:textId="77777777" w:rsidR="00256ED9" w:rsidRPr="00256ED9" w:rsidRDefault="00256ED9" w:rsidP="00256ED9">
      <w:pPr>
        <w:pStyle w:val="Prrafodelista"/>
        <w:rPr>
          <w:rFonts w:ascii="Palatino Linotype" w:hAnsi="Palatino Linotype"/>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14" w:name="_Toc4061675"/>
      <w:bookmarkStart w:id="15" w:name="_Toc3372324"/>
      <w:bookmarkStart w:id="16" w:name="_Toc499201873"/>
      <w:bookmarkStart w:id="17" w:name="_Toc86917938"/>
      <w:bookmarkStart w:id="18" w:name="_Toc88745507"/>
      <w:bookmarkEnd w:id="13"/>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14"/>
      <w:bookmarkEnd w:id="15"/>
      <w:bookmarkEnd w:id="16"/>
      <w:bookmarkEnd w:id="17"/>
      <w:bookmarkEnd w:id="18"/>
    </w:p>
    <w:p w14:paraId="67FF471A" w14:textId="77777777" w:rsidR="00671495" w:rsidRPr="00380BDB" w:rsidRDefault="00671495" w:rsidP="00671495">
      <w:pPr>
        <w:pStyle w:val="Ttulo2"/>
        <w:numPr>
          <w:ilvl w:val="0"/>
          <w:numId w:val="26"/>
        </w:numPr>
        <w:spacing w:line="360" w:lineRule="auto"/>
        <w:rPr>
          <w:rFonts w:ascii="Palatino Linotype" w:hAnsi="Palatino Linotype"/>
          <w:b/>
          <w:color w:val="auto"/>
          <w:sz w:val="24"/>
        </w:rPr>
      </w:pPr>
      <w:bookmarkStart w:id="19" w:name="_Toc23418068"/>
      <w:bookmarkStart w:id="20" w:name="_Toc25251825"/>
      <w:bookmarkStart w:id="21" w:name="_Toc29923834"/>
      <w:bookmarkStart w:id="22" w:name="_Toc34936175"/>
      <w:bookmarkStart w:id="23" w:name="_Toc86917939"/>
      <w:bookmarkStart w:id="24" w:name="_Toc88745508"/>
      <w:r w:rsidRPr="00380BDB">
        <w:rPr>
          <w:rFonts w:ascii="Palatino Linotype" w:hAnsi="Palatino Linotype"/>
          <w:b/>
          <w:color w:val="auto"/>
          <w:sz w:val="24"/>
        </w:rPr>
        <w:t>Fuente Obligacional.</w:t>
      </w:r>
      <w:bookmarkEnd w:id="19"/>
      <w:bookmarkEnd w:id="20"/>
      <w:bookmarkEnd w:id="21"/>
      <w:bookmarkEnd w:id="22"/>
      <w:bookmarkEnd w:id="23"/>
      <w:bookmarkEnd w:id="24"/>
      <w:r w:rsidRPr="00380BDB">
        <w:rPr>
          <w:rFonts w:ascii="Palatino Linotype" w:hAnsi="Palatino Linotype"/>
          <w:b/>
          <w:color w:val="auto"/>
          <w:sz w:val="24"/>
        </w:rPr>
        <w:t xml:space="preserve"> </w:t>
      </w:r>
    </w:p>
    <w:p w14:paraId="078B7FBA" w14:textId="77777777" w:rsidR="00671495" w:rsidRPr="00380BDB" w:rsidRDefault="00671495" w:rsidP="00671495">
      <w:pPr>
        <w:pStyle w:val="Ttulo3"/>
        <w:numPr>
          <w:ilvl w:val="1"/>
          <w:numId w:val="2"/>
        </w:numPr>
        <w:rPr>
          <w:rFonts w:ascii="Palatino Linotype" w:hAnsi="Palatino Linotype"/>
          <w:b/>
          <w:color w:val="auto"/>
        </w:rPr>
      </w:pPr>
      <w:bookmarkStart w:id="25" w:name="_Toc23418069"/>
      <w:bookmarkStart w:id="26" w:name="_Toc25251826"/>
      <w:bookmarkStart w:id="27" w:name="_Toc29923835"/>
      <w:bookmarkStart w:id="28" w:name="_Toc34936176"/>
      <w:bookmarkStart w:id="29" w:name="_Toc86917940"/>
      <w:bookmarkStart w:id="30" w:name="_Toc88745509"/>
      <w:r w:rsidRPr="00380BDB">
        <w:rPr>
          <w:rFonts w:ascii="Palatino Linotype" w:hAnsi="Palatino Linotype"/>
          <w:b/>
          <w:color w:val="auto"/>
        </w:rPr>
        <w:t>De la obligación de transparencia.</w:t>
      </w:r>
      <w:bookmarkEnd w:id="25"/>
      <w:bookmarkEnd w:id="26"/>
      <w:bookmarkEnd w:id="27"/>
      <w:bookmarkEnd w:id="28"/>
      <w:bookmarkEnd w:id="29"/>
      <w:bookmarkEnd w:id="30"/>
    </w:p>
    <w:p w14:paraId="0DAFAA5C" w14:textId="77777777" w:rsidR="00671495" w:rsidRPr="00671495" w:rsidRDefault="00671495" w:rsidP="00671495">
      <w:pPr>
        <w:rPr>
          <w:sz w:val="22"/>
        </w:rPr>
      </w:pPr>
    </w:p>
    <w:p w14:paraId="2A3CD15B" w14:textId="77777777" w:rsidR="00671495" w:rsidRPr="00671495"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671495" w:rsidRDefault="00671495" w:rsidP="00671495">
      <w:pPr>
        <w:spacing w:line="360" w:lineRule="auto"/>
        <w:jc w:val="both"/>
        <w:rPr>
          <w:rFonts w:ascii="Palatino Linotype" w:hAnsi="Palatino Linotype" w:cs="Arial"/>
          <w:sz w:val="22"/>
        </w:rPr>
      </w:pPr>
    </w:p>
    <w:p w14:paraId="5C8384E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lastRenderedPageBreak/>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3C8F88C9" w14:textId="77777777" w:rsidR="00671495" w:rsidRPr="00671495" w:rsidRDefault="00671495" w:rsidP="00671495">
      <w:pPr>
        <w:spacing w:line="360" w:lineRule="auto"/>
        <w:ind w:left="567" w:right="567"/>
        <w:jc w:val="both"/>
        <w:rPr>
          <w:rFonts w:ascii="Palatino Linotype" w:hAnsi="Palatino Linotype" w:cs="Arial"/>
          <w:i/>
          <w:sz w:val="22"/>
        </w:rPr>
      </w:pPr>
    </w:p>
    <w:p w14:paraId="697F573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540DA47" w14:textId="77777777" w:rsidR="00671495" w:rsidRPr="00671495" w:rsidRDefault="00671495" w:rsidP="00671495">
      <w:pPr>
        <w:spacing w:line="360" w:lineRule="auto"/>
        <w:ind w:left="567" w:right="567"/>
        <w:jc w:val="both"/>
        <w:rPr>
          <w:rFonts w:ascii="Palatino Linotype" w:hAnsi="Palatino Linotype" w:cs="Arial"/>
          <w:i/>
          <w:sz w:val="22"/>
        </w:rPr>
      </w:pPr>
    </w:p>
    <w:p w14:paraId="3402A9B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Para efectos de lo dispuesto en el presente artículo se observará lo siguiente:</w:t>
      </w:r>
    </w:p>
    <w:p w14:paraId="653595BD" w14:textId="77777777" w:rsidR="00671495" w:rsidRPr="00671495" w:rsidRDefault="00671495" w:rsidP="00671495">
      <w:pPr>
        <w:spacing w:line="360" w:lineRule="auto"/>
        <w:ind w:left="567" w:right="567"/>
        <w:jc w:val="both"/>
        <w:rPr>
          <w:rFonts w:ascii="Palatino Linotype" w:hAnsi="Palatino Linotype" w:cs="Arial"/>
          <w:i/>
          <w:sz w:val="22"/>
        </w:rPr>
      </w:pPr>
    </w:p>
    <w:p w14:paraId="53BE5FB5"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671495" w:rsidRDefault="00671495" w:rsidP="00671495">
      <w:pPr>
        <w:spacing w:line="360" w:lineRule="auto"/>
        <w:ind w:left="567" w:right="567"/>
        <w:jc w:val="both"/>
        <w:rPr>
          <w:rFonts w:ascii="Palatino Linotype" w:hAnsi="Palatino Linotype" w:cs="Arial"/>
          <w:b/>
          <w:i/>
          <w:sz w:val="22"/>
        </w:rPr>
      </w:pPr>
    </w:p>
    <w:p w14:paraId="14CD69C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495">
        <w:rPr>
          <w:rFonts w:ascii="Palatino Linotype" w:hAnsi="Palatino Linotype" w:cs="Arial"/>
          <w:b/>
          <w:i/>
          <w:sz w:val="22"/>
        </w:rPr>
        <w:t xml:space="preserve">Los </w:t>
      </w:r>
      <w:r w:rsidRPr="00671495">
        <w:rPr>
          <w:rFonts w:ascii="Palatino Linotype" w:hAnsi="Palatino Linotype" w:cs="Arial"/>
          <w:b/>
          <w:i/>
          <w:sz w:val="22"/>
        </w:rPr>
        <w:lastRenderedPageBreak/>
        <w:t>sujetos obligados deberán documentar todo acto que derive del ejercicio de sus 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671495" w:rsidRDefault="00671495" w:rsidP="00671495">
      <w:pPr>
        <w:spacing w:line="360" w:lineRule="auto"/>
        <w:ind w:left="567" w:right="567"/>
        <w:jc w:val="both"/>
        <w:rPr>
          <w:rFonts w:ascii="Palatino Linotype" w:hAnsi="Palatino Linotype" w:cs="Arial"/>
          <w:i/>
          <w:sz w:val="22"/>
        </w:rPr>
      </w:pPr>
    </w:p>
    <w:p w14:paraId="4A8C82DD"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671495" w:rsidRDefault="00671495" w:rsidP="00671495">
      <w:pPr>
        <w:spacing w:line="360" w:lineRule="auto"/>
        <w:ind w:left="567" w:right="567"/>
        <w:jc w:val="both"/>
        <w:rPr>
          <w:rFonts w:ascii="Palatino Linotype" w:hAnsi="Palatino Linotype" w:cs="Arial"/>
          <w:i/>
          <w:sz w:val="22"/>
        </w:rPr>
      </w:pPr>
    </w:p>
    <w:p w14:paraId="1092FF4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671495" w:rsidRDefault="00671495" w:rsidP="00671495">
      <w:pPr>
        <w:spacing w:line="360" w:lineRule="auto"/>
        <w:ind w:left="567" w:right="567"/>
        <w:jc w:val="both"/>
        <w:rPr>
          <w:rFonts w:ascii="Palatino Linotype" w:hAnsi="Palatino Linotype" w:cs="Arial"/>
          <w:i/>
          <w:sz w:val="22"/>
        </w:rPr>
      </w:pPr>
    </w:p>
    <w:p w14:paraId="3BCBA2CC"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671495" w:rsidRDefault="00671495" w:rsidP="00671495">
      <w:pPr>
        <w:spacing w:line="360" w:lineRule="auto"/>
        <w:ind w:left="567" w:right="567"/>
        <w:jc w:val="both"/>
        <w:rPr>
          <w:rFonts w:ascii="Palatino Linotype" w:hAnsi="Palatino Linotype" w:cs="Arial"/>
          <w:b/>
          <w:i/>
          <w:sz w:val="22"/>
        </w:rPr>
      </w:pPr>
    </w:p>
    <w:p w14:paraId="1304D093"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C24ABB" w14:textId="77777777" w:rsidR="00671495" w:rsidRPr="00671495" w:rsidRDefault="00671495" w:rsidP="00671495">
      <w:pPr>
        <w:spacing w:line="360" w:lineRule="auto"/>
        <w:ind w:left="567" w:right="567"/>
        <w:jc w:val="both"/>
        <w:rPr>
          <w:rFonts w:ascii="Palatino Linotype" w:hAnsi="Palatino Linotype" w:cs="Arial"/>
          <w:i/>
          <w:sz w:val="22"/>
        </w:rPr>
      </w:pPr>
    </w:p>
    <w:p w14:paraId="4AB9ABA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FFBA0C1" w14:textId="77777777" w:rsidR="00671495" w:rsidRPr="00671495" w:rsidRDefault="00671495" w:rsidP="00671495">
      <w:pPr>
        <w:spacing w:line="360" w:lineRule="auto"/>
        <w:ind w:left="567" w:right="567"/>
        <w:jc w:val="both"/>
        <w:rPr>
          <w:rFonts w:ascii="Palatino Linotype" w:hAnsi="Palatino Linotype" w:cs="Arial"/>
          <w:i/>
          <w:sz w:val="22"/>
        </w:rPr>
      </w:pPr>
    </w:p>
    <w:p w14:paraId="0352D99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 La inobservancia a las disposiciones en materia de acceso a la información pública será sancionada en los términos que dispongan las leyes.</w:t>
      </w:r>
    </w:p>
    <w:p w14:paraId="1C7248A7" w14:textId="77777777" w:rsidR="00671495" w:rsidRPr="00671495" w:rsidRDefault="00671495" w:rsidP="00671495">
      <w:pPr>
        <w:spacing w:line="360" w:lineRule="auto"/>
        <w:ind w:left="567" w:right="567"/>
        <w:jc w:val="both"/>
        <w:rPr>
          <w:rFonts w:ascii="Palatino Linotype" w:hAnsi="Palatino Linotype" w:cs="Arial"/>
          <w:i/>
          <w:sz w:val="22"/>
        </w:rPr>
      </w:pPr>
    </w:p>
    <w:p w14:paraId="6759FD7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7CEDF5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2659E4C5" w14:textId="77777777" w:rsidR="00671495" w:rsidRPr="00671495" w:rsidRDefault="00671495" w:rsidP="00671495">
      <w:pPr>
        <w:spacing w:line="360" w:lineRule="auto"/>
        <w:ind w:left="567" w:right="567"/>
        <w:jc w:val="both"/>
        <w:rPr>
          <w:rFonts w:ascii="Palatino Linotype" w:hAnsi="Palatino Linotype"/>
          <w:i/>
          <w:sz w:val="22"/>
        </w:rPr>
      </w:pPr>
    </w:p>
    <w:p w14:paraId="61AA28D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57ED44B6" w14:textId="77777777" w:rsidR="00671495" w:rsidRPr="00671495" w:rsidRDefault="00671495" w:rsidP="00671495">
      <w:pPr>
        <w:spacing w:line="360" w:lineRule="auto"/>
        <w:ind w:left="709" w:right="757"/>
        <w:jc w:val="both"/>
        <w:rPr>
          <w:rFonts w:ascii="Palatino Linotype" w:hAnsi="Palatino Linotype"/>
          <w:sz w:val="22"/>
        </w:rPr>
      </w:pPr>
    </w:p>
    <w:p w14:paraId="4471EDA8"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49D2B9BC" w14:textId="77777777" w:rsidR="00671495" w:rsidRPr="00671495" w:rsidRDefault="00671495" w:rsidP="00671495">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t xml:space="preserve">“Artículo 5. … </w:t>
      </w:r>
    </w:p>
    <w:p w14:paraId="342C3CE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671495">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18EEBFBC" w14:textId="77777777" w:rsidR="00671495" w:rsidRPr="00671495" w:rsidRDefault="00671495" w:rsidP="00671495">
      <w:pPr>
        <w:spacing w:line="360" w:lineRule="auto"/>
        <w:ind w:left="567" w:right="567"/>
        <w:jc w:val="both"/>
        <w:rPr>
          <w:rFonts w:ascii="Palatino Linotype" w:hAnsi="Palatino Linotype"/>
          <w:i/>
          <w:sz w:val="22"/>
        </w:rPr>
      </w:pPr>
    </w:p>
    <w:p w14:paraId="1A3E4027"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12FDC20" w14:textId="77777777" w:rsidR="00671495" w:rsidRPr="00671495" w:rsidRDefault="00671495" w:rsidP="00671495">
      <w:pPr>
        <w:spacing w:line="360" w:lineRule="auto"/>
        <w:ind w:left="567" w:right="567"/>
        <w:jc w:val="both"/>
        <w:rPr>
          <w:rFonts w:ascii="Palatino Linotype" w:hAnsi="Palatino Linotype"/>
          <w:b/>
          <w:i/>
          <w:sz w:val="22"/>
        </w:rPr>
      </w:pPr>
    </w:p>
    <w:p w14:paraId="041CAE2A"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671495" w:rsidRDefault="00671495" w:rsidP="00671495">
      <w:pPr>
        <w:spacing w:line="360" w:lineRule="auto"/>
        <w:ind w:left="567" w:right="567"/>
        <w:jc w:val="both"/>
        <w:rPr>
          <w:rFonts w:ascii="Palatino Linotype" w:hAnsi="Palatino Linotype"/>
          <w:i/>
          <w:sz w:val="22"/>
        </w:rPr>
      </w:pPr>
    </w:p>
    <w:p w14:paraId="7DC90A6E"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671495" w:rsidRDefault="00671495" w:rsidP="00671495">
      <w:pPr>
        <w:spacing w:line="360" w:lineRule="auto"/>
        <w:ind w:left="567" w:right="567"/>
        <w:jc w:val="both"/>
        <w:rPr>
          <w:rFonts w:ascii="Palatino Linotype" w:hAnsi="Palatino Linotype"/>
          <w:i/>
          <w:sz w:val="22"/>
        </w:rPr>
      </w:pPr>
    </w:p>
    <w:p w14:paraId="7730283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0D84FD37" w14:textId="77777777" w:rsidR="00671495" w:rsidRPr="00671495" w:rsidRDefault="00671495" w:rsidP="00671495">
      <w:pPr>
        <w:spacing w:line="360" w:lineRule="auto"/>
        <w:ind w:left="567" w:right="567"/>
        <w:jc w:val="both"/>
        <w:rPr>
          <w:rFonts w:ascii="Palatino Linotype" w:hAnsi="Palatino Linotype"/>
          <w:i/>
          <w:sz w:val="22"/>
        </w:rPr>
      </w:pPr>
    </w:p>
    <w:p w14:paraId="41F2D210"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671495" w:rsidRDefault="00671495" w:rsidP="00671495">
      <w:pPr>
        <w:spacing w:line="360" w:lineRule="auto"/>
        <w:ind w:left="567" w:right="567"/>
        <w:jc w:val="both"/>
        <w:rPr>
          <w:rFonts w:ascii="Palatino Linotype" w:hAnsi="Palatino Linotype"/>
          <w:i/>
          <w:sz w:val="22"/>
        </w:rPr>
      </w:pPr>
    </w:p>
    <w:p w14:paraId="70471FFB"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671495" w:rsidRDefault="00671495" w:rsidP="00671495">
      <w:pPr>
        <w:spacing w:line="360" w:lineRule="auto"/>
        <w:ind w:left="567" w:right="567"/>
        <w:jc w:val="both"/>
        <w:rPr>
          <w:rFonts w:ascii="Palatino Linotype" w:hAnsi="Palatino Linotype"/>
          <w:b/>
          <w:i/>
          <w:sz w:val="22"/>
        </w:rPr>
      </w:pPr>
    </w:p>
    <w:p w14:paraId="483F81E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4766D9E0" w14:textId="77777777" w:rsidR="00671495" w:rsidRPr="00671495" w:rsidRDefault="00671495" w:rsidP="00671495">
      <w:pPr>
        <w:spacing w:line="360" w:lineRule="auto"/>
        <w:ind w:left="567" w:right="567"/>
        <w:jc w:val="both"/>
        <w:rPr>
          <w:rFonts w:ascii="Palatino Linotype" w:hAnsi="Palatino Linotype"/>
          <w:i/>
          <w:sz w:val="22"/>
        </w:rPr>
      </w:pPr>
    </w:p>
    <w:p w14:paraId="4FC13C3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671495" w:rsidRDefault="00671495" w:rsidP="00671495">
      <w:pPr>
        <w:spacing w:line="360" w:lineRule="auto"/>
        <w:ind w:left="567" w:right="567"/>
        <w:jc w:val="both"/>
        <w:rPr>
          <w:rFonts w:ascii="Palatino Linotype" w:hAnsi="Palatino Linotype"/>
          <w:sz w:val="22"/>
        </w:rPr>
      </w:pPr>
    </w:p>
    <w:p w14:paraId="486DA6DA" w14:textId="77777777" w:rsidR="00671495" w:rsidRPr="00671495" w:rsidRDefault="00671495" w:rsidP="00671495">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31A6D9EE" w14:textId="77777777" w:rsidR="00671495" w:rsidRPr="00671495" w:rsidRDefault="00671495" w:rsidP="00671495">
      <w:pPr>
        <w:spacing w:line="360" w:lineRule="auto"/>
        <w:ind w:left="567" w:right="567"/>
        <w:jc w:val="both"/>
        <w:rPr>
          <w:rFonts w:ascii="Palatino Linotype" w:hAnsi="Palatino Linotype"/>
          <w:sz w:val="24"/>
        </w:rPr>
      </w:pPr>
    </w:p>
    <w:p w14:paraId="6903460B"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Adicional, tenemos que la Ley de Transparencia y Acceso a la Información Pública del Estado de México y Municipios, prevé en su artículo 23 fracción IV, lo siguiente:</w:t>
      </w:r>
    </w:p>
    <w:p w14:paraId="3DA2F1E2" w14:textId="77777777" w:rsidR="00671495" w:rsidRPr="00671495" w:rsidRDefault="00671495" w:rsidP="00671495">
      <w:pPr>
        <w:spacing w:line="360" w:lineRule="auto"/>
        <w:jc w:val="both"/>
        <w:rPr>
          <w:rFonts w:ascii="Palatino Linotype" w:hAnsi="Palatino Linotype" w:cs="Arial"/>
        </w:rPr>
      </w:pPr>
    </w:p>
    <w:p w14:paraId="2F26356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67DC9DF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1BB70256" w14:textId="77777777" w:rsidR="00671495" w:rsidRPr="00671495" w:rsidRDefault="00671495" w:rsidP="00671495">
      <w:pPr>
        <w:spacing w:line="360" w:lineRule="auto"/>
        <w:ind w:left="567" w:right="567"/>
        <w:jc w:val="both"/>
        <w:rPr>
          <w:rFonts w:ascii="Palatino Linotype" w:hAnsi="Palatino Linotype" w:cs="Arial"/>
          <w:b/>
          <w:i/>
          <w:sz w:val="22"/>
          <w:szCs w:val="22"/>
        </w:rPr>
      </w:pPr>
      <w:r w:rsidRPr="00671495">
        <w:rPr>
          <w:rFonts w:ascii="Palatino Linotype" w:hAnsi="Palatino Linotype" w:cs="Arial"/>
          <w:b/>
          <w:i/>
          <w:sz w:val="22"/>
          <w:szCs w:val="22"/>
        </w:rPr>
        <w:t xml:space="preserve">IV. </w:t>
      </w:r>
      <w:r w:rsidRPr="00671495">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56E16912"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360133C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671495" w:rsidRDefault="00671495" w:rsidP="00671495">
      <w:pPr>
        <w:spacing w:line="360" w:lineRule="auto"/>
        <w:ind w:left="567" w:right="567"/>
        <w:jc w:val="both"/>
        <w:rPr>
          <w:rFonts w:ascii="Palatino Linotype" w:hAnsi="Palatino Linotype" w:cs="Arial"/>
          <w:b/>
          <w:i/>
          <w:sz w:val="22"/>
        </w:rPr>
      </w:pPr>
    </w:p>
    <w:p w14:paraId="52F2A7D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671495" w:rsidRDefault="00671495" w:rsidP="00671495">
      <w:pPr>
        <w:spacing w:line="360" w:lineRule="auto"/>
        <w:ind w:left="567" w:right="567"/>
        <w:jc w:val="both"/>
        <w:rPr>
          <w:rFonts w:ascii="Palatino Linotype" w:hAnsi="Palatino Linotype" w:cs="Arial"/>
          <w:sz w:val="22"/>
        </w:rPr>
      </w:pPr>
    </w:p>
    <w:p w14:paraId="0A595C6B" w14:textId="77777777" w:rsidR="00671495" w:rsidRPr="00671495" w:rsidRDefault="00671495" w:rsidP="00671495">
      <w:pPr>
        <w:spacing w:line="360" w:lineRule="auto"/>
        <w:ind w:left="567" w:right="567"/>
        <w:jc w:val="both"/>
        <w:rPr>
          <w:rFonts w:ascii="Palatino Linotype" w:hAnsi="Palatino Linotype" w:cs="Arial"/>
          <w:sz w:val="22"/>
        </w:rPr>
      </w:pPr>
      <w:r w:rsidRPr="00671495">
        <w:rPr>
          <w:rFonts w:ascii="Palatino Linotype" w:hAnsi="Palatino Linotype" w:cs="Arial"/>
          <w:sz w:val="22"/>
        </w:rPr>
        <w:t>(Énfasis añadido)</w:t>
      </w:r>
    </w:p>
    <w:p w14:paraId="213B1C83" w14:textId="77777777" w:rsidR="00671495" w:rsidRPr="00671495" w:rsidRDefault="00671495" w:rsidP="00671495">
      <w:pPr>
        <w:spacing w:line="360" w:lineRule="auto"/>
        <w:jc w:val="both"/>
        <w:rPr>
          <w:rFonts w:ascii="Palatino Linotype" w:hAnsi="Palatino Linotype" w:cs="Arial"/>
        </w:rPr>
      </w:pPr>
    </w:p>
    <w:p w14:paraId="73C1846F"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2029507" w14:textId="77777777" w:rsidR="00671495" w:rsidRPr="00671495" w:rsidRDefault="00671495" w:rsidP="00671495">
      <w:pPr>
        <w:pStyle w:val="Prrafodelista"/>
        <w:spacing w:line="360" w:lineRule="auto"/>
        <w:ind w:left="0"/>
        <w:jc w:val="both"/>
        <w:rPr>
          <w:rFonts w:ascii="Palatino Linotype" w:hAnsi="Palatino Linotype" w:cs="Arial"/>
          <w:sz w:val="24"/>
        </w:rPr>
      </w:pPr>
    </w:p>
    <w:p w14:paraId="181C0D61" w14:textId="3D9DD4DB" w:rsid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lo anterior, es de referir que,</w:t>
      </w:r>
      <w:r w:rsidRPr="00671495">
        <w:rPr>
          <w:rFonts w:ascii="Palatino Linotype" w:hAnsi="Palatino Linotype" w:cs="Arial"/>
          <w:b/>
          <w:sz w:val="24"/>
        </w:rPr>
        <w:t xml:space="preserve"> el </w:t>
      </w:r>
      <w:r w:rsidR="00AA12A0" w:rsidRPr="00AA12A0">
        <w:rPr>
          <w:rFonts w:ascii="Palatino Linotype" w:eastAsia="Calibri" w:hAnsi="Palatino Linotype" w:cs="Tahoma"/>
          <w:b/>
          <w:sz w:val="24"/>
          <w:szCs w:val="22"/>
          <w:lang w:eastAsia="en-US"/>
        </w:rPr>
        <w:t>Sistema Municipal Para el Desarrollo Integral de la Familia de Tianguistenco</w:t>
      </w:r>
      <w:r w:rsidRPr="006714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22728ABB" w14:textId="77777777" w:rsidR="00B81022" w:rsidRPr="00B81022" w:rsidRDefault="00B81022" w:rsidP="00B81022">
      <w:pPr>
        <w:pStyle w:val="Prrafodelista"/>
        <w:rPr>
          <w:rFonts w:ascii="Palatino Linotype" w:hAnsi="Palatino Linotype" w:cs="Arial"/>
          <w:sz w:val="24"/>
        </w:rPr>
      </w:pPr>
    </w:p>
    <w:p w14:paraId="2C004C0E" w14:textId="669DD9DA" w:rsidR="00B81022" w:rsidRDefault="00B81022" w:rsidP="00671495">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Derivado de las manifestaciones vertidas en los motivos o razones de inconformidad, es necesario analizar tanto el acuerdo de declaración de incompetencia, como el acuerdo para la elaboración de las versiones públicas, toda vez que, el Recurrente se limitó a referir que el acuerdo está mal fundado y motivado, sin especificar cuál de los dos acuerdos se refiere.</w:t>
      </w:r>
    </w:p>
    <w:p w14:paraId="2AD56680" w14:textId="77777777" w:rsidR="00B81022" w:rsidRPr="00B81022" w:rsidRDefault="00B81022" w:rsidP="00B81022">
      <w:pPr>
        <w:pStyle w:val="Prrafodelista"/>
        <w:rPr>
          <w:rFonts w:ascii="Palatino Linotype" w:hAnsi="Palatino Linotype" w:cs="Arial"/>
          <w:sz w:val="24"/>
        </w:rPr>
      </w:pPr>
    </w:p>
    <w:p w14:paraId="0EDB8230" w14:textId="77777777" w:rsidR="00671495" w:rsidRDefault="00671495" w:rsidP="005000AA">
      <w:pPr>
        <w:rPr>
          <w:rFonts w:ascii="Palatino Linotype" w:hAnsi="Palatino Linotype"/>
          <w:sz w:val="24"/>
          <w:szCs w:val="24"/>
          <w:lang w:eastAsia="en-US"/>
        </w:rPr>
      </w:pPr>
    </w:p>
    <w:p w14:paraId="65DB08A1" w14:textId="619BAB1C" w:rsidR="000E7E4F" w:rsidRDefault="00671495" w:rsidP="00671495">
      <w:pPr>
        <w:pStyle w:val="Ttulo2"/>
        <w:numPr>
          <w:ilvl w:val="0"/>
          <w:numId w:val="26"/>
        </w:numPr>
        <w:spacing w:line="256" w:lineRule="auto"/>
        <w:rPr>
          <w:rFonts w:ascii="Palatino Linotype" w:hAnsi="Palatino Linotype"/>
          <w:b/>
          <w:color w:val="auto"/>
          <w:sz w:val="24"/>
          <w:szCs w:val="24"/>
        </w:rPr>
      </w:pPr>
      <w:bookmarkStart w:id="31" w:name="_Toc86917941"/>
      <w:bookmarkStart w:id="32" w:name="_Toc88745510"/>
      <w:bookmarkStart w:id="33" w:name="_Toc34911390"/>
      <w:r>
        <w:rPr>
          <w:rFonts w:ascii="Palatino Linotype" w:hAnsi="Palatino Linotype"/>
          <w:b/>
          <w:color w:val="auto"/>
          <w:sz w:val="24"/>
          <w:szCs w:val="24"/>
        </w:rPr>
        <w:lastRenderedPageBreak/>
        <w:t>De</w:t>
      </w:r>
      <w:r w:rsidR="00DD5221">
        <w:rPr>
          <w:rFonts w:ascii="Palatino Linotype" w:hAnsi="Palatino Linotype"/>
          <w:b/>
          <w:color w:val="auto"/>
          <w:sz w:val="24"/>
          <w:szCs w:val="24"/>
        </w:rPr>
        <w:t xml:space="preserve"> la</w:t>
      </w:r>
      <w:r w:rsidR="00B81022">
        <w:rPr>
          <w:rFonts w:ascii="Palatino Linotype" w:hAnsi="Palatino Linotype"/>
          <w:b/>
          <w:color w:val="auto"/>
          <w:sz w:val="24"/>
          <w:szCs w:val="24"/>
        </w:rPr>
        <w:t xml:space="preserve"> incompetencia</w:t>
      </w:r>
      <w:r w:rsidR="000E7E4F">
        <w:rPr>
          <w:rFonts w:ascii="Palatino Linotype" w:hAnsi="Palatino Linotype"/>
          <w:b/>
          <w:color w:val="auto"/>
          <w:sz w:val="24"/>
          <w:szCs w:val="24"/>
        </w:rPr>
        <w:t>.</w:t>
      </w:r>
      <w:bookmarkEnd w:id="31"/>
      <w:bookmarkEnd w:id="32"/>
    </w:p>
    <w:p w14:paraId="50BB6952" w14:textId="77777777" w:rsidR="00B81022" w:rsidRDefault="00B81022" w:rsidP="00B81022"/>
    <w:p w14:paraId="40C4428F" w14:textId="77777777" w:rsidR="00B81022" w:rsidRDefault="00B81022" w:rsidP="00B81022"/>
    <w:p w14:paraId="79EBA87D" w14:textId="77777777" w:rsidR="00B81022" w:rsidRPr="004D3AFA" w:rsidRDefault="00B81022" w:rsidP="00B81022">
      <w:pPr>
        <w:pStyle w:val="Prrafodelista"/>
        <w:numPr>
          <w:ilvl w:val="0"/>
          <w:numId w:val="2"/>
        </w:numPr>
        <w:spacing w:line="360" w:lineRule="auto"/>
        <w:ind w:left="0" w:firstLine="0"/>
        <w:jc w:val="both"/>
        <w:rPr>
          <w:rFonts w:ascii="Palatino Linotype" w:eastAsia="MS Mincho" w:hAnsi="Palatino Linotype"/>
        </w:rPr>
      </w:pPr>
      <w:r w:rsidRPr="000E63C8">
        <w:rPr>
          <w:rFonts w:ascii="Palatino Linotype" w:eastAsia="MS Mincho" w:hAnsi="Palatino Linotype"/>
        </w:rPr>
        <w:t xml:space="preserve">Debemos mencionar que el acceso a la información es un derecho humano constitucional y convencionalmente reconocido y para tal efecto </w:t>
      </w:r>
      <w:r w:rsidRPr="000E63C8">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0E63C8">
        <w:rPr>
          <w:rFonts w:ascii="Palatino Linotype" w:eastAsia="Calibri" w:hAnsi="Palatino Linotype"/>
          <w:i/>
          <w:lang w:val="es-ES"/>
        </w:rPr>
        <w:t xml:space="preserve">en el ámbito de sus atribuciones, de promover, respetar, proteger y </w:t>
      </w:r>
      <w:r w:rsidRPr="000E63C8">
        <w:rPr>
          <w:rFonts w:ascii="Palatino Linotype" w:eastAsia="Calibri" w:hAnsi="Palatino Linotype"/>
          <w:b/>
          <w:i/>
          <w:lang w:val="es-ES"/>
        </w:rPr>
        <w:t>garantizar</w:t>
      </w:r>
      <w:r w:rsidRPr="000E63C8">
        <w:rPr>
          <w:rFonts w:ascii="Palatino Linotype" w:eastAsia="Calibri" w:hAnsi="Palatino Linotype"/>
          <w:i/>
          <w:lang w:val="es-ES"/>
        </w:rPr>
        <w:t xml:space="preserve"> los derechos humanos. </w:t>
      </w:r>
      <w:r w:rsidRPr="000E63C8">
        <w:rPr>
          <w:rFonts w:ascii="Palatino Linotype" w:eastAsia="Calibri" w:hAnsi="Palatino Linotype"/>
          <w:b/>
          <w:i/>
          <w:lang w:val="es-ES"/>
        </w:rPr>
        <w:t xml:space="preserve">En cuanto al derecho de acceso a la información, la Ley de Transparencia y Acceso a la Información Pública del Estado de México y Municipios prevé establece que </w:t>
      </w:r>
      <w:r w:rsidRPr="004D3AFA">
        <w:rPr>
          <w:rFonts w:ascii="Palatino Linotype" w:eastAsia="Calibri" w:hAnsi="Palatino Linotype"/>
          <w:b/>
          <w:i/>
          <w:lang w:val="es-ES"/>
        </w:rPr>
        <w:t>e</w:t>
      </w:r>
      <w:r w:rsidRPr="004D3AF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D3AFA">
        <w:rPr>
          <w:rStyle w:val="Refdenotaalpie"/>
          <w:rFonts w:ascii="Palatino Linotype" w:hAnsi="Palatino Linotype"/>
          <w:i/>
        </w:rPr>
        <w:footnoteReference w:id="1"/>
      </w:r>
      <w:r w:rsidRPr="004D3AFA">
        <w:rPr>
          <w:rFonts w:ascii="Palatino Linotype" w:hAnsi="Palatino Linotype"/>
          <w:i/>
        </w:rPr>
        <w:t xml:space="preserve">, </w:t>
      </w:r>
      <w:r w:rsidRPr="004D3AFA">
        <w:rPr>
          <w:rFonts w:ascii="Palatino Linotype" w:hAnsi="Palatino Linotype"/>
        </w:rPr>
        <w:t>asimismo establece</w:t>
      </w:r>
      <w:r w:rsidRPr="004D3AF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0ABC9E8" w14:textId="77777777" w:rsidR="00B81022" w:rsidRPr="004D3AFA" w:rsidRDefault="00B81022" w:rsidP="00B81022">
      <w:pPr>
        <w:pStyle w:val="Prrafodelista"/>
        <w:rPr>
          <w:rFonts w:ascii="Palatino Linotype" w:eastAsia="Calibri" w:hAnsi="Palatino Linotype" w:cs="Arial"/>
        </w:rPr>
      </w:pPr>
    </w:p>
    <w:p w14:paraId="396DA4EB" w14:textId="77777777" w:rsidR="00B81022" w:rsidRPr="004D3AFA" w:rsidRDefault="00B81022" w:rsidP="00B81022">
      <w:pPr>
        <w:pStyle w:val="Prrafodelista"/>
        <w:numPr>
          <w:ilvl w:val="0"/>
          <w:numId w:val="2"/>
        </w:numPr>
        <w:spacing w:line="360" w:lineRule="auto"/>
        <w:ind w:left="0" w:firstLine="0"/>
        <w:jc w:val="both"/>
        <w:rPr>
          <w:rFonts w:ascii="Palatino Linotype" w:eastAsia="Calibri" w:hAnsi="Palatino Linotype" w:cs="Arial"/>
        </w:rPr>
      </w:pPr>
      <w:r w:rsidRPr="004D3AFA">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w:t>
      </w:r>
      <w:r w:rsidRPr="004D3AFA">
        <w:rPr>
          <w:rFonts w:ascii="Palatino Linotype" w:hAnsi="Palatino Linotype"/>
        </w:rPr>
        <w:lastRenderedPageBreak/>
        <w:t>documentos que se soliciten o bien, simplemente para el desarrollo de sus facultades, competencias y atribuciones que a diario desempeñan.</w:t>
      </w:r>
    </w:p>
    <w:p w14:paraId="3E5CAAD5" w14:textId="77777777" w:rsidR="00B81022" w:rsidRPr="004D3AFA" w:rsidRDefault="00B81022" w:rsidP="00B81022">
      <w:pPr>
        <w:pStyle w:val="Prrafodelista"/>
        <w:rPr>
          <w:rFonts w:ascii="Palatino Linotype" w:eastAsia="Calibri" w:hAnsi="Palatino Linotype" w:cs="Arial"/>
        </w:rPr>
      </w:pPr>
    </w:p>
    <w:p w14:paraId="04127098" w14:textId="77777777" w:rsidR="00B81022" w:rsidRPr="004D3AFA" w:rsidRDefault="00B81022" w:rsidP="00B81022">
      <w:pPr>
        <w:pStyle w:val="Prrafodelista"/>
        <w:numPr>
          <w:ilvl w:val="0"/>
          <w:numId w:val="2"/>
        </w:numPr>
        <w:spacing w:line="360" w:lineRule="auto"/>
        <w:ind w:left="0" w:firstLine="0"/>
        <w:jc w:val="both"/>
        <w:rPr>
          <w:rFonts w:ascii="Palatino Linotype" w:eastAsia="Calibri" w:hAnsi="Palatino Linotype" w:cs="Arial"/>
        </w:rPr>
      </w:pPr>
      <w:r w:rsidRPr="004D3AFA">
        <w:rPr>
          <w:rFonts w:ascii="Palatino Linotype" w:hAnsi="Palatino Linotype"/>
        </w:rPr>
        <w:t xml:space="preserve">Es así que, su obligación es </w:t>
      </w:r>
      <w:r w:rsidRPr="004D3AFA">
        <w:rPr>
          <w:rFonts w:ascii="Palatino Linotype" w:hAnsi="Palatino Linotype"/>
          <w:i/>
        </w:rPr>
        <w:t>realizar, con efectividad, los trámites internos necesarios para la atención de las solicitudes de información</w:t>
      </w:r>
      <w:r w:rsidRPr="004D3AFA">
        <w:rPr>
          <w:rStyle w:val="Refdenotaalpie"/>
          <w:rFonts w:ascii="Palatino Linotype" w:hAnsi="Palatino Linotype"/>
        </w:rPr>
        <w:footnoteReference w:id="2"/>
      </w:r>
      <w:r w:rsidRPr="004D3AFA">
        <w:rPr>
          <w:rFonts w:ascii="Palatino Linotype" w:hAnsi="Palatino Linotype"/>
        </w:rPr>
        <w:t>, es decir, deben otorgar respuestas concisas, contundentes y sobre todo que den la certeza de los actos que realizan.</w:t>
      </w:r>
    </w:p>
    <w:p w14:paraId="52762812" w14:textId="77777777" w:rsidR="00B81022" w:rsidRPr="004D3AFA" w:rsidRDefault="00B81022" w:rsidP="00B81022">
      <w:pPr>
        <w:pStyle w:val="Prrafodelista"/>
        <w:spacing w:line="360" w:lineRule="auto"/>
        <w:ind w:left="0"/>
        <w:jc w:val="both"/>
        <w:rPr>
          <w:rFonts w:ascii="Palatino Linotype" w:eastAsia="Calibri" w:hAnsi="Palatino Linotype" w:cs="Arial"/>
        </w:rPr>
      </w:pPr>
    </w:p>
    <w:p w14:paraId="19EC24DD" w14:textId="6805B138" w:rsidR="00B81022" w:rsidRPr="004D3AFA" w:rsidRDefault="00B81022" w:rsidP="00B81022">
      <w:pPr>
        <w:pStyle w:val="Prrafodelista"/>
        <w:numPr>
          <w:ilvl w:val="0"/>
          <w:numId w:val="2"/>
        </w:numPr>
        <w:spacing w:line="360" w:lineRule="auto"/>
        <w:ind w:left="0" w:firstLine="0"/>
        <w:jc w:val="both"/>
        <w:rPr>
          <w:rFonts w:ascii="Palatino Linotype" w:eastAsia="Calibri" w:hAnsi="Palatino Linotype" w:cs="Arial"/>
        </w:rPr>
      </w:pPr>
      <w:r w:rsidRPr="004D3AFA">
        <w:rPr>
          <w:rFonts w:ascii="Palatino Linotype" w:eastAsia="Calibri" w:hAnsi="Palatino Linotype" w:cs="Arial"/>
        </w:rPr>
        <w:t>En el presente asunto, se tiene que la solicitud de acceso a la información se presentó el día siete (7) de septiembre de dos mil veintiuno; en consecuencia, el Sujeto Obligado emitió el acuerdo mediante el cual se declara incompetente para contar con la información relativa al Tesorero Municipal y el Director de Desarrollo Económico el día veintinueve (29) de septiembre del mismo año.</w:t>
      </w:r>
    </w:p>
    <w:p w14:paraId="134F0276" w14:textId="77777777" w:rsidR="00B81022" w:rsidRPr="004D3AFA" w:rsidRDefault="00B81022" w:rsidP="00B81022">
      <w:pPr>
        <w:pStyle w:val="Prrafodelista"/>
        <w:rPr>
          <w:rFonts w:ascii="Palatino Linotype" w:hAnsi="Palatino Linotype" w:cs="Arial"/>
          <w:bCs/>
        </w:rPr>
      </w:pPr>
    </w:p>
    <w:p w14:paraId="591E29FB" w14:textId="0A6341E2" w:rsidR="00B81022" w:rsidRPr="004D3AFA" w:rsidRDefault="00B81022" w:rsidP="00B81022">
      <w:pPr>
        <w:pStyle w:val="Prrafodelista"/>
        <w:numPr>
          <w:ilvl w:val="0"/>
          <w:numId w:val="2"/>
        </w:numPr>
        <w:spacing w:line="360" w:lineRule="auto"/>
        <w:ind w:left="0" w:firstLine="0"/>
        <w:jc w:val="both"/>
        <w:rPr>
          <w:rFonts w:ascii="Palatino Linotype" w:eastAsia="Calibri" w:hAnsi="Palatino Linotype" w:cs="Arial"/>
        </w:rPr>
      </w:pPr>
      <w:r w:rsidRPr="004D3AFA">
        <w:rPr>
          <w:rFonts w:ascii="Palatino Linotype" w:hAnsi="Palatino Linotype" w:cs="Arial"/>
          <w:bCs/>
        </w:rPr>
        <w:t>La declinación de incompetencia a la que hace alusión el Sujeto Obligado se encuentra fuera del plazo que dispone para tal efecto el artículo 167 de la Ley de Transparencia y Acceso a la Información Pública del Estado de México y Municipios que establece lo siguiente:</w:t>
      </w:r>
    </w:p>
    <w:p w14:paraId="753D561A" w14:textId="77777777" w:rsidR="00B81022" w:rsidRPr="004D3AFA" w:rsidRDefault="00B81022" w:rsidP="00B81022">
      <w:pPr>
        <w:pStyle w:val="Prrafodelista"/>
        <w:spacing w:line="360" w:lineRule="auto"/>
        <w:ind w:left="0"/>
        <w:jc w:val="both"/>
        <w:rPr>
          <w:rFonts w:ascii="Palatino Linotype" w:eastAsia="Calibri" w:hAnsi="Palatino Linotype" w:cs="Arial"/>
        </w:rPr>
      </w:pPr>
    </w:p>
    <w:p w14:paraId="4D1D0E11" w14:textId="77777777" w:rsidR="00B81022" w:rsidRPr="004D3AFA" w:rsidRDefault="00B81022" w:rsidP="00B81022">
      <w:pPr>
        <w:autoSpaceDE w:val="0"/>
        <w:autoSpaceDN w:val="0"/>
        <w:adjustRightInd w:val="0"/>
        <w:spacing w:line="360" w:lineRule="auto"/>
        <w:ind w:left="567" w:right="567"/>
        <w:jc w:val="both"/>
        <w:rPr>
          <w:rFonts w:ascii="Palatino Linotype" w:hAnsi="Palatino Linotype" w:cs="Bookman Old Style"/>
          <w:i/>
          <w:sz w:val="22"/>
        </w:rPr>
      </w:pPr>
      <w:r w:rsidRPr="004D3AFA">
        <w:rPr>
          <w:rFonts w:ascii="Palatino Linotype" w:hAnsi="Palatino Linotype" w:cs="Bookman Old Style,Bold"/>
          <w:b/>
          <w:bCs/>
          <w:i/>
          <w:sz w:val="22"/>
        </w:rPr>
        <w:t xml:space="preserve">Artículo 167. </w:t>
      </w:r>
      <w:r w:rsidRPr="004D3AFA">
        <w:rPr>
          <w:rFonts w:ascii="Palatino Linotype" w:hAnsi="Palatino Linotype" w:cs="Bookman Old Style"/>
          <w:i/>
          <w:sz w:val="22"/>
        </w:rPr>
        <w:t xml:space="preserve">Cuando las </w:t>
      </w:r>
      <w:r w:rsidRPr="004D3AFA">
        <w:rPr>
          <w:rFonts w:ascii="Palatino Linotype" w:hAnsi="Palatino Linotype" w:cs="Bookman Old Style"/>
          <w:b/>
          <w:i/>
          <w:sz w:val="22"/>
        </w:rPr>
        <w:t>unidades de transparencia determinen la notoria incompetencia por parte de los sujetos obligado</w:t>
      </w:r>
      <w:r w:rsidRPr="004D3AFA">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4D3AFA">
        <w:rPr>
          <w:rFonts w:ascii="Palatino Linotype" w:hAnsi="Palatino Linotype" w:cs="Bookman Old Style"/>
          <w:b/>
          <w:i/>
          <w:sz w:val="22"/>
          <w:u w:val="single"/>
        </w:rPr>
        <w:t>tres días hábiles posteriores a la recepción de la solicitud</w:t>
      </w:r>
      <w:r w:rsidRPr="004D3AFA">
        <w:rPr>
          <w:rFonts w:ascii="Palatino Linotype" w:hAnsi="Palatino Linotype" w:cs="Bookman Old Style"/>
          <w:i/>
          <w:sz w:val="22"/>
        </w:rPr>
        <w:t xml:space="preserve"> y, en su caso orientar al solicitante, el o los sujetos obligados competentes. </w:t>
      </w:r>
    </w:p>
    <w:p w14:paraId="6EB18E4B" w14:textId="77777777" w:rsidR="00B81022" w:rsidRPr="004D3AFA" w:rsidRDefault="00B81022" w:rsidP="00B81022">
      <w:pPr>
        <w:pStyle w:val="Prrafodelista"/>
        <w:spacing w:line="360" w:lineRule="auto"/>
        <w:ind w:left="0"/>
        <w:jc w:val="both"/>
        <w:rPr>
          <w:rFonts w:ascii="Palatino Linotype" w:eastAsia="Calibri" w:hAnsi="Palatino Linotype" w:cs="Arial"/>
        </w:rPr>
      </w:pPr>
    </w:p>
    <w:p w14:paraId="04FA1ADF" w14:textId="281D2B90" w:rsidR="00B81022" w:rsidRPr="004D3AFA" w:rsidRDefault="00B81022" w:rsidP="00B8102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4D3AFA">
        <w:rPr>
          <w:rFonts w:ascii="Palatino Linotype" w:eastAsia="Calibri" w:hAnsi="Palatino Linotype" w:cs="Arial"/>
        </w:rPr>
        <w:t xml:space="preserve">No obstante, aún y cuando la declaración de incompetencia se encuentra fuera del plazo, es de mencionar que fue a través del Comité de Transparencia </w:t>
      </w:r>
      <w:r w:rsidR="004D3AFA" w:rsidRPr="004D3AFA">
        <w:rPr>
          <w:rFonts w:ascii="Palatino Linotype" w:eastAsia="Calibri" w:hAnsi="Palatino Linotype" w:cs="Arial"/>
        </w:rPr>
        <w:t>que se confirmó dicha incompetencia por carecer de atribuciones, funciones y competencias para generar, administrar y poseer la información.</w:t>
      </w:r>
    </w:p>
    <w:p w14:paraId="69897F32" w14:textId="77777777" w:rsidR="004D3AFA" w:rsidRPr="004D3AFA" w:rsidRDefault="004D3AFA" w:rsidP="004D3AFA">
      <w:pPr>
        <w:pStyle w:val="Prrafodelista"/>
        <w:spacing w:before="100" w:beforeAutospacing="1" w:after="100" w:afterAutospacing="1" w:line="360" w:lineRule="auto"/>
        <w:ind w:left="0"/>
        <w:jc w:val="both"/>
        <w:rPr>
          <w:rFonts w:ascii="Palatino Linotype" w:eastAsia="Calibri" w:hAnsi="Palatino Linotype" w:cs="Arial"/>
        </w:rPr>
      </w:pPr>
    </w:p>
    <w:p w14:paraId="2CACD792" w14:textId="09E598CF" w:rsidR="00B81022" w:rsidRPr="004D3AFA" w:rsidRDefault="00B81022" w:rsidP="00B8102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4D3AFA">
        <w:rPr>
          <w:rFonts w:ascii="Palatino Linotype" w:eastAsia="Calibri" w:hAnsi="Palatino Linotype" w:cs="Arial"/>
        </w:rPr>
        <w:t xml:space="preserve">Dicho lo anterior, es necesario mencionar que el Sujeto Obligado en respuesta como manifestó que es incompetentes para contar con la totalidad de la información requerida, </w:t>
      </w:r>
      <w:r w:rsidRPr="004D3AFA">
        <w:rPr>
          <w:rFonts w:ascii="Palatino Linotype" w:hAnsi="Palatino Linotype" w:cs="Arial"/>
          <w:szCs w:val="20"/>
        </w:rPr>
        <w:t>es necesario hacer referencia a l</w:t>
      </w:r>
      <w:r w:rsidRPr="004D3AFA">
        <w:rPr>
          <w:rFonts w:ascii="Palatino Linotype" w:hAnsi="Palatino Linotype"/>
        </w:rPr>
        <w:t>a presunción de veracidad</w:t>
      </w:r>
      <w:r w:rsidRPr="004D3AFA">
        <w:rPr>
          <w:rStyle w:val="Refdenotaalpie"/>
          <w:rFonts w:ascii="Palatino Linotype" w:hAnsi="Palatino Linotype"/>
        </w:rPr>
        <w:footnoteReference w:id="3"/>
      </w:r>
      <w:r w:rsidRPr="004D3AFA">
        <w:rPr>
          <w:rFonts w:ascii="Palatino Linotype" w:hAnsi="Palatino Linotype"/>
        </w:rPr>
        <w:t xml:space="preserve"> supone una declaración </w:t>
      </w:r>
      <w:r w:rsidRPr="004D3AFA">
        <w:rPr>
          <w:rFonts w:ascii="Palatino Linotype" w:hAnsi="Palatino Linotype"/>
          <w:i/>
        </w:rPr>
        <w:t>iurus tantum</w:t>
      </w:r>
      <w:r w:rsidRPr="004D3AFA">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7DD6CD7C" w14:textId="77777777" w:rsidR="00B81022" w:rsidRPr="004D3AFA" w:rsidRDefault="00B81022" w:rsidP="00B81022">
      <w:pPr>
        <w:pStyle w:val="Prrafodelista"/>
        <w:rPr>
          <w:rFonts w:ascii="Palatino Linotype" w:hAnsi="Palatino Linotype"/>
        </w:rPr>
      </w:pPr>
    </w:p>
    <w:p w14:paraId="3495F8E5" w14:textId="77777777" w:rsidR="00B81022" w:rsidRPr="004D3AFA" w:rsidRDefault="00B81022" w:rsidP="00B81022">
      <w:pPr>
        <w:pStyle w:val="Prrafodelista"/>
        <w:numPr>
          <w:ilvl w:val="0"/>
          <w:numId w:val="2"/>
        </w:numPr>
        <w:spacing w:line="360" w:lineRule="auto"/>
        <w:ind w:left="0" w:firstLine="0"/>
        <w:jc w:val="both"/>
        <w:rPr>
          <w:rFonts w:ascii="Palatino Linotype" w:hAnsi="Palatino Linotype"/>
        </w:rPr>
      </w:pPr>
      <w:r w:rsidRPr="004D3AFA">
        <w:rPr>
          <w:rFonts w:ascii="Palatino Linotype" w:hAnsi="Palatino Linotype"/>
        </w:rPr>
        <w:t>Sirve de apoyo a lo anterior por analogía el criterio 31-10 emitido por el entonces Instituto Federal de Acceso a la Información y Protección de Datos, que a la letra dice:</w:t>
      </w:r>
    </w:p>
    <w:p w14:paraId="787A43ED" w14:textId="77777777" w:rsidR="00B81022" w:rsidRPr="004D3AFA" w:rsidRDefault="00B81022" w:rsidP="00B81022">
      <w:pPr>
        <w:pStyle w:val="Prrafodelista"/>
        <w:rPr>
          <w:rFonts w:ascii="Palatino Linotype" w:hAnsi="Palatino Linotype"/>
        </w:rPr>
      </w:pPr>
    </w:p>
    <w:p w14:paraId="058CDA08" w14:textId="77777777" w:rsidR="00B81022" w:rsidRPr="004D3AFA" w:rsidRDefault="00B81022" w:rsidP="00B81022">
      <w:pPr>
        <w:autoSpaceDE w:val="0"/>
        <w:autoSpaceDN w:val="0"/>
        <w:adjustRightInd w:val="0"/>
        <w:spacing w:line="360" w:lineRule="auto"/>
        <w:ind w:left="567" w:right="567"/>
        <w:jc w:val="both"/>
        <w:rPr>
          <w:rFonts w:ascii="Palatino Linotype" w:hAnsi="Palatino Linotype"/>
          <w:i/>
          <w:iCs/>
          <w:sz w:val="22"/>
        </w:rPr>
      </w:pPr>
      <w:r w:rsidRPr="004D3AFA">
        <w:rPr>
          <w:rFonts w:ascii="Palatino Linotype" w:hAnsi="Palatino Linotype"/>
          <w:b/>
          <w:i/>
          <w:iCs/>
          <w:sz w:val="22"/>
        </w:rPr>
        <w:t>El Instituto Federal de Acceso a la Información y Protección de Datos </w:t>
      </w:r>
      <w:r w:rsidRPr="004D3AFA">
        <w:rPr>
          <w:rFonts w:ascii="Palatino Linotype" w:hAnsi="Palatino Linotype"/>
          <w:b/>
          <w:bCs/>
          <w:i/>
          <w:iCs/>
          <w:sz w:val="22"/>
        </w:rPr>
        <w:t>no cuenta con facultades para pronunciarse respecto de la veracidad de los documentos proporcionados por los sujetos obligados.</w:t>
      </w:r>
      <w:r w:rsidRPr="004D3AFA">
        <w:rPr>
          <w:rFonts w:ascii="Palatino Linotype" w:hAnsi="Palatino Linotype"/>
          <w:i/>
          <w:iCs/>
          <w:sz w:val="22"/>
        </w:rPr>
        <w:t xml:space="preserve"> El Instituto Federal de Acceso a la Información y Protección de Datos es un órgano de la Administración Pública Federal con </w:t>
      </w:r>
      <w:r w:rsidRPr="004D3AFA">
        <w:rPr>
          <w:rFonts w:ascii="Palatino Linotype" w:hAnsi="Palatino Linotype"/>
          <w:i/>
          <w:iCs/>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950CFF" w14:textId="77777777" w:rsidR="00B81022" w:rsidRPr="004D3AFA" w:rsidRDefault="00B81022" w:rsidP="00B81022">
      <w:pPr>
        <w:pStyle w:val="Prrafodelista"/>
        <w:spacing w:line="360" w:lineRule="auto"/>
        <w:ind w:left="0"/>
        <w:jc w:val="both"/>
        <w:rPr>
          <w:rFonts w:ascii="Palatino Linotype" w:eastAsia="Calibri" w:hAnsi="Palatino Linotype" w:cs="Arial"/>
        </w:rPr>
      </w:pPr>
    </w:p>
    <w:p w14:paraId="4DC2B321" w14:textId="788E56AE" w:rsidR="00B81022" w:rsidRPr="004D3AFA" w:rsidRDefault="00B81022" w:rsidP="004D3AFA">
      <w:pPr>
        <w:pStyle w:val="Prrafodelista"/>
        <w:numPr>
          <w:ilvl w:val="0"/>
          <w:numId w:val="2"/>
        </w:numPr>
        <w:spacing w:line="360" w:lineRule="auto"/>
        <w:ind w:left="0" w:firstLine="0"/>
        <w:jc w:val="both"/>
      </w:pPr>
      <w:r w:rsidRPr="004D3AFA">
        <w:rPr>
          <w:rFonts w:ascii="Palatino Linotype" w:eastAsia="Calibri" w:hAnsi="Palatino Linotype" w:cs="Arial"/>
        </w:rPr>
        <w:t xml:space="preserve">Asimismo, se hace de conocimiento del RECURRENTE que se dejan a salvo sus derechos para que, si así lo considera, presente una nueva solicitud ante el Sujeto Obligado que de acuerdo a sus atribuciones, competencias  y funciones, cuente con la información que requiere, toda vez que, el Sujeto Obligado que genera, administra y posee la información requerida es el </w:t>
      </w:r>
      <w:r w:rsidR="004D3AFA" w:rsidRPr="004D3AFA">
        <w:rPr>
          <w:rFonts w:ascii="Palatino Linotype" w:eastAsia="Calibri" w:hAnsi="Palatino Linotype" w:cs="Arial"/>
        </w:rPr>
        <w:t>Ayuntamiento de Tianguistenco, porque corresponde a un Sujeto Obligado diverso en materia de transparencia y acceso a la información púbica.</w:t>
      </w:r>
      <w:r w:rsidR="004D3AFA" w:rsidRPr="004D3AFA">
        <w:t xml:space="preserve"> </w:t>
      </w:r>
    </w:p>
    <w:p w14:paraId="0A67EF25" w14:textId="77777777" w:rsidR="00B81022" w:rsidRDefault="00B81022" w:rsidP="00B81022"/>
    <w:p w14:paraId="504E0E52" w14:textId="77777777" w:rsidR="00B81022" w:rsidRPr="00B81022" w:rsidRDefault="00B81022" w:rsidP="00B81022"/>
    <w:p w14:paraId="06016C7B" w14:textId="29A6A19D" w:rsidR="00B81022" w:rsidRPr="00B81022" w:rsidRDefault="00B81022" w:rsidP="00B81022">
      <w:pPr>
        <w:pStyle w:val="Ttulo2"/>
        <w:numPr>
          <w:ilvl w:val="0"/>
          <w:numId w:val="26"/>
        </w:numPr>
        <w:rPr>
          <w:rFonts w:ascii="Palatino Linotype" w:hAnsi="Palatino Linotype"/>
          <w:b/>
          <w:color w:val="auto"/>
          <w:sz w:val="24"/>
        </w:rPr>
      </w:pPr>
      <w:bookmarkStart w:id="34" w:name="_Toc88745511"/>
      <w:r w:rsidRPr="00B81022">
        <w:rPr>
          <w:rFonts w:ascii="Palatino Linotype" w:hAnsi="Palatino Linotype"/>
          <w:b/>
          <w:color w:val="auto"/>
          <w:sz w:val="24"/>
        </w:rPr>
        <w:t>De las versiones públicas.</w:t>
      </w:r>
      <w:bookmarkEnd w:id="34"/>
    </w:p>
    <w:p w14:paraId="140F6EBE" w14:textId="77777777" w:rsidR="005000AA" w:rsidRPr="000E7E4F" w:rsidRDefault="005000AA" w:rsidP="000E7E4F">
      <w:pPr>
        <w:ind w:left="360"/>
        <w:rPr>
          <w:rFonts w:ascii="Palatino Linotype" w:hAnsi="Palatino Linotype"/>
          <w:sz w:val="24"/>
        </w:rPr>
      </w:pPr>
    </w:p>
    <w:p w14:paraId="754240B4" w14:textId="5D1C065B" w:rsidR="00CC29E8" w:rsidRPr="00291D61" w:rsidRDefault="00CC29E8" w:rsidP="00CC29E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91D61">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acceso a la información, siendo que requirió información relativa </w:t>
      </w:r>
      <w:r w:rsidR="00B81022">
        <w:rPr>
          <w:rFonts w:ascii="Palatino Linotype" w:eastAsia="Calibri" w:hAnsi="Palatino Linotype" w:cs="Arial"/>
          <w:sz w:val="24"/>
        </w:rPr>
        <w:t xml:space="preserve">recibos de nómina </w:t>
      </w:r>
      <w:r w:rsidR="00B81022">
        <w:rPr>
          <w:rFonts w:ascii="Palatino Linotype" w:eastAsia="Calibri" w:hAnsi="Palatino Linotype" w:cs="Arial"/>
          <w:sz w:val="24"/>
        </w:rPr>
        <w:lastRenderedPageBreak/>
        <w:t>del Tesorero y del Director, ambos del</w:t>
      </w:r>
      <w:r w:rsidR="00291D61">
        <w:rPr>
          <w:rFonts w:ascii="Palatino Linotype" w:eastAsia="Calibri" w:hAnsi="Palatino Linotype" w:cs="Arial"/>
          <w:sz w:val="24"/>
        </w:rPr>
        <w:t xml:space="preserve"> </w:t>
      </w:r>
      <w:r w:rsidR="00AA12A0" w:rsidRPr="00AA12A0">
        <w:rPr>
          <w:rFonts w:ascii="Palatino Linotype" w:eastAsia="Calibri" w:hAnsi="Palatino Linotype" w:cs="Tahoma"/>
          <w:b/>
          <w:sz w:val="24"/>
          <w:szCs w:val="22"/>
          <w:lang w:eastAsia="en-US"/>
        </w:rPr>
        <w:t>Sistema Municipal Para el Desarrollo Integral de la Familia de Tianguistenco</w:t>
      </w:r>
      <w:r w:rsidR="00291D61">
        <w:rPr>
          <w:rFonts w:ascii="Palatino Linotype" w:eastAsia="Calibri" w:hAnsi="Palatino Linotype" w:cs="Arial"/>
          <w:sz w:val="24"/>
        </w:rPr>
        <w:t>.</w:t>
      </w:r>
    </w:p>
    <w:p w14:paraId="09B92EBB" w14:textId="77777777" w:rsidR="00CC29E8" w:rsidRPr="00291D61" w:rsidRDefault="00CC29E8" w:rsidP="00CC29E8">
      <w:pPr>
        <w:pStyle w:val="Prrafodelista"/>
        <w:tabs>
          <w:tab w:val="left" w:pos="567"/>
        </w:tabs>
        <w:spacing w:line="360" w:lineRule="auto"/>
        <w:ind w:left="0"/>
        <w:jc w:val="both"/>
        <w:rPr>
          <w:rFonts w:ascii="Palatino Linotype" w:eastAsia="Calibri" w:hAnsi="Palatino Linotype" w:cs="Arial"/>
          <w:sz w:val="24"/>
        </w:rPr>
      </w:pPr>
      <w:r w:rsidRPr="00291D61">
        <w:rPr>
          <w:rFonts w:ascii="Palatino Linotype" w:eastAsia="Calibri" w:hAnsi="Palatino Linotype" w:cs="Arial"/>
          <w:sz w:val="24"/>
        </w:rPr>
        <w:t xml:space="preserve"> </w:t>
      </w:r>
    </w:p>
    <w:p w14:paraId="204280CC" w14:textId="784A052A" w:rsidR="00CC29E8" w:rsidRDefault="00CC29E8" w:rsidP="00CC29E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91D61">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la información, tan es así que entregó </w:t>
      </w:r>
      <w:r w:rsidR="00291D61">
        <w:rPr>
          <w:rFonts w:ascii="Palatino Linotype" w:eastAsia="Calibri" w:hAnsi="Palatino Linotype" w:cs="Arial"/>
          <w:sz w:val="24"/>
        </w:rPr>
        <w:t>diversos</w:t>
      </w:r>
      <w:r w:rsidRPr="00291D61">
        <w:rPr>
          <w:rFonts w:ascii="Palatino Linotype" w:eastAsia="Calibri" w:hAnsi="Palatino Linotype" w:cs="Arial"/>
          <w:sz w:val="24"/>
        </w:rPr>
        <w:t xml:space="preserve"> </w:t>
      </w:r>
      <w:r w:rsidR="004D3AFA">
        <w:rPr>
          <w:rFonts w:ascii="Palatino Linotype" w:eastAsia="Calibri" w:hAnsi="Palatino Linotype" w:cs="Arial"/>
          <w:sz w:val="24"/>
        </w:rPr>
        <w:t xml:space="preserve">recibos de nómina </w:t>
      </w:r>
      <w:r w:rsidR="00291D61">
        <w:rPr>
          <w:rFonts w:ascii="Palatino Linotype" w:eastAsia="Calibri" w:hAnsi="Palatino Linotype" w:cs="Arial"/>
          <w:sz w:val="24"/>
        </w:rPr>
        <w:t>en versión pública</w:t>
      </w:r>
      <w:r w:rsidR="004D3AFA">
        <w:rPr>
          <w:rFonts w:ascii="Palatino Linotype" w:eastAsia="Calibri" w:hAnsi="Palatino Linotype" w:cs="Arial"/>
          <w:sz w:val="24"/>
        </w:rPr>
        <w:t>.</w:t>
      </w:r>
    </w:p>
    <w:p w14:paraId="22CA29D2" w14:textId="77777777" w:rsidR="00291D61" w:rsidRPr="00291D61" w:rsidRDefault="00291D61" w:rsidP="00291D61">
      <w:pPr>
        <w:pStyle w:val="Prrafodelista"/>
        <w:rPr>
          <w:rFonts w:ascii="Palatino Linotype" w:eastAsia="Calibri" w:hAnsi="Palatino Linotype" w:cs="Arial"/>
          <w:sz w:val="24"/>
        </w:rPr>
      </w:pPr>
    </w:p>
    <w:p w14:paraId="6119186F" w14:textId="77777777" w:rsidR="00291D61" w:rsidRDefault="00291D61"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Por lo que, el presente asunto en particular se basará únicamente en verificar si las versiones públicas que remitió el Sujeto Obligado se encuentran apegadas a lo que establece la normatividad en materia.</w:t>
      </w:r>
    </w:p>
    <w:p w14:paraId="02466DCB" w14:textId="77777777" w:rsidR="00291D61" w:rsidRPr="00291D61" w:rsidRDefault="00291D61" w:rsidP="00291D61">
      <w:pPr>
        <w:pStyle w:val="Prrafodelista"/>
        <w:rPr>
          <w:rFonts w:ascii="Palatino Linotype" w:hAnsi="Palatino Linotype"/>
          <w:sz w:val="24"/>
          <w:highlight w:val="yellow"/>
          <w:lang w:val="es-ES"/>
        </w:rPr>
      </w:pPr>
    </w:p>
    <w:p w14:paraId="280C3C75" w14:textId="4018E5CA" w:rsidR="00D403A3" w:rsidRPr="00D403A3" w:rsidRDefault="00D403A3"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324E0">
        <w:rPr>
          <w:rFonts w:ascii="Palatino Linotype" w:hAnsi="Palatino Linotype"/>
          <w:sz w:val="24"/>
          <w:lang w:val="es-ES"/>
        </w:rPr>
        <w:t xml:space="preserve">Conforme </w:t>
      </w:r>
      <w:r>
        <w:rPr>
          <w:rFonts w:ascii="Palatino Linotype" w:hAnsi="Palatino Linotype"/>
          <w:sz w:val="24"/>
          <w:lang w:val="es-ES"/>
        </w:rPr>
        <w:t>al acuerdo emitido por el Comité de Transparencia del Sujeto Obligado, se tiene que se clasificó como confidencial la siguiente información:</w:t>
      </w:r>
    </w:p>
    <w:p w14:paraId="163445E2" w14:textId="77777777" w:rsidR="00D403A3" w:rsidRPr="00D403A3" w:rsidRDefault="00D403A3" w:rsidP="00D403A3">
      <w:pPr>
        <w:pStyle w:val="Prrafodelista"/>
        <w:rPr>
          <w:rFonts w:ascii="Palatino Linotype" w:eastAsia="Calibri" w:hAnsi="Palatino Linotype" w:cs="Arial"/>
          <w:sz w:val="24"/>
        </w:rPr>
      </w:pPr>
    </w:p>
    <w:p w14:paraId="5400CFE6" w14:textId="3E362941" w:rsidR="00641C5F" w:rsidRPr="00A15DB7" w:rsidRDefault="00641C5F"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Clave Única de Registro de Población</w:t>
      </w:r>
      <w:r w:rsidR="009850C9" w:rsidRPr="00A15DB7">
        <w:rPr>
          <w:rFonts w:ascii="Palatino Linotype" w:eastAsia="Calibri" w:hAnsi="Palatino Linotype" w:cs="Arial"/>
          <w:sz w:val="24"/>
        </w:rPr>
        <w:t xml:space="preserve"> (CURP)</w:t>
      </w:r>
      <w:r w:rsidRPr="00A15DB7">
        <w:rPr>
          <w:rFonts w:ascii="Palatino Linotype" w:eastAsia="Calibri" w:hAnsi="Palatino Linotype" w:cs="Arial"/>
          <w:sz w:val="24"/>
        </w:rPr>
        <w:t>;</w:t>
      </w:r>
    </w:p>
    <w:p w14:paraId="1BD6E8B4" w14:textId="3E349F4B"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Número de ISSEMyM;</w:t>
      </w:r>
    </w:p>
    <w:p w14:paraId="3D6F9BA0" w14:textId="3A448391"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Registro Federal de Contribuyentes (RFC)</w:t>
      </w:r>
      <w:r w:rsidR="005E512C" w:rsidRPr="00A15DB7">
        <w:rPr>
          <w:rFonts w:ascii="Palatino Linotype" w:eastAsia="Calibri" w:hAnsi="Palatino Linotype" w:cs="Arial"/>
          <w:sz w:val="24"/>
        </w:rPr>
        <w:t>;</w:t>
      </w:r>
    </w:p>
    <w:p w14:paraId="279ADCCE" w14:textId="59FEB119"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lastRenderedPageBreak/>
        <w:t>Firma;</w:t>
      </w:r>
    </w:p>
    <w:p w14:paraId="1ADCED1E" w14:textId="3E402CAD"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Código QR;</w:t>
      </w:r>
    </w:p>
    <w:p w14:paraId="3DD1C299" w14:textId="77777777" w:rsidR="00D403A3" w:rsidRDefault="00D403A3" w:rsidP="00D403A3">
      <w:pPr>
        <w:pStyle w:val="Prrafodelista"/>
        <w:tabs>
          <w:tab w:val="left" w:pos="567"/>
        </w:tabs>
        <w:spacing w:line="360" w:lineRule="auto"/>
        <w:jc w:val="both"/>
        <w:rPr>
          <w:rFonts w:ascii="Palatino Linotype" w:eastAsia="Calibri" w:hAnsi="Palatino Linotype" w:cs="Arial"/>
          <w:sz w:val="24"/>
        </w:rPr>
      </w:pPr>
    </w:p>
    <w:p w14:paraId="380B15C8" w14:textId="19C84289" w:rsidR="00F346C1" w:rsidRPr="009850C9" w:rsidRDefault="001D6F55"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A15DB7">
        <w:rPr>
          <w:rFonts w:ascii="Palatino Linotype" w:hAnsi="Palatino Linotype"/>
          <w:sz w:val="24"/>
          <w:lang w:val="es-ES"/>
        </w:rPr>
        <w:t xml:space="preserve">Los datos personales contenidos en los </w:t>
      </w:r>
      <w:r w:rsidR="004D3AFA">
        <w:rPr>
          <w:rFonts w:ascii="Palatino Linotype" w:hAnsi="Palatino Linotype"/>
          <w:sz w:val="24"/>
          <w:lang w:val="es-ES"/>
        </w:rPr>
        <w:t>recibos de nómina</w:t>
      </w:r>
      <w:r w:rsidRPr="00A15DB7">
        <w:rPr>
          <w:rFonts w:ascii="Palatino Linotype" w:hAnsi="Palatino Linotype"/>
          <w:sz w:val="24"/>
          <w:lang w:val="es-ES"/>
        </w:rPr>
        <w:t xml:space="preserve">, </w:t>
      </w:r>
      <w:r w:rsidR="00F346C1" w:rsidRPr="00A15DB7">
        <w:rPr>
          <w:rFonts w:ascii="Palatino Linotype" w:hAnsi="Palatino Linotype"/>
          <w:sz w:val="24"/>
          <w:lang w:val="es-ES"/>
        </w:rPr>
        <w:t>a dicho por el Sujeto Obligado, identifican o hacen identificables a sus titulares, por lo que, con fundamento en el artículo 143, fracción I de la Ley de Transparencia</w:t>
      </w:r>
      <w:r w:rsidR="00F346C1">
        <w:rPr>
          <w:rFonts w:ascii="Palatino Linotype" w:hAnsi="Palatino Linotype"/>
          <w:sz w:val="24"/>
          <w:lang w:val="es-ES"/>
        </w:rPr>
        <w:t xml:space="preserve"> y Acceso a la Información Públ</w:t>
      </w:r>
      <w:r w:rsidR="00D431F4">
        <w:rPr>
          <w:rFonts w:ascii="Palatino Linotype" w:hAnsi="Palatino Linotype"/>
          <w:sz w:val="24"/>
          <w:lang w:val="es-ES"/>
        </w:rPr>
        <w:t>ica del Estado de M</w:t>
      </w:r>
      <w:r w:rsidR="00512D06">
        <w:rPr>
          <w:rFonts w:ascii="Palatino Linotype" w:hAnsi="Palatino Linotype"/>
          <w:sz w:val="24"/>
          <w:lang w:val="es-ES"/>
        </w:rPr>
        <w:t xml:space="preserve">éxico y Municipios, consecuentemente </w:t>
      </w:r>
      <w:r w:rsidR="009850C9">
        <w:rPr>
          <w:rFonts w:ascii="Palatino Linotype" w:hAnsi="Palatino Linotype"/>
          <w:sz w:val="24"/>
          <w:lang w:val="es-ES"/>
        </w:rPr>
        <w:t>se clasificó como información confidencial.</w:t>
      </w:r>
    </w:p>
    <w:p w14:paraId="2CAD3C3A" w14:textId="77777777" w:rsidR="00F346C1" w:rsidRPr="00F346C1" w:rsidRDefault="00F346C1" w:rsidP="00512D06">
      <w:pPr>
        <w:pStyle w:val="Prrafodelista"/>
        <w:tabs>
          <w:tab w:val="left" w:pos="567"/>
        </w:tabs>
        <w:spacing w:line="360" w:lineRule="auto"/>
        <w:ind w:left="0"/>
        <w:jc w:val="both"/>
        <w:rPr>
          <w:rFonts w:ascii="Palatino Linotype" w:eastAsia="Calibri" w:hAnsi="Palatino Linotype" w:cs="Arial"/>
          <w:sz w:val="24"/>
        </w:rPr>
      </w:pPr>
    </w:p>
    <w:p w14:paraId="4E233CB2" w14:textId="637BF8BC" w:rsidR="009850C9" w:rsidRPr="009850C9" w:rsidRDefault="009850C9"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Al respecto es necesario analizar cada uno de los elementos clasificados como confidenciales, a efecto de verificar si es procedente o, en su caso, determinar si existió un exceso en la clasificación.</w:t>
      </w:r>
    </w:p>
    <w:p w14:paraId="38DC45EB" w14:textId="77777777" w:rsidR="009850C9" w:rsidRPr="009850C9" w:rsidRDefault="009850C9" w:rsidP="009850C9">
      <w:pPr>
        <w:pStyle w:val="Prrafodelista"/>
        <w:rPr>
          <w:rFonts w:ascii="Palatino Linotype" w:hAnsi="Palatino Linotype"/>
          <w:sz w:val="24"/>
          <w:highlight w:val="yellow"/>
          <w:lang w:val="es-ES"/>
        </w:rPr>
      </w:pPr>
    </w:p>
    <w:p w14:paraId="6B7D6A0F" w14:textId="2DCCD5BF" w:rsidR="009850C9" w:rsidRDefault="0065686E" w:rsidP="0065686E">
      <w:pPr>
        <w:pStyle w:val="Ttulo3"/>
        <w:numPr>
          <w:ilvl w:val="1"/>
          <w:numId w:val="3"/>
        </w:numPr>
        <w:ind w:left="993"/>
        <w:rPr>
          <w:rFonts w:ascii="Palatino Linotype" w:hAnsi="Palatino Linotype"/>
          <w:b/>
          <w:color w:val="auto"/>
        </w:rPr>
      </w:pPr>
      <w:bookmarkStart w:id="35" w:name="_Toc86917942"/>
      <w:bookmarkStart w:id="36" w:name="_Toc88745512"/>
      <w:r w:rsidRPr="0065686E">
        <w:rPr>
          <w:rFonts w:ascii="Palatino Linotype" w:hAnsi="Palatino Linotype"/>
          <w:b/>
          <w:color w:val="auto"/>
        </w:rPr>
        <w:t>Clave Única de Registro de Población</w:t>
      </w:r>
      <w:r w:rsidR="001D6F55">
        <w:rPr>
          <w:rFonts w:ascii="Palatino Linotype" w:hAnsi="Palatino Linotype"/>
          <w:b/>
          <w:color w:val="auto"/>
        </w:rPr>
        <w:t xml:space="preserve"> (CURP)</w:t>
      </w:r>
      <w:r>
        <w:rPr>
          <w:rFonts w:ascii="Palatino Linotype" w:hAnsi="Palatino Linotype"/>
          <w:b/>
          <w:color w:val="auto"/>
        </w:rPr>
        <w:t>.</w:t>
      </w:r>
      <w:bookmarkEnd w:id="35"/>
      <w:bookmarkEnd w:id="36"/>
    </w:p>
    <w:p w14:paraId="428E198A" w14:textId="77777777" w:rsidR="0065686E" w:rsidRPr="0065686E" w:rsidRDefault="0065686E" w:rsidP="0065686E">
      <w:pPr>
        <w:rPr>
          <w:lang w:val="es-ES_tradnl"/>
        </w:rPr>
      </w:pPr>
    </w:p>
    <w:p w14:paraId="682C1236" w14:textId="77777777" w:rsidR="0065686E" w:rsidRPr="0065686E" w:rsidRDefault="0065686E" w:rsidP="0065686E">
      <w:pPr>
        <w:rPr>
          <w:rFonts w:eastAsia="Calibri"/>
          <w:lang w:val="es-ES_tradnl"/>
        </w:rPr>
      </w:pPr>
    </w:p>
    <w:p w14:paraId="33461A50"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236C45E8" w14:textId="77777777" w:rsidR="0065686E" w:rsidRPr="00B9068E" w:rsidRDefault="0065686E" w:rsidP="0065686E">
      <w:pPr>
        <w:tabs>
          <w:tab w:val="left" w:pos="851"/>
        </w:tabs>
        <w:spacing w:line="360" w:lineRule="auto"/>
        <w:ind w:right="49"/>
        <w:contextualSpacing/>
        <w:jc w:val="both"/>
        <w:rPr>
          <w:rFonts w:ascii="Palatino Linotype" w:eastAsia="MS Mincho" w:hAnsi="Palatino Linotype" w:cs="Arial"/>
          <w:iCs/>
        </w:rPr>
      </w:pPr>
      <w:r w:rsidRPr="00B9068E">
        <w:rPr>
          <w:noProof/>
          <w:lang w:eastAsia="es-MX"/>
        </w:rPr>
        <w:lastRenderedPageBreak/>
        <w:drawing>
          <wp:inline distT="0" distB="0" distL="0" distR="0" wp14:anchorId="09C41FBF" wp14:editId="44029929">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0BC29CC4" w14:textId="77777777" w:rsidR="0065686E" w:rsidRPr="00B9068E" w:rsidRDefault="0065686E" w:rsidP="0065686E">
      <w:pPr>
        <w:tabs>
          <w:tab w:val="left" w:pos="851"/>
        </w:tabs>
        <w:spacing w:line="360" w:lineRule="auto"/>
        <w:ind w:right="49"/>
        <w:contextualSpacing/>
        <w:jc w:val="both"/>
        <w:rPr>
          <w:rFonts w:ascii="Palatino Linotype" w:eastAsia="MS Mincho" w:hAnsi="Palatino Linotype" w:cs="Arial"/>
          <w:iCs/>
        </w:rPr>
      </w:pPr>
    </w:p>
    <w:p w14:paraId="4404C99E"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06B79801" w14:textId="77777777" w:rsidR="0065686E" w:rsidRPr="0065686E" w:rsidRDefault="0065686E" w:rsidP="0065686E">
      <w:pPr>
        <w:tabs>
          <w:tab w:val="left" w:pos="0"/>
          <w:tab w:val="left" w:pos="426"/>
        </w:tabs>
        <w:spacing w:line="360" w:lineRule="auto"/>
        <w:ind w:right="49"/>
        <w:contextualSpacing/>
        <w:jc w:val="both"/>
        <w:rPr>
          <w:rFonts w:ascii="Palatino Linotype" w:eastAsia="MS Mincho" w:hAnsi="Palatino Linotype" w:cs="Arial"/>
          <w:iCs/>
          <w:sz w:val="22"/>
        </w:rPr>
      </w:pPr>
    </w:p>
    <w:p w14:paraId="4C4F1D87"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lastRenderedPageBreak/>
        <w:t xml:space="preserve">Entre las características de la CURP, se encuentra: </w:t>
      </w:r>
    </w:p>
    <w:p w14:paraId="122CA29B" w14:textId="77777777" w:rsidR="0065686E" w:rsidRPr="00B9068E" w:rsidRDefault="0065686E" w:rsidP="0065686E">
      <w:pPr>
        <w:tabs>
          <w:tab w:val="left" w:pos="0"/>
          <w:tab w:val="left" w:pos="426"/>
        </w:tabs>
        <w:spacing w:line="360" w:lineRule="auto"/>
        <w:ind w:right="49"/>
        <w:contextualSpacing/>
        <w:jc w:val="both"/>
        <w:rPr>
          <w:rFonts w:ascii="Palatino Linotype" w:eastAsia="MS Mincho" w:hAnsi="Palatino Linotype" w:cs="Arial"/>
          <w:iCs/>
        </w:rPr>
      </w:pPr>
    </w:p>
    <w:p w14:paraId="5566D0A0"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Composición. </w:t>
      </w:r>
      <w:r w:rsidRPr="0065686E">
        <w:rPr>
          <w:rFonts w:ascii="Palatino Linotype" w:eastAsia="MS Mincho" w:hAnsi="Palatino Linotype" w:cs="Arial"/>
          <w:iCs/>
          <w:sz w:val="22"/>
        </w:rPr>
        <w:t>Alfanumérica.</w:t>
      </w:r>
    </w:p>
    <w:p w14:paraId="645E6C6E"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Longitud. </w:t>
      </w:r>
      <w:r w:rsidRPr="0065686E">
        <w:rPr>
          <w:rFonts w:ascii="Palatino Linotype" w:eastAsia="MS Mincho" w:hAnsi="Palatino Linotype" w:cs="Arial"/>
          <w:iCs/>
          <w:sz w:val="22"/>
        </w:rPr>
        <w:t xml:space="preserve"> 18 caracteres.</w:t>
      </w:r>
    </w:p>
    <w:p w14:paraId="15729DCB"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Naturaleza. </w:t>
      </w:r>
      <w:r w:rsidRPr="0065686E">
        <w:rPr>
          <w:rFonts w:ascii="Palatino Linotype" w:eastAsia="MS Mincho" w:hAnsi="Palatino Linotype" w:cs="Arial"/>
          <w:iCs/>
          <w:sz w:val="22"/>
        </w:rPr>
        <w:t>Biunívoca.</w:t>
      </w:r>
    </w:p>
    <w:p w14:paraId="691C2273"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Universalidad. </w:t>
      </w:r>
      <w:r w:rsidRPr="0065686E">
        <w:rPr>
          <w:rFonts w:ascii="Palatino Linotype" w:eastAsia="MS Mincho" w:hAnsi="Palatino Linotype" w:cs="Arial"/>
          <w:iCs/>
          <w:sz w:val="22"/>
        </w:rPr>
        <w:t>Se asigna a todas las personas que conforman la población.</w:t>
      </w:r>
    </w:p>
    <w:p w14:paraId="77628E55"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65686E">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1AFB5D0D" w14:textId="77777777" w:rsidR="0065686E" w:rsidRPr="00B9068E" w:rsidRDefault="0065686E" w:rsidP="0065686E">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382D6D1A"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sz w:val="24"/>
        </w:rPr>
      </w:pPr>
      <w:r w:rsidRPr="0065686E">
        <w:rPr>
          <w:rFonts w:ascii="Palatino Linotype" w:eastAsia="MS Mincho" w:hAnsi="Palatino Linotype" w:cs="Arial"/>
          <w:iCs/>
          <w:sz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41BF4CD2" w14:textId="77777777" w:rsidR="0065686E" w:rsidRPr="0065686E" w:rsidRDefault="0065686E" w:rsidP="0065686E">
      <w:pPr>
        <w:tabs>
          <w:tab w:val="left" w:pos="0"/>
          <w:tab w:val="left" w:pos="426"/>
        </w:tabs>
        <w:spacing w:line="360" w:lineRule="auto"/>
        <w:ind w:right="49"/>
        <w:contextualSpacing/>
        <w:jc w:val="both"/>
        <w:rPr>
          <w:rFonts w:ascii="Palatino Linotype" w:eastAsia="MS Mincho" w:hAnsi="Palatino Linotype" w:cs="Arial"/>
          <w:i/>
          <w:sz w:val="22"/>
        </w:rPr>
      </w:pPr>
    </w:p>
    <w:p w14:paraId="62F2EDFA"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Es entonces que, de lo anterior, se desprende que la Clave Única de Registro de Población es un dato personal confidencial, ya que por sí releva información personal de su titular, y su exposición únicamente vulneraría la esfera privada del mismo, </w:t>
      </w:r>
      <w:r w:rsidRPr="0065686E">
        <w:rPr>
          <w:rFonts w:ascii="Palatino Linotype" w:eastAsia="MS Mincho" w:hAnsi="Palatino Linotype" w:cs="Arial"/>
          <w:iCs/>
          <w:sz w:val="24"/>
        </w:rPr>
        <w:lastRenderedPageBreak/>
        <w:t>aunado a que no guarda relación con el desempeño profesional o laboral de un individuo ni con el ejercicio de recursos públicos.</w:t>
      </w:r>
    </w:p>
    <w:p w14:paraId="1CA079EC" w14:textId="77777777" w:rsidR="0065686E" w:rsidRPr="0065686E" w:rsidRDefault="0065686E" w:rsidP="0065686E">
      <w:pPr>
        <w:pStyle w:val="Prrafodelista"/>
        <w:tabs>
          <w:tab w:val="left" w:pos="0"/>
          <w:tab w:val="left" w:pos="426"/>
        </w:tabs>
        <w:spacing w:line="360" w:lineRule="auto"/>
        <w:ind w:left="0" w:right="49"/>
        <w:jc w:val="both"/>
        <w:rPr>
          <w:rFonts w:ascii="Palatino Linotype" w:eastAsia="MS Mincho" w:hAnsi="Palatino Linotype" w:cs="Arial"/>
          <w:iCs/>
          <w:sz w:val="24"/>
        </w:rPr>
      </w:pPr>
    </w:p>
    <w:p w14:paraId="53720E00"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Ante ello, resulta aplicable el Criterio 18/17 emitido por el Instituto Nacional de Transparencia, Acceso a la Información y Protección de Datos Personales, que a la literalidad señala: </w:t>
      </w:r>
    </w:p>
    <w:p w14:paraId="599009D7" w14:textId="77777777" w:rsidR="0065686E" w:rsidRPr="00B9068E" w:rsidRDefault="0065686E" w:rsidP="0065686E">
      <w:pPr>
        <w:pStyle w:val="Prrafodelista"/>
        <w:spacing w:line="360" w:lineRule="auto"/>
        <w:ind w:left="567" w:right="616"/>
        <w:rPr>
          <w:rFonts w:ascii="Palatino Linotype" w:eastAsia="MS Mincho" w:hAnsi="Palatino Linotype" w:cs="Arial"/>
          <w:i/>
          <w:iCs/>
        </w:rPr>
      </w:pPr>
    </w:p>
    <w:p w14:paraId="3B27A60D" w14:textId="05D64FE8" w:rsidR="0065686E" w:rsidRDefault="0065686E" w:rsidP="0065686E">
      <w:pPr>
        <w:pStyle w:val="Prrafodelista"/>
        <w:tabs>
          <w:tab w:val="left" w:pos="567"/>
        </w:tabs>
        <w:spacing w:line="360" w:lineRule="auto"/>
        <w:ind w:left="567" w:right="822"/>
        <w:jc w:val="both"/>
        <w:rPr>
          <w:rFonts w:ascii="Palatino Linotype" w:eastAsia="Calibri" w:hAnsi="Palatino Linotype" w:cs="Arial"/>
          <w:sz w:val="24"/>
        </w:rPr>
      </w:pPr>
      <w:r w:rsidRPr="00B9068E">
        <w:rPr>
          <w:rFonts w:ascii="Palatino Linotype" w:eastAsia="Calibri" w:hAnsi="Palatino Linotype" w:cs="Tahoma"/>
          <w:i/>
          <w:iCs/>
        </w:rPr>
        <w:t>“</w:t>
      </w:r>
      <w:r w:rsidRPr="00B9068E">
        <w:rPr>
          <w:rFonts w:ascii="Palatino Linotype" w:eastAsia="Calibri" w:hAnsi="Palatino Linotype" w:cs="Tahoma"/>
          <w:b/>
          <w:bCs/>
          <w:i/>
          <w:iCs/>
        </w:rPr>
        <w:t xml:space="preserve">Clave Única de Registro de Población (CURP). </w:t>
      </w:r>
      <w:r w:rsidRPr="00B9068E">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7B1A1936" w14:textId="77777777" w:rsidR="0065686E" w:rsidRDefault="0065686E" w:rsidP="0065686E">
      <w:pPr>
        <w:pStyle w:val="Prrafodelista"/>
        <w:tabs>
          <w:tab w:val="left" w:pos="567"/>
        </w:tabs>
        <w:spacing w:line="360" w:lineRule="auto"/>
        <w:ind w:left="0"/>
        <w:jc w:val="both"/>
        <w:rPr>
          <w:rFonts w:ascii="Palatino Linotype" w:eastAsia="Calibri" w:hAnsi="Palatino Linotype" w:cs="Arial"/>
          <w:sz w:val="24"/>
        </w:rPr>
      </w:pPr>
    </w:p>
    <w:p w14:paraId="61168901" w14:textId="19D7D9C8" w:rsidR="0092411C" w:rsidRPr="0092411C" w:rsidRDefault="0092411C" w:rsidP="0092411C">
      <w:pPr>
        <w:pStyle w:val="Ttulo3"/>
        <w:rPr>
          <w:rFonts w:ascii="Palatino Linotype" w:hAnsi="Palatino Linotype"/>
          <w:b/>
          <w:color w:val="auto"/>
        </w:rPr>
      </w:pPr>
      <w:bookmarkStart w:id="37" w:name="_Toc86917943"/>
      <w:bookmarkStart w:id="38" w:name="_Toc88745513"/>
      <w:r w:rsidRPr="0092411C">
        <w:rPr>
          <w:rFonts w:ascii="Palatino Linotype" w:hAnsi="Palatino Linotype"/>
          <w:b/>
          <w:color w:val="auto"/>
        </w:rPr>
        <w:t>II. Clave ISSEMyM</w:t>
      </w:r>
      <w:bookmarkEnd w:id="37"/>
      <w:bookmarkEnd w:id="38"/>
    </w:p>
    <w:p w14:paraId="600779C8" w14:textId="77777777" w:rsidR="0092411C" w:rsidRDefault="0092411C" w:rsidP="0092411C">
      <w:pPr>
        <w:rPr>
          <w:rFonts w:eastAsia="Calibri"/>
          <w:lang w:val="es-ES_tradnl"/>
        </w:rPr>
      </w:pPr>
    </w:p>
    <w:p w14:paraId="0689F4D6" w14:textId="77777777" w:rsidR="00A15DB7" w:rsidRPr="0092411C" w:rsidRDefault="00A15DB7" w:rsidP="0092411C">
      <w:pPr>
        <w:rPr>
          <w:rFonts w:eastAsia="Calibri"/>
          <w:lang w:val="es-ES_tradnl"/>
        </w:rPr>
      </w:pPr>
    </w:p>
    <w:p w14:paraId="4C0C60E2" w14:textId="68785235" w:rsidR="0092411C" w:rsidRPr="0092411C" w:rsidRDefault="0092411C" w:rsidP="0092411C">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iCs/>
          <w:sz w:val="24"/>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E00CDA7" w14:textId="77777777" w:rsidR="0092411C" w:rsidRPr="0092411C" w:rsidRDefault="0092411C" w:rsidP="0092411C">
      <w:pPr>
        <w:pStyle w:val="Prrafodelista"/>
        <w:spacing w:line="360" w:lineRule="auto"/>
        <w:ind w:left="0"/>
        <w:jc w:val="both"/>
        <w:rPr>
          <w:rFonts w:ascii="Palatino Linotype" w:hAnsi="Palatino Linotype" w:cs="Tahoma"/>
          <w:bCs/>
          <w:sz w:val="24"/>
          <w:szCs w:val="22"/>
        </w:rPr>
      </w:pPr>
    </w:p>
    <w:p w14:paraId="62976DF9" w14:textId="77777777" w:rsidR="0092411C" w:rsidRPr="0092411C" w:rsidRDefault="0092411C" w:rsidP="0092411C">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sz w:val="24"/>
          <w:szCs w:val="22"/>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E98935C" w14:textId="77777777" w:rsidR="0092411C" w:rsidRPr="0092411C" w:rsidRDefault="0092411C" w:rsidP="0092411C">
      <w:pPr>
        <w:pStyle w:val="Prrafodelista"/>
        <w:rPr>
          <w:rFonts w:ascii="Palatino Linotype" w:hAnsi="Palatino Linotype" w:cs="Tahoma"/>
          <w:bCs/>
          <w:sz w:val="24"/>
          <w:szCs w:val="22"/>
        </w:rPr>
      </w:pPr>
    </w:p>
    <w:p w14:paraId="7683656D" w14:textId="77777777" w:rsidR="0092411C" w:rsidRDefault="0092411C" w:rsidP="0092411C">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sz w:val="24"/>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89C2A5D" w14:textId="77777777" w:rsidR="001D6F55" w:rsidRPr="001D6F55" w:rsidRDefault="001D6F55" w:rsidP="001D6F55">
      <w:pPr>
        <w:pStyle w:val="Prrafodelista"/>
        <w:rPr>
          <w:rFonts w:ascii="Palatino Linotype" w:hAnsi="Palatino Linotype" w:cs="Tahoma"/>
          <w:bCs/>
          <w:sz w:val="24"/>
          <w:szCs w:val="22"/>
        </w:rPr>
      </w:pPr>
    </w:p>
    <w:p w14:paraId="6BE2D898" w14:textId="77777777" w:rsidR="001D6F55" w:rsidRDefault="001D6F55" w:rsidP="001D6F55">
      <w:pPr>
        <w:pStyle w:val="Prrafodelista"/>
        <w:spacing w:line="360" w:lineRule="auto"/>
        <w:ind w:left="0"/>
        <w:jc w:val="both"/>
        <w:rPr>
          <w:rFonts w:ascii="Palatino Linotype" w:hAnsi="Palatino Linotype" w:cs="Tahoma"/>
          <w:bCs/>
          <w:sz w:val="24"/>
          <w:szCs w:val="22"/>
        </w:rPr>
      </w:pPr>
    </w:p>
    <w:p w14:paraId="52AEA916" w14:textId="77777777" w:rsidR="001D6F55" w:rsidRPr="0092411C" w:rsidRDefault="001D6F55" w:rsidP="001D6F55">
      <w:pPr>
        <w:pStyle w:val="Prrafodelista"/>
        <w:spacing w:line="360" w:lineRule="auto"/>
        <w:ind w:left="0"/>
        <w:jc w:val="both"/>
        <w:rPr>
          <w:rFonts w:ascii="Palatino Linotype" w:hAnsi="Palatino Linotype" w:cs="Tahoma"/>
          <w:bCs/>
          <w:sz w:val="24"/>
          <w:szCs w:val="22"/>
        </w:rPr>
      </w:pPr>
    </w:p>
    <w:p w14:paraId="4DA49C90" w14:textId="5285F3AF" w:rsidR="005E512C" w:rsidRPr="004D3AFA" w:rsidRDefault="003007B1" w:rsidP="005E512C">
      <w:pPr>
        <w:pStyle w:val="Ttulo3"/>
        <w:rPr>
          <w:rFonts w:ascii="Palatino Linotype" w:hAnsi="Palatino Linotype" w:cs="Tahoma"/>
          <w:bCs/>
          <w:i/>
          <w:szCs w:val="22"/>
        </w:rPr>
      </w:pPr>
      <w:bookmarkStart w:id="39" w:name="_Toc86917944"/>
      <w:bookmarkStart w:id="40" w:name="_Toc88745514"/>
      <w:r w:rsidRPr="003007B1">
        <w:rPr>
          <w:rFonts w:ascii="Palatino Linotype" w:hAnsi="Palatino Linotype"/>
          <w:b/>
          <w:color w:val="auto"/>
        </w:rPr>
        <w:lastRenderedPageBreak/>
        <w:t xml:space="preserve">III. </w:t>
      </w:r>
      <w:bookmarkStart w:id="41" w:name="_Toc86917945"/>
      <w:bookmarkEnd w:id="39"/>
      <w:r w:rsidR="005E512C" w:rsidRPr="005E512C">
        <w:rPr>
          <w:rFonts w:ascii="Palatino Linotype" w:hAnsi="Palatino Linotype"/>
          <w:b/>
          <w:color w:val="auto"/>
        </w:rPr>
        <w:t>Registro Federal de Contribuyentes (RFC)</w:t>
      </w:r>
      <w:bookmarkEnd w:id="40"/>
      <w:bookmarkEnd w:id="41"/>
    </w:p>
    <w:p w14:paraId="56A693B7" w14:textId="77777777" w:rsidR="005E512C" w:rsidRPr="005E512C" w:rsidRDefault="005E512C" w:rsidP="005E512C">
      <w:pPr>
        <w:rPr>
          <w:lang w:val="es-ES_tradnl"/>
        </w:rPr>
      </w:pPr>
    </w:p>
    <w:p w14:paraId="7E99E0D6" w14:textId="0F36E7EA"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0535C5D" w14:textId="77777777" w:rsidR="005E512C" w:rsidRPr="00A15DB7" w:rsidRDefault="005E512C" w:rsidP="005E512C">
      <w:pPr>
        <w:pStyle w:val="Prrafodelista"/>
        <w:spacing w:line="360" w:lineRule="auto"/>
        <w:ind w:left="0"/>
        <w:jc w:val="both"/>
        <w:rPr>
          <w:rFonts w:ascii="Palatino Linotype" w:hAnsi="Palatino Linotype" w:cs="Tahoma"/>
          <w:sz w:val="24"/>
          <w:lang w:eastAsia="es-MX"/>
        </w:rPr>
      </w:pPr>
    </w:p>
    <w:p w14:paraId="490B47E8" w14:textId="77777777"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0D26D51" w14:textId="77777777" w:rsidR="005E512C" w:rsidRPr="00A15DB7" w:rsidRDefault="005E512C" w:rsidP="005E512C">
      <w:pPr>
        <w:pStyle w:val="Prrafodelista"/>
        <w:spacing w:line="360" w:lineRule="auto"/>
        <w:rPr>
          <w:rFonts w:ascii="Palatino Linotype" w:hAnsi="Palatino Linotype" w:cs="Tahoma"/>
          <w:sz w:val="24"/>
          <w:lang w:eastAsia="es-MX"/>
        </w:rPr>
      </w:pPr>
    </w:p>
    <w:p w14:paraId="33B894B1" w14:textId="77777777"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B2D2317" w14:textId="77777777" w:rsidR="005E512C" w:rsidRPr="00A15DB7" w:rsidRDefault="005E512C" w:rsidP="005E512C">
      <w:pPr>
        <w:pStyle w:val="Prrafodelista"/>
        <w:spacing w:line="360" w:lineRule="auto"/>
        <w:rPr>
          <w:rFonts w:ascii="Palatino Linotype" w:hAnsi="Palatino Linotype" w:cs="Tahoma"/>
          <w:sz w:val="24"/>
          <w:lang w:eastAsia="es-MX"/>
        </w:rPr>
      </w:pPr>
    </w:p>
    <w:p w14:paraId="1DA80C90" w14:textId="77777777"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 xml:space="preserve">Conforme a lo expuesto, el Registro Federal de Contribuyentes, es un dato personal, ya que hace a las personas físicas identificas e identificables, además de que </w:t>
      </w:r>
      <w:r w:rsidRPr="00A15DB7">
        <w:rPr>
          <w:rFonts w:ascii="Palatino Linotype" w:hAnsi="Palatino Linotype" w:cs="Tahoma"/>
          <w:sz w:val="24"/>
          <w:lang w:eastAsia="es-MX"/>
        </w:rPr>
        <w:lastRenderedPageBreak/>
        <w:t>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52F6B6AB" w14:textId="77777777" w:rsidR="005E512C" w:rsidRPr="001521F1" w:rsidRDefault="005E512C" w:rsidP="005E512C">
      <w:pPr>
        <w:pStyle w:val="Prrafodelista"/>
        <w:spacing w:line="360" w:lineRule="auto"/>
        <w:rPr>
          <w:rFonts w:ascii="Palatino Linotype" w:hAnsi="Palatino Linotype" w:cs="Tahoma"/>
          <w:lang w:eastAsia="es-MX"/>
        </w:rPr>
      </w:pPr>
    </w:p>
    <w:p w14:paraId="5DCAAD77" w14:textId="77777777"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eastAsiaTheme="minorHAnsi" w:hAnsi="Palatino Linotype" w:cs="Tahoma"/>
          <w:bCs/>
          <w:sz w:val="24"/>
          <w:lang w:eastAsia="es-MX"/>
        </w:rPr>
        <w:t>Lo anterior, resulta congruente con el Criterio 19/17 emitido por el Instituto Nacional de Transparencia, Acceso a la Información y Protección de Datos Personales, en el cual se señala lo siguiente:</w:t>
      </w:r>
    </w:p>
    <w:p w14:paraId="436D84EC" w14:textId="77777777" w:rsidR="005E512C" w:rsidRPr="00A15DB7" w:rsidRDefault="005E512C" w:rsidP="005E512C">
      <w:pPr>
        <w:spacing w:line="360" w:lineRule="auto"/>
        <w:contextualSpacing/>
        <w:jc w:val="both"/>
        <w:rPr>
          <w:rFonts w:ascii="Palatino Linotype" w:hAnsi="Palatino Linotype" w:cs="Tahoma"/>
          <w:sz w:val="22"/>
          <w:lang w:eastAsia="es-MX"/>
        </w:rPr>
      </w:pPr>
    </w:p>
    <w:p w14:paraId="5B9131A4" w14:textId="77777777" w:rsidR="005E512C" w:rsidRPr="00A15DB7" w:rsidRDefault="005E512C" w:rsidP="005E512C">
      <w:pPr>
        <w:spacing w:line="360" w:lineRule="auto"/>
        <w:ind w:left="567"/>
        <w:jc w:val="both"/>
        <w:rPr>
          <w:rFonts w:ascii="Palatino Linotype" w:hAnsi="Palatino Linotype" w:cs="Tahoma"/>
          <w:b/>
          <w:i/>
          <w:sz w:val="22"/>
          <w:lang w:eastAsia="es-MX"/>
        </w:rPr>
      </w:pPr>
      <w:r w:rsidRPr="00A15DB7">
        <w:rPr>
          <w:rFonts w:ascii="Palatino Linotype" w:hAnsi="Palatino Linotype"/>
          <w:b/>
          <w:i/>
          <w:sz w:val="22"/>
        </w:rPr>
        <w:t xml:space="preserve">Registro Federal de Contribuyentes (RFC) de personas físicas. </w:t>
      </w:r>
    </w:p>
    <w:p w14:paraId="6C2A4D99" w14:textId="77777777" w:rsidR="005E512C" w:rsidRPr="00A15DB7" w:rsidRDefault="005E512C" w:rsidP="005E512C">
      <w:pPr>
        <w:pStyle w:val="Prrafodelista"/>
        <w:spacing w:line="360" w:lineRule="auto"/>
        <w:ind w:left="567" w:right="567"/>
        <w:jc w:val="both"/>
        <w:rPr>
          <w:rFonts w:ascii="Palatino Linotype" w:hAnsi="Palatino Linotype" w:cs="Tahoma"/>
          <w:i/>
        </w:rPr>
      </w:pPr>
      <w:r w:rsidRPr="00A15DB7">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2DEFCB70" w14:textId="77777777" w:rsidR="005E512C" w:rsidRPr="001521F1" w:rsidRDefault="005E512C" w:rsidP="005E512C">
      <w:pPr>
        <w:pStyle w:val="Prrafodelista"/>
        <w:spacing w:line="360" w:lineRule="auto"/>
        <w:ind w:left="567" w:right="567"/>
        <w:jc w:val="both"/>
        <w:rPr>
          <w:rFonts w:ascii="Palatino Linotype" w:hAnsi="Palatino Linotype" w:cs="Tahoma"/>
        </w:rPr>
      </w:pPr>
    </w:p>
    <w:p w14:paraId="635C4E0B" w14:textId="55BFFEEE"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b/>
          <w:sz w:val="24"/>
          <w:lang w:eastAsia="es-MX"/>
        </w:rPr>
        <w:t>De tal suerte, el Registro Federal de Contribuyentes de las personas físicas no guarda relación con la transparencia de los recursos públicos</w:t>
      </w:r>
      <w:r w:rsidRPr="00A15DB7">
        <w:rPr>
          <w:rFonts w:ascii="Palatino Linotype" w:hAnsi="Palatino Linotype" w:cs="Tahoma"/>
          <w:sz w:val="24"/>
          <w:lang w:eastAsia="es-MX"/>
        </w:rPr>
        <w:t>, así como tampoco con el desempeño labor</w:t>
      </w:r>
      <w:r w:rsidR="00F77E2E" w:rsidRPr="00A15DB7">
        <w:rPr>
          <w:rFonts w:ascii="Palatino Linotype" w:hAnsi="Palatino Linotype" w:cs="Tahoma"/>
          <w:sz w:val="24"/>
          <w:lang w:eastAsia="es-MX"/>
        </w:rPr>
        <w:t>al que pueda tener una persona.</w:t>
      </w:r>
    </w:p>
    <w:p w14:paraId="3288C0A8" w14:textId="77777777" w:rsidR="00E71D9C" w:rsidRDefault="00E71D9C" w:rsidP="005E512C">
      <w:pPr>
        <w:pStyle w:val="Prrafodelista"/>
        <w:spacing w:line="360" w:lineRule="auto"/>
        <w:ind w:left="0"/>
        <w:jc w:val="both"/>
        <w:rPr>
          <w:rFonts w:ascii="Palatino Linotype" w:hAnsi="Palatino Linotype" w:cs="Tahoma"/>
          <w:bCs/>
          <w:szCs w:val="22"/>
        </w:rPr>
      </w:pPr>
    </w:p>
    <w:p w14:paraId="7280816D" w14:textId="489DD8BE" w:rsidR="008E3CA2" w:rsidRPr="008E3CA2" w:rsidRDefault="00C6784C" w:rsidP="008E3CA2">
      <w:pPr>
        <w:pStyle w:val="Ttulo3"/>
        <w:rPr>
          <w:rFonts w:ascii="Palatino Linotype" w:hAnsi="Palatino Linotype"/>
          <w:b/>
          <w:color w:val="auto"/>
        </w:rPr>
      </w:pPr>
      <w:bookmarkStart w:id="42" w:name="_Toc86917947"/>
      <w:bookmarkStart w:id="43" w:name="_Toc88745515"/>
      <w:r>
        <w:rPr>
          <w:rFonts w:ascii="Palatino Linotype" w:hAnsi="Palatino Linotype"/>
          <w:b/>
          <w:color w:val="auto"/>
        </w:rPr>
        <w:t>I</w:t>
      </w:r>
      <w:r w:rsidR="008E3CA2" w:rsidRPr="008E3CA2">
        <w:rPr>
          <w:rFonts w:ascii="Palatino Linotype" w:hAnsi="Palatino Linotype"/>
          <w:b/>
          <w:color w:val="auto"/>
        </w:rPr>
        <w:t>V. CÓDIGO QR</w:t>
      </w:r>
      <w:bookmarkEnd w:id="42"/>
      <w:bookmarkEnd w:id="43"/>
    </w:p>
    <w:p w14:paraId="2A059E19" w14:textId="77777777" w:rsidR="008E3CA2" w:rsidRPr="008E3CA2" w:rsidRDefault="008E3CA2" w:rsidP="008E3CA2">
      <w:pPr>
        <w:pStyle w:val="Prrafodelista"/>
        <w:rPr>
          <w:rFonts w:ascii="Palatino Linotype" w:hAnsi="Palatino Linotype" w:cs="Tahoma"/>
          <w:bCs/>
          <w:szCs w:val="22"/>
        </w:rPr>
      </w:pPr>
    </w:p>
    <w:p w14:paraId="7FD35049" w14:textId="77777777" w:rsidR="008E3CA2" w:rsidRDefault="008E3CA2" w:rsidP="008E3CA2">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En principio, resulta necesario señalar que los comprobantes fiscales digitales por Internet, deben de incluir un código bidimensional conforme al formato </w:t>
      </w:r>
      <w:r w:rsidRPr="00A15DB7">
        <w:rPr>
          <w:rFonts w:ascii="Palatino Linotype" w:hAnsi="Palatino Linotype" w:cs="Tahoma"/>
          <w:bCs/>
          <w:i/>
          <w:sz w:val="24"/>
          <w:szCs w:val="22"/>
        </w:rPr>
        <w:t>QR Code (Quick Response Code)</w:t>
      </w:r>
      <w:r w:rsidRPr="00A15DB7">
        <w:rPr>
          <w:rFonts w:ascii="Palatino Linotype" w:hAnsi="Palatino Linotype" w:cs="Tahoma"/>
          <w:bCs/>
          <w:sz w:val="24"/>
          <w:szCs w:val="22"/>
        </w:rPr>
        <w:t xml:space="preserve">, el cual contiene el Registro Federal de Contribuyentes del </w:t>
      </w:r>
      <w:r w:rsidRPr="00A15DB7">
        <w:rPr>
          <w:rFonts w:ascii="Palatino Linotype" w:hAnsi="Palatino Linotype" w:cs="Tahoma"/>
          <w:bCs/>
          <w:sz w:val="24"/>
          <w:szCs w:val="22"/>
        </w:rPr>
        <w:lastRenderedPageBreak/>
        <w:t xml:space="preserve">receptor, del emisor, o de ambos; lo anterior, conforme al Anexo 20 de la Segunda Resolución de modificación a la Resolución Miscelánea Fiscal para el 2017, localizada en la página electrónica  </w:t>
      </w:r>
      <w:hyperlink r:id="rId15" w:history="1">
        <w:r w:rsidRPr="00A15DB7">
          <w:rPr>
            <w:rStyle w:val="Hipervnculo"/>
            <w:rFonts w:ascii="Palatino Linotype" w:hAnsi="Palatino Linotype" w:cs="Tahoma"/>
            <w:bCs/>
            <w:sz w:val="24"/>
            <w:szCs w:val="22"/>
          </w:rPr>
          <w:t>http://dof.gob.mx/nota_detalle.php?codigo=5492254&amp;fecha=28/07/2017</w:t>
        </w:r>
      </w:hyperlink>
      <w:r w:rsidRPr="00A15DB7">
        <w:rPr>
          <w:rFonts w:ascii="Palatino Linotype" w:hAnsi="Palatino Linotype" w:cs="Tahoma"/>
          <w:bCs/>
          <w:sz w:val="24"/>
          <w:szCs w:val="22"/>
        </w:rPr>
        <w:t>. Incluso con la captura de dicho código, a través de la aplicación móvil del Servicio de Administración Tributaria, permite el acceso al Registro Federal de Contribuyentes, como del Sujeto Obligado, como de los servidores públicos.</w:t>
      </w:r>
    </w:p>
    <w:p w14:paraId="22CC24FD" w14:textId="77777777" w:rsidR="003419BA" w:rsidRDefault="003419BA" w:rsidP="003419BA">
      <w:pPr>
        <w:pStyle w:val="Prrafodelista"/>
        <w:spacing w:line="360" w:lineRule="auto"/>
        <w:ind w:left="0"/>
        <w:jc w:val="both"/>
        <w:rPr>
          <w:rFonts w:ascii="Palatino Linotype" w:hAnsi="Palatino Linotype" w:cs="Tahoma"/>
          <w:bCs/>
          <w:sz w:val="24"/>
          <w:szCs w:val="22"/>
        </w:rPr>
      </w:pPr>
    </w:p>
    <w:p w14:paraId="77D190FE" w14:textId="7CFD080D" w:rsidR="003419BA" w:rsidRPr="005370F3" w:rsidRDefault="003419BA" w:rsidP="003419BA">
      <w:pPr>
        <w:pStyle w:val="Ttulo3"/>
        <w:rPr>
          <w:rFonts w:ascii="Palatino Linotype" w:hAnsi="Palatino Linotype"/>
          <w:b/>
          <w:color w:val="auto"/>
        </w:rPr>
      </w:pPr>
      <w:bookmarkStart w:id="44" w:name="_Toc88745516"/>
      <w:r>
        <w:rPr>
          <w:rFonts w:ascii="Palatino Linotype" w:hAnsi="Palatino Linotype"/>
          <w:b/>
          <w:color w:val="auto"/>
        </w:rPr>
        <w:t xml:space="preserve">V. </w:t>
      </w:r>
      <w:r w:rsidRPr="005370F3">
        <w:rPr>
          <w:rFonts w:ascii="Palatino Linotype" w:hAnsi="Palatino Linotype"/>
          <w:b/>
          <w:color w:val="auto"/>
        </w:rPr>
        <w:t>Deducciones personales</w:t>
      </w:r>
      <w:bookmarkEnd w:id="44"/>
    </w:p>
    <w:p w14:paraId="3DB4613A" w14:textId="77777777" w:rsidR="003419BA" w:rsidRDefault="003419BA" w:rsidP="003419BA">
      <w:pPr>
        <w:pStyle w:val="Prrafodelista"/>
        <w:spacing w:line="360" w:lineRule="auto"/>
        <w:ind w:left="0"/>
        <w:jc w:val="both"/>
        <w:rPr>
          <w:rFonts w:ascii="Palatino Linotype" w:hAnsi="Palatino Linotype" w:cs="Tahoma"/>
          <w:bCs/>
          <w:szCs w:val="22"/>
        </w:rPr>
      </w:pPr>
    </w:p>
    <w:p w14:paraId="4C02B8C6" w14:textId="77777777" w:rsidR="003419BA" w:rsidRPr="00A15DB7" w:rsidRDefault="003419BA" w:rsidP="003419BA">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F776171" w14:textId="77777777" w:rsidR="003419BA" w:rsidRPr="00A15DB7" w:rsidRDefault="003419BA" w:rsidP="003419BA">
      <w:pPr>
        <w:pStyle w:val="Prrafodelista"/>
        <w:spacing w:line="360" w:lineRule="auto"/>
        <w:ind w:left="0"/>
        <w:jc w:val="both"/>
        <w:rPr>
          <w:rFonts w:ascii="Palatino Linotype" w:hAnsi="Palatino Linotype" w:cs="Tahoma"/>
          <w:bCs/>
          <w:sz w:val="24"/>
          <w:szCs w:val="22"/>
        </w:rPr>
      </w:pPr>
    </w:p>
    <w:p w14:paraId="41E1F9E7" w14:textId="77777777" w:rsidR="003419BA" w:rsidRPr="00A15DB7" w:rsidRDefault="003419BA" w:rsidP="003419BA">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Asimismo, hay otras que se generan con motivo de una sentencia judicial, como es la pensión alimenticia que periódicamente se retira de la cuenta de un empleado, a efecto de que sea entregado a un tercero.  </w:t>
      </w:r>
    </w:p>
    <w:p w14:paraId="153CE232" w14:textId="77777777" w:rsidR="003419BA" w:rsidRPr="00A15DB7" w:rsidRDefault="003419BA" w:rsidP="003419BA">
      <w:pPr>
        <w:pStyle w:val="Prrafodelista"/>
        <w:rPr>
          <w:rFonts w:ascii="Palatino Linotype" w:hAnsi="Palatino Linotype" w:cs="Tahoma"/>
          <w:bCs/>
          <w:sz w:val="24"/>
          <w:szCs w:val="22"/>
        </w:rPr>
      </w:pPr>
    </w:p>
    <w:p w14:paraId="5BBE5262" w14:textId="77777777" w:rsidR="003419BA" w:rsidRPr="00A15DB7" w:rsidRDefault="003419BA" w:rsidP="003419BA">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F6B589D" w14:textId="77777777" w:rsidR="003419BA" w:rsidRPr="00A15DB7" w:rsidRDefault="003419BA" w:rsidP="003419BA">
      <w:pPr>
        <w:pStyle w:val="Prrafodelista"/>
        <w:rPr>
          <w:rFonts w:ascii="Palatino Linotype" w:hAnsi="Palatino Linotype" w:cs="Tahoma"/>
          <w:bCs/>
          <w:sz w:val="24"/>
          <w:szCs w:val="22"/>
        </w:rPr>
      </w:pPr>
    </w:p>
    <w:p w14:paraId="44333ECD" w14:textId="77777777" w:rsidR="003419BA" w:rsidRPr="00A15DB7" w:rsidRDefault="003419BA" w:rsidP="003419BA">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Así, dichas deducciones reflejan el destino que un servidor público da a su patrimonio, lo que se aleja de la transparencia y rendición de cuentas.</w:t>
      </w:r>
    </w:p>
    <w:p w14:paraId="6507D05E" w14:textId="77777777" w:rsidR="003419BA" w:rsidRPr="00A15DB7" w:rsidRDefault="003419BA" w:rsidP="003419BA">
      <w:pPr>
        <w:pStyle w:val="Prrafodelista"/>
        <w:spacing w:line="360" w:lineRule="auto"/>
        <w:ind w:left="0"/>
        <w:jc w:val="both"/>
        <w:rPr>
          <w:rFonts w:ascii="Palatino Linotype" w:hAnsi="Palatino Linotype" w:cs="Tahoma"/>
          <w:bCs/>
          <w:sz w:val="24"/>
          <w:szCs w:val="22"/>
        </w:rPr>
      </w:pPr>
    </w:p>
    <w:p w14:paraId="4E3B7357" w14:textId="4F929BF6" w:rsidR="001D6F55" w:rsidRPr="00A15DB7" w:rsidRDefault="008E3CA2" w:rsidP="001D6F55">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AE71043" w14:textId="77777777" w:rsidR="001D6F55" w:rsidRDefault="001D6F55" w:rsidP="001D6F55">
      <w:pPr>
        <w:pStyle w:val="Prrafodelista"/>
        <w:spacing w:line="360" w:lineRule="auto"/>
        <w:ind w:left="0"/>
        <w:jc w:val="both"/>
        <w:rPr>
          <w:rFonts w:ascii="Palatino Linotype" w:hAnsi="Palatino Linotype" w:cs="Tahoma"/>
          <w:bCs/>
          <w:szCs w:val="22"/>
        </w:rPr>
      </w:pPr>
    </w:p>
    <w:p w14:paraId="467613EC" w14:textId="78CFD263" w:rsidR="001D6F55" w:rsidRPr="00A15DB7" w:rsidRDefault="001D6F55" w:rsidP="001D6F55">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Hasta este punto, se considera que la información relacionada con los siguientes puntos actualiza una causal de confidencialidad, toda vez que identifica o hace identificable a su titular.</w:t>
      </w:r>
    </w:p>
    <w:p w14:paraId="36654BF7" w14:textId="77777777" w:rsidR="001D6F55" w:rsidRPr="001D6F55" w:rsidRDefault="001D6F55" w:rsidP="001D6F55">
      <w:pPr>
        <w:pStyle w:val="Prrafodelista"/>
        <w:rPr>
          <w:rFonts w:ascii="Palatino Linotype" w:hAnsi="Palatino Linotype" w:cs="Tahoma"/>
          <w:bCs/>
          <w:szCs w:val="22"/>
        </w:rPr>
      </w:pPr>
    </w:p>
    <w:p w14:paraId="6C1BA73A" w14:textId="63E94BC5"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Clave Única de Registro de Población (CURP)</w:t>
      </w:r>
      <w:r w:rsidR="00E71D9C">
        <w:rPr>
          <w:rFonts w:ascii="Palatino Linotype" w:hAnsi="Palatino Linotype" w:cs="Tahoma"/>
          <w:bCs/>
          <w:szCs w:val="22"/>
        </w:rPr>
        <w:t>;</w:t>
      </w:r>
    </w:p>
    <w:p w14:paraId="6485B5EB" w14:textId="434CF33A" w:rsidR="001D6F55" w:rsidRDefault="00E71D9C"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Clave ISSEMyM;</w:t>
      </w:r>
    </w:p>
    <w:p w14:paraId="6A48365A" w14:textId="53BAE0BF"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Registro Federal de Contribuyentes (RFC)</w:t>
      </w:r>
      <w:r w:rsidR="00E71D9C">
        <w:rPr>
          <w:rFonts w:ascii="Palatino Linotype" w:hAnsi="Palatino Linotype" w:cs="Tahoma"/>
          <w:bCs/>
          <w:szCs w:val="22"/>
        </w:rPr>
        <w:t>;</w:t>
      </w:r>
    </w:p>
    <w:p w14:paraId="7C39AD68" w14:textId="1742757A"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lastRenderedPageBreak/>
        <w:t>Código QR</w:t>
      </w:r>
      <w:r w:rsidR="00E71D9C">
        <w:rPr>
          <w:rFonts w:ascii="Palatino Linotype" w:hAnsi="Palatino Linotype" w:cs="Tahoma"/>
          <w:bCs/>
          <w:szCs w:val="22"/>
        </w:rPr>
        <w:t>; y</w:t>
      </w:r>
    </w:p>
    <w:p w14:paraId="02283D1D" w14:textId="5CBD4412" w:rsidR="00E71D9C" w:rsidRDefault="00E71D9C"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Deducciones personales.</w:t>
      </w:r>
    </w:p>
    <w:p w14:paraId="7BEB43FE" w14:textId="77777777" w:rsidR="001D6F55" w:rsidRPr="001D6F55" w:rsidRDefault="001D6F55" w:rsidP="001D6F55">
      <w:pPr>
        <w:pStyle w:val="Prrafodelista"/>
        <w:rPr>
          <w:rFonts w:ascii="Palatino Linotype" w:hAnsi="Palatino Linotype" w:cs="Tahoma"/>
          <w:bCs/>
          <w:szCs w:val="22"/>
        </w:rPr>
      </w:pPr>
    </w:p>
    <w:p w14:paraId="4E4EF6DC" w14:textId="745F2FCC" w:rsidR="00F77E2E" w:rsidRPr="00A15DB7" w:rsidRDefault="00F77E2E" w:rsidP="00F77E2E">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Es decir, los datos personales enlistados</w:t>
      </w:r>
      <w:r w:rsidRPr="00A15DB7">
        <w:rPr>
          <w:rFonts w:ascii="Palatino Linotype" w:hAnsi="Palatino Linotype" w:cs="Tahoma"/>
          <w:sz w:val="24"/>
          <w:lang w:eastAsia="es-MX"/>
        </w:rPr>
        <w:t xml:space="preserve"> constituye datos personales confidenciales </w:t>
      </w:r>
      <w:r w:rsidRPr="00A15DB7">
        <w:rPr>
          <w:rFonts w:ascii="Palatino Linotype" w:hAnsi="Palatino Linotype" w:cs="Tahoma"/>
          <w:sz w:val="24"/>
        </w:rPr>
        <w:t>al actualizar el supuesto normativo del artículo 143, fracción I de la Ley de Transparencia y Acceso a la Información Pública del Estado de México y Municipios</w:t>
      </w:r>
      <w:r w:rsidRPr="00A15DB7">
        <w:rPr>
          <w:rFonts w:ascii="Palatino Linotype" w:hAnsi="Palatino Linotype" w:cs="Tahoma"/>
          <w:sz w:val="24"/>
          <w:lang w:eastAsia="es-MX"/>
        </w:rPr>
        <w:t>.</w:t>
      </w:r>
    </w:p>
    <w:p w14:paraId="466121F9" w14:textId="77777777" w:rsidR="00F77E2E" w:rsidRPr="00A15DB7" w:rsidRDefault="00F77E2E" w:rsidP="00F77E2E">
      <w:pPr>
        <w:pStyle w:val="Prrafodelista"/>
        <w:spacing w:line="360" w:lineRule="auto"/>
        <w:ind w:left="0"/>
        <w:jc w:val="both"/>
        <w:rPr>
          <w:rFonts w:ascii="Palatino Linotype" w:hAnsi="Palatino Linotype" w:cs="Tahoma"/>
          <w:bCs/>
          <w:sz w:val="24"/>
          <w:szCs w:val="22"/>
        </w:rPr>
      </w:pPr>
    </w:p>
    <w:p w14:paraId="65DFAA8F" w14:textId="02B9A16B" w:rsidR="005370F3" w:rsidRPr="00A15DB7" w:rsidRDefault="001D6F55" w:rsidP="00F77E2E">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En consecuencia, si deben ser clasificados como confidenciales y</w:t>
      </w:r>
      <w:r w:rsidR="00F77E2E" w:rsidRPr="00A15DB7">
        <w:rPr>
          <w:rFonts w:ascii="Palatino Linotype" w:hAnsi="Palatino Linotype" w:cs="Tahoma"/>
          <w:bCs/>
          <w:sz w:val="24"/>
          <w:szCs w:val="22"/>
        </w:rPr>
        <w:t xml:space="preserve"> es procedente que se proporcionen a través de una versión pública que los proteja. No obstante, es necesario continuar con el análisis de la información que a dicho del Sujeto Obligado debe ser clasificada como confidencial.</w:t>
      </w:r>
    </w:p>
    <w:p w14:paraId="122AC2CD" w14:textId="77777777" w:rsidR="003419BA" w:rsidRPr="001D6F55" w:rsidRDefault="003419BA" w:rsidP="001D6F55">
      <w:pPr>
        <w:pStyle w:val="Prrafodelista"/>
        <w:spacing w:line="360" w:lineRule="auto"/>
        <w:ind w:left="0"/>
        <w:jc w:val="both"/>
        <w:rPr>
          <w:rFonts w:ascii="Palatino Linotype" w:hAnsi="Palatino Linotype" w:cs="Tahoma"/>
          <w:bCs/>
          <w:szCs w:val="22"/>
        </w:rPr>
      </w:pPr>
    </w:p>
    <w:p w14:paraId="1F89147C" w14:textId="1E768F5E" w:rsidR="008E3CA2" w:rsidRPr="008E3CA2" w:rsidRDefault="00954950" w:rsidP="008E3CA2">
      <w:pPr>
        <w:pStyle w:val="Ttulo3"/>
        <w:rPr>
          <w:rFonts w:ascii="Palatino Linotype" w:hAnsi="Palatino Linotype"/>
          <w:b/>
          <w:color w:val="auto"/>
        </w:rPr>
      </w:pPr>
      <w:bookmarkStart w:id="45" w:name="_Toc86917949"/>
      <w:bookmarkStart w:id="46" w:name="_Toc88745517"/>
      <w:r>
        <w:rPr>
          <w:rFonts w:ascii="Palatino Linotype" w:hAnsi="Palatino Linotype"/>
          <w:b/>
          <w:color w:val="auto"/>
        </w:rPr>
        <w:t>V</w:t>
      </w:r>
      <w:r w:rsidR="002C21F4">
        <w:rPr>
          <w:rFonts w:ascii="Palatino Linotype" w:hAnsi="Palatino Linotype"/>
          <w:b/>
          <w:color w:val="auto"/>
        </w:rPr>
        <w:t>I</w:t>
      </w:r>
      <w:r w:rsidR="008E3CA2" w:rsidRPr="008E3CA2">
        <w:rPr>
          <w:rFonts w:ascii="Palatino Linotype" w:hAnsi="Palatino Linotype"/>
          <w:b/>
          <w:color w:val="auto"/>
        </w:rPr>
        <w:t xml:space="preserve">. </w:t>
      </w:r>
      <w:r>
        <w:rPr>
          <w:rFonts w:ascii="Palatino Linotype" w:hAnsi="Palatino Linotype"/>
          <w:b/>
          <w:color w:val="auto"/>
        </w:rPr>
        <w:t xml:space="preserve">Nombre y </w:t>
      </w:r>
      <w:r w:rsidR="008E3CA2" w:rsidRPr="008E3CA2">
        <w:rPr>
          <w:rFonts w:ascii="Palatino Linotype" w:hAnsi="Palatino Linotype"/>
          <w:b/>
          <w:color w:val="auto"/>
        </w:rPr>
        <w:t>Firma de los servidores públicos</w:t>
      </w:r>
      <w:bookmarkEnd w:id="45"/>
      <w:bookmarkEnd w:id="46"/>
    </w:p>
    <w:p w14:paraId="68E39895" w14:textId="77777777" w:rsidR="008E3CA2" w:rsidRDefault="008E3CA2" w:rsidP="008E3CA2">
      <w:pPr>
        <w:pStyle w:val="Prrafodelista"/>
        <w:spacing w:line="360" w:lineRule="auto"/>
        <w:ind w:left="0"/>
        <w:jc w:val="both"/>
        <w:rPr>
          <w:rFonts w:ascii="Palatino Linotype" w:hAnsi="Palatino Linotype" w:cs="Tahoma"/>
          <w:bCs/>
          <w:szCs w:val="22"/>
          <w:lang w:val="es-ES"/>
        </w:rPr>
      </w:pPr>
    </w:p>
    <w:p w14:paraId="66FDFDBC" w14:textId="77777777" w:rsidR="00D57A95" w:rsidRPr="00A15DB7" w:rsidRDefault="00D57A95" w:rsidP="00D57A95">
      <w:pPr>
        <w:pStyle w:val="Prrafodelista"/>
        <w:numPr>
          <w:ilvl w:val="0"/>
          <w:numId w:val="2"/>
        </w:numPr>
        <w:tabs>
          <w:tab w:val="left" w:pos="567"/>
        </w:tabs>
        <w:spacing w:line="360" w:lineRule="auto"/>
        <w:ind w:left="0" w:firstLine="0"/>
        <w:jc w:val="both"/>
        <w:rPr>
          <w:rFonts w:ascii="Palatino Linotype" w:hAnsi="Palatino Linotype"/>
          <w:b/>
          <w:sz w:val="24"/>
        </w:rPr>
      </w:pPr>
      <w:r w:rsidRPr="00A15DB7">
        <w:rPr>
          <w:rFonts w:ascii="Palatino Linotype" w:eastAsia="MS Mincho" w:hAnsi="Palatino Linotype"/>
          <w:sz w:val="24"/>
        </w:rPr>
        <w:t xml:space="preserve">La firma autógrafa corresponde a un dato personal; sin embargo,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38FBF2EC" w14:textId="77777777" w:rsidR="00D57A95" w:rsidRPr="00545BE1" w:rsidRDefault="00D57A95" w:rsidP="00D57A95">
      <w:pPr>
        <w:tabs>
          <w:tab w:val="left" w:pos="567"/>
        </w:tabs>
        <w:spacing w:line="360" w:lineRule="auto"/>
        <w:jc w:val="both"/>
        <w:rPr>
          <w:rFonts w:ascii="Palatino Linotype" w:hAnsi="Palatino Linotype"/>
          <w:b/>
          <w:i/>
          <w:color w:val="000000" w:themeColor="text1"/>
        </w:rPr>
      </w:pPr>
    </w:p>
    <w:p w14:paraId="34A30CD2" w14:textId="77777777" w:rsidR="00D57A95" w:rsidRPr="00A15DB7" w:rsidRDefault="00D57A95" w:rsidP="00D57A95">
      <w:pPr>
        <w:tabs>
          <w:tab w:val="left" w:pos="567"/>
        </w:tabs>
        <w:spacing w:line="360" w:lineRule="auto"/>
        <w:ind w:left="567" w:right="616"/>
        <w:jc w:val="both"/>
        <w:rPr>
          <w:rFonts w:ascii="Palatino Linotype" w:hAnsi="Palatino Linotype"/>
          <w:i/>
          <w:color w:val="000000" w:themeColor="text1"/>
          <w:sz w:val="22"/>
        </w:rPr>
      </w:pPr>
      <w:r w:rsidRPr="00A15DB7">
        <w:rPr>
          <w:rFonts w:ascii="Palatino Linotype" w:hAnsi="Palatino Linotype"/>
          <w:i/>
          <w:color w:val="000000" w:themeColor="text1"/>
          <w:sz w:val="22"/>
        </w:rPr>
        <w:lastRenderedPageBreak/>
        <w:t>“</w:t>
      </w:r>
      <w:r w:rsidRPr="00A15DB7">
        <w:rPr>
          <w:rFonts w:ascii="Palatino Linotype" w:hAnsi="Palatino Linotype"/>
          <w:b/>
          <w:i/>
          <w:color w:val="000000" w:themeColor="text1"/>
          <w:sz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A15DB7">
        <w:rPr>
          <w:rFonts w:ascii="Palatino Linotype" w:hAnsi="Palatino Linotype"/>
          <w:i/>
          <w:color w:val="000000" w:themeColor="text1"/>
          <w:sz w:val="22"/>
        </w:rPr>
        <w:t>.</w:t>
      </w:r>
    </w:p>
    <w:p w14:paraId="6E2F99E5" w14:textId="77777777" w:rsidR="00D57A95" w:rsidRPr="00A15DB7" w:rsidRDefault="00D57A95" w:rsidP="00D57A95">
      <w:pPr>
        <w:tabs>
          <w:tab w:val="left" w:pos="567"/>
        </w:tabs>
        <w:spacing w:line="360" w:lineRule="auto"/>
        <w:ind w:left="567" w:right="616"/>
        <w:jc w:val="both"/>
        <w:rPr>
          <w:rFonts w:ascii="Palatino Linotype" w:hAnsi="Palatino Linotype"/>
          <w:i/>
          <w:color w:val="000000" w:themeColor="text1"/>
          <w:sz w:val="22"/>
        </w:rPr>
      </w:pPr>
    </w:p>
    <w:p w14:paraId="332FDC94" w14:textId="77777777" w:rsidR="00D57A95" w:rsidRPr="00A15DB7" w:rsidRDefault="00D57A95" w:rsidP="00D57A95">
      <w:pPr>
        <w:tabs>
          <w:tab w:val="left" w:pos="567"/>
        </w:tabs>
        <w:spacing w:line="360" w:lineRule="auto"/>
        <w:ind w:left="567" w:right="616"/>
        <w:jc w:val="both"/>
        <w:rPr>
          <w:rFonts w:ascii="Palatino Linotype" w:hAnsi="Palatino Linotype"/>
          <w:i/>
          <w:color w:val="000000" w:themeColor="text1"/>
          <w:sz w:val="22"/>
        </w:rPr>
      </w:pPr>
      <w:r w:rsidRPr="00A15DB7">
        <w:rPr>
          <w:rFonts w:ascii="Palatino Linotype" w:hAnsi="Palatino Linotype"/>
          <w:i/>
          <w:color w:val="000000" w:themeColor="text1"/>
          <w:sz w:val="22"/>
        </w:rPr>
        <w:t>Resoluciones:</w:t>
      </w:r>
    </w:p>
    <w:p w14:paraId="4E2DF34E" w14:textId="77777777" w:rsidR="00D57A95" w:rsidRPr="00A15DB7" w:rsidRDefault="00D57A95" w:rsidP="00D57A95">
      <w:pPr>
        <w:numPr>
          <w:ilvl w:val="0"/>
          <w:numId w:val="42"/>
        </w:numPr>
        <w:tabs>
          <w:tab w:val="left" w:pos="567"/>
        </w:tabs>
        <w:spacing w:line="360" w:lineRule="auto"/>
        <w:ind w:left="567" w:right="616" w:firstLine="0"/>
        <w:jc w:val="both"/>
        <w:rPr>
          <w:rFonts w:ascii="Palatino Linotype" w:hAnsi="Palatino Linotype"/>
          <w:i/>
          <w:color w:val="000000" w:themeColor="text1"/>
          <w:sz w:val="22"/>
        </w:rPr>
      </w:pPr>
      <w:r w:rsidRPr="00A15DB7">
        <w:rPr>
          <w:rFonts w:ascii="Palatino Linotype" w:hAnsi="Palatino Linotype"/>
          <w:i/>
          <w:color w:val="000000" w:themeColor="text1"/>
          <w:sz w:val="22"/>
        </w:rPr>
        <w:t>RRA 0185/17. Secretaría de Cultura. 08 de febrero de 2017. Por unanimidad. Comisionado Ponente Oscar Mauricio Guerra Ford.</w:t>
      </w:r>
    </w:p>
    <w:p w14:paraId="53DBD37F" w14:textId="77777777" w:rsidR="00D57A95" w:rsidRPr="00A15DB7" w:rsidRDefault="006E5197" w:rsidP="00D57A95">
      <w:pPr>
        <w:numPr>
          <w:ilvl w:val="1"/>
          <w:numId w:val="42"/>
        </w:numPr>
        <w:tabs>
          <w:tab w:val="left" w:pos="567"/>
        </w:tabs>
        <w:spacing w:line="360" w:lineRule="auto"/>
        <w:ind w:left="567" w:right="616" w:firstLine="0"/>
        <w:jc w:val="both"/>
        <w:rPr>
          <w:rFonts w:ascii="Palatino Linotype" w:hAnsi="Palatino Linotype"/>
          <w:i/>
          <w:color w:val="000000" w:themeColor="text1"/>
          <w:sz w:val="22"/>
        </w:rPr>
      </w:pPr>
      <w:hyperlink r:id="rId16" w:history="1">
        <w:r w:rsidR="00D57A95" w:rsidRPr="00A15DB7">
          <w:rPr>
            <w:rStyle w:val="Hipervnculo"/>
            <w:rFonts w:ascii="Palatino Linotype" w:hAnsi="Palatino Linotype"/>
            <w:i/>
            <w:color w:val="000000" w:themeColor="text1"/>
            <w:sz w:val="22"/>
          </w:rPr>
          <w:t>http://consultas.ifai.org.mx/descargar.php?r=./pdf/resoluciones/2017/&amp;a=RRA%20185.pdf</w:t>
        </w:r>
      </w:hyperlink>
      <w:r w:rsidR="00D57A95" w:rsidRPr="00A15DB7">
        <w:rPr>
          <w:rFonts w:ascii="Palatino Linotype" w:hAnsi="Palatino Linotype"/>
          <w:i/>
          <w:color w:val="000000" w:themeColor="text1"/>
          <w:sz w:val="22"/>
        </w:rPr>
        <w:t xml:space="preserve"> </w:t>
      </w:r>
    </w:p>
    <w:p w14:paraId="334D9903" w14:textId="77777777" w:rsidR="00D57A95" w:rsidRPr="00A15DB7" w:rsidRDefault="00D57A95" w:rsidP="00D57A95">
      <w:pPr>
        <w:numPr>
          <w:ilvl w:val="0"/>
          <w:numId w:val="42"/>
        </w:numPr>
        <w:tabs>
          <w:tab w:val="left" w:pos="567"/>
        </w:tabs>
        <w:spacing w:line="360" w:lineRule="auto"/>
        <w:ind w:left="567" w:right="616" w:firstLine="0"/>
        <w:jc w:val="both"/>
        <w:rPr>
          <w:rFonts w:ascii="Palatino Linotype" w:hAnsi="Palatino Linotype"/>
          <w:i/>
          <w:color w:val="000000" w:themeColor="text1"/>
          <w:sz w:val="22"/>
        </w:rPr>
      </w:pPr>
      <w:r w:rsidRPr="00A15DB7">
        <w:rPr>
          <w:rFonts w:ascii="Palatino Linotype" w:hAnsi="Palatino Linotype"/>
          <w:i/>
          <w:color w:val="000000" w:themeColor="text1"/>
          <w:sz w:val="22"/>
        </w:rPr>
        <w:t>RRA 1588/17. Centro de Investigación en Materiales Avanzados, S.C. 26 de abril de 2017. Por unanimidad. Comisionada Ponente Ximena Puente de la Mora.</w:t>
      </w:r>
    </w:p>
    <w:p w14:paraId="42F3D4D1" w14:textId="77777777" w:rsidR="00D57A95" w:rsidRPr="00A15DB7" w:rsidRDefault="006E5197" w:rsidP="00D57A95">
      <w:pPr>
        <w:numPr>
          <w:ilvl w:val="1"/>
          <w:numId w:val="42"/>
        </w:numPr>
        <w:tabs>
          <w:tab w:val="left" w:pos="567"/>
        </w:tabs>
        <w:spacing w:line="360" w:lineRule="auto"/>
        <w:ind w:left="567" w:right="616" w:firstLine="0"/>
        <w:jc w:val="both"/>
        <w:rPr>
          <w:rFonts w:ascii="Palatino Linotype" w:hAnsi="Palatino Linotype"/>
          <w:i/>
          <w:color w:val="000000" w:themeColor="text1"/>
          <w:sz w:val="22"/>
        </w:rPr>
      </w:pPr>
      <w:hyperlink r:id="rId17" w:history="1">
        <w:r w:rsidR="00D57A95" w:rsidRPr="00A15DB7">
          <w:rPr>
            <w:rStyle w:val="Hipervnculo"/>
            <w:rFonts w:ascii="Palatino Linotype" w:hAnsi="Palatino Linotype"/>
            <w:i/>
            <w:color w:val="000000" w:themeColor="text1"/>
            <w:sz w:val="22"/>
          </w:rPr>
          <w:t>http://consultas.ifai.org.mx/descargar.php?r=./pdf/resoluciones/2017/&amp;a=RRA%201588.pdf</w:t>
        </w:r>
      </w:hyperlink>
      <w:r w:rsidR="00D57A95" w:rsidRPr="00A15DB7">
        <w:rPr>
          <w:rFonts w:ascii="Palatino Linotype" w:hAnsi="Palatino Linotype"/>
          <w:i/>
          <w:color w:val="000000" w:themeColor="text1"/>
          <w:sz w:val="22"/>
        </w:rPr>
        <w:t xml:space="preserve"> </w:t>
      </w:r>
    </w:p>
    <w:p w14:paraId="1F382FC4" w14:textId="77777777" w:rsidR="00D57A95" w:rsidRPr="00A15DB7" w:rsidRDefault="00D57A95" w:rsidP="00D57A95">
      <w:pPr>
        <w:numPr>
          <w:ilvl w:val="0"/>
          <w:numId w:val="42"/>
        </w:numPr>
        <w:tabs>
          <w:tab w:val="left" w:pos="567"/>
        </w:tabs>
        <w:spacing w:line="360" w:lineRule="auto"/>
        <w:ind w:left="567" w:right="616" w:firstLine="0"/>
        <w:jc w:val="both"/>
        <w:rPr>
          <w:rFonts w:ascii="Palatino Linotype" w:hAnsi="Palatino Linotype"/>
          <w:bCs/>
          <w:i/>
          <w:color w:val="000000" w:themeColor="text1"/>
          <w:sz w:val="22"/>
        </w:rPr>
      </w:pPr>
      <w:r w:rsidRPr="00A15DB7">
        <w:rPr>
          <w:rFonts w:ascii="Palatino Linotype" w:hAnsi="Palatino Linotype"/>
          <w:i/>
          <w:color w:val="000000" w:themeColor="text1"/>
          <w:sz w:val="22"/>
        </w:rPr>
        <w:t>RRA 3472/17. Instituto Nacional de Migración. 21 de junio de 2017. Por unanimidad. Comisionado Ponente Joel Salas Suárez</w:t>
      </w:r>
      <w:r w:rsidRPr="00A15DB7">
        <w:rPr>
          <w:rFonts w:ascii="Palatino Linotype" w:hAnsi="Palatino Linotype"/>
          <w:bCs/>
          <w:i/>
          <w:color w:val="000000" w:themeColor="text1"/>
          <w:sz w:val="22"/>
        </w:rPr>
        <w:t>.</w:t>
      </w:r>
    </w:p>
    <w:p w14:paraId="498D43E0" w14:textId="77777777" w:rsidR="00D57A95" w:rsidRPr="00A15DB7" w:rsidRDefault="006E5197" w:rsidP="00D57A95">
      <w:pPr>
        <w:numPr>
          <w:ilvl w:val="1"/>
          <w:numId w:val="42"/>
        </w:numPr>
        <w:tabs>
          <w:tab w:val="left" w:pos="567"/>
        </w:tabs>
        <w:spacing w:line="360" w:lineRule="auto"/>
        <w:ind w:left="567" w:right="616" w:firstLine="0"/>
        <w:jc w:val="both"/>
        <w:rPr>
          <w:rFonts w:ascii="Palatino Linotype" w:hAnsi="Palatino Linotype"/>
          <w:bCs/>
          <w:i/>
          <w:color w:val="000000" w:themeColor="text1"/>
          <w:sz w:val="22"/>
        </w:rPr>
      </w:pPr>
      <w:hyperlink r:id="rId18" w:history="1">
        <w:r w:rsidR="00D57A95" w:rsidRPr="00A15DB7">
          <w:rPr>
            <w:rStyle w:val="Hipervnculo"/>
            <w:rFonts w:ascii="Palatino Linotype" w:hAnsi="Palatino Linotype"/>
            <w:bCs/>
            <w:i/>
            <w:color w:val="000000" w:themeColor="text1"/>
            <w:sz w:val="22"/>
          </w:rPr>
          <w:t>http://consultas.ifai.org.mx/descargar.php?r=./pdf/resoluciones/2017/&amp;a=RRA%203472.pdf</w:t>
        </w:r>
      </w:hyperlink>
      <w:r w:rsidR="00D57A95" w:rsidRPr="00A15DB7">
        <w:rPr>
          <w:rFonts w:ascii="Palatino Linotype" w:hAnsi="Palatino Linotype"/>
          <w:bCs/>
          <w:i/>
          <w:color w:val="000000" w:themeColor="text1"/>
          <w:sz w:val="22"/>
        </w:rPr>
        <w:t xml:space="preserve"> “</w:t>
      </w:r>
    </w:p>
    <w:p w14:paraId="4B71C1C4" w14:textId="77777777" w:rsidR="00D57A95" w:rsidRPr="00545BE1" w:rsidRDefault="00D57A95" w:rsidP="00D57A95">
      <w:pPr>
        <w:spacing w:line="360" w:lineRule="auto"/>
        <w:contextualSpacing/>
        <w:jc w:val="both"/>
        <w:rPr>
          <w:rFonts w:ascii="Palatino Linotype" w:eastAsia="MS Mincho" w:hAnsi="Palatino Linotype"/>
        </w:rPr>
      </w:pPr>
    </w:p>
    <w:p w14:paraId="66234A6D" w14:textId="77777777" w:rsidR="00D57A95" w:rsidRPr="00A15DB7" w:rsidRDefault="00D57A95" w:rsidP="00D57A95">
      <w:pPr>
        <w:numPr>
          <w:ilvl w:val="0"/>
          <w:numId w:val="2"/>
        </w:numPr>
        <w:spacing w:line="360" w:lineRule="auto"/>
        <w:ind w:left="0" w:firstLine="0"/>
        <w:contextualSpacing/>
        <w:jc w:val="both"/>
        <w:rPr>
          <w:rFonts w:ascii="Palatino Linotype" w:eastAsia="MS Mincho" w:hAnsi="Palatino Linotype"/>
          <w:sz w:val="24"/>
        </w:rPr>
      </w:pPr>
      <w:r w:rsidRPr="00A15DB7">
        <w:rPr>
          <w:rFonts w:ascii="Palatino Linotype" w:eastAsia="MS Mincho" w:hAnsi="Palatino Linotype"/>
          <w:sz w:val="24"/>
        </w:rPr>
        <w:t xml:space="preserve">En ese mismo los </w:t>
      </w:r>
      <w:r w:rsidRPr="00A15DB7">
        <w:rPr>
          <w:rFonts w:ascii="Palatino Linotype" w:hAnsi="Palatino Linotype" w:cs="Arial"/>
          <w:b/>
          <w:sz w:val="24"/>
        </w:rPr>
        <w:t xml:space="preserve">Lineamientos Generales en Materia de Clasificación y Desclasificación de la Información, así como para la Elaboración de Versiones Públicas </w:t>
      </w:r>
      <w:r w:rsidRPr="00A15DB7">
        <w:rPr>
          <w:rFonts w:ascii="Palatino Linotype" w:hAnsi="Palatino Linotype" w:cs="Arial"/>
          <w:sz w:val="24"/>
        </w:rPr>
        <w:t>que señalan lo siguiente:</w:t>
      </w:r>
    </w:p>
    <w:p w14:paraId="72EB29B6" w14:textId="77777777" w:rsidR="00D57A95" w:rsidRPr="00545BE1" w:rsidRDefault="00D57A95" w:rsidP="00D57A95">
      <w:pPr>
        <w:spacing w:line="360" w:lineRule="auto"/>
        <w:contextualSpacing/>
        <w:jc w:val="both"/>
        <w:rPr>
          <w:rFonts w:ascii="Palatino Linotype" w:eastAsia="MS Mincho" w:hAnsi="Palatino Linotype"/>
        </w:rPr>
      </w:pPr>
    </w:p>
    <w:p w14:paraId="42AC1D75"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b/>
          <w:i/>
          <w:sz w:val="22"/>
        </w:rPr>
        <w:lastRenderedPageBreak/>
        <w:t>Quincuagésimo séptimo</w:t>
      </w:r>
      <w:r w:rsidRPr="00A15DB7">
        <w:rPr>
          <w:rFonts w:ascii="Palatino Linotype" w:hAnsi="Palatino Linotype" w:cs="Arial"/>
          <w:i/>
          <w:sz w:val="22"/>
        </w:rPr>
        <w:t xml:space="preserve">. </w:t>
      </w:r>
      <w:r w:rsidRPr="00A15DB7">
        <w:rPr>
          <w:rFonts w:ascii="Palatino Linotype" w:hAnsi="Palatino Linotype" w:cs="Arial"/>
          <w:b/>
          <w:i/>
          <w:sz w:val="22"/>
        </w:rPr>
        <w:t>Se considera, en principio, como información pública</w:t>
      </w:r>
      <w:r w:rsidRPr="00A15DB7">
        <w:rPr>
          <w:rFonts w:ascii="Palatino Linotype" w:hAnsi="Palatino Linotype" w:cs="Arial"/>
          <w:i/>
          <w:sz w:val="22"/>
        </w:rPr>
        <w:t xml:space="preserve"> y no podrá omitirse de las versiones públicas la siguiente:</w:t>
      </w:r>
    </w:p>
    <w:p w14:paraId="5FF2F289"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i/>
          <w:sz w:val="22"/>
        </w:rPr>
        <w:t>La relativa a las Obligaciones de Transparencia que contempla el Título V de la Ley General y las demás disposiciones legales aplicables;</w:t>
      </w:r>
    </w:p>
    <w:p w14:paraId="064F543B"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b/>
          <w:i/>
          <w:sz w:val="22"/>
        </w:rPr>
      </w:pPr>
      <w:r w:rsidRPr="00A15DB7">
        <w:rPr>
          <w:rFonts w:ascii="Palatino Linotype" w:hAnsi="Palatino Linotype" w:cs="Arial"/>
          <w:b/>
          <w:i/>
          <w:sz w:val="22"/>
        </w:rPr>
        <w:t>El nombre de los servidores públicos en los documentos, y sus firmas autógrafas, cuando sean utilizados en el ejercicio de las facultades conferidas para el desempeño del servicio público, y</w:t>
      </w:r>
    </w:p>
    <w:p w14:paraId="2C5F0279"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b/>
          <w:i/>
          <w:sz w:val="22"/>
        </w:rPr>
      </w:pPr>
      <w:r w:rsidRPr="00A15DB7">
        <w:rPr>
          <w:rFonts w:ascii="Palatino Linotype" w:hAnsi="Palatino Linotype" w:cs="Arial"/>
          <w:b/>
          <w:i/>
          <w:sz w:val="22"/>
        </w:rPr>
        <w:t>La información que documente decisiones y los actos de autoridad concluidos de los sujetos obligados, así como el ejercicio de las facultades o actividades de los servidores públicos, de manera que se pueda valorar el desempeño de los mismos.</w:t>
      </w:r>
    </w:p>
    <w:p w14:paraId="53EEA7C9"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i/>
          <w:sz w:val="22"/>
        </w:rPr>
        <w:t>Lo anterior, siempre y cuando no se acredite alguna causal de clasificación, prevista en las leyes o en los tratados internaciones suscritos por el Estado mexicano.</w:t>
      </w:r>
    </w:p>
    <w:p w14:paraId="05A79CF8" w14:textId="77777777" w:rsidR="00D57A95" w:rsidRPr="00545BE1" w:rsidRDefault="00D57A95" w:rsidP="00D57A95">
      <w:pPr>
        <w:spacing w:line="360" w:lineRule="auto"/>
        <w:contextualSpacing/>
        <w:jc w:val="both"/>
        <w:rPr>
          <w:rFonts w:ascii="Palatino Linotype" w:eastAsia="MS Mincho" w:hAnsi="Palatino Linotype"/>
        </w:rPr>
      </w:pPr>
    </w:p>
    <w:p w14:paraId="0A3D8C7F" w14:textId="77777777" w:rsidR="00D57A95" w:rsidRPr="00A15DB7" w:rsidRDefault="00D57A95" w:rsidP="00D57A95">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eastAsia="MS Mincho" w:hAnsi="Palatino Linotype"/>
          <w:sz w:val="24"/>
        </w:rPr>
        <w:t>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w:t>
      </w:r>
    </w:p>
    <w:p w14:paraId="764392AA" w14:textId="77777777" w:rsidR="00D57A95" w:rsidRPr="00A15DB7" w:rsidRDefault="00D57A95" w:rsidP="00D57A95">
      <w:pPr>
        <w:pStyle w:val="Prrafodelista"/>
        <w:spacing w:line="360" w:lineRule="auto"/>
        <w:ind w:left="0"/>
        <w:jc w:val="both"/>
        <w:rPr>
          <w:rFonts w:ascii="Palatino Linotype" w:hAnsi="Palatino Linotype"/>
          <w:sz w:val="24"/>
          <w:lang w:val="es-ES"/>
        </w:rPr>
      </w:pPr>
    </w:p>
    <w:p w14:paraId="195E7C3F" w14:textId="77777777" w:rsidR="00D57A95" w:rsidRPr="00A15DB7" w:rsidRDefault="00D57A95" w:rsidP="00D57A95">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eastAsia="MS Mincho" w:hAnsi="Palatino Linotype"/>
          <w:sz w:val="24"/>
        </w:rPr>
        <w:lastRenderedPageBreak/>
        <w:t>Entonces, aun y cuando la firma se encuentra en un recibo de nómina, a nada práctico nos conduciría clasificarla como confidencial, cuando ese mismo dato personal tiene naturaleza de información pública en otros documentos, como pueden ser oficios, en consecuencia, se determina que ese dato personal será público en todos los documentos que se encuentren en posesión de los Sujetos Obligados.</w:t>
      </w:r>
    </w:p>
    <w:p w14:paraId="14A0DE2E" w14:textId="77777777" w:rsidR="00954950" w:rsidRPr="00A15DB7" w:rsidRDefault="00954950" w:rsidP="00954950">
      <w:pPr>
        <w:pStyle w:val="Prrafodelista"/>
        <w:rPr>
          <w:rFonts w:ascii="Palatino Linotype" w:hAnsi="Palatino Linotype"/>
          <w:sz w:val="24"/>
          <w:lang w:val="es-ES"/>
        </w:rPr>
      </w:pPr>
    </w:p>
    <w:p w14:paraId="50DFEDA3" w14:textId="60825B95" w:rsidR="00954950" w:rsidRPr="00A15DB7" w:rsidRDefault="00954950" w:rsidP="00D57A95">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 xml:space="preserve">Por lo que corresponde al nombre, las versiones públicas que remitió el Sujeto Obligado resultan excesivas, toda vez que, aún y cuando se tratan de servidores públicos sindicalizados, la información concerniente a su nombre es de dominio público, toda vez que tienen la calidad de servidores públicos, mantienen una relación laboral con una institución pública y perciben un salario de los recursos públicos, en consecuencia, gozan de un régimen de protección menor en cuanto a sus datos personales, en comparación a una persona física ajena al quehacer gubernamental. </w:t>
      </w:r>
    </w:p>
    <w:p w14:paraId="04004A29" w14:textId="77777777" w:rsidR="00954950" w:rsidRPr="00A15DB7" w:rsidRDefault="00954950" w:rsidP="00954950">
      <w:pPr>
        <w:pStyle w:val="Prrafodelista"/>
        <w:rPr>
          <w:rFonts w:ascii="Palatino Linotype" w:hAnsi="Palatino Linotype"/>
          <w:sz w:val="24"/>
          <w:lang w:val="es-ES"/>
        </w:rPr>
      </w:pPr>
    </w:p>
    <w:p w14:paraId="6BD18904" w14:textId="6F7A74E5" w:rsidR="00954950" w:rsidRPr="00A15DB7" w:rsidRDefault="00954950" w:rsidP="00D57A95">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Resultando de ese modo que, el dejan únicamente el nombre de los servidores públicos en los CFDI se traduce en una restricción ilegitima al derecho accionado por el Recurrente, toda vez que se le impidió conocer información pública.</w:t>
      </w:r>
    </w:p>
    <w:p w14:paraId="5B56BC6D" w14:textId="77777777" w:rsidR="00F77E2E" w:rsidRPr="00A15DB7" w:rsidRDefault="00F77E2E" w:rsidP="00F77E2E">
      <w:pPr>
        <w:pStyle w:val="Prrafodelista"/>
        <w:rPr>
          <w:rFonts w:ascii="Palatino Linotype" w:hAnsi="Palatino Linotype"/>
          <w:sz w:val="24"/>
          <w:lang w:val="es-ES"/>
        </w:rPr>
      </w:pPr>
    </w:p>
    <w:p w14:paraId="04EBDBB6" w14:textId="1F51D256" w:rsidR="00F77E2E" w:rsidRPr="00A15DB7" w:rsidRDefault="00F77E2E" w:rsidP="00F77E2E">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 xml:space="preserve">Es así que, contrario a lo que manifestó el Sujeto Obligado, la información concerniente a </w:t>
      </w:r>
      <w:r w:rsidRPr="00A15DB7">
        <w:rPr>
          <w:rFonts w:ascii="Palatino Linotype" w:hAnsi="Palatino Linotype" w:cs="Tahoma"/>
          <w:bCs/>
          <w:sz w:val="24"/>
        </w:rPr>
        <w:t xml:space="preserve">Sellos digitales del emisor y del Servicio de Administración Tributaria y cadena original del complemento de certificación digital del órgano previamente señalado; así como folio fiscal; y, nombre y firma de los servidores públicos, es </w:t>
      </w:r>
      <w:r w:rsidRPr="00A15DB7">
        <w:rPr>
          <w:rFonts w:ascii="Palatino Linotype" w:hAnsi="Palatino Linotype" w:cs="Tahoma"/>
          <w:bCs/>
          <w:sz w:val="24"/>
        </w:rPr>
        <w:lastRenderedPageBreak/>
        <w:t>información que no actualiza ninguna causal de clasificación como información confidencial, toda vez que, los primeros no contienen ni se relacionan con datos personales, mientras que el nombre y la firma, aún y cuando se trata de datos personales, indiscutiblemente, estos son de naturaleza pública debido a la naturaleza de la relación laboral que existe con la dependencia pública, recibir recursos públicos y, realizar actos de autoridad en el ejercicio de sus facultades, atribuciones y competencias.</w:t>
      </w:r>
    </w:p>
    <w:p w14:paraId="549F150B" w14:textId="77777777" w:rsidR="00A90B7A" w:rsidRPr="00A15DB7" w:rsidRDefault="00A90B7A" w:rsidP="00A90B7A">
      <w:pPr>
        <w:pStyle w:val="Prrafodelista"/>
        <w:rPr>
          <w:rFonts w:ascii="Palatino Linotype" w:hAnsi="Palatino Linotype"/>
          <w:sz w:val="24"/>
          <w:lang w:val="es-ES"/>
        </w:rPr>
      </w:pPr>
    </w:p>
    <w:p w14:paraId="3527D83B" w14:textId="28DB8432" w:rsidR="00A90B7A" w:rsidRPr="00A15DB7" w:rsidRDefault="00A90B7A" w:rsidP="00F77E2E">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Como resultado de lo anterior, se aprecia que las versiones públicas proporcionadas en respuesta son excesivas y a la vez restringen el derecho del recurrente a acceder a información pública.</w:t>
      </w:r>
    </w:p>
    <w:p w14:paraId="763205BD" w14:textId="77777777" w:rsidR="008E3CA2" w:rsidRPr="00A15DB7" w:rsidRDefault="008E3CA2" w:rsidP="008E3CA2">
      <w:pPr>
        <w:spacing w:line="360" w:lineRule="auto"/>
        <w:jc w:val="both"/>
        <w:rPr>
          <w:rFonts w:ascii="Palatino Linotype" w:hAnsi="Palatino Linotype" w:cs="Tahoma"/>
          <w:bCs/>
          <w:sz w:val="24"/>
          <w:szCs w:val="24"/>
          <w:lang w:val="es-ES"/>
        </w:rPr>
      </w:pPr>
    </w:p>
    <w:p w14:paraId="4A90B565" w14:textId="069E94CC" w:rsidR="00855DD6" w:rsidRDefault="000E7AB1" w:rsidP="00062CA2">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A15DB7">
        <w:rPr>
          <w:rFonts w:ascii="Palatino Linotype" w:hAnsi="Palatino Linotype" w:cs="Arial"/>
          <w:color w:val="000000" w:themeColor="text1"/>
          <w:sz w:val="24"/>
          <w:szCs w:val="24"/>
        </w:rPr>
        <w:t xml:space="preserve">En consecuencia, se ORDENA al Sujeto Obligado entregar de nueva cuenta los </w:t>
      </w:r>
      <w:r w:rsidR="00C32E4A">
        <w:rPr>
          <w:rFonts w:ascii="Palatino Linotype" w:hAnsi="Palatino Linotype" w:cs="Arial"/>
          <w:color w:val="000000" w:themeColor="text1"/>
          <w:sz w:val="24"/>
          <w:szCs w:val="24"/>
        </w:rPr>
        <w:t xml:space="preserve">recibos de nómina entregados en respuesta </w:t>
      </w:r>
      <w:r w:rsidR="00855DD6" w:rsidRPr="00A15DB7">
        <w:rPr>
          <w:rFonts w:ascii="Palatino Linotype" w:hAnsi="Palatino Linotype" w:cs="Arial"/>
          <w:color w:val="000000" w:themeColor="text1"/>
          <w:sz w:val="24"/>
          <w:szCs w:val="24"/>
        </w:rPr>
        <w:t>en una correcta versión pública conforme a lo establecido en el Considerando Cuarto de la presente resolución.</w:t>
      </w:r>
    </w:p>
    <w:p w14:paraId="5EAF379D" w14:textId="6A90C34B" w:rsidR="00A07EDA" w:rsidRDefault="00855DD6" w:rsidP="002C21F4">
      <w:pPr>
        <w:pStyle w:val="Ttulo1"/>
        <w:rPr>
          <w:rFonts w:ascii="Palatino Linotype" w:hAnsi="Palatino Linotype"/>
          <w:b/>
          <w:color w:val="auto"/>
          <w:sz w:val="24"/>
        </w:rPr>
      </w:pPr>
      <w:r>
        <w:rPr>
          <w:rFonts w:cs="Arial"/>
          <w:color w:val="000000" w:themeColor="text1"/>
        </w:rPr>
        <w:t xml:space="preserve"> </w:t>
      </w:r>
      <w:bookmarkStart w:id="47" w:name="_Toc82537187"/>
      <w:bookmarkStart w:id="48" w:name="_Toc83830734"/>
      <w:bookmarkStart w:id="49" w:name="_Toc85722946"/>
      <w:bookmarkStart w:id="50" w:name="_Toc86917950"/>
      <w:bookmarkStart w:id="51" w:name="_Toc88745518"/>
      <w:r w:rsidR="00A07EDA" w:rsidRPr="002C21F4">
        <w:rPr>
          <w:rFonts w:ascii="Palatino Linotype" w:hAnsi="Palatino Linotype"/>
          <w:b/>
          <w:color w:val="auto"/>
          <w:sz w:val="24"/>
        </w:rPr>
        <w:t>QUINTO. VERSIÓN PÚBLICA.</w:t>
      </w:r>
      <w:bookmarkEnd w:id="47"/>
      <w:bookmarkEnd w:id="48"/>
      <w:bookmarkEnd w:id="49"/>
      <w:bookmarkEnd w:id="50"/>
      <w:bookmarkEnd w:id="51"/>
    </w:p>
    <w:p w14:paraId="74D523B8" w14:textId="77777777" w:rsidR="002C21F4" w:rsidRPr="002C21F4" w:rsidRDefault="002C21F4" w:rsidP="002C21F4">
      <w:pPr>
        <w:rPr>
          <w:rFonts w:eastAsia="Calibri"/>
        </w:rPr>
      </w:pPr>
    </w:p>
    <w:p w14:paraId="7FB8D6A7" w14:textId="77777777" w:rsidR="00A07EDA" w:rsidRPr="00EA0EA7" w:rsidRDefault="00A07EDA" w:rsidP="00A07EDA">
      <w:pPr>
        <w:pStyle w:val="Ttulo1"/>
        <w:numPr>
          <w:ilvl w:val="0"/>
          <w:numId w:val="17"/>
        </w:numPr>
        <w:spacing w:before="0" w:line="360" w:lineRule="auto"/>
        <w:rPr>
          <w:rFonts w:ascii="Palatino Linotype" w:hAnsi="Palatino Linotype"/>
          <w:b/>
          <w:color w:val="000000" w:themeColor="text1"/>
          <w:sz w:val="24"/>
          <w:szCs w:val="24"/>
        </w:rPr>
      </w:pPr>
      <w:bookmarkStart w:id="52" w:name="_Toc48135362"/>
      <w:bookmarkStart w:id="53" w:name="_Toc82017070"/>
      <w:bookmarkStart w:id="54" w:name="_Toc82537188"/>
      <w:bookmarkStart w:id="55" w:name="_Toc83830735"/>
      <w:bookmarkStart w:id="56" w:name="_Toc85722947"/>
      <w:bookmarkStart w:id="57" w:name="_Toc86917951"/>
      <w:bookmarkStart w:id="58" w:name="_Toc88745519"/>
      <w:r w:rsidRPr="00EA0EA7">
        <w:rPr>
          <w:rFonts w:ascii="Palatino Linotype" w:hAnsi="Palatino Linotype" w:cs="Times New Roman"/>
          <w:b/>
          <w:color w:val="000000" w:themeColor="text1"/>
          <w:sz w:val="24"/>
          <w:szCs w:val="24"/>
          <w:lang w:eastAsia="es-ES_tradnl"/>
        </w:rPr>
        <w:t>Nociones generales.</w:t>
      </w:r>
      <w:bookmarkEnd w:id="52"/>
      <w:bookmarkEnd w:id="53"/>
      <w:bookmarkEnd w:id="54"/>
      <w:bookmarkEnd w:id="55"/>
      <w:bookmarkEnd w:id="56"/>
      <w:bookmarkEnd w:id="57"/>
      <w:bookmarkEnd w:id="58"/>
      <w:r w:rsidRPr="00EA0EA7">
        <w:rPr>
          <w:rFonts w:ascii="Palatino Linotype" w:hAnsi="Palatino Linotype" w:cs="Times New Roman"/>
          <w:b/>
          <w:color w:val="000000" w:themeColor="text1"/>
          <w:sz w:val="24"/>
          <w:szCs w:val="24"/>
          <w:lang w:eastAsia="es-ES_tradnl"/>
        </w:rPr>
        <w:t xml:space="preserve"> </w:t>
      </w:r>
    </w:p>
    <w:p w14:paraId="710FAF10" w14:textId="77777777" w:rsidR="00A07EDA" w:rsidRPr="000D77A7" w:rsidRDefault="00A07EDA" w:rsidP="00A07EDA">
      <w:pPr>
        <w:pStyle w:val="Prrafodelista"/>
        <w:tabs>
          <w:tab w:val="left" w:pos="426"/>
        </w:tabs>
        <w:spacing w:line="360" w:lineRule="auto"/>
        <w:ind w:left="0"/>
        <w:jc w:val="both"/>
        <w:rPr>
          <w:rFonts w:ascii="Palatino Linotype" w:eastAsia="MS Mincho" w:hAnsi="Palatino Linotype" w:cs="Arial"/>
          <w:color w:val="000000" w:themeColor="text1"/>
        </w:rPr>
      </w:pPr>
    </w:p>
    <w:p w14:paraId="01BBF652" w14:textId="77777777" w:rsidR="00A07EDA" w:rsidRPr="00A07EDA" w:rsidRDefault="00A07EDA" w:rsidP="00A07EDA">
      <w:pPr>
        <w:pStyle w:val="Prrafodelista"/>
        <w:numPr>
          <w:ilvl w:val="0"/>
          <w:numId w:val="2"/>
        </w:numPr>
        <w:spacing w:line="360" w:lineRule="auto"/>
        <w:ind w:left="0" w:right="49" w:firstLine="0"/>
        <w:jc w:val="both"/>
        <w:rPr>
          <w:rFonts w:ascii="Palatino Linotype" w:hAnsi="Palatino Linotype" w:cs="Arial"/>
          <w:color w:val="000000"/>
          <w:sz w:val="24"/>
        </w:rPr>
      </w:pPr>
      <w:r w:rsidRPr="00A07EDA">
        <w:rPr>
          <w:rFonts w:ascii="Palatino Linotype" w:hAnsi="Palatino Linotype" w:cs="Arial"/>
          <w:color w:val="000000"/>
          <w:sz w:val="24"/>
        </w:rPr>
        <w:t>Debe destacarse que, debido a la naturaleza de la información solicitada</w:t>
      </w:r>
      <w:r w:rsidRPr="00A07EDA">
        <w:rPr>
          <w:rFonts w:ascii="Palatino Linotype" w:hAnsi="Palatino Linotype" w:cs="Arial"/>
          <w:b/>
          <w:color w:val="000000"/>
          <w:sz w:val="24"/>
        </w:rPr>
        <w:t xml:space="preserve">, </w:t>
      </w:r>
      <w:r w:rsidRPr="00A07EDA">
        <w:rPr>
          <w:rFonts w:ascii="Palatino Linotype" w:hAnsi="Palatino Linotype" w:cs="Arial"/>
          <w:color w:val="000000"/>
          <w:sz w:val="24"/>
        </w:rPr>
        <w:t xml:space="preserve">eventualmente pudiera obrar datos personales susceptibles de protegerse, el </w:t>
      </w:r>
      <w:r w:rsidRPr="00A07EDA">
        <w:rPr>
          <w:rFonts w:ascii="Palatino Linotype" w:hAnsi="Palatino Linotype" w:cs="Arial"/>
          <w:b/>
          <w:bCs/>
          <w:color w:val="000000"/>
          <w:sz w:val="24"/>
        </w:rPr>
        <w:t xml:space="preserve">Sujeto </w:t>
      </w:r>
      <w:r w:rsidRPr="00A07EDA">
        <w:rPr>
          <w:rFonts w:ascii="Palatino Linotype" w:hAnsi="Palatino Linotype" w:cs="Arial"/>
          <w:b/>
          <w:bCs/>
          <w:color w:val="000000"/>
          <w:sz w:val="24"/>
        </w:rPr>
        <w:lastRenderedPageBreak/>
        <w:t xml:space="preserve">Obligado </w:t>
      </w:r>
      <w:r w:rsidRPr="00A07EDA">
        <w:rPr>
          <w:rFonts w:ascii="Palatino Linotype" w:hAnsi="Palatino Linotype" w:cs="Arial"/>
          <w:color w:val="000000"/>
          <w:sz w:val="24"/>
        </w:rPr>
        <w:t xml:space="preserve">deberá de hacer la adecuada versión pública, protegiendo los datos que no son susceptibles de ser proporcionados. </w:t>
      </w:r>
    </w:p>
    <w:p w14:paraId="22E564DC" w14:textId="77777777" w:rsidR="00A07EDA" w:rsidRPr="00A07EDA" w:rsidRDefault="00A07EDA" w:rsidP="00A07EDA">
      <w:pPr>
        <w:pStyle w:val="Prrafodelista"/>
        <w:spacing w:line="360" w:lineRule="auto"/>
        <w:ind w:left="0" w:right="49"/>
        <w:jc w:val="both"/>
        <w:rPr>
          <w:rFonts w:ascii="Palatino Linotype" w:hAnsi="Palatino Linotype" w:cs="Arial"/>
          <w:color w:val="000000"/>
          <w:sz w:val="24"/>
        </w:rPr>
      </w:pPr>
    </w:p>
    <w:p w14:paraId="555B00D3" w14:textId="77777777" w:rsidR="00A07EDA" w:rsidRPr="00A07EDA" w:rsidRDefault="00A07EDA" w:rsidP="00A07EDA">
      <w:pPr>
        <w:numPr>
          <w:ilvl w:val="0"/>
          <w:numId w:val="2"/>
        </w:numPr>
        <w:spacing w:line="360" w:lineRule="auto"/>
        <w:ind w:left="0" w:right="49" w:firstLine="0"/>
        <w:contextualSpacing/>
        <w:jc w:val="both"/>
        <w:rPr>
          <w:rFonts w:ascii="Palatino Linotype" w:hAnsi="Palatino Linotype" w:cs="Arial"/>
          <w:color w:val="000000"/>
          <w:sz w:val="24"/>
          <w:szCs w:val="24"/>
        </w:rPr>
      </w:pPr>
      <w:r w:rsidRPr="00A07EDA">
        <w:rPr>
          <w:rFonts w:ascii="Palatino Linotype" w:hAnsi="Palatino Linotype" w:cs="Arial"/>
          <w:color w:val="000000"/>
          <w:sz w:val="24"/>
          <w:szCs w:val="24"/>
        </w:rPr>
        <w:t xml:space="preserve">No pasa desapercibido para este Órgano Garante que los </w:t>
      </w:r>
      <w:r w:rsidRPr="00A07EDA">
        <w:rPr>
          <w:rFonts w:ascii="Palatino Linotype" w:hAnsi="Palatino Linotype" w:cs="Arial"/>
          <w:b/>
          <w:bCs/>
          <w:color w:val="000000"/>
          <w:sz w:val="24"/>
          <w:szCs w:val="24"/>
        </w:rPr>
        <w:t xml:space="preserve">Sujetos Obligados </w:t>
      </w:r>
      <w:r w:rsidRPr="00A07ED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F3B7246" w14:textId="77777777" w:rsidR="00A07EDA" w:rsidRPr="000D77A7" w:rsidRDefault="00A07EDA" w:rsidP="00A07ED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07EDA" w:rsidRPr="000D77A7" w14:paraId="2443DFBB" w14:textId="77777777" w:rsidTr="00A07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BB62E"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5EA8D8E0"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95053C"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5F68BF1"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5E63586B" w14:textId="77777777" w:rsidR="00A07EDA" w:rsidRPr="008A44D6" w:rsidRDefault="00A07EDA" w:rsidP="00A07E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 xml:space="preserve">no se puede hacer un acuerdo para clasificar de manera general todos los </w:t>
            </w:r>
            <w:r w:rsidRPr="008A44D6">
              <w:rPr>
                <w:rFonts w:ascii="Palatino Linotype" w:hAnsi="Palatino Linotype" w:cs="Arial"/>
                <w:b w:val="0"/>
                <w:bCs w:val="0"/>
                <w:color w:val="000000"/>
                <w:u w:val="single"/>
              </w:rPr>
              <w:lastRenderedPageBreak/>
              <w:t>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07EDA" w:rsidRPr="000D77A7" w14:paraId="15457A1A"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AEAE11F"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7FCB5A71"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759AEBE"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917516" w14:textId="77777777" w:rsidR="00A07EDA" w:rsidRPr="008A44D6" w:rsidRDefault="00A07EDA" w:rsidP="00A07E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7EDA" w:rsidRPr="000D77A7" w14:paraId="58AAACFF" w14:textId="77777777" w:rsidTr="00A07EDA">
        <w:tc>
          <w:tcPr>
            <w:cnfStyle w:val="001000000000" w:firstRow="0" w:lastRow="0" w:firstColumn="1" w:lastColumn="0" w:oddVBand="0" w:evenVBand="0" w:oddHBand="0" w:evenHBand="0" w:firstRowFirstColumn="0" w:firstRowLastColumn="0" w:lastRowFirstColumn="0" w:lastRowLastColumn="0"/>
            <w:tcW w:w="1838" w:type="dxa"/>
            <w:hideMark/>
          </w:tcPr>
          <w:p w14:paraId="2569F843"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6D65DA62"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777DCB5"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4C5AF660" w14:textId="77777777" w:rsidR="00A07EDA" w:rsidRPr="008A44D6" w:rsidRDefault="00A07EDA" w:rsidP="00A07E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7EDA" w:rsidRPr="000D77A7" w14:paraId="4F0A802F"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BB9099" w14:textId="77777777" w:rsidR="00A07EDA" w:rsidRPr="008A44D6" w:rsidRDefault="00A07EDA" w:rsidP="00A07EDA">
            <w:pPr>
              <w:spacing w:line="360" w:lineRule="auto"/>
              <w:rPr>
                <w:rFonts w:ascii="Palatino Linotype" w:hAnsi="Palatino Linotype"/>
                <w:b w:val="0"/>
              </w:rPr>
            </w:pPr>
            <w:bookmarkStart w:id="59" w:name="_GoBack"/>
          </w:p>
          <w:p w14:paraId="04A70EE2" w14:textId="77777777" w:rsidR="00A07EDA" w:rsidRPr="008A44D6" w:rsidRDefault="00A07EDA" w:rsidP="00A07EDA">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17F2AA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53898522"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C55998"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70AF9CD"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B1E28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 xml:space="preserve">Clave Única de Registro de Población (CURP), Registro Federal de Contribuyentes (R.F.C.), claves de seguros, préstamos o descuentos personales, secretos </w:t>
            </w:r>
            <w:r w:rsidRPr="008A44D6">
              <w:rPr>
                <w:rFonts w:ascii="Palatino Linotype" w:hAnsi="Palatino Linotype" w:cs="Arial"/>
                <w:color w:val="000000"/>
                <w:lang w:val="es-ES"/>
              </w:rPr>
              <w:lastRenderedPageBreak/>
              <w:t>bancario, fiduciario, industrial, comercial, fiscal, bursátil y postal, cuya titularidad corresponda a particulares, entre otros.</w:t>
            </w:r>
          </w:p>
        </w:tc>
      </w:tr>
      <w:bookmarkEnd w:id="59"/>
      <w:tr w:rsidR="00A07EDA" w:rsidRPr="000D77A7" w14:paraId="1DF59B2A" w14:textId="77777777" w:rsidTr="00A07EDA">
        <w:tc>
          <w:tcPr>
            <w:cnfStyle w:val="001000000000" w:firstRow="0" w:lastRow="0" w:firstColumn="1" w:lastColumn="0" w:oddVBand="0" w:evenVBand="0" w:oddHBand="0" w:evenHBand="0" w:firstRowFirstColumn="0" w:firstRowLastColumn="0" w:lastRowFirstColumn="0" w:lastRowLastColumn="0"/>
            <w:tcW w:w="1838" w:type="dxa"/>
          </w:tcPr>
          <w:p w14:paraId="60E46C1B" w14:textId="77777777" w:rsidR="00A07EDA" w:rsidRPr="008A44D6" w:rsidRDefault="00A07EDA" w:rsidP="00A07EDA">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36142A44"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EA6401B"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F617A4" w14:textId="77777777" w:rsidR="00A07EDA" w:rsidRPr="008A44D6" w:rsidRDefault="00A07EDA" w:rsidP="00A07E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86B3B5F" w14:textId="77777777" w:rsidR="00A90B7A" w:rsidRDefault="00A90B7A" w:rsidP="00A90B7A">
      <w:pPr>
        <w:pStyle w:val="Prrafodelista"/>
        <w:shd w:val="clear" w:color="auto" w:fill="FFFFFF"/>
        <w:spacing w:after="200" w:line="360" w:lineRule="auto"/>
        <w:ind w:left="0"/>
        <w:jc w:val="both"/>
        <w:rPr>
          <w:rFonts w:ascii="Palatino Linotype" w:hAnsi="Palatino Linotype" w:cs="Arial"/>
          <w:sz w:val="24"/>
        </w:rPr>
      </w:pPr>
    </w:p>
    <w:p w14:paraId="417911ED" w14:textId="77777777" w:rsidR="00A07EDA" w:rsidRDefault="00A07EDA" w:rsidP="00A07EDA">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EF4CD1">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138376" w14:textId="6ADCB397" w:rsidR="00DC2B02" w:rsidRDefault="00773C85" w:rsidP="00DC2B02">
      <w:pPr>
        <w:pStyle w:val="Ttulo1"/>
        <w:rPr>
          <w:rFonts w:ascii="Palatino Linotype" w:eastAsia="Calibri" w:hAnsi="Palatino Linotype"/>
          <w:b/>
          <w:color w:val="auto"/>
          <w:sz w:val="24"/>
          <w:szCs w:val="24"/>
        </w:rPr>
      </w:pPr>
      <w:bookmarkStart w:id="60" w:name="_Toc86917952"/>
      <w:bookmarkStart w:id="61" w:name="_Toc88745521"/>
      <w:r>
        <w:rPr>
          <w:rFonts w:ascii="Palatino Linotype" w:eastAsia="Calibri" w:hAnsi="Palatino Linotype"/>
          <w:b/>
          <w:color w:val="auto"/>
          <w:sz w:val="24"/>
          <w:szCs w:val="24"/>
        </w:rPr>
        <w:lastRenderedPageBreak/>
        <w:t>SEXTO</w:t>
      </w:r>
      <w:r w:rsidR="00CC4C0B">
        <w:rPr>
          <w:rFonts w:ascii="Palatino Linotype" w:eastAsia="Calibri" w:hAnsi="Palatino Linotype"/>
          <w:b/>
          <w:color w:val="auto"/>
          <w:sz w:val="24"/>
          <w:szCs w:val="24"/>
        </w:rPr>
        <w:t xml:space="preserve">. </w:t>
      </w:r>
      <w:r w:rsidR="005000AA" w:rsidRPr="00624AAD">
        <w:rPr>
          <w:rFonts w:ascii="Palatino Linotype" w:eastAsia="Calibri" w:hAnsi="Palatino Linotype"/>
          <w:b/>
          <w:color w:val="auto"/>
          <w:sz w:val="24"/>
          <w:szCs w:val="24"/>
        </w:rPr>
        <w:t>DECISIÓN.</w:t>
      </w:r>
      <w:bookmarkEnd w:id="60"/>
      <w:bookmarkEnd w:id="61"/>
    </w:p>
    <w:p w14:paraId="5E100B0A" w14:textId="77777777" w:rsidR="00DC2B02" w:rsidRPr="00DC2B02" w:rsidRDefault="00DC2B02" w:rsidP="00DC2B02">
      <w:pPr>
        <w:rPr>
          <w:rFonts w:eastAsia="Calibri"/>
        </w:rPr>
      </w:pPr>
    </w:p>
    <w:p w14:paraId="2F4D1F08" w14:textId="25DC67D2" w:rsidR="00855DD6" w:rsidRDefault="00A07EDA"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La respuesta que emitió el Sujeto Obligado colmó parcialmente los requerimientos del par</w:t>
      </w:r>
      <w:r w:rsidR="00855DD6">
        <w:rPr>
          <w:rFonts w:ascii="Palatino Linotype" w:eastAsia="Calibri" w:hAnsi="Palatino Linotype" w:cs="Arial"/>
          <w:sz w:val="24"/>
        </w:rPr>
        <w:t>ticular, porque si bien es cierto, proporcionó la información requerida, también lo es que la entregó en versión pública; sin embargo, esta fue excesiva por testar información que es considerada como pública, restringiendo el derecho del Recurrente.</w:t>
      </w:r>
    </w:p>
    <w:p w14:paraId="3B614F9E" w14:textId="77777777" w:rsidR="003419BA" w:rsidRDefault="003419BA" w:rsidP="003419BA">
      <w:pPr>
        <w:pStyle w:val="Prrafodelista"/>
        <w:tabs>
          <w:tab w:val="left" w:pos="567"/>
        </w:tabs>
        <w:spacing w:line="360" w:lineRule="auto"/>
        <w:ind w:left="0"/>
        <w:jc w:val="both"/>
        <w:rPr>
          <w:rFonts w:ascii="Palatino Linotype" w:eastAsia="Calibri" w:hAnsi="Palatino Linotype" w:cs="Arial"/>
          <w:sz w:val="24"/>
        </w:rPr>
      </w:pPr>
    </w:p>
    <w:p w14:paraId="6926790D" w14:textId="4E8E4EF0" w:rsidR="003419BA" w:rsidRDefault="003419BA"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Por lo que corresponde a la declaración de incompetencia, se determinó que en efecto, es información que corresponde a otro Sujeto Obligado.</w:t>
      </w:r>
    </w:p>
    <w:p w14:paraId="35C4AEDE" w14:textId="77777777" w:rsidR="00855DD6" w:rsidRDefault="00855DD6" w:rsidP="00855DD6">
      <w:pPr>
        <w:pStyle w:val="Prrafodelista"/>
        <w:tabs>
          <w:tab w:val="left" w:pos="567"/>
        </w:tabs>
        <w:spacing w:line="360" w:lineRule="auto"/>
        <w:ind w:left="0"/>
        <w:jc w:val="both"/>
        <w:rPr>
          <w:rFonts w:ascii="Palatino Linotype" w:eastAsia="Calibri" w:hAnsi="Palatino Linotype" w:cs="Arial"/>
          <w:sz w:val="24"/>
        </w:rPr>
      </w:pPr>
    </w:p>
    <w:p w14:paraId="1387B437" w14:textId="4BCBEBEB" w:rsidR="00855DD6" w:rsidRDefault="00855DD6"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En consecuencia, resultaron </w:t>
      </w:r>
      <w:r w:rsidR="003419BA">
        <w:rPr>
          <w:rFonts w:ascii="Palatino Linotype" w:eastAsia="Calibri" w:hAnsi="Palatino Linotype" w:cs="Arial"/>
          <w:sz w:val="24"/>
        </w:rPr>
        <w:t xml:space="preserve">parcialmente </w:t>
      </w:r>
      <w:r>
        <w:rPr>
          <w:rFonts w:ascii="Palatino Linotype" w:eastAsia="Calibri" w:hAnsi="Palatino Linotype" w:cs="Arial"/>
          <w:sz w:val="24"/>
        </w:rPr>
        <w:t>fundadas las razones o motivos de inconformidad hechos valer por el Recurrente y se ORDENÓ entregar nuevamente la información requerida, en una correcta versión pública.</w:t>
      </w:r>
    </w:p>
    <w:p w14:paraId="4790A14E" w14:textId="77777777" w:rsidR="00C32E4A" w:rsidRPr="00C32E4A" w:rsidRDefault="00C32E4A" w:rsidP="00C32E4A">
      <w:pPr>
        <w:pStyle w:val="Prrafodelista"/>
        <w:rPr>
          <w:rFonts w:ascii="Palatino Linotype" w:eastAsia="Calibri" w:hAnsi="Palatino Linotype" w:cs="Arial"/>
          <w:sz w:val="24"/>
        </w:rPr>
      </w:pPr>
    </w:p>
    <w:bookmarkEnd w:id="33"/>
    <w:p w14:paraId="18814E0F" w14:textId="77777777" w:rsidR="005000AA" w:rsidRPr="00624AA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24AAD">
        <w:rPr>
          <w:rFonts w:ascii="Palatino Linotype" w:hAnsi="Palatino Linotype" w:cs="Arial"/>
          <w:color w:val="222222"/>
          <w:sz w:val="24"/>
          <w:lang w:eastAsia="es-MX"/>
        </w:rPr>
        <w:t xml:space="preserve">Por lo anteriormente expuesto y fundado, este </w:t>
      </w:r>
      <w:r w:rsidRPr="00624AAD">
        <w:rPr>
          <w:rFonts w:ascii="Palatino Linotype" w:hAnsi="Palatino Linotype" w:cs="Arial"/>
          <w:b/>
          <w:bCs/>
          <w:color w:val="222222"/>
          <w:sz w:val="24"/>
          <w:lang w:eastAsia="es-MX"/>
        </w:rPr>
        <w:t>ÓRGANO GARANTE</w:t>
      </w:r>
      <w:r w:rsidRPr="00624AAD">
        <w:rPr>
          <w:rFonts w:ascii="Palatino Linotype" w:hAnsi="Palatino Linotype" w:cs="Arial"/>
          <w:color w:val="222222"/>
          <w:sz w:val="24"/>
          <w:lang w:eastAsia="es-MX"/>
        </w:rPr>
        <w:t xml:space="preserve"> emite los siguientes:</w:t>
      </w:r>
    </w:p>
    <w:p w14:paraId="63A345E7" w14:textId="77777777" w:rsidR="00495DAC" w:rsidRDefault="00495DAC"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62" w:name="_Toc4061692"/>
      <w:bookmarkStart w:id="63" w:name="_Toc486525261"/>
      <w:bookmarkStart w:id="64" w:name="_Toc445745148"/>
      <w:bookmarkStart w:id="65" w:name="_Toc447699324"/>
      <w:bookmarkStart w:id="66" w:name="_Toc86917953"/>
      <w:bookmarkStart w:id="67" w:name="_Toc88745522"/>
      <w:r w:rsidRPr="00624AAD">
        <w:rPr>
          <w:rFonts w:ascii="Palatino Linotype" w:hAnsi="Palatino Linotype"/>
          <w:b/>
          <w:color w:val="auto"/>
          <w:sz w:val="24"/>
          <w:szCs w:val="24"/>
        </w:rPr>
        <w:lastRenderedPageBreak/>
        <w:t>R E S O L U T I V O S</w:t>
      </w:r>
      <w:bookmarkEnd w:id="62"/>
      <w:bookmarkEnd w:id="63"/>
      <w:bookmarkEnd w:id="64"/>
      <w:bookmarkEnd w:id="65"/>
      <w:bookmarkEnd w:id="66"/>
      <w:bookmarkEnd w:id="67"/>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326A6824" w14:textId="4F2DB384"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Resultan fundadas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AA12A0" w:rsidRPr="00AA12A0">
        <w:rPr>
          <w:rFonts w:ascii="Palatino Linotype" w:eastAsia="Calibri" w:hAnsi="Palatino Linotype" w:cs="Tahoma"/>
          <w:b/>
          <w:bCs/>
          <w:sz w:val="24"/>
          <w:szCs w:val="22"/>
          <w:lang w:eastAsia="en-US"/>
        </w:rPr>
        <w:t>05183/INFOEM/IP/RR/2021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en términos de</w:t>
      </w:r>
      <w:r w:rsidR="00A36977">
        <w:rPr>
          <w:rFonts w:ascii="Palatino Linotype" w:hAnsi="Palatino Linotype" w:cs="Arial"/>
          <w:bCs/>
          <w:sz w:val="24"/>
          <w:szCs w:val="24"/>
        </w:rPr>
        <w:t xml:space="preserve"> </w:t>
      </w:r>
      <w:r w:rsidRPr="000D77A7">
        <w:rPr>
          <w:rFonts w:ascii="Palatino Linotype" w:hAnsi="Palatino Linotype" w:cs="Arial"/>
          <w:bCs/>
          <w:sz w:val="24"/>
          <w:szCs w:val="24"/>
        </w:rPr>
        <w:t>l</w:t>
      </w:r>
      <w:r w:rsidR="00A36977">
        <w:rPr>
          <w:rFonts w:ascii="Palatino Linotype" w:hAnsi="Palatino Linotype" w:cs="Arial"/>
          <w:bCs/>
          <w:sz w:val="24"/>
          <w:szCs w:val="24"/>
        </w:rPr>
        <w:t>os</w:t>
      </w:r>
      <w:r w:rsidRPr="000D77A7">
        <w:rPr>
          <w:rFonts w:ascii="Palatino Linotype" w:hAnsi="Palatino Linotype" w:cs="Arial"/>
          <w:bCs/>
          <w:sz w:val="24"/>
          <w:szCs w:val="24"/>
        </w:rPr>
        <w:t xml:space="preserve"> considerando</w:t>
      </w:r>
      <w:r w:rsidR="00A36977">
        <w:rPr>
          <w:rFonts w:ascii="Palatino Linotype" w:hAnsi="Palatino Linotype" w:cs="Arial"/>
          <w:bCs/>
          <w:sz w:val="24"/>
          <w:szCs w:val="24"/>
        </w:rPr>
        <w:t>s</w:t>
      </w:r>
      <w:r w:rsidRPr="000D77A7">
        <w:rPr>
          <w:rFonts w:ascii="Palatino Linotype" w:hAnsi="Palatino Linotype" w:cs="Arial"/>
          <w:bCs/>
          <w:sz w:val="24"/>
          <w:szCs w:val="24"/>
        </w:rPr>
        <w:t xml:space="preserve"> </w:t>
      </w:r>
      <w:r w:rsidRPr="000D77A7">
        <w:rPr>
          <w:rFonts w:ascii="Palatino Linotype" w:hAnsi="Palatino Linotype" w:cs="Arial"/>
          <w:b/>
          <w:bCs/>
          <w:sz w:val="24"/>
          <w:szCs w:val="24"/>
        </w:rPr>
        <w:t>CUARTO</w:t>
      </w:r>
      <w:r w:rsidR="00A36977">
        <w:rPr>
          <w:rFonts w:ascii="Palatino Linotype" w:hAnsi="Palatino Linotype" w:cs="Arial"/>
          <w:b/>
          <w:bCs/>
          <w:sz w:val="24"/>
          <w:szCs w:val="24"/>
        </w:rPr>
        <w:t xml:space="preserve"> y </w:t>
      </w:r>
      <w:r w:rsidR="00A36977" w:rsidRPr="00A36977">
        <w:rPr>
          <w:rFonts w:ascii="Palatino Linotype" w:hAnsi="Palatino Linotype" w:cs="Arial"/>
          <w:b/>
          <w:bCs/>
          <w:sz w:val="24"/>
          <w:szCs w:val="24"/>
        </w:rPr>
        <w:t>QUINTO</w:t>
      </w:r>
      <w:r w:rsidRPr="000D77A7">
        <w:rPr>
          <w:rFonts w:ascii="Palatino Linotype" w:hAnsi="Palatino Linotype" w:cs="Arial"/>
          <w:bCs/>
          <w:sz w:val="24"/>
          <w:szCs w:val="24"/>
        </w:rPr>
        <w:t xml:space="preserve"> de la presente resolución.</w:t>
      </w:r>
    </w:p>
    <w:p w14:paraId="372A0DBD" w14:textId="5E52EC5B"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CC6730" w:rsidRPr="00CC6730">
        <w:rPr>
          <w:rFonts w:ascii="Palatino Linotype" w:eastAsia="Calibri" w:hAnsi="Palatino Linotype" w:cs="Arial"/>
          <w:b/>
          <w:sz w:val="24"/>
          <w:szCs w:val="24"/>
          <w:lang w:val="es-ES"/>
        </w:rPr>
        <w:t>MODIFICA</w:t>
      </w:r>
      <w:r w:rsidR="00CC6730">
        <w:rPr>
          <w:rFonts w:ascii="Palatino Linotype" w:eastAsia="Calibri" w:hAnsi="Palatino Linotype" w:cs="Arial"/>
          <w:sz w:val="24"/>
          <w:szCs w:val="24"/>
          <w:lang w:val="es-ES"/>
        </w:rPr>
        <w:t xml:space="preserve"> </w:t>
      </w:r>
      <w:r w:rsidRPr="000D77A7">
        <w:rPr>
          <w:rFonts w:ascii="Palatino Linotype" w:eastAsia="Calibri" w:hAnsi="Palatino Linotype" w:cs="Arial"/>
          <w:sz w:val="24"/>
          <w:szCs w:val="24"/>
          <w:lang w:val="es-ES"/>
        </w:rPr>
        <w:t xml:space="preserve">la respuesta emitida por el </w:t>
      </w:r>
      <w:r w:rsidR="00AA12A0" w:rsidRPr="00AA12A0">
        <w:rPr>
          <w:rFonts w:ascii="Palatino Linotype" w:eastAsia="Calibri" w:hAnsi="Palatino Linotype" w:cs="Tahoma"/>
          <w:b/>
          <w:sz w:val="24"/>
          <w:szCs w:val="22"/>
          <w:lang w:eastAsia="en-US"/>
        </w:rPr>
        <w:t>Sistema Municipal Para el Desarrollo Integral de la Familia de Tianguistenco</w:t>
      </w:r>
      <w:r w:rsidRPr="00806ABD">
        <w:rPr>
          <w:rFonts w:ascii="Palatino Linotype" w:eastAsia="Calibri" w:hAnsi="Palatino Linotype" w:cs="Arial"/>
          <w:b/>
          <w:sz w:val="24"/>
          <w:szCs w:val="24"/>
          <w:lang w:val="es-E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Pr="000D77A7">
        <w:rPr>
          <w:rFonts w:ascii="Palatino Linotype" w:hAnsi="Palatino Linotype" w:cs="Arial"/>
          <w:sz w:val="24"/>
          <w:szCs w:val="24"/>
          <w:lang w:val="es-ES"/>
        </w:rPr>
        <w:t>,</w:t>
      </w:r>
      <w:r w:rsidR="00A15DB7">
        <w:rPr>
          <w:rFonts w:ascii="Palatino Linotype" w:hAnsi="Palatino Linotype" w:cs="Arial"/>
          <w:sz w:val="24"/>
          <w:szCs w:val="24"/>
          <w:lang w:val="es-ES"/>
        </w:rPr>
        <w:t xml:space="preserve"> en versión pública,</w:t>
      </w:r>
      <w:r w:rsidR="000F6966">
        <w:rPr>
          <w:rFonts w:ascii="Palatino Linotype" w:hAnsi="Palatino Linotype" w:cs="Arial"/>
          <w:sz w:val="24"/>
          <w:szCs w:val="24"/>
          <w:lang w:val="es-ES"/>
        </w:rPr>
        <w:t xml:space="preserve"> </w:t>
      </w:r>
      <w:r w:rsidR="00A15DB7">
        <w:rPr>
          <w:rFonts w:ascii="Palatino Linotype" w:hAnsi="Palatino Linotype" w:cs="Arial"/>
          <w:sz w:val="24"/>
          <w:szCs w:val="24"/>
          <w:lang w:val="es-ES"/>
        </w:rPr>
        <w:t>la siguiente información</w:t>
      </w:r>
      <w:r w:rsidRPr="000D77A7">
        <w:rPr>
          <w:rFonts w:ascii="Palatino Linotype" w:hAnsi="Palatino Linotype" w:cs="Arial"/>
          <w:sz w:val="24"/>
          <w:szCs w:val="24"/>
          <w:lang w:val="es-ES"/>
        </w:rPr>
        <w:t>:</w:t>
      </w:r>
    </w:p>
    <w:p w14:paraId="108968BB" w14:textId="2F393DF7" w:rsidR="0019375E" w:rsidRPr="0019375E" w:rsidRDefault="00C6784C" w:rsidP="000F6966">
      <w:pPr>
        <w:pStyle w:val="Prrafodelista"/>
        <w:numPr>
          <w:ilvl w:val="0"/>
          <w:numId w:val="16"/>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sz w:val="24"/>
        </w:rPr>
        <w:t xml:space="preserve">Recibos de nómina del Tesorero y del Director del </w:t>
      </w:r>
      <w:r w:rsidR="00AA12A0" w:rsidRPr="00AA12A0">
        <w:rPr>
          <w:rFonts w:ascii="Palatino Linotype" w:eastAsia="Calibri" w:hAnsi="Palatino Linotype" w:cs="Tahoma"/>
          <w:b/>
          <w:sz w:val="24"/>
          <w:szCs w:val="22"/>
          <w:lang w:eastAsia="en-US"/>
        </w:rPr>
        <w:t>Sistema Municipal Para el Desarrollo Integral de la Familia de Tianguistenco</w:t>
      </w:r>
      <w:r w:rsidR="0019375E">
        <w:rPr>
          <w:rFonts w:ascii="Palatino Linotype" w:hAnsi="Palatino Linotype" w:cs="Arial"/>
          <w:b/>
          <w:sz w:val="24"/>
        </w:rPr>
        <w:t xml:space="preserve"> correspondiente a la segunda quincena del mes de </w:t>
      </w:r>
      <w:r>
        <w:rPr>
          <w:rFonts w:ascii="Palatino Linotype" w:hAnsi="Palatino Linotype" w:cs="Arial"/>
          <w:b/>
          <w:sz w:val="24"/>
        </w:rPr>
        <w:t>agosto</w:t>
      </w:r>
      <w:r w:rsidR="0019375E">
        <w:rPr>
          <w:rFonts w:ascii="Palatino Linotype" w:hAnsi="Palatino Linotype" w:cs="Arial"/>
          <w:b/>
          <w:sz w:val="24"/>
        </w:rPr>
        <w:t xml:space="preserve"> de dos mil veint</w:t>
      </w:r>
      <w:r w:rsidR="00D322F5">
        <w:rPr>
          <w:rFonts w:ascii="Palatino Linotype" w:hAnsi="Palatino Linotype" w:cs="Arial"/>
          <w:b/>
          <w:sz w:val="24"/>
        </w:rPr>
        <w:t>iuno</w:t>
      </w:r>
      <w:r w:rsidR="0019375E">
        <w:rPr>
          <w:rFonts w:ascii="Palatino Linotype" w:hAnsi="Palatino Linotype" w:cs="Arial"/>
          <w:b/>
          <w:sz w:val="24"/>
        </w:rPr>
        <w:t>, en una correcta versión pública.</w:t>
      </w:r>
    </w:p>
    <w:p w14:paraId="2FA4B80E" w14:textId="77777777" w:rsidR="00A15DB7" w:rsidRPr="00A15DB7" w:rsidRDefault="00A15DB7" w:rsidP="00A15DB7">
      <w:pPr>
        <w:spacing w:line="360" w:lineRule="auto"/>
        <w:jc w:val="both"/>
        <w:rPr>
          <w:rFonts w:ascii="Palatino Linotype" w:eastAsia="Calibri" w:hAnsi="Palatino Linotype" w:cs="Arial"/>
          <w:sz w:val="24"/>
        </w:rPr>
      </w:pPr>
      <w:r w:rsidRPr="00A15DB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5DE63BA" w14:textId="77777777" w:rsidR="00A15DB7" w:rsidRDefault="00A15DB7"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lastRenderedPageBreak/>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4E0E4781" w:rsidR="00806ABD" w:rsidRPr="000D77A7"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sidR="00AA12A0">
        <w:rPr>
          <w:rFonts w:ascii="Palatino Linotype" w:hAnsi="Palatino Linotype"/>
          <w:color w:val="222222"/>
          <w:sz w:val="24"/>
          <w:szCs w:val="24"/>
          <w:lang w:val="es-ES"/>
        </w:rPr>
        <w:t xml:space="preserve">l </w:t>
      </w:r>
      <w:r w:rsidR="00AA12A0" w:rsidRPr="00AA12A0">
        <w:rPr>
          <w:rFonts w:ascii="Palatino Linotype" w:hAnsi="Palatino Linotype"/>
          <w:b/>
          <w:color w:val="222222"/>
          <w:sz w:val="24"/>
          <w:szCs w:val="24"/>
          <w:lang w:val="es-ES"/>
        </w:rPr>
        <w:t>RECURRENTE</w:t>
      </w:r>
      <w:r w:rsidR="003E47E0">
        <w:rPr>
          <w:rFonts w:ascii="Palatino Linotype" w:hAnsi="Palatino Linotype"/>
          <w:sz w:val="24"/>
          <w:szCs w:val="24"/>
        </w:rPr>
        <w:t xml:space="preserve"> la presente resolución a través del Sistema de Acceso a la Información Mexiquense </w:t>
      </w:r>
      <w:r w:rsidR="003E47E0" w:rsidRPr="003E47E0">
        <w:rPr>
          <w:rFonts w:ascii="Palatino Linotype" w:hAnsi="Palatino Linotype"/>
          <w:b/>
          <w:sz w:val="24"/>
          <w:szCs w:val="24"/>
        </w:rPr>
        <w:t>(SAIMEX)</w:t>
      </w:r>
      <w:r w:rsidR="003E47E0">
        <w:rPr>
          <w:rFonts w:ascii="Palatino Linotype" w:hAnsi="Palatino Linotype"/>
          <w:b/>
          <w:sz w:val="24"/>
          <w:szCs w:val="24"/>
        </w:rPr>
        <w:t>.</w:t>
      </w:r>
    </w:p>
    <w:p w14:paraId="2039ECB0" w14:textId="77777777" w:rsidR="00806ABD" w:rsidRPr="000D77A7" w:rsidRDefault="00806ABD" w:rsidP="00806ABD">
      <w:pPr>
        <w:shd w:val="clear" w:color="auto" w:fill="FFFFFF"/>
        <w:spacing w:line="360" w:lineRule="auto"/>
        <w:jc w:val="both"/>
        <w:rPr>
          <w:rFonts w:ascii="Palatino Linotype" w:hAnsi="Palatino Linotype"/>
          <w:sz w:val="24"/>
          <w:szCs w:val="24"/>
        </w:rPr>
      </w:pPr>
    </w:p>
    <w:p w14:paraId="2B538C75" w14:textId="5685F284" w:rsidR="002A5191" w:rsidRDefault="00806ABD" w:rsidP="002A5191">
      <w:pPr>
        <w:spacing w:line="360" w:lineRule="auto"/>
        <w:jc w:val="both"/>
        <w:rPr>
          <w:rFonts w:ascii="Palatino Linotype" w:hAnsi="Palatino Linotype"/>
          <w:color w:val="222222"/>
          <w:sz w:val="24"/>
          <w:szCs w:val="24"/>
          <w:shd w:val="clear" w:color="auto" w:fill="FFFFFF"/>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00A36977">
        <w:rPr>
          <w:rFonts w:ascii="Palatino Linotype" w:eastAsia="MS Mincho" w:hAnsi="Palatino Linotype"/>
          <w:sz w:val="24"/>
          <w:szCs w:val="24"/>
          <w:lang w:val="es-ES"/>
        </w:rPr>
        <w:t>Se hace del conocimiento de</w:t>
      </w:r>
      <w:r w:rsidR="00AA12A0">
        <w:rPr>
          <w:rFonts w:ascii="Palatino Linotype" w:eastAsia="MS Mincho" w:hAnsi="Palatino Linotype"/>
          <w:sz w:val="24"/>
          <w:szCs w:val="24"/>
          <w:lang w:val="es-ES"/>
        </w:rPr>
        <w:t xml:space="preserve">l </w:t>
      </w:r>
      <w:r w:rsidR="00AA12A0" w:rsidRPr="00AA12A0">
        <w:rPr>
          <w:rFonts w:ascii="Palatino Linotype" w:eastAsia="MS Mincho" w:hAnsi="Palatino Linotype"/>
          <w:b/>
          <w:sz w:val="24"/>
          <w:szCs w:val="24"/>
          <w:lang w:val="es-ES"/>
        </w:rPr>
        <w:t>RECURRENTE</w:t>
      </w:r>
      <w:r w:rsidRPr="00E65B7C">
        <w:rPr>
          <w:rFonts w:ascii="Palatino Linotype" w:eastAsia="MS Mincho" w:hAnsi="Palatino Linotype"/>
          <w:sz w:val="28"/>
          <w:szCs w:val="24"/>
          <w:lang w:val="es-ES"/>
        </w:rPr>
        <w:t xml:space="preserve"> </w:t>
      </w:r>
      <w:r w:rsidRPr="002A5191">
        <w:rPr>
          <w:rFonts w:ascii="Palatino Linotype" w:eastAsia="MS Mincho" w:hAnsi="Palatino Linotype"/>
          <w:sz w:val="24"/>
          <w:szCs w:val="24"/>
          <w:lang w:val="es-ES"/>
        </w:rPr>
        <w:t>que, de conformidad con lo establecido en el artículo 196 de la Ley de Transparencia y Acceso a la Información Pública del</w:t>
      </w:r>
      <w:r w:rsidR="002A5191" w:rsidRPr="002A5191">
        <w:rPr>
          <w:rFonts w:ascii="Palatino Linotype" w:eastAsia="MS Mincho" w:hAnsi="Palatino Linotype"/>
          <w:sz w:val="24"/>
          <w:szCs w:val="24"/>
          <w:lang w:val="es-ES"/>
        </w:rPr>
        <w:t xml:space="preserve"> Estado de México y Municipios</w:t>
      </w:r>
      <w:r w:rsidR="00DC2B02">
        <w:rPr>
          <w:rFonts w:ascii="Palatino Linotype" w:eastAsia="MS Mincho" w:hAnsi="Palatino Linotype"/>
          <w:sz w:val="24"/>
          <w:szCs w:val="24"/>
          <w:lang w:val="es-ES"/>
        </w:rPr>
        <w:t>,</w:t>
      </w:r>
      <w:r w:rsidR="002A5191" w:rsidRPr="00FC1EEB">
        <w:rPr>
          <w:rFonts w:ascii="Palatino Linotype" w:hAnsi="Palatino Linotype"/>
          <w:color w:val="000000"/>
          <w:sz w:val="24"/>
          <w:szCs w:val="24"/>
          <w:shd w:val="clear" w:color="auto" w:fill="FFFFFF"/>
        </w:rPr>
        <w:t xml:space="preserve"> en caso de que considere 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5A43F1AB" w14:textId="77777777" w:rsidR="003419BA" w:rsidRDefault="003419BA" w:rsidP="002A5191">
      <w:pPr>
        <w:spacing w:line="360" w:lineRule="auto"/>
        <w:jc w:val="both"/>
        <w:rPr>
          <w:rFonts w:ascii="Palatino Linotype" w:hAnsi="Palatino Linotype"/>
          <w:color w:val="222222"/>
          <w:sz w:val="24"/>
          <w:szCs w:val="24"/>
          <w:shd w:val="clear" w:color="auto" w:fill="FFFFFF"/>
          <w:lang w:val="es-ES"/>
        </w:rPr>
      </w:pPr>
    </w:p>
    <w:p w14:paraId="335C0AA3" w14:textId="273C350D" w:rsidR="005000AA" w:rsidRPr="00380BDB" w:rsidRDefault="005000AA" w:rsidP="005000AA">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41EE1" w:rsidRPr="00941EE1">
        <w:rPr>
          <w:rFonts w:ascii="Palatino Linotype" w:hAnsi="Palatino Linotype"/>
          <w:sz w:val="24"/>
          <w:szCs w:val="24"/>
        </w:rPr>
        <w:t xml:space="preserve">CUADRAGÉSIMA </w:t>
      </w:r>
      <w:r w:rsidR="003419BA">
        <w:rPr>
          <w:rFonts w:ascii="Palatino Linotype" w:hAnsi="Palatino Linotype"/>
          <w:sz w:val="24"/>
          <w:szCs w:val="24"/>
        </w:rPr>
        <w:t>TERCERA</w:t>
      </w:r>
      <w:r w:rsidR="00941EE1" w:rsidRPr="00941EE1">
        <w:rPr>
          <w:rFonts w:ascii="Palatino Linotype" w:hAnsi="Palatino Linotype"/>
          <w:sz w:val="24"/>
          <w:szCs w:val="24"/>
        </w:rPr>
        <w:t xml:space="preserve"> ORDINARIA CELEBRADA EL </w:t>
      </w:r>
      <w:r w:rsidR="003419BA">
        <w:rPr>
          <w:rFonts w:ascii="Palatino Linotype" w:hAnsi="Palatino Linotype"/>
          <w:sz w:val="24"/>
          <w:szCs w:val="24"/>
        </w:rPr>
        <w:t>UNO</w:t>
      </w:r>
      <w:r w:rsidR="00941EE1" w:rsidRPr="00941EE1">
        <w:rPr>
          <w:rFonts w:ascii="Palatino Linotype" w:hAnsi="Palatino Linotype"/>
          <w:sz w:val="24"/>
          <w:szCs w:val="24"/>
        </w:rPr>
        <w:t xml:space="preserve"> (1) DE </w:t>
      </w:r>
      <w:r w:rsidR="003419BA">
        <w:rPr>
          <w:rFonts w:ascii="Palatino Linotype" w:hAnsi="Palatino Linotype"/>
          <w:sz w:val="24"/>
          <w:szCs w:val="24"/>
        </w:rPr>
        <w:t>DICIEMBRE</w:t>
      </w:r>
      <w:r w:rsidR="00941EE1" w:rsidRPr="00941EE1">
        <w:rPr>
          <w:rFonts w:ascii="Palatino Linotype" w:hAnsi="Palatino Linotype"/>
          <w:sz w:val="24"/>
          <w:szCs w:val="24"/>
        </w:rPr>
        <w:t xml:space="preserve"> DE DOS MIL VEINTIUNO,</w:t>
      </w:r>
      <w:r w:rsidRPr="00380BDB">
        <w:rPr>
          <w:rFonts w:ascii="Palatino Linotype" w:hAnsi="Palatino Linotype"/>
          <w:sz w:val="24"/>
          <w:szCs w:val="24"/>
        </w:rPr>
        <w:t xml:space="preserve">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9"/>
      <w:headerReference w:type="default" r:id="rId20"/>
      <w:footerReference w:type="default" r:id="rId21"/>
      <w:headerReference w:type="first" r:id="rId22"/>
      <w:footerReference w:type="first" r:id="rId2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9D834" w14:textId="77777777" w:rsidR="006E5197" w:rsidRDefault="006E5197">
      <w:r>
        <w:separator/>
      </w:r>
    </w:p>
  </w:endnote>
  <w:endnote w:type="continuationSeparator" w:id="0">
    <w:p w14:paraId="783AF0EC" w14:textId="77777777" w:rsidR="006E5197" w:rsidRDefault="006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F77E2E" w:rsidRDefault="00F77E2E">
            <w:pPr>
              <w:pStyle w:val="Piedepgina"/>
              <w:jc w:val="right"/>
            </w:pPr>
          </w:p>
          <w:p w14:paraId="1F7A191C" w14:textId="2A69F491" w:rsidR="00F77E2E" w:rsidRDefault="00F77E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3949">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3949">
              <w:rPr>
                <w:b/>
                <w:bCs/>
                <w:noProof/>
              </w:rPr>
              <w:t>44</w:t>
            </w:r>
            <w:r>
              <w:rPr>
                <w:b/>
                <w:bCs/>
                <w:sz w:val="24"/>
                <w:szCs w:val="24"/>
              </w:rPr>
              <w:fldChar w:fldCharType="end"/>
            </w:r>
          </w:p>
        </w:sdtContent>
      </w:sdt>
    </w:sdtContent>
  </w:sdt>
  <w:p w14:paraId="2A221972" w14:textId="77777777" w:rsidR="00F77E2E" w:rsidRDefault="00F77E2E">
    <w:pPr>
      <w:pStyle w:val="Piedepgina"/>
    </w:pPr>
  </w:p>
  <w:p w14:paraId="1D6FF208" w14:textId="77777777" w:rsidR="00F77E2E" w:rsidRDefault="00F77E2E"/>
  <w:p w14:paraId="70055CD7" w14:textId="77777777" w:rsidR="00F77E2E" w:rsidRDefault="00F77E2E"/>
  <w:p w14:paraId="5452645F" w14:textId="77777777" w:rsidR="00F77E2E" w:rsidRDefault="00F77E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F77E2E" w:rsidRDefault="00F77E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394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3949">
              <w:rPr>
                <w:b/>
                <w:bCs/>
                <w:noProof/>
              </w:rPr>
              <w:t>44</w:t>
            </w:r>
            <w:r>
              <w:rPr>
                <w:b/>
                <w:bCs/>
                <w:sz w:val="24"/>
                <w:szCs w:val="24"/>
              </w:rPr>
              <w:fldChar w:fldCharType="end"/>
            </w:r>
          </w:p>
        </w:sdtContent>
      </w:sdt>
    </w:sdtContent>
  </w:sdt>
  <w:p w14:paraId="2D12AEB2" w14:textId="77777777" w:rsidR="00F77E2E" w:rsidRDefault="00F77E2E">
    <w:pPr>
      <w:pStyle w:val="Piedepgina"/>
    </w:pPr>
  </w:p>
  <w:p w14:paraId="54227169" w14:textId="77777777" w:rsidR="00F77E2E" w:rsidRDefault="00F77E2E"/>
  <w:p w14:paraId="7DE40FB1" w14:textId="77777777" w:rsidR="00F77E2E" w:rsidRDefault="00F77E2E"/>
  <w:p w14:paraId="33755E87" w14:textId="77777777" w:rsidR="00F77E2E" w:rsidRDefault="00F77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DAAB1" w14:textId="77777777" w:rsidR="006E5197" w:rsidRDefault="006E5197">
      <w:r>
        <w:separator/>
      </w:r>
    </w:p>
  </w:footnote>
  <w:footnote w:type="continuationSeparator" w:id="0">
    <w:p w14:paraId="4792C6B8" w14:textId="77777777" w:rsidR="006E5197" w:rsidRDefault="006E5197">
      <w:r>
        <w:continuationSeparator/>
      </w:r>
    </w:p>
  </w:footnote>
  <w:footnote w:id="1">
    <w:p w14:paraId="4B9FA490" w14:textId="77777777" w:rsidR="00B81022" w:rsidRDefault="00B81022" w:rsidP="00B81022">
      <w:pPr>
        <w:pStyle w:val="Textonotapie"/>
      </w:pPr>
      <w:r>
        <w:rPr>
          <w:rStyle w:val="Refdenotaalpie"/>
        </w:rPr>
        <w:footnoteRef/>
      </w:r>
      <w:r>
        <w:t xml:space="preserve"> Artículo 150. Ley de Transparencia y Acceso a la Información Pública del Estado de México y Municipios.</w:t>
      </w:r>
    </w:p>
    <w:p w14:paraId="46790FB7" w14:textId="77777777" w:rsidR="00B81022" w:rsidRDefault="00B81022" w:rsidP="00B81022">
      <w:pPr>
        <w:pStyle w:val="Textonotapie"/>
      </w:pPr>
      <w:r>
        <w:t>Artículo 151. Ibídem.</w:t>
      </w:r>
    </w:p>
  </w:footnote>
  <w:footnote w:id="2">
    <w:p w14:paraId="2D5CAC6F" w14:textId="77777777" w:rsidR="00B81022" w:rsidRDefault="00B81022" w:rsidP="00B81022">
      <w:pPr>
        <w:pStyle w:val="Textonotapie"/>
      </w:pPr>
      <w:r>
        <w:rPr>
          <w:rStyle w:val="Refdenotaalpie"/>
        </w:rPr>
        <w:footnoteRef/>
      </w:r>
      <w:r>
        <w:t xml:space="preserve"> Fracción IV. Artículo 53. Ibídem.</w:t>
      </w:r>
    </w:p>
  </w:footnote>
  <w:footnote w:id="3">
    <w:p w14:paraId="574FE6B4" w14:textId="77777777" w:rsidR="00B81022" w:rsidRPr="00952F10" w:rsidRDefault="00B81022" w:rsidP="00B81022">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F527310" w14:textId="77777777" w:rsidR="00B81022" w:rsidRDefault="00B81022" w:rsidP="00B8102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77E2E" w:rsidRDefault="006E519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77E2E" w:rsidRDefault="00F77E2E"/>
  <w:p w14:paraId="77B719CE" w14:textId="77777777" w:rsidR="00F77E2E" w:rsidRDefault="00F77E2E"/>
  <w:p w14:paraId="50A3AAAA" w14:textId="77777777" w:rsidR="00F77E2E" w:rsidRDefault="00F77E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F77E2E" w14:paraId="6255E3A4" w14:textId="77777777" w:rsidTr="00814079">
      <w:trPr>
        <w:trHeight w:val="1435"/>
      </w:trPr>
      <w:tc>
        <w:tcPr>
          <w:tcW w:w="1843" w:type="dxa"/>
          <w:shd w:val="clear" w:color="auto" w:fill="auto"/>
        </w:tcPr>
        <w:p w14:paraId="3E05202F" w14:textId="4A7C9DF8" w:rsidR="00F77E2E" w:rsidRDefault="00F77E2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77E2E" w:rsidRDefault="00F77E2E"/>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F77E2E" w14:paraId="727F90BF" w14:textId="77777777" w:rsidTr="00483482">
            <w:trPr>
              <w:trHeight w:val="338"/>
            </w:trPr>
            <w:tc>
              <w:tcPr>
                <w:tcW w:w="2551" w:type="dxa"/>
              </w:tcPr>
              <w:p w14:paraId="23087CD5" w14:textId="77777777" w:rsidR="00F77E2E" w:rsidRDefault="00F77E2E">
                <w:pPr>
                  <w:tabs>
                    <w:tab w:val="right" w:pos="8838"/>
                  </w:tabs>
                  <w:ind w:right="-105"/>
                  <w:rPr>
                    <w:rFonts w:ascii="Palatino Linotype" w:eastAsia="Calibri" w:hAnsi="Palatino Linotype" w:cs="Tahoma"/>
                    <w:b/>
                    <w:sz w:val="22"/>
                    <w:szCs w:val="22"/>
                    <w:lang w:eastAsia="en-US"/>
                  </w:rPr>
                </w:pPr>
              </w:p>
              <w:p w14:paraId="410A3741" w14:textId="535C9D39" w:rsidR="00F77E2E" w:rsidRDefault="00F77E2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F77E2E" w:rsidRDefault="00F77E2E" w:rsidP="00427B6E">
                <w:pPr>
                  <w:tabs>
                    <w:tab w:val="right" w:pos="8838"/>
                  </w:tabs>
                  <w:ind w:right="-105" w:hanging="101"/>
                  <w:jc w:val="both"/>
                  <w:rPr>
                    <w:rFonts w:ascii="Palatino Linotype" w:eastAsia="Calibri" w:hAnsi="Palatino Linotype" w:cs="Tahoma"/>
                    <w:bCs/>
                    <w:sz w:val="22"/>
                    <w:szCs w:val="22"/>
                    <w:lang w:eastAsia="en-US"/>
                  </w:rPr>
                </w:pPr>
              </w:p>
              <w:p w14:paraId="3FF69A05" w14:textId="082126F4" w:rsidR="00F77E2E" w:rsidRDefault="00AA12A0"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05183/INFOEM/IP/RR/2021</w:t>
                </w:r>
                <w:r w:rsidR="00F77E2E">
                  <w:rPr>
                    <w:rFonts w:ascii="Palatino Linotype" w:eastAsia="Calibri" w:hAnsi="Palatino Linotype" w:cs="Tahoma"/>
                    <w:bCs/>
                    <w:sz w:val="22"/>
                    <w:szCs w:val="22"/>
                    <w:lang w:eastAsia="en-US"/>
                  </w:rPr>
                  <w:t xml:space="preserve"> </w:t>
                </w:r>
              </w:p>
            </w:tc>
          </w:tr>
          <w:tr w:rsidR="00F77E2E" w14:paraId="1389436A" w14:textId="2AE5DDAF" w:rsidTr="00483482">
            <w:trPr>
              <w:trHeight w:val="283"/>
            </w:trPr>
            <w:tc>
              <w:tcPr>
                <w:tcW w:w="2551" w:type="dxa"/>
              </w:tcPr>
              <w:p w14:paraId="22E0F4E9" w14:textId="77777777" w:rsidR="00F77E2E" w:rsidRDefault="00F77E2E">
                <w:pPr>
                  <w:tabs>
                    <w:tab w:val="right" w:pos="8838"/>
                  </w:tabs>
                  <w:ind w:right="-105"/>
                  <w:rPr>
                    <w:rFonts w:ascii="Palatino Linotype" w:eastAsia="Calibri" w:hAnsi="Palatino Linotype" w:cs="Tahoma"/>
                    <w:b/>
                    <w:sz w:val="22"/>
                    <w:szCs w:val="22"/>
                    <w:lang w:eastAsia="en-US"/>
                  </w:rPr>
                </w:pPr>
                <w:bookmarkStart w:id="68" w:name="_Hlk33010189"/>
                <w:r>
                  <w:rPr>
                    <w:rFonts w:ascii="Palatino Linotype" w:eastAsia="Calibri" w:hAnsi="Palatino Linotype" w:cs="Tahoma"/>
                    <w:b/>
                    <w:sz w:val="22"/>
                    <w:szCs w:val="22"/>
                    <w:lang w:eastAsia="en-US"/>
                  </w:rPr>
                  <w:t>Sujeto Obligado:</w:t>
                </w:r>
              </w:p>
            </w:tc>
            <w:tc>
              <w:tcPr>
                <w:tcW w:w="4544" w:type="dxa"/>
              </w:tcPr>
              <w:p w14:paraId="2B205C7F" w14:textId="6243B90B" w:rsidR="00F77E2E" w:rsidRPr="00A8015B" w:rsidRDefault="00AA12A0" w:rsidP="00AA12A0">
                <w:pPr>
                  <w:tabs>
                    <w:tab w:val="left" w:pos="2834"/>
                    <w:tab w:val="right" w:pos="8838"/>
                  </w:tabs>
                  <w:ind w:left="-113" w:right="1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Sistema Municipal Para el Desarrollo Integral de la Familia de Tianguistenco</w:t>
                </w:r>
              </w:p>
            </w:tc>
          </w:tr>
          <w:bookmarkEnd w:id="68"/>
          <w:tr w:rsidR="00F77E2E" w14:paraId="28CCE4E5" w14:textId="77777777" w:rsidTr="00483482">
            <w:trPr>
              <w:trHeight w:val="283"/>
            </w:trPr>
            <w:tc>
              <w:tcPr>
                <w:tcW w:w="2551" w:type="dxa"/>
              </w:tcPr>
              <w:p w14:paraId="13EBF3BB" w14:textId="6E4ECE4B" w:rsidR="00F77E2E" w:rsidRDefault="00F77E2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F77E2E" w:rsidRDefault="00F77E2E"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77E2E" w:rsidRDefault="00F77E2E">
          <w:pPr>
            <w:tabs>
              <w:tab w:val="right" w:pos="8838"/>
            </w:tabs>
            <w:ind w:left="-28"/>
            <w:jc w:val="both"/>
            <w:rPr>
              <w:rFonts w:ascii="Arial" w:eastAsia="Calibri" w:hAnsi="Arial" w:cs="Arial"/>
              <w:b/>
              <w:sz w:val="22"/>
              <w:szCs w:val="22"/>
              <w:lang w:eastAsia="en-US"/>
            </w:rPr>
          </w:pPr>
        </w:p>
      </w:tc>
    </w:tr>
  </w:tbl>
  <w:p w14:paraId="07EF2D29" w14:textId="1620A8B4" w:rsidR="00F77E2E" w:rsidRDefault="006E519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77E2E" w:rsidRDefault="00F77E2E"/>
  <w:p w14:paraId="104386EF" w14:textId="77777777" w:rsidR="00F77E2E" w:rsidRDefault="00F77E2E"/>
  <w:p w14:paraId="60A3E393" w14:textId="77777777" w:rsidR="00F77E2E" w:rsidRDefault="00F77E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F77E2E" w14:paraId="61517A1D" w14:textId="77777777" w:rsidTr="003A6126">
      <w:trPr>
        <w:trHeight w:val="1435"/>
      </w:trPr>
      <w:tc>
        <w:tcPr>
          <w:tcW w:w="1560" w:type="dxa"/>
          <w:shd w:val="clear" w:color="auto" w:fill="auto"/>
        </w:tcPr>
        <w:p w14:paraId="4B74E846" w14:textId="1E0D62B9" w:rsidR="00F77E2E" w:rsidRDefault="00F77E2E">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F77E2E" w14:paraId="7F59E1EF" w14:textId="77777777" w:rsidTr="00483482">
            <w:trPr>
              <w:trHeight w:val="144"/>
            </w:trPr>
            <w:tc>
              <w:tcPr>
                <w:tcW w:w="2444" w:type="dxa"/>
              </w:tcPr>
              <w:p w14:paraId="5EFF942E" w14:textId="77777777" w:rsidR="00F77E2E" w:rsidRDefault="00F77E2E" w:rsidP="000D485D">
                <w:pPr>
                  <w:tabs>
                    <w:tab w:val="right" w:pos="8838"/>
                  </w:tabs>
                  <w:ind w:left="-74" w:right="-105"/>
                  <w:rPr>
                    <w:rFonts w:ascii="Palatino Linotype" w:eastAsia="Calibri" w:hAnsi="Palatino Linotype" w:cs="Tahoma"/>
                    <w:b/>
                    <w:sz w:val="22"/>
                    <w:szCs w:val="22"/>
                    <w:lang w:eastAsia="en-US"/>
                  </w:rPr>
                </w:pPr>
                <w:bookmarkStart w:id="69" w:name="_Hlk12526980"/>
                <w:r>
                  <w:rPr>
                    <w:rFonts w:ascii="Palatino Linotype" w:eastAsia="Calibri" w:hAnsi="Palatino Linotype" w:cs="Tahoma"/>
                    <w:b/>
                    <w:sz w:val="22"/>
                    <w:szCs w:val="22"/>
                    <w:lang w:eastAsia="en-US"/>
                  </w:rPr>
                  <w:t>Recurso de Revisión:</w:t>
                </w:r>
              </w:p>
            </w:tc>
            <w:tc>
              <w:tcPr>
                <w:tcW w:w="4646" w:type="dxa"/>
              </w:tcPr>
              <w:p w14:paraId="0DE47EE2" w14:textId="3AA8BCB1" w:rsidR="00F77E2E" w:rsidRDefault="00AA12A0" w:rsidP="00AA12A0">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05183/</w:t>
                </w:r>
                <w:r w:rsidR="00F77E2E">
                  <w:rPr>
                    <w:rFonts w:ascii="Palatino Linotype" w:eastAsia="Calibri" w:hAnsi="Palatino Linotype" w:cs="Tahoma"/>
                    <w:bCs/>
                    <w:sz w:val="22"/>
                    <w:szCs w:val="22"/>
                    <w:lang w:eastAsia="en-US"/>
                  </w:rPr>
                  <w:t>INFOEM/IP/RR/2021</w:t>
                </w:r>
              </w:p>
            </w:tc>
            <w:tc>
              <w:tcPr>
                <w:tcW w:w="3402" w:type="dxa"/>
              </w:tcPr>
              <w:p w14:paraId="11E4533C" w14:textId="3B21362A" w:rsidR="00F77E2E" w:rsidRDefault="00F77E2E">
                <w:pPr>
                  <w:tabs>
                    <w:tab w:val="right" w:pos="8838"/>
                  </w:tabs>
                  <w:ind w:left="-74" w:right="-105"/>
                  <w:jc w:val="both"/>
                  <w:rPr>
                    <w:rFonts w:ascii="Palatino Linotype" w:eastAsia="Calibri" w:hAnsi="Palatino Linotype" w:cs="Tahoma"/>
                    <w:bCs/>
                    <w:sz w:val="22"/>
                    <w:szCs w:val="22"/>
                    <w:lang w:eastAsia="en-US"/>
                  </w:rPr>
                </w:pPr>
              </w:p>
            </w:tc>
          </w:tr>
          <w:tr w:rsidR="00F77E2E" w14:paraId="3FC4FA7D" w14:textId="77777777" w:rsidTr="00483482">
            <w:trPr>
              <w:trHeight w:val="144"/>
            </w:trPr>
            <w:tc>
              <w:tcPr>
                <w:tcW w:w="2444" w:type="dxa"/>
              </w:tcPr>
              <w:p w14:paraId="363D966B" w14:textId="77777777" w:rsidR="00F77E2E" w:rsidRDefault="00F77E2E" w:rsidP="000D485D">
                <w:pPr>
                  <w:tabs>
                    <w:tab w:val="right" w:pos="8838"/>
                  </w:tabs>
                  <w:ind w:left="-74" w:right="-105"/>
                  <w:rPr>
                    <w:rFonts w:ascii="Palatino Linotype" w:eastAsia="Calibri" w:hAnsi="Palatino Linotype" w:cs="Tahoma"/>
                    <w:b/>
                    <w:sz w:val="22"/>
                    <w:szCs w:val="22"/>
                    <w:lang w:eastAsia="en-US"/>
                  </w:rPr>
                </w:pPr>
                <w:bookmarkStart w:id="70" w:name="_Hlk10641523"/>
                <w:bookmarkEnd w:id="69"/>
                <w:r>
                  <w:rPr>
                    <w:rFonts w:ascii="Palatino Linotype" w:eastAsia="Calibri" w:hAnsi="Palatino Linotype" w:cs="Tahoma"/>
                    <w:b/>
                    <w:sz w:val="22"/>
                    <w:szCs w:val="22"/>
                    <w:lang w:eastAsia="en-US"/>
                  </w:rPr>
                  <w:t>Recurrente:</w:t>
                </w:r>
              </w:p>
            </w:tc>
            <w:tc>
              <w:tcPr>
                <w:tcW w:w="4646" w:type="dxa"/>
              </w:tcPr>
              <w:p w14:paraId="73C065CD" w14:textId="6F72C283" w:rsidR="00F77E2E" w:rsidRPr="000A7E5D" w:rsidRDefault="00F77E2E"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F77E2E" w:rsidRDefault="00F77E2E" w:rsidP="003037E1">
                <w:pPr>
                  <w:tabs>
                    <w:tab w:val="left" w:pos="3122"/>
                    <w:tab w:val="right" w:pos="8838"/>
                  </w:tabs>
                  <w:ind w:right="-105"/>
                  <w:jc w:val="both"/>
                  <w:rPr>
                    <w:rFonts w:ascii="Palatino Linotype" w:eastAsia="Calibri" w:hAnsi="Palatino Linotype" w:cs="Tahoma"/>
                    <w:sz w:val="22"/>
                    <w:szCs w:val="22"/>
                    <w:lang w:eastAsia="en-US"/>
                  </w:rPr>
                </w:pPr>
              </w:p>
            </w:tc>
          </w:tr>
          <w:bookmarkEnd w:id="70"/>
          <w:tr w:rsidR="00F77E2E" w14:paraId="4D832A43" w14:textId="77777777" w:rsidTr="00483482">
            <w:trPr>
              <w:trHeight w:val="283"/>
            </w:trPr>
            <w:tc>
              <w:tcPr>
                <w:tcW w:w="2444" w:type="dxa"/>
              </w:tcPr>
              <w:p w14:paraId="02CA5CB0" w14:textId="77777777" w:rsidR="00F77E2E" w:rsidRDefault="00F77E2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0DBAF5D6" w:rsidR="00F77E2E" w:rsidRPr="00A36977" w:rsidRDefault="00AA12A0" w:rsidP="00AA12A0">
                <w:pPr>
                  <w:tabs>
                    <w:tab w:val="right" w:pos="8838"/>
                  </w:tabs>
                  <w:ind w:left="-3" w:right="1740"/>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Sistema Municipal Para el Desarrollo Integral de la Familia de Tianguistenco</w:t>
                </w:r>
              </w:p>
            </w:tc>
            <w:tc>
              <w:tcPr>
                <w:tcW w:w="3402" w:type="dxa"/>
              </w:tcPr>
              <w:p w14:paraId="00F18B8C" w14:textId="77777777" w:rsidR="00F77E2E" w:rsidRDefault="00F77E2E">
                <w:pPr>
                  <w:tabs>
                    <w:tab w:val="left" w:pos="2834"/>
                    <w:tab w:val="right" w:pos="8838"/>
                  </w:tabs>
                  <w:ind w:left="-74" w:right="-105"/>
                  <w:jc w:val="both"/>
                  <w:rPr>
                    <w:rFonts w:ascii="Palatino Linotype" w:eastAsia="Calibri" w:hAnsi="Palatino Linotype" w:cs="Tahoma"/>
                    <w:sz w:val="22"/>
                    <w:szCs w:val="22"/>
                    <w:lang w:eastAsia="en-US"/>
                  </w:rPr>
                </w:pPr>
              </w:p>
            </w:tc>
          </w:tr>
          <w:tr w:rsidR="00F77E2E" w14:paraId="7BC74D7A" w14:textId="77777777" w:rsidTr="00483482">
            <w:trPr>
              <w:trHeight w:val="283"/>
            </w:trPr>
            <w:tc>
              <w:tcPr>
                <w:tcW w:w="2444" w:type="dxa"/>
              </w:tcPr>
              <w:p w14:paraId="3BF93338" w14:textId="01E84F2D" w:rsidR="00F77E2E" w:rsidRDefault="00F77E2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F77E2E" w:rsidRPr="003037E1" w:rsidRDefault="00F77E2E" w:rsidP="000106C1">
                <w:pPr>
                  <w:tabs>
                    <w:tab w:val="right" w:pos="8838"/>
                  </w:tabs>
                  <w:ind w:left="-3"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F77E2E" w:rsidRDefault="00F77E2E">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77E2E" w:rsidRDefault="00F77E2E">
          <w:pPr>
            <w:tabs>
              <w:tab w:val="right" w:pos="8838"/>
            </w:tabs>
            <w:ind w:left="-28"/>
            <w:jc w:val="both"/>
            <w:rPr>
              <w:rFonts w:ascii="Arial" w:eastAsia="Calibri" w:hAnsi="Arial" w:cs="Arial"/>
              <w:b/>
              <w:sz w:val="22"/>
              <w:szCs w:val="22"/>
              <w:lang w:eastAsia="en-US"/>
            </w:rPr>
          </w:pPr>
        </w:p>
      </w:tc>
    </w:tr>
  </w:tbl>
  <w:p w14:paraId="5F654A99" w14:textId="6CB7D4AE" w:rsidR="00F77E2E" w:rsidRDefault="006E519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77E2E" w:rsidRDefault="00F77E2E"/>
  <w:p w14:paraId="69AC6122" w14:textId="77777777" w:rsidR="00F77E2E" w:rsidRDefault="00F77E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59601C"/>
    <w:multiLevelType w:val="hybridMultilevel"/>
    <w:tmpl w:val="B3C2D19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FD30DC42"/>
    <w:lvl w:ilvl="0" w:tplc="92BE0B36">
      <w:start w:val="1"/>
      <w:numFmt w:val="decimal"/>
      <w:lvlText w:val="%1."/>
      <w:lvlJc w:val="left"/>
      <w:pPr>
        <w:ind w:left="1778"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3">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C421270"/>
    <w:multiLevelType w:val="hybridMultilevel"/>
    <w:tmpl w:val="07DE12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9"/>
  </w:num>
  <w:num w:numId="3">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2"/>
  </w:num>
  <w:num w:numId="9">
    <w:abstractNumId w:val="26"/>
  </w:num>
  <w:num w:numId="10">
    <w:abstractNumId w:val="41"/>
  </w:num>
  <w:num w:numId="11">
    <w:abstractNumId w:val="39"/>
  </w:num>
  <w:num w:numId="12">
    <w:abstractNumId w:val="29"/>
  </w:num>
  <w:num w:numId="13">
    <w:abstractNumId w:val="14"/>
  </w:num>
  <w:num w:numId="14">
    <w:abstractNumId w:val="6"/>
  </w:num>
  <w:num w:numId="15">
    <w:abstractNumId w:val="25"/>
  </w:num>
  <w:num w:numId="16">
    <w:abstractNumId w:val="24"/>
  </w:num>
  <w:num w:numId="17">
    <w:abstractNumId w:val="7"/>
  </w:num>
  <w:num w:numId="18">
    <w:abstractNumId w:val="22"/>
  </w:num>
  <w:num w:numId="19">
    <w:abstractNumId w:val="2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3"/>
  </w:num>
  <w:num w:numId="23">
    <w:abstractNumId w:val="40"/>
  </w:num>
  <w:num w:numId="24">
    <w:abstractNumId w:val="21"/>
  </w:num>
  <w:num w:numId="25">
    <w:abstractNumId w:val="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7"/>
  </w:num>
  <w:num w:numId="29">
    <w:abstractNumId w:val="9"/>
  </w:num>
  <w:num w:numId="30">
    <w:abstractNumId w:val="17"/>
  </w:num>
  <w:num w:numId="31">
    <w:abstractNumId w:val="34"/>
  </w:num>
  <w:num w:numId="32">
    <w:abstractNumId w:val="38"/>
  </w:num>
  <w:num w:numId="33">
    <w:abstractNumId w:val="3"/>
  </w:num>
  <w:num w:numId="34">
    <w:abstractNumId w:val="15"/>
  </w:num>
  <w:num w:numId="35">
    <w:abstractNumId w:val="35"/>
  </w:num>
  <w:num w:numId="36">
    <w:abstractNumId w:val="16"/>
  </w:num>
  <w:num w:numId="37">
    <w:abstractNumId w:val="36"/>
  </w:num>
  <w:num w:numId="38">
    <w:abstractNumId w:val="30"/>
  </w:num>
  <w:num w:numId="39">
    <w:abstractNumId w:val="2"/>
  </w:num>
  <w:num w:numId="40">
    <w:abstractNumId w:val="11"/>
  </w:num>
  <w:num w:numId="41">
    <w:abstractNumId w:val="31"/>
  </w:num>
  <w:num w:numId="42">
    <w:abstractNumId w:val="5"/>
  </w:num>
  <w:num w:numId="43">
    <w:abstractNumId w:val="23"/>
  </w:num>
  <w:num w:numId="4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6C1"/>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572F"/>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1F4"/>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07C"/>
    <w:rsid w:val="00325EC0"/>
    <w:rsid w:val="0032692F"/>
    <w:rsid w:val="00326A39"/>
    <w:rsid w:val="00330729"/>
    <w:rsid w:val="00330DA7"/>
    <w:rsid w:val="003324E0"/>
    <w:rsid w:val="00332F55"/>
    <w:rsid w:val="00333116"/>
    <w:rsid w:val="003340EC"/>
    <w:rsid w:val="00334F60"/>
    <w:rsid w:val="00334FBF"/>
    <w:rsid w:val="003350FF"/>
    <w:rsid w:val="0033581B"/>
    <w:rsid w:val="00335E24"/>
    <w:rsid w:val="0034057C"/>
    <w:rsid w:val="003407FA"/>
    <w:rsid w:val="003419B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07B47"/>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3AFA"/>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357A"/>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27A22"/>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28D8"/>
    <w:rsid w:val="00682AD1"/>
    <w:rsid w:val="00683A30"/>
    <w:rsid w:val="0068455C"/>
    <w:rsid w:val="00684887"/>
    <w:rsid w:val="006850CE"/>
    <w:rsid w:val="00685A7D"/>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197"/>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3E65"/>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263"/>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7E5"/>
    <w:rsid w:val="007709DD"/>
    <w:rsid w:val="007737B5"/>
    <w:rsid w:val="00773C8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3EE3"/>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1EE1"/>
    <w:rsid w:val="00943BCE"/>
    <w:rsid w:val="00945DBE"/>
    <w:rsid w:val="009508A0"/>
    <w:rsid w:val="00953EDC"/>
    <w:rsid w:val="00953FF0"/>
    <w:rsid w:val="00954950"/>
    <w:rsid w:val="009566A5"/>
    <w:rsid w:val="00960346"/>
    <w:rsid w:val="0096040D"/>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12A0"/>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949"/>
    <w:rsid w:val="00B73FD4"/>
    <w:rsid w:val="00B74FC5"/>
    <w:rsid w:val="00B750FC"/>
    <w:rsid w:val="00B75A6C"/>
    <w:rsid w:val="00B7795B"/>
    <w:rsid w:val="00B80E90"/>
    <w:rsid w:val="00B81022"/>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2E4A"/>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84C"/>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2F5"/>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D72"/>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344"/>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1D9C"/>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E8"/>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FD1"/>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8EF20BE8-AFDD-4BD3-A9AF-75C5697C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2239750">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10412874">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49957798">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4559453">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consultas.ifai.org.mx/descargar.php?r=./pdf/resoluciones/2017/&amp;a=RRA%203472.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imex.org.mx/saimex/solicitud/downloadAttach/1225231.page" TargetMode="External"/><Relationship Id="rId17" Type="http://schemas.openxmlformats.org/officeDocument/2006/relationships/hyperlink" Target="http://consultas.ifai.org.mx/descargar.php?r=./pdf/resoluciones/2017/&amp;a=RRA%20158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nsultas.ifai.org.mx/descargar.php?r=./pdf/resoluciones/2017/&amp;a=RRA%2018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mex.org.mx/saimex/solicitud/downloadAttach/1225230.pag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f.gob.mx/nota_detalle.php?codigo=5492254&amp;fecha=28/07/2017" TargetMode="External"/><Relationship Id="rId23" Type="http://schemas.openxmlformats.org/officeDocument/2006/relationships/footer" Target="footer2.xml"/><Relationship Id="rId10" Type="http://schemas.openxmlformats.org/officeDocument/2006/relationships/hyperlink" Target="http://saimex.org.mx/saimex/solicitud/downloadAttach/1225229.pag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imex.org.mx/saimex/solicitud/downloadAttach/1225228.page" TargetMode="External"/><Relationship Id="rId14" Type="http://schemas.openxmlformats.org/officeDocument/2006/relationships/image" Target="media/image2.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C4BE7-C432-46C2-BF8B-9DBE5BFB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44</Pages>
  <Words>8108</Words>
  <Characters>44599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INFORMATICA</cp:lastModifiedBy>
  <cp:revision>8</cp:revision>
  <cp:lastPrinted>2021-08-18T17:12:00Z</cp:lastPrinted>
  <dcterms:created xsi:type="dcterms:W3CDTF">2021-11-25T17:48:00Z</dcterms:created>
  <dcterms:modified xsi:type="dcterms:W3CDTF">2021-12-01T01:35:00Z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