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1DD474D2" w:rsidR="00476727" w:rsidRPr="005A7D52" w:rsidRDefault="00476727" w:rsidP="0016347B">
      <w:pPr>
        <w:spacing w:before="240" w:after="240" w:line="360" w:lineRule="auto"/>
        <w:jc w:val="both"/>
        <w:rPr>
          <w:rFonts w:ascii="Palatino Linotype" w:hAnsi="Palatino Linotype" w:cs="Arial"/>
        </w:rPr>
      </w:pPr>
      <w:r w:rsidRPr="005A7D5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A7D52">
        <w:rPr>
          <w:rFonts w:ascii="Palatino Linotype" w:hAnsi="Palatino Linotype" w:cs="Arial"/>
        </w:rPr>
        <w:t xml:space="preserve">o </w:t>
      </w:r>
      <w:r w:rsidR="005A7C28" w:rsidRPr="005A7D52">
        <w:rPr>
          <w:rFonts w:ascii="Palatino Linotype" w:hAnsi="Palatino Linotype" w:cs="Arial"/>
        </w:rPr>
        <w:t xml:space="preserve">en Metepec, Estado de México, a </w:t>
      </w:r>
      <w:r w:rsidR="001B7BF9" w:rsidRPr="005A7D52">
        <w:rPr>
          <w:rFonts w:ascii="Palatino Linotype" w:hAnsi="Palatino Linotype" w:cs="Arial"/>
        </w:rPr>
        <w:t>veinte</w:t>
      </w:r>
      <w:r w:rsidR="00DF63AF" w:rsidRPr="005A7D52">
        <w:rPr>
          <w:rFonts w:ascii="Palatino Linotype" w:hAnsi="Palatino Linotype" w:cs="Arial"/>
        </w:rPr>
        <w:t xml:space="preserve"> </w:t>
      </w:r>
      <w:r w:rsidR="0007536C" w:rsidRPr="005A7D52">
        <w:rPr>
          <w:rFonts w:ascii="Palatino Linotype" w:hAnsi="Palatino Linotype" w:cs="Arial"/>
        </w:rPr>
        <w:t xml:space="preserve">de </w:t>
      </w:r>
      <w:r w:rsidR="00DF63AF" w:rsidRPr="005A7D52">
        <w:rPr>
          <w:rFonts w:ascii="Palatino Linotype" w:hAnsi="Palatino Linotype" w:cs="Arial"/>
        </w:rPr>
        <w:t>octubre</w:t>
      </w:r>
      <w:r w:rsidR="0007536C" w:rsidRPr="005A7D52">
        <w:rPr>
          <w:rFonts w:ascii="Palatino Linotype" w:hAnsi="Palatino Linotype" w:cs="Arial"/>
        </w:rPr>
        <w:t xml:space="preserve"> de dos mil veintiuno</w:t>
      </w:r>
      <w:r w:rsidRPr="005A7D52">
        <w:rPr>
          <w:rFonts w:ascii="Palatino Linotype" w:hAnsi="Palatino Linotype" w:cs="Arial"/>
        </w:rPr>
        <w:t xml:space="preserve">. </w:t>
      </w:r>
    </w:p>
    <w:p w14:paraId="76EF8020" w14:textId="02E443EB" w:rsidR="00D06012" w:rsidRPr="005A7D52" w:rsidRDefault="00D06012" w:rsidP="0016347B">
      <w:pPr>
        <w:spacing w:before="240" w:after="240" w:line="360" w:lineRule="auto"/>
        <w:jc w:val="both"/>
        <w:rPr>
          <w:rFonts w:ascii="Palatino Linotype" w:hAnsi="Palatino Linotype" w:cs="Arial"/>
        </w:rPr>
      </w:pPr>
      <w:r w:rsidRPr="005A7D52">
        <w:rPr>
          <w:rFonts w:ascii="Palatino Linotype" w:hAnsi="Palatino Linotype" w:cs="Arial"/>
          <w:b/>
        </w:rPr>
        <w:t>VISTO</w:t>
      </w:r>
      <w:r w:rsidR="009A618A" w:rsidRPr="005A7D52">
        <w:rPr>
          <w:rFonts w:ascii="Palatino Linotype" w:hAnsi="Palatino Linotype" w:cs="Arial"/>
        </w:rPr>
        <w:t xml:space="preserve"> el </w:t>
      </w:r>
      <w:r w:rsidRPr="005A7D52">
        <w:rPr>
          <w:rFonts w:ascii="Palatino Linotype" w:hAnsi="Palatino Linotype" w:cs="Arial"/>
        </w:rPr>
        <w:t>expediente formado con motivo del</w:t>
      </w:r>
      <w:r w:rsidR="009A618A" w:rsidRPr="005A7D52">
        <w:rPr>
          <w:rFonts w:ascii="Palatino Linotype" w:hAnsi="Palatino Linotype" w:cs="Arial"/>
        </w:rPr>
        <w:t xml:space="preserve"> </w:t>
      </w:r>
      <w:r w:rsidRPr="005A7D52">
        <w:rPr>
          <w:rFonts w:ascii="Palatino Linotype" w:hAnsi="Palatino Linotype" w:cs="Arial"/>
        </w:rPr>
        <w:t xml:space="preserve">recurso de revisión </w:t>
      </w:r>
      <w:r w:rsidR="0060496C" w:rsidRPr="005A7D52">
        <w:rPr>
          <w:rFonts w:ascii="Palatino Linotype" w:hAnsi="Palatino Linotype" w:cs="Arial"/>
          <w:b/>
        </w:rPr>
        <w:t>0</w:t>
      </w:r>
      <w:r w:rsidR="003B0E71" w:rsidRPr="005A7D52">
        <w:rPr>
          <w:rFonts w:ascii="Palatino Linotype" w:hAnsi="Palatino Linotype" w:cs="Arial"/>
          <w:b/>
        </w:rPr>
        <w:t>4</w:t>
      </w:r>
      <w:r w:rsidR="001B7BF9" w:rsidRPr="005A7D52">
        <w:rPr>
          <w:rFonts w:ascii="Palatino Linotype" w:hAnsi="Palatino Linotype" w:cs="Arial"/>
          <w:b/>
        </w:rPr>
        <w:t>109</w:t>
      </w:r>
      <w:r w:rsidR="00AA36EE" w:rsidRPr="005A7D52">
        <w:rPr>
          <w:rFonts w:ascii="Palatino Linotype" w:hAnsi="Palatino Linotype" w:cs="Arial"/>
          <w:b/>
        </w:rPr>
        <w:t>/</w:t>
      </w:r>
      <w:r w:rsidR="00972709" w:rsidRPr="005A7D52">
        <w:rPr>
          <w:rFonts w:ascii="Palatino Linotype" w:hAnsi="Palatino Linotype" w:cs="Arial"/>
          <w:b/>
        </w:rPr>
        <w:t>INFOEM/IP/RR/202</w:t>
      </w:r>
      <w:r w:rsidR="006220B0" w:rsidRPr="005A7D52">
        <w:rPr>
          <w:rFonts w:ascii="Palatino Linotype" w:hAnsi="Palatino Linotype" w:cs="Arial"/>
          <w:b/>
        </w:rPr>
        <w:t>1</w:t>
      </w:r>
      <w:r w:rsidR="00643CCD" w:rsidRPr="005A7D52">
        <w:rPr>
          <w:rFonts w:ascii="Palatino Linotype" w:hAnsi="Palatino Linotype" w:cs="Arial"/>
        </w:rPr>
        <w:t xml:space="preserve">, </w:t>
      </w:r>
      <w:r w:rsidR="007C1B36" w:rsidRPr="005A7D52">
        <w:rPr>
          <w:rFonts w:ascii="Palatino Linotype" w:hAnsi="Palatino Linotype" w:cs="Arial"/>
        </w:rPr>
        <w:t>interpuesto</w:t>
      </w:r>
      <w:r w:rsidR="00000739" w:rsidRPr="005A7D52">
        <w:rPr>
          <w:rFonts w:ascii="Palatino Linotype" w:hAnsi="Palatino Linotype" w:cs="Arial"/>
        </w:rPr>
        <w:t xml:space="preserve"> por</w:t>
      </w:r>
      <w:r w:rsidR="00AD7FBD" w:rsidRPr="005A7D52">
        <w:rPr>
          <w:rFonts w:ascii="Palatino Linotype" w:hAnsi="Palatino Linotype" w:cs="Arial"/>
          <w:b/>
          <w:bCs/>
        </w:rPr>
        <w:t xml:space="preserve"> </w:t>
      </w:r>
      <w:r w:rsidR="00055417" w:rsidRPr="00055417">
        <w:rPr>
          <w:rFonts w:ascii="Palatino Linotype" w:hAnsi="Palatino Linotype" w:cs="Arial"/>
          <w:b/>
          <w:bCs/>
        </w:rPr>
        <w:t>Xxxx xxxxxx Xxxxxxxx</w:t>
      </w:r>
      <w:r w:rsidR="009F23A2" w:rsidRPr="005A7D52">
        <w:rPr>
          <w:rFonts w:ascii="Palatino Linotype" w:hAnsi="Palatino Linotype" w:cs="Arial"/>
          <w:b/>
        </w:rPr>
        <w:t xml:space="preserve">, </w:t>
      </w:r>
      <w:r w:rsidRPr="005A7D52">
        <w:rPr>
          <w:rFonts w:ascii="Palatino Linotype" w:hAnsi="Palatino Linotype" w:cs="Arial"/>
        </w:rPr>
        <w:t>en lo sucesivo</w:t>
      </w:r>
      <w:r w:rsidR="00643CCD" w:rsidRPr="005A7D52">
        <w:rPr>
          <w:rFonts w:ascii="Palatino Linotype" w:hAnsi="Palatino Linotype" w:cs="Arial"/>
          <w:b/>
        </w:rPr>
        <w:t xml:space="preserve"> </w:t>
      </w:r>
      <w:r w:rsidR="001E49CD" w:rsidRPr="005A7D52">
        <w:rPr>
          <w:rFonts w:ascii="Palatino Linotype" w:hAnsi="Palatino Linotype" w:cs="Arial"/>
        </w:rPr>
        <w:t>la</w:t>
      </w:r>
      <w:r w:rsidR="00B05E70" w:rsidRPr="005A7D52">
        <w:rPr>
          <w:rFonts w:ascii="Palatino Linotype" w:hAnsi="Palatino Linotype" w:cs="Arial"/>
        </w:rPr>
        <w:t xml:space="preserve"> </w:t>
      </w:r>
      <w:r w:rsidR="001E49CD" w:rsidRPr="005A7D52">
        <w:rPr>
          <w:rFonts w:ascii="Palatino Linotype" w:hAnsi="Palatino Linotype" w:cs="Arial"/>
        </w:rPr>
        <w:t xml:space="preserve">parte </w:t>
      </w:r>
      <w:r w:rsidR="006220B0" w:rsidRPr="005A7D52">
        <w:rPr>
          <w:rFonts w:ascii="Palatino Linotype" w:hAnsi="Palatino Linotype" w:cs="Arial"/>
          <w:b/>
        </w:rPr>
        <w:t>R</w:t>
      </w:r>
      <w:r w:rsidR="001E49CD" w:rsidRPr="005A7D52">
        <w:rPr>
          <w:rFonts w:ascii="Palatino Linotype" w:hAnsi="Palatino Linotype" w:cs="Arial"/>
          <w:b/>
        </w:rPr>
        <w:t>ecurrente</w:t>
      </w:r>
      <w:r w:rsidRPr="005A7D52">
        <w:rPr>
          <w:rFonts w:ascii="Palatino Linotype" w:hAnsi="Palatino Linotype" w:cs="Arial"/>
          <w:b/>
        </w:rPr>
        <w:t>,</w:t>
      </w:r>
      <w:r w:rsidRPr="005A7D52">
        <w:rPr>
          <w:rFonts w:ascii="Palatino Linotype" w:hAnsi="Palatino Linotype" w:cs="Arial"/>
        </w:rPr>
        <w:t xml:space="preserve"> en contra de</w:t>
      </w:r>
      <w:r w:rsidR="00ED5A73" w:rsidRPr="005A7D52">
        <w:rPr>
          <w:rFonts w:ascii="Palatino Linotype" w:hAnsi="Palatino Linotype" w:cs="Arial"/>
        </w:rPr>
        <w:t xml:space="preserve"> la</w:t>
      </w:r>
      <w:r w:rsidRPr="005A7D52">
        <w:rPr>
          <w:rFonts w:ascii="Palatino Linotype" w:hAnsi="Palatino Linotype" w:cs="Arial"/>
        </w:rPr>
        <w:t xml:space="preserve"> respuesta</w:t>
      </w:r>
      <w:r w:rsidR="009A1B0C" w:rsidRPr="005A7D52">
        <w:rPr>
          <w:rFonts w:ascii="Palatino Linotype" w:hAnsi="Palatino Linotype" w:cs="Arial"/>
        </w:rPr>
        <w:t xml:space="preserve"> a su solicitud</w:t>
      </w:r>
      <w:r w:rsidRPr="005A7D52">
        <w:rPr>
          <w:rFonts w:ascii="Palatino Linotype" w:hAnsi="Palatino Linotype" w:cs="Arial"/>
        </w:rPr>
        <w:t xml:space="preserve"> por</w:t>
      </w:r>
      <w:r w:rsidR="009A5033" w:rsidRPr="005A7D52">
        <w:rPr>
          <w:rFonts w:ascii="Palatino Linotype" w:hAnsi="Palatino Linotype" w:cs="Arial"/>
        </w:rPr>
        <w:t xml:space="preserve"> parte de</w:t>
      </w:r>
      <w:r w:rsidR="00AA36EE" w:rsidRPr="005A7D52">
        <w:rPr>
          <w:rFonts w:ascii="Palatino Linotype" w:hAnsi="Palatino Linotype" w:cs="Arial"/>
        </w:rPr>
        <w:t xml:space="preserve">l </w:t>
      </w:r>
      <w:r w:rsidR="001B7BF9" w:rsidRPr="005A7D52">
        <w:rPr>
          <w:rFonts w:ascii="Palatino Linotype" w:hAnsi="Palatino Linotype" w:cs="Arial"/>
          <w:b/>
          <w:bCs/>
        </w:rPr>
        <w:t>Ayuntamiento de Huixquilucan</w:t>
      </w:r>
      <w:r w:rsidR="00AA36EE" w:rsidRPr="005A7D52">
        <w:rPr>
          <w:rFonts w:ascii="Palatino Linotype" w:hAnsi="Palatino Linotype" w:cs="Arial"/>
          <w:b/>
          <w:bCs/>
        </w:rPr>
        <w:t xml:space="preserve">, </w:t>
      </w:r>
      <w:r w:rsidRPr="005A7D52">
        <w:rPr>
          <w:rFonts w:ascii="Palatino Linotype" w:hAnsi="Palatino Linotype" w:cs="Arial"/>
        </w:rPr>
        <w:t xml:space="preserve">en lo sucesivo </w:t>
      </w:r>
      <w:r w:rsidR="007A1102" w:rsidRPr="005A7D52">
        <w:rPr>
          <w:rFonts w:ascii="Palatino Linotype" w:hAnsi="Palatino Linotype" w:cs="Arial"/>
        </w:rPr>
        <w:t xml:space="preserve">el </w:t>
      </w:r>
      <w:r w:rsidR="006220B0" w:rsidRPr="005A7D52">
        <w:rPr>
          <w:rFonts w:ascii="Palatino Linotype" w:hAnsi="Palatino Linotype" w:cs="Arial"/>
          <w:b/>
        </w:rPr>
        <w:t>S</w:t>
      </w:r>
      <w:r w:rsidR="003349F4" w:rsidRPr="005A7D52">
        <w:rPr>
          <w:rFonts w:ascii="Palatino Linotype" w:hAnsi="Palatino Linotype" w:cs="Arial"/>
          <w:b/>
        </w:rPr>
        <w:t xml:space="preserve">ujeto </w:t>
      </w:r>
      <w:r w:rsidR="006220B0" w:rsidRPr="005A7D52">
        <w:rPr>
          <w:rFonts w:ascii="Palatino Linotype" w:hAnsi="Palatino Linotype" w:cs="Arial"/>
          <w:b/>
        </w:rPr>
        <w:t>O</w:t>
      </w:r>
      <w:r w:rsidR="003349F4" w:rsidRPr="005A7D52">
        <w:rPr>
          <w:rFonts w:ascii="Palatino Linotype" w:hAnsi="Palatino Linotype" w:cs="Arial"/>
          <w:b/>
        </w:rPr>
        <w:t>bligado</w:t>
      </w:r>
      <w:r w:rsidRPr="005A7D52">
        <w:rPr>
          <w:rFonts w:ascii="Palatino Linotype" w:hAnsi="Palatino Linotype" w:cs="Arial"/>
          <w:b/>
        </w:rPr>
        <w:t xml:space="preserve">, </w:t>
      </w:r>
      <w:r w:rsidRPr="005A7D52">
        <w:rPr>
          <w:rFonts w:ascii="Palatino Linotype" w:hAnsi="Palatino Linotype" w:cs="Arial"/>
        </w:rPr>
        <w:t>se</w:t>
      </w:r>
      <w:r w:rsidR="00E9691F" w:rsidRPr="005A7D52">
        <w:rPr>
          <w:rFonts w:ascii="Palatino Linotype" w:hAnsi="Palatino Linotype" w:cs="Arial"/>
        </w:rPr>
        <w:t xml:space="preserve"> </w:t>
      </w:r>
      <w:r w:rsidRPr="005A7D52">
        <w:rPr>
          <w:rFonts w:ascii="Palatino Linotype" w:hAnsi="Palatino Linotype" w:cs="Arial"/>
        </w:rPr>
        <w:t>procede a dictar la presente resolución con base en lo</w:t>
      </w:r>
      <w:r w:rsidR="00B21DCC" w:rsidRPr="005A7D52">
        <w:rPr>
          <w:rFonts w:ascii="Palatino Linotype" w:hAnsi="Palatino Linotype" w:cs="Arial"/>
        </w:rPr>
        <w:t>s</w:t>
      </w:r>
      <w:r w:rsidRPr="005A7D52">
        <w:rPr>
          <w:rFonts w:ascii="Palatino Linotype" w:hAnsi="Palatino Linotype" w:cs="Arial"/>
        </w:rPr>
        <w:t xml:space="preserve"> siguiente</w:t>
      </w:r>
      <w:r w:rsidR="00B21DCC" w:rsidRPr="005A7D52">
        <w:rPr>
          <w:rFonts w:ascii="Palatino Linotype" w:hAnsi="Palatino Linotype" w:cs="Arial"/>
        </w:rPr>
        <w:t>s</w:t>
      </w:r>
      <w:r w:rsidRPr="005A7D52">
        <w:rPr>
          <w:rFonts w:ascii="Palatino Linotype" w:hAnsi="Palatino Linotype" w:cs="Arial"/>
        </w:rPr>
        <w:t xml:space="preserve">: </w:t>
      </w:r>
      <w:bookmarkStart w:id="0" w:name="_GoBack"/>
      <w:bookmarkEnd w:id="0"/>
    </w:p>
    <w:p w14:paraId="5D1348C1" w14:textId="77777777" w:rsidR="00BD58D9" w:rsidRPr="005A7D52" w:rsidRDefault="002B5536" w:rsidP="0016347B">
      <w:pPr>
        <w:spacing w:before="240" w:after="240" w:line="360" w:lineRule="auto"/>
        <w:jc w:val="center"/>
        <w:rPr>
          <w:rFonts w:ascii="Palatino Linotype" w:hAnsi="Palatino Linotype" w:cs="Arial"/>
          <w:b/>
          <w:sz w:val="28"/>
          <w:szCs w:val="28"/>
        </w:rPr>
      </w:pPr>
      <w:r w:rsidRPr="005A7D52">
        <w:rPr>
          <w:rFonts w:ascii="Palatino Linotype" w:hAnsi="Palatino Linotype"/>
          <w:b/>
        </w:rPr>
        <w:t xml:space="preserve">I. </w:t>
      </w:r>
      <w:r w:rsidR="00BD58D9" w:rsidRPr="005A7D52">
        <w:rPr>
          <w:rFonts w:ascii="Palatino Linotype" w:hAnsi="Palatino Linotype"/>
          <w:b/>
        </w:rPr>
        <w:t>A N T E C E D E N T E S</w:t>
      </w:r>
    </w:p>
    <w:p w14:paraId="47DAFB24" w14:textId="7C69B76D" w:rsidR="00D06012" w:rsidRPr="005A7D52" w:rsidRDefault="009F7616" w:rsidP="0016347B">
      <w:pPr>
        <w:spacing w:before="240" w:after="240" w:line="360" w:lineRule="auto"/>
        <w:jc w:val="both"/>
        <w:rPr>
          <w:rFonts w:ascii="Palatino Linotype" w:hAnsi="Palatino Linotype" w:cs="Arial"/>
        </w:rPr>
      </w:pPr>
      <w:r w:rsidRPr="005A7D52">
        <w:rPr>
          <w:rFonts w:ascii="Palatino Linotype" w:hAnsi="Palatino Linotype" w:cs="Arial"/>
          <w:b/>
        </w:rPr>
        <w:t>1. Solicitud de acceso a la información.</w:t>
      </w:r>
      <w:r w:rsidRPr="005A7D52">
        <w:rPr>
          <w:rFonts w:ascii="Palatino Linotype" w:hAnsi="Palatino Linotype" w:cs="Arial"/>
        </w:rPr>
        <w:t xml:space="preserve"> </w:t>
      </w:r>
      <w:r w:rsidR="00A46661" w:rsidRPr="005A7D52">
        <w:rPr>
          <w:rFonts w:ascii="Palatino Linotype" w:hAnsi="Palatino Linotype" w:cs="Arial"/>
        </w:rPr>
        <w:t>Con</w:t>
      </w:r>
      <w:r w:rsidR="00B21DCC" w:rsidRPr="005A7D52">
        <w:rPr>
          <w:rFonts w:ascii="Palatino Linotype" w:hAnsi="Palatino Linotype" w:cs="Arial"/>
        </w:rPr>
        <w:t xml:space="preserve"> fecha</w:t>
      </w:r>
      <w:r w:rsidR="00DB6AEF" w:rsidRPr="005A7D52">
        <w:rPr>
          <w:rFonts w:ascii="Palatino Linotype" w:hAnsi="Palatino Linotype" w:cs="Arial"/>
        </w:rPr>
        <w:t xml:space="preserve"> </w:t>
      </w:r>
      <w:r w:rsidR="00DF63AF" w:rsidRPr="005A7D52">
        <w:rPr>
          <w:rFonts w:ascii="Palatino Linotype" w:hAnsi="Palatino Linotype" w:cs="Arial"/>
          <w:b/>
        </w:rPr>
        <w:t>veinti</w:t>
      </w:r>
      <w:r w:rsidR="001B7BF9" w:rsidRPr="005A7D52">
        <w:rPr>
          <w:rFonts w:ascii="Palatino Linotype" w:hAnsi="Palatino Linotype" w:cs="Arial"/>
          <w:b/>
        </w:rPr>
        <w:t xml:space="preserve">nueve de junio </w:t>
      </w:r>
      <w:r w:rsidR="00DF63AF" w:rsidRPr="005A7D52">
        <w:rPr>
          <w:rFonts w:ascii="Palatino Linotype" w:hAnsi="Palatino Linotype" w:cs="Arial"/>
          <w:b/>
        </w:rPr>
        <w:t xml:space="preserve">de </w:t>
      </w:r>
      <w:r w:rsidR="00CD7CE4" w:rsidRPr="005A7D52">
        <w:rPr>
          <w:rFonts w:ascii="Palatino Linotype" w:hAnsi="Palatino Linotype" w:cs="Arial"/>
          <w:b/>
        </w:rPr>
        <w:t xml:space="preserve">dos mil </w:t>
      </w:r>
      <w:r w:rsidR="00A407F7" w:rsidRPr="005A7D52">
        <w:rPr>
          <w:rFonts w:ascii="Palatino Linotype" w:hAnsi="Palatino Linotype" w:cs="Arial"/>
          <w:b/>
        </w:rPr>
        <w:t>ve</w:t>
      </w:r>
      <w:r w:rsidR="0008014C" w:rsidRPr="005A7D52">
        <w:rPr>
          <w:rFonts w:ascii="Palatino Linotype" w:hAnsi="Palatino Linotype" w:cs="Arial"/>
          <w:b/>
        </w:rPr>
        <w:t>in</w:t>
      </w:r>
      <w:r w:rsidR="006220B0" w:rsidRPr="005A7D52">
        <w:rPr>
          <w:rFonts w:ascii="Palatino Linotype" w:hAnsi="Palatino Linotype" w:cs="Arial"/>
          <w:b/>
        </w:rPr>
        <w:t>tiuno</w:t>
      </w:r>
      <w:r w:rsidR="00D06012" w:rsidRPr="005A7D52">
        <w:rPr>
          <w:rFonts w:ascii="Palatino Linotype" w:hAnsi="Palatino Linotype" w:cs="Arial"/>
          <w:b/>
        </w:rPr>
        <w:t>,</w:t>
      </w:r>
      <w:r w:rsidR="00D06012" w:rsidRPr="005A7D52">
        <w:rPr>
          <w:rFonts w:ascii="Palatino Linotype" w:hAnsi="Palatino Linotype" w:cs="Arial"/>
        </w:rPr>
        <w:t xml:space="preserve"> </w:t>
      </w:r>
      <w:r w:rsidR="003349F4" w:rsidRPr="005A7D52">
        <w:rPr>
          <w:rFonts w:ascii="Palatino Linotype" w:hAnsi="Palatino Linotype" w:cs="Arial"/>
        </w:rPr>
        <w:t>la parte</w:t>
      </w:r>
      <w:r w:rsidR="00B05E70" w:rsidRPr="005A7D52">
        <w:rPr>
          <w:rFonts w:ascii="Palatino Linotype" w:hAnsi="Palatino Linotype" w:cs="Arial"/>
        </w:rPr>
        <w:t xml:space="preserve"> </w:t>
      </w:r>
      <w:r w:rsidR="003349F4" w:rsidRPr="005A7D52">
        <w:rPr>
          <w:rFonts w:ascii="Palatino Linotype" w:hAnsi="Palatino Linotype" w:cs="Arial"/>
          <w:b/>
        </w:rPr>
        <w:t>r</w:t>
      </w:r>
      <w:r w:rsidR="002C203A" w:rsidRPr="005A7D52">
        <w:rPr>
          <w:rFonts w:ascii="Palatino Linotype" w:hAnsi="Palatino Linotype" w:cs="Arial"/>
          <w:b/>
        </w:rPr>
        <w:t>ecurrente</w:t>
      </w:r>
      <w:r w:rsidR="00000739" w:rsidRPr="005A7D52">
        <w:rPr>
          <w:rFonts w:ascii="Palatino Linotype" w:hAnsi="Palatino Linotype" w:cs="Arial"/>
          <w:b/>
        </w:rPr>
        <w:t xml:space="preserve"> </w:t>
      </w:r>
      <w:r w:rsidR="00D06012" w:rsidRPr="005A7D52">
        <w:rPr>
          <w:rFonts w:ascii="Palatino Linotype" w:hAnsi="Palatino Linotype" w:cs="Arial"/>
        </w:rPr>
        <w:t>presentó</w:t>
      </w:r>
      <w:r w:rsidR="006220B0" w:rsidRPr="005A7D52">
        <w:rPr>
          <w:rFonts w:ascii="Palatino Linotype" w:hAnsi="Palatino Linotype" w:cs="Arial"/>
        </w:rPr>
        <w:t>,</w:t>
      </w:r>
      <w:r w:rsidR="00D06012" w:rsidRPr="005A7D52">
        <w:rPr>
          <w:rFonts w:ascii="Palatino Linotype" w:hAnsi="Palatino Linotype" w:cs="Arial"/>
        </w:rPr>
        <w:t xml:space="preserve"> </w:t>
      </w:r>
      <w:r w:rsidR="006220B0" w:rsidRPr="005A7D52">
        <w:rPr>
          <w:rFonts w:ascii="Palatino Linotype" w:hAnsi="Palatino Linotype" w:cs="Arial"/>
        </w:rPr>
        <w:t>través</w:t>
      </w:r>
      <w:r w:rsidR="003B0E71" w:rsidRPr="005A7D52">
        <w:rPr>
          <w:rFonts w:ascii="Palatino Linotype" w:hAnsi="Palatino Linotype" w:cs="Arial"/>
        </w:rPr>
        <w:t xml:space="preserve"> </w:t>
      </w:r>
      <w:r w:rsidR="001B7BF9" w:rsidRPr="005A7D52">
        <w:rPr>
          <w:rFonts w:ascii="Palatino Linotype" w:hAnsi="Palatino Linotype" w:cs="Arial"/>
        </w:rPr>
        <w:t>de</w:t>
      </w:r>
      <w:r w:rsidR="003B0E71" w:rsidRPr="005A7D52">
        <w:rPr>
          <w:rFonts w:ascii="Palatino Linotype" w:hAnsi="Palatino Linotype" w:cs="Arial"/>
        </w:rPr>
        <w:t xml:space="preserve">l Sistema de Acceso a la Información Mexiquense, en lo subsecuente el </w:t>
      </w:r>
      <w:r w:rsidR="003B0E71" w:rsidRPr="005A7D52">
        <w:rPr>
          <w:rFonts w:ascii="Palatino Linotype" w:hAnsi="Palatino Linotype" w:cs="Arial"/>
          <w:b/>
        </w:rPr>
        <w:t>SAIMEX,</w:t>
      </w:r>
      <w:r w:rsidR="006220B0" w:rsidRPr="005A7D52">
        <w:rPr>
          <w:rFonts w:ascii="Palatino Linotype" w:hAnsi="Palatino Linotype" w:cs="Arial"/>
        </w:rPr>
        <w:t xml:space="preserve"> </w:t>
      </w:r>
      <w:r w:rsidR="00D06012" w:rsidRPr="005A7D52">
        <w:rPr>
          <w:rFonts w:ascii="Palatino Linotype" w:hAnsi="Palatino Linotype" w:cs="Arial"/>
        </w:rPr>
        <w:t xml:space="preserve">ante </w:t>
      </w:r>
      <w:r w:rsidR="007A1102" w:rsidRPr="005A7D52">
        <w:rPr>
          <w:rFonts w:ascii="Palatino Linotype" w:hAnsi="Palatino Linotype" w:cs="Arial"/>
        </w:rPr>
        <w:t xml:space="preserve">el </w:t>
      </w:r>
      <w:r w:rsidR="006220B0" w:rsidRPr="005A7D52">
        <w:rPr>
          <w:rFonts w:ascii="Palatino Linotype" w:hAnsi="Palatino Linotype" w:cs="Arial"/>
          <w:b/>
          <w:bCs/>
        </w:rPr>
        <w:t>S</w:t>
      </w:r>
      <w:r w:rsidR="003349F4" w:rsidRPr="005A7D52">
        <w:rPr>
          <w:rFonts w:ascii="Palatino Linotype" w:hAnsi="Palatino Linotype" w:cs="Arial"/>
          <w:b/>
        </w:rPr>
        <w:t xml:space="preserve">ujeto </w:t>
      </w:r>
      <w:r w:rsidR="006220B0" w:rsidRPr="005A7D52">
        <w:rPr>
          <w:rFonts w:ascii="Palatino Linotype" w:hAnsi="Palatino Linotype" w:cs="Arial"/>
          <w:b/>
        </w:rPr>
        <w:t>O</w:t>
      </w:r>
      <w:r w:rsidR="002C203A" w:rsidRPr="005A7D52">
        <w:rPr>
          <w:rFonts w:ascii="Palatino Linotype" w:hAnsi="Palatino Linotype" w:cs="Arial"/>
          <w:b/>
        </w:rPr>
        <w:t>bligado</w:t>
      </w:r>
      <w:r w:rsidR="00D06012" w:rsidRPr="005A7D52">
        <w:rPr>
          <w:rFonts w:ascii="Palatino Linotype" w:hAnsi="Palatino Linotype" w:cs="Arial"/>
        </w:rPr>
        <w:t>, la solicitud de acceso a la información pública, a la que se le asign</w:t>
      </w:r>
      <w:r w:rsidR="00E07049" w:rsidRPr="005A7D52">
        <w:rPr>
          <w:rFonts w:ascii="Palatino Linotype" w:hAnsi="Palatino Linotype" w:cs="Arial"/>
        </w:rPr>
        <w:t xml:space="preserve">ó el </w:t>
      </w:r>
      <w:r w:rsidR="00E41D21" w:rsidRPr="005A7D52">
        <w:rPr>
          <w:rFonts w:ascii="Palatino Linotype" w:hAnsi="Palatino Linotype" w:cs="Arial"/>
        </w:rPr>
        <w:t xml:space="preserve">número </w:t>
      </w:r>
      <w:r w:rsidR="001B7BF9" w:rsidRPr="005A7D52">
        <w:rPr>
          <w:rFonts w:ascii="Palatino Linotype" w:hAnsi="Palatino Linotype" w:cs="Arial"/>
          <w:b/>
        </w:rPr>
        <w:t>01233/HUIXQUIL/IP/2021</w:t>
      </w:r>
      <w:r w:rsidR="00E07049" w:rsidRPr="005A7D52">
        <w:rPr>
          <w:rFonts w:ascii="Palatino Linotype" w:hAnsi="Palatino Linotype" w:cs="Arial"/>
          <w:b/>
        </w:rPr>
        <w:t xml:space="preserve">, </w:t>
      </w:r>
      <w:r w:rsidR="00D06012" w:rsidRPr="005A7D52">
        <w:rPr>
          <w:rFonts w:ascii="Palatino Linotype" w:hAnsi="Palatino Linotype" w:cs="Arial"/>
        </w:rPr>
        <w:t xml:space="preserve">mediante la cual </w:t>
      </w:r>
      <w:r w:rsidR="00F077F3" w:rsidRPr="005A7D52">
        <w:rPr>
          <w:rFonts w:ascii="Palatino Linotype" w:hAnsi="Palatino Linotype" w:cs="Arial"/>
        </w:rPr>
        <w:t>requirió</w:t>
      </w:r>
      <w:r w:rsidR="00E07049" w:rsidRPr="005A7D52">
        <w:rPr>
          <w:rFonts w:ascii="Palatino Linotype" w:hAnsi="Palatino Linotype" w:cs="Arial"/>
        </w:rPr>
        <w:t xml:space="preserve"> </w:t>
      </w:r>
      <w:r w:rsidR="00EA1279" w:rsidRPr="005A7D52">
        <w:rPr>
          <w:rFonts w:ascii="Palatino Linotype" w:hAnsi="Palatino Linotype" w:cs="Arial"/>
        </w:rPr>
        <w:t xml:space="preserve">la información </w:t>
      </w:r>
      <w:r w:rsidR="00D06012" w:rsidRPr="005A7D52">
        <w:rPr>
          <w:rFonts w:ascii="Palatino Linotype" w:hAnsi="Palatino Linotype" w:cs="Arial"/>
        </w:rPr>
        <w:t xml:space="preserve">siguiente: </w:t>
      </w:r>
    </w:p>
    <w:p w14:paraId="36E1648D" w14:textId="16AB43AA" w:rsidR="007B679F" w:rsidRPr="005A7D52" w:rsidRDefault="00354DB7" w:rsidP="0016347B">
      <w:pPr>
        <w:ind w:left="851" w:right="902"/>
        <w:jc w:val="both"/>
        <w:rPr>
          <w:rFonts w:ascii="Palatino Linotype" w:hAnsi="Palatino Linotype" w:cs="Arial"/>
          <w:b/>
          <w:i/>
          <w:sz w:val="22"/>
          <w:szCs w:val="22"/>
        </w:rPr>
      </w:pPr>
      <w:bookmarkStart w:id="1" w:name="_Hlk79227503"/>
      <w:r w:rsidRPr="005A7D52">
        <w:rPr>
          <w:rFonts w:ascii="Palatino Linotype" w:hAnsi="Palatino Linotype" w:cs="Arial"/>
          <w:i/>
          <w:sz w:val="22"/>
          <w:szCs w:val="22"/>
          <w:lang w:eastAsia="es-MX"/>
        </w:rPr>
        <w:t>“</w:t>
      </w:r>
      <w:r w:rsidR="001B7BF9" w:rsidRPr="005A7D52">
        <w:rPr>
          <w:rFonts w:ascii="Palatino Linotype" w:hAnsi="Palatino Linotype"/>
          <w:bCs/>
          <w:i/>
          <w:sz w:val="22"/>
          <w:szCs w:val="22"/>
        </w:rPr>
        <w:t>Solicito relación de pagos por concepto de transporte aereo. Donde incluyan y especifiquen vuelos comerciales, clase premier que hayan pagafo con recursos del municipio a cualquier empresa o prestadora de servicios aereos. Incluidos contratos de aviones y helicopteros privados, taxis aereo, asi como pagos a pilotos, y compra de turbosina, y mantenimiento a aeronaves. En los años 2017, 2016, 2017, 2019, 2020 y 2021. Señalando nombre de proveedor, cantidad y concepto y numeros de cada contrato y convenio</w:t>
      </w:r>
      <w:r w:rsidR="003B0E71" w:rsidRPr="005A7D52">
        <w:rPr>
          <w:rFonts w:ascii="Palatino Linotype" w:hAnsi="Palatino Linotype"/>
          <w:bCs/>
          <w:i/>
          <w:sz w:val="22"/>
          <w:szCs w:val="22"/>
        </w:rPr>
        <w:t>.</w:t>
      </w:r>
      <w:r w:rsidR="007B679F" w:rsidRPr="005A7D52">
        <w:rPr>
          <w:rFonts w:ascii="Palatino Linotype" w:hAnsi="Palatino Linotype" w:cs="Arial"/>
          <w:i/>
          <w:sz w:val="22"/>
          <w:szCs w:val="22"/>
          <w:lang w:eastAsia="es-MX"/>
        </w:rPr>
        <w:t>” (sic)</w:t>
      </w:r>
    </w:p>
    <w:p w14:paraId="7FDB5235" w14:textId="77777777" w:rsidR="00E41D21" w:rsidRPr="005A7D52" w:rsidRDefault="00E41D21" w:rsidP="0016347B">
      <w:pPr>
        <w:ind w:right="900"/>
        <w:jc w:val="both"/>
        <w:rPr>
          <w:rFonts w:ascii="Palatino Linotype" w:hAnsi="Palatino Linotype" w:cs="Arial"/>
          <w:szCs w:val="28"/>
        </w:rPr>
      </w:pPr>
    </w:p>
    <w:bookmarkEnd w:id="1"/>
    <w:p w14:paraId="1240249E" w14:textId="77777777" w:rsidR="00226F34" w:rsidRPr="005A7D52" w:rsidRDefault="007C76B2" w:rsidP="0016347B">
      <w:pPr>
        <w:spacing w:line="360" w:lineRule="auto"/>
        <w:ind w:right="900"/>
        <w:jc w:val="both"/>
        <w:rPr>
          <w:rFonts w:ascii="Palatino Linotype" w:hAnsi="Palatino Linotype" w:cs="Arial"/>
          <w:szCs w:val="28"/>
        </w:rPr>
      </w:pPr>
      <w:r w:rsidRPr="005A7D52">
        <w:rPr>
          <w:rFonts w:ascii="Palatino Linotype" w:hAnsi="Palatino Linotype" w:cs="Arial"/>
          <w:szCs w:val="28"/>
        </w:rPr>
        <w:t xml:space="preserve">La parte </w:t>
      </w:r>
      <w:r w:rsidRPr="005A7D52">
        <w:rPr>
          <w:rFonts w:ascii="Palatino Linotype" w:hAnsi="Palatino Linotype" w:cs="Arial"/>
          <w:b/>
          <w:szCs w:val="28"/>
        </w:rPr>
        <w:t>r</w:t>
      </w:r>
      <w:r w:rsidR="005B0909" w:rsidRPr="005A7D52">
        <w:rPr>
          <w:rFonts w:ascii="Palatino Linotype" w:hAnsi="Palatino Linotype" w:cs="Arial"/>
          <w:b/>
          <w:szCs w:val="28"/>
        </w:rPr>
        <w:t>ecurrente</w:t>
      </w:r>
      <w:r w:rsidR="002A1CB3" w:rsidRPr="005A7D52">
        <w:rPr>
          <w:rFonts w:ascii="Palatino Linotype" w:hAnsi="Palatino Linotype" w:cs="Arial"/>
          <w:szCs w:val="28"/>
        </w:rPr>
        <w:t xml:space="preserve"> </w:t>
      </w:r>
      <w:r w:rsidR="00226F34" w:rsidRPr="005A7D52">
        <w:rPr>
          <w:rFonts w:ascii="Palatino Linotype" w:hAnsi="Palatino Linotype" w:cs="Arial"/>
          <w:szCs w:val="28"/>
        </w:rPr>
        <w:t>no adjuntó archivos.</w:t>
      </w:r>
    </w:p>
    <w:p w14:paraId="06E1CFD9" w14:textId="434F9CA9" w:rsidR="002B2828" w:rsidRPr="005A7D52" w:rsidRDefault="002B2828" w:rsidP="0016347B">
      <w:pPr>
        <w:spacing w:before="240" w:after="240" w:line="360" w:lineRule="auto"/>
        <w:jc w:val="both"/>
        <w:rPr>
          <w:rFonts w:ascii="Palatino Linotype" w:hAnsi="Palatino Linotype" w:cs="Arial"/>
        </w:rPr>
      </w:pPr>
      <w:r w:rsidRPr="005A7D52">
        <w:rPr>
          <w:rFonts w:ascii="Palatino Linotype" w:hAnsi="Palatino Linotype" w:cs="Arial"/>
          <w:b/>
        </w:rPr>
        <w:t>Modalidad de Entrega:</w:t>
      </w:r>
      <w:r w:rsidRPr="005A7D52">
        <w:rPr>
          <w:rFonts w:ascii="Palatino Linotype" w:hAnsi="Palatino Linotype" w:cs="Arial"/>
        </w:rPr>
        <w:t xml:space="preserve"> </w:t>
      </w:r>
      <w:r w:rsidR="008E7880" w:rsidRPr="005A7D52">
        <w:rPr>
          <w:rFonts w:ascii="Palatino Linotype" w:hAnsi="Palatino Linotype" w:cs="Arial"/>
        </w:rPr>
        <w:t>A través de SAIMEX</w:t>
      </w:r>
      <w:r w:rsidR="00166EC9" w:rsidRPr="005A7D52">
        <w:rPr>
          <w:rFonts w:ascii="Palatino Linotype" w:hAnsi="Palatino Linotype" w:cs="Arial"/>
        </w:rPr>
        <w:t>.</w:t>
      </w:r>
    </w:p>
    <w:p w14:paraId="4D7D90DE" w14:textId="23EFE8F5" w:rsidR="0008532C" w:rsidRPr="005A7D52" w:rsidRDefault="00801689" w:rsidP="0016347B">
      <w:pPr>
        <w:spacing w:line="360" w:lineRule="auto"/>
        <w:jc w:val="both"/>
        <w:rPr>
          <w:rFonts w:ascii="Palatino Linotype" w:hAnsi="Palatino Linotype"/>
          <w:b/>
          <w:bCs/>
        </w:rPr>
      </w:pPr>
      <w:r w:rsidRPr="005A7D52">
        <w:rPr>
          <w:rFonts w:ascii="Palatino Linotype" w:hAnsi="Palatino Linotype" w:cs="Arial"/>
          <w:b/>
          <w:szCs w:val="28"/>
        </w:rPr>
        <w:lastRenderedPageBreak/>
        <w:t>2</w:t>
      </w:r>
      <w:r w:rsidR="008E7880" w:rsidRPr="005A7D52">
        <w:rPr>
          <w:rFonts w:ascii="Palatino Linotype" w:hAnsi="Palatino Linotype" w:cs="Arial"/>
          <w:b/>
          <w:szCs w:val="28"/>
        </w:rPr>
        <w:t xml:space="preserve">. </w:t>
      </w:r>
      <w:r w:rsidR="0008532C" w:rsidRPr="005A7D52">
        <w:rPr>
          <w:rFonts w:ascii="Palatino Linotype" w:hAnsi="Palatino Linotype" w:cs="Arial"/>
          <w:b/>
        </w:rPr>
        <w:t xml:space="preserve">Respuesta. </w:t>
      </w:r>
      <w:r w:rsidR="0008532C" w:rsidRPr="005A7D52">
        <w:rPr>
          <w:rFonts w:ascii="Palatino Linotype" w:hAnsi="Palatino Linotype" w:cs="Arial"/>
        </w:rPr>
        <w:t xml:space="preserve"> Con</w:t>
      </w:r>
      <w:r w:rsidR="0008532C" w:rsidRPr="005A7D52">
        <w:rPr>
          <w:rFonts w:ascii="Palatino Linotype" w:hAnsi="Palatino Linotype"/>
        </w:rPr>
        <w:t xml:space="preserve"> fecha</w:t>
      </w:r>
      <w:r w:rsidR="00B06DC0" w:rsidRPr="005A7D52">
        <w:rPr>
          <w:rFonts w:ascii="Palatino Linotype" w:hAnsi="Palatino Linotype"/>
        </w:rPr>
        <w:t xml:space="preserve"> </w:t>
      </w:r>
      <w:r w:rsidR="001B7BF9" w:rsidRPr="005A7D52">
        <w:rPr>
          <w:rFonts w:ascii="Palatino Linotype" w:hAnsi="Palatino Linotype"/>
          <w:b/>
          <w:bCs/>
        </w:rPr>
        <w:t>tres</w:t>
      </w:r>
      <w:r w:rsidR="009F1AD4" w:rsidRPr="005A7D52">
        <w:rPr>
          <w:rFonts w:ascii="Palatino Linotype" w:hAnsi="Palatino Linotype"/>
          <w:b/>
          <w:bCs/>
        </w:rPr>
        <w:t xml:space="preserve"> de agosto de</w:t>
      </w:r>
      <w:r w:rsidR="00CD2E54" w:rsidRPr="005A7D52">
        <w:rPr>
          <w:rFonts w:ascii="Palatino Linotype" w:hAnsi="Palatino Linotype"/>
          <w:b/>
          <w:bCs/>
        </w:rPr>
        <w:t xml:space="preserve"> </w:t>
      </w:r>
      <w:r w:rsidR="00323FC6" w:rsidRPr="005A7D52">
        <w:rPr>
          <w:rFonts w:ascii="Palatino Linotype" w:hAnsi="Palatino Linotype"/>
          <w:b/>
          <w:bCs/>
        </w:rPr>
        <w:t>dos mil veint</w:t>
      </w:r>
      <w:r w:rsidR="00FC0703" w:rsidRPr="005A7D52">
        <w:rPr>
          <w:rFonts w:ascii="Palatino Linotype" w:hAnsi="Palatino Linotype"/>
          <w:b/>
          <w:bCs/>
        </w:rPr>
        <w:t>iuno</w:t>
      </w:r>
      <w:r w:rsidR="0008532C" w:rsidRPr="005A7D52">
        <w:rPr>
          <w:rFonts w:ascii="Palatino Linotype" w:hAnsi="Palatino Linotype"/>
        </w:rPr>
        <w:t xml:space="preserve">, el Sujeto Obligado envió su respuesta a la solicitud de acceso a la información a través del SAIMEX, sustancialmente en los términos siguientes:   </w:t>
      </w:r>
    </w:p>
    <w:p w14:paraId="652B657E" w14:textId="03F1639E" w:rsidR="0008532C" w:rsidRPr="005A7D52" w:rsidRDefault="00A10677" w:rsidP="009F1AD4">
      <w:pPr>
        <w:ind w:left="851" w:right="900"/>
        <w:jc w:val="both"/>
        <w:rPr>
          <w:rFonts w:ascii="Palatino Linotype" w:hAnsi="Palatino Linotype" w:cs="Arial"/>
          <w:i/>
          <w:sz w:val="22"/>
          <w:szCs w:val="22"/>
        </w:rPr>
      </w:pPr>
      <w:r w:rsidRPr="005A7D52">
        <w:rPr>
          <w:rFonts w:ascii="Palatino Linotype" w:hAnsi="Palatino Linotype" w:cs="Arial"/>
          <w:i/>
          <w:sz w:val="22"/>
          <w:szCs w:val="22"/>
        </w:rPr>
        <w:t>“</w:t>
      </w:r>
      <w:r w:rsidR="006649F4" w:rsidRPr="005A7D52">
        <w:rPr>
          <w:rFonts w:ascii="Palatino Linotype" w:hAnsi="Palatino Linotype" w:cs="Arial"/>
          <w:i/>
          <w:sz w:val="22"/>
          <w:szCs w:val="22"/>
        </w:rPr>
        <w:t>…</w:t>
      </w:r>
      <w:r w:rsidR="001B7BF9" w:rsidRPr="005A7D52">
        <w:rPr>
          <w:rFonts w:ascii="Palatino Linotype" w:hAnsi="Palatino Linotype" w:cs="Arial"/>
          <w:i/>
          <w:sz w:val="22"/>
          <w:szCs w:val="22"/>
        </w:rPr>
        <w:t>Sobre el particular, esta Unidad de Transparencia en ejercicio de las atribuciones que la Ley le confiere, turnó su solicitud de información a la Tesorería Municipal que, conforme al Reglamento Orgánico de la Administración Pública Municipal de Huixquilucan, Estado de México 2021, es competente para dar contestación a su requerimiento, por lo que manifestó lo siguiente: “SE ADJUNTA ARCHIVO EN FORMATO .PDF EN RESPUESTA A LA SOLICITUD 01233/HUIXQUIL/IP/2021</w:t>
      </w:r>
      <w:r w:rsidR="00C47394" w:rsidRPr="005A7D52">
        <w:rPr>
          <w:rFonts w:ascii="Palatino Linotype" w:hAnsi="Palatino Linotype" w:cs="Arial"/>
          <w:i/>
          <w:sz w:val="22"/>
          <w:szCs w:val="22"/>
        </w:rPr>
        <w:t>”</w:t>
      </w:r>
      <w:r w:rsidR="001B7BF9" w:rsidRPr="005A7D52">
        <w:rPr>
          <w:rFonts w:ascii="Palatino Linotype" w:hAnsi="Palatino Linotype" w:cs="Arial"/>
          <w:i/>
          <w:sz w:val="22"/>
          <w:szCs w:val="22"/>
        </w:rPr>
        <w:t>...</w:t>
      </w:r>
      <w:r w:rsidR="0008532C" w:rsidRPr="005A7D52">
        <w:rPr>
          <w:rFonts w:ascii="Palatino Linotype" w:hAnsi="Palatino Linotype" w:cs="Arial"/>
          <w:i/>
          <w:sz w:val="22"/>
          <w:szCs w:val="22"/>
        </w:rPr>
        <w:t>” (sic)</w:t>
      </w:r>
    </w:p>
    <w:p w14:paraId="4F15B8C1" w14:textId="41B764A0" w:rsidR="002566AC" w:rsidRPr="005A7D52" w:rsidRDefault="0015173E" w:rsidP="0016347B">
      <w:pPr>
        <w:spacing w:before="240" w:after="240" w:line="360" w:lineRule="auto"/>
        <w:ind w:right="49"/>
        <w:jc w:val="both"/>
        <w:rPr>
          <w:rFonts w:ascii="Palatino Linotype" w:hAnsi="Palatino Linotype" w:cs="Arial"/>
          <w:szCs w:val="28"/>
        </w:rPr>
      </w:pPr>
      <w:r w:rsidRPr="005A7D52">
        <w:rPr>
          <w:rFonts w:ascii="Palatino Linotype" w:hAnsi="Palatino Linotype" w:cs="Arial"/>
          <w:szCs w:val="28"/>
        </w:rPr>
        <w:t xml:space="preserve">El </w:t>
      </w:r>
      <w:r w:rsidRPr="005A7D52">
        <w:rPr>
          <w:rFonts w:ascii="Palatino Linotype" w:hAnsi="Palatino Linotype" w:cs="Arial"/>
          <w:b/>
          <w:szCs w:val="28"/>
        </w:rPr>
        <w:t>sujeto obligado</w:t>
      </w:r>
      <w:r w:rsidRPr="005A7D52">
        <w:rPr>
          <w:rFonts w:ascii="Palatino Linotype" w:hAnsi="Palatino Linotype" w:cs="Arial"/>
          <w:szCs w:val="28"/>
        </w:rPr>
        <w:t xml:space="preserve"> </w:t>
      </w:r>
      <w:r w:rsidR="00AE26BB" w:rsidRPr="005A7D52">
        <w:rPr>
          <w:rFonts w:ascii="Palatino Linotype" w:hAnsi="Palatino Linotype" w:cs="Arial"/>
          <w:szCs w:val="28"/>
        </w:rPr>
        <w:t>adjuntó</w:t>
      </w:r>
      <w:r w:rsidR="00BD35A6" w:rsidRPr="005A7D52">
        <w:rPr>
          <w:rFonts w:ascii="Palatino Linotype" w:hAnsi="Palatino Linotype" w:cs="Arial"/>
          <w:szCs w:val="28"/>
        </w:rPr>
        <w:t xml:space="preserve"> </w:t>
      </w:r>
      <w:r w:rsidR="009F1AD4" w:rsidRPr="005A7D52">
        <w:rPr>
          <w:rFonts w:ascii="Palatino Linotype" w:hAnsi="Palatino Linotype" w:cs="Arial"/>
          <w:szCs w:val="28"/>
        </w:rPr>
        <w:t xml:space="preserve">el archivo </w:t>
      </w:r>
      <w:r w:rsidR="009F1AD4" w:rsidRPr="005A7D52">
        <w:rPr>
          <w:rFonts w:ascii="Palatino Linotype" w:hAnsi="Palatino Linotype" w:cs="Arial"/>
          <w:i/>
          <w:szCs w:val="28"/>
        </w:rPr>
        <w:t>“</w:t>
      </w:r>
      <w:r w:rsidR="00C47394" w:rsidRPr="005A7D52">
        <w:rPr>
          <w:rFonts w:ascii="Palatino Linotype" w:hAnsi="Palatino Linotype" w:cs="Arial"/>
          <w:i/>
          <w:szCs w:val="28"/>
        </w:rPr>
        <w:t>Solicitud 01233HUIXQUILIP2021.pdf</w:t>
      </w:r>
      <w:r w:rsidR="009F1AD4" w:rsidRPr="005A7D52">
        <w:rPr>
          <w:rFonts w:ascii="Palatino Linotype" w:hAnsi="Palatino Linotype" w:cs="Arial"/>
          <w:i/>
          <w:szCs w:val="28"/>
        </w:rPr>
        <w:t>”</w:t>
      </w:r>
      <w:r w:rsidR="009F1AD4" w:rsidRPr="005A7D52">
        <w:rPr>
          <w:rFonts w:ascii="Palatino Linotype" w:hAnsi="Palatino Linotype" w:cs="Arial"/>
          <w:szCs w:val="28"/>
        </w:rPr>
        <w:t xml:space="preserve"> </w:t>
      </w:r>
      <w:r w:rsidR="00C4693C" w:rsidRPr="005A7D52">
        <w:rPr>
          <w:rFonts w:ascii="Palatino Linotype" w:hAnsi="Palatino Linotype" w:cs="Arial"/>
          <w:szCs w:val="28"/>
        </w:rPr>
        <w:t>cuyo contenido no se detalla al ser del conocimiento de las partes</w:t>
      </w:r>
      <w:r w:rsidR="004B0702" w:rsidRPr="005A7D52">
        <w:rPr>
          <w:rFonts w:ascii="Palatino Linotype" w:hAnsi="Palatino Linotype" w:cs="Arial"/>
          <w:szCs w:val="28"/>
        </w:rPr>
        <w:t>, aunado a que será motivo de análisis en líneas posteriores.</w:t>
      </w:r>
    </w:p>
    <w:p w14:paraId="04C1F325" w14:textId="7920ED96" w:rsidR="00362417" w:rsidRPr="005A7D52" w:rsidRDefault="00226F34" w:rsidP="0016347B">
      <w:pPr>
        <w:spacing w:before="240" w:after="240" w:line="360" w:lineRule="auto"/>
        <w:ind w:right="49"/>
        <w:jc w:val="both"/>
        <w:rPr>
          <w:rFonts w:ascii="Palatino Linotype" w:hAnsi="Palatino Linotype" w:cs="Arial"/>
          <w:szCs w:val="28"/>
        </w:rPr>
      </w:pPr>
      <w:r w:rsidRPr="005A7D52">
        <w:rPr>
          <w:rFonts w:ascii="Palatino Linotype" w:hAnsi="Palatino Linotype" w:cs="Arial"/>
          <w:b/>
          <w:szCs w:val="28"/>
        </w:rPr>
        <w:t>3</w:t>
      </w:r>
      <w:r w:rsidR="009F7616" w:rsidRPr="005A7D52">
        <w:rPr>
          <w:rFonts w:ascii="Palatino Linotype" w:hAnsi="Palatino Linotype" w:cs="Arial"/>
          <w:b/>
          <w:szCs w:val="28"/>
        </w:rPr>
        <w:t xml:space="preserve">. </w:t>
      </w:r>
      <w:r w:rsidR="00122C3F" w:rsidRPr="005A7D52">
        <w:rPr>
          <w:rFonts w:ascii="Palatino Linotype" w:hAnsi="Palatino Linotype" w:cs="Arial"/>
          <w:b/>
          <w:szCs w:val="28"/>
        </w:rPr>
        <w:t>Interposición del recurso de revisión</w:t>
      </w:r>
      <w:r w:rsidR="009F7616" w:rsidRPr="005A7D52">
        <w:rPr>
          <w:rFonts w:ascii="Palatino Linotype" w:hAnsi="Palatino Linotype" w:cs="Arial"/>
          <w:b/>
          <w:szCs w:val="28"/>
        </w:rPr>
        <w:t>.</w:t>
      </w:r>
      <w:r w:rsidR="00362417" w:rsidRPr="005A7D52">
        <w:rPr>
          <w:rFonts w:ascii="Palatino Linotype" w:hAnsi="Palatino Linotype" w:cs="Arial"/>
          <w:b/>
        </w:rPr>
        <w:t xml:space="preserve"> </w:t>
      </w:r>
      <w:r w:rsidR="00993A3C" w:rsidRPr="005A7D52">
        <w:rPr>
          <w:rFonts w:ascii="Palatino Linotype" w:hAnsi="Palatino Linotype" w:cs="Arial"/>
        </w:rPr>
        <w:t xml:space="preserve">Inconforme con los términos de la respuesta emitida </w:t>
      </w:r>
      <w:r w:rsidR="009A1B0C" w:rsidRPr="005A7D52">
        <w:rPr>
          <w:rFonts w:ascii="Palatino Linotype" w:hAnsi="Palatino Linotype" w:cs="Arial"/>
        </w:rPr>
        <w:t xml:space="preserve">por parte del Sujeto Obligado, </w:t>
      </w:r>
      <w:r w:rsidR="00993A3C" w:rsidRPr="005A7D52">
        <w:rPr>
          <w:rFonts w:ascii="Palatino Linotype" w:hAnsi="Palatino Linotype" w:cs="Arial"/>
        </w:rPr>
        <w:t>el</w:t>
      </w:r>
      <w:r w:rsidR="00D0399D" w:rsidRPr="005A7D52">
        <w:rPr>
          <w:rFonts w:ascii="Palatino Linotype" w:hAnsi="Palatino Linotype" w:cs="Arial"/>
        </w:rPr>
        <w:t xml:space="preserve"> </w:t>
      </w:r>
      <w:r w:rsidR="00C47394" w:rsidRPr="005A7D52">
        <w:rPr>
          <w:rFonts w:ascii="Palatino Linotype" w:hAnsi="Palatino Linotype" w:cs="Arial"/>
          <w:b/>
          <w:bCs/>
        </w:rPr>
        <w:t>veinti</w:t>
      </w:r>
      <w:r w:rsidR="001A6704" w:rsidRPr="005A7D52">
        <w:rPr>
          <w:rFonts w:ascii="Palatino Linotype" w:hAnsi="Palatino Linotype" w:cs="Arial"/>
          <w:b/>
          <w:bCs/>
        </w:rPr>
        <w:t>trés</w:t>
      </w:r>
      <w:r w:rsidR="00E55FD9" w:rsidRPr="005A7D52">
        <w:rPr>
          <w:rFonts w:ascii="Palatino Linotype" w:hAnsi="Palatino Linotype" w:cs="Arial"/>
          <w:b/>
          <w:bCs/>
        </w:rPr>
        <w:t xml:space="preserve"> </w:t>
      </w:r>
      <w:r w:rsidR="00C47394" w:rsidRPr="005A7D52">
        <w:rPr>
          <w:rFonts w:ascii="Palatino Linotype" w:hAnsi="Palatino Linotype" w:cs="Arial"/>
          <w:b/>
          <w:bCs/>
        </w:rPr>
        <w:t xml:space="preserve">de </w:t>
      </w:r>
      <w:r w:rsidR="00E55FD9" w:rsidRPr="005A7D52">
        <w:rPr>
          <w:rFonts w:ascii="Palatino Linotype" w:hAnsi="Palatino Linotype" w:cs="Arial"/>
          <w:b/>
          <w:bCs/>
        </w:rPr>
        <w:t>agosto</w:t>
      </w:r>
      <w:r w:rsidR="00D0399D" w:rsidRPr="005A7D52">
        <w:rPr>
          <w:rFonts w:ascii="Palatino Linotype" w:hAnsi="Palatino Linotype" w:cs="Arial"/>
        </w:rPr>
        <w:t xml:space="preserve"> </w:t>
      </w:r>
      <w:r w:rsidR="00144869" w:rsidRPr="005A7D52">
        <w:rPr>
          <w:rFonts w:ascii="Palatino Linotype" w:hAnsi="Palatino Linotype" w:cs="Arial"/>
          <w:b/>
          <w:bCs/>
        </w:rPr>
        <w:t>de</w:t>
      </w:r>
      <w:r w:rsidR="00697911" w:rsidRPr="005A7D52">
        <w:rPr>
          <w:rFonts w:ascii="Palatino Linotype" w:hAnsi="Palatino Linotype"/>
          <w:b/>
        </w:rPr>
        <w:t xml:space="preserve"> dos mil vein</w:t>
      </w:r>
      <w:r w:rsidR="004D0755" w:rsidRPr="005A7D52">
        <w:rPr>
          <w:rFonts w:ascii="Palatino Linotype" w:hAnsi="Palatino Linotype"/>
          <w:b/>
        </w:rPr>
        <w:t>tiuno</w:t>
      </w:r>
      <w:r w:rsidR="00697911" w:rsidRPr="005A7D52">
        <w:rPr>
          <w:rFonts w:ascii="Palatino Linotype" w:hAnsi="Palatino Linotype"/>
          <w:b/>
        </w:rPr>
        <w:t>,</w:t>
      </w:r>
      <w:r w:rsidR="00993A3C" w:rsidRPr="005A7D52">
        <w:rPr>
          <w:rFonts w:ascii="Palatino Linotype" w:hAnsi="Palatino Linotype" w:cs="Arial"/>
        </w:rPr>
        <w:t xml:space="preserve"> </w:t>
      </w:r>
      <w:r w:rsidR="001D7487" w:rsidRPr="005A7D52">
        <w:rPr>
          <w:rFonts w:ascii="Palatino Linotype" w:hAnsi="Palatino Linotype" w:cs="Arial"/>
        </w:rPr>
        <w:t>l</w:t>
      </w:r>
      <w:r w:rsidR="00703622" w:rsidRPr="005A7D52">
        <w:rPr>
          <w:rFonts w:ascii="Palatino Linotype" w:hAnsi="Palatino Linotype" w:cs="Arial"/>
        </w:rPr>
        <w:t>a parte</w:t>
      </w:r>
      <w:r w:rsidR="00362417" w:rsidRPr="005A7D52">
        <w:rPr>
          <w:rFonts w:ascii="Palatino Linotype" w:hAnsi="Palatino Linotype" w:cs="Arial"/>
        </w:rPr>
        <w:t xml:space="preserve"> </w:t>
      </w:r>
      <w:r w:rsidR="00703622" w:rsidRPr="005A7D52">
        <w:rPr>
          <w:rFonts w:ascii="Palatino Linotype" w:hAnsi="Palatino Linotype" w:cs="Arial"/>
        </w:rPr>
        <w:t>r</w:t>
      </w:r>
      <w:r w:rsidR="00362417" w:rsidRPr="005A7D52">
        <w:rPr>
          <w:rFonts w:ascii="Palatino Linotype" w:hAnsi="Palatino Linotype" w:cs="Arial"/>
        </w:rPr>
        <w:t xml:space="preserve">ecurrente interpuso el </w:t>
      </w:r>
      <w:r w:rsidR="00EA1A04" w:rsidRPr="005A7D52">
        <w:rPr>
          <w:rFonts w:ascii="Palatino Linotype" w:hAnsi="Palatino Linotype" w:cs="Arial"/>
        </w:rPr>
        <w:t>recurso de revisión a través de</w:t>
      </w:r>
      <w:r w:rsidR="00362417" w:rsidRPr="005A7D52">
        <w:rPr>
          <w:rFonts w:ascii="Palatino Linotype" w:hAnsi="Palatino Linotype" w:cs="Arial"/>
        </w:rPr>
        <w:t xml:space="preserve"> </w:t>
      </w:r>
      <w:r w:rsidR="00362417" w:rsidRPr="005A7D52">
        <w:rPr>
          <w:rFonts w:ascii="Palatino Linotype" w:hAnsi="Palatino Linotype" w:cs="Arial"/>
          <w:b/>
        </w:rPr>
        <w:t xml:space="preserve">SAIMEX, </w:t>
      </w:r>
      <w:r w:rsidR="00362417" w:rsidRPr="005A7D52">
        <w:rPr>
          <w:rFonts w:ascii="Palatino Linotype" w:hAnsi="Palatino Linotype" w:cs="Arial"/>
        </w:rPr>
        <w:t>en donde se manifestó de la siguiente manera:</w:t>
      </w:r>
    </w:p>
    <w:p w14:paraId="1F9973B6" w14:textId="5893102A" w:rsidR="00335DA7" w:rsidRPr="005A7D52" w:rsidRDefault="00623511" w:rsidP="0016347B">
      <w:pPr>
        <w:tabs>
          <w:tab w:val="left" w:pos="2745"/>
        </w:tabs>
        <w:spacing w:line="360" w:lineRule="auto"/>
        <w:jc w:val="both"/>
        <w:rPr>
          <w:rFonts w:ascii="Palatino Linotype" w:hAnsi="Palatino Linotype" w:cs="Arial"/>
          <w:b/>
        </w:rPr>
      </w:pPr>
      <w:r w:rsidRPr="005A7D52">
        <w:rPr>
          <w:rFonts w:ascii="Palatino Linotype" w:hAnsi="Palatino Linotype" w:cs="Arial"/>
          <w:b/>
        </w:rPr>
        <w:t>A</w:t>
      </w:r>
      <w:r w:rsidR="00335DA7" w:rsidRPr="005A7D52">
        <w:rPr>
          <w:rFonts w:ascii="Palatino Linotype" w:hAnsi="Palatino Linotype" w:cs="Arial"/>
          <w:b/>
        </w:rPr>
        <w:t>cto impugnado</w:t>
      </w:r>
      <w:r w:rsidR="00E71314" w:rsidRPr="005A7D52">
        <w:rPr>
          <w:rFonts w:ascii="Palatino Linotype" w:hAnsi="Palatino Linotype" w:cs="Arial"/>
          <w:b/>
        </w:rPr>
        <w:t xml:space="preserve">: </w:t>
      </w:r>
      <w:r w:rsidR="009B3F83" w:rsidRPr="005A7D52">
        <w:rPr>
          <w:rFonts w:ascii="Palatino Linotype" w:hAnsi="Palatino Linotype" w:cs="Arial"/>
          <w:b/>
        </w:rPr>
        <w:tab/>
      </w:r>
    </w:p>
    <w:p w14:paraId="5CF8D978" w14:textId="77777777" w:rsidR="00BB36C1" w:rsidRPr="005A7D52" w:rsidRDefault="00BB36C1" w:rsidP="0016347B">
      <w:pPr>
        <w:spacing w:line="360" w:lineRule="auto"/>
        <w:ind w:left="851" w:right="900"/>
        <w:jc w:val="both"/>
        <w:rPr>
          <w:rFonts w:ascii="Palatino Linotype" w:hAnsi="Palatino Linotype" w:cs="Arial"/>
          <w:i/>
          <w:sz w:val="2"/>
          <w:szCs w:val="22"/>
          <w:lang w:eastAsia="es-MX"/>
        </w:rPr>
      </w:pPr>
    </w:p>
    <w:p w14:paraId="51BBADF4" w14:textId="4A62393A" w:rsidR="00297161" w:rsidRPr="005A7D52" w:rsidRDefault="00297161" w:rsidP="0016347B">
      <w:pPr>
        <w:ind w:left="851" w:right="900"/>
        <w:jc w:val="both"/>
        <w:rPr>
          <w:rFonts w:ascii="Palatino Linotype" w:hAnsi="Palatino Linotype"/>
          <w:i/>
          <w:sz w:val="22"/>
          <w:szCs w:val="22"/>
          <w:lang w:val="es-MX" w:eastAsia="es-MX"/>
        </w:rPr>
      </w:pPr>
      <w:r w:rsidRPr="005A7D52">
        <w:rPr>
          <w:rFonts w:ascii="Palatino Linotype" w:hAnsi="Palatino Linotype" w:cs="Arial"/>
          <w:i/>
          <w:sz w:val="22"/>
          <w:szCs w:val="22"/>
          <w:lang w:eastAsia="es-MX"/>
        </w:rPr>
        <w:t>“</w:t>
      </w:r>
      <w:r w:rsidR="00C47394" w:rsidRPr="005A7D52">
        <w:rPr>
          <w:rFonts w:ascii="Palatino Linotype" w:hAnsi="Palatino Linotype" w:cs="Arial"/>
          <w:i/>
          <w:sz w:val="22"/>
          <w:szCs w:val="22"/>
          <w:lang w:eastAsia="es-MX"/>
        </w:rPr>
        <w:t>La respuesta del sujeto obligado</w:t>
      </w:r>
      <w:r w:rsidR="00501EC4" w:rsidRPr="005A7D52">
        <w:rPr>
          <w:rFonts w:ascii="Palatino Linotype" w:hAnsi="Palatino Linotype"/>
          <w:i/>
          <w:sz w:val="22"/>
          <w:szCs w:val="22"/>
          <w:lang w:val="es-MX" w:eastAsia="es-MX"/>
        </w:rPr>
        <w:t>”</w:t>
      </w:r>
      <w:r w:rsidR="00C35B78" w:rsidRPr="005A7D52">
        <w:rPr>
          <w:rFonts w:ascii="Palatino Linotype" w:hAnsi="Palatino Linotype" w:cs="Arial"/>
          <w:i/>
          <w:sz w:val="22"/>
          <w:szCs w:val="22"/>
          <w:lang w:eastAsia="es-MX"/>
        </w:rPr>
        <w:t xml:space="preserve"> (</w:t>
      </w:r>
      <w:r w:rsidR="00B63D2E" w:rsidRPr="005A7D52">
        <w:rPr>
          <w:rFonts w:ascii="Palatino Linotype" w:hAnsi="Palatino Linotype" w:cs="Arial"/>
          <w:i/>
          <w:sz w:val="22"/>
          <w:szCs w:val="22"/>
          <w:lang w:eastAsia="es-MX"/>
        </w:rPr>
        <w:t>s</w:t>
      </w:r>
      <w:r w:rsidR="00754AFA" w:rsidRPr="005A7D52">
        <w:rPr>
          <w:rFonts w:ascii="Palatino Linotype" w:hAnsi="Palatino Linotype" w:cs="Arial"/>
          <w:i/>
          <w:sz w:val="22"/>
          <w:szCs w:val="22"/>
          <w:lang w:eastAsia="es-MX"/>
        </w:rPr>
        <w:t>ic)</w:t>
      </w:r>
    </w:p>
    <w:p w14:paraId="280D4FEB" w14:textId="77777777" w:rsidR="00501EC4" w:rsidRPr="005A7D52" w:rsidRDefault="00501EC4" w:rsidP="0016347B">
      <w:pPr>
        <w:spacing w:line="360" w:lineRule="auto"/>
        <w:jc w:val="both"/>
        <w:rPr>
          <w:rFonts w:ascii="Palatino Linotype" w:hAnsi="Palatino Linotype"/>
          <w:sz w:val="2"/>
          <w:lang w:val="es-MX" w:eastAsia="es-MX"/>
        </w:rPr>
      </w:pPr>
    </w:p>
    <w:p w14:paraId="21BFC1E4" w14:textId="77777777" w:rsidR="00B63D2E" w:rsidRPr="005A7D52" w:rsidRDefault="00B63D2E" w:rsidP="0016347B">
      <w:pPr>
        <w:spacing w:line="360" w:lineRule="auto"/>
        <w:jc w:val="both"/>
        <w:rPr>
          <w:rFonts w:ascii="Palatino Linotype" w:hAnsi="Palatino Linotype" w:cs="Arial"/>
          <w:b/>
          <w:sz w:val="14"/>
        </w:rPr>
      </w:pPr>
    </w:p>
    <w:p w14:paraId="547E014C" w14:textId="126A2866" w:rsidR="00297161" w:rsidRPr="005A7D52" w:rsidRDefault="002D740B" w:rsidP="0016347B">
      <w:pPr>
        <w:spacing w:line="360" w:lineRule="auto"/>
        <w:jc w:val="both"/>
        <w:rPr>
          <w:rFonts w:ascii="Palatino Linotype" w:hAnsi="Palatino Linotype" w:cs="Arial"/>
        </w:rPr>
      </w:pPr>
      <w:r w:rsidRPr="005A7D52">
        <w:rPr>
          <w:rFonts w:ascii="Palatino Linotype" w:hAnsi="Palatino Linotype" w:cs="Arial"/>
          <w:b/>
        </w:rPr>
        <w:t>Y Razones</w:t>
      </w:r>
      <w:r w:rsidR="0054779A" w:rsidRPr="005A7D52">
        <w:rPr>
          <w:rFonts w:ascii="Palatino Linotype" w:hAnsi="Palatino Linotype" w:cs="Arial"/>
          <w:b/>
        </w:rPr>
        <w:t xml:space="preserve"> o motivos de inconformidad</w:t>
      </w:r>
      <w:r w:rsidR="0083770F" w:rsidRPr="005A7D52">
        <w:rPr>
          <w:rFonts w:ascii="Palatino Linotype" w:hAnsi="Palatino Linotype" w:cs="Arial"/>
        </w:rPr>
        <w:t>:</w:t>
      </w:r>
    </w:p>
    <w:p w14:paraId="0104A6AA" w14:textId="77777777" w:rsidR="000C096A" w:rsidRPr="005A7D52" w:rsidRDefault="000C096A" w:rsidP="0016347B">
      <w:pPr>
        <w:spacing w:line="360" w:lineRule="auto"/>
        <w:jc w:val="both"/>
        <w:rPr>
          <w:rFonts w:ascii="Palatino Linotype" w:hAnsi="Palatino Linotype" w:cs="Arial"/>
          <w:sz w:val="2"/>
        </w:rPr>
      </w:pPr>
    </w:p>
    <w:p w14:paraId="2A7A8A5F" w14:textId="186A69D1" w:rsidR="00297161" w:rsidRPr="005A7D52" w:rsidRDefault="001F1E4F" w:rsidP="0016347B">
      <w:pPr>
        <w:ind w:left="851" w:right="900"/>
        <w:jc w:val="both"/>
        <w:rPr>
          <w:rFonts w:ascii="Palatino Linotype" w:hAnsi="Palatino Linotype" w:cs="Arial"/>
          <w:i/>
          <w:sz w:val="22"/>
          <w:szCs w:val="22"/>
          <w:lang w:eastAsia="es-MX"/>
        </w:rPr>
      </w:pPr>
      <w:bookmarkStart w:id="2" w:name="_Hlk51074851"/>
      <w:r w:rsidRPr="005A7D52">
        <w:rPr>
          <w:rFonts w:ascii="Palatino Linotype" w:hAnsi="Palatino Linotype" w:cs="Arial"/>
          <w:i/>
          <w:sz w:val="22"/>
          <w:szCs w:val="22"/>
          <w:lang w:eastAsia="es-MX"/>
        </w:rPr>
        <w:t xml:space="preserve"> </w:t>
      </w:r>
      <w:r w:rsidR="00297161" w:rsidRPr="005A7D52">
        <w:rPr>
          <w:rFonts w:ascii="Palatino Linotype" w:hAnsi="Palatino Linotype" w:cs="Arial"/>
          <w:i/>
          <w:sz w:val="22"/>
          <w:szCs w:val="22"/>
          <w:lang w:eastAsia="es-MX"/>
        </w:rPr>
        <w:t>“</w:t>
      </w:r>
      <w:r w:rsidR="00C47394" w:rsidRPr="005A7D52">
        <w:rPr>
          <w:rFonts w:ascii="Palatino Linotype" w:hAnsi="Palatino Linotype" w:cs="Arial"/>
          <w:i/>
          <w:sz w:val="22"/>
          <w:szCs w:val="22"/>
          <w:lang w:eastAsia="es-MX"/>
        </w:rPr>
        <w:t>El sujeto obligado, entrega una relación parcial de lo solicitado. Siendo una solicitud clara, cabe señalar, que el expediente de entregable, debe obrar en la dirección general de administración!</w:t>
      </w:r>
      <w:r w:rsidR="00222777" w:rsidRPr="005A7D52">
        <w:rPr>
          <w:rFonts w:ascii="Palatino Linotype" w:hAnsi="Palatino Linotype"/>
          <w:i/>
          <w:sz w:val="22"/>
          <w:szCs w:val="22"/>
        </w:rPr>
        <w:t xml:space="preserve">” </w:t>
      </w:r>
      <w:r w:rsidR="00B63D2E" w:rsidRPr="005A7D52">
        <w:rPr>
          <w:rFonts w:ascii="Palatino Linotype" w:hAnsi="Palatino Linotype" w:cs="Arial"/>
          <w:i/>
          <w:sz w:val="22"/>
          <w:szCs w:val="22"/>
          <w:lang w:eastAsia="es-MX"/>
        </w:rPr>
        <w:t>(s</w:t>
      </w:r>
      <w:r w:rsidR="00D425F6" w:rsidRPr="005A7D52">
        <w:rPr>
          <w:rFonts w:ascii="Palatino Linotype" w:hAnsi="Palatino Linotype" w:cs="Arial"/>
          <w:i/>
          <w:sz w:val="22"/>
          <w:szCs w:val="22"/>
          <w:lang w:eastAsia="es-MX"/>
        </w:rPr>
        <w:t>ic)</w:t>
      </w:r>
    </w:p>
    <w:bookmarkEnd w:id="2"/>
    <w:p w14:paraId="3A1B2459" w14:textId="11BEFA32" w:rsidR="008E7880" w:rsidRPr="005A7D52" w:rsidRDefault="008E7880" w:rsidP="0016347B">
      <w:pPr>
        <w:spacing w:before="240" w:after="240" w:line="360" w:lineRule="auto"/>
        <w:ind w:right="51"/>
        <w:jc w:val="both"/>
        <w:rPr>
          <w:rFonts w:ascii="Palatino Linotype" w:eastAsiaTheme="minorEastAsia" w:hAnsi="Palatino Linotype" w:cs="Calibri"/>
          <w:i/>
          <w:sz w:val="22"/>
          <w:szCs w:val="22"/>
          <w:lang w:val="es-MX"/>
        </w:rPr>
      </w:pPr>
      <w:r w:rsidRPr="005A7D52">
        <w:rPr>
          <w:rFonts w:ascii="Palatino Linotype" w:hAnsi="Palatino Linotype" w:cs="Arial"/>
          <w:b/>
          <w:lang w:eastAsia="es-MX"/>
        </w:rPr>
        <w:t xml:space="preserve">Anexos: </w:t>
      </w:r>
      <w:r w:rsidR="0087698E" w:rsidRPr="005A7D52">
        <w:rPr>
          <w:rFonts w:ascii="Palatino Linotype" w:hAnsi="Palatino Linotype" w:cs="Arial"/>
          <w:lang w:eastAsia="es-MX"/>
        </w:rPr>
        <w:t>La parte</w:t>
      </w:r>
      <w:r w:rsidRPr="005A7D52">
        <w:rPr>
          <w:rFonts w:ascii="Palatino Linotype" w:hAnsi="Palatino Linotype" w:cs="Arial"/>
          <w:lang w:eastAsia="es-MX"/>
        </w:rPr>
        <w:t xml:space="preserve"> </w:t>
      </w:r>
      <w:r w:rsidR="0087698E" w:rsidRPr="005A7D52">
        <w:rPr>
          <w:rFonts w:ascii="Palatino Linotype" w:hAnsi="Palatino Linotype" w:cs="Arial"/>
          <w:lang w:eastAsia="es-MX"/>
        </w:rPr>
        <w:t>r</w:t>
      </w:r>
      <w:r w:rsidRPr="005A7D52">
        <w:rPr>
          <w:rFonts w:ascii="Palatino Linotype" w:hAnsi="Palatino Linotype" w:cs="Arial"/>
          <w:lang w:eastAsia="es-MX"/>
        </w:rPr>
        <w:t>ecurrente</w:t>
      </w:r>
      <w:r w:rsidR="004764C7" w:rsidRPr="005A7D52">
        <w:rPr>
          <w:rFonts w:ascii="Palatino Linotype" w:hAnsi="Palatino Linotype" w:cs="Arial"/>
          <w:lang w:eastAsia="es-MX"/>
        </w:rPr>
        <w:t xml:space="preserve"> no adjuntó archivos</w:t>
      </w:r>
      <w:r w:rsidR="00F12428" w:rsidRPr="005A7D52">
        <w:rPr>
          <w:rFonts w:ascii="Palatino Linotype" w:hAnsi="Palatino Linotype" w:cs="Arial"/>
          <w:lang w:eastAsia="es-MX"/>
        </w:rPr>
        <w:t>.</w:t>
      </w:r>
      <w:r w:rsidRPr="005A7D52">
        <w:rPr>
          <w:rFonts w:ascii="Palatino Linotype" w:hAnsi="Palatino Linotype" w:cs="Arial"/>
          <w:lang w:eastAsia="es-MX"/>
        </w:rPr>
        <w:t xml:space="preserve"> </w:t>
      </w:r>
    </w:p>
    <w:p w14:paraId="3E4E3466" w14:textId="39AC4C09" w:rsidR="00060185" w:rsidRPr="005A7D52" w:rsidRDefault="00226F34" w:rsidP="0016347B">
      <w:pPr>
        <w:spacing w:before="240" w:after="240" w:line="360" w:lineRule="auto"/>
        <w:jc w:val="both"/>
        <w:rPr>
          <w:rFonts w:ascii="Palatino Linotype" w:hAnsi="Palatino Linotype"/>
        </w:rPr>
      </w:pPr>
      <w:r w:rsidRPr="005A7D52">
        <w:rPr>
          <w:rFonts w:ascii="Palatino Linotype" w:hAnsi="Palatino Linotype" w:cs="Arial"/>
          <w:b/>
        </w:rPr>
        <w:lastRenderedPageBreak/>
        <w:t>4</w:t>
      </w:r>
      <w:r w:rsidR="002426FE" w:rsidRPr="005A7D52">
        <w:rPr>
          <w:rFonts w:ascii="Palatino Linotype" w:hAnsi="Palatino Linotype" w:cs="Arial"/>
          <w:b/>
        </w:rPr>
        <w:t xml:space="preserve">. </w:t>
      </w:r>
      <w:r w:rsidR="002426FE" w:rsidRPr="005A7D52">
        <w:rPr>
          <w:rFonts w:ascii="Palatino Linotype" w:eastAsia="Calibri" w:hAnsi="Palatino Linotype" w:cs="Arial"/>
          <w:b/>
        </w:rPr>
        <w:t>Turno.</w:t>
      </w:r>
      <w:r w:rsidR="002426FE" w:rsidRPr="005A7D52">
        <w:rPr>
          <w:rFonts w:ascii="Palatino Linotype" w:eastAsia="Calibri" w:hAnsi="Palatino Linotype" w:cs="Arial"/>
          <w:b/>
          <w:sz w:val="28"/>
          <w:szCs w:val="28"/>
        </w:rPr>
        <w:t xml:space="preserve"> </w:t>
      </w:r>
      <w:r w:rsidR="00F5055E" w:rsidRPr="005A7D5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5A7D52">
        <w:rPr>
          <w:rFonts w:ascii="Palatino Linotype" w:hAnsi="Palatino Linotype" w:cs="Arial"/>
        </w:rPr>
        <w:t>a</w:t>
      </w:r>
      <w:r w:rsidR="00C47394" w:rsidRPr="005A7D52">
        <w:rPr>
          <w:rFonts w:ascii="Palatino Linotype" w:hAnsi="Palatino Linotype" w:cs="Arial"/>
        </w:rPr>
        <w:t xml:space="preserve"> </w:t>
      </w:r>
      <w:r w:rsidR="00F5055E" w:rsidRPr="005A7D52">
        <w:rPr>
          <w:rFonts w:ascii="Palatino Linotype" w:hAnsi="Palatino Linotype" w:cs="Arial"/>
        </w:rPr>
        <w:t>l</w:t>
      </w:r>
      <w:r w:rsidR="00C47394" w:rsidRPr="005A7D52">
        <w:rPr>
          <w:rFonts w:ascii="Palatino Linotype" w:hAnsi="Palatino Linotype" w:cs="Arial"/>
        </w:rPr>
        <w:t>a</w:t>
      </w:r>
      <w:r w:rsidR="00F5055E" w:rsidRPr="005A7D52">
        <w:rPr>
          <w:rFonts w:ascii="Palatino Linotype" w:eastAsia="Calibri" w:hAnsi="Palatino Linotype" w:cs="Arial"/>
        </w:rPr>
        <w:t xml:space="preserve"> Comisionad</w:t>
      </w:r>
      <w:r w:rsidR="00C47394" w:rsidRPr="005A7D52">
        <w:rPr>
          <w:rFonts w:ascii="Palatino Linotype" w:eastAsia="Calibri" w:hAnsi="Palatino Linotype" w:cs="Arial"/>
        </w:rPr>
        <w:t xml:space="preserve">a </w:t>
      </w:r>
      <w:r w:rsidR="00C47394" w:rsidRPr="005A7D52">
        <w:rPr>
          <w:rFonts w:ascii="Palatino Linotype" w:eastAsia="Calibri" w:hAnsi="Palatino Linotype" w:cs="Arial"/>
          <w:b/>
        </w:rPr>
        <w:t xml:space="preserve">Guadalupe Ramírez Peña, </w:t>
      </w:r>
      <w:r w:rsidR="00F7007F" w:rsidRPr="005A7D52">
        <w:rPr>
          <w:rFonts w:ascii="Palatino Linotype" w:hAnsi="Palatino Linotype"/>
        </w:rPr>
        <w:t>a efecto de que analizara sobre su admisión o su desechamiento.</w:t>
      </w:r>
    </w:p>
    <w:p w14:paraId="593D08EA" w14:textId="06CA9B9B" w:rsidR="002E0D1C" w:rsidRPr="005A7D52" w:rsidRDefault="00E55FD9" w:rsidP="00CF5367">
      <w:pPr>
        <w:spacing w:after="240" w:line="360" w:lineRule="auto"/>
        <w:jc w:val="both"/>
        <w:rPr>
          <w:rFonts w:ascii="Palatino Linotype" w:hAnsi="Palatino Linotype" w:cs="Arial"/>
          <w:b/>
        </w:rPr>
      </w:pPr>
      <w:r w:rsidRPr="005A7D52">
        <w:rPr>
          <w:rFonts w:ascii="Palatino Linotype" w:hAnsi="Palatino Linotype" w:cs="Arial"/>
          <w:b/>
        </w:rPr>
        <w:t xml:space="preserve">5. </w:t>
      </w:r>
      <w:r w:rsidR="00F5055E" w:rsidRPr="005A7D52">
        <w:rPr>
          <w:rFonts w:ascii="Palatino Linotype" w:hAnsi="Palatino Linotype" w:cs="Arial"/>
          <w:b/>
        </w:rPr>
        <w:t>Admisión del Recurso</w:t>
      </w:r>
      <w:r w:rsidR="00F7007F" w:rsidRPr="005A7D52">
        <w:rPr>
          <w:rFonts w:ascii="Palatino Linotype" w:hAnsi="Palatino Linotype" w:cs="Arial"/>
          <w:b/>
        </w:rPr>
        <w:t xml:space="preserve"> de revisión</w:t>
      </w:r>
      <w:r w:rsidR="00F5055E" w:rsidRPr="005A7D52">
        <w:rPr>
          <w:rFonts w:ascii="Palatino Linotype" w:hAnsi="Palatino Linotype" w:cs="Arial"/>
          <w:b/>
        </w:rPr>
        <w:t>.</w:t>
      </w:r>
      <w:r w:rsidR="00F5055E" w:rsidRPr="005A7D52">
        <w:rPr>
          <w:rFonts w:ascii="Palatino Linotype" w:hAnsi="Palatino Linotype" w:cs="Arial"/>
          <w:sz w:val="28"/>
          <w:szCs w:val="28"/>
        </w:rPr>
        <w:t xml:space="preserve"> </w:t>
      </w:r>
      <w:r w:rsidR="00C03E00" w:rsidRPr="005A7D52">
        <w:rPr>
          <w:rFonts w:ascii="Palatino Linotype" w:hAnsi="Palatino Linotype" w:cs="Arial"/>
          <w:szCs w:val="28"/>
        </w:rPr>
        <w:t>Con</w:t>
      </w:r>
      <w:r w:rsidR="00707B32" w:rsidRPr="005A7D52">
        <w:rPr>
          <w:rFonts w:ascii="Palatino Linotype" w:hAnsi="Palatino Linotype" w:cs="Arial"/>
        </w:rPr>
        <w:t xml:space="preserve"> fecha</w:t>
      </w:r>
      <w:r w:rsidR="00F5055E" w:rsidRPr="005A7D52">
        <w:rPr>
          <w:rFonts w:ascii="Palatino Linotype" w:hAnsi="Palatino Linotype" w:cs="Arial"/>
          <w:b/>
        </w:rPr>
        <w:t xml:space="preserve"> </w:t>
      </w:r>
      <w:r w:rsidRPr="005A7D52">
        <w:rPr>
          <w:rFonts w:ascii="Palatino Linotype" w:hAnsi="Palatino Linotype" w:cs="Arial"/>
          <w:b/>
        </w:rPr>
        <w:t>seis de septiembre</w:t>
      </w:r>
      <w:r w:rsidR="00924415" w:rsidRPr="005A7D52">
        <w:rPr>
          <w:rFonts w:ascii="Palatino Linotype" w:hAnsi="Palatino Linotype" w:cs="Arial"/>
          <w:b/>
        </w:rPr>
        <w:t xml:space="preserve"> </w:t>
      </w:r>
      <w:r w:rsidR="00673AAB" w:rsidRPr="005A7D52">
        <w:rPr>
          <w:rFonts w:ascii="Palatino Linotype" w:hAnsi="Palatino Linotype" w:cs="Arial"/>
          <w:b/>
        </w:rPr>
        <w:t>de dos mil veint</w:t>
      </w:r>
      <w:r w:rsidR="00FB5553" w:rsidRPr="005A7D52">
        <w:rPr>
          <w:rFonts w:ascii="Palatino Linotype" w:hAnsi="Palatino Linotype" w:cs="Arial"/>
          <w:b/>
        </w:rPr>
        <w:t>iuno,</w:t>
      </w:r>
      <w:r w:rsidR="00F7007F" w:rsidRPr="005A7D52">
        <w:rPr>
          <w:rFonts w:ascii="Palatino Linotype" w:hAnsi="Palatino Linotype" w:cs="Arial"/>
          <w:b/>
        </w:rPr>
        <w:t xml:space="preserve"> </w:t>
      </w:r>
      <w:r w:rsidR="00F7007F" w:rsidRPr="005A7D52">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3B807F90" w14:textId="001C9917" w:rsidR="00CF5367" w:rsidRPr="005A7D52" w:rsidRDefault="00CF5367" w:rsidP="0016347B">
      <w:pPr>
        <w:widowControl w:val="0"/>
        <w:autoSpaceDE w:val="0"/>
        <w:autoSpaceDN w:val="0"/>
        <w:adjustRightInd w:val="0"/>
        <w:spacing w:before="240" w:after="240" w:line="360" w:lineRule="auto"/>
        <w:jc w:val="both"/>
        <w:rPr>
          <w:rFonts w:ascii="Palatino Linotype" w:hAnsi="Palatino Linotype" w:cs="Arial"/>
        </w:rPr>
      </w:pPr>
      <w:r w:rsidRPr="005A7D52">
        <w:rPr>
          <w:rFonts w:ascii="Palatino Linotype" w:hAnsi="Palatino Linotype" w:cs="Arial"/>
          <w:b/>
        </w:rPr>
        <w:t>6</w:t>
      </w:r>
      <w:r w:rsidR="004946EA" w:rsidRPr="005A7D52">
        <w:rPr>
          <w:rFonts w:ascii="Palatino Linotype" w:hAnsi="Palatino Linotype" w:cs="Arial"/>
          <w:b/>
        </w:rPr>
        <w:t xml:space="preserve">. </w:t>
      </w:r>
      <w:r w:rsidR="00ED7CEC" w:rsidRPr="005A7D52">
        <w:rPr>
          <w:rFonts w:ascii="Palatino Linotype" w:hAnsi="Palatino Linotype" w:cs="Arial"/>
          <w:b/>
        </w:rPr>
        <w:t>Manifestaciones</w:t>
      </w:r>
      <w:r w:rsidR="00934831" w:rsidRPr="005A7D52">
        <w:rPr>
          <w:rFonts w:ascii="Palatino Linotype" w:hAnsi="Palatino Linotype" w:cs="Arial"/>
        </w:rPr>
        <w:t>.</w:t>
      </w:r>
      <w:r w:rsidR="00BA2BEA" w:rsidRPr="005A7D52">
        <w:rPr>
          <w:rFonts w:ascii="Palatino Linotype" w:hAnsi="Palatino Linotype" w:cs="Arial"/>
          <w:sz w:val="28"/>
        </w:rPr>
        <w:t xml:space="preserve"> </w:t>
      </w:r>
      <w:r w:rsidR="00426FC0" w:rsidRPr="005A7D52">
        <w:rPr>
          <w:rFonts w:ascii="Palatino Linotype" w:hAnsi="Palatino Linotype" w:cs="Arial"/>
        </w:rPr>
        <w:t>De las constancias que obran en el expediente electrónico que nos ocupa, se advierte que</w:t>
      </w:r>
      <w:r w:rsidR="00006F62" w:rsidRPr="005A7D52">
        <w:rPr>
          <w:rFonts w:ascii="Palatino Linotype" w:hAnsi="Palatino Linotype" w:cs="Arial"/>
        </w:rPr>
        <w:t>, en fecha</w:t>
      </w:r>
      <w:r w:rsidRPr="005A7D52">
        <w:rPr>
          <w:rFonts w:ascii="Palatino Linotype" w:hAnsi="Palatino Linotype" w:cs="Arial"/>
        </w:rPr>
        <w:t xml:space="preserve"> </w:t>
      </w:r>
      <w:r w:rsidRPr="005A7D52">
        <w:rPr>
          <w:rFonts w:ascii="Palatino Linotype" w:hAnsi="Palatino Linotype" w:cs="Arial"/>
          <w:b/>
          <w:bCs/>
        </w:rPr>
        <w:t>siete</w:t>
      </w:r>
      <w:r w:rsidR="00E55FD9" w:rsidRPr="005A7D52">
        <w:rPr>
          <w:rFonts w:ascii="Palatino Linotype" w:hAnsi="Palatino Linotype" w:cs="Arial"/>
          <w:b/>
          <w:bCs/>
        </w:rPr>
        <w:t xml:space="preserve"> de septiembre </w:t>
      </w:r>
      <w:r w:rsidR="00006F62" w:rsidRPr="005A7D52">
        <w:rPr>
          <w:rFonts w:ascii="Palatino Linotype" w:hAnsi="Palatino Linotype" w:cs="Arial"/>
          <w:b/>
          <w:bCs/>
        </w:rPr>
        <w:t>de dos mil veintiuno</w:t>
      </w:r>
      <w:r w:rsidR="00121A25" w:rsidRPr="005A7D52">
        <w:rPr>
          <w:rFonts w:ascii="Palatino Linotype" w:hAnsi="Palatino Linotype" w:cs="Arial"/>
          <w:b/>
          <w:bCs/>
        </w:rPr>
        <w:t>,</w:t>
      </w:r>
      <w:r w:rsidR="00121A25" w:rsidRPr="005A7D52">
        <w:rPr>
          <w:rFonts w:ascii="Palatino Linotype" w:hAnsi="Palatino Linotype" w:cs="Arial"/>
        </w:rPr>
        <w:t xml:space="preserve"> el sujeto obligado</w:t>
      </w:r>
      <w:r w:rsidR="00E55FD9" w:rsidRPr="005A7D52">
        <w:rPr>
          <w:rFonts w:ascii="Palatino Linotype" w:hAnsi="Palatino Linotype" w:cs="Arial"/>
        </w:rPr>
        <w:t xml:space="preserve"> presentó su informe justificado</w:t>
      </w:r>
      <w:r w:rsidRPr="005A7D52">
        <w:rPr>
          <w:rFonts w:ascii="Palatino Linotype" w:hAnsi="Palatino Linotype" w:cs="Arial"/>
        </w:rPr>
        <w:t xml:space="preserve"> acompañado del oficio TM/467/08/2021, signado por el Tesorero Municipal, documentos que se hicieron del conocimiento de la parte hoy recurrente a efecto de que manifestara lo que a su derecho resultara conveniente, no obstante, fue omisa en ejercer dicha prerrogativa.</w:t>
      </w:r>
    </w:p>
    <w:p w14:paraId="5485AE0A" w14:textId="13658FFF" w:rsidR="00E00611" w:rsidRPr="005A7D52" w:rsidRDefault="00CF5367" w:rsidP="0016347B">
      <w:pPr>
        <w:spacing w:after="240" w:line="360" w:lineRule="auto"/>
        <w:jc w:val="both"/>
        <w:rPr>
          <w:rFonts w:ascii="Palatino Linotype" w:hAnsi="Palatino Linotype"/>
        </w:rPr>
      </w:pPr>
      <w:r w:rsidRPr="005A7D52">
        <w:rPr>
          <w:rFonts w:ascii="Palatino Linotype" w:hAnsi="Palatino Linotype"/>
          <w:b/>
        </w:rPr>
        <w:t>7</w:t>
      </w:r>
      <w:r w:rsidR="00E00611" w:rsidRPr="005A7D52">
        <w:rPr>
          <w:rFonts w:ascii="Palatino Linotype" w:hAnsi="Palatino Linotype"/>
          <w:b/>
        </w:rPr>
        <w:t xml:space="preserve">. Cierre de instrucción. </w:t>
      </w:r>
      <w:r w:rsidR="00E00611" w:rsidRPr="005A7D52">
        <w:rPr>
          <w:rFonts w:ascii="Palatino Linotype" w:hAnsi="Palatino Linotype"/>
        </w:rPr>
        <w:t xml:space="preserve">Una vez transcurrido el periodo otorgado a las partes para realizar sus manifestaciones y no habiendo documentos que integrar al expediente, con fecha </w:t>
      </w:r>
      <w:r w:rsidR="0062086A" w:rsidRPr="005A7D52">
        <w:rPr>
          <w:rFonts w:ascii="Palatino Linotype" w:hAnsi="Palatino Linotype"/>
          <w:b/>
          <w:bCs/>
        </w:rPr>
        <w:t>cinco de octubre</w:t>
      </w:r>
      <w:r w:rsidR="00306983" w:rsidRPr="005A7D52">
        <w:rPr>
          <w:rFonts w:ascii="Palatino Linotype" w:hAnsi="Palatino Linotype"/>
          <w:b/>
          <w:bCs/>
        </w:rPr>
        <w:t xml:space="preserve"> </w:t>
      </w:r>
      <w:r w:rsidR="00E00611" w:rsidRPr="005A7D52">
        <w:rPr>
          <w:rFonts w:ascii="Palatino Linotype" w:hAnsi="Palatino Linotype"/>
          <w:b/>
          <w:bCs/>
        </w:rPr>
        <w:t xml:space="preserve">de </w:t>
      </w:r>
      <w:r w:rsidR="00E00611" w:rsidRPr="005A7D52">
        <w:rPr>
          <w:rFonts w:ascii="Palatino Linotype" w:hAnsi="Palatino Linotype" w:cs="Arial"/>
          <w:b/>
        </w:rPr>
        <w:t>dos mil veintiuno</w:t>
      </w:r>
      <w:r w:rsidR="00E00611" w:rsidRPr="005A7D52">
        <w:rPr>
          <w:rFonts w:ascii="Palatino Linotype" w:hAnsi="Palatino Linotype"/>
        </w:rPr>
        <w:t>, l</w:t>
      </w:r>
      <w:r w:rsidR="0062086A" w:rsidRPr="005A7D52">
        <w:rPr>
          <w:rFonts w:ascii="Palatino Linotype" w:hAnsi="Palatino Linotype"/>
        </w:rPr>
        <w:t>a</w:t>
      </w:r>
      <w:r w:rsidR="00E00611" w:rsidRPr="005A7D52">
        <w:rPr>
          <w:rFonts w:ascii="Palatino Linotype" w:hAnsi="Palatino Linotype"/>
        </w:rPr>
        <w:t xml:space="preserve"> Comisionad</w:t>
      </w:r>
      <w:r w:rsidR="0062086A" w:rsidRPr="005A7D52">
        <w:rPr>
          <w:rFonts w:ascii="Palatino Linotype" w:hAnsi="Palatino Linotype"/>
        </w:rPr>
        <w:t>a</w:t>
      </w:r>
      <w:r w:rsidR="00E00611" w:rsidRPr="005A7D52">
        <w:rPr>
          <w:rFonts w:ascii="Palatino Linotype" w:hAnsi="Palatino Linotype"/>
        </w:rPr>
        <w:t xml:space="preserve"> ponente </w:t>
      </w:r>
      <w:r w:rsidR="00E00611" w:rsidRPr="005A7D52">
        <w:rPr>
          <w:rFonts w:ascii="Palatino Linotype" w:hAnsi="Palatino Linotype"/>
        </w:rPr>
        <w:lastRenderedPageBreak/>
        <w:t>determinó el cierre de instrucción en términos de la fracción VI del artículo 185 de la Ley de Transparencia y Acceso a la Información Pública del Estado de México y Municipios.</w:t>
      </w:r>
    </w:p>
    <w:p w14:paraId="0303C99F" w14:textId="54CBDA26" w:rsidR="003F292C" w:rsidRPr="005A7D52"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5A7D52">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5A7D52"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5A7D52">
        <w:rPr>
          <w:rFonts w:ascii="Palatino Linotype" w:hAnsi="Palatino Linotype" w:cs="Arial"/>
          <w:b/>
        </w:rPr>
        <w:t>II. C O N S I D E R A N D O</w:t>
      </w:r>
      <w:r w:rsidR="00080585" w:rsidRPr="005A7D52">
        <w:rPr>
          <w:rFonts w:ascii="Palatino Linotype" w:hAnsi="Palatino Linotype" w:cs="Arial"/>
          <w:b/>
        </w:rPr>
        <w:t xml:space="preserve"> S</w:t>
      </w:r>
    </w:p>
    <w:p w14:paraId="457D983D" w14:textId="463F5B32" w:rsidR="000504F0" w:rsidRPr="005A7D52" w:rsidRDefault="008245CD" w:rsidP="0016347B">
      <w:pPr>
        <w:spacing w:before="240" w:after="240" w:line="360" w:lineRule="auto"/>
        <w:jc w:val="both"/>
        <w:rPr>
          <w:rFonts w:ascii="Palatino Linotype" w:hAnsi="Palatino Linotype" w:cs="Arial"/>
        </w:rPr>
      </w:pPr>
      <w:r w:rsidRPr="005A7D52">
        <w:rPr>
          <w:rFonts w:ascii="Palatino Linotype" w:hAnsi="Palatino Linotype" w:cs="Arial"/>
          <w:b/>
        </w:rPr>
        <w:t>Primero. Competencia.</w:t>
      </w:r>
      <w:r w:rsidRPr="005A7D52">
        <w:rPr>
          <w:rFonts w:ascii="Palatino Linotype" w:hAnsi="Palatino Linotype" w:cs="Arial"/>
        </w:rPr>
        <w:t xml:space="preserve"> </w:t>
      </w:r>
      <w:r w:rsidR="000504F0" w:rsidRPr="005A7D52">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5A7D52">
        <w:rPr>
          <w:rFonts w:ascii="Palatino Linotype" w:hAnsi="Palatino Linotype" w:cs="Arial"/>
        </w:rPr>
        <w:t>, trigésimo primero</w:t>
      </w:r>
      <w:r w:rsidR="000504F0" w:rsidRPr="005A7D52">
        <w:rPr>
          <w:rFonts w:ascii="Palatino Linotype" w:hAnsi="Palatino Linotype" w:cs="Arial"/>
        </w:rPr>
        <w:t xml:space="preserve"> y trigésimo </w:t>
      </w:r>
      <w:r w:rsidR="00717AC4" w:rsidRPr="005A7D52">
        <w:rPr>
          <w:rFonts w:ascii="Palatino Linotype" w:hAnsi="Palatino Linotype" w:cs="Arial"/>
        </w:rPr>
        <w:t xml:space="preserve">segundo </w:t>
      </w:r>
      <w:r w:rsidR="000504F0" w:rsidRPr="005A7D52">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5A7D52" w:rsidRDefault="00401522" w:rsidP="0016347B">
      <w:pPr>
        <w:spacing w:before="240" w:after="240" w:line="360" w:lineRule="auto"/>
        <w:jc w:val="both"/>
        <w:rPr>
          <w:rFonts w:ascii="Palatino Linotype" w:hAnsi="Palatino Linotype" w:cs="Arial"/>
        </w:rPr>
      </w:pPr>
      <w:bookmarkStart w:id="3" w:name="_Hlk44439150"/>
      <w:r w:rsidRPr="005A7D52">
        <w:rPr>
          <w:rFonts w:ascii="Palatino Linotype" w:hAnsi="Palatino Linotype" w:cs="Arial"/>
          <w:b/>
        </w:rPr>
        <w:t>Segundo. Oportunidad y Procedibilidad del Recurso de Revisión</w:t>
      </w:r>
      <w:r w:rsidRPr="005A7D52">
        <w:rPr>
          <w:rFonts w:ascii="Palatino Linotype" w:hAnsi="Palatino Linotype" w:cs="Arial"/>
        </w:rPr>
        <w:t xml:space="preserve">. Previo al estudio del fondo del asunto, se procede a analizar los requisitos de oportunidad y procedibilidad que debe reunir el recurso de revisión interpuesto, previstos en los </w:t>
      </w:r>
      <w:r w:rsidRPr="005A7D52">
        <w:rPr>
          <w:rFonts w:ascii="Palatino Linotype" w:hAnsi="Palatino Linotype" w:cs="Arial"/>
        </w:rPr>
        <w:lastRenderedPageBreak/>
        <w:t>artículos 178 y 180 de la Ley de Transparencia y Acceso a la Información Pública del Estado de México y Municipios.</w:t>
      </w:r>
    </w:p>
    <w:p w14:paraId="410B483C" w14:textId="0F08C7DD" w:rsidR="00401522" w:rsidRPr="005A7D52" w:rsidRDefault="00401522" w:rsidP="0016347B">
      <w:pPr>
        <w:spacing w:before="240" w:after="240" w:line="360" w:lineRule="auto"/>
        <w:jc w:val="both"/>
        <w:rPr>
          <w:rFonts w:ascii="Palatino Linotype" w:hAnsi="Palatino Linotype" w:cs="Arial"/>
          <w:lang w:eastAsia="es-MX"/>
        </w:rPr>
      </w:pPr>
      <w:r w:rsidRPr="005A7D52">
        <w:rPr>
          <w:rFonts w:ascii="Palatino Linotype" w:hAnsi="Palatino Linotype" w:cs="Arial"/>
        </w:rPr>
        <w:t xml:space="preserve">El recurso de revisión fue interpuesto dentro del plazo de quince días hábiles, previsto en el artículo 178 de la </w:t>
      </w:r>
      <w:r w:rsidRPr="005A7D52">
        <w:rPr>
          <w:rFonts w:ascii="Palatino Linotype" w:hAnsi="Palatino Linotype" w:cs="Arial"/>
          <w:lang w:val="es-MX" w:eastAsia="es-MX"/>
        </w:rPr>
        <w:t>Ley de Transparencia y Acceso a la Información Pública del Estado de México y Municipios,</w:t>
      </w:r>
      <w:r w:rsidRPr="005A7D52">
        <w:rPr>
          <w:rFonts w:ascii="Palatino Linotype" w:hAnsi="Palatino Linotype" w:cs="Arial"/>
        </w:rPr>
        <w:t xml:space="preserve"> toda vez que el Sujeto Obligado remitió la respuesta a la solicitud de información el día </w:t>
      </w:r>
      <w:r w:rsidR="0062086A" w:rsidRPr="005A7D52">
        <w:rPr>
          <w:rFonts w:ascii="Palatino Linotype" w:hAnsi="Palatino Linotype" w:cs="Arial"/>
          <w:b/>
        </w:rPr>
        <w:t>tres</w:t>
      </w:r>
      <w:r w:rsidR="00306983" w:rsidRPr="005A7D52">
        <w:rPr>
          <w:rFonts w:ascii="Palatino Linotype" w:hAnsi="Palatino Linotype" w:cs="Arial"/>
          <w:b/>
        </w:rPr>
        <w:t xml:space="preserve"> de agosto</w:t>
      </w:r>
      <w:r w:rsidRPr="005A7D52">
        <w:rPr>
          <w:rFonts w:ascii="Palatino Linotype" w:hAnsi="Palatino Linotype" w:cs="Arial"/>
          <w:b/>
        </w:rPr>
        <w:t xml:space="preserve"> de dos mil veintiuno</w:t>
      </w:r>
      <w:r w:rsidRPr="005A7D52">
        <w:rPr>
          <w:rFonts w:ascii="Palatino Linotype" w:hAnsi="Palatino Linotype" w:cs="Arial"/>
          <w:b/>
          <w:lang w:eastAsia="es-MX"/>
        </w:rPr>
        <w:t xml:space="preserve">, </w:t>
      </w:r>
      <w:r w:rsidRPr="005A7D52">
        <w:rPr>
          <w:rFonts w:ascii="Palatino Linotype" w:hAnsi="Palatino Linotype" w:cs="Arial"/>
        </w:rPr>
        <w:t xml:space="preserve">mientras que el recurso de revisión interpuesto por la parte recurrente, se tuvo por presentado el día </w:t>
      </w:r>
      <w:r w:rsidR="0062086A" w:rsidRPr="005A7D52">
        <w:rPr>
          <w:rFonts w:ascii="Palatino Linotype" w:hAnsi="Palatino Linotype" w:cs="Arial"/>
          <w:b/>
        </w:rPr>
        <w:t>veinti</w:t>
      </w:r>
      <w:r w:rsidR="001A6704" w:rsidRPr="005A7D52">
        <w:rPr>
          <w:rFonts w:ascii="Palatino Linotype" w:hAnsi="Palatino Linotype" w:cs="Arial"/>
          <w:b/>
        </w:rPr>
        <w:t>trés</w:t>
      </w:r>
      <w:r w:rsidR="00306983" w:rsidRPr="005A7D52">
        <w:rPr>
          <w:rFonts w:ascii="Palatino Linotype" w:hAnsi="Palatino Linotype" w:cs="Arial"/>
          <w:b/>
        </w:rPr>
        <w:t xml:space="preserve"> de agosto </w:t>
      </w:r>
      <w:r w:rsidRPr="005A7D52">
        <w:rPr>
          <w:rFonts w:ascii="Palatino Linotype" w:hAnsi="Palatino Linotype" w:cs="Arial"/>
          <w:b/>
        </w:rPr>
        <w:t>de dos mil veintiuno</w:t>
      </w:r>
      <w:r w:rsidRPr="005A7D52">
        <w:rPr>
          <w:rFonts w:ascii="Palatino Linotype" w:hAnsi="Palatino Linotype"/>
        </w:rPr>
        <w:t xml:space="preserve">, esto es, </w:t>
      </w:r>
      <w:r w:rsidR="00DF114E" w:rsidRPr="005A7D52">
        <w:rPr>
          <w:rFonts w:ascii="Palatino Linotype" w:hAnsi="Palatino Linotype"/>
        </w:rPr>
        <w:t xml:space="preserve">al </w:t>
      </w:r>
      <w:r w:rsidR="001A6704" w:rsidRPr="005A7D52">
        <w:rPr>
          <w:rFonts w:ascii="Palatino Linotype" w:hAnsi="Palatino Linotype"/>
        </w:rPr>
        <w:t>décimo cuarto</w:t>
      </w:r>
      <w:r w:rsidR="00DF540F" w:rsidRPr="005A7D52">
        <w:rPr>
          <w:rFonts w:ascii="Palatino Linotype" w:hAnsi="Palatino Linotype"/>
        </w:rPr>
        <w:t xml:space="preserve"> </w:t>
      </w:r>
      <w:r w:rsidRPr="005A7D52">
        <w:rPr>
          <w:rFonts w:ascii="Palatino Linotype" w:hAnsi="Palatino Linotype" w:cs="Arial"/>
        </w:rPr>
        <w:t xml:space="preserve">día </w:t>
      </w:r>
      <w:r w:rsidR="00DF114E" w:rsidRPr="005A7D52">
        <w:rPr>
          <w:rFonts w:ascii="Palatino Linotype" w:hAnsi="Palatino Linotype" w:cs="Arial"/>
        </w:rPr>
        <w:t xml:space="preserve">hábil posterior </w:t>
      </w:r>
      <w:r w:rsidRPr="005A7D52">
        <w:rPr>
          <w:rFonts w:ascii="Palatino Linotype" w:hAnsi="Palatino Linotype" w:cs="Arial"/>
        </w:rPr>
        <w:t xml:space="preserve">en que tuvo </w:t>
      </w:r>
      <w:r w:rsidRPr="005A7D52">
        <w:rPr>
          <w:rFonts w:ascii="Palatino Linotype" w:hAnsi="Palatino Linotype" w:cs="Arial"/>
          <w:lang w:eastAsia="es-MX"/>
        </w:rPr>
        <w:t>conocimiento de la respuesta impugnada.</w:t>
      </w:r>
    </w:p>
    <w:p w14:paraId="68DEFDC3" w14:textId="77777777" w:rsidR="00401522" w:rsidRPr="005A7D52" w:rsidRDefault="00401522" w:rsidP="0016347B">
      <w:pPr>
        <w:spacing w:before="240" w:after="240" w:line="360" w:lineRule="auto"/>
        <w:jc w:val="both"/>
        <w:rPr>
          <w:rFonts w:ascii="Palatino Linotype" w:hAnsi="Palatino Linotype"/>
        </w:rPr>
      </w:pPr>
      <w:bookmarkStart w:id="4" w:name="_Hlk57122114"/>
      <w:r w:rsidRPr="005A7D52">
        <w:rPr>
          <w:rFonts w:ascii="Palatino Linotype" w:hAnsi="Palatino Linotype" w:cs="Arial"/>
          <w:lang w:eastAsia="es-MX"/>
        </w:rPr>
        <w:t xml:space="preserve">En este sentido, </w:t>
      </w:r>
      <w:r w:rsidRPr="005A7D52">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4"/>
    <w:p w14:paraId="5F688F9F" w14:textId="4F6016E4" w:rsidR="00401522" w:rsidRPr="005A7D52" w:rsidRDefault="00401522" w:rsidP="0016347B">
      <w:pPr>
        <w:spacing w:before="240" w:after="240" w:line="360" w:lineRule="auto"/>
        <w:jc w:val="both"/>
        <w:rPr>
          <w:rFonts w:ascii="Palatino Linotype" w:hAnsi="Palatino Linotype" w:cs="Arial"/>
          <w:lang w:eastAsia="es-MX"/>
        </w:rPr>
      </w:pPr>
      <w:r w:rsidRPr="005A7D52">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5A7D52">
        <w:rPr>
          <w:rFonts w:ascii="Palatino Linotype" w:hAnsi="Palatino Linotype" w:cs="Arial"/>
        </w:rPr>
        <w:t xml:space="preserve">la acreditación plena de los elementos formales </w:t>
      </w:r>
      <w:r w:rsidRPr="005A7D52">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4805816B" w:rsidR="00DF114E" w:rsidRPr="005A7D52" w:rsidRDefault="00DF114E" w:rsidP="0016347B">
      <w:pPr>
        <w:spacing w:before="240" w:after="240" w:line="360" w:lineRule="auto"/>
        <w:jc w:val="both"/>
        <w:rPr>
          <w:rFonts w:ascii="Palatino Linotype" w:hAnsi="Palatino Linotype" w:cs="Arial"/>
        </w:rPr>
      </w:pPr>
      <w:r w:rsidRPr="005A7D52">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5A7D52">
        <w:rPr>
          <w:rFonts w:ascii="Palatino Linotype" w:hAnsi="Palatino Linotype" w:cs="Arial"/>
        </w:rPr>
        <w:t>ón</w:t>
      </w:r>
      <w:r w:rsidR="00306983" w:rsidRPr="005A7D52">
        <w:rPr>
          <w:rFonts w:ascii="Palatino Linotype" w:hAnsi="Palatino Linotype" w:cs="Arial"/>
        </w:rPr>
        <w:t xml:space="preserve"> </w:t>
      </w:r>
      <w:r w:rsidR="001A6704" w:rsidRPr="005A7D52">
        <w:rPr>
          <w:rFonts w:ascii="Palatino Linotype" w:hAnsi="Palatino Linotype" w:cs="Arial"/>
        </w:rPr>
        <w:t>V</w:t>
      </w:r>
      <w:r w:rsidRPr="005A7D52">
        <w:rPr>
          <w:rFonts w:ascii="Palatino Linotype" w:hAnsi="Palatino Linotype" w:cs="Arial"/>
        </w:rPr>
        <w:t xml:space="preserve"> del ordenamiento legal citado, que a la letra dice: </w:t>
      </w:r>
    </w:p>
    <w:p w14:paraId="145C18FF" w14:textId="77777777" w:rsidR="00DF114E" w:rsidRPr="005A7D52" w:rsidRDefault="00DF114E" w:rsidP="0016347B">
      <w:pPr>
        <w:spacing w:before="120" w:after="120"/>
        <w:ind w:left="851" w:right="902"/>
        <w:jc w:val="both"/>
        <w:rPr>
          <w:rFonts w:ascii="Palatino Linotype" w:hAnsi="Palatino Linotype" w:cs="Arial"/>
          <w:i/>
          <w:sz w:val="22"/>
          <w:szCs w:val="22"/>
        </w:rPr>
      </w:pPr>
      <w:r w:rsidRPr="005A7D52">
        <w:rPr>
          <w:rFonts w:ascii="Palatino Linotype" w:hAnsi="Palatino Linotype" w:cs="Arial"/>
          <w:bCs/>
          <w:i/>
          <w:iCs/>
          <w:sz w:val="22"/>
          <w:szCs w:val="22"/>
        </w:rPr>
        <w:lastRenderedPageBreak/>
        <w:t>“</w:t>
      </w:r>
      <w:r w:rsidRPr="005A7D52">
        <w:rPr>
          <w:rFonts w:ascii="Palatino Linotype" w:hAnsi="Palatino Linotype" w:cs="Arial"/>
          <w:b/>
          <w:i/>
          <w:sz w:val="22"/>
          <w:szCs w:val="22"/>
        </w:rPr>
        <w:t>Artículo 179.</w:t>
      </w:r>
      <w:r w:rsidRPr="005A7D52">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5A7D52" w:rsidRDefault="00526CCE" w:rsidP="0016347B">
      <w:pPr>
        <w:spacing w:before="120" w:after="120"/>
        <w:ind w:left="993" w:right="902"/>
        <w:jc w:val="both"/>
        <w:rPr>
          <w:rFonts w:ascii="Palatino Linotype" w:hAnsi="Palatino Linotype"/>
          <w:b/>
          <w:i/>
          <w:sz w:val="22"/>
          <w:szCs w:val="22"/>
        </w:rPr>
      </w:pPr>
      <w:r w:rsidRPr="005A7D52">
        <w:rPr>
          <w:rFonts w:ascii="Palatino Linotype" w:hAnsi="Palatino Linotype"/>
          <w:b/>
          <w:i/>
          <w:sz w:val="22"/>
          <w:szCs w:val="22"/>
        </w:rPr>
        <w:t>...</w:t>
      </w:r>
    </w:p>
    <w:p w14:paraId="7174D49D" w14:textId="2CF89B4D" w:rsidR="00DF114E" w:rsidRPr="005A7D52" w:rsidRDefault="001A6704" w:rsidP="0016347B">
      <w:pPr>
        <w:spacing w:before="120" w:after="120"/>
        <w:ind w:left="993" w:right="902"/>
        <w:jc w:val="both"/>
        <w:rPr>
          <w:rFonts w:ascii="Palatino Linotype" w:hAnsi="Palatino Linotype" w:cs="Arial"/>
          <w:bCs/>
          <w:i/>
          <w:iCs/>
          <w:sz w:val="22"/>
          <w:szCs w:val="22"/>
        </w:rPr>
      </w:pPr>
      <w:r w:rsidRPr="005A7D52">
        <w:rPr>
          <w:rFonts w:ascii="Palatino Linotype" w:hAnsi="Palatino Linotype"/>
          <w:b/>
          <w:i/>
          <w:sz w:val="22"/>
          <w:szCs w:val="22"/>
        </w:rPr>
        <w:t>V</w:t>
      </w:r>
      <w:r w:rsidR="00DF114E" w:rsidRPr="005A7D52">
        <w:rPr>
          <w:rFonts w:ascii="Palatino Linotype" w:hAnsi="Palatino Linotype"/>
          <w:b/>
          <w:i/>
          <w:sz w:val="22"/>
          <w:szCs w:val="22"/>
        </w:rPr>
        <w:t xml:space="preserve">. </w:t>
      </w:r>
      <w:r w:rsidRPr="005A7D52">
        <w:rPr>
          <w:rFonts w:ascii="Palatino Linotype" w:hAnsi="Palatino Linotype"/>
          <w:bCs/>
          <w:i/>
          <w:sz w:val="22"/>
          <w:szCs w:val="22"/>
        </w:rPr>
        <w:t>La entrega de información incompleta</w:t>
      </w:r>
      <w:r w:rsidR="00DF114E" w:rsidRPr="005A7D52">
        <w:rPr>
          <w:rFonts w:ascii="Palatino Linotype" w:hAnsi="Palatino Linotype" w:cs="Arial"/>
          <w:bCs/>
          <w:i/>
          <w:iCs/>
          <w:sz w:val="22"/>
          <w:szCs w:val="22"/>
        </w:rPr>
        <w:t>;”</w:t>
      </w:r>
    </w:p>
    <w:p w14:paraId="6257BF48" w14:textId="77777777" w:rsidR="00C07C73" w:rsidRPr="005A7D52" w:rsidRDefault="00C07C73" w:rsidP="0016347B">
      <w:pPr>
        <w:spacing w:before="100" w:beforeAutospacing="1" w:after="100" w:afterAutospacing="1" w:line="360" w:lineRule="auto"/>
        <w:jc w:val="both"/>
        <w:rPr>
          <w:rFonts w:ascii="Palatino Linotype" w:hAnsi="Palatino Linotype" w:cs="Arial"/>
        </w:rPr>
      </w:pPr>
      <w:r w:rsidRPr="005A7D52">
        <w:rPr>
          <w:rFonts w:ascii="Palatino Linotype" w:hAnsi="Palatino Linotype" w:cs="Arial"/>
          <w:b/>
        </w:rPr>
        <w:t xml:space="preserve">Tercero. Materia de la revisión. </w:t>
      </w:r>
      <w:r w:rsidRPr="005A7D52">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5A7D52">
        <w:rPr>
          <w:rFonts w:ascii="Palatino Linotype" w:hAnsi="Palatino Linotype" w:cs="Arial"/>
          <w:b/>
        </w:rPr>
        <w:t xml:space="preserve">verificar si la respuesta otorgada por el Sujeto Obligado es adecuada y suficiente para satisfacer el derecho de acceso a la información pública </w:t>
      </w:r>
      <w:r w:rsidRPr="005A7D52">
        <w:rPr>
          <w:rFonts w:ascii="Palatino Linotype" w:hAnsi="Palatino Linotype" w:cs="Arial"/>
        </w:rPr>
        <w:t>de la parte Recurrente, o en su defecto, en caso de ser procedente, ordenar la entrega de información oportuna.</w:t>
      </w:r>
    </w:p>
    <w:p w14:paraId="08274091" w14:textId="6487753A" w:rsidR="00401522" w:rsidRPr="005A7D52" w:rsidRDefault="00C07C73" w:rsidP="0016347B">
      <w:pPr>
        <w:spacing w:before="240" w:after="240" w:line="360" w:lineRule="auto"/>
        <w:ind w:right="51"/>
        <w:jc w:val="both"/>
        <w:rPr>
          <w:rFonts w:ascii="Palatino Linotype" w:hAnsi="Palatino Linotype"/>
        </w:rPr>
      </w:pPr>
      <w:r w:rsidRPr="005A7D52">
        <w:rPr>
          <w:rFonts w:ascii="Palatino Linotype" w:hAnsi="Palatino Linotype" w:cs="Arial"/>
          <w:b/>
        </w:rPr>
        <w:t xml:space="preserve">Cuarto. Estudio del asunto. </w:t>
      </w:r>
      <w:r w:rsidR="00401522" w:rsidRPr="005A7D52">
        <w:rPr>
          <w:rFonts w:ascii="Palatino Linotype" w:hAnsi="Palatino Linotype"/>
        </w:rPr>
        <w:t>Del análisis de la solicitud de información motivo del recurso de revisión que ahora se resuelve se advierte que la parte solicitante requirió al sujeto obligado le proporcione información</w:t>
      </w:r>
      <w:r w:rsidR="001A6704" w:rsidRPr="005A7D52">
        <w:rPr>
          <w:rFonts w:ascii="Palatino Linotype" w:hAnsi="Palatino Linotype"/>
        </w:rPr>
        <w:t xml:space="preserve">, </w:t>
      </w:r>
      <w:bookmarkStart w:id="5" w:name="_Hlk85016461"/>
      <w:r w:rsidR="001A6704" w:rsidRPr="005A7D52">
        <w:rPr>
          <w:rFonts w:ascii="Palatino Linotype" w:hAnsi="Palatino Linotype"/>
        </w:rPr>
        <w:t>de los ejercicios 2016, 2017, 2019, 2020 y 2021</w:t>
      </w:r>
      <w:r w:rsidR="005F027F" w:rsidRPr="005A7D52">
        <w:rPr>
          <w:rFonts w:ascii="Palatino Linotype" w:hAnsi="Palatino Linotype"/>
        </w:rPr>
        <w:t xml:space="preserve">, </w:t>
      </w:r>
      <w:r w:rsidR="00401522" w:rsidRPr="005A7D52">
        <w:rPr>
          <w:rFonts w:ascii="Palatino Linotype" w:hAnsi="Palatino Linotype"/>
        </w:rPr>
        <w:t>consistente en lo siguiente:</w:t>
      </w:r>
    </w:p>
    <w:p w14:paraId="7FD769FA" w14:textId="77777777" w:rsidR="001A6704" w:rsidRPr="005A7D52" w:rsidRDefault="001A6704" w:rsidP="008837AA">
      <w:pPr>
        <w:pStyle w:val="Prrafodelista"/>
        <w:numPr>
          <w:ilvl w:val="0"/>
          <w:numId w:val="12"/>
        </w:numPr>
        <w:spacing w:before="240" w:after="240" w:line="360" w:lineRule="auto"/>
        <w:jc w:val="both"/>
        <w:rPr>
          <w:rFonts w:ascii="Palatino Linotype" w:hAnsi="Palatino Linotype"/>
          <w:lang w:val="es-MX" w:eastAsia="es-MX"/>
        </w:rPr>
      </w:pPr>
      <w:bookmarkStart w:id="6" w:name="_Hlk79232538"/>
      <w:r w:rsidRPr="005A7D52">
        <w:rPr>
          <w:rFonts w:ascii="Palatino Linotype" w:hAnsi="Palatino Linotype"/>
          <w:lang w:val="es-MX" w:eastAsia="es-MX"/>
        </w:rPr>
        <w:t>Relación de pagos por concepto de transporte aéreo, que incluya y especifique: vuelos comerciales, clase premier que hayan pagado con recursos del municipio a cualquier empresa o prestadora de servicios aéreos.</w:t>
      </w:r>
    </w:p>
    <w:p w14:paraId="64E2352D" w14:textId="2C24B753" w:rsidR="001A6704" w:rsidRPr="005A7D52" w:rsidRDefault="001A6704" w:rsidP="004A1122">
      <w:pPr>
        <w:pStyle w:val="Prrafodelista"/>
        <w:numPr>
          <w:ilvl w:val="0"/>
          <w:numId w:val="12"/>
        </w:numPr>
        <w:spacing w:before="240" w:after="240" w:line="360" w:lineRule="auto"/>
        <w:jc w:val="both"/>
        <w:rPr>
          <w:rFonts w:ascii="Palatino Linotype" w:hAnsi="Palatino Linotype" w:cs="Arial"/>
          <w:szCs w:val="22"/>
          <w:lang w:eastAsia="es-MX"/>
        </w:rPr>
      </w:pPr>
      <w:r w:rsidRPr="005A7D52">
        <w:rPr>
          <w:rFonts w:ascii="Palatino Linotype" w:hAnsi="Palatino Linotype"/>
          <w:lang w:val="es-MX" w:eastAsia="es-MX"/>
        </w:rPr>
        <w:t>Contratos de aviones y helicópteros privados, taxi</w:t>
      </w:r>
      <w:r w:rsidR="001F62C4" w:rsidRPr="005A7D52">
        <w:rPr>
          <w:rFonts w:ascii="Palatino Linotype" w:hAnsi="Palatino Linotype"/>
          <w:lang w:val="es-MX" w:eastAsia="es-MX"/>
        </w:rPr>
        <w:t>s</w:t>
      </w:r>
      <w:r w:rsidRPr="005A7D52">
        <w:rPr>
          <w:rFonts w:ascii="Palatino Linotype" w:hAnsi="Palatino Linotype"/>
          <w:lang w:val="es-MX" w:eastAsia="es-MX"/>
        </w:rPr>
        <w:t xml:space="preserve"> aéreo</w:t>
      </w:r>
      <w:r w:rsidR="001F62C4" w:rsidRPr="005A7D52">
        <w:rPr>
          <w:rFonts w:ascii="Palatino Linotype" w:hAnsi="Palatino Linotype"/>
          <w:lang w:val="es-MX" w:eastAsia="es-MX"/>
        </w:rPr>
        <w:t>s</w:t>
      </w:r>
      <w:r w:rsidRPr="005A7D52">
        <w:rPr>
          <w:rFonts w:ascii="Palatino Linotype" w:hAnsi="Palatino Linotype"/>
          <w:lang w:val="es-MX" w:eastAsia="es-MX"/>
        </w:rPr>
        <w:t>, así como pago a pilotos, y compra de turbosina, y mantenimiento a aeronaves, señalando nombre de proveedor, cantidad y concepto y número de cada contrato y convenio.</w:t>
      </w:r>
    </w:p>
    <w:bookmarkEnd w:id="5"/>
    <w:p w14:paraId="1377F3E5" w14:textId="12F61BAD" w:rsidR="00E20B61" w:rsidRPr="005A7D52" w:rsidRDefault="00B55ABF" w:rsidP="001A6704">
      <w:pPr>
        <w:spacing w:before="240" w:after="240" w:line="360" w:lineRule="auto"/>
        <w:jc w:val="both"/>
        <w:rPr>
          <w:rFonts w:ascii="Palatino Linotype" w:hAnsi="Palatino Linotype" w:cs="Arial"/>
          <w:szCs w:val="22"/>
          <w:lang w:eastAsia="es-MX"/>
        </w:rPr>
      </w:pPr>
      <w:r w:rsidRPr="005A7D52">
        <w:rPr>
          <w:rFonts w:ascii="Palatino Linotype" w:hAnsi="Palatino Linotype" w:cs="Arial"/>
          <w:szCs w:val="22"/>
          <w:lang w:eastAsia="es-MX"/>
        </w:rPr>
        <w:lastRenderedPageBreak/>
        <w:t xml:space="preserve">En </w:t>
      </w:r>
      <w:r w:rsidR="00BB2AA4" w:rsidRPr="005A7D52">
        <w:rPr>
          <w:rFonts w:ascii="Palatino Linotype" w:hAnsi="Palatino Linotype" w:cs="Arial"/>
          <w:szCs w:val="22"/>
          <w:lang w:eastAsia="es-MX"/>
        </w:rPr>
        <w:t xml:space="preserve">respuesta </w:t>
      </w:r>
      <w:r w:rsidR="00545701" w:rsidRPr="005A7D52">
        <w:rPr>
          <w:rFonts w:ascii="Palatino Linotype" w:hAnsi="Palatino Linotype" w:cs="Arial"/>
          <w:szCs w:val="22"/>
          <w:lang w:eastAsia="es-MX"/>
        </w:rPr>
        <w:t xml:space="preserve">el sujeto obligado, a través de </w:t>
      </w:r>
      <w:r w:rsidR="00C56140" w:rsidRPr="005A7D52">
        <w:rPr>
          <w:rFonts w:ascii="Palatino Linotype" w:hAnsi="Palatino Linotype" w:cs="Arial"/>
          <w:szCs w:val="22"/>
          <w:lang w:eastAsia="es-MX"/>
        </w:rPr>
        <w:t xml:space="preserve">la Unidad de </w:t>
      </w:r>
      <w:r w:rsidR="00C87AD4" w:rsidRPr="005A7D52">
        <w:rPr>
          <w:rFonts w:ascii="Palatino Linotype" w:hAnsi="Palatino Linotype" w:cs="Arial"/>
          <w:szCs w:val="22"/>
          <w:lang w:eastAsia="es-MX"/>
        </w:rPr>
        <w:t>Transparencia, remitió el</w:t>
      </w:r>
      <w:r w:rsidR="00E20B61" w:rsidRPr="005A7D52">
        <w:rPr>
          <w:rFonts w:ascii="Palatino Linotype" w:hAnsi="Palatino Linotype" w:cs="Arial"/>
          <w:szCs w:val="22"/>
          <w:lang w:eastAsia="es-MX"/>
        </w:rPr>
        <w:t xml:space="preserve"> pronunciamiento vertido por el servidor público habilitado de la Tesorería Municipal, el monto ejercido por concepto de transportación aérea, desglosado de acuerdo a la naturaleza y la cuenta en la que se registran los gastos, de los ejercicios 2016, 2017, 2019, 2020 y 2021 – al mes de marzo-, como se observa a continuación:</w:t>
      </w:r>
    </w:p>
    <w:p w14:paraId="06907672" w14:textId="084E96B3" w:rsidR="00E20B61" w:rsidRPr="005A7D52" w:rsidRDefault="00E20B61" w:rsidP="001A6704">
      <w:pPr>
        <w:spacing w:before="240" w:after="240" w:line="360" w:lineRule="auto"/>
        <w:jc w:val="both"/>
        <w:rPr>
          <w:rFonts w:ascii="Palatino Linotype" w:hAnsi="Palatino Linotype" w:cs="Arial"/>
          <w:szCs w:val="22"/>
          <w:lang w:eastAsia="es-MX"/>
        </w:rPr>
      </w:pPr>
      <w:r w:rsidRPr="005A7D52">
        <w:rPr>
          <w:rFonts w:ascii="Palatino Linotype" w:hAnsi="Palatino Linotype" w:cs="Arial"/>
          <w:noProof/>
          <w:szCs w:val="22"/>
          <w:lang w:val="es-MX" w:eastAsia="es-MX"/>
        </w:rPr>
        <w:drawing>
          <wp:inline distT="0" distB="0" distL="0" distR="0" wp14:anchorId="1397D07E" wp14:editId="1266AEDA">
            <wp:extent cx="5612130" cy="84518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45185"/>
                    </a:xfrm>
                    <a:prstGeom prst="rect">
                      <a:avLst/>
                    </a:prstGeom>
                    <a:noFill/>
                    <a:ln>
                      <a:noFill/>
                    </a:ln>
                  </pic:spPr>
                </pic:pic>
              </a:graphicData>
            </a:graphic>
          </wp:inline>
        </w:drawing>
      </w:r>
    </w:p>
    <w:p w14:paraId="741CD204" w14:textId="7897F2B1" w:rsidR="00E20B61" w:rsidRPr="005A7D52" w:rsidRDefault="00E20B61" w:rsidP="001A6704">
      <w:pPr>
        <w:spacing w:before="240" w:after="240" w:line="360" w:lineRule="auto"/>
        <w:jc w:val="both"/>
        <w:rPr>
          <w:rFonts w:ascii="Palatino Linotype" w:hAnsi="Palatino Linotype" w:cs="Arial"/>
          <w:szCs w:val="22"/>
          <w:lang w:eastAsia="es-MX"/>
        </w:rPr>
      </w:pPr>
      <w:r w:rsidRPr="005A7D52">
        <w:rPr>
          <w:rFonts w:ascii="Palatino Linotype" w:hAnsi="Palatino Linotype" w:cs="Arial"/>
          <w:szCs w:val="22"/>
          <w:lang w:eastAsia="es-MX"/>
        </w:rPr>
        <w:t xml:space="preserve">Conocida la respuesta por la parte hoy recurrente, al no estar conforme con los términos de la misma, </w:t>
      </w:r>
      <w:r w:rsidR="00E76B32" w:rsidRPr="005A7D52">
        <w:rPr>
          <w:rFonts w:ascii="Palatino Linotype" w:hAnsi="Palatino Linotype" w:cs="Arial"/>
          <w:szCs w:val="22"/>
          <w:lang w:eastAsia="es-MX"/>
        </w:rPr>
        <w:t xml:space="preserve">interpuso el recurso de revisión que nos ocupa, mediante el cual se adoleció por la entrega de la información de forma parcial, alegando que su solicitud es clara, y que </w:t>
      </w:r>
      <w:r w:rsidR="00CE73D2" w:rsidRPr="005A7D52">
        <w:rPr>
          <w:rFonts w:ascii="Palatino Linotype" w:hAnsi="Palatino Linotype" w:cs="Arial"/>
          <w:szCs w:val="22"/>
          <w:lang w:eastAsia="es-MX"/>
        </w:rPr>
        <w:t>el expediente correspondiente debe obrar en la Dirección General de Administración.</w:t>
      </w:r>
    </w:p>
    <w:p w14:paraId="1F5079DC" w14:textId="0E40C551" w:rsidR="008956DE" w:rsidRPr="005A7D52" w:rsidRDefault="00945AD1" w:rsidP="0016347B">
      <w:pPr>
        <w:spacing w:before="240" w:after="240" w:line="360" w:lineRule="auto"/>
        <w:jc w:val="both"/>
        <w:rPr>
          <w:rFonts w:ascii="Palatino Linotype" w:hAnsi="Palatino Linotype" w:cs="Arial"/>
        </w:rPr>
      </w:pPr>
      <w:r w:rsidRPr="005A7D52">
        <w:rPr>
          <w:rFonts w:ascii="Palatino Linotype" w:hAnsi="Palatino Linotype"/>
        </w:rPr>
        <w:t>Una vez admitido el presente recurso de revisión, en términos del artículo 185 fracción II</w:t>
      </w:r>
      <w:r w:rsidRPr="005A7D52">
        <w:rPr>
          <w:rStyle w:val="Refdenotaalpie"/>
          <w:rFonts w:ascii="Palatino Linotype" w:hAnsi="Palatino Linotype"/>
        </w:rPr>
        <w:footnoteReference w:id="1"/>
      </w:r>
      <w:r w:rsidRPr="005A7D52">
        <w:rPr>
          <w:rFonts w:ascii="Palatino Linotype" w:hAnsi="Palatino Linotype"/>
        </w:rPr>
        <w:t xml:space="preserve"> de la </w:t>
      </w:r>
      <w:r w:rsidRPr="005A7D52">
        <w:rPr>
          <w:rFonts w:ascii="Palatino Linotype" w:hAnsi="Palatino Linotype"/>
          <w:iCs/>
        </w:rPr>
        <w:t>Ley de Transparencia y Acceso a la Información Pública del Estado de México y Municipios</w:t>
      </w:r>
      <w:r w:rsidRPr="005A7D52">
        <w:rPr>
          <w:rFonts w:ascii="Palatino Linotype" w:hAnsi="Palatino Linotype"/>
        </w:rPr>
        <w:t xml:space="preserve">, se integró el expediente y se puso a disposición de las partes para que, en un </w:t>
      </w:r>
      <w:r w:rsidRPr="005A7D52">
        <w:rPr>
          <w:rFonts w:ascii="Palatino Linotype" w:hAnsi="Palatino Linotype" w:cs="Arial"/>
        </w:rPr>
        <w:t>plazo máximo de siete días hábiles, manifestaran lo que a su derecho resultara conveniente</w:t>
      </w:r>
      <w:r w:rsidR="008956DE" w:rsidRPr="005A7D52">
        <w:rPr>
          <w:rFonts w:ascii="Palatino Linotype" w:hAnsi="Palatino Linotype" w:cs="Arial"/>
        </w:rPr>
        <w:t>.</w:t>
      </w:r>
    </w:p>
    <w:p w14:paraId="0E51E867" w14:textId="71177DC9" w:rsidR="00585317" w:rsidRPr="005A7D52" w:rsidRDefault="00013AE4" w:rsidP="0016347B">
      <w:pPr>
        <w:spacing w:before="240" w:after="240" w:line="360" w:lineRule="auto"/>
        <w:jc w:val="both"/>
        <w:rPr>
          <w:rFonts w:ascii="Palatino Linotype" w:hAnsi="Palatino Linotype" w:cs="Arial"/>
        </w:rPr>
      </w:pPr>
      <w:r w:rsidRPr="005A7D52">
        <w:rPr>
          <w:rFonts w:ascii="Palatino Linotype" w:hAnsi="Palatino Linotype" w:cs="Arial"/>
        </w:rPr>
        <w:t xml:space="preserve">En este sentido, </w:t>
      </w:r>
      <w:r w:rsidR="008956DE" w:rsidRPr="005A7D52">
        <w:rPr>
          <w:rFonts w:ascii="Palatino Linotype" w:hAnsi="Palatino Linotype" w:cs="Arial"/>
        </w:rPr>
        <w:t>el sujeto obligado remitió</w:t>
      </w:r>
      <w:r w:rsidR="009F60F3" w:rsidRPr="005A7D52">
        <w:rPr>
          <w:rFonts w:ascii="Palatino Linotype" w:hAnsi="Palatino Linotype" w:cs="Arial"/>
        </w:rPr>
        <w:t xml:space="preserve"> </w:t>
      </w:r>
      <w:r w:rsidR="00585317" w:rsidRPr="005A7D52">
        <w:rPr>
          <w:rFonts w:ascii="Palatino Linotype" w:hAnsi="Palatino Linotype" w:cs="Arial"/>
        </w:rPr>
        <w:t xml:space="preserve">su informe justificado, acompañado del oficio TM/467/08/2021, de fecha treinta y uno de agosto de dos mil veintiuno, </w:t>
      </w:r>
      <w:r w:rsidR="00585317" w:rsidRPr="005A7D52">
        <w:rPr>
          <w:rFonts w:ascii="Palatino Linotype" w:hAnsi="Palatino Linotype" w:cs="Arial"/>
        </w:rPr>
        <w:lastRenderedPageBreak/>
        <w:t>mediante el cual, el Tesorero Municipal ratificó la respuesta emitida en pri</w:t>
      </w:r>
      <w:r w:rsidR="001F62C4" w:rsidRPr="005A7D52">
        <w:rPr>
          <w:rFonts w:ascii="Palatino Linotype" w:hAnsi="Palatino Linotype" w:cs="Arial"/>
        </w:rPr>
        <w:t>mera instancia, asimismo agregó</w:t>
      </w:r>
      <w:r w:rsidR="00585317" w:rsidRPr="005A7D52">
        <w:rPr>
          <w:rFonts w:ascii="Palatino Linotype" w:hAnsi="Palatino Linotype" w:cs="Arial"/>
        </w:rPr>
        <w:t xml:space="preserve"> el documento mediante el cual atendió la solicitud de información</w:t>
      </w:r>
      <w:r w:rsidR="001F62C4" w:rsidRPr="005A7D52">
        <w:rPr>
          <w:rFonts w:ascii="Palatino Linotype" w:hAnsi="Palatino Linotype" w:cs="Arial"/>
        </w:rPr>
        <w:t xml:space="preserve"> en primera instancia</w:t>
      </w:r>
      <w:r w:rsidR="007C5CA9" w:rsidRPr="005A7D52">
        <w:rPr>
          <w:rFonts w:ascii="Palatino Linotype" w:hAnsi="Palatino Linotype" w:cs="Arial"/>
        </w:rPr>
        <w:t>, y, s</w:t>
      </w:r>
      <w:r w:rsidR="00585317" w:rsidRPr="005A7D52">
        <w:rPr>
          <w:rFonts w:ascii="Palatino Linotype" w:hAnsi="Palatino Linotype" w:cs="Arial"/>
        </w:rPr>
        <w:t>i bien,</w:t>
      </w:r>
      <w:r w:rsidR="007C5CA9" w:rsidRPr="005A7D52">
        <w:rPr>
          <w:rFonts w:ascii="Palatino Linotype" w:hAnsi="Palatino Linotype" w:cs="Arial"/>
        </w:rPr>
        <w:t xml:space="preserve"> no se</w:t>
      </w:r>
      <w:r w:rsidR="00585317" w:rsidRPr="005A7D52">
        <w:rPr>
          <w:rFonts w:ascii="Palatino Linotype" w:hAnsi="Palatino Linotype" w:cs="Arial"/>
        </w:rPr>
        <w:t xml:space="preserve"> aportó contenido novedoso que permitiera un mejor proveer, se determinó poner a disposición de la parte hoy recurrente los documentos remitidos, a efecto de evitar opacidad en las actuaciones, y que ésta manifestara lo que a su derecho estimara conveniente, sin embargo, fue omisa en ejercer dicha prerrogativa, como se señaló anteriormente.</w:t>
      </w:r>
    </w:p>
    <w:p w14:paraId="649F613A" w14:textId="4951AACB" w:rsidR="00D908C3" w:rsidRPr="005A7D52" w:rsidRDefault="00541783" w:rsidP="00D908C3">
      <w:pPr>
        <w:spacing w:after="240" w:line="360" w:lineRule="auto"/>
        <w:jc w:val="both"/>
        <w:rPr>
          <w:rFonts w:ascii="Palatino Linotype" w:hAnsi="Palatino Linotype" w:cs="Arial"/>
        </w:rPr>
      </w:pPr>
      <w:r w:rsidRPr="005A7D52">
        <w:rPr>
          <w:rFonts w:ascii="Palatino Linotype" w:hAnsi="Palatino Linotype" w:cs="Arial"/>
        </w:rPr>
        <w:t>En este tenor, respecto del requerimiento marcado con el numeral 1, convi</w:t>
      </w:r>
      <w:r w:rsidR="00D908C3" w:rsidRPr="005A7D52">
        <w:rPr>
          <w:rFonts w:ascii="Palatino Linotype" w:hAnsi="Palatino Linotype" w:cs="Arial"/>
        </w:rPr>
        <w:t xml:space="preserve">ene remitirnos al contenido del </w:t>
      </w:r>
      <w:r w:rsidR="00D908C3" w:rsidRPr="005A7D52">
        <w:rPr>
          <w:rFonts w:ascii="Palatino Linotype" w:hAnsi="Palatino Linotype"/>
        </w:rPr>
        <w:t>Manual para la Planeación, Programación y Presupuestación Municipal para el Ejercicio Fiscal 2021, que en su numeral I.2 denominado “Marco Conceptual”, establece la siguiente definición:</w:t>
      </w:r>
    </w:p>
    <w:p w14:paraId="5161EAAD" w14:textId="67EE5285" w:rsidR="00D908C3" w:rsidRPr="005A7D52" w:rsidRDefault="00D908C3" w:rsidP="00D908C3">
      <w:pPr>
        <w:autoSpaceDE w:val="0"/>
        <w:autoSpaceDN w:val="0"/>
        <w:adjustRightInd w:val="0"/>
        <w:spacing w:after="120"/>
        <w:ind w:left="851" w:right="902"/>
        <w:jc w:val="both"/>
        <w:rPr>
          <w:rFonts w:ascii="Palatino Linotype" w:hAnsi="Palatino Linotype"/>
          <w:b/>
          <w:i/>
          <w:sz w:val="22"/>
          <w:szCs w:val="20"/>
        </w:rPr>
      </w:pPr>
      <w:r w:rsidRPr="005A7D52">
        <w:rPr>
          <w:rFonts w:ascii="Palatino Linotype" w:hAnsi="Palatino Linotype"/>
          <w:i/>
          <w:sz w:val="22"/>
          <w:szCs w:val="20"/>
        </w:rPr>
        <w:t>“</w:t>
      </w:r>
      <w:r w:rsidRPr="005A7D52">
        <w:rPr>
          <w:rFonts w:ascii="Palatino Linotype" w:hAnsi="Palatino Linotype"/>
          <w:b/>
          <w:i/>
          <w:sz w:val="22"/>
          <w:szCs w:val="20"/>
        </w:rPr>
        <w:t>I.2 Marco Conceptual</w:t>
      </w:r>
    </w:p>
    <w:p w14:paraId="39AFB47E" w14:textId="24AC0B16" w:rsidR="00D908C3" w:rsidRPr="005A7D52" w:rsidRDefault="00D908C3" w:rsidP="00D908C3">
      <w:pPr>
        <w:autoSpaceDE w:val="0"/>
        <w:autoSpaceDN w:val="0"/>
        <w:adjustRightInd w:val="0"/>
        <w:spacing w:after="120"/>
        <w:ind w:left="851" w:right="902"/>
        <w:jc w:val="both"/>
        <w:rPr>
          <w:rFonts w:ascii="Palatino Linotype" w:hAnsi="Palatino Linotype"/>
          <w:b/>
          <w:i/>
          <w:sz w:val="22"/>
          <w:szCs w:val="20"/>
        </w:rPr>
      </w:pPr>
      <w:r w:rsidRPr="005A7D52">
        <w:rPr>
          <w:rFonts w:ascii="Palatino Linotype" w:hAnsi="Palatino Linotype"/>
          <w:i/>
          <w:sz w:val="22"/>
          <w:szCs w:val="20"/>
        </w:rPr>
        <w:t>...</w:t>
      </w:r>
    </w:p>
    <w:p w14:paraId="3474CB4F"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b/>
          <w:i/>
          <w:sz w:val="22"/>
          <w:szCs w:val="20"/>
        </w:rPr>
        <w:t>Definición del Presupuesto</w:t>
      </w:r>
    </w:p>
    <w:p w14:paraId="7FA87514"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i/>
          <w:sz w:val="22"/>
          <w:szCs w:val="20"/>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w:t>
      </w:r>
    </w:p>
    <w:p w14:paraId="7CA0893B"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i/>
          <w:sz w:val="22"/>
          <w:szCs w:val="20"/>
        </w:rPr>
        <w:t xml:space="preserve">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w:t>
      </w:r>
    </w:p>
    <w:p w14:paraId="35BD9E23"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i/>
          <w:sz w:val="22"/>
          <w:szCs w:val="20"/>
        </w:rPr>
        <w:t xml:space="preserve">Para efecto de este manual, el presupuesto es la estimación financiera anticipada, generalmente anual, de los ingresos y egresos del gobierno, necesarios para </w:t>
      </w:r>
      <w:r w:rsidRPr="005A7D52">
        <w:rPr>
          <w:rFonts w:ascii="Palatino Linotype" w:hAnsi="Palatino Linotype"/>
          <w:i/>
          <w:sz w:val="22"/>
          <w:szCs w:val="20"/>
        </w:rPr>
        <w:lastRenderedPageBreak/>
        <w:t>cumplir con los objetivos establecidos en los planes, programas y proyectos determinados. Asimismo, constituye el instrumento operativo básico para la ejecución de las decisiones de política económica y de planeación.</w:t>
      </w:r>
    </w:p>
    <w:p w14:paraId="46686860"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i/>
          <w:sz w:val="22"/>
          <w:szCs w:val="20"/>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2E79058A" w14:textId="77777777" w:rsidR="00D908C3" w:rsidRPr="005A7D52" w:rsidRDefault="00D908C3" w:rsidP="00D908C3">
      <w:pPr>
        <w:spacing w:before="240" w:after="240" w:line="360" w:lineRule="auto"/>
        <w:ind w:right="49"/>
        <w:jc w:val="both"/>
        <w:rPr>
          <w:rFonts w:ascii="Palatino Linotype" w:hAnsi="Palatino Linotype"/>
        </w:rPr>
      </w:pPr>
      <w:r w:rsidRPr="005A7D52">
        <w:rPr>
          <w:rFonts w:ascii="Palatino Linotype" w:eastAsiaTheme="minorEastAsia" w:hAnsi="Palatino Linotype" w:cs="Bookman Old Style"/>
          <w:lang w:val="es-MX"/>
        </w:rPr>
        <w:t xml:space="preserve">En este sentido se comprende que el presupuesto de egresos, es el instrumento jurídico que aprueba el cabildo a propuesta del Presidente Municipal en el cual se establece el ejercicio, control y evaluación del gasto público, lo cual encuentra sustento en el </w:t>
      </w:r>
      <w:r w:rsidRPr="005A7D52">
        <w:rPr>
          <w:rFonts w:ascii="Palatino Linotype" w:hAnsi="Palatino Linotype" w:cs="Arial"/>
        </w:rPr>
        <w:t>artículo 115 fracción IV párrafo cuarto de la Constitución Política de los Estados Unidos Mexicanos</w:t>
      </w:r>
      <w:r w:rsidRPr="005A7D52">
        <w:rPr>
          <w:rStyle w:val="Refdenotaalpie"/>
          <w:rFonts w:ascii="Palatino Linotype" w:hAnsi="Palatino Linotype" w:cs="Arial"/>
        </w:rPr>
        <w:footnoteReference w:id="2"/>
      </w:r>
      <w:r w:rsidRPr="005A7D52">
        <w:rPr>
          <w:rFonts w:ascii="Palatino Linotype" w:hAnsi="Palatino Linotype" w:cs="Arial"/>
        </w:rPr>
        <w:t xml:space="preserve"> en relación directa con el </w:t>
      </w:r>
      <w:r w:rsidRPr="005A7D52">
        <w:rPr>
          <w:rFonts w:ascii="Palatino Linotype" w:hAnsi="Palatino Linotype"/>
        </w:rPr>
        <w:t>125 de la Constitución Política del Estado Libre y Soberano de México</w:t>
      </w:r>
      <w:r w:rsidRPr="005A7D52">
        <w:rPr>
          <w:rStyle w:val="Refdenotaalpie"/>
          <w:rFonts w:ascii="Palatino Linotype" w:hAnsi="Palatino Linotype"/>
        </w:rPr>
        <w:footnoteReference w:id="3"/>
      </w:r>
      <w:r w:rsidRPr="005A7D52">
        <w:rPr>
          <w:rFonts w:ascii="Palatino Linotype" w:hAnsi="Palatino Linotype"/>
        </w:rPr>
        <w:t>, en el que se dispone que los municipios administraran libremente su hacienda, y para ello, es el Presidente Municipal el responsable de promulgar y publicar el Presupuesto de Egresos Municipal a más tardar el día 25 de febrero de cada año, debiendo enviarlo al Órgano Superior de Fiscalización.</w:t>
      </w:r>
    </w:p>
    <w:p w14:paraId="73D650BA" w14:textId="77777777" w:rsidR="00D908C3" w:rsidRPr="005A7D52" w:rsidRDefault="00D908C3" w:rsidP="00D908C3">
      <w:pPr>
        <w:pStyle w:val="Default"/>
        <w:spacing w:before="240" w:after="240" w:line="360" w:lineRule="auto"/>
        <w:ind w:right="51"/>
        <w:jc w:val="both"/>
        <w:rPr>
          <w:rFonts w:ascii="Palatino Linotype" w:hAnsi="Palatino Linotype"/>
          <w:color w:val="auto"/>
        </w:rPr>
      </w:pPr>
      <w:r w:rsidRPr="005A7D52">
        <w:rPr>
          <w:rFonts w:ascii="Palatino Linotype" w:hAnsi="Palatino Linotype"/>
          <w:color w:val="auto"/>
        </w:rPr>
        <w:lastRenderedPageBreak/>
        <w:t>Para su entrega, la Ley General de Contabilidad Gubernamental, establece las bases, tal y como se muestra a continuación:</w:t>
      </w:r>
    </w:p>
    <w:p w14:paraId="7FE3E85A" w14:textId="77777777" w:rsidR="00D908C3" w:rsidRPr="005A7D52" w:rsidRDefault="00D908C3" w:rsidP="00D908C3">
      <w:pPr>
        <w:pStyle w:val="Default"/>
        <w:spacing w:after="120"/>
        <w:ind w:left="851" w:right="902"/>
        <w:jc w:val="both"/>
        <w:rPr>
          <w:rFonts w:ascii="Palatino Linotype" w:hAnsi="Palatino Linotype"/>
          <w:i/>
          <w:color w:val="auto"/>
          <w:sz w:val="22"/>
          <w:szCs w:val="20"/>
        </w:rPr>
      </w:pPr>
      <w:r w:rsidRPr="005A7D52">
        <w:rPr>
          <w:rFonts w:ascii="Palatino Linotype" w:hAnsi="Palatino Linotype"/>
          <w:b/>
          <w:i/>
          <w:color w:val="auto"/>
          <w:sz w:val="22"/>
          <w:szCs w:val="20"/>
        </w:rPr>
        <w:t>“Artículo 61.-</w:t>
      </w:r>
      <w:r w:rsidRPr="005A7D52">
        <w:rPr>
          <w:rFonts w:ascii="Palatino Linotype" w:hAnsi="Palatino Linotype"/>
          <w:i/>
          <w:color w:val="auto"/>
          <w:sz w:val="22"/>
          <w:szCs w:val="20"/>
        </w:rPr>
        <w:t xml:space="preserve">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p>
    <w:p w14:paraId="6555BD67" w14:textId="77777777" w:rsidR="00D908C3" w:rsidRPr="005A7D52" w:rsidRDefault="00D908C3" w:rsidP="00D908C3">
      <w:pPr>
        <w:pStyle w:val="Default"/>
        <w:spacing w:after="120"/>
        <w:ind w:left="1134" w:right="902"/>
        <w:jc w:val="both"/>
        <w:rPr>
          <w:rFonts w:ascii="Palatino Linotype" w:hAnsi="Palatino Linotype"/>
          <w:i/>
          <w:color w:val="auto"/>
          <w:sz w:val="22"/>
          <w:szCs w:val="20"/>
        </w:rPr>
      </w:pPr>
      <w:r w:rsidRPr="005A7D52">
        <w:rPr>
          <w:rFonts w:ascii="Palatino Linotype" w:hAnsi="Palatino Linotype"/>
          <w:i/>
          <w:color w:val="auto"/>
          <w:sz w:val="22"/>
          <w:szCs w:val="20"/>
        </w:rPr>
        <w:t>(…)</w:t>
      </w:r>
    </w:p>
    <w:p w14:paraId="25500A3C" w14:textId="77777777" w:rsidR="00D908C3" w:rsidRPr="005A7D52" w:rsidRDefault="00D908C3" w:rsidP="00D908C3">
      <w:pPr>
        <w:pStyle w:val="Default"/>
        <w:spacing w:after="120"/>
        <w:ind w:left="1134" w:right="902"/>
        <w:jc w:val="both"/>
        <w:rPr>
          <w:rFonts w:ascii="Palatino Linotype" w:hAnsi="Palatino Linotype"/>
          <w:i/>
          <w:color w:val="auto"/>
          <w:sz w:val="22"/>
          <w:szCs w:val="20"/>
        </w:rPr>
      </w:pPr>
      <w:r w:rsidRPr="005A7D52">
        <w:rPr>
          <w:rFonts w:ascii="Palatino Linotype" w:hAnsi="Palatino Linotype"/>
          <w:b/>
          <w:i/>
          <w:color w:val="auto"/>
          <w:sz w:val="22"/>
          <w:szCs w:val="20"/>
        </w:rPr>
        <w:t>II. Presupuestos de Egresos</w:t>
      </w:r>
      <w:r w:rsidRPr="005A7D52">
        <w:rPr>
          <w:rFonts w:ascii="Palatino Linotype" w:hAnsi="Palatino Linotype"/>
          <w:i/>
          <w:color w:val="auto"/>
          <w:sz w:val="22"/>
          <w:szCs w:val="20"/>
        </w:rPr>
        <w:t xml:space="preserve">: </w:t>
      </w:r>
    </w:p>
    <w:p w14:paraId="0AA57645" w14:textId="77777777" w:rsidR="00D908C3" w:rsidRPr="005A7D52" w:rsidRDefault="00D908C3" w:rsidP="00D908C3">
      <w:pPr>
        <w:pStyle w:val="Default"/>
        <w:spacing w:after="120"/>
        <w:ind w:left="1418" w:right="902"/>
        <w:jc w:val="both"/>
        <w:rPr>
          <w:rFonts w:ascii="Palatino Linotype" w:hAnsi="Palatino Linotype"/>
          <w:i/>
          <w:color w:val="auto"/>
          <w:sz w:val="22"/>
          <w:szCs w:val="20"/>
        </w:rPr>
      </w:pPr>
      <w:r w:rsidRPr="005A7D52">
        <w:rPr>
          <w:rFonts w:ascii="Palatino Linotype" w:hAnsi="Palatino Linotype"/>
          <w:b/>
          <w:i/>
          <w:color w:val="auto"/>
          <w:sz w:val="22"/>
          <w:szCs w:val="20"/>
        </w:rPr>
        <w:t>a</w:t>
      </w:r>
      <w:r w:rsidRPr="005A7D52">
        <w:rPr>
          <w:rFonts w:ascii="Palatino Linotype" w:hAnsi="Palatino Linotype"/>
          <w:i/>
          <w:color w:val="auto"/>
          <w:sz w:val="22"/>
          <w:szCs w:val="20"/>
        </w:rPr>
        <w:t xml:space="preserve">)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14:paraId="08B6D9B6" w14:textId="77777777" w:rsidR="00D908C3" w:rsidRPr="005A7D52" w:rsidRDefault="00D908C3" w:rsidP="00D908C3">
      <w:pPr>
        <w:pStyle w:val="Default"/>
        <w:spacing w:after="120"/>
        <w:ind w:left="1418" w:right="902"/>
        <w:jc w:val="both"/>
        <w:rPr>
          <w:rFonts w:ascii="Palatino Linotype" w:hAnsi="Palatino Linotype"/>
          <w:i/>
          <w:color w:val="auto"/>
          <w:sz w:val="22"/>
          <w:szCs w:val="20"/>
        </w:rPr>
      </w:pPr>
      <w:r w:rsidRPr="005A7D52">
        <w:rPr>
          <w:rFonts w:ascii="Palatino Linotype" w:hAnsi="Palatino Linotype"/>
          <w:b/>
          <w:i/>
          <w:color w:val="auto"/>
          <w:sz w:val="22"/>
          <w:szCs w:val="20"/>
        </w:rPr>
        <w:t>b)</w:t>
      </w:r>
      <w:r w:rsidRPr="005A7D52">
        <w:rPr>
          <w:rFonts w:ascii="Palatino Linotype" w:hAnsi="Palatino Linotype"/>
          <w:i/>
          <w:color w:val="auto"/>
          <w:sz w:val="22"/>
          <w:szCs w:val="20"/>
        </w:rPr>
        <w:t xml:space="preserve"> El listado de programas así como sus indicadores estratégicos y de gestión aprobados, y </w:t>
      </w:r>
    </w:p>
    <w:p w14:paraId="69CAC7C6" w14:textId="77777777" w:rsidR="00D908C3" w:rsidRPr="005A7D52" w:rsidRDefault="00D908C3" w:rsidP="00D908C3">
      <w:pPr>
        <w:pStyle w:val="Default"/>
        <w:spacing w:after="120"/>
        <w:ind w:left="1418" w:right="902"/>
        <w:jc w:val="both"/>
        <w:rPr>
          <w:rFonts w:ascii="Palatino Linotype" w:hAnsi="Palatino Linotype"/>
          <w:i/>
          <w:color w:val="auto"/>
          <w:sz w:val="22"/>
          <w:szCs w:val="20"/>
        </w:rPr>
      </w:pPr>
      <w:r w:rsidRPr="005A7D52">
        <w:rPr>
          <w:rFonts w:ascii="Palatino Linotype" w:hAnsi="Palatino Linotype"/>
          <w:b/>
          <w:i/>
          <w:color w:val="auto"/>
          <w:sz w:val="22"/>
          <w:szCs w:val="20"/>
        </w:rPr>
        <w:t>c)</w:t>
      </w:r>
      <w:r w:rsidRPr="005A7D52">
        <w:rPr>
          <w:rFonts w:ascii="Palatino Linotype" w:hAnsi="Palatino Linotype"/>
          <w:i/>
          <w:color w:val="auto"/>
          <w:sz w:val="22"/>
          <w:szCs w:val="20"/>
        </w:rPr>
        <w:t xml:space="preserve">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14:paraId="235EDAA9" w14:textId="77777777" w:rsidR="00D908C3" w:rsidRPr="005A7D52" w:rsidRDefault="00D908C3" w:rsidP="00D908C3">
      <w:pPr>
        <w:pStyle w:val="Default"/>
        <w:spacing w:after="120"/>
        <w:ind w:left="1134" w:right="902"/>
        <w:jc w:val="both"/>
        <w:rPr>
          <w:rFonts w:ascii="Palatino Linotype" w:hAnsi="Palatino Linotype"/>
          <w:i/>
          <w:color w:val="auto"/>
          <w:sz w:val="22"/>
          <w:szCs w:val="20"/>
        </w:rPr>
      </w:pPr>
      <w:r w:rsidRPr="005A7D52">
        <w:rPr>
          <w:rFonts w:ascii="Palatino Linotype" w:hAnsi="Palatino Linotype"/>
          <w:i/>
          <w:color w:val="auto"/>
          <w:sz w:val="22"/>
          <w:szCs w:val="20"/>
        </w:rPr>
        <w:t>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de los Estados Unidos Mexicanos…”</w:t>
      </w:r>
    </w:p>
    <w:p w14:paraId="08F7562C" w14:textId="0AD7499C" w:rsidR="00D908C3" w:rsidRPr="005A7D52" w:rsidRDefault="00D908C3" w:rsidP="00D908C3">
      <w:pPr>
        <w:autoSpaceDE w:val="0"/>
        <w:autoSpaceDN w:val="0"/>
        <w:adjustRightInd w:val="0"/>
        <w:spacing w:before="240" w:after="240" w:line="360" w:lineRule="auto"/>
        <w:ind w:right="-91"/>
        <w:jc w:val="both"/>
        <w:rPr>
          <w:rFonts w:ascii="Palatino Linotype" w:hAnsi="Palatino Linotype" w:cs="Arial"/>
        </w:rPr>
      </w:pPr>
      <w:r w:rsidRPr="005A7D52">
        <w:rPr>
          <w:rFonts w:ascii="Palatino Linotype" w:hAnsi="Palatino Linotype"/>
        </w:rPr>
        <w:t xml:space="preserve">Instrumento que permite a los ayuntamientos y a las entidades públicas municipales, componer la asignación de los recursos públicos con un enfoque de resultados de conformidad con lo establecido en los ordenamientos legales, no obstante que el </w:t>
      </w:r>
      <w:r w:rsidRPr="005A7D52">
        <w:rPr>
          <w:rFonts w:ascii="Palatino Linotype" w:hAnsi="Palatino Linotype"/>
        </w:rPr>
        <w:lastRenderedPageBreak/>
        <w:t xml:space="preserve">artículo 292 Código Financiero del Estado de México y Municipios, </w:t>
      </w:r>
      <w:r w:rsidRPr="005A7D52">
        <w:rPr>
          <w:rFonts w:ascii="Palatino Linotype" w:hAnsi="Palatino Linotype" w:cs="Arial"/>
        </w:rPr>
        <w:t xml:space="preserve">dispone que para el caso de los municipios, el presupuesto de </w:t>
      </w:r>
      <w:r w:rsidR="00AE5CF6" w:rsidRPr="005A7D52">
        <w:rPr>
          <w:rFonts w:ascii="Palatino Linotype" w:hAnsi="Palatino Linotype" w:cs="Arial"/>
        </w:rPr>
        <w:t>egresos</w:t>
      </w:r>
      <w:r w:rsidRPr="005A7D52">
        <w:rPr>
          <w:rFonts w:ascii="Palatino Linotype" w:hAnsi="Palatino Linotype" w:cs="Arial"/>
        </w:rPr>
        <w:t xml:space="preserve"> se integrará con los recursos que se destinen al Ayuntamiento y a los organismos municipales, conforme a la siguiente distribución:</w:t>
      </w:r>
    </w:p>
    <w:p w14:paraId="13B1821F" w14:textId="77777777" w:rsidR="00D908C3" w:rsidRPr="005A7D52" w:rsidRDefault="00D908C3" w:rsidP="00D908C3">
      <w:pPr>
        <w:pStyle w:val="Default"/>
        <w:spacing w:before="240" w:after="240" w:line="360" w:lineRule="auto"/>
        <w:ind w:left="567" w:right="51"/>
        <w:jc w:val="both"/>
        <w:rPr>
          <w:rFonts w:ascii="Palatino Linotype" w:hAnsi="Palatino Linotype"/>
          <w:color w:val="auto"/>
        </w:rPr>
      </w:pPr>
      <w:r w:rsidRPr="005A7D52">
        <w:rPr>
          <w:rFonts w:ascii="Palatino Linotype" w:hAnsi="Palatino Linotype"/>
          <w:color w:val="auto"/>
        </w:rPr>
        <w:t xml:space="preserve">I. El gasto programable comprende los siguientes capítulos: </w:t>
      </w:r>
    </w:p>
    <w:p w14:paraId="1BD99237"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 xml:space="preserve">a). 1000 Servicios Personales. </w:t>
      </w:r>
    </w:p>
    <w:p w14:paraId="04CB0F3E" w14:textId="77777777" w:rsidR="00D908C3" w:rsidRPr="005A7D52" w:rsidRDefault="00D908C3" w:rsidP="00D908C3">
      <w:pPr>
        <w:autoSpaceDE w:val="0"/>
        <w:autoSpaceDN w:val="0"/>
        <w:adjustRightInd w:val="0"/>
        <w:spacing w:after="120"/>
        <w:ind w:left="851"/>
        <w:jc w:val="both"/>
        <w:rPr>
          <w:rFonts w:ascii="Palatino Linotype" w:hAnsi="Palatino Linotype"/>
          <w:b/>
        </w:rPr>
      </w:pPr>
      <w:r w:rsidRPr="005A7D52">
        <w:rPr>
          <w:rFonts w:ascii="Palatino Linotype" w:hAnsi="Palatino Linotype"/>
          <w:b/>
        </w:rPr>
        <w:t xml:space="preserve">b). 2000 Materiales y Suministros. </w:t>
      </w:r>
    </w:p>
    <w:p w14:paraId="7D146708"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b/>
        </w:rPr>
        <w:t>c). 3000 Servicios Generales</w:t>
      </w:r>
      <w:r w:rsidRPr="005A7D52">
        <w:rPr>
          <w:rFonts w:ascii="Palatino Linotype" w:hAnsi="Palatino Linotype"/>
        </w:rPr>
        <w:t xml:space="preserve">. </w:t>
      </w:r>
    </w:p>
    <w:p w14:paraId="12C18FE0"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 xml:space="preserve">d).4000 Transferencias, Asignaciones, Subsidios y otras ayudas. </w:t>
      </w:r>
    </w:p>
    <w:p w14:paraId="26B9427E"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 xml:space="preserve">e). 5000 Bienes Muebles, Inmuebles e Intangibles. </w:t>
      </w:r>
    </w:p>
    <w:p w14:paraId="2C38A581"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 xml:space="preserve">f). 6000 Inversión Pública. </w:t>
      </w:r>
    </w:p>
    <w:p w14:paraId="14321584"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g). 7000 Inversiones Financieras y otras provisiones…</w:t>
      </w:r>
    </w:p>
    <w:p w14:paraId="60701FA6" w14:textId="77777777" w:rsidR="00D908C3" w:rsidRPr="005A7D52" w:rsidRDefault="00D908C3" w:rsidP="00D908C3">
      <w:pPr>
        <w:autoSpaceDE w:val="0"/>
        <w:autoSpaceDN w:val="0"/>
        <w:adjustRightInd w:val="0"/>
        <w:spacing w:after="120"/>
        <w:ind w:left="567"/>
        <w:jc w:val="both"/>
        <w:rPr>
          <w:rFonts w:ascii="Palatino Linotype" w:hAnsi="Palatino Linotype"/>
        </w:rPr>
      </w:pPr>
      <w:r w:rsidRPr="005A7D52">
        <w:rPr>
          <w:rFonts w:ascii="Palatino Linotype" w:hAnsi="Palatino Linotype"/>
        </w:rPr>
        <w:t xml:space="preserve">II. El gasto no programable comprende los siguientes capítulos: </w:t>
      </w:r>
    </w:p>
    <w:p w14:paraId="487B1412" w14:textId="77777777" w:rsidR="00D908C3" w:rsidRPr="005A7D52" w:rsidRDefault="00D908C3" w:rsidP="00D908C3">
      <w:pPr>
        <w:autoSpaceDE w:val="0"/>
        <w:autoSpaceDN w:val="0"/>
        <w:adjustRightInd w:val="0"/>
        <w:spacing w:after="120"/>
        <w:ind w:left="851"/>
        <w:jc w:val="both"/>
        <w:rPr>
          <w:rFonts w:ascii="Palatino Linotype" w:hAnsi="Palatino Linotype"/>
        </w:rPr>
      </w:pPr>
      <w:r w:rsidRPr="005A7D52">
        <w:rPr>
          <w:rFonts w:ascii="Palatino Linotype" w:hAnsi="Palatino Linotype"/>
        </w:rPr>
        <w:t xml:space="preserve">a). 8000 Participaciones y Aportaciones. </w:t>
      </w:r>
    </w:p>
    <w:p w14:paraId="34BDDE8A" w14:textId="77777777" w:rsidR="00D908C3" w:rsidRPr="005A7D52" w:rsidRDefault="00D908C3" w:rsidP="00D908C3">
      <w:pPr>
        <w:autoSpaceDE w:val="0"/>
        <w:autoSpaceDN w:val="0"/>
        <w:adjustRightInd w:val="0"/>
        <w:spacing w:after="120"/>
        <w:ind w:left="851"/>
        <w:jc w:val="both"/>
        <w:rPr>
          <w:rFonts w:ascii="Palatino Linotype" w:hAnsi="Palatino Linotype" w:cs="Arial"/>
        </w:rPr>
      </w:pPr>
      <w:r w:rsidRPr="005A7D52">
        <w:rPr>
          <w:rFonts w:ascii="Palatino Linotype" w:hAnsi="Palatino Linotype"/>
        </w:rPr>
        <w:t>b). 9000 Deuda Pública.</w:t>
      </w:r>
    </w:p>
    <w:p w14:paraId="730F3277" w14:textId="77777777" w:rsidR="00D908C3" w:rsidRPr="005A7D52" w:rsidRDefault="00D908C3" w:rsidP="00D908C3">
      <w:pPr>
        <w:autoSpaceDE w:val="0"/>
        <w:autoSpaceDN w:val="0"/>
        <w:adjustRightInd w:val="0"/>
        <w:spacing w:before="240" w:after="240" w:line="360" w:lineRule="auto"/>
        <w:ind w:right="-91"/>
        <w:jc w:val="both"/>
        <w:rPr>
          <w:rFonts w:ascii="Palatino Linotype" w:hAnsi="Palatino Linotype"/>
        </w:rPr>
      </w:pPr>
      <w:r w:rsidRPr="005A7D52">
        <w:rPr>
          <w:rFonts w:ascii="Palatino Linotype" w:hAnsi="Palatino Linotype" w:cs="Arial"/>
        </w:rPr>
        <w:t xml:space="preserve">En lo relativo a los materiales y suministros, el </w:t>
      </w:r>
      <w:r w:rsidRPr="005A7D52">
        <w:rPr>
          <w:rFonts w:ascii="Palatino Linotype" w:eastAsia="Calibri" w:hAnsi="Palatino Linotype"/>
        </w:rPr>
        <w:t xml:space="preserve">Manual para la Planeación, Programación y Presupuestación Municipal, establece que en dicho rubro se agrupan </w:t>
      </w:r>
      <w:r w:rsidRPr="005A7D52">
        <w:rPr>
          <w:rFonts w:ascii="Palatino Linotype" w:hAnsi="Palatino Linotype"/>
        </w:rPr>
        <w:t>las asignaciones destinadas a la adquisición de toda clase de insumos y suministros requeridos para la prestación de bienes y servicios públicos y para el desempeño de las actividades administrativas, y de manera específica en el rubro 2600, reconoce las siguientes asignaciones:</w:t>
      </w:r>
    </w:p>
    <w:p w14:paraId="290FF35F" w14:textId="77777777" w:rsidR="00D908C3" w:rsidRPr="005A7D52" w:rsidRDefault="00D908C3" w:rsidP="00D908C3">
      <w:pPr>
        <w:autoSpaceDE w:val="0"/>
        <w:autoSpaceDN w:val="0"/>
        <w:adjustRightInd w:val="0"/>
        <w:spacing w:after="120"/>
        <w:ind w:left="851" w:right="902"/>
        <w:jc w:val="center"/>
        <w:rPr>
          <w:rFonts w:ascii="Palatino Linotype" w:hAnsi="Palatino Linotype"/>
          <w:i/>
          <w:sz w:val="22"/>
          <w:szCs w:val="20"/>
        </w:rPr>
      </w:pPr>
      <w:r w:rsidRPr="005A7D52">
        <w:rPr>
          <w:rFonts w:ascii="Palatino Linotype" w:hAnsi="Palatino Linotype"/>
          <w:b/>
          <w:i/>
          <w:sz w:val="22"/>
          <w:szCs w:val="20"/>
        </w:rPr>
        <w:t>“2600 COMBUSTIBLES, LUBRICANTES Y ADITIVOS.</w:t>
      </w:r>
    </w:p>
    <w:p w14:paraId="63F84BF7" w14:textId="77777777" w:rsidR="00D908C3" w:rsidRPr="005A7D52" w:rsidRDefault="00D908C3" w:rsidP="00D908C3">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i/>
          <w:sz w:val="22"/>
          <w:szCs w:val="20"/>
        </w:rPr>
        <w:t xml:space="preserve">Asignaciones destinadas a la adquisición de combustibles, lubricantes y aditivos de todo tipo, necesarios para el </w:t>
      </w:r>
      <w:r w:rsidRPr="005A7D52">
        <w:rPr>
          <w:rFonts w:ascii="Palatino Linotype" w:hAnsi="Palatino Linotype"/>
          <w:b/>
          <w:bCs/>
          <w:i/>
          <w:sz w:val="22"/>
          <w:szCs w:val="20"/>
        </w:rPr>
        <w:t>funcionamiento de vehículos de transport</w:t>
      </w:r>
      <w:r w:rsidRPr="005A7D52">
        <w:rPr>
          <w:rFonts w:ascii="Palatino Linotype" w:hAnsi="Palatino Linotype"/>
          <w:i/>
          <w:sz w:val="22"/>
          <w:szCs w:val="20"/>
        </w:rPr>
        <w:t xml:space="preserve">e </w:t>
      </w:r>
      <w:r w:rsidRPr="005A7D52">
        <w:rPr>
          <w:rFonts w:ascii="Palatino Linotype" w:hAnsi="Palatino Linotype"/>
          <w:i/>
          <w:sz w:val="22"/>
          <w:szCs w:val="20"/>
        </w:rPr>
        <w:lastRenderedPageBreak/>
        <w:t xml:space="preserve">terrestres, </w:t>
      </w:r>
      <w:r w:rsidRPr="005A7D52">
        <w:rPr>
          <w:rFonts w:ascii="Palatino Linotype" w:hAnsi="Palatino Linotype"/>
          <w:b/>
          <w:bCs/>
          <w:i/>
          <w:sz w:val="22"/>
          <w:szCs w:val="20"/>
        </w:rPr>
        <w:t>aéreos</w:t>
      </w:r>
      <w:r w:rsidRPr="005A7D52">
        <w:rPr>
          <w:rFonts w:ascii="Palatino Linotype" w:hAnsi="Palatino Linotype"/>
          <w:i/>
          <w:sz w:val="22"/>
          <w:szCs w:val="20"/>
        </w:rPr>
        <w:t xml:space="preserve">, marítimos, lacustres y fluviales; así como de maquinaria y equipo. </w:t>
      </w:r>
    </w:p>
    <w:p w14:paraId="050C6C0A" w14:textId="48996F1C" w:rsidR="00923F99" w:rsidRPr="005A7D52" w:rsidRDefault="00923F99" w:rsidP="00D908C3">
      <w:pPr>
        <w:autoSpaceDE w:val="0"/>
        <w:autoSpaceDN w:val="0"/>
        <w:adjustRightInd w:val="0"/>
        <w:spacing w:after="120"/>
        <w:ind w:left="851" w:right="902"/>
        <w:jc w:val="both"/>
        <w:rPr>
          <w:rFonts w:ascii="Palatino Linotype" w:hAnsi="Palatino Linotype"/>
          <w:b/>
          <w:i/>
          <w:sz w:val="22"/>
          <w:szCs w:val="20"/>
        </w:rPr>
      </w:pPr>
      <w:r w:rsidRPr="005A7D52">
        <w:rPr>
          <w:rFonts w:ascii="Palatino Linotype" w:hAnsi="Palatino Linotype"/>
          <w:b/>
          <w:i/>
          <w:sz w:val="22"/>
          <w:szCs w:val="20"/>
        </w:rPr>
        <w:t>...</w:t>
      </w:r>
    </w:p>
    <w:p w14:paraId="7EFAAF50" w14:textId="414856D8" w:rsidR="00D908C3" w:rsidRPr="005A7D52" w:rsidRDefault="00D908C3" w:rsidP="00923F99">
      <w:pPr>
        <w:autoSpaceDE w:val="0"/>
        <w:autoSpaceDN w:val="0"/>
        <w:adjustRightInd w:val="0"/>
        <w:spacing w:after="120"/>
        <w:ind w:left="851" w:right="902"/>
        <w:jc w:val="both"/>
        <w:rPr>
          <w:rFonts w:ascii="Palatino Linotype" w:hAnsi="Palatino Linotype"/>
          <w:i/>
          <w:sz w:val="22"/>
          <w:szCs w:val="20"/>
        </w:rPr>
      </w:pPr>
      <w:r w:rsidRPr="005A7D52">
        <w:rPr>
          <w:rFonts w:ascii="Palatino Linotype" w:hAnsi="Palatino Linotype"/>
          <w:b/>
          <w:i/>
          <w:sz w:val="22"/>
          <w:szCs w:val="20"/>
        </w:rPr>
        <w:t>2611 Combustibles, lubricantes y aditivos</w:t>
      </w:r>
      <w:r w:rsidRPr="005A7D52">
        <w:rPr>
          <w:rFonts w:ascii="Palatino Linotype" w:hAnsi="Palatino Linotype"/>
          <w:i/>
          <w:sz w:val="22"/>
          <w:szCs w:val="20"/>
        </w:rPr>
        <w:t xml:space="preserve">. Asignaciones destinadas a la adquisición de toda clase de combustibles, en estado líquido o gaseoso, crudos o refinados, así como de lubricantes y aditivos, </w:t>
      </w:r>
      <w:r w:rsidRPr="005A7D52">
        <w:rPr>
          <w:rFonts w:ascii="Palatino Linotype" w:hAnsi="Palatino Linotype"/>
          <w:b/>
          <w:i/>
          <w:sz w:val="22"/>
          <w:szCs w:val="20"/>
          <w:u w:val="single"/>
        </w:rPr>
        <w:t>requeridos para el funcionamiento de vehículos y equipos de transporte</w:t>
      </w:r>
      <w:r w:rsidRPr="005A7D52">
        <w:rPr>
          <w:rFonts w:ascii="Palatino Linotype" w:hAnsi="Palatino Linotype"/>
          <w:b/>
          <w:i/>
          <w:sz w:val="22"/>
          <w:szCs w:val="20"/>
        </w:rPr>
        <w:t xml:space="preserve"> </w:t>
      </w:r>
      <w:r w:rsidRPr="005A7D52">
        <w:rPr>
          <w:rFonts w:ascii="Palatino Linotype" w:hAnsi="Palatino Linotype"/>
          <w:i/>
          <w:sz w:val="22"/>
          <w:szCs w:val="20"/>
        </w:rPr>
        <w:t xml:space="preserve">terrestre, </w:t>
      </w:r>
      <w:r w:rsidRPr="005A7D52">
        <w:rPr>
          <w:rFonts w:ascii="Palatino Linotype" w:hAnsi="Palatino Linotype"/>
          <w:b/>
          <w:i/>
          <w:sz w:val="22"/>
          <w:szCs w:val="20"/>
          <w:u w:val="single"/>
        </w:rPr>
        <w:t>aéreo</w:t>
      </w:r>
      <w:r w:rsidRPr="005A7D52">
        <w:rPr>
          <w:rFonts w:ascii="Palatino Linotype" w:hAnsi="Palatino Linotype"/>
          <w:i/>
          <w:sz w:val="22"/>
          <w:szCs w:val="20"/>
        </w:rPr>
        <w:t xml:space="preserve"> o lacustre, así como, para maquinaria, equipo de producción, Plantas de emergencia, servicios administrativos y elaboración de alimentos…”</w:t>
      </w:r>
      <w:r w:rsidRPr="005A7D52">
        <w:rPr>
          <w:rFonts w:ascii="Palatino Linotype" w:hAnsi="Palatino Linotype"/>
          <w:i/>
          <w:sz w:val="20"/>
          <w:szCs w:val="20"/>
        </w:rPr>
        <w:t xml:space="preserve"> </w:t>
      </w:r>
    </w:p>
    <w:p w14:paraId="19A763DE" w14:textId="6DB3B82D" w:rsidR="00923F99" w:rsidRPr="005A7D52" w:rsidRDefault="00923F99" w:rsidP="00923F99">
      <w:pPr>
        <w:spacing w:before="240" w:after="240" w:line="360" w:lineRule="auto"/>
        <w:jc w:val="both"/>
        <w:rPr>
          <w:rFonts w:ascii="Palatino Linotype" w:hAnsi="Palatino Linotype"/>
        </w:rPr>
      </w:pPr>
      <w:r w:rsidRPr="005A7D52">
        <w:rPr>
          <w:rFonts w:ascii="Palatino Linotype" w:hAnsi="Palatino Linotype"/>
        </w:rPr>
        <w:t xml:space="preserve">Por cuanto hade a los Servicios Generales, el </w:t>
      </w:r>
      <w:r w:rsidR="00AE5CF6" w:rsidRPr="005A7D52">
        <w:rPr>
          <w:rFonts w:ascii="Palatino Linotype" w:eastAsia="Calibri" w:hAnsi="Palatino Linotype"/>
        </w:rPr>
        <w:t xml:space="preserve">Manual para la Planeación, Programación y Presupuestación Municipal, establece que en dicho rubro se agrupan </w:t>
      </w:r>
      <w:r w:rsidR="00AE5CF6" w:rsidRPr="005A7D52">
        <w:rPr>
          <w:rFonts w:ascii="Palatino Linotype" w:hAnsi="Palatino Linotype"/>
        </w:rPr>
        <w:t xml:space="preserve">las asignaciones destinadas </w:t>
      </w:r>
      <w:r w:rsidRPr="005A7D52">
        <w:rPr>
          <w:rFonts w:ascii="Palatino Linotype" w:hAnsi="Palatino Linotype"/>
        </w:rPr>
        <w:t xml:space="preserve">a cubrir el costo de todo tipo de servicios que se contraten con particulares o instituciones del propio sector público; así como los servicios oficiales requeridos para el desempeño de actividades vinculadas con la función pública, contemplando en el rubro 3700 las </w:t>
      </w:r>
      <w:r w:rsidR="00B2589F" w:rsidRPr="005A7D52">
        <w:rPr>
          <w:rFonts w:ascii="Palatino Linotype" w:hAnsi="Palatino Linotype"/>
        </w:rPr>
        <w:t>siguientes asignaciones:</w:t>
      </w:r>
    </w:p>
    <w:p w14:paraId="7C886911" w14:textId="4A1DCC04" w:rsidR="00B2589F" w:rsidRPr="005A7D52" w:rsidRDefault="00B2589F" w:rsidP="00B2589F">
      <w:pPr>
        <w:spacing w:before="120" w:after="120"/>
        <w:ind w:left="851" w:right="902"/>
        <w:jc w:val="both"/>
        <w:rPr>
          <w:rFonts w:ascii="Palatino Linotype" w:hAnsi="Palatino Linotype"/>
          <w:i/>
          <w:sz w:val="22"/>
        </w:rPr>
      </w:pPr>
      <w:r w:rsidRPr="005A7D52">
        <w:rPr>
          <w:rFonts w:ascii="Palatino Linotype" w:hAnsi="Palatino Linotype"/>
          <w:b/>
          <w:i/>
          <w:sz w:val="22"/>
        </w:rPr>
        <w:t>“3700 SERVICIOS DE TRASLADO Y VIÁTICOS</w:t>
      </w:r>
      <w:r w:rsidRPr="005A7D52">
        <w:rPr>
          <w:rFonts w:ascii="Palatino Linotype" w:hAnsi="Palatino Linotype"/>
          <w:i/>
          <w:sz w:val="22"/>
        </w:rPr>
        <w:t xml:space="preserve">. </w:t>
      </w:r>
    </w:p>
    <w:p w14:paraId="65BF00EF" w14:textId="18339C8D" w:rsidR="00B2589F" w:rsidRPr="005A7D52" w:rsidRDefault="00B2589F" w:rsidP="00B2589F">
      <w:pPr>
        <w:spacing w:before="120" w:after="120"/>
        <w:ind w:left="851" w:right="902"/>
        <w:jc w:val="both"/>
        <w:rPr>
          <w:rFonts w:ascii="Palatino Linotype" w:hAnsi="Palatino Linotype"/>
          <w:i/>
          <w:sz w:val="22"/>
        </w:rPr>
      </w:pPr>
      <w:r w:rsidRPr="005A7D52">
        <w:rPr>
          <w:rFonts w:ascii="Palatino Linotype" w:hAnsi="Palatino Linotype"/>
          <w:i/>
          <w:sz w:val="22"/>
        </w:rPr>
        <w:t xml:space="preserve">Asignaciones destinadas a cubrir los servicios de traslado, instalación y viáticos del personal, cuando por el desempeño de sus labores propias o comisiones de trabajo, requieran trasladarse a lugares distintos al de su adscripción. </w:t>
      </w:r>
    </w:p>
    <w:p w14:paraId="1D4033D3" w14:textId="77777777" w:rsidR="00B2589F" w:rsidRPr="005A7D52" w:rsidRDefault="00B2589F" w:rsidP="00B2589F">
      <w:pPr>
        <w:spacing w:before="120" w:after="120"/>
        <w:ind w:left="851" w:right="902"/>
        <w:jc w:val="both"/>
        <w:rPr>
          <w:rFonts w:ascii="Palatino Linotype" w:hAnsi="Palatino Linotype"/>
          <w:i/>
          <w:sz w:val="22"/>
        </w:rPr>
      </w:pPr>
      <w:r w:rsidRPr="005A7D52">
        <w:rPr>
          <w:rFonts w:ascii="Palatino Linotype" w:hAnsi="Palatino Linotype"/>
          <w:b/>
          <w:i/>
          <w:sz w:val="22"/>
        </w:rPr>
        <w:t>3710 Pasajes aéreos</w:t>
      </w:r>
      <w:r w:rsidRPr="005A7D52">
        <w:rPr>
          <w:rFonts w:ascii="Palatino Linotype" w:hAnsi="Palatino Linotype"/>
          <w:i/>
          <w:sz w:val="22"/>
        </w:rPr>
        <w:t>. Asignaciones destinadas a</w:t>
      </w:r>
      <w:r w:rsidRPr="005A7D52">
        <w:rPr>
          <w:rFonts w:ascii="Palatino Linotype" w:hAnsi="Palatino Linotype"/>
          <w:b/>
          <w:i/>
          <w:sz w:val="22"/>
        </w:rPr>
        <w:t xml:space="preserve"> cubrir los gastos por concepto de traslado de personal por vía aérea regular</w:t>
      </w:r>
      <w:r w:rsidRPr="005A7D52">
        <w:rPr>
          <w:rFonts w:ascii="Palatino Linotype" w:hAnsi="Palatino Linotype"/>
          <w:i/>
          <w:sz w:val="22"/>
        </w:rPr>
        <w:t xml:space="preserve"> (con horarios y rutas establecidas) </w:t>
      </w:r>
      <w:r w:rsidRPr="005A7D52">
        <w:rPr>
          <w:rFonts w:ascii="Palatino Linotype" w:hAnsi="Palatino Linotype"/>
          <w:b/>
          <w:i/>
          <w:sz w:val="22"/>
        </w:rPr>
        <w:t>y no regular</w:t>
      </w:r>
      <w:r w:rsidRPr="005A7D52">
        <w:rPr>
          <w:rFonts w:ascii="Palatino Linotype" w:hAnsi="Palatino Linotype"/>
          <w:i/>
          <w:sz w:val="22"/>
        </w:rPr>
        <w:t xml:space="preserve"> (sin horarios y rutas establecidas) en cumplimiento de sus funciones públicas. Incluye gastos por traslado de presos, reparto y entrega de mensajería y excluye los pasajes por concepto de becas y arrendamiento de equipo de transporte. </w:t>
      </w:r>
    </w:p>
    <w:p w14:paraId="3BD6920A" w14:textId="7ECBB0D6" w:rsidR="00923F99" w:rsidRPr="005A7D52" w:rsidRDefault="00B2589F" w:rsidP="00B2589F">
      <w:pPr>
        <w:spacing w:before="120" w:after="120"/>
        <w:ind w:left="851" w:right="902"/>
        <w:jc w:val="both"/>
        <w:rPr>
          <w:rFonts w:ascii="Palatino Linotype" w:hAnsi="Palatino Linotype"/>
          <w:i/>
          <w:sz w:val="22"/>
        </w:rPr>
      </w:pPr>
      <w:r w:rsidRPr="005A7D52">
        <w:rPr>
          <w:rFonts w:ascii="Palatino Linotype" w:hAnsi="Palatino Linotype"/>
          <w:b/>
          <w:i/>
          <w:sz w:val="22"/>
        </w:rPr>
        <w:t>3711 Transportación aérea</w:t>
      </w:r>
      <w:r w:rsidRPr="005A7D52">
        <w:rPr>
          <w:rFonts w:ascii="Palatino Linotype" w:hAnsi="Palatino Linotype"/>
          <w:i/>
          <w:sz w:val="22"/>
        </w:rPr>
        <w:t xml:space="preserve">. Asignaciones destinadas a </w:t>
      </w:r>
      <w:r w:rsidRPr="005A7D52">
        <w:rPr>
          <w:rFonts w:ascii="Palatino Linotype" w:hAnsi="Palatino Linotype"/>
          <w:b/>
          <w:i/>
          <w:sz w:val="22"/>
        </w:rPr>
        <w:t>cubrir los gastos por concepto de traslado de personal por vía aérea que utilices este medio de transporte en cumplimiento de sus funciones públicas</w:t>
      </w:r>
      <w:r w:rsidRPr="005A7D52">
        <w:rPr>
          <w:rFonts w:ascii="Palatino Linotype" w:hAnsi="Palatino Linotype"/>
          <w:i/>
          <w:sz w:val="22"/>
        </w:rPr>
        <w:t>. Incluye gastos por traslado de presos, reparto y entrega de mensajería y excluye los pasajes por concepto de becas y arrendamiento de equipo de transporte.”</w:t>
      </w:r>
    </w:p>
    <w:p w14:paraId="58B6703F" w14:textId="2EA5C792" w:rsidR="00076DB4" w:rsidRPr="005A7D52" w:rsidRDefault="00076DB4" w:rsidP="00D908C3">
      <w:pPr>
        <w:spacing w:before="240" w:after="240" w:line="360" w:lineRule="auto"/>
        <w:jc w:val="both"/>
        <w:rPr>
          <w:rFonts w:ascii="Palatino Linotype" w:hAnsi="Palatino Linotype"/>
        </w:rPr>
      </w:pPr>
      <w:r w:rsidRPr="005A7D52">
        <w:rPr>
          <w:rFonts w:ascii="Palatino Linotype" w:hAnsi="Palatino Linotype"/>
        </w:rPr>
        <w:lastRenderedPageBreak/>
        <w:t xml:space="preserve">De lo anterior, se advierte que </w:t>
      </w:r>
      <w:r w:rsidR="00C91E8F" w:rsidRPr="005A7D52">
        <w:rPr>
          <w:rFonts w:ascii="Palatino Linotype" w:hAnsi="Palatino Linotype"/>
        </w:rPr>
        <w:t>la respuesta del sujeto obligado, como lo refirió la parte hoy recurrente, está incompleta, ya que únicamente se pronunció respecto de la partida 3711 relacionada con las erogaciones por transportación aérea, limitándose</w:t>
      </w:r>
      <w:r w:rsidR="005D1A37" w:rsidRPr="005A7D52">
        <w:rPr>
          <w:rFonts w:ascii="Palatino Linotype" w:hAnsi="Palatino Linotype"/>
        </w:rPr>
        <w:t xml:space="preserve"> únicamente</w:t>
      </w:r>
      <w:r w:rsidR="00C91E8F" w:rsidRPr="005A7D52">
        <w:rPr>
          <w:rFonts w:ascii="Palatino Linotype" w:hAnsi="Palatino Linotype"/>
        </w:rPr>
        <w:t xml:space="preserve"> a señalar</w:t>
      </w:r>
      <w:r w:rsidR="00FB1FA9" w:rsidRPr="005A7D52">
        <w:rPr>
          <w:rFonts w:ascii="Palatino Linotype" w:hAnsi="Palatino Linotype"/>
        </w:rPr>
        <w:t xml:space="preserve">, a través de un documento </w:t>
      </w:r>
      <w:r w:rsidR="00FB1FA9" w:rsidRPr="005A7D52">
        <w:rPr>
          <w:rFonts w:ascii="Palatino Linotype" w:hAnsi="Palatino Linotype"/>
          <w:i/>
          <w:iCs/>
        </w:rPr>
        <w:t xml:space="preserve">ad hoc, </w:t>
      </w:r>
      <w:r w:rsidR="00C91E8F" w:rsidRPr="005A7D52">
        <w:rPr>
          <w:rFonts w:ascii="Palatino Linotype" w:hAnsi="Palatino Linotype"/>
        </w:rPr>
        <w:t>el monto del presupuesto ejercido por concepto de la misma en los ejercicios fiscales precisados por el particular,</w:t>
      </w:r>
      <w:r w:rsidR="005D1A37" w:rsidRPr="005A7D52">
        <w:rPr>
          <w:rFonts w:ascii="Palatino Linotype" w:hAnsi="Palatino Linotype"/>
        </w:rPr>
        <w:t xml:space="preserve"> sin proporcionar el soporte documental correspondiente,</w:t>
      </w:r>
      <w:r w:rsidR="00FB1FA9" w:rsidRPr="005A7D52">
        <w:rPr>
          <w:rFonts w:ascii="Palatino Linotype" w:hAnsi="Palatino Linotype"/>
        </w:rPr>
        <w:t xml:space="preserve"> como lo requirió el particular,</w:t>
      </w:r>
      <w:r w:rsidR="00C91E8F" w:rsidRPr="005A7D52">
        <w:rPr>
          <w:rFonts w:ascii="Palatino Linotype" w:hAnsi="Palatino Linotype"/>
        </w:rPr>
        <w:t xml:space="preserve"> </w:t>
      </w:r>
      <w:r w:rsidR="00541783" w:rsidRPr="005A7D52">
        <w:rPr>
          <w:rFonts w:ascii="Palatino Linotype" w:hAnsi="Palatino Linotype"/>
        </w:rPr>
        <w:t xml:space="preserve">asimismo, </w:t>
      </w:r>
      <w:r w:rsidR="00C91E8F" w:rsidRPr="005A7D52">
        <w:rPr>
          <w:rFonts w:ascii="Palatino Linotype" w:hAnsi="Palatino Linotype"/>
        </w:rPr>
        <w:t>respecto del ejercicio 2021, proporcionó información al mes de marzo, debiendo ser al día en el que recibió la solicitud de información, esto es, al veintinueve de junio de dos mil veintiuno</w:t>
      </w:r>
      <w:r w:rsidR="00744073" w:rsidRPr="005A7D52">
        <w:rPr>
          <w:rFonts w:ascii="Palatino Linotype" w:hAnsi="Palatino Linotype"/>
        </w:rPr>
        <w:t>, razón por la cual no puede tenerse por atendido el requerimiento en estudio.</w:t>
      </w:r>
    </w:p>
    <w:p w14:paraId="5BADB4BF" w14:textId="72B93EDB" w:rsidR="0019476D" w:rsidRPr="005A7D52" w:rsidRDefault="0019476D" w:rsidP="008B7576">
      <w:pPr>
        <w:pStyle w:val="Texto"/>
        <w:tabs>
          <w:tab w:val="right" w:leader="dot" w:pos="8505"/>
        </w:tabs>
        <w:spacing w:before="240" w:after="240" w:line="360" w:lineRule="auto"/>
        <w:ind w:firstLine="0"/>
        <w:rPr>
          <w:rFonts w:ascii="Palatino Linotype" w:hAnsi="Palatino Linotype"/>
          <w:sz w:val="24"/>
          <w:szCs w:val="24"/>
          <w:lang w:eastAsia="es-MX"/>
        </w:rPr>
      </w:pPr>
      <w:r w:rsidRPr="005A7D52">
        <w:rPr>
          <w:rFonts w:ascii="Palatino Linotype" w:hAnsi="Palatino Linotype"/>
          <w:sz w:val="24"/>
          <w:szCs w:val="24"/>
          <w:lang w:eastAsia="es-MX"/>
        </w:rPr>
        <w:t xml:space="preserve">Ahora bien, por cuanto hace a los documentos comprobatorios del gasto, debe observarse lo señalado en los Lineamientos para la Integración del Informe Mensual emitidos por el Órgano Superior de Fiscalización del Estado de México, para los ejercicios 2016 a 2020, así como en las </w:t>
      </w:r>
      <w:r w:rsidRPr="005A7D52">
        <w:rPr>
          <w:rFonts w:ascii="Palatino Linotype" w:hAnsi="Palatino Linotype"/>
          <w:sz w:val="24"/>
          <w:szCs w:val="24"/>
        </w:rPr>
        <w:t xml:space="preserve">Políticas para la Integración del Informe Trimestral de los Sujetos de Fiscalización Municipales para el Ejercicio 2021, documentos que </w:t>
      </w:r>
      <w:r w:rsidRPr="005A7D52">
        <w:rPr>
          <w:rFonts w:ascii="Palatino Linotype" w:hAnsi="Palatino Linotype"/>
          <w:sz w:val="24"/>
          <w:szCs w:val="24"/>
          <w:lang w:eastAsia="es-MX"/>
        </w:rPr>
        <w:t xml:space="preserve">contienen las disposiciones administrativas que rigen a las Entidades Fiscalizables en el Estado de México, entre ellos los Ayuntamientos Municipales, siendo una herramienta para elaborar y presentar dichos Informes de manera mensual hasta 2020 y trimestral a partir del ejercicio 2021, conteniendo aspectos financieros, contables, patrimoniales, presupuestales, programáticos y administrativos, en apego a diversos ordenamientos legales como la Ley Orgánica Municipal, Ley de Ingresos de los Municipios, Presupuesto de Egresos y Manual </w:t>
      </w:r>
      <w:r w:rsidRPr="005A7D52">
        <w:rPr>
          <w:rFonts w:ascii="Palatino Linotype" w:hAnsi="Palatino Linotype"/>
          <w:sz w:val="24"/>
          <w:szCs w:val="24"/>
          <w:lang w:eastAsia="es-MX"/>
        </w:rPr>
        <w:lastRenderedPageBreak/>
        <w:t>Único de Contabilidad Gubernamental para las Dependencias y Entidades Públicas del Gobierno y Municipios, todos del Estado de México.</w:t>
      </w:r>
    </w:p>
    <w:p w14:paraId="28C71033" w14:textId="1E5CED67" w:rsidR="0019476D" w:rsidRPr="005A7D52" w:rsidRDefault="0019476D" w:rsidP="008B7576">
      <w:pPr>
        <w:pStyle w:val="Texto"/>
        <w:tabs>
          <w:tab w:val="right" w:leader="dot" w:pos="8505"/>
        </w:tabs>
        <w:spacing w:before="240" w:after="240" w:line="360" w:lineRule="auto"/>
        <w:ind w:firstLine="0"/>
        <w:rPr>
          <w:rFonts w:ascii="Palatino Linotype" w:hAnsi="Palatino Linotype"/>
          <w:sz w:val="24"/>
          <w:szCs w:val="24"/>
          <w:lang w:eastAsia="es-MX"/>
        </w:rPr>
      </w:pPr>
      <w:r w:rsidRPr="005A7D52">
        <w:rPr>
          <w:rFonts w:ascii="Palatino Linotype" w:hAnsi="Palatino Linotype"/>
          <w:sz w:val="24"/>
          <w:szCs w:val="24"/>
          <w:lang w:eastAsia="es-MX"/>
        </w:rPr>
        <w:t>Así, los documentos en comento sirven para definir los criterios, formatos y documentación necesaria para presentar los informes mensuales. Entre los criterios que se manejan, esta aquel que se refiere a las pólizas de egresos y pólizas de cheques, con sus respectivos soportes documentales, el cual, se integra dentro del Disco 5 “Imágenes Digitalizadas”, hasta el ejercicio 2020, y en el submódulo “Pólizas”</w:t>
      </w:r>
      <w:r w:rsidR="00991B1F" w:rsidRPr="005A7D52">
        <w:rPr>
          <w:rFonts w:ascii="Palatino Linotype" w:hAnsi="Palatino Linotype"/>
          <w:sz w:val="24"/>
          <w:szCs w:val="24"/>
          <w:lang w:eastAsia="es-MX"/>
        </w:rPr>
        <w:t>, del Módulo 1 “INFORMACIÓN CONTABLE Y FINANCIERA”</w:t>
      </w:r>
      <w:r w:rsidRPr="005A7D52">
        <w:rPr>
          <w:rFonts w:ascii="Palatino Linotype" w:hAnsi="Palatino Linotype"/>
          <w:sz w:val="24"/>
          <w:szCs w:val="24"/>
          <w:lang w:eastAsia="es-MX"/>
        </w:rPr>
        <w:t xml:space="preserve"> y cuyo contenido debe ser enviado por los Tesoreros Municipales al OSFEM, en términos del artículo 2 fracción XI de la Ley de Fiscalización Superior del Estado de México</w:t>
      </w:r>
      <w:r w:rsidRPr="005A7D52">
        <w:rPr>
          <w:sz w:val="24"/>
          <w:szCs w:val="24"/>
          <w:vertAlign w:val="superscript"/>
          <w:lang w:eastAsia="es-MX"/>
        </w:rPr>
        <w:footnoteReference w:id="4"/>
      </w:r>
      <w:r w:rsidRPr="005A7D52">
        <w:rPr>
          <w:rFonts w:ascii="Palatino Linotype" w:hAnsi="Palatino Linotype"/>
          <w:sz w:val="24"/>
          <w:szCs w:val="24"/>
          <w:vertAlign w:val="superscript"/>
          <w:lang w:eastAsia="es-MX"/>
        </w:rPr>
        <w:t>,</w:t>
      </w:r>
      <w:r w:rsidRPr="005A7D52">
        <w:rPr>
          <w:rFonts w:ascii="Palatino Linotype" w:hAnsi="Palatino Linotype"/>
          <w:sz w:val="24"/>
          <w:szCs w:val="24"/>
          <w:lang w:eastAsia="es-MX"/>
        </w:rPr>
        <w:t xml:space="preserve"> </w:t>
      </w:r>
    </w:p>
    <w:p w14:paraId="2ED70DB3" w14:textId="4FED7C48" w:rsidR="0019476D" w:rsidRPr="005A7D52" w:rsidRDefault="0019476D" w:rsidP="008B7576">
      <w:pPr>
        <w:spacing w:before="240" w:after="240" w:line="360" w:lineRule="auto"/>
        <w:ind w:right="51"/>
        <w:jc w:val="both"/>
        <w:rPr>
          <w:rFonts w:ascii="Palatino Linotype" w:hAnsi="Palatino Linotype" w:cs="Arial"/>
          <w:iCs/>
          <w:szCs w:val="28"/>
          <w:lang w:eastAsia="es-MX"/>
        </w:rPr>
      </w:pPr>
      <w:r w:rsidRPr="005A7D52">
        <w:rPr>
          <w:rFonts w:ascii="Palatino Linotype" w:hAnsi="Palatino Linotype" w:cs="Arial"/>
          <w:iCs/>
          <w:szCs w:val="28"/>
          <w:lang w:eastAsia="es-MX"/>
        </w:rPr>
        <w:t>De acuerdo a lo establecido en el artículo 344 Código Financiero del Estado de México y Municipios,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14:paraId="1B32C015" w14:textId="64C5B28A" w:rsidR="0019476D" w:rsidRPr="005A7D52" w:rsidRDefault="0019476D" w:rsidP="008B7576">
      <w:pPr>
        <w:spacing w:before="240" w:after="240" w:line="360" w:lineRule="auto"/>
        <w:ind w:right="51"/>
        <w:jc w:val="both"/>
        <w:rPr>
          <w:rFonts w:ascii="Palatino Linotype" w:hAnsi="Palatino Linotype" w:cs="Arial"/>
          <w:iCs/>
          <w:szCs w:val="28"/>
          <w:lang w:eastAsia="es-MX"/>
        </w:rPr>
      </w:pPr>
      <w:r w:rsidRPr="005A7D52">
        <w:rPr>
          <w:rFonts w:ascii="Palatino Linotype" w:hAnsi="Palatino Linotype" w:cs="Arial"/>
          <w:iCs/>
          <w:szCs w:val="28"/>
          <w:lang w:eastAsia="es-MX"/>
        </w:rPr>
        <w:t xml:space="preserve">También refiere que todo registro contable y presupuestal deberá estar soportado con los documentos comprobatorios originales, los que deberán permanecer en custodia y conservación de las dependencias, entidades públicas y unidades </w:t>
      </w:r>
      <w:r w:rsidRPr="005A7D52">
        <w:rPr>
          <w:rFonts w:ascii="Palatino Linotype" w:hAnsi="Palatino Linotype" w:cs="Arial"/>
          <w:iCs/>
          <w:szCs w:val="28"/>
          <w:lang w:eastAsia="es-MX"/>
        </w:rPr>
        <w:lastRenderedPageBreak/>
        <w:t>administrativas que ejercieron el gasto, y a disposición del Órgano Superior de Fiscalización del Estado de México y de los órganos de control interno.</w:t>
      </w:r>
    </w:p>
    <w:p w14:paraId="04FF980F" w14:textId="33A45EF7" w:rsidR="0019476D" w:rsidRPr="005A7D52" w:rsidRDefault="0019476D" w:rsidP="008B7576">
      <w:pPr>
        <w:spacing w:before="240" w:after="240" w:line="360" w:lineRule="auto"/>
        <w:ind w:right="51"/>
        <w:jc w:val="both"/>
        <w:rPr>
          <w:rFonts w:ascii="Palatino Linotype" w:hAnsi="Palatino Linotype" w:cs="Arial"/>
          <w:iCs/>
          <w:szCs w:val="28"/>
          <w:lang w:eastAsia="es-MX"/>
        </w:rPr>
      </w:pPr>
      <w:r w:rsidRPr="005A7D52">
        <w:rPr>
          <w:rFonts w:ascii="Palatino Linotype" w:hAnsi="Palatino Linotype" w:cs="Arial"/>
          <w:iCs/>
          <w:szCs w:val="28"/>
          <w:lang w:eastAsia="es-MX"/>
        </w:rPr>
        <w:t>De acuerdo a lo anterior y para el cumplimiento de la fiscalización, la información y documentación se integra como sigue: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5A7D52" w:rsidRPr="005A7D52" w14:paraId="0DAAB0E7" w14:textId="77777777" w:rsidTr="006771A9">
        <w:trPr>
          <w:jc w:val="center"/>
        </w:trPr>
        <w:tc>
          <w:tcPr>
            <w:tcW w:w="4384" w:type="dxa"/>
            <w:vAlign w:val="center"/>
          </w:tcPr>
          <w:p w14:paraId="6AB2A783" w14:textId="7560DEE9" w:rsidR="008B7576" w:rsidRPr="005A7D52" w:rsidRDefault="008B7576" w:rsidP="00B439F0">
            <w:pPr>
              <w:pStyle w:val="Texto"/>
              <w:tabs>
                <w:tab w:val="right" w:leader="dot" w:pos="8505"/>
              </w:tabs>
              <w:spacing w:after="0" w:line="360" w:lineRule="auto"/>
              <w:ind w:firstLine="0"/>
              <w:rPr>
                <w:rFonts w:ascii="Palatino Linotype" w:hAnsi="Palatino Linotype"/>
                <w:sz w:val="24"/>
                <w:szCs w:val="24"/>
                <w:lang w:eastAsia="es-MX"/>
              </w:rPr>
            </w:pPr>
            <w:r w:rsidRPr="005A7D52">
              <w:rPr>
                <w:noProof/>
                <w:lang w:eastAsia="es-MX"/>
              </w:rPr>
              <mc:AlternateContent>
                <mc:Choice Requires="wps">
                  <w:drawing>
                    <wp:anchor distT="0" distB="0" distL="114300" distR="114300" simplePos="0" relativeHeight="251659264" behindDoc="0" locked="0" layoutInCell="1" allowOverlap="1" wp14:anchorId="6851442A" wp14:editId="68E61287">
                      <wp:simplePos x="0" y="0"/>
                      <wp:positionH relativeFrom="margin">
                        <wp:posOffset>363220</wp:posOffset>
                      </wp:positionH>
                      <wp:positionV relativeFrom="paragraph">
                        <wp:posOffset>342265</wp:posOffset>
                      </wp:positionV>
                      <wp:extent cx="1590675" cy="847725"/>
                      <wp:effectExtent l="57150" t="38100" r="85725" b="104775"/>
                      <wp:wrapNone/>
                      <wp:docPr id="65" name="Rectángulo 65"/>
                      <wp:cNvGraphicFramePr/>
                      <a:graphic xmlns:a="http://schemas.openxmlformats.org/drawingml/2006/main">
                        <a:graphicData uri="http://schemas.microsoft.com/office/word/2010/wordprocessingShape">
                          <wps:wsp>
                            <wps:cNvSpPr/>
                            <wps:spPr>
                              <a:xfrm>
                                <a:off x="0" y="0"/>
                                <a:ext cx="1590675" cy="847725"/>
                              </a:xfrm>
                              <a:prstGeom prst="rect">
                                <a:avLst/>
                              </a:prstGeom>
                              <a:noFill/>
                              <a:ln w="19050">
                                <a:solidFill>
                                  <a:srgbClr val="C0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A8EB54" id="Rectángulo 65" o:spid="_x0000_s1026" style="position:absolute;margin-left:28.6pt;margin-top:26.95pt;width:125.25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" filled="f" strokecolor="#c00000" strokeweight="1.5pt">
                      <v:shadow on="t" color="black" opacity="24903f" origin=",.5" offset="0,.55556mm"/>
                      <w10:wrap anchorx="margin"/>
                    </v:rect>
                  </w:pict>
                </mc:Fallback>
              </mc:AlternateContent>
            </w:r>
            <w:r w:rsidRPr="005A7D52">
              <w:rPr>
                <w:noProof/>
                <w:lang w:eastAsia="es-MX"/>
              </w:rPr>
              <w:drawing>
                <wp:inline distT="0" distB="0" distL="0" distR="0" wp14:anchorId="205496B2" wp14:editId="6825DC7D">
                  <wp:extent cx="2700000" cy="1229076"/>
                  <wp:effectExtent l="0" t="0" r="571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0000" cy="1229076"/>
                          </a:xfrm>
                          <a:prstGeom prst="rect">
                            <a:avLst/>
                          </a:prstGeom>
                        </pic:spPr>
                      </pic:pic>
                    </a:graphicData>
                  </a:graphic>
                </wp:inline>
              </w:drawing>
            </w:r>
          </w:p>
        </w:tc>
        <w:tc>
          <w:tcPr>
            <w:tcW w:w="4444" w:type="dxa"/>
            <w:vAlign w:val="center"/>
          </w:tcPr>
          <w:p w14:paraId="62D12CA5" w14:textId="77777777" w:rsidR="008B7576" w:rsidRPr="005A7D52" w:rsidRDefault="008B7576" w:rsidP="00B439F0">
            <w:pPr>
              <w:pStyle w:val="Texto"/>
              <w:tabs>
                <w:tab w:val="right" w:leader="dot" w:pos="8505"/>
              </w:tabs>
              <w:spacing w:after="0" w:line="360" w:lineRule="auto"/>
              <w:ind w:firstLine="0"/>
              <w:jc w:val="center"/>
              <w:rPr>
                <w:rFonts w:ascii="Palatino Linotype" w:hAnsi="Palatino Linotype"/>
                <w:sz w:val="24"/>
                <w:szCs w:val="24"/>
                <w:lang w:eastAsia="es-MX"/>
              </w:rPr>
            </w:pPr>
            <w:r w:rsidRPr="005A7D52">
              <w:rPr>
                <w:noProof/>
                <w:lang w:eastAsia="es-MX"/>
              </w:rPr>
              <mc:AlternateContent>
                <mc:Choice Requires="wps">
                  <w:drawing>
                    <wp:anchor distT="0" distB="0" distL="114300" distR="114300" simplePos="0" relativeHeight="251660288" behindDoc="0" locked="0" layoutInCell="1" allowOverlap="1" wp14:anchorId="485975E2" wp14:editId="43CF8A1E">
                      <wp:simplePos x="0" y="0"/>
                      <wp:positionH relativeFrom="margin">
                        <wp:posOffset>925195</wp:posOffset>
                      </wp:positionH>
                      <wp:positionV relativeFrom="paragraph">
                        <wp:posOffset>2018030</wp:posOffset>
                      </wp:positionV>
                      <wp:extent cx="1143000" cy="311150"/>
                      <wp:effectExtent l="57150" t="38100" r="76200" b="88900"/>
                      <wp:wrapNone/>
                      <wp:docPr id="7" name="Rectángulo 7"/>
                      <wp:cNvGraphicFramePr/>
                      <a:graphic xmlns:a="http://schemas.openxmlformats.org/drawingml/2006/main">
                        <a:graphicData uri="http://schemas.microsoft.com/office/word/2010/wordprocessingShape">
                          <wps:wsp>
                            <wps:cNvSpPr/>
                            <wps:spPr>
                              <a:xfrm>
                                <a:off x="0" y="0"/>
                                <a:ext cx="1143000" cy="311150"/>
                              </a:xfrm>
                              <a:prstGeom prst="rect">
                                <a:avLst/>
                              </a:prstGeom>
                              <a:noFill/>
                              <a:ln w="19050">
                                <a:solidFill>
                                  <a:srgbClr val="C0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1F9F89" id="Rectángulo 7" o:spid="_x0000_s1026" style="position:absolute;margin-left:72.85pt;margin-top:158.9pt;width:90pt;height: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" filled="f" strokecolor="#c00000" strokeweight="1.5pt">
                      <v:shadow on="t" color="black" opacity="24903f" origin=",.5" offset="0,.55556mm"/>
                      <w10:wrap anchorx="margin"/>
                    </v:rect>
                  </w:pict>
                </mc:Fallback>
              </mc:AlternateContent>
            </w:r>
            <w:r w:rsidRPr="005A7D52">
              <w:rPr>
                <w:rFonts w:ascii="Palatino Linotype" w:hAnsi="Palatino Linotype"/>
                <w:noProof/>
                <w:sz w:val="24"/>
                <w:szCs w:val="24"/>
                <w:lang w:eastAsia="es-MX"/>
              </w:rPr>
              <w:drawing>
                <wp:inline distT="0" distB="0" distL="0" distR="0" wp14:anchorId="0EA68A97" wp14:editId="261F6DF1">
                  <wp:extent cx="2700000" cy="232869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00" cy="2328693"/>
                          </a:xfrm>
                          <a:prstGeom prst="rect">
                            <a:avLst/>
                          </a:prstGeom>
                          <a:noFill/>
                          <a:ln>
                            <a:noFill/>
                          </a:ln>
                        </pic:spPr>
                      </pic:pic>
                    </a:graphicData>
                  </a:graphic>
                </wp:inline>
              </w:drawing>
            </w:r>
          </w:p>
        </w:tc>
      </w:tr>
    </w:tbl>
    <w:p w14:paraId="52D07716" w14:textId="19179BA7" w:rsidR="00917476" w:rsidRPr="005A7D52" w:rsidRDefault="00917476" w:rsidP="00D908C3">
      <w:pPr>
        <w:spacing w:before="240" w:after="240" w:line="360" w:lineRule="auto"/>
        <w:jc w:val="both"/>
        <w:rPr>
          <w:rFonts w:ascii="Palatino Linotype" w:hAnsi="Palatino Linotype"/>
        </w:rPr>
      </w:pPr>
      <w:r w:rsidRPr="005A7D52">
        <w:rPr>
          <w:rFonts w:ascii="Palatino Linotype" w:hAnsi="Palatino Linotype"/>
        </w:rPr>
        <w:t>Bajo lo previo, se advierte que los documentos mediante los cuales el sujeto obligado puede atender el requerimiento en estudio, de manera enunciativa, más no limitativa, son las pólizas de egresos con los documentos comprobatorios, y las pólizas de cheques con los documentos comprobatorios</w:t>
      </w:r>
      <w:r w:rsidR="009C34DE" w:rsidRPr="005A7D52">
        <w:rPr>
          <w:rFonts w:ascii="Palatino Linotype" w:hAnsi="Palatino Linotype"/>
        </w:rPr>
        <w:t>, documentación que generó el sujeto obligado a efecto de remitirla al Órgano Superior de Fiscalización del Estado de México, en los plazos señalados en los calendarios de obligaciones periódicas</w:t>
      </w:r>
      <w:r w:rsidR="00FB1B68" w:rsidRPr="005A7D52">
        <w:rPr>
          <w:rFonts w:ascii="Palatino Linotype" w:hAnsi="Palatino Linotype"/>
        </w:rPr>
        <w:t xml:space="preserve"> de los ejercicios fiscales requeridos</w:t>
      </w:r>
      <w:r w:rsidR="00BD0FD5" w:rsidRPr="005A7D52">
        <w:rPr>
          <w:rFonts w:ascii="Palatino Linotype" w:hAnsi="Palatino Linotype"/>
        </w:rPr>
        <w:t xml:space="preserve">, por lo tanto, es procedente ordenar al sujeto obligado que, previa búsqueda exhaustiva y razonable en las áreas que resulten competentes, haga entrega del soporte documental en versión pública, en el que conste lo solicitado al mayor grado de desagregación posible, </w:t>
      </w:r>
      <w:r w:rsidR="00E675D3" w:rsidRPr="005A7D52">
        <w:rPr>
          <w:rFonts w:ascii="Palatino Linotype" w:hAnsi="Palatino Linotype"/>
        </w:rPr>
        <w:t xml:space="preserve">tomando en consideración que la obligación de transparencia implica que los sujetos </w:t>
      </w:r>
      <w:r w:rsidR="008E3476" w:rsidRPr="005A7D52">
        <w:rPr>
          <w:rFonts w:ascii="Palatino Linotype" w:hAnsi="Palatino Linotype"/>
        </w:rPr>
        <w:t xml:space="preserve"> </w:t>
      </w:r>
      <w:r w:rsidR="008E3476" w:rsidRPr="005A7D52">
        <w:rPr>
          <w:rFonts w:ascii="Palatino Linotype" w:hAnsi="Palatino Linotype"/>
        </w:rPr>
        <w:lastRenderedPageBreak/>
        <w:t xml:space="preserve">proporcionen aquella información pública que se les requiera y que obre en sus archivos en el estado en el que se encuentren, no así generarla, procesar información, resumirla, efectuar cálculos o practicar investigaciones para presentarla conforme al interés de los solicitantes, según se lee en el </w:t>
      </w:r>
      <w:r w:rsidR="005241CD" w:rsidRPr="005A7D52">
        <w:rPr>
          <w:rFonts w:ascii="Palatino Linotype" w:hAnsi="Palatino Linotype"/>
        </w:rPr>
        <w:t xml:space="preserve">párrafo segundo del </w:t>
      </w:r>
      <w:r w:rsidR="008E3476" w:rsidRPr="005A7D52">
        <w:rPr>
          <w:rFonts w:ascii="Palatino Linotype" w:hAnsi="Palatino Linotype"/>
        </w:rPr>
        <w:t xml:space="preserve">artículo 12 de la Ley de la Materia, a saber: </w:t>
      </w:r>
      <w:r w:rsidR="00E675D3" w:rsidRPr="005A7D52">
        <w:rPr>
          <w:rFonts w:ascii="Palatino Linotype" w:hAnsi="Palatino Linotype"/>
        </w:rPr>
        <w:t xml:space="preserve"> </w:t>
      </w:r>
    </w:p>
    <w:p w14:paraId="5C6C0E82" w14:textId="77777777" w:rsidR="005241CD" w:rsidRPr="005A7D52" w:rsidRDefault="005241CD" w:rsidP="005241CD">
      <w:pPr>
        <w:spacing w:before="240" w:after="240"/>
        <w:ind w:left="851" w:right="900"/>
        <w:jc w:val="both"/>
        <w:rPr>
          <w:rFonts w:ascii="Palatino Linotype" w:hAnsi="Palatino Linotype"/>
          <w:i/>
          <w:iCs/>
          <w:sz w:val="22"/>
          <w:szCs w:val="22"/>
        </w:rPr>
      </w:pPr>
      <w:r w:rsidRPr="005A7D52">
        <w:rPr>
          <w:rFonts w:ascii="Palatino Linotype" w:hAnsi="Palatino Linotype"/>
          <w:i/>
          <w:iCs/>
          <w:sz w:val="22"/>
          <w:szCs w:val="22"/>
        </w:rPr>
        <w:t>“</w:t>
      </w:r>
      <w:r w:rsidRPr="005A7D52">
        <w:rPr>
          <w:rFonts w:ascii="Palatino Linotype" w:hAnsi="Palatino Linotype"/>
          <w:b/>
          <w:bCs/>
          <w:i/>
          <w:iCs/>
          <w:sz w:val="22"/>
          <w:szCs w:val="22"/>
        </w:rPr>
        <w:t>Artículo 12.</w:t>
      </w:r>
      <w:r w:rsidRPr="005A7D52">
        <w:rPr>
          <w:rFonts w:ascii="Palatino Linotype" w:hAnsi="Palatino Linotype"/>
          <w:i/>
          <w:iCs/>
          <w:sz w:val="22"/>
          <w:szCs w:val="22"/>
        </w:rPr>
        <w:t>..</w:t>
      </w:r>
    </w:p>
    <w:p w14:paraId="39BB10A3" w14:textId="72EBD58A" w:rsidR="005241CD" w:rsidRPr="005A7D52" w:rsidRDefault="005241CD" w:rsidP="005241CD">
      <w:pPr>
        <w:spacing w:before="240" w:after="240"/>
        <w:ind w:left="851" w:right="900"/>
        <w:jc w:val="both"/>
        <w:rPr>
          <w:rFonts w:ascii="Palatino Linotype" w:hAnsi="Palatino Linotype"/>
          <w:i/>
          <w:iCs/>
          <w:sz w:val="22"/>
          <w:szCs w:val="22"/>
        </w:rPr>
      </w:pPr>
      <w:r w:rsidRPr="005A7D52">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248D91" w14:textId="2872AFD6" w:rsidR="00D908C3" w:rsidRPr="005A7D52" w:rsidRDefault="00541783" w:rsidP="00D908C3">
      <w:pPr>
        <w:spacing w:before="240" w:after="240" w:line="360" w:lineRule="auto"/>
        <w:jc w:val="both"/>
        <w:rPr>
          <w:rFonts w:ascii="Palatino Linotype" w:hAnsi="Palatino Linotype"/>
          <w:lang w:val="es-MX" w:eastAsia="en-US"/>
        </w:rPr>
      </w:pPr>
      <w:r w:rsidRPr="005A7D52">
        <w:rPr>
          <w:rFonts w:ascii="Palatino Linotype" w:hAnsi="Palatino Linotype"/>
        </w:rPr>
        <w:t>Por cuanto hace al</w:t>
      </w:r>
      <w:r w:rsidR="00744073" w:rsidRPr="005A7D52">
        <w:rPr>
          <w:rFonts w:ascii="Palatino Linotype" w:hAnsi="Palatino Linotype"/>
        </w:rPr>
        <w:t xml:space="preserve"> requerimiento marcado con el numeral</w:t>
      </w:r>
      <w:r w:rsidRPr="005A7D52">
        <w:rPr>
          <w:rFonts w:ascii="Palatino Linotype" w:hAnsi="Palatino Linotype"/>
        </w:rPr>
        <w:t xml:space="preserve"> 2, </w:t>
      </w:r>
      <w:r w:rsidR="00D908C3" w:rsidRPr="005A7D52">
        <w:rPr>
          <w:rFonts w:ascii="Palatino Linotype" w:hAnsi="Palatino Linotype"/>
        </w:rPr>
        <w:t>la</w:t>
      </w:r>
      <w:r w:rsidR="00D908C3" w:rsidRPr="005A7D52">
        <w:rPr>
          <w:rFonts w:ascii="Palatino Linotype" w:hAnsi="Palatino Linotype" w:cs="Arial"/>
        </w:rPr>
        <w:t xml:space="preserve"> </w:t>
      </w:r>
      <w:r w:rsidR="00D908C3" w:rsidRPr="005A7D52">
        <w:rPr>
          <w:rFonts w:ascii="Palatino Linotype" w:hAnsi="Palatino Linotype"/>
        </w:rPr>
        <w:t>Ley de Contratación Pública del Estado de México y Municipios, regula</w:t>
      </w:r>
      <w:r w:rsidR="00D908C3" w:rsidRPr="005A7D52">
        <w:rPr>
          <w:rFonts w:ascii="Palatino Linotype" w:hAnsi="Palatino Linotype"/>
          <w:lang w:val="es-MX" w:eastAsia="en-US"/>
        </w:rPr>
        <w:t xml:space="preserve"> los actos relativos a la planeación, programación, presupuestación, ejecución y control de la adquisición, enajenación y arrendamiento de bienes, y la contratación de servicios de cualquier naturaleza, tales como los previstos en el artículo 4, que para mayor referencia se inserta enseguida:</w:t>
      </w:r>
    </w:p>
    <w:p w14:paraId="7F57D71A" w14:textId="77777777" w:rsidR="00D908C3" w:rsidRPr="005A7D52" w:rsidRDefault="00D908C3" w:rsidP="00744073">
      <w:pPr>
        <w:pStyle w:val="paragraph"/>
        <w:spacing w:before="120" w:beforeAutospacing="0" w:after="120" w:afterAutospacing="0"/>
        <w:ind w:left="851" w:right="902"/>
        <w:jc w:val="both"/>
        <w:textAlignment w:val="baseline"/>
        <w:rPr>
          <w:rStyle w:val="normaltextrun"/>
          <w:rFonts w:ascii="Palatino Linotype" w:hAnsi="Palatino Linotype" w:cs="Segoe UI"/>
          <w:bCs/>
          <w:i/>
          <w:iCs/>
          <w:sz w:val="22"/>
          <w:szCs w:val="22"/>
        </w:rPr>
      </w:pPr>
      <w:r w:rsidRPr="005A7D52">
        <w:rPr>
          <w:rStyle w:val="normaltextrun"/>
          <w:rFonts w:ascii="Palatino Linotype" w:hAnsi="Palatino Linotype" w:cs="Segoe UI"/>
          <w:b/>
          <w:bCs/>
          <w:i/>
          <w:iCs/>
          <w:sz w:val="22"/>
          <w:szCs w:val="22"/>
        </w:rPr>
        <w:t>“Artículo 4.-</w:t>
      </w:r>
      <w:r w:rsidRPr="005A7D52">
        <w:rPr>
          <w:rStyle w:val="normaltextrun"/>
          <w:rFonts w:ascii="Palatino Linotype" w:hAnsi="Palatino Linotype" w:cs="Segoe UI"/>
          <w:bCs/>
          <w:i/>
          <w:iCs/>
          <w:sz w:val="22"/>
          <w:szCs w:val="22"/>
        </w:rPr>
        <w:t xml:space="preserve"> Para los efectos de esta Ley, en las adquisiciones, enajenaciones, arrendamientos y servicios, quedan comprendidos: </w:t>
      </w:r>
    </w:p>
    <w:p w14:paraId="67E40225"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ascii="Palatino Linotype" w:hAnsi="Palatino Linotype" w:cs="Segoe UI"/>
          <w:bCs/>
          <w:i/>
          <w:iCs/>
          <w:sz w:val="22"/>
          <w:szCs w:val="22"/>
        </w:rPr>
      </w:pPr>
      <w:r w:rsidRPr="005A7D52">
        <w:rPr>
          <w:rStyle w:val="normaltextrun"/>
          <w:rFonts w:ascii="Palatino Linotype" w:hAnsi="Palatino Linotype" w:cs="Segoe UI"/>
          <w:bCs/>
          <w:i/>
          <w:iCs/>
          <w:sz w:val="22"/>
          <w:szCs w:val="22"/>
        </w:rPr>
        <w:t>La adquisición de bienes muebles.</w:t>
      </w:r>
    </w:p>
    <w:p w14:paraId="31332F77"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 xml:space="preserve">La adquisición de bienes inmuebles, a través de compraventa. </w:t>
      </w:r>
    </w:p>
    <w:p w14:paraId="13B0C2E6"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 xml:space="preserve">La enajenación de bienes muebles e inmuebles. </w:t>
      </w:r>
    </w:p>
    <w:p w14:paraId="7F319CC9"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 xml:space="preserve">El arrendamiento de bienes muebles e inmuebles. </w:t>
      </w:r>
    </w:p>
    <w:p w14:paraId="2D58C3CE"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 xml:space="preserve">La contratación de los servicios, relacionados con bienes muebles que se encuentran incorporados o adheridos a bienes inmuebles, cuya instalación o mantenimiento no implique modificación al bien inmueble. </w:t>
      </w:r>
    </w:p>
    <w:p w14:paraId="415C882F"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lastRenderedPageBreak/>
        <w:t xml:space="preserve">La contratación de los servicios de reconstrucción y mantenimiento de bienes muebles. </w:t>
      </w:r>
    </w:p>
    <w:p w14:paraId="15E13E74"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La contratación de los servicios de maquila, seguros y transportación, así como de los de limpieza y vigilancia de bienes inmuebles.</w:t>
      </w:r>
    </w:p>
    <w:p w14:paraId="7D25B7A3" w14:textId="77777777" w:rsidR="00D908C3" w:rsidRPr="005A7D52" w:rsidRDefault="00D908C3" w:rsidP="00744073">
      <w:pPr>
        <w:pStyle w:val="paragraph"/>
        <w:numPr>
          <w:ilvl w:val="0"/>
          <w:numId w:val="19"/>
        </w:numPr>
        <w:tabs>
          <w:tab w:val="left" w:pos="1701"/>
        </w:tabs>
        <w:spacing w:before="120" w:beforeAutospacing="0" w:after="120" w:afterAutospacing="0"/>
        <w:ind w:left="1418" w:right="902" w:firstLine="0"/>
        <w:jc w:val="both"/>
        <w:textAlignment w:val="baseline"/>
        <w:rPr>
          <w:rStyle w:val="normaltextrun"/>
          <w:rFonts w:cs="Segoe UI"/>
          <w:bCs/>
          <w:i/>
          <w:iCs/>
          <w:sz w:val="22"/>
          <w:szCs w:val="22"/>
        </w:rPr>
      </w:pPr>
      <w:r w:rsidRPr="005A7D52">
        <w:rPr>
          <w:rStyle w:val="normaltextrun"/>
          <w:rFonts w:ascii="Palatino Linotype" w:hAnsi="Palatino Linotype" w:cs="Segoe UI"/>
          <w:bCs/>
          <w:i/>
          <w:iCs/>
          <w:sz w:val="22"/>
          <w:szCs w:val="22"/>
        </w:rPr>
        <w:t xml:space="preserve">La prestación de servicios profesionales, la contratación de consultorías, asesorías y estudios e investigaciones, excepto la contratación de servicios personales de personas físicas bajo el régimen de honorarios. </w:t>
      </w:r>
    </w:p>
    <w:p w14:paraId="2B02DDB4" w14:textId="77777777" w:rsidR="00D908C3" w:rsidRPr="005A7D52" w:rsidRDefault="00D908C3" w:rsidP="00744073">
      <w:pPr>
        <w:pStyle w:val="paragraph"/>
        <w:spacing w:before="120" w:beforeAutospacing="0" w:after="120" w:afterAutospacing="0"/>
        <w:ind w:left="851" w:right="902"/>
        <w:jc w:val="both"/>
        <w:textAlignment w:val="baseline"/>
        <w:rPr>
          <w:rStyle w:val="normaltextrun"/>
          <w:rFonts w:ascii="Palatino Linotype" w:hAnsi="Palatino Linotype" w:cs="Segoe UI"/>
          <w:bCs/>
          <w:i/>
          <w:iCs/>
          <w:sz w:val="22"/>
          <w:szCs w:val="22"/>
          <w:u w:val="single"/>
        </w:rPr>
      </w:pPr>
      <w:r w:rsidRPr="005A7D52">
        <w:rPr>
          <w:rStyle w:val="normaltextrun"/>
          <w:rFonts w:ascii="Palatino Linotype" w:hAnsi="Palatino Linotype" w:cs="Segoe UI"/>
          <w:bCs/>
          <w:i/>
          <w:iCs/>
          <w:sz w:val="22"/>
          <w:szCs w:val="22"/>
          <w:u w:val="single"/>
        </w:rPr>
        <w:t xml:space="preserve">En general, otros actos que impliquen la contratación de servicios de cualquier naturaleza. </w:t>
      </w:r>
    </w:p>
    <w:p w14:paraId="2800150A" w14:textId="77777777" w:rsidR="00D908C3" w:rsidRPr="005A7D52" w:rsidRDefault="00D908C3" w:rsidP="00744073">
      <w:pPr>
        <w:pStyle w:val="paragraph"/>
        <w:spacing w:before="120" w:beforeAutospacing="0" w:after="120" w:afterAutospacing="0"/>
        <w:ind w:left="851" w:right="902"/>
        <w:jc w:val="both"/>
        <w:textAlignment w:val="baseline"/>
        <w:rPr>
          <w:rStyle w:val="normaltextrun"/>
          <w:rFonts w:ascii="Palatino Linotype" w:hAnsi="Palatino Linotype" w:cs="Segoe UI"/>
          <w:bCs/>
          <w:i/>
          <w:iCs/>
          <w:sz w:val="22"/>
          <w:szCs w:val="22"/>
        </w:rPr>
      </w:pPr>
      <w:r w:rsidRPr="005A7D52">
        <w:rPr>
          <w:rStyle w:val="normaltextrun"/>
          <w:rFonts w:ascii="Palatino Linotype" w:hAnsi="Palatino Linotype" w:cs="Segoe UI"/>
          <w:bCs/>
          <w:i/>
          <w:iCs/>
          <w:sz w:val="22"/>
          <w:szCs w:val="22"/>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2633E186" w14:textId="77777777" w:rsidR="00D908C3" w:rsidRPr="005A7D52" w:rsidRDefault="00D908C3" w:rsidP="00D908C3">
      <w:pPr>
        <w:spacing w:before="240" w:after="240" w:line="360" w:lineRule="auto"/>
        <w:jc w:val="both"/>
        <w:rPr>
          <w:rFonts w:ascii="Palatino Linotype" w:hAnsi="Palatino Linotype"/>
        </w:rPr>
      </w:pPr>
      <w:r w:rsidRPr="005A7D52">
        <w:rPr>
          <w:rFonts w:ascii="Palatino Linotype" w:hAnsi="Palatino Linotype"/>
          <w:lang w:val="es-MX" w:eastAsia="en-US"/>
        </w:rPr>
        <w:t>Asimismo, en su diverso artículo 26, dispone que l</w:t>
      </w:r>
      <w:r w:rsidRPr="005A7D52">
        <w:rPr>
          <w:rFonts w:ascii="Palatino Linotype" w:hAnsi="Palatino Linotype"/>
        </w:rPr>
        <w:t>as adquisiciones, arrendamientos y servicios se adjudicarán a través de licitaciones públicas</w:t>
      </w:r>
      <w:r w:rsidRPr="005A7D52">
        <w:rPr>
          <w:rStyle w:val="Refdenotaalpie"/>
          <w:rFonts w:ascii="Palatino Linotype" w:hAnsi="Palatino Linotype"/>
        </w:rPr>
        <w:footnoteReference w:id="5"/>
      </w:r>
      <w:r w:rsidRPr="005A7D52">
        <w:rPr>
          <w:rFonts w:ascii="Palatino Linotype" w:hAnsi="Palatino Linotype"/>
        </w:rPr>
        <w:t>, mediante convocatoria pública y como excepciones al procedimiento de licitación reconoce por invitación restringida y adjudicación directa</w:t>
      </w:r>
      <w:r w:rsidRPr="005A7D52">
        <w:rPr>
          <w:rStyle w:val="Refdenotaalpie"/>
          <w:rFonts w:ascii="Palatino Linotype" w:hAnsi="Palatino Linotype"/>
        </w:rPr>
        <w:footnoteReference w:id="6"/>
      </w:r>
      <w:r w:rsidRPr="005A7D52">
        <w:rPr>
          <w:rFonts w:ascii="Palatino Linotype" w:hAnsi="Palatino Linotype"/>
        </w:rPr>
        <w:t xml:space="preserve">. </w:t>
      </w:r>
    </w:p>
    <w:p w14:paraId="2F5F90B2" w14:textId="77777777" w:rsidR="00D908C3" w:rsidRPr="005A7D52" w:rsidRDefault="00D908C3" w:rsidP="00D908C3">
      <w:pPr>
        <w:spacing w:before="240" w:after="240" w:line="360" w:lineRule="auto"/>
        <w:jc w:val="both"/>
        <w:rPr>
          <w:rFonts w:ascii="Palatino Linotype" w:hAnsi="Palatino Linotype" w:cs="Arial"/>
        </w:rPr>
      </w:pPr>
      <w:r w:rsidRPr="005A7D52">
        <w:rPr>
          <w:rFonts w:ascii="Palatino Linotype" w:hAnsi="Palatino Linotype"/>
          <w:lang w:val="es-MX" w:eastAsia="en-US"/>
        </w:rPr>
        <w:lastRenderedPageBreak/>
        <w:t>Por su parte, el Reglamento de la Ley de Contratación Pública del Estado de México y Municipios, dispone lo que a la letra se inserta:</w:t>
      </w:r>
    </w:p>
    <w:p w14:paraId="003ECD4B"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2.-</w:t>
      </w:r>
      <w:r w:rsidRPr="005A7D52">
        <w:rPr>
          <w:rFonts w:ascii="Palatino Linotype" w:hAnsi="Palatino Linotype"/>
          <w:i/>
          <w:sz w:val="22"/>
          <w:szCs w:val="22"/>
        </w:rPr>
        <w:t xml:space="preserve"> Para los efectos de este Reglamento, se entenderá por: </w:t>
      </w:r>
    </w:p>
    <w:p w14:paraId="04565472"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 Adjudicación directa: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w:t>
      </w:r>
    </w:p>
    <w:p w14:paraId="7EF2549B"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w:t>
      </w:r>
    </w:p>
    <w:p w14:paraId="31A4B98E"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II. Invitación restringida: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w:t>
      </w:r>
    </w:p>
    <w:p w14:paraId="176F37DB"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w:t>
      </w:r>
    </w:p>
    <w:p w14:paraId="20BE9A09"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XIV. Licitación pública: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 </w:t>
      </w:r>
    </w:p>
    <w:p w14:paraId="4B281E11"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w:t>
      </w:r>
    </w:p>
    <w:p w14:paraId="5D164100"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XXI. Procedimiento de adquisición: Conjunto de etapas por las que la Secretaría, las dependencias, organismos auxiliares, tribunales administrativos o municipios, adquieren bienes, contratan servicios o adquieren en arrendamiento bienes inmuebles para el cumplimiento de sus funciones, programas y acciones…</w:t>
      </w:r>
    </w:p>
    <w:p w14:paraId="39C87A23"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61.-</w:t>
      </w:r>
      <w:r w:rsidRPr="005A7D52">
        <w:rPr>
          <w:rFonts w:ascii="Palatino Linotype" w:hAnsi="Palatino Linotype"/>
          <w:i/>
          <w:sz w:val="22"/>
          <w:szCs w:val="22"/>
        </w:rPr>
        <w:t xml:space="preserve"> La Secretaría, organismos auxiliares, tribunales administrativos y municipios podrán realizar licitaciones públicas, para la adquisición, arrendamiento de bienes y la contratación de servicios de cualquier naturaleza, conforme a las previsiones y disposiciones presupuestarias respectivas. </w:t>
      </w:r>
    </w:p>
    <w:p w14:paraId="5B026216" w14:textId="77777777" w:rsidR="00D908C3" w:rsidRPr="005A7D52" w:rsidRDefault="00D908C3" w:rsidP="00744073">
      <w:pPr>
        <w:spacing w:before="120" w:after="120"/>
        <w:ind w:left="851" w:right="902"/>
        <w:jc w:val="both"/>
        <w:rPr>
          <w:rFonts w:ascii="Palatino Linotype" w:hAnsi="Palatino Linotype"/>
          <w:b/>
          <w:i/>
          <w:sz w:val="22"/>
          <w:szCs w:val="22"/>
        </w:rPr>
      </w:pPr>
      <w:r w:rsidRPr="005A7D52">
        <w:rPr>
          <w:rFonts w:ascii="Palatino Linotype" w:hAnsi="Palatino Linotype"/>
          <w:b/>
          <w:i/>
          <w:sz w:val="22"/>
          <w:szCs w:val="22"/>
        </w:rPr>
        <w:lastRenderedPageBreak/>
        <w:t>Artículo 62.-</w:t>
      </w:r>
      <w:r w:rsidRPr="005A7D52">
        <w:rPr>
          <w:rFonts w:ascii="Palatino Linotype" w:hAnsi="Palatino Linotype"/>
          <w:i/>
          <w:sz w:val="22"/>
          <w:szCs w:val="22"/>
        </w:rPr>
        <w:t xml:space="preserve"> 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5A7D52">
        <w:rPr>
          <w:rFonts w:ascii="Palatino Linotype" w:hAnsi="Palatino Linotype"/>
          <w:b/>
          <w:i/>
          <w:sz w:val="22"/>
          <w:szCs w:val="22"/>
        </w:rPr>
        <w:t xml:space="preserve"> </w:t>
      </w:r>
    </w:p>
    <w:p w14:paraId="0579C9E0" w14:textId="77777777" w:rsidR="00D908C3" w:rsidRPr="005A7D52" w:rsidRDefault="00D908C3" w:rsidP="00744073">
      <w:pPr>
        <w:shd w:val="clear" w:color="auto" w:fill="FFFFFF"/>
        <w:spacing w:before="120" w:after="120"/>
        <w:ind w:left="851" w:right="902"/>
        <w:jc w:val="both"/>
        <w:rPr>
          <w:rFonts w:ascii="Palatino Linotype" w:eastAsia="Arial" w:hAnsi="Palatino Linotype" w:cs="Arial"/>
          <w:i/>
          <w:sz w:val="22"/>
          <w:szCs w:val="22"/>
        </w:rPr>
      </w:pPr>
      <w:r w:rsidRPr="005A7D52">
        <w:rPr>
          <w:rFonts w:ascii="Palatino Linotype" w:eastAsia="Arial" w:hAnsi="Palatino Linotype" w:cs="Arial"/>
          <w:b/>
          <w:i/>
          <w:sz w:val="22"/>
          <w:szCs w:val="22"/>
        </w:rPr>
        <w:t xml:space="preserve">Artículo 67.- </w:t>
      </w:r>
      <w:r w:rsidRPr="005A7D52">
        <w:rPr>
          <w:rFonts w:ascii="Palatino Linotype" w:eastAsia="Arial" w:hAnsi="Palatino Linotype" w:cs="Arial"/>
          <w:i/>
          <w:sz w:val="22"/>
          <w:szCs w:val="22"/>
        </w:rPr>
        <w:t xml:space="preserve">El procedimiento de licitación pública comprende las siguientes fases: </w:t>
      </w:r>
    </w:p>
    <w:p w14:paraId="2C424EB9"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 xml:space="preserve">Publicación de la convocatoria; </w:t>
      </w:r>
    </w:p>
    <w:p w14:paraId="06D2D977"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Venta de las bases de licitación;</w:t>
      </w:r>
    </w:p>
    <w:p w14:paraId="61ED5DEE"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Visita, en su caso, al sitio donde se vayan a suministrar los bienes o a prestar los servicios;</w:t>
      </w:r>
    </w:p>
    <w:p w14:paraId="6A395A09"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 xml:space="preserve">Junta de aclaraciones, en su caso; </w:t>
      </w:r>
    </w:p>
    <w:p w14:paraId="353FFEA9"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Acto de presentación y apertura de propuestas;</w:t>
      </w:r>
    </w:p>
    <w:p w14:paraId="731968BE"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Análisis y evaluación de propuestas;</w:t>
      </w:r>
    </w:p>
    <w:p w14:paraId="30D42893"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 xml:space="preserve">Dictamen de adjudicación; </w:t>
      </w:r>
    </w:p>
    <w:p w14:paraId="56256A70"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 xml:space="preserve">Fallo; </w:t>
      </w:r>
    </w:p>
    <w:p w14:paraId="74713F20"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 xml:space="preserve">Suscripción del contrato; y </w:t>
      </w:r>
    </w:p>
    <w:p w14:paraId="378F92CE" w14:textId="77777777" w:rsidR="00D908C3" w:rsidRPr="005A7D52" w:rsidRDefault="00D908C3" w:rsidP="00744073">
      <w:pPr>
        <w:pStyle w:val="Prrafodelista"/>
        <w:numPr>
          <w:ilvl w:val="0"/>
          <w:numId w:val="20"/>
        </w:numPr>
        <w:shd w:val="clear" w:color="auto" w:fill="FFFFFF"/>
        <w:spacing w:before="120" w:after="120"/>
        <w:ind w:left="1134" w:right="902" w:hanging="11"/>
        <w:contextualSpacing w:val="0"/>
        <w:rPr>
          <w:rFonts w:ascii="Palatino Linotype" w:eastAsia="Arial" w:hAnsi="Palatino Linotype" w:cs="Arial"/>
          <w:i/>
          <w:sz w:val="22"/>
          <w:szCs w:val="22"/>
        </w:rPr>
      </w:pPr>
      <w:r w:rsidRPr="005A7D52">
        <w:rPr>
          <w:rFonts w:ascii="Palatino Linotype" w:eastAsia="Arial" w:hAnsi="Palatino Linotype" w:cs="Arial"/>
          <w:i/>
          <w:sz w:val="22"/>
          <w:szCs w:val="22"/>
        </w:rPr>
        <w:t>Suministro de los bienes o inicio de la prestación del servicio.</w:t>
      </w:r>
    </w:p>
    <w:p w14:paraId="19FFBD22" w14:textId="77777777" w:rsidR="00D908C3" w:rsidRPr="005A7D52" w:rsidRDefault="00D908C3" w:rsidP="00744073">
      <w:pPr>
        <w:spacing w:before="120" w:after="120"/>
        <w:ind w:left="851" w:right="902"/>
        <w:jc w:val="both"/>
        <w:rPr>
          <w:rFonts w:ascii="Palatino Linotype" w:hAnsi="Palatino Linotype"/>
          <w:b/>
          <w:i/>
          <w:sz w:val="22"/>
          <w:szCs w:val="22"/>
        </w:rPr>
      </w:pPr>
    </w:p>
    <w:p w14:paraId="03078218"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90.-</w:t>
      </w:r>
      <w:r w:rsidRPr="005A7D52">
        <w:rPr>
          <w:rFonts w:ascii="Palatino Linotype" w:hAnsi="Palatino Linotype"/>
          <w:i/>
          <w:sz w:val="22"/>
          <w:szCs w:val="22"/>
        </w:rPr>
        <w:t xml:space="preserve"> En el procedimiento de invitación restringida se deberá observar lo siguiente: </w:t>
      </w:r>
    </w:p>
    <w:p w14:paraId="521683CC"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 Se invitará a un mínimo de tres personas seleccionadas de entre las que se encuentren inscritas e n el catálogo de proveedores y de prestadores de servicios. </w:t>
      </w:r>
    </w:p>
    <w:p w14:paraId="44CB01FA"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Se podrá invitar a personas que no se encuentren inscritas, cuando en el giro correspondiente del catálogo de proveedores y prestadores de servicios no exista el registro mínimo de personas requeridas para tal modalidad; </w:t>
      </w:r>
    </w:p>
    <w:p w14:paraId="3B17AEA2"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II. Las bases de la invitación restringida indicarán los aspectos de la adquisición o contratación; y </w:t>
      </w:r>
    </w:p>
    <w:p w14:paraId="16935C63"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III. Serán aplicables, en lo conducente, las disposiciones de la licitación pública.</w:t>
      </w:r>
    </w:p>
    <w:p w14:paraId="2E4C0C25"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91.-</w:t>
      </w:r>
      <w:r w:rsidRPr="005A7D52">
        <w:rPr>
          <w:rFonts w:ascii="Palatino Linotype" w:hAnsi="Palatino Linotype"/>
          <w:i/>
          <w:sz w:val="22"/>
          <w:szCs w:val="22"/>
        </w:rPr>
        <w:t xml:space="preserve"> La Secretaría, organismos auxiliares, tribunales administrativos y municipios podrán adquirir, arrendar o enajenar bienes, y contratar servicios, </w:t>
      </w:r>
      <w:r w:rsidRPr="005A7D52">
        <w:rPr>
          <w:rFonts w:ascii="Palatino Linotype" w:hAnsi="Palatino Linotype"/>
          <w:i/>
          <w:sz w:val="22"/>
          <w:szCs w:val="22"/>
        </w:rPr>
        <w:lastRenderedPageBreak/>
        <w:t xml:space="preserve">mediante el procedimiento de adjudicación directa en los términos establecidos por la Ley. </w:t>
      </w:r>
    </w:p>
    <w:p w14:paraId="367ABA8A"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92.-</w:t>
      </w:r>
      <w:r w:rsidRPr="005A7D52">
        <w:rPr>
          <w:rFonts w:ascii="Palatino Linotype" w:hAnsi="Palatino Linotype"/>
          <w:i/>
          <w:sz w:val="22"/>
          <w:szCs w:val="22"/>
        </w:rPr>
        <w:t xml:space="preserve">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14:paraId="1D530478" w14:textId="77777777"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i/>
          <w:sz w:val="22"/>
          <w:szCs w:val="22"/>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14:paraId="14DF3C40" w14:textId="77777777" w:rsidR="00D908C3" w:rsidRPr="005A7D52" w:rsidRDefault="00D908C3" w:rsidP="00744073">
      <w:pPr>
        <w:spacing w:before="120" w:after="120"/>
        <w:ind w:left="851" w:right="902"/>
        <w:jc w:val="both"/>
        <w:rPr>
          <w:rFonts w:ascii="Palatino Linotype" w:hAnsi="Palatino Linotype"/>
          <w:i/>
          <w:sz w:val="22"/>
          <w:szCs w:val="22"/>
          <w:lang w:val="es-MX" w:eastAsia="en-US"/>
        </w:rPr>
      </w:pPr>
      <w:r w:rsidRPr="005A7D52">
        <w:rPr>
          <w:rFonts w:ascii="Palatino Linotype" w:hAnsi="Palatino Linotype"/>
          <w:i/>
          <w:sz w:val="22"/>
          <w:szCs w:val="22"/>
        </w:rPr>
        <w:t>En el caso de los municipios, las cotizaciones deberán obtenerse a través de sus áreas de administración.”</w:t>
      </w:r>
    </w:p>
    <w:p w14:paraId="53170FC2" w14:textId="4948DD4C" w:rsidR="00D908C3" w:rsidRPr="005A7D52" w:rsidRDefault="00D908C3" w:rsidP="00D908C3">
      <w:pPr>
        <w:spacing w:before="240" w:after="240" w:line="360" w:lineRule="auto"/>
        <w:jc w:val="both"/>
        <w:rPr>
          <w:rFonts w:ascii="Palatino Linotype" w:hAnsi="Palatino Linotype" w:cs="Arial"/>
        </w:rPr>
      </w:pPr>
      <w:r w:rsidRPr="005A7D52">
        <w:rPr>
          <w:rFonts w:ascii="Palatino Linotype" w:hAnsi="Palatino Linotype" w:cs="Arial"/>
        </w:rPr>
        <w:t>De lo</w:t>
      </w:r>
      <w:r w:rsidR="00076DB4" w:rsidRPr="005A7D52">
        <w:rPr>
          <w:rFonts w:ascii="Palatino Linotype" w:hAnsi="Palatino Linotype" w:cs="Arial"/>
        </w:rPr>
        <w:t xml:space="preserve"> hasta aquí expuesto, </w:t>
      </w:r>
      <w:r w:rsidRPr="005A7D52">
        <w:rPr>
          <w:rFonts w:ascii="Palatino Linotype" w:hAnsi="Palatino Linotype" w:cs="Arial"/>
        </w:rPr>
        <w:t>se advierte que</w:t>
      </w:r>
      <w:r w:rsidR="00076DB4" w:rsidRPr="005A7D52">
        <w:rPr>
          <w:rFonts w:ascii="Palatino Linotype" w:hAnsi="Palatino Linotype" w:cs="Arial"/>
        </w:rPr>
        <w:t>,</w:t>
      </w:r>
      <w:r w:rsidRPr="005A7D52">
        <w:rPr>
          <w:rFonts w:ascii="Palatino Linotype" w:hAnsi="Palatino Linotype" w:cs="Arial"/>
        </w:rPr>
        <w:t xml:space="preserve"> cuando los Ayuntamientos deban o tengan que realizar la adquisición, arrendamiento de un bien o contratación de servicios, deberán regular su actividad a través de las licitaciones públicas mediante convocatoria y conforme el procedimiento establecido en la ley de contratación, o bien, mediante invitación restringida o adjudicación directa.</w:t>
      </w:r>
    </w:p>
    <w:p w14:paraId="36C45B45" w14:textId="77777777" w:rsidR="00D908C3" w:rsidRPr="005A7D52" w:rsidRDefault="00D908C3" w:rsidP="00D908C3">
      <w:pPr>
        <w:spacing w:before="240" w:after="240" w:line="360" w:lineRule="auto"/>
        <w:jc w:val="both"/>
        <w:rPr>
          <w:rFonts w:ascii="Palatino Linotype" w:hAnsi="Palatino Linotype"/>
        </w:rPr>
      </w:pPr>
      <w:r w:rsidRPr="005A7D52">
        <w:rPr>
          <w:rFonts w:ascii="Palatino Linotype" w:hAnsi="Palatino Linotype" w:cs="Arial"/>
        </w:rPr>
        <w:t xml:space="preserve">El procedimiento de </w:t>
      </w:r>
      <w:r w:rsidRPr="005A7D52">
        <w:rPr>
          <w:rFonts w:ascii="Palatino Linotype" w:hAnsi="Palatino Linotype"/>
        </w:rPr>
        <w:t xml:space="preserve">adquisición, arrendamiento y servicios a través de invitación restringida, se sigue cuando </w:t>
      </w:r>
      <w:r w:rsidRPr="005A7D52">
        <w:rPr>
          <w:rFonts w:ascii="Palatino Linotype" w:hAnsi="Palatino Linotype" w:cs="Arial"/>
        </w:rPr>
        <w:t xml:space="preserve">se hubiese declarado desierto un procedimiento de licitación y el importe de la operación no exceda los montos establecidos en el presupuesto; mientras que el de adjudicación directa, cuando se trate </w:t>
      </w:r>
      <w:r w:rsidRPr="005A7D52">
        <w:rPr>
          <w:rFonts w:ascii="Palatino Linotype" w:hAnsi="Palatino Linotype"/>
        </w:rPr>
        <w:t xml:space="preserve">de servicios que requieran de experiencia, técnicas o equipos especiales, o se trate de la adquisición de bienes usados o de características especiales que solamente puedan ser prestados o suministrados por una sola persona. </w:t>
      </w:r>
    </w:p>
    <w:p w14:paraId="25EE3F15" w14:textId="77777777" w:rsidR="00D908C3" w:rsidRPr="005A7D52" w:rsidRDefault="00D908C3" w:rsidP="00D908C3">
      <w:pPr>
        <w:spacing w:before="240" w:after="240" w:line="360" w:lineRule="auto"/>
        <w:jc w:val="both"/>
        <w:rPr>
          <w:rFonts w:ascii="Palatino Linotype" w:hAnsi="Palatino Linotype"/>
        </w:rPr>
      </w:pPr>
      <w:r w:rsidRPr="005A7D52">
        <w:rPr>
          <w:rFonts w:ascii="Palatino Linotype" w:hAnsi="Palatino Linotype"/>
        </w:rPr>
        <w:lastRenderedPageBreak/>
        <w:t>Tras la adjudicación de bienes o servicios, el convocante y licitante están obligados a suscribir el contrato respectivo, dentro de los diez días hábiles siguientes a la notificación del fallo, en el que se establezcan los derechos y obligaciones, además de pactar las penas convencionales por incumplimiento de las obligaciones, la condición del precio fijo de conformidad con lo prescrito en los artículos 65, 66, 67 y 69 de la Ley en análisis.</w:t>
      </w:r>
    </w:p>
    <w:p w14:paraId="3FF6DA60" w14:textId="77777777" w:rsidR="00D908C3" w:rsidRPr="005A7D52" w:rsidRDefault="00D908C3" w:rsidP="00D908C3">
      <w:pPr>
        <w:spacing w:before="240" w:after="360" w:line="360" w:lineRule="auto"/>
        <w:jc w:val="both"/>
        <w:rPr>
          <w:rFonts w:ascii="Palatino Linotype" w:hAnsi="Palatino Linotype" w:cs="Arial"/>
        </w:rPr>
      </w:pPr>
      <w:r w:rsidRPr="005A7D52">
        <w:rPr>
          <w:rFonts w:ascii="Palatino Linotype" w:hAnsi="Palatino Linotype" w:cs="Arial"/>
        </w:rPr>
        <w:t>Aunado a lo anterior, de la lectura al contenido de la Sección Quinta, Capitulo Primero, Titulo Sexto del ya invocado Reglamento de la Ley de Contratación, se obtiene que el Comité</w:t>
      </w:r>
      <w:r w:rsidRPr="005A7D52">
        <w:rPr>
          <w:rStyle w:val="Refdenotaalpie"/>
          <w:rFonts w:ascii="Palatino Linotype" w:hAnsi="Palatino Linotype" w:cs="Arial"/>
        </w:rPr>
        <w:footnoteReference w:id="7"/>
      </w:r>
      <w:r w:rsidRPr="005A7D52">
        <w:rPr>
          <w:rFonts w:ascii="Palatino Linotype" w:hAnsi="Palatino Linotype" w:cs="Arial"/>
        </w:rPr>
        <w:t xml:space="preserve"> deberá llevar a cabo el análisis y evaluación cualitativa de las propuestas técnicas y económicas verificando que cumplan con los requisitos y lineamientos establecidos en las bases, de lo que derivará el dictamen de adjudicación que servirá de base para el fallo en el que se hará constar:</w:t>
      </w:r>
    </w:p>
    <w:p w14:paraId="631DEB69" w14:textId="77777777" w:rsidR="0019476D"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b/>
          <w:i/>
          <w:sz w:val="22"/>
          <w:szCs w:val="22"/>
        </w:rPr>
        <w:t>“Artículo 88.-</w:t>
      </w:r>
      <w:r w:rsidRPr="005A7D52">
        <w:rPr>
          <w:rFonts w:ascii="Palatino Linotype" w:hAnsi="Palatino Linotype"/>
          <w:i/>
          <w:sz w:val="22"/>
          <w:szCs w:val="22"/>
        </w:rPr>
        <w:t xml:space="preserve"> El comité de conformidad con el análisis s y la evaluación de las </w:t>
      </w:r>
    </w:p>
    <w:p w14:paraId="7C24753B" w14:textId="26D8B82A" w:rsidR="00D908C3" w:rsidRPr="005A7D52" w:rsidRDefault="00D908C3" w:rsidP="00744073">
      <w:pPr>
        <w:spacing w:before="120" w:after="120"/>
        <w:ind w:left="851" w:right="902"/>
        <w:jc w:val="both"/>
        <w:rPr>
          <w:rFonts w:ascii="Palatino Linotype" w:hAnsi="Palatino Linotype"/>
          <w:i/>
          <w:sz w:val="22"/>
          <w:szCs w:val="22"/>
        </w:rPr>
      </w:pPr>
      <w:r w:rsidRPr="005A7D52">
        <w:rPr>
          <w:rFonts w:ascii="Palatino Linotype" w:hAnsi="Palatino Linotype"/>
          <w:i/>
          <w:sz w:val="22"/>
          <w:szCs w:val="22"/>
        </w:rPr>
        <w:t xml:space="preserve">propuestas, formulará el dictamen de adjudicación que servirá de base para el fallo en el que se hará constar: </w:t>
      </w:r>
    </w:p>
    <w:p w14:paraId="1DB248E7"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 La reseña cronológica de los actos del procedimiento; </w:t>
      </w:r>
    </w:p>
    <w:p w14:paraId="5BA3921E" w14:textId="77777777" w:rsidR="00D908C3" w:rsidRPr="005A7D52" w:rsidRDefault="00D908C3" w:rsidP="00744073">
      <w:pPr>
        <w:spacing w:before="120" w:after="120"/>
        <w:ind w:left="1134" w:right="902"/>
        <w:jc w:val="both"/>
        <w:rPr>
          <w:rFonts w:ascii="Palatino Linotype" w:hAnsi="Palatino Linotype"/>
          <w:i/>
          <w:sz w:val="22"/>
          <w:szCs w:val="22"/>
        </w:rPr>
      </w:pPr>
      <w:r w:rsidRPr="005A7D52">
        <w:rPr>
          <w:rFonts w:ascii="Palatino Linotype" w:hAnsi="Palatino Linotype"/>
          <w:i/>
          <w:sz w:val="22"/>
          <w:szCs w:val="22"/>
        </w:rPr>
        <w:t xml:space="preserve">II. El análisis de las propuestas, invocando las razones y el fundamento de su desechamiento o descalificación, así como el señalamiento de las que han sido aceptadas; y </w:t>
      </w:r>
    </w:p>
    <w:p w14:paraId="2D297EB0" w14:textId="77777777" w:rsidR="00D908C3" w:rsidRPr="005A7D52" w:rsidRDefault="00D908C3" w:rsidP="00744073">
      <w:pPr>
        <w:spacing w:before="120" w:after="120"/>
        <w:ind w:left="1134" w:right="902"/>
        <w:jc w:val="both"/>
        <w:rPr>
          <w:rFonts w:ascii="Palatino Linotype" w:hAnsi="Palatino Linotype" w:cs="Arial"/>
          <w:i/>
          <w:sz w:val="22"/>
          <w:szCs w:val="22"/>
        </w:rPr>
      </w:pPr>
      <w:r w:rsidRPr="005A7D52">
        <w:rPr>
          <w:rFonts w:ascii="Palatino Linotype" w:hAnsi="Palatino Linotype"/>
          <w:i/>
          <w:sz w:val="22"/>
          <w:szCs w:val="22"/>
        </w:rPr>
        <w:t>III. La adjudicación se efectuará a favor del licitante que de entre los participantes reúna los requisitos solicitados en las bases y haya ofrecido las mejores condiciones para la convocante.”</w:t>
      </w:r>
    </w:p>
    <w:p w14:paraId="20F417F1" w14:textId="43314CD2" w:rsidR="005241CD" w:rsidRPr="005A7D52" w:rsidRDefault="00D908C3" w:rsidP="005241CD">
      <w:pPr>
        <w:spacing w:before="240" w:after="240" w:line="360" w:lineRule="auto"/>
        <w:jc w:val="both"/>
        <w:rPr>
          <w:rFonts w:ascii="Palatino Linotype" w:hAnsi="Palatino Linotype"/>
          <w:lang w:val="es-MX" w:eastAsia="es-MX"/>
        </w:rPr>
      </w:pPr>
      <w:r w:rsidRPr="005A7D52">
        <w:rPr>
          <w:rFonts w:ascii="Palatino Linotype" w:hAnsi="Palatino Linotype" w:cs="Arial"/>
        </w:rPr>
        <w:lastRenderedPageBreak/>
        <w:t>Por lo que en aras de privilegiar el derecho de acceso a la información y toda vez que los recursos económicos de los municipios, deben ser administrados con eficiencia, eficacia y honradez, para cumplir con los objetivos y programas a los que estén destinados, en términos del artículo 129 de la Constitución Política del Estado Libre y Soberano de México, resulta procedente ordenar</w:t>
      </w:r>
      <w:r w:rsidR="00744073" w:rsidRPr="005A7D52">
        <w:rPr>
          <w:rFonts w:ascii="Palatino Linotype" w:hAnsi="Palatino Linotype" w:cs="Arial"/>
        </w:rPr>
        <w:t xml:space="preserve"> </w:t>
      </w:r>
      <w:r w:rsidR="005241CD" w:rsidRPr="005A7D52">
        <w:rPr>
          <w:rFonts w:ascii="Palatino Linotype" w:hAnsi="Palatino Linotype" w:cs="Arial"/>
        </w:rPr>
        <w:t xml:space="preserve">la entrega </w:t>
      </w:r>
      <w:r w:rsidR="0055407C" w:rsidRPr="005A7D52">
        <w:rPr>
          <w:rFonts w:ascii="Palatino Linotype" w:hAnsi="Palatino Linotype" w:cs="Arial"/>
        </w:rPr>
        <w:t xml:space="preserve">en versión pública, </w:t>
      </w:r>
      <w:r w:rsidR="005241CD" w:rsidRPr="005A7D52">
        <w:rPr>
          <w:rFonts w:ascii="Palatino Linotype" w:hAnsi="Palatino Linotype" w:cs="Arial"/>
        </w:rPr>
        <w:t xml:space="preserve">de los contratos de </w:t>
      </w:r>
      <w:r w:rsidR="005241CD" w:rsidRPr="005A7D52">
        <w:rPr>
          <w:rFonts w:ascii="Palatino Linotype" w:hAnsi="Palatino Linotype"/>
          <w:lang w:val="es-MX" w:eastAsia="es-MX"/>
        </w:rPr>
        <w:t>aviones y helicópteros privados, taxis aéreos, así como</w:t>
      </w:r>
      <w:r w:rsidR="009A5EA7" w:rsidRPr="005A7D52">
        <w:rPr>
          <w:rFonts w:ascii="Palatino Linotype" w:hAnsi="Palatino Linotype"/>
          <w:lang w:val="es-MX" w:eastAsia="es-MX"/>
        </w:rPr>
        <w:t xml:space="preserve"> los contratos y convenios que den cuenta de las erogaciones por concepto de </w:t>
      </w:r>
      <w:r w:rsidR="005241CD" w:rsidRPr="005A7D52">
        <w:rPr>
          <w:rFonts w:ascii="Palatino Linotype" w:hAnsi="Palatino Linotype"/>
          <w:lang w:val="es-MX" w:eastAsia="es-MX"/>
        </w:rPr>
        <w:t xml:space="preserve"> pago a pilotos, compra de turbosina y mantenimiento </w:t>
      </w:r>
      <w:r w:rsidR="009A5EA7" w:rsidRPr="005A7D52">
        <w:rPr>
          <w:rFonts w:ascii="Palatino Linotype" w:hAnsi="Palatino Linotype"/>
          <w:lang w:val="es-MX" w:eastAsia="es-MX"/>
        </w:rPr>
        <w:t>de</w:t>
      </w:r>
      <w:r w:rsidR="005241CD" w:rsidRPr="005A7D52">
        <w:rPr>
          <w:rFonts w:ascii="Palatino Linotype" w:hAnsi="Palatino Linotype"/>
          <w:lang w:val="es-MX" w:eastAsia="es-MX"/>
        </w:rPr>
        <w:t xml:space="preserve"> aeronaves, </w:t>
      </w:r>
      <w:r w:rsidR="0055407C" w:rsidRPr="005A7D52">
        <w:rPr>
          <w:rFonts w:ascii="Palatino Linotype" w:hAnsi="Palatino Linotype"/>
          <w:lang w:val="es-MX" w:eastAsia="es-MX"/>
        </w:rPr>
        <w:t>incluyendo</w:t>
      </w:r>
      <w:r w:rsidR="005241CD" w:rsidRPr="005A7D52">
        <w:rPr>
          <w:rFonts w:ascii="Palatino Linotype" w:hAnsi="Palatino Linotype"/>
          <w:lang w:val="es-MX" w:eastAsia="es-MX"/>
        </w:rPr>
        <w:t xml:space="preserve"> nombre de proveedor, cantidad y concepto</w:t>
      </w:r>
      <w:r w:rsidR="0055407C" w:rsidRPr="005A7D52">
        <w:rPr>
          <w:rFonts w:ascii="Palatino Linotype" w:hAnsi="Palatino Linotype"/>
          <w:lang w:val="es-MX" w:eastAsia="es-MX"/>
        </w:rPr>
        <w:t>.</w:t>
      </w:r>
    </w:p>
    <w:p w14:paraId="70459AD6" w14:textId="44AAD0B5" w:rsidR="0084454E" w:rsidRPr="005A7D52" w:rsidRDefault="0084454E" w:rsidP="0084454E">
      <w:pPr>
        <w:spacing w:before="240" w:after="240" w:line="360" w:lineRule="auto"/>
        <w:jc w:val="both"/>
        <w:rPr>
          <w:rFonts w:ascii="Palatino Linotype" w:hAnsi="Palatino Linotype"/>
          <w:szCs w:val="22"/>
        </w:rPr>
      </w:pPr>
      <w:r w:rsidRPr="005A7D52">
        <w:rPr>
          <w:rFonts w:ascii="Palatino Linotype" w:hAnsi="Palatino Linotype"/>
        </w:rPr>
        <w:t xml:space="preserve">Finalmente, se menciona que no pasa desapercibido para este Órgano Garante el particular, al no ser experto en la materia omitió señalar de manera concreta el o los documentos a los que pretende acceder, lo cierto es que es obligación del sujeto obligado dar a la solicitud una interpretación que le dé una expresión documental, por tal motivo, </w:t>
      </w:r>
      <w:r w:rsidRPr="005A7D52">
        <w:rPr>
          <w:rFonts w:ascii="Palatino Linotype" w:hAnsi="Palatino Linotype"/>
          <w:szCs w:val="22"/>
        </w:rPr>
        <w:t xml:space="preserve">privilegiando el principio de máxima publicidad, se deberá proceder a la entrega de los documentos, que hubiere generado en el </w:t>
      </w:r>
      <w:r w:rsidRPr="005A7D52">
        <w:rPr>
          <w:rFonts w:ascii="Palatino Linotype" w:hAnsi="Palatino Linotype"/>
        </w:rPr>
        <w:t>ejercicio de sus facultades o actividad sin importar su fuente o fecha de elaboración, en los que obre la información que le fue requerida al mayor grado de desagregación posible.</w:t>
      </w:r>
    </w:p>
    <w:p w14:paraId="3951EE24" w14:textId="77777777" w:rsidR="0084454E" w:rsidRPr="005A7D52" w:rsidRDefault="0084454E" w:rsidP="0084454E">
      <w:pPr>
        <w:pStyle w:val="Sinespaciado"/>
        <w:spacing w:before="240" w:after="240" w:line="360" w:lineRule="auto"/>
        <w:jc w:val="both"/>
        <w:rPr>
          <w:rFonts w:ascii="Palatino Linotype" w:hAnsi="Palatino Linotype"/>
        </w:rPr>
      </w:pPr>
      <w:r w:rsidRPr="005A7D52">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1729B239" w14:textId="77777777" w:rsidR="0084454E" w:rsidRPr="005A7D52" w:rsidRDefault="0084454E" w:rsidP="0084454E">
      <w:pPr>
        <w:pStyle w:val="Prrafodelista"/>
        <w:spacing w:after="120"/>
        <w:ind w:left="851" w:right="902"/>
        <w:jc w:val="both"/>
        <w:rPr>
          <w:rFonts w:ascii="Palatino Linotype" w:hAnsi="Palatino Linotype" w:cs="Arial"/>
          <w:sz w:val="22"/>
          <w:szCs w:val="20"/>
        </w:rPr>
      </w:pPr>
      <w:r w:rsidRPr="005A7D52">
        <w:rPr>
          <w:sz w:val="22"/>
          <w:szCs w:val="20"/>
        </w:rPr>
        <w:t xml:space="preserve"> “</w:t>
      </w:r>
      <w:r w:rsidRPr="005A7D52">
        <w:rPr>
          <w:rFonts w:ascii="Palatino Linotype" w:hAnsi="Palatino Linotype" w:cs="Arial"/>
          <w:b/>
          <w:bCs/>
          <w:i/>
          <w:sz w:val="22"/>
          <w:szCs w:val="20"/>
        </w:rPr>
        <w:t xml:space="preserve">Expresión documental. </w:t>
      </w:r>
      <w:r w:rsidRPr="005A7D52">
        <w:rPr>
          <w:rFonts w:ascii="Palatino Linotype" w:hAnsi="Palatino Linotype" w:cs="Arial"/>
          <w:bCs/>
          <w:i/>
          <w:sz w:val="22"/>
          <w:szCs w:val="20"/>
        </w:rPr>
        <w:t>Cuando</w:t>
      </w:r>
      <w:r w:rsidRPr="005A7D52">
        <w:rPr>
          <w:rFonts w:ascii="Palatino Linotype" w:hAnsi="Palatino Linotype" w:cs="Arial"/>
          <w:i/>
          <w:sz w:val="22"/>
          <w:szCs w:val="20"/>
        </w:rPr>
        <w:t xml:space="preserve"> los particulares presenten solicitudes de acceso a la información sin identificar de forma precisa la documentación que </w:t>
      </w:r>
      <w:r w:rsidRPr="005A7D52">
        <w:rPr>
          <w:rFonts w:ascii="Palatino Linotype" w:hAnsi="Palatino Linotype" w:cs="Arial"/>
          <w:i/>
          <w:sz w:val="22"/>
          <w:szCs w:val="20"/>
        </w:rPr>
        <w:lastRenderedPageBreak/>
        <w:t>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5A6F1B3" w14:textId="77777777" w:rsidR="0084454E" w:rsidRPr="005A7D52" w:rsidRDefault="0084454E" w:rsidP="0084454E">
      <w:pPr>
        <w:spacing w:line="360" w:lineRule="auto"/>
        <w:jc w:val="both"/>
        <w:rPr>
          <w:rFonts w:ascii="Palatino Linotype" w:eastAsia="Calibri" w:hAnsi="Palatino Linotype" w:cs="Arial"/>
          <w:lang w:val="es-MX"/>
        </w:rPr>
      </w:pPr>
      <w:r w:rsidRPr="005A7D52">
        <w:rPr>
          <w:rFonts w:ascii="Palatino Linotype" w:hAnsi="Palatino Linotype" w:cs="Arial"/>
        </w:rPr>
        <w:t xml:space="preserve">Lo anterior en virtud de que el sujeto obligado </w:t>
      </w:r>
      <w:r w:rsidRPr="005A7D52">
        <w:rPr>
          <w:rFonts w:ascii="Palatino Linotype" w:eastAsia="Calibri" w:hAnsi="Palatino Linotype" w:cs="Arial"/>
          <w:lang w:val="es-MX"/>
        </w:rPr>
        <w:t xml:space="preserve">se encuentra constreñido a documentar todo acto que derive del ejercicio </w:t>
      </w:r>
      <w:r w:rsidRPr="005A7D52">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5A7D52">
        <w:rPr>
          <w:rFonts w:ascii="Palatino Linotype" w:eastAsia="Calibri" w:hAnsi="Palatino Linotype" w:cs="Arial"/>
          <w:lang w:val="es-MX"/>
        </w:rPr>
        <w:t>18, 24 fracción XXII y 160 párrafo primero de la Ley de la Materia, que son del tenor literal siguiente:</w:t>
      </w:r>
    </w:p>
    <w:p w14:paraId="60933452" w14:textId="77777777" w:rsidR="0084454E" w:rsidRPr="005A7D52" w:rsidRDefault="0084454E" w:rsidP="0084454E">
      <w:pPr>
        <w:pStyle w:val="Textonotapie"/>
        <w:spacing w:before="120" w:after="120"/>
        <w:ind w:left="851" w:right="902"/>
        <w:jc w:val="both"/>
        <w:rPr>
          <w:rFonts w:ascii="Palatino Linotype" w:hAnsi="Palatino Linotype"/>
          <w:i/>
          <w:iCs/>
          <w:sz w:val="22"/>
          <w:szCs w:val="22"/>
        </w:rPr>
      </w:pPr>
      <w:r w:rsidRPr="005A7D52">
        <w:rPr>
          <w:rFonts w:ascii="Palatino Linotype" w:hAnsi="Palatino Linotype"/>
          <w:b/>
          <w:i/>
          <w:iCs/>
          <w:sz w:val="22"/>
          <w:szCs w:val="22"/>
        </w:rPr>
        <w:t>“Artículo 18</w:t>
      </w:r>
      <w:r w:rsidRPr="005A7D52">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0A4B14E5" w14:textId="77777777" w:rsidR="0084454E" w:rsidRPr="005A7D52" w:rsidRDefault="0084454E" w:rsidP="0084454E">
      <w:pPr>
        <w:pStyle w:val="Textonotapie"/>
        <w:spacing w:before="120" w:after="120"/>
        <w:ind w:left="851" w:right="902"/>
        <w:jc w:val="both"/>
        <w:rPr>
          <w:rFonts w:ascii="Palatino Linotype" w:hAnsi="Palatino Linotype"/>
          <w:i/>
          <w:iCs/>
          <w:sz w:val="22"/>
          <w:szCs w:val="22"/>
        </w:rPr>
      </w:pPr>
      <w:r w:rsidRPr="005A7D52">
        <w:rPr>
          <w:rFonts w:ascii="Palatino Linotype" w:hAnsi="Palatino Linotype"/>
          <w:i/>
          <w:iCs/>
          <w:sz w:val="22"/>
          <w:szCs w:val="22"/>
        </w:rPr>
        <w:t>…</w:t>
      </w:r>
    </w:p>
    <w:p w14:paraId="7D6D4644" w14:textId="77777777" w:rsidR="0084454E" w:rsidRPr="005A7D52" w:rsidRDefault="0084454E" w:rsidP="0084454E">
      <w:pPr>
        <w:pStyle w:val="Textonotapie"/>
        <w:spacing w:before="120" w:after="120"/>
        <w:ind w:left="851" w:right="902"/>
        <w:jc w:val="both"/>
        <w:rPr>
          <w:rFonts w:ascii="Palatino Linotype" w:hAnsi="Palatino Linotype"/>
          <w:i/>
          <w:iCs/>
          <w:sz w:val="22"/>
          <w:szCs w:val="22"/>
        </w:rPr>
      </w:pPr>
      <w:r w:rsidRPr="005A7D52">
        <w:rPr>
          <w:rFonts w:ascii="Palatino Linotype" w:hAnsi="Palatino Linotype"/>
          <w:b/>
          <w:i/>
          <w:iCs/>
          <w:sz w:val="22"/>
          <w:szCs w:val="22"/>
        </w:rPr>
        <w:t>Artículo 24.</w:t>
      </w:r>
      <w:r w:rsidRPr="005A7D52">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642D9DEE" w14:textId="77777777" w:rsidR="0084454E" w:rsidRPr="005A7D52" w:rsidRDefault="0084454E" w:rsidP="0084454E">
      <w:pPr>
        <w:pStyle w:val="Textonotapie"/>
        <w:spacing w:before="120" w:after="120"/>
        <w:ind w:left="1134" w:right="902"/>
        <w:jc w:val="both"/>
        <w:rPr>
          <w:rFonts w:ascii="Palatino Linotype" w:hAnsi="Palatino Linotype"/>
          <w:i/>
          <w:iCs/>
          <w:sz w:val="22"/>
          <w:szCs w:val="22"/>
        </w:rPr>
      </w:pPr>
      <w:r w:rsidRPr="005A7D52">
        <w:rPr>
          <w:rFonts w:ascii="Palatino Linotype" w:hAnsi="Palatino Linotype"/>
          <w:b/>
          <w:i/>
          <w:iCs/>
          <w:sz w:val="22"/>
          <w:szCs w:val="22"/>
        </w:rPr>
        <w:t>XXII.</w:t>
      </w:r>
      <w:r w:rsidRPr="005A7D52">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45109DC9" w14:textId="77777777" w:rsidR="0084454E" w:rsidRPr="005A7D52" w:rsidRDefault="0084454E" w:rsidP="0084454E">
      <w:pPr>
        <w:spacing w:before="120" w:after="120"/>
        <w:ind w:left="851" w:right="902"/>
        <w:jc w:val="both"/>
        <w:rPr>
          <w:rFonts w:ascii="Palatino Linotype" w:hAnsi="Palatino Linotype"/>
          <w:b/>
          <w:i/>
          <w:iCs/>
          <w:sz w:val="22"/>
          <w:szCs w:val="22"/>
        </w:rPr>
      </w:pPr>
      <w:r w:rsidRPr="005A7D52">
        <w:rPr>
          <w:rFonts w:ascii="Palatino Linotype" w:hAnsi="Palatino Linotype"/>
          <w:b/>
          <w:i/>
          <w:iCs/>
          <w:sz w:val="22"/>
          <w:szCs w:val="22"/>
        </w:rPr>
        <w:t>…</w:t>
      </w:r>
    </w:p>
    <w:p w14:paraId="2981F832" w14:textId="77777777" w:rsidR="0084454E" w:rsidRPr="005A7D52" w:rsidRDefault="0084454E" w:rsidP="0084454E">
      <w:pPr>
        <w:spacing w:before="120" w:after="120"/>
        <w:ind w:left="851" w:right="902"/>
        <w:jc w:val="both"/>
        <w:rPr>
          <w:rFonts w:ascii="Palatino Linotype" w:eastAsia="Calibri" w:hAnsi="Palatino Linotype" w:cs="Arial"/>
          <w:i/>
          <w:iCs/>
          <w:sz w:val="36"/>
          <w:szCs w:val="36"/>
          <w:lang w:val="es-MX"/>
        </w:rPr>
      </w:pPr>
      <w:r w:rsidRPr="005A7D52">
        <w:rPr>
          <w:rFonts w:ascii="Palatino Linotype" w:hAnsi="Palatino Linotype"/>
          <w:b/>
          <w:i/>
          <w:iCs/>
          <w:sz w:val="22"/>
          <w:szCs w:val="22"/>
        </w:rPr>
        <w:t>Artículo 160</w:t>
      </w:r>
      <w:r w:rsidRPr="005A7D52">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bookmarkEnd w:id="6"/>
    <w:p w14:paraId="0FF9890D" w14:textId="56D3480C" w:rsidR="00286E94" w:rsidRPr="005A7D52" w:rsidRDefault="00286E94" w:rsidP="00286E94">
      <w:pPr>
        <w:autoSpaceDE w:val="0"/>
        <w:autoSpaceDN w:val="0"/>
        <w:adjustRightInd w:val="0"/>
        <w:spacing w:before="240" w:after="240" w:line="360" w:lineRule="auto"/>
        <w:ind w:right="51"/>
        <w:jc w:val="both"/>
        <w:rPr>
          <w:rFonts w:ascii="Palatino Linotype" w:hAnsi="Palatino Linotype"/>
          <w:bCs/>
        </w:rPr>
      </w:pPr>
      <w:r w:rsidRPr="005A7D52">
        <w:rPr>
          <w:rFonts w:ascii="Palatino Linotype" w:hAnsi="Palatino Linotype"/>
          <w:bCs/>
        </w:rPr>
        <w:t xml:space="preserve">Sin contrariar lo anterior, si derivado de la búsqueda que se ordena, no llega a localizar información relacionado con los contratos que se solicitan, por no haberse generado, dado que la contracción de servicios por parte de los sujetos obligados </w:t>
      </w:r>
      <w:r w:rsidRPr="005A7D52">
        <w:rPr>
          <w:rFonts w:ascii="Palatino Linotype" w:hAnsi="Palatino Linotype"/>
          <w:bCs/>
        </w:rPr>
        <w:lastRenderedPageBreak/>
        <w:t>atiende a una facultad potestativa, bastará con que así lo haga del conocimiento del particular para tener por atendido dicho requerimiento.</w:t>
      </w:r>
    </w:p>
    <w:p w14:paraId="0AC6ACFB" w14:textId="4EB983A5" w:rsidR="00A063F5" w:rsidRPr="005A7D52" w:rsidRDefault="00740EFF" w:rsidP="00A063F5">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sidRPr="005A7D52">
        <w:rPr>
          <w:rFonts w:ascii="Palatino Linotype" w:hAnsi="Palatino Linotype"/>
          <w:b/>
        </w:rPr>
        <w:t>Quinto. Versión Pública.</w:t>
      </w:r>
      <w:r w:rsidRPr="005A7D52">
        <w:rPr>
          <w:rFonts w:ascii="Palatino Linotype" w:hAnsi="Palatino Linotype" w:cs="Arial"/>
          <w:bCs/>
          <w:sz w:val="28"/>
        </w:rPr>
        <w:t xml:space="preserve"> </w:t>
      </w:r>
      <w:r w:rsidR="00A063F5" w:rsidRPr="005A7D52">
        <w:rPr>
          <w:rFonts w:ascii="Palatino Linotype" w:eastAsiaTheme="minorEastAsia" w:hAnsi="Palatino Linotype" w:cs="Bookman Old Style"/>
          <w:lang w:val="es-MX"/>
        </w:rPr>
        <w:t>Por último, cabe señalar que respecto a la versión pública de los documentos que contenga la información solicitada, el Comité de Transparencia del Sujeto Obligado, deberá emitir el acuerdo de clasificación de información reservada con fundamento en el artículo 3 y 143 de la Ley de Transparencia y Acceso a la Información Pública del Estado de México, que establece lo siguiente respecto a los datos personales:</w:t>
      </w:r>
    </w:p>
    <w:p w14:paraId="02E6BD61" w14:textId="77777777" w:rsidR="00A063F5" w:rsidRPr="005A7D52"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
          <w:b/>
          <w:i/>
          <w:sz w:val="22"/>
          <w:szCs w:val="22"/>
          <w:lang w:val="es-MX"/>
        </w:rPr>
        <w:t xml:space="preserve">“Artículo 3. </w:t>
      </w:r>
      <w:r w:rsidRPr="005A7D52">
        <w:rPr>
          <w:rFonts w:ascii="Palatino Linotype" w:eastAsiaTheme="minorEastAsia" w:hAnsi="Palatino Linotype" w:cs="Bookman Old Style"/>
          <w:i/>
          <w:sz w:val="22"/>
          <w:szCs w:val="22"/>
          <w:lang w:val="es-MX"/>
        </w:rPr>
        <w:t>Para los efectos de la presente Ley se entenderá por:</w:t>
      </w:r>
    </w:p>
    <w:p w14:paraId="68FBDB72" w14:textId="77777777" w:rsidR="00A063F5" w:rsidRPr="005A7D52"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
          <w:b/>
          <w:i/>
          <w:sz w:val="22"/>
          <w:szCs w:val="22"/>
          <w:lang w:val="es-MX"/>
        </w:rPr>
        <w:t>(…</w:t>
      </w:r>
      <w:r w:rsidRPr="005A7D52">
        <w:rPr>
          <w:rFonts w:ascii="Palatino Linotype" w:eastAsiaTheme="minorEastAsia" w:hAnsi="Palatino Linotype" w:cs="Bookman Old Style"/>
          <w:i/>
          <w:sz w:val="22"/>
          <w:szCs w:val="22"/>
          <w:lang w:val="es-MX"/>
        </w:rPr>
        <w:t>)</w:t>
      </w:r>
    </w:p>
    <w:p w14:paraId="211EA0E0" w14:textId="77777777" w:rsidR="00A063F5" w:rsidRPr="005A7D52"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 xml:space="preserve">IX. Datos personales: </w:t>
      </w:r>
      <w:r w:rsidRPr="005A7D52">
        <w:rPr>
          <w:rFonts w:ascii="Palatino Linotype" w:eastAsiaTheme="minorEastAsia" w:hAnsi="Palatino Linotype" w:cs="Bookman Old Style"/>
          <w:i/>
          <w:sz w:val="22"/>
          <w:szCs w:val="22"/>
          <w:lang w:val="es-MX"/>
        </w:rPr>
        <w:t>La información concerniente a una persona, identificada o identificable según lo dispuesto por la Ley de Protección de Datos Personales del Estado de México;</w:t>
      </w:r>
    </w:p>
    <w:p w14:paraId="2F0E708A" w14:textId="77777777" w:rsidR="00A063F5" w:rsidRPr="005A7D52" w:rsidRDefault="00A063F5" w:rsidP="00A063F5">
      <w:pPr>
        <w:autoSpaceDE w:val="0"/>
        <w:autoSpaceDN w:val="0"/>
        <w:adjustRightInd w:val="0"/>
        <w:spacing w:before="12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w:t>
      </w:r>
      <w:r w:rsidRPr="005A7D52">
        <w:rPr>
          <w:rFonts w:ascii="Palatino Linotype" w:eastAsiaTheme="minorEastAsia" w:hAnsi="Palatino Linotype" w:cs="Bookman Old Style"/>
          <w:i/>
          <w:sz w:val="22"/>
          <w:szCs w:val="22"/>
          <w:lang w:val="es-MX"/>
        </w:rPr>
        <w:t>).”</w:t>
      </w:r>
    </w:p>
    <w:p w14:paraId="58003CB1" w14:textId="77777777" w:rsidR="00A063F5" w:rsidRPr="005A7D52" w:rsidRDefault="00A063F5" w:rsidP="00A063F5">
      <w:pPr>
        <w:autoSpaceDE w:val="0"/>
        <w:autoSpaceDN w:val="0"/>
        <w:adjustRightInd w:val="0"/>
        <w:ind w:left="851" w:right="900"/>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 xml:space="preserve">“Artículo 143. </w:t>
      </w:r>
      <w:r w:rsidRPr="005A7D52">
        <w:rPr>
          <w:rFonts w:ascii="Palatino Linotype" w:eastAsiaTheme="minorEastAsia" w:hAnsi="Palatino Linotype" w:cs="Bookman Old Style"/>
          <w:i/>
          <w:sz w:val="22"/>
          <w:szCs w:val="22"/>
          <w:lang w:val="es-MX"/>
        </w:rPr>
        <w:t>Para los efectos de esta Ley se considera información confidencial, la clasificada como tal, de manera permanente, por su naturaleza, cuando:</w:t>
      </w:r>
    </w:p>
    <w:p w14:paraId="1C2534FC" w14:textId="77777777" w:rsidR="00A063F5" w:rsidRPr="005A7D52"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 xml:space="preserve">I. </w:t>
      </w:r>
      <w:r w:rsidRPr="005A7D52">
        <w:rPr>
          <w:rFonts w:ascii="Palatino Linotype" w:eastAsiaTheme="minorEastAsia" w:hAnsi="Palatino Linotype" w:cs="Bookman Old Style"/>
          <w:i/>
          <w:sz w:val="22"/>
          <w:szCs w:val="22"/>
          <w:lang w:val="es-MX"/>
        </w:rPr>
        <w:t>Se refiera a la información privada y los datos personales concernientes a una persona física o jurídico colectiva identificada o identificable;</w:t>
      </w:r>
    </w:p>
    <w:p w14:paraId="5A6E637D" w14:textId="77777777" w:rsidR="00A063F5" w:rsidRPr="005A7D52"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 xml:space="preserve">II. </w:t>
      </w:r>
      <w:r w:rsidRPr="005A7D52">
        <w:rPr>
          <w:rFonts w:ascii="Palatino Linotype" w:eastAsiaTheme="minorEastAsia" w:hAnsi="Palatino Linotype" w:cs="Bookman Old Style"/>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57EB983D" w14:textId="77777777" w:rsidR="00A063F5" w:rsidRPr="005A7D52" w:rsidRDefault="00A063F5" w:rsidP="00A063F5">
      <w:pPr>
        <w:autoSpaceDE w:val="0"/>
        <w:autoSpaceDN w:val="0"/>
        <w:adjustRightInd w:val="0"/>
        <w:ind w:left="1134" w:right="900"/>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Bold"/>
          <w:b/>
          <w:bCs/>
          <w:i/>
          <w:sz w:val="22"/>
          <w:szCs w:val="22"/>
          <w:lang w:val="es-MX"/>
        </w:rPr>
        <w:t xml:space="preserve">III. </w:t>
      </w:r>
      <w:r w:rsidRPr="005A7D52">
        <w:rPr>
          <w:rFonts w:ascii="Palatino Linotype" w:eastAsiaTheme="minorEastAsia" w:hAnsi="Palatino Linotype" w:cs="Bookman Old Style"/>
          <w:i/>
          <w:sz w:val="22"/>
          <w:szCs w:val="22"/>
          <w:lang w:val="es-MX"/>
        </w:rPr>
        <w:t>La que presenten los particulares a los sujetos obligados, de conformidad con lo dispuesto por las leyes o los tratados internacionales.</w:t>
      </w:r>
    </w:p>
    <w:p w14:paraId="043C303C" w14:textId="77777777" w:rsidR="00A063F5" w:rsidRPr="005A7D52"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
          <w:i/>
          <w:sz w:val="22"/>
          <w:szCs w:val="22"/>
          <w:lang w:val="es-MX"/>
        </w:rPr>
        <w:t>La información confidencial no estará sujeta a temporalidad alguna y sólo podrán tener acceso a ella los titulares de la misma, sus representantes y los servidores públicos facultados para ello.</w:t>
      </w:r>
    </w:p>
    <w:p w14:paraId="141319A2" w14:textId="77777777" w:rsidR="00A063F5" w:rsidRPr="005A7D52" w:rsidRDefault="00A063F5" w:rsidP="00A063F5">
      <w:pPr>
        <w:autoSpaceDE w:val="0"/>
        <w:autoSpaceDN w:val="0"/>
        <w:adjustRightInd w:val="0"/>
        <w:spacing w:before="240" w:after="240"/>
        <w:ind w:left="851" w:right="902"/>
        <w:jc w:val="both"/>
        <w:rPr>
          <w:rFonts w:ascii="Palatino Linotype" w:eastAsiaTheme="minorEastAsia" w:hAnsi="Palatino Linotype" w:cs="Bookman Old Style"/>
          <w:i/>
          <w:sz w:val="22"/>
          <w:szCs w:val="22"/>
          <w:lang w:val="es-MX"/>
        </w:rPr>
      </w:pPr>
      <w:r w:rsidRPr="005A7D52">
        <w:rPr>
          <w:rFonts w:ascii="Palatino Linotype" w:eastAsiaTheme="minorEastAsia" w:hAnsi="Palatino Linotype" w:cs="Bookman Old Style"/>
          <w:i/>
          <w:sz w:val="22"/>
          <w:szCs w:val="22"/>
          <w:lang w:val="es-MX"/>
        </w:rPr>
        <w:lastRenderedPageBreak/>
        <w:t>No se considerará confidencial la información que se encuentre en los registros públicos o en fuentes de acceso público, ni tampoco la que sea considerada por la presente ley como información pública.”</w:t>
      </w:r>
    </w:p>
    <w:p w14:paraId="3BCB194B" w14:textId="77777777" w:rsidR="00A063F5" w:rsidRPr="005A7D52" w:rsidRDefault="00A063F5" w:rsidP="00A063F5">
      <w:pPr>
        <w:pStyle w:val="Sinespaciado"/>
        <w:spacing w:before="240" w:after="240" w:line="360" w:lineRule="auto"/>
        <w:jc w:val="both"/>
        <w:rPr>
          <w:rFonts w:ascii="Palatino Linotype" w:hAnsi="Palatino Linotype" w:cs="Arial"/>
        </w:rPr>
      </w:pPr>
      <w:r w:rsidRPr="005A7D52">
        <w:rPr>
          <w:rFonts w:ascii="Palatino Linotype" w:hAnsi="Palatino Linotype" w:cs="Arial"/>
        </w:rPr>
        <w:t xml:space="preserve">En el caso específico, en la documentación en la cual podría constar la información solicitada, podría advertirse información confidencial que haga identificada o identificable a una persona, la cual de manera enunciativa más no limitativa podría ser el </w:t>
      </w:r>
      <w:r w:rsidRPr="005A7D52">
        <w:rPr>
          <w:rFonts w:ascii="Palatino Linotype" w:hAnsi="Palatino Linotype" w:cs="Arial"/>
          <w:b/>
        </w:rPr>
        <w:t>Registro Federal de Contribuyentes</w:t>
      </w:r>
      <w:r w:rsidRPr="005A7D52">
        <w:rPr>
          <w:rFonts w:ascii="Palatino Linotype" w:hAnsi="Palatino Linotype" w:cs="Arial"/>
        </w:rPr>
        <w:t xml:space="preserve"> (RFC), la </w:t>
      </w:r>
      <w:r w:rsidRPr="005A7D52">
        <w:rPr>
          <w:rFonts w:ascii="Palatino Linotype" w:hAnsi="Palatino Linotype" w:cs="Arial"/>
          <w:b/>
        </w:rPr>
        <w:t>Clave Única de Registro de Población</w:t>
      </w:r>
      <w:r w:rsidRPr="005A7D52">
        <w:rPr>
          <w:rFonts w:ascii="Palatino Linotype" w:hAnsi="Palatino Linotype" w:cs="Arial"/>
        </w:rPr>
        <w:t xml:space="preserve"> (CURP), </w:t>
      </w:r>
      <w:r w:rsidRPr="005A7D52">
        <w:rPr>
          <w:rFonts w:ascii="Palatino Linotype" w:hAnsi="Palatino Linotype" w:cs="Arial"/>
          <w:b/>
        </w:rPr>
        <w:t>Clave de cualquier tipo de seguridad social</w:t>
      </w:r>
      <w:r w:rsidRPr="005A7D52">
        <w:rPr>
          <w:rFonts w:ascii="Palatino Linotype" w:hAnsi="Palatino Linotype" w:cs="Arial"/>
        </w:rPr>
        <w:t xml:space="preserve"> (ISSEMYM, u otros) </w:t>
      </w:r>
      <w:r w:rsidRPr="005A7D52">
        <w:rPr>
          <w:rFonts w:ascii="Palatino Linotype" w:hAnsi="Palatino Linotype" w:cs="Arial"/>
          <w:b/>
        </w:rPr>
        <w:t>Código QR</w:t>
      </w:r>
      <w:r w:rsidRPr="005A7D52">
        <w:rPr>
          <w:rFonts w:ascii="Palatino Linotype" w:hAnsi="Palatino Linotype" w:cs="Arial"/>
        </w:rPr>
        <w:t>; los cuales, deben testarse al momento de la elaboración de versiones públicas.</w:t>
      </w:r>
    </w:p>
    <w:p w14:paraId="799629FC" w14:textId="77777777" w:rsidR="00A063F5" w:rsidRPr="005A7D52" w:rsidRDefault="00A063F5" w:rsidP="00A063F5">
      <w:pPr>
        <w:autoSpaceDE w:val="0"/>
        <w:autoSpaceDN w:val="0"/>
        <w:adjustRightInd w:val="0"/>
        <w:spacing w:before="240" w:after="240" w:line="360" w:lineRule="auto"/>
        <w:jc w:val="both"/>
        <w:rPr>
          <w:rFonts w:ascii="Palatino Linotype" w:hAnsi="Palatino Linotype" w:cs="Arial"/>
        </w:rPr>
      </w:pPr>
      <w:r w:rsidRPr="005A7D52">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10D59D4A" w14:textId="77777777" w:rsidR="00A063F5" w:rsidRPr="005A7D52" w:rsidRDefault="00A063F5" w:rsidP="00A063F5">
      <w:pPr>
        <w:spacing w:before="240" w:after="240" w:line="360" w:lineRule="auto"/>
        <w:jc w:val="both"/>
        <w:rPr>
          <w:rFonts w:ascii="Palatino Linotype" w:hAnsi="Palatino Linotype" w:cs="Arial"/>
          <w:lang w:eastAsia="es-MX"/>
        </w:rPr>
      </w:pPr>
      <w:r w:rsidRPr="005A7D52">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DFFD35B" w14:textId="77777777" w:rsidR="00A063F5" w:rsidRPr="005A7D52" w:rsidRDefault="00A063F5" w:rsidP="00A063F5">
      <w:pPr>
        <w:spacing w:before="240" w:after="240" w:line="360" w:lineRule="auto"/>
        <w:jc w:val="both"/>
        <w:rPr>
          <w:rFonts w:ascii="Palatino Linotype" w:hAnsi="Palatino Linotype" w:cs="Arial"/>
          <w:lang w:eastAsia="es-MX"/>
        </w:rPr>
      </w:pPr>
      <w:r w:rsidRPr="005A7D52">
        <w:rPr>
          <w:rFonts w:ascii="Palatino Linotype" w:hAnsi="Palatino Linotype" w:cs="Arial"/>
          <w:lang w:eastAsia="es-MX"/>
        </w:rPr>
        <w:t>Lo anterior es compartido por el Instituto Nacional de Transparencia, Acceso a la Información Pública y Protección de Datos Personales (INAI), a través del Criterio 19/17, el cual es del tenor literal siguiente:</w:t>
      </w:r>
    </w:p>
    <w:p w14:paraId="0A5C4219" w14:textId="77777777" w:rsidR="00A063F5" w:rsidRPr="005A7D52" w:rsidRDefault="00A063F5" w:rsidP="00A063F5">
      <w:pPr>
        <w:spacing w:after="120"/>
        <w:ind w:left="851" w:right="902"/>
        <w:jc w:val="both"/>
        <w:rPr>
          <w:rFonts w:ascii="Palatino Linotype" w:hAnsi="Palatino Linotype" w:cs="Arial"/>
          <w:i/>
          <w:sz w:val="22"/>
          <w:szCs w:val="22"/>
        </w:rPr>
      </w:pPr>
      <w:r w:rsidRPr="005A7D52">
        <w:rPr>
          <w:rFonts w:ascii="Palatino Linotype" w:hAnsi="Palatino Linotype" w:cs="Arial"/>
          <w:b/>
          <w:bCs/>
          <w:i/>
          <w:sz w:val="22"/>
          <w:szCs w:val="22"/>
        </w:rPr>
        <w:t xml:space="preserve">“Registro Federal de Contribuyentes (RFC) de personas físicas. </w:t>
      </w:r>
      <w:r w:rsidRPr="005A7D52">
        <w:rPr>
          <w:rFonts w:ascii="Palatino Linotype" w:hAnsi="Palatino Linotype" w:cs="Arial"/>
          <w:bCs/>
          <w:i/>
          <w:sz w:val="22"/>
          <w:szCs w:val="22"/>
        </w:rPr>
        <w:t>E</w:t>
      </w:r>
      <w:r w:rsidRPr="005A7D52">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5A7D52">
        <w:rPr>
          <w:rFonts w:ascii="Palatino Linotype" w:hAnsi="Palatino Linotype" w:cs="Arial"/>
          <w:bCs/>
          <w:i/>
          <w:sz w:val="22"/>
          <w:szCs w:val="22"/>
        </w:rPr>
        <w:t>” (Sic)</w:t>
      </w:r>
    </w:p>
    <w:p w14:paraId="10606C43" w14:textId="77777777" w:rsidR="00A063F5" w:rsidRPr="005A7D52" w:rsidRDefault="00A063F5" w:rsidP="00A063F5">
      <w:pPr>
        <w:pStyle w:val="Sinespaciado"/>
        <w:spacing w:before="240" w:after="240" w:line="360" w:lineRule="auto"/>
        <w:jc w:val="both"/>
        <w:rPr>
          <w:rFonts w:ascii="Palatino Linotype" w:hAnsi="Palatino Linotype" w:cs="Arial"/>
          <w:lang w:eastAsia="es-MX"/>
        </w:rPr>
      </w:pPr>
      <w:r w:rsidRPr="005A7D52">
        <w:rPr>
          <w:rFonts w:ascii="Palatino Linotype" w:hAnsi="Palatino Linotype" w:cs="Arial"/>
          <w:lang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E25FC23" w14:textId="77777777" w:rsidR="00A063F5" w:rsidRPr="005A7D52" w:rsidRDefault="00A063F5" w:rsidP="00A063F5">
      <w:pPr>
        <w:pStyle w:val="Sinespaciado"/>
        <w:spacing w:before="240" w:after="240" w:line="360" w:lineRule="auto"/>
        <w:jc w:val="both"/>
        <w:rPr>
          <w:rFonts w:ascii="Palatino Linotype" w:eastAsia="Calibri" w:hAnsi="Palatino Linotype" w:cs="Arial"/>
          <w:lang w:eastAsia="es-MX"/>
        </w:rPr>
      </w:pPr>
      <w:r w:rsidRPr="005A7D52">
        <w:rPr>
          <w:rFonts w:ascii="Palatino Linotype" w:hAnsi="Palatino Linotype" w:cs="Arial"/>
          <w:lang w:eastAsia="es-MX"/>
        </w:rPr>
        <w:t xml:space="preserve">En cuanto al </w:t>
      </w:r>
      <w:r w:rsidRPr="005A7D52">
        <w:rPr>
          <w:rFonts w:ascii="Palatino Linotype" w:hAnsi="Palatino Linotype" w:cs="Arial"/>
        </w:rPr>
        <w:t xml:space="preserve">CURP, en virtud de que este se </w:t>
      </w:r>
      <w:r w:rsidRPr="005A7D52">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46B496" w14:textId="77777777" w:rsidR="00A063F5" w:rsidRPr="005A7D52" w:rsidRDefault="00A063F5" w:rsidP="00A063F5">
      <w:pPr>
        <w:spacing w:before="240" w:after="240" w:line="360" w:lineRule="auto"/>
        <w:jc w:val="both"/>
        <w:rPr>
          <w:rFonts w:ascii="Palatino Linotype" w:hAnsi="Palatino Linotype" w:cs="Arial"/>
        </w:rPr>
      </w:pPr>
      <w:r w:rsidRPr="005A7D52">
        <w:rPr>
          <w:rFonts w:ascii="Palatino Linotype" w:hAnsi="Palatino Linotype" w:cs="Arial"/>
        </w:rPr>
        <w:t xml:space="preserve">Argumento que es compartido por el </w:t>
      </w:r>
      <w:r w:rsidRPr="005A7D52">
        <w:rPr>
          <w:rFonts w:ascii="Palatino Linotype" w:hAnsi="Palatino Linotype" w:cs="Arial"/>
          <w:lang w:eastAsia="es-MX"/>
        </w:rPr>
        <w:t>Instituto Nacional de Transparencia, Acceso a la Información Pública y Protección de Datos Personales (INAI)</w:t>
      </w:r>
      <w:r w:rsidRPr="005A7D52">
        <w:rPr>
          <w:rStyle w:val="Textoennegrita"/>
          <w:rFonts w:ascii="Palatino Linotype" w:hAnsi="Palatino Linotype" w:cs="Arial"/>
        </w:rPr>
        <w:t xml:space="preserve">, conforme al </w:t>
      </w:r>
      <w:r w:rsidRPr="005A7D52">
        <w:rPr>
          <w:rFonts w:ascii="Palatino Linotype" w:hAnsi="Palatino Linotype" w:cs="Arial"/>
        </w:rPr>
        <w:t xml:space="preserve">criterio número 18/17, el cual refiere: </w:t>
      </w:r>
    </w:p>
    <w:p w14:paraId="1D8AD196" w14:textId="77777777" w:rsidR="00A063F5" w:rsidRPr="005A7D52" w:rsidRDefault="00A063F5" w:rsidP="00A063F5">
      <w:pPr>
        <w:pStyle w:val="Default"/>
        <w:spacing w:after="120"/>
        <w:ind w:left="851" w:right="900"/>
        <w:jc w:val="both"/>
        <w:rPr>
          <w:rFonts w:ascii="Palatino Linotype" w:hAnsi="Palatino Linotype"/>
          <w:i/>
          <w:color w:val="auto"/>
          <w:sz w:val="22"/>
          <w:szCs w:val="22"/>
          <w:lang w:eastAsia="es-MX"/>
        </w:rPr>
      </w:pPr>
      <w:r w:rsidRPr="005A7D52">
        <w:rPr>
          <w:rFonts w:ascii="Palatino Linotype" w:hAnsi="Palatino Linotype"/>
          <w:b/>
          <w:bCs/>
          <w:i/>
          <w:color w:val="auto"/>
          <w:sz w:val="22"/>
          <w:szCs w:val="22"/>
          <w:lang w:eastAsia="es-MX"/>
        </w:rPr>
        <w:t>“</w:t>
      </w:r>
      <w:r w:rsidRPr="005A7D52">
        <w:rPr>
          <w:rFonts w:ascii="Palatino Linotype" w:hAnsi="Palatino Linotype"/>
          <w:b/>
          <w:bCs/>
          <w:i/>
          <w:color w:val="auto"/>
          <w:sz w:val="22"/>
          <w:szCs w:val="22"/>
        </w:rPr>
        <w:t xml:space="preserve">Clave Única de Registro de Población (CURP). </w:t>
      </w:r>
      <w:r w:rsidRPr="005A7D52">
        <w:rPr>
          <w:rFonts w:ascii="Palatino Linotype" w:hAnsi="Palatino Linotype"/>
          <w:bCs/>
          <w:i/>
          <w:color w:val="auto"/>
          <w:sz w:val="22"/>
          <w:szCs w:val="22"/>
        </w:rPr>
        <w:t xml:space="preserve">La </w:t>
      </w:r>
      <w:r w:rsidRPr="005A7D52">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5A7D52">
        <w:rPr>
          <w:rFonts w:ascii="Palatino Linotype" w:hAnsi="Palatino Linotype"/>
          <w:i/>
          <w:color w:val="auto"/>
          <w:sz w:val="22"/>
          <w:szCs w:val="22"/>
          <w:lang w:eastAsia="es-MX"/>
        </w:rPr>
        <w:t>” (Sic)</w:t>
      </w:r>
    </w:p>
    <w:p w14:paraId="71971AF7" w14:textId="77777777" w:rsidR="00A063F5" w:rsidRPr="005A7D52" w:rsidRDefault="00A063F5" w:rsidP="00A063F5">
      <w:pPr>
        <w:autoSpaceDE w:val="0"/>
        <w:autoSpaceDN w:val="0"/>
        <w:adjustRightInd w:val="0"/>
        <w:spacing w:before="240" w:after="240" w:line="360" w:lineRule="auto"/>
        <w:jc w:val="both"/>
        <w:rPr>
          <w:rFonts w:ascii="Palatino Linotype" w:hAnsi="Palatino Linotype" w:cs="Arial"/>
        </w:rPr>
      </w:pPr>
      <w:r w:rsidRPr="005A7D52">
        <w:rPr>
          <w:rFonts w:ascii="Palatino Linotype" w:hAnsi="Palatino Linotype" w:cs="Arial"/>
        </w:rPr>
        <w:t xml:space="preserve">Por lo que respecta a la clave de seguridad social, en virtud de que su divulgación no aporta a la transparencia o a la rendición de cuentas y sí provoca una transgresión </w:t>
      </w:r>
      <w:r w:rsidRPr="005A7D52">
        <w:rPr>
          <w:rFonts w:ascii="Palatino Linotype" w:hAnsi="Palatino Linotype" w:cs="Arial"/>
        </w:rPr>
        <w:lastRenderedPageBreak/>
        <w:t>a la vida privada e intimidad de la persona, esta información también resulta ser de carácter confidencial.</w:t>
      </w:r>
    </w:p>
    <w:p w14:paraId="4CF26DC4" w14:textId="77777777" w:rsidR="00A063F5" w:rsidRPr="005A7D52" w:rsidRDefault="00A063F5" w:rsidP="00A063F5">
      <w:pPr>
        <w:spacing w:before="240" w:after="240" w:line="360" w:lineRule="auto"/>
        <w:jc w:val="both"/>
        <w:rPr>
          <w:rFonts w:ascii="Palatino Linotype" w:hAnsi="Palatino Linotype"/>
        </w:rPr>
      </w:pPr>
      <w:r w:rsidRPr="005A7D52">
        <w:rPr>
          <w:rFonts w:ascii="Palatino Linotype" w:hAnsi="Palatino Linotype" w:cs="Arial"/>
        </w:rPr>
        <w:t xml:space="preserve">Finalmente, por cuanto al Código QR </w:t>
      </w:r>
      <w:r w:rsidRPr="005A7D52">
        <w:rPr>
          <w:rFonts w:ascii="Palatino Linotype" w:hAnsi="Palatino Linotype"/>
        </w:rPr>
        <w:t xml:space="preserve">también denominados </w:t>
      </w:r>
      <w:r w:rsidRPr="005A7D52">
        <w:rPr>
          <w:rFonts w:ascii="Palatino Linotype" w:hAnsi="Palatino Linotype"/>
          <w:i/>
        </w:rPr>
        <w:t>códigos bidimensionales</w:t>
      </w:r>
      <w:r w:rsidRPr="005A7D52">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0B69D1BF" w14:textId="77777777" w:rsidR="00A063F5" w:rsidRPr="005A7D52" w:rsidRDefault="00A063F5" w:rsidP="00A063F5">
      <w:pPr>
        <w:spacing w:before="240" w:after="240" w:line="360" w:lineRule="auto"/>
        <w:jc w:val="both"/>
        <w:rPr>
          <w:rFonts w:ascii="Palatino Linotype" w:hAnsi="Palatino Linotype"/>
        </w:rPr>
      </w:pPr>
      <w:r w:rsidRPr="005A7D52">
        <w:rPr>
          <w:rFonts w:ascii="Palatino Linotype" w:hAnsi="Palatino Linotype"/>
        </w:rPr>
        <w:t>En relación con las implicaciones anteriores, resulta esencial traer a colación lo que el artículo 142 de la Ley de Instituciones de Crédito establece en su parte conducente:</w:t>
      </w:r>
    </w:p>
    <w:p w14:paraId="75A0422F" w14:textId="4C8359F3" w:rsidR="00A063F5" w:rsidRPr="005A7D52" w:rsidRDefault="00A063F5" w:rsidP="00A063F5">
      <w:pPr>
        <w:spacing w:after="120"/>
        <w:ind w:left="851" w:right="902"/>
        <w:jc w:val="both"/>
        <w:rPr>
          <w:rFonts w:ascii="Palatino Linotype" w:hAnsi="Palatino Linotype"/>
          <w:i/>
          <w:sz w:val="22"/>
          <w:szCs w:val="22"/>
        </w:rPr>
      </w:pPr>
      <w:r w:rsidRPr="005A7D52">
        <w:rPr>
          <w:rFonts w:ascii="Palatino Linotype" w:hAnsi="Palatino Linotype"/>
          <w:b/>
          <w:i/>
          <w:sz w:val="22"/>
          <w:szCs w:val="22"/>
        </w:rPr>
        <w:t>“Artículo 142.-</w:t>
      </w:r>
      <w:r w:rsidRPr="005A7D52">
        <w:rPr>
          <w:rFonts w:ascii="Palatino Linotype" w:hAnsi="Palatino Linotype"/>
          <w:i/>
          <w:sz w:val="22"/>
          <w:szCs w:val="22"/>
        </w:rPr>
        <w:t xml:space="preserve">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p>
    <w:p w14:paraId="2017EEF3" w14:textId="661E98E4" w:rsidR="00A063F5" w:rsidRPr="005A7D52" w:rsidRDefault="00A063F5" w:rsidP="00A063F5">
      <w:pPr>
        <w:spacing w:before="240" w:after="240" w:line="360" w:lineRule="auto"/>
        <w:jc w:val="both"/>
        <w:rPr>
          <w:rFonts w:ascii="Palatino Linotype" w:hAnsi="Palatino Linotype"/>
        </w:rPr>
      </w:pPr>
      <w:r w:rsidRPr="005A7D52">
        <w:rPr>
          <w:rFonts w:ascii="Palatino Linotype" w:hAnsi="Palatino Linotype"/>
        </w:rPr>
        <w:t>Es así que</w:t>
      </w:r>
      <w:r w:rsidR="00B55EF9" w:rsidRPr="005A7D52">
        <w:rPr>
          <w:rFonts w:ascii="Palatino Linotype" w:hAnsi="Palatino Linotype"/>
        </w:rPr>
        <w:t>,</w:t>
      </w:r>
      <w:r w:rsidRPr="005A7D52">
        <w:rPr>
          <w:rFonts w:ascii="Palatino Linotype" w:hAnsi="Palatino Linotype"/>
        </w:rPr>
        <w:t xml:space="preserve"> del texto antes citado, se advierte que la documentación e información relativa a las operaciones y servicios a que se refiere el artículo 46</w:t>
      </w:r>
      <w:r w:rsidRPr="005A7D52">
        <w:rPr>
          <w:rStyle w:val="Refdenotaalpie"/>
          <w:rFonts w:ascii="Palatino Linotype" w:hAnsi="Palatino Linotype"/>
        </w:rPr>
        <w:footnoteReference w:id="8"/>
      </w:r>
      <w:r w:rsidRPr="005A7D52">
        <w:rPr>
          <w:rFonts w:ascii="Palatino Linotype" w:hAnsi="Palatino Linotype"/>
        </w:rPr>
        <w:t xml:space="preserve"> de la citada Ley que corresponden a las instituciones de crédito tienen el carácter de confidencial.</w:t>
      </w:r>
    </w:p>
    <w:p w14:paraId="5136AD14" w14:textId="77777777" w:rsidR="00A063F5" w:rsidRPr="005A7D52" w:rsidRDefault="00A063F5" w:rsidP="00A063F5">
      <w:pPr>
        <w:autoSpaceDE w:val="0"/>
        <w:autoSpaceDN w:val="0"/>
        <w:adjustRightInd w:val="0"/>
        <w:spacing w:before="240" w:after="240" w:line="360" w:lineRule="auto"/>
        <w:jc w:val="both"/>
        <w:rPr>
          <w:rFonts w:ascii="Palatino Linotype" w:hAnsi="Palatino Linotype" w:cs="Arial"/>
        </w:rPr>
      </w:pPr>
      <w:r w:rsidRPr="005A7D52">
        <w:rPr>
          <w:rFonts w:ascii="Palatino Linotype" w:hAnsi="Palatino Linotype" w:cs="Arial"/>
        </w:rPr>
        <w:lastRenderedPageBreak/>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399AB913" w14:textId="77777777" w:rsidR="00A063F5" w:rsidRPr="005A7D52" w:rsidRDefault="00A063F5" w:rsidP="00A063F5">
      <w:pPr>
        <w:widowControl w:val="0"/>
        <w:autoSpaceDE w:val="0"/>
        <w:autoSpaceDN w:val="0"/>
        <w:adjustRightInd w:val="0"/>
        <w:spacing w:line="360" w:lineRule="auto"/>
        <w:jc w:val="both"/>
        <w:rPr>
          <w:rFonts w:ascii="Palatino Linotype" w:hAnsi="Palatino Linotype"/>
        </w:rPr>
      </w:pPr>
      <w:r w:rsidRPr="005A7D52">
        <w:rPr>
          <w:rFonts w:ascii="Palatino Linotype" w:hAnsi="Palatino Linotype" w:cs="Arial"/>
        </w:rPr>
        <w:t xml:space="preserve">El Acuerdo de Clasificación, se emitirá en términos de lo dispuesto tanto como en los en </w:t>
      </w:r>
      <w:r w:rsidRPr="005A7D52">
        <w:rPr>
          <w:rFonts w:ascii="Palatino Linotype" w:hAnsi="Palatino Linotype"/>
        </w:rPr>
        <w:t xml:space="preserve">los artículos 128 y 129 de la Ley de Transparencia y Acceso a la Información </w:t>
      </w:r>
      <w:r w:rsidRPr="005A7D52">
        <w:rPr>
          <w:rFonts w:ascii="Palatino Linotype" w:hAnsi="Palatino Linotype"/>
        </w:rPr>
        <w:lastRenderedPageBreak/>
        <w:t>Pública del Estado de México y Municipios, como en los</w:t>
      </w:r>
      <w:r w:rsidRPr="005A7D52">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5A7D52">
        <w:rPr>
          <w:rFonts w:ascii="Palatino Linotype" w:hAnsi="Palatino Linotype"/>
        </w:rPr>
        <w:t xml:space="preserve">motivando la referida clasificación al señalar las </w:t>
      </w:r>
      <w:r w:rsidRPr="005A7D52">
        <w:rPr>
          <w:rFonts w:ascii="Palatino Linotype" w:hAnsi="Palatino Linotype"/>
          <w:b/>
          <w:u w:val="single"/>
        </w:rPr>
        <w:t>razones, motivos o circunstancias especiales</w:t>
      </w:r>
      <w:r w:rsidRPr="005A7D52">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FBADB73" w14:textId="77777777" w:rsidR="00A063F5" w:rsidRPr="005A7D52" w:rsidRDefault="00A063F5" w:rsidP="00A063F5">
      <w:pPr>
        <w:spacing w:before="240" w:after="240" w:line="360" w:lineRule="auto"/>
        <w:jc w:val="both"/>
        <w:rPr>
          <w:rFonts w:ascii="Palatino Linotype" w:hAnsi="Palatino Linotype"/>
        </w:rPr>
      </w:pPr>
      <w:r w:rsidRPr="005A7D52">
        <w:rPr>
          <w:rFonts w:ascii="Palatino Linotype" w:hAnsi="Palatino Linotype" w:cs="Arial"/>
        </w:rPr>
        <w:t>En relación directa con ello, los Lineamientos en estudio</w:t>
      </w:r>
      <w:r w:rsidRPr="005A7D52">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5A7D52" w:rsidRPr="005A7D52" w14:paraId="1EE705B0" w14:textId="77777777" w:rsidTr="00054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5A7D52" w:rsidRDefault="00740EFF" w:rsidP="0016347B">
            <w:pPr>
              <w:jc w:val="center"/>
              <w:rPr>
                <w:rFonts w:ascii="Palatino Linotype" w:hAnsi="Palatino Linotype"/>
                <w:sz w:val="12"/>
                <w:szCs w:val="12"/>
              </w:rPr>
            </w:pPr>
            <w:r w:rsidRPr="005A7D52">
              <w:rPr>
                <w:rFonts w:ascii="Palatino Linotype" w:hAnsi="Palatino Linotype"/>
                <w:sz w:val="12"/>
                <w:szCs w:val="12"/>
              </w:rPr>
              <w:t>Parcial</w:t>
            </w:r>
          </w:p>
        </w:tc>
        <w:tc>
          <w:tcPr>
            <w:tcW w:w="4414" w:type="dxa"/>
            <w:gridSpan w:val="2"/>
          </w:tcPr>
          <w:p w14:paraId="0B4987AF" w14:textId="77777777" w:rsidR="00740EFF" w:rsidRPr="005A7D52" w:rsidRDefault="00740EFF" w:rsidP="0016347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Total</w:t>
            </w:r>
          </w:p>
        </w:tc>
      </w:tr>
      <w:tr w:rsidR="005A7D52" w:rsidRPr="005A7D52" w14:paraId="75E2B602"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5A7D52" w:rsidRDefault="00740EFF" w:rsidP="0016347B">
            <w:pPr>
              <w:jc w:val="center"/>
              <w:rPr>
                <w:rFonts w:ascii="Palatino Linotype" w:hAnsi="Palatino Linotype"/>
                <w:sz w:val="12"/>
                <w:szCs w:val="12"/>
              </w:rPr>
            </w:pPr>
            <w:r w:rsidRPr="005A7D52">
              <w:rPr>
                <w:rFonts w:ascii="Palatino Linotype" w:hAnsi="Palatino Linotype"/>
                <w:sz w:val="12"/>
                <w:szCs w:val="12"/>
              </w:rPr>
              <w:t>Concepto</w:t>
            </w:r>
          </w:p>
        </w:tc>
        <w:tc>
          <w:tcPr>
            <w:tcW w:w="3421" w:type="dxa"/>
          </w:tcPr>
          <w:p w14:paraId="5711302E" w14:textId="77777777" w:rsidR="00740EFF" w:rsidRPr="005A7D52"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Dónde</w:t>
            </w:r>
          </w:p>
        </w:tc>
        <w:tc>
          <w:tcPr>
            <w:tcW w:w="968" w:type="dxa"/>
          </w:tcPr>
          <w:p w14:paraId="497240C2" w14:textId="77777777" w:rsidR="00740EFF" w:rsidRPr="005A7D52"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Concepto</w:t>
            </w:r>
          </w:p>
        </w:tc>
        <w:tc>
          <w:tcPr>
            <w:tcW w:w="3446" w:type="dxa"/>
          </w:tcPr>
          <w:p w14:paraId="3F2B2978" w14:textId="77777777" w:rsidR="00740EFF" w:rsidRPr="005A7D52" w:rsidRDefault="00740EFF" w:rsidP="0016347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Dónde</w:t>
            </w:r>
          </w:p>
        </w:tc>
      </w:tr>
      <w:tr w:rsidR="005A7D52" w:rsidRPr="005A7D52" w14:paraId="2213798E" w14:textId="77777777" w:rsidTr="00054A4C">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5A7D52" w:rsidRDefault="00740EFF" w:rsidP="0016347B">
            <w:pPr>
              <w:jc w:val="center"/>
              <w:rPr>
                <w:rFonts w:ascii="Palatino Linotype" w:hAnsi="Palatino Linotype"/>
                <w:sz w:val="12"/>
                <w:szCs w:val="12"/>
              </w:rPr>
            </w:pPr>
            <w:r w:rsidRPr="005A7D52">
              <w:rPr>
                <w:rFonts w:ascii="Palatino Linotype" w:hAnsi="Palatino Linotype"/>
                <w:sz w:val="12"/>
                <w:szCs w:val="12"/>
              </w:rPr>
              <w:t>Sello oficial o logotipo del sujeto obligado</w:t>
            </w:r>
          </w:p>
        </w:tc>
      </w:tr>
      <w:tr w:rsidR="005A7D52" w:rsidRPr="005A7D52" w14:paraId="775B21F4"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Fecha de clasificación</w:t>
            </w:r>
          </w:p>
        </w:tc>
        <w:tc>
          <w:tcPr>
            <w:tcW w:w="3421" w:type="dxa"/>
          </w:tcPr>
          <w:p w14:paraId="6C05F370"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Fecha de clasificación</w:t>
            </w:r>
          </w:p>
        </w:tc>
        <w:tc>
          <w:tcPr>
            <w:tcW w:w="3446" w:type="dxa"/>
          </w:tcPr>
          <w:p w14:paraId="5EF4FB57"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anotará la fecha en la que el Comité de Transparencia confirmó la clasificación del documento, en su caso.</w:t>
            </w:r>
          </w:p>
        </w:tc>
      </w:tr>
      <w:tr w:rsidR="005A7D52" w:rsidRPr="005A7D52" w14:paraId="35F9742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Área</w:t>
            </w:r>
          </w:p>
        </w:tc>
        <w:tc>
          <w:tcPr>
            <w:tcW w:w="3421" w:type="dxa"/>
          </w:tcPr>
          <w:p w14:paraId="70F1D1D2"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área del cual es titular quien clasifica.</w:t>
            </w:r>
          </w:p>
        </w:tc>
        <w:tc>
          <w:tcPr>
            <w:tcW w:w="968" w:type="dxa"/>
          </w:tcPr>
          <w:p w14:paraId="080B61C0"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Área</w:t>
            </w:r>
          </w:p>
        </w:tc>
        <w:tc>
          <w:tcPr>
            <w:tcW w:w="3446" w:type="dxa"/>
          </w:tcPr>
          <w:p w14:paraId="37B1AAFD"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área de la cual es el titular quien clasifica.</w:t>
            </w:r>
          </w:p>
        </w:tc>
      </w:tr>
      <w:tr w:rsidR="005A7D52" w:rsidRPr="005A7D52" w14:paraId="46365CBE"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Información reservada</w:t>
            </w:r>
          </w:p>
        </w:tc>
        <w:tc>
          <w:tcPr>
            <w:tcW w:w="3421" w:type="dxa"/>
          </w:tcPr>
          <w:p w14:paraId="3E1A1C52"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Reservado</w:t>
            </w:r>
          </w:p>
        </w:tc>
        <w:tc>
          <w:tcPr>
            <w:tcW w:w="3446" w:type="dxa"/>
          </w:tcPr>
          <w:p w14:paraId="18350CBD"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Leyenda de información RESERVADA.</w:t>
            </w:r>
          </w:p>
        </w:tc>
      </w:tr>
      <w:tr w:rsidR="005A7D52" w:rsidRPr="005A7D52" w14:paraId="07CDC089"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Fundamento legal</w:t>
            </w:r>
          </w:p>
        </w:tc>
        <w:tc>
          <w:tcPr>
            <w:tcW w:w="3421" w:type="dxa"/>
          </w:tcPr>
          <w:p w14:paraId="004AA93B"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Periodo de reserva</w:t>
            </w:r>
          </w:p>
        </w:tc>
        <w:tc>
          <w:tcPr>
            <w:tcW w:w="3446" w:type="dxa"/>
          </w:tcPr>
          <w:p w14:paraId="14D9EFB5"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 xml:space="preserve">Se anotará el número de años o meses por los que se mantendrá el documento o las partes del mismo como </w:t>
            </w:r>
            <w:r w:rsidRPr="005A7D52">
              <w:rPr>
                <w:rFonts w:ascii="Palatino Linotype" w:hAnsi="Palatino Linotype"/>
                <w:sz w:val="12"/>
                <w:szCs w:val="12"/>
              </w:rPr>
              <w:lastRenderedPageBreak/>
              <w:t>reservado. Si el expediente no es reservado, sino confidencial, deberá tacharse este apartado.</w:t>
            </w:r>
          </w:p>
        </w:tc>
      </w:tr>
      <w:tr w:rsidR="005A7D52" w:rsidRPr="005A7D52" w14:paraId="5821E9EF"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lastRenderedPageBreak/>
              <w:t>Ampliación del periodo de reserva</w:t>
            </w:r>
          </w:p>
        </w:tc>
        <w:tc>
          <w:tcPr>
            <w:tcW w:w="3421" w:type="dxa"/>
          </w:tcPr>
          <w:p w14:paraId="2995CFD3"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Fundamento legal</w:t>
            </w:r>
          </w:p>
        </w:tc>
        <w:tc>
          <w:tcPr>
            <w:tcW w:w="3446" w:type="dxa"/>
          </w:tcPr>
          <w:p w14:paraId="40820C62"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o de los ordenamientos jurídicos, el o los artículos, fracción(es), párrafo(s) con base en los cuales se sustenta la reserva.</w:t>
            </w:r>
          </w:p>
        </w:tc>
      </w:tr>
      <w:tr w:rsidR="005A7D52" w:rsidRPr="005A7D52" w14:paraId="7502090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Confidencial</w:t>
            </w:r>
          </w:p>
        </w:tc>
        <w:tc>
          <w:tcPr>
            <w:tcW w:w="3421" w:type="dxa"/>
          </w:tcPr>
          <w:p w14:paraId="4BA5F109"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Ampliación del periodo de reserva</w:t>
            </w:r>
          </w:p>
        </w:tc>
        <w:tc>
          <w:tcPr>
            <w:tcW w:w="3446" w:type="dxa"/>
          </w:tcPr>
          <w:p w14:paraId="43A39117"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5A7D52" w:rsidRPr="005A7D52" w14:paraId="64C1D5C1"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Fundamento legal</w:t>
            </w:r>
          </w:p>
        </w:tc>
        <w:tc>
          <w:tcPr>
            <w:tcW w:w="3421" w:type="dxa"/>
          </w:tcPr>
          <w:p w14:paraId="73B26622"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Confidencial</w:t>
            </w:r>
          </w:p>
        </w:tc>
        <w:tc>
          <w:tcPr>
            <w:tcW w:w="3446" w:type="dxa"/>
          </w:tcPr>
          <w:p w14:paraId="464BCB44"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Leyenda de información CONFIDENCIAL.</w:t>
            </w:r>
          </w:p>
        </w:tc>
      </w:tr>
      <w:tr w:rsidR="005A7D52" w:rsidRPr="005A7D52" w14:paraId="555C3896"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Rúbrica del titular del área</w:t>
            </w:r>
          </w:p>
        </w:tc>
        <w:tc>
          <w:tcPr>
            <w:tcW w:w="3421" w:type="dxa"/>
          </w:tcPr>
          <w:p w14:paraId="5051D630"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Rúbrica autógrafa de quien clasifica.</w:t>
            </w:r>
          </w:p>
        </w:tc>
        <w:tc>
          <w:tcPr>
            <w:tcW w:w="968" w:type="dxa"/>
          </w:tcPr>
          <w:p w14:paraId="6E92D45D"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Fundamento legal</w:t>
            </w:r>
          </w:p>
        </w:tc>
        <w:tc>
          <w:tcPr>
            <w:tcW w:w="3446" w:type="dxa"/>
          </w:tcPr>
          <w:p w14:paraId="11E9E754"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5A7D52" w:rsidRPr="005A7D52" w14:paraId="307417AA"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Fecha de desclasificación</w:t>
            </w:r>
          </w:p>
        </w:tc>
        <w:tc>
          <w:tcPr>
            <w:tcW w:w="3421" w:type="dxa"/>
          </w:tcPr>
          <w:p w14:paraId="1B0F890F"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anotará la fecha en que se desclasifica el documento.</w:t>
            </w:r>
          </w:p>
        </w:tc>
        <w:tc>
          <w:tcPr>
            <w:tcW w:w="968" w:type="dxa"/>
          </w:tcPr>
          <w:p w14:paraId="3E09BE4B"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Rúbrica del titular del área</w:t>
            </w:r>
          </w:p>
        </w:tc>
        <w:tc>
          <w:tcPr>
            <w:tcW w:w="3446" w:type="dxa"/>
          </w:tcPr>
          <w:p w14:paraId="16D625C8"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Rúbrica autógrafa de quien clasifica.</w:t>
            </w:r>
          </w:p>
        </w:tc>
      </w:tr>
      <w:tr w:rsidR="005A7D52" w:rsidRPr="005A7D52" w14:paraId="4832D150"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5A7D52" w:rsidRDefault="00740EFF" w:rsidP="0016347B">
            <w:pPr>
              <w:jc w:val="both"/>
              <w:rPr>
                <w:rFonts w:ascii="Palatino Linotype" w:hAnsi="Palatino Linotype"/>
                <w:sz w:val="12"/>
                <w:szCs w:val="12"/>
              </w:rPr>
            </w:pPr>
            <w:r w:rsidRPr="005A7D52">
              <w:rPr>
                <w:rFonts w:ascii="Palatino Linotype" w:hAnsi="Palatino Linotype"/>
                <w:sz w:val="12"/>
                <w:szCs w:val="12"/>
              </w:rPr>
              <w:t>Rúbrica y cargo del servidor público</w:t>
            </w:r>
          </w:p>
        </w:tc>
        <w:tc>
          <w:tcPr>
            <w:tcW w:w="3421" w:type="dxa"/>
          </w:tcPr>
          <w:p w14:paraId="0ECB548E"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Rúbrica autógrafa de quien desclasifica.</w:t>
            </w:r>
          </w:p>
        </w:tc>
        <w:tc>
          <w:tcPr>
            <w:tcW w:w="968" w:type="dxa"/>
          </w:tcPr>
          <w:p w14:paraId="29777E77"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Fecha de desclasificación</w:t>
            </w:r>
          </w:p>
        </w:tc>
        <w:tc>
          <w:tcPr>
            <w:tcW w:w="3446" w:type="dxa"/>
          </w:tcPr>
          <w:p w14:paraId="683B5B84"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Se anotará la fecha en que se desclasifica.</w:t>
            </w:r>
          </w:p>
        </w:tc>
      </w:tr>
      <w:tr w:rsidR="005A7D52" w:rsidRPr="005A7D52" w14:paraId="60762255" w14:textId="77777777" w:rsidTr="00054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5A7D52" w:rsidRDefault="00740EFF" w:rsidP="0016347B">
            <w:pPr>
              <w:jc w:val="both"/>
              <w:rPr>
                <w:rFonts w:ascii="Palatino Linotype" w:hAnsi="Palatino Linotype"/>
                <w:sz w:val="12"/>
                <w:szCs w:val="12"/>
              </w:rPr>
            </w:pPr>
          </w:p>
        </w:tc>
        <w:tc>
          <w:tcPr>
            <w:tcW w:w="3421" w:type="dxa"/>
          </w:tcPr>
          <w:p w14:paraId="43FBBFCF"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Partes o secciones reservadas o confidenciales</w:t>
            </w:r>
          </w:p>
        </w:tc>
        <w:tc>
          <w:tcPr>
            <w:tcW w:w="3446" w:type="dxa"/>
          </w:tcPr>
          <w:p w14:paraId="3A656F93" w14:textId="77777777" w:rsidR="00740EFF" w:rsidRPr="005A7D52" w:rsidRDefault="00740EFF" w:rsidP="0016347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En caso que una vez desclasificado el expediente, subsistanpartes o secciones del mismo reservadas o confidenciales, se señalará este hecho.</w:t>
            </w:r>
          </w:p>
        </w:tc>
      </w:tr>
      <w:tr w:rsidR="005A7D52" w:rsidRPr="005A7D52" w14:paraId="21D363C4" w14:textId="77777777" w:rsidTr="00054A4C">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5A7D52" w:rsidRDefault="00740EFF" w:rsidP="0016347B">
            <w:pPr>
              <w:jc w:val="both"/>
              <w:rPr>
                <w:rFonts w:ascii="Palatino Linotype" w:hAnsi="Palatino Linotype"/>
                <w:sz w:val="12"/>
                <w:szCs w:val="12"/>
              </w:rPr>
            </w:pPr>
          </w:p>
        </w:tc>
        <w:tc>
          <w:tcPr>
            <w:tcW w:w="3421" w:type="dxa"/>
          </w:tcPr>
          <w:p w14:paraId="13BA7BB0"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A7D52">
              <w:rPr>
                <w:rFonts w:ascii="Palatino Linotype" w:hAnsi="Palatino Linotype"/>
                <w:b/>
                <w:sz w:val="12"/>
                <w:szCs w:val="12"/>
              </w:rPr>
              <w:t>Rúbrica y cargo del servidor público</w:t>
            </w:r>
          </w:p>
        </w:tc>
        <w:tc>
          <w:tcPr>
            <w:tcW w:w="3446" w:type="dxa"/>
          </w:tcPr>
          <w:p w14:paraId="3670D620" w14:textId="77777777" w:rsidR="00740EFF" w:rsidRPr="005A7D52" w:rsidRDefault="00740EFF" w:rsidP="0016347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A7D52">
              <w:rPr>
                <w:rFonts w:ascii="Palatino Linotype" w:hAnsi="Palatino Linotype"/>
                <w:sz w:val="12"/>
                <w:szCs w:val="12"/>
              </w:rPr>
              <w:t>Rúbrica autógrafa de quien desclasifica.</w:t>
            </w:r>
          </w:p>
        </w:tc>
      </w:tr>
    </w:tbl>
    <w:p w14:paraId="151FC458" w14:textId="1F182246" w:rsidR="000504F0" w:rsidRPr="005A7D52" w:rsidRDefault="000504F0" w:rsidP="0016347B">
      <w:pPr>
        <w:spacing w:before="240" w:after="240" w:line="360" w:lineRule="auto"/>
        <w:jc w:val="both"/>
        <w:rPr>
          <w:rFonts w:ascii="Palatino Linotype" w:hAnsi="Palatino Linotype" w:cs="Arial"/>
        </w:rPr>
      </w:pPr>
      <w:r w:rsidRPr="005A7D52">
        <w:rPr>
          <w:rFonts w:ascii="Palatino Linotype" w:hAnsi="Palatino Linotype" w:cs="Arial"/>
        </w:rPr>
        <w:t>Así, con fundamento en lo prescrito en los</w:t>
      </w:r>
      <w:bookmarkStart w:id="7" w:name="_Hlk80709572"/>
      <w:r w:rsidR="007E2756" w:rsidRPr="005A7D52">
        <w:t xml:space="preserve"> </w:t>
      </w:r>
      <w:r w:rsidR="007E2756" w:rsidRPr="005A7D52">
        <w:rPr>
          <w:rFonts w:ascii="Palatino Linotype" w:hAnsi="Palatino Linotype" w:cs="Arial"/>
        </w:rPr>
        <w:t xml:space="preserve">artículos 5 </w:t>
      </w:r>
      <w:r w:rsidR="00717AC4" w:rsidRPr="005A7D52">
        <w:rPr>
          <w:rFonts w:ascii="Palatino Linotype" w:hAnsi="Palatino Linotype" w:cs="Arial"/>
        </w:rPr>
        <w:t xml:space="preserve">párrafos trigésimo, trigésimo primero y trigésimo segundo </w:t>
      </w:r>
      <w:r w:rsidR="007E2756" w:rsidRPr="005A7D52">
        <w:rPr>
          <w:rFonts w:ascii="Palatino Linotype" w:hAnsi="Palatino Linotype" w:cs="Arial"/>
        </w:rPr>
        <w:t>fracciones IV y V de la Constitución Política del Estado Libre y Soberano de México</w:t>
      </w:r>
      <w:r w:rsidRPr="005A7D52">
        <w:rPr>
          <w:rFonts w:ascii="Palatino Linotype" w:hAnsi="Palatino Linotype" w:cs="Arial"/>
        </w:rPr>
        <w:t>; 2, fracción II; 29, 36 fracciones I y II; 176, 178, 181, 185, fracción I, 186 y 188</w:t>
      </w:r>
      <w:bookmarkEnd w:id="7"/>
      <w:r w:rsidRPr="005A7D52">
        <w:rPr>
          <w:rFonts w:ascii="Palatino Linotype" w:hAnsi="Palatino Linotype" w:cs="Arial"/>
        </w:rPr>
        <w:t xml:space="preserve"> de la Ley de Transparencia y Acceso a la Información Pública del Estado de México y Municipios, este Pleno:</w:t>
      </w:r>
    </w:p>
    <w:p w14:paraId="41497210" w14:textId="77777777" w:rsidR="0045623E" w:rsidRPr="005A7D52" w:rsidRDefault="0045623E" w:rsidP="0016347B">
      <w:pPr>
        <w:pStyle w:val="Prrafodelista"/>
        <w:numPr>
          <w:ilvl w:val="0"/>
          <w:numId w:val="1"/>
        </w:numPr>
        <w:spacing w:before="240" w:after="240" w:line="360" w:lineRule="auto"/>
        <w:jc w:val="center"/>
        <w:rPr>
          <w:rFonts w:ascii="Palatino Linotype" w:hAnsi="Palatino Linotype" w:cs="Arial"/>
          <w:b/>
        </w:rPr>
      </w:pPr>
      <w:r w:rsidRPr="005A7D52">
        <w:rPr>
          <w:rFonts w:ascii="Palatino Linotype" w:hAnsi="Palatino Linotype" w:cs="Arial"/>
          <w:b/>
        </w:rPr>
        <w:t>R E S U E L V E:</w:t>
      </w:r>
    </w:p>
    <w:bookmarkEnd w:id="3"/>
    <w:p w14:paraId="4EA8DEBB" w14:textId="58D6BD42" w:rsidR="00F97215" w:rsidRPr="005A7D52" w:rsidRDefault="00F97215" w:rsidP="0016347B">
      <w:pPr>
        <w:spacing w:before="240" w:after="240" w:line="360" w:lineRule="auto"/>
        <w:jc w:val="both"/>
        <w:rPr>
          <w:rFonts w:ascii="Palatino Linotype" w:hAnsi="Palatino Linotype" w:cs="Arial"/>
          <w:b/>
        </w:rPr>
      </w:pPr>
      <w:r w:rsidRPr="005A7D52">
        <w:rPr>
          <w:rFonts w:ascii="Palatino Linotype" w:hAnsi="Palatino Linotype" w:cs="Arial"/>
          <w:b/>
        </w:rPr>
        <w:t xml:space="preserve">Primero. </w:t>
      </w:r>
      <w:r w:rsidR="00F03783" w:rsidRPr="005A7D52">
        <w:rPr>
          <w:rFonts w:ascii="Palatino Linotype" w:hAnsi="Palatino Linotype" w:cs="Arial"/>
          <w:lang w:eastAsia="en-US"/>
        </w:rPr>
        <w:t>Resultan</w:t>
      </w:r>
      <w:r w:rsidRPr="005A7D52">
        <w:rPr>
          <w:rFonts w:ascii="Palatino Linotype" w:hAnsi="Palatino Linotype" w:cs="Arial"/>
          <w:b/>
          <w:lang w:eastAsia="en-US"/>
        </w:rPr>
        <w:t xml:space="preserve"> </w:t>
      </w:r>
      <w:r w:rsidR="007C0C84" w:rsidRPr="005A7D52">
        <w:rPr>
          <w:rFonts w:ascii="Palatino Linotype" w:hAnsi="Palatino Linotype" w:cs="Arial"/>
          <w:b/>
          <w:lang w:eastAsia="en-US"/>
        </w:rPr>
        <w:t>f</w:t>
      </w:r>
      <w:r w:rsidRPr="005A7D52">
        <w:rPr>
          <w:rFonts w:ascii="Palatino Linotype" w:hAnsi="Palatino Linotype" w:cs="Arial"/>
          <w:b/>
          <w:lang w:eastAsia="en-US"/>
        </w:rPr>
        <w:t>undados</w:t>
      </w:r>
      <w:r w:rsidRPr="005A7D52">
        <w:rPr>
          <w:rFonts w:ascii="Palatino Linotype" w:hAnsi="Palatino Linotype" w:cs="Arial"/>
          <w:lang w:eastAsia="en-US"/>
        </w:rPr>
        <w:t xml:space="preserve"> los motivos de inconformidad hechos valer por la parte </w:t>
      </w:r>
      <w:r w:rsidRPr="005A7D52">
        <w:rPr>
          <w:rFonts w:ascii="Palatino Linotype" w:hAnsi="Palatino Linotype" w:cs="Arial"/>
          <w:b/>
          <w:lang w:eastAsia="en-US"/>
        </w:rPr>
        <w:t xml:space="preserve">Recurrente </w:t>
      </w:r>
      <w:r w:rsidRPr="005A7D52">
        <w:rPr>
          <w:rFonts w:ascii="Palatino Linotype" w:hAnsi="Palatino Linotype" w:cs="Arial"/>
          <w:lang w:eastAsia="en-US"/>
        </w:rPr>
        <w:t xml:space="preserve">en el recurso de revisión </w:t>
      </w:r>
      <w:r w:rsidRPr="005A7D52">
        <w:rPr>
          <w:rFonts w:ascii="Palatino Linotype" w:hAnsi="Palatino Linotype" w:cs="Arial"/>
          <w:b/>
          <w:lang w:eastAsia="en-US"/>
        </w:rPr>
        <w:t>0</w:t>
      </w:r>
      <w:r w:rsidR="007C0C84" w:rsidRPr="005A7D52">
        <w:rPr>
          <w:rFonts w:ascii="Palatino Linotype" w:hAnsi="Palatino Linotype" w:cs="Arial"/>
          <w:b/>
          <w:lang w:eastAsia="en-US"/>
        </w:rPr>
        <w:t>4</w:t>
      </w:r>
      <w:r w:rsidR="00A063F5" w:rsidRPr="005A7D52">
        <w:rPr>
          <w:rFonts w:ascii="Palatino Linotype" w:hAnsi="Palatino Linotype" w:cs="Arial"/>
          <w:b/>
          <w:lang w:eastAsia="en-US"/>
        </w:rPr>
        <w:t>109</w:t>
      </w:r>
      <w:r w:rsidRPr="005A7D52">
        <w:rPr>
          <w:rFonts w:ascii="Palatino Linotype" w:hAnsi="Palatino Linotype" w:cs="Arial"/>
          <w:b/>
        </w:rPr>
        <w:t>/INFOEM/IP/RR/2021</w:t>
      </w:r>
      <w:r w:rsidRPr="005A7D52">
        <w:rPr>
          <w:rFonts w:ascii="Palatino Linotype" w:hAnsi="Palatino Linotype" w:cs="Arial"/>
          <w:b/>
          <w:lang w:eastAsia="en-US"/>
        </w:rPr>
        <w:t xml:space="preserve">, </w:t>
      </w:r>
      <w:r w:rsidRPr="005A7D52">
        <w:rPr>
          <w:rFonts w:ascii="Palatino Linotype" w:hAnsi="Palatino Linotype" w:cs="Arial"/>
          <w:lang w:eastAsia="en-US"/>
        </w:rPr>
        <w:t xml:space="preserve">por lo que, </w:t>
      </w:r>
      <w:r w:rsidRPr="005A7D52">
        <w:rPr>
          <w:rFonts w:ascii="Palatino Linotype" w:eastAsia="Calibri" w:hAnsi="Palatino Linotype" w:cs="Arial"/>
          <w:lang w:eastAsia="en-US"/>
        </w:rPr>
        <w:t xml:space="preserve">en términos del Considerando Cuarto de la presente resolución, </w:t>
      </w:r>
      <w:r w:rsidRPr="005A7D52">
        <w:rPr>
          <w:rFonts w:ascii="Palatino Linotype" w:hAnsi="Palatino Linotype" w:cs="Arial"/>
          <w:lang w:eastAsia="en-US"/>
        </w:rPr>
        <w:t>se</w:t>
      </w:r>
      <w:r w:rsidR="00EE64B9" w:rsidRPr="005A7D52">
        <w:rPr>
          <w:rFonts w:ascii="Palatino Linotype" w:hAnsi="Palatino Linotype" w:cs="Arial"/>
          <w:b/>
          <w:lang w:eastAsia="en-US"/>
        </w:rPr>
        <w:t xml:space="preserve"> </w:t>
      </w:r>
      <w:r w:rsidR="007C0C84" w:rsidRPr="005A7D52">
        <w:rPr>
          <w:rFonts w:ascii="Palatino Linotype" w:hAnsi="Palatino Linotype" w:cs="Arial"/>
          <w:b/>
          <w:lang w:eastAsia="en-US"/>
        </w:rPr>
        <w:t>Modifi</w:t>
      </w:r>
      <w:r w:rsidR="00EE64B9" w:rsidRPr="005A7D52">
        <w:rPr>
          <w:rFonts w:ascii="Palatino Linotype" w:hAnsi="Palatino Linotype" w:cs="Arial"/>
          <w:b/>
          <w:lang w:eastAsia="en-US"/>
        </w:rPr>
        <w:t>ca</w:t>
      </w:r>
      <w:r w:rsidRPr="005A7D52">
        <w:rPr>
          <w:rFonts w:ascii="Palatino Linotype" w:hAnsi="Palatino Linotype" w:cs="Arial"/>
          <w:b/>
          <w:lang w:eastAsia="en-US"/>
        </w:rPr>
        <w:t xml:space="preserve"> </w:t>
      </w:r>
      <w:r w:rsidRPr="005A7D52">
        <w:rPr>
          <w:rFonts w:ascii="Palatino Linotype" w:hAnsi="Palatino Linotype" w:cs="Arial"/>
          <w:lang w:eastAsia="en-US"/>
        </w:rPr>
        <w:t>la respuesta</w:t>
      </w:r>
      <w:r w:rsidRPr="005A7D52">
        <w:rPr>
          <w:rFonts w:ascii="Palatino Linotype" w:hAnsi="Palatino Linotype" w:cs="Arial"/>
          <w:b/>
          <w:lang w:eastAsia="en-US"/>
        </w:rPr>
        <w:t xml:space="preserve"> </w:t>
      </w:r>
      <w:r w:rsidRPr="005A7D52">
        <w:rPr>
          <w:rFonts w:ascii="Palatino Linotype" w:hAnsi="Palatino Linotype" w:cs="Arial"/>
          <w:lang w:eastAsia="en-US"/>
        </w:rPr>
        <w:t xml:space="preserve">del </w:t>
      </w:r>
      <w:r w:rsidRPr="005A7D52">
        <w:rPr>
          <w:rFonts w:ascii="Palatino Linotype" w:hAnsi="Palatino Linotype" w:cs="Arial"/>
          <w:b/>
          <w:lang w:eastAsia="en-US"/>
        </w:rPr>
        <w:t>sujeto obligado.</w:t>
      </w:r>
    </w:p>
    <w:p w14:paraId="2ABBC56C" w14:textId="23FE5F4B" w:rsidR="0016347B" w:rsidRPr="005A7D52" w:rsidRDefault="0016347B" w:rsidP="0016347B">
      <w:pPr>
        <w:spacing w:before="240" w:after="240" w:line="360" w:lineRule="auto"/>
        <w:jc w:val="both"/>
        <w:rPr>
          <w:rFonts w:ascii="Palatino Linotype" w:hAnsi="Palatino Linotype" w:cs="Arial"/>
          <w:lang w:eastAsia="en-US"/>
        </w:rPr>
      </w:pPr>
      <w:bookmarkStart w:id="8" w:name="_Hlk48684990"/>
      <w:r w:rsidRPr="005A7D52">
        <w:rPr>
          <w:rFonts w:ascii="Palatino Linotype" w:hAnsi="Palatino Linotype" w:cs="Arial"/>
          <w:b/>
          <w:bCs/>
          <w:shd w:val="clear" w:color="auto" w:fill="FFFFFF"/>
        </w:rPr>
        <w:lastRenderedPageBreak/>
        <w:t xml:space="preserve">Segundo. </w:t>
      </w:r>
      <w:r w:rsidRPr="005A7D52">
        <w:rPr>
          <w:rFonts w:ascii="Palatino Linotype" w:hAnsi="Palatino Linotype" w:cs="Arial"/>
          <w:lang w:eastAsia="en-US"/>
        </w:rPr>
        <w:t xml:space="preserve">Se </w:t>
      </w:r>
      <w:r w:rsidRPr="005A7D52">
        <w:rPr>
          <w:rFonts w:ascii="Palatino Linotype" w:hAnsi="Palatino Linotype" w:cs="Arial"/>
          <w:b/>
          <w:bCs/>
          <w:lang w:eastAsia="en-US"/>
        </w:rPr>
        <w:t>Ordena</w:t>
      </w:r>
      <w:r w:rsidRPr="005A7D52">
        <w:rPr>
          <w:rFonts w:ascii="Palatino Linotype" w:hAnsi="Palatino Linotype" w:cs="Arial"/>
          <w:lang w:eastAsia="en-US"/>
        </w:rPr>
        <w:t xml:space="preserve"> al Sujeto Obligado, en términos de los Considerandos </w:t>
      </w:r>
      <w:r w:rsidRPr="005A7D52">
        <w:rPr>
          <w:rFonts w:ascii="Palatino Linotype" w:hAnsi="Palatino Linotype" w:cs="Arial"/>
          <w:b/>
          <w:bCs/>
          <w:lang w:eastAsia="en-US"/>
        </w:rPr>
        <w:t xml:space="preserve">Cuarto </w:t>
      </w:r>
      <w:r w:rsidRPr="005A7D52">
        <w:rPr>
          <w:rFonts w:ascii="Palatino Linotype" w:hAnsi="Palatino Linotype" w:cs="Arial"/>
          <w:bCs/>
          <w:lang w:eastAsia="en-US"/>
        </w:rPr>
        <w:t>y</w:t>
      </w:r>
      <w:r w:rsidRPr="005A7D52">
        <w:rPr>
          <w:rFonts w:ascii="Palatino Linotype" w:hAnsi="Palatino Linotype" w:cs="Arial"/>
          <w:b/>
          <w:bCs/>
          <w:lang w:eastAsia="en-US"/>
        </w:rPr>
        <w:t xml:space="preserve"> Quinto</w:t>
      </w:r>
      <w:r w:rsidRPr="005A7D52">
        <w:rPr>
          <w:rFonts w:ascii="Palatino Linotype" w:hAnsi="Palatino Linotype" w:cs="Arial"/>
          <w:lang w:eastAsia="en-US"/>
        </w:rPr>
        <w:t xml:space="preserve"> de esta resolución, haga entrega vía SAIMEX, en versión pública, </w:t>
      </w:r>
      <w:r w:rsidR="007949C3" w:rsidRPr="005A7D52">
        <w:rPr>
          <w:rFonts w:ascii="Palatino Linotype" w:hAnsi="Palatino Linotype" w:cs="Arial"/>
          <w:lang w:eastAsia="en-US"/>
        </w:rPr>
        <w:t>el soporte documental en el que conste lo</w:t>
      </w:r>
      <w:r w:rsidRPr="005A7D52">
        <w:rPr>
          <w:rFonts w:ascii="Palatino Linotype" w:hAnsi="Palatino Linotype" w:cs="Arial"/>
          <w:lang w:eastAsia="en-US"/>
        </w:rPr>
        <w:t xml:space="preserve"> siguiente:</w:t>
      </w:r>
    </w:p>
    <w:p w14:paraId="200C412A" w14:textId="5F031A17" w:rsidR="00A063F5" w:rsidRPr="005A7D52" w:rsidRDefault="00A063F5" w:rsidP="00A063F5">
      <w:pPr>
        <w:spacing w:before="240" w:after="240" w:line="360" w:lineRule="auto"/>
        <w:ind w:right="51"/>
        <w:jc w:val="both"/>
        <w:rPr>
          <w:rFonts w:ascii="Palatino Linotype" w:hAnsi="Palatino Linotype"/>
        </w:rPr>
      </w:pPr>
      <w:r w:rsidRPr="005A7D52">
        <w:rPr>
          <w:rFonts w:ascii="Palatino Linotype" w:hAnsi="Palatino Linotype"/>
        </w:rPr>
        <w:t>De los ejercicios 2016, 2017, 2019, 2020 y 2021 al veintinueve de junio</w:t>
      </w:r>
      <w:r w:rsidR="00FC6C45" w:rsidRPr="005A7D52">
        <w:rPr>
          <w:rFonts w:ascii="Palatino Linotype" w:hAnsi="Palatino Linotype"/>
        </w:rPr>
        <w:t>:</w:t>
      </w:r>
    </w:p>
    <w:p w14:paraId="779C287F" w14:textId="7996F8C2" w:rsidR="00A063F5" w:rsidRPr="005A7D52" w:rsidRDefault="00A063F5" w:rsidP="00A063F5">
      <w:pPr>
        <w:pStyle w:val="Prrafodelista"/>
        <w:numPr>
          <w:ilvl w:val="0"/>
          <w:numId w:val="22"/>
        </w:numPr>
        <w:spacing w:before="240" w:after="240" w:line="360" w:lineRule="auto"/>
        <w:ind w:right="51"/>
        <w:jc w:val="both"/>
        <w:rPr>
          <w:rFonts w:ascii="Palatino Linotype" w:hAnsi="Palatino Linotype"/>
          <w:lang w:val="es-MX" w:eastAsia="es-MX"/>
        </w:rPr>
      </w:pPr>
      <w:r w:rsidRPr="005A7D52">
        <w:rPr>
          <w:rFonts w:ascii="Palatino Linotype" w:hAnsi="Palatino Linotype"/>
          <w:lang w:val="es-MX" w:eastAsia="es-MX"/>
        </w:rPr>
        <w:t>Relación de pagos por concepto de transporte aéreo, que incluya, al mayor grado de desagregación posible: vuelos comerciales y de clase premier pagados con recursos del municipio a cualquier empresa o prestadora de servicios aéreos.</w:t>
      </w:r>
    </w:p>
    <w:p w14:paraId="27A6A861" w14:textId="77777777" w:rsidR="009A5EA7" w:rsidRPr="005A7D52" w:rsidRDefault="00A063F5" w:rsidP="00A063F5">
      <w:pPr>
        <w:pStyle w:val="Prrafodelista"/>
        <w:numPr>
          <w:ilvl w:val="0"/>
          <w:numId w:val="22"/>
        </w:numPr>
        <w:spacing w:before="240" w:after="240" w:line="360" w:lineRule="auto"/>
        <w:jc w:val="both"/>
        <w:rPr>
          <w:rFonts w:ascii="Palatino Linotype" w:hAnsi="Palatino Linotype" w:cs="Arial"/>
          <w:szCs w:val="22"/>
          <w:lang w:eastAsia="es-MX"/>
        </w:rPr>
      </w:pPr>
      <w:r w:rsidRPr="005A7D52">
        <w:rPr>
          <w:rFonts w:ascii="Palatino Linotype" w:hAnsi="Palatino Linotype"/>
          <w:lang w:val="es-MX" w:eastAsia="es-MX"/>
        </w:rPr>
        <w:t>Contrato</w:t>
      </w:r>
      <w:r w:rsidR="009A5EA7" w:rsidRPr="005A7D52">
        <w:rPr>
          <w:rFonts w:ascii="Palatino Linotype" w:hAnsi="Palatino Linotype"/>
          <w:lang w:val="es-MX" w:eastAsia="es-MX"/>
        </w:rPr>
        <w:t xml:space="preserve">s </w:t>
      </w:r>
      <w:r w:rsidRPr="005A7D52">
        <w:rPr>
          <w:rFonts w:ascii="Palatino Linotype" w:hAnsi="Palatino Linotype"/>
          <w:lang w:val="es-MX" w:eastAsia="es-MX"/>
        </w:rPr>
        <w:t>de aviones y helicópteros privados, taxis aéreos</w:t>
      </w:r>
      <w:r w:rsidR="009A5EA7" w:rsidRPr="005A7D52">
        <w:rPr>
          <w:rFonts w:ascii="Palatino Linotype" w:hAnsi="Palatino Linotype"/>
          <w:lang w:val="es-MX" w:eastAsia="es-MX"/>
        </w:rPr>
        <w:t>.</w:t>
      </w:r>
    </w:p>
    <w:p w14:paraId="3CCA98BB" w14:textId="624D17F8" w:rsidR="00A063F5" w:rsidRPr="005A7D52" w:rsidRDefault="009A5EA7" w:rsidP="00A063F5">
      <w:pPr>
        <w:pStyle w:val="Prrafodelista"/>
        <w:numPr>
          <w:ilvl w:val="0"/>
          <w:numId w:val="22"/>
        </w:numPr>
        <w:spacing w:before="240" w:after="240" w:line="360" w:lineRule="auto"/>
        <w:jc w:val="both"/>
        <w:rPr>
          <w:rFonts w:ascii="Palatino Linotype" w:hAnsi="Palatino Linotype" w:cs="Arial"/>
          <w:szCs w:val="22"/>
          <w:lang w:eastAsia="es-MX"/>
        </w:rPr>
      </w:pPr>
      <w:r w:rsidRPr="005A7D52">
        <w:rPr>
          <w:rFonts w:ascii="Palatino Linotype" w:hAnsi="Palatino Linotype"/>
          <w:lang w:val="es-MX" w:eastAsia="es-MX"/>
        </w:rPr>
        <w:t>Contratos y/o convenios que den cuenta de las erogaciones por concepto de p</w:t>
      </w:r>
      <w:r w:rsidR="00A063F5" w:rsidRPr="005A7D52">
        <w:rPr>
          <w:rFonts w:ascii="Palatino Linotype" w:hAnsi="Palatino Linotype"/>
          <w:lang w:val="es-MX" w:eastAsia="es-MX"/>
        </w:rPr>
        <w:t>ago a pilotos, compra de turbosina y mantenimiento de aeronaves, que incluyan nombre de proveedor</w:t>
      </w:r>
      <w:r w:rsidRPr="005A7D52">
        <w:rPr>
          <w:rFonts w:ascii="Palatino Linotype" w:hAnsi="Palatino Linotype"/>
          <w:lang w:val="es-MX" w:eastAsia="es-MX"/>
        </w:rPr>
        <w:t xml:space="preserve"> y </w:t>
      </w:r>
      <w:r w:rsidR="00A063F5" w:rsidRPr="005A7D52">
        <w:rPr>
          <w:rFonts w:ascii="Palatino Linotype" w:hAnsi="Palatino Linotype"/>
          <w:lang w:val="es-MX" w:eastAsia="es-MX"/>
        </w:rPr>
        <w:t>concepto</w:t>
      </w:r>
      <w:r w:rsidRPr="005A7D52">
        <w:rPr>
          <w:rFonts w:ascii="Palatino Linotype" w:hAnsi="Palatino Linotype"/>
          <w:lang w:val="es-MX" w:eastAsia="es-MX"/>
        </w:rPr>
        <w:t>.</w:t>
      </w:r>
    </w:p>
    <w:bookmarkEnd w:id="8"/>
    <w:p w14:paraId="5240D729" w14:textId="52F27A8F" w:rsidR="00A063F5" w:rsidRPr="005A7D52" w:rsidRDefault="00A063F5" w:rsidP="00BA70B1">
      <w:pPr>
        <w:spacing w:before="240" w:after="240"/>
        <w:ind w:left="567"/>
        <w:jc w:val="both"/>
        <w:rPr>
          <w:rFonts w:ascii="Palatino Linotype" w:hAnsi="Palatino Linotype" w:cs="Arial"/>
          <w:i/>
          <w:sz w:val="20"/>
          <w:szCs w:val="20"/>
        </w:rPr>
      </w:pPr>
      <w:r w:rsidRPr="005A7D52">
        <w:rPr>
          <w:rFonts w:ascii="Palatino Linotype" w:hAnsi="Palatino Linotype" w:cs="Arial"/>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EF913D8" w14:textId="7497021D" w:rsidR="00286E94" w:rsidRPr="005A7D52" w:rsidRDefault="00286E94" w:rsidP="00286E94">
      <w:pPr>
        <w:spacing w:before="240" w:after="240"/>
        <w:ind w:left="567" w:right="51"/>
        <w:jc w:val="both"/>
        <w:rPr>
          <w:rFonts w:ascii="Palatino Linotype" w:eastAsiaTheme="minorHAnsi" w:hAnsi="Palatino Linotype" w:cstheme="minorBidi"/>
          <w:i/>
          <w:sz w:val="22"/>
          <w:szCs w:val="20"/>
          <w:lang w:val="es-MX" w:eastAsia="en-US"/>
        </w:rPr>
      </w:pPr>
      <w:r w:rsidRPr="005A7D52">
        <w:rPr>
          <w:rFonts w:ascii="Palatino Linotype" w:hAnsi="Palatino Linotype" w:cs="Arial"/>
          <w:i/>
          <w:sz w:val="22"/>
          <w:szCs w:val="22"/>
        </w:rPr>
        <w:t>En el supuesto que la información ordenada en los puntos 2 y 3</w:t>
      </w:r>
      <w:r w:rsidRPr="005A7D52">
        <w:rPr>
          <w:rFonts w:ascii="Palatino Linotype" w:eastAsiaTheme="minorHAnsi" w:hAnsi="Palatino Linotype" w:cstheme="minorBidi"/>
          <w:i/>
          <w:sz w:val="22"/>
          <w:szCs w:val="22"/>
          <w:lang w:val="es-MX" w:eastAsia="en-US"/>
        </w:rPr>
        <w:t xml:space="preserve">, </w:t>
      </w:r>
      <w:r w:rsidRPr="005A7D52">
        <w:rPr>
          <w:rFonts w:ascii="Palatino Linotype" w:hAnsi="Palatino Linotype" w:cs="Arial"/>
          <w:i/>
          <w:sz w:val="22"/>
          <w:szCs w:val="22"/>
        </w:rPr>
        <w:t>no obre en los archivos del Sujeto Obligado</w:t>
      </w:r>
      <w:r w:rsidRPr="005A7D52">
        <w:rPr>
          <w:rFonts w:ascii="Palatino Linotype" w:hAnsi="Palatino Linotype" w:cs="Arial"/>
          <w:b/>
          <w:i/>
          <w:sz w:val="22"/>
          <w:szCs w:val="22"/>
        </w:rPr>
        <w:t xml:space="preserve"> </w:t>
      </w:r>
      <w:r w:rsidRPr="005A7D52">
        <w:rPr>
          <w:rFonts w:ascii="Palatino Linotype" w:hAnsi="Palatino Linotype" w:cs="Arial"/>
          <w:i/>
          <w:sz w:val="22"/>
          <w:szCs w:val="22"/>
        </w:rPr>
        <w:t>por no haberse generado, bastara con que así lo haga del conocimiento de la parte hoy recurrente, para tener por colmado el requerimiento de información</w:t>
      </w:r>
      <w:r w:rsidRPr="005A7D52">
        <w:rPr>
          <w:rFonts w:ascii="Palatino Linotype" w:hAnsi="Palatino Linotype" w:cs="Arial"/>
          <w:i/>
          <w:sz w:val="22"/>
          <w:szCs w:val="20"/>
        </w:rPr>
        <w:t>.</w:t>
      </w:r>
    </w:p>
    <w:p w14:paraId="3A42C85E" w14:textId="77777777" w:rsidR="00543010" w:rsidRPr="005A7D52" w:rsidRDefault="00543010" w:rsidP="0016347B">
      <w:pPr>
        <w:spacing w:before="240" w:after="240" w:line="360" w:lineRule="auto"/>
        <w:jc w:val="both"/>
        <w:rPr>
          <w:rFonts w:ascii="Palatino Linotype" w:hAnsi="Palatino Linotype" w:cs="Arial"/>
          <w:b/>
        </w:rPr>
      </w:pPr>
      <w:r w:rsidRPr="005A7D52">
        <w:rPr>
          <w:rFonts w:ascii="Palatino Linotype" w:hAnsi="Palatino Linotype" w:cs="Arial"/>
          <w:b/>
        </w:rPr>
        <w:t xml:space="preserve">Tercero. Notifíquese, </w:t>
      </w:r>
      <w:r w:rsidRPr="005A7D52">
        <w:rPr>
          <w:rFonts w:ascii="Palatino Linotype" w:hAnsi="Palatino Linotype" w:cs="Arial"/>
          <w:bCs/>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w:t>
      </w:r>
      <w:r w:rsidRPr="005A7D52">
        <w:rPr>
          <w:rFonts w:ascii="Palatino Linotype" w:hAnsi="Palatino Linotype" w:cs="Arial"/>
          <w:bCs/>
        </w:rPr>
        <w:lastRenderedPageBreak/>
        <w:t>de diez días hábiles, debiendo informar a este Instituto en un plazo de tres días hábiles siguientes sobre el cumplimiento dado a la misma</w:t>
      </w:r>
      <w:r w:rsidRPr="005A7D52">
        <w:rPr>
          <w:rFonts w:ascii="Palatino Linotype" w:hAnsi="Palatino Linotype" w:cs="Arial"/>
          <w:b/>
        </w:rPr>
        <w:t>.</w:t>
      </w:r>
    </w:p>
    <w:p w14:paraId="2F0D7E83" w14:textId="7444F332" w:rsidR="00543010" w:rsidRPr="005A7D52" w:rsidRDefault="00543010" w:rsidP="0016347B">
      <w:pPr>
        <w:spacing w:before="240" w:after="240" w:line="360" w:lineRule="auto"/>
        <w:jc w:val="both"/>
        <w:rPr>
          <w:rFonts w:ascii="Palatino Linotype" w:eastAsia="Calibri" w:hAnsi="Palatino Linotype" w:cs="Arial"/>
          <w:bCs/>
          <w:lang w:val="es-MX" w:eastAsia="en-US"/>
        </w:rPr>
      </w:pPr>
      <w:r w:rsidRPr="005A7D52">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1E8F1C" w14:textId="77777777" w:rsidR="00FA2B42" w:rsidRPr="005A7D52" w:rsidRDefault="00A96C12" w:rsidP="00FA2B42">
      <w:pPr>
        <w:spacing w:before="240" w:after="240" w:line="360" w:lineRule="auto"/>
        <w:jc w:val="both"/>
        <w:rPr>
          <w:rFonts w:ascii="Palatino Linotype" w:hAnsi="Palatino Linotype"/>
        </w:rPr>
      </w:pPr>
      <w:r w:rsidRPr="005A7D52">
        <w:rPr>
          <w:rFonts w:ascii="Palatino Linotype" w:hAnsi="Palatino Linotype" w:cs="Arial"/>
          <w:b/>
        </w:rPr>
        <w:t>Cuarto</w:t>
      </w:r>
      <w:r w:rsidR="00543010" w:rsidRPr="005A7D52">
        <w:rPr>
          <w:rFonts w:ascii="Palatino Linotype" w:hAnsi="Palatino Linotype" w:cs="Arial"/>
          <w:b/>
        </w:rPr>
        <w:t xml:space="preserve">.  </w:t>
      </w:r>
      <w:r w:rsidR="00FA2B42" w:rsidRPr="005A7D52">
        <w:rPr>
          <w:rFonts w:ascii="Palatino Linotype" w:hAnsi="Palatino Linotype" w:cs="Arial"/>
          <w:b/>
        </w:rPr>
        <w:t>Notifíquese,</w:t>
      </w:r>
      <w:r w:rsidR="00FA2B42" w:rsidRPr="005A7D52">
        <w:rPr>
          <w:rFonts w:ascii="Palatino Linotype" w:hAnsi="Palatino Linotype" w:cs="Arial"/>
        </w:rPr>
        <w:t xml:space="preserve"> </w:t>
      </w:r>
      <w:r w:rsidR="00FA2B42" w:rsidRPr="005A7D52">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7AD0297F" w:rsidR="0007536C" w:rsidRPr="005A7D52" w:rsidRDefault="0007536C" w:rsidP="00FA2B42">
      <w:pPr>
        <w:spacing w:before="240" w:after="240" w:line="360" w:lineRule="auto"/>
        <w:jc w:val="both"/>
        <w:rPr>
          <w:rFonts w:ascii="Palatino Linotype" w:hAnsi="Palatino Linotype" w:cs="Arial"/>
          <w:lang w:val="es-ES_tradnl"/>
        </w:rPr>
      </w:pPr>
      <w:r w:rsidRPr="005A7D52">
        <w:rPr>
          <w:rFonts w:ascii="Palatino Linotype" w:hAnsi="Palatino Linotype" w:cs="Arial"/>
        </w:rPr>
        <w:t>ASÍ LO RESUELVE, POR UNANIMIDAD DE VOTOS, EL PLENO DEL</w:t>
      </w:r>
      <w:r w:rsidRPr="005A7D52">
        <w:rPr>
          <w:rFonts w:ascii="Palatino Linotype" w:eastAsia="Arial Unicode MS" w:hAnsi="Palatino Linotype" w:cs="Arial"/>
        </w:rPr>
        <w:t xml:space="preserve"> INSTITUTO DE TRANSPARENCIA, ACCESO A LA INFORMACIÓN PÚBLICA Y PROTECCIÓN DE DATOS PERSONALES DEL ESTADO DE MÉXICO Y MUNICIPIOS</w:t>
      </w:r>
      <w:r w:rsidRPr="005A7D52">
        <w:rPr>
          <w:rFonts w:ascii="Palatino Linotype" w:hAnsi="Palatino Linotype" w:cs="Arial"/>
        </w:rPr>
        <w:t xml:space="preserve">, CONFORMADO POR LOS COMISIONADOS </w:t>
      </w:r>
      <w:r w:rsidRPr="005A7D52">
        <w:rPr>
          <w:rFonts w:ascii="Palatino Linotype" w:hAnsi="Palatino Linotype"/>
        </w:rPr>
        <w:t>JOSÉ MARTÍNEZ VILCHIS; SHARON CRISTINA MORALES MARTÍNEZ; MARÍA DEL ROSARIO MEJÍA AYALA; GUADALUPE RAMÍREZ PEÑA Y LUIS GUSTAVO PARRA NORIEGA;</w:t>
      </w:r>
      <w:r w:rsidR="00CE6B1B" w:rsidRPr="005A7D52">
        <w:rPr>
          <w:rFonts w:ascii="Palatino Linotype" w:hAnsi="Palatino Linotype" w:cs="Arial"/>
        </w:rPr>
        <w:t xml:space="preserve"> EN LA TRIGÉSIMO </w:t>
      </w:r>
      <w:r w:rsidR="00FA2B42" w:rsidRPr="005A7D52">
        <w:rPr>
          <w:rFonts w:ascii="Palatino Linotype" w:hAnsi="Palatino Linotype" w:cs="Arial"/>
        </w:rPr>
        <w:t>S</w:t>
      </w:r>
      <w:r w:rsidR="00B55EF9" w:rsidRPr="005A7D52">
        <w:rPr>
          <w:rFonts w:ascii="Palatino Linotype" w:hAnsi="Palatino Linotype" w:cs="Arial"/>
        </w:rPr>
        <w:t>ÉPTIMA</w:t>
      </w:r>
      <w:r w:rsidRPr="005A7D52">
        <w:rPr>
          <w:rFonts w:ascii="Palatino Linotype" w:hAnsi="Palatino Linotype" w:cs="Arial"/>
        </w:rPr>
        <w:t xml:space="preserve"> S</w:t>
      </w:r>
      <w:r w:rsidR="00CE6B1B" w:rsidRPr="005A7D52">
        <w:rPr>
          <w:rFonts w:ascii="Palatino Linotype" w:hAnsi="Palatino Linotype" w:cs="Arial"/>
        </w:rPr>
        <w:t>ESIÓN ORDINARIA CELEBRADA EL</w:t>
      </w:r>
      <w:r w:rsidR="0034259A" w:rsidRPr="005A7D52">
        <w:rPr>
          <w:rFonts w:ascii="Palatino Linotype" w:hAnsi="Palatino Linotype" w:cs="Arial"/>
        </w:rPr>
        <w:t xml:space="preserve"> </w:t>
      </w:r>
      <w:r w:rsidR="00B55EF9" w:rsidRPr="005A7D52">
        <w:rPr>
          <w:rFonts w:ascii="Palatino Linotype" w:hAnsi="Palatino Linotype" w:cs="Arial"/>
        </w:rPr>
        <w:t>VEINTE</w:t>
      </w:r>
      <w:r w:rsidR="00DF63AF" w:rsidRPr="005A7D52">
        <w:rPr>
          <w:rFonts w:ascii="Palatino Linotype" w:hAnsi="Palatino Linotype" w:cs="Arial"/>
        </w:rPr>
        <w:t xml:space="preserve"> DE OCTUBRE</w:t>
      </w:r>
      <w:r w:rsidRPr="005A7D52">
        <w:rPr>
          <w:rFonts w:ascii="Palatino Linotype" w:hAnsi="Palatino Linotype" w:cs="Arial"/>
        </w:rPr>
        <w:t xml:space="preserve"> DE DOS MIL VEINTIUNO, ANTE EL SECRETARIO TÉCNICO DEL PLENO, ALEXIS TAPIA</w:t>
      </w:r>
      <w:r w:rsidRPr="005A7D52">
        <w:rPr>
          <w:rFonts w:ascii="Palatino Linotype" w:hAnsi="Palatino Linotype" w:cs="Arial"/>
          <w:lang w:val="es-ES_tradnl"/>
        </w:rPr>
        <w:t xml:space="preserve"> RAMÍREZ.</w:t>
      </w:r>
    </w:p>
    <w:p w14:paraId="69B76F8E" w14:textId="41F4A3B5" w:rsidR="00046C81" w:rsidRPr="005A7D52" w:rsidRDefault="00046C81" w:rsidP="0016347B">
      <w:pPr>
        <w:spacing w:before="240" w:after="240"/>
        <w:jc w:val="both"/>
        <w:rPr>
          <w:rFonts w:ascii="Palatino Linotype" w:hAnsi="Palatino Linotype" w:cs="Arial"/>
          <w:sz w:val="20"/>
          <w:szCs w:val="20"/>
          <w:lang w:val="es-ES_tradnl"/>
        </w:rPr>
      </w:pPr>
    </w:p>
    <w:p w14:paraId="0FEA2B4A" w14:textId="56B02CA9" w:rsidR="009B0D78" w:rsidRPr="005A7D52" w:rsidRDefault="009B0D78" w:rsidP="0016347B">
      <w:pPr>
        <w:spacing w:before="240" w:after="240"/>
        <w:jc w:val="both"/>
        <w:rPr>
          <w:rFonts w:ascii="Palatino Linotype" w:hAnsi="Palatino Linotype" w:cs="Arial"/>
          <w:sz w:val="20"/>
          <w:szCs w:val="20"/>
          <w:lang w:val="es-ES_tradnl"/>
        </w:rPr>
      </w:pPr>
    </w:p>
    <w:p w14:paraId="6FDD0586" w14:textId="0D29D2B4" w:rsidR="009B0D78" w:rsidRPr="005A7D52" w:rsidRDefault="009B0D78" w:rsidP="0016347B">
      <w:pPr>
        <w:spacing w:before="240" w:after="240"/>
        <w:jc w:val="both"/>
        <w:rPr>
          <w:rFonts w:ascii="Palatino Linotype" w:hAnsi="Palatino Linotype" w:cs="Arial"/>
          <w:sz w:val="20"/>
          <w:szCs w:val="20"/>
          <w:lang w:val="es-ES_tradnl"/>
        </w:rPr>
      </w:pPr>
    </w:p>
    <w:p w14:paraId="188501F5" w14:textId="74D449B1" w:rsidR="009B0D78" w:rsidRPr="005A7D52" w:rsidRDefault="009B0D78" w:rsidP="0016347B">
      <w:pPr>
        <w:spacing w:before="240" w:after="240"/>
        <w:jc w:val="both"/>
        <w:rPr>
          <w:rFonts w:ascii="Palatino Linotype" w:hAnsi="Palatino Linotype" w:cs="Arial"/>
          <w:sz w:val="20"/>
          <w:szCs w:val="20"/>
          <w:lang w:val="es-ES_tradnl"/>
        </w:rPr>
      </w:pPr>
    </w:p>
    <w:p w14:paraId="06D37F00" w14:textId="24867AF0" w:rsidR="009B0D78" w:rsidRPr="005A7D52" w:rsidRDefault="009B0D78" w:rsidP="0016347B">
      <w:pPr>
        <w:spacing w:before="240" w:after="240"/>
        <w:jc w:val="both"/>
        <w:rPr>
          <w:rFonts w:ascii="Palatino Linotype" w:hAnsi="Palatino Linotype" w:cs="Arial"/>
          <w:sz w:val="20"/>
          <w:szCs w:val="20"/>
          <w:lang w:val="es-ES_tradnl"/>
        </w:rPr>
      </w:pPr>
    </w:p>
    <w:p w14:paraId="13F1AE8E" w14:textId="73A0A941" w:rsidR="009B0D78" w:rsidRPr="005A7D52" w:rsidRDefault="009B0D78" w:rsidP="0016347B">
      <w:pPr>
        <w:spacing w:before="240" w:after="240"/>
        <w:jc w:val="both"/>
        <w:rPr>
          <w:rFonts w:ascii="Palatino Linotype" w:hAnsi="Palatino Linotype" w:cs="Arial"/>
          <w:sz w:val="20"/>
          <w:szCs w:val="20"/>
          <w:lang w:val="es-ES_tradnl"/>
        </w:rPr>
      </w:pPr>
    </w:p>
    <w:p w14:paraId="6ABB7AA7" w14:textId="1D8ED46E" w:rsidR="009B0D78" w:rsidRPr="005A7D52" w:rsidRDefault="009B0D78" w:rsidP="0016347B">
      <w:pPr>
        <w:spacing w:before="240" w:after="240"/>
        <w:jc w:val="both"/>
        <w:rPr>
          <w:rFonts w:ascii="Palatino Linotype" w:hAnsi="Palatino Linotype" w:cs="Arial"/>
          <w:sz w:val="20"/>
          <w:szCs w:val="20"/>
          <w:lang w:val="es-ES_tradnl"/>
        </w:rPr>
      </w:pPr>
    </w:p>
    <w:p w14:paraId="58248052" w14:textId="0B5BBCCF" w:rsidR="009B0D78" w:rsidRPr="005A7D52" w:rsidRDefault="009B0D78" w:rsidP="0016347B">
      <w:pPr>
        <w:spacing w:before="240" w:after="240"/>
        <w:jc w:val="both"/>
        <w:rPr>
          <w:rFonts w:ascii="Palatino Linotype" w:hAnsi="Palatino Linotype" w:cs="Arial"/>
          <w:sz w:val="20"/>
          <w:szCs w:val="20"/>
          <w:lang w:val="es-ES_tradnl"/>
        </w:rPr>
      </w:pPr>
    </w:p>
    <w:p w14:paraId="5966FDB5" w14:textId="5F1FDE8C" w:rsidR="009B0D78" w:rsidRPr="005A7D52" w:rsidRDefault="009B0D78" w:rsidP="0016347B">
      <w:pPr>
        <w:spacing w:before="240" w:after="240"/>
        <w:jc w:val="both"/>
        <w:rPr>
          <w:rFonts w:ascii="Palatino Linotype" w:hAnsi="Palatino Linotype" w:cs="Arial"/>
          <w:sz w:val="20"/>
          <w:szCs w:val="20"/>
          <w:lang w:val="es-ES_tradnl"/>
        </w:rPr>
      </w:pPr>
    </w:p>
    <w:p w14:paraId="64A979DF" w14:textId="54B5581F" w:rsidR="009B0D78" w:rsidRPr="005A7D52" w:rsidRDefault="009B0D78" w:rsidP="0016347B">
      <w:pPr>
        <w:spacing w:before="240" w:after="240"/>
        <w:jc w:val="both"/>
        <w:rPr>
          <w:rFonts w:ascii="Palatino Linotype" w:hAnsi="Palatino Linotype" w:cs="Arial"/>
          <w:sz w:val="20"/>
          <w:szCs w:val="20"/>
          <w:lang w:val="es-ES_tradnl"/>
        </w:rPr>
      </w:pPr>
    </w:p>
    <w:p w14:paraId="4C027D9E" w14:textId="169A06DE" w:rsidR="009B0D78" w:rsidRPr="005A7D52" w:rsidRDefault="009B0D78" w:rsidP="0016347B">
      <w:pPr>
        <w:spacing w:before="240" w:after="240"/>
        <w:jc w:val="both"/>
        <w:rPr>
          <w:rFonts w:ascii="Palatino Linotype" w:hAnsi="Palatino Linotype" w:cs="Arial"/>
          <w:sz w:val="20"/>
          <w:szCs w:val="20"/>
          <w:lang w:val="es-ES_tradnl"/>
        </w:rPr>
      </w:pPr>
    </w:p>
    <w:p w14:paraId="2E063EC7" w14:textId="40A320C0" w:rsidR="009B0D78" w:rsidRPr="005A7D52" w:rsidRDefault="009B0D78" w:rsidP="0016347B">
      <w:pPr>
        <w:spacing w:before="240" w:after="240"/>
        <w:jc w:val="both"/>
        <w:rPr>
          <w:rFonts w:ascii="Palatino Linotype" w:hAnsi="Palatino Linotype" w:cs="Arial"/>
          <w:sz w:val="20"/>
          <w:szCs w:val="20"/>
          <w:lang w:val="es-ES_tradnl"/>
        </w:rPr>
      </w:pPr>
    </w:p>
    <w:p w14:paraId="4D2C3207" w14:textId="33880CF0" w:rsidR="009B0D78" w:rsidRPr="005A7D52" w:rsidRDefault="009B0D78" w:rsidP="0016347B">
      <w:pPr>
        <w:spacing w:before="240" w:after="240"/>
        <w:jc w:val="both"/>
        <w:rPr>
          <w:rFonts w:ascii="Palatino Linotype" w:hAnsi="Palatino Linotype" w:cs="Arial"/>
          <w:sz w:val="20"/>
          <w:szCs w:val="20"/>
          <w:lang w:val="es-ES_tradnl"/>
        </w:rPr>
      </w:pPr>
    </w:p>
    <w:p w14:paraId="0565173A" w14:textId="1238BCDA" w:rsidR="009B0D78" w:rsidRPr="005A7D52" w:rsidRDefault="009B0D78" w:rsidP="0016347B">
      <w:pPr>
        <w:spacing w:before="240" w:after="240"/>
        <w:jc w:val="both"/>
        <w:rPr>
          <w:rFonts w:ascii="Palatino Linotype" w:hAnsi="Palatino Linotype" w:cs="Arial"/>
          <w:sz w:val="20"/>
          <w:szCs w:val="20"/>
          <w:lang w:val="es-ES_tradnl"/>
        </w:rPr>
      </w:pPr>
    </w:p>
    <w:p w14:paraId="25B1B430" w14:textId="2D5A69BC" w:rsidR="009B0D78" w:rsidRPr="005A7D52" w:rsidRDefault="009B0D78" w:rsidP="0016347B">
      <w:pPr>
        <w:spacing w:before="240" w:after="240"/>
        <w:jc w:val="both"/>
        <w:rPr>
          <w:rFonts w:ascii="Palatino Linotype" w:hAnsi="Palatino Linotype" w:cs="Arial"/>
          <w:sz w:val="20"/>
          <w:szCs w:val="20"/>
          <w:lang w:val="es-ES_tradnl"/>
        </w:rPr>
      </w:pPr>
    </w:p>
    <w:p w14:paraId="0097120A" w14:textId="3E9BBAB6" w:rsidR="009B0D78" w:rsidRPr="005A7D52" w:rsidRDefault="009B0D78" w:rsidP="0016347B">
      <w:pPr>
        <w:spacing w:before="240" w:after="240"/>
        <w:jc w:val="both"/>
        <w:rPr>
          <w:rFonts w:ascii="Palatino Linotype" w:hAnsi="Palatino Linotype" w:cs="Arial"/>
          <w:sz w:val="20"/>
          <w:szCs w:val="20"/>
          <w:lang w:val="es-ES_tradnl"/>
        </w:rPr>
      </w:pPr>
    </w:p>
    <w:p w14:paraId="7756B0FB" w14:textId="53D082D2" w:rsidR="009B0D78" w:rsidRPr="005A7D52" w:rsidRDefault="009B0D78" w:rsidP="0016347B">
      <w:pPr>
        <w:spacing w:before="240" w:after="240"/>
        <w:jc w:val="both"/>
        <w:rPr>
          <w:rFonts w:ascii="Palatino Linotype" w:hAnsi="Palatino Linotype" w:cs="Arial"/>
          <w:sz w:val="20"/>
          <w:szCs w:val="20"/>
          <w:lang w:val="es-ES_tradnl"/>
        </w:rPr>
      </w:pPr>
    </w:p>
    <w:p w14:paraId="01379307" w14:textId="4C1013C3" w:rsidR="009B0D78" w:rsidRPr="005A7D52" w:rsidRDefault="009B0D78" w:rsidP="0016347B">
      <w:pPr>
        <w:spacing w:before="240" w:after="240"/>
        <w:jc w:val="both"/>
        <w:rPr>
          <w:rFonts w:ascii="Palatino Linotype" w:hAnsi="Palatino Linotype" w:cs="Arial"/>
          <w:sz w:val="20"/>
          <w:szCs w:val="20"/>
          <w:lang w:val="es-ES_tradnl"/>
        </w:rPr>
      </w:pPr>
    </w:p>
    <w:p w14:paraId="1FD2FDBA" w14:textId="7C5C9E5C" w:rsidR="009B0D78" w:rsidRPr="005A7D52" w:rsidRDefault="009B0D78" w:rsidP="0016347B">
      <w:pPr>
        <w:spacing w:before="240" w:after="240"/>
        <w:jc w:val="both"/>
        <w:rPr>
          <w:rFonts w:ascii="Palatino Linotype" w:hAnsi="Palatino Linotype" w:cs="Arial"/>
          <w:sz w:val="20"/>
          <w:szCs w:val="20"/>
          <w:lang w:val="es-ES_tradnl"/>
        </w:rPr>
      </w:pPr>
    </w:p>
    <w:p w14:paraId="08342ECE" w14:textId="54F44038" w:rsidR="009B0D78" w:rsidRPr="005A7D52" w:rsidRDefault="009B0D78" w:rsidP="0016347B">
      <w:pPr>
        <w:spacing w:before="240" w:after="240"/>
        <w:jc w:val="both"/>
        <w:rPr>
          <w:rFonts w:ascii="Palatino Linotype" w:hAnsi="Palatino Linotype" w:cs="Arial"/>
          <w:sz w:val="20"/>
          <w:szCs w:val="20"/>
          <w:lang w:val="es-ES_tradnl"/>
        </w:rPr>
      </w:pPr>
    </w:p>
    <w:p w14:paraId="395084B4" w14:textId="60FFB77E" w:rsidR="009B0D78" w:rsidRPr="005A7D52" w:rsidRDefault="009B0D78" w:rsidP="0016347B">
      <w:pPr>
        <w:spacing w:before="240" w:after="240"/>
        <w:jc w:val="both"/>
        <w:rPr>
          <w:rFonts w:ascii="Palatino Linotype" w:hAnsi="Palatino Linotype" w:cs="Arial"/>
          <w:sz w:val="20"/>
          <w:szCs w:val="20"/>
          <w:lang w:val="es-ES_tradnl"/>
        </w:rPr>
      </w:pPr>
    </w:p>
    <w:p w14:paraId="4D2F4F43" w14:textId="2B00AC29" w:rsidR="009B0D78" w:rsidRPr="005A7D52" w:rsidRDefault="009B0D78" w:rsidP="0016347B">
      <w:pPr>
        <w:spacing w:before="240" w:after="240"/>
        <w:jc w:val="both"/>
        <w:rPr>
          <w:rFonts w:ascii="Palatino Linotype" w:hAnsi="Palatino Linotype" w:cs="Arial"/>
          <w:sz w:val="20"/>
          <w:szCs w:val="20"/>
          <w:lang w:val="es-ES_tradnl"/>
        </w:rPr>
      </w:pPr>
    </w:p>
    <w:p w14:paraId="53D96D2C" w14:textId="573E0760" w:rsidR="009B0D78" w:rsidRPr="005A7D52" w:rsidRDefault="009B0D78" w:rsidP="0016347B">
      <w:pPr>
        <w:spacing w:before="240" w:after="240"/>
        <w:jc w:val="both"/>
        <w:rPr>
          <w:rFonts w:ascii="Palatino Linotype" w:hAnsi="Palatino Linotype" w:cs="Arial"/>
          <w:sz w:val="20"/>
          <w:szCs w:val="20"/>
          <w:lang w:val="es-ES_tradnl"/>
        </w:rPr>
      </w:pPr>
    </w:p>
    <w:p w14:paraId="01ADD847" w14:textId="77777777" w:rsidR="009B0D78" w:rsidRPr="005A7D52" w:rsidRDefault="009B0D78" w:rsidP="0016347B">
      <w:pPr>
        <w:spacing w:before="240" w:after="240"/>
        <w:jc w:val="both"/>
        <w:rPr>
          <w:rFonts w:ascii="Palatino Linotype" w:hAnsi="Palatino Linotype" w:cs="Arial"/>
          <w:sz w:val="20"/>
          <w:szCs w:val="20"/>
          <w:lang w:val="es-ES_tradnl"/>
        </w:rPr>
      </w:pPr>
    </w:p>
    <w:sectPr w:rsidR="009B0D78" w:rsidRPr="005A7D52"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D764F4" w:rsidRDefault="00D764F4" w:rsidP="00C80F8C">
      <w:r>
        <w:separator/>
      </w:r>
    </w:p>
  </w:endnote>
  <w:endnote w:type="continuationSeparator" w:id="0">
    <w:p w14:paraId="07FDFF50" w14:textId="77777777" w:rsidR="00D764F4" w:rsidRDefault="00D764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Bol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D764F4" w:rsidRPr="00F12350" w:rsidRDefault="00D764F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5417">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541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A8CE916" w14:textId="77777777" w:rsidR="00D764F4" w:rsidRDefault="00D764F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D764F4" w:rsidRPr="00F12350" w:rsidRDefault="00D764F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541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541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51343F66" w14:textId="77777777" w:rsidR="00D764F4" w:rsidRDefault="00D76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D764F4" w:rsidRDefault="00D764F4" w:rsidP="00C80F8C">
      <w:r>
        <w:separator/>
      </w:r>
    </w:p>
  </w:footnote>
  <w:footnote w:type="continuationSeparator" w:id="0">
    <w:p w14:paraId="2F6647D6" w14:textId="77777777" w:rsidR="00D764F4" w:rsidRDefault="00D764F4" w:rsidP="00C80F8C">
      <w:r>
        <w:continuationSeparator/>
      </w:r>
    </w:p>
  </w:footnote>
  <w:footnote w:id="1">
    <w:p w14:paraId="79AB4FF9" w14:textId="77777777" w:rsidR="00D764F4" w:rsidRPr="00B55EF9" w:rsidRDefault="00D764F4" w:rsidP="00991B1F">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“Artículo 185. El Instituto resolverá el recurso de revisión conforme a lo siguiente: (…)</w:t>
      </w:r>
    </w:p>
    <w:p w14:paraId="3C2803CF" w14:textId="77777777" w:rsidR="00D764F4" w:rsidRPr="00B55EF9" w:rsidRDefault="00D764F4" w:rsidP="00991B1F">
      <w:pPr>
        <w:pStyle w:val="Textonotapie"/>
        <w:jc w:val="both"/>
        <w:rPr>
          <w:rFonts w:ascii="Palatino Linotype" w:hAnsi="Palatino Linotype" w:cs="Courier New"/>
          <w:sz w:val="16"/>
          <w:szCs w:val="16"/>
        </w:rPr>
      </w:pPr>
      <w:r w:rsidRPr="00B55EF9">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1D3E57C" w14:textId="77777777" w:rsidR="00D908C3" w:rsidRPr="00B55EF9" w:rsidRDefault="00D908C3" w:rsidP="00991B1F">
      <w:pPr>
        <w:ind w:right="-91"/>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w:t>
      </w:r>
      <w:r w:rsidRPr="00B55EF9">
        <w:rPr>
          <w:rFonts w:ascii="Palatino Linotype" w:hAnsi="Palatino Linotype" w:cs="Courier New"/>
          <w:b/>
          <w:sz w:val="16"/>
          <w:szCs w:val="16"/>
        </w:rPr>
        <w:t>“Artículo 115.</w:t>
      </w:r>
      <w:r w:rsidRPr="00B55EF9">
        <w:rPr>
          <w:rFonts w:ascii="Palatino Linotype" w:hAnsi="Palatino Linotype" w:cs="Courier New"/>
          <w:sz w:val="16"/>
          <w:szCs w:val="1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 </w:t>
      </w:r>
      <w:r w:rsidRPr="00B55EF9">
        <w:rPr>
          <w:rFonts w:ascii="Palatino Linotype" w:hAnsi="Palatino Linotype" w:cs="Courier New"/>
          <w:b/>
          <w:bCs/>
          <w:sz w:val="16"/>
          <w:szCs w:val="16"/>
        </w:rPr>
        <w:t>IV. …</w:t>
      </w:r>
      <w:r w:rsidRPr="00B55EF9">
        <w:rPr>
          <w:rFonts w:ascii="Palatino Linotype" w:hAnsi="Palatino Linotype" w:cs="Courier New"/>
          <w:bCs/>
          <w:sz w:val="16"/>
          <w:szCs w:val="16"/>
        </w:rPr>
        <w:t xml:space="preserve">Las legislaturas de los Estados aprobarán las leyes de ingresos de los municipios, revisarán y fiscalizarán sus cuentas públicas. </w:t>
      </w:r>
      <w:r w:rsidRPr="00B55EF9">
        <w:rPr>
          <w:rFonts w:ascii="Palatino Linotype" w:hAnsi="Palatino Linotype" w:cs="Courier New"/>
          <w:b/>
          <w:bCs/>
          <w:sz w:val="16"/>
          <w:szCs w:val="16"/>
        </w:rPr>
        <w:t xml:space="preserve">Los presupuestos de egresos serán aprobados por los ayuntamientos </w:t>
      </w:r>
      <w:r w:rsidRPr="00B55EF9">
        <w:rPr>
          <w:rFonts w:ascii="Palatino Linotype" w:hAnsi="Palatino Linotype" w:cs="Courier New"/>
          <w:bCs/>
          <w:sz w:val="16"/>
          <w:szCs w:val="16"/>
        </w:rPr>
        <w:t>con base en sus ingresos disponibles, y deberán incluir en los mismos, los tabuladores desglosados de las remuneraciones que perciban los servidores públicos municipales, sujetándose a lo dispuesto en el artículo 127 de esta Constitución.”</w:t>
      </w:r>
    </w:p>
  </w:footnote>
  <w:footnote w:id="3">
    <w:p w14:paraId="1917ACED" w14:textId="77777777" w:rsidR="00D908C3" w:rsidRPr="00B55EF9" w:rsidRDefault="00D908C3" w:rsidP="00991B1F">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Artículo 125.- Los municipios administrarán libremente su hacienda, la cual se formará de los rendimientos de los bienes que les pertenezcan, así como de las contribuciones y otros ingresos que la ley establezca, y en todo caso: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Presidente Municipal, promulgará y publicará el Presupuesto de Egresos Municipal, a más tardar el día 25 de febrero de cada año debiendo enviarlo al Órgano Superior de Fiscalización en la misma fecha. El Presupuesto deberá incluir los tabuladores desglosados de las remuneraciones que perciban los servidores públicos municipales, sujetándose a lo dispuesto en el artículo 147 de esta Constitución…</w:t>
      </w:r>
    </w:p>
  </w:footnote>
  <w:footnote w:id="4">
    <w:p w14:paraId="5737F034" w14:textId="77777777" w:rsidR="0019476D" w:rsidRPr="00B55EF9" w:rsidRDefault="0019476D" w:rsidP="00991B1F">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w:t>
      </w:r>
      <w:r w:rsidRPr="00B55EF9">
        <w:rPr>
          <w:rFonts w:ascii="Palatino Linotype" w:hAnsi="Palatino Linotype" w:cs="Courier New"/>
          <w:b/>
          <w:sz w:val="16"/>
          <w:szCs w:val="16"/>
        </w:rPr>
        <w:t xml:space="preserve">Artículo 2.- </w:t>
      </w:r>
      <w:r w:rsidRPr="00B55EF9">
        <w:rPr>
          <w:rFonts w:ascii="Palatino Linotype" w:hAnsi="Palatino Linotype" w:cs="Courier New"/>
          <w:b/>
          <w:sz w:val="16"/>
          <w:szCs w:val="16"/>
          <w:u w:val="single"/>
        </w:rPr>
        <w:t>Para los efectos de la presente Ley, se entenderá por</w:t>
      </w:r>
      <w:r w:rsidRPr="00B55EF9">
        <w:rPr>
          <w:rFonts w:ascii="Palatino Linotype" w:hAnsi="Palatino Linotype" w:cs="Courier New"/>
          <w:sz w:val="16"/>
          <w:szCs w:val="16"/>
        </w:rPr>
        <w:t>:</w:t>
      </w:r>
    </w:p>
    <w:p w14:paraId="1806D9D4" w14:textId="08C53E18" w:rsidR="0019476D" w:rsidRPr="00B55EF9" w:rsidRDefault="0019476D" w:rsidP="00991B1F">
      <w:pPr>
        <w:pStyle w:val="Textonotapie"/>
        <w:jc w:val="both"/>
        <w:rPr>
          <w:rFonts w:ascii="Palatino Linotype" w:hAnsi="Palatino Linotype" w:cs="Courier New"/>
          <w:sz w:val="16"/>
          <w:szCs w:val="16"/>
        </w:rPr>
      </w:pPr>
      <w:r w:rsidRPr="00B55EF9">
        <w:rPr>
          <w:rFonts w:ascii="Palatino Linotype" w:hAnsi="Palatino Linotype" w:cs="Courier New"/>
          <w:sz w:val="16"/>
          <w:szCs w:val="16"/>
        </w:rPr>
        <w:t>…</w:t>
      </w:r>
    </w:p>
    <w:p w14:paraId="59DF52CF" w14:textId="1C525302" w:rsidR="0019476D" w:rsidRPr="00B55EF9" w:rsidRDefault="00991B1F" w:rsidP="00991B1F">
      <w:pPr>
        <w:pStyle w:val="Textonotapie"/>
        <w:jc w:val="both"/>
        <w:rPr>
          <w:rFonts w:ascii="Palatino Linotype" w:hAnsi="Palatino Linotype" w:cs="Courier New"/>
          <w:sz w:val="16"/>
          <w:szCs w:val="16"/>
        </w:rPr>
      </w:pPr>
      <w:r w:rsidRPr="00B55EF9">
        <w:rPr>
          <w:rFonts w:ascii="Palatino Linotype" w:hAnsi="Palatino Linotype" w:cs="Courier New"/>
          <w:b/>
          <w:bCs/>
          <w:sz w:val="16"/>
          <w:szCs w:val="16"/>
        </w:rPr>
        <w:t xml:space="preserve">XI. Informe Trimestral: </w:t>
      </w:r>
      <w:r w:rsidRPr="00B55EF9">
        <w:rPr>
          <w:rFonts w:ascii="Palatino Linotype" w:hAnsi="Palatino Linotype" w:cs="Courier New"/>
          <w:sz w:val="16"/>
          <w:szCs w:val="16"/>
        </w:rPr>
        <w:t xml:space="preserve">Al </w:t>
      </w:r>
      <w:r w:rsidRPr="00B55EF9">
        <w:rPr>
          <w:rFonts w:ascii="Palatino Linotype" w:hAnsi="Palatino Linotype" w:cs="Courier New"/>
          <w:b/>
          <w:bCs/>
          <w:sz w:val="16"/>
          <w:szCs w:val="16"/>
        </w:rPr>
        <w:t>documento físico y/o electrónico que trimestralmente presentan las entidades fiscalizables sobre la situación económica, las finanzas públicas, y en su caso deuda pública para su análisis al Órgano Superior,</w:t>
      </w:r>
      <w:r w:rsidRPr="00B55EF9">
        <w:rPr>
          <w:rFonts w:ascii="Palatino Linotype" w:hAnsi="Palatino Linotype" w:cs="Courier New"/>
          <w:sz w:val="16"/>
          <w:szCs w:val="16"/>
        </w:rPr>
        <w:t xml:space="preserve"> </w:t>
      </w:r>
      <w:r w:rsidRPr="00B55EF9">
        <w:rPr>
          <w:rFonts w:ascii="Palatino Linotype" w:hAnsi="Palatino Linotype" w:cs="Courier New"/>
          <w:b/>
          <w:bCs/>
          <w:sz w:val="16"/>
          <w:szCs w:val="16"/>
        </w:rPr>
        <w:t>a través de las tesorerías municipales</w:t>
      </w:r>
      <w:r w:rsidRPr="00B55EF9">
        <w:rPr>
          <w:rFonts w:ascii="Palatino Linotype" w:hAnsi="Palatino Linotype" w:cs="Courier New"/>
          <w:sz w:val="16"/>
          <w:szCs w:val="16"/>
        </w:rPr>
        <w:t xml:space="preserve"> y la Secretaría de Finanzas y, en su caso, las áreas competentes;</w:t>
      </w:r>
    </w:p>
  </w:footnote>
  <w:footnote w:id="5">
    <w:p w14:paraId="3C51C2A2" w14:textId="77777777" w:rsidR="00D908C3" w:rsidRPr="00B55EF9" w:rsidRDefault="00D908C3" w:rsidP="00991B1F">
      <w:pPr>
        <w:ind w:right="-91"/>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w:t>
      </w:r>
      <w:r w:rsidRPr="00B55EF9">
        <w:rPr>
          <w:rFonts w:ascii="Palatino Linotype" w:hAnsi="Palatino Linotype" w:cs="Courier New"/>
          <w:b/>
          <w:sz w:val="16"/>
          <w:szCs w:val="16"/>
        </w:rPr>
        <w:t>Artículo 28.-</w:t>
      </w:r>
      <w:r w:rsidRPr="00B55EF9">
        <w:rPr>
          <w:rFonts w:ascii="Palatino Linotype" w:hAnsi="Palatino Linotype" w:cs="Courier New"/>
          <w:sz w:val="16"/>
          <w:szCs w:val="16"/>
        </w:rPr>
        <w:t xml:space="preserve"> La licitación pública, conforme a los medios que se utilicen, podrá ser: </w:t>
      </w:r>
    </w:p>
    <w:p w14:paraId="27A4A615" w14:textId="77777777" w:rsidR="00D908C3" w:rsidRPr="00B55EF9" w:rsidRDefault="00D908C3" w:rsidP="00991B1F">
      <w:pPr>
        <w:ind w:right="-91"/>
        <w:jc w:val="both"/>
        <w:rPr>
          <w:rFonts w:ascii="Palatino Linotype" w:hAnsi="Palatino Linotype" w:cs="Courier New"/>
          <w:sz w:val="16"/>
          <w:szCs w:val="16"/>
        </w:rPr>
      </w:pPr>
      <w:r w:rsidRPr="00B55EF9">
        <w:rPr>
          <w:rFonts w:ascii="Palatino Linotype" w:hAnsi="Palatino Linotype" w:cs="Courier New"/>
          <w:sz w:val="16"/>
          <w:szCs w:val="16"/>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72843650" w14:textId="77777777" w:rsidR="00D908C3" w:rsidRPr="00B55EF9" w:rsidRDefault="00D908C3" w:rsidP="00991B1F">
      <w:pPr>
        <w:ind w:right="-91"/>
        <w:jc w:val="both"/>
        <w:rPr>
          <w:rFonts w:ascii="Palatino Linotype" w:hAnsi="Palatino Linotype" w:cs="Courier New"/>
          <w:sz w:val="16"/>
          <w:szCs w:val="16"/>
        </w:rPr>
      </w:pPr>
      <w:r w:rsidRPr="00B55EF9">
        <w:rPr>
          <w:rFonts w:ascii="Palatino Linotype" w:hAnsi="Palatino Linotype" w:cs="Courier New"/>
          <w:sz w:val="16"/>
          <w:szCs w:val="16"/>
        </w:rPr>
        <w:t xml:space="preserve">Bajo esta modalidad, la o las juntas de aclaraciones, el acto de presentación y la apertura de propuestas se realizarán de manera presencial, a los cuales podrán asistir los licitantes. </w:t>
      </w:r>
    </w:p>
    <w:p w14:paraId="55248E3A" w14:textId="77777777" w:rsidR="00D908C3" w:rsidRPr="00B55EF9" w:rsidRDefault="00D908C3" w:rsidP="00991B1F">
      <w:pPr>
        <w:ind w:right="-91"/>
        <w:jc w:val="both"/>
        <w:rPr>
          <w:rFonts w:ascii="Palatino Linotype" w:hAnsi="Palatino Linotype" w:cs="Courier New"/>
          <w:sz w:val="16"/>
          <w:szCs w:val="16"/>
        </w:rPr>
      </w:pPr>
      <w:r w:rsidRPr="00B55EF9">
        <w:rPr>
          <w:rFonts w:ascii="Palatino Linotype" w:hAnsi="Palatino Linotype" w:cs="Courier New"/>
          <w:sz w:val="16"/>
          <w:szCs w:val="16"/>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767127F3" w14:textId="77777777" w:rsidR="00D908C3" w:rsidRPr="00B55EF9" w:rsidRDefault="00D908C3" w:rsidP="00991B1F">
      <w:pPr>
        <w:ind w:right="-91"/>
        <w:jc w:val="both"/>
        <w:rPr>
          <w:rFonts w:ascii="Palatino Linotype" w:hAnsi="Palatino Linotype" w:cs="Courier New"/>
          <w:sz w:val="16"/>
          <w:szCs w:val="16"/>
        </w:rPr>
      </w:pPr>
      <w:r w:rsidRPr="00B55EF9">
        <w:rPr>
          <w:rFonts w:ascii="Palatino Linotype" w:hAnsi="Palatino Linotype" w:cs="Courier New"/>
          <w:sz w:val="16"/>
          <w:szCs w:val="16"/>
        </w:rPr>
        <w:t xml:space="preserve">Bajo esta modalidad, la o las juntas de aclaraciones, el acto de presentación, la apertura de propuestas y el acto de fallo sólo se realizarán a través de COMPRAMEX y sin la presencia de los licitantes en dichos actos, y </w:t>
      </w:r>
    </w:p>
    <w:p w14:paraId="6E169028" w14:textId="77777777" w:rsidR="00D908C3" w:rsidRPr="00B55EF9" w:rsidRDefault="00D908C3" w:rsidP="00991B1F">
      <w:pPr>
        <w:ind w:right="-91"/>
        <w:jc w:val="both"/>
        <w:rPr>
          <w:rFonts w:ascii="Palatino Linotype" w:hAnsi="Palatino Linotype" w:cs="Courier New"/>
          <w:sz w:val="16"/>
          <w:szCs w:val="16"/>
        </w:rPr>
      </w:pPr>
      <w:r w:rsidRPr="00B55EF9">
        <w:rPr>
          <w:rFonts w:ascii="Palatino Linotype" w:hAnsi="Palatino Linotype" w:cs="Courier New"/>
          <w:sz w:val="16"/>
          <w:szCs w:val="16"/>
        </w:rPr>
        <w:t>III. Mixta, en la cual los licitantes, a su elección, podrán participar en forma presencial o electrónica en la o las juntas de aclaraciones, en el acto de presentación y en la apertura de propuestas, y el acto de fallo.”</w:t>
      </w:r>
    </w:p>
    <w:p w14:paraId="72A54A89" w14:textId="77777777" w:rsidR="00D908C3" w:rsidRPr="00B55EF9" w:rsidRDefault="00D908C3" w:rsidP="00991B1F">
      <w:pPr>
        <w:pStyle w:val="Textonotapie"/>
        <w:jc w:val="both"/>
        <w:rPr>
          <w:rFonts w:ascii="Palatino Linotype" w:hAnsi="Palatino Linotype" w:cs="Courier New"/>
          <w:sz w:val="16"/>
          <w:szCs w:val="16"/>
        </w:rPr>
      </w:pPr>
    </w:p>
  </w:footnote>
  <w:footnote w:id="6">
    <w:p w14:paraId="4A295B49" w14:textId="77777777" w:rsidR="00D908C3" w:rsidRPr="00B55EF9" w:rsidRDefault="00D908C3" w:rsidP="00991B1F">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Cfr. Artículo 27 de la Ley de Contratación Pública del Estado de México y Municipios</w:t>
      </w:r>
    </w:p>
  </w:footnote>
  <w:footnote w:id="7">
    <w:p w14:paraId="2F9FE08E" w14:textId="77777777" w:rsidR="00D908C3" w:rsidRPr="00B55EF9" w:rsidRDefault="00D908C3" w:rsidP="00991B1F">
      <w:pPr>
        <w:pStyle w:val="Textonotapie"/>
        <w:jc w:val="both"/>
        <w:rPr>
          <w:rFonts w:ascii="Palatino Linotype" w:hAnsi="Palatino Linotype" w:cs="Courier New"/>
          <w:sz w:val="16"/>
          <w:szCs w:val="16"/>
        </w:rPr>
      </w:pPr>
      <w:r w:rsidRPr="00B55EF9">
        <w:rPr>
          <w:rStyle w:val="Refdenotaalpie"/>
          <w:rFonts w:ascii="Palatino Linotype" w:hAnsi="Palatino Linotype" w:cs="Courier New"/>
          <w:sz w:val="16"/>
          <w:szCs w:val="16"/>
        </w:rPr>
        <w:footnoteRef/>
      </w:r>
      <w:r w:rsidRPr="00B55EF9">
        <w:rPr>
          <w:rFonts w:ascii="Palatino Linotype" w:hAnsi="Palatino Linotype" w:cs="Courier New"/>
          <w:sz w:val="16"/>
          <w:szCs w:val="16"/>
        </w:rPr>
        <w:t xml:space="preserve"> Artículo 2.- Para los efectos de este Reglamento, se entenderá por: … XI. Comité: Órgano colegiado con facultades de opinión, que tiene por objeto auxiliar a la Secretaría, organismos auxiliares, tribunales administrativos o municipios, en la preparación y substanciación de los procedimientos de adquisiciones, servicios, arrendamientos y enajenaciones. Reglamento de la Ley de Contratación Pública del Estado de México y Municipios.</w:t>
      </w:r>
    </w:p>
  </w:footnote>
  <w:footnote w:id="8">
    <w:p w14:paraId="6C2D3E58" w14:textId="77777777" w:rsidR="00A063F5" w:rsidRPr="00B55EF9" w:rsidRDefault="00A063F5" w:rsidP="00A063F5">
      <w:pPr>
        <w:pStyle w:val="Textonotapie"/>
        <w:jc w:val="both"/>
        <w:rPr>
          <w:rFonts w:ascii="Palatino Linotype" w:hAnsi="Palatino Linotype"/>
          <w:i/>
          <w:sz w:val="16"/>
          <w:szCs w:val="16"/>
        </w:rPr>
      </w:pPr>
      <w:r w:rsidRPr="00B55EF9">
        <w:rPr>
          <w:rStyle w:val="Refdenotaalpie"/>
          <w:rFonts w:ascii="Palatino Linotype" w:hAnsi="Palatino Linotype"/>
          <w:sz w:val="16"/>
          <w:szCs w:val="16"/>
        </w:rPr>
        <w:footnoteRef/>
      </w:r>
      <w:r w:rsidRPr="00B55EF9">
        <w:rPr>
          <w:rFonts w:ascii="Palatino Linotype" w:hAnsi="Palatino Linotype"/>
          <w:sz w:val="16"/>
          <w:szCs w:val="16"/>
        </w:rPr>
        <w:t xml:space="preserve"> </w:t>
      </w:r>
      <w:r w:rsidRPr="00B55EF9">
        <w:rPr>
          <w:rFonts w:ascii="Palatino Linotype" w:hAnsi="Palatino Linotype"/>
          <w:b/>
          <w:i/>
          <w:sz w:val="16"/>
          <w:szCs w:val="16"/>
        </w:rPr>
        <w:t>Artículo 46</w:t>
      </w:r>
      <w:r w:rsidRPr="00B55EF9">
        <w:rPr>
          <w:rFonts w:ascii="Palatino Linotype" w:hAnsi="Palatino Linotype"/>
          <w:i/>
          <w:sz w:val="16"/>
          <w:szCs w:val="16"/>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D764F4" w:rsidRDefault="00D764F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D764F4" w:rsidRPr="008A510F" w14:paraId="18B3AC9D" w14:textId="77777777" w:rsidTr="00DF49AD">
      <w:tc>
        <w:tcPr>
          <w:tcW w:w="2489" w:type="dxa"/>
          <w:shd w:val="clear" w:color="auto" w:fill="auto"/>
        </w:tcPr>
        <w:p w14:paraId="6522F859" w14:textId="4A4929A6" w:rsidR="00D764F4" w:rsidRPr="008A510F" w:rsidRDefault="00D764F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9D917ED" w:rsidR="00D764F4" w:rsidRPr="008A510F" w:rsidRDefault="00D764F4" w:rsidP="003B0E71">
          <w:pPr>
            <w:ind w:right="175"/>
            <w:jc w:val="both"/>
            <w:rPr>
              <w:rFonts w:ascii="Palatino Linotype" w:hAnsi="Palatino Linotype"/>
              <w:b/>
              <w:sz w:val="22"/>
              <w:szCs w:val="22"/>
              <w:lang w:val="es-ES_tradnl"/>
            </w:rPr>
          </w:pPr>
          <w:r>
            <w:rPr>
              <w:rFonts w:ascii="Palatino Linotype" w:hAnsi="Palatino Linotype"/>
              <w:b/>
              <w:sz w:val="22"/>
              <w:szCs w:val="22"/>
              <w:lang w:val="es-ES_tradnl"/>
            </w:rPr>
            <w:t>04</w:t>
          </w:r>
          <w:r w:rsidR="001B7BF9">
            <w:rPr>
              <w:rFonts w:ascii="Palatino Linotype" w:hAnsi="Palatino Linotype"/>
              <w:b/>
              <w:sz w:val="22"/>
              <w:szCs w:val="22"/>
              <w:lang w:val="es-ES_tradnl"/>
            </w:rPr>
            <w:t>109</w:t>
          </w:r>
          <w:r>
            <w:rPr>
              <w:rFonts w:ascii="Palatino Linotype" w:hAnsi="Palatino Linotype"/>
              <w:b/>
              <w:sz w:val="22"/>
              <w:szCs w:val="22"/>
              <w:lang w:val="es-ES_tradnl"/>
            </w:rPr>
            <w:t>/INFOEM/IP/RR/2021</w:t>
          </w:r>
        </w:p>
      </w:tc>
    </w:tr>
    <w:tr w:rsidR="00D764F4" w:rsidRPr="008A510F" w14:paraId="6797BE02" w14:textId="77777777" w:rsidTr="00DF49AD">
      <w:trPr>
        <w:trHeight w:val="228"/>
      </w:trPr>
      <w:tc>
        <w:tcPr>
          <w:tcW w:w="2489" w:type="dxa"/>
          <w:shd w:val="clear" w:color="auto" w:fill="auto"/>
          <w:vAlign w:val="center"/>
        </w:tcPr>
        <w:p w14:paraId="3FF1D528" w14:textId="77777777" w:rsidR="00D764F4" w:rsidRPr="008A510F" w:rsidRDefault="00D764F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345C4B56" w:rsidR="00D764F4" w:rsidRPr="00927A01" w:rsidRDefault="00D764F4"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1B7BF9">
            <w:rPr>
              <w:rFonts w:ascii="Palatino Linotype" w:hAnsi="Palatino Linotype"/>
              <w:b/>
              <w:sz w:val="22"/>
              <w:szCs w:val="22"/>
              <w:lang w:val="es-ES_tradnl"/>
            </w:rPr>
            <w:t>Huixquilucan</w:t>
          </w:r>
        </w:p>
      </w:tc>
    </w:tr>
    <w:tr w:rsidR="00D764F4" w:rsidRPr="008A510F" w14:paraId="0D950505" w14:textId="77777777" w:rsidTr="00DF49AD">
      <w:tc>
        <w:tcPr>
          <w:tcW w:w="2489" w:type="dxa"/>
          <w:shd w:val="clear" w:color="auto" w:fill="auto"/>
          <w:vAlign w:val="center"/>
        </w:tcPr>
        <w:p w14:paraId="43614717" w14:textId="77777777" w:rsidR="00D764F4" w:rsidRPr="008A510F" w:rsidRDefault="00D764F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D764F4" w:rsidRPr="008A510F" w:rsidRDefault="00D764F4"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D764F4" w:rsidRDefault="00D764F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D764F4" w:rsidRPr="005A5E02" w14:paraId="0EE5497D" w14:textId="77777777" w:rsidTr="00DF49AD">
      <w:tc>
        <w:tcPr>
          <w:tcW w:w="2551" w:type="dxa"/>
          <w:shd w:val="clear" w:color="auto" w:fill="auto"/>
          <w:vAlign w:val="center"/>
        </w:tcPr>
        <w:p w14:paraId="09A0E80D" w14:textId="00654EA5" w:rsidR="00D764F4" w:rsidRPr="005A5E02" w:rsidRDefault="00D764F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F551E38" w:rsidR="00D764F4" w:rsidRPr="005A5E02" w:rsidRDefault="00D764F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w:t>
          </w:r>
          <w:r w:rsidR="001B7BF9">
            <w:rPr>
              <w:rFonts w:ascii="Palatino Linotype" w:hAnsi="Palatino Linotype"/>
              <w:b/>
              <w:sz w:val="22"/>
              <w:szCs w:val="22"/>
              <w:lang w:val="es-ES_tradnl"/>
            </w:rPr>
            <w:t>109</w:t>
          </w:r>
          <w:r>
            <w:rPr>
              <w:rFonts w:ascii="Palatino Linotype" w:hAnsi="Palatino Linotype"/>
              <w:b/>
              <w:sz w:val="22"/>
              <w:szCs w:val="22"/>
              <w:lang w:val="es-ES_tradnl"/>
            </w:rPr>
            <w:t>/INFOEM/IP/RR/2021</w:t>
          </w:r>
        </w:p>
      </w:tc>
    </w:tr>
    <w:tr w:rsidR="00D764F4" w:rsidRPr="005A5E02" w14:paraId="01D75FFA" w14:textId="77777777" w:rsidTr="00BE6311">
      <w:trPr>
        <w:trHeight w:val="130"/>
      </w:trPr>
      <w:tc>
        <w:tcPr>
          <w:tcW w:w="2551" w:type="dxa"/>
          <w:shd w:val="clear" w:color="auto" w:fill="auto"/>
          <w:vAlign w:val="center"/>
        </w:tcPr>
        <w:p w14:paraId="0D40E9B3" w14:textId="77777777" w:rsidR="00D764F4" w:rsidRPr="005A5E02" w:rsidRDefault="00D764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6FA3A066" w:rsidR="00D764F4" w:rsidRPr="006220B0" w:rsidRDefault="00055417" w:rsidP="00055417">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w:t>
          </w:r>
          <w:r w:rsidR="001B7BF9">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1B7BF9">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w:t>
          </w:r>
        </w:p>
      </w:tc>
    </w:tr>
    <w:tr w:rsidR="00D764F4" w:rsidRPr="005A5E02" w14:paraId="468EFDE2" w14:textId="77777777" w:rsidTr="00DF49AD">
      <w:trPr>
        <w:trHeight w:val="228"/>
      </w:trPr>
      <w:tc>
        <w:tcPr>
          <w:tcW w:w="2551" w:type="dxa"/>
          <w:shd w:val="clear" w:color="auto" w:fill="auto"/>
          <w:vAlign w:val="center"/>
        </w:tcPr>
        <w:p w14:paraId="3E89BB75" w14:textId="77777777" w:rsidR="00D764F4" w:rsidRPr="005A5E02" w:rsidRDefault="00D764F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52976C3" w:rsidR="00D764F4" w:rsidRPr="00927A01" w:rsidRDefault="001B7BF9" w:rsidP="003B0E71">
          <w:pPr>
            <w:ind w:left="-45" w:right="176"/>
            <w:jc w:val="both"/>
            <w:rPr>
              <w:rFonts w:ascii="Palatino Linotype" w:hAnsi="Palatino Linotype"/>
              <w:b/>
              <w:sz w:val="22"/>
              <w:szCs w:val="22"/>
              <w:lang w:val="es-ES_tradnl"/>
            </w:rPr>
          </w:pPr>
          <w:r w:rsidRPr="001B7BF9">
            <w:rPr>
              <w:rFonts w:ascii="Palatino Linotype" w:hAnsi="Palatino Linotype"/>
              <w:b/>
              <w:sz w:val="22"/>
              <w:szCs w:val="22"/>
              <w:lang w:val="es-ES_tradnl"/>
            </w:rPr>
            <w:t>Ayuntamiento de Huixquilucan</w:t>
          </w:r>
        </w:p>
      </w:tc>
    </w:tr>
    <w:tr w:rsidR="00D764F4" w:rsidRPr="005A5E02" w14:paraId="5BC0C801" w14:textId="77777777" w:rsidTr="00DF49AD">
      <w:tc>
        <w:tcPr>
          <w:tcW w:w="2551" w:type="dxa"/>
          <w:shd w:val="clear" w:color="auto" w:fill="auto"/>
          <w:vAlign w:val="center"/>
        </w:tcPr>
        <w:p w14:paraId="76AEACB4" w14:textId="77777777" w:rsidR="00D764F4" w:rsidRPr="005A5E02" w:rsidRDefault="00D764F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D764F4" w:rsidRPr="005A5E02" w:rsidRDefault="00D764F4"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D764F4" w:rsidRDefault="00D764F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14">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7"/>
  </w:num>
  <w:num w:numId="2">
    <w:abstractNumId w:val="0"/>
  </w:num>
  <w:num w:numId="3">
    <w:abstractNumId w:val="3"/>
  </w:num>
  <w:num w:numId="4">
    <w:abstractNumId w:val="16"/>
  </w:num>
  <w:num w:numId="5">
    <w:abstractNumId w:val="11"/>
  </w:num>
  <w:num w:numId="6">
    <w:abstractNumId w:val="10"/>
  </w:num>
  <w:num w:numId="7">
    <w:abstractNumId w:val="12"/>
  </w:num>
  <w:num w:numId="8">
    <w:abstractNumId w:val="15"/>
  </w:num>
  <w:num w:numId="9">
    <w:abstractNumId w:val="14"/>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8"/>
  </w:num>
  <w:num w:numId="14">
    <w:abstractNumId w:val="13"/>
  </w:num>
  <w:num w:numId="15">
    <w:abstractNumId w:val="8"/>
  </w:num>
  <w:num w:numId="16">
    <w:abstractNumId w:val="4"/>
  </w:num>
  <w:num w:numId="17">
    <w:abstractNumId w:val="2"/>
  </w:num>
  <w:num w:numId="18">
    <w:abstractNumId w:val="1"/>
  </w:num>
  <w:num w:numId="19">
    <w:abstractNumId w:val="6"/>
  </w:num>
  <w:num w:numId="20">
    <w:abstractNumId w:val="19"/>
  </w:num>
  <w:num w:numId="21">
    <w:abstractNumId w:val="5"/>
  </w:num>
  <w:num w:numId="2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A4C"/>
    <w:rsid w:val="00054B4C"/>
    <w:rsid w:val="00055263"/>
    <w:rsid w:val="00055417"/>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44BE"/>
    <w:rsid w:val="00064C30"/>
    <w:rsid w:val="00064FF9"/>
    <w:rsid w:val="00065029"/>
    <w:rsid w:val="000650FA"/>
    <w:rsid w:val="0006660B"/>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86"/>
    <w:rsid w:val="0008014C"/>
    <w:rsid w:val="00080185"/>
    <w:rsid w:val="00080585"/>
    <w:rsid w:val="000806B8"/>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B6"/>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2CA3"/>
    <w:rsid w:val="000B30A0"/>
    <w:rsid w:val="000B30BC"/>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66B"/>
    <w:rsid w:val="000D3A56"/>
    <w:rsid w:val="000D4269"/>
    <w:rsid w:val="000D42EF"/>
    <w:rsid w:val="000D45A0"/>
    <w:rsid w:val="000D4F1A"/>
    <w:rsid w:val="000D51E6"/>
    <w:rsid w:val="000D544B"/>
    <w:rsid w:val="000D5790"/>
    <w:rsid w:val="000D5E9F"/>
    <w:rsid w:val="000D6E17"/>
    <w:rsid w:val="000D6F3D"/>
    <w:rsid w:val="000D6FA7"/>
    <w:rsid w:val="000D73E8"/>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1D65"/>
    <w:rsid w:val="00102050"/>
    <w:rsid w:val="0010226E"/>
    <w:rsid w:val="001026D5"/>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074A3"/>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328"/>
    <w:rsid w:val="00144351"/>
    <w:rsid w:val="0014441C"/>
    <w:rsid w:val="001447E3"/>
    <w:rsid w:val="001447FA"/>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47B"/>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E82"/>
    <w:rsid w:val="001A31FC"/>
    <w:rsid w:val="001A389C"/>
    <w:rsid w:val="001A3C8E"/>
    <w:rsid w:val="001A3DD8"/>
    <w:rsid w:val="001A3E84"/>
    <w:rsid w:val="001A3E96"/>
    <w:rsid w:val="001A3F6A"/>
    <w:rsid w:val="001A49E2"/>
    <w:rsid w:val="001A4C61"/>
    <w:rsid w:val="001A4E78"/>
    <w:rsid w:val="001A590F"/>
    <w:rsid w:val="001A5AA0"/>
    <w:rsid w:val="001A600E"/>
    <w:rsid w:val="001A6704"/>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9F4"/>
    <w:rsid w:val="001B1EC8"/>
    <w:rsid w:val="001B205E"/>
    <w:rsid w:val="001B210C"/>
    <w:rsid w:val="001B2402"/>
    <w:rsid w:val="001B2DEC"/>
    <w:rsid w:val="001B3A19"/>
    <w:rsid w:val="001B3DE8"/>
    <w:rsid w:val="001B482C"/>
    <w:rsid w:val="001B4BD8"/>
    <w:rsid w:val="001B4E0D"/>
    <w:rsid w:val="001B4F48"/>
    <w:rsid w:val="001B54F4"/>
    <w:rsid w:val="001B5836"/>
    <w:rsid w:val="001B58EB"/>
    <w:rsid w:val="001B5A73"/>
    <w:rsid w:val="001B5D17"/>
    <w:rsid w:val="001B648C"/>
    <w:rsid w:val="001B71E2"/>
    <w:rsid w:val="001B7257"/>
    <w:rsid w:val="001B72D4"/>
    <w:rsid w:val="001B7BF9"/>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BB1"/>
    <w:rsid w:val="001C5E3D"/>
    <w:rsid w:val="001C5F14"/>
    <w:rsid w:val="001C6400"/>
    <w:rsid w:val="001C64B1"/>
    <w:rsid w:val="001C64C7"/>
    <w:rsid w:val="001C65CE"/>
    <w:rsid w:val="001C6F00"/>
    <w:rsid w:val="001C6FA6"/>
    <w:rsid w:val="001C73A8"/>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943"/>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E4F"/>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AA4"/>
    <w:rsid w:val="001F73EE"/>
    <w:rsid w:val="001F74ED"/>
    <w:rsid w:val="001F777C"/>
    <w:rsid w:val="001F780A"/>
    <w:rsid w:val="001F7D91"/>
    <w:rsid w:val="001F7E99"/>
    <w:rsid w:val="002009A4"/>
    <w:rsid w:val="00200A01"/>
    <w:rsid w:val="00200A6D"/>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8F"/>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CA6"/>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E40"/>
    <w:rsid w:val="002650AB"/>
    <w:rsid w:val="002652B8"/>
    <w:rsid w:val="00265E69"/>
    <w:rsid w:val="00267C03"/>
    <w:rsid w:val="00270333"/>
    <w:rsid w:val="00270539"/>
    <w:rsid w:val="00270F46"/>
    <w:rsid w:val="00271166"/>
    <w:rsid w:val="002711FB"/>
    <w:rsid w:val="0027121C"/>
    <w:rsid w:val="0027140B"/>
    <w:rsid w:val="002714F4"/>
    <w:rsid w:val="00271A70"/>
    <w:rsid w:val="00271BDA"/>
    <w:rsid w:val="00271EBE"/>
    <w:rsid w:val="00273A2E"/>
    <w:rsid w:val="00273D21"/>
    <w:rsid w:val="00273E3C"/>
    <w:rsid w:val="0027432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E94"/>
    <w:rsid w:val="00286F27"/>
    <w:rsid w:val="00287523"/>
    <w:rsid w:val="0028756E"/>
    <w:rsid w:val="00287B2A"/>
    <w:rsid w:val="00287DD9"/>
    <w:rsid w:val="002902C1"/>
    <w:rsid w:val="00290948"/>
    <w:rsid w:val="00290BCB"/>
    <w:rsid w:val="00290DA2"/>
    <w:rsid w:val="00291383"/>
    <w:rsid w:val="00291F6A"/>
    <w:rsid w:val="00292184"/>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9FF"/>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0F01"/>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6C39"/>
    <w:rsid w:val="00326CDB"/>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665"/>
    <w:rsid w:val="003357C6"/>
    <w:rsid w:val="0033585B"/>
    <w:rsid w:val="00335892"/>
    <w:rsid w:val="00335978"/>
    <w:rsid w:val="00335DA7"/>
    <w:rsid w:val="00335E47"/>
    <w:rsid w:val="0033678E"/>
    <w:rsid w:val="003367F5"/>
    <w:rsid w:val="00336B0F"/>
    <w:rsid w:val="00336B3A"/>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59A"/>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70AE"/>
    <w:rsid w:val="00397EE8"/>
    <w:rsid w:val="003A0368"/>
    <w:rsid w:val="003A0D61"/>
    <w:rsid w:val="003A0E65"/>
    <w:rsid w:val="003A10AE"/>
    <w:rsid w:val="003A178E"/>
    <w:rsid w:val="003A1B50"/>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0E71"/>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29B"/>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392E"/>
    <w:rsid w:val="004241A2"/>
    <w:rsid w:val="0042426F"/>
    <w:rsid w:val="004247A1"/>
    <w:rsid w:val="00424B75"/>
    <w:rsid w:val="00424E65"/>
    <w:rsid w:val="00424E9F"/>
    <w:rsid w:val="00424EC1"/>
    <w:rsid w:val="00425453"/>
    <w:rsid w:val="004258CB"/>
    <w:rsid w:val="00425C6D"/>
    <w:rsid w:val="00425D16"/>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35C"/>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2F99"/>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3B"/>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457"/>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521"/>
    <w:rsid w:val="00500559"/>
    <w:rsid w:val="005007F5"/>
    <w:rsid w:val="00500B30"/>
    <w:rsid w:val="00500C13"/>
    <w:rsid w:val="005011B3"/>
    <w:rsid w:val="00501EC4"/>
    <w:rsid w:val="005020D7"/>
    <w:rsid w:val="005022D0"/>
    <w:rsid w:val="005024EE"/>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C7C"/>
    <w:rsid w:val="00522D9A"/>
    <w:rsid w:val="005232A4"/>
    <w:rsid w:val="0052377F"/>
    <w:rsid w:val="00523AB0"/>
    <w:rsid w:val="00523C56"/>
    <w:rsid w:val="005240AB"/>
    <w:rsid w:val="005241CD"/>
    <w:rsid w:val="00524577"/>
    <w:rsid w:val="00524632"/>
    <w:rsid w:val="00524652"/>
    <w:rsid w:val="0052472D"/>
    <w:rsid w:val="00524A5E"/>
    <w:rsid w:val="005251C5"/>
    <w:rsid w:val="0052573A"/>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AB5"/>
    <w:rsid w:val="00542D76"/>
    <w:rsid w:val="00543010"/>
    <w:rsid w:val="00543AF4"/>
    <w:rsid w:val="00544199"/>
    <w:rsid w:val="005447FC"/>
    <w:rsid w:val="0054482F"/>
    <w:rsid w:val="00544FDA"/>
    <w:rsid w:val="00545692"/>
    <w:rsid w:val="00545701"/>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07C"/>
    <w:rsid w:val="0055422D"/>
    <w:rsid w:val="0055463C"/>
    <w:rsid w:val="00554BB0"/>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C28"/>
    <w:rsid w:val="005A7D4E"/>
    <w:rsid w:val="005A7D52"/>
    <w:rsid w:val="005B0769"/>
    <w:rsid w:val="005B0909"/>
    <w:rsid w:val="005B099B"/>
    <w:rsid w:val="005B0CEF"/>
    <w:rsid w:val="005B1495"/>
    <w:rsid w:val="005B1736"/>
    <w:rsid w:val="005B1AB5"/>
    <w:rsid w:val="005B231E"/>
    <w:rsid w:val="005B2595"/>
    <w:rsid w:val="005B2AB2"/>
    <w:rsid w:val="005B2BB9"/>
    <w:rsid w:val="005B3298"/>
    <w:rsid w:val="005B3378"/>
    <w:rsid w:val="005B37A1"/>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57"/>
    <w:rsid w:val="005D4F2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B1D"/>
    <w:rsid w:val="005E2EFA"/>
    <w:rsid w:val="005E3B88"/>
    <w:rsid w:val="005E3F80"/>
    <w:rsid w:val="005E4FC1"/>
    <w:rsid w:val="005E5013"/>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561"/>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1E69"/>
    <w:rsid w:val="00632405"/>
    <w:rsid w:val="006329C2"/>
    <w:rsid w:val="00632C26"/>
    <w:rsid w:val="00633034"/>
    <w:rsid w:val="0063316C"/>
    <w:rsid w:val="006336A2"/>
    <w:rsid w:val="00633CE5"/>
    <w:rsid w:val="00633F7E"/>
    <w:rsid w:val="006340B6"/>
    <w:rsid w:val="00634485"/>
    <w:rsid w:val="006347CF"/>
    <w:rsid w:val="006349E2"/>
    <w:rsid w:val="00634E33"/>
    <w:rsid w:val="0063512B"/>
    <w:rsid w:val="00635166"/>
    <w:rsid w:val="00635CF8"/>
    <w:rsid w:val="00635E46"/>
    <w:rsid w:val="006363B6"/>
    <w:rsid w:val="0063652C"/>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51C"/>
    <w:rsid w:val="0064567F"/>
    <w:rsid w:val="00645F20"/>
    <w:rsid w:val="00646069"/>
    <w:rsid w:val="00646353"/>
    <w:rsid w:val="00647163"/>
    <w:rsid w:val="006472E6"/>
    <w:rsid w:val="00647E4C"/>
    <w:rsid w:val="006502D8"/>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BE6"/>
    <w:rsid w:val="00682C9C"/>
    <w:rsid w:val="00683259"/>
    <w:rsid w:val="006832D4"/>
    <w:rsid w:val="00683AAC"/>
    <w:rsid w:val="00683CBF"/>
    <w:rsid w:val="00684C83"/>
    <w:rsid w:val="00684CF9"/>
    <w:rsid w:val="00685573"/>
    <w:rsid w:val="0068563A"/>
    <w:rsid w:val="00685BB9"/>
    <w:rsid w:val="00686196"/>
    <w:rsid w:val="0068639E"/>
    <w:rsid w:val="006864F5"/>
    <w:rsid w:val="00687BAA"/>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3C91"/>
    <w:rsid w:val="006D3F96"/>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A8F"/>
    <w:rsid w:val="00710FEF"/>
    <w:rsid w:val="007114A8"/>
    <w:rsid w:val="00711E44"/>
    <w:rsid w:val="00712FF2"/>
    <w:rsid w:val="007140DC"/>
    <w:rsid w:val="00714256"/>
    <w:rsid w:val="007169F0"/>
    <w:rsid w:val="00716A17"/>
    <w:rsid w:val="00716CFB"/>
    <w:rsid w:val="007171AE"/>
    <w:rsid w:val="007174FB"/>
    <w:rsid w:val="00717AC4"/>
    <w:rsid w:val="00717CA7"/>
    <w:rsid w:val="00720150"/>
    <w:rsid w:val="0072039E"/>
    <w:rsid w:val="00721221"/>
    <w:rsid w:val="007214EF"/>
    <w:rsid w:val="00722CA4"/>
    <w:rsid w:val="00722E47"/>
    <w:rsid w:val="00722F77"/>
    <w:rsid w:val="00723EAB"/>
    <w:rsid w:val="0072401B"/>
    <w:rsid w:val="007241AA"/>
    <w:rsid w:val="0072525A"/>
    <w:rsid w:val="007253C1"/>
    <w:rsid w:val="0072551F"/>
    <w:rsid w:val="00725945"/>
    <w:rsid w:val="00725B17"/>
    <w:rsid w:val="00725C83"/>
    <w:rsid w:val="00725F17"/>
    <w:rsid w:val="007262A8"/>
    <w:rsid w:val="00726489"/>
    <w:rsid w:val="00726733"/>
    <w:rsid w:val="00726DA1"/>
    <w:rsid w:val="00726EA5"/>
    <w:rsid w:val="007270AC"/>
    <w:rsid w:val="007273A4"/>
    <w:rsid w:val="00727923"/>
    <w:rsid w:val="0073016D"/>
    <w:rsid w:val="007305FC"/>
    <w:rsid w:val="00730818"/>
    <w:rsid w:val="0073211B"/>
    <w:rsid w:val="00732CBE"/>
    <w:rsid w:val="00733652"/>
    <w:rsid w:val="007336E7"/>
    <w:rsid w:val="00733C9F"/>
    <w:rsid w:val="00733FF3"/>
    <w:rsid w:val="0073443F"/>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5AC"/>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7BA"/>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3F6"/>
    <w:rsid w:val="00804526"/>
    <w:rsid w:val="00804853"/>
    <w:rsid w:val="00804B84"/>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9D5"/>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8F3"/>
    <w:rsid w:val="00872098"/>
    <w:rsid w:val="008720A7"/>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6DE"/>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C70"/>
    <w:rsid w:val="008F4C7E"/>
    <w:rsid w:val="008F5BBA"/>
    <w:rsid w:val="008F69A8"/>
    <w:rsid w:val="008F6B33"/>
    <w:rsid w:val="008F6E02"/>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3F99"/>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4AD"/>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063C"/>
    <w:rsid w:val="00941140"/>
    <w:rsid w:val="00941315"/>
    <w:rsid w:val="009413FB"/>
    <w:rsid w:val="00941717"/>
    <w:rsid w:val="0094180D"/>
    <w:rsid w:val="00941B4C"/>
    <w:rsid w:val="00941B62"/>
    <w:rsid w:val="00941F23"/>
    <w:rsid w:val="00941F77"/>
    <w:rsid w:val="00942235"/>
    <w:rsid w:val="00942279"/>
    <w:rsid w:val="00942415"/>
    <w:rsid w:val="009425AF"/>
    <w:rsid w:val="00942BAE"/>
    <w:rsid w:val="00943A19"/>
    <w:rsid w:val="00943B51"/>
    <w:rsid w:val="00944251"/>
    <w:rsid w:val="009442F3"/>
    <w:rsid w:val="009444CD"/>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C2D"/>
    <w:rsid w:val="00965E0E"/>
    <w:rsid w:val="00966606"/>
    <w:rsid w:val="00966AFF"/>
    <w:rsid w:val="00966BD7"/>
    <w:rsid w:val="009678AC"/>
    <w:rsid w:val="00967AD0"/>
    <w:rsid w:val="00967C63"/>
    <w:rsid w:val="0097050B"/>
    <w:rsid w:val="00970511"/>
    <w:rsid w:val="00970584"/>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4FB0"/>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5EA7"/>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E51"/>
    <w:rsid w:val="009D00F3"/>
    <w:rsid w:val="009D023D"/>
    <w:rsid w:val="009D04D4"/>
    <w:rsid w:val="009D0839"/>
    <w:rsid w:val="009D0F3F"/>
    <w:rsid w:val="009D26C7"/>
    <w:rsid w:val="009D27FC"/>
    <w:rsid w:val="009D307C"/>
    <w:rsid w:val="009D3482"/>
    <w:rsid w:val="009D3954"/>
    <w:rsid w:val="009D3973"/>
    <w:rsid w:val="009D48CA"/>
    <w:rsid w:val="009D4DA4"/>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D84"/>
    <w:rsid w:val="00A101B1"/>
    <w:rsid w:val="00A10677"/>
    <w:rsid w:val="00A10DBD"/>
    <w:rsid w:val="00A11253"/>
    <w:rsid w:val="00A114B4"/>
    <w:rsid w:val="00A121D9"/>
    <w:rsid w:val="00A12BD3"/>
    <w:rsid w:val="00A13F40"/>
    <w:rsid w:val="00A14131"/>
    <w:rsid w:val="00A14E51"/>
    <w:rsid w:val="00A14FB7"/>
    <w:rsid w:val="00A152A6"/>
    <w:rsid w:val="00A15323"/>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1AB"/>
    <w:rsid w:val="00A5622C"/>
    <w:rsid w:val="00A567A0"/>
    <w:rsid w:val="00A56855"/>
    <w:rsid w:val="00A56939"/>
    <w:rsid w:val="00A57429"/>
    <w:rsid w:val="00A57B87"/>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9EE"/>
    <w:rsid w:val="00A81140"/>
    <w:rsid w:val="00A81246"/>
    <w:rsid w:val="00A822CE"/>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C11"/>
    <w:rsid w:val="00A97CE3"/>
    <w:rsid w:val="00AA0108"/>
    <w:rsid w:val="00AA036C"/>
    <w:rsid w:val="00AA053A"/>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0E0"/>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B3B"/>
    <w:rsid w:val="00AE30EB"/>
    <w:rsid w:val="00AE34DA"/>
    <w:rsid w:val="00AE3A3A"/>
    <w:rsid w:val="00AE3E6A"/>
    <w:rsid w:val="00AE4746"/>
    <w:rsid w:val="00AE4D95"/>
    <w:rsid w:val="00AE5385"/>
    <w:rsid w:val="00AE5391"/>
    <w:rsid w:val="00AE5652"/>
    <w:rsid w:val="00AE583C"/>
    <w:rsid w:val="00AE5CF6"/>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E0"/>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090"/>
    <w:rsid w:val="00B21252"/>
    <w:rsid w:val="00B215CB"/>
    <w:rsid w:val="00B218F4"/>
    <w:rsid w:val="00B21C38"/>
    <w:rsid w:val="00B21DCC"/>
    <w:rsid w:val="00B21E5E"/>
    <w:rsid w:val="00B225F0"/>
    <w:rsid w:val="00B22733"/>
    <w:rsid w:val="00B22E8B"/>
    <w:rsid w:val="00B22F3E"/>
    <w:rsid w:val="00B2328E"/>
    <w:rsid w:val="00B233A3"/>
    <w:rsid w:val="00B2352A"/>
    <w:rsid w:val="00B23765"/>
    <w:rsid w:val="00B23D8C"/>
    <w:rsid w:val="00B24088"/>
    <w:rsid w:val="00B242A7"/>
    <w:rsid w:val="00B242D6"/>
    <w:rsid w:val="00B2466E"/>
    <w:rsid w:val="00B24896"/>
    <w:rsid w:val="00B24FE3"/>
    <w:rsid w:val="00B25556"/>
    <w:rsid w:val="00B2589F"/>
    <w:rsid w:val="00B262D3"/>
    <w:rsid w:val="00B2633E"/>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4E5"/>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CD"/>
    <w:rsid w:val="00B55EF9"/>
    <w:rsid w:val="00B5666C"/>
    <w:rsid w:val="00B56C11"/>
    <w:rsid w:val="00B5784F"/>
    <w:rsid w:val="00B578A7"/>
    <w:rsid w:val="00B579ED"/>
    <w:rsid w:val="00B57D92"/>
    <w:rsid w:val="00B6034E"/>
    <w:rsid w:val="00B606DD"/>
    <w:rsid w:val="00B60A3B"/>
    <w:rsid w:val="00B60D3E"/>
    <w:rsid w:val="00B615CC"/>
    <w:rsid w:val="00B618FF"/>
    <w:rsid w:val="00B62611"/>
    <w:rsid w:val="00B62D85"/>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C15"/>
    <w:rsid w:val="00BB0FEC"/>
    <w:rsid w:val="00BB2360"/>
    <w:rsid w:val="00BB2539"/>
    <w:rsid w:val="00BB2AA4"/>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E55"/>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A0"/>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D3B"/>
    <w:rsid w:val="00C52AEB"/>
    <w:rsid w:val="00C52C15"/>
    <w:rsid w:val="00C52CF7"/>
    <w:rsid w:val="00C52ED6"/>
    <w:rsid w:val="00C53135"/>
    <w:rsid w:val="00C5328B"/>
    <w:rsid w:val="00C53599"/>
    <w:rsid w:val="00C536F2"/>
    <w:rsid w:val="00C537A6"/>
    <w:rsid w:val="00C538F7"/>
    <w:rsid w:val="00C5458D"/>
    <w:rsid w:val="00C5489D"/>
    <w:rsid w:val="00C5491A"/>
    <w:rsid w:val="00C549B2"/>
    <w:rsid w:val="00C549BC"/>
    <w:rsid w:val="00C54B26"/>
    <w:rsid w:val="00C550A4"/>
    <w:rsid w:val="00C553A1"/>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C19"/>
    <w:rsid w:val="00C7227B"/>
    <w:rsid w:val="00C72494"/>
    <w:rsid w:val="00C7262C"/>
    <w:rsid w:val="00C72830"/>
    <w:rsid w:val="00C72C12"/>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43CC"/>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367"/>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D11"/>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1C"/>
    <w:rsid w:val="00D66497"/>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36D2"/>
    <w:rsid w:val="00DF42A3"/>
    <w:rsid w:val="00DF49AD"/>
    <w:rsid w:val="00DF4B0C"/>
    <w:rsid w:val="00DF538C"/>
    <w:rsid w:val="00DF5398"/>
    <w:rsid w:val="00DF540F"/>
    <w:rsid w:val="00DF565A"/>
    <w:rsid w:val="00DF581F"/>
    <w:rsid w:val="00DF592F"/>
    <w:rsid w:val="00DF5D22"/>
    <w:rsid w:val="00DF5EA5"/>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B61"/>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4F2F"/>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B5E"/>
    <w:rsid w:val="00E36D28"/>
    <w:rsid w:val="00E36E14"/>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ED"/>
    <w:rsid w:val="00E5681B"/>
    <w:rsid w:val="00E56BFD"/>
    <w:rsid w:val="00E56D90"/>
    <w:rsid w:val="00E56E82"/>
    <w:rsid w:val="00E57C2D"/>
    <w:rsid w:val="00E57FFB"/>
    <w:rsid w:val="00E601C6"/>
    <w:rsid w:val="00E60318"/>
    <w:rsid w:val="00E60461"/>
    <w:rsid w:val="00E609E7"/>
    <w:rsid w:val="00E60B64"/>
    <w:rsid w:val="00E61755"/>
    <w:rsid w:val="00E61CFD"/>
    <w:rsid w:val="00E61F2A"/>
    <w:rsid w:val="00E61FC0"/>
    <w:rsid w:val="00E621E6"/>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431"/>
    <w:rsid w:val="00E85795"/>
    <w:rsid w:val="00E8595A"/>
    <w:rsid w:val="00E865C6"/>
    <w:rsid w:val="00E86855"/>
    <w:rsid w:val="00E86E4F"/>
    <w:rsid w:val="00E87D65"/>
    <w:rsid w:val="00E901F7"/>
    <w:rsid w:val="00E90915"/>
    <w:rsid w:val="00E91358"/>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C9C"/>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A9E"/>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36"/>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077"/>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E5"/>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4B9"/>
    <w:rsid w:val="00EE6D40"/>
    <w:rsid w:val="00EE77A9"/>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EF4"/>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D0F"/>
    <w:rsid w:val="00F41E50"/>
    <w:rsid w:val="00F42117"/>
    <w:rsid w:val="00F421CB"/>
    <w:rsid w:val="00F42CE1"/>
    <w:rsid w:val="00F430A0"/>
    <w:rsid w:val="00F440CF"/>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BB5"/>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850"/>
    <w:rsid w:val="00FB1925"/>
    <w:rsid w:val="00FB1B68"/>
    <w:rsid w:val="00FB1C56"/>
    <w:rsid w:val="00FB1FA9"/>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884"/>
    <w:rsid w:val="00FC3982"/>
    <w:rsid w:val="00FC3FC0"/>
    <w:rsid w:val="00FC44A1"/>
    <w:rsid w:val="00FC47A9"/>
    <w:rsid w:val="00FC49B3"/>
    <w:rsid w:val="00FC4E4F"/>
    <w:rsid w:val="00FC5274"/>
    <w:rsid w:val="00FC52D3"/>
    <w:rsid w:val="00FC58FD"/>
    <w:rsid w:val="00FC5B58"/>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E046B"/>
    <w:rsid w:val="00FE1B02"/>
    <w:rsid w:val="00FE1F5A"/>
    <w:rsid w:val="00FE277B"/>
    <w:rsid w:val="00FE2795"/>
    <w:rsid w:val="00FE2B0E"/>
    <w:rsid w:val="00FE3269"/>
    <w:rsid w:val="00FE32CF"/>
    <w:rsid w:val="00FE3578"/>
    <w:rsid w:val="00FE38DB"/>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142D"/>
    <w:rsid w:val="00FF149E"/>
    <w:rsid w:val="00FF186E"/>
    <w:rsid w:val="00FF1B64"/>
    <w:rsid w:val="00FF1C43"/>
    <w:rsid w:val="00FF21EE"/>
    <w:rsid w:val="00FF2266"/>
    <w:rsid w:val="00FF2270"/>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11A5-1956-486E-9E6A-D055A4DF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8228</Words>
  <Characters>45255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2021-09-14T15:17:00Z</cp:lastPrinted>
  <dcterms:created xsi:type="dcterms:W3CDTF">2021-10-29T20:00:00Z</dcterms:created>
  <dcterms:modified xsi:type="dcterms:W3CDTF">2021-10-29T20:00:00Z</dcterms:modified>
</cp:coreProperties>
</file>