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2442B" w14:textId="77777777" w:rsidR="00953C53" w:rsidRDefault="00953C53" w:rsidP="00B61F69">
      <w:pPr>
        <w:spacing w:line="360" w:lineRule="auto"/>
        <w:jc w:val="both"/>
        <w:rPr>
          <w:rFonts w:ascii="Palatino Linotype" w:hAnsi="Palatino Linotype"/>
        </w:rPr>
      </w:pPr>
    </w:p>
    <w:p w14:paraId="5E66C953" w14:textId="3AA2B941" w:rsidR="00457BB8" w:rsidRPr="00B61F69" w:rsidRDefault="00457BB8" w:rsidP="00B61F69">
      <w:pPr>
        <w:spacing w:line="360" w:lineRule="auto"/>
        <w:jc w:val="both"/>
        <w:rPr>
          <w:rFonts w:ascii="Palatino Linotype" w:hAnsi="Palatino Linotype"/>
        </w:rPr>
      </w:pPr>
      <w:r w:rsidRPr="00B61F69">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Pr>
          <w:rFonts w:ascii="Palatino Linotype" w:hAnsi="Palatino Linotype"/>
        </w:rPr>
        <w:t xml:space="preserve"> </w:t>
      </w:r>
      <w:r w:rsidR="00953C53">
        <w:rPr>
          <w:rFonts w:ascii="Palatino Linotype" w:hAnsi="Palatino Linotype"/>
        </w:rPr>
        <w:t xml:space="preserve">veintiuno </w:t>
      </w:r>
      <w:r w:rsidR="004D51E5">
        <w:rPr>
          <w:rFonts w:ascii="Palatino Linotype" w:hAnsi="Palatino Linotype"/>
        </w:rPr>
        <w:t xml:space="preserve">de </w:t>
      </w:r>
      <w:r w:rsidR="003579AB">
        <w:rPr>
          <w:rFonts w:ascii="Palatino Linotype" w:hAnsi="Palatino Linotype"/>
        </w:rPr>
        <w:t xml:space="preserve">abril de dos mil veintiuno </w:t>
      </w:r>
      <w:r w:rsidRPr="00B61F69">
        <w:rPr>
          <w:rFonts w:ascii="Palatino Linotype" w:hAnsi="Palatino Linotype"/>
        </w:rPr>
        <w:t>.</w:t>
      </w:r>
    </w:p>
    <w:p w14:paraId="28464D58" w14:textId="77777777" w:rsidR="00457BB8" w:rsidRPr="00B61F69" w:rsidRDefault="00457BB8" w:rsidP="00B61F69">
      <w:pPr>
        <w:spacing w:line="360" w:lineRule="auto"/>
        <w:jc w:val="both"/>
        <w:rPr>
          <w:rFonts w:ascii="Palatino Linotype" w:hAnsi="Palatino Linotype"/>
        </w:rPr>
      </w:pPr>
    </w:p>
    <w:p w14:paraId="2C11FACB" w14:textId="74A77486" w:rsidR="00457BB8" w:rsidRPr="00B61F69" w:rsidRDefault="00457BB8" w:rsidP="00B61F69">
      <w:pPr>
        <w:spacing w:line="360" w:lineRule="auto"/>
        <w:jc w:val="both"/>
        <w:rPr>
          <w:rFonts w:ascii="Palatino Linotype" w:hAnsi="Palatino Linotype"/>
          <w:b/>
        </w:rPr>
      </w:pPr>
      <w:r w:rsidRPr="00B61F69">
        <w:rPr>
          <w:rFonts w:ascii="Palatino Linotype" w:hAnsi="Palatino Linotype"/>
          <w:b/>
        </w:rPr>
        <w:t>VISTO</w:t>
      </w:r>
      <w:r w:rsidRPr="00B61F69">
        <w:rPr>
          <w:rFonts w:ascii="Palatino Linotype" w:hAnsi="Palatino Linotype"/>
        </w:rPr>
        <w:t xml:space="preserve"> el expediente formado con motivo del recurso de revisión </w:t>
      </w:r>
      <w:r w:rsidR="003579AB" w:rsidRPr="006D79EC">
        <w:rPr>
          <w:rFonts w:ascii="Palatino Linotype" w:hAnsi="Palatino Linotype"/>
          <w:b/>
        </w:rPr>
        <w:t>0</w:t>
      </w:r>
      <w:r w:rsidR="00953C53">
        <w:rPr>
          <w:rFonts w:ascii="Palatino Linotype" w:hAnsi="Palatino Linotype"/>
          <w:b/>
        </w:rPr>
        <w:t>1377</w:t>
      </w:r>
      <w:r w:rsidR="003579AB" w:rsidRPr="006D79EC">
        <w:rPr>
          <w:rFonts w:ascii="Palatino Linotype" w:hAnsi="Palatino Linotype"/>
          <w:b/>
        </w:rPr>
        <w:t>/INFOEM/IP/RR/2021</w:t>
      </w:r>
      <w:r w:rsidRPr="00B61F69">
        <w:rPr>
          <w:rFonts w:ascii="Palatino Linotype" w:hAnsi="Palatino Linotype"/>
        </w:rPr>
        <w:t xml:space="preserve">, </w:t>
      </w:r>
      <w:r w:rsidR="003579AB" w:rsidRPr="00981D86">
        <w:rPr>
          <w:rFonts w:ascii="Palatino Linotype" w:hAnsi="Palatino Linotype"/>
        </w:rPr>
        <w:t xml:space="preserve">promovido por </w:t>
      </w:r>
      <w:r w:rsidR="00953C53">
        <w:rPr>
          <w:rFonts w:ascii="Palatino Linotype" w:hAnsi="Palatino Linotype"/>
        </w:rPr>
        <w:t xml:space="preserve">el C. </w:t>
      </w:r>
      <w:r w:rsidR="00E630CF">
        <w:rPr>
          <w:rFonts w:ascii="Palatino Linotype" w:hAnsi="Palatino Linotype"/>
          <w:b/>
        </w:rPr>
        <w:t>xxxxxxxxxxxxxxxxxxxxxx</w:t>
      </w:r>
      <w:r w:rsidRPr="00B61F69">
        <w:rPr>
          <w:rFonts w:ascii="Palatino Linotype" w:hAnsi="Palatino Linotype" w:cs="Arial"/>
          <w:b/>
        </w:rPr>
        <w:t xml:space="preserve">, </w:t>
      </w:r>
      <w:r w:rsidRPr="00B61F69">
        <w:rPr>
          <w:rFonts w:ascii="Palatino Linotype" w:hAnsi="Palatino Linotype" w:cs="Arial"/>
        </w:rPr>
        <w:t>en lo sucesivo</w:t>
      </w:r>
      <w:r w:rsidRPr="00B61F69">
        <w:rPr>
          <w:rFonts w:ascii="Palatino Linotype" w:hAnsi="Palatino Linotype" w:cs="Arial"/>
          <w:b/>
        </w:rPr>
        <w:t xml:space="preserve"> </w:t>
      </w:r>
      <w:r w:rsidR="003579AB">
        <w:rPr>
          <w:rFonts w:ascii="Palatino Linotype" w:hAnsi="Palatino Linotype" w:cs="Arial"/>
          <w:b/>
        </w:rPr>
        <w:t>EL</w:t>
      </w:r>
      <w:r w:rsidR="003579AB" w:rsidRPr="00B61F69">
        <w:rPr>
          <w:rFonts w:ascii="Palatino Linotype" w:hAnsi="Palatino Linotype" w:cs="Arial"/>
          <w:b/>
        </w:rPr>
        <w:t xml:space="preserve"> </w:t>
      </w:r>
      <w:r w:rsidRPr="00B61F69">
        <w:rPr>
          <w:rFonts w:ascii="Palatino Linotype" w:hAnsi="Palatino Linotype" w:cs="Arial"/>
          <w:b/>
        </w:rPr>
        <w:t>RECURRENTE,</w:t>
      </w:r>
      <w:r w:rsidRPr="00B61F69">
        <w:rPr>
          <w:rFonts w:ascii="Palatino Linotype" w:hAnsi="Palatino Linotype"/>
        </w:rPr>
        <w:t xml:space="preserve"> en contra de la </w:t>
      </w:r>
      <w:r w:rsidR="00641A03">
        <w:rPr>
          <w:rFonts w:ascii="Palatino Linotype" w:hAnsi="Palatino Linotype"/>
        </w:rPr>
        <w:t xml:space="preserve">falta de </w:t>
      </w:r>
      <w:r w:rsidRPr="00B61F69">
        <w:rPr>
          <w:rFonts w:ascii="Palatino Linotype" w:hAnsi="Palatino Linotype"/>
        </w:rPr>
        <w:t xml:space="preserve">respuesta </w:t>
      </w:r>
      <w:r w:rsidR="00641A03">
        <w:rPr>
          <w:rFonts w:ascii="Palatino Linotype" w:hAnsi="Palatino Linotype"/>
        </w:rPr>
        <w:t>d</w:t>
      </w:r>
      <w:r w:rsidRPr="00B61F69">
        <w:rPr>
          <w:rFonts w:ascii="Palatino Linotype" w:hAnsi="Palatino Linotype"/>
        </w:rPr>
        <w:t>el</w:t>
      </w:r>
      <w:r w:rsidR="00953C53">
        <w:rPr>
          <w:rFonts w:ascii="Palatino Linotype" w:hAnsi="Palatino Linotype"/>
          <w:b/>
        </w:rPr>
        <w:t xml:space="preserve"> Ayuntamiento de Teoloyucan</w:t>
      </w:r>
      <w:r w:rsidRPr="00B61F69">
        <w:rPr>
          <w:rFonts w:ascii="Palatino Linotype" w:hAnsi="Palatino Linotype"/>
          <w:b/>
        </w:rPr>
        <w:t xml:space="preserve">, </w:t>
      </w:r>
      <w:r w:rsidRPr="00B61F69">
        <w:rPr>
          <w:rFonts w:ascii="Palatino Linotype" w:hAnsi="Palatino Linotype"/>
        </w:rPr>
        <w:t xml:space="preserve">en lo sucesivo </w:t>
      </w:r>
      <w:r w:rsidRPr="00B61F69">
        <w:rPr>
          <w:rFonts w:ascii="Palatino Linotype" w:hAnsi="Palatino Linotype"/>
          <w:b/>
        </w:rPr>
        <w:t>EL SUJETO OBLIGADO</w:t>
      </w:r>
      <w:r w:rsidRPr="00B61F69">
        <w:rPr>
          <w:rFonts w:ascii="Palatino Linotype" w:hAnsi="Palatino Linotype"/>
        </w:rPr>
        <w:t xml:space="preserve">, se procede a dictar la presente resolución con base en lo siguiente: </w:t>
      </w:r>
    </w:p>
    <w:p w14:paraId="48CEFEB5" w14:textId="77777777" w:rsidR="00457BB8" w:rsidRPr="00B61F69" w:rsidRDefault="00457BB8" w:rsidP="00B61F69">
      <w:pPr>
        <w:jc w:val="center"/>
        <w:rPr>
          <w:rFonts w:ascii="Palatino Linotype" w:hAnsi="Palatino Linotype"/>
        </w:rPr>
      </w:pPr>
    </w:p>
    <w:p w14:paraId="480E521A" w14:textId="77777777" w:rsidR="00457BB8" w:rsidRPr="00B61F69" w:rsidRDefault="00457BB8" w:rsidP="00B61F69">
      <w:pPr>
        <w:jc w:val="center"/>
        <w:rPr>
          <w:rFonts w:ascii="Palatino Linotype" w:hAnsi="Palatino Linotype"/>
          <w:b/>
          <w:bCs/>
          <w:spacing w:val="40"/>
          <w:sz w:val="28"/>
        </w:rPr>
      </w:pPr>
      <w:r w:rsidRPr="00B61F69">
        <w:rPr>
          <w:rFonts w:ascii="Palatino Linotype" w:hAnsi="Palatino Linotype"/>
          <w:b/>
          <w:bCs/>
          <w:spacing w:val="40"/>
          <w:sz w:val="28"/>
        </w:rPr>
        <w:t>RESULTANDO</w:t>
      </w:r>
    </w:p>
    <w:p w14:paraId="68707BF2" w14:textId="77777777" w:rsidR="00457BB8" w:rsidRPr="00B61F69" w:rsidRDefault="00457BB8" w:rsidP="00B61F69">
      <w:pPr>
        <w:jc w:val="center"/>
        <w:rPr>
          <w:rFonts w:ascii="Palatino Linotype" w:hAnsi="Palatino Linotype"/>
          <w:b/>
          <w:bCs/>
          <w:spacing w:val="40"/>
        </w:rPr>
      </w:pPr>
    </w:p>
    <w:p w14:paraId="3E4FDE36" w14:textId="454AFCCD" w:rsidR="00457BB8" w:rsidRPr="00B61F69" w:rsidRDefault="00457BB8" w:rsidP="00B61F69">
      <w:pPr>
        <w:spacing w:line="360" w:lineRule="auto"/>
        <w:jc w:val="both"/>
        <w:rPr>
          <w:rFonts w:ascii="Palatino Linotype" w:hAnsi="Palatino Linotype" w:cs="Arial"/>
          <w:b/>
          <w:bCs/>
          <w:lang w:val="es-ES"/>
        </w:rPr>
      </w:pPr>
      <w:r w:rsidRPr="00B61F69">
        <w:rPr>
          <w:rFonts w:ascii="Palatino Linotype" w:hAnsi="Palatino Linotype"/>
          <w:b/>
          <w:sz w:val="28"/>
          <w:szCs w:val="28"/>
        </w:rPr>
        <w:t xml:space="preserve">I. </w:t>
      </w:r>
      <w:r w:rsidRPr="00B61F69">
        <w:rPr>
          <w:rFonts w:ascii="Palatino Linotype" w:hAnsi="Palatino Linotype" w:cs="Arial"/>
        </w:rPr>
        <w:t xml:space="preserve">En </w:t>
      </w:r>
      <w:r w:rsidRPr="00B61F69">
        <w:rPr>
          <w:rFonts w:ascii="Palatino Linotype" w:hAnsi="Palatino Linotype" w:cs="Arial"/>
          <w:lang w:val="es-ES"/>
        </w:rPr>
        <w:t>fecha</w:t>
      </w:r>
      <w:r w:rsidRPr="00B61F69">
        <w:rPr>
          <w:rFonts w:ascii="Palatino Linotype" w:hAnsi="Palatino Linotype"/>
          <w:lang w:val="es-ES"/>
        </w:rPr>
        <w:t xml:space="preserve"> </w:t>
      </w:r>
      <w:r w:rsidR="00A63C6E">
        <w:rPr>
          <w:rFonts w:ascii="Palatino Linotype" w:hAnsi="Palatino Linotype" w:cs="Arial"/>
          <w:lang w:val="es-ES"/>
        </w:rPr>
        <w:t>veintiséis de febrero de dos mil veintiuno</w:t>
      </w:r>
      <w:r w:rsidRPr="00B61F69">
        <w:rPr>
          <w:rFonts w:ascii="Palatino Linotype" w:hAnsi="Palatino Linotype"/>
          <w:lang w:val="es-ES"/>
        </w:rPr>
        <w:t xml:space="preserve">, </w:t>
      </w:r>
      <w:r w:rsidR="003579AB" w:rsidRPr="006D79EC">
        <w:rPr>
          <w:rFonts w:ascii="Palatino Linotype" w:hAnsi="Palatino Linotype"/>
          <w:b/>
          <w:lang w:val="es-ES"/>
        </w:rPr>
        <w:t>EL</w:t>
      </w:r>
      <w:r w:rsidRPr="00B61F69">
        <w:rPr>
          <w:rFonts w:ascii="Palatino Linotype" w:hAnsi="Palatino Linotype"/>
          <w:b/>
          <w:lang w:val="es-ES"/>
        </w:rPr>
        <w:t xml:space="preserve"> RECURRENTE</w:t>
      </w:r>
      <w:r w:rsidRPr="00B61F69">
        <w:rPr>
          <w:rFonts w:ascii="Palatino Linotype" w:hAnsi="Palatino Linotype" w:cs="Arial"/>
          <w:lang w:val="es-ES"/>
        </w:rPr>
        <w:t xml:space="preserve"> </w:t>
      </w:r>
      <w:r w:rsidRPr="00B61F69">
        <w:rPr>
          <w:rFonts w:ascii="Palatino Linotype" w:hAnsi="Palatino Linotype" w:cs="Arial"/>
        </w:rPr>
        <w:t xml:space="preserve">presentó a través del Sistema de Acceso a la Información Mexiquense, en lo subsecuente </w:t>
      </w:r>
      <w:r w:rsidRPr="00B61F69">
        <w:rPr>
          <w:rFonts w:ascii="Palatino Linotype" w:hAnsi="Palatino Linotype" w:cs="Arial"/>
          <w:b/>
        </w:rPr>
        <w:t>EL SAIMEX</w:t>
      </w:r>
      <w:r w:rsidRPr="00B61F69">
        <w:rPr>
          <w:rFonts w:ascii="Palatino Linotype" w:hAnsi="Palatino Linotype" w:cs="Arial"/>
        </w:rPr>
        <w:t xml:space="preserve"> ante </w:t>
      </w:r>
      <w:r w:rsidRPr="00B61F69">
        <w:rPr>
          <w:rFonts w:ascii="Palatino Linotype" w:hAnsi="Palatino Linotype" w:cs="Arial"/>
          <w:b/>
        </w:rPr>
        <w:t>EL SUJETO OBLIGADO</w:t>
      </w:r>
      <w:r w:rsidRPr="00B61F69">
        <w:rPr>
          <w:rFonts w:ascii="Palatino Linotype" w:hAnsi="Palatino Linotype" w:cs="Arial"/>
          <w:lang w:val="es-ES"/>
        </w:rPr>
        <w:t xml:space="preserve">, la solicitud de acceso a la información pública, a la que se le asignó el número de expediente </w:t>
      </w:r>
      <w:r w:rsidR="00A63C6E" w:rsidRPr="00A63C6E">
        <w:rPr>
          <w:rFonts w:ascii="Palatino Linotype" w:hAnsi="Palatino Linotype" w:cs="Arial"/>
          <w:b/>
        </w:rPr>
        <w:t>00075/TEOLOYU/IP/2021</w:t>
      </w:r>
      <w:r w:rsidRPr="00B61F69">
        <w:rPr>
          <w:rFonts w:ascii="Palatino Linotype" w:hAnsi="Palatino Linotype" w:cs="Arial"/>
          <w:lang w:val="es-ES"/>
        </w:rPr>
        <w:t>, mediante la cual solicitó:</w:t>
      </w:r>
    </w:p>
    <w:p w14:paraId="190C9BA8" w14:textId="77777777" w:rsidR="00457BB8" w:rsidRPr="00B61F69" w:rsidRDefault="00457BB8" w:rsidP="00B61F69">
      <w:pPr>
        <w:tabs>
          <w:tab w:val="left" w:pos="851"/>
        </w:tabs>
        <w:ind w:left="851" w:right="901"/>
        <w:jc w:val="both"/>
        <w:rPr>
          <w:rFonts w:ascii="Palatino Linotype" w:hAnsi="Palatino Linotype" w:cs="Arial"/>
          <w:i/>
          <w:sz w:val="22"/>
          <w:szCs w:val="22"/>
        </w:rPr>
      </w:pPr>
    </w:p>
    <w:p w14:paraId="13BC2DF0" w14:textId="063CB98F" w:rsidR="00457BB8" w:rsidRPr="00B61F69" w:rsidRDefault="00457BB8" w:rsidP="00B61F69">
      <w:pPr>
        <w:tabs>
          <w:tab w:val="left" w:pos="851"/>
        </w:tabs>
        <w:ind w:left="851" w:right="901"/>
        <w:jc w:val="both"/>
        <w:rPr>
          <w:rFonts w:ascii="Palatino Linotype" w:hAnsi="Palatino Linotype" w:cs="Arial"/>
          <w:i/>
          <w:sz w:val="22"/>
          <w:szCs w:val="22"/>
        </w:rPr>
      </w:pPr>
      <w:r w:rsidRPr="00B61F69">
        <w:rPr>
          <w:rFonts w:ascii="Palatino Linotype" w:hAnsi="Palatino Linotype" w:cs="Arial"/>
          <w:i/>
          <w:sz w:val="22"/>
          <w:szCs w:val="22"/>
        </w:rPr>
        <w:t>“</w:t>
      </w:r>
      <w:r w:rsidR="00A63C6E" w:rsidRPr="00A63C6E">
        <w:rPr>
          <w:rFonts w:ascii="Palatino Linotype" w:hAnsi="Palatino Linotype" w:cs="Arial"/>
          <w:i/>
          <w:sz w:val="22"/>
          <w:szCs w:val="22"/>
        </w:rPr>
        <w:t>El presupuesto asignado al proyecto de la univeraidad publica de Teoloyucan en los ejercicios fiscales 2019, 2020 y 2021.</w:t>
      </w:r>
      <w:r w:rsidRPr="00B61F69">
        <w:rPr>
          <w:rFonts w:ascii="Palatino Linotype" w:hAnsi="Palatino Linotype" w:cs="Arial"/>
          <w:i/>
          <w:sz w:val="22"/>
          <w:szCs w:val="22"/>
        </w:rPr>
        <w:t>” (Sic)</w:t>
      </w:r>
    </w:p>
    <w:p w14:paraId="353B029D" w14:textId="77777777" w:rsidR="00457BB8" w:rsidRPr="00B61F69" w:rsidRDefault="00457BB8" w:rsidP="00B61F69">
      <w:pPr>
        <w:tabs>
          <w:tab w:val="left" w:pos="851"/>
        </w:tabs>
        <w:ind w:left="851" w:right="901"/>
        <w:jc w:val="both"/>
        <w:rPr>
          <w:rFonts w:ascii="Palatino Linotype" w:hAnsi="Palatino Linotype" w:cs="Arial"/>
          <w:i/>
          <w:sz w:val="22"/>
          <w:szCs w:val="22"/>
        </w:rPr>
      </w:pPr>
    </w:p>
    <w:p w14:paraId="33E0243E" w14:textId="77777777" w:rsidR="00457BB8" w:rsidRPr="00B61F69" w:rsidRDefault="00457BB8" w:rsidP="00B61F69">
      <w:pPr>
        <w:spacing w:line="360" w:lineRule="auto"/>
        <w:jc w:val="both"/>
        <w:rPr>
          <w:rFonts w:ascii="Palatino Linotype" w:hAnsi="Palatino Linotype" w:cs="Arial"/>
          <w:b/>
        </w:rPr>
      </w:pPr>
      <w:r w:rsidRPr="00B61F69">
        <w:rPr>
          <w:rFonts w:ascii="Palatino Linotype" w:hAnsi="Palatino Linotype" w:cs="Arial"/>
          <w:b/>
        </w:rPr>
        <w:t>MODALIDAD DE ENTREGA:</w:t>
      </w:r>
      <w:r w:rsidRPr="00B61F69">
        <w:rPr>
          <w:rFonts w:ascii="Palatino Linotype" w:hAnsi="Palatino Linotype" w:cs="Arial"/>
        </w:rPr>
        <w:t xml:space="preserve"> Vía </w:t>
      </w:r>
      <w:r w:rsidRPr="00B61F69">
        <w:rPr>
          <w:rFonts w:ascii="Palatino Linotype" w:hAnsi="Palatino Linotype" w:cs="Arial"/>
          <w:b/>
        </w:rPr>
        <w:t>SAIMEX.</w:t>
      </w:r>
    </w:p>
    <w:p w14:paraId="38DB24E2" w14:textId="77777777" w:rsidR="00457BB8" w:rsidRDefault="00457BB8" w:rsidP="00B61F69">
      <w:pPr>
        <w:spacing w:line="360" w:lineRule="auto"/>
        <w:jc w:val="both"/>
        <w:rPr>
          <w:rFonts w:ascii="Palatino Linotype" w:hAnsi="Palatino Linotype" w:cs="Arial"/>
        </w:rPr>
      </w:pPr>
    </w:p>
    <w:p w14:paraId="0083C6C2" w14:textId="651EE429" w:rsidR="00381AAA" w:rsidRDefault="00381AAA" w:rsidP="00381AAA">
      <w:pPr>
        <w:spacing w:line="360" w:lineRule="auto"/>
        <w:jc w:val="both"/>
        <w:rPr>
          <w:rFonts w:ascii="Palatino Linotype" w:hAnsi="Palatino Linotype"/>
          <w:bCs/>
        </w:rPr>
      </w:pPr>
      <w:r w:rsidRPr="00D67E41">
        <w:rPr>
          <w:rFonts w:ascii="Palatino Linotype" w:hAnsi="Palatino Linotype"/>
          <w:b/>
          <w:sz w:val="28"/>
          <w:szCs w:val="28"/>
        </w:rPr>
        <w:t xml:space="preserve">II. </w:t>
      </w:r>
      <w:r w:rsidRPr="00791C00">
        <w:rPr>
          <w:rFonts w:ascii="Palatino Linotype" w:hAnsi="Palatino Linotype" w:cs="Arial"/>
        </w:rPr>
        <w:t xml:space="preserve">En cumplimiento al artículo 162 de la Ley de Transparencia y Acceso a la Información Pública del Estado de México y Municipios, el </w:t>
      </w:r>
      <w:r w:rsidR="00A63C6E">
        <w:rPr>
          <w:rFonts w:ascii="Palatino Linotype" w:hAnsi="Palatino Linotype" w:cs="Arial"/>
        </w:rPr>
        <w:t xml:space="preserve">veintiocho de febrero de </w:t>
      </w:r>
      <w:r w:rsidR="00A63C6E">
        <w:rPr>
          <w:rFonts w:ascii="Palatino Linotype" w:hAnsi="Palatino Linotype" w:cs="Arial"/>
        </w:rPr>
        <w:lastRenderedPageBreak/>
        <w:t>dos mil veintiuno</w:t>
      </w:r>
      <w:r w:rsidRPr="00791C00">
        <w:rPr>
          <w:rFonts w:ascii="Palatino Linotype" w:hAnsi="Palatino Linotype" w:cs="Arial"/>
        </w:rPr>
        <w:t xml:space="preserve">, el Titular de la Unidad de Transparencia del </w:t>
      </w:r>
      <w:r w:rsidRPr="00791C00">
        <w:rPr>
          <w:rFonts w:ascii="Palatino Linotype" w:hAnsi="Palatino Linotype" w:cs="Arial"/>
          <w:b/>
        </w:rPr>
        <w:t>SUJETO OBLIGADO</w:t>
      </w:r>
      <w:r w:rsidRPr="00791C00">
        <w:rPr>
          <w:rFonts w:ascii="Palatino Linotype" w:hAnsi="Palatino Linotype" w:cs="Arial"/>
        </w:rPr>
        <w:t xml:space="preserve">, </w:t>
      </w:r>
      <w:r w:rsidRPr="00791C00">
        <w:rPr>
          <w:rFonts w:ascii="Palatino Linotype" w:hAnsi="Palatino Linotype"/>
          <w:bCs/>
        </w:rPr>
        <w:t>turnó el requerimiento de información a</w:t>
      </w:r>
      <w:r w:rsidR="004839C4">
        <w:rPr>
          <w:rFonts w:ascii="Palatino Linotype" w:hAnsi="Palatino Linotype"/>
          <w:bCs/>
        </w:rPr>
        <w:t xml:space="preserve"> </w:t>
      </w:r>
      <w:r>
        <w:rPr>
          <w:rFonts w:ascii="Palatino Linotype" w:hAnsi="Palatino Linotype"/>
          <w:bCs/>
        </w:rPr>
        <w:t>l</w:t>
      </w:r>
      <w:r w:rsidR="004839C4">
        <w:rPr>
          <w:rFonts w:ascii="Palatino Linotype" w:hAnsi="Palatino Linotype"/>
          <w:bCs/>
        </w:rPr>
        <w:t>a</w:t>
      </w:r>
      <w:r w:rsidRPr="00791C00">
        <w:rPr>
          <w:rFonts w:ascii="Palatino Linotype" w:hAnsi="Palatino Linotype"/>
          <w:bCs/>
        </w:rPr>
        <w:t xml:space="preserve"> Servidor Público Habilitad</w:t>
      </w:r>
      <w:r w:rsidR="004839C4">
        <w:rPr>
          <w:rFonts w:ascii="Palatino Linotype" w:hAnsi="Palatino Linotype"/>
          <w:bCs/>
        </w:rPr>
        <w:t>a</w:t>
      </w:r>
      <w:r w:rsidRPr="00791C00">
        <w:rPr>
          <w:rFonts w:ascii="Palatino Linotype" w:hAnsi="Palatino Linotype"/>
          <w:bCs/>
        </w:rPr>
        <w:t xml:space="preserve"> que estimó pertinente</w:t>
      </w:r>
      <w:r>
        <w:rPr>
          <w:rFonts w:ascii="Palatino Linotype" w:hAnsi="Palatino Linotype"/>
          <w:bCs/>
        </w:rPr>
        <w:t>s</w:t>
      </w:r>
      <w:r w:rsidRPr="00791C00">
        <w:rPr>
          <w:rFonts w:ascii="Palatino Linotype" w:hAnsi="Palatino Linotype"/>
          <w:bCs/>
        </w:rPr>
        <w:t>, a fin de colmar la solicitud de acceso a la información; tal y como, se aprecia en la imagen siguiente:</w:t>
      </w:r>
    </w:p>
    <w:p w14:paraId="6D23E683" w14:textId="07173472" w:rsidR="004839C4" w:rsidRPr="00791C00" w:rsidRDefault="004839C4" w:rsidP="00381AAA">
      <w:pPr>
        <w:spacing w:line="360" w:lineRule="auto"/>
        <w:jc w:val="both"/>
        <w:rPr>
          <w:rFonts w:ascii="Palatino Linotype" w:hAnsi="Palatino Linotype" w:cs="Arial"/>
        </w:rPr>
      </w:pPr>
      <w:r>
        <w:rPr>
          <w:rFonts w:ascii="Palatino Linotype" w:hAnsi="Palatino Linotype" w:cs="Arial"/>
          <w:noProof/>
          <w:lang w:eastAsia="es-MX"/>
        </w:rPr>
        <w:drawing>
          <wp:inline distT="0" distB="0" distL="0" distR="0" wp14:anchorId="20439B0F" wp14:editId="5414EB0D">
            <wp:extent cx="5790795" cy="1420091"/>
            <wp:effectExtent l="0" t="0" r="635"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rotWithShape="1">
                    <a:blip r:embed="rId8">
                      <a:extLst>
                        <a:ext uri="{28A0092B-C50C-407E-A947-70E740481C1C}">
                          <a14:useLocalDpi xmlns:a14="http://schemas.microsoft.com/office/drawing/2010/main" val="0"/>
                        </a:ext>
                      </a:extLst>
                    </a:blip>
                    <a:srcRect t="2108"/>
                    <a:stretch/>
                  </pic:blipFill>
                  <pic:spPr bwMode="auto">
                    <a:xfrm>
                      <a:off x="0" y="0"/>
                      <a:ext cx="5794286" cy="142094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6504569" w14:textId="418A28DD" w:rsidR="00381AAA" w:rsidRPr="00B61F69" w:rsidRDefault="00381AAA" w:rsidP="00B61F69">
      <w:pPr>
        <w:spacing w:line="360" w:lineRule="auto"/>
        <w:jc w:val="both"/>
        <w:rPr>
          <w:rFonts w:ascii="Palatino Linotype" w:hAnsi="Palatino Linotype" w:cs="Arial"/>
        </w:rPr>
      </w:pPr>
    </w:p>
    <w:p w14:paraId="0FA1F944" w14:textId="6FDF0BE5" w:rsidR="00641A03" w:rsidRPr="00A34BBF" w:rsidRDefault="00703582" w:rsidP="00641A03">
      <w:pPr>
        <w:spacing w:line="360" w:lineRule="auto"/>
        <w:jc w:val="both"/>
        <w:rPr>
          <w:rFonts w:ascii="Palatino Linotype" w:hAnsi="Palatino Linotype" w:cs="Arial"/>
          <w:color w:val="000000" w:themeColor="text1"/>
        </w:rPr>
      </w:pPr>
      <w:r w:rsidRPr="00B61F69">
        <w:rPr>
          <w:rFonts w:ascii="Palatino Linotype" w:hAnsi="Palatino Linotype"/>
          <w:b/>
          <w:sz w:val="28"/>
          <w:szCs w:val="28"/>
        </w:rPr>
        <w:t>I</w:t>
      </w:r>
      <w:r w:rsidR="00407B3E">
        <w:rPr>
          <w:rFonts w:ascii="Palatino Linotype" w:hAnsi="Palatino Linotype"/>
          <w:b/>
          <w:sz w:val="28"/>
          <w:szCs w:val="28"/>
        </w:rPr>
        <w:t>I</w:t>
      </w:r>
      <w:r w:rsidRPr="00B61F69">
        <w:rPr>
          <w:rFonts w:ascii="Palatino Linotype" w:hAnsi="Palatino Linotype"/>
          <w:b/>
          <w:sz w:val="28"/>
          <w:szCs w:val="28"/>
        </w:rPr>
        <w:t>I.</w:t>
      </w:r>
      <w:r w:rsidRPr="00B61F69">
        <w:rPr>
          <w:rFonts w:ascii="Palatino Linotype" w:hAnsi="Palatino Linotype"/>
          <w:sz w:val="28"/>
          <w:szCs w:val="28"/>
        </w:rPr>
        <w:t xml:space="preserve"> </w:t>
      </w:r>
      <w:r w:rsidR="00641A03" w:rsidRPr="00A34BBF">
        <w:rPr>
          <w:rFonts w:ascii="Palatino Linotype" w:hAnsi="Palatino Linotype"/>
          <w:color w:val="000000" w:themeColor="text1"/>
        </w:rPr>
        <w:t xml:space="preserve">De las constancias que obran en el </w:t>
      </w:r>
      <w:r w:rsidR="00641A03" w:rsidRPr="00A34BBF">
        <w:rPr>
          <w:rFonts w:ascii="Palatino Linotype" w:hAnsi="Palatino Linotype"/>
          <w:b/>
          <w:color w:val="000000" w:themeColor="text1"/>
        </w:rPr>
        <w:t>SAIMEX,</w:t>
      </w:r>
      <w:r w:rsidR="00641A03" w:rsidRPr="00A34BBF">
        <w:rPr>
          <w:rFonts w:ascii="Palatino Linotype" w:hAnsi="Palatino Linotype"/>
          <w:color w:val="000000" w:themeColor="text1"/>
        </w:rPr>
        <w:t xml:space="preserve"> se advierte que </w:t>
      </w:r>
      <w:r w:rsidR="00641A03" w:rsidRPr="00A34BBF">
        <w:rPr>
          <w:rFonts w:ascii="Palatino Linotype" w:hAnsi="Palatino Linotype" w:cs="Arial"/>
          <w:b/>
          <w:color w:val="000000" w:themeColor="text1"/>
        </w:rPr>
        <w:t>EL SUJETO OBLIGADO</w:t>
      </w:r>
      <w:r w:rsidR="00641A03" w:rsidRPr="00A34BBF">
        <w:rPr>
          <w:rFonts w:ascii="Palatino Linotype" w:hAnsi="Palatino Linotype" w:cs="Arial"/>
          <w:color w:val="000000" w:themeColor="text1"/>
        </w:rPr>
        <w:t xml:space="preserve"> fue omiso en entregar la respuesta a la solicitud de información pública.</w:t>
      </w:r>
    </w:p>
    <w:p w14:paraId="56CD5E6B" w14:textId="77777777" w:rsidR="00703582" w:rsidRPr="00B61F69" w:rsidRDefault="00703582" w:rsidP="00B61F69">
      <w:pPr>
        <w:spacing w:line="360" w:lineRule="auto"/>
        <w:jc w:val="both"/>
        <w:rPr>
          <w:rFonts w:ascii="Palatino Linotype" w:hAnsi="Palatino Linotype" w:cs="Arial"/>
          <w:lang w:val="es-ES_tradnl"/>
        </w:rPr>
      </w:pPr>
    </w:p>
    <w:p w14:paraId="1FAC1E24" w14:textId="2BED60B9" w:rsidR="00703582" w:rsidRPr="00B61F69" w:rsidRDefault="00DC050D" w:rsidP="00B61F69">
      <w:pPr>
        <w:spacing w:line="360" w:lineRule="auto"/>
        <w:jc w:val="both"/>
        <w:rPr>
          <w:rFonts w:ascii="Palatino Linotype" w:hAnsi="Palatino Linotype" w:cs="Arial"/>
          <w:lang w:val="es-ES"/>
        </w:rPr>
      </w:pPr>
      <w:r>
        <w:rPr>
          <w:rFonts w:ascii="Palatino Linotype" w:hAnsi="Palatino Linotype" w:cs="Arial"/>
          <w:b/>
          <w:sz w:val="28"/>
          <w:lang w:val="es-ES"/>
        </w:rPr>
        <w:t>IV</w:t>
      </w:r>
      <w:r w:rsidR="00703582" w:rsidRPr="00B61F69">
        <w:rPr>
          <w:rFonts w:ascii="Palatino Linotype" w:hAnsi="Palatino Linotype" w:cs="Arial"/>
          <w:b/>
          <w:sz w:val="28"/>
          <w:lang w:val="es-ES"/>
        </w:rPr>
        <w:t>.</w:t>
      </w:r>
      <w:r w:rsidR="00703582" w:rsidRPr="00B61F69">
        <w:rPr>
          <w:rFonts w:ascii="Palatino Linotype" w:hAnsi="Palatino Linotype" w:cs="Arial"/>
          <w:b/>
          <w:lang w:val="es-ES"/>
        </w:rPr>
        <w:t xml:space="preserve"> </w:t>
      </w:r>
      <w:r w:rsidR="00641A03">
        <w:rPr>
          <w:rFonts w:ascii="Palatino Linotype" w:hAnsi="Palatino Linotype" w:cs="Arial"/>
          <w:lang w:val="es-ES"/>
        </w:rPr>
        <w:t>I</w:t>
      </w:r>
      <w:r w:rsidR="00703582" w:rsidRPr="00B61F69">
        <w:rPr>
          <w:rFonts w:ascii="Palatino Linotype" w:hAnsi="Palatino Linotype" w:cs="Arial"/>
          <w:lang w:val="es-ES"/>
        </w:rPr>
        <w:t xml:space="preserve">nconforme </w:t>
      </w:r>
      <w:r w:rsidR="00641A03">
        <w:rPr>
          <w:rFonts w:ascii="Palatino Linotype" w:hAnsi="Palatino Linotype" w:cs="Arial"/>
          <w:lang w:val="es-ES"/>
        </w:rPr>
        <w:t>con la falta de respuesta</w:t>
      </w:r>
      <w:r w:rsidR="00703582" w:rsidRPr="00B61F69">
        <w:rPr>
          <w:rFonts w:ascii="Palatino Linotype" w:hAnsi="Palatino Linotype" w:cs="Arial"/>
          <w:lang w:val="es-ES"/>
        </w:rPr>
        <w:t xml:space="preserve">, el </w:t>
      </w:r>
      <w:r>
        <w:rPr>
          <w:rFonts w:ascii="Palatino Linotype" w:hAnsi="Palatino Linotype" w:cs="Arial"/>
          <w:lang w:val="es-ES"/>
        </w:rPr>
        <w:t>veinticuatro de marzo</w:t>
      </w:r>
      <w:r w:rsidR="005038C6">
        <w:rPr>
          <w:rFonts w:ascii="Palatino Linotype" w:hAnsi="Palatino Linotype" w:cs="Arial"/>
          <w:lang w:val="es-ES"/>
        </w:rPr>
        <w:t xml:space="preserve"> </w:t>
      </w:r>
      <w:r w:rsidR="00641A03">
        <w:rPr>
          <w:rFonts w:ascii="Palatino Linotype" w:hAnsi="Palatino Linotype" w:cs="Arial"/>
          <w:lang w:val="es-ES"/>
        </w:rPr>
        <w:t>de dos mil veintiuno,</w:t>
      </w:r>
      <w:r w:rsidR="00703582" w:rsidRPr="00B61F69">
        <w:rPr>
          <w:rFonts w:ascii="Palatino Linotype" w:hAnsi="Palatino Linotype" w:cs="Arial"/>
          <w:lang w:val="es-ES"/>
        </w:rPr>
        <w:t xml:space="preserve"> </w:t>
      </w:r>
      <w:r w:rsidR="00641A03">
        <w:rPr>
          <w:rFonts w:ascii="Palatino Linotype" w:hAnsi="Palatino Linotype" w:cs="Arial"/>
          <w:b/>
          <w:lang w:val="es-ES"/>
        </w:rPr>
        <w:t xml:space="preserve">EL </w:t>
      </w:r>
      <w:r w:rsidR="00703582" w:rsidRPr="00B61F69">
        <w:rPr>
          <w:rFonts w:ascii="Palatino Linotype" w:hAnsi="Palatino Linotype" w:cs="Arial"/>
          <w:b/>
          <w:lang w:val="es-ES"/>
        </w:rPr>
        <w:t>RECURRENTE</w:t>
      </w:r>
      <w:r w:rsidR="00703582" w:rsidRPr="00B61F69">
        <w:rPr>
          <w:rFonts w:ascii="Palatino Linotype" w:hAnsi="Palatino Linotype" w:cs="Arial"/>
          <w:lang w:val="es-ES"/>
        </w:rPr>
        <w:t xml:space="preserve"> interpuso el recurso de revisión sujeto del presente estudio, el cual fue registrado en </w:t>
      </w:r>
      <w:r w:rsidR="00703582" w:rsidRPr="00B61F69">
        <w:rPr>
          <w:rFonts w:ascii="Palatino Linotype" w:hAnsi="Palatino Linotype" w:cs="Arial"/>
          <w:b/>
          <w:lang w:val="es-ES"/>
        </w:rPr>
        <w:t>EL SAIMEX</w:t>
      </w:r>
      <w:r w:rsidR="00703582" w:rsidRPr="00B61F69">
        <w:rPr>
          <w:rFonts w:ascii="Palatino Linotype" w:hAnsi="Palatino Linotype" w:cs="Arial"/>
          <w:lang w:val="es-ES"/>
        </w:rPr>
        <w:t xml:space="preserve"> y se le asignó el número de expediente </w:t>
      </w:r>
      <w:r w:rsidRPr="00DC050D">
        <w:rPr>
          <w:rFonts w:ascii="Palatino Linotype" w:hAnsi="Palatino Linotype" w:cs="Arial"/>
          <w:b/>
          <w:lang w:val="es-ES"/>
        </w:rPr>
        <w:t>01377/INFOEM/IP/RR/2021</w:t>
      </w:r>
      <w:r w:rsidR="00703582" w:rsidRPr="00B61F69">
        <w:rPr>
          <w:rFonts w:ascii="Palatino Linotype" w:hAnsi="Palatino Linotype" w:cs="Arial"/>
          <w:lang w:val="es-ES"/>
        </w:rPr>
        <w:t xml:space="preserve">, en el que señaló como acto impugnado el siguiente: </w:t>
      </w:r>
    </w:p>
    <w:p w14:paraId="290D1ACE" w14:textId="77777777" w:rsidR="00703582" w:rsidRPr="00B61F69"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76CA0E80" w14:textId="63072AC6" w:rsidR="00703582" w:rsidRPr="00B61F69"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B61F69">
        <w:rPr>
          <w:rFonts w:ascii="Palatino Linotype" w:eastAsiaTheme="minorEastAsia" w:hAnsi="Palatino Linotype" w:cs="Arial"/>
          <w:i/>
          <w:sz w:val="22"/>
          <w:szCs w:val="22"/>
          <w:lang w:val="es-ES_tradnl"/>
        </w:rPr>
        <w:t>“</w:t>
      </w:r>
      <w:r w:rsidR="00DC050D" w:rsidRPr="00DC050D">
        <w:rPr>
          <w:rFonts w:ascii="Palatino Linotype" w:eastAsiaTheme="minorEastAsia" w:hAnsi="Palatino Linotype" w:cs="Arial"/>
          <w:i/>
          <w:sz w:val="22"/>
          <w:szCs w:val="22"/>
          <w:lang w:val="es-ES_tradnl"/>
        </w:rPr>
        <w:t>La falta de respuesta a una solicitud de acceso a la información pública.</w:t>
      </w:r>
      <w:r w:rsidRPr="00B61F69">
        <w:rPr>
          <w:rFonts w:ascii="Palatino Linotype" w:eastAsiaTheme="minorEastAsia" w:hAnsi="Palatino Linotype" w:cs="Arial"/>
          <w:i/>
          <w:sz w:val="22"/>
          <w:szCs w:val="22"/>
          <w:lang w:val="es-ES_tradnl"/>
        </w:rPr>
        <w:t>” (sic)</w:t>
      </w:r>
    </w:p>
    <w:p w14:paraId="409B3125" w14:textId="77777777" w:rsidR="00703582" w:rsidRPr="00B61F69"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1CB940F8" w14:textId="77777777" w:rsidR="00703582" w:rsidRPr="00B61F69" w:rsidRDefault="00703582" w:rsidP="00B61F69">
      <w:pPr>
        <w:spacing w:line="360" w:lineRule="auto"/>
        <w:jc w:val="both"/>
        <w:rPr>
          <w:rFonts w:ascii="Palatino Linotype" w:eastAsiaTheme="minorEastAsia" w:hAnsi="Palatino Linotype" w:cs="Arial"/>
          <w:sz w:val="20"/>
          <w:szCs w:val="20"/>
          <w:lang w:val="es-ES_tradnl"/>
        </w:rPr>
      </w:pPr>
      <w:r w:rsidRPr="00B61F69">
        <w:rPr>
          <w:rFonts w:ascii="Palatino Linotype" w:eastAsiaTheme="minorEastAsia" w:hAnsi="Palatino Linotype" w:cs="Arial"/>
          <w:lang w:val="es-ES_tradnl"/>
        </w:rPr>
        <w:t xml:space="preserve">Así como, razones o motivos de inconformidad, lo siguiente: </w:t>
      </w:r>
    </w:p>
    <w:p w14:paraId="09FE2C7C" w14:textId="77777777" w:rsidR="00703582" w:rsidRPr="00B61F69"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76FD41F9" w14:textId="63800A93" w:rsidR="00703582" w:rsidRPr="00B61F69"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B61F69">
        <w:rPr>
          <w:rFonts w:ascii="Palatino Linotype" w:eastAsiaTheme="minorEastAsia" w:hAnsi="Palatino Linotype" w:cs="Arial"/>
          <w:i/>
          <w:sz w:val="22"/>
          <w:szCs w:val="22"/>
          <w:lang w:val="es-ES_tradnl"/>
        </w:rPr>
        <w:t>“</w:t>
      </w:r>
      <w:r w:rsidR="00DC050D" w:rsidRPr="00DC050D">
        <w:rPr>
          <w:rFonts w:ascii="Palatino Linotype" w:eastAsiaTheme="minorEastAsia" w:hAnsi="Palatino Linotype" w:cs="Arial"/>
          <w:i/>
          <w:sz w:val="22"/>
          <w:szCs w:val="22"/>
          <w:lang w:val="es-ES_tradnl"/>
        </w:rPr>
        <w:t>No dio contestación en tiempo y forma a mi solicitud de acceso a la información pública.</w:t>
      </w:r>
      <w:r w:rsidRPr="00B61F69">
        <w:rPr>
          <w:rFonts w:ascii="Palatino Linotype" w:eastAsiaTheme="minorEastAsia" w:hAnsi="Palatino Linotype" w:cs="Arial"/>
          <w:i/>
          <w:sz w:val="22"/>
          <w:szCs w:val="22"/>
          <w:lang w:val="es-ES_tradnl"/>
        </w:rPr>
        <w:t>” (sic)</w:t>
      </w:r>
    </w:p>
    <w:p w14:paraId="6CD8DEBF" w14:textId="77777777" w:rsidR="00703582" w:rsidRPr="00B61F69"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56E637CD" w14:textId="7D7C64E3" w:rsidR="00703582" w:rsidRPr="00B61F69" w:rsidRDefault="00703582" w:rsidP="00B61F69">
      <w:pPr>
        <w:spacing w:line="360" w:lineRule="auto"/>
        <w:jc w:val="both"/>
        <w:rPr>
          <w:rFonts w:ascii="Palatino Linotype" w:eastAsiaTheme="minorEastAsia" w:hAnsi="Palatino Linotype" w:cs="Arial"/>
          <w:sz w:val="20"/>
          <w:szCs w:val="20"/>
          <w:lang w:val="es-ES_tradnl"/>
        </w:rPr>
      </w:pPr>
      <w:r w:rsidRPr="00B61F69">
        <w:rPr>
          <w:rFonts w:ascii="Palatino Linotype" w:eastAsiaTheme="minorEastAsia" w:hAnsi="Palatino Linotype" w:cs="Arial"/>
          <w:b/>
          <w:sz w:val="28"/>
          <w:szCs w:val="28"/>
          <w:lang w:val="es-ES_tradnl"/>
        </w:rPr>
        <w:lastRenderedPageBreak/>
        <w:t xml:space="preserve">V. </w:t>
      </w:r>
      <w:r w:rsidRPr="00B61F69">
        <w:rPr>
          <w:rFonts w:ascii="Palatino Linotype" w:eastAsiaTheme="minorEastAsia" w:hAnsi="Palatino Linotype" w:cs="Arial"/>
          <w:lang w:val="es-ES_tradnl"/>
        </w:rPr>
        <w:t xml:space="preserve">El </w:t>
      </w:r>
      <w:r w:rsidR="00DC050D">
        <w:rPr>
          <w:rFonts w:ascii="Palatino Linotype" w:eastAsiaTheme="minorEastAsia" w:hAnsi="Palatino Linotype" w:cs="Arial"/>
          <w:lang w:val="es-ES_tradnl"/>
        </w:rPr>
        <w:t xml:space="preserve">veinticuatro </w:t>
      </w:r>
      <w:r w:rsidR="00641A03">
        <w:rPr>
          <w:rFonts w:ascii="Palatino Linotype" w:eastAsiaTheme="minorEastAsia" w:hAnsi="Palatino Linotype" w:cs="Arial"/>
          <w:lang w:val="es-ES_tradnl"/>
        </w:rPr>
        <w:t xml:space="preserve">de marzo de dos mil </w:t>
      </w:r>
      <w:r w:rsidR="00DC050D">
        <w:rPr>
          <w:rFonts w:ascii="Palatino Linotype" w:eastAsiaTheme="minorEastAsia" w:hAnsi="Palatino Linotype" w:cs="Arial"/>
          <w:lang w:val="es-ES_tradnl"/>
        </w:rPr>
        <w:t>veintiuno</w:t>
      </w:r>
      <w:r w:rsidRPr="00B61F69">
        <w:rPr>
          <w:rFonts w:ascii="Palatino Linotype" w:eastAsiaTheme="minorEastAsia" w:hAnsi="Palatino Linotype" w:cs="Arial"/>
          <w:lang w:val="es-ES_tradnl"/>
        </w:rPr>
        <w:t xml:space="preserve">, el recurso de que se trata se envió electrónicamente al Instituto de </w:t>
      </w:r>
      <w:r w:rsidRPr="00B61F69">
        <w:rPr>
          <w:rFonts w:ascii="Palatino Linotype" w:eastAsia="Arial Unicode MS" w:hAnsi="Palatino Linotype" w:cs="Arial"/>
          <w:lang w:val="es-ES_tradnl"/>
        </w:rPr>
        <w:t>Transparencia</w:t>
      </w:r>
      <w:r w:rsidRPr="00B61F69">
        <w:rPr>
          <w:rFonts w:ascii="Palatino Linotype" w:eastAsiaTheme="minorEastAsia" w:hAnsi="Palatino Linotype" w:cs="Arial"/>
          <w:lang w:val="es-ES_tradnl"/>
        </w:rPr>
        <w:t xml:space="preserve">, Acceso a la Información Pública y Protección de Datos Personales del Estado de México y Municipios y con fundamento en el artículo 185, fracción I de la </w:t>
      </w:r>
      <w:r w:rsidRPr="00B61F69">
        <w:rPr>
          <w:rFonts w:ascii="Palatino Linotype" w:eastAsiaTheme="minorEastAsia" w:hAnsi="Palatino Linotype" w:cstheme="minorBidi"/>
          <w:lang w:val="es-ES_tradnl"/>
        </w:rPr>
        <w:t>Ley de Transparencia y Acceso a la Información Pública del Estado de México y Municipios</w:t>
      </w:r>
      <w:r w:rsidRPr="00B61F69">
        <w:rPr>
          <w:rFonts w:ascii="Palatino Linotype" w:eastAsiaTheme="minorEastAsia" w:hAnsi="Palatino Linotype" w:cs="Arial"/>
          <w:lang w:val="es-ES_tradnl"/>
        </w:rPr>
        <w:t>, se turnó, a través del</w:t>
      </w:r>
      <w:r w:rsidRPr="00B61F69">
        <w:rPr>
          <w:rFonts w:ascii="Palatino Linotype" w:eastAsia="Arial Unicode MS" w:hAnsi="Palatino Linotype" w:cs="Arial"/>
          <w:lang w:val="es-ES_tradnl"/>
        </w:rPr>
        <w:t xml:space="preserve"> </w:t>
      </w:r>
      <w:r w:rsidRPr="00B61F69">
        <w:rPr>
          <w:rFonts w:ascii="Palatino Linotype" w:eastAsia="Arial Unicode MS" w:hAnsi="Palatino Linotype" w:cs="Arial"/>
          <w:b/>
          <w:lang w:val="es-ES_tradnl"/>
        </w:rPr>
        <w:t>SAIMEX</w:t>
      </w:r>
      <w:r w:rsidRPr="00B61F69">
        <w:rPr>
          <w:rFonts w:ascii="Palatino Linotype" w:eastAsiaTheme="minorEastAsia" w:hAnsi="Palatino Linotype" w:cstheme="minorBidi"/>
          <w:lang w:val="es-ES_tradnl"/>
        </w:rPr>
        <w:t xml:space="preserve">, a la </w:t>
      </w:r>
      <w:r w:rsidRPr="00B61F69">
        <w:rPr>
          <w:rFonts w:ascii="Palatino Linotype" w:eastAsiaTheme="minorEastAsia" w:hAnsi="Palatino Linotype" w:cs="Arial"/>
          <w:lang w:val="es-ES_tradnl"/>
        </w:rPr>
        <w:t xml:space="preserve">Comisionada </w:t>
      </w:r>
      <w:r w:rsidRPr="00B61F69">
        <w:rPr>
          <w:rFonts w:ascii="Palatino Linotype" w:eastAsiaTheme="minorEastAsia" w:hAnsi="Palatino Linotype" w:cs="Arial"/>
          <w:b/>
          <w:lang w:val="es-ES_tradnl"/>
        </w:rPr>
        <w:t>EVA ABAID YAPUR</w:t>
      </w:r>
      <w:r w:rsidRPr="00B61F69">
        <w:rPr>
          <w:rFonts w:ascii="Palatino Linotype" w:eastAsiaTheme="minorEastAsia" w:hAnsi="Palatino Linotype" w:cstheme="minorBidi"/>
          <w:lang w:val="es-ES_tradnl"/>
        </w:rPr>
        <w:t>,</w:t>
      </w:r>
      <w:r w:rsidRPr="00B61F69">
        <w:rPr>
          <w:rFonts w:ascii="Palatino Linotype" w:eastAsiaTheme="minorEastAsia" w:hAnsi="Palatino Linotype" w:cs="Arial"/>
          <w:lang w:val="es-ES_tradnl"/>
        </w:rPr>
        <w:t xml:space="preserve"> a efecto de decretar su admisión o desechamiento.</w:t>
      </w:r>
    </w:p>
    <w:p w14:paraId="58F79B66" w14:textId="77777777" w:rsidR="00703582" w:rsidRPr="00B61F69" w:rsidRDefault="00703582" w:rsidP="00B61F69">
      <w:pPr>
        <w:spacing w:line="360" w:lineRule="auto"/>
        <w:jc w:val="both"/>
        <w:rPr>
          <w:rFonts w:ascii="Palatino Linotype" w:eastAsiaTheme="minorEastAsia" w:hAnsi="Palatino Linotype" w:cs="Arial"/>
          <w:lang w:val="es-ES_tradnl"/>
        </w:rPr>
      </w:pPr>
    </w:p>
    <w:p w14:paraId="2E116F6C" w14:textId="234DA21E" w:rsidR="00703582" w:rsidRPr="00B61F69" w:rsidRDefault="00703582" w:rsidP="00B61F69">
      <w:pPr>
        <w:tabs>
          <w:tab w:val="center" w:pos="4252"/>
          <w:tab w:val="right" w:pos="8504"/>
        </w:tabs>
        <w:spacing w:line="360" w:lineRule="auto"/>
        <w:jc w:val="both"/>
        <w:rPr>
          <w:rFonts w:ascii="Palatino Linotype" w:eastAsiaTheme="minorEastAsia" w:hAnsi="Palatino Linotype" w:cs="Arial"/>
          <w:lang w:val="es-ES_tradnl"/>
        </w:rPr>
      </w:pPr>
      <w:r w:rsidRPr="00B61F69">
        <w:rPr>
          <w:rFonts w:ascii="Palatino Linotype" w:eastAsiaTheme="minorEastAsia" w:hAnsi="Palatino Linotype" w:cs="Arial"/>
          <w:b/>
          <w:sz w:val="28"/>
          <w:szCs w:val="20"/>
          <w:lang w:val="es-ES_tradnl"/>
        </w:rPr>
        <w:t xml:space="preserve">VI. </w:t>
      </w:r>
      <w:r w:rsidRPr="00B61F69">
        <w:rPr>
          <w:rFonts w:ascii="Palatino Linotype" w:eastAsiaTheme="minorEastAsia" w:hAnsi="Palatino Linotype" w:cs="Arial"/>
          <w:lang w:val="es-ES_tradnl"/>
        </w:rPr>
        <w:t>De las constancias del expediente electrónico del</w:t>
      </w:r>
      <w:r w:rsidRPr="00B61F69">
        <w:rPr>
          <w:rFonts w:ascii="Palatino Linotype" w:eastAsiaTheme="minorEastAsia" w:hAnsi="Palatino Linotype" w:cs="Arial"/>
          <w:b/>
          <w:lang w:val="es-ES_tradnl"/>
        </w:rPr>
        <w:t xml:space="preserve"> SAIMEX</w:t>
      </w:r>
      <w:r w:rsidRPr="00B61F69">
        <w:rPr>
          <w:rFonts w:ascii="Palatino Linotype" w:eastAsiaTheme="minorEastAsia" w:hAnsi="Palatino Linotype" w:cs="Arial"/>
          <w:lang w:val="es-ES_tradnl"/>
        </w:rPr>
        <w:t xml:space="preserve">, se advierte que en fecha </w:t>
      </w:r>
      <w:r w:rsidR="00DC050D">
        <w:rPr>
          <w:rFonts w:ascii="Palatino Linotype" w:eastAsiaTheme="minorEastAsia" w:hAnsi="Palatino Linotype" w:cs="Arial"/>
          <w:lang w:val="es-ES_tradnl"/>
        </w:rPr>
        <w:t>cinco de abril</w:t>
      </w:r>
      <w:r w:rsidR="00A95101">
        <w:rPr>
          <w:rFonts w:ascii="Palatino Linotype" w:eastAsiaTheme="minorEastAsia" w:hAnsi="Palatino Linotype" w:cs="Arial"/>
          <w:lang w:val="es-ES_tradnl"/>
        </w:rPr>
        <w:t xml:space="preserve"> de dos mil veintiuno</w:t>
      </w:r>
      <w:r w:rsidRPr="00B61F69">
        <w:rPr>
          <w:rFonts w:ascii="Palatino Linotype" w:eastAsiaTheme="minorEastAsia" w:hAnsi="Palatino Linotype" w:cs="Arial"/>
          <w:lang w:val="es-ES_tradn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61F69">
        <w:rPr>
          <w:rFonts w:ascii="Palatino Linotype" w:eastAsiaTheme="minorEastAsia" w:hAnsi="Palatino Linotype" w:cs="Arial"/>
          <w:b/>
          <w:lang w:val="es-ES_tradnl"/>
        </w:rPr>
        <w:t xml:space="preserve">EL SUJETO OBLIGADO </w:t>
      </w:r>
      <w:r w:rsidRPr="00B61F69">
        <w:rPr>
          <w:rFonts w:ascii="Palatino Linotype" w:eastAsiaTheme="minorEastAsia" w:hAnsi="Palatino Linotype" w:cs="Arial"/>
          <w:lang w:val="es-ES_tradnl"/>
        </w:rPr>
        <w:t>rindiera su</w:t>
      </w:r>
      <w:r w:rsidRPr="00B61F69">
        <w:rPr>
          <w:rFonts w:ascii="Palatino Linotype" w:eastAsiaTheme="minorEastAsia" w:hAnsi="Palatino Linotype" w:cs="Arial"/>
          <w:b/>
          <w:lang w:val="es-ES_tradnl"/>
        </w:rPr>
        <w:t xml:space="preserve"> </w:t>
      </w:r>
      <w:r w:rsidRPr="00B61F69">
        <w:rPr>
          <w:rFonts w:ascii="Palatino Linotype" w:eastAsiaTheme="minorEastAsia" w:hAnsi="Palatino Linotype" w:cs="Arial"/>
          <w:lang w:val="es-ES_tradnl"/>
        </w:rPr>
        <w:t>Informe Justificado.</w:t>
      </w:r>
    </w:p>
    <w:p w14:paraId="6DEC5421" w14:textId="77777777" w:rsidR="00703582" w:rsidRPr="00B61F69" w:rsidRDefault="00703582" w:rsidP="00B61F69">
      <w:pPr>
        <w:spacing w:line="360" w:lineRule="auto"/>
        <w:jc w:val="both"/>
        <w:rPr>
          <w:rFonts w:ascii="Palatino Linotype" w:eastAsia="Arial Unicode MS" w:hAnsi="Palatino Linotype" w:cs="Arial"/>
          <w:b/>
          <w:szCs w:val="28"/>
          <w:lang w:val="es-ES_tradnl"/>
        </w:rPr>
      </w:pPr>
    </w:p>
    <w:p w14:paraId="1E646449" w14:textId="02F2165A" w:rsidR="00703582" w:rsidRDefault="00DC050D" w:rsidP="00B61F69">
      <w:pPr>
        <w:spacing w:line="360" w:lineRule="auto"/>
        <w:jc w:val="both"/>
        <w:rPr>
          <w:rFonts w:ascii="Palatino Linotype" w:hAnsi="Palatino Linotype" w:cs="Arial"/>
          <w:lang w:val="es-ES_tradnl"/>
        </w:rPr>
      </w:pPr>
      <w:r>
        <w:rPr>
          <w:rFonts w:ascii="Palatino Linotype" w:eastAsia="Arial Unicode MS" w:hAnsi="Palatino Linotype" w:cs="Arial"/>
          <w:b/>
          <w:sz w:val="28"/>
          <w:szCs w:val="28"/>
          <w:lang w:val="es-ES_tradnl"/>
        </w:rPr>
        <w:t>VII</w:t>
      </w:r>
      <w:r w:rsidR="00703582" w:rsidRPr="00B61F69">
        <w:rPr>
          <w:rFonts w:ascii="Palatino Linotype" w:eastAsia="Arial Unicode MS" w:hAnsi="Palatino Linotype" w:cs="Arial"/>
          <w:b/>
          <w:sz w:val="28"/>
          <w:szCs w:val="28"/>
          <w:lang w:val="es-ES_tradnl"/>
        </w:rPr>
        <w:t>.</w:t>
      </w:r>
      <w:r w:rsidR="00703582" w:rsidRPr="00B61F69">
        <w:rPr>
          <w:rFonts w:ascii="Palatino Linotype" w:eastAsia="Arial Unicode MS" w:hAnsi="Palatino Linotype" w:cs="Arial"/>
          <w:b/>
          <w:sz w:val="28"/>
          <w:szCs w:val="28"/>
        </w:rPr>
        <w:t xml:space="preserve"> </w:t>
      </w:r>
      <w:r w:rsidR="00703582" w:rsidRPr="00B61F69">
        <w:rPr>
          <w:rFonts w:ascii="Palatino Linotype" w:eastAsia="Arial Unicode MS" w:hAnsi="Palatino Linotype" w:cs="Arial"/>
          <w:lang w:val="es-ES_tradnl"/>
        </w:rPr>
        <w:t xml:space="preserve">Conforme a las constancias del </w:t>
      </w:r>
      <w:r w:rsidR="00703582" w:rsidRPr="00B61F69">
        <w:rPr>
          <w:rFonts w:ascii="Palatino Linotype" w:eastAsia="Arial Unicode MS" w:hAnsi="Palatino Linotype" w:cs="Arial"/>
          <w:b/>
          <w:lang w:val="es-ES_tradnl"/>
        </w:rPr>
        <w:t>SAIMEX</w:t>
      </w:r>
      <w:r w:rsidR="00703582" w:rsidRPr="00B61F69">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w:t>
      </w:r>
      <w:r w:rsidR="00A95101">
        <w:rPr>
          <w:rFonts w:ascii="Palatino Linotype" w:eastAsia="Arial Unicode MS" w:hAnsi="Palatino Linotype" w:cs="Arial"/>
          <w:lang w:val="es-ES_tradnl"/>
        </w:rPr>
        <w:t>l</w:t>
      </w:r>
      <w:r w:rsidR="00703582" w:rsidRPr="00B61F69">
        <w:rPr>
          <w:rFonts w:ascii="Palatino Linotype" w:eastAsia="Arial Unicode MS" w:hAnsi="Palatino Linotype" w:cs="Arial"/>
          <w:lang w:val="es-ES_tradnl"/>
        </w:rPr>
        <w:t xml:space="preserve"> </w:t>
      </w:r>
      <w:r w:rsidR="00703582" w:rsidRPr="00B61F69">
        <w:rPr>
          <w:rFonts w:ascii="Palatino Linotype" w:eastAsia="Arial Unicode MS" w:hAnsi="Palatino Linotype" w:cs="Arial"/>
          <w:b/>
          <w:lang w:val="es-ES_tradnl"/>
        </w:rPr>
        <w:t>RECURRENTE</w:t>
      </w:r>
      <w:r w:rsidR="00703582" w:rsidRPr="00B61F69">
        <w:rPr>
          <w:rFonts w:ascii="Palatino Linotype" w:eastAsia="Arial Unicode MS" w:hAnsi="Palatino Linotype" w:cs="Arial"/>
          <w:lang w:val="es-ES_tradnl"/>
        </w:rPr>
        <w:t xml:space="preserve">, éste no realizó manifestación alguna, ni presentó pruebas o alegatos, así como tampoco </w:t>
      </w:r>
      <w:r w:rsidR="00703582" w:rsidRPr="00B61F69">
        <w:rPr>
          <w:rFonts w:ascii="Palatino Linotype" w:eastAsia="Arial Unicode MS" w:hAnsi="Palatino Linotype" w:cs="Arial"/>
          <w:b/>
          <w:color w:val="000000"/>
          <w:lang w:val="es-ES_tradnl" w:eastAsia="es-MX"/>
        </w:rPr>
        <w:t>EL SUJETO OBLIGADO</w:t>
      </w:r>
      <w:r w:rsidR="00703582" w:rsidRPr="00B61F69">
        <w:rPr>
          <w:rFonts w:ascii="Palatino Linotype" w:eastAsia="Arial Unicode MS" w:hAnsi="Palatino Linotype" w:cs="Arial"/>
          <w:lang w:val="es-ES_tradnl"/>
        </w:rPr>
        <w:t xml:space="preserve"> rindió su Informe Justificado, tal y como se aprecia en la siguiente imagen: </w:t>
      </w:r>
      <w:r w:rsidR="00703582" w:rsidRPr="00B61F69">
        <w:rPr>
          <w:rFonts w:ascii="Palatino Linotype" w:hAnsi="Palatino Linotype" w:cs="Arial"/>
          <w:lang w:val="es-ES_tradnl"/>
        </w:rPr>
        <w:t xml:space="preserve"> </w:t>
      </w:r>
    </w:p>
    <w:p w14:paraId="4DFAA5E7" w14:textId="52296780" w:rsidR="00DC050D" w:rsidRPr="00B61F69" w:rsidRDefault="00DC050D" w:rsidP="00B61F69">
      <w:pPr>
        <w:spacing w:line="360" w:lineRule="auto"/>
        <w:jc w:val="both"/>
        <w:rPr>
          <w:rFonts w:ascii="Palatino Linotype" w:hAnsi="Palatino Linotype" w:cs="Arial"/>
          <w:lang w:val="es-ES_tradnl"/>
        </w:rPr>
      </w:pPr>
      <w:r>
        <w:rPr>
          <w:noProof/>
          <w:lang w:eastAsia="es-MX"/>
        </w:rPr>
        <w:lastRenderedPageBreak/>
        <w:drawing>
          <wp:inline distT="0" distB="0" distL="0" distR="0" wp14:anchorId="19748639" wp14:editId="25C0C18C">
            <wp:extent cx="5791835" cy="1638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38300"/>
                    </a:xfrm>
                    <a:prstGeom prst="rect">
                      <a:avLst/>
                    </a:prstGeom>
                  </pic:spPr>
                </pic:pic>
              </a:graphicData>
            </a:graphic>
          </wp:inline>
        </w:drawing>
      </w:r>
    </w:p>
    <w:p w14:paraId="0C9DF219" w14:textId="77777777" w:rsidR="00703582" w:rsidRPr="00B61F69" w:rsidRDefault="00703582" w:rsidP="00B61F69">
      <w:pPr>
        <w:spacing w:line="360" w:lineRule="auto"/>
        <w:jc w:val="both"/>
        <w:rPr>
          <w:rFonts w:ascii="Palatino Linotype" w:hAnsi="Palatino Linotype" w:cs="Arial"/>
          <w:noProof/>
          <w:lang w:eastAsia="es-MX"/>
        </w:rPr>
      </w:pPr>
    </w:p>
    <w:p w14:paraId="1E4E9955" w14:textId="5CF3385F" w:rsidR="001F15B2" w:rsidRDefault="00DC050D" w:rsidP="00B61F69">
      <w:pPr>
        <w:spacing w:line="360" w:lineRule="auto"/>
        <w:jc w:val="both"/>
        <w:rPr>
          <w:rFonts w:ascii="Palatino Linotype" w:hAnsi="Palatino Linotype" w:cs="Arial"/>
          <w:color w:val="000000" w:themeColor="text1"/>
        </w:rPr>
      </w:pPr>
      <w:r>
        <w:rPr>
          <w:rFonts w:ascii="Palatino Linotype" w:hAnsi="Palatino Linotype"/>
          <w:b/>
          <w:color w:val="000000" w:themeColor="text1"/>
          <w:sz w:val="28"/>
          <w:szCs w:val="28"/>
        </w:rPr>
        <w:t>VIII</w:t>
      </w:r>
      <w:r w:rsidR="001F15B2" w:rsidRPr="00B61F69">
        <w:rPr>
          <w:rFonts w:ascii="Palatino Linotype" w:hAnsi="Palatino Linotype"/>
          <w:b/>
          <w:color w:val="000000" w:themeColor="text1"/>
          <w:sz w:val="28"/>
          <w:szCs w:val="28"/>
        </w:rPr>
        <w:t xml:space="preserve">. </w:t>
      </w:r>
      <w:r w:rsidR="001F15B2" w:rsidRPr="00B61F69">
        <w:rPr>
          <w:rFonts w:ascii="Palatino Linotype" w:hAnsi="Palatino Linotype" w:cs="Arial"/>
          <w:color w:val="000000" w:themeColor="text1"/>
        </w:rPr>
        <w:t xml:space="preserve">En fecha </w:t>
      </w:r>
      <w:r>
        <w:rPr>
          <w:rFonts w:ascii="Palatino Linotype" w:hAnsi="Palatino Linotype" w:cs="Arial"/>
          <w:color w:val="000000" w:themeColor="text1"/>
        </w:rPr>
        <w:t xml:space="preserve">quince </w:t>
      </w:r>
      <w:r w:rsidR="00A95101">
        <w:rPr>
          <w:rFonts w:ascii="Palatino Linotype" w:hAnsi="Palatino Linotype" w:cs="Arial"/>
          <w:color w:val="000000" w:themeColor="text1"/>
        </w:rPr>
        <w:t xml:space="preserve">de </w:t>
      </w:r>
      <w:r>
        <w:rPr>
          <w:rFonts w:ascii="Palatino Linotype" w:hAnsi="Palatino Linotype" w:cs="Arial"/>
          <w:color w:val="000000" w:themeColor="text1"/>
        </w:rPr>
        <w:t>abril</w:t>
      </w:r>
      <w:r w:rsidR="00A95101">
        <w:rPr>
          <w:rFonts w:ascii="Palatino Linotype" w:hAnsi="Palatino Linotype" w:cs="Arial"/>
          <w:color w:val="000000" w:themeColor="text1"/>
        </w:rPr>
        <w:t xml:space="preserve"> </w:t>
      </w:r>
      <w:r w:rsidR="001F15B2" w:rsidRPr="00B61F69">
        <w:rPr>
          <w:rFonts w:ascii="Palatino Linotype" w:hAnsi="Palatino Linotype" w:cs="Arial"/>
          <w:color w:val="000000" w:themeColor="text1"/>
        </w:rPr>
        <w:t xml:space="preserve">de dos mil veinte, la Comisionada Ponente acordó el cierre de instrucción, así como la remisión del mismo a efecto de ser resuelto, de conformidad con lo establecido en el artículo 185 fracción VIII de la Ley de Transparencia y Acceso a la Información Pública del </w:t>
      </w:r>
      <w:r w:rsidR="00713205">
        <w:rPr>
          <w:rFonts w:ascii="Palatino Linotype" w:hAnsi="Palatino Linotype" w:cs="Arial"/>
          <w:color w:val="000000" w:themeColor="text1"/>
        </w:rPr>
        <w:t xml:space="preserve">Estado de México y Municipios; </w:t>
      </w:r>
    </w:p>
    <w:p w14:paraId="18750951" w14:textId="77777777" w:rsidR="00713205" w:rsidRDefault="00713205" w:rsidP="00B61F69">
      <w:pPr>
        <w:spacing w:line="360" w:lineRule="auto"/>
        <w:jc w:val="both"/>
        <w:rPr>
          <w:rFonts w:ascii="Palatino Linotype" w:hAnsi="Palatino Linotype" w:cs="Arial"/>
          <w:color w:val="000000" w:themeColor="text1"/>
        </w:rPr>
      </w:pPr>
    </w:p>
    <w:p w14:paraId="4D654C3D" w14:textId="77777777" w:rsidR="00713205" w:rsidRPr="002064CC" w:rsidRDefault="00713205" w:rsidP="00713205">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713205">
        <w:rPr>
          <w:rFonts w:ascii="Palatino Linotype" w:hAnsi="Palatino Linotype" w:cs="Arial"/>
          <w:b/>
          <w:color w:val="000000" w:themeColor="text1"/>
          <w:sz w:val="28"/>
          <w:szCs w:val="28"/>
        </w:rPr>
        <w:t xml:space="preserve">IX. </w:t>
      </w:r>
      <w:r>
        <w:rPr>
          <w:rFonts w:ascii="Palatino Linotype" w:hAnsi="Palatino Linotype" w:cs="Arial"/>
        </w:rPr>
        <w:t>En fecha veintiuno</w:t>
      </w:r>
      <w:r w:rsidRPr="00F2604B">
        <w:rPr>
          <w:rFonts w:ascii="Palatino Linotype" w:hAnsi="Palatino Linotype" w:cs="Arial"/>
        </w:rPr>
        <w:t xml:space="preserve"> de abril del año en curso, se aprobó el returno del proyecto de resolución a la Comisionada Presidenta Zulema Martínez Sánchez a efecto de ser presentado para su aprobación ante el Pleno del Instituto de Transparencia, Acceso a la Información y Protección de Datos Personales del Estado de México y Munici</w:t>
      </w:r>
      <w:r>
        <w:rPr>
          <w:rFonts w:ascii="Palatino Linotype" w:hAnsi="Palatino Linotype" w:cs="Arial"/>
        </w:rPr>
        <w:t>pios; y</w:t>
      </w:r>
    </w:p>
    <w:p w14:paraId="79C68D71" w14:textId="512D2EB2" w:rsidR="00713205" w:rsidRPr="00713205" w:rsidRDefault="00713205" w:rsidP="00B61F69">
      <w:pPr>
        <w:spacing w:line="360" w:lineRule="auto"/>
        <w:jc w:val="both"/>
        <w:rPr>
          <w:rFonts w:ascii="Palatino Linotype" w:hAnsi="Palatino Linotype"/>
          <w:b/>
          <w:color w:val="000000" w:themeColor="text1"/>
          <w:sz w:val="28"/>
          <w:szCs w:val="28"/>
        </w:rPr>
      </w:pPr>
    </w:p>
    <w:p w14:paraId="4E15EB07" w14:textId="77777777" w:rsidR="001F15B2" w:rsidRPr="00B61F69" w:rsidRDefault="001F15B2" w:rsidP="00C40595">
      <w:pPr>
        <w:jc w:val="center"/>
        <w:rPr>
          <w:rFonts w:ascii="Palatino Linotype" w:hAnsi="Palatino Linotype"/>
          <w:b/>
          <w:bCs/>
          <w:spacing w:val="40"/>
          <w:sz w:val="28"/>
        </w:rPr>
      </w:pPr>
    </w:p>
    <w:p w14:paraId="274C22D9" w14:textId="77777777" w:rsidR="00457BB8" w:rsidRPr="00B61F69" w:rsidRDefault="00457BB8" w:rsidP="00C40595">
      <w:pPr>
        <w:jc w:val="center"/>
        <w:rPr>
          <w:rFonts w:ascii="Palatino Linotype" w:hAnsi="Palatino Linotype"/>
          <w:b/>
          <w:bCs/>
          <w:spacing w:val="40"/>
          <w:sz w:val="28"/>
        </w:rPr>
      </w:pPr>
      <w:r w:rsidRPr="00B61F69">
        <w:rPr>
          <w:rFonts w:ascii="Palatino Linotype" w:hAnsi="Palatino Linotype"/>
          <w:b/>
          <w:bCs/>
          <w:spacing w:val="40"/>
          <w:sz w:val="28"/>
        </w:rPr>
        <w:t>CONSIDERANDO</w:t>
      </w:r>
    </w:p>
    <w:p w14:paraId="2EE1A9E9" w14:textId="77777777" w:rsidR="00457BB8" w:rsidRPr="00B61F69" w:rsidRDefault="00457BB8" w:rsidP="00C40595">
      <w:pPr>
        <w:jc w:val="center"/>
        <w:rPr>
          <w:rFonts w:ascii="Palatino Linotype" w:hAnsi="Palatino Linotype"/>
          <w:b/>
          <w:bCs/>
          <w:spacing w:val="40"/>
          <w:sz w:val="28"/>
        </w:rPr>
      </w:pPr>
    </w:p>
    <w:p w14:paraId="34EC9D92" w14:textId="77777777" w:rsidR="00A95101" w:rsidRPr="001E70C8" w:rsidRDefault="00A95101" w:rsidP="00A95101">
      <w:pPr>
        <w:spacing w:line="360" w:lineRule="auto"/>
        <w:ind w:right="50"/>
        <w:jc w:val="both"/>
        <w:rPr>
          <w:rFonts w:ascii="Palatino Linotype" w:hAnsi="Palatino Linotype" w:cs="Arial"/>
          <w:color w:val="000000" w:themeColor="text1"/>
        </w:rPr>
      </w:pPr>
      <w:r w:rsidRPr="001E70C8">
        <w:rPr>
          <w:rFonts w:ascii="Palatino Linotype" w:hAnsi="Palatino Linotype"/>
          <w:b/>
          <w:color w:val="000000" w:themeColor="text1"/>
          <w:sz w:val="28"/>
          <w:szCs w:val="28"/>
        </w:rPr>
        <w:t>PRIMERO</w:t>
      </w:r>
      <w:r w:rsidRPr="001E70C8">
        <w:rPr>
          <w:rFonts w:ascii="Palatino Linotype" w:hAnsi="Palatino Linotype"/>
          <w:b/>
          <w:color w:val="000000" w:themeColor="text1"/>
        </w:rPr>
        <w:t>.</w:t>
      </w:r>
      <w:r w:rsidRPr="001E70C8">
        <w:rPr>
          <w:rFonts w:ascii="Palatino Linotype" w:hAnsi="Palatino Linotype"/>
          <w:color w:val="000000" w:themeColor="text1"/>
        </w:rPr>
        <w:t xml:space="preserve"> </w:t>
      </w:r>
      <w:r w:rsidRPr="001E70C8">
        <w:rPr>
          <w:rFonts w:ascii="Palatino Linotype" w:hAnsi="Palatino Linotype"/>
          <w:b/>
          <w:color w:val="000000" w:themeColor="text1"/>
        </w:rPr>
        <w:t>Competencia</w:t>
      </w:r>
      <w:r w:rsidRPr="001E70C8">
        <w:rPr>
          <w:rFonts w:ascii="Palatino Linotype" w:hAnsi="Palatino Linotype"/>
          <w:color w:val="000000" w:themeColor="text1"/>
        </w:rPr>
        <w:t>.</w:t>
      </w:r>
      <w:r w:rsidRPr="001E70C8">
        <w:rPr>
          <w:rFonts w:ascii="Palatino Linotype" w:hAnsi="Palatino Linotype"/>
          <w:b/>
          <w:color w:val="000000" w:themeColor="text1"/>
        </w:rPr>
        <w:t xml:space="preserve"> </w:t>
      </w:r>
      <w:r w:rsidRPr="001E70C8">
        <w:rPr>
          <w:rFonts w:ascii="Palatino Linotype" w:hAnsi="Palatino Linotype"/>
          <w:color w:val="000000" w:themeColor="text1"/>
        </w:rPr>
        <w:t xml:space="preserve">Este Instituto de Transparencia, Acceso a la Información Pública y Protección de Datos Personales del Estado de México y Municipios, es </w:t>
      </w:r>
      <w:r w:rsidRPr="001E70C8">
        <w:rPr>
          <w:rFonts w:ascii="Palatino Linotype" w:hAnsi="Palatino Linotype"/>
          <w:color w:val="000000" w:themeColor="text1"/>
        </w:rPr>
        <w:lastRenderedPageBreak/>
        <w:t xml:space="preserve">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w:t>
      </w:r>
      <w:bookmarkStart w:id="0" w:name="_GoBack"/>
      <w:bookmarkEnd w:id="0"/>
      <w:r w:rsidRPr="001E70C8">
        <w:rPr>
          <w:rFonts w:ascii="Palatino Linotype" w:hAnsi="Palatino Linotype"/>
          <w:color w:val="000000" w:themeColor="text1"/>
        </w:rPr>
        <w:t>México; 2 fracción II, 13, 29, 36, fracciones I y II, 176, 178, 179, 181 párrafo tercero y 185 de la Ley de Transparencia y Acceso a la Información Pública del Estado de México y Municipios</w:t>
      </w:r>
      <w:r w:rsidRPr="001E70C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465ACF2" w14:textId="77777777" w:rsidR="00A95101" w:rsidRPr="001E70C8" w:rsidRDefault="00A95101" w:rsidP="00A95101">
      <w:pPr>
        <w:spacing w:line="360" w:lineRule="auto"/>
        <w:ind w:right="50"/>
        <w:jc w:val="both"/>
        <w:rPr>
          <w:rFonts w:ascii="Palatino Linotype" w:hAnsi="Palatino Linotype" w:cs="Arial"/>
          <w:color w:val="000000" w:themeColor="text1"/>
        </w:rPr>
      </w:pPr>
    </w:p>
    <w:p w14:paraId="7BA8C7FB" w14:textId="77777777" w:rsidR="00A95101" w:rsidRPr="001E70C8" w:rsidRDefault="00A95101" w:rsidP="00A9510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E70C8">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28A0B77" w14:textId="77777777" w:rsidR="00457BB8" w:rsidRPr="00B61F69" w:rsidRDefault="00457BB8" w:rsidP="00B61F69">
      <w:pPr>
        <w:spacing w:line="360" w:lineRule="auto"/>
        <w:ind w:right="50"/>
        <w:jc w:val="both"/>
        <w:rPr>
          <w:rFonts w:ascii="Palatino Linotype" w:hAnsi="Palatino Linotype" w:cs="Arial"/>
          <w:b/>
        </w:rPr>
      </w:pPr>
    </w:p>
    <w:p w14:paraId="54E67F03" w14:textId="5DCF58A1" w:rsidR="00457BB8" w:rsidRPr="00B61F69" w:rsidRDefault="00457BB8" w:rsidP="00B61F69">
      <w:pPr>
        <w:spacing w:line="360" w:lineRule="auto"/>
        <w:jc w:val="both"/>
        <w:rPr>
          <w:rFonts w:ascii="Palatino Linotype" w:hAnsi="Palatino Linotype" w:cs="Arial"/>
          <w:b/>
          <w:snapToGrid w:val="0"/>
        </w:rPr>
      </w:pPr>
      <w:r w:rsidRPr="00B61F69">
        <w:rPr>
          <w:rFonts w:ascii="Palatino Linotype" w:hAnsi="Palatino Linotype" w:cs="Arial"/>
          <w:b/>
          <w:sz w:val="28"/>
        </w:rPr>
        <w:t>SEGUNDO</w:t>
      </w:r>
      <w:r w:rsidRPr="00B61F69">
        <w:rPr>
          <w:rFonts w:ascii="Palatino Linotype" w:hAnsi="Palatino Linotype" w:cs="Arial"/>
          <w:b/>
        </w:rPr>
        <w:t xml:space="preserve">. Interés. </w:t>
      </w:r>
      <w:r w:rsidRPr="00B61F69">
        <w:rPr>
          <w:rFonts w:ascii="Palatino Linotype" w:hAnsi="Palatino Linotype" w:cs="Arial"/>
          <w:bCs/>
        </w:rPr>
        <w:t xml:space="preserve">El recurso de revisión fue interpuesto por parte legítima, en atención a que se presentó por </w:t>
      </w:r>
      <w:r w:rsidR="00A95101">
        <w:rPr>
          <w:rFonts w:ascii="Palatino Linotype" w:hAnsi="Palatino Linotype" w:cs="Arial"/>
          <w:b/>
          <w:bCs/>
        </w:rPr>
        <w:t>EL</w:t>
      </w:r>
      <w:r w:rsidR="00A95101" w:rsidRPr="00B61F69">
        <w:rPr>
          <w:rFonts w:ascii="Palatino Linotype" w:hAnsi="Palatino Linotype" w:cs="Arial"/>
          <w:b/>
          <w:bCs/>
        </w:rPr>
        <w:t xml:space="preserve"> </w:t>
      </w:r>
      <w:r w:rsidRPr="00B61F69">
        <w:rPr>
          <w:rFonts w:ascii="Palatino Linotype" w:hAnsi="Palatino Linotype" w:cs="Arial"/>
          <w:b/>
          <w:bCs/>
        </w:rPr>
        <w:t>RECURRENTE,</w:t>
      </w:r>
      <w:r w:rsidRPr="00B61F69">
        <w:rPr>
          <w:rFonts w:ascii="Palatino Linotype" w:hAnsi="Palatino Linotype" w:cs="Arial"/>
          <w:bCs/>
        </w:rPr>
        <w:t xml:space="preserve"> quien es la misma persona que formuló la solicitud de acceso a la información pública al </w:t>
      </w:r>
      <w:r w:rsidRPr="00B61F69">
        <w:rPr>
          <w:rFonts w:ascii="Palatino Linotype" w:hAnsi="Palatino Linotype" w:cs="Arial"/>
          <w:b/>
          <w:bCs/>
        </w:rPr>
        <w:t>SUJETO OBLIGADO.</w:t>
      </w:r>
    </w:p>
    <w:p w14:paraId="260C55BA" w14:textId="77777777" w:rsidR="00C74181" w:rsidRPr="00B61F69" w:rsidRDefault="00C74181" w:rsidP="00B61F69">
      <w:pPr>
        <w:spacing w:line="360" w:lineRule="auto"/>
        <w:jc w:val="both"/>
        <w:rPr>
          <w:rFonts w:ascii="Palatino Linotype" w:hAnsi="Palatino Linotype" w:cs="Arial"/>
          <w:b/>
          <w:szCs w:val="28"/>
        </w:rPr>
      </w:pPr>
    </w:p>
    <w:p w14:paraId="64F8E01A" w14:textId="77777777" w:rsidR="00A95101" w:rsidRDefault="00A95101" w:rsidP="00A95101">
      <w:pPr>
        <w:pStyle w:val="Prrafodelista"/>
        <w:autoSpaceDE w:val="0"/>
        <w:autoSpaceDN w:val="0"/>
        <w:adjustRightInd w:val="0"/>
        <w:spacing w:line="360" w:lineRule="auto"/>
        <w:ind w:left="0" w:right="49"/>
        <w:jc w:val="both"/>
        <w:rPr>
          <w:rFonts w:ascii="Palatino Linotype" w:hAnsi="Palatino Linotype" w:cs="Arial"/>
          <w:lang w:val="es-ES"/>
        </w:rPr>
      </w:pPr>
      <w:r>
        <w:rPr>
          <w:rFonts w:ascii="Palatino Linotype" w:hAnsi="Palatino Linotype" w:cs="Arial"/>
          <w:b/>
          <w:sz w:val="28"/>
          <w:szCs w:val="28"/>
        </w:rPr>
        <w:lastRenderedPageBreak/>
        <w:t xml:space="preserve">TERCERO. </w:t>
      </w:r>
      <w:r>
        <w:rPr>
          <w:rFonts w:ascii="Palatino Linotype" w:hAnsi="Palatino Linotype" w:cs="Arial"/>
          <w:b/>
          <w:lang w:val="es-ES"/>
        </w:rPr>
        <w:t xml:space="preserve">Oportunidad. </w:t>
      </w:r>
      <w:r>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3ABA2FEB" w14:textId="77777777" w:rsidR="00A95101" w:rsidRDefault="00A95101" w:rsidP="00A95101">
      <w:pPr>
        <w:jc w:val="both"/>
        <w:rPr>
          <w:rFonts w:ascii="Palatino Linotype" w:hAnsi="Palatino Linotype" w:cs="Arial"/>
          <w:lang w:val="es-ES"/>
        </w:rPr>
      </w:pPr>
    </w:p>
    <w:p w14:paraId="13CD287C" w14:textId="77777777" w:rsidR="00A95101" w:rsidRDefault="00A95101" w:rsidP="00A95101">
      <w:pPr>
        <w:autoSpaceDE w:val="0"/>
        <w:autoSpaceDN w:val="0"/>
        <w:adjustRightInd w:val="0"/>
        <w:ind w:left="851" w:right="902"/>
        <w:jc w:val="both"/>
        <w:rPr>
          <w:rFonts w:ascii="Palatino Linotype" w:hAnsi="Palatino Linotype" w:cs="Arial"/>
          <w:i/>
          <w:sz w:val="22"/>
          <w:szCs w:val="22"/>
          <w:lang w:val="es-ES"/>
        </w:rPr>
      </w:pPr>
      <w:r>
        <w:rPr>
          <w:rFonts w:ascii="Palatino Linotype" w:hAnsi="Palatino Linotype" w:cs="Arial"/>
          <w:b/>
          <w:i/>
          <w:sz w:val="22"/>
          <w:szCs w:val="22"/>
          <w:lang w:val="es-ES"/>
        </w:rPr>
        <w:t>“Artículo 163.</w:t>
      </w:r>
      <w:r>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096D5EB" w14:textId="77777777" w:rsidR="00A95101" w:rsidRDefault="00A95101" w:rsidP="00A95101">
      <w:pPr>
        <w:autoSpaceDE w:val="0"/>
        <w:autoSpaceDN w:val="0"/>
        <w:adjustRightInd w:val="0"/>
        <w:ind w:left="851" w:right="902"/>
        <w:jc w:val="both"/>
        <w:rPr>
          <w:rFonts w:ascii="Palatino Linotype" w:hAnsi="Palatino Linotype" w:cs="Arial"/>
          <w:i/>
          <w:sz w:val="22"/>
          <w:szCs w:val="22"/>
          <w:lang w:val="es-ES"/>
        </w:rPr>
      </w:pPr>
    </w:p>
    <w:p w14:paraId="75996D0A" w14:textId="77777777" w:rsidR="00A95101" w:rsidRDefault="00A95101" w:rsidP="00A95101">
      <w:pPr>
        <w:autoSpaceDE w:val="0"/>
        <w:autoSpaceDN w:val="0"/>
        <w:adjustRightInd w:val="0"/>
        <w:ind w:left="851" w:right="902"/>
        <w:jc w:val="both"/>
        <w:rPr>
          <w:rFonts w:ascii="Palatino Linotype" w:hAnsi="Palatino Linotype" w:cs="Arial"/>
          <w:i/>
          <w:sz w:val="22"/>
          <w:szCs w:val="22"/>
          <w:lang w:val="es-ES"/>
        </w:rPr>
      </w:pPr>
      <w:r>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9F8FC37" w14:textId="77777777" w:rsidR="00A95101" w:rsidRDefault="00A95101" w:rsidP="00A95101">
      <w:pPr>
        <w:ind w:left="851" w:right="901"/>
        <w:jc w:val="both"/>
        <w:rPr>
          <w:rFonts w:ascii="Palatino Linotype" w:hAnsi="Palatino Linotype" w:cs="Arial"/>
          <w:i/>
          <w:szCs w:val="22"/>
          <w:lang w:val="es-ES"/>
        </w:rPr>
      </w:pPr>
    </w:p>
    <w:p w14:paraId="7FF08CE3" w14:textId="77777777" w:rsidR="00A95101" w:rsidRDefault="00A95101" w:rsidP="00A95101">
      <w:pPr>
        <w:spacing w:line="360" w:lineRule="auto"/>
        <w:jc w:val="both"/>
        <w:rPr>
          <w:rFonts w:ascii="Palatino Linotype" w:hAnsi="Palatino Linotype" w:cs="Arial"/>
          <w:lang w:val="es-ES"/>
        </w:rPr>
      </w:pPr>
      <w:r>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4A59E889" w14:textId="77777777" w:rsidR="00A95101" w:rsidRDefault="00A95101" w:rsidP="00A95101">
      <w:pPr>
        <w:spacing w:line="360" w:lineRule="auto"/>
        <w:jc w:val="both"/>
        <w:rPr>
          <w:rFonts w:ascii="Palatino Linotype" w:hAnsi="Palatino Linotype" w:cs="Arial"/>
          <w:lang w:val="es-ES"/>
        </w:rPr>
      </w:pPr>
    </w:p>
    <w:p w14:paraId="763AA436" w14:textId="77777777" w:rsidR="00A95101" w:rsidRDefault="00A95101" w:rsidP="00A95101">
      <w:pPr>
        <w:spacing w:line="360" w:lineRule="auto"/>
        <w:jc w:val="both"/>
        <w:rPr>
          <w:rFonts w:ascii="Palatino Linotype" w:hAnsi="Palatino Linotype" w:cs="Arial"/>
          <w:lang w:val="es-ES"/>
        </w:rPr>
      </w:pPr>
      <w:r>
        <w:rPr>
          <w:rFonts w:ascii="Palatino Linotype" w:hAnsi="Palatino Linotype" w:cs="Arial"/>
          <w:lang w:val="es-ES"/>
        </w:rPr>
        <w:t xml:space="preserve">Derivado de lo anterior, se constituye la figura jurídica de la </w:t>
      </w:r>
      <w:r>
        <w:rPr>
          <w:rFonts w:ascii="Palatino Linotype" w:hAnsi="Palatino Linotype" w:cs="Arial"/>
          <w:b/>
          <w:lang w:val="es-ES"/>
        </w:rPr>
        <w:t>NEGATIVA FICTA</w:t>
      </w:r>
      <w:r>
        <w:rPr>
          <w:rFonts w:ascii="Palatino Linotype" w:hAnsi="Palatino Linotype" w:cs="Arial"/>
          <w:lang w:val="es-ES"/>
        </w:rPr>
        <w:t>, cuya esencia consiste en atribuir un efecto negativo al silencio de la autoridad administrativa frente a las instancias y solicitudes que hagan los particulares.</w:t>
      </w:r>
    </w:p>
    <w:p w14:paraId="42BAA0A8" w14:textId="77777777" w:rsidR="00A95101" w:rsidRDefault="00A95101" w:rsidP="00A95101">
      <w:pPr>
        <w:spacing w:line="360" w:lineRule="auto"/>
        <w:jc w:val="both"/>
        <w:rPr>
          <w:rFonts w:ascii="Palatino Linotype" w:hAnsi="Palatino Linotype" w:cs="Arial"/>
          <w:lang w:val="es-ES"/>
        </w:rPr>
      </w:pPr>
    </w:p>
    <w:p w14:paraId="0CB21C62" w14:textId="77777777" w:rsidR="00A95101" w:rsidRDefault="00A95101" w:rsidP="00A95101">
      <w:pPr>
        <w:spacing w:line="360" w:lineRule="auto"/>
        <w:jc w:val="both"/>
        <w:rPr>
          <w:rFonts w:ascii="Palatino Linotype" w:hAnsi="Palatino Linotype" w:cs="Arial"/>
          <w:lang w:val="es-ES"/>
        </w:rPr>
      </w:pPr>
      <w:r>
        <w:rPr>
          <w:rFonts w:ascii="Palatino Linotype" w:hAnsi="Palatino Linotype" w:cs="Arial"/>
          <w:lang w:val="es-ES"/>
        </w:rPr>
        <w:lastRenderedPageBreak/>
        <w:t>Por su parte, el artículo 178 de la Ley de Transparencia y Acceso a la Información Pública del Estado de México y Municipios, establece:</w:t>
      </w:r>
    </w:p>
    <w:p w14:paraId="27F79CCA" w14:textId="77777777" w:rsidR="00A95101" w:rsidRDefault="00A95101" w:rsidP="00A95101">
      <w:pPr>
        <w:jc w:val="both"/>
        <w:rPr>
          <w:rFonts w:ascii="Palatino Linotype" w:hAnsi="Palatino Linotype" w:cs="Arial"/>
          <w:lang w:val="es-ES"/>
        </w:rPr>
      </w:pPr>
    </w:p>
    <w:p w14:paraId="6146CC45" w14:textId="77777777" w:rsidR="00A95101" w:rsidRDefault="00A95101" w:rsidP="00A95101">
      <w:pPr>
        <w:ind w:left="851" w:right="901"/>
        <w:jc w:val="both"/>
        <w:rPr>
          <w:rFonts w:ascii="Palatino Linotype" w:hAnsi="Palatino Linotype" w:cs="Arial"/>
          <w:i/>
          <w:sz w:val="22"/>
          <w:szCs w:val="22"/>
          <w:lang w:val="es-ES"/>
        </w:rPr>
      </w:pPr>
      <w:r>
        <w:rPr>
          <w:rFonts w:ascii="Palatino Linotype" w:hAnsi="Palatino Linotype" w:cs="Arial"/>
          <w:b/>
          <w:i/>
          <w:sz w:val="22"/>
          <w:szCs w:val="22"/>
          <w:lang w:val="es-ES"/>
        </w:rPr>
        <w:t xml:space="preserve">“Artículo 178. </w:t>
      </w:r>
      <w:r>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4175991" w14:textId="77777777" w:rsidR="00A95101" w:rsidRDefault="00A95101" w:rsidP="00A95101">
      <w:pPr>
        <w:ind w:left="851" w:right="901"/>
        <w:jc w:val="both"/>
        <w:rPr>
          <w:rFonts w:ascii="Palatino Linotype" w:hAnsi="Palatino Linotype" w:cs="Arial"/>
          <w:i/>
          <w:sz w:val="22"/>
          <w:szCs w:val="22"/>
          <w:lang w:val="es-ES"/>
        </w:rPr>
      </w:pPr>
    </w:p>
    <w:p w14:paraId="3ED3FC19" w14:textId="77777777" w:rsidR="00A95101" w:rsidRDefault="00A95101" w:rsidP="00A95101">
      <w:pPr>
        <w:ind w:left="851" w:right="901"/>
        <w:jc w:val="both"/>
        <w:rPr>
          <w:rFonts w:ascii="Palatino Linotype" w:hAnsi="Palatino Linotype" w:cs="Arial"/>
          <w:i/>
          <w:sz w:val="22"/>
          <w:szCs w:val="22"/>
          <w:lang w:val="es-ES"/>
        </w:rPr>
      </w:pPr>
      <w:r>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Pr>
          <w:rFonts w:ascii="Palatino Linotype" w:hAnsi="Palatino Linotype" w:cs="Arial"/>
          <w:i/>
          <w:sz w:val="22"/>
          <w:szCs w:val="22"/>
          <w:lang w:val="es-ES"/>
        </w:rPr>
        <w:t>, acompañado con el documento que pruebe la fecha en que presentó la solicitud.</w:t>
      </w:r>
    </w:p>
    <w:p w14:paraId="657B1EA0" w14:textId="77777777" w:rsidR="00A95101" w:rsidRDefault="00A95101" w:rsidP="00A95101">
      <w:pPr>
        <w:ind w:left="851" w:right="901"/>
        <w:jc w:val="both"/>
        <w:rPr>
          <w:rFonts w:ascii="Palatino Linotype" w:hAnsi="Palatino Linotype" w:cs="Arial"/>
          <w:i/>
          <w:sz w:val="22"/>
          <w:szCs w:val="22"/>
          <w:lang w:val="es-ES"/>
        </w:rPr>
      </w:pPr>
    </w:p>
    <w:p w14:paraId="3F52CE45" w14:textId="77777777" w:rsidR="00A95101" w:rsidRDefault="00A95101" w:rsidP="00A95101">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66C0075A" w14:textId="77777777" w:rsidR="00A95101" w:rsidRDefault="00A95101" w:rsidP="00A95101">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 xml:space="preserve">(Énfasis añadido) </w:t>
      </w:r>
    </w:p>
    <w:p w14:paraId="6FE7032D" w14:textId="77777777" w:rsidR="00A95101" w:rsidRDefault="00A95101" w:rsidP="00A95101">
      <w:pPr>
        <w:jc w:val="both"/>
        <w:rPr>
          <w:rFonts w:ascii="Palatino Linotype" w:hAnsi="Palatino Linotype" w:cs="Arial"/>
          <w:lang w:val="es-ES"/>
        </w:rPr>
      </w:pPr>
    </w:p>
    <w:p w14:paraId="0C71BC61" w14:textId="77777777" w:rsidR="00A95101" w:rsidRDefault="00A95101" w:rsidP="00A95101">
      <w:pPr>
        <w:spacing w:line="360" w:lineRule="auto"/>
        <w:jc w:val="both"/>
        <w:rPr>
          <w:rFonts w:ascii="Palatino Linotype" w:hAnsi="Palatino Linotype" w:cs="Arial"/>
          <w:lang w:val="es-ES"/>
        </w:rPr>
      </w:pPr>
      <w:r>
        <w:rPr>
          <w:rFonts w:ascii="Palatino Linotype" w:hAnsi="Palatino Linotype" w:cs="Arial"/>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Pr>
          <w:rFonts w:ascii="Palatino Linotype" w:hAnsi="Palatino Linotype" w:cs="Arial"/>
          <w:b/>
          <w:lang w:val="es-ES"/>
        </w:rPr>
        <w:t>SUJETO OBLIGADO</w:t>
      </w:r>
      <w:r>
        <w:rPr>
          <w:rFonts w:ascii="Palatino Linotype" w:hAnsi="Palatino Linotype" w:cs="Arial"/>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Pr>
          <w:rFonts w:ascii="Palatino Linotype" w:hAnsi="Palatino Linotype" w:cs="Arial"/>
          <w:b/>
          <w:lang w:val="es-ES"/>
        </w:rPr>
        <w:t xml:space="preserve">EL RECURRENTE </w:t>
      </w:r>
      <w:r>
        <w:rPr>
          <w:rFonts w:ascii="Palatino Linotype" w:hAnsi="Palatino Linotype" w:cs="Arial"/>
          <w:lang w:val="es-ES"/>
        </w:rPr>
        <w:t>está en la total libertad de presentar su medio de impugnación en cualquier momento, consecuentemente se tiene que dicho recurso se presentó oportunamente.</w:t>
      </w:r>
    </w:p>
    <w:p w14:paraId="02547F6D" w14:textId="77777777" w:rsidR="00A95101" w:rsidRDefault="00A95101" w:rsidP="00A95101">
      <w:pPr>
        <w:spacing w:line="360" w:lineRule="auto"/>
        <w:jc w:val="both"/>
        <w:rPr>
          <w:rFonts w:ascii="Palatino Linotype" w:hAnsi="Palatino Linotype" w:cs="Arial"/>
          <w:lang w:val="es-ES"/>
        </w:rPr>
      </w:pPr>
    </w:p>
    <w:p w14:paraId="7082FA48" w14:textId="72EF2B57" w:rsidR="00DC050D" w:rsidRDefault="00DC050D" w:rsidP="00DC050D">
      <w:pPr>
        <w:spacing w:line="360" w:lineRule="auto"/>
        <w:jc w:val="both"/>
        <w:rPr>
          <w:rFonts w:ascii="Palatino Linotype" w:hAnsi="Palatino Linotype"/>
          <w:b/>
        </w:rPr>
      </w:pPr>
      <w:r w:rsidRPr="009D76CB">
        <w:rPr>
          <w:rFonts w:ascii="Palatino Linotype" w:hAnsi="Palatino Linotype" w:cs="Arial"/>
          <w:b/>
          <w:sz w:val="28"/>
          <w:szCs w:val="28"/>
        </w:rPr>
        <w:lastRenderedPageBreak/>
        <w:t>CUARTO</w:t>
      </w:r>
      <w:r w:rsidRPr="009D76CB">
        <w:rPr>
          <w:rFonts w:ascii="Palatino Linotype" w:hAnsi="Palatino Linotype"/>
          <w:b/>
          <w:sz w:val="28"/>
          <w:szCs w:val="28"/>
        </w:rPr>
        <w:t>.</w:t>
      </w:r>
      <w:r w:rsidRPr="009D76CB">
        <w:rPr>
          <w:rFonts w:ascii="Palatino Linotype" w:hAnsi="Palatino Linotype"/>
          <w:b/>
        </w:rPr>
        <w:t xml:space="preserve"> Procedibilidad. </w:t>
      </w:r>
      <w:r w:rsidRPr="009D76C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9D76CB">
        <w:rPr>
          <w:rFonts w:ascii="Palatino Linotype" w:hAnsi="Palatino Linotype"/>
        </w:rPr>
        <w:t xml:space="preserve">Ley de Transparencia y Acceso a la Información Pública del Estado de México y Municipios, en atención a que fueron presentados mediante el formato visible en </w:t>
      </w:r>
      <w:r w:rsidRPr="009D76CB">
        <w:rPr>
          <w:rFonts w:ascii="Palatino Linotype" w:hAnsi="Palatino Linotype"/>
          <w:b/>
        </w:rPr>
        <w:t>EL SAIMEX.</w:t>
      </w:r>
    </w:p>
    <w:p w14:paraId="3C5C31CD" w14:textId="77777777" w:rsidR="00DC050D" w:rsidRPr="009D76CB" w:rsidRDefault="00DC050D" w:rsidP="00DC050D">
      <w:pPr>
        <w:spacing w:line="360" w:lineRule="auto"/>
        <w:jc w:val="both"/>
        <w:rPr>
          <w:rFonts w:ascii="Palatino Linotype" w:hAnsi="Palatino Linotype" w:cs="Arial"/>
          <w:b/>
        </w:rPr>
      </w:pPr>
    </w:p>
    <w:p w14:paraId="19A52B83" w14:textId="77777777" w:rsidR="00DC050D" w:rsidRDefault="00DC050D" w:rsidP="00A95101">
      <w:pPr>
        <w:spacing w:line="360" w:lineRule="auto"/>
        <w:jc w:val="both"/>
        <w:rPr>
          <w:rFonts w:ascii="Palatino Linotype" w:hAnsi="Palatino Linotype" w:cs="Arial"/>
          <w:lang w:val="es-ES"/>
        </w:rPr>
      </w:pPr>
    </w:p>
    <w:p w14:paraId="16811D0A" w14:textId="77777777" w:rsidR="00A95101" w:rsidRDefault="00A95101" w:rsidP="00A95101">
      <w:pPr>
        <w:spacing w:line="360" w:lineRule="auto"/>
        <w:jc w:val="both"/>
        <w:textAlignment w:val="baseline"/>
        <w:rPr>
          <w:rFonts w:ascii="Palatino Linotype" w:hAnsi="Palatino Linotype" w:cs="Arial"/>
          <w:lang w:val="es-ES" w:eastAsia="es-MX"/>
        </w:rPr>
      </w:pPr>
      <w:r>
        <w:rPr>
          <w:rFonts w:ascii="Palatino Linotype" w:hAnsi="Palatino Linotype"/>
          <w:b/>
          <w:sz w:val="28"/>
          <w:lang w:eastAsia="es-MX"/>
        </w:rPr>
        <w:t>QUINTO</w:t>
      </w:r>
      <w:r>
        <w:rPr>
          <w:rFonts w:ascii="Palatino Linotype" w:hAnsi="Palatino Linotype" w:cs="Arial"/>
          <w:b/>
          <w:lang w:eastAsia="es-MX"/>
        </w:rPr>
        <w:t xml:space="preserve">. </w:t>
      </w:r>
      <w:r>
        <w:rPr>
          <w:rFonts w:ascii="Palatino Linotype" w:hAnsi="Palatino Linotype" w:cs="Arial"/>
          <w:b/>
          <w:lang w:val="es-ES" w:eastAsia="es-MX"/>
        </w:rPr>
        <w:t>Estudio y resolución del asunto.</w:t>
      </w:r>
      <w:r>
        <w:rPr>
          <w:rFonts w:ascii="Palatino Linotype" w:hAnsi="Palatino Linotype" w:cs="Arial"/>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7243B3A4" w14:textId="77777777" w:rsidR="00A95101" w:rsidRDefault="00A95101" w:rsidP="00A95101">
      <w:pPr>
        <w:jc w:val="both"/>
        <w:rPr>
          <w:rFonts w:ascii="Palatino Linotype" w:hAnsi="Palatino Linotype" w:cs="Arial"/>
          <w:lang w:val="es-ES"/>
        </w:rPr>
      </w:pPr>
    </w:p>
    <w:p w14:paraId="2A4F7E76" w14:textId="77777777" w:rsidR="00A95101" w:rsidRDefault="00A95101" w:rsidP="00A95101">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b/>
          <w:i/>
          <w:sz w:val="22"/>
          <w:szCs w:val="22"/>
          <w:lang w:val="es-ES"/>
        </w:rPr>
        <w:t>Artículo 179.</w:t>
      </w:r>
      <w:r>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6B32D4A" w14:textId="77777777" w:rsidR="00A95101" w:rsidRDefault="00A95101" w:rsidP="00A95101">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w:t>
      </w:r>
    </w:p>
    <w:p w14:paraId="62DD411A" w14:textId="77777777" w:rsidR="00A95101" w:rsidRDefault="00A95101" w:rsidP="00A95101">
      <w:pPr>
        <w:ind w:left="851" w:right="901"/>
        <w:jc w:val="both"/>
        <w:rPr>
          <w:rFonts w:ascii="Palatino Linotype" w:hAnsi="Palatino Linotype" w:cs="Arial"/>
          <w:i/>
          <w:sz w:val="22"/>
          <w:szCs w:val="22"/>
          <w:lang w:val="es-ES"/>
        </w:rPr>
      </w:pPr>
      <w:r>
        <w:rPr>
          <w:rFonts w:ascii="Palatino Linotype" w:hAnsi="Palatino Linotype" w:cs="Arial"/>
          <w:b/>
          <w:i/>
          <w:sz w:val="22"/>
          <w:szCs w:val="22"/>
          <w:lang w:val="es-ES"/>
        </w:rPr>
        <w:t>VII. La falta de respuesta a una solicitud de acceso a la información</w:t>
      </w:r>
      <w:r>
        <w:rPr>
          <w:rFonts w:ascii="Palatino Linotype" w:hAnsi="Palatino Linotype" w:cs="Arial"/>
          <w:i/>
          <w:sz w:val="22"/>
          <w:szCs w:val="22"/>
          <w:lang w:val="es-ES"/>
        </w:rPr>
        <w:t>;</w:t>
      </w:r>
    </w:p>
    <w:p w14:paraId="5D177EC0" w14:textId="77777777" w:rsidR="00A95101" w:rsidRDefault="00A95101" w:rsidP="00A95101">
      <w:pPr>
        <w:ind w:left="851" w:right="901"/>
        <w:jc w:val="both"/>
        <w:rPr>
          <w:rFonts w:ascii="Palatino Linotype" w:hAnsi="Palatino Linotype" w:cs="Arial"/>
          <w:i/>
          <w:sz w:val="22"/>
          <w:szCs w:val="22"/>
          <w:lang w:val="es-ES"/>
        </w:rPr>
      </w:pPr>
      <w:r>
        <w:rPr>
          <w:rFonts w:ascii="Palatino Linotype" w:hAnsi="Palatino Linotype" w:cs="Arial"/>
          <w:b/>
          <w:i/>
          <w:sz w:val="22"/>
          <w:szCs w:val="22"/>
          <w:lang w:val="es-ES"/>
        </w:rPr>
        <w:t>…</w:t>
      </w:r>
      <w:r>
        <w:rPr>
          <w:rFonts w:ascii="Palatino Linotype" w:hAnsi="Palatino Linotype" w:cs="Arial"/>
          <w:i/>
          <w:sz w:val="22"/>
          <w:szCs w:val="22"/>
          <w:lang w:val="es-ES"/>
        </w:rPr>
        <w:t>”</w:t>
      </w:r>
    </w:p>
    <w:p w14:paraId="696672B3" w14:textId="77777777" w:rsidR="00A95101" w:rsidRDefault="00A95101" w:rsidP="00A95101">
      <w:pPr>
        <w:ind w:left="851" w:right="901"/>
        <w:jc w:val="both"/>
        <w:rPr>
          <w:rFonts w:ascii="Palatino Linotype" w:hAnsi="Palatino Linotype" w:cs="Arial"/>
          <w:i/>
          <w:sz w:val="22"/>
          <w:szCs w:val="22"/>
          <w:lang w:val="es-ES"/>
        </w:rPr>
      </w:pPr>
      <w:r>
        <w:rPr>
          <w:rFonts w:ascii="Palatino Linotype" w:hAnsi="Palatino Linotype" w:cs="Arial"/>
          <w:i/>
          <w:sz w:val="22"/>
          <w:szCs w:val="22"/>
          <w:lang w:val="es-ES"/>
        </w:rPr>
        <w:t>(Énfasis añadido)</w:t>
      </w:r>
    </w:p>
    <w:p w14:paraId="1A4B2CE6" w14:textId="77777777" w:rsidR="00A95101" w:rsidRDefault="00A95101" w:rsidP="00A95101">
      <w:pPr>
        <w:ind w:left="851" w:right="901"/>
        <w:jc w:val="both"/>
        <w:rPr>
          <w:rFonts w:ascii="Palatino Linotype" w:hAnsi="Palatino Linotype" w:cs="Arial"/>
          <w:i/>
          <w:szCs w:val="22"/>
          <w:lang w:val="es-ES"/>
        </w:rPr>
      </w:pPr>
    </w:p>
    <w:p w14:paraId="51062E4C" w14:textId="77777777" w:rsidR="00A95101" w:rsidRDefault="00A95101" w:rsidP="00A95101">
      <w:pPr>
        <w:widowControl w:val="0"/>
        <w:autoSpaceDE w:val="0"/>
        <w:autoSpaceDN w:val="0"/>
        <w:adjustRightInd w:val="0"/>
        <w:spacing w:line="360" w:lineRule="auto"/>
        <w:jc w:val="both"/>
        <w:rPr>
          <w:rFonts w:ascii="Palatino Linotype" w:hAnsi="Palatino Linotype" w:cs="Arial"/>
          <w:lang w:val="es-ES"/>
        </w:rPr>
      </w:pPr>
      <w:r>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se actualiza dicha causal, ya que </w:t>
      </w:r>
      <w:r>
        <w:rPr>
          <w:rFonts w:ascii="Palatino Linotype" w:hAnsi="Palatino Linotype" w:cs="Arial"/>
          <w:b/>
          <w:lang w:val="es-ES"/>
        </w:rPr>
        <w:t>EL SUJETO OBLIGADO</w:t>
      </w:r>
      <w:r>
        <w:rPr>
          <w:rFonts w:ascii="Palatino Linotype" w:hAnsi="Palatino Linotype" w:cs="Arial"/>
          <w:lang w:val="es-ES"/>
        </w:rPr>
        <w:t xml:space="preserve"> omitió dar respuesta a lo requerido por </w:t>
      </w:r>
      <w:r>
        <w:rPr>
          <w:rFonts w:ascii="Palatino Linotype" w:hAnsi="Palatino Linotype" w:cs="Arial"/>
          <w:b/>
          <w:lang w:val="es-ES"/>
        </w:rPr>
        <w:t xml:space="preserve">EL RECURRENTE </w:t>
      </w:r>
      <w:r>
        <w:rPr>
          <w:rFonts w:ascii="Palatino Linotype" w:hAnsi="Palatino Linotype" w:cs="Arial"/>
          <w:lang w:val="es-ES"/>
        </w:rPr>
        <w:t>en su solicitud de información pública.</w:t>
      </w:r>
    </w:p>
    <w:p w14:paraId="752B0308" w14:textId="77777777" w:rsidR="00A95101" w:rsidRDefault="00A95101" w:rsidP="00A95101">
      <w:pPr>
        <w:spacing w:line="360" w:lineRule="auto"/>
        <w:jc w:val="both"/>
        <w:rPr>
          <w:rFonts w:ascii="Palatino Linotype" w:hAnsi="Palatino Linotype" w:cs="Arial"/>
          <w:lang w:val="es-ES"/>
        </w:rPr>
      </w:pPr>
    </w:p>
    <w:p w14:paraId="0E20398E" w14:textId="77777777" w:rsidR="00A95101" w:rsidRDefault="00A95101" w:rsidP="00A95101">
      <w:pPr>
        <w:spacing w:line="360" w:lineRule="auto"/>
        <w:jc w:val="both"/>
        <w:rPr>
          <w:rFonts w:ascii="Palatino Linotype" w:hAnsi="Palatino Linotype"/>
        </w:rPr>
      </w:pPr>
      <w:r>
        <w:rPr>
          <w:rFonts w:ascii="Palatino Linotype" w:hAnsi="Palatino Linotype"/>
        </w:rPr>
        <w:t xml:space="preserve">Es así que, de acuerdo a los motivos de inconformidad hechos valer por </w:t>
      </w:r>
      <w:r>
        <w:rPr>
          <w:rFonts w:ascii="Palatino Linotype" w:hAnsi="Palatino Linotype"/>
          <w:b/>
        </w:rPr>
        <w:t>EL RECURRENTE</w:t>
      </w:r>
      <w:r>
        <w:rPr>
          <w:rFonts w:ascii="Palatino Linotype" w:hAnsi="Palatino Linotype"/>
        </w:rPr>
        <w:t xml:space="preserve">, ante la falta tanto de respuesta a la solicitud, como del envío del </w:t>
      </w:r>
      <w:r>
        <w:rPr>
          <w:rFonts w:ascii="Palatino Linotype" w:hAnsi="Palatino Linotype"/>
        </w:rPr>
        <w:lastRenderedPageBreak/>
        <w:t>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054CA294" w14:textId="77777777" w:rsidR="00A95101" w:rsidRDefault="00A95101" w:rsidP="00A95101">
      <w:pPr>
        <w:spacing w:line="360" w:lineRule="auto"/>
        <w:jc w:val="both"/>
        <w:rPr>
          <w:rFonts w:ascii="Palatino Linotype" w:hAnsi="Palatino Linotype"/>
        </w:rPr>
      </w:pPr>
    </w:p>
    <w:p w14:paraId="6805BEC3" w14:textId="77777777" w:rsidR="00A95101" w:rsidRDefault="00A95101" w:rsidP="00A95101">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es pertinente enfatizar lo que al derecho de acceso a la información pública, se refiere el artículo 6°, Apartado A de la Constitución Política de los Estados Unidos Mexicanos, que señala:</w:t>
      </w:r>
    </w:p>
    <w:p w14:paraId="3F74251E" w14:textId="77777777" w:rsidR="00A95101" w:rsidRDefault="00A95101" w:rsidP="00A95101">
      <w:pPr>
        <w:jc w:val="both"/>
        <w:rPr>
          <w:rFonts w:ascii="Palatino Linotype" w:hAnsi="Palatino Linotype"/>
          <w:sz w:val="22"/>
          <w:szCs w:val="22"/>
        </w:rPr>
      </w:pPr>
    </w:p>
    <w:p w14:paraId="65C0C76A"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2FAF0D58" w14:textId="77777777" w:rsidR="00A95101" w:rsidRDefault="00A95101" w:rsidP="00A95101">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99FA8A8"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D161E02" w14:textId="77777777" w:rsidR="00A95101" w:rsidRDefault="00A95101" w:rsidP="00A95101">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489F88F" w14:textId="77777777" w:rsidR="00A95101" w:rsidRDefault="00A95101" w:rsidP="00A95101">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C116AE0" w14:textId="77777777" w:rsidR="00A95101" w:rsidRDefault="00A95101" w:rsidP="00A95101">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33E06EA" w14:textId="77777777" w:rsidR="00A95101" w:rsidRDefault="00A95101" w:rsidP="00A95101">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Pr>
          <w:rFonts w:ascii="Palatino Linotype" w:hAnsi="Palatino Linotype" w:cs="Arial"/>
          <w:i/>
          <w:sz w:val="22"/>
          <w:szCs w:val="22"/>
          <w:lang w:eastAsia="es-MX"/>
        </w:rPr>
        <w:lastRenderedPageBreak/>
        <w:t xml:space="preserve">públicos y los indicadores que permitan rendir cuenta del cumplimiento de sus objetivos y de los resultados obtenidos. </w:t>
      </w:r>
    </w:p>
    <w:p w14:paraId="3D9C1C72" w14:textId="77777777" w:rsidR="00A95101" w:rsidRDefault="00A95101" w:rsidP="00A95101">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8FC084C"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La inobservancia a las disposiciones en materia de acceso a la información pública será sancionada en los términos que dispongan las leyes.</w:t>
      </w:r>
      <w:r>
        <w:rPr>
          <w:rFonts w:ascii="Palatino Linotype" w:hAnsi="Palatino Linotype" w:cs="Arial"/>
          <w:i/>
          <w:sz w:val="22"/>
          <w:szCs w:val="22"/>
        </w:rPr>
        <w:t xml:space="preserve">” </w:t>
      </w:r>
    </w:p>
    <w:p w14:paraId="67D71F01" w14:textId="77777777" w:rsidR="00A95101" w:rsidRDefault="00A95101" w:rsidP="00A95101">
      <w:pPr>
        <w:ind w:left="851" w:right="901"/>
        <w:jc w:val="both"/>
        <w:rPr>
          <w:rFonts w:ascii="Palatino Linotype" w:hAnsi="Palatino Linotype"/>
          <w:sz w:val="22"/>
          <w:szCs w:val="22"/>
        </w:rPr>
      </w:pPr>
      <w:r>
        <w:rPr>
          <w:rFonts w:ascii="Palatino Linotype" w:hAnsi="Palatino Linotype"/>
          <w:sz w:val="22"/>
          <w:szCs w:val="22"/>
        </w:rPr>
        <w:t>(Énfasis añadido)</w:t>
      </w:r>
    </w:p>
    <w:p w14:paraId="42CD4992" w14:textId="77777777" w:rsidR="00A95101" w:rsidRDefault="00A95101" w:rsidP="00A95101">
      <w:pPr>
        <w:ind w:left="851" w:right="901"/>
        <w:jc w:val="both"/>
        <w:rPr>
          <w:rFonts w:ascii="Palatino Linotype" w:hAnsi="Palatino Linotype" w:cs="Arial"/>
          <w:i/>
          <w:sz w:val="22"/>
          <w:szCs w:val="22"/>
          <w:lang w:eastAsia="es-MX"/>
        </w:rPr>
      </w:pPr>
    </w:p>
    <w:p w14:paraId="588C4892" w14:textId="77777777" w:rsidR="00A95101" w:rsidRDefault="00A95101" w:rsidP="00A95101">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párrafos trigésimo, trigésimo primero y trigésimo segundo fracción I, dispone lo siguiente:</w:t>
      </w:r>
    </w:p>
    <w:p w14:paraId="18C8DD69" w14:textId="77777777" w:rsidR="00A95101" w:rsidRDefault="00A95101" w:rsidP="00A95101">
      <w:pPr>
        <w:jc w:val="both"/>
        <w:rPr>
          <w:rFonts w:ascii="Palatino Linotype" w:hAnsi="Palatino Linotype"/>
          <w:sz w:val="22"/>
          <w:szCs w:val="22"/>
        </w:rPr>
      </w:pPr>
    </w:p>
    <w:p w14:paraId="6CE2CCD9" w14:textId="77777777" w:rsidR="00A95101" w:rsidRDefault="00A95101" w:rsidP="00A95101">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53D99A84"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5E099331"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060A574"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B82724"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61C234F1" w14:textId="77777777" w:rsidR="00A95101" w:rsidRDefault="00A95101" w:rsidP="00A95101">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7275E979" w14:textId="77777777" w:rsidR="00A95101" w:rsidRDefault="00A95101" w:rsidP="00A95101">
      <w:pPr>
        <w:ind w:left="851" w:right="901"/>
        <w:jc w:val="both"/>
        <w:rPr>
          <w:rFonts w:ascii="Palatino Linotype" w:hAnsi="Palatino Linotype"/>
          <w:sz w:val="22"/>
          <w:szCs w:val="22"/>
        </w:rPr>
      </w:pPr>
      <w:r>
        <w:rPr>
          <w:rFonts w:ascii="Palatino Linotype" w:hAnsi="Palatino Linotype"/>
          <w:sz w:val="22"/>
          <w:szCs w:val="22"/>
        </w:rPr>
        <w:lastRenderedPageBreak/>
        <w:t>(Énfasis añadido)</w:t>
      </w:r>
    </w:p>
    <w:p w14:paraId="308AC4B0" w14:textId="77777777" w:rsidR="00A95101" w:rsidRDefault="00A95101" w:rsidP="00A95101">
      <w:pPr>
        <w:ind w:left="851" w:right="901"/>
        <w:jc w:val="both"/>
        <w:rPr>
          <w:rFonts w:ascii="Palatino Linotype" w:hAnsi="Palatino Linotype" w:cs="Arial"/>
          <w:i/>
          <w:sz w:val="22"/>
          <w:szCs w:val="22"/>
        </w:rPr>
      </w:pPr>
    </w:p>
    <w:p w14:paraId="56A865FC" w14:textId="77777777" w:rsidR="00A95101" w:rsidRDefault="00A95101" w:rsidP="00A95101">
      <w:pPr>
        <w:spacing w:line="360" w:lineRule="auto"/>
        <w:jc w:val="both"/>
        <w:rPr>
          <w:rFonts w:ascii="Palatino Linotype" w:hAnsi="Palatino Linotype"/>
        </w:rPr>
      </w:pPr>
      <w:r>
        <w:rPr>
          <w:rFonts w:ascii="Palatino Linotype" w:hAnsi="Palatino Linotype"/>
        </w:rPr>
        <w:t>Asimismo, se tiene que la Ley de Transparencia y Acceso a la Información Pública del Estado de México y Municipios, prevé en su artículo 23, lo siguiente:</w:t>
      </w:r>
    </w:p>
    <w:p w14:paraId="155D4A6B" w14:textId="77777777" w:rsidR="00A95101" w:rsidRDefault="00A95101" w:rsidP="00A95101">
      <w:pPr>
        <w:jc w:val="both"/>
        <w:rPr>
          <w:rFonts w:ascii="Palatino Linotype" w:hAnsi="Palatino Linotype"/>
          <w:sz w:val="22"/>
          <w:szCs w:val="22"/>
        </w:rPr>
      </w:pPr>
    </w:p>
    <w:p w14:paraId="36FCA47E"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153F4367"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70980CA"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029E8BF8"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176C609E" w14:textId="77777777" w:rsidR="00A95101" w:rsidRDefault="00A95101" w:rsidP="00A95101">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33C357BB"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6809729A"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4D7E7DB3"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08A90A42"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57FB2B5D"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59BB8120"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09558983"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318914BF" w14:textId="77777777" w:rsidR="00A95101" w:rsidRDefault="00A95101" w:rsidP="00A95101">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2EDB907" w14:textId="77777777" w:rsidR="00A95101" w:rsidRDefault="00A95101" w:rsidP="00A95101">
      <w:pPr>
        <w:ind w:left="851" w:right="901"/>
        <w:jc w:val="both"/>
        <w:rPr>
          <w:rFonts w:ascii="Palatino Linotype" w:hAnsi="Palatino Linotype" w:cs="Arial"/>
          <w:b/>
          <w:i/>
          <w:sz w:val="22"/>
          <w:szCs w:val="22"/>
        </w:rPr>
      </w:pPr>
      <w:r>
        <w:rPr>
          <w:rFonts w:ascii="Palatino Linotype" w:hAnsi="Palatino Linotype" w:cs="Arial"/>
          <w:b/>
          <w:i/>
          <w:sz w:val="22"/>
          <w:szCs w:val="22"/>
        </w:rPr>
        <w:t>Los servidores públicos deberán transparentar sus acciones así como garantizar y respetar el derecho de acceso a la información pública.</w:t>
      </w:r>
    </w:p>
    <w:p w14:paraId="24E032FD"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4810C7AF" w14:textId="77777777" w:rsidR="00A95101" w:rsidRDefault="00A95101" w:rsidP="00A95101">
      <w:pPr>
        <w:ind w:left="851" w:right="901"/>
        <w:jc w:val="both"/>
        <w:rPr>
          <w:rFonts w:ascii="Palatino Linotype" w:hAnsi="Palatino Linotype" w:cs="Arial"/>
          <w:i/>
          <w:sz w:val="22"/>
          <w:szCs w:val="22"/>
        </w:rPr>
      </w:pPr>
    </w:p>
    <w:p w14:paraId="46C9721F" w14:textId="77777777" w:rsidR="00A95101" w:rsidRDefault="00A95101" w:rsidP="00A95101">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392BD82B" w14:textId="77777777" w:rsidR="00A95101" w:rsidRDefault="00A95101" w:rsidP="00A95101">
      <w:pPr>
        <w:jc w:val="both"/>
        <w:rPr>
          <w:rFonts w:ascii="Palatino Linotype" w:eastAsia="Arial Unicode MS" w:hAnsi="Palatino Linotype" w:cs="Arial"/>
          <w:sz w:val="22"/>
          <w:szCs w:val="22"/>
        </w:rPr>
      </w:pPr>
    </w:p>
    <w:p w14:paraId="6210B958" w14:textId="77777777" w:rsidR="00A95101" w:rsidRDefault="00A95101" w:rsidP="00A95101">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6A34900" w14:textId="77777777" w:rsidR="00A95101" w:rsidRDefault="00A95101" w:rsidP="00A95101">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1344B49" w14:textId="77777777" w:rsidR="00A95101" w:rsidRDefault="00A95101" w:rsidP="00A95101">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E38F188" w14:textId="77777777" w:rsidR="00A95101" w:rsidRDefault="00A95101" w:rsidP="00A95101">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996C939" w14:textId="77777777" w:rsidR="00A95101" w:rsidRDefault="00A95101" w:rsidP="00A95101">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18B248E1" w14:textId="77777777" w:rsidR="00A95101" w:rsidRDefault="00A95101" w:rsidP="00A95101">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0AA2A9EC" w14:textId="77777777" w:rsidR="00A95101" w:rsidRDefault="00A95101" w:rsidP="00A95101">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1D5D6F78" w14:textId="77777777" w:rsidR="00A95101" w:rsidRDefault="00A95101" w:rsidP="00A95101">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248A12EE" w14:textId="77777777" w:rsidR="00A95101" w:rsidRDefault="00A95101" w:rsidP="00A95101">
      <w:pPr>
        <w:ind w:left="851" w:right="902"/>
        <w:jc w:val="both"/>
        <w:rPr>
          <w:rFonts w:ascii="Palatino Linotype" w:hAnsi="Palatino Linotype" w:cs="Arial"/>
          <w:bCs/>
          <w:i/>
          <w:sz w:val="22"/>
          <w:szCs w:val="22"/>
        </w:rPr>
      </w:pPr>
    </w:p>
    <w:p w14:paraId="6005011C" w14:textId="77777777" w:rsidR="00A95101" w:rsidRDefault="00A95101" w:rsidP="00A95101">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w:t>
      </w:r>
      <w:r>
        <w:rPr>
          <w:rFonts w:ascii="Palatino Linotype" w:eastAsia="Arial Unicode MS" w:hAnsi="Palatino Linotype" w:cs="Arial"/>
        </w:rPr>
        <w:lastRenderedPageBreak/>
        <w:t>libremente la capacidad de decisión siempre y cuando, ello sea conforme a los ordenamientos legales aplicables.</w:t>
      </w:r>
    </w:p>
    <w:p w14:paraId="3B088868" w14:textId="77777777" w:rsidR="00A95101" w:rsidRDefault="00A95101" w:rsidP="00A95101">
      <w:pPr>
        <w:spacing w:line="360" w:lineRule="auto"/>
        <w:jc w:val="both"/>
        <w:rPr>
          <w:rFonts w:ascii="Palatino Linotype" w:eastAsia="Arial Unicode MS" w:hAnsi="Palatino Linotype" w:cs="Arial"/>
        </w:rPr>
      </w:pPr>
    </w:p>
    <w:p w14:paraId="5165D393" w14:textId="77777777" w:rsidR="00A95101" w:rsidRDefault="00A95101" w:rsidP="00A95101">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rFonts w:ascii="Palatino Linotype" w:hAnsi="Palatino Linotype" w:cs="Arial"/>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4A72876B" w14:textId="77777777" w:rsidR="00A95101" w:rsidRDefault="00A95101" w:rsidP="00A95101">
      <w:pPr>
        <w:tabs>
          <w:tab w:val="left" w:pos="709"/>
        </w:tabs>
        <w:spacing w:line="360" w:lineRule="auto"/>
        <w:jc w:val="both"/>
        <w:rPr>
          <w:rFonts w:ascii="Palatino Linotype" w:hAnsi="Palatino Linotype" w:cs="Arial"/>
        </w:rPr>
      </w:pPr>
    </w:p>
    <w:p w14:paraId="26C1E59F" w14:textId="77777777" w:rsidR="00A95101" w:rsidRDefault="00A95101" w:rsidP="00A95101">
      <w:pPr>
        <w:tabs>
          <w:tab w:val="left" w:pos="709"/>
        </w:tabs>
        <w:spacing w:line="360" w:lineRule="auto"/>
        <w:jc w:val="both"/>
        <w:rPr>
          <w:rFonts w:ascii="Palatino Linotype" w:hAnsi="Palatino Linotype" w:cs="Arial"/>
        </w:rPr>
      </w:pPr>
      <w:r>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7792BEC1" w14:textId="77777777" w:rsidR="00A95101" w:rsidRDefault="00A95101" w:rsidP="00A95101">
      <w:pPr>
        <w:tabs>
          <w:tab w:val="left" w:pos="709"/>
        </w:tabs>
        <w:jc w:val="both"/>
        <w:rPr>
          <w:rFonts w:ascii="Palatino Linotype" w:hAnsi="Palatino Linotype" w:cs="Arial"/>
        </w:rPr>
      </w:pPr>
    </w:p>
    <w:p w14:paraId="53ACE294"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7D3A55"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1339E4E"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44CDE7E" w14:textId="77777777" w:rsidR="00A95101" w:rsidRDefault="00A95101" w:rsidP="00A95101">
      <w:pPr>
        <w:ind w:left="851" w:right="901"/>
        <w:jc w:val="both"/>
        <w:rPr>
          <w:rFonts w:ascii="Palatino Linotype" w:hAnsi="Palatino Linotype" w:cs="Arial"/>
          <w:i/>
          <w:szCs w:val="22"/>
        </w:rPr>
      </w:pPr>
    </w:p>
    <w:p w14:paraId="24005E8B"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b/>
          <w:i/>
          <w:sz w:val="22"/>
          <w:szCs w:val="22"/>
        </w:rPr>
        <w:lastRenderedPageBreak/>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D37BB03"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E0E24A1"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F9FF35B" w14:textId="77777777" w:rsidR="00A95101" w:rsidRDefault="00A95101" w:rsidP="00A95101">
      <w:pPr>
        <w:ind w:left="851" w:right="901"/>
        <w:jc w:val="both"/>
        <w:rPr>
          <w:rFonts w:ascii="Palatino Linotype" w:hAnsi="Palatino Linotype" w:cs="Arial"/>
          <w:i/>
          <w:sz w:val="22"/>
          <w:szCs w:val="22"/>
        </w:rPr>
      </w:pPr>
    </w:p>
    <w:p w14:paraId="5647ACBE" w14:textId="77777777" w:rsidR="00A95101" w:rsidRDefault="00A95101" w:rsidP="00A95101">
      <w:pPr>
        <w:spacing w:line="360" w:lineRule="auto"/>
        <w:jc w:val="both"/>
        <w:rPr>
          <w:rFonts w:ascii="Palatino Linotype" w:hAnsi="Palatino Linotype" w:cs="Arial"/>
        </w:rPr>
      </w:pPr>
      <w:r>
        <w:rPr>
          <w:rFonts w:ascii="Palatino Linotype" w:hAnsi="Palatino Linotype" w:cs="Arial"/>
        </w:rPr>
        <w:t xml:space="preserve">Por consiguiente, los preceptos legales transcritos establecen que </w:t>
      </w:r>
      <w:r>
        <w:rPr>
          <w:rFonts w:ascii="Palatino Linotype" w:hAnsi="Palatino Linotype" w:cs="Arial"/>
          <w:b/>
        </w:rPr>
        <w:t>los Sujetos Obligados se encuentran constreñidos a entregar la información pública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16BAE831" w14:textId="77777777" w:rsidR="00A95101" w:rsidRDefault="00A95101" w:rsidP="00A95101">
      <w:pPr>
        <w:spacing w:line="360" w:lineRule="auto"/>
        <w:jc w:val="both"/>
        <w:rPr>
          <w:rFonts w:ascii="Palatino Linotype" w:hAnsi="Palatino Linotype" w:cs="Arial"/>
        </w:rPr>
      </w:pPr>
    </w:p>
    <w:p w14:paraId="1B6A5A3F" w14:textId="77777777" w:rsidR="00A95101" w:rsidRDefault="00A95101" w:rsidP="00A95101">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se considera información pública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5A14F070" w14:textId="77777777" w:rsidR="00A95101" w:rsidRDefault="00A95101" w:rsidP="00A95101">
      <w:pPr>
        <w:jc w:val="both"/>
        <w:rPr>
          <w:rFonts w:ascii="Palatino Linotype" w:hAnsi="Palatino Linotype" w:cs="Arial"/>
        </w:rPr>
      </w:pPr>
    </w:p>
    <w:p w14:paraId="7058D273"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bCs/>
          <w:i/>
          <w:sz w:val="22"/>
          <w:szCs w:val="22"/>
        </w:rPr>
        <w:t>“</w:t>
      </w:r>
      <w:r>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w:t>
      </w:r>
      <w:r>
        <w:rPr>
          <w:rFonts w:ascii="Palatino Linotype" w:hAnsi="Palatino Linotype" w:cs="Arial"/>
          <w:i/>
          <w:sz w:val="22"/>
          <w:szCs w:val="22"/>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A8E76D9" w14:textId="77777777" w:rsidR="00A95101" w:rsidRDefault="00A95101" w:rsidP="00A95101">
      <w:pPr>
        <w:ind w:left="851" w:right="901"/>
        <w:jc w:val="both"/>
        <w:rPr>
          <w:rFonts w:ascii="Palatino Linotype" w:hAnsi="Palatino Linotype" w:cs="Arial"/>
          <w:b/>
          <w:i/>
          <w:szCs w:val="22"/>
        </w:rPr>
      </w:pPr>
    </w:p>
    <w:p w14:paraId="66721A0D" w14:textId="77777777" w:rsidR="00A95101" w:rsidRDefault="00A95101" w:rsidP="00A95101">
      <w:pPr>
        <w:spacing w:line="360" w:lineRule="auto"/>
        <w:jc w:val="both"/>
        <w:rPr>
          <w:rFonts w:ascii="Palatino Linotype" w:hAnsi="Palatino Linotype" w:cs="Arial"/>
        </w:rPr>
      </w:pPr>
      <w:r>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25E5FE8" w14:textId="77777777" w:rsidR="00A95101" w:rsidRDefault="00A95101" w:rsidP="00A95101">
      <w:pPr>
        <w:spacing w:line="360" w:lineRule="auto"/>
        <w:jc w:val="both"/>
        <w:rPr>
          <w:rFonts w:ascii="Palatino Linotype" w:hAnsi="Palatino Linotype" w:cs="Arial"/>
        </w:rPr>
      </w:pPr>
    </w:p>
    <w:p w14:paraId="3992126F" w14:textId="77777777" w:rsidR="00A95101" w:rsidRDefault="00A95101" w:rsidP="00A95101">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3DA0D48" w14:textId="77777777" w:rsidR="00A95101" w:rsidRDefault="00A95101" w:rsidP="00A95101">
      <w:pPr>
        <w:jc w:val="both"/>
        <w:rPr>
          <w:rFonts w:ascii="Palatino Linotype" w:hAnsi="Palatino Linotype" w:cs="Arial"/>
          <w:sz w:val="22"/>
          <w:szCs w:val="22"/>
        </w:rPr>
      </w:pPr>
    </w:p>
    <w:p w14:paraId="4F3C5EA5"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5A07B176" w14:textId="77777777" w:rsidR="00A95101" w:rsidRDefault="00A95101" w:rsidP="00A95101">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2FEDAE" w14:textId="77777777" w:rsidR="00A95101" w:rsidRDefault="00A95101" w:rsidP="00A95101">
      <w:pPr>
        <w:ind w:left="851" w:right="901"/>
        <w:jc w:val="both"/>
        <w:rPr>
          <w:rFonts w:ascii="Palatino Linotype" w:hAnsi="Palatino Linotype" w:cs="Arial"/>
          <w:i/>
          <w:sz w:val="22"/>
          <w:szCs w:val="22"/>
        </w:rPr>
      </w:pPr>
    </w:p>
    <w:p w14:paraId="6DBE290A" w14:textId="77777777" w:rsidR="00A95101" w:rsidRDefault="00A95101" w:rsidP="00A95101">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33395626" w14:textId="77777777" w:rsidR="00A95101" w:rsidRDefault="00A95101" w:rsidP="00A95101">
      <w:pPr>
        <w:ind w:left="851" w:right="901"/>
        <w:jc w:val="center"/>
        <w:rPr>
          <w:rFonts w:ascii="Palatino Linotype" w:hAnsi="Palatino Linotype" w:cs="Arial"/>
          <w:sz w:val="22"/>
          <w:szCs w:val="22"/>
          <w:lang w:eastAsia="es-MX"/>
        </w:rPr>
      </w:pPr>
    </w:p>
    <w:p w14:paraId="39AAD0D6" w14:textId="77777777" w:rsidR="00A95101" w:rsidRDefault="00A95101" w:rsidP="00A95101">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691A8432" w14:textId="77777777" w:rsidR="00A95101" w:rsidRDefault="00A95101" w:rsidP="00A95101">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u w:val="single"/>
          <w:lang w:eastAsia="es-MX"/>
        </w:rPr>
        <w:t xml:space="preserve">V, XV, Y XVI, </w:t>
      </w:r>
      <w:r>
        <w:rPr>
          <w:rFonts w:ascii="Palatino Linotype" w:hAnsi="Palatino Linotype" w:cs="Arial"/>
          <w:b/>
          <w:i/>
          <w:sz w:val="22"/>
          <w:szCs w:val="22"/>
          <w:u w:val="single"/>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4E65EE" w14:textId="77777777" w:rsidR="00A95101" w:rsidRDefault="00A95101" w:rsidP="00A95101">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0FA9274B" w14:textId="77777777" w:rsidR="00A95101" w:rsidRDefault="00A95101" w:rsidP="00A95101">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75514D4" w14:textId="77777777" w:rsidR="00A95101" w:rsidRDefault="00A95101" w:rsidP="00A95101">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60CE5C7" w14:textId="77777777" w:rsidR="00A95101" w:rsidRDefault="00A95101" w:rsidP="00A95101">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7D7D82F" w14:textId="77777777" w:rsidR="00A95101" w:rsidRDefault="00A95101" w:rsidP="00A95101">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lastRenderedPageBreak/>
        <w:t>(Énfasis Añadido)</w:t>
      </w:r>
    </w:p>
    <w:p w14:paraId="2E8D7B8F" w14:textId="77777777" w:rsidR="00A95101" w:rsidRDefault="00A95101" w:rsidP="00A95101">
      <w:pPr>
        <w:autoSpaceDE w:val="0"/>
        <w:autoSpaceDN w:val="0"/>
        <w:adjustRightInd w:val="0"/>
        <w:ind w:right="51"/>
        <w:jc w:val="both"/>
        <w:rPr>
          <w:rFonts w:ascii="Palatino Linotype" w:hAnsi="Palatino Linotype"/>
          <w:sz w:val="22"/>
          <w:szCs w:val="22"/>
        </w:rPr>
      </w:pPr>
    </w:p>
    <w:p w14:paraId="04C9F9CA" w14:textId="77777777" w:rsidR="00A95101" w:rsidRDefault="00A95101" w:rsidP="00A95101">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3806FE1" w14:textId="77777777" w:rsidR="00A95101" w:rsidRDefault="00A95101" w:rsidP="00A95101">
      <w:pPr>
        <w:spacing w:line="360" w:lineRule="auto"/>
        <w:jc w:val="both"/>
        <w:rPr>
          <w:rFonts w:ascii="Palatino Linotype" w:eastAsia="Arial Unicode MS" w:hAnsi="Palatino Linotype" w:cs="Arial"/>
        </w:rPr>
      </w:pPr>
    </w:p>
    <w:p w14:paraId="0150FF1B" w14:textId="77777777" w:rsidR="00A95101"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B5765A9" w14:textId="77777777" w:rsidR="00A95101"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E3B660" w14:textId="77777777" w:rsidR="00A95101"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4D845C5" w14:textId="77777777" w:rsidR="00A95101"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7F9844E" w14:textId="77777777" w:rsidR="00A95101" w:rsidRDefault="00A95101" w:rsidP="00A95101">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w:t>
      </w:r>
      <w:r>
        <w:rPr>
          <w:rFonts w:ascii="Palatino Linotype" w:hAnsi="Palatino Linotype" w:cs="Arial"/>
        </w:rPr>
        <w:lastRenderedPageBreak/>
        <w:t>acciones conducentes y en caso de que persista la negativa de colaboración, hará del conocimiento de la autoridad competente para que se inicie, en su caso, el procedimiento de responsabilidad respectivo.</w:t>
      </w:r>
    </w:p>
    <w:p w14:paraId="2A555C29" w14:textId="77777777" w:rsidR="00A95101" w:rsidRDefault="00A95101" w:rsidP="00A95101">
      <w:pPr>
        <w:spacing w:line="360" w:lineRule="auto"/>
        <w:jc w:val="both"/>
        <w:rPr>
          <w:rFonts w:ascii="Palatino Linotype" w:hAnsi="Palatino Linotype" w:cs="Arial"/>
        </w:rPr>
      </w:pPr>
    </w:p>
    <w:p w14:paraId="27BD50BC" w14:textId="77777777" w:rsidR="00A95101"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CF0CD9" w14:textId="77777777" w:rsidR="00A95101"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62C9E6D" w14:textId="77777777" w:rsidR="00A95101" w:rsidRDefault="00A95101" w:rsidP="00A95101">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8C67AE9" w14:textId="77777777" w:rsidR="00A95101" w:rsidRDefault="00A95101" w:rsidP="00A95101">
      <w:pPr>
        <w:jc w:val="both"/>
        <w:rPr>
          <w:rFonts w:ascii="Palatino Linotype" w:hAnsi="Palatino Linotype" w:cs="Arial"/>
        </w:rPr>
      </w:pPr>
    </w:p>
    <w:p w14:paraId="21662925" w14:textId="77777777" w:rsidR="00A95101" w:rsidRDefault="00A95101" w:rsidP="00A95101">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67452484" w14:textId="77777777" w:rsidR="00A95101" w:rsidRDefault="00A95101" w:rsidP="00A95101">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96BF02" w14:textId="77777777" w:rsidR="00A95101" w:rsidRDefault="00A95101" w:rsidP="00A95101">
      <w:pPr>
        <w:ind w:left="851" w:right="902"/>
        <w:jc w:val="both"/>
        <w:rPr>
          <w:rFonts w:ascii="Palatino Linotype" w:hAnsi="Palatino Linotype"/>
          <w:sz w:val="22"/>
        </w:rPr>
      </w:pPr>
      <w:r>
        <w:rPr>
          <w:rFonts w:ascii="Palatino Linotype" w:hAnsi="Palatino Linotype"/>
          <w:sz w:val="22"/>
        </w:rPr>
        <w:lastRenderedPageBreak/>
        <w:t>(Énfasis añadido.)</w:t>
      </w:r>
    </w:p>
    <w:p w14:paraId="4C2A8E83" w14:textId="77777777" w:rsidR="00A95101" w:rsidRDefault="00A95101" w:rsidP="00A95101">
      <w:pPr>
        <w:ind w:left="851" w:right="902"/>
        <w:jc w:val="both"/>
        <w:rPr>
          <w:rFonts w:ascii="Palatino Linotype" w:hAnsi="Palatino Linotype"/>
          <w:sz w:val="22"/>
        </w:rPr>
      </w:pPr>
    </w:p>
    <w:p w14:paraId="17AA08D1" w14:textId="77777777" w:rsidR="00A95101" w:rsidRDefault="00A95101" w:rsidP="00A95101">
      <w:pPr>
        <w:spacing w:line="360" w:lineRule="auto"/>
        <w:jc w:val="both"/>
        <w:rPr>
          <w:rFonts w:ascii="Palatino Linotype" w:hAnsi="Palatino Linotype"/>
        </w:rPr>
      </w:pPr>
      <w:r>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120E981" w14:textId="77777777" w:rsidR="00A95101" w:rsidRDefault="00A95101" w:rsidP="00A95101">
      <w:pPr>
        <w:widowControl w:val="0"/>
        <w:autoSpaceDE w:val="0"/>
        <w:autoSpaceDN w:val="0"/>
        <w:adjustRightInd w:val="0"/>
        <w:spacing w:line="360" w:lineRule="auto"/>
        <w:jc w:val="both"/>
        <w:rPr>
          <w:rFonts w:ascii="Palatino Linotype" w:hAnsi="Palatino Linotype"/>
          <w:lang w:val="es-ES"/>
        </w:rPr>
      </w:pPr>
    </w:p>
    <w:p w14:paraId="16AAE0D1" w14:textId="77777777" w:rsidR="00A95101" w:rsidRDefault="00A95101" w:rsidP="00A95101">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14:paraId="347F7B95" w14:textId="77777777" w:rsidR="00A95101" w:rsidRDefault="00A95101" w:rsidP="00A95101">
      <w:pPr>
        <w:spacing w:line="360" w:lineRule="auto"/>
        <w:jc w:val="both"/>
        <w:rPr>
          <w:rFonts w:ascii="Palatino Linotype" w:hAnsi="Palatino Linotype"/>
        </w:rPr>
      </w:pPr>
    </w:p>
    <w:p w14:paraId="19B4CBD0" w14:textId="77777777" w:rsidR="00A95101" w:rsidRDefault="00A95101" w:rsidP="00A95101">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Calibri" w:hAnsi="Palatino Linotype"/>
          <w:b/>
          <w:szCs w:val="22"/>
          <w:lang w:eastAsia="en-US"/>
        </w:rPr>
        <w:t xml:space="preserve">EL SUJETO </w:t>
      </w:r>
      <w:r>
        <w:rPr>
          <w:rFonts w:ascii="Palatino Linotype" w:eastAsia="Calibri" w:hAnsi="Palatino Linotype"/>
          <w:b/>
          <w:szCs w:val="22"/>
          <w:lang w:eastAsia="en-US"/>
        </w:rPr>
        <w:lastRenderedPageBreak/>
        <w:t>OBLIGADO</w:t>
      </w:r>
      <w:r>
        <w:rPr>
          <w:rFonts w:ascii="Palatino Linotype" w:eastAsia="Calibri" w:hAnsi="Palatino Linotype"/>
          <w:szCs w:val="22"/>
          <w:lang w:eastAsia="en-US"/>
        </w:rPr>
        <w:t>; por lo que, en caso de no atender de manera positiva</w:t>
      </w:r>
      <w:r>
        <w:rPr>
          <w:rFonts w:ascii="Palatino Linotype" w:eastAsia="Calibri" w:hAnsi="Palatino Linotype"/>
          <w:szCs w:val="22"/>
          <w:vertAlign w:val="superscript"/>
          <w:lang w:eastAsia="en-US"/>
        </w:rPr>
        <w:footnoteReference w:id="2"/>
      </w:r>
      <w:r>
        <w:rPr>
          <w:rFonts w:ascii="Palatino Linotype" w:eastAsia="Calibri" w:hAnsi="Palatino Linotype"/>
          <w:szCs w:val="22"/>
          <w:lang w:eastAsia="en-US"/>
        </w:rPr>
        <w:t>, el requerimiento de información deberá manifestarse al respecto.</w:t>
      </w:r>
    </w:p>
    <w:p w14:paraId="47FBA562" w14:textId="77777777" w:rsidR="00A95101" w:rsidRDefault="00A95101" w:rsidP="00A95101">
      <w:pPr>
        <w:spacing w:line="360" w:lineRule="auto"/>
        <w:jc w:val="both"/>
        <w:rPr>
          <w:rFonts w:ascii="Palatino Linotype" w:eastAsia="Calibri" w:hAnsi="Palatino Linotype"/>
          <w:szCs w:val="22"/>
          <w:lang w:eastAsia="en-US"/>
        </w:rPr>
      </w:pPr>
    </w:p>
    <w:p w14:paraId="1C046AA2" w14:textId="77777777" w:rsidR="00A95101" w:rsidRDefault="00A95101" w:rsidP="00A95101">
      <w:pPr>
        <w:spacing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7B8E02" w14:textId="77777777" w:rsidR="00A95101" w:rsidRDefault="00A95101" w:rsidP="00A95101">
      <w:pPr>
        <w:spacing w:line="360" w:lineRule="auto"/>
        <w:jc w:val="both"/>
        <w:rPr>
          <w:rFonts w:ascii="Palatino Linotype" w:hAnsi="Palatino Linotype" w:cs="Arial"/>
        </w:rPr>
      </w:pPr>
    </w:p>
    <w:p w14:paraId="4F03D5AA" w14:textId="77777777" w:rsidR="00A95101" w:rsidRDefault="00A95101" w:rsidP="00A95101">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Pr>
          <w:rFonts w:ascii="Palatino Linotype" w:hAnsi="Palatino Linotype" w:cs="Arial"/>
        </w:rPr>
        <w:lastRenderedPageBreak/>
        <w:t>la misma, de manera fundada y motivada, en atención al artículo 143 de la Constitución Política del Estado Libre y Soberano de México.</w:t>
      </w:r>
    </w:p>
    <w:p w14:paraId="6128CD2C" w14:textId="77777777" w:rsidR="00A95101" w:rsidRDefault="00A95101" w:rsidP="00A95101">
      <w:pPr>
        <w:autoSpaceDE w:val="0"/>
        <w:autoSpaceDN w:val="0"/>
        <w:adjustRightInd w:val="0"/>
        <w:spacing w:line="360" w:lineRule="auto"/>
        <w:ind w:right="51"/>
        <w:jc w:val="both"/>
        <w:rPr>
          <w:rFonts w:ascii="Palatino Linotype" w:hAnsi="Palatino Linotype" w:cs="Arial"/>
        </w:rPr>
      </w:pPr>
    </w:p>
    <w:p w14:paraId="7553F8D5" w14:textId="77777777" w:rsidR="00A95101" w:rsidRDefault="00A95101" w:rsidP="00A95101">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17DFA24" w14:textId="77777777" w:rsidR="00A95101" w:rsidRDefault="00A95101" w:rsidP="00A95101">
      <w:pPr>
        <w:autoSpaceDE w:val="0"/>
        <w:autoSpaceDN w:val="0"/>
        <w:adjustRightInd w:val="0"/>
        <w:spacing w:line="360" w:lineRule="auto"/>
        <w:jc w:val="both"/>
        <w:rPr>
          <w:rFonts w:ascii="Palatino Linotype" w:hAnsi="Palatino Linotype" w:cs="Arial"/>
        </w:rPr>
      </w:pPr>
    </w:p>
    <w:p w14:paraId="48F20D2C" w14:textId="77777777" w:rsidR="00A95101" w:rsidRDefault="00A95101" w:rsidP="00A95101">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8F01F83" w14:textId="77777777" w:rsidR="00A95101" w:rsidRDefault="00A95101" w:rsidP="00A95101">
      <w:pPr>
        <w:autoSpaceDE w:val="0"/>
        <w:autoSpaceDN w:val="0"/>
        <w:adjustRightInd w:val="0"/>
        <w:spacing w:line="360" w:lineRule="auto"/>
        <w:jc w:val="both"/>
        <w:rPr>
          <w:rFonts w:ascii="Palatino Linotype" w:hAnsi="Palatino Linotype" w:cs="Arial"/>
        </w:rPr>
      </w:pPr>
    </w:p>
    <w:p w14:paraId="7EF5A5D9" w14:textId="77777777" w:rsidR="00A95101" w:rsidRDefault="00A95101" w:rsidP="00A95101">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w:t>
      </w:r>
      <w:r>
        <w:rPr>
          <w:rFonts w:ascii="Palatino Linotype" w:hAnsi="Palatino Linotype" w:cs="Arial"/>
        </w:rPr>
        <w:lastRenderedPageBreak/>
        <w:t>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0E87E0E" w14:textId="77777777" w:rsidR="00A95101" w:rsidRDefault="00A95101" w:rsidP="00A95101">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2389B40" w14:textId="77777777" w:rsidR="00A95101" w:rsidRDefault="00A95101" w:rsidP="00A95101">
      <w:pPr>
        <w:spacing w:line="360" w:lineRule="auto"/>
        <w:jc w:val="both"/>
        <w:rPr>
          <w:rFonts w:ascii="Palatino Linotype" w:hAnsi="Palatino Linotype" w:cs="Arial"/>
        </w:rPr>
      </w:pPr>
    </w:p>
    <w:p w14:paraId="30A8E0FC" w14:textId="77777777" w:rsidR="00A95101" w:rsidRDefault="00A95101" w:rsidP="00A95101">
      <w:pPr>
        <w:spacing w:line="360" w:lineRule="auto"/>
        <w:jc w:val="both"/>
        <w:rPr>
          <w:rFonts w:ascii="Palatino Linotype" w:hAnsi="Palatino Linotype"/>
        </w:rPr>
      </w:pPr>
      <w:r>
        <w:rPr>
          <w:rFonts w:ascii="Palatino Linotype" w:hAnsi="Palatino Linotype"/>
        </w:rPr>
        <w:t xml:space="preserve">Siendo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59CBEB41" w14:textId="77777777" w:rsidR="00A95101" w:rsidRDefault="00A95101" w:rsidP="00A95101">
      <w:pPr>
        <w:spacing w:line="360" w:lineRule="auto"/>
        <w:jc w:val="both"/>
        <w:rPr>
          <w:rFonts w:ascii="Palatino Linotype" w:hAnsi="Palatino Linotype"/>
        </w:rPr>
      </w:pPr>
    </w:p>
    <w:p w14:paraId="7F0CEFEE" w14:textId="77777777" w:rsidR="00A95101" w:rsidRDefault="00A95101" w:rsidP="00A95101">
      <w:pPr>
        <w:spacing w:line="360" w:lineRule="auto"/>
        <w:jc w:val="both"/>
        <w:rPr>
          <w:rFonts w:ascii="Palatino Linotype" w:eastAsia="Calibri" w:hAnsi="Palatino Linotype" w:cs="Arial"/>
          <w:bCs/>
        </w:rPr>
      </w:pPr>
      <w:r>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r>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E5D7D11" w14:textId="77777777" w:rsidR="00A95101" w:rsidRDefault="00A95101" w:rsidP="00A95101">
      <w:pPr>
        <w:jc w:val="both"/>
        <w:rPr>
          <w:rFonts w:ascii="Palatino Linotype" w:eastAsia="Calibri" w:hAnsi="Palatino Linotype" w:cs="Arial"/>
          <w:bCs/>
        </w:rPr>
      </w:pPr>
    </w:p>
    <w:p w14:paraId="5393B58A" w14:textId="77777777" w:rsidR="00A95101" w:rsidRDefault="00A95101" w:rsidP="00A95101">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4A84A18" w14:textId="77777777" w:rsidR="00A95101" w:rsidRDefault="00A95101" w:rsidP="00A95101">
      <w:pPr>
        <w:ind w:left="851" w:right="902"/>
        <w:jc w:val="both"/>
        <w:rPr>
          <w:rFonts w:ascii="Palatino Linotype" w:eastAsia="Calibri" w:hAnsi="Palatino Linotype"/>
          <w:i/>
          <w:sz w:val="22"/>
          <w:szCs w:val="22"/>
        </w:rPr>
      </w:pPr>
    </w:p>
    <w:p w14:paraId="272F6831" w14:textId="2CA40516" w:rsidR="00A95101" w:rsidRDefault="00A95101" w:rsidP="00A95101">
      <w:pPr>
        <w:spacing w:line="360" w:lineRule="auto"/>
        <w:jc w:val="both"/>
        <w:rPr>
          <w:rFonts w:ascii="Palatino Linotype" w:hAnsi="Palatino Linotype"/>
          <w:bCs/>
        </w:rPr>
      </w:pPr>
      <w:r>
        <w:rPr>
          <w:rFonts w:ascii="Palatino Linotype" w:hAnsi="Palatino Linotype"/>
          <w:bCs/>
        </w:rPr>
        <w:t xml:space="preserve">Por todo lo anterior, 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r w:rsidR="00E20A5C">
        <w:rPr>
          <w:rFonts w:ascii="Palatino Linotype" w:hAnsi="Palatino Linotype"/>
          <w:bCs/>
        </w:rPr>
        <w:t>actualizar</w:t>
      </w:r>
      <w:r>
        <w:rPr>
          <w:rFonts w:ascii="Palatino Linotype" w:hAnsi="Palatino Linotype"/>
          <w:bCs/>
        </w:rPr>
        <w:t xml:space="preserve"> alguno de los supuestos conforme a las normas aplicables.</w:t>
      </w:r>
    </w:p>
    <w:p w14:paraId="60BCE1BC" w14:textId="77777777" w:rsidR="00A95101" w:rsidRDefault="00A95101" w:rsidP="00A95101">
      <w:pPr>
        <w:spacing w:line="360" w:lineRule="auto"/>
        <w:jc w:val="both"/>
        <w:rPr>
          <w:rFonts w:ascii="Palatino Linotype" w:hAnsi="Palatino Linotype"/>
          <w:bCs/>
        </w:rPr>
      </w:pPr>
    </w:p>
    <w:p w14:paraId="492CE381" w14:textId="77777777" w:rsidR="00A95101" w:rsidRDefault="00A95101" w:rsidP="00A95101">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w:t>
      </w:r>
      <w:r>
        <w:rPr>
          <w:rFonts w:ascii="Palatino Linotype" w:hAnsi="Palatino Linotype"/>
        </w:rPr>
        <w:lastRenderedPageBreak/>
        <w:t xml:space="preserve">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14:paraId="5A20AF84" w14:textId="77777777" w:rsidR="00A95101" w:rsidRDefault="00A95101" w:rsidP="00A95101">
      <w:pPr>
        <w:spacing w:line="360" w:lineRule="auto"/>
        <w:jc w:val="both"/>
        <w:rPr>
          <w:rFonts w:ascii="Palatino Linotype" w:hAnsi="Palatino Linotype"/>
        </w:rPr>
      </w:pPr>
    </w:p>
    <w:p w14:paraId="32FA4B1F" w14:textId="77777777" w:rsidR="00A95101" w:rsidRDefault="00A95101" w:rsidP="00A95101">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720BAE1" w14:textId="77777777" w:rsidR="00A95101" w:rsidRDefault="00A95101" w:rsidP="00A95101">
      <w:pPr>
        <w:spacing w:line="360" w:lineRule="auto"/>
        <w:jc w:val="both"/>
        <w:rPr>
          <w:rFonts w:ascii="Palatino Linotype" w:hAnsi="Palatino Linotype"/>
        </w:rPr>
      </w:pPr>
    </w:p>
    <w:p w14:paraId="4DAE22AD" w14:textId="77777777" w:rsidR="00A95101" w:rsidRDefault="00A95101" w:rsidP="00A95101">
      <w:pPr>
        <w:spacing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C7537FE" w14:textId="77777777" w:rsidR="00A95101" w:rsidRDefault="00A95101" w:rsidP="00A95101">
      <w:pPr>
        <w:spacing w:line="360" w:lineRule="auto"/>
        <w:jc w:val="both"/>
        <w:rPr>
          <w:rFonts w:ascii="Palatino Linotype" w:hAnsi="Palatino Linotype"/>
        </w:rPr>
      </w:pPr>
    </w:p>
    <w:p w14:paraId="27F1C964" w14:textId="77777777" w:rsidR="00A95101" w:rsidRDefault="00A95101" w:rsidP="00A95101">
      <w:pPr>
        <w:numPr>
          <w:ilvl w:val="0"/>
          <w:numId w:val="26"/>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01C7CB10" w14:textId="77777777" w:rsidR="00A95101" w:rsidRDefault="00A95101" w:rsidP="00A95101">
      <w:pPr>
        <w:numPr>
          <w:ilvl w:val="0"/>
          <w:numId w:val="26"/>
        </w:numPr>
        <w:spacing w:line="360" w:lineRule="auto"/>
        <w:ind w:left="1276" w:hanging="425"/>
        <w:jc w:val="both"/>
        <w:rPr>
          <w:rFonts w:ascii="Palatino Linotype" w:hAnsi="Palatino Linotype"/>
        </w:rPr>
      </w:pPr>
      <w:r>
        <w:rPr>
          <w:rFonts w:ascii="Palatino Linotype" w:hAnsi="Palatino Linotype"/>
        </w:rPr>
        <w:lastRenderedPageBreak/>
        <w:t>Se determine mediante resolución de autoridad competente; y/o</w:t>
      </w:r>
    </w:p>
    <w:p w14:paraId="68C5CE19" w14:textId="77777777" w:rsidR="00A95101" w:rsidRDefault="00A95101" w:rsidP="00A95101">
      <w:pPr>
        <w:numPr>
          <w:ilvl w:val="0"/>
          <w:numId w:val="26"/>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07807226" w14:textId="77777777" w:rsidR="00A95101" w:rsidRDefault="00A95101" w:rsidP="00A95101">
      <w:pPr>
        <w:spacing w:line="360" w:lineRule="auto"/>
        <w:ind w:left="1276"/>
        <w:jc w:val="both"/>
        <w:rPr>
          <w:rFonts w:ascii="Palatino Linotype" w:hAnsi="Palatino Linotype"/>
        </w:rPr>
      </w:pPr>
    </w:p>
    <w:p w14:paraId="65A7D6D9" w14:textId="77777777" w:rsidR="00A95101" w:rsidRDefault="00A95101" w:rsidP="00A95101">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2EA21C3" w14:textId="77777777" w:rsidR="00A95101" w:rsidRDefault="00A95101" w:rsidP="00A95101">
      <w:pPr>
        <w:spacing w:line="360" w:lineRule="auto"/>
        <w:jc w:val="both"/>
        <w:rPr>
          <w:rFonts w:ascii="Palatino Linotype" w:hAnsi="Palatino Linotype"/>
        </w:rPr>
      </w:pPr>
    </w:p>
    <w:p w14:paraId="1B1E3B5D" w14:textId="77777777" w:rsidR="00A95101" w:rsidRDefault="00A95101" w:rsidP="00A95101">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1D82CA2" w14:textId="77777777" w:rsidR="00A95101" w:rsidRDefault="00A95101" w:rsidP="00A95101">
      <w:pPr>
        <w:spacing w:line="360" w:lineRule="auto"/>
        <w:jc w:val="both"/>
        <w:rPr>
          <w:rFonts w:ascii="Palatino Linotype" w:hAnsi="Palatino Linotype"/>
        </w:rPr>
      </w:pPr>
    </w:p>
    <w:p w14:paraId="0D35387E" w14:textId="77777777" w:rsidR="00A95101" w:rsidRDefault="00A95101" w:rsidP="00A95101">
      <w:pPr>
        <w:numPr>
          <w:ilvl w:val="0"/>
          <w:numId w:val="32"/>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4DC4F424" w14:textId="77777777" w:rsidR="00A95101" w:rsidRDefault="00A95101" w:rsidP="00A95101">
      <w:pPr>
        <w:numPr>
          <w:ilvl w:val="0"/>
          <w:numId w:val="32"/>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17D6F607" w14:textId="77777777" w:rsidR="00A95101" w:rsidRDefault="00A95101" w:rsidP="00A95101">
      <w:pPr>
        <w:numPr>
          <w:ilvl w:val="0"/>
          <w:numId w:val="32"/>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2CA92211" w14:textId="77777777" w:rsidR="00A95101" w:rsidRDefault="00A95101" w:rsidP="00A95101">
      <w:pPr>
        <w:spacing w:line="360" w:lineRule="auto"/>
        <w:ind w:left="1134"/>
        <w:jc w:val="both"/>
        <w:rPr>
          <w:rFonts w:ascii="Palatino Linotype" w:hAnsi="Palatino Linotype"/>
        </w:rPr>
      </w:pPr>
    </w:p>
    <w:p w14:paraId="6F8CB081" w14:textId="77777777" w:rsidR="00A95101" w:rsidRDefault="00A95101" w:rsidP="00A9510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w:t>
      </w:r>
      <w:r>
        <w:rPr>
          <w:rFonts w:ascii="Palatino Linotype" w:hAnsi="Palatino Linotype"/>
        </w:rPr>
        <w:lastRenderedPageBreak/>
        <w:t xml:space="preserve">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35C25E6" w14:textId="77777777" w:rsidR="00A95101" w:rsidRDefault="00A95101" w:rsidP="00A95101">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126A4BA" w14:textId="77777777" w:rsidR="00A95101" w:rsidRDefault="00A95101" w:rsidP="00A95101">
      <w:pPr>
        <w:spacing w:line="360" w:lineRule="auto"/>
        <w:jc w:val="both"/>
        <w:rPr>
          <w:rFonts w:ascii="Palatino Linotype" w:hAnsi="Palatino Linotype" w:cs="Arial"/>
        </w:rPr>
      </w:pPr>
      <w:r>
        <w:rPr>
          <w:rFonts w:ascii="Palatino Linotype" w:hAnsi="Palatino Linotype" w:cs="Arial"/>
        </w:rPr>
        <w:t xml:space="preserve">Finalmente,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28A2194" w14:textId="77777777" w:rsidR="00A95101" w:rsidRDefault="00A95101" w:rsidP="00A95101">
      <w:pPr>
        <w:spacing w:line="360" w:lineRule="auto"/>
        <w:jc w:val="both"/>
        <w:rPr>
          <w:rFonts w:ascii="Palatino Linotype" w:hAnsi="Palatino Linotype" w:cs="Arial"/>
        </w:rPr>
      </w:pPr>
    </w:p>
    <w:p w14:paraId="4836F279" w14:textId="77777777" w:rsidR="00A95101" w:rsidRDefault="00A95101" w:rsidP="00A95101">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F00EABD" w14:textId="77777777" w:rsidR="00A95101" w:rsidRDefault="00A95101" w:rsidP="00A95101">
      <w:pPr>
        <w:spacing w:line="360" w:lineRule="auto"/>
        <w:jc w:val="both"/>
        <w:rPr>
          <w:rFonts w:ascii="Palatino Linotype" w:hAnsi="Palatino Linotype"/>
        </w:rPr>
      </w:pPr>
    </w:p>
    <w:p w14:paraId="613A4C3E" w14:textId="77777777" w:rsidR="00A95101" w:rsidRDefault="00A95101" w:rsidP="00A95101">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w:t>
      </w:r>
      <w:r>
        <w:rPr>
          <w:rFonts w:ascii="Palatino Linotype" w:hAnsi="Palatino Linotype" w:cs="Arial"/>
        </w:rPr>
        <w:lastRenderedPageBreak/>
        <w:t>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148BE2D5" w14:textId="77777777" w:rsidR="00A95101" w:rsidRDefault="00A95101" w:rsidP="00A95101">
      <w:pPr>
        <w:spacing w:line="360" w:lineRule="auto"/>
        <w:jc w:val="both"/>
        <w:rPr>
          <w:rFonts w:ascii="Palatino Linotype" w:eastAsia="Calibri" w:hAnsi="Palatino Linotype" w:cs="Bookman Old Style"/>
          <w:lang w:eastAsia="en-US"/>
        </w:rPr>
      </w:pPr>
    </w:p>
    <w:p w14:paraId="5589C5F7" w14:textId="77777777" w:rsidR="00A95101" w:rsidRDefault="00A95101" w:rsidP="00A95101">
      <w:pPr>
        <w:spacing w:line="360" w:lineRule="auto"/>
        <w:jc w:val="both"/>
        <w:rPr>
          <w:rFonts w:ascii="Palatino Linotype" w:hAnsi="Palatino Linotype"/>
        </w:rPr>
      </w:pPr>
      <w:r>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17C849A" w14:textId="77777777" w:rsidR="00A95101" w:rsidRDefault="00A95101" w:rsidP="00A95101">
      <w:pPr>
        <w:spacing w:line="360" w:lineRule="auto"/>
        <w:jc w:val="both"/>
        <w:rPr>
          <w:rFonts w:ascii="Palatino Linotype" w:hAnsi="Palatino Linotype"/>
        </w:rPr>
      </w:pPr>
    </w:p>
    <w:p w14:paraId="40F7C2B0" w14:textId="77777777" w:rsidR="00A95101" w:rsidRDefault="00A95101" w:rsidP="00A95101">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BF4C35C" w14:textId="77777777" w:rsidR="00A95101" w:rsidRDefault="00A95101" w:rsidP="00A95101">
      <w:pPr>
        <w:shd w:val="clear" w:color="auto" w:fill="FFFFFF"/>
        <w:spacing w:line="360" w:lineRule="auto"/>
        <w:jc w:val="both"/>
        <w:rPr>
          <w:rFonts w:ascii="Palatino Linotype" w:hAnsi="Palatino Linotype"/>
          <w:sz w:val="22"/>
          <w:szCs w:val="22"/>
          <w:lang w:eastAsia="es-MX"/>
        </w:rPr>
      </w:pPr>
    </w:p>
    <w:p w14:paraId="77F79010" w14:textId="77777777" w:rsidR="00A95101" w:rsidRDefault="00A95101" w:rsidP="00A95101">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emitidos por Acuerdo del Pleno del Instituto de Transparencia y Acceso a la Información Pública del Estado de México y Municipios, que a la letra dice:</w:t>
      </w:r>
    </w:p>
    <w:p w14:paraId="6F5EA886" w14:textId="77777777" w:rsidR="00A95101" w:rsidRDefault="00A95101" w:rsidP="00A95101">
      <w:pPr>
        <w:shd w:val="clear" w:color="auto" w:fill="FFFFFF"/>
        <w:ind w:left="851" w:right="902"/>
        <w:jc w:val="center"/>
        <w:rPr>
          <w:rFonts w:ascii="Palatino Linotype" w:hAnsi="Palatino Linotype"/>
          <w:b/>
          <w:i/>
          <w:iCs/>
          <w:sz w:val="22"/>
          <w:szCs w:val="22"/>
          <w:lang w:val="es-ES" w:eastAsia="es-MX"/>
        </w:rPr>
      </w:pPr>
    </w:p>
    <w:p w14:paraId="1D74207B" w14:textId="77777777" w:rsidR="00A95101" w:rsidRDefault="00A95101" w:rsidP="00A95101">
      <w:pPr>
        <w:shd w:val="clear" w:color="auto" w:fill="FFFFFF"/>
        <w:ind w:left="851" w:right="902"/>
        <w:jc w:val="both"/>
        <w:rPr>
          <w:rFonts w:ascii="Palatino Linotype" w:hAnsi="Palatino Linotype"/>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w:t>
      </w:r>
      <w:r>
        <w:rPr>
          <w:rFonts w:ascii="Palatino Linotype" w:hAnsi="Palatino Linotype"/>
          <w:i/>
          <w:iCs/>
          <w:sz w:val="22"/>
          <w:szCs w:val="22"/>
          <w:lang w:val="es-ES" w:eastAsia="es-MX"/>
        </w:rPr>
        <w:lastRenderedPageBreak/>
        <w:t>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B0ED5A5" w14:textId="77777777" w:rsidR="00A95101" w:rsidRDefault="00A95101" w:rsidP="00A95101">
      <w:pPr>
        <w:shd w:val="clear" w:color="auto" w:fill="FFFFFF"/>
        <w:ind w:left="851" w:right="902"/>
        <w:jc w:val="both"/>
        <w:rPr>
          <w:rFonts w:ascii="Palatino Linotype" w:hAnsi="Palatino Linotype"/>
          <w:i/>
          <w:iCs/>
          <w:sz w:val="22"/>
          <w:szCs w:val="22"/>
          <w:lang w:val="es-ES" w:eastAsia="es-MX"/>
        </w:rPr>
      </w:pPr>
    </w:p>
    <w:p w14:paraId="5326CEF1" w14:textId="77777777" w:rsidR="00A95101" w:rsidRDefault="00A95101" w:rsidP="00A95101">
      <w:pPr>
        <w:shd w:val="clear" w:color="auto" w:fill="FFFFFF"/>
        <w:ind w:left="851" w:right="902"/>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 xml:space="preserve">Precedentes: </w:t>
      </w:r>
    </w:p>
    <w:p w14:paraId="12DDCFA4" w14:textId="77777777" w:rsidR="00A95101" w:rsidRDefault="00A95101" w:rsidP="00A95101">
      <w:pPr>
        <w:shd w:val="clear" w:color="auto" w:fill="FFFFFF"/>
        <w:ind w:left="851" w:right="902"/>
        <w:jc w:val="both"/>
        <w:rPr>
          <w:rFonts w:ascii="Palatino Linotype" w:hAnsi="Palatino Linotype"/>
          <w:i/>
          <w:iCs/>
          <w:sz w:val="22"/>
          <w:szCs w:val="22"/>
          <w:lang w:val="es-ES" w:eastAsia="es-MX"/>
        </w:rPr>
      </w:pPr>
    </w:p>
    <w:p w14:paraId="6273831E" w14:textId="77777777" w:rsidR="00A95101" w:rsidRDefault="00A95101" w:rsidP="00A95101">
      <w:pPr>
        <w:numPr>
          <w:ilvl w:val="0"/>
          <w:numId w:val="33"/>
        </w:numPr>
        <w:shd w:val="clear" w:color="auto" w:fill="FFFFFF"/>
        <w:ind w:right="902"/>
        <w:contextualSpacing/>
        <w:jc w:val="both"/>
        <w:rPr>
          <w:rFonts w:ascii="Palatino Linotype" w:hAnsi="Palatino Linotype"/>
          <w:i/>
          <w:iCs/>
          <w:sz w:val="22"/>
          <w:szCs w:val="22"/>
          <w:lang w:val="es-ES" w:eastAsia="es-MX"/>
        </w:rPr>
      </w:pPr>
      <w:r>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047A0D1D" w14:textId="77777777" w:rsidR="00A95101" w:rsidRDefault="00A95101" w:rsidP="00A95101">
      <w:pPr>
        <w:numPr>
          <w:ilvl w:val="0"/>
          <w:numId w:val="33"/>
        </w:numPr>
        <w:shd w:val="clear" w:color="auto" w:fill="FFFFFF"/>
        <w:ind w:right="902"/>
        <w:contextualSpacing/>
        <w:jc w:val="both"/>
        <w:rPr>
          <w:rFonts w:ascii="Palatino Linotype" w:hAnsi="Palatino Linotype"/>
          <w:i/>
          <w:iCs/>
          <w:sz w:val="22"/>
          <w:szCs w:val="22"/>
          <w:lang w:val="es-ES" w:eastAsia="es-MX"/>
        </w:rPr>
      </w:pPr>
      <w:r>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5955C4A3" w14:textId="77777777" w:rsidR="00A95101" w:rsidRDefault="00A95101" w:rsidP="00A95101">
      <w:pPr>
        <w:numPr>
          <w:ilvl w:val="0"/>
          <w:numId w:val="33"/>
        </w:numPr>
        <w:shd w:val="clear" w:color="auto" w:fill="FFFFFF"/>
        <w:ind w:right="902"/>
        <w:contextualSpacing/>
        <w:jc w:val="both"/>
        <w:rPr>
          <w:rFonts w:ascii="Palatino Linotype" w:hAnsi="Palatino Linotype"/>
          <w:b/>
          <w:i/>
          <w:sz w:val="22"/>
          <w:szCs w:val="22"/>
          <w:lang w:eastAsia="es-MX"/>
        </w:rPr>
      </w:pPr>
      <w:r>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hAnsi="Palatino Linotype"/>
          <w:b/>
          <w:i/>
          <w:iCs/>
          <w:sz w:val="22"/>
          <w:szCs w:val="22"/>
          <w:lang w:val="es-ES" w:eastAsia="es-MX"/>
        </w:rPr>
        <w:t>”</w:t>
      </w:r>
    </w:p>
    <w:p w14:paraId="4A657668" w14:textId="77777777" w:rsidR="00A95101" w:rsidRDefault="00A95101" w:rsidP="00A95101">
      <w:pPr>
        <w:shd w:val="clear" w:color="auto" w:fill="FFFFFF"/>
        <w:ind w:right="902" w:firstLine="851"/>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317C61C7" w14:textId="77777777" w:rsidR="00A95101" w:rsidRDefault="00A95101" w:rsidP="00A95101">
      <w:pPr>
        <w:shd w:val="clear" w:color="auto" w:fill="FFFFFF"/>
        <w:ind w:right="902" w:firstLine="851"/>
        <w:jc w:val="both"/>
        <w:rPr>
          <w:rFonts w:ascii="Palatino Linotype" w:hAnsi="Palatino Linotype"/>
          <w:sz w:val="22"/>
          <w:szCs w:val="22"/>
          <w:lang w:eastAsia="es-MX"/>
        </w:rPr>
      </w:pPr>
    </w:p>
    <w:p w14:paraId="0BBFDBA6" w14:textId="77777777" w:rsidR="00A95101" w:rsidRDefault="00A95101" w:rsidP="00A95101">
      <w:pPr>
        <w:spacing w:line="360" w:lineRule="auto"/>
        <w:jc w:val="both"/>
        <w:rPr>
          <w:rFonts w:ascii="Palatino Linotype" w:hAnsi="Palatino Linotype" w:cs="Arial"/>
        </w:rPr>
      </w:pPr>
      <w:r>
        <w:rPr>
          <w:rFonts w:ascii="Palatino Linotype" w:hAnsi="Palatino Linotype" w:cs="Arial"/>
        </w:rPr>
        <w:t xml:space="preserve">En mérito de todo lo expuesto, ante lo </w:t>
      </w:r>
      <w:r>
        <w:rPr>
          <w:rFonts w:ascii="Palatino Linotype" w:hAnsi="Palatino Linotype" w:cs="Arial"/>
          <w:b/>
        </w:rPr>
        <w:t>fundado</w:t>
      </w:r>
      <w:r>
        <w:rPr>
          <w:rFonts w:ascii="Palatino Linotype" w:hAnsi="Palatino Linotype" w:cs="Arial"/>
        </w:rPr>
        <w:t xml:space="preserve"> de las razones o motivos de inconformidad hechos valer por </w:t>
      </w:r>
      <w:r>
        <w:rPr>
          <w:rFonts w:ascii="Palatino Linotype" w:hAnsi="Palatino Linotype" w:cs="Arial"/>
          <w:b/>
        </w:rPr>
        <w:t>EL RECURRENTE</w:t>
      </w:r>
      <w:r>
        <w:rPr>
          <w:rFonts w:ascii="Palatino Linotype" w:hAnsi="Palatino Linotype" w:cs="Arial"/>
        </w:rPr>
        <w:t xml:space="preserve">, este Instituto estima que lo dable es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5A5A264D" w14:textId="77777777" w:rsidR="00A95101" w:rsidRDefault="00A95101" w:rsidP="00A95101">
      <w:pPr>
        <w:spacing w:line="360" w:lineRule="auto"/>
        <w:jc w:val="both"/>
        <w:rPr>
          <w:rFonts w:ascii="Palatino Linotype" w:hAnsi="Palatino Linotype" w:cs="Arial"/>
        </w:rPr>
      </w:pPr>
    </w:p>
    <w:p w14:paraId="4F7C3E40" w14:textId="77777777" w:rsidR="00A95101" w:rsidRDefault="00A95101" w:rsidP="00A95101">
      <w:pPr>
        <w:spacing w:line="360" w:lineRule="auto"/>
        <w:jc w:val="both"/>
        <w:rPr>
          <w:rFonts w:ascii="Palatino Linotype" w:hAnsi="Palatino Linotype" w:cs="Arial"/>
        </w:rPr>
      </w:pPr>
      <w:r>
        <w:rPr>
          <w:rFonts w:ascii="Palatino Linotype" w:hAnsi="Palatino Linotype" w:cs="Arial"/>
        </w:rPr>
        <w:t xml:space="preserve">Finalmente, es de señalar que, en razón de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información pública y dado que el recurso de revisión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por la omisión de la entrega de información pública</w:t>
      </w:r>
      <w:r>
        <w:rPr>
          <w:rFonts w:ascii="Palatino Linotype" w:hAnsi="Palatino Linotype"/>
        </w:rPr>
        <w:t>, toda vez que el artículo 163 de la Ley de la materia, prevé el plazo de respuesta y atención a solicitudes de información; atento a ello, este Instituto en el ámbito de sus atribuciones, hará  d</w:t>
      </w:r>
      <w:r>
        <w:rPr>
          <w:rFonts w:ascii="Palatino Linotype" w:hAnsi="Palatino Linotype" w:cs="Arial"/>
        </w:rPr>
        <w:t xml:space="preserve">el conocimiento al Contralor de este Instituto a fin de que en términos del ordinal 190 de la Ley de la materia determine lo conducente. </w:t>
      </w:r>
    </w:p>
    <w:p w14:paraId="6C6CF4C4" w14:textId="77777777" w:rsidR="00A95101" w:rsidRDefault="00A95101" w:rsidP="00A95101">
      <w:pPr>
        <w:spacing w:line="360" w:lineRule="auto"/>
        <w:jc w:val="both"/>
        <w:rPr>
          <w:rFonts w:ascii="Palatino Linotype" w:eastAsia="Calibri" w:hAnsi="Palatino Linotype" w:cs="Arial"/>
        </w:rPr>
      </w:pPr>
    </w:p>
    <w:p w14:paraId="2AF6E30A" w14:textId="77777777" w:rsidR="00A95101" w:rsidRDefault="00A95101" w:rsidP="00A95101">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5, párrafos trigésimo, trigésimo primero y trigésimo segundo, fracciones IV y V de la Constitución Política del Estado Libre y Soberano de México; </w:t>
      </w:r>
      <w:r>
        <w:rPr>
          <w:rFonts w:ascii="Palatino Linotype" w:hAnsi="Palatino Linotype" w:cs="Arial"/>
        </w:rPr>
        <w:t>2, fracción II, 9, 29, 36, fracciones I y II, 176, 178, 179, 181, 185, fracción I, 186 y 188</w:t>
      </w:r>
      <w:r>
        <w:rPr>
          <w:rFonts w:ascii="Palatino Linotype" w:eastAsia="Calibri" w:hAnsi="Palatino Linotype" w:cs="Arial"/>
        </w:rPr>
        <w:t xml:space="preserve"> de la Ley de Transparencia y Acceso a la Información Pública del Estado de México y Municipios, este Pleno:</w:t>
      </w:r>
    </w:p>
    <w:p w14:paraId="5C70B665" w14:textId="77777777" w:rsidR="00A95101" w:rsidRDefault="00A95101" w:rsidP="00A95101">
      <w:pPr>
        <w:jc w:val="center"/>
        <w:rPr>
          <w:rFonts w:ascii="Palatino Linotype" w:hAnsi="Palatino Linotype" w:cs="Arial"/>
          <w:b/>
          <w:spacing w:val="44"/>
          <w:sz w:val="28"/>
          <w:lang w:val="pt-BR"/>
        </w:rPr>
      </w:pPr>
    </w:p>
    <w:p w14:paraId="6B1230A2" w14:textId="77777777" w:rsidR="00A95101" w:rsidRDefault="00A95101" w:rsidP="00A95101">
      <w:pPr>
        <w:jc w:val="center"/>
        <w:rPr>
          <w:rFonts w:ascii="Palatino Linotype" w:hAnsi="Palatino Linotype" w:cs="Arial"/>
          <w:b/>
          <w:spacing w:val="44"/>
          <w:sz w:val="28"/>
          <w:lang w:val="pt-BR"/>
        </w:rPr>
      </w:pPr>
      <w:r>
        <w:rPr>
          <w:rFonts w:ascii="Palatino Linotype" w:hAnsi="Palatino Linotype" w:cs="Arial"/>
          <w:b/>
          <w:spacing w:val="44"/>
          <w:sz w:val="28"/>
          <w:lang w:val="pt-BR"/>
        </w:rPr>
        <w:t>RESUELVE</w:t>
      </w:r>
    </w:p>
    <w:p w14:paraId="33E09EEE" w14:textId="77777777" w:rsidR="00A95101" w:rsidRDefault="00A95101" w:rsidP="00A95101">
      <w:pPr>
        <w:jc w:val="center"/>
        <w:rPr>
          <w:rFonts w:ascii="Palatino Linotype" w:hAnsi="Palatino Linotype" w:cs="Arial"/>
          <w:b/>
          <w:lang w:val="pt-BR"/>
        </w:rPr>
      </w:pPr>
    </w:p>
    <w:p w14:paraId="4B3DCF7A" w14:textId="77777777" w:rsidR="00A95101" w:rsidRDefault="00A95101" w:rsidP="00A95101">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Pr>
          <w:rFonts w:ascii="Palatino Linotype" w:hAnsi="Palatino Linotype" w:cs="Arial"/>
          <w:b/>
          <w:bCs/>
          <w:sz w:val="28"/>
          <w:lang w:eastAsia="es-MX"/>
        </w:rPr>
        <w:t>PRIMERO</w:t>
      </w:r>
      <w:r>
        <w:rPr>
          <w:rFonts w:ascii="Palatino Linotype" w:hAnsi="Palatino Linotype" w:cs="Arial"/>
        </w:rPr>
        <w:t xml:space="preserve">. 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14:paraId="1D4D4BF2" w14:textId="3E07B5EF" w:rsidR="00A95101" w:rsidRDefault="00A95101" w:rsidP="00A95101">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Pr>
          <w:rFonts w:ascii="Palatino Linotype" w:hAnsi="Palatino Linotype" w:cs="Arial"/>
          <w:b/>
          <w:bCs/>
          <w:sz w:val="28"/>
          <w:lang w:eastAsia="es-MX"/>
        </w:rPr>
        <w:t>SEGUNDO.</w:t>
      </w:r>
      <w:r>
        <w:rPr>
          <w:rFonts w:ascii="Palatino Linotype" w:hAnsi="Palatino Linotype"/>
          <w:b/>
          <w:lang w:eastAsia="es-MX"/>
        </w:rPr>
        <w:t xml:space="preserve"> </w:t>
      </w:r>
      <w:r>
        <w:rPr>
          <w:rFonts w:ascii="Palatino Linotype" w:hAnsi="Palatino Linotype"/>
          <w:lang w:eastAsia="es-MX"/>
        </w:rPr>
        <w:t>Se</w:t>
      </w:r>
      <w:r>
        <w:rPr>
          <w:rFonts w:ascii="Palatino Linotype" w:hAnsi="Palatino Linotype"/>
          <w:b/>
          <w:bCs/>
          <w:lang w:eastAsia="es-MX"/>
        </w:rPr>
        <w:t xml:space="preserve"> ORDENA </w:t>
      </w:r>
      <w:r>
        <w:rPr>
          <w:rFonts w:ascii="Palatino Linotype" w:hAnsi="Palatino Linotype"/>
          <w:lang w:eastAsia="es-MX"/>
        </w:rPr>
        <w:t xml:space="preserve">al </w:t>
      </w:r>
      <w:r>
        <w:rPr>
          <w:rFonts w:ascii="Palatino Linotype" w:hAnsi="Palatino Linotype"/>
          <w:b/>
          <w:bCs/>
          <w:lang w:eastAsia="es-MX"/>
        </w:rPr>
        <w:t xml:space="preserve">SUJETO OBLIGADO </w:t>
      </w:r>
      <w:r>
        <w:rPr>
          <w:rFonts w:ascii="Palatino Linotype" w:hAnsi="Palatino Linotype"/>
          <w:lang w:eastAsia="es-MX"/>
        </w:rPr>
        <w:t xml:space="preserve">dé trámite a la solicitud de acceso a la información pública </w:t>
      </w:r>
      <w:r w:rsidR="00E20A5C" w:rsidRPr="00A63C6E">
        <w:rPr>
          <w:rFonts w:ascii="Palatino Linotype" w:hAnsi="Palatino Linotype" w:cs="Arial"/>
          <w:b/>
        </w:rPr>
        <w:t>00075/TEOLOYU/IP/2021</w:t>
      </w:r>
      <w:r>
        <w:rPr>
          <w:rFonts w:ascii="Palatino Linotype" w:hAnsi="Palatino Linotype"/>
          <w:bCs/>
          <w:lang w:eastAsia="es-MX"/>
        </w:rPr>
        <w:t>,</w:t>
      </w:r>
      <w:r>
        <w:rPr>
          <w:rFonts w:ascii="Palatino Linotype" w:hAnsi="Palatino Linotype"/>
          <w:b/>
          <w:bCs/>
          <w:lang w:eastAsia="es-MX"/>
        </w:rPr>
        <w:t xml:space="preserve"> </w:t>
      </w:r>
      <w:r>
        <w:rPr>
          <w:rFonts w:ascii="Palatino Linotype" w:hAnsi="Palatino Linotype"/>
          <w:lang w:eastAsia="es-MX"/>
        </w:rPr>
        <w:t xml:space="preserve">vía </w:t>
      </w:r>
      <w:r>
        <w:rPr>
          <w:rFonts w:ascii="Palatino Linotype" w:hAnsi="Palatino Linotype"/>
          <w:b/>
          <w:bCs/>
          <w:lang w:eastAsia="es-MX"/>
        </w:rPr>
        <w:t xml:space="preserve">SAIMEX, </w:t>
      </w:r>
      <w:r>
        <w:rPr>
          <w:rFonts w:ascii="Palatino Linotype" w:hAnsi="Palatino Linotype"/>
          <w:lang w:eastAsia="es-MX"/>
        </w:rPr>
        <w:t xml:space="preserve">en términos </w:t>
      </w:r>
      <w:r>
        <w:rPr>
          <w:rFonts w:ascii="Palatino Linotype" w:hAnsi="Palatino Linotype"/>
          <w:lang w:eastAsia="es-MX"/>
        </w:rPr>
        <w:lastRenderedPageBreak/>
        <w:t xml:space="preserve">del Considerando </w:t>
      </w:r>
      <w:r>
        <w:rPr>
          <w:rFonts w:ascii="Palatino Linotype" w:hAnsi="Palatino Linotype"/>
          <w:b/>
          <w:bCs/>
          <w:lang w:eastAsia="es-MX"/>
        </w:rPr>
        <w:t xml:space="preserve">QUINTO </w:t>
      </w:r>
      <w:r>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39674779" w14:textId="77777777" w:rsidR="00A95101" w:rsidRDefault="00A95101" w:rsidP="00A95101">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Pr>
          <w:rFonts w:ascii="Palatino Linotype" w:hAnsi="Palatino Linotype" w:cs="Arial"/>
          <w:b/>
          <w:bCs/>
          <w:sz w:val="28"/>
          <w:lang w:eastAsia="es-MX"/>
        </w:rPr>
        <w:t>TERCERO</w:t>
      </w:r>
      <w:r>
        <w:rPr>
          <w:rFonts w:ascii="Palatino Linotype" w:eastAsia="Calibri" w:hAnsi="Palatino Linotype" w:cs="Arial"/>
          <w:b/>
          <w:bCs/>
        </w:rPr>
        <w:t xml:space="preserve">. </w:t>
      </w: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Fonts w:ascii="Palatino Linotype" w:hAnsi="Palatino Linotype"/>
          <w:b/>
          <w:shd w:val="clear" w:color="auto" w:fill="FFFFFF"/>
        </w:rPr>
        <w:t xml:space="preserve"> 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14:paraId="4A2DCE83" w14:textId="77777777" w:rsidR="00A95101" w:rsidRDefault="00A95101" w:rsidP="00A95101">
      <w:pPr>
        <w:widowControl w:val="0"/>
        <w:tabs>
          <w:tab w:val="left" w:pos="1701"/>
        </w:tabs>
        <w:autoSpaceDE w:val="0"/>
        <w:autoSpaceDN w:val="0"/>
        <w:adjustRightInd w:val="0"/>
        <w:spacing w:before="240" w:after="240" w:line="360" w:lineRule="auto"/>
        <w:jc w:val="both"/>
        <w:rPr>
          <w:rFonts w:ascii="Palatino Linotype" w:hAnsi="Palatino Linotype"/>
          <w:szCs w:val="17"/>
          <w:lang w:eastAsia="es-ES_tradnl"/>
        </w:rPr>
      </w:pPr>
      <w:r>
        <w:rPr>
          <w:rFonts w:ascii="Palatino Linotype" w:hAnsi="Palatino Linotype" w:cs="Arial"/>
          <w:b/>
          <w:bCs/>
          <w:sz w:val="28"/>
          <w:lang w:eastAsia="es-MX"/>
        </w:rPr>
        <w:t>CUARTO.</w:t>
      </w:r>
      <w:r>
        <w:rPr>
          <w:rFonts w:ascii="Palatino Linotype" w:hAnsi="Palatino Linotype"/>
          <w:b/>
          <w:szCs w:val="17"/>
          <w:lang w:eastAsia="es-ES_tradnl"/>
        </w:rPr>
        <w:t xml:space="preserve"> </w:t>
      </w:r>
      <w:r>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Pr>
          <w:rFonts w:ascii="Palatino Linotype" w:hAnsi="Palatino Linotype"/>
          <w:b/>
          <w:szCs w:val="17"/>
          <w:lang w:eastAsia="es-ES_tradnl"/>
        </w:rPr>
        <w:t>SUJETO OBLIGADO</w:t>
      </w:r>
      <w:r>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5A586476" w14:textId="77777777" w:rsidR="00A95101" w:rsidRDefault="00A95101" w:rsidP="00A95101">
      <w:pPr>
        <w:widowControl w:val="0"/>
        <w:tabs>
          <w:tab w:val="left" w:pos="1560"/>
        </w:tabs>
        <w:autoSpaceDE w:val="0"/>
        <w:autoSpaceDN w:val="0"/>
        <w:adjustRightInd w:val="0"/>
        <w:spacing w:before="240" w:after="240" w:line="360" w:lineRule="auto"/>
        <w:jc w:val="both"/>
        <w:rPr>
          <w:rFonts w:ascii="Palatino Linotype" w:hAnsi="Palatino Linotype"/>
          <w:szCs w:val="17"/>
          <w:lang w:eastAsia="es-ES_tradnl"/>
        </w:rPr>
      </w:pPr>
      <w:r>
        <w:rPr>
          <w:rFonts w:ascii="Palatino Linotype" w:hAnsi="Palatino Linotype" w:cs="Arial"/>
          <w:b/>
          <w:bCs/>
          <w:sz w:val="28"/>
          <w:lang w:eastAsia="es-MX"/>
        </w:rPr>
        <w:t>QUINTO.</w:t>
      </w:r>
      <w:r>
        <w:rPr>
          <w:rFonts w:ascii="Palatino Linotype" w:hAnsi="Palatino Linotype"/>
          <w:szCs w:val="17"/>
          <w:lang w:eastAsia="es-ES_tradnl"/>
        </w:rPr>
        <w:t xml:space="preserve"> </w:t>
      </w:r>
      <w:r>
        <w:rPr>
          <w:rFonts w:ascii="Palatino Linotype" w:hAnsi="Palatino Linotype"/>
          <w:b/>
          <w:szCs w:val="17"/>
          <w:lang w:eastAsia="es-ES_tradnl"/>
        </w:rPr>
        <w:t>Notifíquese</w:t>
      </w:r>
      <w:r>
        <w:rPr>
          <w:rFonts w:ascii="Palatino Linotype" w:hAnsi="Palatino Linotype"/>
          <w:szCs w:val="17"/>
          <w:lang w:eastAsia="es-ES_tradnl"/>
        </w:rPr>
        <w:t xml:space="preserve"> al </w:t>
      </w:r>
      <w:r>
        <w:rPr>
          <w:rFonts w:ascii="Palatino Linotype" w:hAnsi="Palatino Linotype"/>
          <w:b/>
        </w:rPr>
        <w:t>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14:paraId="0C12D9CA" w14:textId="77777777" w:rsidR="00A95101" w:rsidRDefault="00A95101" w:rsidP="00A95101">
      <w:pPr>
        <w:widowControl w:val="0"/>
        <w:tabs>
          <w:tab w:val="left" w:pos="1276"/>
        </w:tabs>
        <w:autoSpaceDE w:val="0"/>
        <w:autoSpaceDN w:val="0"/>
        <w:adjustRightInd w:val="0"/>
        <w:spacing w:before="240" w:after="240" w:line="360" w:lineRule="auto"/>
        <w:ind w:right="49"/>
        <w:jc w:val="both"/>
        <w:rPr>
          <w:rFonts w:ascii="Palatino Linotype" w:hAnsi="Palatino Linotype"/>
          <w:szCs w:val="17"/>
          <w:lang w:eastAsia="es-ES_tradnl"/>
        </w:rPr>
      </w:pPr>
      <w:r>
        <w:rPr>
          <w:rFonts w:ascii="Palatino Linotype" w:hAnsi="Palatino Linotype" w:cs="Arial"/>
          <w:b/>
          <w:bCs/>
          <w:sz w:val="28"/>
          <w:lang w:eastAsia="es-MX"/>
        </w:rPr>
        <w:t>SEXTO.</w:t>
      </w:r>
      <w:r>
        <w:rPr>
          <w:rFonts w:ascii="Palatino Linotype" w:hAnsi="Palatino Linotype"/>
          <w:szCs w:val="17"/>
          <w:lang w:eastAsia="es-ES_tradnl"/>
        </w:rPr>
        <w:t xml:space="preserve"> </w:t>
      </w: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14:paraId="4A39C278" w14:textId="77777777" w:rsidR="00A95101" w:rsidRDefault="00A95101" w:rsidP="00A95101">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Pr>
          <w:rFonts w:ascii="Palatino Linotype" w:hAnsi="Palatino Linotype" w:cs="Arial"/>
          <w:b/>
          <w:bCs/>
          <w:sz w:val="28"/>
          <w:lang w:eastAsia="es-MX"/>
        </w:rPr>
        <w:t>SÉPTIMO.</w:t>
      </w:r>
      <w:r>
        <w:rPr>
          <w:rFonts w:ascii="Palatino Linotype" w:hAnsi="Palatino Linotype"/>
          <w:szCs w:val="17"/>
          <w:lang w:eastAsia="es-ES_tradnl"/>
        </w:rPr>
        <w:t xml:space="preserve"> </w:t>
      </w:r>
      <w:r>
        <w:rPr>
          <w:rFonts w:ascii="Palatino Linotype" w:hAnsi="Palatino Linotype"/>
          <w:b/>
          <w:szCs w:val="17"/>
          <w:lang w:eastAsia="es-ES_tradnl"/>
        </w:rPr>
        <w:t xml:space="preserve">Hágase del conocimiento </w:t>
      </w:r>
      <w:r>
        <w:rPr>
          <w:rFonts w:ascii="Palatino Linotype" w:hAnsi="Palatino Linotype"/>
          <w:szCs w:val="17"/>
          <w:lang w:eastAsia="es-ES_tradnl"/>
        </w:rPr>
        <w:t xml:space="preserve">del </w:t>
      </w:r>
      <w:r>
        <w:rPr>
          <w:rFonts w:ascii="Palatino Linotype" w:hAnsi="Palatino Linotype"/>
          <w:b/>
          <w:szCs w:val="17"/>
          <w:lang w:eastAsia="es-ES_tradnl"/>
        </w:rPr>
        <w:t xml:space="preserve">RECURRENTE </w:t>
      </w:r>
      <w:r>
        <w:rPr>
          <w:rFonts w:ascii="Palatino Linotype" w:hAnsi="Palatino Linotype"/>
          <w:szCs w:val="17"/>
          <w:lang w:eastAsia="es-ES_tradnl"/>
        </w:rPr>
        <w:t xml:space="preserve">que la respuesta que dé </w:t>
      </w:r>
      <w:r>
        <w:rPr>
          <w:rFonts w:ascii="Palatino Linotype" w:hAnsi="Palatino Linotype"/>
          <w:b/>
          <w:szCs w:val="17"/>
          <w:lang w:eastAsia="es-ES_tradnl"/>
        </w:rPr>
        <w:lastRenderedPageBreak/>
        <w:t>EL SUJETO OBLIGADO</w:t>
      </w:r>
      <w:r>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Pr>
          <w:rFonts w:ascii="Palatino Linotype" w:hAnsi="Palatino Linotype"/>
          <w:lang w:eastAsia="es-MX"/>
        </w:rPr>
        <w:t>de Transparencia y Acceso a la Información Pública del Estado de México y Municipios.</w:t>
      </w:r>
    </w:p>
    <w:p w14:paraId="24E65641" w14:textId="77777777" w:rsidR="00A95101" w:rsidRDefault="00A95101" w:rsidP="00A95101">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Pr>
          <w:rFonts w:ascii="Palatino Linotype" w:hAnsi="Palatino Linotype" w:cs="Arial"/>
          <w:b/>
          <w:bCs/>
          <w:sz w:val="28"/>
          <w:lang w:eastAsia="es-MX"/>
        </w:rPr>
        <w:t>OCTAVO</w:t>
      </w:r>
      <w:r>
        <w:rPr>
          <w:rFonts w:ascii="Palatino Linotype" w:eastAsia="Calibri" w:hAnsi="Palatino Linotype" w:cs="Arial"/>
          <w:b/>
          <w:bCs/>
        </w:rPr>
        <w:t xml:space="preserve">. </w:t>
      </w:r>
      <w:r>
        <w:rPr>
          <w:rFonts w:ascii="Palatino Linotype" w:hAnsi="Palatino Linotype"/>
          <w:b/>
          <w:szCs w:val="17"/>
          <w:lang w:eastAsia="es-ES_tradnl"/>
        </w:rPr>
        <w:t xml:space="preserve">Gírese oficio </w:t>
      </w:r>
      <w:r>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hAnsi="Palatino Linotype"/>
          <w:b/>
          <w:szCs w:val="17"/>
          <w:lang w:eastAsia="es-ES_tradnl"/>
        </w:rPr>
        <w:t>QUINTO</w:t>
      </w:r>
      <w:r>
        <w:rPr>
          <w:rFonts w:ascii="Palatino Linotype" w:hAnsi="Palatino Linotype"/>
          <w:szCs w:val="17"/>
          <w:lang w:eastAsia="es-ES_tradnl"/>
        </w:rPr>
        <w:t xml:space="preserve"> de la presente resolución.</w:t>
      </w:r>
    </w:p>
    <w:p w14:paraId="78E90E57" w14:textId="77777777" w:rsidR="00894AD2" w:rsidRDefault="00894AD2" w:rsidP="00A95101">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p>
    <w:p w14:paraId="7B9572E5" w14:textId="103A0094" w:rsidR="00A95101" w:rsidRDefault="00A95101" w:rsidP="00A95101">
      <w:pPr>
        <w:spacing w:line="360" w:lineRule="auto"/>
        <w:jc w:val="both"/>
        <w:rPr>
          <w:rFonts w:ascii="Palatino Linotype" w:hAnsi="Palatino Linotype" w:cs="Arial"/>
          <w:color w:val="000000" w:themeColor="text1"/>
          <w:lang w:val="es-ES"/>
        </w:rPr>
      </w:pPr>
      <w:r w:rsidRPr="001E70C8">
        <w:rPr>
          <w:rFonts w:ascii="Palatino Linotype" w:hAnsi="Palatino Linotype" w:cs="Arial"/>
          <w:color w:val="000000" w:themeColor="text1"/>
          <w:lang w:val="es-ES"/>
        </w:rPr>
        <w:t xml:space="preserve">ASÍ LO RESUELVE, POR </w:t>
      </w:r>
      <w:r w:rsidR="00894AD2">
        <w:rPr>
          <w:rFonts w:ascii="Palatino Linotype" w:hAnsi="Palatino Linotype" w:cs="Arial"/>
          <w:color w:val="000000" w:themeColor="text1"/>
          <w:lang w:val="es-ES"/>
        </w:rPr>
        <w:t>MAYORÍA</w:t>
      </w:r>
      <w:r w:rsidRPr="001E70C8">
        <w:rPr>
          <w:rFonts w:ascii="Palatino Linotype" w:hAnsi="Palatino Linotype" w:cs="Arial"/>
          <w:color w:val="000000" w:themeColor="text1"/>
          <w:lang w:val="es-ES"/>
        </w:rPr>
        <w:t xml:space="preserve"> DE VOTOS EL PLENO DEL</w:t>
      </w:r>
      <w:r w:rsidRPr="001E70C8">
        <w:rPr>
          <w:rFonts w:ascii="Palatino Linotype" w:eastAsia="Arial Unicode MS" w:hAnsi="Palatino Linotype" w:cs="Arial"/>
          <w:color w:val="000000" w:themeColor="text1"/>
          <w:lang w:val="es-ES"/>
        </w:rPr>
        <w:t xml:space="preserve"> INSTITUTO DE </w:t>
      </w:r>
      <w:r w:rsidRPr="00894AD2">
        <w:rPr>
          <w:rFonts w:ascii="Palatino Linotype" w:hAnsi="Palatino Linotype"/>
          <w:color w:val="000000" w:themeColor="text1"/>
          <w:lang w:val="es-ES" w:eastAsia="en-US"/>
        </w:rPr>
        <w:t>TRANSPARENCIA</w:t>
      </w:r>
      <w:r w:rsidRPr="00894AD2">
        <w:rPr>
          <w:rFonts w:ascii="Palatino Linotype" w:eastAsia="Arial Unicode MS" w:hAnsi="Palatino Linotype" w:cs="Arial"/>
          <w:color w:val="000000" w:themeColor="text1"/>
          <w:lang w:val="es-ES"/>
        </w:rPr>
        <w:t>, ACCESO A LA INFORMACIÓN PÚBLICA Y PROTECCIÓN DE DATOS PERSONALES DEL ESTADO DE MÉXICO Y MUNICIPIOS</w:t>
      </w:r>
      <w:r w:rsidRPr="00894AD2">
        <w:rPr>
          <w:rFonts w:ascii="Palatino Linotype" w:hAnsi="Palatino Linotype" w:cs="Arial"/>
          <w:color w:val="000000" w:themeColor="text1"/>
          <w:lang w:val="es-ES"/>
        </w:rPr>
        <w:t>, CONFORMADO POR LOS COMISIONADOS ZULEMA MARTÍNEZ SÁNCHEZ; EVA ABAID YAPUR</w:t>
      </w:r>
      <w:r w:rsidR="003A357B" w:rsidRPr="00894AD2">
        <w:rPr>
          <w:rFonts w:ascii="Palatino Linotype" w:hAnsi="Palatino Linotype" w:cs="Arial"/>
          <w:color w:val="000000" w:themeColor="text1"/>
          <w:lang w:val="es-ES"/>
        </w:rPr>
        <w:t xml:space="preserve"> (AUSENCIA JUSTIFICADA)</w:t>
      </w:r>
      <w:r w:rsidRPr="00894AD2">
        <w:rPr>
          <w:rFonts w:ascii="Palatino Linotype" w:hAnsi="Palatino Linotype" w:cs="Arial"/>
          <w:color w:val="000000" w:themeColor="text1"/>
          <w:lang w:val="es-ES"/>
        </w:rPr>
        <w:t xml:space="preserve">; JOSÉ GUADALUPE LUNA HERNÁNDEZ, JAVIER MARTÍNEZ CRUZ </w:t>
      </w:r>
      <w:r w:rsidR="00894AD2">
        <w:rPr>
          <w:rFonts w:ascii="Palatino Linotype" w:hAnsi="Palatino Linotype" w:cs="Arial"/>
        </w:rPr>
        <w:t xml:space="preserve">(VOTO EN CONTRA CON VOTO DISIDENTE) </w:t>
      </w:r>
      <w:r w:rsidRPr="00894AD2">
        <w:rPr>
          <w:rFonts w:ascii="Palatino Linotype" w:hAnsi="Palatino Linotype" w:cs="Arial"/>
          <w:color w:val="000000" w:themeColor="text1"/>
          <w:lang w:val="es-ES"/>
        </w:rPr>
        <w:t xml:space="preserve">Y LUIS GUSTAVO PARRA NORIEGA; </w:t>
      </w:r>
      <w:r w:rsidRPr="00894AD2">
        <w:rPr>
          <w:rFonts w:ascii="Palatino Linotype" w:hAnsi="Palatino Linotype" w:cs="Arial"/>
          <w:color w:val="000000" w:themeColor="text1"/>
          <w:shd w:val="clear" w:color="auto" w:fill="FFFFFF" w:themeFill="background1"/>
          <w:lang w:val="es-ES"/>
        </w:rPr>
        <w:t xml:space="preserve">EN LA DÉCIMA </w:t>
      </w:r>
      <w:r w:rsidR="00E20A5C" w:rsidRPr="00894AD2">
        <w:rPr>
          <w:rFonts w:ascii="Palatino Linotype" w:hAnsi="Palatino Linotype" w:cs="Arial"/>
          <w:color w:val="000000" w:themeColor="text1"/>
          <w:shd w:val="clear" w:color="auto" w:fill="FFFFFF" w:themeFill="background1"/>
          <w:lang w:val="es-ES"/>
        </w:rPr>
        <w:t>TERCERA</w:t>
      </w:r>
      <w:r w:rsidRPr="00894AD2">
        <w:rPr>
          <w:rFonts w:ascii="Palatino Linotype" w:hAnsi="Palatino Linotype" w:cs="Arial"/>
          <w:color w:val="000000" w:themeColor="text1"/>
          <w:shd w:val="clear" w:color="auto" w:fill="FFFFFF" w:themeFill="background1"/>
          <w:lang w:val="es-ES"/>
        </w:rPr>
        <w:t xml:space="preserve"> </w:t>
      </w:r>
      <w:r w:rsidRPr="00894AD2">
        <w:rPr>
          <w:rFonts w:ascii="Palatino Linotype" w:hAnsi="Palatino Linotype" w:cs="Arial"/>
          <w:color w:val="000000" w:themeColor="text1"/>
          <w:lang w:val="es-ES"/>
        </w:rPr>
        <w:t xml:space="preserve">SESIÓN ORDINARIA CELEBRADA EL </w:t>
      </w:r>
      <w:r w:rsidR="00E20A5C" w:rsidRPr="00894AD2">
        <w:rPr>
          <w:rFonts w:ascii="Palatino Linotype" w:hAnsi="Palatino Linotype" w:cs="Arial"/>
          <w:color w:val="000000" w:themeColor="text1"/>
          <w:lang w:val="es-ES"/>
        </w:rPr>
        <w:t>VEINTIUNO</w:t>
      </w:r>
      <w:r w:rsidRPr="00894AD2">
        <w:rPr>
          <w:rFonts w:ascii="Palatino Linotype" w:hAnsi="Palatino Linotype" w:cs="Arial"/>
          <w:color w:val="000000" w:themeColor="text1"/>
          <w:lang w:val="es-ES"/>
        </w:rPr>
        <w:t xml:space="preserve"> DE ABRIL DE DOS MIL VEINTIUNO, ANTE EL SECRETARIO TÉCNICO DEL PLENO, </w:t>
      </w:r>
      <w:r w:rsidRPr="00894AD2">
        <w:rPr>
          <w:rFonts w:ascii="Palatino Linotype" w:eastAsia="Arial Unicode MS" w:hAnsi="Palatino Linotype" w:cs="Arial"/>
          <w:color w:val="000000" w:themeColor="text1"/>
          <w:lang w:val="es-ES"/>
        </w:rPr>
        <w:t>ALEXIS</w:t>
      </w:r>
      <w:r w:rsidRPr="00894AD2">
        <w:rPr>
          <w:rFonts w:ascii="Palatino Linotype" w:hAnsi="Palatino Linotype" w:cs="Arial"/>
          <w:color w:val="000000" w:themeColor="text1"/>
          <w:lang w:val="es-ES"/>
        </w:rPr>
        <w:t xml:space="preserve"> TAPIA RAMÍREZ.</w:t>
      </w:r>
    </w:p>
    <w:p w14:paraId="61C16322" w14:textId="77777777" w:rsidR="00457335" w:rsidRDefault="00457335">
      <w:pPr>
        <w:rPr>
          <w:rFonts w:ascii="Palatino Linotype" w:hAnsi="Palatino Linotype" w:cs="Arial"/>
        </w:rPr>
      </w:pPr>
      <w:r>
        <w:rPr>
          <w:rFonts w:ascii="Palatino Linotype" w:hAnsi="Palatino Linotype" w:cs="Arial"/>
        </w:rPr>
        <w:br w:type="page"/>
      </w:r>
    </w:p>
    <w:p w14:paraId="6E7CF621" w14:textId="77777777" w:rsidR="00915A5E" w:rsidRPr="00B61F69" w:rsidRDefault="00915A5E" w:rsidP="006D79EC">
      <w:pPr>
        <w:pStyle w:val="Prrafodelista"/>
        <w:autoSpaceDE w:val="0"/>
        <w:autoSpaceDN w:val="0"/>
        <w:adjustRightInd w:val="0"/>
        <w:ind w:left="0" w:right="49"/>
        <w:jc w:val="both"/>
        <w:rPr>
          <w:rFonts w:ascii="Palatino Linotype" w:hAnsi="Palatino Linotype" w:cs="Arial"/>
        </w:rPr>
      </w:pPr>
    </w:p>
    <w:sectPr w:rsidR="00915A5E" w:rsidRPr="00B61F6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42233" w14:textId="77777777" w:rsidR="00F85A26" w:rsidRDefault="00F85A26" w:rsidP="00C80F8C">
      <w:r>
        <w:separator/>
      </w:r>
    </w:p>
  </w:endnote>
  <w:endnote w:type="continuationSeparator" w:id="0">
    <w:p w14:paraId="3D2F3644" w14:textId="77777777" w:rsidR="00F85A26" w:rsidRDefault="00F85A2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15A5E" w:rsidRPr="0010196A" w:rsidRDefault="00915A5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630CF">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630CF">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15A5E" w:rsidRPr="0010196A" w:rsidRDefault="00915A5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630C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630CF">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B7414" w14:textId="77777777" w:rsidR="00F85A26" w:rsidRDefault="00F85A26" w:rsidP="00C80F8C">
      <w:r>
        <w:separator/>
      </w:r>
    </w:p>
  </w:footnote>
  <w:footnote w:type="continuationSeparator" w:id="0">
    <w:p w14:paraId="2C731B60" w14:textId="77777777" w:rsidR="00F85A26" w:rsidRDefault="00F85A26" w:rsidP="00C80F8C">
      <w:r>
        <w:continuationSeparator/>
      </w:r>
    </w:p>
  </w:footnote>
  <w:footnote w:id="1">
    <w:p w14:paraId="3387BB3A" w14:textId="77777777" w:rsidR="00A95101" w:rsidRDefault="00A95101" w:rsidP="00A95101">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9268213" w14:textId="77777777" w:rsidR="00A95101" w:rsidRDefault="00A95101" w:rsidP="00A95101">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15A5E" w:rsidRDefault="00F85A2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15A5E" w:rsidRPr="0010196A" w:rsidRDefault="00F85A2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915A5E" w:rsidRPr="008F2CCC" w14:paraId="1F097D8A" w14:textId="77777777" w:rsidTr="00953C53">
      <w:tc>
        <w:tcPr>
          <w:tcW w:w="3686" w:type="dxa"/>
          <w:vMerge w:val="restart"/>
        </w:tcPr>
        <w:p w14:paraId="1F780A0C" w14:textId="1EFF25F4" w:rsidR="00915A5E" w:rsidRPr="008F2CCC" w:rsidRDefault="00915A5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915A5E" w:rsidRPr="00664658" w:rsidRDefault="00915A5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96" w:type="dxa"/>
          <w:shd w:val="clear" w:color="auto" w:fill="auto"/>
          <w:vAlign w:val="center"/>
        </w:tcPr>
        <w:p w14:paraId="65AFA994" w14:textId="02C3CF2F" w:rsidR="00915A5E" w:rsidRPr="00664658" w:rsidRDefault="00641A03" w:rsidP="00953C53">
          <w:pPr>
            <w:jc w:val="both"/>
            <w:rPr>
              <w:rFonts w:ascii="Palatino Linotype" w:hAnsi="Palatino Linotype"/>
              <w:b/>
              <w:sz w:val="22"/>
              <w:szCs w:val="22"/>
              <w:lang w:val="es-ES_tradnl"/>
            </w:rPr>
          </w:pPr>
          <w:r>
            <w:rPr>
              <w:rFonts w:ascii="Palatino Linotype" w:hAnsi="Palatino Linotype"/>
              <w:b/>
              <w:sz w:val="22"/>
              <w:szCs w:val="22"/>
              <w:lang w:val="es-ES_tradnl"/>
            </w:rPr>
            <w:t>0</w:t>
          </w:r>
          <w:r w:rsidR="00953C53">
            <w:rPr>
              <w:rFonts w:ascii="Palatino Linotype" w:hAnsi="Palatino Linotype"/>
              <w:b/>
              <w:sz w:val="22"/>
              <w:szCs w:val="22"/>
              <w:lang w:val="es-ES_tradnl"/>
            </w:rPr>
            <w:t>1377</w:t>
          </w:r>
          <w:r>
            <w:rPr>
              <w:rFonts w:ascii="Palatino Linotype" w:hAnsi="Palatino Linotype"/>
              <w:b/>
              <w:sz w:val="22"/>
              <w:szCs w:val="22"/>
              <w:lang w:val="es-ES_tradnl"/>
            </w:rPr>
            <w:t>/INFOEM/IP/RR/2021</w:t>
          </w:r>
        </w:p>
      </w:tc>
    </w:tr>
    <w:tr w:rsidR="00915A5E" w:rsidRPr="008F2CCC" w14:paraId="049677A3" w14:textId="77777777" w:rsidTr="00953C53">
      <w:tc>
        <w:tcPr>
          <w:tcW w:w="3686" w:type="dxa"/>
          <w:vMerge/>
        </w:tcPr>
        <w:p w14:paraId="4A21EAC1" w14:textId="5C1F145E" w:rsidR="00915A5E" w:rsidRPr="008F2CCC" w:rsidRDefault="00915A5E" w:rsidP="00D41D47">
          <w:pPr>
            <w:rPr>
              <w:rFonts w:ascii="Palatino Linotype" w:hAnsi="Palatino Linotype"/>
              <w:b/>
              <w:sz w:val="22"/>
              <w:szCs w:val="22"/>
              <w:lang w:val="es-ES_tradnl"/>
            </w:rPr>
          </w:pPr>
        </w:p>
      </w:tc>
      <w:tc>
        <w:tcPr>
          <w:tcW w:w="2552" w:type="dxa"/>
          <w:shd w:val="clear" w:color="auto" w:fill="auto"/>
        </w:tcPr>
        <w:p w14:paraId="1237BCDE" w14:textId="77777777" w:rsidR="00915A5E" w:rsidRPr="00664658" w:rsidRDefault="00915A5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1B519DE3" w:rsidR="00915A5E" w:rsidRPr="00D41D47" w:rsidRDefault="00953C53" w:rsidP="0065247F">
          <w:pPr>
            <w:jc w:val="both"/>
            <w:rPr>
              <w:rFonts w:ascii="Palatino Linotype" w:hAnsi="Palatino Linotype"/>
              <w:b/>
              <w:sz w:val="22"/>
              <w:szCs w:val="22"/>
              <w:lang w:val="es-ES_tradnl"/>
            </w:rPr>
          </w:pPr>
          <w:r>
            <w:rPr>
              <w:rFonts w:ascii="Palatino Linotype" w:hAnsi="Palatino Linotype"/>
              <w:b/>
              <w:sz w:val="22"/>
              <w:szCs w:val="22"/>
              <w:lang w:val="es-ES_tradnl"/>
            </w:rPr>
            <w:t>Ayuntamiento de Teoloyucan</w:t>
          </w:r>
        </w:p>
      </w:tc>
    </w:tr>
    <w:tr w:rsidR="00915A5E" w:rsidRPr="008F2CCC" w14:paraId="72CD087D" w14:textId="77777777" w:rsidTr="00953C53">
      <w:trPr>
        <w:trHeight w:val="228"/>
      </w:trPr>
      <w:tc>
        <w:tcPr>
          <w:tcW w:w="3686" w:type="dxa"/>
          <w:vMerge/>
        </w:tcPr>
        <w:p w14:paraId="1B78656F" w14:textId="01E6F6F6" w:rsidR="00915A5E" w:rsidRPr="008F2CCC" w:rsidRDefault="00915A5E" w:rsidP="00070856">
          <w:pPr>
            <w:rPr>
              <w:rFonts w:ascii="Palatino Linotype" w:hAnsi="Palatino Linotype"/>
              <w:b/>
              <w:sz w:val="22"/>
              <w:szCs w:val="22"/>
              <w:lang w:val="es-ES_tradnl"/>
            </w:rPr>
          </w:pPr>
        </w:p>
      </w:tc>
      <w:tc>
        <w:tcPr>
          <w:tcW w:w="2552" w:type="dxa"/>
          <w:shd w:val="clear" w:color="auto" w:fill="auto"/>
        </w:tcPr>
        <w:p w14:paraId="74D81628" w14:textId="77777777" w:rsidR="00915A5E" w:rsidRPr="00664658" w:rsidRDefault="00915A5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96" w:type="dxa"/>
          <w:shd w:val="clear" w:color="auto" w:fill="auto"/>
        </w:tcPr>
        <w:p w14:paraId="20D6FDA3" w14:textId="582000C6" w:rsidR="00915A5E" w:rsidRPr="00664658" w:rsidRDefault="003A357B" w:rsidP="00070856">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3ECB9F0B" w14:textId="77777777" w:rsidR="00915A5E" w:rsidRPr="0010196A" w:rsidRDefault="00915A5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15A5E" w:rsidRPr="0010196A" w:rsidRDefault="00915A5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678"/>
      <w:gridCol w:w="2552"/>
      <w:gridCol w:w="3260"/>
    </w:tblGrid>
    <w:tr w:rsidR="00915A5E" w:rsidRPr="008F2CCC" w14:paraId="6ABABA57" w14:textId="77777777" w:rsidTr="00953C53">
      <w:tc>
        <w:tcPr>
          <w:tcW w:w="4678" w:type="dxa"/>
          <w:vMerge w:val="restart"/>
          <w:shd w:val="clear" w:color="auto" w:fill="auto"/>
        </w:tcPr>
        <w:p w14:paraId="6AA376CC" w14:textId="1E62217E" w:rsidR="00915A5E" w:rsidRPr="008F2CCC" w:rsidRDefault="00915A5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5D031D7E" w:rsidR="00915A5E" w:rsidRPr="008F2CCC" w:rsidRDefault="00CC3370" w:rsidP="00953C53">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sidR="00953C53">
            <w:rPr>
              <w:rFonts w:ascii="Palatino Linotype" w:hAnsi="Palatino Linotype"/>
              <w:b/>
              <w:sz w:val="22"/>
              <w:szCs w:val="22"/>
              <w:lang w:val="es-ES_tradnl"/>
            </w:rPr>
            <w:t>1377</w:t>
          </w:r>
          <w:r w:rsidRPr="00CC3370">
            <w:rPr>
              <w:rFonts w:ascii="Palatino Linotype" w:hAnsi="Palatino Linotype"/>
              <w:b/>
              <w:sz w:val="22"/>
              <w:szCs w:val="22"/>
              <w:lang w:val="es-ES_tradnl"/>
            </w:rPr>
            <w:t>/INFOEM/IP/RR/2021</w:t>
          </w:r>
        </w:p>
      </w:tc>
    </w:tr>
    <w:tr w:rsidR="00915A5E" w:rsidRPr="008F2CCC" w14:paraId="3B45FB53" w14:textId="77777777" w:rsidTr="00953C53">
      <w:tc>
        <w:tcPr>
          <w:tcW w:w="4678" w:type="dxa"/>
          <w:vMerge/>
          <w:shd w:val="clear" w:color="auto" w:fill="auto"/>
        </w:tcPr>
        <w:p w14:paraId="188B82EF" w14:textId="77777777" w:rsidR="00915A5E" w:rsidRPr="008F2CCC" w:rsidRDefault="00915A5E" w:rsidP="00A2780F">
          <w:pPr>
            <w:rPr>
              <w:rFonts w:ascii="Palatino Linotype" w:hAnsi="Palatino Linotype"/>
              <w:b/>
              <w:sz w:val="22"/>
              <w:szCs w:val="22"/>
              <w:lang w:val="es-ES_tradnl"/>
            </w:rPr>
          </w:pPr>
        </w:p>
      </w:tc>
      <w:tc>
        <w:tcPr>
          <w:tcW w:w="2552" w:type="dxa"/>
          <w:shd w:val="clear" w:color="auto" w:fill="auto"/>
        </w:tcPr>
        <w:p w14:paraId="3B2AD0CF" w14:textId="77777777" w:rsidR="00915A5E" w:rsidRPr="008F2CCC" w:rsidRDefault="00915A5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5A27E086" w:rsidR="00915A5E" w:rsidRPr="008F2CCC" w:rsidRDefault="00E630CF"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w:t>
          </w:r>
        </w:p>
      </w:tc>
    </w:tr>
    <w:tr w:rsidR="00915A5E" w:rsidRPr="008F2CCC" w14:paraId="28A493EB" w14:textId="77777777" w:rsidTr="00953C53">
      <w:trPr>
        <w:trHeight w:val="228"/>
      </w:trPr>
      <w:tc>
        <w:tcPr>
          <w:tcW w:w="4678" w:type="dxa"/>
          <w:vMerge/>
          <w:shd w:val="clear" w:color="auto" w:fill="auto"/>
        </w:tcPr>
        <w:p w14:paraId="06C77D31" w14:textId="77777777" w:rsidR="00915A5E" w:rsidRPr="008F2CCC" w:rsidRDefault="00915A5E" w:rsidP="00E37C88">
          <w:pPr>
            <w:rPr>
              <w:rFonts w:ascii="Palatino Linotype" w:hAnsi="Palatino Linotype"/>
              <w:b/>
              <w:sz w:val="22"/>
              <w:szCs w:val="22"/>
              <w:lang w:val="es-ES_tradnl"/>
            </w:rPr>
          </w:pPr>
        </w:p>
      </w:tc>
      <w:tc>
        <w:tcPr>
          <w:tcW w:w="2552" w:type="dxa"/>
          <w:shd w:val="clear" w:color="auto" w:fill="auto"/>
        </w:tcPr>
        <w:p w14:paraId="2E1A72B4"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14F1A5CE" w:rsidR="00915A5E" w:rsidRPr="00DC41C8" w:rsidRDefault="00953C53" w:rsidP="00953C53">
          <w:pPr>
            <w:jc w:val="both"/>
            <w:rPr>
              <w:rFonts w:ascii="Palatino Linotype" w:hAnsi="Palatino Linotype"/>
              <w:b/>
              <w:sz w:val="22"/>
              <w:szCs w:val="22"/>
            </w:rPr>
          </w:pPr>
          <w:r>
            <w:rPr>
              <w:rFonts w:ascii="Palatino Linotype" w:hAnsi="Palatino Linotype"/>
              <w:b/>
              <w:sz w:val="22"/>
              <w:szCs w:val="22"/>
              <w:lang w:val="es-ES_tradnl"/>
            </w:rPr>
            <w:t xml:space="preserve">Ayuntamiento de Teoloyucan </w:t>
          </w:r>
        </w:p>
      </w:tc>
    </w:tr>
    <w:tr w:rsidR="00915A5E" w:rsidRPr="008F2CCC" w14:paraId="0F114FF0" w14:textId="77777777" w:rsidTr="00953C53">
      <w:tc>
        <w:tcPr>
          <w:tcW w:w="4678" w:type="dxa"/>
          <w:vMerge/>
          <w:shd w:val="clear" w:color="auto" w:fill="auto"/>
        </w:tcPr>
        <w:p w14:paraId="4CCB64BA" w14:textId="77777777" w:rsidR="00915A5E" w:rsidRPr="008F2CCC" w:rsidRDefault="00915A5E" w:rsidP="00A2780F">
          <w:pPr>
            <w:rPr>
              <w:rFonts w:ascii="Palatino Linotype" w:hAnsi="Palatino Linotype"/>
              <w:b/>
              <w:sz w:val="22"/>
              <w:szCs w:val="22"/>
              <w:lang w:val="es-ES_tradnl"/>
            </w:rPr>
          </w:pPr>
        </w:p>
      </w:tc>
      <w:tc>
        <w:tcPr>
          <w:tcW w:w="2552" w:type="dxa"/>
          <w:shd w:val="clear" w:color="auto" w:fill="auto"/>
        </w:tcPr>
        <w:p w14:paraId="31E422EA" w14:textId="77777777" w:rsidR="00915A5E" w:rsidRPr="008F2CCC" w:rsidRDefault="00915A5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181C41B4" w14:textId="72AA4669" w:rsidR="00915A5E" w:rsidRPr="008F2CCC" w:rsidRDefault="003A357B" w:rsidP="003C718E">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263470D9" w14:textId="35AB92B3" w:rsidR="00915A5E" w:rsidRPr="0010196A" w:rsidRDefault="00F85A2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20"/>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6"/>
  </w:num>
  <w:num w:numId="12">
    <w:abstractNumId w:val="0"/>
  </w:num>
  <w:num w:numId="13">
    <w:abstractNumId w:val="27"/>
  </w:num>
  <w:num w:numId="14">
    <w:abstractNumId w:val="2"/>
  </w:num>
  <w:num w:numId="15">
    <w:abstractNumId w:val="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4"/>
  </w:num>
  <w:num w:numId="20">
    <w:abstractNumId w:val="19"/>
  </w:num>
  <w:num w:numId="21">
    <w:abstractNumId w:val="17"/>
  </w:num>
  <w:num w:numId="22">
    <w:abstractNumId w:val="22"/>
  </w:num>
  <w:num w:numId="23">
    <w:abstractNumId w:val="25"/>
  </w:num>
  <w:num w:numId="24">
    <w:abstractNumId w:val="23"/>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8"/>
  </w:num>
  <w:num w:numId="29">
    <w:abstractNumId w:val="13"/>
  </w:num>
  <w:num w:numId="30">
    <w:abstractNumId w:val="26"/>
  </w:num>
  <w:num w:numId="31">
    <w:abstractNumId w:val="7"/>
  </w:num>
  <w:num w:numId="32">
    <w:abstractNumId w:val="1"/>
  </w:num>
  <w:num w:numId="3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6D"/>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4C3"/>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E9"/>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3B7"/>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1AAA"/>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57B"/>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9C4"/>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38C6"/>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205"/>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9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AD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3C53"/>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C6E"/>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BC"/>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16"/>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45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50D"/>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A5C"/>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0CF"/>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9AA"/>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A26"/>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68C"/>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22A4EAF5-6B8F-42E5-940B-4247F642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0A4AD-F60E-45FC-AEE3-D6269A38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7936</Words>
  <Characters>43648</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2020-01-22T19:55:00Z</cp:lastPrinted>
  <dcterms:created xsi:type="dcterms:W3CDTF">2021-04-16T21:15:00Z</dcterms:created>
  <dcterms:modified xsi:type="dcterms:W3CDTF">2021-05-12T19:50:00Z</dcterms:modified>
</cp:coreProperties>
</file>