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F77C08" w14:textId="57CA3A97" w:rsidR="00091682" w:rsidRDefault="00091682" w:rsidP="00091682">
      <w:pPr>
        <w:spacing w:before="240" w:after="240" w:line="360" w:lineRule="auto"/>
        <w:jc w:val="both"/>
        <w:rPr>
          <w:rFonts w:ascii="Palatino Linotype" w:hAnsi="Palatino Linotype"/>
        </w:rPr>
      </w:pPr>
      <w:r w:rsidRPr="00A4521A">
        <w:rPr>
          <w:rFonts w:ascii="Palatino Linotype" w:hAnsi="Palatino Linotype"/>
        </w:rPr>
        <w:t xml:space="preserve">Resolución del Pleno del Instituto de Transparencia, Acceso a la Información Pública y Protección de Datos Personales del Estado de México y Municipios, con domicilio en </w:t>
      </w:r>
      <w:r w:rsidR="00BA1316">
        <w:rPr>
          <w:rFonts w:ascii="Palatino Linotype" w:hAnsi="Palatino Linotype"/>
        </w:rPr>
        <w:t xml:space="preserve">Metepec, Estado de México, de fecha </w:t>
      </w:r>
      <w:r w:rsidR="00CE5945">
        <w:rPr>
          <w:rFonts w:ascii="Palatino Linotype" w:hAnsi="Palatino Linotype"/>
          <w:b/>
        </w:rPr>
        <w:t xml:space="preserve">ocho </w:t>
      </w:r>
      <w:r w:rsidR="00E40FF0">
        <w:rPr>
          <w:rFonts w:ascii="Palatino Linotype" w:hAnsi="Palatino Linotype"/>
          <w:b/>
        </w:rPr>
        <w:t>de dic</w:t>
      </w:r>
      <w:r w:rsidR="00BA0EBC">
        <w:rPr>
          <w:rFonts w:ascii="Palatino Linotype" w:hAnsi="Palatino Linotype"/>
          <w:b/>
        </w:rPr>
        <w:t>iembre</w:t>
      </w:r>
      <w:r w:rsidR="00092DFC" w:rsidRPr="00BA1316">
        <w:rPr>
          <w:rFonts w:ascii="Palatino Linotype" w:hAnsi="Palatino Linotype"/>
          <w:b/>
        </w:rPr>
        <w:t xml:space="preserve"> </w:t>
      </w:r>
      <w:r w:rsidRPr="00BA1316">
        <w:rPr>
          <w:rFonts w:ascii="Palatino Linotype" w:hAnsi="Palatino Linotype"/>
          <w:b/>
        </w:rPr>
        <w:t>de</w:t>
      </w:r>
      <w:r w:rsidR="00686279" w:rsidRPr="00BA1316">
        <w:rPr>
          <w:rFonts w:ascii="Palatino Linotype" w:hAnsi="Palatino Linotype"/>
          <w:b/>
        </w:rPr>
        <w:t>l</w:t>
      </w:r>
      <w:r w:rsidR="003C388A" w:rsidRPr="00BA1316">
        <w:rPr>
          <w:rFonts w:ascii="Palatino Linotype" w:hAnsi="Palatino Linotype"/>
          <w:b/>
        </w:rPr>
        <w:t xml:space="preserve"> dos mil </w:t>
      </w:r>
      <w:r w:rsidR="00306C3C" w:rsidRPr="00BA1316">
        <w:rPr>
          <w:rFonts w:ascii="Palatino Linotype" w:hAnsi="Palatino Linotype"/>
          <w:b/>
        </w:rPr>
        <w:t>ve</w:t>
      </w:r>
      <w:r w:rsidR="003C388A" w:rsidRPr="00BA1316">
        <w:rPr>
          <w:rFonts w:ascii="Palatino Linotype" w:hAnsi="Palatino Linotype"/>
          <w:b/>
        </w:rPr>
        <w:t>int</w:t>
      </w:r>
      <w:r w:rsidR="00883AE3" w:rsidRPr="00BA1316">
        <w:rPr>
          <w:rFonts w:ascii="Palatino Linotype" w:hAnsi="Palatino Linotype"/>
          <w:b/>
        </w:rPr>
        <w:t>iuno</w:t>
      </w:r>
      <w:r w:rsidR="00883AE3">
        <w:rPr>
          <w:rFonts w:ascii="Palatino Linotype" w:hAnsi="Palatino Linotype"/>
        </w:rPr>
        <w:t>.</w:t>
      </w:r>
    </w:p>
    <w:p w14:paraId="7414D51E" w14:textId="66945373" w:rsidR="00B03355" w:rsidRPr="00B21F18" w:rsidRDefault="00B03355" w:rsidP="00B03355">
      <w:pPr>
        <w:spacing w:before="240" w:after="240" w:line="360" w:lineRule="auto"/>
        <w:ind w:right="49"/>
        <w:jc w:val="both"/>
        <w:rPr>
          <w:rFonts w:ascii="Palatino Linotype" w:hAnsi="Palatino Linotype" w:cs="Arial"/>
        </w:rPr>
      </w:pPr>
      <w:r>
        <w:rPr>
          <w:rFonts w:ascii="Palatino Linotype" w:hAnsi="Palatino Linotype" w:cs="Arial"/>
          <w:b/>
        </w:rPr>
        <w:t>Visto</w:t>
      </w:r>
      <w:r w:rsidR="0003297A">
        <w:rPr>
          <w:rFonts w:ascii="Palatino Linotype" w:hAnsi="Palatino Linotype" w:cs="Arial"/>
        </w:rPr>
        <w:t xml:space="preserve">s los </w:t>
      </w:r>
      <w:r w:rsidRPr="00B21F18">
        <w:rPr>
          <w:rFonts w:ascii="Palatino Linotype" w:hAnsi="Palatino Linotype" w:cs="Arial"/>
        </w:rPr>
        <w:t>expediente</w:t>
      </w:r>
      <w:r w:rsidR="0003297A">
        <w:rPr>
          <w:rFonts w:ascii="Palatino Linotype" w:hAnsi="Palatino Linotype" w:cs="Arial"/>
        </w:rPr>
        <w:t>s</w:t>
      </w:r>
      <w:r w:rsidRPr="00B21F18">
        <w:rPr>
          <w:rFonts w:ascii="Palatino Linotype" w:hAnsi="Palatino Linotype" w:cs="Arial"/>
        </w:rPr>
        <w:t xml:space="preserve"> formado</w:t>
      </w:r>
      <w:r w:rsidR="0003297A">
        <w:rPr>
          <w:rFonts w:ascii="Palatino Linotype" w:hAnsi="Palatino Linotype" w:cs="Arial"/>
        </w:rPr>
        <w:t>s con motivo de los</w:t>
      </w:r>
      <w:r w:rsidRPr="00B21F18">
        <w:rPr>
          <w:rFonts w:ascii="Palatino Linotype" w:hAnsi="Palatino Linotype" w:cs="Arial"/>
        </w:rPr>
        <w:t xml:space="preserve"> recurso</w:t>
      </w:r>
      <w:r w:rsidR="0003297A">
        <w:rPr>
          <w:rFonts w:ascii="Palatino Linotype" w:hAnsi="Palatino Linotype" w:cs="Arial"/>
        </w:rPr>
        <w:t>s</w:t>
      </w:r>
      <w:r w:rsidRPr="00B21F18">
        <w:rPr>
          <w:rFonts w:ascii="Palatino Linotype" w:hAnsi="Palatino Linotype" w:cs="Arial"/>
        </w:rPr>
        <w:t xml:space="preserve"> de revisión </w:t>
      </w:r>
      <w:r w:rsidRPr="00B21F18">
        <w:rPr>
          <w:rFonts w:ascii="Palatino Linotype" w:hAnsi="Palatino Linotype" w:cs="Arial"/>
          <w:b/>
        </w:rPr>
        <w:t>0</w:t>
      </w:r>
      <w:r w:rsidR="0003297A">
        <w:rPr>
          <w:rFonts w:ascii="Palatino Linotype" w:hAnsi="Palatino Linotype" w:cs="Arial"/>
          <w:b/>
        </w:rPr>
        <w:t>4769</w:t>
      </w:r>
      <w:r>
        <w:rPr>
          <w:rFonts w:ascii="Palatino Linotype" w:hAnsi="Palatino Linotype" w:cs="Arial"/>
          <w:b/>
        </w:rPr>
        <w:t>/INFOEM/IP/RR/2021</w:t>
      </w:r>
      <w:r w:rsidR="0003297A">
        <w:rPr>
          <w:rFonts w:ascii="Palatino Linotype" w:hAnsi="Palatino Linotype" w:cs="Arial"/>
          <w:b/>
        </w:rPr>
        <w:t xml:space="preserve"> y 04770</w:t>
      </w:r>
      <w:r w:rsidR="0003297A" w:rsidRPr="0003297A">
        <w:rPr>
          <w:rFonts w:ascii="Palatino Linotype" w:hAnsi="Palatino Linotype" w:cs="Arial"/>
          <w:b/>
        </w:rPr>
        <w:t>/INFOEM/IP/RR/2021</w:t>
      </w:r>
      <w:r w:rsidR="0003297A">
        <w:rPr>
          <w:rFonts w:ascii="Palatino Linotype" w:hAnsi="Palatino Linotype" w:cs="Arial"/>
          <w:b/>
        </w:rPr>
        <w:t xml:space="preserve"> acumulados</w:t>
      </w:r>
      <w:r w:rsidRPr="00B21F18">
        <w:rPr>
          <w:rFonts w:ascii="Palatino Linotype" w:hAnsi="Palatino Linotype" w:cs="Arial"/>
        </w:rPr>
        <w:t>, interpuesto</w:t>
      </w:r>
      <w:r w:rsidR="0003297A">
        <w:rPr>
          <w:rFonts w:ascii="Palatino Linotype" w:hAnsi="Palatino Linotype" w:cs="Arial"/>
        </w:rPr>
        <w:t>s</w:t>
      </w:r>
      <w:r w:rsidRPr="00B21F18">
        <w:rPr>
          <w:rFonts w:ascii="Palatino Linotype" w:hAnsi="Palatino Linotype" w:cs="Arial"/>
        </w:rPr>
        <w:t xml:space="preserve"> por</w:t>
      </w:r>
      <w:r w:rsidR="00071380">
        <w:rPr>
          <w:rFonts w:ascii="Palatino Linotype" w:hAnsi="Palatino Linotype" w:cs="Arial"/>
        </w:rPr>
        <w:t xml:space="preserve"> </w:t>
      </w:r>
      <w:r w:rsidR="006E7A04" w:rsidRPr="006E7A04">
        <w:rPr>
          <w:rFonts w:ascii="Palatino Linotype" w:hAnsi="Palatino Linotype" w:cs="Arial"/>
          <w:b/>
        </w:rPr>
        <w:t>XXXXX XXXXXX XXXXXXXX XXXXXX</w:t>
      </w:r>
      <w:r>
        <w:rPr>
          <w:rFonts w:ascii="Palatino Linotype" w:hAnsi="Palatino Linotype" w:cs="Arial"/>
        </w:rPr>
        <w:t>,</w:t>
      </w:r>
      <w:r w:rsidRPr="00B21F18">
        <w:rPr>
          <w:rFonts w:ascii="Palatino Linotype" w:hAnsi="Palatino Linotype" w:cs="Arial"/>
          <w:b/>
          <w:szCs w:val="22"/>
        </w:rPr>
        <w:t xml:space="preserve"> </w:t>
      </w:r>
      <w:r w:rsidRPr="00B21F18">
        <w:rPr>
          <w:rFonts w:ascii="Palatino Linotype" w:hAnsi="Palatino Linotype" w:cs="Arial"/>
        </w:rPr>
        <w:t>en lo sucesivo</w:t>
      </w:r>
      <w:r w:rsidRPr="00B21F18">
        <w:rPr>
          <w:rFonts w:ascii="Palatino Linotype" w:hAnsi="Palatino Linotype" w:cs="Arial"/>
          <w:b/>
        </w:rPr>
        <w:t xml:space="preserve"> </w:t>
      </w:r>
      <w:r w:rsidR="00071380">
        <w:rPr>
          <w:rFonts w:ascii="Palatino Linotype" w:hAnsi="Palatino Linotype" w:cs="Arial"/>
        </w:rPr>
        <w:t xml:space="preserve">el </w:t>
      </w:r>
      <w:r w:rsidR="00071380">
        <w:rPr>
          <w:rFonts w:ascii="Palatino Linotype" w:hAnsi="Palatino Linotype" w:cs="Arial"/>
          <w:b/>
          <w:bCs/>
        </w:rPr>
        <w:t>Recurrente</w:t>
      </w:r>
      <w:r w:rsidRPr="00B4549B">
        <w:rPr>
          <w:rFonts w:ascii="Palatino Linotype" w:hAnsi="Palatino Linotype" w:cs="Arial"/>
          <w:b/>
          <w:bCs/>
        </w:rPr>
        <w:t>,</w:t>
      </w:r>
      <w:r w:rsidRPr="00B21F18">
        <w:rPr>
          <w:rFonts w:ascii="Palatino Linotype" w:hAnsi="Palatino Linotype" w:cs="Arial"/>
        </w:rPr>
        <w:t xml:space="preserve"> en contra de la </w:t>
      </w:r>
      <w:r>
        <w:rPr>
          <w:rFonts w:ascii="Palatino Linotype" w:hAnsi="Palatino Linotype" w:cs="Arial"/>
        </w:rPr>
        <w:t>r</w:t>
      </w:r>
      <w:r w:rsidRPr="00B21F18">
        <w:rPr>
          <w:rFonts w:ascii="Palatino Linotype" w:hAnsi="Palatino Linotype" w:cs="Arial"/>
        </w:rPr>
        <w:t xml:space="preserve">espuesta del </w:t>
      </w:r>
      <w:r w:rsidR="0003297A">
        <w:rPr>
          <w:rFonts w:ascii="Palatino Linotype" w:hAnsi="Palatino Linotype" w:cs="Arial"/>
          <w:b/>
          <w:bCs/>
        </w:rPr>
        <w:t>Ayuntamiento de Tenancingo</w:t>
      </w:r>
      <w:r>
        <w:rPr>
          <w:rFonts w:ascii="Palatino Linotype" w:hAnsi="Palatino Linotype" w:cs="Arial"/>
          <w:b/>
          <w:bCs/>
        </w:rPr>
        <w:t>,</w:t>
      </w:r>
      <w:r w:rsidRPr="00B21F18">
        <w:rPr>
          <w:rFonts w:ascii="Palatino Linotype" w:hAnsi="Palatino Linotype" w:cs="Arial"/>
          <w:b/>
          <w:bCs/>
        </w:rPr>
        <w:t xml:space="preserve"> </w:t>
      </w:r>
      <w:r w:rsidRPr="00B21F18">
        <w:rPr>
          <w:rFonts w:ascii="Palatino Linotype" w:hAnsi="Palatino Linotype" w:cs="Arial"/>
        </w:rPr>
        <w:t xml:space="preserve">en lo sucesivo el </w:t>
      </w:r>
      <w:r w:rsidR="00071380">
        <w:rPr>
          <w:rFonts w:ascii="Palatino Linotype" w:hAnsi="Palatino Linotype" w:cs="Arial"/>
          <w:b/>
        </w:rPr>
        <w:t>Sujeto Obligado</w:t>
      </w:r>
      <w:r w:rsidRPr="00B21F18">
        <w:rPr>
          <w:rFonts w:ascii="Palatino Linotype" w:hAnsi="Palatino Linotype" w:cs="Arial"/>
          <w:b/>
        </w:rPr>
        <w:t xml:space="preserve">, </w:t>
      </w:r>
      <w:r w:rsidRPr="00B21F18">
        <w:rPr>
          <w:rFonts w:ascii="Palatino Linotype" w:hAnsi="Palatino Linotype" w:cs="Arial"/>
        </w:rPr>
        <w:t xml:space="preserve">se procede a dictar la presente resolución con base en los siguientes: </w:t>
      </w:r>
    </w:p>
    <w:p w14:paraId="5E40C846" w14:textId="77777777" w:rsidR="00B03355" w:rsidRPr="00B21F18" w:rsidRDefault="00B03355" w:rsidP="00B03355">
      <w:pPr>
        <w:spacing w:before="240" w:after="240" w:line="360" w:lineRule="auto"/>
        <w:ind w:right="49"/>
        <w:jc w:val="center"/>
        <w:rPr>
          <w:rFonts w:ascii="Palatino Linotype" w:hAnsi="Palatino Linotype" w:cs="Arial"/>
          <w:b/>
          <w:sz w:val="28"/>
          <w:szCs w:val="28"/>
        </w:rPr>
      </w:pPr>
      <w:r w:rsidRPr="00B21F18">
        <w:rPr>
          <w:rFonts w:ascii="Palatino Linotype" w:hAnsi="Palatino Linotype"/>
          <w:b/>
        </w:rPr>
        <w:t>A N T E C E D E N T E S</w:t>
      </w:r>
    </w:p>
    <w:p w14:paraId="76500051" w14:textId="2A995836" w:rsidR="00B03355" w:rsidRDefault="00B03355" w:rsidP="00B03355">
      <w:pPr>
        <w:spacing w:before="240" w:after="240" w:line="360" w:lineRule="auto"/>
        <w:ind w:right="49"/>
        <w:jc w:val="both"/>
        <w:rPr>
          <w:rFonts w:ascii="Palatino Linotype" w:hAnsi="Palatino Linotype" w:cs="Arial"/>
        </w:rPr>
      </w:pPr>
      <w:r w:rsidRPr="00071380">
        <w:rPr>
          <w:rFonts w:ascii="Palatino Linotype" w:hAnsi="Palatino Linotype" w:cs="Arial"/>
          <w:b/>
        </w:rPr>
        <w:t>1. Solicitud</w:t>
      </w:r>
      <w:r w:rsidR="0003297A">
        <w:rPr>
          <w:rFonts w:ascii="Palatino Linotype" w:hAnsi="Palatino Linotype" w:cs="Arial"/>
          <w:b/>
        </w:rPr>
        <w:t>es</w:t>
      </w:r>
      <w:r w:rsidRPr="00071380">
        <w:rPr>
          <w:rFonts w:ascii="Palatino Linotype" w:hAnsi="Palatino Linotype" w:cs="Arial"/>
          <w:b/>
        </w:rPr>
        <w:t xml:space="preserve"> de acceso a la información.</w:t>
      </w:r>
      <w:r w:rsidRPr="00071380">
        <w:rPr>
          <w:rFonts w:ascii="Palatino Linotype" w:hAnsi="Palatino Linotype" w:cs="Arial"/>
        </w:rPr>
        <w:t xml:space="preserve"> </w:t>
      </w:r>
      <w:r w:rsidRPr="00B21F18">
        <w:rPr>
          <w:rFonts w:ascii="Palatino Linotype" w:hAnsi="Palatino Linotype" w:cs="Arial"/>
        </w:rPr>
        <w:t xml:space="preserve">En fecha </w:t>
      </w:r>
      <w:r w:rsidR="0003297A">
        <w:rPr>
          <w:rFonts w:ascii="Palatino Linotype" w:hAnsi="Palatino Linotype" w:cs="Arial"/>
          <w:b/>
        </w:rPr>
        <w:t>once de agost</w:t>
      </w:r>
      <w:r w:rsidR="00071380">
        <w:rPr>
          <w:rFonts w:ascii="Palatino Linotype" w:hAnsi="Palatino Linotype" w:cs="Arial"/>
          <w:b/>
        </w:rPr>
        <w:t>o</w:t>
      </w:r>
      <w:r>
        <w:rPr>
          <w:rFonts w:ascii="Palatino Linotype" w:hAnsi="Palatino Linotype" w:cs="Arial"/>
          <w:b/>
        </w:rPr>
        <w:t xml:space="preserve"> </w:t>
      </w:r>
      <w:r w:rsidR="00071380">
        <w:rPr>
          <w:rFonts w:ascii="Palatino Linotype" w:hAnsi="Palatino Linotype" w:cs="Arial"/>
          <w:b/>
        </w:rPr>
        <w:t xml:space="preserve">de dos mil </w:t>
      </w:r>
      <w:r w:rsidRPr="00B21F18">
        <w:rPr>
          <w:rFonts w:ascii="Palatino Linotype" w:hAnsi="Palatino Linotype" w:cs="Arial"/>
          <w:b/>
        </w:rPr>
        <w:t>ve</w:t>
      </w:r>
      <w:r w:rsidR="00071380">
        <w:rPr>
          <w:rFonts w:ascii="Palatino Linotype" w:hAnsi="Palatino Linotype" w:cs="Arial"/>
          <w:b/>
        </w:rPr>
        <w:t>intiuno</w:t>
      </w:r>
      <w:r w:rsidRPr="00B21F18">
        <w:rPr>
          <w:rFonts w:ascii="Palatino Linotype" w:hAnsi="Palatino Linotype" w:cs="Arial"/>
          <w:b/>
        </w:rPr>
        <w:t xml:space="preserve">, </w:t>
      </w:r>
      <w:r w:rsidRPr="00B21F18">
        <w:rPr>
          <w:rFonts w:ascii="Palatino Linotype" w:hAnsi="Palatino Linotype" w:cs="Arial"/>
        </w:rPr>
        <w:t xml:space="preserve">el </w:t>
      </w:r>
      <w:r w:rsidR="00071380">
        <w:rPr>
          <w:rFonts w:ascii="Palatino Linotype" w:hAnsi="Palatino Linotype" w:cs="Arial"/>
          <w:b/>
        </w:rPr>
        <w:t>Recurrente</w:t>
      </w:r>
      <w:r w:rsidRPr="00B21F18">
        <w:rPr>
          <w:rFonts w:ascii="Palatino Linotype" w:hAnsi="Palatino Linotype" w:cs="Arial"/>
        </w:rPr>
        <w:t xml:space="preserve"> presentó a través del Sistema de Acceso a la Información Mexiquense, en lo subsecuente el </w:t>
      </w:r>
      <w:r w:rsidRPr="00B21F18">
        <w:rPr>
          <w:rFonts w:ascii="Palatino Linotype" w:hAnsi="Palatino Linotype" w:cs="Arial"/>
          <w:b/>
        </w:rPr>
        <w:t>SAIMEX</w:t>
      </w:r>
      <w:r w:rsidRPr="00B21F18">
        <w:rPr>
          <w:rFonts w:ascii="Palatino Linotype" w:hAnsi="Palatino Linotype" w:cs="Arial"/>
        </w:rPr>
        <w:t xml:space="preserve"> ante el </w:t>
      </w:r>
      <w:r w:rsidR="00071380">
        <w:rPr>
          <w:rFonts w:ascii="Palatino Linotype" w:hAnsi="Palatino Linotype" w:cs="Arial"/>
          <w:b/>
        </w:rPr>
        <w:t>Sujeto Obligado</w:t>
      </w:r>
      <w:r w:rsidRPr="00B21F18">
        <w:rPr>
          <w:rFonts w:ascii="Palatino Linotype" w:hAnsi="Palatino Linotype" w:cs="Arial"/>
        </w:rPr>
        <w:t>, la</w:t>
      </w:r>
      <w:r w:rsidR="003957EC">
        <w:rPr>
          <w:rFonts w:ascii="Palatino Linotype" w:hAnsi="Palatino Linotype" w:cs="Arial"/>
        </w:rPr>
        <w:t>s</w:t>
      </w:r>
      <w:r w:rsidRPr="00B21F18">
        <w:rPr>
          <w:rFonts w:ascii="Palatino Linotype" w:hAnsi="Palatino Linotype" w:cs="Arial"/>
        </w:rPr>
        <w:t xml:space="preserve"> solicitud</w:t>
      </w:r>
      <w:r w:rsidR="003957EC">
        <w:rPr>
          <w:rFonts w:ascii="Palatino Linotype" w:hAnsi="Palatino Linotype" w:cs="Arial"/>
        </w:rPr>
        <w:t>es</w:t>
      </w:r>
      <w:r w:rsidRPr="00B21F18">
        <w:rPr>
          <w:rFonts w:ascii="Palatino Linotype" w:hAnsi="Palatino Linotype" w:cs="Arial"/>
        </w:rPr>
        <w:t xml:space="preserve"> de acceso a la informació</w:t>
      </w:r>
      <w:r w:rsidR="003957EC">
        <w:rPr>
          <w:rFonts w:ascii="Palatino Linotype" w:hAnsi="Palatino Linotype" w:cs="Arial"/>
        </w:rPr>
        <w:t>n pública, a la que se le asignaron los</w:t>
      </w:r>
      <w:r w:rsidRPr="00B21F18">
        <w:rPr>
          <w:rFonts w:ascii="Palatino Linotype" w:hAnsi="Palatino Linotype" w:cs="Arial"/>
        </w:rPr>
        <w:t xml:space="preserve"> </w:t>
      </w:r>
      <w:r w:rsidR="00254116" w:rsidRPr="00B21F18">
        <w:rPr>
          <w:rFonts w:ascii="Palatino Linotype" w:hAnsi="Palatino Linotype" w:cs="Arial"/>
        </w:rPr>
        <w:t>número</w:t>
      </w:r>
      <w:r w:rsidR="00254116">
        <w:rPr>
          <w:rFonts w:ascii="Palatino Linotype" w:hAnsi="Palatino Linotype" w:cs="Arial"/>
        </w:rPr>
        <w:t>s</w:t>
      </w:r>
      <w:r w:rsidR="00254116" w:rsidRPr="00B21F18">
        <w:rPr>
          <w:rFonts w:ascii="Palatino Linotype" w:hAnsi="Palatino Linotype" w:cs="Arial"/>
          <w:b/>
          <w:bCs/>
        </w:rPr>
        <w:t xml:space="preserve"> </w:t>
      </w:r>
      <w:r w:rsidR="00254116">
        <w:rPr>
          <w:rFonts w:ascii="Palatino Linotype" w:hAnsi="Palatino Linotype" w:cs="Arial"/>
          <w:b/>
          <w:bCs/>
        </w:rPr>
        <w:t xml:space="preserve">de folio </w:t>
      </w:r>
      <w:r w:rsidR="00254116" w:rsidRPr="00B21F18">
        <w:rPr>
          <w:rFonts w:ascii="Palatino Linotype" w:hAnsi="Palatino Linotype" w:cs="Arial"/>
          <w:b/>
          <w:bCs/>
        </w:rPr>
        <w:t>00251</w:t>
      </w:r>
      <w:r w:rsidR="003957EC" w:rsidRPr="003957EC">
        <w:rPr>
          <w:rFonts w:ascii="Palatino Linotype" w:hAnsi="Palatino Linotype"/>
          <w:b/>
          <w:bCs/>
        </w:rPr>
        <w:t>/TENANCIN/IP/2021</w:t>
      </w:r>
      <w:r w:rsidR="003957EC">
        <w:rPr>
          <w:rFonts w:ascii="Palatino Linotype" w:hAnsi="Palatino Linotype"/>
          <w:b/>
          <w:bCs/>
        </w:rPr>
        <w:t xml:space="preserve"> y </w:t>
      </w:r>
      <w:r w:rsidR="003957EC" w:rsidRPr="003957EC">
        <w:rPr>
          <w:rFonts w:ascii="Palatino Linotype" w:hAnsi="Palatino Linotype"/>
          <w:b/>
          <w:bCs/>
        </w:rPr>
        <w:t>00255/TENANCIN/IP/</w:t>
      </w:r>
      <w:r w:rsidR="00254116" w:rsidRPr="003957EC">
        <w:rPr>
          <w:rFonts w:ascii="Palatino Linotype" w:hAnsi="Palatino Linotype"/>
          <w:b/>
          <w:bCs/>
        </w:rPr>
        <w:t>2021</w:t>
      </w:r>
      <w:r w:rsidR="00254116">
        <w:rPr>
          <w:rFonts w:ascii="Palatino Linotype" w:hAnsi="Palatino Linotype"/>
          <w:b/>
          <w:bCs/>
        </w:rPr>
        <w:t>,</w:t>
      </w:r>
      <w:r w:rsidRPr="00B21F18">
        <w:rPr>
          <w:rFonts w:ascii="Palatino Linotype" w:hAnsi="Palatino Linotype" w:cs="Arial"/>
          <w:b/>
        </w:rPr>
        <w:t xml:space="preserve"> </w:t>
      </w:r>
      <w:r w:rsidRPr="00B21F18">
        <w:rPr>
          <w:rFonts w:ascii="Palatino Linotype" w:hAnsi="Palatino Linotype" w:cs="Arial"/>
        </w:rPr>
        <w:t xml:space="preserve">mediante la cual requirió la información siguiente: </w:t>
      </w:r>
    </w:p>
    <w:p w14:paraId="03722585" w14:textId="57D9D620" w:rsidR="00254116" w:rsidRPr="00254116" w:rsidRDefault="00254116" w:rsidP="00B03355">
      <w:pPr>
        <w:spacing w:before="240" w:after="240" w:line="360" w:lineRule="auto"/>
        <w:ind w:right="49"/>
        <w:jc w:val="both"/>
        <w:rPr>
          <w:rFonts w:ascii="Palatino Linotype" w:hAnsi="Palatino Linotype" w:cs="Arial"/>
          <w:b/>
          <w:sz w:val="22"/>
        </w:rPr>
      </w:pPr>
      <w:r w:rsidRPr="00254116">
        <w:rPr>
          <w:rFonts w:ascii="Palatino Linotype" w:hAnsi="Palatino Linotype" w:cs="Arial"/>
          <w:b/>
          <w:sz w:val="22"/>
        </w:rPr>
        <w:t xml:space="preserve">Solicitud de información </w:t>
      </w:r>
      <w:r w:rsidRPr="00254116">
        <w:rPr>
          <w:rFonts w:ascii="Palatino Linotype" w:hAnsi="Palatino Linotype" w:cs="Arial"/>
          <w:b/>
          <w:bCs/>
          <w:sz w:val="22"/>
        </w:rPr>
        <w:t>00251/TENANCIN/IP/2021</w:t>
      </w:r>
      <w:r>
        <w:rPr>
          <w:rFonts w:ascii="Palatino Linotype" w:hAnsi="Palatino Linotype" w:cs="Arial"/>
          <w:b/>
          <w:bCs/>
          <w:sz w:val="22"/>
        </w:rPr>
        <w:t>:</w:t>
      </w:r>
    </w:p>
    <w:p w14:paraId="762909ED" w14:textId="7B8B551E" w:rsidR="00B03355" w:rsidRDefault="00B03355" w:rsidP="00254116">
      <w:pPr>
        <w:spacing w:before="240" w:after="240"/>
        <w:ind w:left="425" w:right="902"/>
        <w:jc w:val="both"/>
        <w:rPr>
          <w:rFonts w:ascii="Palatino Linotype" w:hAnsi="Palatino Linotype" w:cs="Arial"/>
          <w:i/>
          <w:sz w:val="22"/>
          <w:szCs w:val="22"/>
          <w:lang w:eastAsia="es-MX"/>
        </w:rPr>
      </w:pPr>
      <w:r w:rsidRPr="00B21F18">
        <w:rPr>
          <w:rFonts w:ascii="Palatino Linotype" w:hAnsi="Palatino Linotype" w:cs="Arial"/>
          <w:i/>
          <w:sz w:val="22"/>
          <w:szCs w:val="22"/>
          <w:lang w:eastAsia="es-MX"/>
        </w:rPr>
        <w:t xml:space="preserve"> “</w:t>
      </w:r>
      <w:r w:rsidR="00254116" w:rsidRPr="00254116">
        <w:rPr>
          <w:rFonts w:ascii="Palatino Linotype" w:hAnsi="Palatino Linotype"/>
          <w:i/>
          <w:sz w:val="22"/>
          <w:szCs w:val="22"/>
        </w:rPr>
        <w:t xml:space="preserve">solicito información sobre: los procedimientos de Responsabilidades Administrativas que leva el área de </w:t>
      </w:r>
      <w:proofErr w:type="spellStart"/>
      <w:r w:rsidR="00254116" w:rsidRPr="00254116">
        <w:rPr>
          <w:rFonts w:ascii="Palatino Linotype" w:hAnsi="Palatino Linotype"/>
          <w:i/>
          <w:sz w:val="22"/>
          <w:szCs w:val="22"/>
        </w:rPr>
        <w:t>Contraloria</w:t>
      </w:r>
      <w:proofErr w:type="spellEnd"/>
      <w:r w:rsidR="00254116" w:rsidRPr="00254116">
        <w:rPr>
          <w:rFonts w:ascii="Palatino Linotype" w:hAnsi="Palatino Linotype"/>
          <w:i/>
          <w:sz w:val="22"/>
          <w:szCs w:val="22"/>
        </w:rPr>
        <w:t xml:space="preserve">, correspondientes a los periodo 2019, 2020 y 2021. </w:t>
      </w:r>
      <w:proofErr w:type="gramStart"/>
      <w:r w:rsidR="00254116" w:rsidRPr="00254116">
        <w:rPr>
          <w:rFonts w:ascii="Palatino Linotype" w:hAnsi="Palatino Linotype"/>
          <w:i/>
          <w:sz w:val="22"/>
          <w:szCs w:val="22"/>
        </w:rPr>
        <w:t>nombre</w:t>
      </w:r>
      <w:proofErr w:type="gramEnd"/>
      <w:r w:rsidR="00254116" w:rsidRPr="00254116">
        <w:rPr>
          <w:rFonts w:ascii="Palatino Linotype" w:hAnsi="Palatino Linotype"/>
          <w:i/>
          <w:sz w:val="22"/>
          <w:szCs w:val="22"/>
        </w:rPr>
        <w:t xml:space="preserve"> de los presuntos responsables de los procedimientos de responsabilidades administrativas que </w:t>
      </w:r>
      <w:proofErr w:type="spellStart"/>
      <w:r w:rsidR="00254116" w:rsidRPr="00254116">
        <w:rPr>
          <w:rFonts w:ascii="Palatino Linotype" w:hAnsi="Palatino Linotype"/>
          <w:i/>
          <w:sz w:val="22"/>
          <w:szCs w:val="22"/>
        </w:rPr>
        <w:t>que</w:t>
      </w:r>
      <w:proofErr w:type="spellEnd"/>
      <w:r w:rsidR="00254116" w:rsidRPr="00254116">
        <w:rPr>
          <w:rFonts w:ascii="Palatino Linotype" w:hAnsi="Palatino Linotype"/>
          <w:i/>
          <w:sz w:val="22"/>
          <w:szCs w:val="22"/>
        </w:rPr>
        <w:t xml:space="preserve"> leva la </w:t>
      </w:r>
      <w:proofErr w:type="spellStart"/>
      <w:r w:rsidR="00254116" w:rsidRPr="00254116">
        <w:rPr>
          <w:rFonts w:ascii="Palatino Linotype" w:hAnsi="Palatino Linotype"/>
          <w:i/>
          <w:sz w:val="22"/>
          <w:szCs w:val="22"/>
        </w:rPr>
        <w:t>Contraloria</w:t>
      </w:r>
      <w:proofErr w:type="spellEnd"/>
      <w:r w:rsidR="00254116" w:rsidRPr="00254116">
        <w:rPr>
          <w:rFonts w:ascii="Palatino Linotype" w:hAnsi="Palatino Linotype"/>
          <w:i/>
          <w:sz w:val="22"/>
          <w:szCs w:val="22"/>
        </w:rPr>
        <w:t xml:space="preserve">, correspondientes a los periodos 2019, 2020 y 2021. </w:t>
      </w:r>
      <w:proofErr w:type="gramStart"/>
      <w:r w:rsidR="00254116" w:rsidRPr="00254116">
        <w:rPr>
          <w:rFonts w:ascii="Palatino Linotype" w:hAnsi="Palatino Linotype"/>
          <w:i/>
          <w:sz w:val="22"/>
          <w:szCs w:val="22"/>
        </w:rPr>
        <w:t>nombre</w:t>
      </w:r>
      <w:proofErr w:type="gramEnd"/>
      <w:r w:rsidR="00254116" w:rsidRPr="00254116">
        <w:rPr>
          <w:rFonts w:ascii="Palatino Linotype" w:hAnsi="Palatino Linotype"/>
          <w:i/>
          <w:sz w:val="22"/>
          <w:szCs w:val="22"/>
        </w:rPr>
        <w:t xml:space="preserve"> del servidor </w:t>
      </w:r>
      <w:proofErr w:type="spellStart"/>
      <w:r w:rsidR="00254116" w:rsidRPr="00254116">
        <w:rPr>
          <w:rFonts w:ascii="Palatino Linotype" w:hAnsi="Palatino Linotype"/>
          <w:i/>
          <w:sz w:val="22"/>
          <w:szCs w:val="22"/>
        </w:rPr>
        <w:t>publico</w:t>
      </w:r>
      <w:proofErr w:type="spellEnd"/>
      <w:r w:rsidR="00254116" w:rsidRPr="00254116">
        <w:rPr>
          <w:rFonts w:ascii="Palatino Linotype" w:hAnsi="Palatino Linotype"/>
          <w:i/>
          <w:sz w:val="22"/>
          <w:szCs w:val="22"/>
        </w:rPr>
        <w:t xml:space="preserve"> que </w:t>
      </w:r>
      <w:proofErr w:type="spellStart"/>
      <w:r w:rsidR="00254116" w:rsidRPr="00254116">
        <w:rPr>
          <w:rFonts w:ascii="Palatino Linotype" w:hAnsi="Palatino Linotype"/>
          <w:i/>
          <w:sz w:val="22"/>
          <w:szCs w:val="22"/>
        </w:rPr>
        <w:t>mas</w:t>
      </w:r>
      <w:proofErr w:type="spellEnd"/>
      <w:r w:rsidR="00254116" w:rsidRPr="00254116">
        <w:rPr>
          <w:rFonts w:ascii="Palatino Linotype" w:hAnsi="Palatino Linotype"/>
          <w:i/>
          <w:sz w:val="22"/>
          <w:szCs w:val="22"/>
        </w:rPr>
        <w:t xml:space="preserve"> procedimientos tiene en TRAMITE, </w:t>
      </w:r>
      <w:r w:rsidR="00254116" w:rsidRPr="00254116">
        <w:rPr>
          <w:rFonts w:ascii="Palatino Linotype" w:hAnsi="Palatino Linotype"/>
          <w:i/>
          <w:sz w:val="22"/>
          <w:szCs w:val="22"/>
        </w:rPr>
        <w:lastRenderedPageBreak/>
        <w:t xml:space="preserve">RESUELTOS Y PROCESADOS. Los Procedimientos de </w:t>
      </w:r>
      <w:proofErr w:type="spellStart"/>
      <w:r w:rsidR="00254116" w:rsidRPr="00254116">
        <w:rPr>
          <w:rFonts w:ascii="Palatino Linotype" w:hAnsi="Palatino Linotype"/>
          <w:i/>
          <w:sz w:val="22"/>
          <w:szCs w:val="22"/>
        </w:rPr>
        <w:t>Responabilidad</w:t>
      </w:r>
      <w:proofErr w:type="spellEnd"/>
      <w:r w:rsidR="00254116" w:rsidRPr="00254116">
        <w:rPr>
          <w:rFonts w:ascii="Palatino Linotype" w:hAnsi="Palatino Linotype"/>
          <w:i/>
          <w:sz w:val="22"/>
          <w:szCs w:val="22"/>
        </w:rPr>
        <w:t xml:space="preserve"> Administrativa que tienen de Alfonso </w:t>
      </w:r>
      <w:proofErr w:type="spellStart"/>
      <w:r w:rsidR="00254116" w:rsidRPr="00254116">
        <w:rPr>
          <w:rFonts w:ascii="Palatino Linotype" w:hAnsi="Palatino Linotype"/>
          <w:i/>
          <w:sz w:val="22"/>
          <w:szCs w:val="22"/>
        </w:rPr>
        <w:t>Lopez</w:t>
      </w:r>
      <w:proofErr w:type="spellEnd"/>
      <w:r w:rsidR="00254116" w:rsidRPr="00254116">
        <w:rPr>
          <w:rFonts w:ascii="Palatino Linotype" w:hAnsi="Palatino Linotype"/>
          <w:i/>
          <w:sz w:val="22"/>
          <w:szCs w:val="22"/>
        </w:rPr>
        <w:t xml:space="preserve"> </w:t>
      </w:r>
      <w:proofErr w:type="spellStart"/>
      <w:r w:rsidR="00254116" w:rsidRPr="00254116">
        <w:rPr>
          <w:rFonts w:ascii="Palatino Linotype" w:hAnsi="Palatino Linotype"/>
          <w:i/>
          <w:sz w:val="22"/>
          <w:szCs w:val="22"/>
        </w:rPr>
        <w:t>Abundis</w:t>
      </w:r>
      <w:proofErr w:type="spellEnd"/>
      <w:r w:rsidR="00254116" w:rsidRPr="00254116">
        <w:rPr>
          <w:rFonts w:ascii="Palatino Linotype" w:hAnsi="Palatino Linotype"/>
          <w:i/>
          <w:sz w:val="22"/>
          <w:szCs w:val="22"/>
        </w:rPr>
        <w:t>.</w:t>
      </w:r>
      <w:r w:rsidRPr="00B21F18">
        <w:rPr>
          <w:rFonts w:ascii="Palatino Linotype" w:hAnsi="Palatino Linotype" w:cs="Arial"/>
          <w:i/>
          <w:sz w:val="22"/>
          <w:szCs w:val="22"/>
          <w:lang w:eastAsia="es-MX"/>
        </w:rPr>
        <w:t>” (Sic).</w:t>
      </w:r>
    </w:p>
    <w:p w14:paraId="53CE275C" w14:textId="426E628E" w:rsidR="00254116" w:rsidRDefault="00254116" w:rsidP="00071380">
      <w:pPr>
        <w:spacing w:before="240" w:after="240" w:line="276" w:lineRule="auto"/>
        <w:ind w:left="426" w:right="900"/>
        <w:jc w:val="both"/>
        <w:rPr>
          <w:rFonts w:ascii="Palatino Linotype" w:hAnsi="Palatino Linotype" w:cs="Arial"/>
          <w:b/>
          <w:sz w:val="22"/>
          <w:szCs w:val="22"/>
        </w:rPr>
      </w:pPr>
      <w:r w:rsidRPr="00254116">
        <w:rPr>
          <w:rFonts w:ascii="Palatino Linotype" w:hAnsi="Palatino Linotype" w:cs="Arial"/>
          <w:b/>
          <w:sz w:val="22"/>
          <w:szCs w:val="22"/>
        </w:rPr>
        <w:t>Solicitud de información</w:t>
      </w:r>
      <w:r>
        <w:rPr>
          <w:rFonts w:ascii="Palatino Linotype" w:hAnsi="Palatino Linotype" w:cs="Arial"/>
          <w:b/>
          <w:sz w:val="22"/>
          <w:szCs w:val="22"/>
        </w:rPr>
        <w:t xml:space="preserve"> </w:t>
      </w:r>
      <w:r w:rsidRPr="00254116">
        <w:rPr>
          <w:rFonts w:ascii="Palatino Linotype" w:hAnsi="Palatino Linotype" w:cs="Arial"/>
          <w:b/>
          <w:sz w:val="22"/>
          <w:szCs w:val="22"/>
        </w:rPr>
        <w:t>00255/TENANCIN/IP/2021</w:t>
      </w:r>
      <w:r>
        <w:rPr>
          <w:rFonts w:ascii="Palatino Linotype" w:hAnsi="Palatino Linotype" w:cs="Arial"/>
          <w:b/>
          <w:sz w:val="22"/>
          <w:szCs w:val="22"/>
        </w:rPr>
        <w:t xml:space="preserve">: </w:t>
      </w:r>
    </w:p>
    <w:p w14:paraId="4D59CBAA" w14:textId="4F1840ED" w:rsidR="00254116" w:rsidRPr="00254116" w:rsidRDefault="00254116" w:rsidP="00254116">
      <w:pPr>
        <w:spacing w:before="240" w:after="240"/>
        <w:ind w:left="425" w:right="902"/>
        <w:jc w:val="both"/>
        <w:rPr>
          <w:rFonts w:ascii="Palatino Linotype" w:hAnsi="Palatino Linotype" w:cs="Arial"/>
          <w:i/>
          <w:sz w:val="22"/>
          <w:szCs w:val="22"/>
        </w:rPr>
      </w:pPr>
      <w:r>
        <w:rPr>
          <w:rFonts w:ascii="Palatino Linotype" w:hAnsi="Palatino Linotype" w:cs="Arial"/>
          <w:i/>
          <w:sz w:val="22"/>
          <w:szCs w:val="22"/>
        </w:rPr>
        <w:t>“</w:t>
      </w:r>
      <w:r w:rsidRPr="00254116">
        <w:rPr>
          <w:rFonts w:ascii="Palatino Linotype" w:hAnsi="Palatino Linotype" w:cs="Arial"/>
          <w:i/>
          <w:sz w:val="22"/>
          <w:szCs w:val="22"/>
        </w:rPr>
        <w:t xml:space="preserve">solicito información sobre: los procedimientos de Responsabilidades Administrativas que leva el área de </w:t>
      </w:r>
      <w:proofErr w:type="spellStart"/>
      <w:r w:rsidRPr="00254116">
        <w:rPr>
          <w:rFonts w:ascii="Palatino Linotype" w:hAnsi="Palatino Linotype" w:cs="Arial"/>
          <w:i/>
          <w:sz w:val="22"/>
          <w:szCs w:val="22"/>
        </w:rPr>
        <w:t>Contraloria</w:t>
      </w:r>
      <w:proofErr w:type="spellEnd"/>
      <w:r w:rsidRPr="00254116">
        <w:rPr>
          <w:rFonts w:ascii="Palatino Linotype" w:hAnsi="Palatino Linotype" w:cs="Arial"/>
          <w:i/>
          <w:sz w:val="22"/>
          <w:szCs w:val="22"/>
        </w:rPr>
        <w:t xml:space="preserve">, correspondientes a los periodo 2019, 2020 y 2021. </w:t>
      </w:r>
      <w:proofErr w:type="gramStart"/>
      <w:r w:rsidRPr="00254116">
        <w:rPr>
          <w:rFonts w:ascii="Palatino Linotype" w:hAnsi="Palatino Linotype" w:cs="Arial"/>
          <w:i/>
          <w:sz w:val="22"/>
          <w:szCs w:val="22"/>
        </w:rPr>
        <w:t>nombre</w:t>
      </w:r>
      <w:proofErr w:type="gramEnd"/>
      <w:r w:rsidRPr="00254116">
        <w:rPr>
          <w:rFonts w:ascii="Palatino Linotype" w:hAnsi="Palatino Linotype" w:cs="Arial"/>
          <w:i/>
          <w:sz w:val="22"/>
          <w:szCs w:val="22"/>
        </w:rPr>
        <w:t xml:space="preserve"> de los presuntos responsables de los procedimientos de responsabilidades administrativas que </w:t>
      </w:r>
      <w:proofErr w:type="spellStart"/>
      <w:r w:rsidRPr="00254116">
        <w:rPr>
          <w:rFonts w:ascii="Palatino Linotype" w:hAnsi="Palatino Linotype" w:cs="Arial"/>
          <w:i/>
          <w:sz w:val="22"/>
          <w:szCs w:val="22"/>
        </w:rPr>
        <w:t>que</w:t>
      </w:r>
      <w:proofErr w:type="spellEnd"/>
      <w:r w:rsidRPr="00254116">
        <w:rPr>
          <w:rFonts w:ascii="Palatino Linotype" w:hAnsi="Palatino Linotype" w:cs="Arial"/>
          <w:i/>
          <w:sz w:val="22"/>
          <w:szCs w:val="22"/>
        </w:rPr>
        <w:t xml:space="preserve"> leva la </w:t>
      </w:r>
      <w:proofErr w:type="spellStart"/>
      <w:r w:rsidRPr="00254116">
        <w:rPr>
          <w:rFonts w:ascii="Palatino Linotype" w:hAnsi="Palatino Linotype" w:cs="Arial"/>
          <w:i/>
          <w:sz w:val="22"/>
          <w:szCs w:val="22"/>
        </w:rPr>
        <w:t>Contraloria</w:t>
      </w:r>
      <w:proofErr w:type="spellEnd"/>
      <w:r w:rsidRPr="00254116">
        <w:rPr>
          <w:rFonts w:ascii="Palatino Linotype" w:hAnsi="Palatino Linotype" w:cs="Arial"/>
          <w:i/>
          <w:sz w:val="22"/>
          <w:szCs w:val="22"/>
        </w:rPr>
        <w:t xml:space="preserve">, correspondientes a los periodos 2019, 2020 y 2021. </w:t>
      </w:r>
      <w:proofErr w:type="gramStart"/>
      <w:r w:rsidRPr="00254116">
        <w:rPr>
          <w:rFonts w:ascii="Palatino Linotype" w:hAnsi="Palatino Linotype" w:cs="Arial"/>
          <w:i/>
          <w:sz w:val="22"/>
          <w:szCs w:val="22"/>
        </w:rPr>
        <w:t>nombre</w:t>
      </w:r>
      <w:proofErr w:type="gramEnd"/>
      <w:r w:rsidRPr="00254116">
        <w:rPr>
          <w:rFonts w:ascii="Palatino Linotype" w:hAnsi="Palatino Linotype" w:cs="Arial"/>
          <w:i/>
          <w:sz w:val="22"/>
          <w:szCs w:val="22"/>
        </w:rPr>
        <w:t xml:space="preserve"> del servidor </w:t>
      </w:r>
      <w:proofErr w:type="spellStart"/>
      <w:r w:rsidRPr="00254116">
        <w:rPr>
          <w:rFonts w:ascii="Palatino Linotype" w:hAnsi="Palatino Linotype" w:cs="Arial"/>
          <w:i/>
          <w:sz w:val="22"/>
          <w:szCs w:val="22"/>
        </w:rPr>
        <w:t>publico</w:t>
      </w:r>
      <w:proofErr w:type="spellEnd"/>
      <w:r w:rsidRPr="00254116">
        <w:rPr>
          <w:rFonts w:ascii="Palatino Linotype" w:hAnsi="Palatino Linotype" w:cs="Arial"/>
          <w:i/>
          <w:sz w:val="22"/>
          <w:szCs w:val="22"/>
        </w:rPr>
        <w:t xml:space="preserve"> que </w:t>
      </w:r>
      <w:proofErr w:type="spellStart"/>
      <w:r w:rsidRPr="00254116">
        <w:rPr>
          <w:rFonts w:ascii="Palatino Linotype" w:hAnsi="Palatino Linotype" w:cs="Arial"/>
          <w:i/>
          <w:sz w:val="22"/>
          <w:szCs w:val="22"/>
        </w:rPr>
        <w:t>mas</w:t>
      </w:r>
      <w:proofErr w:type="spellEnd"/>
      <w:r w:rsidRPr="00254116">
        <w:rPr>
          <w:rFonts w:ascii="Palatino Linotype" w:hAnsi="Palatino Linotype" w:cs="Arial"/>
          <w:i/>
          <w:sz w:val="22"/>
          <w:szCs w:val="22"/>
        </w:rPr>
        <w:t xml:space="preserve"> procedimientos tiene en TRAMITE, RESUELTOS Y PROCESADOS. Los Procedimientos de </w:t>
      </w:r>
      <w:proofErr w:type="spellStart"/>
      <w:r w:rsidRPr="00254116">
        <w:rPr>
          <w:rFonts w:ascii="Palatino Linotype" w:hAnsi="Palatino Linotype" w:cs="Arial"/>
          <w:i/>
          <w:sz w:val="22"/>
          <w:szCs w:val="22"/>
        </w:rPr>
        <w:t>Responabilidad</w:t>
      </w:r>
      <w:proofErr w:type="spellEnd"/>
      <w:r w:rsidRPr="00254116">
        <w:rPr>
          <w:rFonts w:ascii="Palatino Linotype" w:hAnsi="Palatino Linotype" w:cs="Arial"/>
          <w:i/>
          <w:sz w:val="22"/>
          <w:szCs w:val="22"/>
        </w:rPr>
        <w:t xml:space="preserve"> Administrativa que tienen de Alfonso </w:t>
      </w:r>
      <w:proofErr w:type="spellStart"/>
      <w:r w:rsidRPr="00254116">
        <w:rPr>
          <w:rFonts w:ascii="Palatino Linotype" w:hAnsi="Palatino Linotype" w:cs="Arial"/>
          <w:i/>
          <w:sz w:val="22"/>
          <w:szCs w:val="22"/>
        </w:rPr>
        <w:t>Lopez</w:t>
      </w:r>
      <w:proofErr w:type="spellEnd"/>
      <w:r w:rsidRPr="00254116">
        <w:rPr>
          <w:rFonts w:ascii="Palatino Linotype" w:hAnsi="Palatino Linotype" w:cs="Arial"/>
          <w:i/>
          <w:sz w:val="22"/>
          <w:szCs w:val="22"/>
        </w:rPr>
        <w:t xml:space="preserve"> </w:t>
      </w:r>
      <w:proofErr w:type="spellStart"/>
      <w:r w:rsidRPr="00254116">
        <w:rPr>
          <w:rFonts w:ascii="Palatino Linotype" w:hAnsi="Palatino Linotype" w:cs="Arial"/>
          <w:i/>
          <w:sz w:val="22"/>
          <w:szCs w:val="22"/>
        </w:rPr>
        <w:t>Abundis</w:t>
      </w:r>
      <w:proofErr w:type="spellEnd"/>
      <w:r w:rsidRPr="00254116">
        <w:rPr>
          <w:rFonts w:ascii="Palatino Linotype" w:hAnsi="Palatino Linotype" w:cs="Arial"/>
          <w:i/>
          <w:sz w:val="22"/>
          <w:szCs w:val="22"/>
        </w:rPr>
        <w:t>.</w:t>
      </w:r>
      <w:r>
        <w:rPr>
          <w:rFonts w:ascii="Palatino Linotype" w:hAnsi="Palatino Linotype" w:cs="Arial"/>
          <w:i/>
          <w:sz w:val="22"/>
          <w:szCs w:val="22"/>
        </w:rPr>
        <w:t>” (</w:t>
      </w:r>
      <w:proofErr w:type="gramStart"/>
      <w:r>
        <w:rPr>
          <w:rFonts w:ascii="Palatino Linotype" w:hAnsi="Palatino Linotype" w:cs="Arial"/>
          <w:i/>
          <w:sz w:val="22"/>
          <w:szCs w:val="22"/>
        </w:rPr>
        <w:t>sic</w:t>
      </w:r>
      <w:proofErr w:type="gramEnd"/>
      <w:r>
        <w:rPr>
          <w:rFonts w:ascii="Palatino Linotype" w:hAnsi="Palatino Linotype" w:cs="Arial"/>
          <w:i/>
          <w:sz w:val="22"/>
          <w:szCs w:val="22"/>
        </w:rPr>
        <w:t>)</w:t>
      </w:r>
    </w:p>
    <w:p w14:paraId="47472011" w14:textId="19FDD775" w:rsidR="00B03355" w:rsidRPr="00071380" w:rsidRDefault="00B03355" w:rsidP="00B03355">
      <w:pPr>
        <w:spacing w:before="240" w:after="240" w:line="360" w:lineRule="auto"/>
        <w:ind w:right="49"/>
        <w:jc w:val="both"/>
        <w:rPr>
          <w:rFonts w:ascii="Palatino Linotype" w:hAnsi="Palatino Linotype" w:cs="Arial"/>
        </w:rPr>
      </w:pPr>
      <w:r w:rsidRPr="00B21F18">
        <w:rPr>
          <w:rFonts w:ascii="Palatino Linotype" w:hAnsi="Palatino Linotype" w:cs="Arial"/>
          <w:b/>
        </w:rPr>
        <w:t>Modalidad de Entrega:</w:t>
      </w:r>
      <w:r w:rsidRPr="00B21F18">
        <w:rPr>
          <w:rFonts w:ascii="Palatino Linotype" w:hAnsi="Palatino Linotype" w:cs="Arial"/>
        </w:rPr>
        <w:t xml:space="preserve"> </w:t>
      </w:r>
      <w:r w:rsidR="00600A14">
        <w:rPr>
          <w:rFonts w:ascii="Palatino Linotype" w:hAnsi="Palatino Linotype" w:cs="Arial"/>
        </w:rPr>
        <w:t>A través del SAIMEX en ambos casos.</w:t>
      </w:r>
    </w:p>
    <w:p w14:paraId="13CCFB4E" w14:textId="63E5CEBE" w:rsidR="00B03355" w:rsidRDefault="00071380" w:rsidP="00B03355">
      <w:pPr>
        <w:spacing w:before="240" w:after="240" w:line="360" w:lineRule="auto"/>
        <w:ind w:right="49"/>
        <w:jc w:val="both"/>
        <w:rPr>
          <w:rFonts w:ascii="Palatino Linotype" w:hAnsi="Palatino Linotype" w:cs="Arial"/>
        </w:rPr>
      </w:pPr>
      <w:r w:rsidRPr="00071380">
        <w:rPr>
          <w:rFonts w:ascii="Palatino Linotype" w:hAnsi="Palatino Linotype" w:cs="Arial"/>
          <w:b/>
          <w:szCs w:val="28"/>
        </w:rPr>
        <w:t>2</w:t>
      </w:r>
      <w:r w:rsidR="00B03355" w:rsidRPr="00071380">
        <w:rPr>
          <w:rFonts w:ascii="Palatino Linotype" w:hAnsi="Palatino Linotype" w:cs="Arial"/>
          <w:b/>
          <w:szCs w:val="28"/>
        </w:rPr>
        <w:t>. Respuesta</w:t>
      </w:r>
      <w:r w:rsidR="00600A14">
        <w:rPr>
          <w:rFonts w:ascii="Palatino Linotype" w:hAnsi="Palatino Linotype" w:cs="Arial"/>
          <w:b/>
          <w:szCs w:val="28"/>
        </w:rPr>
        <w:t>s</w:t>
      </w:r>
      <w:r w:rsidR="00B03355" w:rsidRPr="00071380">
        <w:rPr>
          <w:rFonts w:ascii="Palatino Linotype" w:hAnsi="Palatino Linotype" w:cs="Arial"/>
          <w:b/>
          <w:szCs w:val="28"/>
        </w:rPr>
        <w:t xml:space="preserve">. </w:t>
      </w:r>
      <w:r w:rsidR="00B03355" w:rsidRPr="00B21F18">
        <w:rPr>
          <w:rFonts w:ascii="Palatino Linotype" w:hAnsi="Palatino Linotype" w:cs="Arial"/>
        </w:rPr>
        <w:t>En fecha</w:t>
      </w:r>
      <w:r w:rsidR="00B03355" w:rsidRPr="00B21F18">
        <w:rPr>
          <w:rFonts w:ascii="Palatino Linotype" w:hAnsi="Palatino Linotype" w:cs="Arial"/>
          <w:b/>
        </w:rPr>
        <w:t xml:space="preserve"> </w:t>
      </w:r>
      <w:r w:rsidR="00600A14">
        <w:rPr>
          <w:rFonts w:ascii="Palatino Linotype" w:hAnsi="Palatino Linotype" w:cs="Arial"/>
          <w:b/>
        </w:rPr>
        <w:t>uno de septiembre</w:t>
      </w:r>
      <w:r w:rsidR="00B03355">
        <w:rPr>
          <w:rFonts w:ascii="Palatino Linotype" w:hAnsi="Palatino Linotype" w:cs="Arial"/>
          <w:b/>
        </w:rPr>
        <w:t xml:space="preserve"> </w:t>
      </w:r>
      <w:r w:rsidR="00B03355" w:rsidRPr="00B21F18">
        <w:rPr>
          <w:rFonts w:ascii="Palatino Linotype" w:hAnsi="Palatino Linotype" w:cs="Arial"/>
          <w:b/>
        </w:rPr>
        <w:t>de</w:t>
      </w:r>
      <w:r>
        <w:rPr>
          <w:rFonts w:ascii="Palatino Linotype" w:hAnsi="Palatino Linotype" w:cs="Arial"/>
          <w:b/>
        </w:rPr>
        <w:t xml:space="preserve"> dos mil </w:t>
      </w:r>
      <w:r w:rsidR="00B03355" w:rsidRPr="00B21F18">
        <w:rPr>
          <w:rFonts w:ascii="Palatino Linotype" w:hAnsi="Palatino Linotype" w:cs="Arial"/>
          <w:b/>
        </w:rPr>
        <w:t>ve</w:t>
      </w:r>
      <w:r>
        <w:rPr>
          <w:rFonts w:ascii="Palatino Linotype" w:hAnsi="Palatino Linotype" w:cs="Arial"/>
          <w:b/>
        </w:rPr>
        <w:t>intiuno</w:t>
      </w:r>
      <w:r w:rsidR="00B03355" w:rsidRPr="00B21F18">
        <w:rPr>
          <w:rFonts w:ascii="Palatino Linotype" w:hAnsi="Palatino Linotype" w:cs="Arial"/>
        </w:rPr>
        <w:t xml:space="preserve">, el </w:t>
      </w:r>
      <w:r w:rsidRPr="00B21F18">
        <w:rPr>
          <w:rFonts w:ascii="Palatino Linotype" w:hAnsi="Palatino Linotype" w:cs="Arial"/>
          <w:b/>
        </w:rPr>
        <w:t xml:space="preserve">Sujeto Obligado </w:t>
      </w:r>
      <w:r>
        <w:rPr>
          <w:rFonts w:ascii="Palatino Linotype" w:hAnsi="Palatino Linotype" w:cs="Arial"/>
        </w:rPr>
        <w:t>a través de</w:t>
      </w:r>
      <w:r w:rsidR="00B03355" w:rsidRPr="00B21F18">
        <w:rPr>
          <w:rFonts w:ascii="Palatino Linotype" w:hAnsi="Palatino Linotype" w:cs="Arial"/>
        </w:rPr>
        <w:t xml:space="preserve">l SAIMEX respondió </w:t>
      </w:r>
      <w:r w:rsidR="00600A14">
        <w:rPr>
          <w:rFonts w:ascii="Palatino Linotype" w:hAnsi="Palatino Linotype" w:cs="Arial"/>
        </w:rPr>
        <w:t xml:space="preserve">a las solicitudes </w:t>
      </w:r>
      <w:r w:rsidR="00B03355" w:rsidRPr="00B21F18">
        <w:rPr>
          <w:rFonts w:ascii="Palatino Linotype" w:hAnsi="Palatino Linotype" w:cs="Arial"/>
        </w:rPr>
        <w:t xml:space="preserve">sustancialmente lo siguiente: </w:t>
      </w:r>
    </w:p>
    <w:p w14:paraId="589E217E" w14:textId="77777777" w:rsidR="00600A14" w:rsidRPr="00254116" w:rsidRDefault="00600A14" w:rsidP="00600A14">
      <w:pPr>
        <w:spacing w:before="240" w:after="240" w:line="360" w:lineRule="auto"/>
        <w:ind w:right="49"/>
        <w:jc w:val="both"/>
        <w:rPr>
          <w:rFonts w:ascii="Palatino Linotype" w:hAnsi="Palatino Linotype" w:cs="Arial"/>
          <w:b/>
          <w:sz w:val="22"/>
        </w:rPr>
      </w:pPr>
      <w:r w:rsidRPr="00254116">
        <w:rPr>
          <w:rFonts w:ascii="Palatino Linotype" w:hAnsi="Palatino Linotype" w:cs="Arial"/>
          <w:b/>
          <w:sz w:val="22"/>
        </w:rPr>
        <w:t xml:space="preserve">Solicitud de información </w:t>
      </w:r>
      <w:r w:rsidRPr="00254116">
        <w:rPr>
          <w:rFonts w:ascii="Palatino Linotype" w:hAnsi="Palatino Linotype" w:cs="Arial"/>
          <w:b/>
          <w:bCs/>
          <w:sz w:val="22"/>
        </w:rPr>
        <w:t>00251/TENANCIN/IP/2021</w:t>
      </w:r>
      <w:r>
        <w:rPr>
          <w:rFonts w:ascii="Palatino Linotype" w:hAnsi="Palatino Linotype" w:cs="Arial"/>
          <w:b/>
          <w:bCs/>
          <w:sz w:val="22"/>
        </w:rPr>
        <w:t>:</w:t>
      </w:r>
    </w:p>
    <w:p w14:paraId="009B7A85" w14:textId="0CC86B98" w:rsidR="00600A14" w:rsidRPr="00600A14" w:rsidRDefault="00B03355" w:rsidP="00600A14">
      <w:pPr>
        <w:spacing w:before="240" w:after="240"/>
        <w:ind w:left="567" w:right="902"/>
        <w:jc w:val="both"/>
        <w:rPr>
          <w:rFonts w:ascii="Palatino Linotype" w:hAnsi="Palatino Linotype"/>
          <w:i/>
          <w:sz w:val="22"/>
          <w:szCs w:val="22"/>
        </w:rPr>
      </w:pPr>
      <w:r w:rsidRPr="00B21F18">
        <w:rPr>
          <w:rFonts w:ascii="Palatino Linotype" w:hAnsi="Palatino Linotype"/>
          <w:i/>
          <w:sz w:val="22"/>
          <w:szCs w:val="22"/>
        </w:rPr>
        <w:t>“</w:t>
      </w:r>
      <w:r w:rsidR="00600A14" w:rsidRPr="00600A14">
        <w:rPr>
          <w:rFonts w:ascii="Palatino Linotype" w:hAnsi="Palatino Linotype"/>
          <w:i/>
          <w:sz w:val="22"/>
          <w:szCs w:val="22"/>
        </w:rPr>
        <w:t>Sirva este medio para enviarle un saludo, al mismo tiempo con fundamento en el artículo 53 fracciones II, V y VI de la Ley de Transparencia y Acceso a la Información Pública del Estado de México y Municipios, remito contestación del Servidor Público Habilitado a su solicitud de información identificada con folio No. 00251/TENANCIN/IP/2021, en archivo anexo PDF como se describe a continuación: 1.- R S.H.P. 00251 CONTRALORÍA Haciendo de su conocimiento que de acuerdo a lo establecido por los artículos 176 y 178 de la Ley de Transparencia y Acceso a la Información Pública del Estado de México y Municipios, podrá ejercer su segunda garantía del Derecho de Acceso a la Información pública, recurriendo la respuesta otorgada, ante el Instituto o ante la Unidad de Transparencia, dentro de los quince días hábiles posteriores a la fecha de recepción de la respuesta, por alguna de las causales establecidas en el artículo 179 de la Ley de Transparencia y Acceso a la Información Pública del Estado de México y Municipios, atendiendo los criterios señalados en los artículos 180 y 181 de la misma Ley. Sin otro particular por el momento, le reitero la seguridad de mi más atenta y distinguida consideración.</w:t>
      </w:r>
      <w:r w:rsidR="00600A14">
        <w:rPr>
          <w:rFonts w:ascii="Palatino Linotype" w:hAnsi="Palatino Linotype"/>
          <w:i/>
          <w:sz w:val="22"/>
          <w:szCs w:val="22"/>
        </w:rPr>
        <w:t>”</w:t>
      </w:r>
    </w:p>
    <w:p w14:paraId="2410B361" w14:textId="77777777" w:rsidR="00600A14" w:rsidRDefault="00600A14" w:rsidP="00600A14">
      <w:pPr>
        <w:spacing w:before="240" w:after="240" w:line="276" w:lineRule="auto"/>
        <w:ind w:left="426" w:right="900"/>
        <w:jc w:val="both"/>
        <w:rPr>
          <w:rFonts w:ascii="Palatino Linotype" w:hAnsi="Palatino Linotype" w:cs="Arial"/>
          <w:b/>
          <w:sz w:val="22"/>
          <w:szCs w:val="22"/>
        </w:rPr>
      </w:pPr>
      <w:r w:rsidRPr="00254116">
        <w:rPr>
          <w:rFonts w:ascii="Palatino Linotype" w:hAnsi="Palatino Linotype" w:cs="Arial"/>
          <w:b/>
          <w:sz w:val="22"/>
          <w:szCs w:val="22"/>
        </w:rPr>
        <w:t>Solicitud de información</w:t>
      </w:r>
      <w:r>
        <w:rPr>
          <w:rFonts w:ascii="Palatino Linotype" w:hAnsi="Palatino Linotype" w:cs="Arial"/>
          <w:b/>
          <w:sz w:val="22"/>
          <w:szCs w:val="22"/>
        </w:rPr>
        <w:t xml:space="preserve"> </w:t>
      </w:r>
      <w:r w:rsidRPr="00254116">
        <w:rPr>
          <w:rFonts w:ascii="Palatino Linotype" w:hAnsi="Palatino Linotype" w:cs="Arial"/>
          <w:b/>
          <w:sz w:val="22"/>
          <w:szCs w:val="22"/>
        </w:rPr>
        <w:t>00255/TENANCIN/IP/2021</w:t>
      </w:r>
      <w:r>
        <w:rPr>
          <w:rFonts w:ascii="Palatino Linotype" w:hAnsi="Palatino Linotype" w:cs="Arial"/>
          <w:b/>
          <w:sz w:val="22"/>
          <w:szCs w:val="22"/>
        </w:rPr>
        <w:t xml:space="preserve">: </w:t>
      </w:r>
    </w:p>
    <w:p w14:paraId="441B1F10" w14:textId="0A87A4AF" w:rsidR="00600A14" w:rsidRPr="00600A14" w:rsidRDefault="00600A14" w:rsidP="00600A14">
      <w:pPr>
        <w:spacing w:before="240" w:after="240"/>
        <w:ind w:left="567" w:right="902"/>
        <w:jc w:val="both"/>
        <w:rPr>
          <w:rFonts w:ascii="Palatino Linotype" w:hAnsi="Palatino Linotype" w:cs="Arial"/>
          <w:i/>
          <w:sz w:val="22"/>
          <w:szCs w:val="22"/>
        </w:rPr>
      </w:pPr>
      <w:r>
        <w:rPr>
          <w:rFonts w:ascii="Palatino Linotype" w:hAnsi="Palatino Linotype" w:cs="Arial"/>
          <w:i/>
          <w:sz w:val="22"/>
          <w:szCs w:val="22"/>
        </w:rPr>
        <w:lastRenderedPageBreak/>
        <w:t>“</w:t>
      </w:r>
      <w:r w:rsidRPr="00600A14">
        <w:rPr>
          <w:rFonts w:ascii="Palatino Linotype" w:hAnsi="Palatino Linotype" w:cs="Arial"/>
          <w:i/>
          <w:sz w:val="22"/>
          <w:szCs w:val="22"/>
        </w:rPr>
        <w:t>Sirva este medio para enviarle un saludo, al mismo tiempo con fundamento en el artículo 53 fracciones II, V y VI de la Ley de Transparencia y Acceso a la Información Pública del Estado de México y Municipios, remito contestación del Servidor Público Habilitado a su solicitud de información identificada con folio No. 00255/TENANCIN/IP/2021, en archivo anexo PDF como se describe a continuación: 1.- R S.P.H. 0025 CONTRALORIA Haciendo de su conocimiento que de acuerdo a lo establecido por los artículos 176 y 178 de la Ley de Transparencia y Acceso a la Información Pública del Estado de México y Municipios, podrá ejercer su segunda garantía del Derecho de Acceso a la Información pública, recurriendo la respuesta otorgada, ante el Instituto o ante la Unidad de Transparencia, dentro de los quince días hábiles posteriores a la fecha de recepción de la respuesta, por alguna de las causales establecidas en el artículo 179 de la Ley de Transparencia y Acceso a la Información Pública del Estado de México y Municipios, atendiendo los criterios señalados en los artículos 180 y 181 de la misma Ley. Sin otro particular por el momento, le reitero la seguridad de mi más atenta y distinguida consideración.</w:t>
      </w:r>
      <w:r>
        <w:rPr>
          <w:rFonts w:ascii="Palatino Linotype" w:hAnsi="Palatino Linotype" w:cs="Arial"/>
          <w:i/>
          <w:sz w:val="22"/>
          <w:szCs w:val="22"/>
        </w:rPr>
        <w:t>”</w:t>
      </w:r>
    </w:p>
    <w:p w14:paraId="76ACDAF4" w14:textId="19362801" w:rsidR="00CE5945" w:rsidRDefault="00B03355" w:rsidP="00550E9C">
      <w:pPr>
        <w:spacing w:before="240" w:after="240" w:line="360" w:lineRule="auto"/>
        <w:ind w:left="567" w:right="900"/>
        <w:jc w:val="both"/>
        <w:rPr>
          <w:rFonts w:ascii="Palatino Linotype" w:hAnsi="Palatino Linotype" w:cs="Arial"/>
        </w:rPr>
      </w:pPr>
      <w:r>
        <w:rPr>
          <w:rFonts w:ascii="Palatino Linotype" w:hAnsi="Palatino Linotype" w:cs="Arial"/>
          <w:b/>
        </w:rPr>
        <w:t>Archivo</w:t>
      </w:r>
      <w:r w:rsidR="00600A14">
        <w:rPr>
          <w:rFonts w:ascii="Palatino Linotype" w:hAnsi="Palatino Linotype" w:cs="Arial"/>
          <w:b/>
        </w:rPr>
        <w:t>s</w:t>
      </w:r>
      <w:r>
        <w:rPr>
          <w:rFonts w:ascii="Palatino Linotype" w:hAnsi="Palatino Linotype" w:cs="Arial"/>
          <w:b/>
        </w:rPr>
        <w:t xml:space="preserve"> adjunto</w:t>
      </w:r>
      <w:r w:rsidR="00600A14">
        <w:rPr>
          <w:rFonts w:ascii="Palatino Linotype" w:hAnsi="Palatino Linotype" w:cs="Arial"/>
          <w:b/>
        </w:rPr>
        <w:t xml:space="preserve">s: </w:t>
      </w:r>
      <w:r w:rsidR="00600A14" w:rsidRPr="00600A14">
        <w:rPr>
          <w:rFonts w:ascii="Palatino Linotype" w:hAnsi="Palatino Linotype" w:cs="Arial"/>
        </w:rPr>
        <w:t>Para dar aten</w:t>
      </w:r>
      <w:r w:rsidR="00600A14">
        <w:rPr>
          <w:rFonts w:ascii="Palatino Linotype" w:hAnsi="Palatino Linotype" w:cs="Arial"/>
        </w:rPr>
        <w:t>ción a las solicitudes, el</w:t>
      </w:r>
      <w:r w:rsidR="00071380" w:rsidRPr="00071380">
        <w:rPr>
          <w:rFonts w:ascii="Palatino Linotype" w:hAnsi="Palatino Linotype" w:cs="Arial"/>
        </w:rPr>
        <w:t xml:space="preserve"> </w:t>
      </w:r>
      <w:r w:rsidR="00071380">
        <w:rPr>
          <w:rFonts w:ascii="Palatino Linotype" w:hAnsi="Palatino Linotype" w:cs="Arial"/>
        </w:rPr>
        <w:t>Su</w:t>
      </w:r>
      <w:r w:rsidR="00600A14">
        <w:rPr>
          <w:rFonts w:ascii="Palatino Linotype" w:hAnsi="Palatino Linotype" w:cs="Arial"/>
        </w:rPr>
        <w:t>jeto Obligado remitió los</w:t>
      </w:r>
      <w:r w:rsidR="00071380">
        <w:rPr>
          <w:rFonts w:ascii="Palatino Linotype" w:hAnsi="Palatino Linotype" w:cs="Arial"/>
        </w:rPr>
        <w:t xml:space="preserve"> archivo</w:t>
      </w:r>
      <w:r w:rsidR="00600A14">
        <w:rPr>
          <w:rFonts w:ascii="Palatino Linotype" w:hAnsi="Palatino Linotype" w:cs="Arial"/>
        </w:rPr>
        <w:t>s</w:t>
      </w:r>
      <w:r w:rsidR="00071380">
        <w:rPr>
          <w:rFonts w:ascii="Palatino Linotype" w:hAnsi="Palatino Linotype" w:cs="Arial"/>
        </w:rPr>
        <w:t xml:space="preserve"> electrónico</w:t>
      </w:r>
      <w:r w:rsidR="00600A14">
        <w:rPr>
          <w:rFonts w:ascii="Palatino Linotype" w:hAnsi="Palatino Linotype" w:cs="Arial"/>
        </w:rPr>
        <w:t>s</w:t>
      </w:r>
      <w:r w:rsidR="00071380">
        <w:rPr>
          <w:rFonts w:ascii="Palatino Linotype" w:hAnsi="Palatino Linotype" w:cs="Arial"/>
        </w:rPr>
        <w:t xml:space="preserve"> </w:t>
      </w:r>
      <w:r w:rsidR="00071380" w:rsidRPr="00071380">
        <w:rPr>
          <w:rFonts w:ascii="Palatino Linotype" w:hAnsi="Palatino Linotype" w:cs="Arial"/>
          <w:b/>
          <w:i/>
        </w:rPr>
        <w:t>“</w:t>
      </w:r>
      <w:r w:rsidR="00600A14" w:rsidRPr="00600A14">
        <w:rPr>
          <w:rFonts w:ascii="Palatino Linotype" w:hAnsi="Palatino Linotype" w:cs="Arial"/>
          <w:b/>
          <w:i/>
        </w:rPr>
        <w:t>REP TS 255 CONTRALORIA.pdf</w:t>
      </w:r>
      <w:r w:rsidR="00071380" w:rsidRPr="00071380">
        <w:rPr>
          <w:rFonts w:ascii="Palatino Linotype" w:hAnsi="Palatino Linotype" w:cs="Arial"/>
          <w:b/>
          <w:i/>
        </w:rPr>
        <w:t>”</w:t>
      </w:r>
      <w:r w:rsidR="00600A14">
        <w:rPr>
          <w:rFonts w:ascii="Palatino Linotype" w:hAnsi="Palatino Linotype" w:cs="Arial"/>
          <w:b/>
          <w:i/>
        </w:rPr>
        <w:t xml:space="preserve"> y </w:t>
      </w:r>
      <w:r w:rsidR="00600A14" w:rsidRPr="00600A14">
        <w:rPr>
          <w:rFonts w:ascii="Palatino Linotype" w:hAnsi="Palatino Linotype" w:cs="Arial"/>
          <w:b/>
          <w:i/>
        </w:rPr>
        <w:t>“RESP TS 251.pdf”</w:t>
      </w:r>
      <w:r w:rsidR="00600A14">
        <w:rPr>
          <w:rFonts w:ascii="Palatino Linotype" w:hAnsi="Palatino Linotype" w:cs="Arial"/>
        </w:rPr>
        <w:t xml:space="preserve"> de los </w:t>
      </w:r>
      <w:r w:rsidR="00071380">
        <w:rPr>
          <w:rFonts w:ascii="Palatino Linotype" w:hAnsi="Palatino Linotype" w:cs="Arial"/>
        </w:rPr>
        <w:t>cual</w:t>
      </w:r>
      <w:r w:rsidR="00600A14">
        <w:rPr>
          <w:rFonts w:ascii="Palatino Linotype" w:hAnsi="Palatino Linotype" w:cs="Arial"/>
        </w:rPr>
        <w:t>es</w:t>
      </w:r>
      <w:r w:rsidR="00071380">
        <w:rPr>
          <w:rFonts w:ascii="Palatino Linotype" w:hAnsi="Palatino Linotype" w:cs="Arial"/>
        </w:rPr>
        <w:t xml:space="preserve"> se </w:t>
      </w:r>
      <w:r w:rsidR="00CE5945">
        <w:rPr>
          <w:rFonts w:ascii="Palatino Linotype" w:hAnsi="Palatino Linotype" w:cs="Arial"/>
        </w:rPr>
        <w:t xml:space="preserve">inserta la captura de pantalla de la primera foja a manera de ejemplo: </w:t>
      </w:r>
    </w:p>
    <w:p w14:paraId="7C6CF2EF" w14:textId="77777777" w:rsidR="00CE5945" w:rsidRPr="00CE5945" w:rsidRDefault="00CE5945" w:rsidP="00CE5945">
      <w:pPr>
        <w:spacing w:before="240" w:after="240" w:line="360" w:lineRule="auto"/>
        <w:ind w:left="567" w:right="900"/>
        <w:jc w:val="both"/>
        <w:rPr>
          <w:rFonts w:ascii="Palatino Linotype" w:hAnsi="Palatino Linotype" w:cs="Arial"/>
          <w:b/>
          <w:i/>
        </w:rPr>
      </w:pPr>
      <w:r w:rsidRPr="00CE5945">
        <w:rPr>
          <w:rFonts w:ascii="Palatino Linotype" w:hAnsi="Palatino Linotype" w:cs="Arial"/>
          <w:b/>
          <w:i/>
          <w:noProof/>
          <w:lang w:val="es-MX" w:eastAsia="es-MX"/>
        </w:rPr>
        <mc:AlternateContent>
          <mc:Choice Requires="wps">
            <w:drawing>
              <wp:anchor distT="0" distB="0" distL="114300" distR="114300" simplePos="0" relativeHeight="251670528" behindDoc="0" locked="0" layoutInCell="1" allowOverlap="1" wp14:anchorId="7AB0A3CC" wp14:editId="6588B561">
                <wp:simplePos x="0" y="0"/>
                <wp:positionH relativeFrom="column">
                  <wp:posOffset>386715</wp:posOffset>
                </wp:positionH>
                <wp:positionV relativeFrom="paragraph">
                  <wp:posOffset>369570</wp:posOffset>
                </wp:positionV>
                <wp:extent cx="4676775" cy="2838450"/>
                <wp:effectExtent l="0" t="0" r="28575" b="19050"/>
                <wp:wrapNone/>
                <wp:docPr id="7" name="Conector recto 7"/>
                <wp:cNvGraphicFramePr/>
                <a:graphic xmlns:a="http://schemas.openxmlformats.org/drawingml/2006/main">
                  <a:graphicData uri="http://schemas.microsoft.com/office/word/2010/wordprocessingShape">
                    <wps:wsp>
                      <wps:cNvCnPr/>
                      <wps:spPr>
                        <a:xfrm flipH="1">
                          <a:off x="0" y="0"/>
                          <a:ext cx="4676775" cy="2838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0B1BB1E" id="Conector recto 7" o:spid="_x0000_s1026" style="position:absolute;flip:x;z-index:251670528;visibility:visible;mso-wrap-style:square;mso-wrap-distance-left:9pt;mso-wrap-distance-top:0;mso-wrap-distance-right:9pt;mso-wrap-distance-bottom:0;mso-position-horizontal:absolute;mso-position-horizontal-relative:text;mso-position-vertical:absolute;mso-position-vertical-relative:text" from="30.45pt,29.1pt" to="398.7pt,25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" strokecolor="black [3040]"/>
            </w:pict>
          </mc:Fallback>
        </mc:AlternateContent>
      </w:r>
      <w:r w:rsidRPr="00CE5945">
        <w:rPr>
          <w:rFonts w:ascii="Palatino Linotype" w:hAnsi="Palatino Linotype" w:cs="Arial"/>
          <w:b/>
          <w:i/>
        </w:rPr>
        <w:t>“RESP TS 251.pdf”:</w:t>
      </w:r>
    </w:p>
    <w:p w14:paraId="3DA9045A" w14:textId="5CC4AA26" w:rsidR="00CE5945" w:rsidRPr="00600A14" w:rsidRDefault="00CE5945" w:rsidP="00600A14">
      <w:pPr>
        <w:spacing w:before="240" w:after="240" w:line="360" w:lineRule="auto"/>
        <w:ind w:left="567" w:right="900"/>
        <w:jc w:val="both"/>
        <w:rPr>
          <w:rFonts w:ascii="Palatino Linotype" w:hAnsi="Palatino Linotype" w:cs="Arial"/>
        </w:rPr>
      </w:pPr>
      <w:r>
        <w:rPr>
          <w:rFonts w:ascii="Palatino Linotype" w:hAnsi="Palatino Linotype" w:cs="Arial"/>
          <w:noProof/>
          <w:lang w:val="es-MX" w:eastAsia="es-MX"/>
        </w:rPr>
        <w:lastRenderedPageBreak/>
        <w:drawing>
          <wp:anchor distT="0" distB="0" distL="114300" distR="114300" simplePos="0" relativeHeight="251668480" behindDoc="0" locked="0" layoutInCell="1" allowOverlap="1" wp14:anchorId="4BA9DAE4" wp14:editId="404C6C94">
            <wp:simplePos x="0" y="0"/>
            <wp:positionH relativeFrom="margin">
              <wp:align>center</wp:align>
            </wp:positionH>
            <wp:positionV relativeFrom="paragraph">
              <wp:posOffset>163195</wp:posOffset>
            </wp:positionV>
            <wp:extent cx="5084536" cy="5619750"/>
            <wp:effectExtent l="0" t="0" r="1905"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84536" cy="5619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FE66BE" w14:textId="77777777" w:rsidR="00CE5945" w:rsidRDefault="00CE5945" w:rsidP="00B03355">
      <w:pPr>
        <w:spacing w:before="240" w:after="240" w:line="360" w:lineRule="auto"/>
        <w:ind w:right="49"/>
        <w:jc w:val="both"/>
        <w:rPr>
          <w:rFonts w:ascii="Palatino Linotype" w:hAnsi="Palatino Linotype" w:cs="Arial"/>
          <w:b/>
          <w:i/>
          <w:szCs w:val="28"/>
        </w:rPr>
      </w:pPr>
    </w:p>
    <w:p w14:paraId="72B84416" w14:textId="77777777" w:rsidR="00CE5945" w:rsidRDefault="00CE5945" w:rsidP="00B03355">
      <w:pPr>
        <w:spacing w:before="240" w:after="240" w:line="360" w:lineRule="auto"/>
        <w:ind w:right="49"/>
        <w:jc w:val="both"/>
        <w:rPr>
          <w:rFonts w:ascii="Palatino Linotype" w:hAnsi="Palatino Linotype" w:cs="Arial"/>
          <w:b/>
          <w:i/>
          <w:szCs w:val="28"/>
        </w:rPr>
      </w:pPr>
    </w:p>
    <w:p w14:paraId="345FED88" w14:textId="4EEE5211" w:rsidR="00CE5945" w:rsidRDefault="00550E9C" w:rsidP="00B03355">
      <w:pPr>
        <w:spacing w:before="240" w:after="240" w:line="360" w:lineRule="auto"/>
        <w:ind w:right="49"/>
        <w:jc w:val="both"/>
        <w:rPr>
          <w:rFonts w:ascii="Palatino Linotype" w:hAnsi="Palatino Linotype" w:cs="Arial"/>
          <w:b/>
          <w:i/>
          <w:szCs w:val="28"/>
        </w:rPr>
      </w:pPr>
      <w:r>
        <w:rPr>
          <w:rFonts w:ascii="Palatino Linotype" w:hAnsi="Palatino Linotype" w:cs="Arial"/>
          <w:b/>
          <w:i/>
          <w:szCs w:val="28"/>
        </w:rPr>
        <w:t xml:space="preserve"> </w:t>
      </w:r>
    </w:p>
    <w:p w14:paraId="18A6DE4E" w14:textId="71732F53" w:rsidR="00CE5945" w:rsidRDefault="00CE5945" w:rsidP="00B03355">
      <w:pPr>
        <w:spacing w:before="240" w:after="240" w:line="360" w:lineRule="auto"/>
        <w:ind w:right="49"/>
        <w:jc w:val="both"/>
        <w:rPr>
          <w:rFonts w:ascii="Palatino Linotype" w:hAnsi="Palatino Linotype" w:cs="Arial"/>
          <w:b/>
          <w:i/>
          <w:szCs w:val="28"/>
        </w:rPr>
      </w:pPr>
      <w:r w:rsidRPr="00CE5945">
        <w:rPr>
          <w:rFonts w:ascii="Palatino Linotype" w:hAnsi="Palatino Linotype" w:cs="Arial"/>
          <w:b/>
          <w:i/>
          <w:szCs w:val="28"/>
        </w:rPr>
        <w:lastRenderedPageBreak/>
        <w:t>“REP TS 255 CONTRALORIA.pdf”</w:t>
      </w:r>
      <w:r>
        <w:rPr>
          <w:rFonts w:ascii="Palatino Linotype" w:hAnsi="Palatino Linotype" w:cs="Arial"/>
          <w:b/>
          <w:i/>
          <w:szCs w:val="28"/>
        </w:rPr>
        <w:t>:</w:t>
      </w:r>
    </w:p>
    <w:p w14:paraId="6AEB714B" w14:textId="61CB1930" w:rsidR="00CE5945" w:rsidRDefault="00CE5945" w:rsidP="00B03355">
      <w:pPr>
        <w:spacing w:before="240" w:after="240" w:line="360" w:lineRule="auto"/>
        <w:ind w:right="49"/>
        <w:jc w:val="both"/>
        <w:rPr>
          <w:rFonts w:ascii="Palatino Linotype" w:hAnsi="Palatino Linotype" w:cs="Arial"/>
          <w:b/>
          <w:i/>
          <w:szCs w:val="28"/>
        </w:rPr>
      </w:pPr>
      <w:r>
        <w:rPr>
          <w:rFonts w:ascii="Palatino Linotype" w:hAnsi="Palatino Linotype" w:cs="Arial"/>
          <w:b/>
          <w:i/>
          <w:noProof/>
          <w:szCs w:val="28"/>
          <w:lang w:val="es-MX" w:eastAsia="es-MX"/>
        </w:rPr>
        <w:drawing>
          <wp:inline distT="0" distB="0" distL="0" distR="0" wp14:anchorId="5023F597" wp14:editId="04198334">
            <wp:extent cx="5610225" cy="57721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0225" cy="5772150"/>
                    </a:xfrm>
                    <a:prstGeom prst="rect">
                      <a:avLst/>
                    </a:prstGeom>
                    <a:noFill/>
                    <a:ln>
                      <a:noFill/>
                    </a:ln>
                  </pic:spPr>
                </pic:pic>
              </a:graphicData>
            </a:graphic>
          </wp:inline>
        </w:drawing>
      </w:r>
    </w:p>
    <w:p w14:paraId="65664B0C" w14:textId="77777777" w:rsidR="00CE5945" w:rsidRDefault="00CE5945" w:rsidP="00B03355">
      <w:pPr>
        <w:spacing w:before="240" w:after="240" w:line="360" w:lineRule="auto"/>
        <w:ind w:right="49"/>
        <w:jc w:val="both"/>
        <w:rPr>
          <w:rFonts w:ascii="Palatino Linotype" w:hAnsi="Palatino Linotype" w:cs="Arial"/>
          <w:b/>
          <w:i/>
          <w:szCs w:val="28"/>
        </w:rPr>
      </w:pPr>
    </w:p>
    <w:p w14:paraId="40CCC7FA" w14:textId="47922239" w:rsidR="00A44682" w:rsidRDefault="00B03355" w:rsidP="00B03355">
      <w:pPr>
        <w:spacing w:before="240" w:after="240" w:line="360" w:lineRule="auto"/>
        <w:ind w:right="49"/>
        <w:jc w:val="both"/>
        <w:rPr>
          <w:rFonts w:ascii="Palatino Linotype" w:hAnsi="Palatino Linotype" w:cs="Arial"/>
        </w:rPr>
      </w:pPr>
      <w:r w:rsidRPr="00071380">
        <w:rPr>
          <w:rFonts w:ascii="Palatino Linotype" w:hAnsi="Palatino Linotype" w:cs="Arial"/>
          <w:b/>
          <w:szCs w:val="28"/>
        </w:rPr>
        <w:lastRenderedPageBreak/>
        <w:t>3. Integraci</w:t>
      </w:r>
      <w:r w:rsidR="00600A14">
        <w:rPr>
          <w:rFonts w:ascii="Palatino Linotype" w:hAnsi="Palatino Linotype" w:cs="Arial"/>
          <w:b/>
          <w:szCs w:val="28"/>
        </w:rPr>
        <w:t>ón y trámite de los</w:t>
      </w:r>
      <w:r w:rsidRPr="00071380">
        <w:rPr>
          <w:rFonts w:ascii="Palatino Linotype" w:hAnsi="Palatino Linotype" w:cs="Arial"/>
          <w:b/>
          <w:szCs w:val="28"/>
        </w:rPr>
        <w:t xml:space="preserve"> recurso</w:t>
      </w:r>
      <w:r w:rsidR="00600A14">
        <w:rPr>
          <w:rFonts w:ascii="Palatino Linotype" w:hAnsi="Palatino Linotype" w:cs="Arial"/>
          <w:b/>
          <w:szCs w:val="28"/>
        </w:rPr>
        <w:t>s</w:t>
      </w:r>
      <w:r w:rsidRPr="00071380">
        <w:rPr>
          <w:rFonts w:ascii="Palatino Linotype" w:hAnsi="Palatino Linotype" w:cs="Arial"/>
          <w:b/>
          <w:szCs w:val="28"/>
        </w:rPr>
        <w:t xml:space="preserve"> de revisión. </w:t>
      </w:r>
      <w:r w:rsidRPr="00B21F18">
        <w:rPr>
          <w:rFonts w:ascii="Palatino Linotype" w:hAnsi="Palatino Linotype" w:cs="Arial"/>
        </w:rPr>
        <w:t>Inconforme con la</w:t>
      </w:r>
      <w:r w:rsidR="00600A14">
        <w:rPr>
          <w:rFonts w:ascii="Palatino Linotype" w:hAnsi="Palatino Linotype" w:cs="Arial"/>
        </w:rPr>
        <w:t>s</w:t>
      </w:r>
      <w:r w:rsidRPr="00B21F18">
        <w:rPr>
          <w:rFonts w:ascii="Palatino Linotype" w:hAnsi="Palatino Linotype" w:cs="Arial"/>
        </w:rPr>
        <w:t xml:space="preserve"> respuesta</w:t>
      </w:r>
      <w:r w:rsidR="00600A14">
        <w:rPr>
          <w:rFonts w:ascii="Palatino Linotype" w:hAnsi="Palatino Linotype" w:cs="Arial"/>
        </w:rPr>
        <w:t>s</w:t>
      </w:r>
      <w:r w:rsidRPr="00B21F18">
        <w:rPr>
          <w:rFonts w:ascii="Palatino Linotype" w:hAnsi="Palatino Linotype" w:cs="Arial"/>
        </w:rPr>
        <w:t xml:space="preserve">, el </w:t>
      </w:r>
      <w:r w:rsidRPr="00B21F18">
        <w:rPr>
          <w:rFonts w:ascii="Palatino Linotype" w:hAnsi="Palatino Linotype" w:cs="Arial"/>
          <w:b/>
        </w:rPr>
        <w:t>Recurrente</w:t>
      </w:r>
      <w:r w:rsidR="00600A14">
        <w:rPr>
          <w:rFonts w:ascii="Palatino Linotype" w:hAnsi="Palatino Linotype" w:cs="Arial"/>
        </w:rPr>
        <w:t xml:space="preserve"> interpuso los</w:t>
      </w:r>
      <w:r w:rsidRPr="00B21F18">
        <w:rPr>
          <w:rFonts w:ascii="Palatino Linotype" w:hAnsi="Palatino Linotype" w:cs="Arial"/>
        </w:rPr>
        <w:t xml:space="preserve"> recurso</w:t>
      </w:r>
      <w:r w:rsidR="00600A14">
        <w:rPr>
          <w:rFonts w:ascii="Palatino Linotype" w:hAnsi="Palatino Linotype" w:cs="Arial"/>
        </w:rPr>
        <w:t>s</w:t>
      </w:r>
      <w:r w:rsidRPr="00B21F18">
        <w:rPr>
          <w:rFonts w:ascii="Palatino Linotype" w:hAnsi="Palatino Linotype" w:cs="Arial"/>
        </w:rPr>
        <w:t xml:space="preserve"> de revisión </w:t>
      </w:r>
      <w:r w:rsidR="003E666B">
        <w:rPr>
          <w:rFonts w:ascii="Palatino Linotype" w:hAnsi="Palatino Linotype" w:cs="Arial"/>
        </w:rPr>
        <w:t>materia del presente estudio el</w:t>
      </w:r>
      <w:r w:rsidR="00E46A7F">
        <w:rPr>
          <w:rFonts w:ascii="Palatino Linotype" w:hAnsi="Palatino Linotype" w:cs="Arial"/>
        </w:rPr>
        <w:t xml:space="preserve"> </w:t>
      </w:r>
      <w:r w:rsidRPr="00B21F18">
        <w:rPr>
          <w:rFonts w:ascii="Palatino Linotype" w:hAnsi="Palatino Linotype" w:cs="Arial"/>
        </w:rPr>
        <w:t xml:space="preserve">día </w:t>
      </w:r>
      <w:r w:rsidR="00E46A7F">
        <w:rPr>
          <w:rFonts w:ascii="Palatino Linotype" w:hAnsi="Palatino Linotype" w:cs="Arial"/>
          <w:b/>
        </w:rPr>
        <w:t>veintiuno de septiembre</w:t>
      </w:r>
      <w:r w:rsidRPr="00B21F18">
        <w:rPr>
          <w:rFonts w:ascii="Palatino Linotype" w:hAnsi="Palatino Linotype" w:cs="Arial"/>
          <w:b/>
        </w:rPr>
        <w:t xml:space="preserve"> de </w:t>
      </w:r>
      <w:r w:rsidR="00071380">
        <w:rPr>
          <w:rFonts w:ascii="Palatino Linotype" w:hAnsi="Palatino Linotype" w:cs="Arial"/>
          <w:b/>
        </w:rPr>
        <w:t xml:space="preserve">dos mil </w:t>
      </w:r>
      <w:r w:rsidRPr="00B21F18">
        <w:rPr>
          <w:rFonts w:ascii="Palatino Linotype" w:hAnsi="Palatino Linotype" w:cs="Arial"/>
          <w:b/>
        </w:rPr>
        <w:t>ve</w:t>
      </w:r>
      <w:r w:rsidR="00071380">
        <w:rPr>
          <w:rFonts w:ascii="Palatino Linotype" w:hAnsi="Palatino Linotype" w:cs="Arial"/>
          <w:b/>
        </w:rPr>
        <w:t>intiuno</w:t>
      </w:r>
      <w:r w:rsidRPr="00B21F18">
        <w:rPr>
          <w:rFonts w:ascii="Palatino Linotype" w:hAnsi="Palatino Linotype" w:cs="Arial"/>
        </w:rPr>
        <w:t>,</w:t>
      </w:r>
      <w:r w:rsidRPr="00B21F18">
        <w:rPr>
          <w:rFonts w:ascii="Palatino Linotype" w:hAnsi="Palatino Linotype" w:cs="Arial"/>
          <w:b/>
        </w:rPr>
        <w:t xml:space="preserve"> </w:t>
      </w:r>
      <w:r w:rsidR="00E46A7F">
        <w:rPr>
          <w:rFonts w:ascii="Palatino Linotype" w:hAnsi="Palatino Linotype" w:cs="Arial"/>
        </w:rPr>
        <w:t>en los</w:t>
      </w:r>
      <w:r w:rsidRPr="00B21F18">
        <w:rPr>
          <w:rFonts w:ascii="Palatino Linotype" w:hAnsi="Palatino Linotype" w:cs="Arial"/>
        </w:rPr>
        <w:t xml:space="preserve"> que </w:t>
      </w:r>
      <w:r w:rsidR="00071380">
        <w:rPr>
          <w:rFonts w:ascii="Palatino Linotype" w:hAnsi="Palatino Linotype" w:cs="Arial"/>
        </w:rPr>
        <w:t>expresó lo siguiente:</w:t>
      </w:r>
    </w:p>
    <w:p w14:paraId="0D046760" w14:textId="1C44D487" w:rsidR="00C004E1" w:rsidRPr="00C004E1" w:rsidRDefault="00E46A7F" w:rsidP="00B03355">
      <w:pPr>
        <w:spacing w:before="240" w:after="240" w:line="360" w:lineRule="auto"/>
        <w:ind w:right="49"/>
        <w:jc w:val="both"/>
        <w:rPr>
          <w:rFonts w:ascii="Palatino Linotype" w:hAnsi="Palatino Linotype" w:cs="Arial"/>
          <w:b/>
          <w:sz w:val="22"/>
        </w:rPr>
      </w:pPr>
      <w:r w:rsidRPr="00E46A7F">
        <w:rPr>
          <w:rFonts w:ascii="Palatino Linotype" w:hAnsi="Palatino Linotype" w:cs="Arial"/>
          <w:b/>
          <w:sz w:val="22"/>
        </w:rPr>
        <w:t xml:space="preserve">Recurso de Revisión 04769/INFOEM/IP/RR/2021:  </w:t>
      </w:r>
    </w:p>
    <w:p w14:paraId="47E74F1E" w14:textId="71358812" w:rsidR="00B03355" w:rsidRPr="00B21F18" w:rsidRDefault="00071380" w:rsidP="00071380">
      <w:pPr>
        <w:ind w:left="567" w:right="49"/>
        <w:jc w:val="both"/>
        <w:rPr>
          <w:rFonts w:ascii="Palatino Linotype" w:hAnsi="Palatino Linotype" w:cs="Arial"/>
        </w:rPr>
      </w:pPr>
      <w:r>
        <w:rPr>
          <w:rFonts w:ascii="Palatino Linotype" w:hAnsi="Palatino Linotype" w:cs="Arial"/>
          <w:b/>
        </w:rPr>
        <w:t xml:space="preserve">a) </w:t>
      </w:r>
      <w:r w:rsidR="00B03355" w:rsidRPr="00B21F18">
        <w:rPr>
          <w:rFonts w:ascii="Palatino Linotype" w:hAnsi="Palatino Linotype" w:cs="Arial"/>
          <w:b/>
        </w:rPr>
        <w:t xml:space="preserve">Acto impugnado: </w:t>
      </w:r>
    </w:p>
    <w:p w14:paraId="0FD31B53" w14:textId="77777777" w:rsidR="00B03355" w:rsidRPr="00B21F18" w:rsidRDefault="00B03355" w:rsidP="00B03355">
      <w:pPr>
        <w:ind w:right="49"/>
        <w:jc w:val="both"/>
        <w:rPr>
          <w:rFonts w:ascii="Palatino Linotype" w:hAnsi="Palatino Linotype" w:cs="Arial"/>
          <w:i/>
          <w:sz w:val="22"/>
          <w:szCs w:val="22"/>
          <w:lang w:eastAsia="es-MX"/>
        </w:rPr>
      </w:pPr>
    </w:p>
    <w:p w14:paraId="30CC086F" w14:textId="35319E9B" w:rsidR="00B03355" w:rsidRPr="00B21F18" w:rsidRDefault="00B03355" w:rsidP="00A04F15">
      <w:pPr>
        <w:ind w:left="567" w:right="900"/>
        <w:jc w:val="both"/>
        <w:rPr>
          <w:rFonts w:ascii="Palatino Linotype" w:hAnsi="Palatino Linotype" w:cs="Arial"/>
          <w:i/>
          <w:sz w:val="22"/>
          <w:szCs w:val="22"/>
          <w:lang w:eastAsia="es-MX"/>
        </w:rPr>
      </w:pPr>
      <w:r w:rsidRPr="00B21F18">
        <w:rPr>
          <w:rFonts w:ascii="Palatino Linotype" w:hAnsi="Palatino Linotype" w:cs="Arial"/>
          <w:i/>
          <w:sz w:val="22"/>
          <w:szCs w:val="22"/>
          <w:lang w:eastAsia="es-MX"/>
        </w:rPr>
        <w:t>“</w:t>
      </w:r>
      <w:r w:rsidR="00A04F15" w:rsidRPr="00A04F15">
        <w:rPr>
          <w:rFonts w:ascii="Palatino Linotype" w:hAnsi="Palatino Linotype" w:cs="Arial"/>
          <w:i/>
          <w:sz w:val="22"/>
          <w:szCs w:val="22"/>
          <w:lang w:eastAsia="es-MX"/>
        </w:rPr>
        <w:t>respuesta emitida por el L.D. VICTOR HUGO MADIN ULLOA CONTRALOR INTERNO MUNICIPAL DEL H. AYUNTAMIENTO CONSTITUCIONAL DE TENANCINGO recaída a la solicitud de información con número de folio 000251/TENANCIN/IP/2021.</w:t>
      </w:r>
      <w:r w:rsidRPr="00B21F18">
        <w:rPr>
          <w:rFonts w:ascii="Palatino Linotype" w:hAnsi="Palatino Linotype" w:cs="Arial"/>
          <w:i/>
          <w:sz w:val="22"/>
          <w:szCs w:val="22"/>
          <w:lang w:eastAsia="es-MX"/>
        </w:rPr>
        <w:t>” (Sic).</w:t>
      </w:r>
    </w:p>
    <w:p w14:paraId="1E6C5687" w14:textId="3E80556F" w:rsidR="00B03355" w:rsidRPr="00B21F18" w:rsidRDefault="00071380" w:rsidP="00071380">
      <w:pPr>
        <w:spacing w:before="240" w:after="240" w:line="360" w:lineRule="auto"/>
        <w:ind w:left="567" w:right="49"/>
        <w:jc w:val="both"/>
        <w:rPr>
          <w:rFonts w:ascii="Palatino Linotype" w:hAnsi="Palatino Linotype" w:cs="Arial"/>
        </w:rPr>
      </w:pPr>
      <w:r>
        <w:rPr>
          <w:rFonts w:ascii="Palatino Linotype" w:hAnsi="Palatino Linotype" w:cs="Arial"/>
          <w:b/>
        </w:rPr>
        <w:t xml:space="preserve">b) </w:t>
      </w:r>
      <w:r w:rsidR="00B03355" w:rsidRPr="00B21F18">
        <w:rPr>
          <w:rFonts w:ascii="Palatino Linotype" w:hAnsi="Palatino Linotype" w:cs="Arial"/>
          <w:b/>
        </w:rPr>
        <w:t>Razones o motivos de inconformidad</w:t>
      </w:r>
      <w:r w:rsidR="00B03355" w:rsidRPr="00B21F18">
        <w:rPr>
          <w:rFonts w:ascii="Palatino Linotype" w:hAnsi="Palatino Linotype" w:cs="Arial"/>
        </w:rPr>
        <w:t>:</w:t>
      </w:r>
    </w:p>
    <w:p w14:paraId="3D404878" w14:textId="5770AF3F" w:rsidR="00B03355" w:rsidRPr="00B21F18" w:rsidRDefault="00B03355" w:rsidP="00A04F15">
      <w:pPr>
        <w:ind w:left="567" w:right="900"/>
        <w:jc w:val="both"/>
        <w:rPr>
          <w:rFonts w:ascii="Palatino Linotype" w:hAnsi="Palatino Linotype" w:cs="Arial"/>
          <w:i/>
          <w:sz w:val="22"/>
          <w:szCs w:val="22"/>
          <w:lang w:eastAsia="es-MX"/>
        </w:rPr>
      </w:pPr>
      <w:r w:rsidRPr="00B21F18">
        <w:rPr>
          <w:rFonts w:ascii="Palatino Linotype" w:hAnsi="Palatino Linotype" w:cs="Arial"/>
          <w:i/>
          <w:sz w:val="22"/>
          <w:szCs w:val="22"/>
          <w:lang w:eastAsia="es-MX"/>
        </w:rPr>
        <w:t>“</w:t>
      </w:r>
      <w:r w:rsidR="00A04F15" w:rsidRPr="00A04F15">
        <w:rPr>
          <w:rFonts w:ascii="Palatino Linotype" w:hAnsi="Palatino Linotype" w:cs="Arial"/>
          <w:i/>
          <w:sz w:val="22"/>
          <w:szCs w:val="22"/>
          <w:lang w:eastAsia="es-MX"/>
        </w:rPr>
        <w:t xml:space="preserve">SUJETO OBLIGADO: AYUNTAMIENTO DE TENANCINGO, ESTADO DE MÉXICO RESOLUCION IMPUGNADA: RESOLUCION RECAIDA A LA SOLICITUD CON NUMERO DE FOLIO DE SOLICITUD: 000251/TENANCIN/IP/2021 DR. JOSE MARTINEZ VILCHIS. COMISIONADO PRESIDENTE DEL INSTITUTO DE TRANSPARENCIA, ACCESO A LA INFORMACION Y PROTECCION DE DATOS PERSONALES DEL ESTADO DE MÉXICO (INFOEM). PRESENTE: </w:t>
      </w:r>
      <w:r w:rsidR="006E7A04" w:rsidRPr="006E7A04">
        <w:rPr>
          <w:rFonts w:ascii="Palatino Linotype" w:hAnsi="Palatino Linotype" w:cs="Arial"/>
          <w:i/>
          <w:sz w:val="22"/>
          <w:szCs w:val="22"/>
          <w:lang w:eastAsia="es-MX"/>
        </w:rPr>
        <w:t>XXXXX XXXXXX XXXXXXXX XXXXXX</w:t>
      </w:r>
      <w:r w:rsidR="00A04F15" w:rsidRPr="00A04F15">
        <w:rPr>
          <w:rFonts w:ascii="Palatino Linotype" w:hAnsi="Palatino Linotype" w:cs="Arial"/>
          <w:i/>
          <w:sz w:val="22"/>
          <w:szCs w:val="22"/>
          <w:lang w:eastAsia="es-MX"/>
        </w:rPr>
        <w:t xml:space="preserve">, por mi propio derecho y como denunciante, señalando como domicilio para oír y recibir todo tipo de notificaciones en términos del artículo 180 fracción II de la Ley de Transparencia y Acceso a la Información Pública del Estado de México y Municipios, el ubicado en </w:t>
      </w:r>
      <w:r w:rsidR="006E7A04">
        <w:rPr>
          <w:rFonts w:ascii="Palatino Linotype" w:hAnsi="Palatino Linotype" w:cs="Arial"/>
          <w:i/>
          <w:sz w:val="22"/>
          <w:szCs w:val="22"/>
          <w:lang w:eastAsia="es-MX"/>
        </w:rPr>
        <w:t>XXXXXXXXX XXX</w:t>
      </w:r>
      <w:r w:rsidR="00A04F15" w:rsidRPr="00A04F15">
        <w:rPr>
          <w:rFonts w:ascii="Palatino Linotype" w:hAnsi="Palatino Linotype" w:cs="Arial"/>
          <w:i/>
          <w:sz w:val="22"/>
          <w:szCs w:val="22"/>
          <w:lang w:eastAsia="es-MX"/>
        </w:rPr>
        <w:t xml:space="preserve">, </w:t>
      </w:r>
      <w:r w:rsidR="006E7A04">
        <w:rPr>
          <w:rFonts w:ascii="Palatino Linotype" w:hAnsi="Palatino Linotype" w:cs="Arial"/>
          <w:i/>
          <w:sz w:val="22"/>
          <w:szCs w:val="22"/>
          <w:lang w:eastAsia="es-MX"/>
        </w:rPr>
        <w:t xml:space="preserve">XXXXXXX XXX XXXXXXXX, XXXXXX </w:t>
      </w:r>
      <w:proofErr w:type="spellStart"/>
      <w:r w:rsidR="006E7A04">
        <w:rPr>
          <w:rFonts w:ascii="Palatino Linotype" w:hAnsi="Palatino Linotype" w:cs="Arial"/>
          <w:i/>
          <w:sz w:val="22"/>
          <w:szCs w:val="22"/>
          <w:lang w:eastAsia="es-MX"/>
        </w:rPr>
        <w:t>XXXXXX</w:t>
      </w:r>
      <w:proofErr w:type="spellEnd"/>
      <w:r w:rsidR="006E7A04">
        <w:rPr>
          <w:rFonts w:ascii="Palatino Linotype" w:hAnsi="Palatino Linotype" w:cs="Arial"/>
          <w:i/>
          <w:sz w:val="22"/>
          <w:szCs w:val="22"/>
          <w:lang w:eastAsia="es-MX"/>
        </w:rPr>
        <w:t xml:space="preserve"> XX XXXXXX </w:t>
      </w:r>
      <w:r w:rsidR="00A04F15" w:rsidRPr="00A04F15">
        <w:rPr>
          <w:rFonts w:ascii="Palatino Linotype" w:hAnsi="Palatino Linotype" w:cs="Arial"/>
          <w:i/>
          <w:sz w:val="22"/>
          <w:szCs w:val="22"/>
          <w:lang w:eastAsia="es-MX"/>
        </w:rPr>
        <w:t xml:space="preserve">y el correo electrónico </w:t>
      </w:r>
      <w:r w:rsidR="006E7A04">
        <w:rPr>
          <w:rFonts w:ascii="Palatino Linotype" w:hAnsi="Palatino Linotype" w:cs="Arial"/>
          <w:i/>
          <w:sz w:val="22"/>
          <w:szCs w:val="22"/>
          <w:lang w:eastAsia="es-MX"/>
        </w:rPr>
        <w:t>XXXXXXXXXXXXXXXXXXXXXXXXXX</w:t>
      </w:r>
      <w:r w:rsidR="00A04F15" w:rsidRPr="00A04F15">
        <w:rPr>
          <w:rFonts w:ascii="Palatino Linotype" w:hAnsi="Palatino Linotype" w:cs="Arial"/>
          <w:i/>
          <w:sz w:val="22"/>
          <w:szCs w:val="22"/>
          <w:lang w:eastAsia="es-MX"/>
        </w:rPr>
        <w:t xml:space="preserve">; y autorizando para los mismos efectos a los Licenciados ARMANDO HERNANDEZ CONTRERAS Y FRANCISCO BECERRIL MARTINEZ y a la C. GUADALUPE VENANCIO TELESFORO, ante usted, con el debido respeto comparezco para exponer: Que por medio del presente ocurso y con fundamento en los artículos 176, 177, 178 y demás relativos de la LEY DE TRANSPARENCIA Y ACCESO A LA INFORMACION PUBLICA DEL ESTADO DE MEXICO Y MUNICIPIOS, estando en tiempo vengo en forma a interponer RECURSO DE REVISION en contra de la resolución recaída a la solicitud de información de fecha 19/08/2021 a la cual recayó el folio número 000251/TENANCIN/IP/2021, respuesta emitida por el L.D. VICTOR </w:t>
      </w:r>
      <w:r w:rsidR="00A04F15" w:rsidRPr="00A04F15">
        <w:rPr>
          <w:rFonts w:ascii="Palatino Linotype" w:hAnsi="Palatino Linotype" w:cs="Arial"/>
          <w:i/>
          <w:sz w:val="22"/>
          <w:szCs w:val="22"/>
          <w:lang w:eastAsia="es-MX"/>
        </w:rPr>
        <w:lastRenderedPageBreak/>
        <w:t xml:space="preserve">HUGO MADIN ULLOA CONTRALOR INTERNO MUNICIPAL DEL H. AYUNTAMIENTO CONSTITUCIONAL DE TENANCINGO, misma que fuera notificada mediante portal electrónico SAIMEX el día 01/09/2021. Por lo que, a efecto de dar cumplimiento a lo dispuesto por el artículo 180 de la Ley de Transparencia y Acceso a la Información Pública del Estado de México y Municipios manifiesto: I. El sujeto obligado ante la cual se presentó la solicitud; El Ayuntamiento Constitucional de Tenancingo, Estado de México. II. El nombre del solicitante que recurre o de su representante y, en su caso, del tercero interesado, así como la dirección o medio que señale para recibir notificaciones; Mismos que han quedado precisados, siendo </w:t>
      </w:r>
      <w:r w:rsidR="006E7A04" w:rsidRPr="006E7A04">
        <w:rPr>
          <w:rFonts w:ascii="Palatino Linotype" w:hAnsi="Palatino Linotype" w:cs="Arial"/>
          <w:i/>
          <w:sz w:val="22"/>
          <w:szCs w:val="22"/>
          <w:lang w:eastAsia="es-MX"/>
        </w:rPr>
        <w:t>XXXXX XXXXXX XXXXXXXX XXXXXX</w:t>
      </w:r>
      <w:r w:rsidR="00A04F15" w:rsidRPr="00A04F15">
        <w:rPr>
          <w:rFonts w:ascii="Palatino Linotype" w:hAnsi="Palatino Linotype" w:cs="Arial"/>
          <w:i/>
          <w:sz w:val="22"/>
          <w:szCs w:val="22"/>
          <w:lang w:eastAsia="es-MX"/>
        </w:rPr>
        <w:t xml:space="preserve">, con domicilio para oír y recibir todo tipo de notificaciones el ubicado en </w:t>
      </w:r>
      <w:r w:rsidR="006E7A04" w:rsidRPr="006E7A04">
        <w:rPr>
          <w:rFonts w:ascii="Palatino Linotype" w:hAnsi="Palatino Linotype" w:cs="Arial"/>
          <w:i/>
          <w:sz w:val="22"/>
          <w:szCs w:val="22"/>
          <w:lang w:eastAsia="es-MX"/>
        </w:rPr>
        <w:t xml:space="preserve">XXXXXXXXX XXX, XXXXXXX XXX XXXXXXXX, XXXXXX </w:t>
      </w:r>
      <w:proofErr w:type="spellStart"/>
      <w:r w:rsidR="006E7A04" w:rsidRPr="006E7A04">
        <w:rPr>
          <w:rFonts w:ascii="Palatino Linotype" w:hAnsi="Palatino Linotype" w:cs="Arial"/>
          <w:i/>
          <w:sz w:val="22"/>
          <w:szCs w:val="22"/>
          <w:lang w:eastAsia="es-MX"/>
        </w:rPr>
        <w:t>XXXXXX</w:t>
      </w:r>
      <w:proofErr w:type="spellEnd"/>
      <w:r w:rsidR="006E7A04" w:rsidRPr="006E7A04">
        <w:rPr>
          <w:rFonts w:ascii="Palatino Linotype" w:hAnsi="Palatino Linotype" w:cs="Arial"/>
          <w:i/>
          <w:sz w:val="22"/>
          <w:szCs w:val="22"/>
          <w:lang w:eastAsia="es-MX"/>
        </w:rPr>
        <w:t xml:space="preserve"> XX XXXXXX y el correo electrónico XXXXXXXXXXXXXXXXXXXXXXXXXX;</w:t>
      </w:r>
      <w:r w:rsidR="00A04F15" w:rsidRPr="00A04F15">
        <w:rPr>
          <w:rFonts w:ascii="Palatino Linotype" w:hAnsi="Palatino Linotype" w:cs="Arial"/>
          <w:i/>
          <w:sz w:val="22"/>
          <w:szCs w:val="22"/>
          <w:lang w:eastAsia="es-MX"/>
        </w:rPr>
        <w:t xml:space="preserve"> y el correo electrónico </w:t>
      </w:r>
      <w:r w:rsidR="006E7A04" w:rsidRPr="006E7A04">
        <w:rPr>
          <w:rFonts w:ascii="Palatino Linotype" w:hAnsi="Palatino Linotype" w:cs="Arial"/>
          <w:i/>
          <w:sz w:val="22"/>
          <w:szCs w:val="22"/>
          <w:lang w:eastAsia="es-MX"/>
        </w:rPr>
        <w:t xml:space="preserve">XXXXXXXXXXXXXXXXXXXXXXXXXX </w:t>
      </w:r>
      <w:r w:rsidR="00A04F15" w:rsidRPr="00A04F15">
        <w:rPr>
          <w:rFonts w:ascii="Palatino Linotype" w:hAnsi="Palatino Linotype" w:cs="Arial"/>
          <w:i/>
          <w:sz w:val="22"/>
          <w:szCs w:val="22"/>
          <w:lang w:eastAsia="es-MX"/>
        </w:rPr>
        <w:t xml:space="preserve">III. El número de folio de respuesta de la solicitud de acceso; 000251/TENANCIN/IP/2021 IV. La fecha en que fue notificada la respuesta al solicitante o tuvo conocimiento del acto reclamado, o de presentación de la solicitud, en caso de falta de respuesta; Primero de septiembre de dos mil veintiuno. V. El acto que se recurre; respuesta emitida por el L.D. VICTOR HUGO MADIN ULLOA CONTRALOR INTERNO MUNICIPAL DEL H. AYUNTAMIENTO CONSTITUCIONAL DE TENANCINGO recaída a la solicitud de información con número de folio 000251/TENANCIN/IP/2021. VI. Las razones o motivos de inconformidad; Mismos que se señalan a continuación en el </w:t>
      </w:r>
      <w:proofErr w:type="spellStart"/>
      <w:r w:rsidR="00A04F15" w:rsidRPr="00A04F15">
        <w:rPr>
          <w:rFonts w:ascii="Palatino Linotype" w:hAnsi="Palatino Linotype" w:cs="Arial"/>
          <w:i/>
          <w:sz w:val="22"/>
          <w:szCs w:val="22"/>
          <w:lang w:eastAsia="es-MX"/>
        </w:rPr>
        <w:t>capitulo</w:t>
      </w:r>
      <w:proofErr w:type="spellEnd"/>
      <w:r w:rsidR="00A04F15" w:rsidRPr="00A04F15">
        <w:rPr>
          <w:rFonts w:ascii="Palatino Linotype" w:hAnsi="Palatino Linotype" w:cs="Arial"/>
          <w:i/>
          <w:sz w:val="22"/>
          <w:szCs w:val="22"/>
          <w:lang w:eastAsia="es-MX"/>
        </w:rPr>
        <w:t xml:space="preserve"> respectivo. VII. La copia de la respuesta que se impugna y, en su caso, de la notificación correspondiente, en el caso de respuesta de la solicitud; Se acompaña copia simple de la resolución y notificación respectiva en virtud de haberse notificado por medio del portal electrónico. VIII. Firma del recurrente, en su caso, cuando se presente por escrito, requisito sin el cual se dará trámite al recurso. Misma que obra al final del presente escrito. RAZONES Y MOTIVOS DE INCONFORMIDAD </w:t>
      </w:r>
      <w:r w:rsidR="00A04F15" w:rsidRPr="00CA31C0">
        <w:rPr>
          <w:rFonts w:ascii="Palatino Linotype" w:hAnsi="Palatino Linotype" w:cs="Arial"/>
          <w:b/>
          <w:i/>
          <w:sz w:val="22"/>
          <w:szCs w:val="22"/>
          <w:u w:val="single"/>
          <w:lang w:eastAsia="es-MX"/>
        </w:rPr>
        <w:t xml:space="preserve">Me causa agravio en su totalidad la respuesta que me diera el contralor interno del H. Ayuntamiento de Tenancingo a través del portal electrónico SAIMEX respecto a la solicitud de información registrada con el folio 000251/TENANCIN/IP/2021, en fecha 11 de agosto hogaño en la cual de manera clara y precisa se le solicitaba a el Sujeto Obligado lo siguiente “solicito información sobre: los procedimientos de Responsabilidades Administrativas que lleva el área de Contraloría, correspondientes a los periodo 2019, 2020 y 2021. Nombre de los presuntos responsables de los procedimientos de responsabilidades administrativas que lleva la Contraloría, correspondientes a los periodos 2019, 2020 y 2021. Nombre del servidor público que más procedimientos tiene en TRÁMITE, RESUELTOS Y PROCESADOS. Los Procedimientos de Responsabilidad Administrativa </w:t>
      </w:r>
      <w:r w:rsidR="00A04F15" w:rsidRPr="00CA31C0">
        <w:rPr>
          <w:rFonts w:ascii="Palatino Linotype" w:hAnsi="Palatino Linotype" w:cs="Arial"/>
          <w:b/>
          <w:i/>
          <w:sz w:val="22"/>
          <w:szCs w:val="22"/>
          <w:u w:val="single"/>
          <w:lang w:eastAsia="es-MX"/>
        </w:rPr>
        <w:lastRenderedPageBreak/>
        <w:t xml:space="preserve">que tienen de Alfonso López </w:t>
      </w:r>
      <w:proofErr w:type="spellStart"/>
      <w:r w:rsidR="00A04F15" w:rsidRPr="00CA31C0">
        <w:rPr>
          <w:rFonts w:ascii="Palatino Linotype" w:hAnsi="Palatino Linotype" w:cs="Arial"/>
          <w:b/>
          <w:i/>
          <w:sz w:val="22"/>
          <w:szCs w:val="22"/>
          <w:u w:val="single"/>
          <w:lang w:eastAsia="es-MX"/>
        </w:rPr>
        <w:t>Abundis</w:t>
      </w:r>
      <w:proofErr w:type="spellEnd"/>
      <w:r w:rsidR="00A04F15" w:rsidRPr="00CA31C0">
        <w:rPr>
          <w:rFonts w:ascii="Palatino Linotype" w:hAnsi="Palatino Linotype" w:cs="Arial"/>
          <w:b/>
          <w:i/>
          <w:sz w:val="22"/>
          <w:szCs w:val="22"/>
          <w:u w:val="single"/>
          <w:lang w:eastAsia="es-MX"/>
        </w:rPr>
        <w:t xml:space="preserve">.” A lo que de manera infantil, infundada y carente de cualquier motivación legal el sujeto obligado omite cumplir con su obligación de proporcionar la información y menciona en su escrito de contestación lo siguiente: Lo anterior aunado a que el sujeto obligado argumenta que el suscrito no es COMPETENTE para conocer sobre los procedimientos y por consecuencia de los laudos o resoluciones administrativas que dicte la contraloría interna del municipio de Tenancingo ya que el suscrito no se ostenta como una autoridad o parte </w:t>
      </w:r>
      <w:r w:rsidR="00A04F15" w:rsidRPr="00131F2F">
        <w:rPr>
          <w:rFonts w:ascii="Palatino Linotype" w:hAnsi="Palatino Linotype" w:cs="Arial"/>
          <w:b/>
          <w:i/>
          <w:sz w:val="22"/>
          <w:szCs w:val="22"/>
          <w:u w:val="single"/>
          <w:lang w:eastAsia="es-MX"/>
        </w:rPr>
        <w:t xml:space="preserve">que pueda interferir en los procedimientos administrativos o procesos que se llevan a cabo dentro de esa dependencia municipal, lo cual constituye un grave error y denota su falta de conocimiento en la materia, por lo que causa una grave violación a mis Derechos Humanos de Transparencia y Acceso a la Información Pública contemplados por el artículo 6, apartado A, de la Constitución Política de los Estados Unidos Mexicanos y con lo establecido por la Ley General de Transparencia y Acceso a la Información Pública. Ya que, si bien es cierto; el suscrito no se ostenta como autoridad o parte en los procesos cuya información se requiere, también es cierto que la Ley de Transparencia y Acceso a la Información del Estado de México y municipios específicamente en el artículo 92 párrafo XL establece las obligaciones de Transparencia Comunes de la siguiente manera; 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…XL. Las resoluciones y laudos que se emitan en procesos o procedimientos seguidos en forma de juicio;… En consecuencia; resulta evidente el desconocimiento de la ley por parte del sujeto obligado; ya que de manera arbitraria contraviene lo dispuesto por el precepto legal en comento, mismo que; como se puede advertir, establece que será INFORMACION PUBLICA los laudos y resoluciones que emitan en los procesos o procedimientos y por consecuencia y por simple analogía información sobre los procedimientos y procesos administrativos de los cuales se encuentran bajo su resguardo y dado que es lo que se le solicito a el Sujeto Obligado transgrede y viola de manera clara y precisa lo estipulado el primer párrafo del numeral antes citado. Resultando falsa la manifestación que realiza el L. en D. VICTOR HUGO MADIN ULLOA CONTRALOR INTERNO MUNICIPAL DE TENANCINGO ESTADO DE MEXICO, al mencionar que el suscrito no puedo obtener información sobre los procesos o procedimientos administrativos de los cuales ellos conocen y resuelven ya que como quedo </w:t>
      </w:r>
      <w:r w:rsidR="00A04F15" w:rsidRPr="00131F2F">
        <w:rPr>
          <w:rFonts w:ascii="Palatino Linotype" w:hAnsi="Palatino Linotype" w:cs="Arial"/>
          <w:b/>
          <w:i/>
          <w:sz w:val="22"/>
          <w:szCs w:val="22"/>
          <w:u w:val="single"/>
          <w:lang w:eastAsia="es-MX"/>
        </w:rPr>
        <w:lastRenderedPageBreak/>
        <w:t>claramente evidenciado, es obligación del sujeto obligado emitir dicha información pues la misma constituye información pública de oficio, así debe decirse que el oficio mediante el cual se atiende mi solicitud es violatorio en todo sentido en relación a todas las leyes y normas aplicables en materia de Transparencia y Acceso a la Información dado a que no me proporciona la información solicitada dejándome en un estado de indefensión tras violentar mis derechos y garantías constitucionales.</w:t>
      </w:r>
      <w:r w:rsidR="00A04F15" w:rsidRPr="00A04F15">
        <w:rPr>
          <w:rFonts w:ascii="Palatino Linotype" w:hAnsi="Palatino Linotype" w:cs="Arial"/>
          <w:i/>
          <w:sz w:val="22"/>
          <w:szCs w:val="22"/>
          <w:lang w:eastAsia="es-MX"/>
        </w:rPr>
        <w:t xml:space="preserve"> Sirva el siguiente comunicado emitido por la SUPREMA CORTE DE JUSTICIA DE LA NACION: No. 032/2021 Ciudad de México, a 05 de febrero de 2021 CONFORME A LA LEGISLACIÓN PREVIA A LA REFORMA EN MATERIA DE PUBLICIDAD DE SENTENCIAS, TODAS LAS RESOLUCIONES DE LOS TRIBU-NALES DEL PAÍS DEBEN PONERSE A DISPOSICIÓN DE LA SOCIEDAD POR CONSTITUIR INFORMACIÓN DE INTERÉS PÚBLICO: PRIMERA SALA La Suprema Corte de Justicia de la Nación (SCJN), en sesión remota de Primera Sala, determinó, a partir de una interpretación sistemática de la legislación general y local en materia de transparencia y acceso a la información pública, que todas las sentencias de los tribunales del país deben ponerse a disposición de la sociedad por constituir información de interés público. Esta determinación emana de un juicio de amparo promovido por personas en lo in-</w:t>
      </w:r>
      <w:proofErr w:type="spellStart"/>
      <w:r w:rsidR="00A04F15" w:rsidRPr="00A04F15">
        <w:rPr>
          <w:rFonts w:ascii="Palatino Linotype" w:hAnsi="Palatino Linotype" w:cs="Arial"/>
          <w:i/>
          <w:sz w:val="22"/>
          <w:szCs w:val="22"/>
          <w:lang w:eastAsia="es-MX"/>
        </w:rPr>
        <w:t>dividual</w:t>
      </w:r>
      <w:proofErr w:type="spellEnd"/>
      <w:r w:rsidR="00A04F15" w:rsidRPr="00A04F15">
        <w:rPr>
          <w:rFonts w:ascii="Palatino Linotype" w:hAnsi="Palatino Linotype" w:cs="Arial"/>
          <w:i/>
          <w:sz w:val="22"/>
          <w:szCs w:val="22"/>
          <w:lang w:eastAsia="es-MX"/>
        </w:rPr>
        <w:t xml:space="preserve"> y por asociaciones civiles, en el cual reclamaron la omisión de los órganos del Poder Judicial del Estado de Zacatecas de elaborar y poner a disposición de la sociedad versiones públicas de sus sentencias durante los años 2016 y 2017, así como la inconstitucionalidad de los artículos 73, fracción II, de la Ley General de Transparencia y Acceso a la Información Pública (LGATIP), y 43, fracción II, de la Ley de Transparencia y Acceso a la Información Pública del Estado de Zacatecas (LTAIPZ), por prever la obligación de hacer versiones públicas únicamente de </w:t>
      </w:r>
      <w:proofErr w:type="spellStart"/>
      <w:r w:rsidR="00A04F15" w:rsidRPr="00A04F15">
        <w:rPr>
          <w:rFonts w:ascii="Palatino Linotype" w:hAnsi="Palatino Linotype" w:cs="Arial"/>
          <w:i/>
          <w:sz w:val="22"/>
          <w:szCs w:val="22"/>
          <w:lang w:eastAsia="es-MX"/>
        </w:rPr>
        <w:t>aque-llas</w:t>
      </w:r>
      <w:proofErr w:type="spellEnd"/>
      <w:r w:rsidR="00A04F15" w:rsidRPr="00A04F15">
        <w:rPr>
          <w:rFonts w:ascii="Palatino Linotype" w:hAnsi="Palatino Linotype" w:cs="Arial"/>
          <w:i/>
          <w:sz w:val="22"/>
          <w:szCs w:val="22"/>
          <w:lang w:eastAsia="es-MX"/>
        </w:rPr>
        <w:t xml:space="preserve"> sentencias que sean de interés público. De igual forma fueron reclamados los “Lineamientos técnicos generales para la </w:t>
      </w:r>
      <w:proofErr w:type="spellStart"/>
      <w:r w:rsidR="00A04F15" w:rsidRPr="00A04F15">
        <w:rPr>
          <w:rFonts w:ascii="Palatino Linotype" w:hAnsi="Palatino Linotype" w:cs="Arial"/>
          <w:i/>
          <w:sz w:val="22"/>
          <w:szCs w:val="22"/>
          <w:lang w:eastAsia="es-MX"/>
        </w:rPr>
        <w:t>pu-blicación</w:t>
      </w:r>
      <w:proofErr w:type="spellEnd"/>
      <w:r w:rsidR="00A04F15" w:rsidRPr="00A04F15">
        <w:rPr>
          <w:rFonts w:ascii="Palatino Linotype" w:hAnsi="Palatino Linotype" w:cs="Arial"/>
          <w:i/>
          <w:sz w:val="22"/>
          <w:szCs w:val="22"/>
          <w:lang w:eastAsia="es-MX"/>
        </w:rPr>
        <w:t>, homologación y estandarización de la información de las obligaciones es-</w:t>
      </w:r>
      <w:proofErr w:type="spellStart"/>
      <w:r w:rsidR="00A04F15" w:rsidRPr="00A04F15">
        <w:rPr>
          <w:rFonts w:ascii="Palatino Linotype" w:hAnsi="Palatino Linotype" w:cs="Arial"/>
          <w:i/>
          <w:sz w:val="22"/>
          <w:szCs w:val="22"/>
          <w:lang w:eastAsia="es-MX"/>
        </w:rPr>
        <w:t>tablecidas</w:t>
      </w:r>
      <w:proofErr w:type="spellEnd"/>
      <w:r w:rsidR="00A04F15" w:rsidRPr="00A04F15">
        <w:rPr>
          <w:rFonts w:ascii="Palatino Linotype" w:hAnsi="Palatino Linotype" w:cs="Arial"/>
          <w:i/>
          <w:sz w:val="22"/>
          <w:szCs w:val="22"/>
          <w:lang w:eastAsia="es-MX"/>
        </w:rPr>
        <w:t xml:space="preserve"> en el Título Quinto y en la fracción IV del artículo 31 de la Ley General de Transparencia y Acceso a la Información Pública, que deben difundir los sujetos obligados en los portales de internet y en la Plataforma Nacional de Transparencia” (Lineamiento técnicos), para hacer efectiva dicha obligación. Al conocer del asunto en revisión, la Sala determinó, en primer lugar, que el hecho de que conforme al Decreto publicado el 13 de agosto de 2020, se haya reformado el artículo 73, fracción II la LGTAIP, para que los sujetos obligados de los Poderes Judiciales Federal y de las Entidades Federativas pongan a disposición del público y actualicen las versiones públicas de todas las sentencias emitidas, no constituye razón suficiente para considerar que la redacción previa de dicho numeral, la cual prevé tal obligación únicamente respecto de las sentencias que fueran de interés público, haya cesado en sus efectos. Lo </w:t>
      </w:r>
      <w:r w:rsidR="00A04F15" w:rsidRPr="00A04F15">
        <w:rPr>
          <w:rFonts w:ascii="Palatino Linotype" w:hAnsi="Palatino Linotype" w:cs="Arial"/>
          <w:i/>
          <w:sz w:val="22"/>
          <w:szCs w:val="22"/>
          <w:lang w:eastAsia="es-MX"/>
        </w:rPr>
        <w:lastRenderedPageBreak/>
        <w:t xml:space="preserve">anterior, puesto que la reforma al precepto reclamado aún no entra en vigor, ya que en términos de sus artículos primero y tercero transitorios, se cuenta con un plazo de 180 días para su armonización a nivel nacional, en tanto que sus efectos no han sido suprimidos de manera total e incondicional de la esfera jurídica de las quejosas como si se les hubiera otorgado el amparo, lo cual trajo consigo que, al menos en los años 2016 y 2017, no fuera publicada alguna versión pública de las ejecutorias pronunciadas por los tribunales de Zacatecas. Asimismo, la Sala consideró que la eficacia del derecho de acceso a la información no se reduce a la previsión de mecanismos para que las personas puedan solicitar a los órganos del Estado acceso a documentos o archivos, como las sentencias, por tanto decidió que el Juez de Distrito restó eficacia al derecho de acceso a la </w:t>
      </w:r>
      <w:proofErr w:type="spellStart"/>
      <w:r w:rsidR="00A04F15" w:rsidRPr="00A04F15">
        <w:rPr>
          <w:rFonts w:ascii="Palatino Linotype" w:hAnsi="Palatino Linotype" w:cs="Arial"/>
          <w:i/>
          <w:sz w:val="22"/>
          <w:szCs w:val="22"/>
          <w:lang w:eastAsia="es-MX"/>
        </w:rPr>
        <w:t>infor-mación</w:t>
      </w:r>
      <w:proofErr w:type="spellEnd"/>
      <w:r w:rsidR="00A04F15" w:rsidRPr="00A04F15">
        <w:rPr>
          <w:rFonts w:ascii="Palatino Linotype" w:hAnsi="Palatino Linotype" w:cs="Arial"/>
          <w:i/>
          <w:sz w:val="22"/>
          <w:szCs w:val="22"/>
          <w:lang w:eastAsia="es-MX"/>
        </w:rPr>
        <w:t xml:space="preserve">, al considerar que bastaba la mera previsión en la normativa impugnada de la posibilidad de acceder a las sentencias de los órganos del Poder Judicial de </w:t>
      </w:r>
      <w:proofErr w:type="spellStart"/>
      <w:r w:rsidR="00A04F15" w:rsidRPr="00A04F15">
        <w:rPr>
          <w:rFonts w:ascii="Palatino Linotype" w:hAnsi="Palatino Linotype" w:cs="Arial"/>
          <w:i/>
          <w:sz w:val="22"/>
          <w:szCs w:val="22"/>
          <w:lang w:eastAsia="es-MX"/>
        </w:rPr>
        <w:t>Za-catecas</w:t>
      </w:r>
      <w:proofErr w:type="spellEnd"/>
      <w:r w:rsidR="00A04F15" w:rsidRPr="00A04F15">
        <w:rPr>
          <w:rFonts w:ascii="Palatino Linotype" w:hAnsi="Palatino Linotype" w:cs="Arial"/>
          <w:i/>
          <w:sz w:val="22"/>
          <w:szCs w:val="22"/>
          <w:lang w:eastAsia="es-MX"/>
        </w:rPr>
        <w:t>, vía solicitud de acceso a la información, para considerar satisfecho ese derecho fundamental. Por otra parte, a partir de una interpretación sistemática de la legislación en la mate-</w:t>
      </w:r>
      <w:proofErr w:type="spellStart"/>
      <w:r w:rsidR="00A04F15" w:rsidRPr="00A04F15">
        <w:rPr>
          <w:rFonts w:ascii="Palatino Linotype" w:hAnsi="Palatino Linotype" w:cs="Arial"/>
          <w:i/>
          <w:sz w:val="22"/>
          <w:szCs w:val="22"/>
          <w:lang w:eastAsia="es-MX"/>
        </w:rPr>
        <w:t>ria</w:t>
      </w:r>
      <w:proofErr w:type="spellEnd"/>
      <w:r w:rsidR="00A04F15" w:rsidRPr="00A04F15">
        <w:rPr>
          <w:rFonts w:ascii="Palatino Linotype" w:hAnsi="Palatino Linotype" w:cs="Arial"/>
          <w:i/>
          <w:sz w:val="22"/>
          <w:szCs w:val="22"/>
          <w:lang w:eastAsia="es-MX"/>
        </w:rPr>
        <w:t>, la Primera Sala resolvió sostener la constitucionalidad de los artículos 73, frac-</w:t>
      </w:r>
      <w:proofErr w:type="spellStart"/>
      <w:r w:rsidR="00A04F15" w:rsidRPr="00A04F15">
        <w:rPr>
          <w:rFonts w:ascii="Palatino Linotype" w:hAnsi="Palatino Linotype" w:cs="Arial"/>
          <w:i/>
          <w:sz w:val="22"/>
          <w:szCs w:val="22"/>
          <w:lang w:eastAsia="es-MX"/>
        </w:rPr>
        <w:t>ción</w:t>
      </w:r>
      <w:proofErr w:type="spellEnd"/>
      <w:r w:rsidR="00A04F15" w:rsidRPr="00A04F15">
        <w:rPr>
          <w:rFonts w:ascii="Palatino Linotype" w:hAnsi="Palatino Linotype" w:cs="Arial"/>
          <w:i/>
          <w:sz w:val="22"/>
          <w:szCs w:val="22"/>
          <w:lang w:eastAsia="es-MX"/>
        </w:rPr>
        <w:t xml:space="preserve"> II, de la LGTAIP, y 43, fracción II, de la LTAIPZ, que prevén la publicidad </w:t>
      </w:r>
      <w:proofErr w:type="spellStart"/>
      <w:r w:rsidR="00A04F15" w:rsidRPr="00A04F15">
        <w:rPr>
          <w:rFonts w:ascii="Palatino Linotype" w:hAnsi="Palatino Linotype" w:cs="Arial"/>
          <w:i/>
          <w:sz w:val="22"/>
          <w:szCs w:val="22"/>
          <w:lang w:eastAsia="es-MX"/>
        </w:rPr>
        <w:t>úni-camente</w:t>
      </w:r>
      <w:proofErr w:type="spellEnd"/>
      <w:r w:rsidR="00A04F15" w:rsidRPr="00A04F15">
        <w:rPr>
          <w:rFonts w:ascii="Palatino Linotype" w:hAnsi="Palatino Linotype" w:cs="Arial"/>
          <w:i/>
          <w:sz w:val="22"/>
          <w:szCs w:val="22"/>
          <w:lang w:eastAsia="es-MX"/>
        </w:rPr>
        <w:t xml:space="preserve"> de las sentencias que sean de interés público, al estimar que la totalidad de las sentencias emitidas por los tribunales del país encuadran en los dos </w:t>
      </w:r>
      <w:proofErr w:type="spellStart"/>
      <w:r w:rsidR="00A04F15" w:rsidRPr="00A04F15">
        <w:rPr>
          <w:rFonts w:ascii="Palatino Linotype" w:hAnsi="Palatino Linotype" w:cs="Arial"/>
          <w:i/>
          <w:sz w:val="22"/>
          <w:szCs w:val="22"/>
          <w:lang w:eastAsia="es-MX"/>
        </w:rPr>
        <w:t>paráme-tros</w:t>
      </w:r>
      <w:proofErr w:type="spellEnd"/>
      <w:r w:rsidR="00A04F15" w:rsidRPr="00A04F15">
        <w:rPr>
          <w:rFonts w:ascii="Palatino Linotype" w:hAnsi="Palatino Linotype" w:cs="Arial"/>
          <w:i/>
          <w:sz w:val="22"/>
          <w:szCs w:val="22"/>
          <w:lang w:eastAsia="es-MX"/>
        </w:rPr>
        <w:t xml:space="preserve"> necesarios conforme al numeral 3, fracción XII de la LGTAIP, para considerar que constituyen información de interés público, a saber: 1) Contienen información relevante o beneficiosa para la sociedad y no simplemente de interés individual, pues la divulgación de las sentencias resulta fundamental para conocer cómo la legislación es entendida por los jueces y concretizada en los casos puestos a su jurisdicción, y 2) Su divulgación es útil para que el público comprenda las actividades llevadas a cabo por el poder judicial local y federal, así como para fiscalizar y dar seguimiento al desempeño que tienen los servidores públicos a quienes se les ha depositado la alta responsabilidad de administrar justicia. En ese tenor, concluyó que todas las sentencias emitidas son de interés público y, por ende, ameritan ser puestas a disposición en versiones públicas a través de los portales de Internet de los respectivos Poderes Judiciales. Con relación a los Lineamientos técnicos, la Sala deliberó que éstos contienen un vicio de inconstitucionalidad en su anexo IV, fracción II, al disponer que deberán publicarse “las sentencias de aquellos asuntos que durante su proceso de </w:t>
      </w:r>
      <w:proofErr w:type="spellStart"/>
      <w:r w:rsidR="00A04F15" w:rsidRPr="00A04F15">
        <w:rPr>
          <w:rFonts w:ascii="Palatino Linotype" w:hAnsi="Palatino Linotype" w:cs="Arial"/>
          <w:i/>
          <w:sz w:val="22"/>
          <w:szCs w:val="22"/>
          <w:lang w:eastAsia="es-MX"/>
        </w:rPr>
        <w:t>resolu-ción</w:t>
      </w:r>
      <w:proofErr w:type="spellEnd"/>
      <w:r w:rsidR="00A04F15" w:rsidRPr="00A04F15">
        <w:rPr>
          <w:rFonts w:ascii="Palatino Linotype" w:hAnsi="Palatino Linotype" w:cs="Arial"/>
          <w:i/>
          <w:sz w:val="22"/>
          <w:szCs w:val="22"/>
          <w:lang w:eastAsia="es-MX"/>
        </w:rPr>
        <w:t xml:space="preserve"> trataron puntos controvertidos que les otorgan importancia jurídica y social y, por tanto, se consideran asuntos trascendentales para la nación”, pues al fijar el </w:t>
      </w:r>
      <w:proofErr w:type="spellStart"/>
      <w:r w:rsidR="00A04F15" w:rsidRPr="00A04F15">
        <w:rPr>
          <w:rFonts w:ascii="Palatino Linotype" w:hAnsi="Palatino Linotype" w:cs="Arial"/>
          <w:i/>
          <w:sz w:val="22"/>
          <w:szCs w:val="22"/>
          <w:lang w:eastAsia="es-MX"/>
        </w:rPr>
        <w:t>pa-rámetro</w:t>
      </w:r>
      <w:proofErr w:type="spellEnd"/>
      <w:r w:rsidR="00A04F15" w:rsidRPr="00A04F15">
        <w:rPr>
          <w:rFonts w:ascii="Palatino Linotype" w:hAnsi="Palatino Linotype" w:cs="Arial"/>
          <w:i/>
          <w:sz w:val="22"/>
          <w:szCs w:val="22"/>
          <w:lang w:eastAsia="es-MX"/>
        </w:rPr>
        <w:t xml:space="preserve"> para determinar las sentencias que deben publicarse, presupone la existen-</w:t>
      </w:r>
      <w:proofErr w:type="spellStart"/>
      <w:r w:rsidR="00A04F15" w:rsidRPr="00A04F15">
        <w:rPr>
          <w:rFonts w:ascii="Palatino Linotype" w:hAnsi="Palatino Linotype" w:cs="Arial"/>
          <w:i/>
          <w:sz w:val="22"/>
          <w:szCs w:val="22"/>
          <w:lang w:eastAsia="es-MX"/>
        </w:rPr>
        <w:t>cia</w:t>
      </w:r>
      <w:proofErr w:type="spellEnd"/>
      <w:r w:rsidR="00A04F15" w:rsidRPr="00A04F15">
        <w:rPr>
          <w:rFonts w:ascii="Palatino Linotype" w:hAnsi="Palatino Linotype" w:cs="Arial"/>
          <w:i/>
          <w:sz w:val="22"/>
          <w:szCs w:val="22"/>
          <w:lang w:eastAsia="es-MX"/>
        </w:rPr>
        <w:t xml:space="preserve"> de resoluciones que no tendrán esas características y, por lo mismo, releva a los sujetos obligados de su publicación, lo cual restringe indebidamente el umbral de sentencias que deben ser puestas a disposición de la sociedad, en los términos de la LGTAIP y conforme a la interpretación sistemática señalada previamente. Finalmente, la Sala </w:t>
      </w:r>
      <w:r w:rsidR="00A04F15" w:rsidRPr="00A04F15">
        <w:rPr>
          <w:rFonts w:ascii="Palatino Linotype" w:hAnsi="Palatino Linotype" w:cs="Arial"/>
          <w:i/>
          <w:sz w:val="22"/>
          <w:szCs w:val="22"/>
          <w:lang w:eastAsia="es-MX"/>
        </w:rPr>
        <w:lastRenderedPageBreak/>
        <w:t xml:space="preserve">determinó que la falta de puesta a disposición por parte de los órganos del Poder Judicial de Zacatecas de las versiones públicas de las </w:t>
      </w:r>
      <w:proofErr w:type="spellStart"/>
      <w:r w:rsidR="00A04F15" w:rsidRPr="00A04F15">
        <w:rPr>
          <w:rFonts w:ascii="Palatino Linotype" w:hAnsi="Palatino Linotype" w:cs="Arial"/>
          <w:i/>
          <w:sz w:val="22"/>
          <w:szCs w:val="22"/>
          <w:lang w:eastAsia="es-MX"/>
        </w:rPr>
        <w:t>senten-cias</w:t>
      </w:r>
      <w:proofErr w:type="spellEnd"/>
      <w:r w:rsidR="00A04F15" w:rsidRPr="00A04F15">
        <w:rPr>
          <w:rFonts w:ascii="Palatino Linotype" w:hAnsi="Palatino Linotype" w:cs="Arial"/>
          <w:i/>
          <w:sz w:val="22"/>
          <w:szCs w:val="22"/>
          <w:lang w:eastAsia="es-MX"/>
        </w:rPr>
        <w:t xml:space="preserve"> dictadas del durante los años 2016 y 2017, vulneró el principio de legalidad y el derecho de acceso a la información de las quejosas, pues a pesar de contar con ellas y tener una obligación al respecto, de conformidad con los artículos 73, frac-</w:t>
      </w:r>
      <w:proofErr w:type="spellStart"/>
      <w:r w:rsidR="00A04F15" w:rsidRPr="00A04F15">
        <w:rPr>
          <w:rFonts w:ascii="Palatino Linotype" w:hAnsi="Palatino Linotype" w:cs="Arial"/>
          <w:i/>
          <w:sz w:val="22"/>
          <w:szCs w:val="22"/>
          <w:lang w:eastAsia="es-MX"/>
        </w:rPr>
        <w:t>ción</w:t>
      </w:r>
      <w:proofErr w:type="spellEnd"/>
      <w:r w:rsidR="00A04F15" w:rsidRPr="00A04F15">
        <w:rPr>
          <w:rFonts w:ascii="Palatino Linotype" w:hAnsi="Palatino Linotype" w:cs="Arial"/>
          <w:i/>
          <w:sz w:val="22"/>
          <w:szCs w:val="22"/>
          <w:lang w:eastAsia="es-MX"/>
        </w:rPr>
        <w:t xml:space="preserve"> II, de la LGTAIP, y 43, fracción II, de la LTAIPZ, fueron omisas en publicar </w:t>
      </w:r>
      <w:proofErr w:type="spellStart"/>
      <w:r w:rsidR="00A04F15" w:rsidRPr="00A04F15">
        <w:rPr>
          <w:rFonts w:ascii="Palatino Linotype" w:hAnsi="Palatino Linotype" w:cs="Arial"/>
          <w:i/>
          <w:sz w:val="22"/>
          <w:szCs w:val="22"/>
          <w:lang w:eastAsia="es-MX"/>
        </w:rPr>
        <w:t>és</w:t>
      </w:r>
      <w:proofErr w:type="spellEnd"/>
      <w:r w:rsidR="00A04F15" w:rsidRPr="00A04F15">
        <w:rPr>
          <w:rFonts w:ascii="Palatino Linotype" w:hAnsi="Palatino Linotype" w:cs="Arial"/>
          <w:i/>
          <w:sz w:val="22"/>
          <w:szCs w:val="22"/>
          <w:lang w:eastAsia="es-MX"/>
        </w:rPr>
        <w:t>-tas, por lo que se concedió el amparo a las quejosas a fin de que dichas sentencias sean divulgadas en la página de internet del Tribunal Superior de Justicia de dicha entidad federativa, así como en la Plataforma Nacional de Transparencia. Amparo en revisión 271/2020. Ponente Ministro Juan Luis González Alcántara Ca-</w:t>
      </w:r>
      <w:proofErr w:type="spellStart"/>
      <w:r w:rsidR="00A04F15" w:rsidRPr="00A04F15">
        <w:rPr>
          <w:rFonts w:ascii="Palatino Linotype" w:hAnsi="Palatino Linotype" w:cs="Arial"/>
          <w:i/>
          <w:sz w:val="22"/>
          <w:szCs w:val="22"/>
          <w:lang w:eastAsia="es-MX"/>
        </w:rPr>
        <w:t>rrancá</w:t>
      </w:r>
      <w:proofErr w:type="spellEnd"/>
      <w:r w:rsidR="00A04F15" w:rsidRPr="00A04F15">
        <w:rPr>
          <w:rFonts w:ascii="Palatino Linotype" w:hAnsi="Palatino Linotype" w:cs="Arial"/>
          <w:i/>
          <w:sz w:val="22"/>
          <w:szCs w:val="22"/>
          <w:lang w:eastAsia="es-MX"/>
        </w:rPr>
        <w:t>. Sesión de 3 de febrero de 2021. También cabe resaltar que tanto los laudos de los procedimientos y las resoluciones administrativas que llevan a cabo en forma de juicio dentro de la contraloría interna deben de ser información pública y que de igual manera los procedimientos y procesos son públicos esto de acuerdo a el PRINCIPIO DE MAXIMA PUBLICIDAD del cual se desprende que no solo las partes en los procesos o procedimientos que lleven a cabo por cualquier autoridad del estado pueden conocer de éstos sino que, con base en el principio referido, todo el público en general puede conocer de los mismos, lo anterior a partir de la reforma constitucional del año 2007, en la que se estableció en la fracción primera, segundo párrafo, del artículo 6o. de la Constitución General, que toda la información que se encuentre en posesión de cualquier entidad del gobierno, en cualquiera de sus ámbitos, debe ser pública, reconociendo explícitamente el derecho de acceso a la información pública adicionando en todos los aspectos el PRINCIPIO DE MÁXIMA PUBLICIDAD y de igual forma el principio general del derecho de “QUIEN PUEDE LO MAS, PUEDE LO MENOS, traduciéndose en el sentido de que si puedo conocer de la sentencia cuanto más puedo conocer de los procesos o procedimientos que se llevan a cabo dentro de la Contraloría Interna Municipal de Tenancingo, y más aun los que se llevan a cabo en contra de un determinado Servidor Público ya que como lo establece la Ley General de Transparencia y Acceso a la Información en los numerales 70 y 73 fracción II que a la letra dicen: 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 […</w:t>
      </w:r>
      <w:proofErr w:type="gramStart"/>
      <w:r w:rsidR="00A04F15" w:rsidRPr="00A04F15">
        <w:rPr>
          <w:rFonts w:ascii="Palatino Linotype" w:hAnsi="Palatino Linotype" w:cs="Arial"/>
          <w:i/>
          <w:sz w:val="22"/>
          <w:szCs w:val="22"/>
          <w:lang w:eastAsia="es-MX"/>
        </w:rPr>
        <w:t>] …</w:t>
      </w:r>
      <w:proofErr w:type="gramEnd"/>
      <w:r w:rsidR="00A04F15" w:rsidRPr="00A04F15">
        <w:rPr>
          <w:rFonts w:ascii="Palatino Linotype" w:hAnsi="Palatino Linotype" w:cs="Arial"/>
          <w:i/>
          <w:sz w:val="22"/>
          <w:szCs w:val="22"/>
          <w:lang w:eastAsia="es-MX"/>
        </w:rPr>
        <w:t xml:space="preserve">Artículo 73. Además de lo señalado en el artículo 70 de la presente Ley, los sujetos obligados de los Poderes Judiciales Federal y de las Entidades Federativas deberán poner a disposición del público y actualizar la siguiente información: I. Las tesis y ejecutorias publicadas en el Semanario Judicial de la Federación o en la Gaceta respectiva de cada tribunal administrativo, incluyendo tesis jurisprudenciales y aisladas; II. Las versiones públicas de las sentencias que sean de interés público; III. </w:t>
      </w:r>
      <w:r w:rsidR="00A04F15" w:rsidRPr="00A04F15">
        <w:rPr>
          <w:rFonts w:ascii="Palatino Linotype" w:hAnsi="Palatino Linotype" w:cs="Arial"/>
          <w:i/>
          <w:sz w:val="22"/>
          <w:szCs w:val="22"/>
          <w:lang w:eastAsia="es-MX"/>
        </w:rPr>
        <w:lastRenderedPageBreak/>
        <w:t xml:space="preserve">Las versiones estenográficas de las sesiones públicas; IV. La relacionada con los procesos por medio de los cuales fueron designados los jueces y magistrados, y V. La lista de acuerdos que diariamente se publiquen. En consecuencia solicito se analicen los agravios que esgrimo y por consecuencia se declaren procedentes y se condene al sujeto obligado a la entrega de la información solicitada, apercibiendo para el caso de negativa determinar solución en términos de ley. Por lo anteriormente fundado y motivado atentamente pido. PRIMERO: se me tenga por presentado en tiempo y forma, interponiendo el presente recurso de REVISION en contra de la resolución de fecha 19 de agosto del 2021 notificada el 1 de septiembre hogaño por medio del cual el AYUNTAMIENTO de Tenancingo no proporciono la información solicitada mediante el portal de transparencia. SEGUNDA: Teniendo en cuanta lo anterior establecer los mecanismos para garantizar el cumplimiento y la efectiva aplicación de las medidas de apremio y las sanciones que correspondan. PROTESTO LO NECESARIO </w:t>
      </w:r>
      <w:r w:rsidR="006E7A04" w:rsidRPr="006E7A04">
        <w:rPr>
          <w:rFonts w:ascii="Palatino Linotype" w:hAnsi="Palatino Linotype" w:cs="Arial"/>
          <w:i/>
          <w:sz w:val="22"/>
          <w:szCs w:val="22"/>
          <w:lang w:eastAsia="es-MX"/>
        </w:rPr>
        <w:t>XXXXX XXXXXX XXXXXXXX XXXXXX</w:t>
      </w:r>
      <w:r w:rsidR="00071380">
        <w:rPr>
          <w:rFonts w:ascii="Palatino Linotype" w:hAnsi="Palatino Linotype" w:cs="Arial"/>
          <w:i/>
          <w:sz w:val="22"/>
          <w:szCs w:val="22"/>
          <w:lang w:eastAsia="es-MX"/>
        </w:rPr>
        <w:t>”</w:t>
      </w:r>
      <w:r w:rsidRPr="002B5089">
        <w:rPr>
          <w:rFonts w:ascii="Palatino Linotype" w:hAnsi="Palatino Linotype" w:cs="Arial"/>
          <w:i/>
          <w:sz w:val="22"/>
          <w:szCs w:val="22"/>
          <w:lang w:eastAsia="es-MX"/>
        </w:rPr>
        <w:t xml:space="preserve"> </w:t>
      </w:r>
      <w:r w:rsidRPr="00B21F18">
        <w:rPr>
          <w:rFonts w:ascii="Palatino Linotype" w:hAnsi="Palatino Linotype" w:cs="Arial"/>
          <w:i/>
          <w:sz w:val="22"/>
          <w:szCs w:val="22"/>
          <w:lang w:eastAsia="es-MX"/>
        </w:rPr>
        <w:t>(Sic).</w:t>
      </w:r>
    </w:p>
    <w:p w14:paraId="6628EBBF" w14:textId="77777777" w:rsidR="00B03355" w:rsidRPr="00B21F18" w:rsidRDefault="00B03355" w:rsidP="00B03355">
      <w:pPr>
        <w:ind w:right="49"/>
        <w:jc w:val="both"/>
        <w:rPr>
          <w:rFonts w:ascii="Palatino Linotype" w:hAnsi="Palatino Linotype" w:cs="Arial"/>
          <w:i/>
          <w:sz w:val="22"/>
          <w:szCs w:val="22"/>
          <w:lang w:eastAsia="es-MX"/>
        </w:rPr>
      </w:pPr>
    </w:p>
    <w:p w14:paraId="4AE8FB84" w14:textId="2EF1C70D" w:rsidR="00B03355" w:rsidRDefault="00B03355" w:rsidP="00AF3515">
      <w:pPr>
        <w:spacing w:line="360" w:lineRule="auto"/>
        <w:ind w:left="567" w:right="902"/>
        <w:jc w:val="both"/>
        <w:rPr>
          <w:rFonts w:ascii="Palatino Linotype" w:hAnsi="Palatino Linotype" w:cs="Arial"/>
          <w:lang w:eastAsia="es-MX"/>
        </w:rPr>
      </w:pPr>
      <w:r w:rsidRPr="00B21F18">
        <w:rPr>
          <w:rFonts w:ascii="Palatino Linotype" w:hAnsi="Palatino Linotype" w:cs="Arial"/>
          <w:b/>
          <w:lang w:eastAsia="es-MX"/>
        </w:rPr>
        <w:t xml:space="preserve">Archivos adjuntos: </w:t>
      </w:r>
      <w:r w:rsidR="004D6AB1">
        <w:rPr>
          <w:rFonts w:ascii="Palatino Linotype" w:hAnsi="Palatino Linotype" w:cs="Arial"/>
          <w:lang w:eastAsia="es-MX"/>
        </w:rPr>
        <w:t>El Recurrente remitió el archivo</w:t>
      </w:r>
      <w:r w:rsidR="00071380">
        <w:rPr>
          <w:rFonts w:ascii="Palatino Linotype" w:hAnsi="Palatino Linotype" w:cs="Arial"/>
          <w:lang w:eastAsia="es-MX"/>
        </w:rPr>
        <w:t xml:space="preserve"> </w:t>
      </w:r>
      <w:r w:rsidR="00071380" w:rsidRPr="002B4161">
        <w:rPr>
          <w:rFonts w:ascii="Palatino Linotype" w:hAnsi="Palatino Linotype" w:cs="Arial"/>
          <w:b/>
          <w:i/>
          <w:lang w:eastAsia="es-MX"/>
        </w:rPr>
        <w:t>“</w:t>
      </w:r>
      <w:r w:rsidR="004D6AB1" w:rsidRPr="004D6AB1">
        <w:rPr>
          <w:rFonts w:ascii="Palatino Linotype" w:hAnsi="Palatino Linotype" w:cs="Arial"/>
          <w:b/>
          <w:i/>
          <w:lang w:eastAsia="es-MX"/>
        </w:rPr>
        <w:t>RECURSO DE REVISION SAIMEX_00251.docx</w:t>
      </w:r>
      <w:r w:rsidR="002B4161" w:rsidRPr="002B4161">
        <w:rPr>
          <w:rFonts w:ascii="Palatino Linotype" w:hAnsi="Palatino Linotype" w:cs="Arial"/>
          <w:b/>
          <w:i/>
          <w:lang w:eastAsia="es-MX"/>
        </w:rPr>
        <w:t>”</w:t>
      </w:r>
      <w:r w:rsidR="00550E9C">
        <w:rPr>
          <w:rFonts w:ascii="Palatino Linotype" w:hAnsi="Palatino Linotype" w:cs="Arial"/>
          <w:b/>
          <w:i/>
          <w:lang w:eastAsia="es-MX"/>
        </w:rPr>
        <w:t xml:space="preserve"> </w:t>
      </w:r>
      <w:r w:rsidR="00550E9C">
        <w:rPr>
          <w:rFonts w:ascii="Palatino Linotype" w:hAnsi="Palatino Linotype" w:cs="Arial"/>
          <w:lang w:eastAsia="es-MX"/>
        </w:rPr>
        <w:t xml:space="preserve">del cual se inserta la siguiente captura </w:t>
      </w:r>
      <w:r w:rsidR="00AF3515">
        <w:rPr>
          <w:rFonts w:ascii="Palatino Linotype" w:hAnsi="Palatino Linotype" w:cs="Arial"/>
          <w:lang w:eastAsia="es-MX"/>
        </w:rPr>
        <w:t xml:space="preserve">de pantalla de la primera foja del archivo </w:t>
      </w:r>
      <w:r w:rsidR="00550E9C">
        <w:rPr>
          <w:rFonts w:ascii="Palatino Linotype" w:hAnsi="Palatino Linotype" w:cs="Arial"/>
          <w:lang w:eastAsia="es-MX"/>
        </w:rPr>
        <w:t>a manera de ejemplo:</w:t>
      </w:r>
      <w:r w:rsidR="004D6AB1">
        <w:rPr>
          <w:rFonts w:ascii="Palatino Linotype" w:hAnsi="Palatino Linotype" w:cs="Arial"/>
          <w:lang w:eastAsia="es-MX"/>
        </w:rPr>
        <w:t xml:space="preserve"> </w:t>
      </w:r>
    </w:p>
    <w:p w14:paraId="6CB39AF4" w14:textId="2E3076A2" w:rsidR="00AF3515" w:rsidRDefault="00AF3515" w:rsidP="00AF3515">
      <w:pPr>
        <w:spacing w:line="360" w:lineRule="auto"/>
        <w:ind w:left="567" w:right="902"/>
        <w:jc w:val="both"/>
        <w:rPr>
          <w:rFonts w:ascii="Palatino Linotype" w:hAnsi="Palatino Linotype" w:cs="Arial"/>
          <w:lang w:eastAsia="es-MX"/>
        </w:rPr>
      </w:pPr>
      <w:r>
        <w:rPr>
          <w:rFonts w:ascii="Palatino Linotype" w:hAnsi="Palatino Linotype" w:cs="Arial"/>
          <w:noProof/>
          <w:lang w:val="es-MX" w:eastAsia="es-MX"/>
        </w:rPr>
        <mc:AlternateContent>
          <mc:Choice Requires="wps">
            <w:drawing>
              <wp:anchor distT="0" distB="0" distL="114300" distR="114300" simplePos="0" relativeHeight="251671552" behindDoc="0" locked="0" layoutInCell="1" allowOverlap="1" wp14:anchorId="1443EAD6" wp14:editId="5AE0CEAC">
                <wp:simplePos x="0" y="0"/>
                <wp:positionH relativeFrom="column">
                  <wp:posOffset>586740</wp:posOffset>
                </wp:positionH>
                <wp:positionV relativeFrom="paragraph">
                  <wp:posOffset>320040</wp:posOffset>
                </wp:positionV>
                <wp:extent cx="4657725" cy="3028950"/>
                <wp:effectExtent l="0" t="0" r="28575" b="19050"/>
                <wp:wrapNone/>
                <wp:docPr id="8" name="Conector recto 8"/>
                <wp:cNvGraphicFramePr/>
                <a:graphic xmlns:a="http://schemas.openxmlformats.org/drawingml/2006/main">
                  <a:graphicData uri="http://schemas.microsoft.com/office/word/2010/wordprocessingShape">
                    <wps:wsp>
                      <wps:cNvCnPr/>
                      <wps:spPr>
                        <a:xfrm flipH="1">
                          <a:off x="0" y="0"/>
                          <a:ext cx="4657725" cy="3028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7F32B0C" id="Conector recto 8" o:spid="_x0000_s1026" style="position:absolute;flip:x;z-index:251671552;visibility:visible;mso-wrap-style:square;mso-wrap-distance-left:9pt;mso-wrap-distance-top:0;mso-wrap-distance-right:9pt;mso-wrap-distance-bottom:0;mso-position-horizontal:absolute;mso-position-horizontal-relative:text;mso-position-vertical:absolute;mso-position-vertical-relative:text" from="46.2pt,25.2pt" to="412.95pt,2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" strokecolor="black [3040]"/>
            </w:pict>
          </mc:Fallback>
        </mc:AlternateContent>
      </w:r>
    </w:p>
    <w:p w14:paraId="0953BE1C" w14:textId="4FE8A0D9" w:rsidR="004D6AB1" w:rsidRPr="004D6AB1" w:rsidRDefault="004D6AB1" w:rsidP="004D6AB1">
      <w:pPr>
        <w:ind w:left="567" w:right="900"/>
        <w:jc w:val="both"/>
        <w:rPr>
          <w:rFonts w:ascii="Palatino Linotype" w:hAnsi="Palatino Linotype" w:cs="Arial"/>
          <w:b/>
          <w:i/>
          <w:lang w:eastAsia="es-MX"/>
        </w:rPr>
      </w:pPr>
    </w:p>
    <w:p w14:paraId="249597FB" w14:textId="48376261" w:rsidR="006329CF" w:rsidRDefault="006E7A04" w:rsidP="00A04F15">
      <w:pPr>
        <w:ind w:right="900"/>
        <w:jc w:val="both"/>
        <w:rPr>
          <w:rFonts w:ascii="Palatino Linotype" w:hAnsi="Palatino Linotype" w:cs="Arial"/>
          <w:b/>
        </w:rPr>
      </w:pPr>
      <w:r>
        <w:rPr>
          <w:rFonts w:ascii="Palatino Linotype" w:hAnsi="Palatino Linotype" w:cs="Arial"/>
          <w:b/>
          <w:noProof/>
          <w:lang w:val="es-MX" w:eastAsia="es-MX"/>
        </w:rPr>
        <w:lastRenderedPageBreak/>
        <w:drawing>
          <wp:inline distT="0" distB="0" distL="0" distR="0" wp14:anchorId="03CC6A20" wp14:editId="14638022">
            <wp:extent cx="3886200" cy="43624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86200" cy="4362450"/>
                    </a:xfrm>
                    <a:prstGeom prst="rect">
                      <a:avLst/>
                    </a:prstGeom>
                    <a:noFill/>
                    <a:ln>
                      <a:noFill/>
                    </a:ln>
                  </pic:spPr>
                </pic:pic>
              </a:graphicData>
            </a:graphic>
          </wp:inline>
        </w:drawing>
      </w:r>
    </w:p>
    <w:p w14:paraId="171DF1DB" w14:textId="77777777" w:rsidR="00E21378" w:rsidRDefault="00E21378" w:rsidP="00A04F15">
      <w:pPr>
        <w:ind w:right="900"/>
        <w:jc w:val="both"/>
        <w:rPr>
          <w:rFonts w:ascii="Palatino Linotype" w:hAnsi="Palatino Linotype" w:cs="Arial"/>
          <w:b/>
        </w:rPr>
      </w:pPr>
    </w:p>
    <w:p w14:paraId="48C4914D" w14:textId="70282CEF" w:rsidR="00E46A7F" w:rsidRDefault="00A04F15" w:rsidP="00A04F15">
      <w:pPr>
        <w:ind w:right="900"/>
        <w:jc w:val="both"/>
        <w:rPr>
          <w:rFonts w:ascii="Palatino Linotype" w:hAnsi="Palatino Linotype" w:cs="Arial"/>
          <w:b/>
        </w:rPr>
      </w:pPr>
      <w:r>
        <w:rPr>
          <w:rFonts w:ascii="Palatino Linotype" w:hAnsi="Palatino Linotype" w:cs="Arial"/>
          <w:b/>
        </w:rPr>
        <w:t xml:space="preserve">Recurso de revisión </w:t>
      </w:r>
      <w:r w:rsidR="00E46A7F">
        <w:rPr>
          <w:rFonts w:ascii="Palatino Linotype" w:hAnsi="Palatino Linotype" w:cs="Arial"/>
          <w:b/>
        </w:rPr>
        <w:t>04770</w:t>
      </w:r>
      <w:r w:rsidR="00E46A7F" w:rsidRPr="0003297A">
        <w:rPr>
          <w:rFonts w:ascii="Palatino Linotype" w:hAnsi="Palatino Linotype" w:cs="Arial"/>
          <w:b/>
        </w:rPr>
        <w:t>/INFOEM/IP/RR/2021</w:t>
      </w:r>
      <w:r>
        <w:rPr>
          <w:rFonts w:ascii="Palatino Linotype" w:hAnsi="Palatino Linotype" w:cs="Arial"/>
          <w:b/>
        </w:rPr>
        <w:t>:</w:t>
      </w:r>
    </w:p>
    <w:p w14:paraId="54DF3DF3" w14:textId="77777777" w:rsidR="00A04F15" w:rsidRDefault="00A04F15" w:rsidP="00A04F15">
      <w:pPr>
        <w:ind w:right="900"/>
        <w:jc w:val="both"/>
        <w:rPr>
          <w:rFonts w:ascii="Palatino Linotype" w:hAnsi="Palatino Linotype" w:cs="Arial"/>
          <w:lang w:eastAsia="es-MX"/>
        </w:rPr>
      </w:pPr>
    </w:p>
    <w:p w14:paraId="053B5221" w14:textId="14C0999F" w:rsidR="00A04F15" w:rsidRDefault="00A04F15" w:rsidP="00B17D48">
      <w:pPr>
        <w:pStyle w:val="Prrafodelista"/>
        <w:numPr>
          <w:ilvl w:val="0"/>
          <w:numId w:val="5"/>
        </w:numPr>
        <w:ind w:left="567" w:right="49" w:hanging="283"/>
        <w:jc w:val="both"/>
        <w:rPr>
          <w:rFonts w:ascii="Palatino Linotype" w:hAnsi="Palatino Linotype" w:cs="Arial"/>
          <w:b/>
        </w:rPr>
      </w:pPr>
      <w:r w:rsidRPr="00A04F15">
        <w:rPr>
          <w:rFonts w:ascii="Palatino Linotype" w:hAnsi="Palatino Linotype" w:cs="Arial"/>
          <w:b/>
        </w:rPr>
        <w:t xml:space="preserve">Acto impugnado: </w:t>
      </w:r>
    </w:p>
    <w:p w14:paraId="3BD2241B" w14:textId="77777777" w:rsidR="00A04F15" w:rsidRDefault="00A04F15" w:rsidP="00A04F15">
      <w:pPr>
        <w:pStyle w:val="Prrafodelista"/>
        <w:ind w:left="567" w:right="49"/>
        <w:jc w:val="both"/>
        <w:rPr>
          <w:rFonts w:ascii="Palatino Linotype" w:hAnsi="Palatino Linotype" w:cs="Arial"/>
          <w:b/>
        </w:rPr>
      </w:pPr>
    </w:p>
    <w:p w14:paraId="0661B921" w14:textId="79E882E6" w:rsidR="00A04F15" w:rsidRPr="003E666B" w:rsidRDefault="00A04F15" w:rsidP="003E666B">
      <w:pPr>
        <w:pStyle w:val="Prrafodelista"/>
        <w:ind w:left="567" w:right="900"/>
        <w:jc w:val="both"/>
        <w:rPr>
          <w:rFonts w:ascii="Palatino Linotype" w:hAnsi="Palatino Linotype" w:cs="Arial"/>
          <w:i/>
          <w:sz w:val="22"/>
        </w:rPr>
      </w:pPr>
      <w:r w:rsidRPr="00A04F15">
        <w:rPr>
          <w:rFonts w:ascii="Palatino Linotype" w:hAnsi="Palatino Linotype" w:cs="Arial"/>
          <w:i/>
          <w:sz w:val="22"/>
        </w:rPr>
        <w:t>“respuesta emitida por el L.D. VICTOR HUGO MADIN ULLOA CONTRALOR INTERNO MUNICIPAL DEL H. AYUNTAMIENTO CONSTITUCIONAL DE TENANCINGO recaída a la solicitud de información con número de folio 000255/TENANCIN/IP/2021.” (</w:t>
      </w:r>
      <w:proofErr w:type="gramStart"/>
      <w:r w:rsidRPr="00A04F15">
        <w:rPr>
          <w:rFonts w:ascii="Palatino Linotype" w:hAnsi="Palatino Linotype" w:cs="Arial"/>
          <w:i/>
          <w:sz w:val="22"/>
        </w:rPr>
        <w:t>sic</w:t>
      </w:r>
      <w:proofErr w:type="gramEnd"/>
      <w:r w:rsidRPr="00A04F15">
        <w:rPr>
          <w:rFonts w:ascii="Palatino Linotype" w:hAnsi="Palatino Linotype" w:cs="Arial"/>
          <w:i/>
          <w:sz w:val="22"/>
        </w:rPr>
        <w:t>)</w:t>
      </w:r>
    </w:p>
    <w:p w14:paraId="3DE98000" w14:textId="6F103A00" w:rsidR="00A04F15" w:rsidRPr="00A04F15" w:rsidRDefault="00A04F15" w:rsidP="00B17D48">
      <w:pPr>
        <w:pStyle w:val="Prrafodelista"/>
        <w:numPr>
          <w:ilvl w:val="0"/>
          <w:numId w:val="5"/>
        </w:numPr>
        <w:spacing w:before="240" w:after="240" w:line="360" w:lineRule="auto"/>
        <w:ind w:left="567" w:right="49" w:hanging="283"/>
        <w:jc w:val="both"/>
        <w:rPr>
          <w:rFonts w:ascii="Palatino Linotype" w:hAnsi="Palatino Linotype" w:cs="Arial"/>
        </w:rPr>
      </w:pPr>
      <w:r w:rsidRPr="00A04F15">
        <w:rPr>
          <w:rFonts w:ascii="Palatino Linotype" w:hAnsi="Palatino Linotype" w:cs="Arial"/>
          <w:b/>
        </w:rPr>
        <w:t>Razones o motivos de inconformidad</w:t>
      </w:r>
      <w:r w:rsidRPr="00A04F15">
        <w:rPr>
          <w:rFonts w:ascii="Palatino Linotype" w:hAnsi="Palatino Linotype" w:cs="Arial"/>
        </w:rPr>
        <w:t>:</w:t>
      </w:r>
    </w:p>
    <w:p w14:paraId="283AB3CB" w14:textId="74314117" w:rsidR="00A04F15" w:rsidRDefault="00A04F15" w:rsidP="00A04F15">
      <w:pPr>
        <w:spacing w:before="240" w:after="240"/>
        <w:ind w:left="567" w:right="900"/>
        <w:jc w:val="both"/>
        <w:rPr>
          <w:rFonts w:ascii="Palatino Linotype" w:hAnsi="Palatino Linotype" w:cs="Arial"/>
          <w:i/>
          <w:sz w:val="22"/>
        </w:rPr>
      </w:pPr>
      <w:r>
        <w:rPr>
          <w:rFonts w:ascii="Palatino Linotype" w:hAnsi="Palatino Linotype" w:cs="Arial"/>
          <w:i/>
          <w:sz w:val="22"/>
        </w:rPr>
        <w:t>“</w:t>
      </w:r>
      <w:r w:rsidRPr="00A04F15">
        <w:rPr>
          <w:rFonts w:ascii="Palatino Linotype" w:hAnsi="Palatino Linotype" w:cs="Arial"/>
          <w:i/>
          <w:sz w:val="22"/>
        </w:rPr>
        <w:t xml:space="preserve">SUJETO OBLIGADO: AYUNTAMIENTO DE TENANCINGO, ESTADO DE MÉXICO RESOLUCION IMPUGNADA: RESOLUCION RECAIDA A LA SOLICITUD CON NUMERO DE FOLIO DE SOLICITUD: 000255/TENANCIN/IP/2021 DR. JOSE MARTINEZ VILCHIS. </w:t>
      </w:r>
      <w:r w:rsidRPr="00A04F15">
        <w:rPr>
          <w:rFonts w:ascii="Palatino Linotype" w:hAnsi="Palatino Linotype" w:cs="Arial"/>
          <w:i/>
          <w:sz w:val="22"/>
        </w:rPr>
        <w:lastRenderedPageBreak/>
        <w:t xml:space="preserve">COMISIONADO PRESIDENTE DEL INSTITUTO DE TRANSPARENCIA, ACCESO A LA INFORMACION Y PROTECCION DE DATOS PERSONALES DEL ESTADO DE MÉXICO (INFOEM). PRESENTE: </w:t>
      </w:r>
      <w:r w:rsidR="006E7A04" w:rsidRPr="006E7A04">
        <w:rPr>
          <w:rFonts w:ascii="Palatino Linotype" w:hAnsi="Palatino Linotype" w:cs="Arial"/>
          <w:i/>
          <w:sz w:val="22"/>
        </w:rPr>
        <w:t>XXXXX XXXXXX XXXXXXXX XXXXXX</w:t>
      </w:r>
      <w:r w:rsidRPr="00A04F15">
        <w:rPr>
          <w:rFonts w:ascii="Palatino Linotype" w:hAnsi="Palatino Linotype" w:cs="Arial"/>
          <w:i/>
          <w:sz w:val="22"/>
        </w:rPr>
        <w:t xml:space="preserve">, por mi propio derecho y como denunciante, señalando como domicilio para oír y recibir todo tipo de notificaciones en términos del artículo 180 fracción II de la Ley de Transparencia y Acceso a la Información Pública del Estado de México y Municipios, el ubicado en </w:t>
      </w:r>
      <w:r w:rsidR="00392DD9" w:rsidRPr="00392DD9">
        <w:rPr>
          <w:rFonts w:ascii="Palatino Linotype" w:hAnsi="Palatino Linotype" w:cs="Arial"/>
          <w:i/>
          <w:sz w:val="22"/>
        </w:rPr>
        <w:t xml:space="preserve">XXXXXXXXX XXX, XXXXXXX XXX XXXXXXXX, XXXXXX </w:t>
      </w:r>
      <w:proofErr w:type="spellStart"/>
      <w:r w:rsidR="00392DD9" w:rsidRPr="00392DD9">
        <w:rPr>
          <w:rFonts w:ascii="Palatino Linotype" w:hAnsi="Palatino Linotype" w:cs="Arial"/>
          <w:i/>
          <w:sz w:val="22"/>
        </w:rPr>
        <w:t>XXXXXX</w:t>
      </w:r>
      <w:proofErr w:type="spellEnd"/>
      <w:r w:rsidR="00392DD9" w:rsidRPr="00392DD9">
        <w:rPr>
          <w:rFonts w:ascii="Palatino Linotype" w:hAnsi="Palatino Linotype" w:cs="Arial"/>
          <w:i/>
          <w:sz w:val="22"/>
        </w:rPr>
        <w:t xml:space="preserve"> XX XXXXXX </w:t>
      </w:r>
      <w:r w:rsidRPr="00A04F15">
        <w:rPr>
          <w:rFonts w:ascii="Palatino Linotype" w:hAnsi="Palatino Linotype" w:cs="Arial"/>
          <w:i/>
          <w:sz w:val="22"/>
        </w:rPr>
        <w:t xml:space="preserve">y el correo electrónico </w:t>
      </w:r>
      <w:r w:rsidR="00392DD9" w:rsidRPr="00392DD9">
        <w:rPr>
          <w:rFonts w:ascii="Palatino Linotype" w:hAnsi="Palatino Linotype" w:cs="Arial"/>
          <w:i/>
          <w:sz w:val="22"/>
        </w:rPr>
        <w:t>XXXXXXXXXXXXXXXXXXXXXXXXXX;</w:t>
      </w:r>
      <w:r w:rsidRPr="00A04F15">
        <w:rPr>
          <w:rFonts w:ascii="Palatino Linotype" w:hAnsi="Palatino Linotype" w:cs="Arial"/>
          <w:i/>
          <w:sz w:val="22"/>
        </w:rPr>
        <w:t xml:space="preserve">; y autorizando para los mismos efectos a los Licenciados ARMANDO HERNANDEZ CONTRERAS Y FRANCISCO BECERRIL MARTINEZ y a la C. GUADALUPE VENANCIO TELESFORO, ante usted, con el debido respeto comparezco para exponer: Que por medio del presente ocurso y con fundamento en los artículos 176, 177, 178 y demás relativos de la LEY DE TRANSPARENCIA Y ACCESO A LA INFORMACION PUBLICA DEL ESTADO DE MEXICO Y MUNICIPIOS, estando en tiempo vengo en forma a interponer RECURSO DE REVISION en contra de la resolución recaída a la solicitud de información de fecha 11/08/2021 a la cual recayó el folio número 000255/TENANCIN/IP/2021, respuesta emitida por el L.D. VICTOR HUGO MADIN ULLOA CONTRALOR INTERNO MUNICIPAL DEL H. AYUNTAMIENTO CONSTITUCIONAL DE TENANCINGO, misma que fuera notificada mediante portal electrónico SAIMEX el día 01/09/2021. Por lo que, a efecto de dar cumplimiento a lo dispuesto por el artículo 180 de la Ley de Transparencia y Acceso a la Información Pública del Estado de México y Municipios manifiesto: I. El sujeto obligado ante la cual se presentó la solicitud; El Ayuntamiento Constitucional de Tenancingo, Estado de México. II. El nombre del solicitante que recurre o de su representante y, en su caso, del tercero interesado, así como la dirección o medio que señale para recibir notificaciones; Mismos que han quedado precisados, siendo JESUS JAVIER MONDRAGON JAIMES, con domicilio para oír y recibir todo tipo de notificaciones el ubicado en NICARAGUA 409, COLONIA LAS AMERICAS, TOLUCA, ESTADO DE MEXICO y el correo electrónico mondragonjavier37@gmail.com III. El número de folio de respuesta de la solicitud de acceso; 000255/TENANCIN/IP/2021 IV. La fecha en que fue notificada la respuesta al solicitante o tuvo conocimiento del acto reclamado, o de presentación de la solicitud, en caso de falta de respuesta; Primero de septiembre de dos mil veintiuno. V. El acto que se recurre; respuesta emitida por el L.D. VICTOR HUGO MADIN ULLOA CONTRALOR INTERNO MUNICIPAL DEL H. AYUNTAMIENTO CONSTITUCIONAL DE TENANCINGO recaída a la solicitud de información con número de folio 000255/TENANCIN/IP/2021. VI. Las razones o motivos de inconformidad; Mismos que se señalan a continuación en el </w:t>
      </w:r>
      <w:proofErr w:type="spellStart"/>
      <w:r w:rsidRPr="00A04F15">
        <w:rPr>
          <w:rFonts w:ascii="Palatino Linotype" w:hAnsi="Palatino Linotype" w:cs="Arial"/>
          <w:i/>
          <w:sz w:val="22"/>
        </w:rPr>
        <w:t>capitulo</w:t>
      </w:r>
      <w:proofErr w:type="spellEnd"/>
      <w:r w:rsidRPr="00A04F15">
        <w:rPr>
          <w:rFonts w:ascii="Palatino Linotype" w:hAnsi="Palatino Linotype" w:cs="Arial"/>
          <w:i/>
          <w:sz w:val="22"/>
        </w:rPr>
        <w:t xml:space="preserve"> respectivo. VII. La copia de la respuesta que se impugna y, en su caso, de la </w:t>
      </w:r>
      <w:r w:rsidRPr="00A04F15">
        <w:rPr>
          <w:rFonts w:ascii="Palatino Linotype" w:hAnsi="Palatino Linotype" w:cs="Arial"/>
          <w:i/>
          <w:sz w:val="22"/>
        </w:rPr>
        <w:lastRenderedPageBreak/>
        <w:t xml:space="preserve">notificación correspondiente, en el caso de respuesta de la solicitud; Se acompaña copia simple de la resolución y notificación respectiva en virtud de haberse notificado por medio del portal electrónico. VIII. Firma del recurrente, en su caso, cuando se presente por escrito, requisito sin el cual se dará trámite al recurso. Misma que obra al final del presente escrito. RAZONES Y MOTIVOS DE INCONFORMIDAD </w:t>
      </w:r>
      <w:r w:rsidRPr="00C12F6E">
        <w:rPr>
          <w:rFonts w:ascii="Palatino Linotype" w:hAnsi="Palatino Linotype" w:cs="Arial"/>
          <w:b/>
          <w:i/>
          <w:sz w:val="22"/>
          <w:u w:val="single"/>
        </w:rPr>
        <w:t xml:space="preserve">Me causa agravio en su totalidad la respuesta que me diera el contralor interno del H. Ayuntamiento de Tenancingo a través del portal electrónico SAIMEX respecto a la solicitud de información registrada con el folio 000255/TENANCIN/IP/2021, en fecha 11 de agosto hogaño en la cual de manera clara y precisa se le solicitaba a el Sujeto Obligado lo siguiente “solicito información sobre: los procedimientos de Responsabilidades Administrativas que lleva el área de Contraloría, correspondientes a los periodo 2019, 2020 y 2021. Nombre de los presuntos responsables de los procedimientos de responsabilidades administrativas que lleva la Contraloría, correspondientes a los periodos 2019, 2020 y 2021. Nombre del servidor público que más procedimientos tiene en TRÁMITE, RESUELTOS Y PROCESADOS. Los Procedimientos de Responsabilidad Administrativa que tienen de Alfonso López </w:t>
      </w:r>
      <w:proofErr w:type="spellStart"/>
      <w:r w:rsidRPr="00C12F6E">
        <w:rPr>
          <w:rFonts w:ascii="Palatino Linotype" w:hAnsi="Palatino Linotype" w:cs="Arial"/>
          <w:b/>
          <w:i/>
          <w:sz w:val="22"/>
          <w:u w:val="single"/>
        </w:rPr>
        <w:t>Abundis</w:t>
      </w:r>
      <w:proofErr w:type="spellEnd"/>
      <w:r w:rsidRPr="00C12F6E">
        <w:rPr>
          <w:rFonts w:ascii="Palatino Linotype" w:hAnsi="Palatino Linotype" w:cs="Arial"/>
          <w:b/>
          <w:i/>
          <w:sz w:val="22"/>
          <w:u w:val="single"/>
        </w:rPr>
        <w:t xml:space="preserve">.” A lo que de manera infantil, infundada y carente de cualquier motivación legal el sujeto obligado omite cumplir con su obligación de proporcionar la información y menciona en su escrito de contestación lo siguiente: Lo anterior aunado a que el sujeto obligado argumenta que el suscrito no es PARTE en los </w:t>
      </w:r>
      <w:proofErr w:type="spellStart"/>
      <w:r w:rsidRPr="00C12F6E">
        <w:rPr>
          <w:rFonts w:ascii="Palatino Linotype" w:hAnsi="Palatino Linotype" w:cs="Arial"/>
          <w:b/>
          <w:i/>
          <w:sz w:val="22"/>
          <w:u w:val="single"/>
        </w:rPr>
        <w:t>procedimeintos</w:t>
      </w:r>
      <w:proofErr w:type="spellEnd"/>
      <w:r w:rsidRPr="00C12F6E">
        <w:rPr>
          <w:rFonts w:ascii="Palatino Linotype" w:hAnsi="Palatino Linotype" w:cs="Arial"/>
          <w:b/>
          <w:i/>
          <w:sz w:val="22"/>
          <w:u w:val="single"/>
        </w:rPr>
        <w:t xml:space="preserve"> y para conocer sobre los procedimientos y por consecuencia de los laudos o resoluciones administrativas que dicte la contraloría interna del municipio de Tenancingo ya que el suscrito no se ostenta como una autoridad o parte que pueda interferir en los procedimientos administrativos o procesos que se llevan a cabo dentro de esa dependencia municipal, lo cual constituye un grave error y denota su falta de conocimiento en la materia, por lo que causa una grave violación a mis Derechos Humanos de Transparencia y Acceso a la Información Pública contemplados por el artículo 6, apartado A, de la Constitución Política de los Estados Unidos Mexicanos y con lo establecido por la Ley General de Transparencia y Acceso a la Información Pública. Ya que, si bien es cierto; el suscrito no se ostenta como autoridad o parte en los procesos cuya información se requiere, también es cierto que la Ley de Transparencia y Acceso a la Información del Estado de México y municipios específicamente en el artículo 92 párrafo XL establece las obligaciones de Transparencia Comunes de la siguiente manera; Artículo 92. Los sujetos obligados deberán poner a disposición del público de manera permanente y actualizada de forma sencilla, precisa y entendible, en los respectivos medios electrónicos, de acuerdo con sus facultades, atribuciones, funciones </w:t>
      </w:r>
      <w:r w:rsidRPr="00C12F6E">
        <w:rPr>
          <w:rFonts w:ascii="Palatino Linotype" w:hAnsi="Palatino Linotype" w:cs="Arial"/>
          <w:b/>
          <w:i/>
          <w:sz w:val="22"/>
          <w:u w:val="single"/>
        </w:rPr>
        <w:lastRenderedPageBreak/>
        <w:t xml:space="preserve">u objeto social, según corresponda, la información, por lo menos, de los temas, documentos y políticas que a continuación se señalan: …XL. Las resoluciones y laudos que se emitan en procesos o procedimientos seguidos en forma de juicio;… En consecuencia; resulta evidente el desconocimiento de la ley por parte del sujeto obligado; ya que de manera arbitraria contraviene lo dispuesto por el precepto legal en comento, mismo que; como se puede advertir, establece que será INFORMACION PUBLICA los laudos y resoluciones que emitan en los procesos o procedimientos y por consecuencia y por simple analogía información sobre los procedimientos y procesos administrativos de los cuales se encuentran bajo su resguardo y dado que es lo que se le solicito a el Sujeto Obligado transgrede y viola de manera clara y precisa lo estipulado el primer párrafo del numeral antes citado. Resultando falsa la manifestación que realiza el L. en D. VICTOR HUGO MADIN ULLOA CONTRALOR INTERNO MUNICIPAL DE TENANCINGO ESTADO DE MEXICO, al mencionar que el suscrito no puedo obtener información sobre los procesos o procedimientos administrativos de los cuales ellos conocen y resuelven ya que como quedo claramente evidenciado, es obligación del sujeto obligado emitir dicha información pues la misma constituye información pública de oficio, así debe decirse que el oficio mediante el cual se atiende mi solicitud es violatorio en todo sentido en relación a todas las leyes y normas aplicables en materia de Transparencia y Acceso a la Información dado a que no me proporciona la información solicitada dejándome en un estado de indefensión tras violentar mis derechos y garantías constitucionales. </w:t>
      </w:r>
      <w:r w:rsidRPr="00A04F15">
        <w:rPr>
          <w:rFonts w:ascii="Palatino Linotype" w:hAnsi="Palatino Linotype" w:cs="Arial"/>
          <w:i/>
          <w:sz w:val="22"/>
        </w:rPr>
        <w:t>Sirva el siguiente comunicado emitido por la SUPREMA CORTE DE JUSTICIA DE LA NACION: No. 032/2021 Ciudad de México, a 05 de febrero de 2021 CONFORME A LA LEGISLACIÓN PREVIA A LA REFORMA EN MATERIA DE PUBLICIDAD DE SENTENCIAS, TODAS LAS RESOLUCIONES DE LOS TRIBU-NALES DEL PAÍS DEBEN PONERSE A DISPOSICIÓN DE LA SOCIEDAD POR CONSTITUIR INFORMACIÓN DE INTERÉS PÚBLICO: PRIMERA SALA La Suprema Corte de Justicia de la Nación (SCJN), en sesión remota de Primera Sala, determinó, a partir de una interpretación sistemática de la legislación general y local en materia de transparencia y acceso a la información pública, que todas las sentencias de los tribunales del país deben ponerse a disposición de la sociedad por constituir información de interés público. Esta determinación emana de un juicio de amparo promovido por personas en lo in-</w:t>
      </w:r>
      <w:proofErr w:type="spellStart"/>
      <w:r w:rsidRPr="00A04F15">
        <w:rPr>
          <w:rFonts w:ascii="Palatino Linotype" w:hAnsi="Palatino Linotype" w:cs="Arial"/>
          <w:i/>
          <w:sz w:val="22"/>
        </w:rPr>
        <w:t>dividual</w:t>
      </w:r>
      <w:proofErr w:type="spellEnd"/>
      <w:r w:rsidRPr="00A04F15">
        <w:rPr>
          <w:rFonts w:ascii="Palatino Linotype" w:hAnsi="Palatino Linotype" w:cs="Arial"/>
          <w:i/>
          <w:sz w:val="22"/>
        </w:rPr>
        <w:t xml:space="preserve"> y por asociaciones civiles, en el cual reclamaron la omisión de los órganos del Poder Judicial del Estado de Zacatecas de elaborar y poner a disposición de la sociedad versiones públicas de sus sentencias durante los años 2016 y 2017, así como la inconstitucionalidad de los artículos 73, fracción II, de la Ley General de </w:t>
      </w:r>
      <w:r w:rsidRPr="00A04F15">
        <w:rPr>
          <w:rFonts w:ascii="Palatino Linotype" w:hAnsi="Palatino Linotype" w:cs="Arial"/>
          <w:i/>
          <w:sz w:val="22"/>
        </w:rPr>
        <w:lastRenderedPageBreak/>
        <w:t xml:space="preserve">Transparencia y Acceso a la Información Pública (LGATIP), y 43, fracción II, de la Ley de Transparencia y Acceso a la Información Pública del Estado de Zacatecas (LTAIPZ), por prever la obligación de hacer versiones públicas únicamente de </w:t>
      </w:r>
      <w:proofErr w:type="spellStart"/>
      <w:r w:rsidRPr="00A04F15">
        <w:rPr>
          <w:rFonts w:ascii="Palatino Linotype" w:hAnsi="Palatino Linotype" w:cs="Arial"/>
          <w:i/>
          <w:sz w:val="22"/>
        </w:rPr>
        <w:t>aque-llas</w:t>
      </w:r>
      <w:proofErr w:type="spellEnd"/>
      <w:r w:rsidRPr="00A04F15">
        <w:rPr>
          <w:rFonts w:ascii="Palatino Linotype" w:hAnsi="Palatino Linotype" w:cs="Arial"/>
          <w:i/>
          <w:sz w:val="22"/>
        </w:rPr>
        <w:t xml:space="preserve"> sentencias que sean de interés público. De igual forma fueron reclamados los “Lineamientos técnicos generales para la </w:t>
      </w:r>
      <w:proofErr w:type="spellStart"/>
      <w:r w:rsidRPr="00A04F15">
        <w:rPr>
          <w:rFonts w:ascii="Palatino Linotype" w:hAnsi="Palatino Linotype" w:cs="Arial"/>
          <w:i/>
          <w:sz w:val="22"/>
        </w:rPr>
        <w:t>pu-blicación</w:t>
      </w:r>
      <w:proofErr w:type="spellEnd"/>
      <w:r w:rsidRPr="00A04F15">
        <w:rPr>
          <w:rFonts w:ascii="Palatino Linotype" w:hAnsi="Palatino Linotype" w:cs="Arial"/>
          <w:i/>
          <w:sz w:val="22"/>
        </w:rPr>
        <w:t>, homologación y estandarización de la información de las obligaciones es-</w:t>
      </w:r>
      <w:proofErr w:type="spellStart"/>
      <w:r w:rsidRPr="00A04F15">
        <w:rPr>
          <w:rFonts w:ascii="Palatino Linotype" w:hAnsi="Palatino Linotype" w:cs="Arial"/>
          <w:i/>
          <w:sz w:val="22"/>
        </w:rPr>
        <w:t>tablecidas</w:t>
      </w:r>
      <w:proofErr w:type="spellEnd"/>
      <w:r w:rsidRPr="00A04F15">
        <w:rPr>
          <w:rFonts w:ascii="Palatino Linotype" w:hAnsi="Palatino Linotype" w:cs="Arial"/>
          <w:i/>
          <w:sz w:val="22"/>
        </w:rPr>
        <w:t xml:space="preserve"> en el Título Quinto y en la fracción IV del artículo 31 de la Ley General de Transparencia y Acceso a la Información Pública, que deben difundir los sujetos obligados en los portales de internet y en la Plataforma Nacional de Transparencia” (Lineamiento técnicos), para hacer efectiva dicha obligación. Al conocer del asunto en revisión, la Sala determinó, en primer lugar, que el hecho de que conforme al Decreto publicado el 13 de agosto de 2020, se haya reformado el artículo 73, fracción II la LGTAIP, para que los sujetos obligados de los Poderes Judiciales Federal y de las Entidades Federativas pongan a disposición del público y actualicen las versiones públicas de todas las sentencias emitidas, no constituye razón suficiente para considerar que la redacción previa de dicho numeral, la cual prevé tal obligación únicamente respecto de las sentencias que fueran de interés público, haya cesado en sus efectos. Lo anterior, puesto que la reforma al precepto reclamado aún no entra en vigor, ya que en términos de sus artículos primero y tercero transitorios, se cuenta con un plazo de 180 días para su armonización a nivel nacional, en tanto que sus efectos no han sido suprimidos de manera total e incondicional de la esfera jurídica de las quejosas como si se les hubiera otorgado el amparo, lo cual trajo consigo que, al menos en los años 2016 y 2017, no fuera publicada alguna versión pública de las ejecutorias pronunciadas por los tribunales de Zacatecas. Asimismo, la Sala consideró que la eficacia del derecho de acceso a la información no se reduce a la previsión de mecanismos para que las personas puedan solicitar a los órganos del Estado acceso a documentos o archivos, como las sentencias, por tanto decidió que el Juez de Distrito restó eficacia al derecho de acceso a la </w:t>
      </w:r>
      <w:proofErr w:type="spellStart"/>
      <w:r w:rsidRPr="00A04F15">
        <w:rPr>
          <w:rFonts w:ascii="Palatino Linotype" w:hAnsi="Palatino Linotype" w:cs="Arial"/>
          <w:i/>
          <w:sz w:val="22"/>
        </w:rPr>
        <w:t>infor-mación</w:t>
      </w:r>
      <w:proofErr w:type="spellEnd"/>
      <w:r w:rsidRPr="00A04F15">
        <w:rPr>
          <w:rFonts w:ascii="Palatino Linotype" w:hAnsi="Palatino Linotype" w:cs="Arial"/>
          <w:i/>
          <w:sz w:val="22"/>
        </w:rPr>
        <w:t xml:space="preserve">, al considerar que bastaba la mera previsión en la normativa impugnada de la posibilidad de acceder a las sentencias de los órganos del Poder Judicial de </w:t>
      </w:r>
      <w:proofErr w:type="spellStart"/>
      <w:r w:rsidRPr="00A04F15">
        <w:rPr>
          <w:rFonts w:ascii="Palatino Linotype" w:hAnsi="Palatino Linotype" w:cs="Arial"/>
          <w:i/>
          <w:sz w:val="22"/>
        </w:rPr>
        <w:t>Za-catecas</w:t>
      </w:r>
      <w:proofErr w:type="spellEnd"/>
      <w:r w:rsidRPr="00A04F15">
        <w:rPr>
          <w:rFonts w:ascii="Palatino Linotype" w:hAnsi="Palatino Linotype" w:cs="Arial"/>
          <w:i/>
          <w:sz w:val="22"/>
        </w:rPr>
        <w:t>, vía solicitud de acceso a la información, para considerar satisfecho ese derecho fundamental. Por otra parte, a partir de una interpretación sistemática de la legislación en la mate-</w:t>
      </w:r>
      <w:proofErr w:type="spellStart"/>
      <w:r w:rsidRPr="00A04F15">
        <w:rPr>
          <w:rFonts w:ascii="Palatino Linotype" w:hAnsi="Palatino Linotype" w:cs="Arial"/>
          <w:i/>
          <w:sz w:val="22"/>
        </w:rPr>
        <w:t>ria</w:t>
      </w:r>
      <w:proofErr w:type="spellEnd"/>
      <w:r w:rsidRPr="00A04F15">
        <w:rPr>
          <w:rFonts w:ascii="Palatino Linotype" w:hAnsi="Palatino Linotype" w:cs="Arial"/>
          <w:i/>
          <w:sz w:val="22"/>
        </w:rPr>
        <w:t>, la Primera Sala resolvió sostener la constitucionalidad de los artículos 73, frac-</w:t>
      </w:r>
      <w:proofErr w:type="spellStart"/>
      <w:r w:rsidRPr="00A04F15">
        <w:rPr>
          <w:rFonts w:ascii="Palatino Linotype" w:hAnsi="Palatino Linotype" w:cs="Arial"/>
          <w:i/>
          <w:sz w:val="22"/>
        </w:rPr>
        <w:t>ción</w:t>
      </w:r>
      <w:proofErr w:type="spellEnd"/>
      <w:r w:rsidRPr="00A04F15">
        <w:rPr>
          <w:rFonts w:ascii="Palatino Linotype" w:hAnsi="Palatino Linotype" w:cs="Arial"/>
          <w:i/>
          <w:sz w:val="22"/>
        </w:rPr>
        <w:t xml:space="preserve"> II, de la LGTAIP, y 43, fracción II, de la LTAIPZ, que prevén la publicidad </w:t>
      </w:r>
      <w:proofErr w:type="spellStart"/>
      <w:r w:rsidRPr="00A04F15">
        <w:rPr>
          <w:rFonts w:ascii="Palatino Linotype" w:hAnsi="Palatino Linotype" w:cs="Arial"/>
          <w:i/>
          <w:sz w:val="22"/>
        </w:rPr>
        <w:t>úni-camente</w:t>
      </w:r>
      <w:proofErr w:type="spellEnd"/>
      <w:r w:rsidRPr="00A04F15">
        <w:rPr>
          <w:rFonts w:ascii="Palatino Linotype" w:hAnsi="Palatino Linotype" w:cs="Arial"/>
          <w:i/>
          <w:sz w:val="22"/>
        </w:rPr>
        <w:t xml:space="preserve"> de las sentencias que sean de interés público, al estimar que la totalidad de las sentencias emitidas por los tribunales del país encuadran en los dos </w:t>
      </w:r>
      <w:proofErr w:type="spellStart"/>
      <w:r w:rsidRPr="00A04F15">
        <w:rPr>
          <w:rFonts w:ascii="Palatino Linotype" w:hAnsi="Palatino Linotype" w:cs="Arial"/>
          <w:i/>
          <w:sz w:val="22"/>
        </w:rPr>
        <w:t>paráme-tros</w:t>
      </w:r>
      <w:proofErr w:type="spellEnd"/>
      <w:r w:rsidRPr="00A04F15">
        <w:rPr>
          <w:rFonts w:ascii="Palatino Linotype" w:hAnsi="Palatino Linotype" w:cs="Arial"/>
          <w:i/>
          <w:sz w:val="22"/>
        </w:rPr>
        <w:t xml:space="preserve"> necesarios conforme al numeral 3, fracción XII de la LGTAIP, para considerar que constituyen información de interés público, a saber: 1) Contienen información relevante o beneficiosa para la sociedad y no simplemente de interés individual, pues la divulgación de las sentencias resulta fundamental para conocer cómo la legislación es entendida por los </w:t>
      </w:r>
      <w:r w:rsidRPr="00A04F15">
        <w:rPr>
          <w:rFonts w:ascii="Palatino Linotype" w:hAnsi="Palatino Linotype" w:cs="Arial"/>
          <w:i/>
          <w:sz w:val="22"/>
        </w:rPr>
        <w:lastRenderedPageBreak/>
        <w:t xml:space="preserve">jueces y concretizada en los casos puestos a su jurisdicción, y 2) Su divulgación es útil para que el público comprenda las actividades llevadas a cabo por el poder judicial local y federal, así como para fiscalizar y dar seguimiento al desempeño que tienen los servidores públicos a quienes se les ha depositado la alta responsabilidad de administrar justicia. En ese tenor, concluyó que todas las sentencias emitidas son de interés público y, por ende, ameritan ser puestas a disposición en versiones públicas a través de los portales de Internet de los respectivos Poderes Judiciales. Con relación a los Lineamientos técnicos, la Sala deliberó que éstos contienen un vicio de inconstitucionalidad en su anexo IV, fracción II, al disponer que deberán publicarse “las sentencias de aquellos asuntos que durante su proceso de </w:t>
      </w:r>
      <w:proofErr w:type="spellStart"/>
      <w:r w:rsidRPr="00A04F15">
        <w:rPr>
          <w:rFonts w:ascii="Palatino Linotype" w:hAnsi="Palatino Linotype" w:cs="Arial"/>
          <w:i/>
          <w:sz w:val="22"/>
        </w:rPr>
        <w:t>resolu-ción</w:t>
      </w:r>
      <w:proofErr w:type="spellEnd"/>
      <w:r w:rsidRPr="00A04F15">
        <w:rPr>
          <w:rFonts w:ascii="Palatino Linotype" w:hAnsi="Palatino Linotype" w:cs="Arial"/>
          <w:i/>
          <w:sz w:val="22"/>
        </w:rPr>
        <w:t xml:space="preserve"> trataron puntos controvertidos que les otorgan importancia jurídica y social y, por tanto, se consideran asuntos trascendentales para la nación”, pues al fijar el </w:t>
      </w:r>
      <w:proofErr w:type="spellStart"/>
      <w:r w:rsidRPr="00A04F15">
        <w:rPr>
          <w:rFonts w:ascii="Palatino Linotype" w:hAnsi="Palatino Linotype" w:cs="Arial"/>
          <w:i/>
          <w:sz w:val="22"/>
        </w:rPr>
        <w:t>pa-rámetro</w:t>
      </w:r>
      <w:proofErr w:type="spellEnd"/>
      <w:r w:rsidRPr="00A04F15">
        <w:rPr>
          <w:rFonts w:ascii="Palatino Linotype" w:hAnsi="Palatino Linotype" w:cs="Arial"/>
          <w:i/>
          <w:sz w:val="22"/>
        </w:rPr>
        <w:t xml:space="preserve"> para determinar las sentencias que deben publicarse, presupone la existen-</w:t>
      </w:r>
      <w:proofErr w:type="spellStart"/>
      <w:r w:rsidRPr="00A04F15">
        <w:rPr>
          <w:rFonts w:ascii="Palatino Linotype" w:hAnsi="Palatino Linotype" w:cs="Arial"/>
          <w:i/>
          <w:sz w:val="22"/>
        </w:rPr>
        <w:t>cia</w:t>
      </w:r>
      <w:proofErr w:type="spellEnd"/>
      <w:r w:rsidRPr="00A04F15">
        <w:rPr>
          <w:rFonts w:ascii="Palatino Linotype" w:hAnsi="Palatino Linotype" w:cs="Arial"/>
          <w:i/>
          <w:sz w:val="22"/>
        </w:rPr>
        <w:t xml:space="preserve"> de resoluciones que no tendrán esas características y, por lo mismo, releva a los sujetos obligados de su publicación, lo cual restringe indebidamente el umbral de sentencias que deben ser puestas a disposición de la sociedad, en los términos de la LGTAIP y conforme a la interpretación sistemática señalada previamente. Finalmente, la Sala determinó que la falta de puesta a disposición por parte de los órganos del Poder Judicial de Zacatecas de las versiones públicas de las </w:t>
      </w:r>
      <w:proofErr w:type="spellStart"/>
      <w:r w:rsidRPr="00A04F15">
        <w:rPr>
          <w:rFonts w:ascii="Palatino Linotype" w:hAnsi="Palatino Linotype" w:cs="Arial"/>
          <w:i/>
          <w:sz w:val="22"/>
        </w:rPr>
        <w:t>senten-cias</w:t>
      </w:r>
      <w:proofErr w:type="spellEnd"/>
      <w:r w:rsidRPr="00A04F15">
        <w:rPr>
          <w:rFonts w:ascii="Palatino Linotype" w:hAnsi="Palatino Linotype" w:cs="Arial"/>
          <w:i/>
          <w:sz w:val="22"/>
        </w:rPr>
        <w:t xml:space="preserve"> dictadas del durante los años 2016 y 2017, vulneró el principio de legalidad y el derecho de acceso a la información de las quejosas, pues a pesar de contar con ellas y tener una obligación al respecto, de conformidad con los artículos 73, frac-</w:t>
      </w:r>
      <w:proofErr w:type="spellStart"/>
      <w:r w:rsidRPr="00A04F15">
        <w:rPr>
          <w:rFonts w:ascii="Palatino Linotype" w:hAnsi="Palatino Linotype" w:cs="Arial"/>
          <w:i/>
          <w:sz w:val="22"/>
        </w:rPr>
        <w:t>ción</w:t>
      </w:r>
      <w:proofErr w:type="spellEnd"/>
      <w:r w:rsidRPr="00A04F15">
        <w:rPr>
          <w:rFonts w:ascii="Palatino Linotype" w:hAnsi="Palatino Linotype" w:cs="Arial"/>
          <w:i/>
          <w:sz w:val="22"/>
        </w:rPr>
        <w:t xml:space="preserve"> II, de la LGTAIP, y 43, fracción II, de la LTAIPZ, fueron omisas en publicar </w:t>
      </w:r>
      <w:proofErr w:type="spellStart"/>
      <w:r w:rsidRPr="00A04F15">
        <w:rPr>
          <w:rFonts w:ascii="Palatino Linotype" w:hAnsi="Palatino Linotype" w:cs="Arial"/>
          <w:i/>
          <w:sz w:val="22"/>
        </w:rPr>
        <w:t>és</w:t>
      </w:r>
      <w:proofErr w:type="spellEnd"/>
      <w:r w:rsidRPr="00A04F15">
        <w:rPr>
          <w:rFonts w:ascii="Palatino Linotype" w:hAnsi="Palatino Linotype" w:cs="Arial"/>
          <w:i/>
          <w:sz w:val="22"/>
        </w:rPr>
        <w:t>-tas, por lo que se concedió el amparo a las quejosas a fin de que dichas sentencias sean divulgadas en la página de internet del Tribunal Superior de Justicia de dicha entidad federativa, así como en la Plataforma Nacional de Transparencia. Amparo en revisión 271/2020. Ponente Ministro Juan Luis González Alcántara Ca-</w:t>
      </w:r>
      <w:proofErr w:type="spellStart"/>
      <w:r w:rsidRPr="00A04F15">
        <w:rPr>
          <w:rFonts w:ascii="Palatino Linotype" w:hAnsi="Palatino Linotype" w:cs="Arial"/>
          <w:i/>
          <w:sz w:val="22"/>
        </w:rPr>
        <w:t>rrancá</w:t>
      </w:r>
      <w:proofErr w:type="spellEnd"/>
      <w:r w:rsidRPr="00A04F15">
        <w:rPr>
          <w:rFonts w:ascii="Palatino Linotype" w:hAnsi="Palatino Linotype" w:cs="Arial"/>
          <w:i/>
          <w:sz w:val="22"/>
        </w:rPr>
        <w:t xml:space="preserve">. Sesión de 3 de febrero de 2021. También cabe resaltar que tanto los laudos de los procedimientos y las resoluciones administrativas que llevan a cabo en forma de juicio dentro de la contraloría interna deben de ser información pública y que de igual manera los procedimientos y procesos son públicos esto de acuerdo a el PRINCIPIO DE MAXIMA PUBLICIDAD del cual se desprende que no solo las partes en los procesos o procedimientos que lleven a cabo por cualquier autoridad del estado pueden conocer de éstos sino que, con base en el principio referido, todo el público en general puede conocer de los mismos, lo anterior a partir de la reforma constitucional del año 2007, en la que se estableció en la fracción primera, segundo párrafo, del artículo 6o. de la Constitución General, que toda la información que se encuentre en posesión de cualquier entidad del gobierno, en cualquiera de sus ámbitos, debe ser pública, reconociendo explícitamente el derecho de acceso a la información pública adicionando en todos los aspectos el PRINCIPIO DE MÁXIMA PUBLICIDAD y de igual forma el principio general del </w:t>
      </w:r>
      <w:r w:rsidRPr="00A04F15">
        <w:rPr>
          <w:rFonts w:ascii="Palatino Linotype" w:hAnsi="Palatino Linotype" w:cs="Arial"/>
          <w:i/>
          <w:sz w:val="22"/>
        </w:rPr>
        <w:lastRenderedPageBreak/>
        <w:t>derecho de “QUIEN PUEDE LO MAS, PUEDE LO MENOS, traduciéndose en el sentido de que si puedo conocer de la sentencia cuanto más puedo conocer de los procesos o procedimientos que se llevan a cabo dentro de la Contraloría Interna Municipal de Tenancingo, y más aun los que se llevan a cabo en contra de un determinado Servidor Público ya que como lo establece la Ley General de Transparencia y Acceso a la Información en los numerales 70 y 73 fracción II que a la letra dicen: 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 […</w:t>
      </w:r>
      <w:proofErr w:type="gramStart"/>
      <w:r w:rsidRPr="00A04F15">
        <w:rPr>
          <w:rFonts w:ascii="Palatino Linotype" w:hAnsi="Palatino Linotype" w:cs="Arial"/>
          <w:i/>
          <w:sz w:val="22"/>
        </w:rPr>
        <w:t>] …</w:t>
      </w:r>
      <w:proofErr w:type="gramEnd"/>
      <w:r w:rsidRPr="00A04F15">
        <w:rPr>
          <w:rFonts w:ascii="Palatino Linotype" w:hAnsi="Palatino Linotype" w:cs="Arial"/>
          <w:i/>
          <w:sz w:val="22"/>
        </w:rPr>
        <w:t xml:space="preserve">Artículo 73. Además de lo señalado en el artículo 70 de la presente Ley, los sujetos obligados de los Poderes Judiciales Federal y de las Entidades Federativas deberán poner a disposición del público y actualizar la siguiente información: I. Las tesis y ejecutorias publicadas en el Semanario Judicial de la Federación o en la Gaceta respectiva de cada tribunal administrativo, incluyendo tesis jurisprudenciales y aisladas; II. Las versiones públicas de las sentencias que sean de interés público; III. Las versiones estenográficas de las sesiones públicas; IV. La relacionada con los procesos por medio de los cuales fueron designados los jueces y magistrados, y V. La lista de acuerdos que diariamente se publiquen. En consecuencia solicito se analicen los agravios que esgrimo y por consecuencia se declaren procedentes y se condene al sujeto obligado a la entrega de la información solicitada, apercibiendo para el caso de negativa determinar solución en términos de ley. Por lo anteriormente fundado y motivado atentamente pido. PRIMERO: se me tenga por presentado en tiempo y forma, interponiendo el presente recurso de REVISION en contra de la resolución de fecha 19 de agosto del 2021 notificada el 1 de septiembre hogaño por medio del cual el AYUNTAMIENTO de Tenancingo no proporciono la información solicitada mediante el portal de transparencia. SEGUNDA: Teniendo en cuanta lo anterior establecer los mecanismos para garantizar el cumplimiento y la efectiva aplicación de las medidas de apremio y las sanciones que correspondan. PROTESTO LO NECESARIO </w:t>
      </w:r>
      <w:r w:rsidR="00392DD9" w:rsidRPr="00392DD9">
        <w:rPr>
          <w:rFonts w:ascii="Palatino Linotype" w:hAnsi="Palatino Linotype" w:cs="Arial"/>
          <w:i/>
          <w:sz w:val="22"/>
        </w:rPr>
        <w:t>XXXXX XXXXXX XXXXXXXX XXXXXX</w:t>
      </w:r>
      <w:r>
        <w:rPr>
          <w:rFonts w:ascii="Palatino Linotype" w:hAnsi="Palatino Linotype" w:cs="Arial"/>
          <w:i/>
          <w:sz w:val="22"/>
        </w:rPr>
        <w:t>”</w:t>
      </w:r>
    </w:p>
    <w:p w14:paraId="67513ECF" w14:textId="55FDCF8D" w:rsidR="00AA03BF" w:rsidRDefault="004D6AB1" w:rsidP="00AA03BF">
      <w:pPr>
        <w:spacing w:before="240" w:after="240"/>
        <w:ind w:left="567" w:right="900"/>
        <w:jc w:val="both"/>
        <w:rPr>
          <w:rFonts w:ascii="Palatino Linotype" w:hAnsi="Palatino Linotype" w:cs="Arial"/>
          <w:color w:val="000000" w:themeColor="text1"/>
          <w:lang w:eastAsia="es-MX"/>
        </w:rPr>
      </w:pPr>
      <w:r w:rsidRPr="004D6AB1">
        <w:rPr>
          <w:rFonts w:ascii="Palatino Linotype" w:hAnsi="Palatino Linotype" w:cs="Arial"/>
          <w:b/>
          <w:sz w:val="22"/>
        </w:rPr>
        <w:t xml:space="preserve">Archivos adjuntos: </w:t>
      </w:r>
      <w:r>
        <w:rPr>
          <w:rFonts w:ascii="Palatino Linotype" w:hAnsi="Palatino Linotype" w:cs="Arial"/>
          <w:lang w:eastAsia="es-MX"/>
        </w:rPr>
        <w:t xml:space="preserve">El Recurrente remitió los archivos electrónicos denominados </w:t>
      </w:r>
      <w:r w:rsidR="00AA03BF" w:rsidRPr="00AA03BF">
        <w:rPr>
          <w:rFonts w:ascii="Palatino Linotype" w:hAnsi="Palatino Linotype" w:cs="Arial"/>
          <w:b/>
          <w:i/>
          <w:color w:val="000000" w:themeColor="text1"/>
          <w:lang w:val="es-MX" w:eastAsia="es-MX"/>
        </w:rPr>
        <w:t>“</w:t>
      </w:r>
      <w:hyperlink r:id="rId11" w:tgtFrame="_blank" w:history="1">
        <w:r w:rsidR="00AA03BF" w:rsidRPr="00AA03BF">
          <w:rPr>
            <w:rStyle w:val="Hipervnculo"/>
            <w:rFonts w:ascii="Palatino Linotype" w:hAnsi="Palatino Linotype" w:cs="Arial"/>
            <w:b/>
            <w:bCs/>
            <w:i/>
            <w:color w:val="000000" w:themeColor="text1"/>
            <w:u w:val="none"/>
            <w:lang w:val="es-MX" w:eastAsia="es-MX"/>
          </w:rPr>
          <w:t>RECURSO DE REVISION_00255.docx</w:t>
        </w:r>
      </w:hyperlink>
      <w:r w:rsidR="00AA03BF" w:rsidRPr="00AA03BF">
        <w:rPr>
          <w:rFonts w:ascii="Palatino Linotype" w:hAnsi="Palatino Linotype" w:cs="Arial"/>
          <w:b/>
          <w:i/>
          <w:color w:val="000000" w:themeColor="text1"/>
          <w:lang w:eastAsia="es-MX"/>
        </w:rPr>
        <w:t>”</w:t>
      </w:r>
      <w:r w:rsidR="00AA03BF" w:rsidRPr="00AA03BF">
        <w:rPr>
          <w:rFonts w:ascii="Palatino Linotype" w:hAnsi="Palatino Linotype" w:cs="Arial"/>
          <w:color w:val="000000" w:themeColor="text1"/>
          <w:lang w:eastAsia="es-MX"/>
        </w:rPr>
        <w:t xml:space="preserve"> </w:t>
      </w:r>
      <w:r w:rsidR="00AA03BF">
        <w:rPr>
          <w:rFonts w:ascii="Palatino Linotype" w:hAnsi="Palatino Linotype" w:cs="Arial"/>
          <w:lang w:eastAsia="es-MX"/>
        </w:rPr>
        <w:t xml:space="preserve">y </w:t>
      </w:r>
      <w:r w:rsidR="00AA03BF" w:rsidRPr="00AA03BF">
        <w:rPr>
          <w:rFonts w:ascii="Palatino Linotype" w:hAnsi="Palatino Linotype" w:cs="Arial"/>
          <w:b/>
          <w:i/>
          <w:color w:val="000000" w:themeColor="text1"/>
          <w:lang w:val="es-MX" w:eastAsia="es-MX"/>
        </w:rPr>
        <w:t>“</w:t>
      </w:r>
      <w:hyperlink r:id="rId12" w:tgtFrame="_blank" w:history="1">
        <w:r w:rsidR="00AA03BF" w:rsidRPr="00AA03BF">
          <w:rPr>
            <w:rStyle w:val="Hipervnculo"/>
            <w:rFonts w:ascii="Palatino Linotype" w:hAnsi="Palatino Linotype" w:cs="Arial"/>
            <w:b/>
            <w:bCs/>
            <w:i/>
            <w:color w:val="000000" w:themeColor="text1"/>
            <w:u w:val="none"/>
            <w:lang w:val="es-MX" w:eastAsia="es-MX"/>
          </w:rPr>
          <w:t>REP TS 255 CONTRALORIA (4).pdf</w:t>
        </w:r>
      </w:hyperlink>
      <w:r w:rsidR="00AA03BF" w:rsidRPr="00AA03BF">
        <w:rPr>
          <w:rFonts w:ascii="Palatino Linotype" w:hAnsi="Palatino Linotype" w:cs="Arial"/>
          <w:b/>
          <w:i/>
          <w:color w:val="000000" w:themeColor="text1"/>
          <w:lang w:eastAsia="es-MX"/>
        </w:rPr>
        <w:t>”</w:t>
      </w:r>
      <w:r w:rsidR="00AA03BF">
        <w:rPr>
          <w:rFonts w:ascii="Palatino Linotype" w:hAnsi="Palatino Linotype" w:cs="Arial"/>
          <w:color w:val="000000" w:themeColor="text1"/>
          <w:lang w:eastAsia="es-MX"/>
        </w:rPr>
        <w:t xml:space="preserve">, siendo el segundo archivo el remitido por el Sujeto Obligado en respuesta y el primero se inserta a continuación: </w:t>
      </w:r>
    </w:p>
    <w:p w14:paraId="05102620" w14:textId="6C864A03" w:rsidR="00AA03BF" w:rsidRDefault="00AA03BF" w:rsidP="00AA03BF">
      <w:pPr>
        <w:spacing w:before="240" w:after="240"/>
        <w:ind w:left="567" w:right="900"/>
        <w:jc w:val="both"/>
        <w:rPr>
          <w:rFonts w:ascii="Palatino Linotype" w:hAnsi="Palatino Linotype" w:cs="Arial"/>
          <w:noProof/>
          <w:lang w:val="es-MX" w:eastAsia="es-MX"/>
        </w:rPr>
      </w:pPr>
    </w:p>
    <w:p w14:paraId="76D2518B" w14:textId="77777777" w:rsidR="00392DD9" w:rsidRDefault="00392DD9" w:rsidP="00AA03BF">
      <w:pPr>
        <w:spacing w:before="240" w:after="240"/>
        <w:ind w:left="567" w:right="900"/>
        <w:jc w:val="both"/>
        <w:rPr>
          <w:rFonts w:ascii="Palatino Linotype" w:hAnsi="Palatino Linotype" w:cs="Arial"/>
          <w:noProof/>
          <w:lang w:val="es-MX" w:eastAsia="es-MX"/>
        </w:rPr>
      </w:pPr>
    </w:p>
    <w:p w14:paraId="151E1DC4" w14:textId="1759714A" w:rsidR="00392DD9" w:rsidRPr="00AA03BF" w:rsidRDefault="00392DD9" w:rsidP="00AA03BF">
      <w:pPr>
        <w:spacing w:before="240" w:after="240"/>
        <w:ind w:left="567" w:right="900"/>
        <w:jc w:val="both"/>
        <w:rPr>
          <w:rFonts w:ascii="Palatino Linotype" w:hAnsi="Palatino Linotype" w:cs="Arial"/>
          <w:lang w:val="es-MX" w:eastAsia="es-MX"/>
        </w:rPr>
      </w:pPr>
      <w:r>
        <w:rPr>
          <w:rFonts w:ascii="Palatino Linotype" w:hAnsi="Palatino Linotype" w:cs="Arial"/>
          <w:noProof/>
          <w:lang w:val="es-MX" w:eastAsia="es-MX"/>
        </w:rPr>
        <w:lastRenderedPageBreak/>
        <w:drawing>
          <wp:inline distT="0" distB="0" distL="0" distR="0" wp14:anchorId="64D4FEEF" wp14:editId="5D476779">
            <wp:extent cx="3876675" cy="447675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76675" cy="4476750"/>
                    </a:xfrm>
                    <a:prstGeom prst="rect">
                      <a:avLst/>
                    </a:prstGeom>
                    <a:noFill/>
                    <a:ln>
                      <a:noFill/>
                    </a:ln>
                  </pic:spPr>
                </pic:pic>
              </a:graphicData>
            </a:graphic>
          </wp:inline>
        </w:drawing>
      </w:r>
      <w:bookmarkStart w:id="0" w:name="_GoBack"/>
      <w:bookmarkEnd w:id="0"/>
    </w:p>
    <w:p w14:paraId="671BF6EA" w14:textId="00A6F49A" w:rsidR="00B03355" w:rsidRPr="00AA03BF" w:rsidRDefault="00B03355" w:rsidP="00AA03BF">
      <w:pPr>
        <w:spacing w:line="360" w:lineRule="auto"/>
        <w:ind w:right="51"/>
        <w:jc w:val="both"/>
        <w:rPr>
          <w:rFonts w:ascii="Palatino Linotype" w:hAnsi="Palatino Linotype" w:cs="Arial"/>
          <w:lang w:eastAsia="es-MX"/>
        </w:rPr>
      </w:pPr>
      <w:r w:rsidRPr="00AA03BF">
        <w:rPr>
          <w:rFonts w:ascii="Palatino Linotype" w:hAnsi="Palatino Linotype" w:cs="Arial"/>
          <w:b/>
        </w:rPr>
        <w:t xml:space="preserve">4. </w:t>
      </w:r>
      <w:r w:rsidRPr="00AA03BF">
        <w:rPr>
          <w:rFonts w:ascii="Palatino Linotype" w:eastAsia="Calibri" w:hAnsi="Palatino Linotype" w:cs="Arial"/>
          <w:b/>
        </w:rPr>
        <w:t xml:space="preserve">Turno. </w:t>
      </w:r>
      <w:r w:rsidRPr="00AA03BF">
        <w:rPr>
          <w:rFonts w:ascii="Palatino Linotype" w:eastAsia="Calibri" w:hAnsi="Palatino Linotype" w:cs="Arial"/>
        </w:rPr>
        <w:t>De conformidad con el artículo 185 fracción I de la Ley de Transparencia y Acceso a la Información Pública del Estado de</w:t>
      </w:r>
      <w:r w:rsidR="0067526C">
        <w:rPr>
          <w:rFonts w:ascii="Palatino Linotype" w:eastAsia="Calibri" w:hAnsi="Palatino Linotype" w:cs="Arial"/>
        </w:rPr>
        <w:t xml:space="preserve"> México y Municipios vigente, los</w:t>
      </w:r>
      <w:r w:rsidRPr="00AA03BF">
        <w:rPr>
          <w:rFonts w:ascii="Palatino Linotype" w:eastAsia="Calibri" w:hAnsi="Palatino Linotype" w:cs="Arial"/>
        </w:rPr>
        <w:t xml:space="preserve"> presente</w:t>
      </w:r>
      <w:r w:rsidR="0067526C">
        <w:rPr>
          <w:rFonts w:ascii="Palatino Linotype" w:eastAsia="Calibri" w:hAnsi="Palatino Linotype" w:cs="Arial"/>
        </w:rPr>
        <w:t>s</w:t>
      </w:r>
      <w:r w:rsidRPr="00AA03BF">
        <w:rPr>
          <w:rFonts w:ascii="Palatino Linotype" w:eastAsia="Calibri" w:hAnsi="Palatino Linotype" w:cs="Arial"/>
        </w:rPr>
        <w:t xml:space="preserve"> recurso</w:t>
      </w:r>
      <w:r w:rsidR="0067526C">
        <w:rPr>
          <w:rFonts w:ascii="Palatino Linotype" w:eastAsia="Calibri" w:hAnsi="Palatino Linotype" w:cs="Arial"/>
        </w:rPr>
        <w:t>s de revisión se turnaron</w:t>
      </w:r>
      <w:r w:rsidRPr="00AA03BF">
        <w:rPr>
          <w:rFonts w:ascii="Palatino Linotype" w:eastAsia="Calibri" w:hAnsi="Palatino Linotype" w:cs="Arial"/>
        </w:rPr>
        <w:t xml:space="preserve"> por el sistema electrónico del Instituto de Transparencia, Acceso a la Información Pública y Protección de Datos Personales del Estado de México y Municipios, </w:t>
      </w:r>
      <w:r w:rsidR="00AA03BF">
        <w:rPr>
          <w:rFonts w:ascii="Palatino Linotype" w:hAnsi="Palatino Linotype" w:cs="Arial"/>
        </w:rPr>
        <w:t xml:space="preserve">a los </w:t>
      </w:r>
      <w:r w:rsidRPr="00AA03BF">
        <w:rPr>
          <w:rFonts w:ascii="Palatino Linotype" w:eastAsia="Calibri" w:hAnsi="Palatino Linotype" w:cs="Arial"/>
          <w:b/>
        </w:rPr>
        <w:t>Comisionado</w:t>
      </w:r>
      <w:r w:rsidR="00AA03BF">
        <w:rPr>
          <w:rFonts w:ascii="Palatino Linotype" w:eastAsia="Calibri" w:hAnsi="Palatino Linotype" w:cs="Arial"/>
          <w:b/>
        </w:rPr>
        <w:t>s</w:t>
      </w:r>
      <w:r w:rsidRPr="00AA03BF">
        <w:rPr>
          <w:rFonts w:ascii="Palatino Linotype" w:eastAsia="Calibri" w:hAnsi="Palatino Linotype" w:cs="Arial"/>
        </w:rPr>
        <w:t xml:space="preserve"> </w:t>
      </w:r>
      <w:r w:rsidR="00AA03BF">
        <w:rPr>
          <w:rFonts w:ascii="Palatino Linotype" w:eastAsia="Calibri" w:hAnsi="Palatino Linotype" w:cs="Arial"/>
          <w:b/>
          <w:bCs/>
        </w:rPr>
        <w:t>Guadalupe Ramírez Peña y José Martínez Vilchis,</w:t>
      </w:r>
      <w:r w:rsidRPr="00AA03BF">
        <w:rPr>
          <w:rFonts w:ascii="Palatino Linotype" w:hAnsi="Palatino Linotype" w:cs="Arial"/>
        </w:rPr>
        <w:t xml:space="preserve"> para su an</w:t>
      </w:r>
      <w:r w:rsidR="0067526C">
        <w:rPr>
          <w:rFonts w:ascii="Palatino Linotype" w:hAnsi="Palatino Linotype" w:cs="Arial"/>
        </w:rPr>
        <w:t>álisis, estudio, elaboración de los</w:t>
      </w:r>
      <w:r w:rsidRPr="00AA03BF">
        <w:rPr>
          <w:rFonts w:ascii="Palatino Linotype" w:hAnsi="Palatino Linotype" w:cs="Arial"/>
        </w:rPr>
        <w:t xml:space="preserve"> proyecto</w:t>
      </w:r>
      <w:r w:rsidR="0067526C">
        <w:rPr>
          <w:rFonts w:ascii="Palatino Linotype" w:hAnsi="Palatino Linotype" w:cs="Arial"/>
        </w:rPr>
        <w:t>s</w:t>
      </w:r>
      <w:r w:rsidRPr="00AA03BF">
        <w:rPr>
          <w:rFonts w:ascii="Palatino Linotype" w:hAnsi="Palatino Linotype" w:cs="Arial"/>
        </w:rPr>
        <w:t xml:space="preserve"> y </w:t>
      </w:r>
      <w:r w:rsidRPr="00AA03BF">
        <w:rPr>
          <w:rFonts w:ascii="Palatino Linotype" w:eastAsia="Calibri" w:hAnsi="Palatino Linotype" w:cs="Arial"/>
        </w:rPr>
        <w:t>presentación ante el Pleno de este Instituto.</w:t>
      </w:r>
    </w:p>
    <w:p w14:paraId="36DC543D" w14:textId="77777777" w:rsidR="00B03355" w:rsidRPr="00B21F18" w:rsidRDefault="00B03355" w:rsidP="00B03355">
      <w:pPr>
        <w:widowControl w:val="0"/>
        <w:autoSpaceDE w:val="0"/>
        <w:autoSpaceDN w:val="0"/>
        <w:adjustRightInd w:val="0"/>
        <w:spacing w:line="360" w:lineRule="auto"/>
        <w:ind w:right="49"/>
        <w:jc w:val="both"/>
        <w:rPr>
          <w:rFonts w:ascii="Palatino Linotype" w:hAnsi="Palatino Linotype" w:cs="Arial"/>
          <w:b/>
          <w:sz w:val="14"/>
          <w:szCs w:val="16"/>
        </w:rPr>
      </w:pPr>
    </w:p>
    <w:p w14:paraId="3D986AD9" w14:textId="12787983" w:rsidR="00B03355" w:rsidRDefault="00B03355" w:rsidP="00B03355">
      <w:pPr>
        <w:widowControl w:val="0"/>
        <w:autoSpaceDE w:val="0"/>
        <w:autoSpaceDN w:val="0"/>
        <w:adjustRightInd w:val="0"/>
        <w:spacing w:line="360" w:lineRule="auto"/>
        <w:ind w:right="49"/>
        <w:jc w:val="both"/>
        <w:rPr>
          <w:rFonts w:ascii="Palatino Linotype" w:hAnsi="Palatino Linotype" w:cs="Arial"/>
        </w:rPr>
      </w:pPr>
      <w:r w:rsidRPr="00B21F18">
        <w:rPr>
          <w:rFonts w:ascii="Palatino Linotype" w:hAnsi="Palatino Linotype" w:cs="Arial"/>
          <w:b/>
          <w:szCs w:val="28"/>
        </w:rPr>
        <w:t>5.</w:t>
      </w:r>
      <w:r w:rsidRPr="00B21F18">
        <w:rPr>
          <w:rFonts w:ascii="Palatino Linotype" w:hAnsi="Palatino Linotype" w:cs="Arial"/>
          <w:b/>
          <w:i/>
          <w:szCs w:val="28"/>
        </w:rPr>
        <w:t xml:space="preserve"> </w:t>
      </w:r>
      <w:r w:rsidRPr="00B21F18">
        <w:rPr>
          <w:rFonts w:ascii="Palatino Linotype" w:hAnsi="Palatino Linotype" w:cs="Arial"/>
          <w:b/>
          <w:szCs w:val="28"/>
        </w:rPr>
        <w:t>Admisión de</w:t>
      </w:r>
      <w:r w:rsidR="0067526C">
        <w:rPr>
          <w:rFonts w:ascii="Palatino Linotype" w:hAnsi="Palatino Linotype" w:cs="Arial"/>
          <w:b/>
          <w:szCs w:val="28"/>
        </w:rPr>
        <w:t xml:space="preserve"> los</w:t>
      </w:r>
      <w:r w:rsidRPr="00B21F18">
        <w:rPr>
          <w:rFonts w:ascii="Palatino Linotype" w:hAnsi="Palatino Linotype" w:cs="Arial"/>
          <w:b/>
          <w:szCs w:val="28"/>
        </w:rPr>
        <w:t xml:space="preserve"> Recurso</w:t>
      </w:r>
      <w:r w:rsidR="0067526C">
        <w:rPr>
          <w:rFonts w:ascii="Palatino Linotype" w:hAnsi="Palatino Linotype" w:cs="Arial"/>
          <w:b/>
          <w:szCs w:val="28"/>
        </w:rPr>
        <w:t>s</w:t>
      </w:r>
      <w:r w:rsidRPr="00B21F18">
        <w:rPr>
          <w:rFonts w:ascii="Palatino Linotype" w:hAnsi="Palatino Linotype" w:cs="Arial"/>
          <w:b/>
          <w:szCs w:val="28"/>
        </w:rPr>
        <w:t>.</w:t>
      </w:r>
      <w:r w:rsidRPr="00B21F18">
        <w:rPr>
          <w:rFonts w:ascii="Palatino Linotype" w:hAnsi="Palatino Linotype" w:cs="Arial"/>
          <w:szCs w:val="28"/>
        </w:rPr>
        <w:t xml:space="preserve"> </w:t>
      </w:r>
      <w:r w:rsidR="00AA03BF">
        <w:rPr>
          <w:rFonts w:ascii="Palatino Linotype" w:hAnsi="Palatino Linotype" w:cs="Arial"/>
        </w:rPr>
        <w:t>Los días</w:t>
      </w:r>
      <w:r w:rsidR="00AA03BF">
        <w:rPr>
          <w:rFonts w:ascii="Palatino Linotype" w:hAnsi="Palatino Linotype" w:cs="Arial"/>
          <w:b/>
        </w:rPr>
        <w:t xml:space="preserve"> veinticuatro y veintisiete</w:t>
      </w:r>
      <w:r w:rsidRPr="00B21F18">
        <w:rPr>
          <w:rFonts w:ascii="Palatino Linotype" w:hAnsi="Palatino Linotype" w:cs="Arial"/>
          <w:b/>
        </w:rPr>
        <w:t xml:space="preserve"> de </w:t>
      </w:r>
      <w:r w:rsidR="00AA03BF">
        <w:rPr>
          <w:rFonts w:ascii="Palatino Linotype" w:hAnsi="Palatino Linotype" w:cs="Arial"/>
          <w:b/>
        </w:rPr>
        <w:t>septiembre</w:t>
      </w:r>
      <w:r w:rsidRPr="00B21F18">
        <w:rPr>
          <w:rFonts w:ascii="Palatino Linotype" w:hAnsi="Palatino Linotype" w:cs="Arial"/>
          <w:b/>
        </w:rPr>
        <w:t xml:space="preserve"> de dos mil </w:t>
      </w:r>
      <w:r w:rsidR="002B4161">
        <w:rPr>
          <w:rFonts w:ascii="Palatino Linotype" w:hAnsi="Palatino Linotype" w:cs="Arial"/>
          <w:b/>
        </w:rPr>
        <w:t>veintiuno</w:t>
      </w:r>
      <w:r w:rsidRPr="00B21F18">
        <w:rPr>
          <w:rFonts w:ascii="Palatino Linotype" w:hAnsi="Palatino Linotype" w:cs="Arial"/>
          <w:b/>
        </w:rPr>
        <w:t xml:space="preserve"> </w:t>
      </w:r>
      <w:r w:rsidR="00AA03BF">
        <w:rPr>
          <w:rFonts w:ascii="Palatino Linotype" w:hAnsi="Palatino Linotype" w:cs="Arial"/>
        </w:rPr>
        <w:t>se admitieron</w:t>
      </w:r>
      <w:r w:rsidR="0067526C">
        <w:rPr>
          <w:rFonts w:ascii="Palatino Linotype" w:hAnsi="Palatino Linotype" w:cs="Arial"/>
        </w:rPr>
        <w:t xml:space="preserve"> a trámite los </w:t>
      </w:r>
      <w:r w:rsidRPr="00B21F18">
        <w:rPr>
          <w:rFonts w:ascii="Palatino Linotype" w:hAnsi="Palatino Linotype" w:cs="Arial"/>
        </w:rPr>
        <w:t>recurso</w:t>
      </w:r>
      <w:r w:rsidR="0067526C">
        <w:rPr>
          <w:rFonts w:ascii="Palatino Linotype" w:hAnsi="Palatino Linotype" w:cs="Arial"/>
        </w:rPr>
        <w:t>s</w:t>
      </w:r>
      <w:r w:rsidRPr="00B21F18">
        <w:rPr>
          <w:rFonts w:ascii="Palatino Linotype" w:hAnsi="Palatino Linotype" w:cs="Arial"/>
        </w:rPr>
        <w:t xml:space="preserve"> de </w:t>
      </w:r>
      <w:r w:rsidR="0067526C">
        <w:rPr>
          <w:rFonts w:ascii="Palatino Linotype" w:hAnsi="Palatino Linotype" w:cs="Arial"/>
        </w:rPr>
        <w:t xml:space="preserve">revisión a efecto de </w:t>
      </w:r>
      <w:r w:rsidR="0067526C">
        <w:rPr>
          <w:rFonts w:ascii="Palatino Linotype" w:hAnsi="Palatino Linotype" w:cs="Arial"/>
        </w:rPr>
        <w:lastRenderedPageBreak/>
        <w:t>integrar los</w:t>
      </w:r>
      <w:r w:rsidRPr="00B21F18">
        <w:rPr>
          <w:rFonts w:ascii="Palatino Linotype" w:hAnsi="Palatino Linotype" w:cs="Arial"/>
        </w:rPr>
        <w:t xml:space="preserve"> expediente</w:t>
      </w:r>
      <w:r w:rsidR="0067526C">
        <w:rPr>
          <w:rFonts w:ascii="Palatino Linotype" w:hAnsi="Palatino Linotype" w:cs="Arial"/>
        </w:rPr>
        <w:t>s</w:t>
      </w:r>
      <w:r w:rsidRPr="00B21F18">
        <w:rPr>
          <w:rFonts w:ascii="Palatino Linotype" w:hAnsi="Palatino Linotype" w:cs="Arial"/>
        </w:rPr>
        <w:t xml:space="preserve"> respectivo</w:t>
      </w:r>
      <w:r w:rsidR="0067526C">
        <w:rPr>
          <w:rFonts w:ascii="Palatino Linotype" w:hAnsi="Palatino Linotype" w:cs="Arial"/>
        </w:rPr>
        <w:t xml:space="preserve">s que </w:t>
      </w:r>
      <w:r w:rsidRPr="00B21F18">
        <w:rPr>
          <w:rFonts w:ascii="Palatino Linotype" w:hAnsi="Palatino Linotype" w:cs="Arial"/>
        </w:rPr>
        <w:t>fue</w:t>
      </w:r>
      <w:r w:rsidR="0067526C">
        <w:rPr>
          <w:rFonts w:ascii="Palatino Linotype" w:hAnsi="Palatino Linotype" w:cs="Arial"/>
        </w:rPr>
        <w:t>ron</w:t>
      </w:r>
      <w:r w:rsidRPr="00B21F18">
        <w:rPr>
          <w:rFonts w:ascii="Palatino Linotype" w:hAnsi="Palatino Linotype" w:cs="Arial"/>
        </w:rPr>
        <w:t xml:space="preserve"> </w:t>
      </w:r>
      <w:r w:rsidR="0067526C" w:rsidRPr="00B21F18">
        <w:rPr>
          <w:rFonts w:ascii="Palatino Linotype" w:hAnsi="Palatino Linotype" w:cs="Arial"/>
        </w:rPr>
        <w:t>puestos</w:t>
      </w:r>
      <w:r w:rsidRPr="00B21F18">
        <w:rPr>
          <w:rFonts w:ascii="Palatino Linotype" w:hAnsi="Palatino Linotype" w:cs="Arial"/>
        </w:rPr>
        <w:t xml:space="preserve"> a disposición de las partes por siete días hábiles para que ofrecieran pruebas </w:t>
      </w:r>
      <w:r w:rsidR="002B4161" w:rsidRPr="00B21F18">
        <w:rPr>
          <w:rFonts w:ascii="Palatino Linotype" w:hAnsi="Palatino Linotype" w:cs="Arial"/>
        </w:rPr>
        <w:t>y manifestaran</w:t>
      </w:r>
      <w:r w:rsidRPr="00B21F18">
        <w:rPr>
          <w:rFonts w:ascii="Palatino Linotype" w:hAnsi="Palatino Linotype" w:cs="Arial"/>
        </w:rPr>
        <w:t xml:space="preserve"> lo que a su derecho convenga.</w:t>
      </w:r>
    </w:p>
    <w:p w14:paraId="259DDB68" w14:textId="37C81919" w:rsidR="00AA03BF" w:rsidRPr="00990B2D" w:rsidRDefault="00AA03BF" w:rsidP="00AA03BF">
      <w:pPr>
        <w:widowControl w:val="0"/>
        <w:autoSpaceDE w:val="0"/>
        <w:autoSpaceDN w:val="0"/>
        <w:adjustRightInd w:val="0"/>
        <w:spacing w:before="240" w:after="240" w:line="360" w:lineRule="auto"/>
        <w:jc w:val="both"/>
        <w:rPr>
          <w:rFonts w:ascii="Palatino Linotype" w:hAnsi="Palatino Linotype" w:cs="Arial"/>
          <w:b/>
          <w:lang w:val="es-MX" w:eastAsia="es-MX"/>
        </w:rPr>
      </w:pPr>
      <w:r w:rsidRPr="00990B2D">
        <w:rPr>
          <w:rFonts w:ascii="Palatino Linotype" w:hAnsi="Palatino Linotype" w:cs="Arial"/>
          <w:b/>
          <w:lang w:val="es-MX" w:eastAsia="es-MX"/>
        </w:rPr>
        <w:t xml:space="preserve">6. Acumulación de los recursos de revisión. </w:t>
      </w:r>
      <w:r w:rsidRPr="00990B2D">
        <w:rPr>
          <w:rFonts w:ascii="Palatino Linotype" w:eastAsia="Calibri" w:hAnsi="Palatino Linotype" w:cs="Arial"/>
          <w:lang w:val="es-MX" w:eastAsia="es-MX"/>
        </w:rPr>
        <w:t xml:space="preserve">Al respecto cabe señalar, que el pleno de este Instituto, en la </w:t>
      </w:r>
      <w:r>
        <w:rPr>
          <w:rFonts w:ascii="Palatino Linotype" w:eastAsia="Calibri" w:hAnsi="Palatino Linotype" w:cs="Arial"/>
          <w:b/>
          <w:lang w:val="es-MX" w:eastAsia="es-MX"/>
        </w:rPr>
        <w:t>Trigésima Quinta</w:t>
      </w:r>
      <w:r w:rsidRPr="00990B2D">
        <w:rPr>
          <w:rFonts w:ascii="Palatino Linotype" w:eastAsia="Calibri" w:hAnsi="Palatino Linotype" w:cs="Arial"/>
          <w:b/>
          <w:lang w:val="es-MX" w:eastAsia="es-MX"/>
        </w:rPr>
        <w:t xml:space="preserve"> Sesión Ordinaria</w:t>
      </w:r>
      <w:r w:rsidRPr="00990B2D">
        <w:rPr>
          <w:rFonts w:ascii="Palatino Linotype" w:eastAsia="Calibri" w:hAnsi="Palatino Linotype" w:cs="Arial"/>
          <w:lang w:val="es-MX" w:eastAsia="es-MX"/>
        </w:rPr>
        <w:t xml:space="preserve"> de fecha </w:t>
      </w:r>
      <w:r>
        <w:rPr>
          <w:rFonts w:ascii="Palatino Linotype" w:eastAsia="Calibri" w:hAnsi="Palatino Linotype" w:cs="Arial"/>
          <w:b/>
          <w:bCs/>
          <w:lang w:val="es-MX" w:eastAsia="es-MX"/>
        </w:rPr>
        <w:t>seis de octubre</w:t>
      </w:r>
      <w:r w:rsidRPr="00990B2D">
        <w:rPr>
          <w:rFonts w:ascii="Palatino Linotype" w:eastAsia="Calibri" w:hAnsi="Palatino Linotype" w:cs="Arial"/>
          <w:b/>
          <w:bCs/>
          <w:lang w:val="es-MX" w:eastAsia="es-MX"/>
        </w:rPr>
        <w:t xml:space="preserve"> </w:t>
      </w:r>
      <w:r w:rsidRPr="00990B2D">
        <w:rPr>
          <w:rFonts w:ascii="Palatino Linotype" w:eastAsia="Calibri" w:hAnsi="Palatino Linotype" w:cs="Arial"/>
          <w:b/>
          <w:lang w:val="es-MX" w:eastAsia="es-MX"/>
        </w:rPr>
        <w:t>de dos mil veintiuno</w:t>
      </w:r>
      <w:r w:rsidRPr="00990B2D">
        <w:rPr>
          <w:rFonts w:ascii="Palatino Linotype" w:eastAsia="Calibri" w:hAnsi="Palatino Linotype" w:cs="Arial"/>
          <w:lang w:val="es-MX" w:eastAsia="es-MX"/>
        </w:rPr>
        <w:t xml:space="preserve">, </w:t>
      </w:r>
      <w:r w:rsidRPr="00990B2D">
        <w:rPr>
          <w:rFonts w:ascii="Palatino Linotype" w:hAnsi="Palatino Linotype" w:cs="Arial"/>
          <w:lang w:val="es-MX" w:eastAsia="es-MX"/>
        </w:rPr>
        <w:t>ordenó la acumulación de los expedientes cit</w:t>
      </w:r>
      <w:r>
        <w:rPr>
          <w:rFonts w:ascii="Palatino Linotype" w:hAnsi="Palatino Linotype" w:cs="Arial"/>
          <w:lang w:val="es-MX" w:eastAsia="es-MX"/>
        </w:rPr>
        <w:t>ados y el turno de los mismos a la</w:t>
      </w:r>
      <w:r w:rsidRPr="00990B2D">
        <w:rPr>
          <w:rFonts w:ascii="Palatino Linotype" w:hAnsi="Palatino Linotype" w:cs="Arial"/>
          <w:lang w:val="es-MX" w:eastAsia="es-MX"/>
        </w:rPr>
        <w:t xml:space="preserve"> </w:t>
      </w:r>
      <w:r w:rsidRPr="00990B2D">
        <w:rPr>
          <w:rFonts w:ascii="Palatino Linotype" w:eastAsia="Calibri" w:hAnsi="Palatino Linotype" w:cs="Arial"/>
          <w:b/>
          <w:lang w:val="es-MX" w:eastAsia="es-MX"/>
        </w:rPr>
        <w:t xml:space="preserve">Comisionada Guadalupe Ramírez Peña, </w:t>
      </w:r>
      <w:r w:rsidRPr="00990B2D">
        <w:rPr>
          <w:rFonts w:ascii="Palatino Linotype" w:eastAsia="Calibri" w:hAnsi="Palatino Linotype" w:cs="Arial"/>
          <w:lang w:val="es-MX" w:eastAsia="es-MX"/>
        </w:rPr>
        <w:t xml:space="preserve">para que formulara y presentara el proyecto de resolución correspondiente, de conformidad con lo dispuesto en el artículo 18 del Código de Procedimientos Administrativos del Estado de México, de aplicación supletoria en términos del artículo 195 de la Ley de Transparencia y Acceso a la Información Pública del Estado de México y Municipios, que a la letra señalan:  </w:t>
      </w:r>
    </w:p>
    <w:p w14:paraId="33F6DA6E" w14:textId="77777777" w:rsidR="00AA03BF" w:rsidRPr="00990B2D" w:rsidRDefault="00AA03BF" w:rsidP="00AA03BF">
      <w:pPr>
        <w:widowControl w:val="0"/>
        <w:autoSpaceDE w:val="0"/>
        <w:autoSpaceDN w:val="0"/>
        <w:adjustRightInd w:val="0"/>
        <w:spacing w:before="240" w:after="240"/>
        <w:ind w:left="851" w:right="902"/>
        <w:jc w:val="both"/>
        <w:rPr>
          <w:rFonts w:ascii="Palatino Linotype" w:eastAsia="Calibri" w:hAnsi="Palatino Linotype" w:cs="Arial"/>
          <w:b/>
          <w:i/>
          <w:sz w:val="22"/>
          <w:lang w:val="es-MX" w:eastAsia="es-MX"/>
        </w:rPr>
      </w:pPr>
      <w:r w:rsidRPr="00990B2D">
        <w:rPr>
          <w:rFonts w:ascii="Palatino Linotype" w:eastAsia="Calibri" w:hAnsi="Palatino Linotype" w:cs="Arial"/>
          <w:b/>
          <w:i/>
          <w:sz w:val="22"/>
          <w:lang w:val="es-MX" w:eastAsia="es-MX"/>
        </w:rPr>
        <w:t>Código de Procedimientos Administrativos del Estado de México</w:t>
      </w:r>
    </w:p>
    <w:p w14:paraId="202689E6" w14:textId="77777777" w:rsidR="00AA03BF" w:rsidRPr="00990B2D" w:rsidRDefault="00AA03BF" w:rsidP="00AA03BF">
      <w:pPr>
        <w:widowControl w:val="0"/>
        <w:autoSpaceDE w:val="0"/>
        <w:autoSpaceDN w:val="0"/>
        <w:adjustRightInd w:val="0"/>
        <w:spacing w:before="240" w:after="240"/>
        <w:ind w:left="851" w:right="902"/>
        <w:jc w:val="both"/>
        <w:rPr>
          <w:rFonts w:ascii="Palatino Linotype" w:eastAsia="Calibri" w:hAnsi="Palatino Linotype" w:cs="Arial"/>
          <w:i/>
          <w:sz w:val="22"/>
          <w:lang w:val="es-MX" w:eastAsia="es-MX"/>
        </w:rPr>
      </w:pPr>
      <w:r w:rsidRPr="00990B2D">
        <w:rPr>
          <w:rFonts w:ascii="Palatino Linotype" w:eastAsia="Calibri" w:hAnsi="Palatino Linotype" w:cs="Arial"/>
          <w:b/>
          <w:i/>
          <w:sz w:val="22"/>
          <w:lang w:val="es-MX" w:eastAsia="es-MX"/>
        </w:rPr>
        <w:t>“Artículo 18.-</w:t>
      </w:r>
      <w:r w:rsidRPr="00990B2D">
        <w:rPr>
          <w:rFonts w:ascii="Palatino Linotype" w:eastAsia="Calibri" w:hAnsi="Palatino Linotype" w:cs="Arial"/>
          <w:i/>
          <w:sz w:val="22"/>
          <w:lang w:val="es-MX" w:eastAsia="es-MX"/>
        </w:rPr>
        <w:t xml:space="preserve"> </w:t>
      </w:r>
      <w:r w:rsidRPr="00990B2D">
        <w:rPr>
          <w:rFonts w:ascii="Palatino Linotype" w:eastAsia="Calibri" w:hAnsi="Palatino Linotype" w:cs="Arial"/>
          <w:b/>
          <w:i/>
          <w:sz w:val="22"/>
          <w:lang w:val="es-MX" w:eastAsia="es-MX"/>
        </w:rPr>
        <w:t>La autoridad administrativa o el Tribunal acordarán la acumulación de los expedientes</w:t>
      </w:r>
      <w:r w:rsidRPr="00990B2D">
        <w:rPr>
          <w:rFonts w:ascii="Palatino Linotype" w:eastAsia="Calibri" w:hAnsi="Palatino Linotype" w:cs="Arial"/>
          <w:i/>
          <w:sz w:val="22"/>
          <w:lang w:val="es-MX" w:eastAsia="es-MX"/>
        </w:rPr>
        <w:t xml:space="preserve"> </w:t>
      </w:r>
      <w:r w:rsidRPr="00990B2D">
        <w:rPr>
          <w:rFonts w:ascii="Palatino Linotype" w:eastAsia="Calibri" w:hAnsi="Palatino Linotype" w:cs="Arial"/>
          <w:b/>
          <w:i/>
          <w:sz w:val="22"/>
          <w:lang w:val="es-MX" w:eastAsia="es-MX"/>
        </w:rPr>
        <w:t xml:space="preserve">del procedimiento y el proceso administrativo que ante ellos se sigan, de oficio </w:t>
      </w:r>
      <w:r w:rsidRPr="00990B2D">
        <w:rPr>
          <w:rFonts w:ascii="Palatino Linotype" w:eastAsia="Calibri" w:hAnsi="Palatino Linotype" w:cs="Arial"/>
          <w:i/>
          <w:sz w:val="22"/>
          <w:lang w:val="es-MX" w:eastAsia="es-MX"/>
        </w:rPr>
        <w:t xml:space="preserve">o a petición de parte, </w:t>
      </w:r>
      <w:r w:rsidRPr="00990B2D">
        <w:rPr>
          <w:rFonts w:ascii="Palatino Linotype" w:eastAsia="Calibri" w:hAnsi="Palatino Linotype" w:cs="Arial"/>
          <w:b/>
          <w:i/>
          <w:sz w:val="22"/>
          <w:lang w:val="es-MX" w:eastAsia="es-MX"/>
        </w:rPr>
        <w:t>cuando las parte</w:t>
      </w:r>
      <w:r w:rsidRPr="00990B2D">
        <w:rPr>
          <w:rFonts w:ascii="Palatino Linotype" w:eastAsia="Calibri" w:hAnsi="Palatino Linotype" w:cs="Arial"/>
          <w:i/>
          <w:sz w:val="22"/>
          <w:lang w:val="es-MX" w:eastAsia="es-MX"/>
        </w:rPr>
        <w:t xml:space="preserve">s o los actos administrativos sean iguales, se trate de actos conexos o </w:t>
      </w:r>
      <w:r w:rsidRPr="00990B2D">
        <w:rPr>
          <w:rFonts w:ascii="Palatino Linotype" w:eastAsia="Calibri" w:hAnsi="Palatino Linotype" w:cs="Arial"/>
          <w:b/>
          <w:i/>
          <w:sz w:val="22"/>
          <w:lang w:val="es-MX" w:eastAsia="es-MX"/>
        </w:rPr>
        <w:t>resulte conveniente el trámite unificado de los asuntos, para evitar la emisión de resoluciones contradictorias.</w:t>
      </w:r>
      <w:r w:rsidRPr="00990B2D">
        <w:rPr>
          <w:rFonts w:ascii="Palatino Linotype" w:eastAsia="Calibri" w:hAnsi="Palatino Linotype" w:cs="Arial"/>
          <w:i/>
          <w:sz w:val="22"/>
          <w:lang w:val="es-MX" w:eastAsia="es-MX"/>
        </w:rPr>
        <w:t xml:space="preserve"> La misma regla se aplicará, en lo conducente, para la separación de expedientes.”</w:t>
      </w:r>
    </w:p>
    <w:p w14:paraId="01851187" w14:textId="77777777" w:rsidR="00AA03BF" w:rsidRPr="00990B2D" w:rsidRDefault="00AA03BF" w:rsidP="00AA03BF">
      <w:pPr>
        <w:widowControl w:val="0"/>
        <w:autoSpaceDE w:val="0"/>
        <w:autoSpaceDN w:val="0"/>
        <w:adjustRightInd w:val="0"/>
        <w:spacing w:before="240" w:after="240"/>
        <w:ind w:left="851" w:right="902"/>
        <w:jc w:val="both"/>
        <w:rPr>
          <w:rFonts w:ascii="Palatino Linotype" w:eastAsia="Calibri" w:hAnsi="Palatino Linotype" w:cs="Arial"/>
          <w:b/>
          <w:i/>
          <w:sz w:val="22"/>
          <w:lang w:val="es-MX" w:eastAsia="es-MX"/>
        </w:rPr>
      </w:pPr>
      <w:r w:rsidRPr="00990B2D">
        <w:rPr>
          <w:rFonts w:ascii="Palatino Linotype" w:eastAsia="Calibri" w:hAnsi="Palatino Linotype" w:cs="Arial"/>
          <w:b/>
          <w:i/>
          <w:sz w:val="22"/>
          <w:lang w:val="es-MX" w:eastAsia="es-MX"/>
        </w:rPr>
        <w:t>Ley de Transparencia y Acceso a la Información Pública del Estado de México y Municipios</w:t>
      </w:r>
    </w:p>
    <w:p w14:paraId="68FE1AC4" w14:textId="77777777" w:rsidR="00AA03BF" w:rsidRPr="00990B2D" w:rsidRDefault="00AA03BF" w:rsidP="00AA03BF">
      <w:pPr>
        <w:widowControl w:val="0"/>
        <w:autoSpaceDE w:val="0"/>
        <w:autoSpaceDN w:val="0"/>
        <w:adjustRightInd w:val="0"/>
        <w:spacing w:before="240" w:after="240"/>
        <w:ind w:left="851" w:right="902"/>
        <w:jc w:val="both"/>
        <w:rPr>
          <w:rFonts w:ascii="Palatino Linotype" w:eastAsia="Calibri" w:hAnsi="Palatino Linotype" w:cs="Arial"/>
          <w:i/>
          <w:sz w:val="22"/>
          <w:lang w:val="es-MX" w:eastAsia="es-MX"/>
        </w:rPr>
      </w:pPr>
      <w:r w:rsidRPr="00990B2D">
        <w:rPr>
          <w:rFonts w:ascii="Palatino Linotype" w:eastAsia="Calibri" w:hAnsi="Palatino Linotype" w:cs="Arial"/>
          <w:b/>
          <w:i/>
          <w:sz w:val="22"/>
          <w:lang w:val="es-MX" w:eastAsia="es-MX"/>
        </w:rPr>
        <w:t>“Artículo 195.-</w:t>
      </w:r>
      <w:r w:rsidRPr="00990B2D">
        <w:rPr>
          <w:rFonts w:ascii="Palatino Linotype" w:eastAsia="Calibri" w:hAnsi="Palatino Linotype" w:cs="Arial"/>
          <w:i/>
          <w:sz w:val="22"/>
          <w:lang w:val="es-MX" w:eastAsia="es-MX"/>
        </w:rPr>
        <w:t xml:space="preserve"> En la tramitación del recurso de revisión se aplicará supletoriamente las disposiciones contenidas en el Código de Procedimientos Administrativos del Estado de México.”</w:t>
      </w:r>
    </w:p>
    <w:p w14:paraId="06007BAF" w14:textId="2D813CA1" w:rsidR="00B03355" w:rsidRDefault="00AA03BF" w:rsidP="00B03355">
      <w:pPr>
        <w:widowControl w:val="0"/>
        <w:autoSpaceDE w:val="0"/>
        <w:autoSpaceDN w:val="0"/>
        <w:adjustRightInd w:val="0"/>
        <w:spacing w:line="360" w:lineRule="auto"/>
        <w:ind w:right="49"/>
        <w:jc w:val="both"/>
        <w:rPr>
          <w:rFonts w:ascii="Palatino Linotype" w:eastAsia="Calibri" w:hAnsi="Palatino Linotype" w:cs="Arial"/>
          <w:lang w:val="es-MX" w:eastAsia="en-US"/>
        </w:rPr>
      </w:pPr>
      <w:r>
        <w:rPr>
          <w:rFonts w:ascii="Palatino Linotype" w:hAnsi="Palatino Linotype" w:cs="Arial"/>
          <w:b/>
          <w:szCs w:val="28"/>
        </w:rPr>
        <w:t>7</w:t>
      </w:r>
      <w:r w:rsidR="00B03355" w:rsidRPr="002B4161">
        <w:rPr>
          <w:rFonts w:ascii="Palatino Linotype" w:hAnsi="Palatino Linotype" w:cs="Arial"/>
          <w:b/>
          <w:szCs w:val="28"/>
        </w:rPr>
        <w:t>. Manifestaciones</w:t>
      </w:r>
      <w:r w:rsidR="00B03355" w:rsidRPr="002B4161">
        <w:rPr>
          <w:rFonts w:ascii="Palatino Linotype" w:hAnsi="Palatino Linotype" w:cs="Arial"/>
          <w:szCs w:val="28"/>
        </w:rPr>
        <w:t xml:space="preserve">. </w:t>
      </w:r>
      <w:r w:rsidR="0067526C">
        <w:rPr>
          <w:rFonts w:ascii="Palatino Linotype" w:eastAsia="Calibri" w:hAnsi="Palatino Linotype" w:cs="Arial"/>
          <w:lang w:val="es-MX" w:eastAsia="en-US"/>
        </w:rPr>
        <w:t>De constancias de los</w:t>
      </w:r>
      <w:r w:rsidR="00B03355" w:rsidRPr="008374F4">
        <w:rPr>
          <w:rFonts w:ascii="Palatino Linotype" w:eastAsia="Calibri" w:hAnsi="Palatino Linotype" w:cs="Arial"/>
          <w:lang w:val="es-MX" w:eastAsia="en-US"/>
        </w:rPr>
        <w:t xml:space="preserve"> expediente</w:t>
      </w:r>
      <w:r w:rsidR="0067526C">
        <w:rPr>
          <w:rFonts w:ascii="Palatino Linotype" w:eastAsia="Calibri" w:hAnsi="Palatino Linotype" w:cs="Arial"/>
          <w:lang w:val="es-MX" w:eastAsia="en-US"/>
        </w:rPr>
        <w:t>s</w:t>
      </w:r>
      <w:r w:rsidR="00B03355" w:rsidRPr="008374F4">
        <w:rPr>
          <w:rFonts w:ascii="Palatino Linotype" w:eastAsia="Calibri" w:hAnsi="Palatino Linotype" w:cs="Arial"/>
          <w:lang w:val="es-MX" w:eastAsia="en-US"/>
        </w:rPr>
        <w:t xml:space="preserve"> electrónico</w:t>
      </w:r>
      <w:r w:rsidR="0067526C">
        <w:rPr>
          <w:rFonts w:ascii="Palatino Linotype" w:eastAsia="Calibri" w:hAnsi="Palatino Linotype" w:cs="Arial"/>
          <w:lang w:val="es-MX" w:eastAsia="en-US"/>
        </w:rPr>
        <w:t>s</w:t>
      </w:r>
      <w:r w:rsidR="00B03355" w:rsidRPr="008374F4">
        <w:rPr>
          <w:rFonts w:ascii="Palatino Linotype" w:eastAsia="Calibri" w:hAnsi="Palatino Linotype" w:cs="Arial"/>
          <w:lang w:val="es-MX" w:eastAsia="en-US"/>
        </w:rPr>
        <w:t xml:space="preserve"> del SAIMEX, se </w:t>
      </w:r>
      <w:r w:rsidR="00B03355" w:rsidRPr="008374F4">
        <w:rPr>
          <w:rFonts w:ascii="Palatino Linotype" w:eastAsia="Calibri" w:hAnsi="Palatino Linotype" w:cs="Arial"/>
          <w:lang w:val="es-MX" w:eastAsia="en-US"/>
        </w:rPr>
        <w:lastRenderedPageBreak/>
        <w:t xml:space="preserve">observa que el </w:t>
      </w:r>
      <w:r w:rsidR="00B03355" w:rsidRPr="008374F4">
        <w:rPr>
          <w:rFonts w:ascii="Palatino Linotype" w:eastAsia="Calibri" w:hAnsi="Palatino Linotype" w:cs="Arial"/>
          <w:b/>
          <w:lang w:val="es-MX" w:eastAsia="en-US"/>
        </w:rPr>
        <w:t>Sujeto Obligado</w:t>
      </w:r>
      <w:r w:rsidR="003E5177">
        <w:rPr>
          <w:rFonts w:ascii="Palatino Linotype" w:eastAsia="Calibri" w:hAnsi="Palatino Linotype" w:cs="Arial"/>
          <w:lang w:val="es-MX" w:eastAsia="en-US"/>
        </w:rPr>
        <w:t xml:space="preserve"> rindió</w:t>
      </w:r>
      <w:r w:rsidR="00B03355" w:rsidRPr="008374F4">
        <w:rPr>
          <w:rFonts w:ascii="Palatino Linotype" w:eastAsia="Calibri" w:hAnsi="Palatino Linotype" w:cs="Arial"/>
          <w:lang w:val="es-MX" w:eastAsia="en-US"/>
        </w:rPr>
        <w:t xml:space="preserve"> su</w:t>
      </w:r>
      <w:r w:rsidR="003E5177">
        <w:rPr>
          <w:rFonts w:ascii="Palatino Linotype" w:eastAsia="Calibri" w:hAnsi="Palatino Linotype" w:cs="Arial"/>
          <w:lang w:val="es-MX" w:eastAsia="en-US"/>
        </w:rPr>
        <w:t>s</w:t>
      </w:r>
      <w:r w:rsidR="00B03355" w:rsidRPr="008374F4">
        <w:rPr>
          <w:rFonts w:ascii="Palatino Linotype" w:eastAsia="Calibri" w:hAnsi="Palatino Linotype" w:cs="Arial"/>
          <w:lang w:val="es-MX" w:eastAsia="en-US"/>
        </w:rPr>
        <w:t xml:space="preserve"> informe</w:t>
      </w:r>
      <w:r w:rsidR="003E5177">
        <w:rPr>
          <w:rFonts w:ascii="Palatino Linotype" w:eastAsia="Calibri" w:hAnsi="Palatino Linotype" w:cs="Arial"/>
          <w:lang w:val="es-MX" w:eastAsia="en-US"/>
        </w:rPr>
        <w:t>s</w:t>
      </w:r>
      <w:r w:rsidR="00B03355" w:rsidRPr="008374F4">
        <w:rPr>
          <w:rFonts w:ascii="Palatino Linotype" w:eastAsia="Calibri" w:hAnsi="Palatino Linotype" w:cs="Arial"/>
          <w:lang w:val="es-MX" w:eastAsia="en-US"/>
        </w:rPr>
        <w:t xml:space="preserve"> justificado</w:t>
      </w:r>
      <w:r w:rsidR="003E5177">
        <w:rPr>
          <w:rFonts w:ascii="Palatino Linotype" w:eastAsia="Calibri" w:hAnsi="Palatino Linotype" w:cs="Arial"/>
          <w:lang w:val="es-MX" w:eastAsia="en-US"/>
        </w:rPr>
        <w:t>s</w:t>
      </w:r>
      <w:r w:rsidR="00B03355" w:rsidRPr="008374F4">
        <w:rPr>
          <w:rFonts w:ascii="Palatino Linotype" w:eastAsia="Calibri" w:hAnsi="Palatino Linotype" w:cs="Arial"/>
          <w:lang w:val="es-MX" w:eastAsia="en-US"/>
        </w:rPr>
        <w:t xml:space="preserve"> </w:t>
      </w:r>
      <w:r w:rsidR="003E5177">
        <w:rPr>
          <w:rFonts w:ascii="Palatino Linotype" w:eastAsia="Calibri" w:hAnsi="Palatino Linotype" w:cs="Arial"/>
          <w:lang w:val="es-MX" w:eastAsia="en-US"/>
        </w:rPr>
        <w:t xml:space="preserve">en fecha </w:t>
      </w:r>
      <w:r w:rsidR="003E5177" w:rsidRPr="003E5177">
        <w:rPr>
          <w:rFonts w:ascii="Palatino Linotype" w:eastAsia="Calibri" w:hAnsi="Palatino Linotype" w:cs="Arial"/>
          <w:b/>
          <w:lang w:val="es-MX" w:eastAsia="en-US"/>
        </w:rPr>
        <w:t>uno de octubre de dos mil veintiuno</w:t>
      </w:r>
      <w:r w:rsidR="00A35FAC">
        <w:rPr>
          <w:rFonts w:ascii="Palatino Linotype" w:eastAsia="Calibri" w:hAnsi="Palatino Linotype" w:cs="Arial"/>
          <w:lang w:val="es-MX" w:eastAsia="en-US"/>
        </w:rPr>
        <w:t xml:space="preserve"> con los archivos electrónicos </w:t>
      </w:r>
      <w:r w:rsidR="00A35FAC" w:rsidRPr="00A35FAC">
        <w:rPr>
          <w:rFonts w:ascii="Palatino Linotype" w:eastAsia="Calibri" w:hAnsi="Palatino Linotype" w:cs="Arial"/>
          <w:b/>
          <w:i/>
          <w:lang w:val="es-MX" w:eastAsia="en-US"/>
        </w:rPr>
        <w:t>“OFICIO SOL. 4769 RECIBIDA DE CONTRALORIA 2021.pdf”</w:t>
      </w:r>
      <w:r w:rsidR="00A35FAC">
        <w:rPr>
          <w:rFonts w:ascii="Palatino Linotype" w:eastAsia="Calibri" w:hAnsi="Palatino Linotype" w:cs="Arial"/>
          <w:lang w:val="es-MX" w:eastAsia="en-US"/>
        </w:rPr>
        <w:t xml:space="preserve"> y “</w:t>
      </w:r>
      <w:r w:rsidR="00A35FAC" w:rsidRPr="00A35FAC">
        <w:rPr>
          <w:rFonts w:ascii="Palatino Linotype" w:eastAsia="Calibri" w:hAnsi="Palatino Linotype" w:cs="Arial"/>
          <w:b/>
          <w:i/>
          <w:lang w:val="es-MX" w:eastAsia="en-US"/>
        </w:rPr>
        <w:t>OFICIO SOL.04770 RECIBIDA DE CONTRALORIA 2021 (1).</w:t>
      </w:r>
      <w:proofErr w:type="spellStart"/>
      <w:r w:rsidR="00A35FAC" w:rsidRPr="00A35FAC">
        <w:rPr>
          <w:rFonts w:ascii="Palatino Linotype" w:eastAsia="Calibri" w:hAnsi="Palatino Linotype" w:cs="Arial"/>
          <w:b/>
          <w:i/>
          <w:lang w:val="es-MX" w:eastAsia="en-US"/>
        </w:rPr>
        <w:t>pdf</w:t>
      </w:r>
      <w:proofErr w:type="spellEnd"/>
      <w:r w:rsidR="00A35FAC" w:rsidRPr="00A35FAC">
        <w:rPr>
          <w:rFonts w:ascii="Palatino Linotype" w:eastAsia="Calibri" w:hAnsi="Palatino Linotype" w:cs="Arial"/>
          <w:b/>
          <w:i/>
          <w:lang w:val="es-MX" w:eastAsia="en-US"/>
        </w:rPr>
        <w:t>”</w:t>
      </w:r>
      <w:r w:rsidR="00A35FAC">
        <w:rPr>
          <w:rFonts w:ascii="Palatino Linotype" w:eastAsia="Calibri" w:hAnsi="Palatino Linotype" w:cs="Arial"/>
          <w:lang w:val="es-MX" w:eastAsia="en-US"/>
        </w:rPr>
        <w:t xml:space="preserve"> los cuales se pusieron a la vista del particular el once de noviembre de dos mil veintiuno, c</w:t>
      </w:r>
      <w:r w:rsidR="00B03355">
        <w:rPr>
          <w:rFonts w:ascii="Palatino Linotype" w:eastAsia="Calibri" w:hAnsi="Palatino Linotype" w:cs="Arial"/>
          <w:lang w:val="es-MX" w:eastAsia="en-US"/>
        </w:rPr>
        <w:t xml:space="preserve">abe señalar que la parte recurrente también fue omisa en emitir pronunciamientos, ofrecer pruebas o alegatos, por lo que se tiene por </w:t>
      </w:r>
      <w:proofErr w:type="spellStart"/>
      <w:r w:rsidR="00B03355">
        <w:rPr>
          <w:rFonts w:ascii="Palatino Linotype" w:eastAsia="Calibri" w:hAnsi="Palatino Linotype" w:cs="Arial"/>
          <w:lang w:val="es-MX" w:eastAsia="en-US"/>
        </w:rPr>
        <w:t>precluido</w:t>
      </w:r>
      <w:proofErr w:type="spellEnd"/>
      <w:r w:rsidR="00B03355">
        <w:rPr>
          <w:rFonts w:ascii="Palatino Linotype" w:eastAsia="Calibri" w:hAnsi="Palatino Linotype" w:cs="Arial"/>
          <w:lang w:val="es-MX" w:eastAsia="en-US"/>
        </w:rPr>
        <w:t xml:space="preserve"> su derecho.</w:t>
      </w:r>
    </w:p>
    <w:p w14:paraId="26A5AC70" w14:textId="2392ECDD" w:rsidR="00A35FAC" w:rsidRDefault="00A35FAC" w:rsidP="00B03355">
      <w:pPr>
        <w:widowControl w:val="0"/>
        <w:autoSpaceDE w:val="0"/>
        <w:autoSpaceDN w:val="0"/>
        <w:adjustRightInd w:val="0"/>
        <w:spacing w:line="360" w:lineRule="auto"/>
        <w:ind w:right="49"/>
        <w:jc w:val="both"/>
        <w:rPr>
          <w:rFonts w:ascii="Palatino Linotype" w:eastAsia="Calibri" w:hAnsi="Palatino Linotype" w:cs="Arial"/>
          <w:lang w:val="es-MX" w:eastAsia="en-US"/>
        </w:rPr>
      </w:pPr>
      <w:r>
        <w:rPr>
          <w:rFonts w:ascii="Palatino Linotype" w:eastAsia="Calibri" w:hAnsi="Palatino Linotype" w:cs="Arial"/>
          <w:noProof/>
          <w:lang w:val="es-MX" w:eastAsia="es-MX"/>
        </w:rPr>
        <w:drawing>
          <wp:inline distT="0" distB="0" distL="0" distR="0" wp14:anchorId="4FEE0464" wp14:editId="04B80B37">
            <wp:extent cx="5610225" cy="183832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0225" cy="1838325"/>
                    </a:xfrm>
                    <a:prstGeom prst="rect">
                      <a:avLst/>
                    </a:prstGeom>
                    <a:noFill/>
                    <a:ln>
                      <a:noFill/>
                    </a:ln>
                  </pic:spPr>
                </pic:pic>
              </a:graphicData>
            </a:graphic>
          </wp:inline>
        </w:drawing>
      </w:r>
    </w:p>
    <w:p w14:paraId="4653F1D0" w14:textId="77777777" w:rsidR="00A35FAC" w:rsidRDefault="00A35FAC" w:rsidP="00B03355">
      <w:pPr>
        <w:widowControl w:val="0"/>
        <w:autoSpaceDE w:val="0"/>
        <w:autoSpaceDN w:val="0"/>
        <w:adjustRightInd w:val="0"/>
        <w:spacing w:line="360" w:lineRule="auto"/>
        <w:ind w:right="49"/>
        <w:jc w:val="both"/>
        <w:rPr>
          <w:rFonts w:ascii="Palatino Linotype" w:eastAsia="Calibri" w:hAnsi="Palatino Linotype" w:cs="Arial"/>
          <w:lang w:val="es-MX" w:eastAsia="en-US"/>
        </w:rPr>
      </w:pPr>
    </w:p>
    <w:p w14:paraId="1D708C43" w14:textId="588215F6" w:rsidR="00A35FAC" w:rsidRDefault="00A35FAC" w:rsidP="00B03355">
      <w:pPr>
        <w:widowControl w:val="0"/>
        <w:autoSpaceDE w:val="0"/>
        <w:autoSpaceDN w:val="0"/>
        <w:adjustRightInd w:val="0"/>
        <w:spacing w:line="360" w:lineRule="auto"/>
        <w:ind w:right="49"/>
        <w:jc w:val="both"/>
        <w:rPr>
          <w:rFonts w:ascii="Palatino Linotype" w:eastAsia="Calibri" w:hAnsi="Palatino Linotype" w:cs="Arial"/>
          <w:lang w:val="es-MX" w:eastAsia="en-US"/>
        </w:rPr>
      </w:pPr>
      <w:r>
        <w:rPr>
          <w:rFonts w:ascii="Palatino Linotype" w:eastAsia="Calibri" w:hAnsi="Palatino Linotype" w:cs="Arial"/>
          <w:noProof/>
          <w:lang w:val="es-MX" w:eastAsia="es-MX"/>
        </w:rPr>
        <w:drawing>
          <wp:inline distT="0" distB="0" distL="0" distR="0" wp14:anchorId="0A50F92C" wp14:editId="5CB43BD5">
            <wp:extent cx="5423908" cy="2495550"/>
            <wp:effectExtent l="0" t="0" r="571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27626" cy="2497261"/>
                    </a:xfrm>
                    <a:prstGeom prst="rect">
                      <a:avLst/>
                    </a:prstGeom>
                    <a:noFill/>
                    <a:ln>
                      <a:noFill/>
                    </a:ln>
                  </pic:spPr>
                </pic:pic>
              </a:graphicData>
            </a:graphic>
          </wp:inline>
        </w:drawing>
      </w:r>
    </w:p>
    <w:p w14:paraId="5B958CEA" w14:textId="77777777" w:rsidR="00B03355" w:rsidRPr="008374F4" w:rsidRDefault="00B03355" w:rsidP="00B03355">
      <w:pPr>
        <w:widowControl w:val="0"/>
        <w:autoSpaceDE w:val="0"/>
        <w:autoSpaceDN w:val="0"/>
        <w:adjustRightInd w:val="0"/>
        <w:ind w:right="49"/>
        <w:jc w:val="both"/>
        <w:rPr>
          <w:rFonts w:ascii="Palatino Linotype" w:eastAsia="Calibri" w:hAnsi="Palatino Linotype" w:cs="Arial"/>
          <w:b/>
          <w:i/>
          <w:sz w:val="16"/>
          <w:szCs w:val="16"/>
          <w:lang w:val="es-MX" w:eastAsia="en-US"/>
        </w:rPr>
      </w:pPr>
    </w:p>
    <w:p w14:paraId="134BCA85" w14:textId="74E4E96D" w:rsidR="00B03355" w:rsidRPr="00A35FAC" w:rsidRDefault="00A35FAC" w:rsidP="00B03355">
      <w:pPr>
        <w:widowControl w:val="0"/>
        <w:autoSpaceDE w:val="0"/>
        <w:autoSpaceDN w:val="0"/>
        <w:adjustRightInd w:val="0"/>
        <w:spacing w:line="360" w:lineRule="auto"/>
        <w:ind w:right="49"/>
        <w:jc w:val="both"/>
        <w:rPr>
          <w:rFonts w:ascii="Palatino Linotype" w:hAnsi="Palatino Linotype" w:cs="Arial"/>
          <w:b/>
        </w:rPr>
      </w:pPr>
      <w:r>
        <w:rPr>
          <w:rFonts w:ascii="Palatino Linotype" w:hAnsi="Palatino Linotype" w:cs="Arial"/>
          <w:b/>
          <w:szCs w:val="32"/>
        </w:rPr>
        <w:t>8</w:t>
      </w:r>
      <w:r w:rsidR="0067526C">
        <w:rPr>
          <w:rFonts w:ascii="Palatino Linotype" w:hAnsi="Palatino Linotype" w:cs="Arial"/>
          <w:b/>
          <w:szCs w:val="32"/>
        </w:rPr>
        <w:t xml:space="preserve">. Ampliaciones de </w:t>
      </w:r>
      <w:r w:rsidR="00B03355" w:rsidRPr="002B4161">
        <w:rPr>
          <w:rFonts w:ascii="Palatino Linotype" w:hAnsi="Palatino Linotype" w:cs="Arial"/>
          <w:b/>
          <w:szCs w:val="32"/>
        </w:rPr>
        <w:t xml:space="preserve">plazo. </w:t>
      </w:r>
      <w:r w:rsidR="00B03355" w:rsidRPr="00B4549B">
        <w:rPr>
          <w:rFonts w:ascii="Palatino Linotype" w:hAnsi="Palatino Linotype" w:cs="Arial"/>
        </w:rPr>
        <w:t xml:space="preserve">En fecha </w:t>
      </w:r>
      <w:r>
        <w:rPr>
          <w:rFonts w:ascii="Palatino Linotype" w:hAnsi="Palatino Linotype" w:cs="Arial"/>
          <w:b/>
        </w:rPr>
        <w:t>once</w:t>
      </w:r>
      <w:r w:rsidR="00B03355" w:rsidRPr="00B4549B">
        <w:rPr>
          <w:rFonts w:ascii="Palatino Linotype" w:hAnsi="Palatino Linotype" w:cs="Arial"/>
          <w:b/>
        </w:rPr>
        <w:t xml:space="preserve"> de </w:t>
      </w:r>
      <w:r>
        <w:rPr>
          <w:rFonts w:ascii="Palatino Linotype" w:hAnsi="Palatino Linotype" w:cs="Arial"/>
          <w:b/>
        </w:rPr>
        <w:t>noviembre</w:t>
      </w:r>
      <w:r w:rsidR="00B03355" w:rsidRPr="00B4549B">
        <w:rPr>
          <w:rFonts w:ascii="Palatino Linotype" w:hAnsi="Palatino Linotype" w:cs="Arial"/>
          <w:b/>
        </w:rPr>
        <w:t xml:space="preserve"> </w:t>
      </w:r>
      <w:r w:rsidR="002B4161">
        <w:rPr>
          <w:rFonts w:ascii="Palatino Linotype" w:hAnsi="Palatino Linotype" w:cs="Arial"/>
          <w:b/>
        </w:rPr>
        <w:t>de dos mil veintiuno</w:t>
      </w:r>
      <w:r w:rsidR="00B03355" w:rsidRPr="00B4549B">
        <w:rPr>
          <w:rFonts w:ascii="Palatino Linotype" w:hAnsi="Palatino Linotype" w:cs="Arial"/>
        </w:rPr>
        <w:t xml:space="preserve">, </w:t>
      </w:r>
      <w:r w:rsidR="00B03355" w:rsidRPr="00B4549B">
        <w:rPr>
          <w:rFonts w:ascii="Palatino Linotype" w:eastAsia="Calibri" w:hAnsi="Palatino Linotype"/>
          <w:szCs w:val="22"/>
        </w:rPr>
        <w:t xml:space="preserve">este </w:t>
      </w:r>
      <w:r w:rsidR="00B03355" w:rsidRPr="00B4549B">
        <w:rPr>
          <w:rFonts w:ascii="Palatino Linotype" w:eastAsia="Calibri" w:hAnsi="Palatino Linotype"/>
          <w:szCs w:val="22"/>
        </w:rPr>
        <w:lastRenderedPageBreak/>
        <w:t>Instituto</w:t>
      </w:r>
      <w:r w:rsidR="00B03355" w:rsidRPr="00B21F18">
        <w:rPr>
          <w:rFonts w:ascii="Palatino Linotype" w:eastAsia="Calibri" w:hAnsi="Palatino Linotype"/>
          <w:szCs w:val="22"/>
        </w:rPr>
        <w:t xml:space="preserve"> </w:t>
      </w:r>
      <w:r w:rsidR="00B03355" w:rsidRPr="00B21F18">
        <w:rPr>
          <w:rFonts w:ascii="Palatino Linotype" w:hAnsi="Palatino Linotype" w:cs="Arial"/>
          <w:lang w:val="es-MX"/>
        </w:rPr>
        <w:t>notificó a las partes el Acuerdo de Ampli</w:t>
      </w:r>
      <w:r w:rsidR="0067526C">
        <w:rPr>
          <w:rFonts w:ascii="Palatino Linotype" w:hAnsi="Palatino Linotype" w:cs="Arial"/>
          <w:lang w:val="es-MX"/>
        </w:rPr>
        <w:t xml:space="preserve">ación de Plazo para resolver los </w:t>
      </w:r>
      <w:r w:rsidR="00B03355" w:rsidRPr="00B21F18">
        <w:rPr>
          <w:rFonts w:ascii="Palatino Linotype" w:hAnsi="Palatino Linotype" w:cs="Arial"/>
          <w:lang w:val="es-MX"/>
        </w:rPr>
        <w:t>medio</w:t>
      </w:r>
      <w:r w:rsidR="0067526C">
        <w:rPr>
          <w:rFonts w:ascii="Palatino Linotype" w:hAnsi="Palatino Linotype" w:cs="Arial"/>
          <w:lang w:val="es-MX"/>
        </w:rPr>
        <w:t>s</w:t>
      </w:r>
      <w:r w:rsidR="00B03355" w:rsidRPr="00B21F18">
        <w:rPr>
          <w:rFonts w:ascii="Palatino Linotype" w:hAnsi="Palatino Linotype" w:cs="Arial"/>
          <w:lang w:val="es-MX"/>
        </w:rPr>
        <w:t xml:space="preserve"> de impugnación que nos ocupa</w:t>
      </w:r>
      <w:r w:rsidR="0067526C">
        <w:rPr>
          <w:rFonts w:ascii="Palatino Linotype" w:hAnsi="Palatino Linotype" w:cs="Arial"/>
          <w:lang w:val="es-MX"/>
        </w:rPr>
        <w:t>n</w:t>
      </w:r>
      <w:r w:rsidR="00B03355" w:rsidRPr="00B21F18">
        <w:rPr>
          <w:rFonts w:ascii="Palatino Linotype" w:hAnsi="Palatino Linotype" w:cs="Arial"/>
          <w:lang w:val="es-MX"/>
        </w:rPr>
        <w:t>, en términos de lo dispuesto por el artículo 181, párrafo tercero de la Ley de Transparencia y Acceso a la Información Pública del Estado de México y Municipios; lo anterior, dado el incremento en el número de recursos de revisión promovidos ante este Instituto de Transparencia, Acceso a la Información Pública y Protección de Datos Personales del Estado de México y Municipios y con la finalidad de realizar un análisis exhaustivo de las constancias que obran en el expediente electrónico, adoptando las medidas pertinentes, a fin de aminorar los efectos que conlleva.</w:t>
      </w:r>
    </w:p>
    <w:p w14:paraId="429C2DF0" w14:textId="5FACEA49" w:rsidR="00B03355" w:rsidRPr="002B4161" w:rsidRDefault="002B4161" w:rsidP="002B4161">
      <w:pPr>
        <w:spacing w:before="240" w:after="240" w:line="360" w:lineRule="auto"/>
        <w:jc w:val="both"/>
        <w:rPr>
          <w:rFonts w:ascii="Palatino Linotype" w:eastAsia="Calibri" w:hAnsi="Palatino Linotype" w:cs="Arial"/>
          <w:szCs w:val="28"/>
        </w:rPr>
      </w:pPr>
      <w:r w:rsidRPr="002B4161">
        <w:rPr>
          <w:rFonts w:ascii="Palatino Linotype" w:eastAsia="Calibri" w:hAnsi="Palatino Linotype" w:cs="Arial"/>
          <w:b/>
          <w:szCs w:val="28"/>
        </w:rPr>
        <w:t>8. Cierre</w:t>
      </w:r>
      <w:r w:rsidR="0067526C">
        <w:rPr>
          <w:rFonts w:ascii="Palatino Linotype" w:eastAsia="Calibri" w:hAnsi="Palatino Linotype" w:cs="Arial"/>
          <w:b/>
          <w:szCs w:val="28"/>
        </w:rPr>
        <w:t>s</w:t>
      </w:r>
      <w:r w:rsidRPr="002B4161">
        <w:rPr>
          <w:rFonts w:ascii="Palatino Linotype" w:eastAsia="Calibri" w:hAnsi="Palatino Linotype" w:cs="Arial"/>
          <w:b/>
          <w:szCs w:val="28"/>
        </w:rPr>
        <w:t xml:space="preserve"> de Instrucción. </w:t>
      </w:r>
      <w:r w:rsidRPr="002B4161">
        <w:rPr>
          <w:rFonts w:ascii="Palatino Linotype" w:eastAsia="Calibri" w:hAnsi="Palatino Linotype" w:cs="Arial"/>
        </w:rPr>
        <w:t xml:space="preserve">Una vez transcurrido el plazo otorgado para que las partes manifestaran lo que a su derecho conviniera, y siguiendo </w:t>
      </w:r>
      <w:r w:rsidRPr="002B4161">
        <w:rPr>
          <w:rFonts w:ascii="Palatino Linotype" w:hAnsi="Palatino Linotype"/>
        </w:rPr>
        <w:t>los trámites correspondientes con fundamento en el artículo 185 fracción VI de la Ley de Transparencia y Acceso a la Información Pública del Estado</w:t>
      </w:r>
      <w:r w:rsidR="00B801F9">
        <w:rPr>
          <w:rFonts w:ascii="Palatino Linotype" w:hAnsi="Palatino Linotype"/>
        </w:rPr>
        <w:t xml:space="preserve"> de México y Municipios, el día </w:t>
      </w:r>
      <w:r w:rsidR="00783A57">
        <w:rPr>
          <w:rFonts w:ascii="Palatino Linotype" w:hAnsi="Palatino Linotype"/>
          <w:b/>
        </w:rPr>
        <w:t>tres</w:t>
      </w:r>
      <w:r w:rsidR="00783A57">
        <w:rPr>
          <w:rFonts w:ascii="Palatino Linotype" w:hAnsi="Palatino Linotype"/>
          <w:b/>
          <w:bCs/>
          <w:color w:val="000000"/>
        </w:rPr>
        <w:t xml:space="preserve"> de dic</w:t>
      </w:r>
      <w:r w:rsidR="00A35FAC">
        <w:rPr>
          <w:rFonts w:ascii="Palatino Linotype" w:hAnsi="Palatino Linotype"/>
          <w:b/>
          <w:bCs/>
          <w:color w:val="000000"/>
        </w:rPr>
        <w:t>iembre</w:t>
      </w:r>
      <w:r w:rsidRPr="002B4161">
        <w:rPr>
          <w:rFonts w:ascii="Palatino Linotype" w:hAnsi="Palatino Linotype"/>
          <w:b/>
          <w:bCs/>
          <w:color w:val="000000"/>
        </w:rPr>
        <w:t xml:space="preserve"> </w:t>
      </w:r>
      <w:r w:rsidRPr="002B4161">
        <w:rPr>
          <w:rFonts w:ascii="Palatino Linotype" w:hAnsi="Palatino Linotype"/>
          <w:b/>
          <w:bCs/>
        </w:rPr>
        <w:t>de la presente anualidad</w:t>
      </w:r>
      <w:r w:rsidR="0067526C">
        <w:rPr>
          <w:rFonts w:ascii="Palatino Linotype" w:hAnsi="Palatino Linotype"/>
        </w:rPr>
        <w:t>, se procedieron</w:t>
      </w:r>
      <w:r w:rsidRPr="002B4161">
        <w:rPr>
          <w:rFonts w:ascii="Palatino Linotype" w:hAnsi="Palatino Linotype"/>
        </w:rPr>
        <w:t xml:space="preserve"> a decretar </w:t>
      </w:r>
      <w:r w:rsidR="0067526C">
        <w:rPr>
          <w:rFonts w:ascii="Palatino Linotype" w:hAnsi="Palatino Linotype"/>
        </w:rPr>
        <w:t>los</w:t>
      </w:r>
      <w:r w:rsidRPr="002B4161">
        <w:rPr>
          <w:rFonts w:ascii="Palatino Linotype" w:hAnsi="Palatino Linotype"/>
        </w:rPr>
        <w:t xml:space="preserve"> cierre</w:t>
      </w:r>
      <w:r w:rsidR="0067526C">
        <w:rPr>
          <w:rFonts w:ascii="Palatino Linotype" w:hAnsi="Palatino Linotype"/>
        </w:rPr>
        <w:t>s</w:t>
      </w:r>
      <w:r w:rsidRPr="002B4161">
        <w:rPr>
          <w:rFonts w:ascii="Palatino Linotype" w:hAnsi="Palatino Linotype"/>
        </w:rPr>
        <w:t xml:space="preserve"> de instrucción respectivo</w:t>
      </w:r>
      <w:r w:rsidR="0067526C">
        <w:rPr>
          <w:rFonts w:ascii="Palatino Linotype" w:hAnsi="Palatino Linotype"/>
        </w:rPr>
        <w:t>s</w:t>
      </w:r>
      <w:r w:rsidRPr="002B4161">
        <w:rPr>
          <w:rFonts w:ascii="Palatino Linotype" w:hAnsi="Palatino Linotype"/>
        </w:rPr>
        <w:t xml:space="preserve"> y</w:t>
      </w:r>
      <w:r w:rsidRPr="002B4161">
        <w:rPr>
          <w:rFonts w:ascii="Palatino Linotype" w:eastAsia="Calibri" w:hAnsi="Palatino Linotype" w:cs="Arial"/>
          <w:szCs w:val="28"/>
        </w:rPr>
        <w:t xml:space="preserve"> no existiendo diligencia</w:t>
      </w:r>
      <w:r w:rsidR="0067526C">
        <w:rPr>
          <w:rFonts w:ascii="Palatino Linotype" w:eastAsia="Calibri" w:hAnsi="Palatino Linotype" w:cs="Arial"/>
          <w:szCs w:val="28"/>
        </w:rPr>
        <w:t>s</w:t>
      </w:r>
      <w:r w:rsidRPr="002B4161">
        <w:rPr>
          <w:rFonts w:ascii="Palatino Linotype" w:eastAsia="Calibri" w:hAnsi="Palatino Linotype" w:cs="Arial"/>
          <w:szCs w:val="28"/>
        </w:rPr>
        <w:t xml:space="preserve"> pendiente</w:t>
      </w:r>
      <w:r w:rsidR="0067526C">
        <w:rPr>
          <w:rFonts w:ascii="Palatino Linotype" w:eastAsia="Calibri" w:hAnsi="Palatino Linotype" w:cs="Arial"/>
          <w:szCs w:val="28"/>
        </w:rPr>
        <w:t>s</w:t>
      </w:r>
      <w:r w:rsidRPr="002B4161">
        <w:rPr>
          <w:rFonts w:ascii="Palatino Linotype" w:eastAsia="Calibri" w:hAnsi="Palatino Linotype" w:cs="Arial"/>
          <w:szCs w:val="28"/>
        </w:rPr>
        <w:t xml:space="preserve"> de desahogo, se ordenó emitir la resolución que conforme a derecho proceda.</w:t>
      </w:r>
    </w:p>
    <w:p w14:paraId="5D048D96" w14:textId="77777777" w:rsidR="00B03355" w:rsidRPr="00B21F18" w:rsidRDefault="00B03355" w:rsidP="002B4161">
      <w:pPr>
        <w:spacing w:before="240" w:after="240" w:line="360" w:lineRule="auto"/>
        <w:ind w:right="49"/>
        <w:jc w:val="center"/>
        <w:rPr>
          <w:rFonts w:ascii="Palatino Linotype" w:hAnsi="Palatino Linotype" w:cs="Arial"/>
          <w:b/>
          <w:bCs/>
          <w:spacing w:val="60"/>
          <w:lang w:val="es-ES_tradnl"/>
        </w:rPr>
      </w:pPr>
      <w:r w:rsidRPr="00B21F18">
        <w:rPr>
          <w:rFonts w:ascii="Palatino Linotype" w:hAnsi="Palatino Linotype" w:cs="Arial"/>
          <w:b/>
          <w:bCs/>
          <w:spacing w:val="60"/>
          <w:lang w:val="es-ES_tradnl"/>
        </w:rPr>
        <w:t>CONSIDERANDO</w:t>
      </w:r>
    </w:p>
    <w:p w14:paraId="12B8A6BC" w14:textId="6FB03F5B" w:rsidR="00B03355" w:rsidRPr="00B21F18" w:rsidRDefault="00B03355" w:rsidP="002B4161">
      <w:pPr>
        <w:spacing w:before="240" w:after="240" w:line="360" w:lineRule="auto"/>
        <w:ind w:right="49"/>
        <w:jc w:val="both"/>
        <w:rPr>
          <w:rFonts w:ascii="Palatino Linotype" w:hAnsi="Palatino Linotype"/>
          <w:shd w:val="clear" w:color="auto" w:fill="FFFFFF"/>
        </w:rPr>
      </w:pPr>
      <w:r w:rsidRPr="002B4161">
        <w:rPr>
          <w:rFonts w:ascii="Palatino Linotype" w:hAnsi="Palatino Linotype" w:cs="Arial"/>
          <w:b/>
          <w:szCs w:val="32"/>
        </w:rPr>
        <w:t>Primero.</w:t>
      </w:r>
      <w:r w:rsidRPr="002B4161">
        <w:rPr>
          <w:rFonts w:ascii="Palatino Linotype" w:hAnsi="Palatino Linotype" w:cs="Arial"/>
          <w:szCs w:val="32"/>
        </w:rPr>
        <w:t xml:space="preserve"> </w:t>
      </w:r>
      <w:r w:rsidRPr="002B4161">
        <w:rPr>
          <w:rFonts w:ascii="Palatino Linotype" w:hAnsi="Palatino Linotype" w:cs="Arial"/>
          <w:b/>
          <w:szCs w:val="32"/>
        </w:rPr>
        <w:t>Competencia.</w:t>
      </w:r>
      <w:r w:rsidRPr="002B4161">
        <w:rPr>
          <w:rFonts w:ascii="Palatino Linotype" w:hAnsi="Palatino Linotype" w:cs="Arial"/>
          <w:b/>
          <w:sz w:val="22"/>
          <w:szCs w:val="28"/>
        </w:rPr>
        <w:t xml:space="preserve"> </w:t>
      </w:r>
      <w:r w:rsidRPr="00B21F18">
        <w:rPr>
          <w:rFonts w:ascii="Palatino Linotype" w:hAnsi="Palatino Linotype"/>
          <w:shd w:val="clear" w:color="auto" w:fill="FFFFFF"/>
        </w:rPr>
        <w:t>El Instituto de Transparencia, Acceso a la Información Pública y Protección de Datos Personales del Estado de México y Municipios, es competente para conocer y</w:t>
      </w:r>
      <w:r w:rsidR="0067526C">
        <w:rPr>
          <w:rFonts w:ascii="Palatino Linotype" w:hAnsi="Palatino Linotype"/>
          <w:shd w:val="clear" w:color="auto" w:fill="FFFFFF"/>
        </w:rPr>
        <w:t xml:space="preserve"> resolver los </w:t>
      </w:r>
      <w:r w:rsidRPr="00B21F18">
        <w:rPr>
          <w:rFonts w:ascii="Palatino Linotype" w:hAnsi="Palatino Linotype"/>
          <w:shd w:val="clear" w:color="auto" w:fill="FFFFFF"/>
        </w:rPr>
        <w:t>presente</w:t>
      </w:r>
      <w:r w:rsidR="0067526C">
        <w:rPr>
          <w:rFonts w:ascii="Palatino Linotype" w:hAnsi="Palatino Linotype"/>
          <w:shd w:val="clear" w:color="auto" w:fill="FFFFFF"/>
        </w:rPr>
        <w:t>s</w:t>
      </w:r>
      <w:r w:rsidRPr="00B21F18">
        <w:rPr>
          <w:rFonts w:ascii="Palatino Linotype" w:hAnsi="Palatino Linotype"/>
          <w:shd w:val="clear" w:color="auto" w:fill="FFFFFF"/>
        </w:rPr>
        <w:t xml:space="preserve"> recurso</w:t>
      </w:r>
      <w:r w:rsidR="0067526C">
        <w:rPr>
          <w:rFonts w:ascii="Palatino Linotype" w:hAnsi="Palatino Linotype"/>
          <w:shd w:val="clear" w:color="auto" w:fill="FFFFFF"/>
        </w:rPr>
        <w:t>s</w:t>
      </w:r>
      <w:r w:rsidRPr="00B21F18">
        <w:rPr>
          <w:rFonts w:ascii="Palatino Linotype" w:hAnsi="Palatino Linotype"/>
          <w:shd w:val="clear" w:color="auto" w:fill="FFFFFF"/>
        </w:rPr>
        <w:t xml:space="preserve"> de revisión interpuesto</w:t>
      </w:r>
      <w:r w:rsidR="0067526C">
        <w:rPr>
          <w:rFonts w:ascii="Palatino Linotype" w:hAnsi="Palatino Linotype"/>
          <w:shd w:val="clear" w:color="auto" w:fill="FFFFFF"/>
        </w:rPr>
        <w:t>s</w:t>
      </w:r>
      <w:r w:rsidRPr="00B21F18">
        <w:rPr>
          <w:rFonts w:ascii="Palatino Linotype" w:hAnsi="Palatino Linotype"/>
          <w:shd w:val="clear" w:color="auto" w:fill="FFFFFF"/>
        </w:rPr>
        <w:t xml:space="preserve"> por la parte recurrente, conforme a lo dispuesto en los artículos 6, apartado A de la Constitución Política de los Estados</w:t>
      </w:r>
      <w:r w:rsidR="003E666B">
        <w:rPr>
          <w:rFonts w:ascii="Palatino Linotype" w:hAnsi="Palatino Linotype"/>
          <w:shd w:val="clear" w:color="auto" w:fill="FFFFFF"/>
        </w:rPr>
        <w:t xml:space="preserve"> Unidos Mexicanos; 5, párrafos trigésimo, trigésimo primero y trigésimo segund</w:t>
      </w:r>
      <w:r w:rsidRPr="00B21F18">
        <w:rPr>
          <w:rFonts w:ascii="Palatino Linotype" w:hAnsi="Palatino Linotype"/>
          <w:shd w:val="clear" w:color="auto" w:fill="FFFFFF"/>
        </w:rPr>
        <w:t xml:space="preserve">o; de la Constitución Política del Estado Libre </w:t>
      </w:r>
      <w:r w:rsidRPr="00B21F18">
        <w:rPr>
          <w:rFonts w:ascii="Palatino Linotype" w:hAnsi="Palatino Linotype"/>
          <w:shd w:val="clear" w:color="auto" w:fill="FFFFFF"/>
        </w:rPr>
        <w:lastRenderedPageBreak/>
        <w:t>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50E13BB5" w14:textId="246A1E1B" w:rsidR="00B03355" w:rsidRDefault="00B03355" w:rsidP="00A35FAC">
      <w:pPr>
        <w:spacing w:before="240" w:after="240" w:line="360" w:lineRule="auto"/>
        <w:ind w:right="49"/>
        <w:jc w:val="both"/>
        <w:rPr>
          <w:rFonts w:ascii="Palatino Linotype" w:hAnsi="Palatino Linotype" w:cs="Arial"/>
        </w:rPr>
      </w:pPr>
      <w:r w:rsidRPr="005B23CF">
        <w:rPr>
          <w:rFonts w:ascii="Palatino Linotype" w:hAnsi="Palatino Linotype" w:cs="Arial"/>
          <w:b/>
          <w:szCs w:val="32"/>
        </w:rPr>
        <w:t>Segundo</w:t>
      </w:r>
      <w:r w:rsidRPr="005B23CF">
        <w:rPr>
          <w:rFonts w:ascii="Palatino Linotype" w:hAnsi="Palatino Linotype" w:cs="Arial"/>
          <w:b/>
          <w:szCs w:val="32"/>
          <w:lang w:val="es-MX"/>
        </w:rPr>
        <w:t xml:space="preserve">. Oportunidad y </w:t>
      </w:r>
      <w:proofErr w:type="spellStart"/>
      <w:r w:rsidRPr="005B23CF">
        <w:rPr>
          <w:rFonts w:ascii="Palatino Linotype" w:hAnsi="Palatino Linotype" w:cs="Arial"/>
          <w:b/>
          <w:szCs w:val="32"/>
          <w:lang w:val="es-MX"/>
        </w:rPr>
        <w:t>Procedibilidad</w:t>
      </w:r>
      <w:proofErr w:type="spellEnd"/>
      <w:r w:rsidRPr="005B23CF">
        <w:rPr>
          <w:rFonts w:ascii="Palatino Linotype" w:hAnsi="Palatino Linotype" w:cs="Arial"/>
          <w:b/>
          <w:szCs w:val="32"/>
          <w:lang w:val="es-MX"/>
        </w:rPr>
        <w:t xml:space="preserve">. </w:t>
      </w:r>
      <w:r w:rsidRPr="00B21F18">
        <w:rPr>
          <w:rFonts w:ascii="Palatino Linotype" w:hAnsi="Palatino Linotype" w:cs="Arial"/>
        </w:rPr>
        <w:t>De conformidad con los requisitos de oportunidad que debe</w:t>
      </w:r>
      <w:r w:rsidR="0067526C">
        <w:rPr>
          <w:rFonts w:ascii="Palatino Linotype" w:hAnsi="Palatino Linotype" w:cs="Arial"/>
        </w:rPr>
        <w:t>n reunir los</w:t>
      </w:r>
      <w:r w:rsidRPr="00B21F18">
        <w:rPr>
          <w:rFonts w:ascii="Palatino Linotype" w:hAnsi="Palatino Linotype" w:cs="Arial"/>
        </w:rPr>
        <w:t xml:space="preserve"> recurso</w:t>
      </w:r>
      <w:r w:rsidR="0067526C">
        <w:rPr>
          <w:rFonts w:ascii="Palatino Linotype" w:hAnsi="Palatino Linotype" w:cs="Arial"/>
        </w:rPr>
        <w:t>s</w:t>
      </w:r>
      <w:r w:rsidRPr="00B21F18">
        <w:rPr>
          <w:rFonts w:ascii="Palatino Linotype" w:hAnsi="Palatino Linotype" w:cs="Arial"/>
        </w:rPr>
        <w:t xml:space="preserve"> de revisión interpuesto</w:t>
      </w:r>
      <w:r w:rsidR="0067526C">
        <w:rPr>
          <w:rFonts w:ascii="Palatino Linotype" w:hAnsi="Palatino Linotype" w:cs="Arial"/>
        </w:rPr>
        <w:t>s</w:t>
      </w:r>
      <w:r w:rsidRPr="00B21F18">
        <w:rPr>
          <w:rFonts w:ascii="Palatino Linotype" w:hAnsi="Palatino Linotype" w:cs="Arial"/>
        </w:rPr>
        <w:t>, previsto</w:t>
      </w:r>
      <w:r w:rsidR="0067526C">
        <w:rPr>
          <w:rFonts w:ascii="Palatino Linotype" w:hAnsi="Palatino Linotype" w:cs="Arial"/>
        </w:rPr>
        <w:t>s</w:t>
      </w:r>
      <w:r w:rsidRPr="00B21F18">
        <w:rPr>
          <w:rFonts w:ascii="Palatino Linotype" w:hAnsi="Palatino Linotype" w:cs="Arial"/>
        </w:rPr>
        <w:t xml:space="preserve"> en el artículo 178, párrafo primero de la </w:t>
      </w:r>
      <w:r w:rsidRPr="00B21F18">
        <w:rPr>
          <w:rFonts w:ascii="Palatino Linotype" w:hAnsi="Palatino Linotype" w:cs="Arial"/>
          <w:lang w:eastAsia="es-MX"/>
        </w:rPr>
        <w:t xml:space="preserve">Ley de Transparencia y Acceso a la Información Pública del Estado de México y Municipios vigente, </w:t>
      </w:r>
      <w:r w:rsidR="0067526C">
        <w:rPr>
          <w:rFonts w:ascii="Palatino Linotype" w:hAnsi="Palatino Linotype" w:cs="Arial"/>
          <w:lang w:eastAsia="es-MX"/>
        </w:rPr>
        <w:t xml:space="preserve">en la especie se advierte que los </w:t>
      </w:r>
      <w:r w:rsidRPr="00B21F18">
        <w:rPr>
          <w:rFonts w:ascii="Palatino Linotype" w:hAnsi="Palatino Linotype" w:cs="Arial"/>
          <w:lang w:eastAsia="es-MX"/>
        </w:rPr>
        <w:t>medio</w:t>
      </w:r>
      <w:r w:rsidR="0067526C">
        <w:rPr>
          <w:rFonts w:ascii="Palatino Linotype" w:hAnsi="Palatino Linotype" w:cs="Arial"/>
          <w:lang w:eastAsia="es-MX"/>
        </w:rPr>
        <w:t>s</w:t>
      </w:r>
      <w:r w:rsidRPr="00B21F18">
        <w:rPr>
          <w:rFonts w:ascii="Palatino Linotype" w:hAnsi="Palatino Linotype" w:cs="Arial"/>
          <w:lang w:eastAsia="es-MX"/>
        </w:rPr>
        <w:t xml:space="preserve"> de impugnación </w:t>
      </w:r>
      <w:r w:rsidR="0067526C">
        <w:rPr>
          <w:rFonts w:ascii="Palatino Linotype" w:hAnsi="Palatino Linotype" w:cs="Arial"/>
          <w:lang w:eastAsia="es-MX"/>
        </w:rPr>
        <w:t xml:space="preserve">que nos ocupan </w:t>
      </w:r>
      <w:r w:rsidRPr="00B21F18">
        <w:rPr>
          <w:rFonts w:ascii="Palatino Linotype" w:hAnsi="Palatino Linotype" w:cs="Arial"/>
          <w:lang w:eastAsia="es-MX"/>
        </w:rPr>
        <w:t>fue</w:t>
      </w:r>
      <w:r w:rsidR="0067526C">
        <w:rPr>
          <w:rFonts w:ascii="Palatino Linotype" w:hAnsi="Palatino Linotype" w:cs="Arial"/>
          <w:lang w:eastAsia="es-MX"/>
        </w:rPr>
        <w:t>ron</w:t>
      </w:r>
      <w:r w:rsidRPr="00B21F18">
        <w:rPr>
          <w:rFonts w:ascii="Palatino Linotype" w:hAnsi="Palatino Linotype" w:cs="Arial"/>
          <w:lang w:eastAsia="es-MX"/>
        </w:rPr>
        <w:t xml:space="preserve"> interpuesto</w:t>
      </w:r>
      <w:r w:rsidR="0067526C">
        <w:rPr>
          <w:rFonts w:ascii="Palatino Linotype" w:hAnsi="Palatino Linotype" w:cs="Arial"/>
          <w:lang w:eastAsia="es-MX"/>
        </w:rPr>
        <w:t>s</w:t>
      </w:r>
      <w:r w:rsidRPr="00B21F18">
        <w:rPr>
          <w:rFonts w:ascii="Palatino Linotype" w:hAnsi="Palatino Linotype" w:cs="Arial"/>
          <w:lang w:eastAsia="es-MX"/>
        </w:rPr>
        <w:t xml:space="preserve"> dentro del plazo de quince días previsto en el dispositivo referido, toda vez que el </w:t>
      </w:r>
      <w:r w:rsidRPr="00B21F18">
        <w:rPr>
          <w:rFonts w:ascii="Palatino Linotype" w:hAnsi="Palatino Linotype" w:cs="Arial"/>
          <w:b/>
          <w:lang w:eastAsia="es-MX"/>
        </w:rPr>
        <w:t>Sujeto Obligado</w:t>
      </w:r>
      <w:r w:rsidRPr="00B21F18">
        <w:rPr>
          <w:rFonts w:ascii="Palatino Linotype" w:hAnsi="Palatino Linotype" w:cs="Arial"/>
          <w:lang w:eastAsia="es-MX"/>
        </w:rPr>
        <w:t xml:space="preserve"> emitió su</w:t>
      </w:r>
      <w:r w:rsidR="00037DD5">
        <w:rPr>
          <w:rFonts w:ascii="Palatino Linotype" w:hAnsi="Palatino Linotype" w:cs="Arial"/>
          <w:lang w:eastAsia="es-MX"/>
        </w:rPr>
        <w:t>s</w:t>
      </w:r>
      <w:r w:rsidRPr="00B21F18">
        <w:rPr>
          <w:rFonts w:ascii="Palatino Linotype" w:hAnsi="Palatino Linotype" w:cs="Arial"/>
          <w:lang w:eastAsia="es-MX"/>
        </w:rPr>
        <w:t xml:space="preserve"> respuesta</w:t>
      </w:r>
      <w:r w:rsidR="00037DD5">
        <w:rPr>
          <w:rFonts w:ascii="Palatino Linotype" w:hAnsi="Palatino Linotype" w:cs="Arial"/>
          <w:lang w:eastAsia="es-MX"/>
        </w:rPr>
        <w:t>s</w:t>
      </w:r>
      <w:r w:rsidRPr="00B21F18">
        <w:rPr>
          <w:rFonts w:ascii="Palatino Linotype" w:hAnsi="Palatino Linotype" w:cs="Arial"/>
          <w:lang w:eastAsia="es-MX"/>
        </w:rPr>
        <w:t xml:space="preserve"> el día </w:t>
      </w:r>
      <w:r w:rsidR="003E666B">
        <w:rPr>
          <w:rFonts w:ascii="Palatino Linotype" w:hAnsi="Palatino Linotype" w:cs="Arial"/>
          <w:b/>
          <w:lang w:eastAsia="es-MX"/>
        </w:rPr>
        <w:t>uno</w:t>
      </w:r>
      <w:r w:rsidRPr="00B21F18">
        <w:rPr>
          <w:rFonts w:ascii="Palatino Linotype" w:hAnsi="Palatino Linotype" w:cs="Arial"/>
          <w:b/>
          <w:lang w:eastAsia="es-MX"/>
        </w:rPr>
        <w:t xml:space="preserve"> de </w:t>
      </w:r>
      <w:r w:rsidR="003E666B">
        <w:rPr>
          <w:rFonts w:ascii="Palatino Linotype" w:hAnsi="Palatino Linotype" w:cs="Arial"/>
          <w:b/>
          <w:lang w:eastAsia="es-MX"/>
        </w:rPr>
        <w:t>septiembre</w:t>
      </w:r>
      <w:r w:rsidRPr="00B21F18">
        <w:rPr>
          <w:rFonts w:ascii="Palatino Linotype" w:hAnsi="Palatino Linotype" w:cs="Arial"/>
          <w:b/>
          <w:lang w:eastAsia="es-MX"/>
        </w:rPr>
        <w:t xml:space="preserve"> </w:t>
      </w:r>
      <w:r w:rsidR="005B23CF">
        <w:rPr>
          <w:rFonts w:ascii="Palatino Linotype" w:hAnsi="Palatino Linotype" w:cs="Arial"/>
          <w:b/>
          <w:lang w:eastAsia="es-MX"/>
        </w:rPr>
        <w:t xml:space="preserve">de dos mil </w:t>
      </w:r>
      <w:r w:rsidRPr="00B21F18">
        <w:rPr>
          <w:rFonts w:ascii="Palatino Linotype" w:hAnsi="Palatino Linotype" w:cs="Arial"/>
          <w:b/>
          <w:lang w:eastAsia="es-MX"/>
        </w:rPr>
        <w:t>ve</w:t>
      </w:r>
      <w:r w:rsidR="005B23CF">
        <w:rPr>
          <w:rFonts w:ascii="Palatino Linotype" w:hAnsi="Palatino Linotype" w:cs="Arial"/>
          <w:b/>
          <w:lang w:eastAsia="es-MX"/>
        </w:rPr>
        <w:t>intiuno</w:t>
      </w:r>
      <w:r w:rsidRPr="00B21F18">
        <w:rPr>
          <w:rFonts w:ascii="Palatino Linotype" w:hAnsi="Palatino Linotype" w:cs="Arial"/>
          <w:lang w:eastAsia="es-MX"/>
        </w:rPr>
        <w:t>, mientras que el solicitante presentó su</w:t>
      </w:r>
      <w:r w:rsidR="00037DD5">
        <w:rPr>
          <w:rFonts w:ascii="Palatino Linotype" w:hAnsi="Palatino Linotype" w:cs="Arial"/>
          <w:lang w:eastAsia="es-MX"/>
        </w:rPr>
        <w:t>s</w:t>
      </w:r>
      <w:r w:rsidRPr="00B21F18">
        <w:rPr>
          <w:rFonts w:ascii="Palatino Linotype" w:hAnsi="Palatino Linotype" w:cs="Arial"/>
          <w:lang w:eastAsia="es-MX"/>
        </w:rPr>
        <w:t xml:space="preserve"> recurso</w:t>
      </w:r>
      <w:r w:rsidR="00037DD5">
        <w:rPr>
          <w:rFonts w:ascii="Palatino Linotype" w:hAnsi="Palatino Linotype" w:cs="Arial"/>
          <w:lang w:eastAsia="es-MX"/>
        </w:rPr>
        <w:t>s</w:t>
      </w:r>
      <w:r w:rsidRPr="00B21F18">
        <w:rPr>
          <w:rFonts w:ascii="Palatino Linotype" w:hAnsi="Palatino Linotype" w:cs="Arial"/>
          <w:lang w:eastAsia="es-MX"/>
        </w:rPr>
        <w:t xml:space="preserve"> de revisión el día </w:t>
      </w:r>
      <w:r w:rsidR="003E666B">
        <w:rPr>
          <w:rFonts w:ascii="Palatino Linotype" w:hAnsi="Palatino Linotype" w:cs="Arial"/>
          <w:b/>
          <w:lang w:eastAsia="es-MX"/>
        </w:rPr>
        <w:t>veintiuno</w:t>
      </w:r>
      <w:r w:rsidRPr="00B21F18">
        <w:rPr>
          <w:rFonts w:ascii="Palatino Linotype" w:hAnsi="Palatino Linotype" w:cs="Arial"/>
          <w:b/>
          <w:lang w:eastAsia="es-MX"/>
        </w:rPr>
        <w:t xml:space="preserve"> de </w:t>
      </w:r>
      <w:r w:rsidR="003E666B">
        <w:rPr>
          <w:rFonts w:ascii="Palatino Linotype" w:hAnsi="Palatino Linotype" w:cs="Arial"/>
          <w:b/>
          <w:lang w:eastAsia="es-MX"/>
        </w:rPr>
        <w:t>septiembre</w:t>
      </w:r>
      <w:r w:rsidRPr="00B21F18">
        <w:rPr>
          <w:rFonts w:ascii="Palatino Linotype" w:hAnsi="Palatino Linotype" w:cs="Arial"/>
          <w:b/>
          <w:lang w:eastAsia="es-MX"/>
        </w:rPr>
        <w:t xml:space="preserve"> del mismo año</w:t>
      </w:r>
      <w:r w:rsidRPr="00B21F18">
        <w:rPr>
          <w:rFonts w:ascii="Palatino Linotype" w:hAnsi="Palatino Linotype" w:cs="Arial"/>
          <w:lang w:eastAsia="es-MX"/>
        </w:rPr>
        <w:t xml:space="preserve">, esto es, al </w:t>
      </w:r>
      <w:r w:rsidR="005B23CF" w:rsidRPr="005B23CF">
        <w:rPr>
          <w:rFonts w:ascii="Palatino Linotype" w:hAnsi="Palatino Linotype" w:cs="Arial"/>
          <w:b/>
          <w:lang w:eastAsia="es-MX"/>
        </w:rPr>
        <w:t>déc</w:t>
      </w:r>
      <w:r w:rsidRPr="005B23CF">
        <w:rPr>
          <w:rFonts w:ascii="Palatino Linotype" w:hAnsi="Palatino Linotype" w:cs="Arial"/>
          <w:b/>
          <w:lang w:eastAsia="es-MX"/>
        </w:rPr>
        <w:t>imo día hábil</w:t>
      </w:r>
      <w:r w:rsidRPr="00B21F18">
        <w:rPr>
          <w:rFonts w:ascii="Palatino Linotype" w:hAnsi="Palatino Linotype" w:cs="Arial"/>
          <w:lang w:eastAsia="es-MX"/>
        </w:rPr>
        <w:t xml:space="preserve"> siguiente en que tuvo conocimiento de la</w:t>
      </w:r>
      <w:r w:rsidR="0067526C">
        <w:rPr>
          <w:rFonts w:ascii="Palatino Linotype" w:hAnsi="Palatino Linotype" w:cs="Arial"/>
          <w:lang w:eastAsia="es-MX"/>
        </w:rPr>
        <w:t>s</w:t>
      </w:r>
      <w:r w:rsidRPr="00B21F18">
        <w:rPr>
          <w:rFonts w:ascii="Palatino Linotype" w:hAnsi="Palatino Linotype" w:cs="Arial"/>
          <w:lang w:eastAsia="es-MX"/>
        </w:rPr>
        <w:t xml:space="preserve"> respuesta</w:t>
      </w:r>
      <w:r w:rsidR="0067526C">
        <w:rPr>
          <w:rFonts w:ascii="Palatino Linotype" w:hAnsi="Palatino Linotype" w:cs="Arial"/>
          <w:lang w:eastAsia="es-MX"/>
        </w:rPr>
        <w:t>s</w:t>
      </w:r>
      <w:r w:rsidRPr="00B21F18">
        <w:rPr>
          <w:rFonts w:ascii="Palatino Linotype" w:hAnsi="Palatino Linotype" w:cs="Arial"/>
          <w:lang w:eastAsia="es-MX"/>
        </w:rPr>
        <w:t xml:space="preserve"> impugnada</w:t>
      </w:r>
      <w:r w:rsidR="0067526C">
        <w:rPr>
          <w:rFonts w:ascii="Palatino Linotype" w:hAnsi="Palatino Linotype" w:cs="Arial"/>
          <w:lang w:eastAsia="es-MX"/>
        </w:rPr>
        <w:t>s</w:t>
      </w:r>
      <w:r w:rsidRPr="00B21F18">
        <w:rPr>
          <w:rFonts w:ascii="Palatino Linotype" w:hAnsi="Palatino Linotype" w:cs="Arial"/>
          <w:lang w:eastAsia="es-MX"/>
        </w:rPr>
        <w:t>, de tal forma, se considera qu</w:t>
      </w:r>
      <w:r w:rsidR="0067526C">
        <w:rPr>
          <w:rFonts w:ascii="Palatino Linotype" w:hAnsi="Palatino Linotype" w:cs="Arial"/>
          <w:lang w:eastAsia="es-MX"/>
        </w:rPr>
        <w:t xml:space="preserve">e la interposición de los </w:t>
      </w:r>
      <w:r w:rsidRPr="00B21F18">
        <w:rPr>
          <w:rFonts w:ascii="Palatino Linotype" w:hAnsi="Palatino Linotype" w:cs="Arial"/>
          <w:lang w:eastAsia="es-MX"/>
        </w:rPr>
        <w:t>medio</w:t>
      </w:r>
      <w:r w:rsidR="0067526C">
        <w:rPr>
          <w:rFonts w:ascii="Palatino Linotype" w:hAnsi="Palatino Linotype" w:cs="Arial"/>
          <w:lang w:eastAsia="es-MX"/>
        </w:rPr>
        <w:t>s</w:t>
      </w:r>
      <w:r w:rsidRPr="00B21F18">
        <w:rPr>
          <w:rFonts w:ascii="Palatino Linotype" w:hAnsi="Palatino Linotype" w:cs="Arial"/>
          <w:lang w:eastAsia="es-MX"/>
        </w:rPr>
        <w:t xml:space="preserve"> de impugnación se</w:t>
      </w:r>
      <w:r w:rsidRPr="00B21F18">
        <w:rPr>
          <w:rFonts w:ascii="Palatino Linotype" w:hAnsi="Palatino Linotype" w:cs="Arial"/>
        </w:rPr>
        <w:t xml:space="preserve"> encuentra</w:t>
      </w:r>
      <w:r w:rsidR="0067526C">
        <w:rPr>
          <w:rFonts w:ascii="Palatino Linotype" w:hAnsi="Palatino Linotype" w:cs="Arial"/>
        </w:rPr>
        <w:t>n</w:t>
      </w:r>
      <w:r w:rsidRPr="00B21F18">
        <w:rPr>
          <w:rFonts w:ascii="Palatino Linotype" w:hAnsi="Palatino Linotype" w:cs="Arial"/>
        </w:rPr>
        <w:t xml:space="preserve"> dentro de los márgenes temporales previstos en el citado precepto legal.</w:t>
      </w:r>
    </w:p>
    <w:p w14:paraId="77C2E795" w14:textId="06BD3161" w:rsidR="00B03355" w:rsidRPr="005B23CF" w:rsidRDefault="005B23CF" w:rsidP="003E666B">
      <w:pPr>
        <w:spacing w:before="240" w:after="240" w:line="360" w:lineRule="auto"/>
        <w:ind w:right="49"/>
        <w:jc w:val="both"/>
        <w:rPr>
          <w:rFonts w:ascii="Segoe UI" w:hAnsi="Segoe UI" w:cs="Segoe UI"/>
        </w:rPr>
      </w:pPr>
      <w:r w:rsidRPr="005B23CF">
        <w:rPr>
          <w:rFonts w:ascii="Palatino Linotype" w:hAnsi="Palatino Linotype" w:cs="Arial"/>
        </w:rPr>
        <w:t xml:space="preserve">Así las cosas, se concluye la acreditación plena de todos y cada uno de los elementos formales exigidos por el artículo 180 de la </w:t>
      </w:r>
      <w:r w:rsidRPr="005B23CF">
        <w:rPr>
          <w:rFonts w:ascii="Palatino Linotype" w:hAnsi="Palatino Linotype" w:cs="Arial"/>
          <w:lang w:val="es-MX"/>
        </w:rPr>
        <w:t>Ley de Transparencia y Acceso a la Información Pública del Estado de México y Municipios, y en consecuencia resulta conforme a derecho entrar al</w:t>
      </w:r>
      <w:r w:rsidR="0067526C">
        <w:rPr>
          <w:rFonts w:ascii="Palatino Linotype" w:hAnsi="Palatino Linotype" w:cs="Arial"/>
          <w:lang w:val="es-MX"/>
        </w:rPr>
        <w:t xml:space="preserve"> estudio de fondo y resolver los </w:t>
      </w:r>
      <w:r w:rsidRPr="005B23CF">
        <w:rPr>
          <w:rFonts w:ascii="Palatino Linotype" w:hAnsi="Palatino Linotype" w:cs="Arial"/>
          <w:lang w:val="es-MX"/>
        </w:rPr>
        <w:t>presente</w:t>
      </w:r>
      <w:r w:rsidR="0067526C">
        <w:rPr>
          <w:rFonts w:ascii="Palatino Linotype" w:hAnsi="Palatino Linotype" w:cs="Arial"/>
          <w:lang w:val="es-MX"/>
        </w:rPr>
        <w:t>s</w:t>
      </w:r>
      <w:r w:rsidRPr="005B23CF">
        <w:rPr>
          <w:rFonts w:ascii="Palatino Linotype" w:hAnsi="Palatino Linotype" w:cs="Arial"/>
          <w:lang w:val="es-MX"/>
        </w:rPr>
        <w:t xml:space="preserve"> medio</w:t>
      </w:r>
      <w:r w:rsidR="0067526C">
        <w:rPr>
          <w:rFonts w:ascii="Palatino Linotype" w:hAnsi="Palatino Linotype" w:cs="Arial"/>
          <w:lang w:val="es-MX"/>
        </w:rPr>
        <w:t>s</w:t>
      </w:r>
      <w:r w:rsidRPr="005B23CF">
        <w:rPr>
          <w:rFonts w:ascii="Palatino Linotype" w:hAnsi="Palatino Linotype" w:cs="Arial"/>
          <w:lang w:val="es-MX"/>
        </w:rPr>
        <w:t xml:space="preserve"> de impugnación, al actualizarse lo dispuesto en los </w:t>
      </w:r>
      <w:r w:rsidRPr="005B23CF">
        <w:rPr>
          <w:rFonts w:ascii="Palatino Linotype" w:hAnsi="Palatino Linotype" w:cs="Segoe UI"/>
        </w:rPr>
        <w:t>artículos 176 y</w:t>
      </w:r>
      <w:r>
        <w:rPr>
          <w:rFonts w:ascii="Palatino Linotype" w:eastAsia="Cambria" w:hAnsi="Palatino Linotype" w:cs="Segoe UI"/>
        </w:rPr>
        <w:t xml:space="preserve"> 179 fracción </w:t>
      </w:r>
      <w:r w:rsidRPr="005B23CF">
        <w:rPr>
          <w:rFonts w:ascii="Palatino Linotype" w:eastAsia="Cambria" w:hAnsi="Palatino Linotype" w:cs="Segoe UI"/>
        </w:rPr>
        <w:t xml:space="preserve">I </w:t>
      </w:r>
      <w:r w:rsidRPr="005B23CF">
        <w:rPr>
          <w:rFonts w:ascii="Palatino Linotype" w:hAnsi="Palatino Linotype" w:cs="Segoe UI"/>
        </w:rPr>
        <w:t xml:space="preserve">del </w:t>
      </w:r>
      <w:r w:rsidRPr="005B23CF">
        <w:rPr>
          <w:rFonts w:ascii="Palatino Linotype" w:hAnsi="Palatino Linotype" w:cs="Segoe UI"/>
        </w:rPr>
        <w:lastRenderedPageBreak/>
        <w:t>ordenamiento legal citado, que establecen los supuestos en que puede interponerse el recurso de revisión:</w:t>
      </w:r>
    </w:p>
    <w:p w14:paraId="0B3B42DB" w14:textId="77777777" w:rsidR="00B03355" w:rsidRPr="005B23CF" w:rsidRDefault="00B03355" w:rsidP="005B23CF">
      <w:pPr>
        <w:ind w:left="567" w:right="900"/>
        <w:jc w:val="both"/>
        <w:textAlignment w:val="baseline"/>
        <w:rPr>
          <w:rFonts w:ascii="Palatino Linotype" w:eastAsia="Cambria" w:hAnsi="Palatino Linotype" w:cs="Segoe UI"/>
          <w:i/>
          <w:iCs/>
          <w:sz w:val="22"/>
          <w:szCs w:val="22"/>
          <w:lang w:val="es-MX" w:eastAsia="es-MX"/>
        </w:rPr>
      </w:pPr>
      <w:r w:rsidRPr="005B23CF">
        <w:rPr>
          <w:rFonts w:ascii="Palatino Linotype" w:hAnsi="Palatino Linotype" w:cs="Segoe UI"/>
          <w:bCs/>
          <w:i/>
          <w:iCs/>
          <w:sz w:val="22"/>
          <w:szCs w:val="22"/>
          <w:lang w:val="es-MX" w:eastAsia="es-MX"/>
        </w:rPr>
        <w:t>“</w:t>
      </w:r>
      <w:r w:rsidRPr="005B23CF">
        <w:rPr>
          <w:rFonts w:ascii="Palatino Linotype" w:hAnsi="Palatino Linotype" w:cs="Segoe UI"/>
          <w:b/>
          <w:bCs/>
          <w:i/>
          <w:sz w:val="22"/>
          <w:szCs w:val="22"/>
          <w:lang w:val="es-MX" w:eastAsia="es-MX"/>
        </w:rPr>
        <w:t>Artículo 179.</w:t>
      </w:r>
      <w:r w:rsidRPr="005B23CF">
        <w:rPr>
          <w:rFonts w:ascii="Palatino Linotype" w:eastAsia="Cambria" w:hAnsi="Palatino Linotype" w:cs="Segoe UI"/>
          <w:i/>
          <w:iCs/>
          <w:sz w:val="22"/>
          <w:szCs w:val="22"/>
          <w:lang w:val="es-MX" w:eastAsia="es-MX"/>
        </w:rPr>
        <w:t xml:space="preserve"> El recurso de revisión es un medio de protección que la Ley otorga a los particulares, para hacer valer su derecho de acceso a la información pública, y procederá en contra de las siguientes causas: </w:t>
      </w:r>
    </w:p>
    <w:p w14:paraId="7B808B9E" w14:textId="77777777" w:rsidR="00B03355" w:rsidRPr="005B23CF" w:rsidRDefault="00B03355" w:rsidP="00B03355">
      <w:pPr>
        <w:ind w:left="284" w:right="615"/>
        <w:contextualSpacing/>
        <w:jc w:val="both"/>
        <w:textAlignment w:val="baseline"/>
        <w:rPr>
          <w:rFonts w:ascii="Palatino Linotype" w:hAnsi="Palatino Linotype" w:cs="Segoe UI"/>
          <w:b/>
          <w:i/>
          <w:sz w:val="22"/>
          <w:szCs w:val="22"/>
          <w:lang w:val="es-MX" w:eastAsia="es-MX"/>
        </w:rPr>
      </w:pPr>
    </w:p>
    <w:p w14:paraId="0D793838" w14:textId="77777777" w:rsidR="00B03355" w:rsidRPr="005B23CF" w:rsidRDefault="00B03355" w:rsidP="005B23CF">
      <w:pPr>
        <w:ind w:left="567" w:right="615"/>
        <w:contextualSpacing/>
        <w:jc w:val="both"/>
        <w:textAlignment w:val="baseline"/>
        <w:rPr>
          <w:rFonts w:ascii="Palatino Linotype" w:hAnsi="Palatino Linotype" w:cs="Segoe UI"/>
          <w:b/>
          <w:i/>
          <w:sz w:val="22"/>
          <w:szCs w:val="22"/>
          <w:lang w:val="es-MX" w:eastAsia="es-MX"/>
        </w:rPr>
      </w:pPr>
      <w:r w:rsidRPr="005B23CF">
        <w:rPr>
          <w:rFonts w:ascii="Palatino Linotype" w:hAnsi="Palatino Linotype" w:cs="Segoe UI"/>
          <w:b/>
          <w:i/>
          <w:sz w:val="22"/>
          <w:szCs w:val="22"/>
          <w:lang w:val="es-MX" w:eastAsia="es-MX"/>
        </w:rPr>
        <w:t xml:space="preserve">I. La negativa a la información solicitada; </w:t>
      </w:r>
    </w:p>
    <w:p w14:paraId="7E6E6DB8" w14:textId="77777777" w:rsidR="00B03355" w:rsidRPr="003911FF" w:rsidRDefault="00B03355" w:rsidP="00B03355">
      <w:pPr>
        <w:ind w:left="993" w:right="615"/>
        <w:contextualSpacing/>
        <w:jc w:val="both"/>
        <w:textAlignment w:val="baseline"/>
        <w:rPr>
          <w:rFonts w:ascii="Palatino Linotype" w:hAnsi="Palatino Linotype" w:cs="Segoe UI"/>
          <w:b/>
          <w:i/>
          <w:sz w:val="22"/>
          <w:szCs w:val="22"/>
          <w:lang w:val="es-MX" w:eastAsia="es-MX"/>
        </w:rPr>
      </w:pPr>
    </w:p>
    <w:p w14:paraId="6D742094" w14:textId="47319534" w:rsidR="00B03355" w:rsidRPr="00B21F18" w:rsidRDefault="00037DD5" w:rsidP="005B23CF">
      <w:pPr>
        <w:ind w:left="-284" w:right="615"/>
        <w:contextualSpacing/>
        <w:jc w:val="both"/>
        <w:textAlignment w:val="baseline"/>
        <w:rPr>
          <w:rFonts w:ascii="Palatino Linotype" w:eastAsia="MS Gothic" w:hAnsi="Palatino Linotype" w:cs="Segoe UI"/>
          <w:i/>
          <w:sz w:val="22"/>
          <w:szCs w:val="22"/>
          <w:lang w:val="es-MX" w:eastAsia="es-MX"/>
        </w:rPr>
      </w:pPr>
      <w:r>
        <w:rPr>
          <w:rFonts w:ascii="Palatino Linotype" w:hAnsi="Palatino Linotype" w:cs="Segoe UI"/>
          <w:i/>
          <w:sz w:val="22"/>
          <w:szCs w:val="22"/>
          <w:lang w:val="es-MX" w:eastAsia="es-MX"/>
        </w:rPr>
        <w:t xml:space="preserve">               </w:t>
      </w:r>
      <w:r w:rsidR="00B03355" w:rsidRPr="00B21F18">
        <w:rPr>
          <w:rFonts w:ascii="Palatino Linotype" w:hAnsi="Palatino Linotype" w:cs="Segoe UI"/>
          <w:i/>
          <w:sz w:val="22"/>
          <w:szCs w:val="22"/>
          <w:lang w:val="es-MX" w:eastAsia="es-MX"/>
        </w:rPr>
        <w:t xml:space="preserve">… </w:t>
      </w:r>
      <w:r w:rsidR="00B03355" w:rsidRPr="00B21F18">
        <w:rPr>
          <w:rFonts w:ascii="Palatino Linotype" w:hAnsi="Palatino Linotype" w:cs="Segoe UI"/>
          <w:bCs/>
          <w:i/>
          <w:iCs/>
          <w:sz w:val="22"/>
          <w:szCs w:val="22"/>
          <w:lang w:val="es-MX" w:eastAsia="es-MX"/>
        </w:rPr>
        <w:t>”</w:t>
      </w:r>
      <w:r w:rsidR="00B03355" w:rsidRPr="00B21F18">
        <w:rPr>
          <w:rFonts w:ascii="Palatino Linotype" w:eastAsia="MS Gothic" w:hAnsi="Palatino Linotype" w:cs="Segoe UI"/>
          <w:i/>
          <w:sz w:val="22"/>
          <w:szCs w:val="22"/>
          <w:lang w:val="es-MX" w:eastAsia="es-MX"/>
        </w:rPr>
        <w:t> </w:t>
      </w:r>
    </w:p>
    <w:p w14:paraId="1B12CDF8" w14:textId="33920F96" w:rsidR="00B03355" w:rsidRPr="00B21F18" w:rsidRDefault="00B03355" w:rsidP="00B03355">
      <w:pPr>
        <w:spacing w:before="240" w:after="240" w:line="360" w:lineRule="auto"/>
        <w:ind w:right="49"/>
        <w:jc w:val="both"/>
        <w:rPr>
          <w:rFonts w:ascii="Palatino Linotype" w:hAnsi="Palatino Linotype" w:cs="Arial"/>
        </w:rPr>
      </w:pPr>
      <w:r w:rsidRPr="00AA0506">
        <w:rPr>
          <w:rFonts w:ascii="Palatino Linotype" w:hAnsi="Palatino Linotype"/>
          <w:b/>
          <w:szCs w:val="28"/>
        </w:rPr>
        <w:t xml:space="preserve">Tercero. Materia de la revisión. </w:t>
      </w:r>
      <w:r w:rsidRPr="00B21F18">
        <w:rPr>
          <w:rFonts w:ascii="Palatino Linotype" w:hAnsi="Palatino Linotype" w:cs="Arial"/>
        </w:rPr>
        <w:t xml:space="preserve">De la revisión a </w:t>
      </w:r>
      <w:r w:rsidR="0067526C">
        <w:rPr>
          <w:rFonts w:ascii="Palatino Linotype" w:hAnsi="Palatino Linotype" w:cs="Arial"/>
        </w:rPr>
        <w:t xml:space="preserve">las constancias que obran en los </w:t>
      </w:r>
      <w:r w:rsidRPr="00B21F18">
        <w:rPr>
          <w:rFonts w:ascii="Palatino Linotype" w:hAnsi="Palatino Linotype" w:cs="Arial"/>
        </w:rPr>
        <w:t>expediente</w:t>
      </w:r>
      <w:r w:rsidR="0067526C">
        <w:rPr>
          <w:rFonts w:ascii="Palatino Linotype" w:hAnsi="Palatino Linotype" w:cs="Arial"/>
        </w:rPr>
        <w:t>s</w:t>
      </w:r>
      <w:r w:rsidRPr="00B21F18">
        <w:rPr>
          <w:rFonts w:ascii="Palatino Linotype" w:hAnsi="Palatino Linotype" w:cs="Arial"/>
        </w:rPr>
        <w:t xml:space="preserve"> electrónico</w:t>
      </w:r>
      <w:r w:rsidR="0067526C">
        <w:rPr>
          <w:rFonts w:ascii="Palatino Linotype" w:hAnsi="Palatino Linotype" w:cs="Arial"/>
        </w:rPr>
        <w:t>s</w:t>
      </w:r>
      <w:r w:rsidRPr="00B21F18">
        <w:rPr>
          <w:rFonts w:ascii="Palatino Linotype" w:hAnsi="Palatino Linotype" w:cs="Arial"/>
        </w:rPr>
        <w:t xml:space="preserve"> se advierte que el tema sobre el que este Instituto se pronunciará s</w:t>
      </w:r>
      <w:r w:rsidR="0067526C">
        <w:rPr>
          <w:rFonts w:ascii="Palatino Linotype" w:hAnsi="Palatino Linotype" w:cs="Arial"/>
        </w:rPr>
        <w:t>erá determinar si las manifestaciones proporcionadas</w:t>
      </w:r>
      <w:r w:rsidRPr="00B21F18">
        <w:rPr>
          <w:rFonts w:ascii="Palatino Linotype" w:hAnsi="Palatino Linotype" w:cs="Arial"/>
        </w:rPr>
        <w:t xml:space="preserve"> por el </w:t>
      </w:r>
      <w:r w:rsidRPr="00B21F18">
        <w:rPr>
          <w:rFonts w:ascii="Palatino Linotype" w:hAnsi="Palatino Linotype" w:cs="Arial"/>
          <w:b/>
        </w:rPr>
        <w:t>Sujeto Obligado</w:t>
      </w:r>
      <w:r w:rsidRPr="00B21F18">
        <w:rPr>
          <w:rFonts w:ascii="Palatino Linotype" w:hAnsi="Palatino Linotype" w:cs="Arial"/>
        </w:rPr>
        <w:t xml:space="preserve"> en su respuesta, satisface</w:t>
      </w:r>
      <w:r w:rsidR="0067526C">
        <w:rPr>
          <w:rFonts w:ascii="Palatino Linotype" w:hAnsi="Palatino Linotype" w:cs="Arial"/>
        </w:rPr>
        <w:t>n</w:t>
      </w:r>
      <w:r w:rsidRPr="00B21F18">
        <w:rPr>
          <w:rFonts w:ascii="Palatino Linotype" w:hAnsi="Palatino Linotype" w:cs="Arial"/>
        </w:rPr>
        <w:t xml:space="preserve"> el derecho de acceso a la información del peticionario, en caso contrario se ordenará la entrega de la información que resulte procedente. </w:t>
      </w:r>
    </w:p>
    <w:p w14:paraId="46BEAD8B" w14:textId="23F8F733" w:rsidR="00AA0506" w:rsidRPr="00AA0506" w:rsidRDefault="00B03355" w:rsidP="00AA0506">
      <w:pPr>
        <w:spacing w:before="240" w:after="240" w:line="360" w:lineRule="auto"/>
        <w:jc w:val="both"/>
        <w:rPr>
          <w:rFonts w:ascii="Palatino Linotype" w:hAnsi="Palatino Linotype"/>
          <w:b/>
          <w:sz w:val="28"/>
          <w:szCs w:val="28"/>
        </w:rPr>
      </w:pPr>
      <w:r w:rsidRPr="00AA0506">
        <w:rPr>
          <w:rFonts w:ascii="Palatino Linotype" w:hAnsi="Palatino Linotype"/>
          <w:b/>
          <w:szCs w:val="28"/>
        </w:rPr>
        <w:t>Cuarto. Estudio del asunto.</w:t>
      </w:r>
      <w:r w:rsidRPr="00AA0506">
        <w:rPr>
          <w:rFonts w:ascii="Palatino Linotype" w:hAnsi="Palatino Linotype"/>
          <w:b/>
          <w:sz w:val="28"/>
          <w:szCs w:val="32"/>
        </w:rPr>
        <w:t xml:space="preserve"> </w:t>
      </w:r>
      <w:r w:rsidR="00AA0506" w:rsidRPr="00AA0506">
        <w:rPr>
          <w:rFonts w:ascii="Palatino Linotype" w:hAnsi="Palatino Linotype"/>
        </w:rPr>
        <w:t xml:space="preserve">En este apartado se expondrán las razones y fundamentos de orden jurídico nacional y estatal que soportan la decisión de este </w:t>
      </w:r>
      <w:r w:rsidR="0067526C">
        <w:rPr>
          <w:rFonts w:ascii="Palatino Linotype" w:hAnsi="Palatino Linotype"/>
        </w:rPr>
        <w:t>Órgano Garante en los</w:t>
      </w:r>
      <w:r w:rsidR="00AA0506" w:rsidRPr="00AA0506">
        <w:rPr>
          <w:rFonts w:ascii="Palatino Linotype" w:hAnsi="Palatino Linotype"/>
        </w:rPr>
        <w:t xml:space="preserve"> asunto</w:t>
      </w:r>
      <w:r w:rsidR="0067526C">
        <w:rPr>
          <w:rFonts w:ascii="Palatino Linotype" w:hAnsi="Palatino Linotype"/>
        </w:rPr>
        <w:t>s</w:t>
      </w:r>
      <w:r w:rsidR="00AA0506" w:rsidRPr="00AA0506">
        <w:rPr>
          <w:rFonts w:ascii="Palatino Linotype" w:hAnsi="Palatino Linotype"/>
        </w:rPr>
        <w:t xml:space="preserve"> que nos ocupa</w:t>
      </w:r>
      <w:r w:rsidR="0067526C">
        <w:rPr>
          <w:rFonts w:ascii="Palatino Linotype" w:hAnsi="Palatino Linotype"/>
        </w:rPr>
        <w:t>n</w:t>
      </w:r>
      <w:r w:rsidR="00AA0506" w:rsidRPr="00AA0506">
        <w:rPr>
          <w:rFonts w:ascii="Palatino Linotype" w:hAnsi="Palatino Linotype"/>
        </w:rPr>
        <w:t xml:space="preserve">, tras analizar </w:t>
      </w:r>
      <w:r w:rsidR="00AF3515">
        <w:rPr>
          <w:rFonts w:ascii="Palatino Linotype" w:hAnsi="Palatino Linotype" w:cs="Arial"/>
        </w:rPr>
        <w:t>los motivos de inconformidad de la</w:t>
      </w:r>
      <w:r w:rsidR="00AA0506" w:rsidRPr="00AA0506">
        <w:rPr>
          <w:rFonts w:ascii="Palatino Linotype" w:hAnsi="Palatino Linotype" w:cs="Arial"/>
        </w:rPr>
        <w:t xml:space="preserve"> </w:t>
      </w:r>
      <w:r w:rsidR="00AA0506" w:rsidRPr="00AA0506">
        <w:rPr>
          <w:rFonts w:ascii="Palatino Linotype" w:hAnsi="Palatino Linotype" w:cs="Arial"/>
          <w:b/>
        </w:rPr>
        <w:t>Recurrente</w:t>
      </w:r>
      <w:r w:rsidR="00AA0506" w:rsidRPr="00AA0506">
        <w:rPr>
          <w:rFonts w:ascii="Palatino Linotype" w:hAnsi="Palatino Linotype" w:cs="Arial"/>
        </w:rPr>
        <w:t xml:space="preserve">, los argumentos del </w:t>
      </w:r>
      <w:r w:rsidR="00AA0506" w:rsidRPr="00AA0506">
        <w:rPr>
          <w:rFonts w:ascii="Palatino Linotype" w:hAnsi="Palatino Linotype" w:cs="Arial"/>
          <w:b/>
        </w:rPr>
        <w:t xml:space="preserve">Sujeto Obligado </w:t>
      </w:r>
      <w:r w:rsidR="00AA0506" w:rsidRPr="00AA0506">
        <w:rPr>
          <w:rFonts w:ascii="Palatino Linotype" w:hAnsi="Palatino Linotype" w:cs="Arial"/>
        </w:rPr>
        <w:t>y</w:t>
      </w:r>
      <w:r w:rsidR="00AA0506" w:rsidRPr="00AA0506">
        <w:rPr>
          <w:rFonts w:ascii="Palatino Linotype" w:hAnsi="Palatino Linotype" w:cs="Arial"/>
          <w:b/>
        </w:rPr>
        <w:t xml:space="preserve"> </w:t>
      </w:r>
      <w:r w:rsidR="00AA0506" w:rsidRPr="00AA0506">
        <w:rPr>
          <w:rFonts w:ascii="Palatino Linotype" w:hAnsi="Palatino Linotype" w:cs="Arial"/>
        </w:rPr>
        <w:t>el marco jurídico aplicable.</w:t>
      </w:r>
    </w:p>
    <w:p w14:paraId="1C1483BE" w14:textId="607ABD30" w:rsidR="00AA0506" w:rsidRDefault="00AA0506" w:rsidP="00AA0506">
      <w:pPr>
        <w:spacing w:before="100" w:beforeAutospacing="1" w:after="100" w:afterAutospacing="1" w:line="360" w:lineRule="auto"/>
        <w:jc w:val="both"/>
        <w:rPr>
          <w:rFonts w:ascii="Palatino Linotype" w:hAnsi="Palatino Linotype" w:cs="Arial"/>
        </w:rPr>
      </w:pPr>
      <w:r w:rsidRPr="00AA0506">
        <w:rPr>
          <w:rFonts w:ascii="Palatino Linotype" w:hAnsi="Palatino Linotype" w:cs="Arial"/>
        </w:rPr>
        <w:t xml:space="preserve">Previo al estudio del presente asunto, es conveniente precisar que </w:t>
      </w:r>
      <w:r w:rsidR="00AF3515">
        <w:rPr>
          <w:rFonts w:ascii="Palatino Linotype" w:hAnsi="Palatino Linotype" w:cs="Arial"/>
        </w:rPr>
        <w:t xml:space="preserve">en ambas solicitudes, la </w:t>
      </w:r>
      <w:r w:rsidR="00586E86">
        <w:rPr>
          <w:rFonts w:ascii="Palatino Linotype" w:hAnsi="Palatino Linotype" w:cs="Arial"/>
        </w:rPr>
        <w:t>parte recurrente</w:t>
      </w:r>
      <w:r w:rsidR="00AF3515">
        <w:rPr>
          <w:rFonts w:ascii="Palatino Linotype" w:hAnsi="Palatino Linotype" w:cs="Arial"/>
        </w:rPr>
        <w:t xml:space="preserve"> requirió al Sujeto O</w:t>
      </w:r>
      <w:r w:rsidRPr="00AA0506">
        <w:rPr>
          <w:rFonts w:ascii="Palatino Linotype" w:hAnsi="Palatino Linotype" w:cs="Arial"/>
        </w:rPr>
        <w:t>bligado le proporcionara información consistente en lo siguiente:</w:t>
      </w:r>
    </w:p>
    <w:p w14:paraId="2B3D097A" w14:textId="77777777" w:rsidR="003E666B" w:rsidRDefault="003E666B" w:rsidP="003E666B">
      <w:pPr>
        <w:spacing w:before="100" w:beforeAutospacing="1" w:after="100" w:afterAutospacing="1" w:line="360" w:lineRule="auto"/>
        <w:ind w:left="567" w:right="900"/>
        <w:jc w:val="both"/>
        <w:rPr>
          <w:rFonts w:ascii="Palatino Linotype" w:hAnsi="Palatino Linotype" w:cs="Arial"/>
        </w:rPr>
      </w:pPr>
      <w:r>
        <w:rPr>
          <w:rFonts w:ascii="Palatino Linotype" w:hAnsi="Palatino Linotype" w:cs="Arial"/>
        </w:rPr>
        <w:lastRenderedPageBreak/>
        <w:t xml:space="preserve">De </w:t>
      </w:r>
      <w:r w:rsidRPr="003E666B">
        <w:rPr>
          <w:rFonts w:ascii="Palatino Linotype" w:hAnsi="Palatino Linotype" w:cs="Arial"/>
        </w:rPr>
        <w:t>los procedimientos de Responsabilidades Administrativas que l</w:t>
      </w:r>
      <w:r>
        <w:rPr>
          <w:rFonts w:ascii="Palatino Linotype" w:hAnsi="Palatino Linotype" w:cs="Arial"/>
        </w:rPr>
        <w:t>l</w:t>
      </w:r>
      <w:r w:rsidRPr="003E666B">
        <w:rPr>
          <w:rFonts w:ascii="Palatino Linotype" w:hAnsi="Palatino Linotype" w:cs="Arial"/>
        </w:rPr>
        <w:t>eva el área de Contraloría, correspondientes a los periodo</w:t>
      </w:r>
      <w:r>
        <w:rPr>
          <w:rFonts w:ascii="Palatino Linotype" w:hAnsi="Palatino Linotype" w:cs="Arial"/>
        </w:rPr>
        <w:t>s</w:t>
      </w:r>
      <w:r w:rsidRPr="003E666B">
        <w:rPr>
          <w:rFonts w:ascii="Palatino Linotype" w:hAnsi="Palatino Linotype" w:cs="Arial"/>
        </w:rPr>
        <w:t xml:space="preserve"> 2019, 2020 y 2021</w:t>
      </w:r>
      <w:r>
        <w:rPr>
          <w:rFonts w:ascii="Palatino Linotype" w:hAnsi="Palatino Linotype" w:cs="Arial"/>
        </w:rPr>
        <w:t>:</w:t>
      </w:r>
      <w:r w:rsidRPr="003E666B">
        <w:rPr>
          <w:rFonts w:ascii="Palatino Linotype" w:hAnsi="Palatino Linotype" w:cs="Arial"/>
        </w:rPr>
        <w:t xml:space="preserve"> </w:t>
      </w:r>
    </w:p>
    <w:p w14:paraId="5473AF86" w14:textId="77777777" w:rsidR="00586E86" w:rsidRDefault="003E666B" w:rsidP="00B17D48">
      <w:pPr>
        <w:pStyle w:val="Prrafodelista"/>
        <w:numPr>
          <w:ilvl w:val="0"/>
          <w:numId w:val="6"/>
        </w:numPr>
        <w:spacing w:before="100" w:beforeAutospacing="1" w:after="100" w:afterAutospacing="1" w:line="360" w:lineRule="auto"/>
        <w:ind w:right="900"/>
        <w:jc w:val="both"/>
        <w:rPr>
          <w:rFonts w:ascii="Palatino Linotype" w:hAnsi="Palatino Linotype" w:cs="Arial"/>
        </w:rPr>
      </w:pPr>
      <w:r w:rsidRPr="003E666B">
        <w:rPr>
          <w:rFonts w:ascii="Palatino Linotype" w:hAnsi="Palatino Linotype" w:cs="Arial"/>
        </w:rPr>
        <w:t xml:space="preserve">Nombre de los presuntos responsables de los procedimientos de responsabilidades administrativas </w:t>
      </w:r>
    </w:p>
    <w:p w14:paraId="331468E6" w14:textId="77777777" w:rsidR="00586E86" w:rsidRDefault="00586E86" w:rsidP="00B17D48">
      <w:pPr>
        <w:pStyle w:val="Prrafodelista"/>
        <w:numPr>
          <w:ilvl w:val="0"/>
          <w:numId w:val="6"/>
        </w:numPr>
        <w:spacing w:before="100" w:beforeAutospacing="1" w:after="100" w:afterAutospacing="1" w:line="360" w:lineRule="auto"/>
        <w:ind w:right="900"/>
        <w:jc w:val="both"/>
        <w:rPr>
          <w:rFonts w:ascii="Palatino Linotype" w:hAnsi="Palatino Linotype" w:cs="Arial"/>
        </w:rPr>
      </w:pPr>
      <w:r>
        <w:rPr>
          <w:rFonts w:ascii="Palatino Linotype" w:hAnsi="Palatino Linotype" w:cs="Arial"/>
        </w:rPr>
        <w:t>N</w:t>
      </w:r>
      <w:r w:rsidR="003E666B" w:rsidRPr="003E666B">
        <w:rPr>
          <w:rFonts w:ascii="Palatino Linotype" w:hAnsi="Palatino Linotype" w:cs="Arial"/>
        </w:rPr>
        <w:t xml:space="preserve">ombre del servidor </w:t>
      </w:r>
      <w:r w:rsidRPr="003E666B">
        <w:rPr>
          <w:rFonts w:ascii="Palatino Linotype" w:hAnsi="Palatino Linotype" w:cs="Arial"/>
        </w:rPr>
        <w:t>público</w:t>
      </w:r>
      <w:r w:rsidR="003E666B" w:rsidRPr="003E666B">
        <w:rPr>
          <w:rFonts w:ascii="Palatino Linotype" w:hAnsi="Palatino Linotype" w:cs="Arial"/>
        </w:rPr>
        <w:t xml:space="preserve"> que </w:t>
      </w:r>
      <w:r w:rsidRPr="003E666B">
        <w:rPr>
          <w:rFonts w:ascii="Palatino Linotype" w:hAnsi="Palatino Linotype" w:cs="Arial"/>
        </w:rPr>
        <w:t>más</w:t>
      </w:r>
      <w:r w:rsidR="003E666B" w:rsidRPr="003E666B">
        <w:rPr>
          <w:rFonts w:ascii="Palatino Linotype" w:hAnsi="Palatino Linotype" w:cs="Arial"/>
        </w:rPr>
        <w:t xml:space="preserve"> procedimie</w:t>
      </w:r>
      <w:r>
        <w:rPr>
          <w:rFonts w:ascii="Palatino Linotype" w:hAnsi="Palatino Linotype" w:cs="Arial"/>
        </w:rPr>
        <w:t xml:space="preserve">ntos tiene en trámite, resueltos y procesados. </w:t>
      </w:r>
      <w:r w:rsidR="003E666B" w:rsidRPr="003E666B">
        <w:rPr>
          <w:rFonts w:ascii="Palatino Linotype" w:hAnsi="Palatino Linotype" w:cs="Arial"/>
        </w:rPr>
        <w:t xml:space="preserve"> </w:t>
      </w:r>
    </w:p>
    <w:p w14:paraId="5CC102A5" w14:textId="449A60A3" w:rsidR="003E666B" w:rsidRPr="003E666B" w:rsidRDefault="003E666B" w:rsidP="00B17D48">
      <w:pPr>
        <w:pStyle w:val="Prrafodelista"/>
        <w:numPr>
          <w:ilvl w:val="0"/>
          <w:numId w:val="6"/>
        </w:numPr>
        <w:spacing w:before="100" w:beforeAutospacing="1" w:after="100" w:afterAutospacing="1" w:line="360" w:lineRule="auto"/>
        <w:ind w:right="900"/>
        <w:jc w:val="both"/>
        <w:rPr>
          <w:rFonts w:ascii="Palatino Linotype" w:hAnsi="Palatino Linotype" w:cs="Arial"/>
        </w:rPr>
      </w:pPr>
      <w:r w:rsidRPr="003E666B">
        <w:rPr>
          <w:rFonts w:ascii="Palatino Linotype" w:hAnsi="Palatino Linotype" w:cs="Arial"/>
        </w:rPr>
        <w:t xml:space="preserve">Procedimientos de </w:t>
      </w:r>
      <w:r w:rsidR="00586E86" w:rsidRPr="003E666B">
        <w:rPr>
          <w:rFonts w:ascii="Palatino Linotype" w:hAnsi="Palatino Linotype" w:cs="Arial"/>
        </w:rPr>
        <w:t>Responsabilidad</w:t>
      </w:r>
      <w:r w:rsidRPr="003E666B">
        <w:rPr>
          <w:rFonts w:ascii="Palatino Linotype" w:hAnsi="Palatino Linotype" w:cs="Arial"/>
        </w:rPr>
        <w:t xml:space="preserve"> Administrativa que tienen d</w:t>
      </w:r>
      <w:r w:rsidR="00586E86">
        <w:rPr>
          <w:rFonts w:ascii="Palatino Linotype" w:hAnsi="Palatino Linotype" w:cs="Arial"/>
        </w:rPr>
        <w:t xml:space="preserve">e Alfonso López </w:t>
      </w:r>
      <w:proofErr w:type="spellStart"/>
      <w:r w:rsidR="00586E86">
        <w:rPr>
          <w:rFonts w:ascii="Palatino Linotype" w:hAnsi="Palatino Linotype" w:cs="Arial"/>
        </w:rPr>
        <w:t>Abundis</w:t>
      </w:r>
      <w:proofErr w:type="spellEnd"/>
      <w:r w:rsidR="00586E86">
        <w:rPr>
          <w:rFonts w:ascii="Palatino Linotype" w:hAnsi="Palatino Linotype" w:cs="Arial"/>
        </w:rPr>
        <w:t>.</w:t>
      </w:r>
    </w:p>
    <w:p w14:paraId="460F9237" w14:textId="5303272E" w:rsidR="00586E86" w:rsidRDefault="00AA0506" w:rsidP="00AA0506">
      <w:pPr>
        <w:spacing w:before="240" w:after="240" w:line="360" w:lineRule="auto"/>
        <w:ind w:right="49"/>
        <w:jc w:val="both"/>
        <w:rPr>
          <w:rFonts w:ascii="Palatino Linotype" w:hAnsi="Palatino Linotype"/>
          <w:szCs w:val="32"/>
        </w:rPr>
      </w:pPr>
      <w:r>
        <w:rPr>
          <w:rFonts w:ascii="Palatino Linotype" w:hAnsi="Palatino Linotype"/>
          <w:szCs w:val="32"/>
        </w:rPr>
        <w:t xml:space="preserve">En respuesta </w:t>
      </w:r>
      <w:r w:rsidR="00586E86">
        <w:rPr>
          <w:rFonts w:ascii="Palatino Linotype" w:hAnsi="Palatino Linotype"/>
          <w:szCs w:val="32"/>
        </w:rPr>
        <w:t xml:space="preserve">a ambas peticiones, </w:t>
      </w:r>
      <w:r>
        <w:rPr>
          <w:rFonts w:ascii="Palatino Linotype" w:hAnsi="Palatino Linotype"/>
          <w:szCs w:val="32"/>
        </w:rPr>
        <w:t xml:space="preserve">el Sujeto Obligado por </w:t>
      </w:r>
      <w:r w:rsidR="00586E86">
        <w:rPr>
          <w:rFonts w:ascii="Palatino Linotype" w:hAnsi="Palatino Linotype"/>
          <w:szCs w:val="32"/>
        </w:rPr>
        <w:t>conducto del Contralor Interno Municipal de T</w:t>
      </w:r>
      <w:r w:rsidR="00677DDB">
        <w:rPr>
          <w:rFonts w:ascii="Palatino Linotype" w:hAnsi="Palatino Linotype"/>
          <w:szCs w:val="32"/>
        </w:rPr>
        <w:t xml:space="preserve">enancingo, </w:t>
      </w:r>
      <w:r w:rsidR="00AF3515">
        <w:rPr>
          <w:rFonts w:ascii="Palatino Linotype" w:hAnsi="Palatino Linotype"/>
          <w:szCs w:val="32"/>
        </w:rPr>
        <w:t xml:space="preserve">manifestó lo siguiente: </w:t>
      </w:r>
    </w:p>
    <w:p w14:paraId="553F74D2" w14:textId="77777777" w:rsidR="00AF3515" w:rsidRDefault="00AF3515" w:rsidP="00AF3515">
      <w:pPr>
        <w:pStyle w:val="Prrafodelista"/>
        <w:numPr>
          <w:ilvl w:val="0"/>
          <w:numId w:val="17"/>
        </w:numPr>
        <w:spacing w:before="240" w:after="240" w:line="360" w:lineRule="auto"/>
        <w:ind w:right="49"/>
        <w:jc w:val="both"/>
        <w:rPr>
          <w:rFonts w:ascii="Palatino Linotype" w:hAnsi="Palatino Linotype"/>
          <w:szCs w:val="32"/>
        </w:rPr>
      </w:pPr>
      <w:r>
        <w:rPr>
          <w:rFonts w:ascii="Palatino Linotype" w:hAnsi="Palatino Linotype"/>
          <w:szCs w:val="32"/>
        </w:rPr>
        <w:t>Las únicas autoridades que pueden conocer de los Procedimientos de Responsabilidades Administrativas lo son las que indican los artículos 9 y 10 de la Ley de Responsabilidades Administrativas del Estado de México.</w:t>
      </w:r>
    </w:p>
    <w:p w14:paraId="447A007B" w14:textId="77777777" w:rsidR="00AF3515" w:rsidRDefault="00AF3515" w:rsidP="00AF3515">
      <w:pPr>
        <w:pStyle w:val="Prrafodelista"/>
        <w:numPr>
          <w:ilvl w:val="0"/>
          <w:numId w:val="17"/>
        </w:numPr>
        <w:spacing w:before="240" w:after="240" w:line="360" w:lineRule="auto"/>
        <w:ind w:right="49"/>
        <w:jc w:val="both"/>
        <w:rPr>
          <w:rFonts w:ascii="Palatino Linotype" w:hAnsi="Palatino Linotype"/>
          <w:szCs w:val="32"/>
        </w:rPr>
      </w:pPr>
      <w:r>
        <w:rPr>
          <w:rFonts w:ascii="Palatino Linotype" w:hAnsi="Palatino Linotype"/>
          <w:szCs w:val="32"/>
        </w:rPr>
        <w:t xml:space="preserve">La información confidencial no estará sujeta a temporalidad alguna y solo podrán tener acceso a ella, los titulares de la misma, sus representantes y los titulares de la misma, sus representantes y los servidores públicos facultados para ello. </w:t>
      </w:r>
    </w:p>
    <w:p w14:paraId="4BC523AC" w14:textId="77777777" w:rsidR="00AF3515" w:rsidRDefault="00AF3515" w:rsidP="00AF3515">
      <w:pPr>
        <w:pStyle w:val="Prrafodelista"/>
        <w:numPr>
          <w:ilvl w:val="0"/>
          <w:numId w:val="17"/>
        </w:numPr>
        <w:spacing w:before="240" w:after="240" w:line="360" w:lineRule="auto"/>
        <w:ind w:right="49"/>
        <w:jc w:val="both"/>
        <w:rPr>
          <w:rFonts w:ascii="Palatino Linotype" w:hAnsi="Palatino Linotype"/>
          <w:szCs w:val="32"/>
        </w:rPr>
      </w:pPr>
      <w:r>
        <w:rPr>
          <w:rFonts w:ascii="Palatino Linotype" w:hAnsi="Palatino Linotype"/>
          <w:szCs w:val="32"/>
        </w:rPr>
        <w:t xml:space="preserve">El hecho de darle publicidad a la información antes señalada generaría un severo perjuicio a la privacidad de los titulares de los datos y al Derecho de Humano de Protección de los Datos Personales consagrado en el artículo 16 de la Constitución. </w:t>
      </w:r>
    </w:p>
    <w:p w14:paraId="662C77F7" w14:textId="0D67CE4C" w:rsidR="00AF3515" w:rsidRDefault="00E269B2" w:rsidP="00AF3515">
      <w:pPr>
        <w:pStyle w:val="Prrafodelista"/>
        <w:numPr>
          <w:ilvl w:val="0"/>
          <w:numId w:val="17"/>
        </w:numPr>
        <w:spacing w:before="240" w:after="240" w:line="360" w:lineRule="auto"/>
        <w:ind w:right="49"/>
        <w:jc w:val="both"/>
        <w:rPr>
          <w:rFonts w:ascii="Palatino Linotype" w:hAnsi="Palatino Linotype"/>
          <w:szCs w:val="32"/>
        </w:rPr>
      </w:pPr>
      <w:r>
        <w:rPr>
          <w:rFonts w:ascii="Palatino Linotype" w:hAnsi="Palatino Linotype"/>
          <w:szCs w:val="32"/>
        </w:rPr>
        <w:lastRenderedPageBreak/>
        <w:t>La publicidad de la información relativa a los datos de identificación de los servidores públicos, en nada contribuye a la rendición de cuentas o a la transparencia de la gestión gubernamental, esto es, la información en cita como tal, no refleja el desempeño del servidor público sino, por el contrario, su difusión podría actualizar un daño presente, probable y específico a los principios tutelados por la Ley Orgánica Municipal del Estado de México, Ley de Responsabilidades Administrativas del Estado de México y Municipios, Ley de Transparencia y Acceso a la Información del Estado de México y Municipios y Ley de Protección de Datos Personales en Posesión de Sujetos Obligados del Estado de México y Municipios, así como el Bando Municipal de Tenancingo 2020, referentes a la restricción excepcional de información confidencial en posesión del Ayuntamiento de Tenancingo, la cual no se puede emplear para fines de los cuales no se cuente con el consentimiento de su titular y que sean distintos al cumplimiento de las atribuciones conferidas por las distintas disposiciones.</w:t>
      </w:r>
    </w:p>
    <w:p w14:paraId="6261EA50" w14:textId="39279725" w:rsidR="00E269B2" w:rsidRPr="00AF3515" w:rsidRDefault="00E269B2" w:rsidP="00AF3515">
      <w:pPr>
        <w:pStyle w:val="Prrafodelista"/>
        <w:numPr>
          <w:ilvl w:val="0"/>
          <w:numId w:val="17"/>
        </w:numPr>
        <w:spacing w:before="240" w:after="240" w:line="360" w:lineRule="auto"/>
        <w:ind w:right="49"/>
        <w:jc w:val="both"/>
        <w:rPr>
          <w:rFonts w:ascii="Palatino Linotype" w:hAnsi="Palatino Linotype"/>
          <w:szCs w:val="32"/>
        </w:rPr>
      </w:pPr>
      <w:r>
        <w:rPr>
          <w:rFonts w:ascii="Palatino Linotype" w:hAnsi="Palatino Linotype"/>
          <w:szCs w:val="32"/>
        </w:rPr>
        <w:t xml:space="preserve">En conclusión, la Contraloría Interna Municipal se encuentra imposibilitada para entregar la información requerida, ya que, quien la solicita no es parte de los Procedimientos de Responsabilidad Administrativa, por lo cual no puede conocer ni imponerse de los mismos. </w:t>
      </w:r>
    </w:p>
    <w:p w14:paraId="15C1E781" w14:textId="0681D0CB" w:rsidR="00963F03" w:rsidRPr="00AA0506" w:rsidRDefault="00963F03" w:rsidP="00AA0506">
      <w:pPr>
        <w:spacing w:before="240" w:after="240" w:line="360" w:lineRule="auto"/>
        <w:ind w:right="49"/>
        <w:jc w:val="both"/>
        <w:rPr>
          <w:rFonts w:ascii="Palatino Linotype" w:hAnsi="Palatino Linotype"/>
          <w:szCs w:val="32"/>
        </w:rPr>
      </w:pPr>
      <w:r>
        <w:rPr>
          <w:rFonts w:ascii="Palatino Linotype" w:hAnsi="Palatino Linotype"/>
          <w:szCs w:val="32"/>
        </w:rPr>
        <w:t>En este tenor de ideas</w:t>
      </w:r>
      <w:r w:rsidR="00586E86">
        <w:rPr>
          <w:rFonts w:ascii="Palatino Linotype" w:hAnsi="Palatino Linotype"/>
          <w:szCs w:val="32"/>
        </w:rPr>
        <w:t xml:space="preserve"> nacen las razones o motivos de inconformidad de</w:t>
      </w:r>
      <w:r>
        <w:rPr>
          <w:rFonts w:ascii="Palatino Linotype" w:hAnsi="Palatino Linotype"/>
          <w:szCs w:val="32"/>
        </w:rPr>
        <w:t>l ahora Recurrente</w:t>
      </w:r>
      <w:r w:rsidR="00586E86">
        <w:rPr>
          <w:rFonts w:ascii="Palatino Linotype" w:hAnsi="Palatino Linotype"/>
          <w:szCs w:val="32"/>
        </w:rPr>
        <w:t>, quien interpuso</w:t>
      </w:r>
      <w:r w:rsidR="00677DDB">
        <w:rPr>
          <w:rFonts w:ascii="Palatino Linotype" w:hAnsi="Palatino Linotype"/>
          <w:szCs w:val="32"/>
        </w:rPr>
        <w:t xml:space="preserve"> los</w:t>
      </w:r>
      <w:r>
        <w:rPr>
          <w:rFonts w:ascii="Palatino Linotype" w:hAnsi="Palatino Linotype"/>
          <w:szCs w:val="32"/>
        </w:rPr>
        <w:t xml:space="preserve"> medio</w:t>
      </w:r>
      <w:r w:rsidR="00677DDB">
        <w:rPr>
          <w:rFonts w:ascii="Palatino Linotype" w:hAnsi="Palatino Linotype"/>
          <w:szCs w:val="32"/>
        </w:rPr>
        <w:t>s</w:t>
      </w:r>
      <w:r>
        <w:rPr>
          <w:rFonts w:ascii="Palatino Linotype" w:hAnsi="Palatino Linotype"/>
          <w:szCs w:val="32"/>
        </w:rPr>
        <w:t xml:space="preserve"> de impugnación que nos ocupa</w:t>
      </w:r>
      <w:r w:rsidR="00677DDB">
        <w:rPr>
          <w:rFonts w:ascii="Palatino Linotype" w:hAnsi="Palatino Linotype"/>
          <w:szCs w:val="32"/>
        </w:rPr>
        <w:t xml:space="preserve">n mediante los </w:t>
      </w:r>
      <w:r w:rsidR="00586E86">
        <w:rPr>
          <w:rFonts w:ascii="Palatino Linotype" w:hAnsi="Palatino Linotype"/>
          <w:szCs w:val="32"/>
        </w:rPr>
        <w:t>formato previsto</w:t>
      </w:r>
      <w:r w:rsidR="00677DDB">
        <w:rPr>
          <w:rFonts w:ascii="Palatino Linotype" w:hAnsi="Palatino Linotype"/>
          <w:szCs w:val="32"/>
        </w:rPr>
        <w:t>s</w:t>
      </w:r>
      <w:r w:rsidR="00586E86">
        <w:rPr>
          <w:rFonts w:ascii="Palatino Linotype" w:hAnsi="Palatino Linotype"/>
          <w:szCs w:val="32"/>
        </w:rPr>
        <w:t xml:space="preserve"> por el Sistema de Acceso a la Información Mexiquense (SAIMEX) pero adicionalmente remitió los soportes documentales </w:t>
      </w:r>
      <w:r w:rsidRPr="00963F03">
        <w:rPr>
          <w:rFonts w:ascii="Palatino Linotype" w:hAnsi="Palatino Linotype"/>
          <w:b/>
          <w:i/>
          <w:szCs w:val="32"/>
        </w:rPr>
        <w:t>“</w:t>
      </w:r>
      <w:r w:rsidR="00586E86" w:rsidRPr="00586E86">
        <w:rPr>
          <w:rFonts w:ascii="Palatino Linotype" w:hAnsi="Palatino Linotype"/>
          <w:b/>
          <w:i/>
          <w:szCs w:val="32"/>
        </w:rPr>
        <w:t xml:space="preserve">RECURSO DE </w:t>
      </w:r>
      <w:r w:rsidR="00586E86" w:rsidRPr="00586E86">
        <w:rPr>
          <w:rFonts w:ascii="Palatino Linotype" w:hAnsi="Palatino Linotype"/>
          <w:b/>
          <w:i/>
          <w:szCs w:val="32"/>
        </w:rPr>
        <w:lastRenderedPageBreak/>
        <w:t>REVISION SAIMEX_00251.</w:t>
      </w:r>
      <w:r w:rsidR="00586E86">
        <w:rPr>
          <w:rFonts w:ascii="Palatino Linotype" w:hAnsi="Palatino Linotype"/>
          <w:b/>
          <w:i/>
          <w:szCs w:val="32"/>
        </w:rPr>
        <w:t>docx</w:t>
      </w:r>
      <w:r w:rsidRPr="00963F03">
        <w:rPr>
          <w:rFonts w:ascii="Palatino Linotype" w:hAnsi="Palatino Linotype"/>
          <w:b/>
          <w:i/>
          <w:szCs w:val="32"/>
        </w:rPr>
        <w:t>”</w:t>
      </w:r>
      <w:r>
        <w:rPr>
          <w:rFonts w:ascii="Palatino Linotype" w:hAnsi="Palatino Linotype"/>
          <w:b/>
          <w:i/>
          <w:szCs w:val="32"/>
        </w:rPr>
        <w:t xml:space="preserve"> </w:t>
      </w:r>
      <w:r>
        <w:rPr>
          <w:rFonts w:ascii="Palatino Linotype" w:hAnsi="Palatino Linotype"/>
          <w:szCs w:val="32"/>
        </w:rPr>
        <w:t xml:space="preserve">y </w:t>
      </w:r>
      <w:r w:rsidR="00677DDB" w:rsidRPr="00AA03BF">
        <w:rPr>
          <w:rFonts w:ascii="Palatino Linotype" w:hAnsi="Palatino Linotype" w:cs="Arial"/>
          <w:b/>
          <w:i/>
          <w:color w:val="000000" w:themeColor="text1"/>
          <w:lang w:val="es-MX" w:eastAsia="es-MX"/>
        </w:rPr>
        <w:t>“</w:t>
      </w:r>
      <w:hyperlink r:id="rId16" w:tgtFrame="_blank" w:history="1">
        <w:r w:rsidR="00677DDB" w:rsidRPr="00AA03BF">
          <w:rPr>
            <w:rStyle w:val="Hipervnculo"/>
            <w:rFonts w:ascii="Palatino Linotype" w:hAnsi="Palatino Linotype" w:cs="Arial"/>
            <w:b/>
            <w:bCs/>
            <w:i/>
            <w:color w:val="000000" w:themeColor="text1"/>
            <w:u w:val="none"/>
            <w:lang w:val="es-MX" w:eastAsia="es-MX"/>
          </w:rPr>
          <w:t>RECURSO DE REVISION_00255.docx</w:t>
        </w:r>
      </w:hyperlink>
      <w:r w:rsidR="00677DDB" w:rsidRPr="00AA03BF">
        <w:rPr>
          <w:rFonts w:ascii="Palatino Linotype" w:hAnsi="Palatino Linotype" w:cs="Arial"/>
          <w:b/>
          <w:i/>
          <w:color w:val="000000" w:themeColor="text1"/>
          <w:lang w:eastAsia="es-MX"/>
        </w:rPr>
        <w:t>”</w:t>
      </w:r>
      <w:r>
        <w:rPr>
          <w:rFonts w:ascii="Palatino Linotype" w:hAnsi="Palatino Linotype"/>
          <w:b/>
          <w:i/>
          <w:szCs w:val="32"/>
        </w:rPr>
        <w:t xml:space="preserve">, </w:t>
      </w:r>
      <w:r w:rsidRPr="00963F03">
        <w:rPr>
          <w:rFonts w:ascii="Palatino Linotype" w:hAnsi="Palatino Linotype"/>
          <w:szCs w:val="32"/>
        </w:rPr>
        <w:t xml:space="preserve">los </w:t>
      </w:r>
      <w:r>
        <w:rPr>
          <w:rFonts w:ascii="Palatino Linotype" w:hAnsi="Palatino Linotype"/>
          <w:szCs w:val="32"/>
        </w:rPr>
        <w:t xml:space="preserve">cuales se insertan a continuación para mejor proveer del presente estudio: </w:t>
      </w:r>
    </w:p>
    <w:p w14:paraId="681FBDCC" w14:textId="723F47C2" w:rsidR="00AA0506" w:rsidRDefault="00D969D6" w:rsidP="00B03355">
      <w:pPr>
        <w:spacing w:before="240" w:after="240" w:line="360" w:lineRule="auto"/>
        <w:ind w:right="49"/>
        <w:jc w:val="both"/>
        <w:rPr>
          <w:rFonts w:ascii="Palatino Linotype" w:hAnsi="Palatino Linotype"/>
          <w:b/>
          <w:sz w:val="28"/>
          <w:szCs w:val="32"/>
        </w:rPr>
      </w:pPr>
      <w:r>
        <w:rPr>
          <w:rFonts w:ascii="Palatino Linotype" w:hAnsi="Palatino Linotype"/>
          <w:b/>
          <w:noProof/>
          <w:sz w:val="28"/>
          <w:szCs w:val="32"/>
          <w:lang w:val="es-MX" w:eastAsia="es-MX"/>
        </w:rPr>
        <mc:AlternateContent>
          <mc:Choice Requires="wps">
            <w:drawing>
              <wp:anchor distT="0" distB="0" distL="114300" distR="114300" simplePos="0" relativeHeight="251672576" behindDoc="0" locked="0" layoutInCell="1" allowOverlap="1" wp14:anchorId="00B0CD46" wp14:editId="78C53812">
                <wp:simplePos x="0" y="0"/>
                <wp:positionH relativeFrom="column">
                  <wp:posOffset>110490</wp:posOffset>
                </wp:positionH>
                <wp:positionV relativeFrom="paragraph">
                  <wp:posOffset>2870834</wp:posOffset>
                </wp:positionV>
                <wp:extent cx="5410200" cy="3952875"/>
                <wp:effectExtent l="0" t="0" r="19050" b="28575"/>
                <wp:wrapNone/>
                <wp:docPr id="19" name="Conector recto 19"/>
                <wp:cNvGraphicFramePr/>
                <a:graphic xmlns:a="http://schemas.openxmlformats.org/drawingml/2006/main">
                  <a:graphicData uri="http://schemas.microsoft.com/office/word/2010/wordprocessingShape">
                    <wps:wsp>
                      <wps:cNvCnPr/>
                      <wps:spPr>
                        <a:xfrm flipH="1">
                          <a:off x="0" y="0"/>
                          <a:ext cx="5410200" cy="3952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9CB42D8" id="Conector recto 19" o:spid="_x0000_s1026" style="position:absolute;flip:x;z-index:251672576;visibility:visible;mso-wrap-style:square;mso-wrap-distance-left:9pt;mso-wrap-distance-top:0;mso-wrap-distance-right:9pt;mso-wrap-distance-bottom:0;mso-position-horizontal:absolute;mso-position-horizontal-relative:text;mso-position-vertical:absolute;mso-position-vertical-relative:text" from="8.7pt,226.05pt" to="434.7pt,5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" strokecolor="black [3040]"/>
            </w:pict>
          </mc:Fallback>
        </mc:AlternateContent>
      </w:r>
      <w:r>
        <w:rPr>
          <w:rFonts w:ascii="Palatino Linotype" w:hAnsi="Palatino Linotype"/>
          <w:b/>
          <w:noProof/>
          <w:sz w:val="28"/>
          <w:szCs w:val="32"/>
          <w:lang w:val="es-MX" w:eastAsia="es-MX"/>
        </w:rPr>
        <w:drawing>
          <wp:inline distT="0" distB="0" distL="0" distR="0" wp14:anchorId="552C48A7" wp14:editId="3F5E3636">
            <wp:extent cx="5610225" cy="273367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0225" cy="2733675"/>
                    </a:xfrm>
                    <a:prstGeom prst="rect">
                      <a:avLst/>
                    </a:prstGeom>
                    <a:noFill/>
                    <a:ln>
                      <a:noFill/>
                    </a:ln>
                  </pic:spPr>
                </pic:pic>
              </a:graphicData>
            </a:graphic>
          </wp:inline>
        </w:drawing>
      </w:r>
    </w:p>
    <w:p w14:paraId="203D0E5D" w14:textId="4F18D373" w:rsidR="00D969D6" w:rsidRDefault="00D969D6" w:rsidP="006A177B">
      <w:pPr>
        <w:spacing w:before="240" w:after="240" w:line="360" w:lineRule="auto"/>
        <w:ind w:right="49"/>
        <w:jc w:val="both"/>
        <w:rPr>
          <w:rFonts w:ascii="Palatino Linotype" w:hAnsi="Palatino Linotype" w:cs="Arial"/>
          <w:lang w:eastAsia="es-MX"/>
        </w:rPr>
      </w:pPr>
    </w:p>
    <w:p w14:paraId="615CCC4A" w14:textId="77777777" w:rsidR="00D969D6" w:rsidRDefault="00D969D6" w:rsidP="006A177B">
      <w:pPr>
        <w:spacing w:before="240" w:after="240" w:line="360" w:lineRule="auto"/>
        <w:ind w:right="49"/>
        <w:jc w:val="both"/>
        <w:rPr>
          <w:rFonts w:ascii="Palatino Linotype" w:hAnsi="Palatino Linotype" w:cs="Arial"/>
          <w:lang w:eastAsia="es-MX"/>
        </w:rPr>
      </w:pPr>
    </w:p>
    <w:p w14:paraId="4016302A" w14:textId="77777777" w:rsidR="00D969D6" w:rsidRDefault="00D969D6" w:rsidP="006A177B">
      <w:pPr>
        <w:spacing w:before="240" w:after="240" w:line="360" w:lineRule="auto"/>
        <w:ind w:right="49"/>
        <w:jc w:val="both"/>
        <w:rPr>
          <w:rFonts w:ascii="Palatino Linotype" w:hAnsi="Palatino Linotype" w:cs="Arial"/>
          <w:lang w:eastAsia="es-MX"/>
        </w:rPr>
      </w:pPr>
    </w:p>
    <w:p w14:paraId="2E4289B6" w14:textId="328FBB7F" w:rsidR="00D969D6" w:rsidRDefault="00D969D6" w:rsidP="006A177B">
      <w:pPr>
        <w:spacing w:before="240" w:after="240" w:line="360" w:lineRule="auto"/>
        <w:ind w:right="49"/>
        <w:jc w:val="both"/>
        <w:rPr>
          <w:rFonts w:ascii="Palatino Linotype" w:hAnsi="Palatino Linotype" w:cs="Arial"/>
          <w:lang w:eastAsia="es-MX"/>
        </w:rPr>
      </w:pPr>
      <w:r>
        <w:rPr>
          <w:rFonts w:ascii="Palatino Linotype" w:hAnsi="Palatino Linotype" w:cs="Arial"/>
          <w:noProof/>
          <w:lang w:val="es-MX" w:eastAsia="es-MX"/>
        </w:rPr>
        <w:lastRenderedPageBreak/>
        <w:drawing>
          <wp:inline distT="0" distB="0" distL="0" distR="0" wp14:anchorId="06A90B3F" wp14:editId="4AFBA257">
            <wp:extent cx="5610225" cy="7353300"/>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0225" cy="7353300"/>
                    </a:xfrm>
                    <a:prstGeom prst="rect">
                      <a:avLst/>
                    </a:prstGeom>
                    <a:noFill/>
                    <a:ln>
                      <a:noFill/>
                    </a:ln>
                  </pic:spPr>
                </pic:pic>
              </a:graphicData>
            </a:graphic>
          </wp:inline>
        </w:drawing>
      </w:r>
    </w:p>
    <w:p w14:paraId="49A9C569" w14:textId="75BC92BC" w:rsidR="00D969D6" w:rsidRDefault="00D969D6" w:rsidP="006A177B">
      <w:pPr>
        <w:spacing w:before="240" w:after="240" w:line="360" w:lineRule="auto"/>
        <w:ind w:right="49"/>
        <w:jc w:val="both"/>
        <w:rPr>
          <w:rFonts w:ascii="Palatino Linotype" w:hAnsi="Palatino Linotype" w:cs="Arial"/>
          <w:lang w:eastAsia="es-MX"/>
        </w:rPr>
      </w:pPr>
      <w:r>
        <w:rPr>
          <w:rFonts w:ascii="Palatino Linotype" w:hAnsi="Palatino Linotype" w:cs="Arial"/>
          <w:noProof/>
          <w:lang w:val="es-MX" w:eastAsia="es-MX"/>
        </w:rPr>
        <w:lastRenderedPageBreak/>
        <w:drawing>
          <wp:inline distT="0" distB="0" distL="0" distR="0" wp14:anchorId="1AE7B0F5" wp14:editId="721DA129">
            <wp:extent cx="5610225" cy="6105525"/>
            <wp:effectExtent l="0" t="0" r="952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0225" cy="6105525"/>
                    </a:xfrm>
                    <a:prstGeom prst="rect">
                      <a:avLst/>
                    </a:prstGeom>
                    <a:noFill/>
                    <a:ln>
                      <a:noFill/>
                    </a:ln>
                  </pic:spPr>
                </pic:pic>
              </a:graphicData>
            </a:graphic>
          </wp:inline>
        </w:drawing>
      </w:r>
    </w:p>
    <w:p w14:paraId="11073320" w14:textId="77777777" w:rsidR="00D969D6" w:rsidRDefault="00D969D6" w:rsidP="006A177B">
      <w:pPr>
        <w:spacing w:before="240" w:after="240" w:line="360" w:lineRule="auto"/>
        <w:ind w:right="49"/>
        <w:jc w:val="both"/>
        <w:rPr>
          <w:rFonts w:ascii="Palatino Linotype" w:hAnsi="Palatino Linotype" w:cs="Arial"/>
          <w:lang w:eastAsia="es-MX"/>
        </w:rPr>
      </w:pPr>
    </w:p>
    <w:p w14:paraId="1722D036" w14:textId="77777777" w:rsidR="00D969D6" w:rsidRDefault="00D969D6" w:rsidP="006A177B">
      <w:pPr>
        <w:spacing w:before="240" w:after="240" w:line="360" w:lineRule="auto"/>
        <w:ind w:right="49"/>
        <w:jc w:val="both"/>
        <w:rPr>
          <w:rFonts w:ascii="Palatino Linotype" w:hAnsi="Palatino Linotype" w:cs="Arial"/>
          <w:lang w:eastAsia="es-MX"/>
        </w:rPr>
      </w:pPr>
    </w:p>
    <w:p w14:paraId="2D9A7325" w14:textId="77777777" w:rsidR="00D969D6" w:rsidRDefault="00D969D6" w:rsidP="006A177B">
      <w:pPr>
        <w:spacing w:before="240" w:after="240" w:line="360" w:lineRule="auto"/>
        <w:ind w:right="49"/>
        <w:jc w:val="both"/>
        <w:rPr>
          <w:rFonts w:ascii="Palatino Linotype" w:hAnsi="Palatino Linotype" w:cs="Arial"/>
          <w:lang w:eastAsia="es-MX"/>
        </w:rPr>
      </w:pPr>
    </w:p>
    <w:p w14:paraId="590558A7" w14:textId="1B13FF8B" w:rsidR="001E709B" w:rsidRPr="00D969D6" w:rsidRDefault="001E709B" w:rsidP="006A177B">
      <w:pPr>
        <w:spacing w:before="240" w:after="240" w:line="360" w:lineRule="auto"/>
        <w:ind w:right="49"/>
        <w:jc w:val="both"/>
        <w:rPr>
          <w:rFonts w:ascii="Palatino Linotype" w:hAnsi="Palatino Linotype" w:cs="Arial"/>
          <w:lang w:eastAsia="es-MX"/>
        </w:rPr>
      </w:pPr>
      <w:r>
        <w:rPr>
          <w:rFonts w:ascii="Palatino Linotype" w:hAnsi="Palatino Linotype" w:cs="Arial"/>
          <w:lang w:eastAsia="es-MX"/>
        </w:rPr>
        <w:lastRenderedPageBreak/>
        <w:t xml:space="preserve">Del documento referido anteriormente se deduce que el Recurrente se duele medularmente de la negativa del Sujeto Obligado a entregar la información; es preciso mencionar que en la etapa de manifestaciones, el Sujeto </w:t>
      </w:r>
      <w:r w:rsidR="00D969D6">
        <w:rPr>
          <w:rFonts w:ascii="Palatino Linotype" w:hAnsi="Palatino Linotype" w:cs="Arial"/>
          <w:lang w:eastAsia="es-MX"/>
        </w:rPr>
        <w:t>Obligado rindió</w:t>
      </w:r>
      <w:r>
        <w:rPr>
          <w:rFonts w:ascii="Palatino Linotype" w:hAnsi="Palatino Linotype" w:cs="Arial"/>
          <w:lang w:eastAsia="es-MX"/>
        </w:rPr>
        <w:t xml:space="preserve"> su informe justificado</w:t>
      </w:r>
      <w:r w:rsidR="00D969D6">
        <w:rPr>
          <w:rFonts w:ascii="Palatino Linotype" w:hAnsi="Palatino Linotype" w:cs="Arial"/>
          <w:lang w:eastAsia="es-MX"/>
        </w:rPr>
        <w:t xml:space="preserve"> mediante el cual refiere que </w:t>
      </w:r>
      <w:r w:rsidR="001A7C83">
        <w:rPr>
          <w:rFonts w:ascii="Palatino Linotype" w:hAnsi="Palatino Linotype" w:cs="Arial"/>
          <w:lang w:eastAsia="es-MX"/>
        </w:rPr>
        <w:t>en el segundo trimestre de 2021no se han impuesto sanciones por faltas administrativas graves</w:t>
      </w:r>
      <w:r>
        <w:rPr>
          <w:rFonts w:ascii="Palatino Linotype" w:hAnsi="Palatino Linotype" w:cs="Arial"/>
          <w:lang w:eastAsia="es-MX"/>
        </w:rPr>
        <w:t>, así mismo el impetrante no presentó alegatos o argumentos, por lo tanto se t</w:t>
      </w:r>
      <w:r w:rsidR="001A7C83">
        <w:rPr>
          <w:rFonts w:ascii="Palatino Linotype" w:hAnsi="Palatino Linotype" w:cs="Arial"/>
          <w:lang w:eastAsia="es-MX"/>
        </w:rPr>
        <w:t xml:space="preserve">iene por </w:t>
      </w:r>
      <w:proofErr w:type="spellStart"/>
      <w:r w:rsidR="001A7C83">
        <w:rPr>
          <w:rFonts w:ascii="Palatino Linotype" w:hAnsi="Palatino Linotype" w:cs="Arial"/>
          <w:lang w:eastAsia="es-MX"/>
        </w:rPr>
        <w:t>precluido</w:t>
      </w:r>
      <w:proofErr w:type="spellEnd"/>
      <w:r w:rsidR="002804D9">
        <w:rPr>
          <w:rFonts w:ascii="Palatino Linotype" w:hAnsi="Palatino Linotype" w:cs="Arial"/>
          <w:lang w:eastAsia="es-MX"/>
        </w:rPr>
        <w:t xml:space="preserve"> este derecho.</w:t>
      </w:r>
    </w:p>
    <w:p w14:paraId="34DAE1DD" w14:textId="38E192CD" w:rsidR="006A177B" w:rsidRDefault="009D4249" w:rsidP="009D4249">
      <w:pPr>
        <w:spacing w:before="240" w:after="240" w:line="360" w:lineRule="auto"/>
        <w:jc w:val="both"/>
        <w:rPr>
          <w:rFonts w:ascii="Palatino Linotype" w:hAnsi="Palatino Linotype" w:cs="Arial"/>
          <w:bCs/>
        </w:rPr>
      </w:pPr>
      <w:r w:rsidRPr="009450A8">
        <w:rPr>
          <w:rFonts w:ascii="Palatino Linotype" w:hAnsi="Palatino Linotype" w:cs="Arial"/>
          <w:bCs/>
        </w:rPr>
        <w:t>Ahora bien, a efecto de garantizar el efectivo ejercicio del derecho de acceso a la información pública que asiste al particular, resulta conveniente entrar al estudio de las siguientes cons</w:t>
      </w:r>
      <w:r>
        <w:rPr>
          <w:rFonts w:ascii="Palatino Linotype" w:hAnsi="Palatino Linotype" w:cs="Arial"/>
          <w:bCs/>
        </w:rPr>
        <w:t>i</w:t>
      </w:r>
      <w:r w:rsidR="001A7C83">
        <w:rPr>
          <w:rFonts w:ascii="Palatino Linotype" w:hAnsi="Palatino Linotype" w:cs="Arial"/>
          <w:bCs/>
        </w:rPr>
        <w:t xml:space="preserve">deraciones de hecho y derecho: </w:t>
      </w:r>
    </w:p>
    <w:p w14:paraId="5DCEF29C" w14:textId="0B14F82E" w:rsidR="00833074" w:rsidRDefault="00833074" w:rsidP="009D4249">
      <w:pPr>
        <w:spacing w:before="240" w:after="240" w:line="360" w:lineRule="auto"/>
        <w:jc w:val="both"/>
        <w:rPr>
          <w:rFonts w:ascii="Palatino Linotype" w:hAnsi="Palatino Linotype" w:cs="Arial"/>
          <w:b/>
          <w:bCs/>
        </w:rPr>
      </w:pPr>
      <w:r>
        <w:rPr>
          <w:rFonts w:ascii="Palatino Linotype" w:hAnsi="Palatino Linotype" w:cs="Arial"/>
          <w:b/>
          <w:bCs/>
        </w:rPr>
        <w:t>1.- De la esfera competencial del Sujeto Obligado</w:t>
      </w:r>
    </w:p>
    <w:p w14:paraId="5BD9CAE6" w14:textId="3EC70E18" w:rsidR="00833074" w:rsidRPr="00833074" w:rsidRDefault="00833074" w:rsidP="00833074">
      <w:pPr>
        <w:spacing w:line="360" w:lineRule="auto"/>
        <w:jc w:val="both"/>
        <w:rPr>
          <w:rFonts w:ascii="Palatino Linotype" w:hAnsi="Palatino Linotype"/>
          <w:color w:val="222222"/>
          <w:lang w:eastAsia="es-MX"/>
        </w:rPr>
      </w:pPr>
      <w:r>
        <w:rPr>
          <w:rFonts w:ascii="Palatino Linotype" w:hAnsi="Palatino Linotype"/>
          <w:color w:val="222222"/>
          <w:lang w:eastAsia="es-MX"/>
        </w:rPr>
        <w:t xml:space="preserve">En primera instancia, </w:t>
      </w:r>
      <w:r w:rsidRPr="00833074">
        <w:rPr>
          <w:rFonts w:ascii="Palatino Linotype" w:hAnsi="Palatino Linotype"/>
          <w:color w:val="222222"/>
          <w:lang w:eastAsia="es-MX"/>
        </w:rPr>
        <w:t xml:space="preserve">se precisa que se obvia el análisis de la competencia por parte del </w:t>
      </w:r>
      <w:r w:rsidRPr="00833074">
        <w:rPr>
          <w:rFonts w:ascii="Palatino Linotype" w:hAnsi="Palatino Linotype"/>
          <w:b/>
          <w:bCs/>
          <w:color w:val="222222"/>
          <w:lang w:eastAsia="es-MX"/>
        </w:rPr>
        <w:t>Sujeto Obligado</w:t>
      </w:r>
      <w:r>
        <w:rPr>
          <w:rFonts w:ascii="Palatino Linotype" w:hAnsi="Palatino Linotype"/>
          <w:color w:val="222222"/>
          <w:lang w:eastAsia="es-MX"/>
        </w:rPr>
        <w:t xml:space="preserve"> </w:t>
      </w:r>
      <w:r w:rsidRPr="00833074">
        <w:rPr>
          <w:rFonts w:ascii="Palatino Linotype" w:hAnsi="Palatino Linotype"/>
          <w:color w:val="222222"/>
          <w:lang w:eastAsia="es-MX"/>
        </w:rPr>
        <w:t>para generar, administrar o poseer la información solicitada, dado que éste ha asumido la misma, en razón de que en su respuesta admitió contar con dicha información</w:t>
      </w:r>
      <w:r w:rsidR="007D1594">
        <w:rPr>
          <w:rFonts w:ascii="Palatino Linotype" w:hAnsi="Palatino Linotype"/>
          <w:color w:val="222222"/>
          <w:lang w:eastAsia="es-MX"/>
        </w:rPr>
        <w:t xml:space="preserve">, sin embargo </w:t>
      </w:r>
      <w:r w:rsidR="00F875D6">
        <w:rPr>
          <w:rFonts w:ascii="Palatino Linotype" w:hAnsi="Palatino Linotype"/>
          <w:color w:val="222222"/>
          <w:lang w:eastAsia="es-MX"/>
        </w:rPr>
        <w:t xml:space="preserve">manifestó que </w:t>
      </w:r>
      <w:r w:rsidR="007D1594">
        <w:rPr>
          <w:rFonts w:ascii="Palatino Linotype" w:hAnsi="Palatino Linotype"/>
          <w:color w:val="222222"/>
          <w:lang w:eastAsia="es-MX"/>
        </w:rPr>
        <w:t>se encuentra imposibilitada para entregar la información requerida, ya que quien la solicita no es parte en los Procedimientos de Responsabilidad A</w:t>
      </w:r>
      <w:r w:rsidR="00F875D6">
        <w:rPr>
          <w:rFonts w:ascii="Palatino Linotype" w:hAnsi="Palatino Linotype"/>
          <w:color w:val="222222"/>
          <w:lang w:eastAsia="es-MX"/>
        </w:rPr>
        <w:t>dministrativa, por lo cu</w:t>
      </w:r>
      <w:r w:rsidR="007D1594">
        <w:rPr>
          <w:rFonts w:ascii="Palatino Linotype" w:hAnsi="Palatino Linotype"/>
          <w:color w:val="222222"/>
          <w:lang w:eastAsia="es-MX"/>
        </w:rPr>
        <w:t xml:space="preserve">al no puede </w:t>
      </w:r>
      <w:r w:rsidR="00F875D6">
        <w:rPr>
          <w:rFonts w:ascii="Palatino Linotype" w:hAnsi="Palatino Linotype"/>
          <w:color w:val="222222"/>
          <w:lang w:eastAsia="es-MX"/>
        </w:rPr>
        <w:t>conocer ni imponerse de los mismos</w:t>
      </w:r>
      <w:r w:rsidRPr="00833074">
        <w:rPr>
          <w:rFonts w:ascii="Palatino Linotype" w:hAnsi="Palatino Linotype"/>
          <w:color w:val="222222"/>
          <w:lang w:eastAsia="es-MX"/>
        </w:rPr>
        <w:t>.</w:t>
      </w:r>
    </w:p>
    <w:p w14:paraId="4D49D3D6" w14:textId="508FA0FC" w:rsidR="00833074" w:rsidRPr="00833074" w:rsidRDefault="00833074" w:rsidP="00833074">
      <w:pPr>
        <w:spacing w:line="360" w:lineRule="auto"/>
        <w:jc w:val="both"/>
        <w:rPr>
          <w:rFonts w:ascii="Palatino Linotype" w:hAnsi="Palatino Linotype"/>
          <w:color w:val="222222"/>
          <w:lang w:eastAsia="es-MX"/>
        </w:rPr>
      </w:pPr>
      <w:r w:rsidRPr="00833074">
        <w:rPr>
          <w:rFonts w:ascii="Palatino Linotype" w:hAnsi="Palatino Linotype"/>
          <w:color w:val="222222"/>
          <w:lang w:eastAsia="es-MX"/>
        </w:rPr>
        <w:t xml:space="preserve">En efecto, el hecho de que </w:t>
      </w:r>
      <w:r w:rsidRPr="00833074">
        <w:rPr>
          <w:rFonts w:ascii="Palatino Linotype" w:hAnsi="Palatino Linotype"/>
          <w:b/>
          <w:bCs/>
          <w:color w:val="222222"/>
          <w:lang w:eastAsia="es-MX"/>
        </w:rPr>
        <w:t>el Sujeto Obligado</w:t>
      </w:r>
      <w:r w:rsidRPr="00833074">
        <w:rPr>
          <w:rFonts w:ascii="Palatino Linotype" w:hAnsi="Palatino Linotype"/>
          <w:color w:val="222222"/>
          <w:lang w:eastAsia="es-MX"/>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14:paraId="2450A35E" w14:textId="77777777" w:rsidR="00833074" w:rsidRPr="00833074" w:rsidRDefault="00833074" w:rsidP="00833074">
      <w:pPr>
        <w:jc w:val="both"/>
        <w:rPr>
          <w:rFonts w:ascii="Palatino Linotype" w:hAnsi="Palatino Linotype"/>
          <w:color w:val="222222"/>
          <w:lang w:eastAsia="es-MX"/>
        </w:rPr>
      </w:pPr>
    </w:p>
    <w:p w14:paraId="449812D5" w14:textId="77777777" w:rsidR="00833074" w:rsidRPr="00833074" w:rsidRDefault="00833074" w:rsidP="00833074">
      <w:pPr>
        <w:shd w:val="clear" w:color="auto" w:fill="FFFFFF"/>
        <w:ind w:left="851" w:right="902"/>
        <w:jc w:val="both"/>
        <w:rPr>
          <w:rFonts w:ascii="Palatino Linotype" w:hAnsi="Palatino Linotype"/>
          <w:color w:val="222222"/>
          <w:lang w:eastAsia="es-MX"/>
        </w:rPr>
      </w:pPr>
      <w:r w:rsidRPr="00833074">
        <w:rPr>
          <w:rFonts w:ascii="Palatino Linotype" w:hAnsi="Palatino Linotype"/>
          <w:i/>
          <w:iCs/>
          <w:color w:val="222222"/>
          <w:sz w:val="22"/>
          <w:szCs w:val="22"/>
          <w:lang w:eastAsia="es-MX"/>
        </w:rPr>
        <w:t>“</w:t>
      </w:r>
      <w:r w:rsidRPr="00833074">
        <w:rPr>
          <w:rFonts w:ascii="Palatino Linotype" w:hAnsi="Palatino Linotype"/>
          <w:b/>
          <w:bCs/>
          <w:i/>
          <w:iCs/>
          <w:color w:val="222222"/>
          <w:sz w:val="22"/>
          <w:szCs w:val="22"/>
          <w:lang w:eastAsia="es-MX"/>
        </w:rPr>
        <w:t>Artículo 12.</w:t>
      </w:r>
      <w:r w:rsidRPr="00833074">
        <w:rPr>
          <w:rFonts w:ascii="Palatino Linotype" w:hAnsi="Palatino Linotype"/>
          <w:i/>
          <w:iCs/>
          <w:color w:val="222222"/>
          <w:sz w:val="22"/>
          <w:szCs w:val="22"/>
          <w:lang w:eastAsia="es-MX"/>
        </w:rPr>
        <w:t> Quienes generen, recopilen, administren, manejen, procesen, archiven o conserven información pública serán responsables de la misma en los términos de las disposiciones jurídicas aplicables.</w:t>
      </w:r>
    </w:p>
    <w:p w14:paraId="19174C60" w14:textId="77777777" w:rsidR="00833074" w:rsidRPr="00833074" w:rsidRDefault="00833074" w:rsidP="00833074">
      <w:pPr>
        <w:shd w:val="clear" w:color="auto" w:fill="FFFFFF"/>
        <w:ind w:left="851" w:right="902"/>
        <w:jc w:val="both"/>
        <w:rPr>
          <w:rFonts w:ascii="Palatino Linotype" w:hAnsi="Palatino Linotype"/>
          <w:i/>
          <w:iCs/>
          <w:color w:val="222222"/>
          <w:sz w:val="22"/>
          <w:szCs w:val="22"/>
          <w:lang w:eastAsia="es-MX"/>
        </w:rPr>
      </w:pPr>
      <w:r w:rsidRPr="00833074">
        <w:rPr>
          <w:rFonts w:ascii="Palatino Linotype" w:hAnsi="Palatino Linotype"/>
          <w:i/>
          <w:iCs/>
          <w:color w:val="222222"/>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2DD9ADEE" w14:textId="77777777" w:rsidR="00833074" w:rsidRPr="00833074" w:rsidRDefault="00833074" w:rsidP="00833074">
      <w:pPr>
        <w:shd w:val="clear" w:color="auto" w:fill="FFFFFF"/>
        <w:ind w:left="851" w:right="902"/>
        <w:jc w:val="both"/>
        <w:rPr>
          <w:rFonts w:ascii="Palatino Linotype" w:hAnsi="Palatino Linotype"/>
          <w:color w:val="222222"/>
          <w:lang w:eastAsia="es-MX"/>
        </w:rPr>
      </w:pPr>
    </w:p>
    <w:p w14:paraId="55D6B50E" w14:textId="77599FFC" w:rsidR="00833074" w:rsidRPr="00833074" w:rsidRDefault="00833074" w:rsidP="00833074">
      <w:pPr>
        <w:spacing w:line="360" w:lineRule="auto"/>
        <w:jc w:val="both"/>
        <w:rPr>
          <w:rFonts w:ascii="Palatino Linotype" w:hAnsi="Palatino Linotype"/>
          <w:color w:val="222222"/>
          <w:lang w:eastAsia="es-MX"/>
        </w:rPr>
      </w:pPr>
      <w:r w:rsidRPr="00833074">
        <w:rPr>
          <w:rFonts w:ascii="Palatino Linotype" w:hAnsi="Palatino Linotype"/>
          <w:color w:val="222222"/>
          <w:lang w:eastAsia="es-MX"/>
        </w:rPr>
        <w:t>Así, el estudio de la naturaleza jurídica de la información pública solicitada, tiene por objeto determinar si ésta la genera, posee o administra </w:t>
      </w:r>
      <w:r w:rsidRPr="00833074">
        <w:rPr>
          <w:rFonts w:ascii="Palatino Linotype" w:hAnsi="Palatino Linotype"/>
          <w:b/>
          <w:bCs/>
          <w:color w:val="222222"/>
          <w:lang w:eastAsia="es-MX"/>
        </w:rPr>
        <w:t>el Sujeto Obligado</w:t>
      </w:r>
      <w:r w:rsidRPr="00833074">
        <w:rPr>
          <w:rFonts w:ascii="Palatino Linotype" w:hAnsi="Palatino Linotype"/>
          <w:color w:val="222222"/>
          <w:lang w:eastAsia="es-MX"/>
        </w:rPr>
        <w:t>; sin embargo, en aquellos casos en que éste la asume, a nada práctico nos conduciría su estudio, ya que se insiste, dicha información, fue admitida por el mismo.</w:t>
      </w:r>
    </w:p>
    <w:p w14:paraId="5BAB5BC1" w14:textId="55EB3A70" w:rsidR="009D4249" w:rsidRPr="00054676" w:rsidRDefault="00833074" w:rsidP="009D4249">
      <w:pPr>
        <w:spacing w:before="240" w:after="240" w:line="360" w:lineRule="auto"/>
        <w:jc w:val="both"/>
        <w:rPr>
          <w:rFonts w:ascii="Palatino Linotype" w:hAnsi="Palatino Linotype" w:cs="Arial"/>
          <w:b/>
          <w:bCs/>
        </w:rPr>
      </w:pPr>
      <w:r>
        <w:rPr>
          <w:rFonts w:ascii="Palatino Linotype" w:hAnsi="Palatino Linotype" w:cs="Arial"/>
          <w:b/>
          <w:bCs/>
        </w:rPr>
        <w:t>2</w:t>
      </w:r>
      <w:r w:rsidR="009D4249" w:rsidRPr="00054676">
        <w:rPr>
          <w:rFonts w:ascii="Palatino Linotype" w:hAnsi="Palatino Linotype" w:cs="Arial"/>
          <w:b/>
          <w:bCs/>
        </w:rPr>
        <w:t xml:space="preserve">.- De la naturaleza </w:t>
      </w:r>
      <w:r w:rsidR="009D4249">
        <w:rPr>
          <w:rFonts w:ascii="Palatino Linotype" w:hAnsi="Palatino Linotype" w:cs="Arial"/>
          <w:b/>
          <w:bCs/>
        </w:rPr>
        <w:t xml:space="preserve">jurídica </w:t>
      </w:r>
      <w:r w:rsidR="009D4249" w:rsidRPr="00054676">
        <w:rPr>
          <w:rFonts w:ascii="Palatino Linotype" w:hAnsi="Palatino Linotype" w:cs="Arial"/>
          <w:b/>
          <w:bCs/>
        </w:rPr>
        <w:t>de la información requerida</w:t>
      </w:r>
    </w:p>
    <w:p w14:paraId="1D9F1694" w14:textId="77777777" w:rsidR="009D4249" w:rsidRPr="004975CB" w:rsidRDefault="009D4249" w:rsidP="009D4249">
      <w:pPr>
        <w:spacing w:line="360" w:lineRule="auto"/>
        <w:jc w:val="both"/>
        <w:rPr>
          <w:rFonts w:ascii="Palatino Linotype" w:hAnsi="Palatino Linotype" w:cs="Arial"/>
        </w:rPr>
      </w:pPr>
      <w:r>
        <w:rPr>
          <w:rFonts w:ascii="Palatino Linotype" w:hAnsi="Palatino Linotype" w:cs="Arial"/>
        </w:rPr>
        <w:t xml:space="preserve">En primera instancia debe destacarse que </w:t>
      </w:r>
      <w:r w:rsidRPr="004975CB">
        <w:rPr>
          <w:rFonts w:ascii="Palatino Linotype" w:hAnsi="Palatino Linotype" w:cs="Arial"/>
        </w:rPr>
        <w:t xml:space="preserve">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B31DC9E" w14:textId="77777777" w:rsidR="009D4249" w:rsidRPr="004975CB" w:rsidRDefault="009D4249" w:rsidP="009D4249">
      <w:pPr>
        <w:ind w:left="851" w:right="899"/>
        <w:jc w:val="both"/>
        <w:rPr>
          <w:rFonts w:ascii="Palatino Linotype" w:hAnsi="Palatino Linotype" w:cs="Arial"/>
          <w:i/>
          <w:sz w:val="22"/>
          <w:szCs w:val="22"/>
        </w:rPr>
      </w:pPr>
    </w:p>
    <w:p w14:paraId="42E983B9" w14:textId="77777777" w:rsidR="009D4249" w:rsidRPr="004975CB" w:rsidRDefault="009D4249" w:rsidP="009D4249">
      <w:pPr>
        <w:ind w:left="851" w:right="899"/>
        <w:jc w:val="both"/>
        <w:rPr>
          <w:rFonts w:ascii="Palatino Linotype" w:hAnsi="Palatino Linotype" w:cs="Arial"/>
          <w:i/>
          <w:sz w:val="22"/>
          <w:szCs w:val="22"/>
        </w:rPr>
      </w:pPr>
      <w:r w:rsidRPr="004975CB">
        <w:rPr>
          <w:rFonts w:ascii="Palatino Linotype" w:hAnsi="Palatino Linotype" w:cs="Arial"/>
          <w:i/>
          <w:sz w:val="22"/>
          <w:szCs w:val="22"/>
        </w:rPr>
        <w:t>“</w:t>
      </w:r>
      <w:r w:rsidRPr="004975CB">
        <w:rPr>
          <w:rFonts w:ascii="Palatino Linotype" w:hAnsi="Palatino Linotype" w:cs="Arial"/>
          <w:b/>
          <w:i/>
          <w:sz w:val="22"/>
          <w:szCs w:val="22"/>
        </w:rPr>
        <w:t xml:space="preserve">Artículo 3. </w:t>
      </w:r>
      <w:r w:rsidRPr="004975CB">
        <w:rPr>
          <w:rFonts w:ascii="Palatino Linotype" w:hAnsi="Palatino Linotype" w:cs="Arial"/>
          <w:i/>
          <w:sz w:val="22"/>
          <w:szCs w:val="22"/>
        </w:rPr>
        <w:t>Para los efectos de la presente Ley se entenderá por:</w:t>
      </w:r>
    </w:p>
    <w:p w14:paraId="136F2075" w14:textId="77777777" w:rsidR="009D4249" w:rsidRPr="004975CB" w:rsidRDefault="009D4249" w:rsidP="009D4249">
      <w:pPr>
        <w:ind w:left="851" w:right="899"/>
        <w:jc w:val="both"/>
        <w:rPr>
          <w:rFonts w:ascii="Palatino Linotype" w:hAnsi="Palatino Linotype" w:cs="Arial"/>
          <w:i/>
          <w:sz w:val="22"/>
          <w:szCs w:val="22"/>
        </w:rPr>
      </w:pPr>
      <w:r w:rsidRPr="004975CB">
        <w:rPr>
          <w:rFonts w:ascii="Palatino Linotype" w:hAnsi="Palatino Linotype" w:cs="Arial"/>
          <w:i/>
          <w:sz w:val="22"/>
          <w:szCs w:val="22"/>
        </w:rPr>
        <w:t>…</w:t>
      </w:r>
    </w:p>
    <w:p w14:paraId="293CF096" w14:textId="2E77E540" w:rsidR="009D4249" w:rsidRPr="009E12B6" w:rsidRDefault="009D4249" w:rsidP="009D4249">
      <w:pPr>
        <w:ind w:left="851" w:right="899"/>
        <w:jc w:val="both"/>
        <w:rPr>
          <w:rFonts w:ascii="Palatino Linotype" w:hAnsi="Palatino Linotype" w:cs="Arial"/>
          <w:i/>
          <w:color w:val="000000"/>
          <w:sz w:val="22"/>
          <w:szCs w:val="22"/>
        </w:rPr>
      </w:pPr>
      <w:r w:rsidRPr="009E12B6">
        <w:rPr>
          <w:rFonts w:ascii="Palatino Linotype" w:hAnsi="Palatino Linotype" w:cs="Arial"/>
          <w:b/>
          <w:i/>
          <w:color w:val="000000"/>
          <w:sz w:val="22"/>
          <w:szCs w:val="22"/>
        </w:rPr>
        <w:t>XI. Documento:</w:t>
      </w:r>
      <w:r w:rsidRPr="009E12B6">
        <w:rPr>
          <w:rFonts w:ascii="Palatino Linotype" w:hAnsi="Palatino Linotype" w:cs="Arial"/>
          <w:i/>
          <w:color w:val="000000"/>
          <w:sz w:val="22"/>
          <w:szCs w:val="22"/>
        </w:rPr>
        <w:t xml:space="preserve"> Los expedientes, reportes, estudios, </w:t>
      </w:r>
      <w:r w:rsidRPr="0019366F">
        <w:rPr>
          <w:rFonts w:ascii="Palatino Linotype" w:hAnsi="Palatino Linotype" w:cs="Arial"/>
          <w:i/>
          <w:color w:val="000000"/>
          <w:sz w:val="22"/>
          <w:szCs w:val="22"/>
        </w:rPr>
        <w:t>actas</w:t>
      </w:r>
      <w:r w:rsidRPr="0005622E">
        <w:rPr>
          <w:rFonts w:ascii="Palatino Linotype" w:hAnsi="Palatino Linotype" w:cs="Arial"/>
          <w:b/>
          <w:i/>
          <w:color w:val="000000"/>
          <w:sz w:val="22"/>
          <w:szCs w:val="22"/>
        </w:rPr>
        <w:t>,</w:t>
      </w:r>
      <w:r w:rsidRPr="009E12B6">
        <w:rPr>
          <w:rFonts w:ascii="Palatino Linotype" w:hAnsi="Palatino Linotype" w:cs="Arial"/>
          <w:i/>
          <w:color w:val="000000"/>
          <w:sz w:val="22"/>
          <w:szCs w:val="22"/>
        </w:rPr>
        <w:t xml:space="preserve"> resoluciones, oficios, correspondencia, acuerdos, directivas, directrices, circulares, </w:t>
      </w:r>
      <w:r w:rsidRPr="00E21332">
        <w:rPr>
          <w:rFonts w:ascii="Palatino Linotype" w:hAnsi="Palatino Linotype" w:cs="Arial"/>
          <w:i/>
          <w:color w:val="000000"/>
          <w:sz w:val="22"/>
          <w:szCs w:val="22"/>
        </w:rPr>
        <w:t xml:space="preserve">contratos, </w:t>
      </w:r>
      <w:r w:rsidRPr="00E21332">
        <w:rPr>
          <w:rFonts w:ascii="Palatino Linotype" w:hAnsi="Palatino Linotype" w:cs="Arial"/>
          <w:i/>
          <w:color w:val="000000"/>
          <w:sz w:val="22"/>
          <w:szCs w:val="22"/>
        </w:rPr>
        <w:lastRenderedPageBreak/>
        <w:t>convenios,</w:t>
      </w:r>
      <w:r w:rsidRPr="009E12B6">
        <w:rPr>
          <w:rFonts w:ascii="Palatino Linotype" w:hAnsi="Palatino Linotype" w:cs="Arial"/>
          <w:i/>
          <w:color w:val="000000"/>
          <w:sz w:val="22"/>
          <w:szCs w:val="22"/>
        </w:rPr>
        <w:t xml:space="preserve"> instructivos, notas, memorandos, estadísticas </w:t>
      </w:r>
      <w:r w:rsidRPr="00833074">
        <w:rPr>
          <w:rFonts w:ascii="Palatino Linotype" w:hAnsi="Palatino Linotype" w:cs="Arial"/>
          <w:b/>
          <w:i/>
          <w:color w:val="000000"/>
          <w:sz w:val="22"/>
          <w:szCs w:val="22"/>
          <w:u w:val="single"/>
        </w:rPr>
        <w:t>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Pr>
          <w:rFonts w:ascii="Palatino Linotype" w:hAnsi="Palatino Linotype" w:cs="Arial"/>
          <w:i/>
          <w:color w:val="000000"/>
          <w:sz w:val="22"/>
          <w:szCs w:val="22"/>
        </w:rPr>
        <w:t>…</w:t>
      </w:r>
      <w:r w:rsidRPr="009E12B6">
        <w:rPr>
          <w:rFonts w:ascii="Palatino Linotype" w:hAnsi="Palatino Linotype" w:cs="Arial"/>
          <w:i/>
          <w:color w:val="000000"/>
          <w:sz w:val="22"/>
          <w:szCs w:val="22"/>
        </w:rPr>
        <w:t>”</w:t>
      </w:r>
      <w:r>
        <w:rPr>
          <w:rFonts w:ascii="Palatino Linotype" w:hAnsi="Palatino Linotype" w:cs="Arial"/>
          <w:i/>
          <w:color w:val="000000"/>
          <w:sz w:val="22"/>
          <w:szCs w:val="22"/>
        </w:rPr>
        <w:t xml:space="preserve"> (Sic)</w:t>
      </w:r>
      <w:r w:rsidR="00833074">
        <w:rPr>
          <w:rFonts w:ascii="Palatino Linotype" w:hAnsi="Palatino Linotype" w:cs="Arial"/>
          <w:i/>
          <w:color w:val="000000"/>
          <w:sz w:val="22"/>
          <w:szCs w:val="22"/>
        </w:rPr>
        <w:t xml:space="preserve"> (Énfasis añadido)</w:t>
      </w:r>
    </w:p>
    <w:p w14:paraId="21E67A4B" w14:textId="77777777" w:rsidR="009D4249" w:rsidRPr="009E12B6" w:rsidRDefault="009D4249" w:rsidP="009D4249">
      <w:pPr>
        <w:ind w:left="851" w:right="899"/>
        <w:jc w:val="both"/>
        <w:rPr>
          <w:rFonts w:ascii="Palatino Linotype" w:hAnsi="Palatino Linotype" w:cs="Arial"/>
          <w:sz w:val="22"/>
          <w:szCs w:val="22"/>
        </w:rPr>
      </w:pPr>
    </w:p>
    <w:p w14:paraId="21EE53E2" w14:textId="77777777" w:rsidR="009D4249" w:rsidRPr="009E12B6" w:rsidRDefault="009D4249" w:rsidP="009D4249">
      <w:pPr>
        <w:autoSpaceDE w:val="0"/>
        <w:autoSpaceDN w:val="0"/>
        <w:adjustRightInd w:val="0"/>
        <w:spacing w:line="360" w:lineRule="auto"/>
        <w:jc w:val="both"/>
        <w:rPr>
          <w:rFonts w:ascii="Palatino Linotype" w:hAnsi="Palatino Linotype" w:cs="Arial"/>
        </w:rPr>
      </w:pPr>
      <w:r w:rsidRPr="009E12B6">
        <w:rPr>
          <w:rFonts w:ascii="Palatino Linotype" w:hAnsi="Palatino Linotype" w:cs="Arial"/>
        </w:rPr>
        <w:t xml:space="preserve">Siendo aplicable, el Criterio </w:t>
      </w:r>
      <w:r w:rsidRPr="009E12B6">
        <w:rPr>
          <w:rFonts w:ascii="Palatino Linotype" w:hAnsi="Palatino Linotype" w:cs="Arial"/>
          <w:bCs/>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9E12B6">
        <w:rPr>
          <w:rFonts w:ascii="Palatino Linotype" w:hAnsi="Palatino Linotype" w:cs="Arial"/>
        </w:rPr>
        <w:t>cuyo rubro y texto refieren lo siguiente:</w:t>
      </w:r>
    </w:p>
    <w:p w14:paraId="4F14C743" w14:textId="77777777" w:rsidR="009D4249" w:rsidRPr="009E12B6" w:rsidRDefault="009D4249" w:rsidP="009D4249">
      <w:pPr>
        <w:ind w:right="899"/>
        <w:jc w:val="both"/>
        <w:rPr>
          <w:rFonts w:ascii="Palatino Linotype" w:hAnsi="Palatino Linotype" w:cs="Arial"/>
        </w:rPr>
      </w:pPr>
    </w:p>
    <w:p w14:paraId="6B2D3E16" w14:textId="77777777" w:rsidR="009D4249" w:rsidRPr="004B675A" w:rsidRDefault="009D4249" w:rsidP="009D4249">
      <w:pPr>
        <w:ind w:left="851" w:right="899"/>
        <w:jc w:val="both"/>
        <w:rPr>
          <w:rFonts w:ascii="Palatino Linotype" w:hAnsi="Palatino Linotype" w:cs="Arial"/>
          <w:b/>
          <w:i/>
          <w:sz w:val="22"/>
          <w:szCs w:val="22"/>
        </w:rPr>
      </w:pPr>
      <w:r w:rsidRPr="009E12B6">
        <w:rPr>
          <w:rFonts w:ascii="Palatino Linotype" w:hAnsi="Palatino Linotype" w:cs="Arial"/>
          <w:b/>
          <w:sz w:val="22"/>
          <w:szCs w:val="22"/>
        </w:rPr>
        <w:t>“</w:t>
      </w:r>
      <w:r w:rsidRPr="004B675A">
        <w:rPr>
          <w:rFonts w:ascii="Palatino Linotype" w:hAnsi="Palatino Linotype" w:cs="Arial"/>
          <w:b/>
          <w:i/>
          <w:sz w:val="22"/>
          <w:szCs w:val="22"/>
        </w:rPr>
        <w:t>CRITERIO 0002-11</w:t>
      </w:r>
    </w:p>
    <w:p w14:paraId="41B3CFA6" w14:textId="77777777" w:rsidR="009D4249" w:rsidRPr="009E12B6" w:rsidRDefault="009D4249" w:rsidP="009D4249">
      <w:pPr>
        <w:ind w:left="851" w:right="899"/>
        <w:jc w:val="both"/>
        <w:rPr>
          <w:rFonts w:ascii="Palatino Linotype" w:hAnsi="Palatino Linotype" w:cs="Arial"/>
          <w:i/>
          <w:sz w:val="22"/>
          <w:szCs w:val="22"/>
        </w:rPr>
      </w:pPr>
      <w:r w:rsidRPr="004B675A">
        <w:rPr>
          <w:rFonts w:ascii="Palatino Linotype" w:hAnsi="Palatino Linotype" w:cs="Arial"/>
          <w:b/>
          <w:i/>
          <w:sz w:val="22"/>
          <w:szCs w:val="22"/>
        </w:rPr>
        <w:t xml:space="preserve">INFORMACIÓN PÚBLICA, CONCEPTO DE, EN MATERIA DE TRANSPARENCIA. INTERPRETACIÓN SISTEMÁTICA DE LOS ARTÍCULOS 2°, FRACCIÓN </w:t>
      </w:r>
      <w:r w:rsidRPr="004B675A">
        <w:rPr>
          <w:rFonts w:ascii="Palatino Linotype" w:hAnsi="Palatino Linotype" w:cs="Arial"/>
          <w:b/>
          <w:bCs/>
          <w:i/>
          <w:sz w:val="22"/>
          <w:szCs w:val="22"/>
        </w:rPr>
        <w:t xml:space="preserve">V, XV, Y XVI, </w:t>
      </w:r>
      <w:r w:rsidRPr="004B675A">
        <w:rPr>
          <w:rFonts w:ascii="Palatino Linotype" w:hAnsi="Palatino Linotype" w:cs="Arial"/>
          <w:b/>
          <w:i/>
          <w:sz w:val="22"/>
          <w:szCs w:val="22"/>
        </w:rPr>
        <w:t>3°, 4°, 11 Y 41.</w:t>
      </w:r>
      <w:r w:rsidRPr="004B675A">
        <w:rPr>
          <w:rFonts w:ascii="Palatino Linotype" w:hAnsi="Palatino Linotype" w:cs="Arial"/>
          <w:i/>
          <w:sz w:val="22"/>
          <w:szCs w:val="22"/>
        </w:rPr>
        <w:t xml:space="preserve"> De conformidad con los artículos antes referidos, el derecho de acceso a la información pública</w:t>
      </w:r>
      <w:r w:rsidRPr="009E12B6">
        <w:rPr>
          <w:rFonts w:ascii="Palatino Linotype" w:hAnsi="Palatino Linotype" w:cs="Arial"/>
          <w:i/>
          <w:sz w:val="22"/>
          <w:szCs w:val="22"/>
        </w:rPr>
        <w:t>,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A31DE4F" w14:textId="77777777" w:rsidR="009D4249" w:rsidRPr="009E12B6" w:rsidRDefault="009D4249" w:rsidP="009D4249">
      <w:pPr>
        <w:ind w:left="851" w:right="899"/>
        <w:jc w:val="both"/>
        <w:rPr>
          <w:rFonts w:ascii="Palatino Linotype" w:hAnsi="Palatino Linotype" w:cs="Arial"/>
          <w:i/>
          <w:sz w:val="22"/>
          <w:szCs w:val="22"/>
        </w:rPr>
      </w:pPr>
      <w:r w:rsidRPr="009E12B6">
        <w:rPr>
          <w:rFonts w:ascii="Palatino Linotype" w:hAnsi="Palatino Linotype" w:cs="Arial"/>
          <w:i/>
          <w:sz w:val="22"/>
          <w:szCs w:val="22"/>
        </w:rPr>
        <w:t>En consecuencia el acceso a la información se refiere a que se cumplan cualquiera de los siguientes tres supuestos:</w:t>
      </w:r>
    </w:p>
    <w:p w14:paraId="562A4FB8" w14:textId="77777777" w:rsidR="009D4249" w:rsidRPr="00A32E26" w:rsidRDefault="009D4249" w:rsidP="009D4249">
      <w:pPr>
        <w:ind w:left="851" w:right="899"/>
        <w:jc w:val="both"/>
        <w:rPr>
          <w:rFonts w:ascii="Palatino Linotype" w:hAnsi="Palatino Linotype" w:cs="Arial"/>
          <w:i/>
          <w:sz w:val="22"/>
          <w:szCs w:val="22"/>
        </w:rPr>
      </w:pPr>
      <w:r w:rsidRPr="00A32E26">
        <w:rPr>
          <w:rFonts w:ascii="Palatino Linotype" w:hAnsi="Palatino Linotype" w:cs="Arial"/>
          <w:i/>
          <w:sz w:val="22"/>
          <w:szCs w:val="22"/>
        </w:rPr>
        <w:t xml:space="preserve">1) </w:t>
      </w:r>
      <w:r w:rsidRPr="00B27AF4">
        <w:rPr>
          <w:rFonts w:ascii="Palatino Linotype" w:hAnsi="Palatino Linotype" w:cs="Arial"/>
          <w:b/>
          <w:i/>
          <w:sz w:val="22"/>
          <w:szCs w:val="22"/>
        </w:rPr>
        <w:t>Que se trate de información registrada en cualquier soporte documental, que en ejercicio de las atribuciones conferidas, sea generada por los Sujetos Obligados;</w:t>
      </w:r>
    </w:p>
    <w:p w14:paraId="30412993" w14:textId="77777777" w:rsidR="009D4249" w:rsidRPr="00A32E26" w:rsidRDefault="009D4249" w:rsidP="009D4249">
      <w:pPr>
        <w:ind w:left="851" w:right="899"/>
        <w:jc w:val="both"/>
        <w:rPr>
          <w:rFonts w:ascii="Palatino Linotype" w:hAnsi="Palatino Linotype" w:cs="Arial"/>
          <w:b/>
          <w:i/>
          <w:sz w:val="22"/>
          <w:szCs w:val="22"/>
        </w:rPr>
      </w:pPr>
      <w:r w:rsidRPr="00A32E26">
        <w:rPr>
          <w:rFonts w:ascii="Palatino Linotype" w:hAnsi="Palatino Linotype" w:cs="Arial"/>
          <w:b/>
          <w:i/>
          <w:sz w:val="22"/>
          <w:szCs w:val="22"/>
        </w:rPr>
        <w:t>2) Que se trate de información registrada en cualquier soporte documental, que en ejercicio de las atribuciones conferidas, sea administrada por los Sujetos Obligados, y</w:t>
      </w:r>
    </w:p>
    <w:p w14:paraId="4EE4BD2D" w14:textId="77777777" w:rsidR="009D4249" w:rsidRPr="00A32E26" w:rsidRDefault="009D4249" w:rsidP="009D4249">
      <w:pPr>
        <w:ind w:left="851" w:right="899"/>
        <w:jc w:val="both"/>
        <w:rPr>
          <w:rFonts w:ascii="Palatino Linotype" w:hAnsi="Palatino Linotype" w:cs="Arial"/>
          <w:b/>
          <w:i/>
          <w:sz w:val="22"/>
          <w:szCs w:val="22"/>
        </w:rPr>
      </w:pPr>
      <w:r w:rsidRPr="00A32E26">
        <w:rPr>
          <w:rFonts w:ascii="Palatino Linotype" w:hAnsi="Palatino Linotype" w:cs="Arial"/>
          <w:b/>
          <w:i/>
          <w:sz w:val="22"/>
          <w:szCs w:val="22"/>
        </w:rPr>
        <w:t xml:space="preserve">3) Que se trate de información registrada en cualquier soporte documental, que en ejercicio de las atribuciones conferidas, se encuentre en posesión de los Sujetos Obligados.” </w:t>
      </w:r>
    </w:p>
    <w:p w14:paraId="5AB135AA" w14:textId="06842628" w:rsidR="002804D9" w:rsidRPr="002804D9" w:rsidRDefault="002804D9" w:rsidP="002804D9">
      <w:pPr>
        <w:spacing w:before="100" w:beforeAutospacing="1" w:after="100" w:afterAutospacing="1" w:line="360" w:lineRule="auto"/>
        <w:jc w:val="both"/>
        <w:rPr>
          <w:rFonts w:ascii="Palatino Linotype" w:hAnsi="Palatino Linotype"/>
        </w:rPr>
      </w:pPr>
      <w:r>
        <w:rPr>
          <w:rFonts w:ascii="Palatino Linotype" w:hAnsi="Palatino Linotype"/>
        </w:rPr>
        <w:lastRenderedPageBreak/>
        <w:t>En esta tesitura</w:t>
      </w:r>
      <w:r w:rsidRPr="002804D9">
        <w:rPr>
          <w:rFonts w:ascii="Palatino Linotype" w:hAnsi="Palatino Linotype"/>
        </w:rPr>
        <w:t xml:space="preserve">, </w:t>
      </w:r>
      <w:r>
        <w:rPr>
          <w:rFonts w:ascii="Palatino Linotype" w:hAnsi="Palatino Linotype"/>
        </w:rPr>
        <w:t xml:space="preserve">debe apuntarse que </w:t>
      </w:r>
      <w:r w:rsidRPr="002804D9">
        <w:rPr>
          <w:rFonts w:ascii="Palatino Linotype" w:hAnsi="Palatino Linotype"/>
        </w:rPr>
        <w:t xml:space="preserve">este Órgano Garante determina que </w:t>
      </w:r>
      <w:r w:rsidRPr="002804D9">
        <w:rPr>
          <w:rFonts w:ascii="Palatino Linotype" w:hAnsi="Palatino Linotype"/>
          <w:b/>
        </w:rPr>
        <w:t>el Sujeto Obligado</w:t>
      </w:r>
      <w:r w:rsidRPr="002804D9">
        <w:rPr>
          <w:rFonts w:ascii="Palatino Linotype" w:hAnsi="Palatino Linotype"/>
        </w:rPr>
        <w:t xml:space="preserve"> está constreñido a entregar la información; tal y como, la genera y obra en sus archivos; por lo que, debe entregar aquella sin que, dicha situación conlleve a la realización de un documento en específico, es decir, debe entregarse la información tal como conste en sus archivos y en el estado en que se encuentren, salvo las excepciones de reserva y confidencialidad de la información. </w:t>
      </w:r>
    </w:p>
    <w:p w14:paraId="5B64A036" w14:textId="77777777" w:rsidR="002804D9" w:rsidRPr="002804D9" w:rsidRDefault="002804D9" w:rsidP="002804D9">
      <w:pPr>
        <w:spacing w:line="360" w:lineRule="auto"/>
        <w:jc w:val="both"/>
        <w:rPr>
          <w:rFonts w:ascii="Palatino Linotype" w:hAnsi="Palatino Linotype"/>
        </w:rPr>
      </w:pPr>
      <w:r w:rsidRPr="002804D9">
        <w:rPr>
          <w:rFonts w:ascii="Palatino Linotype" w:hAnsi="Palatino Linotype" w:cs="Arial"/>
        </w:rPr>
        <w:t xml:space="preserve">En este contexto, resulta importante señalar que el derecho de acceso a información pública, es un derecho humano, mismo que en términos del artículo 1° de la Constitución Política de los Estados Unidos Mexicanos, toda autoridad tiene la obligación de promoverlo, respetarlo, protegerlo y garantizarlo, conforme a los </w:t>
      </w:r>
      <w:r w:rsidRPr="002804D9">
        <w:rPr>
          <w:rFonts w:ascii="Palatino Linotype" w:hAnsi="Palatino Linotype"/>
        </w:rPr>
        <w:t>principios de universalidad, interdependencia, indivisibilidad y progresividad, por tal motivo se debe prevenir, investigar, sancionar y reparar toda violación en los términos que establezca la ley.</w:t>
      </w:r>
    </w:p>
    <w:p w14:paraId="18118C86" w14:textId="383A39D8" w:rsidR="002804D9" w:rsidRPr="009D4249" w:rsidRDefault="002804D9" w:rsidP="009D4249">
      <w:pPr>
        <w:spacing w:before="100" w:beforeAutospacing="1" w:after="100" w:afterAutospacing="1" w:line="360" w:lineRule="auto"/>
        <w:jc w:val="both"/>
        <w:rPr>
          <w:rFonts w:ascii="Palatino Linotype" w:hAnsi="Palatino Linotype" w:cs="Arial"/>
          <w:lang w:val="es-MX" w:eastAsia="es-MX"/>
        </w:rPr>
      </w:pPr>
      <w:r w:rsidRPr="002804D9">
        <w:rPr>
          <w:rFonts w:ascii="Palatino Linotype" w:hAnsi="Palatino Linotype" w:cs="Arial"/>
          <w:lang w:val="es-MX" w:eastAsia="es-MX"/>
        </w:rPr>
        <w:t>De ahí que se adelante que el Sujeto Obligado cuenta con el deber en el ánimo de satisfacer las solicitudes de acceso a la información que le sean formuladas, de entregar la información pública que obre en sus archivos como lo indica el artículo 12, segundo párrafo de la Ley en análisis</w:t>
      </w:r>
      <w:r w:rsidRPr="002804D9">
        <w:rPr>
          <w:rFonts w:ascii="Palatino Linotype" w:hAnsi="Palatino Linotype" w:cs="Arial"/>
          <w:vertAlign w:val="superscript"/>
          <w:lang w:val="es-MX" w:eastAsia="es-MX"/>
        </w:rPr>
        <w:footnoteReference w:id="1"/>
      </w:r>
      <w:r w:rsidRPr="002804D9">
        <w:rPr>
          <w:rFonts w:ascii="Palatino Linotype" w:hAnsi="Palatino Linotype" w:cs="Arial"/>
          <w:lang w:val="es-MX" w:eastAsia="es-MX"/>
        </w:rPr>
        <w:t xml:space="preserve">; más aún si la misma se trata de información de interés público, es decir, aquella que resulta relevante o beneficiosa para la sociedad y no simplemente de interés individual y cuya divulgación resulta </w:t>
      </w:r>
      <w:r w:rsidRPr="002804D9">
        <w:rPr>
          <w:rFonts w:ascii="Palatino Linotype" w:hAnsi="Palatino Linotype" w:cs="Arial"/>
          <w:lang w:val="es-MX" w:eastAsia="es-MX"/>
        </w:rPr>
        <w:lastRenderedPageBreak/>
        <w:t>útil para que el público comprenda las actividades que llevan a cabo los Sujetos Obligados</w:t>
      </w:r>
      <w:r w:rsidRPr="002804D9">
        <w:rPr>
          <w:rFonts w:ascii="Palatino Linotype" w:hAnsi="Palatino Linotype" w:cs="Arial"/>
          <w:vertAlign w:val="superscript"/>
          <w:lang w:val="es-MX" w:eastAsia="es-MX"/>
        </w:rPr>
        <w:footnoteReference w:id="2"/>
      </w:r>
      <w:r w:rsidRPr="002804D9">
        <w:rPr>
          <w:rFonts w:ascii="Palatino Linotype" w:hAnsi="Palatino Linotype" w:cs="Arial"/>
          <w:lang w:val="es-MX" w:eastAsia="es-MX"/>
        </w:rPr>
        <w:t>.</w:t>
      </w:r>
    </w:p>
    <w:p w14:paraId="7ED1068B" w14:textId="7C701729" w:rsidR="005719CA" w:rsidRPr="005719CA" w:rsidRDefault="00833074" w:rsidP="00C04B32">
      <w:pPr>
        <w:spacing w:before="240" w:after="240" w:line="360" w:lineRule="auto"/>
        <w:ind w:right="49"/>
        <w:jc w:val="both"/>
        <w:rPr>
          <w:rFonts w:ascii="Palatino Linotype" w:hAnsi="Palatino Linotype" w:cs="Arial"/>
          <w:b/>
        </w:rPr>
      </w:pPr>
      <w:r>
        <w:rPr>
          <w:rFonts w:ascii="Palatino Linotype" w:hAnsi="Palatino Linotype" w:cs="Arial"/>
          <w:b/>
        </w:rPr>
        <w:t>3</w:t>
      </w:r>
      <w:r w:rsidR="005719CA" w:rsidRPr="005719CA">
        <w:rPr>
          <w:rFonts w:ascii="Palatino Linotype" w:hAnsi="Palatino Linotype" w:cs="Arial"/>
          <w:b/>
        </w:rPr>
        <w:t>.- D</w:t>
      </w:r>
      <w:r>
        <w:rPr>
          <w:rFonts w:ascii="Palatino Linotype" w:hAnsi="Palatino Linotype" w:cs="Arial"/>
          <w:b/>
        </w:rPr>
        <w:t xml:space="preserve">e la publicidad de </w:t>
      </w:r>
      <w:r w:rsidR="000D54CA">
        <w:rPr>
          <w:rFonts w:ascii="Palatino Linotype" w:hAnsi="Palatino Linotype" w:cs="Arial"/>
          <w:b/>
        </w:rPr>
        <w:t xml:space="preserve">la información concerniente a </w:t>
      </w:r>
      <w:r>
        <w:rPr>
          <w:rFonts w:ascii="Palatino Linotype" w:hAnsi="Palatino Linotype" w:cs="Arial"/>
          <w:b/>
        </w:rPr>
        <w:t>los procedimientos de responsabilidades administrativas y los nombres de servidores públicos sancionados.</w:t>
      </w:r>
      <w:r w:rsidR="005719CA" w:rsidRPr="005719CA">
        <w:rPr>
          <w:rFonts w:ascii="Palatino Linotype" w:hAnsi="Palatino Linotype" w:cs="Arial"/>
          <w:b/>
        </w:rPr>
        <w:t xml:space="preserve"> </w:t>
      </w:r>
    </w:p>
    <w:p w14:paraId="7016EE93" w14:textId="5D605D28" w:rsidR="00F875D6" w:rsidRDefault="00AA724B" w:rsidP="00C04B32">
      <w:pPr>
        <w:spacing w:before="240" w:after="240" w:line="360" w:lineRule="auto"/>
        <w:ind w:right="49"/>
        <w:jc w:val="both"/>
        <w:rPr>
          <w:rFonts w:ascii="Palatino Linotype" w:hAnsi="Palatino Linotype" w:cs="Arial"/>
        </w:rPr>
      </w:pPr>
      <w:r>
        <w:rPr>
          <w:rFonts w:ascii="Palatino Linotype" w:hAnsi="Palatino Linotype" w:cs="Arial"/>
        </w:rPr>
        <w:t xml:space="preserve">En lo tocante a este punto, debemos </w:t>
      </w:r>
      <w:r w:rsidR="00F875D6">
        <w:rPr>
          <w:rFonts w:ascii="Palatino Linotype" w:hAnsi="Palatino Linotype" w:cs="Arial"/>
        </w:rPr>
        <w:t>esquematizar los argumentos vertidos por las partes en la sustanciación del presente medio de impugnación a efecto de determinar si la información requerida es susceptible de entrega, para lo cual resulta pertinente traer a colación el</w:t>
      </w:r>
      <w:r w:rsidR="00EE659F">
        <w:rPr>
          <w:rFonts w:ascii="Palatino Linotype" w:hAnsi="Palatino Linotype" w:cs="Arial"/>
        </w:rPr>
        <w:t xml:space="preserve"> siguiente cuadro de análisis: </w:t>
      </w:r>
    </w:p>
    <w:tbl>
      <w:tblPr>
        <w:tblStyle w:val="Tablaconcuadrcula"/>
        <w:tblW w:w="9975" w:type="dxa"/>
        <w:tblLook w:val="04A0" w:firstRow="1" w:lastRow="0" w:firstColumn="1" w:lastColumn="0" w:noHBand="0" w:noVBand="1"/>
      </w:tblPr>
      <w:tblGrid>
        <w:gridCol w:w="1727"/>
        <w:gridCol w:w="1516"/>
        <w:gridCol w:w="2788"/>
        <w:gridCol w:w="2076"/>
        <w:gridCol w:w="1868"/>
      </w:tblGrid>
      <w:tr w:rsidR="00C352E7" w14:paraId="6F346475" w14:textId="77777777" w:rsidTr="00896524">
        <w:tc>
          <w:tcPr>
            <w:tcW w:w="1727" w:type="dxa"/>
            <w:shd w:val="clear" w:color="auto" w:fill="76923C" w:themeFill="accent3" w:themeFillShade="BF"/>
          </w:tcPr>
          <w:p w14:paraId="3F451F78" w14:textId="494FCBC0" w:rsidR="00A44682" w:rsidRPr="00A44682" w:rsidRDefault="00A44682" w:rsidP="00A44682">
            <w:pPr>
              <w:spacing w:before="240" w:after="240"/>
              <w:ind w:right="51"/>
              <w:jc w:val="center"/>
              <w:rPr>
                <w:rFonts w:ascii="Palatino Linotype" w:hAnsi="Palatino Linotype" w:cs="Arial"/>
                <w:b/>
                <w:color w:val="FFFFFF" w:themeColor="background1"/>
                <w:sz w:val="20"/>
              </w:rPr>
            </w:pPr>
            <w:r w:rsidRPr="00A44682">
              <w:rPr>
                <w:rFonts w:ascii="Palatino Linotype" w:hAnsi="Palatino Linotype" w:cs="Arial"/>
                <w:b/>
                <w:color w:val="FFFFFF" w:themeColor="background1"/>
                <w:sz w:val="20"/>
              </w:rPr>
              <w:t>Solicitud</w:t>
            </w:r>
          </w:p>
        </w:tc>
        <w:tc>
          <w:tcPr>
            <w:tcW w:w="1516" w:type="dxa"/>
            <w:shd w:val="clear" w:color="auto" w:fill="76923C" w:themeFill="accent3" w:themeFillShade="BF"/>
          </w:tcPr>
          <w:p w14:paraId="59D51CED" w14:textId="13FA1D30" w:rsidR="00A44682" w:rsidRPr="00A44682" w:rsidRDefault="00A44682" w:rsidP="00A44682">
            <w:pPr>
              <w:spacing w:before="240" w:after="240"/>
              <w:ind w:right="51"/>
              <w:jc w:val="center"/>
              <w:rPr>
                <w:rFonts w:ascii="Palatino Linotype" w:hAnsi="Palatino Linotype" w:cs="Arial"/>
                <w:b/>
                <w:color w:val="FFFFFF" w:themeColor="background1"/>
                <w:sz w:val="20"/>
              </w:rPr>
            </w:pPr>
            <w:r w:rsidRPr="00A44682">
              <w:rPr>
                <w:rFonts w:ascii="Palatino Linotype" w:hAnsi="Palatino Linotype" w:cs="Arial"/>
                <w:b/>
                <w:color w:val="FFFFFF" w:themeColor="background1"/>
                <w:sz w:val="20"/>
              </w:rPr>
              <w:t>Respuesta</w:t>
            </w:r>
          </w:p>
        </w:tc>
        <w:tc>
          <w:tcPr>
            <w:tcW w:w="2788" w:type="dxa"/>
            <w:shd w:val="clear" w:color="auto" w:fill="76923C" w:themeFill="accent3" w:themeFillShade="BF"/>
          </w:tcPr>
          <w:p w14:paraId="5FC3A43C" w14:textId="147F74E2" w:rsidR="00A44682" w:rsidRPr="00A44682" w:rsidRDefault="00A44682" w:rsidP="00A44682">
            <w:pPr>
              <w:spacing w:before="240" w:after="240"/>
              <w:ind w:right="51"/>
              <w:jc w:val="center"/>
              <w:rPr>
                <w:rFonts w:ascii="Palatino Linotype" w:hAnsi="Palatino Linotype" w:cs="Arial"/>
                <w:b/>
                <w:color w:val="FFFFFF" w:themeColor="background1"/>
                <w:sz w:val="20"/>
              </w:rPr>
            </w:pPr>
            <w:r w:rsidRPr="00A44682">
              <w:rPr>
                <w:rFonts w:ascii="Palatino Linotype" w:hAnsi="Palatino Linotype" w:cs="Arial"/>
                <w:b/>
                <w:color w:val="FFFFFF" w:themeColor="background1"/>
                <w:sz w:val="20"/>
              </w:rPr>
              <w:t>Razones o Motivos de Inconformidad</w:t>
            </w:r>
          </w:p>
        </w:tc>
        <w:tc>
          <w:tcPr>
            <w:tcW w:w="2076" w:type="dxa"/>
            <w:shd w:val="clear" w:color="auto" w:fill="76923C" w:themeFill="accent3" w:themeFillShade="BF"/>
          </w:tcPr>
          <w:p w14:paraId="6F808077" w14:textId="27D543D2" w:rsidR="00A44682" w:rsidRPr="00A44682" w:rsidRDefault="00A44682" w:rsidP="00A44682">
            <w:pPr>
              <w:spacing w:before="240" w:after="240"/>
              <w:ind w:right="51"/>
              <w:jc w:val="center"/>
              <w:rPr>
                <w:rFonts w:ascii="Palatino Linotype" w:hAnsi="Palatino Linotype" w:cs="Arial"/>
                <w:b/>
                <w:color w:val="FFFFFF" w:themeColor="background1"/>
                <w:sz w:val="20"/>
              </w:rPr>
            </w:pPr>
            <w:r w:rsidRPr="00A44682">
              <w:rPr>
                <w:rFonts w:ascii="Palatino Linotype" w:hAnsi="Palatino Linotype" w:cs="Arial"/>
                <w:b/>
                <w:color w:val="FFFFFF" w:themeColor="background1"/>
                <w:sz w:val="20"/>
              </w:rPr>
              <w:t>Informe Justificado</w:t>
            </w:r>
          </w:p>
        </w:tc>
        <w:tc>
          <w:tcPr>
            <w:tcW w:w="1868" w:type="dxa"/>
            <w:shd w:val="clear" w:color="auto" w:fill="76923C" w:themeFill="accent3" w:themeFillShade="BF"/>
          </w:tcPr>
          <w:p w14:paraId="2FCD39EF" w14:textId="3FED7A73" w:rsidR="00A44682" w:rsidRPr="00A44682" w:rsidRDefault="00A44682" w:rsidP="00A44682">
            <w:pPr>
              <w:spacing w:before="240" w:after="240"/>
              <w:ind w:right="51"/>
              <w:jc w:val="center"/>
              <w:rPr>
                <w:rFonts w:ascii="Palatino Linotype" w:hAnsi="Palatino Linotype" w:cs="Arial"/>
                <w:b/>
                <w:color w:val="FFFFFF" w:themeColor="background1"/>
                <w:sz w:val="20"/>
              </w:rPr>
            </w:pPr>
            <w:r w:rsidRPr="00A44682">
              <w:rPr>
                <w:rFonts w:ascii="Palatino Linotype" w:hAnsi="Palatino Linotype" w:cs="Arial"/>
                <w:b/>
                <w:color w:val="FFFFFF" w:themeColor="background1"/>
                <w:sz w:val="20"/>
              </w:rPr>
              <w:t>Colma</w:t>
            </w:r>
          </w:p>
        </w:tc>
      </w:tr>
      <w:tr w:rsidR="00C352E7" w14:paraId="136E3879" w14:textId="77777777" w:rsidTr="00896524">
        <w:tc>
          <w:tcPr>
            <w:tcW w:w="1727" w:type="dxa"/>
          </w:tcPr>
          <w:p w14:paraId="1FA50DB0" w14:textId="1A0AE644" w:rsidR="00A44682" w:rsidRDefault="00A44682" w:rsidP="00A44682">
            <w:pPr>
              <w:spacing w:before="240" w:after="240"/>
              <w:ind w:right="51"/>
              <w:jc w:val="both"/>
              <w:rPr>
                <w:rFonts w:ascii="Palatino Linotype" w:hAnsi="Palatino Linotype" w:cs="Arial"/>
                <w:i/>
                <w:sz w:val="20"/>
              </w:rPr>
            </w:pPr>
            <w:r w:rsidRPr="00A44682">
              <w:rPr>
                <w:rFonts w:ascii="Palatino Linotype" w:hAnsi="Palatino Linotype" w:cs="Arial"/>
                <w:i/>
                <w:sz w:val="20"/>
              </w:rPr>
              <w:t>De los procedimientos de Responsabilidades Administrativas que lleva el área de Contraloría, correspondientes al periodo 2019, 2020 y 2021</w:t>
            </w:r>
            <w:r>
              <w:rPr>
                <w:rFonts w:ascii="Palatino Linotype" w:hAnsi="Palatino Linotype" w:cs="Arial"/>
                <w:i/>
                <w:sz w:val="20"/>
              </w:rPr>
              <w:t>:</w:t>
            </w:r>
          </w:p>
          <w:p w14:paraId="5F02CD86" w14:textId="77777777" w:rsidR="00A44682" w:rsidRDefault="00A44682" w:rsidP="00F10FE2">
            <w:pPr>
              <w:spacing w:before="240" w:after="240"/>
              <w:ind w:right="51"/>
              <w:jc w:val="both"/>
              <w:rPr>
                <w:rFonts w:ascii="Palatino Linotype" w:hAnsi="Palatino Linotype" w:cs="Arial"/>
                <w:i/>
                <w:sz w:val="20"/>
              </w:rPr>
            </w:pPr>
            <w:r>
              <w:rPr>
                <w:rFonts w:ascii="Palatino Linotype" w:hAnsi="Palatino Linotype" w:cs="Arial"/>
                <w:i/>
                <w:sz w:val="20"/>
              </w:rPr>
              <w:t>N</w:t>
            </w:r>
            <w:r w:rsidRPr="00A44682">
              <w:rPr>
                <w:rFonts w:ascii="Palatino Linotype" w:hAnsi="Palatino Linotype" w:cs="Arial"/>
                <w:i/>
                <w:sz w:val="20"/>
              </w:rPr>
              <w:t xml:space="preserve">ombre de los presuntos responsables de los procedimientos de </w:t>
            </w:r>
            <w:r w:rsidRPr="00A44682">
              <w:rPr>
                <w:rFonts w:ascii="Palatino Linotype" w:hAnsi="Palatino Linotype" w:cs="Arial"/>
                <w:i/>
                <w:sz w:val="20"/>
              </w:rPr>
              <w:lastRenderedPageBreak/>
              <w:t>responsabilidades administr</w:t>
            </w:r>
            <w:r w:rsidR="00F10FE2">
              <w:rPr>
                <w:rFonts w:ascii="Palatino Linotype" w:hAnsi="Palatino Linotype" w:cs="Arial"/>
                <w:i/>
                <w:sz w:val="20"/>
              </w:rPr>
              <w:t>ativas.</w:t>
            </w:r>
          </w:p>
          <w:p w14:paraId="7A1C06C6" w14:textId="77777777" w:rsidR="00896524" w:rsidRDefault="00896524" w:rsidP="00F10FE2">
            <w:pPr>
              <w:spacing w:before="240" w:after="240"/>
              <w:ind w:right="51"/>
              <w:jc w:val="both"/>
              <w:rPr>
                <w:rFonts w:ascii="Palatino Linotype" w:hAnsi="Palatino Linotype" w:cs="Arial"/>
                <w:i/>
                <w:sz w:val="20"/>
              </w:rPr>
            </w:pPr>
            <w:r w:rsidRPr="00F10FE2">
              <w:rPr>
                <w:rFonts w:ascii="Palatino Linotype" w:hAnsi="Palatino Linotype" w:cs="Arial"/>
                <w:i/>
                <w:sz w:val="20"/>
              </w:rPr>
              <w:t>Nombre del servidor público que más procedimientos tiene en TRÁMITE, RESUELTOS Y PROCESADOS</w:t>
            </w:r>
          </w:p>
          <w:p w14:paraId="3A5E0ED4" w14:textId="77777777" w:rsidR="00896524" w:rsidRPr="00F10FE2" w:rsidRDefault="00896524" w:rsidP="00896524">
            <w:pPr>
              <w:spacing w:before="240" w:after="240"/>
              <w:ind w:right="51"/>
              <w:jc w:val="both"/>
              <w:rPr>
                <w:rFonts w:ascii="Palatino Linotype" w:hAnsi="Palatino Linotype" w:cs="Arial"/>
                <w:i/>
                <w:sz w:val="16"/>
              </w:rPr>
            </w:pPr>
            <w:r w:rsidRPr="00F10FE2">
              <w:rPr>
                <w:rFonts w:ascii="Palatino Linotype" w:hAnsi="Palatino Linotype" w:cs="Arial"/>
                <w:i/>
                <w:sz w:val="20"/>
              </w:rPr>
              <w:t xml:space="preserve">Los Procedimientos de Responsabilidad Administrativa que tienen de Alfonso López </w:t>
            </w:r>
            <w:proofErr w:type="spellStart"/>
            <w:r w:rsidRPr="00F10FE2">
              <w:rPr>
                <w:rFonts w:ascii="Palatino Linotype" w:hAnsi="Palatino Linotype" w:cs="Arial"/>
                <w:i/>
                <w:sz w:val="20"/>
              </w:rPr>
              <w:t>Abundis</w:t>
            </w:r>
            <w:proofErr w:type="spellEnd"/>
            <w:r w:rsidRPr="00F10FE2">
              <w:rPr>
                <w:rFonts w:ascii="Palatino Linotype" w:hAnsi="Palatino Linotype" w:cs="Arial"/>
                <w:i/>
                <w:sz w:val="20"/>
              </w:rPr>
              <w:t>.</w:t>
            </w:r>
          </w:p>
          <w:p w14:paraId="2B60C479" w14:textId="77777777" w:rsidR="00896524" w:rsidRDefault="00896524" w:rsidP="00F10FE2">
            <w:pPr>
              <w:spacing w:before="240" w:after="240"/>
              <w:ind w:right="51"/>
              <w:jc w:val="both"/>
              <w:rPr>
                <w:rFonts w:ascii="Palatino Linotype" w:hAnsi="Palatino Linotype" w:cs="Arial"/>
                <w:i/>
                <w:sz w:val="20"/>
              </w:rPr>
            </w:pPr>
          </w:p>
          <w:p w14:paraId="47FEC627" w14:textId="09937C81" w:rsidR="00896524" w:rsidRPr="00F10FE2" w:rsidRDefault="00896524" w:rsidP="00F10FE2">
            <w:pPr>
              <w:spacing w:before="240" w:after="240"/>
              <w:ind w:right="51"/>
              <w:jc w:val="both"/>
              <w:rPr>
                <w:rFonts w:ascii="Palatino Linotype" w:hAnsi="Palatino Linotype" w:cs="Arial"/>
                <w:i/>
                <w:sz w:val="20"/>
              </w:rPr>
            </w:pPr>
          </w:p>
        </w:tc>
        <w:tc>
          <w:tcPr>
            <w:tcW w:w="1516" w:type="dxa"/>
          </w:tcPr>
          <w:p w14:paraId="1404A481" w14:textId="0ED63AE9" w:rsidR="00A44682" w:rsidRPr="00730E37" w:rsidRDefault="00730E37" w:rsidP="00730E37">
            <w:pPr>
              <w:spacing w:before="240" w:after="240"/>
              <w:ind w:right="51"/>
              <w:jc w:val="both"/>
              <w:rPr>
                <w:rFonts w:ascii="Palatino Linotype" w:hAnsi="Palatino Linotype" w:cs="Arial"/>
                <w:i/>
              </w:rPr>
            </w:pPr>
            <w:r w:rsidRPr="00730E37">
              <w:rPr>
                <w:rFonts w:ascii="Palatino Linotype" w:hAnsi="Palatino Linotype" w:cs="Arial"/>
                <w:i/>
                <w:sz w:val="20"/>
              </w:rPr>
              <w:lastRenderedPageBreak/>
              <w:t xml:space="preserve">El Contralor Interno manifiesta al Recurrente que </w:t>
            </w:r>
            <w:r>
              <w:rPr>
                <w:rFonts w:ascii="Palatino Linotype" w:hAnsi="Palatino Linotype" w:cs="Arial"/>
                <w:i/>
                <w:sz w:val="20"/>
              </w:rPr>
              <w:t xml:space="preserve">compete a los órganos de control interno municipal conocer de los procedimientos de responsabilidad administrativa, asimismo refiere que pueden </w:t>
            </w:r>
            <w:r>
              <w:rPr>
                <w:rFonts w:ascii="Palatino Linotype" w:hAnsi="Palatino Linotype" w:cs="Arial"/>
                <w:i/>
                <w:sz w:val="20"/>
              </w:rPr>
              <w:lastRenderedPageBreak/>
              <w:t>imponerse de dichos procedimientos que lleva la Contraloría, la autoridad investigadora, servidor público, terceros a quienes pueda afectar la resolución.</w:t>
            </w:r>
          </w:p>
        </w:tc>
        <w:tc>
          <w:tcPr>
            <w:tcW w:w="2788" w:type="dxa"/>
          </w:tcPr>
          <w:p w14:paraId="1127B6A4" w14:textId="5599CE54" w:rsidR="00A44682" w:rsidRDefault="00730E37" w:rsidP="00730E37">
            <w:pPr>
              <w:spacing w:before="240" w:after="240"/>
              <w:ind w:right="51"/>
              <w:jc w:val="both"/>
              <w:rPr>
                <w:rFonts w:ascii="Palatino Linotype" w:hAnsi="Palatino Linotype" w:cs="Arial"/>
              </w:rPr>
            </w:pPr>
            <w:r>
              <w:rPr>
                <w:rFonts w:ascii="Palatino Linotype" w:hAnsi="Palatino Linotype" w:cs="Arial"/>
                <w:b/>
                <w:i/>
                <w:sz w:val="20"/>
                <w:u w:val="single"/>
              </w:rPr>
              <w:lastRenderedPageBreak/>
              <w:t>“</w:t>
            </w:r>
            <w:r w:rsidRPr="00730E37">
              <w:rPr>
                <w:rFonts w:ascii="Palatino Linotype" w:hAnsi="Palatino Linotype" w:cs="Arial"/>
                <w:b/>
                <w:i/>
                <w:sz w:val="20"/>
                <w:u w:val="single"/>
              </w:rPr>
              <w:t xml:space="preserve">Me causa agravio en su totalidad la respuesta que me diera el contralor interno del H. Ayuntamiento de Tenancingo a través del portal electrónico SAIMEX respecto a la solicitud de información registrada con el folio 000251/TENANCIN/IP/2021, en fecha 11 de agosto hogaño en la cual de manera clara y precisa se le solicitaba a el Sujeto Obligado lo siguiente “solicito información sobre: los procedimientos de </w:t>
            </w:r>
            <w:r w:rsidRPr="00730E37">
              <w:rPr>
                <w:rFonts w:ascii="Palatino Linotype" w:hAnsi="Palatino Linotype" w:cs="Arial"/>
                <w:b/>
                <w:i/>
                <w:sz w:val="20"/>
                <w:u w:val="single"/>
              </w:rPr>
              <w:lastRenderedPageBreak/>
              <w:t xml:space="preserve">Responsabilidades Administrativas que lleva el área de Contraloría, correspondientes a los periodo 2019, 2020 y 2021. Nombre de los presuntos responsables de los procedimientos de responsabilidades administrativas que lleva la Contraloría, correspondientes a los periodos 2019, 2020 y 2021. Nombre del servidor público que más procedimientos tiene en TRÁMITE, RESUELTOS Y PROCESADOS. Los Procedimientos de Responsabilidad Administrativa que tienen de Alfonso López </w:t>
            </w:r>
            <w:proofErr w:type="spellStart"/>
            <w:r w:rsidRPr="00730E37">
              <w:rPr>
                <w:rFonts w:ascii="Palatino Linotype" w:hAnsi="Palatino Linotype" w:cs="Arial"/>
                <w:b/>
                <w:i/>
                <w:sz w:val="20"/>
                <w:u w:val="single"/>
              </w:rPr>
              <w:t>Abundis</w:t>
            </w:r>
            <w:proofErr w:type="spellEnd"/>
            <w:r w:rsidRPr="00730E37">
              <w:rPr>
                <w:rFonts w:ascii="Palatino Linotype" w:hAnsi="Palatino Linotype" w:cs="Arial"/>
                <w:b/>
                <w:i/>
                <w:sz w:val="20"/>
                <w:u w:val="single"/>
              </w:rPr>
              <w:t xml:space="preserve">.” A lo que de manera infantil, infundada y carente de cualquier motivación legal el sujeto obligado omite cumplir con su obligación de proporcionar la información y menciona en su escrito de contestación lo siguiente: Lo anterior aunado a que el sujeto obligado argumenta que el suscrito no es COMPETENTE para conocer sobre los procedimientos y por consecuencia de los laudos o resoluciones administrativas que dicte la contraloría interna del municipio de Tenancingo ya que el suscrito no se ostenta como una autoridad o parte </w:t>
            </w:r>
            <w:r w:rsidRPr="00730E37">
              <w:rPr>
                <w:rFonts w:ascii="Palatino Linotype" w:hAnsi="Palatino Linotype" w:cs="Arial"/>
                <w:b/>
                <w:i/>
                <w:sz w:val="20"/>
                <w:u w:val="single"/>
              </w:rPr>
              <w:lastRenderedPageBreak/>
              <w:t>que pueda interferir en los procedimientos administrativos o procesos que se llevan a cabo dentro de esa dependencia municipal, lo cual constituye un grave error y denota su falta de conocimiento en la materia, por lo que causa una grave violación a mis Derechos Humanos de Transparencia y Acceso a la Información Pública contemplados por el artículo 6, apartado A, de la Constitución Política de los Estados Unidos Mexicanos y con lo establecido por la Ley General de Transparencia y Acceso a la Información Pública. Ya que, si bien es cierto; el suscrito no se ostenta como autoridad o parte en los procesos cuya información se requiere, también es cierto que la Ley de Transparencia y Acceso a la Información del Estado de México y municipios específicamente en el artículo 92 párrafo XL</w:t>
            </w:r>
            <w:r>
              <w:rPr>
                <w:rFonts w:ascii="Palatino Linotype" w:hAnsi="Palatino Linotype" w:cs="Arial"/>
                <w:b/>
                <w:i/>
                <w:sz w:val="20"/>
                <w:u w:val="single"/>
              </w:rPr>
              <w:t xml:space="preserve">” </w:t>
            </w:r>
            <w:r w:rsidRPr="00730E37">
              <w:rPr>
                <w:rFonts w:ascii="Palatino Linotype" w:hAnsi="Palatino Linotype" w:cs="Arial"/>
                <w:i/>
                <w:sz w:val="20"/>
              </w:rPr>
              <w:t>(Sic)</w:t>
            </w:r>
          </w:p>
        </w:tc>
        <w:tc>
          <w:tcPr>
            <w:tcW w:w="2076" w:type="dxa"/>
          </w:tcPr>
          <w:p w14:paraId="3B9679E2" w14:textId="1C6E1EA2" w:rsidR="00A44682" w:rsidRPr="00C352E7" w:rsidRDefault="008D3182" w:rsidP="00C352E7">
            <w:pPr>
              <w:spacing w:before="240" w:after="240"/>
              <w:ind w:right="51"/>
              <w:jc w:val="both"/>
              <w:rPr>
                <w:rFonts w:ascii="Palatino Linotype" w:hAnsi="Palatino Linotype" w:cs="Arial"/>
                <w:i/>
              </w:rPr>
            </w:pPr>
            <w:r w:rsidRPr="00C352E7">
              <w:rPr>
                <w:rFonts w:ascii="Palatino Linotype" w:hAnsi="Palatino Linotype" w:cs="Arial"/>
                <w:i/>
                <w:sz w:val="20"/>
              </w:rPr>
              <w:lastRenderedPageBreak/>
              <w:t xml:space="preserve">Manifiesta que si bien, el Recurrente está haciendo referencia a </w:t>
            </w:r>
            <w:r w:rsidR="00C352E7" w:rsidRPr="00C352E7">
              <w:rPr>
                <w:rFonts w:ascii="Palatino Linotype" w:hAnsi="Palatino Linotype" w:cs="Arial"/>
                <w:i/>
                <w:sz w:val="20"/>
              </w:rPr>
              <w:t xml:space="preserve">información que forma parte de las obligaciones de transparencia comunes, manifiesta que respecto del segundo trimestre de 2021 no se han impuesto sanciones por faltas administrativas graves, por ende no hay resoluciones para </w:t>
            </w:r>
            <w:r w:rsidR="00C352E7" w:rsidRPr="00C352E7">
              <w:rPr>
                <w:rFonts w:ascii="Palatino Linotype" w:hAnsi="Palatino Linotype" w:cs="Arial"/>
                <w:i/>
                <w:sz w:val="20"/>
              </w:rPr>
              <w:lastRenderedPageBreak/>
              <w:t>registrarse en este apartado, por lo que se refiere a resoluciones y/o laudos de tipo jurisdiccional/arbitral, no se genera información al respecto, toda vez que no se llevan a cabo procesos de estos tipos.</w:t>
            </w:r>
          </w:p>
        </w:tc>
        <w:tc>
          <w:tcPr>
            <w:tcW w:w="1868" w:type="dxa"/>
          </w:tcPr>
          <w:p w14:paraId="4895521F" w14:textId="77777777" w:rsidR="00A44682" w:rsidRDefault="00C352E7" w:rsidP="00C352E7">
            <w:pPr>
              <w:spacing w:before="240" w:after="240" w:line="360" w:lineRule="auto"/>
              <w:ind w:right="49"/>
              <w:jc w:val="center"/>
              <w:rPr>
                <w:rFonts w:ascii="Palatino Linotype" w:hAnsi="Palatino Linotype" w:cs="Arial"/>
              </w:rPr>
            </w:pPr>
            <w:r>
              <w:rPr>
                <w:rFonts w:ascii="Palatino Linotype" w:hAnsi="Palatino Linotype" w:cs="Arial"/>
              </w:rPr>
              <w:lastRenderedPageBreak/>
              <w:t>No</w:t>
            </w:r>
          </w:p>
          <w:p w14:paraId="16CEB7CF" w14:textId="6C265797" w:rsidR="008005BB" w:rsidRPr="008005BB" w:rsidRDefault="008005BB" w:rsidP="008005BB">
            <w:pPr>
              <w:spacing w:before="240" w:after="240"/>
              <w:ind w:right="51"/>
              <w:jc w:val="both"/>
              <w:rPr>
                <w:rFonts w:ascii="Palatino Linotype" w:hAnsi="Palatino Linotype" w:cs="Arial"/>
                <w:b/>
              </w:rPr>
            </w:pPr>
            <w:r w:rsidRPr="008005BB">
              <w:rPr>
                <w:rFonts w:ascii="Palatino Linotype" w:hAnsi="Palatino Linotype" w:cs="Arial"/>
                <w:b/>
                <w:sz w:val="20"/>
              </w:rPr>
              <w:t>Observaciones:</w:t>
            </w:r>
            <w:r>
              <w:rPr>
                <w:rFonts w:ascii="Palatino Linotype" w:hAnsi="Palatino Linotype" w:cs="Arial"/>
                <w:b/>
                <w:sz w:val="20"/>
              </w:rPr>
              <w:t xml:space="preserve"> </w:t>
            </w:r>
            <w:r w:rsidRPr="008005BB">
              <w:rPr>
                <w:rFonts w:ascii="Palatino Linotype" w:hAnsi="Palatino Linotype" w:cs="Arial"/>
                <w:sz w:val="20"/>
              </w:rPr>
              <w:t xml:space="preserve">No se pronuncian respecto de los años 2019 y 2020, además no se están requiriendo como tal las resoluciones o laudos de los procedimientos administrativos, sino los nombres de los servidores </w:t>
            </w:r>
            <w:r w:rsidRPr="008005BB">
              <w:rPr>
                <w:rFonts w:ascii="Palatino Linotype" w:hAnsi="Palatino Linotype" w:cs="Arial"/>
                <w:sz w:val="20"/>
              </w:rPr>
              <w:lastRenderedPageBreak/>
              <w:t>públicos sujetos de procedimientos de responsabilidades administrativas.</w:t>
            </w:r>
          </w:p>
        </w:tc>
      </w:tr>
    </w:tbl>
    <w:p w14:paraId="5955B15E" w14:textId="77777777" w:rsidR="00896524" w:rsidRDefault="00896524" w:rsidP="00896524">
      <w:pPr>
        <w:pBdr>
          <w:top w:val="nil"/>
          <w:left w:val="nil"/>
          <w:bottom w:val="nil"/>
          <w:right w:val="nil"/>
          <w:between w:val="nil"/>
        </w:pBdr>
        <w:spacing w:line="360" w:lineRule="auto"/>
        <w:ind w:right="49"/>
        <w:jc w:val="both"/>
        <w:rPr>
          <w:rFonts w:ascii="Palatino Linotype" w:eastAsia="Palatino Linotype" w:hAnsi="Palatino Linotype" w:cs="Palatino Linotype"/>
          <w:b/>
        </w:rPr>
      </w:pPr>
    </w:p>
    <w:p w14:paraId="3391A69A" w14:textId="7FA5DD9B" w:rsidR="00E23A69" w:rsidRPr="00E23A69" w:rsidRDefault="00E23A69" w:rsidP="00E23A69">
      <w:pPr>
        <w:spacing w:before="240" w:after="240" w:line="360" w:lineRule="auto"/>
        <w:ind w:right="51"/>
        <w:jc w:val="both"/>
        <w:rPr>
          <w:rFonts w:ascii="Palatino Linotype" w:hAnsi="Palatino Linotype"/>
        </w:rPr>
      </w:pPr>
      <w:r w:rsidRPr="00E23A69">
        <w:rPr>
          <w:rFonts w:ascii="Palatino Linotype" w:hAnsi="Palatino Linotype"/>
        </w:rPr>
        <w:t xml:space="preserve">En primera instancia debe precisarse que no escapa de la óptica de este Órgano Garante que en el presente asunto, el Sujeto Obligado por conducto del Contralor Interno en sus archivos electrónicos </w:t>
      </w:r>
      <w:r w:rsidRPr="00E23A69">
        <w:rPr>
          <w:rFonts w:ascii="Palatino Linotype" w:hAnsi="Palatino Linotype" w:cs="Arial"/>
          <w:b/>
          <w:i/>
        </w:rPr>
        <w:t>“REP TS 255 CONTRALORIA.pdf” y “RESP TS 251.pdf”</w:t>
      </w:r>
      <w:r w:rsidRPr="00E23A69">
        <w:rPr>
          <w:rFonts w:ascii="Palatino Linotype" w:hAnsi="Palatino Linotype" w:cs="Arial"/>
        </w:rPr>
        <w:t xml:space="preserve"> </w:t>
      </w:r>
      <w:r w:rsidRPr="00E23A69">
        <w:rPr>
          <w:rFonts w:ascii="Palatino Linotype" w:hAnsi="Palatino Linotype"/>
        </w:rPr>
        <w:t xml:space="preserve">otorgó el carácter de información confidencial a la información solicitada, esto argumentando que la divulgación de los datos propuestos generaría </w:t>
      </w:r>
      <w:r w:rsidRPr="00E23A69">
        <w:rPr>
          <w:rFonts w:ascii="Palatino Linotype" w:hAnsi="Palatino Linotype"/>
        </w:rPr>
        <w:lastRenderedPageBreak/>
        <w:t xml:space="preserve">una afectación al interés jurídico de los titulares de los datos personales puesto que estos pueden hacer a una persona identificada o identificable, es de precisarse que esta clasificación de la información manifestada por el Sujeto Obligado no cuenta con los elementos fácticos y jurídicos mínimos para considerarse válida, lo anterior es así debido a que si bien el derecho de acceso a la información pública no es un derecho absoluto, debe entenderse que su limitación deberá fundarse y motivarse bajo la observancia de los cuerpos legales aplicables. </w:t>
      </w:r>
    </w:p>
    <w:p w14:paraId="75B12561" w14:textId="77777777" w:rsidR="00E23A69" w:rsidRPr="00E23A69" w:rsidRDefault="00E23A69" w:rsidP="00E23A69">
      <w:pPr>
        <w:spacing w:before="240" w:after="240" w:line="360" w:lineRule="auto"/>
        <w:ind w:right="51"/>
        <w:jc w:val="both"/>
        <w:rPr>
          <w:rFonts w:ascii="Palatino Linotype" w:hAnsi="Palatino Linotype"/>
        </w:rPr>
      </w:pPr>
      <w:r w:rsidRPr="00E23A69">
        <w:rPr>
          <w:rFonts w:ascii="Palatino Linotype" w:hAnsi="Palatino Linotype"/>
        </w:rPr>
        <w:t xml:space="preserve">Al respecto debe apuntarse que en los artículos 91 y 140, fracciones VI y X de la Ley de Transparencia estatal se regula la restricción al ejercicio del derecho de acceso a la información pública, los cuales pueden consistir en la reserva de la información o determinación de que es información confidencial, para mejor proveer del presente asunto, se traen a colación los siguientes preceptos legales: </w:t>
      </w:r>
    </w:p>
    <w:p w14:paraId="27F3E65D" w14:textId="77777777" w:rsidR="00E23A69" w:rsidRPr="00E23A69" w:rsidRDefault="00E23A69" w:rsidP="00E23A69">
      <w:pPr>
        <w:spacing w:before="240" w:after="240"/>
        <w:ind w:left="567" w:right="900"/>
        <w:jc w:val="both"/>
        <w:rPr>
          <w:rFonts w:ascii="Palatino Linotype" w:hAnsi="Palatino Linotype"/>
          <w:i/>
          <w:sz w:val="22"/>
          <w:szCs w:val="22"/>
        </w:rPr>
      </w:pPr>
      <w:r w:rsidRPr="00E23A69">
        <w:rPr>
          <w:rFonts w:ascii="Palatino Linotype" w:hAnsi="Palatino Linotype"/>
          <w:i/>
        </w:rPr>
        <w:t>“</w:t>
      </w:r>
      <w:r w:rsidRPr="00E23A69">
        <w:rPr>
          <w:rFonts w:ascii="Palatino Linotype" w:hAnsi="Palatino Linotype"/>
          <w:b/>
          <w:i/>
          <w:sz w:val="22"/>
          <w:szCs w:val="22"/>
          <w:u w:val="single"/>
        </w:rPr>
        <w:t>Artículo 91. El acceso a la información pública será restringido excepcionalmente, cuando ésta sea clasificada como reservada o confidencial.</w:t>
      </w:r>
    </w:p>
    <w:p w14:paraId="52D93575" w14:textId="77777777" w:rsidR="00E23A69" w:rsidRPr="00E23A69" w:rsidRDefault="00E23A69" w:rsidP="00E23A69">
      <w:pPr>
        <w:spacing w:before="240" w:after="240"/>
        <w:ind w:left="567" w:right="900"/>
        <w:jc w:val="both"/>
        <w:rPr>
          <w:rFonts w:ascii="Palatino Linotype" w:hAnsi="Palatino Linotype"/>
          <w:b/>
          <w:i/>
          <w:sz w:val="22"/>
          <w:szCs w:val="22"/>
        </w:rPr>
      </w:pPr>
      <w:r w:rsidRPr="00E23A69">
        <w:rPr>
          <w:rFonts w:ascii="Palatino Linotype" w:hAnsi="Palatino Linotype"/>
          <w:b/>
          <w:i/>
          <w:sz w:val="22"/>
          <w:szCs w:val="22"/>
        </w:rPr>
        <w:t>Artículo 140. El acceso a la información pública será restringido excepcionalmente, cuando por razones de interés público, ésta sea clasificada como reservada, conforme a los criterios siguientes:</w:t>
      </w:r>
    </w:p>
    <w:p w14:paraId="71E4A1C4" w14:textId="77777777" w:rsidR="00E23A69" w:rsidRPr="00E23A69" w:rsidRDefault="00E23A69" w:rsidP="00E23A69">
      <w:pPr>
        <w:spacing w:before="240" w:after="240"/>
        <w:ind w:left="567" w:right="900"/>
        <w:jc w:val="both"/>
        <w:rPr>
          <w:rFonts w:ascii="Palatino Linotype" w:hAnsi="Palatino Linotype"/>
          <w:b/>
          <w:i/>
          <w:sz w:val="22"/>
          <w:szCs w:val="22"/>
        </w:rPr>
      </w:pPr>
      <w:r w:rsidRPr="00E23A69">
        <w:rPr>
          <w:rFonts w:ascii="Palatino Linotype" w:hAnsi="Palatino Linotype"/>
          <w:b/>
          <w:i/>
          <w:sz w:val="22"/>
          <w:szCs w:val="22"/>
        </w:rPr>
        <w:t>[…]</w:t>
      </w:r>
    </w:p>
    <w:p w14:paraId="6B1EDB5B" w14:textId="77777777" w:rsidR="00E23A69" w:rsidRPr="00E23A69" w:rsidRDefault="00E23A69" w:rsidP="00E23A69">
      <w:pPr>
        <w:spacing w:before="240" w:after="240"/>
        <w:ind w:left="567" w:right="900"/>
        <w:jc w:val="both"/>
        <w:rPr>
          <w:rFonts w:ascii="Palatino Linotype" w:hAnsi="Palatino Linotype"/>
          <w:i/>
          <w:sz w:val="22"/>
          <w:szCs w:val="22"/>
        </w:rPr>
      </w:pPr>
      <w:r w:rsidRPr="00E23A69">
        <w:rPr>
          <w:rFonts w:ascii="Palatino Linotype" w:hAnsi="Palatino Linotype"/>
          <w:b/>
          <w:i/>
          <w:sz w:val="22"/>
          <w:szCs w:val="22"/>
          <w:u w:val="single"/>
        </w:rPr>
        <w:t xml:space="preserve">VI.- Pueda causar daño </w:t>
      </w:r>
      <w:r w:rsidRPr="00E23A69">
        <w:rPr>
          <w:rFonts w:ascii="Palatino Linotype" w:hAnsi="Palatino Linotype"/>
          <w:i/>
          <w:sz w:val="22"/>
          <w:szCs w:val="22"/>
        </w:rPr>
        <w:t xml:space="preserve">u obstruya la prevención o persecución de los delitos, altere el proceso de investigación de las carpetas de investigación, </w:t>
      </w:r>
      <w:r w:rsidRPr="00E23A69">
        <w:rPr>
          <w:rFonts w:ascii="Palatino Linotype" w:hAnsi="Palatino Linotype"/>
          <w:b/>
          <w:i/>
          <w:sz w:val="22"/>
          <w:szCs w:val="22"/>
          <w:u w:val="single"/>
        </w:rPr>
        <w:t>afecte o vulnere la conducción o los derechos del debido proceso en los procedimientos judiciales o administrativos, incluidos los de</w:t>
      </w:r>
      <w:r w:rsidRPr="00E23A69">
        <w:rPr>
          <w:rFonts w:ascii="Palatino Linotype" w:hAnsi="Palatino Linotype"/>
          <w:i/>
          <w:sz w:val="22"/>
          <w:szCs w:val="22"/>
        </w:rPr>
        <w:t xml:space="preserve"> quejas, denuncias, inconformidades, </w:t>
      </w:r>
      <w:r w:rsidRPr="00E23A69">
        <w:rPr>
          <w:rFonts w:ascii="Palatino Linotype" w:hAnsi="Palatino Linotype"/>
          <w:b/>
          <w:i/>
          <w:sz w:val="22"/>
          <w:szCs w:val="22"/>
          <w:u w:val="single"/>
        </w:rPr>
        <w:t>responsabilidades administrativas</w:t>
      </w:r>
      <w:r w:rsidRPr="00E23A69">
        <w:rPr>
          <w:rFonts w:ascii="Palatino Linotype" w:hAnsi="Palatino Linotype"/>
          <w:i/>
          <w:sz w:val="22"/>
          <w:szCs w:val="22"/>
        </w:rPr>
        <w:t xml:space="preserve"> y resarcitorias </w:t>
      </w:r>
      <w:r w:rsidRPr="00E23A69">
        <w:rPr>
          <w:rFonts w:ascii="Palatino Linotype" w:hAnsi="Palatino Linotype"/>
          <w:b/>
          <w:i/>
          <w:sz w:val="22"/>
          <w:szCs w:val="22"/>
          <w:u w:val="single"/>
        </w:rPr>
        <w:t>en tanto no hayan quedado firmes o afecte la administración de justicia o la seguridad de un denunciante, querellante o testigo, así como sus familias,</w:t>
      </w:r>
      <w:r w:rsidRPr="00E23A69">
        <w:rPr>
          <w:rFonts w:ascii="Palatino Linotype" w:hAnsi="Palatino Linotype"/>
          <w:i/>
          <w:sz w:val="22"/>
          <w:szCs w:val="22"/>
        </w:rPr>
        <w:t xml:space="preserve"> en los términos de las disposiciones jurídicas aplicables; </w:t>
      </w:r>
    </w:p>
    <w:p w14:paraId="19D21557" w14:textId="77777777" w:rsidR="00E23A69" w:rsidRPr="00E23A69" w:rsidRDefault="00E23A69" w:rsidP="00E23A69">
      <w:pPr>
        <w:spacing w:before="240" w:after="240"/>
        <w:ind w:left="567" w:right="900"/>
        <w:jc w:val="both"/>
        <w:rPr>
          <w:rFonts w:ascii="Palatino Linotype" w:hAnsi="Palatino Linotype"/>
          <w:i/>
          <w:sz w:val="22"/>
          <w:szCs w:val="22"/>
          <w:lang w:eastAsia="en-US"/>
        </w:rPr>
      </w:pPr>
      <w:r w:rsidRPr="00E23A69">
        <w:rPr>
          <w:rFonts w:ascii="Palatino Linotype" w:hAnsi="Palatino Linotype"/>
          <w:b/>
          <w:i/>
          <w:sz w:val="22"/>
          <w:szCs w:val="22"/>
          <w:u w:val="single"/>
          <w:lang w:eastAsia="en-US"/>
        </w:rPr>
        <w:lastRenderedPageBreak/>
        <w:t>X. El daño que pueda producirse con la publicación de la información sea mayor que el interés público de conocer la información de referencia, siempre que esté directamente relacionado con procesos o procedimientos administrativos</w:t>
      </w:r>
      <w:r w:rsidRPr="00E23A69">
        <w:rPr>
          <w:rFonts w:ascii="Palatino Linotype" w:hAnsi="Palatino Linotype"/>
          <w:i/>
          <w:sz w:val="22"/>
          <w:szCs w:val="22"/>
          <w:lang w:eastAsia="en-US"/>
        </w:rPr>
        <w:t xml:space="preserve"> o judiciales que no hayan quedado firmes;”</w:t>
      </w:r>
    </w:p>
    <w:p w14:paraId="2B897802" w14:textId="77777777" w:rsidR="00E23A69" w:rsidRPr="00E23A69" w:rsidRDefault="00E23A69" w:rsidP="00E23A69">
      <w:pPr>
        <w:spacing w:before="240" w:after="240"/>
        <w:ind w:left="567" w:right="900"/>
        <w:jc w:val="both"/>
        <w:rPr>
          <w:rFonts w:ascii="Palatino Linotype" w:hAnsi="Palatino Linotype"/>
          <w:i/>
          <w:sz w:val="22"/>
          <w:szCs w:val="22"/>
          <w:lang w:eastAsia="en-US"/>
        </w:rPr>
      </w:pPr>
      <w:r w:rsidRPr="00E23A69">
        <w:rPr>
          <w:rFonts w:ascii="Palatino Linotype" w:hAnsi="Palatino Linotype"/>
          <w:i/>
          <w:sz w:val="22"/>
          <w:szCs w:val="22"/>
          <w:lang w:eastAsia="en-US"/>
        </w:rPr>
        <w:t>(Énfasis añadido)</w:t>
      </w:r>
    </w:p>
    <w:p w14:paraId="53CDB08E" w14:textId="77777777" w:rsidR="00E23A69" w:rsidRPr="00E23A69" w:rsidRDefault="00E23A69" w:rsidP="00E23A69">
      <w:pPr>
        <w:spacing w:before="240" w:after="240" w:line="360" w:lineRule="auto"/>
        <w:ind w:right="49"/>
        <w:jc w:val="both"/>
        <w:rPr>
          <w:rFonts w:ascii="Palatino Linotype" w:hAnsi="Palatino Linotype" w:cs="Arial"/>
        </w:rPr>
      </w:pPr>
      <w:r w:rsidRPr="00E23A69">
        <w:rPr>
          <w:rFonts w:ascii="Palatino Linotype" w:hAnsi="Palatino Linotype" w:cs="Arial"/>
        </w:rPr>
        <w:t xml:space="preserve">Para la fundamentación y motivación del Acuerdo de respectivo se debe observar estrictamente lo dispuesto por el máximo tribunal del país, respecto a lo que debe entenderse por fundamentación y motivación: </w:t>
      </w:r>
    </w:p>
    <w:p w14:paraId="14FB0A89" w14:textId="77777777" w:rsidR="00E23A69" w:rsidRPr="00E23A69" w:rsidRDefault="00E23A69" w:rsidP="00E23A69">
      <w:pPr>
        <w:ind w:left="851" w:right="851"/>
        <w:jc w:val="both"/>
        <w:rPr>
          <w:rFonts w:ascii="Palatino Linotype" w:hAnsi="Palatino Linotype" w:cs="Arial"/>
          <w:i/>
          <w:sz w:val="22"/>
          <w:szCs w:val="22"/>
        </w:rPr>
      </w:pPr>
      <w:r w:rsidRPr="00E23A69">
        <w:rPr>
          <w:rFonts w:ascii="Palatino Linotype" w:hAnsi="Palatino Linotype" w:cs="Arial"/>
          <w:b/>
          <w:bCs/>
          <w:i/>
          <w:sz w:val="22"/>
          <w:szCs w:val="22"/>
        </w:rPr>
        <w:t>“FUNDAMENTACIÓN Y MOTIVACIÓN DE LOS ACTOS ADMINISTRATIVOS</w:t>
      </w:r>
      <w:r w:rsidRPr="00E23A69">
        <w:rPr>
          <w:rFonts w:ascii="Palatino Linotype" w:hAnsi="Palatino Linotype" w:cs="Arial"/>
          <w:i/>
          <w:sz w:val="22"/>
          <w:szCs w:val="22"/>
        </w:rPr>
        <w:t xml:space="preserve">. De acuerdo con  el artículo 16 constitucional, </w:t>
      </w:r>
      <w:r w:rsidRPr="00E23A69">
        <w:rPr>
          <w:rFonts w:ascii="Palatino Linotype" w:hAnsi="Palatino Linotype" w:cs="Arial"/>
          <w:b/>
          <w:i/>
          <w:sz w:val="22"/>
          <w:szCs w:val="22"/>
          <w:u w:val="single"/>
        </w:rPr>
        <w:t>todo acto de autoridad debe estar suficientemente fundado y motivado, entendiéndose por lo primero que han de expresarse con precisión el precepto legal aplicable al caso y por lo segundo, que también deben señalarse con precisión, las circunstancias especiales, razones particulares o causas inmediatas que se hayan tenido en consideración para la emisión del acto, siendo necesario además, que exista adecuación entre los motivos aducidos y las normas aplicables, es decir, que en el caso concreto se configure la hipótesis normativa</w:t>
      </w:r>
      <w:r w:rsidRPr="00E23A69">
        <w:rPr>
          <w:rFonts w:ascii="Palatino Linotype" w:hAnsi="Palatino Linotype" w:cs="Arial"/>
          <w:i/>
          <w:sz w:val="22"/>
          <w:szCs w:val="22"/>
        </w:rPr>
        <w:t xml:space="preserve">. Esto es, que cuando el precepto en comento previene que nadie puede ser molestado en su persona, propiedades o derechos sino en virtud de mandamiento escrito de autoridad competente que funde y motive la causa legal del procedimiento, está exigiendo a todas las autoridades que apeguen sus actos a la ley, expresando de que ley se trata y los preceptos de ella que sirvan de apoyo al mandamiento relativo. En materia administrativa, específicamente, para poder considerar un acto autoritario como correctamente fundado, es necesario que en él se citen: a).- Los cuerpos legales y preceptos que se estén aplicando al caso concreto, es decir, los supuestos normativos en que se encuadra la conducta del gobernado para que esté obligado al pago, que serán señalados con toda exactitud, precisándose los incisos, </w:t>
      </w:r>
      <w:proofErr w:type="spellStart"/>
      <w:r w:rsidRPr="00E23A69">
        <w:rPr>
          <w:rFonts w:ascii="Palatino Linotype" w:hAnsi="Palatino Linotype" w:cs="Arial"/>
          <w:i/>
          <w:sz w:val="22"/>
          <w:szCs w:val="22"/>
        </w:rPr>
        <w:t>subincisos</w:t>
      </w:r>
      <w:proofErr w:type="spellEnd"/>
      <w:r w:rsidRPr="00E23A69">
        <w:rPr>
          <w:rFonts w:ascii="Palatino Linotype" w:hAnsi="Palatino Linotype" w:cs="Arial"/>
          <w:i/>
          <w:sz w:val="22"/>
          <w:szCs w:val="22"/>
        </w:rPr>
        <w:t>, fracciones y preceptos aplicable, y b).- Los cuerpos legales y preceptos que otorgan competencia o facultades a las autoridades para emitir el acto en agravio del gobernado.”</w:t>
      </w:r>
    </w:p>
    <w:p w14:paraId="7DCFE02A" w14:textId="77777777" w:rsidR="00E23A69" w:rsidRPr="00E23A69" w:rsidRDefault="00E23A69" w:rsidP="00E23A69">
      <w:pPr>
        <w:contextualSpacing/>
        <w:jc w:val="both"/>
        <w:rPr>
          <w:rFonts w:ascii="Palatino Linotype" w:eastAsia="Calibri" w:hAnsi="Palatino Linotype"/>
          <w:sz w:val="16"/>
          <w:szCs w:val="16"/>
          <w:lang w:val="es-MX" w:eastAsia="en-US"/>
        </w:rPr>
      </w:pPr>
    </w:p>
    <w:p w14:paraId="2AD7A684" w14:textId="77777777" w:rsidR="00E23A69" w:rsidRPr="00E23A69" w:rsidRDefault="00E23A69" w:rsidP="00E23A69">
      <w:pPr>
        <w:spacing w:before="240" w:after="240" w:line="360" w:lineRule="auto"/>
        <w:ind w:right="49"/>
        <w:jc w:val="both"/>
        <w:rPr>
          <w:rFonts w:ascii="Palatino Linotype" w:hAnsi="Palatino Linotype" w:cs="Arial"/>
        </w:rPr>
      </w:pPr>
      <w:r w:rsidRPr="00E23A69">
        <w:rPr>
          <w:rFonts w:ascii="Palatino Linotype" w:hAnsi="Palatino Linotype" w:cs="Arial"/>
        </w:rPr>
        <w:t xml:space="preserve">Asimismo debe precisarse que la clasificación no se da por el simple mandato de ley, al contrario, el Sujeto Obligado debe atender lo dispuesto por la legislación </w:t>
      </w:r>
      <w:r w:rsidRPr="00E23A69">
        <w:rPr>
          <w:rFonts w:ascii="Palatino Linotype" w:hAnsi="Palatino Linotype" w:cs="Arial"/>
        </w:rPr>
        <w:lastRenderedPageBreak/>
        <w:t xml:space="preserve">aplicable a la materia al momento de clasificar algún documento o información, ya sea total o parcialmente, ya que dicha clasificación es una labor conjunta de los Servidores Públicos Habilitados, de las Unidades de Transparencia  y del Comité de Transparencia del Sujeto Obligado, teniendo los servidores públicos habilitados el deber de presentar ante la Unidad de Transparencia la propuesta de clasificación de la información para que ésta se presente ante el Comité de Transparencia con la finalidad de que si es procedente el proyecto de clasificación de la información se apruebe, modifique o se revoque. </w:t>
      </w:r>
    </w:p>
    <w:p w14:paraId="7B1A8BF1" w14:textId="77777777" w:rsidR="00E23A69" w:rsidRDefault="00E23A69" w:rsidP="00896524">
      <w:pPr>
        <w:tabs>
          <w:tab w:val="left" w:pos="7088"/>
        </w:tabs>
        <w:spacing w:line="360" w:lineRule="auto"/>
        <w:jc w:val="both"/>
        <w:rPr>
          <w:rFonts w:ascii="Palatino Linotype" w:hAnsi="Palatino Linotype" w:cs="Tahoma"/>
        </w:rPr>
      </w:pPr>
    </w:p>
    <w:p w14:paraId="3F2D2F35" w14:textId="36867FA5" w:rsidR="00896524" w:rsidRPr="00896524" w:rsidRDefault="00E0481B" w:rsidP="00896524">
      <w:pPr>
        <w:tabs>
          <w:tab w:val="left" w:pos="7088"/>
        </w:tabs>
        <w:spacing w:line="360" w:lineRule="auto"/>
        <w:jc w:val="both"/>
        <w:rPr>
          <w:rFonts w:ascii="Palatino Linotype" w:hAnsi="Palatino Linotype" w:cs="Tahoma"/>
          <w:bCs/>
        </w:rPr>
      </w:pPr>
      <w:r>
        <w:rPr>
          <w:rFonts w:ascii="Palatino Linotype" w:hAnsi="Palatino Linotype" w:cs="Tahoma"/>
        </w:rPr>
        <w:t xml:space="preserve">En este orden de ideas, </w:t>
      </w:r>
      <w:r w:rsidR="00896524" w:rsidRPr="00896524">
        <w:rPr>
          <w:rFonts w:ascii="Palatino Linotype" w:hAnsi="Palatino Linotype" w:cs="Tahoma"/>
        </w:rPr>
        <w:t>toda</w:t>
      </w:r>
      <w:r>
        <w:rPr>
          <w:rFonts w:ascii="Palatino Linotype" w:hAnsi="Palatino Linotype" w:cs="Tahoma"/>
        </w:rPr>
        <w:t xml:space="preserve"> vez que la información concerniente a los procedimientos requeridos constan </w:t>
      </w:r>
      <w:r w:rsidR="00896524" w:rsidRPr="00896524">
        <w:rPr>
          <w:rFonts w:ascii="Palatino Linotype" w:hAnsi="Palatino Linotype" w:cs="Tahoma"/>
        </w:rPr>
        <w:t>en los archi</w:t>
      </w:r>
      <w:r w:rsidR="00896524">
        <w:rPr>
          <w:rFonts w:ascii="Palatino Linotype" w:hAnsi="Palatino Linotype" w:cs="Tahoma"/>
        </w:rPr>
        <w:t>vos del Ayuntamiento de Tenancingo</w:t>
      </w:r>
      <w:r w:rsidR="00896524" w:rsidRPr="00896524">
        <w:rPr>
          <w:rFonts w:ascii="Palatino Linotype" w:hAnsi="Palatino Linotype" w:cs="Tahoma"/>
        </w:rPr>
        <w:t xml:space="preserve">, </w:t>
      </w:r>
      <w:r w:rsidR="00896524">
        <w:rPr>
          <w:rFonts w:ascii="Palatino Linotype" w:hAnsi="Palatino Linotype" w:cs="Tahoma"/>
        </w:rPr>
        <w:t xml:space="preserve">como ya aseveró el Sujeto Obligado por conducto del Contralor Interno, </w:t>
      </w:r>
      <w:r w:rsidR="00896524" w:rsidRPr="00896524">
        <w:rPr>
          <w:rFonts w:ascii="Palatino Linotype" w:hAnsi="Palatino Linotype" w:cs="Tahoma"/>
        </w:rPr>
        <w:t xml:space="preserve">se considera </w:t>
      </w:r>
      <w:r w:rsidR="00896524" w:rsidRPr="00896524">
        <w:rPr>
          <w:rFonts w:ascii="Palatino Linotype" w:eastAsia="Calibri" w:hAnsi="Palatino Linotype" w:cs="Tahoma"/>
          <w:bCs/>
          <w:lang w:eastAsia="en-US"/>
        </w:rPr>
        <w:t xml:space="preserve">que se debe analizar si los procedimientos de responsabilidades administrativas se encuentran en trámite o concluidos, es decir que ya causaron estado, son públicos o reservados, </w:t>
      </w:r>
      <w:r w:rsidR="00896524" w:rsidRPr="00896524">
        <w:rPr>
          <w:rFonts w:ascii="Palatino Linotype" w:hAnsi="Palatino Linotype" w:cs="Tahoma"/>
          <w:bCs/>
        </w:rPr>
        <w:t>por lo que</w:t>
      </w:r>
      <w:r w:rsidR="00896524">
        <w:rPr>
          <w:rFonts w:ascii="Palatino Linotype" w:hAnsi="Palatino Linotype" w:cs="Tahoma"/>
          <w:bCs/>
        </w:rPr>
        <w:t>, se procede a revisar cada supuesto</w:t>
      </w:r>
      <w:r w:rsidR="00896524" w:rsidRPr="00896524">
        <w:rPr>
          <w:rFonts w:ascii="Palatino Linotype" w:hAnsi="Palatino Linotype" w:cs="Tahoma"/>
          <w:bCs/>
        </w:rPr>
        <w:t>.</w:t>
      </w:r>
    </w:p>
    <w:p w14:paraId="47823DE3" w14:textId="77777777" w:rsidR="00896524" w:rsidRDefault="00896524" w:rsidP="00896524">
      <w:pPr>
        <w:pBdr>
          <w:top w:val="nil"/>
          <w:left w:val="nil"/>
          <w:bottom w:val="nil"/>
          <w:right w:val="nil"/>
          <w:between w:val="nil"/>
        </w:pBdr>
        <w:spacing w:line="360" w:lineRule="auto"/>
        <w:ind w:right="49"/>
        <w:jc w:val="both"/>
        <w:rPr>
          <w:rFonts w:ascii="Palatino Linotype" w:eastAsia="Palatino Linotype" w:hAnsi="Palatino Linotype" w:cs="Palatino Linotype"/>
          <w:b/>
        </w:rPr>
      </w:pPr>
    </w:p>
    <w:p w14:paraId="0DF28C52" w14:textId="77777777" w:rsidR="00896524" w:rsidRPr="00896524" w:rsidRDefault="00896524" w:rsidP="00896524">
      <w:pPr>
        <w:pStyle w:val="Prrafodelista"/>
        <w:numPr>
          <w:ilvl w:val="0"/>
          <w:numId w:val="15"/>
        </w:numPr>
        <w:pBdr>
          <w:top w:val="nil"/>
          <w:left w:val="nil"/>
          <w:bottom w:val="nil"/>
          <w:right w:val="nil"/>
          <w:between w:val="nil"/>
        </w:pBdr>
        <w:spacing w:line="360" w:lineRule="auto"/>
        <w:ind w:left="0" w:right="49" w:hanging="284"/>
        <w:jc w:val="both"/>
        <w:rPr>
          <w:rFonts w:ascii="Palatino Linotype" w:eastAsia="Palatino Linotype" w:hAnsi="Palatino Linotype" w:cs="Palatino Linotype"/>
        </w:rPr>
      </w:pPr>
      <w:r w:rsidRPr="00896524">
        <w:rPr>
          <w:rFonts w:ascii="Palatino Linotype" w:eastAsia="Palatino Linotype" w:hAnsi="Palatino Linotype" w:cs="Palatino Linotype"/>
          <w:b/>
        </w:rPr>
        <w:t xml:space="preserve">Procedimiento administrativo de responsabilidades por faltas no graves en trámite o concluidos sin importar si fue absolutorio o condenatorio.  </w:t>
      </w:r>
    </w:p>
    <w:p w14:paraId="2CFDDA04" w14:textId="77777777" w:rsidR="00896524" w:rsidRPr="00896524" w:rsidRDefault="00896524" w:rsidP="00896524">
      <w:pPr>
        <w:spacing w:line="360" w:lineRule="auto"/>
        <w:ind w:right="49"/>
        <w:jc w:val="both"/>
        <w:rPr>
          <w:rFonts w:ascii="Palatino Linotype" w:eastAsia="Palatino Linotype" w:hAnsi="Palatino Linotype" w:cs="Palatino Linotype"/>
        </w:rPr>
      </w:pPr>
    </w:p>
    <w:p w14:paraId="21A19615" w14:textId="77777777" w:rsidR="00896524" w:rsidRPr="00896524" w:rsidRDefault="00896524" w:rsidP="00896524">
      <w:pPr>
        <w:spacing w:line="360" w:lineRule="auto"/>
        <w:ind w:right="49"/>
        <w:jc w:val="both"/>
        <w:rPr>
          <w:rFonts w:ascii="Palatino Linotype" w:eastAsia="Palatino Linotype" w:hAnsi="Palatino Linotype" w:cs="Palatino Linotype"/>
        </w:rPr>
      </w:pPr>
      <w:r w:rsidRPr="00896524">
        <w:rPr>
          <w:rFonts w:ascii="Palatino Linotype" w:eastAsia="Palatino Linotype" w:hAnsi="Palatino Linotype" w:cs="Palatino Linotype"/>
        </w:rPr>
        <w:t>En lo que concierne a las sanciones graves y no graves, es de mencionarse que corresponde a una de las obligaciones de transparencia común, como se desprende del artículo 92 fracción XXII de la Ley de Transparencia y Acceso a la Información Pública del Estado de México y Municipios, como se observa:</w:t>
      </w:r>
    </w:p>
    <w:p w14:paraId="4F077A2C" w14:textId="77777777" w:rsidR="00896524" w:rsidRPr="00896524" w:rsidRDefault="00896524" w:rsidP="00896524">
      <w:pPr>
        <w:spacing w:line="360" w:lineRule="auto"/>
        <w:ind w:right="49"/>
        <w:jc w:val="both"/>
        <w:rPr>
          <w:rFonts w:ascii="Palatino Linotype" w:eastAsia="Palatino Linotype" w:hAnsi="Palatino Linotype" w:cs="Palatino Linotype"/>
        </w:rPr>
      </w:pPr>
    </w:p>
    <w:p w14:paraId="6CE6BBF4" w14:textId="77777777" w:rsidR="00896524" w:rsidRPr="00896524" w:rsidRDefault="00896524" w:rsidP="00896524">
      <w:pPr>
        <w:ind w:left="851" w:right="822"/>
        <w:jc w:val="both"/>
        <w:rPr>
          <w:rFonts w:ascii="Palatino Linotype" w:eastAsia="Palatino Linotype" w:hAnsi="Palatino Linotype" w:cs="Palatino Linotype"/>
          <w:i/>
          <w:sz w:val="22"/>
          <w:szCs w:val="22"/>
        </w:rPr>
      </w:pPr>
      <w:r w:rsidRPr="00896524">
        <w:rPr>
          <w:rFonts w:ascii="Palatino Linotype" w:eastAsia="Palatino Linotype" w:hAnsi="Palatino Linotype" w:cs="Palatino Linotype"/>
          <w:i/>
          <w:sz w:val="22"/>
          <w:szCs w:val="22"/>
        </w:rPr>
        <w:lastRenderedPageBreak/>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AC574E7" w14:textId="77777777" w:rsidR="00896524" w:rsidRPr="00896524" w:rsidRDefault="00896524" w:rsidP="00896524">
      <w:pPr>
        <w:ind w:left="851" w:right="822"/>
        <w:jc w:val="both"/>
        <w:rPr>
          <w:rFonts w:ascii="Palatino Linotype" w:eastAsia="Palatino Linotype" w:hAnsi="Palatino Linotype" w:cs="Palatino Linotype"/>
          <w:i/>
          <w:sz w:val="22"/>
          <w:szCs w:val="22"/>
        </w:rPr>
      </w:pPr>
      <w:r w:rsidRPr="00896524">
        <w:rPr>
          <w:rFonts w:ascii="Palatino Linotype" w:eastAsia="Palatino Linotype" w:hAnsi="Palatino Linotype" w:cs="Palatino Linotype"/>
          <w:i/>
          <w:sz w:val="22"/>
          <w:szCs w:val="22"/>
        </w:rPr>
        <w:t>...</w:t>
      </w:r>
    </w:p>
    <w:p w14:paraId="3422A619" w14:textId="7C945087" w:rsidR="00896524" w:rsidRPr="00896524" w:rsidRDefault="00896524" w:rsidP="00896524">
      <w:pPr>
        <w:ind w:left="851" w:right="822"/>
        <w:jc w:val="both"/>
        <w:rPr>
          <w:rFonts w:ascii="Palatino Linotype" w:eastAsia="Palatino Linotype" w:hAnsi="Palatino Linotype" w:cs="Palatino Linotype"/>
          <w:b/>
          <w:i/>
          <w:sz w:val="22"/>
          <w:szCs w:val="22"/>
        </w:rPr>
      </w:pPr>
      <w:r w:rsidRPr="00896524">
        <w:rPr>
          <w:rFonts w:ascii="Palatino Linotype" w:eastAsia="Palatino Linotype" w:hAnsi="Palatino Linotype" w:cs="Palatino Linotype"/>
          <w:i/>
          <w:sz w:val="22"/>
          <w:szCs w:val="22"/>
        </w:rPr>
        <w:t xml:space="preserve">XXII. </w:t>
      </w:r>
      <w:r w:rsidRPr="00896524">
        <w:rPr>
          <w:rFonts w:ascii="Palatino Linotype" w:eastAsia="Palatino Linotype" w:hAnsi="Palatino Linotype" w:cs="Palatino Linotype"/>
          <w:b/>
          <w:i/>
          <w:sz w:val="22"/>
          <w:szCs w:val="22"/>
        </w:rPr>
        <w:t>El listado de Servidores Públicos con sanciones administrativas definitivas, especificando la causa de sanción y la disposición;" (Sic)</w:t>
      </w:r>
      <w:r>
        <w:rPr>
          <w:rFonts w:ascii="Palatino Linotype" w:eastAsia="Palatino Linotype" w:hAnsi="Palatino Linotype" w:cs="Palatino Linotype"/>
          <w:b/>
          <w:i/>
          <w:sz w:val="22"/>
          <w:szCs w:val="22"/>
        </w:rPr>
        <w:t xml:space="preserve"> (Énfasis añadido)</w:t>
      </w:r>
    </w:p>
    <w:p w14:paraId="304AE161" w14:textId="77777777" w:rsidR="00896524" w:rsidRPr="00896524" w:rsidRDefault="00896524" w:rsidP="00896524">
      <w:pPr>
        <w:spacing w:line="360" w:lineRule="auto"/>
        <w:ind w:right="49"/>
        <w:jc w:val="both"/>
        <w:rPr>
          <w:rFonts w:ascii="Palatino Linotype" w:eastAsia="Palatino Linotype" w:hAnsi="Palatino Linotype" w:cs="Palatino Linotype"/>
        </w:rPr>
      </w:pPr>
    </w:p>
    <w:p w14:paraId="43B506FA" w14:textId="5C1C9C4B" w:rsidR="00896524" w:rsidRPr="00896524" w:rsidRDefault="00896524" w:rsidP="00896524">
      <w:pPr>
        <w:spacing w:line="360" w:lineRule="auto"/>
        <w:ind w:right="49"/>
        <w:jc w:val="both"/>
        <w:rPr>
          <w:rFonts w:ascii="Palatino Linotype" w:eastAsia="Palatino Linotype" w:hAnsi="Palatino Linotype" w:cs="Palatino Linotype"/>
        </w:rPr>
      </w:pPr>
      <w:r w:rsidRPr="00896524">
        <w:rPr>
          <w:rFonts w:ascii="Palatino Linotype" w:eastAsia="Palatino Linotype" w:hAnsi="Palatino Linotype" w:cs="Palatino Linotype"/>
        </w:rPr>
        <w:t xml:space="preserve">No obstante, </w:t>
      </w:r>
      <w:r>
        <w:rPr>
          <w:rFonts w:ascii="Palatino Linotype" w:eastAsia="Palatino Linotype" w:hAnsi="Palatino Linotype" w:cs="Palatino Linotype"/>
          <w:b/>
          <w:u w:val="single"/>
        </w:rPr>
        <w:t>só</w:t>
      </w:r>
      <w:r w:rsidRPr="00896524">
        <w:rPr>
          <w:rFonts w:ascii="Palatino Linotype" w:eastAsia="Palatino Linotype" w:hAnsi="Palatino Linotype" w:cs="Palatino Linotype"/>
          <w:b/>
          <w:u w:val="single"/>
        </w:rPr>
        <w:t>lo pueden ser dadas a conocer las responsabilidades administrativas</w:t>
      </w:r>
      <w:r w:rsidRPr="00896524">
        <w:rPr>
          <w:rFonts w:ascii="Palatino Linotype" w:eastAsia="Palatino Linotype" w:hAnsi="Palatino Linotype" w:cs="Palatino Linotype"/>
        </w:rPr>
        <w:t xml:space="preserve"> </w:t>
      </w:r>
      <w:r w:rsidRPr="00896524">
        <w:rPr>
          <w:rFonts w:ascii="Palatino Linotype" w:eastAsia="Palatino Linotype" w:hAnsi="Palatino Linotype" w:cs="Palatino Linotype"/>
          <w:b/>
          <w:u w:val="single"/>
        </w:rPr>
        <w:t>por faltas graves</w:t>
      </w:r>
      <w:r w:rsidRPr="00896524">
        <w:rPr>
          <w:rFonts w:ascii="Palatino Linotype" w:eastAsia="Palatino Linotype" w:hAnsi="Palatino Linotype" w:cs="Palatino Linotype"/>
        </w:rPr>
        <w:t xml:space="preserve">. Lo anterior, con motivo de la entrada en vigor de la Ley del Sistema Anticorrupción del Estado de México y Municipios publicada en el periódico oficial "Gaceta del Gobierno" el treinta de mayo de 2017, que establece que </w:t>
      </w:r>
      <w:r w:rsidRPr="00896524">
        <w:rPr>
          <w:rFonts w:ascii="Palatino Linotype" w:eastAsia="Palatino Linotype" w:hAnsi="Palatino Linotype" w:cs="Palatino Linotype"/>
          <w:b/>
          <w:u w:val="single"/>
        </w:rPr>
        <w:t>las sanciones no graves no serán públicas</w:t>
      </w:r>
      <w:r w:rsidRPr="00896524">
        <w:rPr>
          <w:rFonts w:ascii="Palatino Linotype" w:eastAsia="Palatino Linotype" w:hAnsi="Palatino Linotype" w:cs="Palatino Linotype"/>
        </w:rPr>
        <w:t>, toda vez que únicamente es de interés para los Poderes Ejecutivo, Legislativo y Judicial, los Ayuntamiento</w:t>
      </w:r>
      <w:r>
        <w:rPr>
          <w:rFonts w:ascii="Palatino Linotype" w:eastAsia="Palatino Linotype" w:hAnsi="Palatino Linotype" w:cs="Palatino Linotype"/>
        </w:rPr>
        <w:t>s</w:t>
      </w:r>
      <w:r w:rsidRPr="00896524">
        <w:rPr>
          <w:rFonts w:ascii="Palatino Linotype" w:eastAsia="Palatino Linotype" w:hAnsi="Palatino Linotype" w:cs="Palatino Linotype"/>
        </w:rPr>
        <w:t>, Organismos Auxiliares, Fideicomisos Públicos y los Órganos Constitucionalmente Autónomos, en virtud de que exclusivamente se deriva de la relación entre autori</w:t>
      </w:r>
      <w:r>
        <w:rPr>
          <w:rFonts w:ascii="Palatino Linotype" w:eastAsia="Palatino Linotype" w:hAnsi="Palatino Linotype" w:cs="Palatino Linotype"/>
        </w:rPr>
        <w:t>dades administrativas y el titular</w:t>
      </w:r>
      <w:r w:rsidRPr="00896524">
        <w:rPr>
          <w:rFonts w:ascii="Palatino Linotype" w:eastAsia="Palatino Linotype" w:hAnsi="Palatino Linotype" w:cs="Palatino Linotype"/>
        </w:rPr>
        <w:t xml:space="preserve"> de los datos personales, para acatar las disposiciones contenidas en el artículo 53 de la citada Ley Anticorrupción y que son de la literalidad siguiente:</w:t>
      </w:r>
    </w:p>
    <w:p w14:paraId="12D97C44" w14:textId="77777777" w:rsidR="00896524" w:rsidRPr="00896524" w:rsidRDefault="00896524" w:rsidP="00896524">
      <w:pPr>
        <w:spacing w:line="360" w:lineRule="auto"/>
        <w:ind w:right="49"/>
        <w:jc w:val="both"/>
        <w:rPr>
          <w:rFonts w:ascii="Palatino Linotype" w:eastAsia="Palatino Linotype" w:hAnsi="Palatino Linotype" w:cs="Palatino Linotype"/>
          <w:sz w:val="22"/>
          <w:szCs w:val="22"/>
        </w:rPr>
      </w:pPr>
    </w:p>
    <w:p w14:paraId="3C80EF35" w14:textId="77777777" w:rsidR="00896524" w:rsidRPr="00896524" w:rsidRDefault="00896524" w:rsidP="00896524">
      <w:pPr>
        <w:ind w:left="851" w:right="822"/>
        <w:jc w:val="both"/>
        <w:rPr>
          <w:rFonts w:ascii="Palatino Linotype" w:eastAsia="Palatino Linotype" w:hAnsi="Palatino Linotype" w:cs="Palatino Linotype"/>
          <w:b/>
          <w:i/>
          <w:sz w:val="22"/>
          <w:szCs w:val="22"/>
        </w:rPr>
      </w:pPr>
      <w:r w:rsidRPr="00896524">
        <w:rPr>
          <w:rFonts w:ascii="Palatino Linotype" w:eastAsia="Palatino Linotype" w:hAnsi="Palatino Linotype" w:cs="Palatino Linotype"/>
          <w:b/>
          <w:i/>
          <w:sz w:val="22"/>
          <w:szCs w:val="22"/>
        </w:rPr>
        <w:t xml:space="preserve">“Artículo 53. Las sanciones impuestas por faltas administrativas graves serán del conocimiento público </w:t>
      </w:r>
      <w:r w:rsidRPr="00896524">
        <w:rPr>
          <w:rFonts w:ascii="Palatino Linotype" w:eastAsia="Palatino Linotype" w:hAnsi="Palatino Linotype" w:cs="Palatino Linotype"/>
          <w:b/>
          <w:i/>
          <w:sz w:val="22"/>
          <w:szCs w:val="22"/>
          <w:u w:val="single"/>
        </w:rPr>
        <w:t>cuando éstas contengan impedimentos o inhabilitaciones</w:t>
      </w:r>
      <w:r w:rsidRPr="00896524">
        <w:rPr>
          <w:rFonts w:ascii="Palatino Linotype" w:eastAsia="Palatino Linotype" w:hAnsi="Palatino Linotype" w:cs="Palatino Linotype"/>
          <w:b/>
          <w:i/>
          <w:sz w:val="22"/>
          <w:szCs w:val="22"/>
        </w:rPr>
        <w:t xml:space="preserve"> para ser contratados como servidores públicos o como prestadores de servicios o contratistas del sector público, en términos de la Ley de Responsabilidades Administrativas del Estado de México y Municipios.</w:t>
      </w:r>
    </w:p>
    <w:p w14:paraId="39658811" w14:textId="77777777" w:rsidR="00896524" w:rsidRPr="00896524" w:rsidRDefault="00896524" w:rsidP="00896524">
      <w:pPr>
        <w:ind w:left="851" w:right="822"/>
        <w:jc w:val="both"/>
        <w:rPr>
          <w:rFonts w:ascii="Palatino Linotype" w:eastAsia="Palatino Linotype" w:hAnsi="Palatino Linotype" w:cs="Palatino Linotype"/>
          <w:i/>
          <w:sz w:val="22"/>
          <w:szCs w:val="22"/>
        </w:rPr>
      </w:pPr>
    </w:p>
    <w:p w14:paraId="0721B66B" w14:textId="660E4ECE" w:rsidR="00896524" w:rsidRPr="00896524" w:rsidRDefault="00896524" w:rsidP="00896524">
      <w:pPr>
        <w:ind w:left="851" w:right="822"/>
        <w:jc w:val="both"/>
        <w:rPr>
          <w:rFonts w:ascii="Palatino Linotype" w:eastAsia="Palatino Linotype" w:hAnsi="Palatino Linotype" w:cs="Palatino Linotype"/>
          <w:i/>
          <w:sz w:val="22"/>
          <w:szCs w:val="22"/>
        </w:rPr>
      </w:pPr>
      <w:r w:rsidRPr="00896524">
        <w:rPr>
          <w:rFonts w:ascii="Palatino Linotype" w:eastAsia="Palatino Linotype" w:hAnsi="Palatino Linotype" w:cs="Palatino Linotype"/>
          <w:i/>
          <w:sz w:val="22"/>
          <w:szCs w:val="22"/>
        </w:rPr>
        <w:lastRenderedPageBreak/>
        <w:t xml:space="preserve">Los registros de </w:t>
      </w:r>
      <w:r w:rsidRPr="00896524">
        <w:rPr>
          <w:rFonts w:ascii="Palatino Linotype" w:eastAsia="Palatino Linotype" w:hAnsi="Palatino Linotype" w:cs="Palatino Linotype"/>
          <w:b/>
          <w:i/>
          <w:sz w:val="22"/>
          <w:szCs w:val="22"/>
          <w:u w:val="single"/>
        </w:rPr>
        <w:t>las sanciones relativas a responsabilidades administrativas no graves, quedarán registradas para efectos de eventual reincidencia, pero no serán públicas.</w:t>
      </w:r>
      <w:r w:rsidRPr="00896524">
        <w:rPr>
          <w:rFonts w:ascii="Palatino Linotype" w:eastAsia="Palatino Linotype" w:hAnsi="Palatino Linotype" w:cs="Palatino Linotype"/>
          <w:i/>
          <w:sz w:val="22"/>
          <w:szCs w:val="22"/>
        </w:rPr>
        <w:t xml:space="preserve">” (Sic) </w:t>
      </w:r>
      <w:r>
        <w:rPr>
          <w:rFonts w:ascii="Palatino Linotype" w:eastAsia="Palatino Linotype" w:hAnsi="Palatino Linotype" w:cs="Palatino Linotype"/>
          <w:i/>
          <w:sz w:val="22"/>
          <w:szCs w:val="22"/>
        </w:rPr>
        <w:t>(Énfasis añadido)</w:t>
      </w:r>
    </w:p>
    <w:p w14:paraId="335FC9DD" w14:textId="77777777" w:rsidR="00896524" w:rsidRPr="00896524" w:rsidRDefault="00896524" w:rsidP="00896524">
      <w:pPr>
        <w:spacing w:line="360" w:lineRule="auto"/>
        <w:ind w:right="49"/>
        <w:jc w:val="both"/>
        <w:rPr>
          <w:rFonts w:ascii="Palatino Linotype" w:eastAsia="Palatino Linotype" w:hAnsi="Palatino Linotype" w:cs="Palatino Linotype"/>
        </w:rPr>
      </w:pPr>
    </w:p>
    <w:p w14:paraId="7CCFF674" w14:textId="77777777" w:rsidR="00896524" w:rsidRPr="00896524" w:rsidRDefault="00896524" w:rsidP="00896524">
      <w:pPr>
        <w:spacing w:line="360" w:lineRule="auto"/>
        <w:ind w:right="49"/>
        <w:jc w:val="both"/>
        <w:rPr>
          <w:rFonts w:ascii="Palatino Linotype" w:eastAsia="Palatino Linotype" w:hAnsi="Palatino Linotype" w:cs="Palatino Linotype"/>
          <w:i/>
          <w:sz w:val="22"/>
          <w:szCs w:val="22"/>
        </w:rPr>
      </w:pPr>
      <w:r w:rsidRPr="00896524">
        <w:rPr>
          <w:rFonts w:ascii="Palatino Linotype" w:eastAsia="Palatino Linotype" w:hAnsi="Palatino Linotype" w:cs="Palatino Linotype"/>
        </w:rPr>
        <w:t xml:space="preserve">En ese sentido es importante, referir que la Ley de Responsabilidades Administrativas del Estado de México y Municipios, señala </w:t>
      </w:r>
      <w:r w:rsidRPr="00896524">
        <w:rPr>
          <w:rFonts w:ascii="Palatino Linotype" w:eastAsia="Batang" w:hAnsi="Palatino Linotype" w:cs="Arial"/>
        </w:rPr>
        <w:t>que incurrirá en una falta administrativa no grave, aquellos servidores públicos cuyos actos y omisiones incumplan o transgredan el cumplimiento de sus funciones, atribuciones o comisiones, la atención de instrucciones, presentar en tiempo y forma las declaraciones de situación patrimonial y de intereses, el cuidado de documentación, la rendición de cuentas sobre el ejercicio de sus funciones, entre otras.</w:t>
      </w:r>
    </w:p>
    <w:p w14:paraId="512EB1CE" w14:textId="77777777" w:rsidR="00896524" w:rsidRPr="00896524" w:rsidRDefault="00896524" w:rsidP="00896524">
      <w:pPr>
        <w:autoSpaceDE w:val="0"/>
        <w:autoSpaceDN w:val="0"/>
        <w:adjustRightInd w:val="0"/>
        <w:spacing w:before="240" w:after="240" w:line="360" w:lineRule="auto"/>
        <w:jc w:val="both"/>
        <w:rPr>
          <w:rFonts w:ascii="Palatino Linotype" w:eastAsia="Batang" w:hAnsi="Palatino Linotype" w:cs="Arial"/>
        </w:rPr>
      </w:pPr>
      <w:r w:rsidRPr="00896524">
        <w:rPr>
          <w:rFonts w:ascii="Palatino Linotype" w:eastAsia="Batang" w:hAnsi="Palatino Linotype" w:cs="Arial"/>
        </w:rPr>
        <w:t>Como se logra observar, las faltas no graves, son aquellas que cometen los servidores públicos por incumplimiento a sus funciones, o bien, a sus obligaciones y, por lo tanto, las consecuencias recaen directamente en contra, de este, al no haber una afectación a terceros (</w:t>
      </w:r>
      <w:r w:rsidRPr="00896524">
        <w:rPr>
          <w:rFonts w:ascii="Palatino Linotype" w:eastAsia="Batang" w:hAnsi="Palatino Linotype" w:cs="Arial"/>
          <w:i/>
        </w:rPr>
        <w:t>personas físicas, morales, instituciones públicas u otros trabajadores</w:t>
      </w:r>
      <w:r w:rsidRPr="00896524">
        <w:rPr>
          <w:rFonts w:ascii="Palatino Linotype" w:eastAsia="Batang" w:hAnsi="Palatino Linotype" w:cs="Arial"/>
        </w:rPr>
        <w:t>), ni haber un detrimento en el erario.</w:t>
      </w:r>
    </w:p>
    <w:p w14:paraId="07681ACF" w14:textId="5E0AA70A" w:rsidR="00896524" w:rsidRPr="00896524" w:rsidRDefault="00896524" w:rsidP="00896524">
      <w:pPr>
        <w:autoSpaceDE w:val="0"/>
        <w:autoSpaceDN w:val="0"/>
        <w:adjustRightInd w:val="0"/>
        <w:spacing w:before="240" w:after="240" w:line="360" w:lineRule="auto"/>
        <w:jc w:val="both"/>
        <w:rPr>
          <w:rFonts w:ascii="Palatino Linotype" w:eastAsia="Batang" w:hAnsi="Palatino Linotype" w:cs="Arial"/>
        </w:rPr>
      </w:pPr>
      <w:r w:rsidRPr="00896524">
        <w:rPr>
          <w:rFonts w:ascii="Palatino Linotype" w:eastAsia="Batang" w:hAnsi="Palatino Linotype" w:cs="Arial"/>
          <w:b/>
        </w:rPr>
        <w:t xml:space="preserve">Así, se puede advertir que dichas faltas, no tienen una trascendencia social, </w:t>
      </w:r>
      <w:r w:rsidRPr="00896524">
        <w:rPr>
          <w:rFonts w:ascii="Palatino Linotype" w:eastAsia="Batang" w:hAnsi="Palatino Linotype" w:cs="Arial"/>
        </w:rPr>
        <w:t>pues no existe un daño</w:t>
      </w:r>
      <w:r>
        <w:rPr>
          <w:rFonts w:ascii="Palatino Linotype" w:eastAsia="Batang" w:hAnsi="Palatino Linotype" w:cs="Arial"/>
        </w:rPr>
        <w:t xml:space="preserve"> externo, sino que únicamente le</w:t>
      </w:r>
      <w:r w:rsidRPr="00896524">
        <w:rPr>
          <w:rFonts w:ascii="Palatino Linotype" w:eastAsia="Batang" w:hAnsi="Palatino Linotype" w:cs="Arial"/>
        </w:rPr>
        <w:t xml:space="preserve"> atañe al servidor público en cuestión.</w:t>
      </w:r>
    </w:p>
    <w:p w14:paraId="3FD92B0D" w14:textId="77777777" w:rsidR="00896524" w:rsidRPr="00896524" w:rsidRDefault="00896524" w:rsidP="00896524">
      <w:pPr>
        <w:autoSpaceDE w:val="0"/>
        <w:autoSpaceDN w:val="0"/>
        <w:adjustRightInd w:val="0"/>
        <w:spacing w:before="240" w:after="240" w:line="360" w:lineRule="auto"/>
        <w:jc w:val="both"/>
        <w:rPr>
          <w:rFonts w:ascii="Palatino Linotype" w:hAnsi="Palatino Linotype" w:cs="Arial"/>
        </w:rPr>
      </w:pPr>
      <w:r w:rsidRPr="00896524">
        <w:rPr>
          <w:rFonts w:ascii="Palatino Linotype" w:hAnsi="Palatino Linotype" w:cs="Arial"/>
        </w:rPr>
        <w:t xml:space="preserve">Por lo expuesto, se desprende que dar a conocer el nombre del servidor público de un procedimiento de responsabilidad administrativa no grave, constituye información confidencial que afecta su esfera privada, puesto que podría generar una percepción negativa de este, ocasionando un perjuicio en su </w:t>
      </w:r>
      <w:r w:rsidRPr="00896524">
        <w:rPr>
          <w:rFonts w:ascii="Palatino Linotype" w:hAnsi="Palatino Linotype" w:cs="Arial"/>
          <w:b/>
        </w:rPr>
        <w:t xml:space="preserve">honor, intimidad </w:t>
      </w:r>
      <w:r w:rsidRPr="00896524">
        <w:rPr>
          <w:rFonts w:ascii="Palatino Linotype" w:hAnsi="Palatino Linotype" w:cs="Arial"/>
          <w:b/>
        </w:rPr>
        <w:lastRenderedPageBreak/>
        <w:t>y buena imagen</w:t>
      </w:r>
      <w:r w:rsidRPr="00896524">
        <w:rPr>
          <w:rFonts w:ascii="Palatino Linotype" w:hAnsi="Palatino Linotype" w:cs="Arial"/>
        </w:rPr>
        <w:t>, pues como se precisó la afectación es para el propio servidor público, situación que no afecta a terceros.</w:t>
      </w:r>
    </w:p>
    <w:p w14:paraId="09555FE0" w14:textId="43382C15" w:rsidR="00896524" w:rsidRPr="00896524" w:rsidRDefault="00896524" w:rsidP="00896524">
      <w:pPr>
        <w:autoSpaceDE w:val="0"/>
        <w:autoSpaceDN w:val="0"/>
        <w:adjustRightInd w:val="0"/>
        <w:spacing w:before="240" w:after="240" w:line="360" w:lineRule="auto"/>
        <w:jc w:val="both"/>
        <w:rPr>
          <w:rFonts w:ascii="Palatino Linotype" w:hAnsi="Palatino Linotype" w:cs="Arial"/>
        </w:rPr>
      </w:pPr>
      <w:r w:rsidRPr="00896524">
        <w:rPr>
          <w:rFonts w:ascii="Palatino Linotype" w:hAnsi="Palatino Linotype" w:cs="Arial"/>
        </w:rPr>
        <w:t xml:space="preserve">Por lo cual, dar a conocer el nombre y cargo del servidor público, así como la sanción  que haya recibido por una falta administrativa no grave, la cual no causa una afectación a otros, pues como se precisó en párrafos anteriores, se trata de incumplimientos a sus funciones u obligaciones, podría generar un juicio </w:t>
      </w:r>
      <w:r w:rsidRPr="00896524">
        <w:rPr>
          <w:rFonts w:ascii="Palatino Linotype" w:hAnsi="Palatino Linotype" w:cs="Arial"/>
          <w:i/>
        </w:rPr>
        <w:t>a priori</w:t>
      </w:r>
      <w:r w:rsidRPr="00896524">
        <w:rPr>
          <w:rFonts w:ascii="Palatino Linotype" w:hAnsi="Palatino Linotype" w:cs="Arial"/>
        </w:rPr>
        <w:t xml:space="preserve"> por parte de la sociedad, afectando su prestigio y su buen</w:t>
      </w:r>
      <w:r w:rsidR="001A7C83">
        <w:rPr>
          <w:rFonts w:ascii="Palatino Linotype" w:hAnsi="Palatino Linotype" w:cs="Arial"/>
        </w:rPr>
        <w:t xml:space="preserve"> nombre, pues esto podría causar una mala percepción del servidor público frente a la sociedad</w:t>
      </w:r>
      <w:r w:rsidRPr="00896524">
        <w:rPr>
          <w:rFonts w:ascii="Palatino Linotype" w:hAnsi="Palatino Linotype" w:cs="Arial"/>
        </w:rPr>
        <w:t xml:space="preserve">, </w:t>
      </w:r>
      <w:r>
        <w:rPr>
          <w:rFonts w:ascii="Palatino Linotype" w:hAnsi="Palatino Linotype" w:cs="Arial"/>
          <w:b/>
        </w:rPr>
        <w:t>lo cual daña su</w:t>
      </w:r>
      <w:r w:rsidRPr="00896524">
        <w:rPr>
          <w:rFonts w:ascii="Palatino Linotype" w:hAnsi="Palatino Linotype" w:cs="Arial"/>
          <w:b/>
        </w:rPr>
        <w:t xml:space="preserve"> vida privada y profesional,</w:t>
      </w:r>
      <w:r w:rsidRPr="00896524">
        <w:rPr>
          <w:rFonts w:ascii="Palatino Linotype" w:hAnsi="Palatino Linotype" w:cs="Arial"/>
        </w:rPr>
        <w:t xml:space="preserve"> mismas que forman parte de su intimidad; por lo que se concluye que dicha información, en caso </w:t>
      </w:r>
      <w:r>
        <w:rPr>
          <w:rFonts w:ascii="Palatino Linotype" w:hAnsi="Palatino Linotype" w:cs="Arial"/>
        </w:rPr>
        <w:t xml:space="preserve">de </w:t>
      </w:r>
      <w:r w:rsidRPr="00896524">
        <w:rPr>
          <w:rFonts w:ascii="Palatino Linotype" w:hAnsi="Palatino Linotype" w:cs="Arial"/>
        </w:rPr>
        <w:t>que existiera, tiene el carácter de confidencial.</w:t>
      </w:r>
    </w:p>
    <w:p w14:paraId="2B4BD929" w14:textId="77777777" w:rsidR="00896524" w:rsidRPr="00896524" w:rsidRDefault="00896524" w:rsidP="00896524">
      <w:pPr>
        <w:autoSpaceDE w:val="0"/>
        <w:autoSpaceDN w:val="0"/>
        <w:adjustRightInd w:val="0"/>
        <w:spacing w:before="240" w:after="240" w:line="360" w:lineRule="auto"/>
        <w:jc w:val="both"/>
        <w:rPr>
          <w:rFonts w:ascii="Palatino Linotype" w:hAnsi="Palatino Linotype" w:cs="Arial"/>
        </w:rPr>
      </w:pPr>
      <w:r w:rsidRPr="00896524">
        <w:rPr>
          <w:rFonts w:ascii="Palatino Linotype" w:hAnsi="Palatino Linotype" w:cs="Arial"/>
        </w:rPr>
        <w:t xml:space="preserve">Por lo cual, se considera procedente la clasificación, en términos del artículo 143, fracción I, de la Ley de Transparencia y Acceso a la Información Pública del Estado de México y Municipios, </w:t>
      </w:r>
      <w:r w:rsidRPr="00896524">
        <w:rPr>
          <w:rFonts w:ascii="Palatino Linotype" w:hAnsi="Palatino Linotype" w:cs="Arial"/>
          <w:b/>
        </w:rPr>
        <w:t>del nombre de los servidores públicos que hayan recibido alguna sanción por falta administrativa no grave</w:t>
      </w:r>
      <w:r w:rsidRPr="00896524">
        <w:rPr>
          <w:rFonts w:ascii="Palatino Linotype" w:hAnsi="Palatino Linotype" w:cs="Arial"/>
        </w:rPr>
        <w:t>.</w:t>
      </w:r>
    </w:p>
    <w:p w14:paraId="17D6C9FF" w14:textId="79AE8345" w:rsidR="00896524" w:rsidRPr="00896524" w:rsidRDefault="00896524" w:rsidP="00896524">
      <w:pPr>
        <w:autoSpaceDE w:val="0"/>
        <w:autoSpaceDN w:val="0"/>
        <w:adjustRightInd w:val="0"/>
        <w:spacing w:before="240" w:after="240" w:line="360" w:lineRule="auto"/>
        <w:jc w:val="both"/>
        <w:rPr>
          <w:rFonts w:ascii="Palatino Linotype" w:eastAsia="Palatino Linotype" w:hAnsi="Palatino Linotype" w:cs="Palatino Linotype"/>
        </w:rPr>
      </w:pPr>
      <w:r w:rsidRPr="00896524">
        <w:rPr>
          <w:rFonts w:ascii="Palatino Linotype" w:eastAsia="Palatino Linotype" w:hAnsi="Palatino Linotype" w:cs="Palatino Linotype"/>
        </w:rPr>
        <w:t>Luego entonces, conforme a los preceptos legales antes citados los procedimientos que derivaron en sanciones administrativas no graves concluidos de manera absolutoria o condenatoria, no serán de acceso público, por lo que procede su entrega en versión pública, clasificando como información confidencial el nombre, cargo, y en su caso la sanción que se hubiese impuesto, para lo cual deberá ser emitido por el Comité de Transparencia del Sujeto Obligado, conforme a lo establec</w:t>
      </w:r>
      <w:r w:rsidR="00BC57B0">
        <w:rPr>
          <w:rFonts w:ascii="Palatino Linotype" w:eastAsia="Palatino Linotype" w:hAnsi="Palatino Linotype" w:cs="Palatino Linotype"/>
        </w:rPr>
        <w:t>ido en el considerando quinto</w:t>
      </w:r>
      <w:r w:rsidRPr="00896524">
        <w:rPr>
          <w:rFonts w:ascii="Palatino Linotype" w:eastAsia="Palatino Linotype" w:hAnsi="Palatino Linotype" w:cs="Palatino Linotype"/>
        </w:rPr>
        <w:t>.</w:t>
      </w:r>
    </w:p>
    <w:p w14:paraId="4D54D1B2" w14:textId="47533F1A" w:rsidR="00896524" w:rsidRPr="00BC57B0" w:rsidRDefault="00896524" w:rsidP="00BC57B0">
      <w:pPr>
        <w:autoSpaceDE w:val="0"/>
        <w:autoSpaceDN w:val="0"/>
        <w:adjustRightInd w:val="0"/>
        <w:spacing w:before="240" w:after="240" w:line="360" w:lineRule="auto"/>
        <w:jc w:val="both"/>
        <w:rPr>
          <w:rFonts w:ascii="Palatino Linotype" w:hAnsi="Palatino Linotype" w:cs="Arial"/>
        </w:rPr>
      </w:pPr>
      <w:r w:rsidRPr="00896524">
        <w:rPr>
          <w:rFonts w:ascii="Palatino Linotype" w:eastAsia="Palatino Linotype" w:hAnsi="Palatino Linotype" w:cs="Palatino Linotype"/>
        </w:rPr>
        <w:lastRenderedPageBreak/>
        <w:t>Par</w:t>
      </w:r>
      <w:r w:rsidR="00BC57B0">
        <w:rPr>
          <w:rFonts w:ascii="Palatino Linotype" w:eastAsia="Palatino Linotype" w:hAnsi="Palatino Linotype" w:cs="Palatino Linotype"/>
        </w:rPr>
        <w:t>a el caso de que durante los años 2019, 2020 y del 1 de enero al once de agosto de 2021</w:t>
      </w:r>
      <w:r w:rsidRPr="00896524">
        <w:rPr>
          <w:rFonts w:ascii="Palatino Linotype" w:eastAsia="Palatino Linotype" w:hAnsi="Palatino Linotype" w:cs="Palatino Linotype"/>
        </w:rPr>
        <w:t>, se hayan emitido acuerdos en procedimientos administrativos por faltas no graves que se encuentren en tramité, los mismo</w:t>
      </w:r>
      <w:r w:rsidR="00BC57B0">
        <w:rPr>
          <w:rFonts w:ascii="Palatino Linotype" w:eastAsia="Palatino Linotype" w:hAnsi="Palatino Linotype" w:cs="Palatino Linotype"/>
        </w:rPr>
        <w:t>s</w:t>
      </w:r>
      <w:r w:rsidRPr="00896524">
        <w:rPr>
          <w:rFonts w:ascii="Palatino Linotype" w:eastAsia="Palatino Linotype" w:hAnsi="Palatino Linotype" w:cs="Palatino Linotype"/>
        </w:rPr>
        <w:t xml:space="preserve"> deberán clasificarse como reservados, para lo cual el Sujeto Obligado deberá emitir el Acuerdo de Comité de Transparencia debidamente fundado y motivado, observando las formalidades establecidas en la normatividad aplicable.</w:t>
      </w:r>
    </w:p>
    <w:p w14:paraId="1DBA7137" w14:textId="2165DFAD" w:rsidR="00896524" w:rsidRPr="00BC57B0" w:rsidRDefault="00896524" w:rsidP="00BC57B0">
      <w:pPr>
        <w:numPr>
          <w:ilvl w:val="0"/>
          <w:numId w:val="11"/>
        </w:numPr>
        <w:spacing w:line="360" w:lineRule="auto"/>
        <w:ind w:left="0" w:right="49" w:hanging="142"/>
        <w:contextualSpacing/>
        <w:jc w:val="both"/>
        <w:rPr>
          <w:rFonts w:ascii="Palatino Linotype" w:eastAsia="Palatino Linotype" w:hAnsi="Palatino Linotype" w:cs="Palatino Linotype"/>
          <w:b/>
        </w:rPr>
      </w:pPr>
      <w:r w:rsidRPr="00896524">
        <w:rPr>
          <w:rFonts w:ascii="Palatino Linotype" w:eastAsia="Palatino Linotype" w:hAnsi="Palatino Linotype" w:cs="Palatino Linotype"/>
          <w:b/>
        </w:rPr>
        <w:t>De los procedimientos sobre faltas administrativas graves que se encuentren en trámite.</w:t>
      </w:r>
    </w:p>
    <w:p w14:paraId="14961038" w14:textId="77777777" w:rsidR="00896524" w:rsidRPr="00896524" w:rsidRDefault="00896524" w:rsidP="00896524">
      <w:pPr>
        <w:spacing w:line="360" w:lineRule="auto"/>
        <w:ind w:right="49"/>
        <w:jc w:val="both"/>
        <w:rPr>
          <w:rFonts w:ascii="Palatino Linotype" w:eastAsia="Palatino Linotype" w:hAnsi="Palatino Linotype" w:cs="Palatino Linotype"/>
        </w:rPr>
      </w:pPr>
      <w:r w:rsidRPr="00896524">
        <w:rPr>
          <w:rFonts w:ascii="Palatino Linotype" w:eastAsia="Palatino Linotype" w:hAnsi="Palatino Linotype" w:cs="Palatino Linotype"/>
        </w:rPr>
        <w:t>Respecto a los procedimientos sobre faltas administrativas graves que se encuentren en trámite, esto es que no hayan causado estado, se estima que se trata de información que debe ser clasificada como reservada, porque de revelarse la información se atenta contra el principio de presunción de inocencia que debe seguirse en la administración de la justicia, conforme a lo que enseguida se razona.</w:t>
      </w:r>
    </w:p>
    <w:p w14:paraId="5BF8E186" w14:textId="77777777" w:rsidR="00896524" w:rsidRPr="00896524" w:rsidRDefault="00896524" w:rsidP="00896524">
      <w:pPr>
        <w:spacing w:line="360" w:lineRule="auto"/>
        <w:ind w:right="49"/>
        <w:jc w:val="both"/>
        <w:rPr>
          <w:rFonts w:ascii="Palatino Linotype" w:eastAsia="Palatino Linotype" w:hAnsi="Palatino Linotype" w:cs="Palatino Linotype"/>
        </w:rPr>
      </w:pPr>
    </w:p>
    <w:p w14:paraId="75F0BFD2" w14:textId="77777777" w:rsidR="00896524" w:rsidRPr="00896524" w:rsidRDefault="00896524" w:rsidP="00896524">
      <w:pPr>
        <w:spacing w:line="360" w:lineRule="auto"/>
        <w:ind w:right="49"/>
        <w:jc w:val="both"/>
        <w:rPr>
          <w:rFonts w:ascii="Palatino Linotype" w:eastAsia="Palatino Linotype" w:hAnsi="Palatino Linotype" w:cs="Palatino Linotype"/>
        </w:rPr>
      </w:pPr>
      <w:r w:rsidRPr="00896524">
        <w:rPr>
          <w:rFonts w:ascii="Palatino Linotype" w:eastAsia="Palatino Linotype" w:hAnsi="Palatino Linotype" w:cs="Palatino Linotype"/>
        </w:rPr>
        <w:t>La Suprema Corte de Justicia de la Nación resolvió en la contradicción de tesis 200/2013 que en los procedimientos de responsabilidad administrativa es aplicable el principio de presunción de inocencia con sus respectivos matices. En la resolución son de interés los siguientes argumentos</w:t>
      </w:r>
      <w:r w:rsidRPr="00896524">
        <w:rPr>
          <w:rFonts w:ascii="Palatino Linotype" w:eastAsia="Palatino Linotype" w:hAnsi="Palatino Linotype" w:cs="Palatino Linotype"/>
          <w:vertAlign w:val="superscript"/>
        </w:rPr>
        <w:footnoteReference w:id="3"/>
      </w:r>
      <w:r w:rsidRPr="00896524">
        <w:rPr>
          <w:rFonts w:ascii="Palatino Linotype" w:eastAsia="Palatino Linotype" w:hAnsi="Palatino Linotype" w:cs="Palatino Linotype"/>
        </w:rPr>
        <w:t>.</w:t>
      </w:r>
    </w:p>
    <w:p w14:paraId="2FFBDBF1" w14:textId="77777777" w:rsidR="00896524" w:rsidRPr="00896524" w:rsidRDefault="00896524" w:rsidP="00896524">
      <w:pPr>
        <w:spacing w:line="360" w:lineRule="auto"/>
        <w:ind w:right="49"/>
        <w:jc w:val="both"/>
        <w:rPr>
          <w:rFonts w:ascii="Palatino Linotype" w:eastAsia="Palatino Linotype" w:hAnsi="Palatino Linotype" w:cs="Palatino Linotype"/>
        </w:rPr>
      </w:pPr>
    </w:p>
    <w:p w14:paraId="6C3181BE" w14:textId="77777777" w:rsidR="00896524" w:rsidRPr="00896524" w:rsidRDefault="00896524" w:rsidP="00896524">
      <w:pPr>
        <w:ind w:left="851" w:right="851"/>
        <w:jc w:val="both"/>
        <w:rPr>
          <w:rFonts w:ascii="Palatino Linotype" w:eastAsia="Palatino Linotype" w:hAnsi="Palatino Linotype" w:cs="Palatino Linotype"/>
          <w:i/>
          <w:sz w:val="22"/>
          <w:szCs w:val="22"/>
        </w:rPr>
      </w:pPr>
      <w:r w:rsidRPr="00896524">
        <w:rPr>
          <w:rFonts w:ascii="Palatino Linotype" w:eastAsia="Palatino Linotype" w:hAnsi="Palatino Linotype" w:cs="Palatino Linotype"/>
          <w:i/>
          <w:sz w:val="22"/>
          <w:szCs w:val="22"/>
        </w:rPr>
        <w:t>i. La Constitución Federal reconoce el estado o condición de inocencia de los gobernados, razón por la cual lo protege a través del derecho de toda persona a que se presuma su inocencia, lo que significa que todo hombre debe ser tratado con tal calidad -inocente- hasta en tanto no se demuestre lo contrario.</w:t>
      </w:r>
    </w:p>
    <w:p w14:paraId="424B4405" w14:textId="77777777" w:rsidR="00896524" w:rsidRPr="00896524" w:rsidRDefault="00896524" w:rsidP="00896524">
      <w:pPr>
        <w:ind w:left="851" w:right="851"/>
        <w:jc w:val="both"/>
        <w:rPr>
          <w:rFonts w:ascii="Palatino Linotype" w:eastAsia="Palatino Linotype" w:hAnsi="Palatino Linotype" w:cs="Palatino Linotype"/>
          <w:i/>
          <w:sz w:val="22"/>
          <w:szCs w:val="22"/>
        </w:rPr>
      </w:pPr>
    </w:p>
    <w:p w14:paraId="5C7D402B" w14:textId="77777777" w:rsidR="00896524" w:rsidRPr="00896524" w:rsidRDefault="00896524" w:rsidP="00896524">
      <w:pPr>
        <w:ind w:left="851" w:right="851"/>
        <w:jc w:val="both"/>
        <w:rPr>
          <w:rFonts w:ascii="Palatino Linotype" w:eastAsia="Palatino Linotype" w:hAnsi="Palatino Linotype" w:cs="Palatino Linotype"/>
          <w:i/>
          <w:sz w:val="22"/>
          <w:szCs w:val="22"/>
        </w:rPr>
      </w:pPr>
      <w:r w:rsidRPr="00896524">
        <w:rPr>
          <w:rFonts w:ascii="Palatino Linotype" w:eastAsia="Palatino Linotype" w:hAnsi="Palatino Linotype" w:cs="Palatino Linotype"/>
          <w:i/>
          <w:sz w:val="22"/>
          <w:szCs w:val="22"/>
        </w:rPr>
        <w:lastRenderedPageBreak/>
        <w:t>ii. La presunción de inocencia se resguarda en el texto constitucional como derecho fundamental a favor de toda persona, con base en el cual se exige que para toda autoridad y ante el procedimiento al que se le sujete, no se estimen verosímiles los cargos atribuidos al gobernado respecto a la comisión de delitos, salvo decisión contraria emitida por un tribunal, dentro de la observancia del debido proceso.</w:t>
      </w:r>
    </w:p>
    <w:p w14:paraId="4C138EFB" w14:textId="77777777" w:rsidR="00896524" w:rsidRPr="00896524" w:rsidRDefault="00896524" w:rsidP="00896524">
      <w:pPr>
        <w:ind w:left="851" w:right="851"/>
        <w:jc w:val="both"/>
        <w:rPr>
          <w:rFonts w:ascii="Palatino Linotype" w:eastAsia="Palatino Linotype" w:hAnsi="Palatino Linotype" w:cs="Palatino Linotype"/>
          <w:i/>
          <w:sz w:val="22"/>
          <w:szCs w:val="22"/>
        </w:rPr>
      </w:pPr>
    </w:p>
    <w:p w14:paraId="25611976" w14:textId="77777777" w:rsidR="00896524" w:rsidRPr="00896524" w:rsidRDefault="00896524" w:rsidP="00896524">
      <w:pPr>
        <w:ind w:left="851" w:right="851"/>
        <w:jc w:val="both"/>
        <w:rPr>
          <w:rFonts w:ascii="Palatino Linotype" w:eastAsia="Palatino Linotype" w:hAnsi="Palatino Linotype" w:cs="Palatino Linotype"/>
          <w:i/>
          <w:sz w:val="22"/>
          <w:szCs w:val="22"/>
        </w:rPr>
      </w:pPr>
      <w:r w:rsidRPr="00896524">
        <w:rPr>
          <w:rFonts w:ascii="Palatino Linotype" w:eastAsia="Palatino Linotype" w:hAnsi="Palatino Linotype" w:cs="Palatino Linotype"/>
          <w:i/>
          <w:sz w:val="22"/>
          <w:szCs w:val="22"/>
        </w:rPr>
        <w:t>iii. Este principio tendrá eficaz aplicación, sólo cuando el gobernado se enfrente a una acusación, cuyo propósito ha de ser el límite a la potestad represiva del Estado en ejercicio de su derecho punitivo, así se concebirá también a nuestro objeto de estudio como una garantía procesal a favor del imputado, dentro de todo enjuiciamiento o procedimiento del orden administrativo.</w:t>
      </w:r>
    </w:p>
    <w:p w14:paraId="191A9B63" w14:textId="77777777" w:rsidR="00896524" w:rsidRPr="00896524" w:rsidRDefault="00896524" w:rsidP="00896524">
      <w:pPr>
        <w:spacing w:line="360" w:lineRule="auto"/>
        <w:ind w:right="49"/>
        <w:jc w:val="both"/>
        <w:rPr>
          <w:rFonts w:ascii="Palatino Linotype" w:eastAsia="Palatino Linotype" w:hAnsi="Palatino Linotype" w:cs="Palatino Linotype"/>
        </w:rPr>
      </w:pPr>
    </w:p>
    <w:p w14:paraId="2CC7DE70" w14:textId="77777777" w:rsidR="00896524" w:rsidRPr="00896524" w:rsidRDefault="00896524" w:rsidP="00896524">
      <w:pPr>
        <w:spacing w:before="240" w:after="240" w:line="360" w:lineRule="auto"/>
        <w:jc w:val="both"/>
        <w:rPr>
          <w:rFonts w:ascii="Palatino Linotype" w:eastAsia="Palatino Linotype" w:hAnsi="Palatino Linotype" w:cs="Palatino Linotype"/>
        </w:rPr>
      </w:pPr>
      <w:r w:rsidRPr="00896524">
        <w:rPr>
          <w:rFonts w:ascii="Palatino Linotype" w:eastAsia="Palatino Linotype" w:hAnsi="Palatino Linotype" w:cs="Palatino Linotype"/>
        </w:rPr>
        <w:t>Se sigue que, el principio de presunción de inocencia tiene tres significados garantistas que en forma breve pueden enunciarse de la siguiente forma:</w:t>
      </w:r>
    </w:p>
    <w:p w14:paraId="0AAD2E61" w14:textId="553503EB" w:rsidR="00896524" w:rsidRPr="00896524" w:rsidRDefault="00BC57B0" w:rsidP="0089652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Primero. Co</w:t>
      </w:r>
      <w:r w:rsidR="00896524" w:rsidRPr="00896524">
        <w:rPr>
          <w:rFonts w:ascii="Palatino Linotype" w:eastAsia="Palatino Linotype" w:hAnsi="Palatino Linotype" w:cs="Palatino Linotype"/>
        </w:rPr>
        <w:t>mo una regla probatoria, que impone la carga de la prueba para quien acusa y, por ende, la absolución en caso de duda.</w:t>
      </w:r>
    </w:p>
    <w:p w14:paraId="30D901DA" w14:textId="77777777" w:rsidR="00896524" w:rsidRPr="00896524" w:rsidRDefault="00896524" w:rsidP="00896524">
      <w:pPr>
        <w:spacing w:before="240" w:after="240" w:line="360" w:lineRule="auto"/>
        <w:jc w:val="both"/>
        <w:rPr>
          <w:rFonts w:ascii="Palatino Linotype" w:eastAsia="Palatino Linotype" w:hAnsi="Palatino Linotype" w:cs="Palatino Linotype"/>
        </w:rPr>
      </w:pPr>
      <w:r w:rsidRPr="00896524">
        <w:rPr>
          <w:rFonts w:ascii="Palatino Linotype" w:eastAsia="Palatino Linotype" w:hAnsi="Palatino Linotype" w:cs="Palatino Linotype"/>
        </w:rPr>
        <w:t>Segundo. Como una regla de tratamiento del acusado, que excluye o restringe al máximo la limitación de sus derechos fundamentales, sobre todo los que inciden en su libertad personal, con motivo del proceso que se instaura en su contra.</w:t>
      </w:r>
    </w:p>
    <w:p w14:paraId="1028CE08" w14:textId="77777777" w:rsidR="00896524" w:rsidRPr="00896524" w:rsidRDefault="00896524" w:rsidP="00896524">
      <w:pPr>
        <w:spacing w:before="240" w:after="240" w:line="360" w:lineRule="auto"/>
        <w:jc w:val="both"/>
        <w:rPr>
          <w:rFonts w:ascii="Palatino Linotype" w:eastAsia="Palatino Linotype" w:hAnsi="Palatino Linotype" w:cs="Palatino Linotype"/>
        </w:rPr>
      </w:pPr>
      <w:r w:rsidRPr="00896524">
        <w:rPr>
          <w:rFonts w:ascii="Palatino Linotype" w:eastAsia="Palatino Linotype" w:hAnsi="Palatino Linotype" w:cs="Palatino Linotype"/>
        </w:rPr>
        <w:t>Tercero. Como una regla de juicio, que ordena a los jueces la absolución de los inculpados cuando durante el proceso no se aportaron pruebas de cargo suficientes.</w:t>
      </w:r>
    </w:p>
    <w:p w14:paraId="0874C77A" w14:textId="57EBB65D" w:rsidR="00896524" w:rsidRPr="00896524" w:rsidRDefault="00896524" w:rsidP="00896524">
      <w:pPr>
        <w:spacing w:before="240" w:after="240" w:line="360" w:lineRule="auto"/>
        <w:jc w:val="both"/>
        <w:rPr>
          <w:rFonts w:ascii="Palatino Linotype" w:eastAsia="Palatino Linotype" w:hAnsi="Palatino Linotype" w:cs="Palatino Linotype"/>
        </w:rPr>
      </w:pPr>
      <w:r w:rsidRPr="00896524">
        <w:rPr>
          <w:rFonts w:ascii="Palatino Linotype" w:eastAsia="Palatino Linotype" w:hAnsi="Palatino Linotype" w:cs="Palatino Linotype"/>
        </w:rPr>
        <w:t>En vista de lo anterior, este Instituto estima que en el derech</w:t>
      </w:r>
      <w:r w:rsidR="00472F27">
        <w:rPr>
          <w:rFonts w:ascii="Palatino Linotype" w:eastAsia="Palatino Linotype" w:hAnsi="Palatino Linotype" w:cs="Palatino Linotype"/>
        </w:rPr>
        <w:t xml:space="preserve">o disciplinario que se sigue ante </w:t>
      </w:r>
      <w:r w:rsidRPr="00896524">
        <w:rPr>
          <w:rFonts w:ascii="Palatino Linotype" w:eastAsia="Palatino Linotype" w:hAnsi="Palatino Linotype" w:cs="Palatino Linotype"/>
        </w:rPr>
        <w:t>el órgano contralor del Municipio a los servidores públicos en los casos que se presenta una denuncia, es aplicable la regla garantista de presunción de inocencia.</w:t>
      </w:r>
    </w:p>
    <w:p w14:paraId="03153A23" w14:textId="77777777" w:rsidR="00896524" w:rsidRPr="00896524" w:rsidRDefault="00896524" w:rsidP="00896524">
      <w:pPr>
        <w:spacing w:before="240" w:after="240" w:line="360" w:lineRule="auto"/>
        <w:jc w:val="both"/>
        <w:rPr>
          <w:rFonts w:ascii="Palatino Linotype" w:eastAsia="Palatino Linotype" w:hAnsi="Palatino Linotype" w:cs="Palatino Linotype"/>
        </w:rPr>
      </w:pPr>
      <w:r w:rsidRPr="00896524">
        <w:rPr>
          <w:rFonts w:ascii="Palatino Linotype" w:eastAsia="Palatino Linotype" w:hAnsi="Palatino Linotype" w:cs="Palatino Linotype"/>
        </w:rPr>
        <w:lastRenderedPageBreak/>
        <w:t>Así, todo servidor público en su carácter de -presunto infractor- tiene el derecho, como regla de tratamiento en el proceso, a que se le trate en carácter de inocente hasta que no se emita una resolución firme.</w:t>
      </w:r>
    </w:p>
    <w:p w14:paraId="606407A3" w14:textId="77777777" w:rsidR="00896524" w:rsidRPr="00896524" w:rsidRDefault="00896524" w:rsidP="00896524">
      <w:pPr>
        <w:spacing w:before="240" w:after="240" w:line="360" w:lineRule="auto"/>
        <w:jc w:val="both"/>
        <w:rPr>
          <w:rFonts w:ascii="Palatino Linotype" w:eastAsia="Palatino Linotype" w:hAnsi="Palatino Linotype" w:cs="Palatino Linotype"/>
        </w:rPr>
      </w:pPr>
      <w:r w:rsidRPr="00896524">
        <w:rPr>
          <w:rFonts w:ascii="Palatino Linotype" w:eastAsia="Palatino Linotype" w:hAnsi="Palatino Linotype" w:cs="Palatino Linotype"/>
        </w:rPr>
        <w:t>La relación que guarda el principio de presunción de inocencia con el derecho de acceso a la información se da en dos variantes: (i) la conservación de información que no vicie las reglas y principios de administración de justicia y (ii) conservar la reputación de las personas que aún no se les ha comprobado con plenitud haber realizado alguna infracción.</w:t>
      </w:r>
    </w:p>
    <w:p w14:paraId="7885D786" w14:textId="2AD3160F" w:rsidR="00896524" w:rsidRDefault="00896524" w:rsidP="00896524">
      <w:pPr>
        <w:spacing w:before="240" w:after="240" w:line="360" w:lineRule="auto"/>
        <w:jc w:val="both"/>
        <w:rPr>
          <w:rFonts w:ascii="Palatino Linotype" w:eastAsia="Palatino Linotype" w:hAnsi="Palatino Linotype" w:cs="Palatino Linotype"/>
        </w:rPr>
      </w:pPr>
      <w:r w:rsidRPr="00896524">
        <w:rPr>
          <w:rFonts w:ascii="Palatino Linotype" w:eastAsia="Palatino Linotype" w:hAnsi="Palatino Linotype" w:cs="Palatino Linotype"/>
        </w:rPr>
        <w:t>Con más detenimiento, la primera premisa es que de revelarse la información de las personas a quienes se les ha iniciado un procedimiento administrativo y el nombre de aquellos que tienen un procedimiento instaurado y se encuentra pendiente de resolución rompería la regla de tratamiento y de juicio que debe seguirse en la administración de justicia</w:t>
      </w:r>
      <w:r w:rsidRPr="00896524">
        <w:rPr>
          <w:rFonts w:ascii="Palatino Linotype" w:eastAsia="Palatino Linotype" w:hAnsi="Palatino Linotype" w:cs="Palatino Linotype"/>
          <w:i/>
          <w:vertAlign w:val="superscript"/>
        </w:rPr>
        <w:footnoteReference w:id="4"/>
      </w:r>
      <w:r w:rsidRPr="00896524">
        <w:rPr>
          <w:rFonts w:ascii="Palatino Linotype" w:eastAsia="Palatino Linotype" w:hAnsi="Palatino Linotype" w:cs="Palatino Linotype"/>
        </w:rPr>
        <w:t>, es decir, su incidencia tiene implicaciones que pudieran afectar la forma en cómo debe tratarse al servidor público acusado, pues no se ha comprobado en su totalidad que éste incurrió en una infracción, razón por la cual en dichos supuestos se deberá clasific</w:t>
      </w:r>
      <w:r w:rsidR="001A7C83">
        <w:rPr>
          <w:rFonts w:ascii="Palatino Linotype" w:eastAsia="Palatino Linotype" w:hAnsi="Palatino Linotype" w:cs="Palatino Linotype"/>
        </w:rPr>
        <w:t xml:space="preserve">ar la información conforme a la causal establecida en el artículo 140, fracción VI </w:t>
      </w:r>
      <w:r w:rsidRPr="00896524">
        <w:rPr>
          <w:rFonts w:ascii="Palatino Linotype" w:eastAsia="Palatino Linotype" w:hAnsi="Palatino Linotype" w:cs="Palatino Linotype"/>
        </w:rPr>
        <w:t xml:space="preserve">de la Ley en la materia, debiendo llevar a cabo el procedimiento establecido en el Considerando siguiente, a fin poner a disposición de la parte recurrente el Acta del Comité de Transparencia que se elabore para tal efecto, debiendo elaborar la prueba de daño correspondiente. </w:t>
      </w:r>
    </w:p>
    <w:p w14:paraId="3A435512" w14:textId="77777777" w:rsidR="001A7C83" w:rsidRPr="001A7C83" w:rsidRDefault="001A7C83" w:rsidP="001A7C83">
      <w:pPr>
        <w:spacing w:before="240" w:after="240" w:line="360" w:lineRule="auto"/>
        <w:jc w:val="both"/>
        <w:rPr>
          <w:rFonts w:ascii="Palatino Linotype" w:eastAsia="Palatino Linotype" w:hAnsi="Palatino Linotype" w:cs="Palatino Linotype"/>
        </w:rPr>
      </w:pPr>
    </w:p>
    <w:p w14:paraId="1E5311F9" w14:textId="51691BD7" w:rsidR="001A7C83" w:rsidRPr="001A7C83" w:rsidRDefault="001A7C83" w:rsidP="001A7C83">
      <w:pPr>
        <w:spacing w:before="240" w:after="240"/>
        <w:ind w:left="567" w:right="900"/>
        <w:jc w:val="both"/>
        <w:rPr>
          <w:rFonts w:ascii="Palatino Linotype" w:eastAsia="Palatino Linotype" w:hAnsi="Palatino Linotype" w:cs="Palatino Linotype"/>
          <w:i/>
          <w:sz w:val="22"/>
        </w:rPr>
      </w:pPr>
      <w:r>
        <w:rPr>
          <w:rFonts w:ascii="Palatino Linotype" w:eastAsia="Palatino Linotype" w:hAnsi="Palatino Linotype" w:cs="Palatino Linotype"/>
          <w:i/>
          <w:sz w:val="22"/>
        </w:rPr>
        <w:lastRenderedPageBreak/>
        <w:t>“</w:t>
      </w:r>
      <w:r w:rsidRPr="001A7C83">
        <w:rPr>
          <w:rFonts w:ascii="Palatino Linotype" w:eastAsia="Palatino Linotype" w:hAnsi="Palatino Linotype" w:cs="Palatino Linotype"/>
          <w:i/>
          <w:sz w:val="22"/>
        </w:rPr>
        <w:t>Artículo 140. El acceso a la información pública será restringido excepcionalmente, cuando por razones de interés público, ésta sea clasificada como reservada, conforme a los criterios siguientes:</w:t>
      </w:r>
    </w:p>
    <w:p w14:paraId="3CBDD989" w14:textId="758D2FB2" w:rsidR="001A7C83" w:rsidRPr="001A7C83" w:rsidRDefault="001A7C83" w:rsidP="001A7C83">
      <w:pPr>
        <w:spacing w:before="240" w:after="240"/>
        <w:ind w:left="567" w:right="900"/>
        <w:jc w:val="both"/>
        <w:rPr>
          <w:rFonts w:ascii="Palatino Linotype" w:eastAsia="Palatino Linotype" w:hAnsi="Palatino Linotype" w:cs="Palatino Linotype"/>
          <w:i/>
          <w:sz w:val="22"/>
        </w:rPr>
      </w:pPr>
      <w:r w:rsidRPr="001A7C83">
        <w:rPr>
          <w:rFonts w:ascii="Palatino Linotype" w:eastAsia="Palatino Linotype" w:hAnsi="Palatino Linotype" w:cs="Palatino Linotype"/>
          <w:i/>
          <w:sz w:val="22"/>
        </w:rPr>
        <w:t>…</w:t>
      </w:r>
    </w:p>
    <w:p w14:paraId="55D8E695" w14:textId="55CA07D9" w:rsidR="001A7C83" w:rsidRDefault="001A7C83" w:rsidP="001A7C83">
      <w:pPr>
        <w:spacing w:before="240" w:after="240"/>
        <w:ind w:left="567" w:right="900"/>
        <w:jc w:val="both"/>
        <w:rPr>
          <w:rFonts w:ascii="Palatino Linotype" w:eastAsia="Palatino Linotype" w:hAnsi="Palatino Linotype" w:cs="Palatino Linotype"/>
          <w:i/>
          <w:sz w:val="22"/>
          <w:lang w:val="es-MX"/>
        </w:rPr>
      </w:pPr>
      <w:r w:rsidRPr="001A7C83">
        <w:rPr>
          <w:rFonts w:ascii="Palatino Linotype" w:eastAsia="Palatino Linotype" w:hAnsi="Palatino Linotype" w:cs="Palatino Linotype"/>
          <w:b/>
          <w:bCs/>
          <w:i/>
          <w:sz w:val="22"/>
          <w:lang w:val="es-MX"/>
        </w:rPr>
        <w:t xml:space="preserve">VI. </w:t>
      </w:r>
      <w:r w:rsidRPr="001A7C83">
        <w:rPr>
          <w:rFonts w:ascii="Palatino Linotype" w:eastAsia="Palatino Linotype" w:hAnsi="Palatino Linotype" w:cs="Palatino Linotype"/>
          <w:i/>
          <w:sz w:val="22"/>
          <w:lang w:val="es-MX"/>
        </w:rPr>
        <w:t>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r>
        <w:rPr>
          <w:rFonts w:ascii="Palatino Linotype" w:eastAsia="Palatino Linotype" w:hAnsi="Palatino Linotype" w:cs="Palatino Linotype"/>
          <w:i/>
          <w:sz w:val="22"/>
          <w:lang w:val="es-MX"/>
        </w:rPr>
        <w:t xml:space="preserve"> (Sic) </w:t>
      </w:r>
    </w:p>
    <w:p w14:paraId="1403A3E9" w14:textId="11103170" w:rsidR="001A7C83" w:rsidRPr="001A7C83" w:rsidRDefault="001A7C83" w:rsidP="001A7C83">
      <w:pPr>
        <w:spacing w:before="240" w:after="240" w:line="360" w:lineRule="auto"/>
        <w:ind w:right="49"/>
        <w:jc w:val="both"/>
        <w:rPr>
          <w:rFonts w:ascii="Palatino Linotype" w:eastAsia="Palatino Linotype" w:hAnsi="Palatino Linotype" w:cs="Palatino Linotype"/>
          <w:i/>
          <w:sz w:val="22"/>
          <w:lang w:val="es-MX"/>
        </w:rPr>
      </w:pPr>
      <w:r w:rsidRPr="001A7C83">
        <w:rPr>
          <w:rFonts w:ascii="Palatino Linotype" w:eastAsia="Palatino Linotype" w:hAnsi="Palatino Linotype" w:cs="Palatino Linotype"/>
        </w:rPr>
        <w:t>Del diverso anterior, tenemos que la reserva procede cuando el daño que pueda producirse con la publicación de la información sea mayor que el interés público de conocer la información de referencia, siempre que esté directamente relacionado con procesos o procedimientos administrativos o judicia</w:t>
      </w:r>
      <w:r>
        <w:rPr>
          <w:rFonts w:ascii="Palatino Linotype" w:eastAsia="Palatino Linotype" w:hAnsi="Palatino Linotype" w:cs="Palatino Linotype"/>
        </w:rPr>
        <w:t>les que no hayan quedado firmes.</w:t>
      </w:r>
    </w:p>
    <w:p w14:paraId="41AA2252" w14:textId="06C5B8AE" w:rsidR="00896524" w:rsidRPr="00896524" w:rsidRDefault="00896524" w:rsidP="00896524">
      <w:pPr>
        <w:spacing w:before="240" w:after="240" w:line="360" w:lineRule="auto"/>
        <w:jc w:val="both"/>
        <w:rPr>
          <w:rFonts w:ascii="Palatino Linotype" w:eastAsia="Palatino Linotype" w:hAnsi="Palatino Linotype" w:cs="Palatino Linotype"/>
        </w:rPr>
      </w:pPr>
      <w:r w:rsidRPr="00896524">
        <w:rPr>
          <w:rFonts w:ascii="Palatino Linotype" w:eastAsia="Palatino Linotype" w:hAnsi="Palatino Linotype" w:cs="Palatino Linotype"/>
        </w:rPr>
        <w:t>Por lo que, en estos casos, el nombre y cargo de</w:t>
      </w:r>
      <w:r w:rsidR="00472F27">
        <w:rPr>
          <w:rFonts w:ascii="Palatino Linotype" w:eastAsia="Palatino Linotype" w:hAnsi="Palatino Linotype" w:cs="Palatino Linotype"/>
        </w:rPr>
        <w:t>l servidor público denunciado debe ser protegido en un estricto sentido, toda vez que al no existir una determinación que resuelva el procedimiento administrativo, esto es, que siga en trámite, divulgar esta información a terceros puede causar un perjuicio irreparable al servidor público.</w:t>
      </w:r>
    </w:p>
    <w:p w14:paraId="36F37A55" w14:textId="3E06384B" w:rsidR="00896524" w:rsidRPr="00896524" w:rsidRDefault="00896524" w:rsidP="00896524">
      <w:pPr>
        <w:spacing w:before="240" w:after="240" w:line="360" w:lineRule="auto"/>
        <w:jc w:val="both"/>
        <w:rPr>
          <w:rFonts w:ascii="Palatino Linotype" w:eastAsia="Palatino Linotype" w:hAnsi="Palatino Linotype" w:cs="Palatino Linotype"/>
        </w:rPr>
      </w:pPr>
      <w:r w:rsidRPr="00896524">
        <w:rPr>
          <w:rFonts w:ascii="Palatino Linotype" w:eastAsia="Palatino Linotype" w:hAnsi="Palatino Linotype" w:cs="Palatino Linotype"/>
        </w:rPr>
        <w:t>Dichos argumentos, que se formulan por este Órgano Garante se construye</w:t>
      </w:r>
      <w:r w:rsidR="00472F27">
        <w:rPr>
          <w:rFonts w:ascii="Palatino Linotype" w:eastAsia="Palatino Linotype" w:hAnsi="Palatino Linotype" w:cs="Palatino Linotype"/>
        </w:rPr>
        <w:t>n</w:t>
      </w:r>
      <w:r w:rsidRPr="00896524">
        <w:rPr>
          <w:rFonts w:ascii="Palatino Linotype" w:eastAsia="Palatino Linotype" w:hAnsi="Palatino Linotype" w:cs="Palatino Linotype"/>
        </w:rPr>
        <w:t xml:space="preserve"> a partir de la correlación que otros derechos tienen con el acceso a la información en tratándose de información sobre procesos y procedimientos que siguen en forma de juicio, los cuales de la óptica de interdependencia de los derechos humanos no pueden ser desconocidos, en el ámbito de la competencia de este Instituto.</w:t>
      </w:r>
    </w:p>
    <w:p w14:paraId="35A8E0DA" w14:textId="66B35C98" w:rsidR="00896524" w:rsidRPr="00896524" w:rsidRDefault="00896524" w:rsidP="00896524">
      <w:pPr>
        <w:spacing w:before="240" w:after="240" w:line="360" w:lineRule="auto"/>
        <w:jc w:val="both"/>
        <w:rPr>
          <w:rFonts w:ascii="Palatino Linotype" w:eastAsia="Palatino Linotype" w:hAnsi="Palatino Linotype" w:cs="Palatino Linotype"/>
        </w:rPr>
      </w:pPr>
      <w:r w:rsidRPr="00896524">
        <w:rPr>
          <w:rFonts w:ascii="Palatino Linotype" w:eastAsia="Palatino Linotype" w:hAnsi="Palatino Linotype" w:cs="Palatino Linotype"/>
        </w:rPr>
        <w:lastRenderedPageBreak/>
        <w:t>Resulta necesario tomar en cuenta el derecho al buen nombre y a la intimidad porqu</w:t>
      </w:r>
      <w:r w:rsidR="00BC57B0">
        <w:rPr>
          <w:rFonts w:ascii="Palatino Linotype" w:eastAsia="Palatino Linotype" w:hAnsi="Palatino Linotype" w:cs="Palatino Linotype"/>
        </w:rPr>
        <w:t>e se considera que, hasta en tanto</w:t>
      </w:r>
      <w:r w:rsidRPr="00896524">
        <w:rPr>
          <w:rFonts w:ascii="Palatino Linotype" w:eastAsia="Palatino Linotype" w:hAnsi="Palatino Linotype" w:cs="Palatino Linotype"/>
        </w:rPr>
        <w:t xml:space="preserve"> no exista una resolución firme, la publicación de la información solicitada afectaría la reputación de una persona.</w:t>
      </w:r>
    </w:p>
    <w:p w14:paraId="2AC6DA19" w14:textId="77777777" w:rsidR="00896524" w:rsidRPr="00896524" w:rsidRDefault="00896524" w:rsidP="00896524">
      <w:pPr>
        <w:spacing w:before="240" w:after="240" w:line="360" w:lineRule="auto"/>
        <w:jc w:val="both"/>
        <w:rPr>
          <w:rFonts w:ascii="Palatino Linotype" w:eastAsia="Palatino Linotype" w:hAnsi="Palatino Linotype" w:cs="Palatino Linotype"/>
        </w:rPr>
      </w:pPr>
      <w:r w:rsidRPr="00896524">
        <w:rPr>
          <w:rFonts w:ascii="Palatino Linotype" w:eastAsia="Palatino Linotype" w:hAnsi="Palatino Linotype" w:cs="Palatino Linotype"/>
        </w:rPr>
        <w:t>En el fondo, se considera que se puede atentar contra la honra y el buen nombre de una persona mediante la divulgación de información sobre aquellos servidores públicos a quienes se les ha iniciado un procedimiento administrativo, o bien, se encuentran pendientes de resolución porque podrían orientar el juicio que se tiene de una persona por parte de la sociedad, lo que en efecto constituye una lesión injustificada a la posición del hombre en sociedad.</w:t>
      </w:r>
    </w:p>
    <w:p w14:paraId="29A9AED3" w14:textId="77777777" w:rsidR="00896524" w:rsidRPr="00896524" w:rsidRDefault="00896524" w:rsidP="00896524">
      <w:pPr>
        <w:spacing w:before="240" w:after="240" w:line="360" w:lineRule="auto"/>
        <w:contextualSpacing/>
        <w:jc w:val="both"/>
        <w:rPr>
          <w:rFonts w:ascii="Palatino Linotype" w:hAnsi="Palatino Linotype"/>
        </w:rPr>
      </w:pPr>
      <w:r w:rsidRPr="00896524">
        <w:rPr>
          <w:rFonts w:ascii="Palatino Linotype" w:hAnsi="Palatino Linotype"/>
        </w:rPr>
        <w:t xml:space="preserve">Así las cosas, es de importante relevancia hacer del conocimiento del Sujeto Obligado que la información con la que cuente respecto de expedientes de procedimientos administrativos que no han causado estado; es decir, que el principio de </w:t>
      </w:r>
      <w:proofErr w:type="spellStart"/>
      <w:r w:rsidRPr="00896524">
        <w:rPr>
          <w:rFonts w:ascii="Palatino Linotype" w:hAnsi="Palatino Linotype"/>
        </w:rPr>
        <w:t>definitividad</w:t>
      </w:r>
      <w:proofErr w:type="spellEnd"/>
      <w:r w:rsidRPr="00896524">
        <w:rPr>
          <w:rFonts w:ascii="Palatino Linotype" w:hAnsi="Palatino Linotype"/>
        </w:rPr>
        <w:t xml:space="preserve"> no se haya actualizado, por aún existir instancias para su revisión o impugnación o en su caso que no haya causado estado, dicha información reviste el carácter de información reservada y en este caso, se deberá emitir un acuerdo que clasifique como reservado el procedimiento sobre responsabilidad administrativa.</w:t>
      </w:r>
    </w:p>
    <w:p w14:paraId="6DA4A1E7" w14:textId="77777777" w:rsidR="00896524" w:rsidRPr="00896524" w:rsidRDefault="00896524" w:rsidP="00896524">
      <w:pPr>
        <w:spacing w:before="240" w:after="240" w:line="360" w:lineRule="auto"/>
        <w:contextualSpacing/>
        <w:jc w:val="both"/>
        <w:rPr>
          <w:rFonts w:ascii="Palatino Linotype" w:hAnsi="Palatino Linotype"/>
        </w:rPr>
      </w:pPr>
    </w:p>
    <w:p w14:paraId="5FE3FF2C" w14:textId="77777777" w:rsidR="00896524" w:rsidRPr="00896524" w:rsidRDefault="00896524" w:rsidP="00896524">
      <w:pPr>
        <w:spacing w:before="240" w:after="240" w:line="360" w:lineRule="auto"/>
        <w:contextualSpacing/>
        <w:jc w:val="both"/>
        <w:rPr>
          <w:rFonts w:ascii="Palatino Linotype" w:hAnsi="Palatino Linotype"/>
        </w:rPr>
      </w:pPr>
      <w:r w:rsidRPr="00896524">
        <w:rPr>
          <w:rFonts w:ascii="Palatino Linotype" w:hAnsi="Palatino Linotype"/>
        </w:rPr>
        <w:t xml:space="preserve">Lo anterior es así, para dar seguridad jurídica al solicitante que por alguna excepción establecida en ley no es posible acceder temporalmente a la información referida anteriormente, para así no dejar en estado de indefensión y exista certeza jurídica de lo expuesto por el Sujeto Obligado. </w:t>
      </w:r>
    </w:p>
    <w:p w14:paraId="48C11652" w14:textId="77777777" w:rsidR="00896524" w:rsidRPr="00896524" w:rsidRDefault="00896524" w:rsidP="00896524">
      <w:pPr>
        <w:spacing w:line="360" w:lineRule="auto"/>
        <w:ind w:right="49"/>
        <w:contextualSpacing/>
        <w:jc w:val="both"/>
        <w:rPr>
          <w:rFonts w:ascii="Palatino Linotype" w:hAnsi="Palatino Linotype"/>
        </w:rPr>
      </w:pPr>
    </w:p>
    <w:p w14:paraId="328231BD" w14:textId="77777777" w:rsidR="00896524" w:rsidRPr="00896524" w:rsidRDefault="00896524" w:rsidP="00896524">
      <w:pPr>
        <w:ind w:left="851" w:right="822"/>
        <w:contextualSpacing/>
        <w:jc w:val="both"/>
        <w:rPr>
          <w:rFonts w:ascii="Palatino Linotype" w:hAnsi="Palatino Linotype"/>
          <w:i/>
          <w:sz w:val="22"/>
        </w:rPr>
      </w:pPr>
      <w:r w:rsidRPr="00896524">
        <w:rPr>
          <w:rFonts w:ascii="Palatino Linotype" w:hAnsi="Palatino Linotype"/>
          <w:i/>
          <w:sz w:val="22"/>
        </w:rPr>
        <w:lastRenderedPageBreak/>
        <w:t>“Artículo 3. Para los efectos de la presente Ley se entenderá por:</w:t>
      </w:r>
    </w:p>
    <w:p w14:paraId="47BAF35B" w14:textId="77777777" w:rsidR="00896524" w:rsidRPr="00896524" w:rsidRDefault="00896524" w:rsidP="00896524">
      <w:pPr>
        <w:ind w:left="851" w:right="822"/>
        <w:contextualSpacing/>
        <w:jc w:val="both"/>
        <w:rPr>
          <w:rFonts w:ascii="Palatino Linotype" w:hAnsi="Palatino Linotype"/>
          <w:i/>
          <w:sz w:val="22"/>
        </w:rPr>
      </w:pPr>
      <w:r w:rsidRPr="00896524">
        <w:rPr>
          <w:rFonts w:ascii="Palatino Linotype" w:hAnsi="Palatino Linotype"/>
          <w:i/>
          <w:sz w:val="22"/>
        </w:rPr>
        <w:t>[…]</w:t>
      </w:r>
    </w:p>
    <w:p w14:paraId="6A16BFC6" w14:textId="77777777" w:rsidR="00896524" w:rsidRPr="00896524" w:rsidRDefault="00896524" w:rsidP="00896524">
      <w:pPr>
        <w:ind w:left="851" w:right="822"/>
        <w:contextualSpacing/>
        <w:jc w:val="both"/>
        <w:rPr>
          <w:rFonts w:ascii="Palatino Linotype" w:hAnsi="Palatino Linotype"/>
          <w:i/>
          <w:sz w:val="22"/>
        </w:rPr>
      </w:pPr>
      <w:r w:rsidRPr="00896524">
        <w:rPr>
          <w:rFonts w:ascii="Palatino Linotype" w:hAnsi="Palatino Linotype"/>
          <w:b/>
          <w:i/>
          <w:sz w:val="22"/>
        </w:rPr>
        <w:t xml:space="preserve">XXIV. Información reservada: </w:t>
      </w:r>
      <w:r w:rsidRPr="00896524">
        <w:rPr>
          <w:rFonts w:ascii="Palatino Linotype" w:hAnsi="Palatino Linotype"/>
          <w:i/>
          <w:sz w:val="22"/>
        </w:rPr>
        <w:t>La clasificada con este carácter de manera temporal por las disposiciones de esta Ley, cuya divulgación puede causar daño en términos de lo establecido por esta Ley;</w:t>
      </w:r>
    </w:p>
    <w:p w14:paraId="05C80758" w14:textId="77777777" w:rsidR="00896524" w:rsidRPr="00896524" w:rsidRDefault="00896524" w:rsidP="00896524">
      <w:pPr>
        <w:ind w:left="851" w:right="822"/>
        <w:contextualSpacing/>
        <w:jc w:val="both"/>
        <w:rPr>
          <w:rFonts w:ascii="Palatino Linotype" w:hAnsi="Palatino Linotype"/>
          <w:i/>
          <w:sz w:val="22"/>
        </w:rPr>
      </w:pPr>
      <w:r w:rsidRPr="00896524">
        <w:rPr>
          <w:rFonts w:ascii="Palatino Linotype" w:hAnsi="Palatino Linotype"/>
          <w:i/>
          <w:sz w:val="22"/>
        </w:rPr>
        <w:t xml:space="preserve">Artículo 122. </w:t>
      </w:r>
      <w:r w:rsidRPr="00896524">
        <w:rPr>
          <w:rFonts w:ascii="Palatino Linotype" w:hAnsi="Palatino Linotype"/>
          <w:b/>
          <w:i/>
          <w:sz w:val="22"/>
        </w:rPr>
        <w:t xml:space="preserve">La clasificación es el proceso mediante el cual el Sujeto Obligado determina que la información en su poder </w:t>
      </w:r>
      <w:proofErr w:type="spellStart"/>
      <w:r w:rsidRPr="00896524">
        <w:rPr>
          <w:rFonts w:ascii="Palatino Linotype" w:hAnsi="Palatino Linotype"/>
          <w:b/>
          <w:i/>
          <w:sz w:val="22"/>
        </w:rPr>
        <w:t>actualiza</w:t>
      </w:r>
      <w:proofErr w:type="spellEnd"/>
      <w:r w:rsidRPr="00896524">
        <w:rPr>
          <w:rFonts w:ascii="Palatino Linotype" w:hAnsi="Palatino Linotype"/>
          <w:b/>
          <w:i/>
          <w:sz w:val="22"/>
        </w:rPr>
        <w:t xml:space="preserve"> alguno de los supuestos de reserva</w:t>
      </w:r>
      <w:r w:rsidRPr="00896524">
        <w:rPr>
          <w:rFonts w:ascii="Palatino Linotype" w:hAnsi="Palatino Linotype"/>
          <w:i/>
          <w:sz w:val="22"/>
        </w:rPr>
        <w:t xml:space="preserve"> o confidencialidad, de conformidad con lo dispuesto en el presente título.</w:t>
      </w:r>
    </w:p>
    <w:p w14:paraId="65CE6A79" w14:textId="77777777" w:rsidR="00896524" w:rsidRPr="00896524" w:rsidRDefault="00896524" w:rsidP="00896524">
      <w:pPr>
        <w:ind w:left="851" w:right="822"/>
        <w:contextualSpacing/>
        <w:jc w:val="both"/>
        <w:rPr>
          <w:rFonts w:ascii="Palatino Linotype" w:hAnsi="Palatino Linotype"/>
          <w:i/>
          <w:sz w:val="22"/>
        </w:rPr>
      </w:pPr>
    </w:p>
    <w:p w14:paraId="3AD783F1" w14:textId="77777777" w:rsidR="00896524" w:rsidRPr="00896524" w:rsidRDefault="00896524" w:rsidP="00896524">
      <w:pPr>
        <w:ind w:left="851" w:right="822"/>
        <w:contextualSpacing/>
        <w:jc w:val="both"/>
        <w:rPr>
          <w:rFonts w:ascii="Palatino Linotype" w:hAnsi="Palatino Linotype"/>
          <w:i/>
          <w:sz w:val="22"/>
        </w:rPr>
      </w:pPr>
      <w:r w:rsidRPr="00896524">
        <w:rPr>
          <w:rFonts w:ascii="Palatino Linotype" w:hAnsi="Palatino Linotype"/>
          <w:i/>
          <w:sz w:val="22"/>
        </w:rPr>
        <w:t>Los supuestos de reserva o confidencialidad previstos en las leyes deberán ser acordes con las bases, principios y disposiciones establecidos en la Ley General y, en ningún caso, podrán contravenirla.</w:t>
      </w:r>
    </w:p>
    <w:p w14:paraId="78ED822C" w14:textId="77777777" w:rsidR="00896524" w:rsidRPr="00896524" w:rsidRDefault="00896524" w:rsidP="00896524">
      <w:pPr>
        <w:ind w:left="851" w:right="822"/>
        <w:contextualSpacing/>
        <w:jc w:val="both"/>
        <w:rPr>
          <w:rFonts w:ascii="Palatino Linotype" w:hAnsi="Palatino Linotype"/>
          <w:i/>
          <w:sz w:val="22"/>
        </w:rPr>
      </w:pPr>
    </w:p>
    <w:p w14:paraId="4AA7D914" w14:textId="77777777" w:rsidR="00896524" w:rsidRPr="00896524" w:rsidRDefault="00896524" w:rsidP="00896524">
      <w:pPr>
        <w:ind w:left="851" w:right="822"/>
        <w:contextualSpacing/>
        <w:jc w:val="both"/>
        <w:rPr>
          <w:rFonts w:ascii="Palatino Linotype" w:hAnsi="Palatino Linotype"/>
          <w:i/>
          <w:sz w:val="22"/>
        </w:rPr>
      </w:pPr>
      <w:r w:rsidRPr="00896524">
        <w:rPr>
          <w:rFonts w:ascii="Palatino Linotype" w:hAnsi="Palatino Linotype"/>
          <w:i/>
          <w:sz w:val="22"/>
        </w:rPr>
        <w:t>Los titulares de las áreas de los sujetos obligados serán los responsables de clasificar la información, de conformidad con lo dispuesto en la presente Ley y demás disposiciones jurídicas aplicables.</w:t>
      </w:r>
    </w:p>
    <w:p w14:paraId="243FC14A" w14:textId="77777777" w:rsidR="00896524" w:rsidRPr="00896524" w:rsidRDefault="00896524" w:rsidP="00896524">
      <w:pPr>
        <w:ind w:left="851" w:right="822"/>
        <w:contextualSpacing/>
        <w:jc w:val="both"/>
        <w:rPr>
          <w:rFonts w:ascii="Palatino Linotype" w:hAnsi="Palatino Linotype"/>
          <w:b/>
          <w:i/>
          <w:sz w:val="22"/>
        </w:rPr>
      </w:pPr>
    </w:p>
    <w:p w14:paraId="3CE6F260" w14:textId="77777777" w:rsidR="00896524" w:rsidRPr="00896524" w:rsidRDefault="00896524" w:rsidP="00896524">
      <w:pPr>
        <w:ind w:left="851" w:right="822"/>
        <w:contextualSpacing/>
        <w:jc w:val="both"/>
        <w:rPr>
          <w:rFonts w:ascii="Palatino Linotype" w:hAnsi="Palatino Linotype"/>
          <w:i/>
          <w:sz w:val="22"/>
        </w:rPr>
      </w:pPr>
      <w:r w:rsidRPr="00896524">
        <w:rPr>
          <w:rFonts w:ascii="Palatino Linotype" w:hAnsi="Palatino Linotype"/>
          <w:b/>
          <w:i/>
          <w:sz w:val="22"/>
        </w:rPr>
        <w:t xml:space="preserve">Artículo 125. La información clasificada como reservada, de acuerdo a lo establecido en esta Ley podrá permanecer con tal carácter hasta por un periodo de cinco años, </w:t>
      </w:r>
      <w:r w:rsidRPr="00896524">
        <w:rPr>
          <w:rFonts w:ascii="Palatino Linotype" w:hAnsi="Palatino Linotype"/>
          <w:i/>
          <w:sz w:val="22"/>
        </w:rPr>
        <w:t>contados a partir de su clasificación, salvo que antes del cumplimiento del periodo de restricción, dejaran de existir los motivos de su reserva.</w:t>
      </w:r>
    </w:p>
    <w:p w14:paraId="02ED1316" w14:textId="77777777" w:rsidR="00896524" w:rsidRPr="00896524" w:rsidRDefault="00896524" w:rsidP="00896524">
      <w:pPr>
        <w:ind w:left="851" w:right="822"/>
        <w:contextualSpacing/>
        <w:jc w:val="both"/>
        <w:rPr>
          <w:rFonts w:ascii="Palatino Linotype" w:hAnsi="Palatino Linotype"/>
          <w:i/>
          <w:sz w:val="22"/>
        </w:rPr>
      </w:pPr>
    </w:p>
    <w:p w14:paraId="5C01EE09" w14:textId="77777777" w:rsidR="00896524" w:rsidRPr="00896524" w:rsidRDefault="00896524" w:rsidP="00896524">
      <w:pPr>
        <w:ind w:left="851" w:right="822"/>
        <w:contextualSpacing/>
        <w:jc w:val="both"/>
        <w:rPr>
          <w:rFonts w:ascii="Palatino Linotype" w:hAnsi="Palatino Linotype"/>
          <w:i/>
          <w:sz w:val="22"/>
        </w:rPr>
      </w:pPr>
      <w:r w:rsidRPr="00896524">
        <w:rPr>
          <w:rFonts w:ascii="Palatino Linotype" w:hAnsi="Palatino Linotype"/>
          <w:i/>
          <w:sz w:val="22"/>
        </w:rPr>
        <w:t>Los titulares de las áreas deberán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14:paraId="5115AE35" w14:textId="77777777" w:rsidR="00896524" w:rsidRPr="00896524" w:rsidRDefault="00896524" w:rsidP="00896524">
      <w:pPr>
        <w:ind w:left="851" w:right="822"/>
        <w:contextualSpacing/>
        <w:jc w:val="both"/>
        <w:rPr>
          <w:rFonts w:ascii="Palatino Linotype" w:hAnsi="Palatino Linotype"/>
          <w:i/>
          <w:sz w:val="22"/>
        </w:rPr>
      </w:pPr>
    </w:p>
    <w:p w14:paraId="47C8F70D" w14:textId="77777777" w:rsidR="00896524" w:rsidRPr="00896524" w:rsidRDefault="00896524" w:rsidP="00896524">
      <w:pPr>
        <w:ind w:left="851" w:right="822"/>
        <w:contextualSpacing/>
        <w:jc w:val="both"/>
        <w:rPr>
          <w:rFonts w:ascii="Palatino Linotype" w:hAnsi="Palatino Linotype"/>
          <w:i/>
          <w:sz w:val="22"/>
        </w:rPr>
      </w:pPr>
      <w:r w:rsidRPr="00896524">
        <w:rPr>
          <w:rFonts w:ascii="Palatino Linotype" w:hAnsi="Palatino Linotype"/>
          <w:i/>
          <w:sz w:val="22"/>
        </w:rPr>
        <w:t>Excepcionalmente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w:t>
      </w:r>
    </w:p>
    <w:p w14:paraId="03BA98B9" w14:textId="77777777" w:rsidR="00896524" w:rsidRPr="00896524" w:rsidRDefault="00896524" w:rsidP="00896524">
      <w:pPr>
        <w:ind w:left="851" w:right="822"/>
        <w:contextualSpacing/>
        <w:jc w:val="both"/>
        <w:rPr>
          <w:rFonts w:ascii="Palatino Linotype" w:hAnsi="Palatino Linotype"/>
          <w:i/>
          <w:sz w:val="22"/>
        </w:rPr>
      </w:pPr>
    </w:p>
    <w:p w14:paraId="2881B35F" w14:textId="77777777" w:rsidR="00896524" w:rsidRPr="00896524" w:rsidRDefault="00896524" w:rsidP="00896524">
      <w:pPr>
        <w:ind w:left="851" w:right="822"/>
        <w:contextualSpacing/>
        <w:jc w:val="both"/>
        <w:rPr>
          <w:rFonts w:ascii="Palatino Linotype" w:hAnsi="Palatino Linotype"/>
          <w:i/>
          <w:sz w:val="22"/>
        </w:rPr>
      </w:pPr>
      <w:r w:rsidRPr="00896524">
        <w:rPr>
          <w:rFonts w:ascii="Palatino Linotype" w:hAnsi="Palatino Linotype"/>
          <w:i/>
          <w:sz w:val="22"/>
        </w:rPr>
        <w:t xml:space="preserve">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w:t>
      </w:r>
      <w:r w:rsidRPr="00896524">
        <w:rPr>
          <w:rFonts w:ascii="Palatino Linotype" w:hAnsi="Palatino Linotype"/>
          <w:i/>
          <w:sz w:val="22"/>
        </w:rPr>
        <w:lastRenderedPageBreak/>
        <w:t>correspondiente al Instituto, debidamente fundada y motivada, aplicando la prueba de daño y</w:t>
      </w:r>
    </w:p>
    <w:p w14:paraId="12CB05E7" w14:textId="77777777" w:rsidR="00896524" w:rsidRPr="00896524" w:rsidRDefault="00896524" w:rsidP="00896524">
      <w:pPr>
        <w:ind w:left="851" w:right="822"/>
        <w:contextualSpacing/>
        <w:jc w:val="both"/>
        <w:rPr>
          <w:rFonts w:ascii="Palatino Linotype" w:hAnsi="Palatino Linotype"/>
          <w:b/>
          <w:i/>
          <w:sz w:val="22"/>
        </w:rPr>
      </w:pPr>
      <w:r w:rsidRPr="00896524">
        <w:rPr>
          <w:rFonts w:ascii="Palatino Linotype" w:hAnsi="Palatino Linotype"/>
          <w:b/>
          <w:i/>
          <w:sz w:val="22"/>
        </w:rPr>
        <w:t>…</w:t>
      </w:r>
    </w:p>
    <w:p w14:paraId="11AE1FD9" w14:textId="77777777" w:rsidR="00896524" w:rsidRPr="00896524" w:rsidRDefault="00896524" w:rsidP="00896524">
      <w:pPr>
        <w:ind w:left="851" w:right="822"/>
        <w:contextualSpacing/>
        <w:jc w:val="both"/>
        <w:rPr>
          <w:rFonts w:ascii="Palatino Linotype" w:hAnsi="Palatino Linotype"/>
          <w:b/>
          <w:i/>
          <w:sz w:val="22"/>
        </w:rPr>
      </w:pPr>
      <w:r w:rsidRPr="00896524">
        <w:rPr>
          <w:rFonts w:ascii="Palatino Linotype" w:hAnsi="Palatino Linotype"/>
          <w:b/>
          <w:i/>
          <w:sz w:val="22"/>
        </w:rPr>
        <w:t xml:space="preserve">Artículo 128. En los casos en que se niegue el acceso a la información, por actualizarse alguno de los supuestos de clasificación, el Comité de Transparencia deberá confirmar, modificar o revocar la decisión. </w:t>
      </w:r>
    </w:p>
    <w:p w14:paraId="600892C2" w14:textId="77777777" w:rsidR="00896524" w:rsidRPr="00896524" w:rsidRDefault="00896524" w:rsidP="00896524">
      <w:pPr>
        <w:ind w:left="851" w:right="822"/>
        <w:contextualSpacing/>
        <w:jc w:val="both"/>
        <w:rPr>
          <w:rFonts w:ascii="Palatino Linotype" w:hAnsi="Palatino Linotype"/>
          <w:b/>
          <w:i/>
          <w:sz w:val="22"/>
        </w:rPr>
      </w:pPr>
      <w:r w:rsidRPr="00896524">
        <w:rPr>
          <w:rFonts w:ascii="Palatino Linotype" w:hAnsi="Palatino Linotype"/>
          <w:i/>
          <w:sz w:val="22"/>
        </w:rPr>
        <w:t xml:space="preserve">Para motivar la clasificación de la información y la ampliación del plazo de reserva, </w:t>
      </w:r>
      <w:r w:rsidRPr="00896524">
        <w:rPr>
          <w:rFonts w:ascii="Palatino Linotype" w:hAnsi="Palatino Linotype"/>
          <w:b/>
          <w:i/>
          <w:sz w:val="22"/>
        </w:rPr>
        <w:t>se deberán señalar las razones, motivos o circunstancias especiales que llevaron al Sujeto Obligado a concluir que el caso particular se ajusta al supuesto previsto por la norma legal invocada como fundamento. Además, el Sujeto Obligado deberá, en todo momento, aplicar una prueba de daño.</w:t>
      </w:r>
    </w:p>
    <w:p w14:paraId="43F30EE4" w14:textId="77777777" w:rsidR="00896524" w:rsidRPr="00896524" w:rsidRDefault="00896524" w:rsidP="00896524">
      <w:pPr>
        <w:ind w:left="851" w:right="822"/>
        <w:contextualSpacing/>
        <w:jc w:val="both"/>
        <w:rPr>
          <w:rFonts w:ascii="Palatino Linotype" w:hAnsi="Palatino Linotype"/>
          <w:i/>
          <w:sz w:val="22"/>
        </w:rPr>
      </w:pPr>
      <w:r w:rsidRPr="00896524">
        <w:rPr>
          <w:rFonts w:ascii="Palatino Linotype" w:hAnsi="Palatino Linotype"/>
          <w:i/>
          <w:sz w:val="22"/>
        </w:rPr>
        <w:t>Tratándose de aquélla información que actualice los supuestos de clasificación, deberá señalarse el plazo al que estará sujeto la reserva.</w:t>
      </w:r>
    </w:p>
    <w:p w14:paraId="5E8F28AD" w14:textId="77777777" w:rsidR="00896524" w:rsidRPr="00896524" w:rsidRDefault="00896524" w:rsidP="00896524">
      <w:pPr>
        <w:ind w:left="851" w:right="822"/>
        <w:contextualSpacing/>
        <w:jc w:val="both"/>
        <w:rPr>
          <w:rFonts w:ascii="Palatino Linotype" w:hAnsi="Palatino Linotype"/>
          <w:i/>
          <w:sz w:val="22"/>
        </w:rPr>
      </w:pPr>
    </w:p>
    <w:p w14:paraId="35186B9C" w14:textId="77777777" w:rsidR="00896524" w:rsidRPr="00896524" w:rsidRDefault="00896524" w:rsidP="00896524">
      <w:pPr>
        <w:ind w:left="851" w:right="822"/>
        <w:contextualSpacing/>
        <w:jc w:val="both"/>
        <w:rPr>
          <w:rFonts w:ascii="Palatino Linotype" w:hAnsi="Palatino Linotype"/>
          <w:b/>
          <w:i/>
          <w:sz w:val="22"/>
          <w:u w:val="single"/>
        </w:rPr>
      </w:pPr>
      <w:r w:rsidRPr="00896524">
        <w:rPr>
          <w:rFonts w:ascii="Palatino Linotype" w:hAnsi="Palatino Linotype"/>
          <w:i/>
          <w:sz w:val="22"/>
        </w:rPr>
        <w:t xml:space="preserve">Artículo 129. </w:t>
      </w:r>
      <w:r w:rsidRPr="00896524">
        <w:rPr>
          <w:rFonts w:ascii="Palatino Linotype" w:hAnsi="Palatino Linotype"/>
          <w:b/>
          <w:i/>
          <w:sz w:val="22"/>
        </w:rPr>
        <w:t>En la aplicación de la prueba de daño, el Sujeto Obligado deberá precisar las razones objetivas por las que la apertura de la información generaría una afectación, justificando que:</w:t>
      </w:r>
    </w:p>
    <w:p w14:paraId="04E515B2" w14:textId="77777777" w:rsidR="00896524" w:rsidRPr="00896524" w:rsidRDefault="00896524" w:rsidP="00896524">
      <w:pPr>
        <w:ind w:left="851" w:right="822"/>
        <w:contextualSpacing/>
        <w:jc w:val="both"/>
        <w:rPr>
          <w:rFonts w:ascii="Palatino Linotype" w:hAnsi="Palatino Linotype"/>
          <w:b/>
          <w:i/>
          <w:sz w:val="22"/>
        </w:rPr>
      </w:pPr>
      <w:r w:rsidRPr="00896524">
        <w:rPr>
          <w:rFonts w:ascii="Palatino Linotype" w:hAnsi="Palatino Linotype"/>
          <w:b/>
          <w:i/>
          <w:sz w:val="22"/>
        </w:rPr>
        <w:t>I. La divulgación de la información representa un riesgo real, demostrable e identificable del perjuicio significativo al interés público o a la seguridad pública;</w:t>
      </w:r>
    </w:p>
    <w:p w14:paraId="637DEEDB" w14:textId="77777777" w:rsidR="00896524" w:rsidRPr="00896524" w:rsidRDefault="00896524" w:rsidP="00896524">
      <w:pPr>
        <w:ind w:left="851" w:right="822"/>
        <w:contextualSpacing/>
        <w:jc w:val="both"/>
        <w:rPr>
          <w:rFonts w:ascii="Palatino Linotype" w:hAnsi="Palatino Linotype"/>
          <w:b/>
          <w:i/>
          <w:sz w:val="22"/>
        </w:rPr>
      </w:pPr>
      <w:r w:rsidRPr="00896524">
        <w:rPr>
          <w:rFonts w:ascii="Palatino Linotype" w:hAnsi="Palatino Linotype"/>
          <w:b/>
          <w:i/>
          <w:sz w:val="22"/>
        </w:rPr>
        <w:t>II. El riesgo de perjuicio que supondría la divulgación supera el interés público general de que se difunda; y</w:t>
      </w:r>
    </w:p>
    <w:p w14:paraId="7141334E" w14:textId="77777777" w:rsidR="00896524" w:rsidRPr="00896524" w:rsidRDefault="00896524" w:rsidP="00896524">
      <w:pPr>
        <w:ind w:left="851" w:right="822"/>
        <w:contextualSpacing/>
        <w:jc w:val="both"/>
        <w:rPr>
          <w:rFonts w:ascii="Palatino Linotype" w:hAnsi="Palatino Linotype"/>
          <w:b/>
          <w:i/>
          <w:sz w:val="22"/>
        </w:rPr>
      </w:pPr>
      <w:r w:rsidRPr="00896524">
        <w:rPr>
          <w:rFonts w:ascii="Palatino Linotype" w:hAnsi="Palatino Linotype"/>
          <w:b/>
          <w:i/>
          <w:sz w:val="22"/>
        </w:rPr>
        <w:t>III. La limitación se adecua al principio de proporcionalidad y representa el medio menos restrictivo disponible representa el medio menos restrictivo disponible para evitar el perjuicio.</w:t>
      </w:r>
    </w:p>
    <w:p w14:paraId="6D5A18D1" w14:textId="77777777" w:rsidR="00896524" w:rsidRPr="00896524" w:rsidRDefault="00896524" w:rsidP="00896524">
      <w:pPr>
        <w:ind w:left="851" w:right="822"/>
        <w:contextualSpacing/>
        <w:jc w:val="both"/>
        <w:rPr>
          <w:rFonts w:ascii="Palatino Linotype" w:hAnsi="Palatino Linotype"/>
          <w:b/>
          <w:i/>
          <w:sz w:val="22"/>
          <w:u w:val="single"/>
        </w:rPr>
      </w:pPr>
    </w:p>
    <w:p w14:paraId="3476EFE7" w14:textId="77777777" w:rsidR="00896524" w:rsidRPr="00896524" w:rsidRDefault="00896524" w:rsidP="00896524">
      <w:pPr>
        <w:ind w:left="851" w:right="822"/>
        <w:contextualSpacing/>
        <w:jc w:val="both"/>
        <w:rPr>
          <w:rFonts w:ascii="Palatino Linotype" w:hAnsi="Palatino Linotype"/>
          <w:i/>
          <w:sz w:val="22"/>
        </w:rPr>
      </w:pPr>
      <w:r w:rsidRPr="00896524">
        <w:rPr>
          <w:rFonts w:ascii="Palatino Linotype" w:hAnsi="Palatino Linotype"/>
          <w:b/>
          <w:i/>
          <w:sz w:val="22"/>
          <w:u w:val="single"/>
        </w:rPr>
        <w:t>Artículo 130. Los sujetos obligados deberán aplicar, de manera restrictiva y limitada, las excepciones al derecho de acceso a la información y sólo podrán invocarlas cuando acrediten su procedencia</w:t>
      </w:r>
      <w:r w:rsidRPr="00896524">
        <w:rPr>
          <w:rFonts w:ascii="Palatino Linotype" w:hAnsi="Palatino Linotype"/>
          <w:i/>
          <w:sz w:val="22"/>
        </w:rPr>
        <w:t>, sin ampliar las excepciones o supuestos de reserva o confidencialidad previstos en la Ley General y la presente Ley, aduciendo analogía o mayoría de razón.</w:t>
      </w:r>
    </w:p>
    <w:p w14:paraId="51DE5300" w14:textId="77777777" w:rsidR="00896524" w:rsidRPr="00896524" w:rsidRDefault="00896524" w:rsidP="00896524">
      <w:pPr>
        <w:ind w:left="851" w:right="822"/>
        <w:contextualSpacing/>
        <w:jc w:val="both"/>
        <w:rPr>
          <w:rFonts w:ascii="Palatino Linotype" w:hAnsi="Palatino Linotype"/>
          <w:b/>
          <w:i/>
          <w:sz w:val="22"/>
        </w:rPr>
      </w:pPr>
    </w:p>
    <w:p w14:paraId="5922F7EC" w14:textId="77777777" w:rsidR="00896524" w:rsidRPr="00896524" w:rsidRDefault="00896524" w:rsidP="00896524">
      <w:pPr>
        <w:ind w:left="851" w:right="822"/>
        <w:contextualSpacing/>
        <w:jc w:val="both"/>
        <w:rPr>
          <w:rFonts w:ascii="Palatino Linotype" w:hAnsi="Palatino Linotype"/>
          <w:b/>
          <w:i/>
          <w:sz w:val="22"/>
        </w:rPr>
      </w:pPr>
      <w:r w:rsidRPr="00896524">
        <w:rPr>
          <w:rFonts w:ascii="Palatino Linotype" w:hAnsi="Palatino Linotype"/>
          <w:b/>
          <w:i/>
          <w:sz w:val="22"/>
        </w:rPr>
        <w:t>Artículo 140. El acceso a la información pública será restringido excepcionalmente, cuando por razones de interés público, ésta sea clasificada como reservada, conforme a los criterios siguientes:</w:t>
      </w:r>
    </w:p>
    <w:p w14:paraId="2D8DF92B" w14:textId="77777777" w:rsidR="00896524" w:rsidRPr="00896524" w:rsidRDefault="00896524" w:rsidP="00896524">
      <w:pPr>
        <w:ind w:left="851" w:right="822"/>
        <w:contextualSpacing/>
        <w:jc w:val="both"/>
        <w:rPr>
          <w:rFonts w:ascii="Palatino Linotype" w:hAnsi="Palatino Linotype"/>
          <w:i/>
          <w:sz w:val="22"/>
        </w:rPr>
      </w:pPr>
      <w:r w:rsidRPr="00896524">
        <w:rPr>
          <w:rFonts w:ascii="Palatino Linotype" w:hAnsi="Palatino Linotype"/>
          <w:i/>
          <w:sz w:val="22"/>
        </w:rPr>
        <w:t>[…]</w:t>
      </w:r>
    </w:p>
    <w:p w14:paraId="3A9CB7B2" w14:textId="77777777" w:rsidR="00896524" w:rsidRPr="00896524" w:rsidRDefault="00896524" w:rsidP="00896524">
      <w:pPr>
        <w:ind w:left="851" w:right="822"/>
        <w:contextualSpacing/>
        <w:jc w:val="both"/>
        <w:rPr>
          <w:rFonts w:ascii="Palatino Linotype" w:hAnsi="Palatino Linotype"/>
          <w:i/>
          <w:sz w:val="22"/>
        </w:rPr>
      </w:pPr>
      <w:r w:rsidRPr="00896524">
        <w:rPr>
          <w:rFonts w:ascii="Palatino Linotype" w:hAnsi="Palatino Linotype"/>
          <w:b/>
          <w:i/>
          <w:sz w:val="22"/>
        </w:rPr>
        <w:t>VI.</w:t>
      </w:r>
      <w:r w:rsidRPr="00896524">
        <w:rPr>
          <w:rFonts w:ascii="Palatino Linotype" w:hAnsi="Palatino Linotype"/>
          <w:i/>
          <w:sz w:val="22"/>
        </w:rPr>
        <w:t xml:space="preserve"> Pueda causar daño u obstruya la prevención o persecución de los delitos, altere el proceso de investigación de las carpetas de investigación, afecte o vulnere la conducción o los derechos del debido proceso en los procedimientos judiciales o </w:t>
      </w:r>
      <w:r w:rsidRPr="00896524">
        <w:rPr>
          <w:rFonts w:ascii="Palatino Linotype" w:hAnsi="Palatino Linotype"/>
          <w:i/>
          <w:sz w:val="22"/>
        </w:rPr>
        <w:lastRenderedPageBreak/>
        <w:t>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(Sic)</w:t>
      </w:r>
    </w:p>
    <w:p w14:paraId="293FEFAC" w14:textId="77777777" w:rsidR="00896524" w:rsidRPr="00896524" w:rsidRDefault="00896524" w:rsidP="00896524">
      <w:pPr>
        <w:spacing w:line="360" w:lineRule="auto"/>
        <w:ind w:right="49"/>
        <w:contextualSpacing/>
        <w:jc w:val="both"/>
        <w:rPr>
          <w:rFonts w:ascii="Palatino Linotype" w:hAnsi="Palatino Linotype"/>
          <w:i/>
        </w:rPr>
      </w:pPr>
    </w:p>
    <w:p w14:paraId="14DA6251" w14:textId="77777777" w:rsidR="00896524" w:rsidRPr="00896524" w:rsidRDefault="00896524" w:rsidP="00896524">
      <w:pPr>
        <w:spacing w:line="360" w:lineRule="auto"/>
        <w:ind w:right="49"/>
        <w:contextualSpacing/>
        <w:jc w:val="both"/>
        <w:rPr>
          <w:rFonts w:ascii="Palatino Linotype" w:hAnsi="Palatino Linotype"/>
        </w:rPr>
      </w:pPr>
      <w:r w:rsidRPr="00896524">
        <w:rPr>
          <w:rFonts w:ascii="Palatino Linotype" w:hAnsi="Palatino Linotype"/>
        </w:rPr>
        <w:t xml:space="preserve">De la interpretación sistemática de los artículos citados, se advierte que el Sujeto Obligado debe realizar la debida reserva de la información por seguir en trámite el procedimiento aludido y de aquellas que no son graves, siguiendo los requisitos expuestos: </w:t>
      </w:r>
    </w:p>
    <w:p w14:paraId="18FA862F" w14:textId="77777777" w:rsidR="00896524" w:rsidRPr="00896524" w:rsidRDefault="00896524" w:rsidP="00896524">
      <w:pPr>
        <w:spacing w:line="360" w:lineRule="auto"/>
        <w:ind w:right="49"/>
        <w:contextualSpacing/>
        <w:jc w:val="both"/>
        <w:rPr>
          <w:rFonts w:ascii="Palatino Linotype" w:hAnsi="Palatino Linotype"/>
        </w:rPr>
      </w:pPr>
    </w:p>
    <w:p w14:paraId="5DFA7ADC" w14:textId="77777777" w:rsidR="00896524" w:rsidRPr="00896524" w:rsidRDefault="00896524" w:rsidP="00896524">
      <w:pPr>
        <w:ind w:left="851" w:right="822"/>
        <w:contextualSpacing/>
        <w:jc w:val="both"/>
        <w:rPr>
          <w:rFonts w:ascii="Palatino Linotype" w:hAnsi="Palatino Linotype"/>
          <w:i/>
          <w:sz w:val="22"/>
        </w:rPr>
      </w:pPr>
      <w:r w:rsidRPr="00896524">
        <w:rPr>
          <w:rFonts w:ascii="Palatino Linotype" w:hAnsi="Palatino Linotype"/>
          <w:i/>
          <w:sz w:val="22"/>
        </w:rPr>
        <w:t>“La divulgación de la información representa un riesgo real, demostrable e identificable del perjuicio significativo al interés público o a la seguridad pública;</w:t>
      </w:r>
    </w:p>
    <w:p w14:paraId="6D483631" w14:textId="77777777" w:rsidR="00896524" w:rsidRPr="00896524" w:rsidRDefault="00896524" w:rsidP="00896524">
      <w:pPr>
        <w:ind w:left="851" w:right="822"/>
        <w:contextualSpacing/>
        <w:jc w:val="both"/>
        <w:rPr>
          <w:rFonts w:ascii="Palatino Linotype" w:hAnsi="Palatino Linotype"/>
          <w:i/>
          <w:sz w:val="22"/>
        </w:rPr>
      </w:pPr>
      <w:r w:rsidRPr="00896524">
        <w:rPr>
          <w:rFonts w:ascii="Palatino Linotype" w:hAnsi="Palatino Linotype"/>
          <w:i/>
          <w:sz w:val="22"/>
        </w:rPr>
        <w:t>El riesgo de perjuicio que supondría la divulgación supera el interés público general de que se difunda; y</w:t>
      </w:r>
    </w:p>
    <w:p w14:paraId="0653E1B4" w14:textId="77777777" w:rsidR="00896524" w:rsidRPr="00896524" w:rsidRDefault="00896524" w:rsidP="00896524">
      <w:pPr>
        <w:ind w:left="851" w:right="822"/>
        <w:contextualSpacing/>
        <w:jc w:val="both"/>
        <w:rPr>
          <w:rFonts w:ascii="Palatino Linotype" w:hAnsi="Palatino Linotype"/>
          <w:i/>
          <w:sz w:val="22"/>
        </w:rPr>
      </w:pPr>
      <w:r w:rsidRPr="00896524">
        <w:rPr>
          <w:rFonts w:ascii="Palatino Linotype" w:hAnsi="Palatino Linotype"/>
          <w:i/>
          <w:sz w:val="22"/>
        </w:rPr>
        <w:t>La limitación se adecua al principio de proporcionalidad y representa el medio menos restrictivo disponible representa el medio menos restrictivo disponible para evitar el perjuicio.”(Sic)</w:t>
      </w:r>
    </w:p>
    <w:p w14:paraId="5B065915" w14:textId="77777777" w:rsidR="00896524" w:rsidRPr="00896524" w:rsidRDefault="00896524" w:rsidP="00896524">
      <w:pPr>
        <w:spacing w:line="360" w:lineRule="auto"/>
        <w:ind w:left="851" w:right="822"/>
        <w:contextualSpacing/>
        <w:jc w:val="both"/>
        <w:rPr>
          <w:rFonts w:ascii="Palatino Linotype" w:hAnsi="Palatino Linotype"/>
          <w:b/>
          <w:i/>
          <w:sz w:val="22"/>
        </w:rPr>
      </w:pPr>
    </w:p>
    <w:p w14:paraId="1D94584B" w14:textId="77777777" w:rsidR="00896524" w:rsidRPr="00896524" w:rsidRDefault="00896524" w:rsidP="00896524">
      <w:pPr>
        <w:spacing w:line="360" w:lineRule="auto"/>
        <w:ind w:right="49"/>
        <w:contextualSpacing/>
        <w:jc w:val="both"/>
        <w:rPr>
          <w:rFonts w:ascii="Palatino Linotype" w:hAnsi="Palatino Linotype"/>
        </w:rPr>
      </w:pPr>
      <w:r w:rsidRPr="00896524">
        <w:rPr>
          <w:rFonts w:ascii="Palatino Linotype" w:hAnsi="Palatino Linotype"/>
        </w:rPr>
        <w:t>Requisitos que deben estar acompañados de la debida fundamentación y motivación, cobrado aplicación lo que señala la jurisprudencia de la novena época visible en el Semanario Judicial de la Federación y su Gaceta. Instancia: Tribunales Colegiados de Circuito. Tesis I.4o.A.J/43 (9a.) bajo el número de registro 175082 cuyo rubro y texto esgrime;</w:t>
      </w:r>
    </w:p>
    <w:p w14:paraId="5F0BEAAB" w14:textId="77777777" w:rsidR="00896524" w:rsidRPr="00896524" w:rsidRDefault="00896524" w:rsidP="00896524">
      <w:pPr>
        <w:spacing w:line="360" w:lineRule="auto"/>
        <w:ind w:right="49"/>
        <w:contextualSpacing/>
        <w:jc w:val="both"/>
        <w:rPr>
          <w:rFonts w:ascii="Palatino Linotype" w:hAnsi="Palatino Linotype"/>
        </w:rPr>
      </w:pPr>
    </w:p>
    <w:p w14:paraId="67368F84" w14:textId="77777777" w:rsidR="00896524" w:rsidRPr="00896524" w:rsidRDefault="00896524" w:rsidP="00896524">
      <w:pPr>
        <w:ind w:left="851" w:right="822"/>
        <w:contextualSpacing/>
        <w:jc w:val="both"/>
        <w:rPr>
          <w:rFonts w:ascii="Palatino Linotype" w:hAnsi="Palatino Linotype"/>
          <w:b/>
          <w:bCs/>
          <w:i/>
          <w:sz w:val="22"/>
          <w:szCs w:val="22"/>
        </w:rPr>
      </w:pPr>
      <w:r w:rsidRPr="00896524">
        <w:rPr>
          <w:rFonts w:ascii="Palatino Linotype" w:hAnsi="Palatino Linotype"/>
          <w:b/>
          <w:bCs/>
          <w:i/>
          <w:sz w:val="22"/>
          <w:szCs w:val="22"/>
        </w:rPr>
        <w:t>“FUNDAMENTACIÓN Y MOTIVACIÓN. EL ASPECTO FORMAL DE LA GARANTÍA Y SU FINALIDAD SE TRADUCEN EN EXPLICAR, JUSTIFICAR, POSIBILITAR LA DEFENSA Y COMUNICAR LA DECISIÓN.</w:t>
      </w:r>
    </w:p>
    <w:p w14:paraId="332C9C49" w14:textId="77777777" w:rsidR="00896524" w:rsidRPr="00896524" w:rsidRDefault="00896524" w:rsidP="00896524">
      <w:pPr>
        <w:ind w:left="851" w:right="822"/>
        <w:contextualSpacing/>
        <w:jc w:val="both"/>
        <w:rPr>
          <w:rFonts w:ascii="Palatino Linotype" w:hAnsi="Palatino Linotype"/>
          <w:i/>
          <w:sz w:val="22"/>
          <w:szCs w:val="22"/>
        </w:rPr>
      </w:pPr>
      <w:r w:rsidRPr="00896524">
        <w:rPr>
          <w:rFonts w:ascii="Palatino Linotype" w:hAnsi="Palatino Linotype"/>
          <w:i/>
          <w:sz w:val="22"/>
          <w:szCs w:val="22"/>
        </w:rPr>
        <w:t>El contenido formal de la garantía de legalidad prevista en el artículo </w:t>
      </w:r>
      <w:hyperlink r:id="rId20" w:history="1">
        <w:r w:rsidRPr="00896524">
          <w:rPr>
            <w:rFonts w:ascii="Palatino Linotype" w:hAnsi="Palatino Linotype"/>
            <w:i/>
            <w:sz w:val="22"/>
            <w:szCs w:val="22"/>
            <w:u w:val="single"/>
          </w:rPr>
          <w:t>16 constitucional</w:t>
        </w:r>
      </w:hyperlink>
      <w:r w:rsidRPr="00896524">
        <w:rPr>
          <w:rFonts w:ascii="Palatino Linotype" w:hAnsi="Palatino Linotype"/>
          <w:i/>
          <w:sz w:val="22"/>
          <w:szCs w:val="22"/>
        </w:rPr>
        <w:t xml:space="preserve"> relativa a la fundamentación y motivación tiene como propósito </w:t>
      </w:r>
      <w:r w:rsidRPr="00896524">
        <w:rPr>
          <w:rFonts w:ascii="Palatino Linotype" w:hAnsi="Palatino Linotype"/>
          <w:i/>
          <w:sz w:val="22"/>
          <w:szCs w:val="22"/>
        </w:rPr>
        <w:lastRenderedPageBreak/>
        <w:t>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subsunción”(Sic)</w:t>
      </w:r>
    </w:p>
    <w:p w14:paraId="5174747C" w14:textId="77777777" w:rsidR="00896524" w:rsidRPr="00896524" w:rsidRDefault="00896524" w:rsidP="00896524">
      <w:pPr>
        <w:spacing w:line="360" w:lineRule="auto"/>
        <w:ind w:right="49"/>
        <w:contextualSpacing/>
        <w:jc w:val="both"/>
        <w:rPr>
          <w:rFonts w:ascii="Palatino Linotype" w:hAnsi="Palatino Linotype"/>
          <w:i/>
        </w:rPr>
      </w:pPr>
    </w:p>
    <w:p w14:paraId="7BA59C53" w14:textId="77777777" w:rsidR="00896524" w:rsidRPr="00896524" w:rsidRDefault="00896524" w:rsidP="00896524">
      <w:pPr>
        <w:spacing w:line="360" w:lineRule="auto"/>
        <w:ind w:right="49"/>
        <w:contextualSpacing/>
        <w:jc w:val="both"/>
        <w:rPr>
          <w:rFonts w:ascii="Palatino Linotype" w:hAnsi="Palatino Linotype"/>
          <w:bCs/>
          <w:iCs/>
        </w:rPr>
      </w:pPr>
      <w:r w:rsidRPr="00896524">
        <w:rPr>
          <w:rFonts w:ascii="Palatino Linotype" w:hAnsi="Palatino Linotype"/>
        </w:rPr>
        <w:t xml:space="preserve">Debiendo argumentar el Sujeto Obligado que la liberación de la información pueda amenazar el interés protegido por la ley, es decir esgrimir ideas jurídicas en el cual se evidencie la amenaza del daño o alteración al procedimiento que aduce el Sujeto Obligado, amparado de razones, y circunstancias especiales que lo llevaron a concluir que el caso particular se ajusta al supuesto previsto en la norma legal invocada como fundamento, por la hipótesis análoga siendo aplicables los numerales </w:t>
      </w:r>
      <w:r w:rsidRPr="00896524">
        <w:rPr>
          <w:rFonts w:ascii="Palatino Linotype" w:hAnsi="Palatino Linotype"/>
          <w:bCs/>
          <w:iCs/>
        </w:rPr>
        <w:t>140, fracción VI de la Ley de Transparencia y Acceso a la Información Pública del Estado de México y Municipios (homólogo al artículo 113, fracción IX de la Ley General de Transparencia y Acceso a la Información Pública), establece que aquella información que afecte o vulnere la conducción de procedimientos de responsabilidades administrativas, en tanto no hayan quedado firmes.</w:t>
      </w:r>
    </w:p>
    <w:p w14:paraId="1B6B0FD8" w14:textId="77777777" w:rsidR="00896524" w:rsidRPr="00896524" w:rsidRDefault="00896524" w:rsidP="00896524">
      <w:pPr>
        <w:spacing w:line="360" w:lineRule="auto"/>
        <w:ind w:right="49"/>
        <w:contextualSpacing/>
        <w:jc w:val="both"/>
        <w:rPr>
          <w:rFonts w:ascii="Palatino Linotype" w:hAnsi="Palatino Linotype"/>
          <w:bCs/>
          <w:iCs/>
        </w:rPr>
      </w:pPr>
    </w:p>
    <w:p w14:paraId="754B9653" w14:textId="77777777" w:rsidR="00896524" w:rsidRPr="00896524" w:rsidRDefault="00896524" w:rsidP="00896524">
      <w:pPr>
        <w:spacing w:line="360" w:lineRule="auto"/>
        <w:ind w:right="49"/>
        <w:contextualSpacing/>
        <w:jc w:val="both"/>
        <w:rPr>
          <w:rFonts w:ascii="Palatino Linotype" w:hAnsi="Palatino Linotype"/>
          <w:bCs/>
          <w:iCs/>
        </w:rPr>
      </w:pPr>
      <w:r w:rsidRPr="00896524">
        <w:rPr>
          <w:rFonts w:ascii="Palatino Linotype" w:hAnsi="Palatino Linotype"/>
          <w:bCs/>
          <w:iCs/>
        </w:rPr>
        <w:t xml:space="preserve">Por lo cual, la causal de reserva prevé que la información podrá clasificarse como reservada en el caso de que obstruya los procedimientos para fincar responsabilidad </w:t>
      </w:r>
      <w:r w:rsidRPr="00896524">
        <w:rPr>
          <w:rFonts w:ascii="Palatino Linotype" w:hAnsi="Palatino Linotype"/>
          <w:bCs/>
          <w:iCs/>
        </w:rPr>
        <w:lastRenderedPageBreak/>
        <w:t>a los servidores públicos, pretende proteger la información vinculada a dichos procedimientos.</w:t>
      </w:r>
    </w:p>
    <w:p w14:paraId="6FD2EB94" w14:textId="77777777" w:rsidR="00896524" w:rsidRPr="00896524" w:rsidRDefault="00896524" w:rsidP="00896524">
      <w:pPr>
        <w:spacing w:line="360" w:lineRule="auto"/>
        <w:ind w:right="49"/>
        <w:contextualSpacing/>
        <w:jc w:val="both"/>
        <w:rPr>
          <w:rFonts w:ascii="Palatino Linotype" w:hAnsi="Palatino Linotype"/>
          <w:bCs/>
          <w:iCs/>
        </w:rPr>
      </w:pPr>
    </w:p>
    <w:p w14:paraId="09A48FAB" w14:textId="77777777" w:rsidR="00896524" w:rsidRPr="00896524" w:rsidRDefault="00896524" w:rsidP="00896524">
      <w:pPr>
        <w:spacing w:line="360" w:lineRule="auto"/>
        <w:ind w:right="49"/>
        <w:contextualSpacing/>
        <w:jc w:val="both"/>
        <w:rPr>
          <w:rFonts w:ascii="Palatino Linotype" w:hAnsi="Palatino Linotype"/>
          <w:iCs/>
        </w:rPr>
      </w:pPr>
      <w:r w:rsidRPr="00896524">
        <w:rPr>
          <w:rFonts w:ascii="Palatino Linotype" w:hAnsi="Palatino Linotype"/>
          <w:iCs/>
        </w:rPr>
        <w:t xml:space="preserve">Por su parte, en los Lineamientos Generales en Materia de Clasificación y Desclasificación de la </w:t>
      </w:r>
      <w:r w:rsidRPr="00896524">
        <w:rPr>
          <w:rFonts w:ascii="Palatino Linotype" w:hAnsi="Palatino Linotype"/>
          <w:bCs/>
          <w:iCs/>
        </w:rPr>
        <w:t>Información</w:t>
      </w:r>
      <w:r w:rsidRPr="00896524">
        <w:rPr>
          <w:rFonts w:ascii="Palatino Linotype" w:hAnsi="Palatino Linotype"/>
          <w:iCs/>
        </w:rPr>
        <w:t>, así como para la elaboración de versiones públicas, se establece lo siguiente:</w:t>
      </w:r>
    </w:p>
    <w:p w14:paraId="09285330" w14:textId="77777777" w:rsidR="00896524" w:rsidRPr="00896524" w:rsidRDefault="00896524" w:rsidP="00896524">
      <w:pPr>
        <w:ind w:left="851" w:right="822"/>
        <w:contextualSpacing/>
        <w:jc w:val="both"/>
        <w:rPr>
          <w:rFonts w:ascii="Palatino Linotype" w:hAnsi="Palatino Linotype"/>
          <w:i/>
          <w:iCs/>
          <w:sz w:val="22"/>
        </w:rPr>
      </w:pPr>
      <w:r w:rsidRPr="00896524">
        <w:rPr>
          <w:rFonts w:ascii="Palatino Linotype" w:hAnsi="Palatino Linotype"/>
          <w:i/>
          <w:iCs/>
          <w:sz w:val="22"/>
        </w:rPr>
        <w:t>“…</w:t>
      </w:r>
    </w:p>
    <w:p w14:paraId="6B0C1786" w14:textId="77777777" w:rsidR="00896524" w:rsidRPr="00896524" w:rsidRDefault="00896524" w:rsidP="00896524">
      <w:pPr>
        <w:ind w:left="851" w:right="822"/>
        <w:contextualSpacing/>
        <w:jc w:val="both"/>
        <w:rPr>
          <w:rFonts w:ascii="Palatino Linotype" w:hAnsi="Palatino Linotype"/>
          <w:i/>
          <w:iCs/>
          <w:sz w:val="22"/>
        </w:rPr>
      </w:pPr>
      <w:r w:rsidRPr="00896524">
        <w:rPr>
          <w:rFonts w:ascii="Palatino Linotype" w:hAnsi="Palatino Linotype"/>
          <w:b/>
          <w:i/>
          <w:iCs/>
          <w:sz w:val="22"/>
        </w:rPr>
        <w:t>Vigésimo octavo.</w:t>
      </w:r>
      <w:r w:rsidRPr="00896524">
        <w:rPr>
          <w:rFonts w:ascii="Palatino Linotype" w:hAnsi="Palatino Linotype"/>
          <w:i/>
          <w:iCs/>
          <w:sz w:val="22"/>
        </w:rPr>
        <w:t xml:space="preserve"> De conformidad con el artículo 113, fracción IX de la Ley General, podrá considerarse como información reservada, aquella que obstruya los procedimientos para fincar responsabilidad a los servidores públicos, en tanto no se haya dictado la resolución administrativa correspondiente; para lo cual, se deberán acreditar los siguientes supuestos:</w:t>
      </w:r>
    </w:p>
    <w:p w14:paraId="49EF6DA2" w14:textId="77777777" w:rsidR="00896524" w:rsidRPr="00896524" w:rsidRDefault="00896524" w:rsidP="00896524">
      <w:pPr>
        <w:ind w:left="851" w:right="822"/>
        <w:contextualSpacing/>
        <w:jc w:val="both"/>
        <w:rPr>
          <w:rFonts w:ascii="Palatino Linotype" w:hAnsi="Palatino Linotype"/>
          <w:i/>
          <w:iCs/>
          <w:sz w:val="22"/>
        </w:rPr>
      </w:pPr>
    </w:p>
    <w:p w14:paraId="014DC6BB" w14:textId="77777777" w:rsidR="00896524" w:rsidRPr="00896524" w:rsidRDefault="00896524" w:rsidP="00896524">
      <w:pPr>
        <w:ind w:left="851" w:right="822"/>
        <w:contextualSpacing/>
        <w:jc w:val="both"/>
        <w:rPr>
          <w:rFonts w:ascii="Palatino Linotype" w:hAnsi="Palatino Linotype"/>
          <w:i/>
          <w:iCs/>
          <w:sz w:val="22"/>
        </w:rPr>
      </w:pPr>
      <w:r w:rsidRPr="00896524">
        <w:rPr>
          <w:rFonts w:ascii="Palatino Linotype" w:hAnsi="Palatino Linotype"/>
          <w:i/>
          <w:iCs/>
          <w:sz w:val="22"/>
        </w:rPr>
        <w:t>I. La existencia de un procedimiento de responsabilidad administrativa en trámite, y</w:t>
      </w:r>
    </w:p>
    <w:p w14:paraId="1FCDB679" w14:textId="77777777" w:rsidR="00896524" w:rsidRPr="00896524" w:rsidRDefault="00896524" w:rsidP="00896524">
      <w:pPr>
        <w:ind w:left="851" w:right="822"/>
        <w:contextualSpacing/>
        <w:jc w:val="both"/>
        <w:rPr>
          <w:rFonts w:ascii="Palatino Linotype" w:hAnsi="Palatino Linotype"/>
          <w:i/>
          <w:iCs/>
          <w:sz w:val="22"/>
        </w:rPr>
      </w:pPr>
      <w:r w:rsidRPr="00896524">
        <w:rPr>
          <w:rFonts w:ascii="Palatino Linotype" w:hAnsi="Palatino Linotype"/>
          <w:i/>
          <w:iCs/>
          <w:sz w:val="22"/>
        </w:rPr>
        <w:t>II. Que la información se refiera a actuaciones, diligencias y constancias propias del procedimiento de responsabilidad…” (Sic)</w:t>
      </w:r>
    </w:p>
    <w:p w14:paraId="31DDFED3" w14:textId="77777777" w:rsidR="00896524" w:rsidRPr="00896524" w:rsidRDefault="00896524" w:rsidP="00896524">
      <w:pPr>
        <w:spacing w:line="360" w:lineRule="auto"/>
        <w:ind w:right="49"/>
        <w:contextualSpacing/>
        <w:jc w:val="both"/>
        <w:rPr>
          <w:rFonts w:ascii="Palatino Linotype" w:hAnsi="Palatino Linotype"/>
          <w:i/>
          <w:iCs/>
        </w:rPr>
      </w:pPr>
    </w:p>
    <w:p w14:paraId="2C85B2D7" w14:textId="77777777" w:rsidR="00896524" w:rsidRPr="00896524" w:rsidRDefault="00896524" w:rsidP="00896524">
      <w:pPr>
        <w:spacing w:before="240" w:after="240" w:line="360" w:lineRule="auto"/>
        <w:contextualSpacing/>
        <w:jc w:val="both"/>
        <w:rPr>
          <w:rFonts w:ascii="Palatino Linotype" w:hAnsi="Palatino Linotype"/>
        </w:rPr>
      </w:pPr>
      <w:r w:rsidRPr="00896524">
        <w:rPr>
          <w:rFonts w:ascii="Palatino Linotype" w:hAnsi="Palatino Linotype"/>
          <w:iCs/>
        </w:rPr>
        <w:t>De lo anterior, se advierte que para que se actualice la causal de reserva que se analiza se debe acreditar i) la existencia de un procedimiento de responsabilidad administrativa en trámite, y ii) que la información se refiera a actuaciones, diligencias y constancias propias del procedimiento de responsabilidad.</w:t>
      </w:r>
    </w:p>
    <w:p w14:paraId="202ABD8F" w14:textId="77777777" w:rsidR="00896524" w:rsidRPr="00896524" w:rsidRDefault="00896524" w:rsidP="00896524">
      <w:pPr>
        <w:spacing w:before="240" w:after="240" w:line="360" w:lineRule="auto"/>
        <w:contextualSpacing/>
        <w:jc w:val="both"/>
        <w:rPr>
          <w:rFonts w:ascii="Palatino Linotype" w:hAnsi="Palatino Linotype"/>
        </w:rPr>
      </w:pPr>
      <w:r w:rsidRPr="00896524">
        <w:rPr>
          <w:rFonts w:ascii="Palatino Linotype" w:hAnsi="Palatino Linotype"/>
        </w:rPr>
        <w:t>De ahí que, resulta procedente la reserva, en términos del artículo 140, fracción VI, de la Ley de Transparencia y Acceso a la Información Pública del Estado de México y Municipios, de los procedimientos por responsabilidades administrativas en trámite por faltas graves.</w:t>
      </w:r>
    </w:p>
    <w:p w14:paraId="22B6D1CF" w14:textId="77777777" w:rsidR="00896524" w:rsidRPr="00896524" w:rsidRDefault="00896524" w:rsidP="00896524">
      <w:pPr>
        <w:spacing w:before="240" w:after="240" w:line="360" w:lineRule="auto"/>
        <w:contextualSpacing/>
        <w:jc w:val="both"/>
        <w:rPr>
          <w:rFonts w:ascii="Palatino Linotype" w:hAnsi="Palatino Linotype"/>
          <w:bCs/>
        </w:rPr>
      </w:pPr>
      <w:r w:rsidRPr="00896524">
        <w:rPr>
          <w:rFonts w:ascii="Palatino Linotype" w:hAnsi="Palatino Linotype"/>
          <w:iCs/>
        </w:rPr>
        <w:t>R</w:t>
      </w:r>
      <w:r w:rsidRPr="00896524">
        <w:rPr>
          <w:rFonts w:ascii="Palatino Linotype" w:hAnsi="Palatino Linotype"/>
          <w:bCs/>
        </w:rPr>
        <w:t xml:space="preserve">especto al plazo de reserva, el artículo 125 de la Ley de la materia, establece que la información clasificada como reservada según el artículo 140 de la Ley Federal de Transparencia y Acceso a la Información Pública, podrá permanecer con tal carácter </w:t>
      </w:r>
      <w:r w:rsidRPr="00896524">
        <w:rPr>
          <w:rFonts w:ascii="Palatino Linotype" w:hAnsi="Palatino Linotype"/>
          <w:bCs/>
        </w:rPr>
        <w:lastRenderedPageBreak/>
        <w:t>hasta por un periodo de cinco años; por lo que deberá determinar el periodo de reserva, de manera fundada y motivada.</w:t>
      </w:r>
    </w:p>
    <w:p w14:paraId="5A9BAC88" w14:textId="77777777" w:rsidR="00896524" w:rsidRPr="00896524" w:rsidRDefault="00896524" w:rsidP="00896524">
      <w:pPr>
        <w:spacing w:before="240" w:after="240" w:line="360" w:lineRule="auto"/>
        <w:contextualSpacing/>
        <w:jc w:val="both"/>
        <w:rPr>
          <w:rFonts w:ascii="Palatino Linotype" w:eastAsia="Palatino Linotype" w:hAnsi="Palatino Linotype" w:cs="Palatino Linotype"/>
        </w:rPr>
      </w:pPr>
      <w:r w:rsidRPr="00896524">
        <w:rPr>
          <w:rFonts w:ascii="Palatino Linotype" w:hAnsi="Palatino Linotype"/>
          <w:bCs/>
        </w:rPr>
        <w:t xml:space="preserve">Por otra parte, se considera de suma importancia mencionar que </w:t>
      </w:r>
      <w:r w:rsidRPr="00896524">
        <w:rPr>
          <w:rFonts w:ascii="Palatino Linotype" w:eastAsia="Palatino Linotype" w:hAnsi="Palatino Linotype" w:cs="Palatino Linotype"/>
        </w:rPr>
        <w:t>la Ley de Transparencia vigente en el Estado de México establece:</w:t>
      </w:r>
    </w:p>
    <w:p w14:paraId="2136B3B0" w14:textId="77777777" w:rsidR="00896524" w:rsidRPr="00896524" w:rsidRDefault="00896524" w:rsidP="00896524">
      <w:pPr>
        <w:spacing w:before="240" w:after="240" w:line="360" w:lineRule="auto"/>
        <w:contextualSpacing/>
        <w:jc w:val="both"/>
        <w:rPr>
          <w:rFonts w:ascii="Palatino Linotype" w:hAnsi="Palatino Linotype"/>
          <w:bCs/>
        </w:rPr>
      </w:pPr>
    </w:p>
    <w:p w14:paraId="4A9833AA" w14:textId="77777777" w:rsidR="00896524" w:rsidRPr="00896524" w:rsidRDefault="00896524" w:rsidP="00896524">
      <w:pPr>
        <w:ind w:left="851" w:right="851"/>
        <w:jc w:val="both"/>
        <w:rPr>
          <w:rFonts w:ascii="Palatino Linotype" w:eastAsia="Palatino Linotype" w:hAnsi="Palatino Linotype" w:cs="Palatino Linotype"/>
          <w:i/>
          <w:sz w:val="22"/>
          <w:szCs w:val="22"/>
        </w:rPr>
      </w:pPr>
      <w:r w:rsidRPr="00896524">
        <w:rPr>
          <w:rFonts w:ascii="Palatino Linotype" w:eastAsia="Palatino Linotype" w:hAnsi="Palatino Linotype" w:cs="Palatino Linotype"/>
          <w:b/>
          <w:i/>
          <w:sz w:val="22"/>
          <w:szCs w:val="22"/>
        </w:rPr>
        <w:t>Artículo 142.</w:t>
      </w:r>
      <w:r w:rsidRPr="00896524">
        <w:rPr>
          <w:rFonts w:ascii="Palatino Linotype" w:eastAsia="Palatino Linotype" w:hAnsi="Palatino Linotype" w:cs="Palatino Linotype"/>
          <w:i/>
          <w:sz w:val="22"/>
          <w:szCs w:val="22"/>
        </w:rPr>
        <w:t xml:space="preserve"> </w:t>
      </w:r>
      <w:r w:rsidRPr="00896524">
        <w:rPr>
          <w:rFonts w:ascii="Palatino Linotype" w:eastAsia="Palatino Linotype" w:hAnsi="Palatino Linotype" w:cs="Palatino Linotype"/>
          <w:b/>
          <w:i/>
          <w:sz w:val="22"/>
          <w:szCs w:val="22"/>
          <w:u w:val="single"/>
        </w:rPr>
        <w:t>Bajo ninguna circunstancia podrá invocarse el carácter de reservado cuando</w:t>
      </w:r>
      <w:r w:rsidRPr="00896524">
        <w:rPr>
          <w:rFonts w:ascii="Palatino Linotype" w:eastAsia="Palatino Linotype" w:hAnsi="Palatino Linotype" w:cs="Palatino Linotype"/>
          <w:i/>
          <w:sz w:val="22"/>
          <w:szCs w:val="22"/>
        </w:rPr>
        <w:t>:</w:t>
      </w:r>
    </w:p>
    <w:p w14:paraId="4C02DA99" w14:textId="77777777" w:rsidR="00896524" w:rsidRPr="00896524" w:rsidRDefault="00896524" w:rsidP="00896524">
      <w:pPr>
        <w:ind w:left="851" w:right="851"/>
        <w:jc w:val="both"/>
        <w:rPr>
          <w:rFonts w:ascii="Palatino Linotype" w:eastAsia="Palatino Linotype" w:hAnsi="Palatino Linotype" w:cs="Palatino Linotype"/>
          <w:i/>
          <w:sz w:val="22"/>
          <w:szCs w:val="22"/>
        </w:rPr>
      </w:pPr>
      <w:r w:rsidRPr="00896524">
        <w:rPr>
          <w:rFonts w:ascii="Palatino Linotype" w:eastAsia="Palatino Linotype" w:hAnsi="Palatino Linotype" w:cs="Palatino Linotype"/>
          <w:b/>
          <w:i/>
          <w:sz w:val="22"/>
          <w:szCs w:val="22"/>
        </w:rPr>
        <w:t>I.</w:t>
      </w:r>
      <w:r w:rsidRPr="00896524">
        <w:rPr>
          <w:rFonts w:ascii="Palatino Linotype" w:eastAsia="Palatino Linotype" w:hAnsi="Palatino Linotype" w:cs="Palatino Linotype"/>
          <w:i/>
          <w:sz w:val="22"/>
          <w:szCs w:val="22"/>
        </w:rPr>
        <w:t xml:space="preserve"> </w:t>
      </w:r>
      <w:r w:rsidRPr="00896524">
        <w:rPr>
          <w:rFonts w:ascii="Palatino Linotype" w:eastAsia="Palatino Linotype" w:hAnsi="Palatino Linotype" w:cs="Palatino Linotype"/>
          <w:b/>
          <w:i/>
          <w:sz w:val="22"/>
          <w:szCs w:val="22"/>
          <w:u w:val="single"/>
        </w:rPr>
        <w:t>Se trate de violaciones graves de derechos humanos</w:t>
      </w:r>
      <w:r w:rsidRPr="00896524">
        <w:rPr>
          <w:rFonts w:ascii="Palatino Linotype" w:eastAsia="Palatino Linotype" w:hAnsi="Palatino Linotype" w:cs="Palatino Linotype"/>
          <w:i/>
          <w:sz w:val="22"/>
          <w:szCs w:val="22"/>
        </w:rPr>
        <w:t>, calificada así por autoridad competente;</w:t>
      </w:r>
    </w:p>
    <w:p w14:paraId="2488F142" w14:textId="77777777" w:rsidR="00896524" w:rsidRPr="00896524" w:rsidRDefault="00896524" w:rsidP="00896524">
      <w:pPr>
        <w:ind w:left="851" w:right="851"/>
        <w:jc w:val="both"/>
        <w:rPr>
          <w:rFonts w:ascii="Palatino Linotype" w:eastAsia="Palatino Linotype" w:hAnsi="Palatino Linotype" w:cs="Palatino Linotype"/>
          <w:i/>
          <w:sz w:val="22"/>
          <w:szCs w:val="22"/>
        </w:rPr>
      </w:pPr>
      <w:r w:rsidRPr="00896524">
        <w:rPr>
          <w:rFonts w:ascii="Palatino Linotype" w:eastAsia="Palatino Linotype" w:hAnsi="Palatino Linotype" w:cs="Palatino Linotype"/>
          <w:b/>
          <w:i/>
          <w:sz w:val="22"/>
          <w:szCs w:val="22"/>
        </w:rPr>
        <w:t>II.</w:t>
      </w:r>
      <w:r w:rsidRPr="00896524">
        <w:rPr>
          <w:rFonts w:ascii="Palatino Linotype" w:eastAsia="Palatino Linotype" w:hAnsi="Palatino Linotype" w:cs="Palatino Linotype"/>
          <w:i/>
          <w:sz w:val="22"/>
          <w:szCs w:val="22"/>
        </w:rPr>
        <w:t xml:space="preserve"> </w:t>
      </w:r>
      <w:r w:rsidRPr="00896524">
        <w:rPr>
          <w:rFonts w:ascii="Palatino Linotype" w:eastAsia="Palatino Linotype" w:hAnsi="Palatino Linotype" w:cs="Palatino Linotype"/>
          <w:b/>
          <w:i/>
          <w:sz w:val="22"/>
          <w:szCs w:val="22"/>
          <w:u w:val="single"/>
        </w:rPr>
        <w:t>Se trate de la investigación de posibles violaciones graves de derechos humanos</w:t>
      </w:r>
      <w:r w:rsidRPr="00896524">
        <w:rPr>
          <w:rFonts w:ascii="Palatino Linotype" w:eastAsia="Palatino Linotype" w:hAnsi="Palatino Linotype" w:cs="Palatino Linotype"/>
          <w:i/>
          <w:sz w:val="22"/>
          <w:szCs w:val="22"/>
        </w:rPr>
        <w:t xml:space="preserve"> aun cuando no exista pronunciamiento previo de autoridad competente, cuando se determine, a partir de criterios cuantitativos y cualitativos la trascendencia social de las violaciones;</w:t>
      </w:r>
    </w:p>
    <w:p w14:paraId="349C2401" w14:textId="77777777" w:rsidR="00896524" w:rsidRPr="00896524" w:rsidRDefault="00896524" w:rsidP="00896524">
      <w:pPr>
        <w:ind w:left="851" w:right="851"/>
        <w:jc w:val="both"/>
        <w:rPr>
          <w:rFonts w:ascii="Palatino Linotype" w:eastAsia="Palatino Linotype" w:hAnsi="Palatino Linotype" w:cs="Palatino Linotype"/>
          <w:i/>
          <w:sz w:val="22"/>
          <w:szCs w:val="22"/>
        </w:rPr>
      </w:pPr>
      <w:r w:rsidRPr="00896524">
        <w:rPr>
          <w:rFonts w:ascii="Palatino Linotype" w:eastAsia="Palatino Linotype" w:hAnsi="Palatino Linotype" w:cs="Palatino Linotype"/>
          <w:b/>
          <w:i/>
          <w:sz w:val="22"/>
          <w:szCs w:val="22"/>
        </w:rPr>
        <w:t>III.</w:t>
      </w:r>
      <w:r w:rsidRPr="00896524">
        <w:rPr>
          <w:rFonts w:ascii="Palatino Linotype" w:eastAsia="Palatino Linotype" w:hAnsi="Palatino Linotype" w:cs="Palatino Linotype"/>
          <w:i/>
          <w:sz w:val="22"/>
          <w:szCs w:val="22"/>
        </w:rPr>
        <w:t xml:space="preserve"> </w:t>
      </w:r>
      <w:r w:rsidRPr="00896524">
        <w:rPr>
          <w:rFonts w:ascii="Palatino Linotype" w:eastAsia="Palatino Linotype" w:hAnsi="Palatino Linotype" w:cs="Palatino Linotype"/>
          <w:b/>
          <w:i/>
          <w:sz w:val="22"/>
          <w:szCs w:val="22"/>
          <w:u w:val="single"/>
        </w:rPr>
        <w:t>Se trate de delitos de lesa humanidad</w:t>
      </w:r>
      <w:r w:rsidRPr="00896524">
        <w:rPr>
          <w:rFonts w:ascii="Palatino Linotype" w:eastAsia="Palatino Linotype" w:hAnsi="Palatino Linotype" w:cs="Palatino Linotype"/>
          <w:i/>
          <w:sz w:val="22"/>
          <w:szCs w:val="22"/>
        </w:rPr>
        <w:t xml:space="preserve"> conforme a los tratados ratificados por el Senado de la República, las resoluciones emitidas por organismos internacionales cuya competencia sea reconocida por el Estado Mexicano, así como en las disposiciones jurídicas aplicables; y</w:t>
      </w:r>
    </w:p>
    <w:p w14:paraId="651E0896" w14:textId="77777777" w:rsidR="00896524" w:rsidRPr="00896524" w:rsidRDefault="00896524" w:rsidP="00896524">
      <w:pPr>
        <w:ind w:left="851" w:right="851"/>
        <w:jc w:val="both"/>
        <w:rPr>
          <w:rFonts w:ascii="Palatino Linotype" w:eastAsia="Palatino Linotype" w:hAnsi="Palatino Linotype" w:cs="Palatino Linotype"/>
          <w:i/>
          <w:sz w:val="22"/>
          <w:szCs w:val="22"/>
        </w:rPr>
      </w:pPr>
      <w:r w:rsidRPr="00896524">
        <w:rPr>
          <w:rFonts w:ascii="Palatino Linotype" w:eastAsia="Palatino Linotype" w:hAnsi="Palatino Linotype" w:cs="Palatino Linotype"/>
          <w:b/>
          <w:i/>
          <w:sz w:val="22"/>
          <w:szCs w:val="22"/>
        </w:rPr>
        <w:t>IV</w:t>
      </w:r>
      <w:r w:rsidRPr="00896524">
        <w:rPr>
          <w:rFonts w:ascii="Palatino Linotype" w:eastAsia="Palatino Linotype" w:hAnsi="Palatino Linotype" w:cs="Palatino Linotype"/>
          <w:b/>
          <w:i/>
          <w:sz w:val="22"/>
          <w:szCs w:val="22"/>
          <w:u w:val="single"/>
        </w:rPr>
        <w:t>. Se trate de información relacionada con actos de corrupción</w:t>
      </w:r>
      <w:r w:rsidRPr="00896524">
        <w:rPr>
          <w:rFonts w:ascii="Palatino Linotype" w:eastAsia="Palatino Linotype" w:hAnsi="Palatino Linotype" w:cs="Palatino Linotype"/>
          <w:i/>
          <w:sz w:val="22"/>
          <w:szCs w:val="22"/>
        </w:rPr>
        <w:t xml:space="preserve"> de conformidad con las disposiciones jurídicas aplicables.</w:t>
      </w:r>
    </w:p>
    <w:p w14:paraId="4C3C549C" w14:textId="77777777" w:rsidR="00896524" w:rsidRPr="00896524" w:rsidRDefault="00896524" w:rsidP="00896524">
      <w:pPr>
        <w:ind w:left="851" w:right="851"/>
        <w:jc w:val="both"/>
        <w:rPr>
          <w:rFonts w:ascii="Palatino Linotype" w:eastAsia="Palatino Linotype" w:hAnsi="Palatino Linotype" w:cs="Palatino Linotype"/>
          <w:i/>
          <w:sz w:val="22"/>
          <w:szCs w:val="22"/>
        </w:rPr>
      </w:pPr>
    </w:p>
    <w:p w14:paraId="4186B0A6" w14:textId="77777777" w:rsidR="00896524" w:rsidRPr="00896524" w:rsidRDefault="00896524" w:rsidP="00896524">
      <w:pPr>
        <w:ind w:left="851" w:right="851"/>
        <w:jc w:val="both"/>
        <w:rPr>
          <w:rFonts w:ascii="Palatino Linotype" w:eastAsia="Palatino Linotype" w:hAnsi="Palatino Linotype" w:cs="Palatino Linotype"/>
          <w:i/>
          <w:sz w:val="22"/>
          <w:szCs w:val="22"/>
        </w:rPr>
      </w:pPr>
      <w:r w:rsidRPr="00896524">
        <w:rPr>
          <w:rFonts w:ascii="Palatino Linotype" w:eastAsia="Palatino Linotype" w:hAnsi="Palatino Linotype" w:cs="Palatino Linotype"/>
          <w:i/>
          <w:sz w:val="22"/>
          <w:szCs w:val="22"/>
        </w:rPr>
        <w:t>Énfasis añadido.</w:t>
      </w:r>
    </w:p>
    <w:p w14:paraId="6733B12F" w14:textId="77777777" w:rsidR="00896524" w:rsidRPr="00896524" w:rsidRDefault="00896524" w:rsidP="00896524">
      <w:pPr>
        <w:ind w:left="851" w:right="851"/>
        <w:jc w:val="both"/>
        <w:rPr>
          <w:rFonts w:ascii="Palatino Linotype" w:eastAsia="Palatino Linotype" w:hAnsi="Palatino Linotype" w:cs="Palatino Linotype"/>
          <w:i/>
          <w:sz w:val="22"/>
          <w:szCs w:val="22"/>
        </w:rPr>
      </w:pPr>
    </w:p>
    <w:p w14:paraId="452152F5" w14:textId="6FEF273C" w:rsidR="00896524" w:rsidRPr="00896524" w:rsidRDefault="00896524" w:rsidP="00896524">
      <w:pPr>
        <w:spacing w:before="240" w:after="240" w:line="360" w:lineRule="auto"/>
        <w:jc w:val="both"/>
        <w:rPr>
          <w:rFonts w:ascii="Palatino Linotype" w:eastAsia="Palatino Linotype" w:hAnsi="Palatino Linotype" w:cs="Palatino Linotype"/>
        </w:rPr>
      </w:pPr>
      <w:r w:rsidRPr="00896524">
        <w:rPr>
          <w:rFonts w:ascii="Palatino Linotype" w:eastAsia="Palatino Linotype" w:hAnsi="Palatino Linotype" w:cs="Palatino Linotype"/>
        </w:rPr>
        <w:t>Del artículo en estud</w:t>
      </w:r>
      <w:r w:rsidR="00BC57B0">
        <w:rPr>
          <w:rFonts w:ascii="Palatino Linotype" w:eastAsia="Palatino Linotype" w:hAnsi="Palatino Linotype" w:cs="Palatino Linotype"/>
        </w:rPr>
        <w:t>io, se aprecia claramente en qué</w:t>
      </w:r>
      <w:r w:rsidRPr="00896524">
        <w:rPr>
          <w:rFonts w:ascii="Palatino Linotype" w:eastAsia="Palatino Linotype" w:hAnsi="Palatino Linotype" w:cs="Palatino Linotype"/>
        </w:rPr>
        <w:t xml:space="preserve"> supuestos no se puede invocar el carácter de reservada, sin embargo en el presente asunto no se tiene la certez</w:t>
      </w:r>
      <w:r w:rsidR="00BC57B0">
        <w:rPr>
          <w:rFonts w:ascii="Palatino Linotype" w:eastAsia="Palatino Linotype" w:hAnsi="Palatino Linotype" w:cs="Palatino Linotype"/>
        </w:rPr>
        <w:t>a de que el Sujeto Obligado esté</w:t>
      </w:r>
      <w:r w:rsidRPr="00896524">
        <w:rPr>
          <w:rFonts w:ascii="Palatino Linotype" w:eastAsia="Palatino Linotype" w:hAnsi="Palatino Linotype" w:cs="Palatino Linotype"/>
        </w:rPr>
        <w:t xml:space="preserve"> tramitando algún asunto relacionado con los supuestos establecidos en el dispositivo legal en análisis, en virtud de que este órgano Garante no puede calificar al no poseer la información, empero el Sujeto Obligado si estaría en posibilidades de determinarlo, y de ser el caso poner a disposición del recurrente la información en versión pública.</w:t>
      </w:r>
    </w:p>
    <w:p w14:paraId="2A7856A6" w14:textId="45D8CCF7" w:rsidR="00896524" w:rsidRPr="00896524" w:rsidRDefault="00896524" w:rsidP="00896524">
      <w:pPr>
        <w:spacing w:before="240" w:after="240" w:line="360" w:lineRule="auto"/>
        <w:jc w:val="both"/>
        <w:rPr>
          <w:rFonts w:ascii="Palatino Linotype" w:eastAsia="Palatino Linotype" w:hAnsi="Palatino Linotype" w:cs="Palatino Linotype"/>
        </w:rPr>
      </w:pPr>
      <w:bookmarkStart w:id="1" w:name="_1fob9te" w:colFirst="0" w:colLast="0"/>
      <w:bookmarkEnd w:id="1"/>
      <w:r w:rsidRPr="00896524">
        <w:rPr>
          <w:rFonts w:ascii="Palatino Linotype" w:eastAsia="Palatino Linotype" w:hAnsi="Palatino Linotype" w:cs="Palatino Linotype"/>
        </w:rPr>
        <w:lastRenderedPageBreak/>
        <w:t>Por lo que el Sujeto Obligado deberá realizar una búsqueda exhaustiva y razonable de la informa</w:t>
      </w:r>
      <w:r w:rsidR="00472F27">
        <w:rPr>
          <w:rFonts w:ascii="Palatino Linotype" w:eastAsia="Palatino Linotype" w:hAnsi="Palatino Linotype" w:cs="Palatino Linotype"/>
        </w:rPr>
        <w:t>ción requerida por la parte recurrente</w:t>
      </w:r>
      <w:r w:rsidRPr="00896524">
        <w:rPr>
          <w:rFonts w:ascii="Palatino Linotype" w:eastAsia="Palatino Linotype" w:hAnsi="Palatino Linotype" w:cs="Palatino Linotype"/>
        </w:rPr>
        <w:t xml:space="preserve"> y, de ser el caso de que se actualice alguno de los supuestos contemplados en el artículo 142 de la Ley de Transparencia y Acceso a la Información del Estado de México y Municipio</w:t>
      </w:r>
      <w:r w:rsidR="00472F27">
        <w:rPr>
          <w:rFonts w:ascii="Palatino Linotype" w:eastAsia="Palatino Linotype" w:hAnsi="Palatino Linotype" w:cs="Palatino Linotype"/>
        </w:rPr>
        <w:t>s, deberá entregar a la parte recurrente</w:t>
      </w:r>
      <w:r w:rsidRPr="00896524">
        <w:rPr>
          <w:rFonts w:ascii="Palatino Linotype" w:eastAsia="Palatino Linotype" w:hAnsi="Palatino Linotype" w:cs="Palatino Linotype"/>
          <w:b/>
        </w:rPr>
        <w:t xml:space="preserve"> </w:t>
      </w:r>
      <w:r w:rsidRPr="00896524">
        <w:rPr>
          <w:rFonts w:ascii="Palatino Linotype" w:eastAsia="Palatino Linotype" w:hAnsi="Palatino Linotype" w:cs="Palatino Linotype"/>
        </w:rPr>
        <w:t xml:space="preserve">la información en versión pública a efecto de proteger cualquier dato personal sensible de ser clasificado de terceros, si no se pudiera encuadrar tal circunstancia el </w:t>
      </w:r>
      <w:r w:rsidRPr="00896524">
        <w:rPr>
          <w:rFonts w:ascii="Palatino Linotype" w:eastAsia="Palatino Linotype" w:hAnsi="Palatino Linotype" w:cs="Palatino Linotype"/>
          <w:b/>
        </w:rPr>
        <w:t xml:space="preserve">Sujeto Obligado </w:t>
      </w:r>
      <w:r w:rsidRPr="00896524">
        <w:rPr>
          <w:rFonts w:ascii="Palatino Linotype" w:eastAsia="Palatino Linotype" w:hAnsi="Palatino Linotype" w:cs="Palatino Linotype"/>
        </w:rPr>
        <w:t>deberá fundar y motivar debidamente las razones por las cuales no se le puede entregar la información, esto es emitir el acuerdo de reserva correspondiente.</w:t>
      </w:r>
    </w:p>
    <w:p w14:paraId="65A0E962" w14:textId="77777777" w:rsidR="00896524" w:rsidRPr="00896524" w:rsidRDefault="00896524" w:rsidP="00896524">
      <w:pPr>
        <w:spacing w:line="360" w:lineRule="auto"/>
        <w:ind w:right="49"/>
        <w:jc w:val="both"/>
        <w:rPr>
          <w:rFonts w:ascii="Palatino Linotype" w:eastAsia="Palatino Linotype" w:hAnsi="Palatino Linotype" w:cs="Palatino Linotype"/>
        </w:rPr>
      </w:pPr>
    </w:p>
    <w:p w14:paraId="69262E97" w14:textId="77777777" w:rsidR="00896524" w:rsidRPr="00896524" w:rsidRDefault="00896524" w:rsidP="00BC57B0">
      <w:pPr>
        <w:numPr>
          <w:ilvl w:val="0"/>
          <w:numId w:val="12"/>
        </w:numPr>
        <w:pBdr>
          <w:top w:val="nil"/>
          <w:left w:val="nil"/>
          <w:bottom w:val="nil"/>
          <w:right w:val="nil"/>
          <w:between w:val="nil"/>
        </w:pBdr>
        <w:spacing w:line="360" w:lineRule="auto"/>
        <w:ind w:left="0" w:right="49" w:hanging="284"/>
        <w:jc w:val="both"/>
        <w:rPr>
          <w:rFonts w:ascii="Palatino Linotype" w:eastAsia="Palatino Linotype" w:hAnsi="Palatino Linotype" w:cs="Palatino Linotype"/>
          <w:b/>
        </w:rPr>
      </w:pPr>
      <w:r w:rsidRPr="00896524">
        <w:rPr>
          <w:rFonts w:ascii="Palatino Linotype" w:eastAsia="Palatino Linotype" w:hAnsi="Palatino Linotype" w:cs="Palatino Linotype"/>
          <w:b/>
        </w:rPr>
        <w:t xml:space="preserve">De los procedimientos sobre faltas administrativas graves concluidos con sanción condenatoria. </w:t>
      </w:r>
    </w:p>
    <w:p w14:paraId="78D63676" w14:textId="77777777" w:rsidR="00896524" w:rsidRPr="00896524" w:rsidRDefault="00896524" w:rsidP="00896524">
      <w:pPr>
        <w:pBdr>
          <w:top w:val="nil"/>
          <w:left w:val="nil"/>
          <w:bottom w:val="nil"/>
          <w:right w:val="nil"/>
          <w:between w:val="nil"/>
        </w:pBdr>
        <w:spacing w:line="360" w:lineRule="auto"/>
        <w:ind w:right="49"/>
        <w:jc w:val="both"/>
        <w:rPr>
          <w:rFonts w:ascii="Palatino Linotype" w:eastAsia="Palatino Linotype" w:hAnsi="Palatino Linotype" w:cs="Palatino Linotype"/>
          <w:b/>
        </w:rPr>
      </w:pPr>
    </w:p>
    <w:p w14:paraId="4CF44461" w14:textId="77777777" w:rsidR="00896524" w:rsidRPr="00896524" w:rsidRDefault="00896524" w:rsidP="00896524">
      <w:pPr>
        <w:pBdr>
          <w:top w:val="nil"/>
          <w:left w:val="nil"/>
          <w:bottom w:val="nil"/>
          <w:right w:val="nil"/>
          <w:between w:val="nil"/>
        </w:pBdr>
        <w:spacing w:line="360" w:lineRule="auto"/>
        <w:ind w:right="49"/>
        <w:jc w:val="both"/>
        <w:rPr>
          <w:rFonts w:ascii="Palatino Linotype" w:eastAsia="Palatino Linotype" w:hAnsi="Palatino Linotype" w:cs="Palatino Linotype"/>
          <w:b/>
        </w:rPr>
      </w:pPr>
      <w:r w:rsidRPr="00896524">
        <w:rPr>
          <w:rFonts w:ascii="Palatino Linotype" w:hAnsi="Palatino Linotype"/>
        </w:rPr>
        <w:t>Si el o los expedientes requeridos por el particular, ya han causado estado, es decir, que ya no acepta recurso o medio de defensa alguno, es procedente entregar la información al recurrente pero en versión pública, dejando visible el nombre, cargo y sanción impuesta al Servidor Público condenado, no así todos los datos personales que en éste se encuentren los que se deberán proteger, para lo cual el Sujeto Obligado deberá realizar y notificar el acuerdo de clasificación de la información relativa a los datos personales a efecto de que pueda emitir la versión pública de lo que se le solicitó, deberá clasificarla por la hipótesis análoga siendo aplicables los numerales de la Ley de la materia, que a la letra esgrimen:</w:t>
      </w:r>
    </w:p>
    <w:p w14:paraId="51F00C49" w14:textId="77777777" w:rsidR="00896524" w:rsidRPr="00896524" w:rsidRDefault="00896524" w:rsidP="00896524">
      <w:pPr>
        <w:spacing w:line="360" w:lineRule="auto"/>
        <w:ind w:right="49"/>
        <w:contextualSpacing/>
        <w:jc w:val="both"/>
        <w:rPr>
          <w:rFonts w:ascii="Palatino Linotype" w:hAnsi="Palatino Linotype"/>
          <w:sz w:val="22"/>
        </w:rPr>
      </w:pPr>
    </w:p>
    <w:p w14:paraId="01143E91" w14:textId="77777777" w:rsidR="00896524" w:rsidRPr="00896524" w:rsidRDefault="00896524" w:rsidP="00896524">
      <w:pPr>
        <w:ind w:left="851" w:right="822"/>
        <w:contextualSpacing/>
        <w:jc w:val="both"/>
        <w:rPr>
          <w:rFonts w:ascii="Palatino Linotype" w:hAnsi="Palatino Linotype"/>
          <w:b/>
          <w:i/>
          <w:sz w:val="22"/>
        </w:rPr>
      </w:pPr>
      <w:r w:rsidRPr="00896524">
        <w:rPr>
          <w:rFonts w:ascii="Palatino Linotype" w:hAnsi="Palatino Linotype"/>
          <w:b/>
          <w:i/>
          <w:sz w:val="22"/>
        </w:rPr>
        <w:t>“Artículo 3. Para los efectos de la presente Ley se entenderá por:</w:t>
      </w:r>
    </w:p>
    <w:p w14:paraId="00B0DF53" w14:textId="77777777" w:rsidR="00896524" w:rsidRPr="00896524" w:rsidRDefault="00896524" w:rsidP="00896524">
      <w:pPr>
        <w:ind w:left="851" w:right="822"/>
        <w:contextualSpacing/>
        <w:jc w:val="both"/>
        <w:rPr>
          <w:rFonts w:ascii="Palatino Linotype" w:hAnsi="Palatino Linotype"/>
          <w:b/>
          <w:i/>
          <w:sz w:val="22"/>
        </w:rPr>
      </w:pPr>
      <w:r w:rsidRPr="00896524">
        <w:rPr>
          <w:rFonts w:ascii="Palatino Linotype" w:hAnsi="Palatino Linotype"/>
          <w:b/>
          <w:i/>
          <w:sz w:val="22"/>
        </w:rPr>
        <w:lastRenderedPageBreak/>
        <w:t>[…]</w:t>
      </w:r>
    </w:p>
    <w:p w14:paraId="1C7431CC" w14:textId="77777777" w:rsidR="00896524" w:rsidRPr="00896524" w:rsidRDefault="00896524" w:rsidP="00896524">
      <w:pPr>
        <w:ind w:left="851" w:right="822"/>
        <w:contextualSpacing/>
        <w:jc w:val="both"/>
        <w:rPr>
          <w:rFonts w:ascii="Palatino Linotype" w:hAnsi="Palatino Linotype"/>
          <w:b/>
          <w:i/>
          <w:sz w:val="22"/>
        </w:rPr>
      </w:pPr>
      <w:r w:rsidRPr="00896524">
        <w:rPr>
          <w:rFonts w:ascii="Palatino Linotype" w:hAnsi="Palatino Linotype"/>
          <w:b/>
          <w:i/>
          <w:sz w:val="22"/>
        </w:rPr>
        <w:t>IX. Datos personales: La información concerniente a una persona, identificada o identificable según lo dispuesto por la Ley de Protección de Datos Personales del Estado de México;</w:t>
      </w:r>
    </w:p>
    <w:p w14:paraId="30A71864" w14:textId="77777777" w:rsidR="00896524" w:rsidRPr="00896524" w:rsidRDefault="00896524" w:rsidP="00896524">
      <w:pPr>
        <w:ind w:left="851" w:right="822"/>
        <w:contextualSpacing/>
        <w:jc w:val="both"/>
        <w:rPr>
          <w:rFonts w:ascii="Palatino Linotype" w:hAnsi="Palatino Linotype"/>
          <w:b/>
          <w:i/>
          <w:sz w:val="22"/>
        </w:rPr>
      </w:pPr>
      <w:r w:rsidRPr="00896524">
        <w:rPr>
          <w:rFonts w:ascii="Palatino Linotype" w:hAnsi="Palatino Linotype"/>
          <w:b/>
          <w:i/>
          <w:sz w:val="22"/>
        </w:rPr>
        <w:t>[…]</w:t>
      </w:r>
    </w:p>
    <w:p w14:paraId="155F8524" w14:textId="77777777" w:rsidR="00896524" w:rsidRPr="00896524" w:rsidRDefault="00896524" w:rsidP="00896524">
      <w:pPr>
        <w:ind w:left="851" w:right="822"/>
        <w:contextualSpacing/>
        <w:jc w:val="both"/>
        <w:rPr>
          <w:rFonts w:ascii="Palatino Linotype" w:hAnsi="Palatino Linotype"/>
          <w:b/>
          <w:i/>
          <w:sz w:val="22"/>
        </w:rPr>
      </w:pPr>
      <w:r w:rsidRPr="00896524">
        <w:rPr>
          <w:rFonts w:ascii="Palatino Linotype" w:hAnsi="Palatino Linotype"/>
          <w:b/>
          <w:i/>
          <w:sz w:val="22"/>
        </w:rPr>
        <w:t>XLV. Versión pública: Documento en el que se elimine, suprime o borra la información clasificada como reservada o confidencial para permitir su acceso.</w:t>
      </w:r>
    </w:p>
    <w:p w14:paraId="0C8378E1" w14:textId="77777777" w:rsidR="00896524" w:rsidRPr="00896524" w:rsidRDefault="00896524" w:rsidP="00896524">
      <w:pPr>
        <w:ind w:left="851" w:right="822"/>
        <w:contextualSpacing/>
        <w:jc w:val="both"/>
        <w:rPr>
          <w:rFonts w:ascii="Palatino Linotype" w:hAnsi="Palatino Linotype"/>
          <w:i/>
          <w:sz w:val="22"/>
        </w:rPr>
      </w:pPr>
      <w:r w:rsidRPr="00896524">
        <w:rPr>
          <w:rFonts w:ascii="Palatino Linotype" w:hAnsi="Palatino Linotype"/>
          <w:i/>
          <w:sz w:val="22"/>
        </w:rPr>
        <w:t xml:space="preserve">Artículo 122. La clasificación es el proceso mediante el cual el Sujeto Obligado determina que la información en su poder </w:t>
      </w:r>
      <w:proofErr w:type="spellStart"/>
      <w:r w:rsidRPr="00896524">
        <w:rPr>
          <w:rFonts w:ascii="Palatino Linotype" w:hAnsi="Palatino Linotype"/>
          <w:i/>
          <w:sz w:val="22"/>
        </w:rPr>
        <w:t>actualiza</w:t>
      </w:r>
      <w:proofErr w:type="spellEnd"/>
      <w:r w:rsidRPr="00896524">
        <w:rPr>
          <w:rFonts w:ascii="Palatino Linotype" w:hAnsi="Palatino Linotype"/>
          <w:i/>
          <w:sz w:val="22"/>
        </w:rPr>
        <w:t xml:space="preserve"> alguno de los supuestos de reserva o confidencialidad, de conformidad con lo dispuesto en el presente título.</w:t>
      </w:r>
    </w:p>
    <w:p w14:paraId="2AC113D0" w14:textId="77777777" w:rsidR="00896524" w:rsidRPr="00896524" w:rsidRDefault="00896524" w:rsidP="00896524">
      <w:pPr>
        <w:ind w:left="851" w:right="822"/>
        <w:contextualSpacing/>
        <w:jc w:val="both"/>
        <w:rPr>
          <w:rFonts w:ascii="Palatino Linotype" w:hAnsi="Palatino Linotype"/>
          <w:i/>
          <w:sz w:val="22"/>
        </w:rPr>
      </w:pPr>
      <w:r w:rsidRPr="00896524">
        <w:rPr>
          <w:rFonts w:ascii="Palatino Linotype" w:hAnsi="Palatino Linotype"/>
          <w:i/>
          <w:sz w:val="22"/>
        </w:rPr>
        <w:t>[…]</w:t>
      </w:r>
    </w:p>
    <w:p w14:paraId="4C21DA02" w14:textId="77777777" w:rsidR="00896524" w:rsidRPr="00896524" w:rsidRDefault="00896524" w:rsidP="00896524">
      <w:pPr>
        <w:ind w:left="851" w:right="822"/>
        <w:contextualSpacing/>
        <w:jc w:val="both"/>
        <w:rPr>
          <w:rFonts w:ascii="Palatino Linotype" w:hAnsi="Palatino Linotype"/>
          <w:i/>
          <w:sz w:val="22"/>
        </w:rPr>
      </w:pPr>
      <w:r w:rsidRPr="00896524">
        <w:rPr>
          <w:rFonts w:ascii="Palatino Linotype" w:hAnsi="Palatino Linotype"/>
          <w:i/>
          <w:sz w:val="22"/>
        </w:rPr>
        <w:t>Artículo 132. La clasificación de la información se llevará a cabo en el momento en que:</w:t>
      </w:r>
    </w:p>
    <w:p w14:paraId="49B54CD7" w14:textId="77777777" w:rsidR="00896524" w:rsidRPr="00896524" w:rsidRDefault="00896524" w:rsidP="00896524">
      <w:pPr>
        <w:ind w:left="851" w:right="822"/>
        <w:contextualSpacing/>
        <w:jc w:val="both"/>
        <w:rPr>
          <w:rFonts w:ascii="Palatino Linotype" w:hAnsi="Palatino Linotype"/>
          <w:i/>
          <w:sz w:val="22"/>
        </w:rPr>
      </w:pPr>
      <w:r w:rsidRPr="00896524">
        <w:rPr>
          <w:rFonts w:ascii="Palatino Linotype" w:hAnsi="Palatino Linotype"/>
          <w:i/>
          <w:sz w:val="22"/>
        </w:rPr>
        <w:t>[…]</w:t>
      </w:r>
    </w:p>
    <w:p w14:paraId="4B51A8A0" w14:textId="77777777" w:rsidR="00896524" w:rsidRPr="00896524" w:rsidRDefault="00896524" w:rsidP="00896524">
      <w:pPr>
        <w:ind w:left="851" w:right="822"/>
        <w:contextualSpacing/>
        <w:jc w:val="both"/>
        <w:rPr>
          <w:rFonts w:ascii="Palatino Linotype" w:hAnsi="Palatino Linotype"/>
          <w:b/>
          <w:i/>
          <w:sz w:val="22"/>
        </w:rPr>
      </w:pPr>
      <w:r w:rsidRPr="00896524">
        <w:rPr>
          <w:rFonts w:ascii="Palatino Linotype" w:hAnsi="Palatino Linotype"/>
          <w:b/>
          <w:i/>
          <w:sz w:val="22"/>
        </w:rPr>
        <w:t>III. Se generen versiones públicas para dar cumplimiento a las obligaciones de transparencia previstas en esta Ley.</w:t>
      </w:r>
    </w:p>
    <w:p w14:paraId="16BED7C5" w14:textId="77777777" w:rsidR="00896524" w:rsidRPr="00896524" w:rsidRDefault="00896524" w:rsidP="00896524">
      <w:pPr>
        <w:ind w:left="851" w:right="822"/>
        <w:contextualSpacing/>
        <w:jc w:val="both"/>
        <w:rPr>
          <w:rFonts w:ascii="Palatino Linotype" w:hAnsi="Palatino Linotype"/>
          <w:b/>
          <w:i/>
          <w:sz w:val="22"/>
          <w:u w:val="single"/>
        </w:rPr>
      </w:pPr>
      <w:r w:rsidRPr="00896524">
        <w:rPr>
          <w:rFonts w:ascii="Palatino Linotype" w:hAnsi="Palatino Linotype"/>
          <w:b/>
          <w:i/>
          <w:sz w:val="22"/>
        </w:rPr>
        <w:t xml:space="preserve">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w:t>
      </w:r>
      <w:r w:rsidRPr="00896524">
        <w:rPr>
          <w:rFonts w:ascii="Palatino Linotype" w:hAnsi="Palatino Linotype"/>
          <w:b/>
          <w:i/>
          <w:sz w:val="22"/>
          <w:u w:val="single"/>
        </w:rPr>
        <w:t>de manera genérica y fundando y motivando su clasificación.” (Sic)</w:t>
      </w:r>
    </w:p>
    <w:p w14:paraId="32686BA5" w14:textId="77777777" w:rsidR="00896524" w:rsidRPr="00896524" w:rsidRDefault="00896524" w:rsidP="00896524">
      <w:pPr>
        <w:spacing w:line="360" w:lineRule="auto"/>
        <w:ind w:right="49"/>
        <w:contextualSpacing/>
        <w:jc w:val="both"/>
        <w:rPr>
          <w:rFonts w:ascii="Palatino Linotype" w:hAnsi="Palatino Linotype"/>
          <w:b/>
          <w:i/>
          <w:u w:val="single"/>
        </w:rPr>
      </w:pPr>
    </w:p>
    <w:p w14:paraId="6AF672EE" w14:textId="77777777" w:rsidR="00896524" w:rsidRPr="00896524" w:rsidRDefault="00896524" w:rsidP="00896524">
      <w:pPr>
        <w:spacing w:before="240" w:after="240" w:line="360" w:lineRule="auto"/>
        <w:contextualSpacing/>
        <w:jc w:val="both"/>
        <w:rPr>
          <w:rFonts w:ascii="Palatino Linotype" w:hAnsi="Palatino Linotype"/>
        </w:rPr>
      </w:pPr>
      <w:r w:rsidRPr="00896524">
        <w:rPr>
          <w:rFonts w:ascii="Palatino Linotype" w:hAnsi="Palatino Linotype"/>
        </w:rPr>
        <w:t xml:space="preserve">De los dispositivos legales citados, se desprende que el derecho de acceso a la información pública tiene como limitante el respeto a la intimidad y a la vida privada de las personas, es por ello que este Instituto debe cuidar que los datos personales que obren en poder de los Sujetos Obligados estén protegidos, quienes deberán adoptar las medidas de seguridad administrativa, física y técnica necesarias para garantizar la integridad, confidencialidad y disponibilidad de los datos personales, considerando además, que conforme al principio de finalidad todo tratamiento de datos personales que efectúen los Sujetos Obligados deberá estar justificado en la </w:t>
      </w:r>
      <w:r w:rsidRPr="00896524">
        <w:rPr>
          <w:rFonts w:ascii="Palatino Linotype" w:hAnsi="Palatino Linotype"/>
        </w:rPr>
        <w:lastRenderedPageBreak/>
        <w:t xml:space="preserve">Ley, lo anterior en términos de lo dispuesto por el artículo 14 con relación con el 58 de la Ley de Protección de Datos Personales del Estado de México. </w:t>
      </w:r>
    </w:p>
    <w:p w14:paraId="0BA3F413" w14:textId="77777777" w:rsidR="00896524" w:rsidRPr="00896524" w:rsidRDefault="00896524" w:rsidP="00896524">
      <w:pPr>
        <w:spacing w:before="240" w:after="240" w:line="360" w:lineRule="auto"/>
        <w:contextualSpacing/>
        <w:jc w:val="both"/>
        <w:rPr>
          <w:rFonts w:ascii="Palatino Linotype" w:hAnsi="Palatino Linotype"/>
        </w:rPr>
      </w:pPr>
      <w:r w:rsidRPr="00896524">
        <w:rPr>
          <w:rFonts w:ascii="Palatino Linotype" w:hAnsi="Palatino Linotype"/>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2BD727B0" w14:textId="77777777" w:rsidR="00896524" w:rsidRPr="00896524" w:rsidRDefault="00896524" w:rsidP="00896524">
      <w:pPr>
        <w:spacing w:before="240" w:after="240" w:line="360" w:lineRule="auto"/>
        <w:contextualSpacing/>
        <w:jc w:val="both"/>
        <w:rPr>
          <w:rFonts w:ascii="Palatino Linotype" w:hAnsi="Palatino Linotype"/>
        </w:rPr>
      </w:pPr>
      <w:r w:rsidRPr="00896524">
        <w:rPr>
          <w:rFonts w:ascii="Palatino Linotype" w:hAnsi="Palatino Linotype"/>
        </w:rPr>
        <w:t xml:space="preserve">Así, los LINEAMIENTOS GENERALES EN MATERIA DE CLASIFICACIÓN Y DESCLASIFICACIÓN DE LA INFORMACIÓN, ASÍ COMO PARA LA ELABORACIÓN DE VERSIONES PÚBLICAS, emitidos por Consejo Nacional del Sistema Nacional de Transparencia, señalan con claridad cuáles son aquellos datos personales que deben ser clasificados al momento de la elaboración de las versiones públicas. </w:t>
      </w:r>
    </w:p>
    <w:p w14:paraId="781A59E9" w14:textId="77777777" w:rsidR="00896524" w:rsidRPr="00896524" w:rsidRDefault="00896524" w:rsidP="00896524">
      <w:pPr>
        <w:spacing w:before="240" w:after="240" w:line="360" w:lineRule="auto"/>
        <w:contextualSpacing/>
        <w:jc w:val="both"/>
        <w:rPr>
          <w:rFonts w:ascii="Palatino Linotype" w:hAnsi="Palatino Linotype"/>
        </w:rPr>
      </w:pPr>
      <w:r w:rsidRPr="00896524">
        <w:rPr>
          <w:rFonts w:ascii="Palatino Linotype" w:hAnsi="Palatino Linotype"/>
        </w:rPr>
        <w:t xml:space="preserve">Efectivamente, cuando se clasifica información como confidencial o reservada </w:t>
      </w:r>
      <w:r w:rsidRPr="00896524">
        <w:rPr>
          <w:rFonts w:ascii="Palatino Linotype" w:hAnsi="Palatino Linotype"/>
          <w:b/>
        </w:rPr>
        <w:t>es deber someterlo al Comité de Transparencia</w:t>
      </w:r>
      <w:r w:rsidRPr="00896524">
        <w:rPr>
          <w:rFonts w:ascii="Palatino Linotype" w:hAnsi="Palatino Linotype"/>
        </w:rPr>
        <w:t xml:space="preserve">, quien debe confirmar, modificar o revocar las determinaciones en materia de clasificación de la información que realicen los titulares de las áreas de los sujetos obligados; por lo tanto, la entrega de documentos en su versión pública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w:t>
      </w:r>
      <w:r w:rsidRPr="00896524">
        <w:rPr>
          <w:rFonts w:ascii="Palatino Linotype" w:hAnsi="Palatino Linotype"/>
        </w:rPr>
        <w:lastRenderedPageBreak/>
        <w:t>de incertidumbre, al no conocer o comprender porque no aparecen en la documentación respectiva.</w:t>
      </w:r>
    </w:p>
    <w:p w14:paraId="25F82AB8" w14:textId="77777777" w:rsidR="00896524" w:rsidRPr="00896524" w:rsidRDefault="00896524" w:rsidP="00896524">
      <w:pPr>
        <w:spacing w:before="240" w:after="240" w:line="360" w:lineRule="auto"/>
        <w:jc w:val="both"/>
        <w:rPr>
          <w:rFonts w:ascii="Palatino Linotype" w:eastAsia="Calibri" w:hAnsi="Palatino Linotype" w:cs="Tahoma"/>
          <w:iCs/>
          <w:lang w:eastAsia="es-ES_tradnl"/>
        </w:rPr>
      </w:pPr>
      <w:r w:rsidRPr="00896524">
        <w:rPr>
          <w:rFonts w:ascii="Palatino Linotype" w:eastAsia="Calibri" w:hAnsi="Palatino Linotype" w:cs="Tahoma"/>
          <w:iCs/>
          <w:lang w:eastAsia="es-ES_tradnl"/>
        </w:rPr>
        <w:t>Por otro lado, si bien es cierto, que entregar el nombre de los servidores públicos que obtuvieron alguna sanción, podría generar una percepción negativa de estos, ocasionando un perjuicio en su honor, intimidad, buena imagen y nombre, así como a su vida privada, también lo es, que en el presente caso se trata de responsabilidades graves.</w:t>
      </w:r>
    </w:p>
    <w:p w14:paraId="3C8B9E0D" w14:textId="77777777" w:rsidR="00896524" w:rsidRPr="00896524" w:rsidRDefault="00896524" w:rsidP="00896524">
      <w:pPr>
        <w:spacing w:before="240" w:after="240" w:line="360" w:lineRule="auto"/>
        <w:jc w:val="both"/>
        <w:rPr>
          <w:rFonts w:ascii="Palatino Linotype" w:eastAsia="Calibri" w:hAnsi="Palatino Linotype" w:cs="Tahoma"/>
          <w:iCs/>
          <w:lang w:eastAsia="es-ES_tradnl"/>
        </w:rPr>
      </w:pPr>
      <w:r w:rsidRPr="00896524">
        <w:rPr>
          <w:rFonts w:ascii="Palatino Linotype" w:eastAsia="Calibri" w:hAnsi="Palatino Linotype" w:cs="Tahoma"/>
          <w:iCs/>
          <w:lang w:eastAsia="es-ES_tradnl"/>
        </w:rPr>
        <w:t>Al respecto, se puede establecer responsabilidades graves, cuando un servidor público cometa actos de corrupción, desvío de recursos públicos, abuso de funciones, realizar hostigamiento y acoso sexual, enriquecimiento oculto, tráfico de influencias, entre otros, los cuales recaer en diversas sanciones, entre las que se encuentran la recisión, o en su caso, la sanción económica.</w:t>
      </w:r>
    </w:p>
    <w:p w14:paraId="533B1DF5" w14:textId="77777777" w:rsidR="00896524" w:rsidRPr="00896524" w:rsidRDefault="00896524" w:rsidP="00896524">
      <w:pPr>
        <w:spacing w:before="240" w:after="240" w:line="360" w:lineRule="auto"/>
        <w:jc w:val="both"/>
        <w:rPr>
          <w:rFonts w:ascii="Palatino Linotype" w:eastAsia="Calibri" w:hAnsi="Palatino Linotype" w:cs="Tahoma"/>
          <w:iCs/>
          <w:lang w:eastAsia="es-ES_tradnl"/>
        </w:rPr>
      </w:pPr>
      <w:r w:rsidRPr="00896524">
        <w:rPr>
          <w:rFonts w:ascii="Palatino Linotype" w:eastAsia="Calibri" w:hAnsi="Palatino Linotype" w:cs="Tahoma"/>
          <w:iCs/>
          <w:lang w:eastAsia="es-ES_tradnl"/>
        </w:rPr>
        <w:t>Además, cabe señalar que la mayoría de dichas conductas, se encuentran reguladas en el Título Sexto Delitos por Hechos de Corrupción, del Código Penal del Estado de México, en donde se prevé como delitos el abuso de autoridad, uso ilícito de atribuciones, ejercicio abusivo de funciones y enriquecimiento ilícito.</w:t>
      </w:r>
    </w:p>
    <w:p w14:paraId="1DF9138D" w14:textId="77777777" w:rsidR="00896524" w:rsidRPr="00896524" w:rsidRDefault="00896524" w:rsidP="00896524">
      <w:pPr>
        <w:spacing w:before="240" w:after="240" w:line="360" w:lineRule="auto"/>
        <w:jc w:val="both"/>
        <w:rPr>
          <w:rFonts w:ascii="Palatino Linotype" w:eastAsia="Calibri" w:hAnsi="Palatino Linotype" w:cs="Tahoma"/>
          <w:iCs/>
          <w:lang w:eastAsia="es-ES_tradnl"/>
        </w:rPr>
      </w:pPr>
      <w:r w:rsidRPr="00896524">
        <w:rPr>
          <w:rFonts w:ascii="Palatino Linotype" w:eastAsia="Calibri" w:hAnsi="Palatino Linotype" w:cs="Tahoma"/>
          <w:iCs/>
          <w:lang w:eastAsia="es-ES_tradnl"/>
        </w:rPr>
        <w:t>Conforme a lo anterior, se logra vislumbrar que las responsabilidades graves, causan un perjuicio de manera externa, esto es, a terceras personas o bien, a la hacienda o erario público; por lo que, se podría considerar que existe una trascendencia social, para dar a conocer dicha información, además que se relacionan dichas conductas con actos de corrupción, conforme a la normatividad citada en el párrafo previo.</w:t>
      </w:r>
    </w:p>
    <w:p w14:paraId="776FD000" w14:textId="77777777" w:rsidR="00896524" w:rsidRPr="00896524" w:rsidRDefault="00896524" w:rsidP="00896524">
      <w:pPr>
        <w:spacing w:before="240" w:after="240" w:line="360" w:lineRule="auto"/>
        <w:jc w:val="both"/>
        <w:rPr>
          <w:rFonts w:ascii="Palatino Linotype" w:eastAsia="Calibri" w:hAnsi="Palatino Linotype" w:cs="Tahoma"/>
          <w:iCs/>
          <w:lang w:eastAsia="es-ES_tradnl"/>
        </w:rPr>
      </w:pPr>
      <w:r w:rsidRPr="00896524">
        <w:rPr>
          <w:rFonts w:ascii="Palatino Linotype" w:eastAsia="Calibri" w:hAnsi="Palatino Linotype" w:cs="Tahoma"/>
          <w:iCs/>
          <w:lang w:eastAsia="es-ES_tradnl"/>
        </w:rPr>
        <w:lastRenderedPageBreak/>
        <w:t>En ese orden de ideas, si bien los procedimientos solicitados, podrían generar una percepción negativa de los servidores públicos que les acreditó una responsabilidad grave, ocasionaría un perjuicio en su honor, intimidad y buena imagen, también lo es que existe un interés público en darlas a conocer, pues establecen que el actuar de los Servidores Públicos, en ejercicio de sus atribuciones, fueron en contra de las disposiciones normativas aplicables y que causaron un perjuicio a otras personas o al erario público.</w:t>
      </w:r>
    </w:p>
    <w:p w14:paraId="178B90A8" w14:textId="77777777" w:rsidR="00896524" w:rsidRPr="00896524" w:rsidRDefault="00896524" w:rsidP="00896524">
      <w:pPr>
        <w:spacing w:before="240" w:after="240" w:line="360" w:lineRule="auto"/>
        <w:jc w:val="both"/>
        <w:rPr>
          <w:rFonts w:ascii="Palatino Linotype" w:eastAsia="Calibri" w:hAnsi="Palatino Linotype" w:cs="Tahoma"/>
          <w:bCs/>
          <w:lang w:eastAsia="en-US"/>
        </w:rPr>
      </w:pPr>
      <w:r w:rsidRPr="00896524">
        <w:rPr>
          <w:rFonts w:ascii="Palatino Linotype" w:eastAsia="Calibri" w:hAnsi="Palatino Linotype" w:cs="Tahoma"/>
          <w:bCs/>
          <w:lang w:eastAsia="en-US"/>
        </w:rPr>
        <w:t xml:space="preserve">Ante tales circunstancias, se desprende que, en el caso concreto, sobreviene una colisión de derechos fundamentales, esto es, por una parte, se tiene el derecho de acceso a la información de la Particular para conocer la información en análisis, y por la otra, el derecho a la protección de la vida privada de diversos servidores públicos, lo cual implica dar a conocer información confidencial, consistente en los procedimientos en donde se les acredito una responsabilidad grave, de tal manera, en que los puedan reconocer. </w:t>
      </w:r>
    </w:p>
    <w:p w14:paraId="60392BDC" w14:textId="77777777" w:rsidR="00896524" w:rsidRPr="00896524" w:rsidRDefault="00896524" w:rsidP="00896524">
      <w:pPr>
        <w:spacing w:before="240" w:after="240" w:line="360" w:lineRule="auto"/>
        <w:jc w:val="both"/>
        <w:rPr>
          <w:rFonts w:ascii="Palatino Linotype" w:eastAsia="Calibri" w:hAnsi="Palatino Linotype" w:cs="Tahoma"/>
          <w:bCs/>
          <w:lang w:eastAsia="en-US"/>
        </w:rPr>
      </w:pPr>
      <w:r w:rsidRPr="00896524">
        <w:rPr>
          <w:rFonts w:ascii="Palatino Linotype" w:eastAsia="Calibri" w:hAnsi="Palatino Linotype" w:cs="Tahoma"/>
          <w:bCs/>
          <w:lang w:eastAsia="en-US"/>
        </w:rPr>
        <w:t>Sobre el particular, debe señalarse que, en un sistema jurídico racional, el contenido de ciertos derechos fundamentales no es absoluto y la colisión entre derechos fundamentales debe resolverse mediante una ponderación que determine el derecho que ha de prevalecer en el caso concretó, y no apelando a reglas de prioridad entre normas.</w:t>
      </w:r>
    </w:p>
    <w:p w14:paraId="0C5484EC" w14:textId="77777777" w:rsidR="00896524" w:rsidRPr="00896524" w:rsidRDefault="00896524" w:rsidP="00896524">
      <w:pPr>
        <w:spacing w:before="240" w:after="240" w:line="360" w:lineRule="auto"/>
        <w:jc w:val="both"/>
        <w:rPr>
          <w:rFonts w:ascii="Palatino Linotype" w:eastAsia="Calibri" w:hAnsi="Palatino Linotype" w:cs="Tahoma"/>
          <w:bCs/>
          <w:lang w:eastAsia="en-US"/>
        </w:rPr>
      </w:pPr>
      <w:r w:rsidRPr="00896524">
        <w:rPr>
          <w:rFonts w:ascii="Palatino Linotype" w:eastAsia="Calibri" w:hAnsi="Palatino Linotype" w:cs="Tahoma"/>
          <w:bCs/>
          <w:lang w:eastAsia="en-US"/>
        </w:rPr>
        <w:t xml:space="preserve">Por cuanto hace a la colisión entre el derecho a la información y el derecho a la intimidad o a la vida privada, el Poder Judicial de la Federación ha sostenido la necesidad de resolver el conflicto apuntado mediante el ejercicio de ponderación; además, que el interés público que tenga cierta información, será concepto </w:t>
      </w:r>
      <w:r w:rsidRPr="00896524">
        <w:rPr>
          <w:rFonts w:ascii="Palatino Linotype" w:eastAsia="Calibri" w:hAnsi="Palatino Linotype" w:cs="Tahoma"/>
          <w:bCs/>
          <w:lang w:eastAsia="en-US"/>
        </w:rPr>
        <w:lastRenderedPageBreak/>
        <w:t>legitimador de las intromisiones en la intimidad o la vida privada, en donde este derecho debe ceder a favor del derecho a comunicar y recibir información, atendiendo a las circunstancias de cada caso en concreto, tal y como se desprende de la tesis 1a. XLIII/2010, emitida por la Primera Sala de la Suprema Corte de Justicia de la Nación, publicada en el Semanario Judicial de la Federación y su Gaceta, Tomo XXXI, página 928, de marzo de 2010, Novena Época, materia constitucional.</w:t>
      </w:r>
    </w:p>
    <w:p w14:paraId="217BF7BA" w14:textId="77777777" w:rsidR="00896524" w:rsidRPr="00896524" w:rsidRDefault="00896524" w:rsidP="00896524">
      <w:pPr>
        <w:spacing w:before="240" w:after="240" w:line="360" w:lineRule="auto"/>
        <w:jc w:val="both"/>
        <w:rPr>
          <w:rFonts w:ascii="Palatino Linotype" w:hAnsi="Palatino Linotype" w:cs="Tahoma"/>
          <w:bCs/>
          <w:iCs/>
        </w:rPr>
      </w:pPr>
      <w:r w:rsidRPr="00896524">
        <w:rPr>
          <w:rFonts w:ascii="Palatino Linotype" w:eastAsia="Calibri" w:hAnsi="Palatino Linotype" w:cs="Tahoma"/>
          <w:bCs/>
          <w:lang w:eastAsia="en-US"/>
        </w:rPr>
        <w:t>En ese mismo sentido y atendiendo a la naturaleza del derecho a la protección de datos personales, por analogía, este debe ceder cuando exista un interés público mayor de acuerdo a las circunstancias del caso.</w:t>
      </w:r>
      <w:r w:rsidRPr="00896524">
        <w:rPr>
          <w:rFonts w:ascii="Palatino Linotype" w:hAnsi="Palatino Linotype" w:cs="Tahoma"/>
          <w:bCs/>
          <w:iCs/>
        </w:rPr>
        <w:t xml:space="preserve"> Señalado lo anterior, resulta necesario realizar una ponderación de los dos intereses jurídicos tutelados que convergen en la controversia que se dirime; para lo cual, el artículo </w:t>
      </w:r>
      <w:r w:rsidRPr="00896524">
        <w:rPr>
          <w:rFonts w:ascii="Palatino Linotype" w:eastAsia="Calibri" w:hAnsi="Palatino Linotype" w:cs="Tahoma"/>
          <w:bCs/>
          <w:lang w:eastAsia="en-US"/>
        </w:rPr>
        <w:t>184 de la Ley de Transparencia y Acceso a la Información Pública del Estado de México y Municipios</w:t>
      </w:r>
      <w:r w:rsidRPr="00896524">
        <w:rPr>
          <w:rFonts w:ascii="Palatino Linotype" w:hAnsi="Palatino Linotype" w:cs="Tahoma"/>
          <w:bCs/>
          <w:iCs/>
        </w:rPr>
        <w:t xml:space="preserve"> prevé que cuando exista una colisión de derechos, este Instituto, al resolver el recurso de revisión, debe aplicar una prueba de interés público con base en elementos de idoneidad, necesidad y proporcionalidad. Para estos efectos, se entenderá por: </w:t>
      </w:r>
    </w:p>
    <w:p w14:paraId="2BDB5192" w14:textId="77777777" w:rsidR="00896524" w:rsidRPr="00896524" w:rsidRDefault="00896524" w:rsidP="00896524">
      <w:pPr>
        <w:numPr>
          <w:ilvl w:val="0"/>
          <w:numId w:val="13"/>
        </w:numPr>
        <w:spacing w:line="360" w:lineRule="auto"/>
        <w:ind w:left="851" w:hanging="426"/>
        <w:contextualSpacing/>
        <w:jc w:val="both"/>
        <w:rPr>
          <w:rFonts w:ascii="Palatino Linotype" w:hAnsi="Palatino Linotype" w:cs="Tahoma"/>
          <w:bCs/>
          <w:iCs/>
          <w:sz w:val="22"/>
          <w:szCs w:val="22"/>
        </w:rPr>
      </w:pPr>
      <w:r w:rsidRPr="00896524">
        <w:rPr>
          <w:rFonts w:ascii="Palatino Linotype" w:hAnsi="Palatino Linotype" w:cs="Tahoma"/>
          <w:b/>
          <w:bCs/>
          <w:iCs/>
          <w:sz w:val="22"/>
          <w:szCs w:val="22"/>
        </w:rPr>
        <w:t>Idoneidad:</w:t>
      </w:r>
      <w:r w:rsidRPr="00896524">
        <w:rPr>
          <w:rFonts w:ascii="Palatino Linotype" w:hAnsi="Palatino Linotype" w:cs="Tahoma"/>
          <w:bCs/>
          <w:iCs/>
          <w:sz w:val="22"/>
          <w:szCs w:val="22"/>
        </w:rPr>
        <w:t xml:space="preserve"> La legitimidad del derecho adoptado como preferente, que sea el adecuado para el logro de un fin constitucionalmente válido o apto para conseguir el fin pretendido;</w:t>
      </w:r>
    </w:p>
    <w:p w14:paraId="17D50DF5" w14:textId="77777777" w:rsidR="00896524" w:rsidRPr="00896524" w:rsidRDefault="00896524" w:rsidP="00896524">
      <w:pPr>
        <w:numPr>
          <w:ilvl w:val="0"/>
          <w:numId w:val="13"/>
        </w:numPr>
        <w:spacing w:line="360" w:lineRule="auto"/>
        <w:ind w:left="851" w:hanging="426"/>
        <w:contextualSpacing/>
        <w:jc w:val="both"/>
        <w:rPr>
          <w:rFonts w:ascii="Palatino Linotype" w:hAnsi="Palatino Linotype" w:cs="Tahoma"/>
          <w:bCs/>
          <w:iCs/>
          <w:sz w:val="22"/>
          <w:szCs w:val="22"/>
        </w:rPr>
      </w:pPr>
      <w:r w:rsidRPr="00896524">
        <w:rPr>
          <w:rFonts w:ascii="Palatino Linotype" w:hAnsi="Palatino Linotype" w:cs="Tahoma"/>
          <w:b/>
          <w:bCs/>
          <w:iCs/>
          <w:sz w:val="22"/>
          <w:szCs w:val="22"/>
        </w:rPr>
        <w:t>Necesidad:</w:t>
      </w:r>
      <w:r w:rsidRPr="00896524">
        <w:rPr>
          <w:rFonts w:ascii="Palatino Linotype" w:hAnsi="Palatino Linotype" w:cs="Tahoma"/>
          <w:bCs/>
          <w:iCs/>
          <w:sz w:val="22"/>
          <w:szCs w:val="22"/>
        </w:rPr>
        <w:t xml:space="preserve"> La falta de un medio alternativo menos lesivo a la apertura de la información, para satisfacer el interés público, y</w:t>
      </w:r>
    </w:p>
    <w:p w14:paraId="63852128" w14:textId="77777777" w:rsidR="00896524" w:rsidRPr="00896524" w:rsidRDefault="00896524" w:rsidP="00896524">
      <w:pPr>
        <w:numPr>
          <w:ilvl w:val="0"/>
          <w:numId w:val="13"/>
        </w:numPr>
        <w:spacing w:line="360" w:lineRule="auto"/>
        <w:ind w:left="851" w:hanging="426"/>
        <w:contextualSpacing/>
        <w:jc w:val="both"/>
        <w:rPr>
          <w:rFonts w:ascii="Palatino Linotype" w:hAnsi="Palatino Linotype" w:cs="Tahoma"/>
          <w:bCs/>
          <w:iCs/>
          <w:sz w:val="22"/>
          <w:szCs w:val="22"/>
        </w:rPr>
      </w:pPr>
      <w:r w:rsidRPr="00896524">
        <w:rPr>
          <w:rFonts w:ascii="Palatino Linotype" w:hAnsi="Palatino Linotype" w:cs="Tahoma"/>
          <w:b/>
          <w:bCs/>
          <w:iCs/>
          <w:sz w:val="22"/>
          <w:szCs w:val="22"/>
        </w:rPr>
        <w:t>Proporcionalidad:</w:t>
      </w:r>
      <w:r w:rsidRPr="00896524">
        <w:rPr>
          <w:rFonts w:ascii="Palatino Linotype" w:hAnsi="Palatino Linotype" w:cs="Tahoma"/>
          <w:bCs/>
          <w:iCs/>
          <w:sz w:val="22"/>
          <w:szCs w:val="22"/>
        </w:rPr>
        <w:t xml:space="preserve"> El equilibrio entre perjuicio y beneficio a favor del interés público, a fin de que la decisión tomada represente un beneficio mayor al perjuicio que podría causar a la población.</w:t>
      </w:r>
    </w:p>
    <w:p w14:paraId="49CD64D6" w14:textId="77777777" w:rsidR="00896524" w:rsidRPr="00896524" w:rsidRDefault="00896524" w:rsidP="00896524">
      <w:pPr>
        <w:spacing w:line="360" w:lineRule="auto"/>
        <w:jc w:val="both"/>
        <w:rPr>
          <w:rFonts w:ascii="Palatino Linotype" w:eastAsia="Calibri" w:hAnsi="Palatino Linotype" w:cs="Tahoma"/>
        </w:rPr>
      </w:pPr>
      <w:r w:rsidRPr="00896524">
        <w:rPr>
          <w:rFonts w:ascii="Palatino Linotype" w:eastAsia="Calibri" w:hAnsi="Palatino Linotype" w:cs="Tahoma"/>
        </w:rPr>
        <w:lastRenderedPageBreak/>
        <w:t>En ese orden de ideas, resulta procedente analizar cada uno de los elementos referidos, partiendo de que, en el caso concreto, se estima como preferente el derecho de acceso a la información, bajo las consideraciones que se verterán a continuación.</w:t>
      </w:r>
    </w:p>
    <w:p w14:paraId="67A24EB7" w14:textId="77777777" w:rsidR="00896524" w:rsidRPr="00896524" w:rsidRDefault="00896524" w:rsidP="00896524">
      <w:pPr>
        <w:spacing w:line="360" w:lineRule="auto"/>
        <w:jc w:val="both"/>
        <w:rPr>
          <w:rFonts w:ascii="Palatino Linotype" w:eastAsia="Calibri" w:hAnsi="Palatino Linotype" w:cs="Tahoma"/>
        </w:rPr>
      </w:pPr>
    </w:p>
    <w:p w14:paraId="58B2AEAD" w14:textId="77777777" w:rsidR="00896524" w:rsidRPr="00896524" w:rsidRDefault="00896524" w:rsidP="00896524">
      <w:pPr>
        <w:spacing w:line="360" w:lineRule="auto"/>
        <w:jc w:val="both"/>
        <w:rPr>
          <w:rFonts w:ascii="Palatino Linotype" w:eastAsia="Calibri" w:hAnsi="Palatino Linotype" w:cs="Tahoma"/>
          <w:b/>
          <w:iCs/>
          <w:lang w:eastAsia="es-ES_tradnl"/>
        </w:rPr>
      </w:pPr>
      <w:r w:rsidRPr="00896524">
        <w:rPr>
          <w:rFonts w:ascii="Palatino Linotype" w:eastAsia="Calibri" w:hAnsi="Palatino Linotype" w:cs="Tahoma"/>
          <w:b/>
          <w:bCs/>
          <w:iCs/>
        </w:rPr>
        <w:t>a) Idoneidad</w:t>
      </w:r>
      <w:r w:rsidRPr="00896524">
        <w:rPr>
          <w:rFonts w:ascii="Palatino Linotype" w:eastAsia="Calibri" w:hAnsi="Palatino Linotype" w:cs="Tahoma"/>
          <w:bCs/>
          <w:lang w:eastAsia="en-US"/>
        </w:rPr>
        <w:t>. El presente asunto representa un caso en el que el ejercicio del derecho de acceso a la información se contrapone al derecho a la vida privada, los cuales se encuentran reconocidos en el plano constitucional, en igualdad de características para los gobernados.</w:t>
      </w:r>
    </w:p>
    <w:p w14:paraId="59E407C6" w14:textId="77777777" w:rsidR="00896524" w:rsidRPr="00896524" w:rsidRDefault="00896524" w:rsidP="00896524">
      <w:pPr>
        <w:spacing w:before="240" w:after="240" w:line="360" w:lineRule="auto"/>
        <w:jc w:val="both"/>
        <w:rPr>
          <w:rFonts w:ascii="Palatino Linotype" w:eastAsia="Calibri" w:hAnsi="Palatino Linotype" w:cs="Tahoma"/>
          <w:iCs/>
          <w:lang w:eastAsia="es-ES_tradnl"/>
        </w:rPr>
      </w:pPr>
      <w:r w:rsidRPr="00896524">
        <w:rPr>
          <w:rFonts w:ascii="Palatino Linotype" w:eastAsia="Calibri" w:hAnsi="Palatino Linotype" w:cs="Tahoma"/>
          <w:iCs/>
          <w:lang w:eastAsia="es-ES_tradnl"/>
        </w:rPr>
        <w:t xml:space="preserve">Sin embargo, </w:t>
      </w:r>
      <w:r w:rsidRPr="00896524">
        <w:rPr>
          <w:rFonts w:ascii="Palatino Linotype" w:eastAsia="Calibri" w:hAnsi="Palatino Linotype" w:cs="Tahoma"/>
          <w:bCs/>
          <w:iCs/>
          <w:lang w:eastAsia="es-ES_tradnl"/>
        </w:rPr>
        <w:t xml:space="preserve">existen dos fines válidos para otorgar </w:t>
      </w:r>
      <w:r w:rsidRPr="00896524">
        <w:rPr>
          <w:rFonts w:ascii="Palatino Linotype" w:eastAsia="Calibri" w:hAnsi="Palatino Linotype" w:cs="Tahoma"/>
          <w:iCs/>
          <w:lang w:eastAsia="es-ES_tradnl"/>
        </w:rPr>
        <w:t>los acuerdos emitidos en los expedientes de procedimientos de responsabilidades graves</w:t>
      </w:r>
      <w:r w:rsidRPr="00896524">
        <w:rPr>
          <w:rFonts w:ascii="Palatino Linotype" w:eastAsia="Calibri" w:hAnsi="Palatino Linotype" w:cs="Tahoma"/>
          <w:bCs/>
          <w:iCs/>
          <w:lang w:eastAsia="es-ES_tradnl"/>
        </w:rPr>
        <w:t xml:space="preserve">; los cuales, </w:t>
      </w:r>
      <w:r w:rsidRPr="00896524">
        <w:rPr>
          <w:rFonts w:ascii="Palatino Linotype" w:eastAsia="Calibri" w:hAnsi="Palatino Linotype" w:cs="Tahoma"/>
          <w:iCs/>
          <w:lang w:eastAsia="es-ES_tradnl"/>
        </w:rPr>
        <w:t>consisten en transparentar, por un lado, el desempeño de dichos trabajadores en cuestión en el ejercicio de sus funciones, sobre todo, dado que se tratan de servidores públicos, con la finalidad de calificar su actuar, ello con independencia de que tal funcionario también revista el carácter de persona física identificada e identificable, y, por otro lado, la actividad desplegada por el Sujeto Obligado, en la investigación y determinación de los asuntos. Aunado, a que se relacionan con responsabilidades calificadas como graves.</w:t>
      </w:r>
    </w:p>
    <w:p w14:paraId="1C0B2A79" w14:textId="77777777" w:rsidR="00896524" w:rsidRPr="00896524" w:rsidRDefault="00896524" w:rsidP="00896524">
      <w:pPr>
        <w:spacing w:before="240" w:after="240" w:line="360" w:lineRule="auto"/>
        <w:jc w:val="both"/>
        <w:rPr>
          <w:rFonts w:ascii="Palatino Linotype" w:eastAsia="Calibri" w:hAnsi="Palatino Linotype" w:cs="Tahoma"/>
          <w:iCs/>
          <w:lang w:eastAsia="es-ES_tradnl"/>
        </w:rPr>
      </w:pPr>
      <w:r w:rsidRPr="00896524">
        <w:rPr>
          <w:rFonts w:ascii="Palatino Linotype" w:eastAsia="Calibri" w:hAnsi="Palatino Linotype" w:cs="Tahoma"/>
          <w:iCs/>
          <w:lang w:eastAsia="es-ES_tradnl"/>
        </w:rPr>
        <w:t xml:space="preserve">Ahora bien, respecto al derecho al honor y a la privacidad, es establecido que cuando se hace referencia a servidores públicos, el umbral de protección del derecho a su honor debe permitir el más amplio control ciudadano sobre el ejercicio de sus funciones, porque el funcionario público se expone voluntariamente al escrutinio de la sociedad al asumir ciertas responsabilidades profesionales -lo que conlleva naturalmente mayores riesgos de sufrir afectaciones en su honor- y, porque su </w:t>
      </w:r>
      <w:r w:rsidRPr="00896524">
        <w:rPr>
          <w:rFonts w:ascii="Palatino Linotype" w:eastAsia="Calibri" w:hAnsi="Palatino Linotype" w:cs="Tahoma"/>
          <w:iCs/>
          <w:lang w:eastAsia="es-ES_tradnl"/>
        </w:rPr>
        <w:lastRenderedPageBreak/>
        <w:t>condición le permite tener mayor influencia social y acceder con facilidad a los medios de comunicación para dar explicaciones o reaccionar ante hechos que lo involucren.</w:t>
      </w:r>
    </w:p>
    <w:p w14:paraId="73691AE0" w14:textId="77777777" w:rsidR="00896524" w:rsidRPr="00896524" w:rsidRDefault="00896524" w:rsidP="00896524">
      <w:pPr>
        <w:spacing w:before="240" w:after="240" w:line="360" w:lineRule="auto"/>
        <w:jc w:val="both"/>
        <w:rPr>
          <w:rFonts w:ascii="Palatino Linotype" w:eastAsia="Calibri" w:hAnsi="Palatino Linotype" w:cs="Tahoma"/>
          <w:iCs/>
          <w:lang w:eastAsia="es-ES_tradnl"/>
        </w:rPr>
      </w:pPr>
      <w:r w:rsidRPr="00896524">
        <w:rPr>
          <w:rFonts w:ascii="Palatino Linotype" w:eastAsia="Calibri" w:hAnsi="Palatino Linotype" w:cs="Tahoma"/>
          <w:iCs/>
          <w:lang w:eastAsia="es-ES_tradnl"/>
        </w:rPr>
        <w:t>Así, se advierte que aquellas personas con responsabilidades públicas mantienen la protección derivada del derecho al honor incluso cuando no estén actuando en carácter de particulares, pero las implicaciones de esta protección deben ser ponderadas con las que derivan del interés en un debate abierto sobre los asuntos públicos.</w:t>
      </w:r>
    </w:p>
    <w:p w14:paraId="2239090D" w14:textId="77777777" w:rsidR="00896524" w:rsidRPr="00896524" w:rsidRDefault="00896524" w:rsidP="00896524">
      <w:pPr>
        <w:spacing w:before="240" w:after="240" w:line="360" w:lineRule="auto"/>
        <w:jc w:val="both"/>
        <w:rPr>
          <w:rFonts w:ascii="Palatino Linotype" w:eastAsia="Calibri" w:hAnsi="Palatino Linotype" w:cs="Tahoma"/>
          <w:iCs/>
          <w:lang w:eastAsia="es-ES_tradnl"/>
        </w:rPr>
      </w:pPr>
      <w:r w:rsidRPr="00896524">
        <w:rPr>
          <w:rFonts w:ascii="Palatino Linotype" w:eastAsia="Calibri" w:hAnsi="Palatino Linotype" w:cs="Tahoma"/>
          <w:iCs/>
          <w:lang w:eastAsia="es-ES_tradnl"/>
        </w:rPr>
        <w:t>En ese sentido, el hecho de que los servidores públicos concluyan sus funciones, no implica que termine el mayor nivel de tolerancia frente a la crítica de su desempeño, es decir, no significa que una vez que el servidor público termine su encargo, debe estar vedado publicar información respecto de su desempeño o que se termine el mayor nivel de tolerancia que debe tener frente a la crítica, sino que ese mayor nivel, sólo se tiene frente a la información de interés público.</w:t>
      </w:r>
    </w:p>
    <w:p w14:paraId="011CED00" w14:textId="736B72E6" w:rsidR="00896524" w:rsidRPr="00896524" w:rsidRDefault="00896524" w:rsidP="00896524">
      <w:pPr>
        <w:spacing w:before="240" w:after="240" w:line="360" w:lineRule="auto"/>
        <w:jc w:val="both"/>
        <w:rPr>
          <w:rFonts w:ascii="Palatino Linotype" w:eastAsia="Calibri" w:hAnsi="Palatino Linotype" w:cs="Tahoma"/>
          <w:bCs/>
          <w:iCs/>
          <w:lang w:eastAsia="es-ES_tradnl"/>
        </w:rPr>
      </w:pPr>
      <w:r w:rsidRPr="00896524">
        <w:rPr>
          <w:rFonts w:ascii="Palatino Linotype" w:eastAsia="Calibri" w:hAnsi="Palatino Linotype" w:cs="Tahoma"/>
          <w:iCs/>
          <w:lang w:eastAsia="es-ES_tradnl"/>
        </w:rPr>
        <w:t>En ese contexto</w:t>
      </w:r>
      <w:r w:rsidRPr="00896524">
        <w:rPr>
          <w:rFonts w:ascii="Palatino Linotype" w:eastAsia="Calibri" w:hAnsi="Palatino Linotype" w:cs="Tahoma"/>
          <w:bCs/>
          <w:iCs/>
          <w:lang w:eastAsia="es-ES_tradnl"/>
        </w:rPr>
        <w:t>, dado que la información se relaciona con el actuar de los servidores públicos adscr</w:t>
      </w:r>
      <w:r w:rsidR="00BC57B0">
        <w:rPr>
          <w:rFonts w:ascii="Palatino Linotype" w:eastAsia="Calibri" w:hAnsi="Palatino Linotype" w:cs="Tahoma"/>
          <w:bCs/>
          <w:iCs/>
          <w:lang w:eastAsia="es-ES_tradnl"/>
        </w:rPr>
        <w:t xml:space="preserve">itos al Ayuntamiento de Tenancingo, </w:t>
      </w:r>
      <w:r w:rsidRPr="00896524">
        <w:rPr>
          <w:rFonts w:ascii="Palatino Linotype" w:eastAsia="Calibri" w:hAnsi="Palatino Linotype" w:cs="Tahoma"/>
          <w:bCs/>
          <w:iCs/>
          <w:lang w:eastAsia="es-ES_tradnl"/>
        </w:rPr>
        <w:t xml:space="preserve">existe un interés público por conocer </w:t>
      </w:r>
      <w:r w:rsidRPr="00896524">
        <w:rPr>
          <w:rFonts w:ascii="Palatino Linotype" w:eastAsia="Calibri" w:hAnsi="Palatino Linotype" w:cs="Tahoma"/>
          <w:iCs/>
          <w:lang w:eastAsia="es-ES_tradnl"/>
        </w:rPr>
        <w:t>los procedimientos generados en análisis vinculados con el nombre del servidor público sancionado,</w:t>
      </w:r>
      <w:r w:rsidRPr="00896524">
        <w:rPr>
          <w:rFonts w:ascii="Palatino Linotype" w:eastAsia="Calibri" w:hAnsi="Palatino Linotype" w:cs="Tahoma"/>
          <w:bCs/>
          <w:iCs/>
          <w:lang w:eastAsia="es-ES_tradnl"/>
        </w:rPr>
        <w:t xml:space="preserve"> y, por lo tanto, la información del interés del particular no es susceptible de protección en tanto que su vinculación con una persona determinada reviste un interés público mayor de ser dado a conocer. </w:t>
      </w:r>
    </w:p>
    <w:p w14:paraId="4DBCD218" w14:textId="77777777" w:rsidR="00896524" w:rsidRPr="00896524" w:rsidRDefault="00896524" w:rsidP="00896524">
      <w:pPr>
        <w:spacing w:before="240" w:after="240" w:line="360" w:lineRule="auto"/>
        <w:jc w:val="both"/>
        <w:rPr>
          <w:rFonts w:ascii="Palatino Linotype" w:eastAsia="Calibri" w:hAnsi="Palatino Linotype" w:cs="Tahoma"/>
          <w:bCs/>
          <w:iCs/>
          <w:lang w:eastAsia="es-ES_tradnl"/>
        </w:rPr>
      </w:pPr>
      <w:r w:rsidRPr="00896524">
        <w:rPr>
          <w:rFonts w:ascii="Palatino Linotype" w:eastAsia="Calibri" w:hAnsi="Palatino Linotype" w:cs="Tahoma"/>
          <w:bCs/>
          <w:iCs/>
          <w:lang w:eastAsia="es-ES_tradnl"/>
        </w:rPr>
        <w:t xml:space="preserve">Lo anterior, ya que como se precisó en párrafos anteriores, </w:t>
      </w:r>
      <w:r w:rsidRPr="00896524">
        <w:rPr>
          <w:rFonts w:ascii="Palatino Linotype" w:eastAsia="Calibri" w:hAnsi="Palatino Linotype" w:cs="Tahoma"/>
          <w:iCs/>
          <w:lang w:eastAsia="es-ES_tradnl"/>
        </w:rPr>
        <w:t xml:space="preserve">proporcionar la información de referencia, garantizaría la rendición de cuentas por parte de la </w:t>
      </w:r>
      <w:r w:rsidRPr="00896524">
        <w:rPr>
          <w:rFonts w:ascii="Palatino Linotype" w:eastAsia="Calibri" w:hAnsi="Palatino Linotype" w:cs="Tahoma"/>
          <w:iCs/>
          <w:lang w:eastAsia="es-ES_tradnl"/>
        </w:rPr>
        <w:lastRenderedPageBreak/>
        <w:t>Contraloría Municipal del Sujeto Obligado, relativo a su actuación, teniendo como consecuencia que los ciudadanos tengan confianza en sus autoridades, al poder conocer todos los documentos derivados de los procedimientos administrativos disciplinarios y que hayan concluido con resolución en donde se determine que un servidor público tuvo responsabilidades graves, relacionadas al ejercicio de las funciones.</w:t>
      </w:r>
    </w:p>
    <w:p w14:paraId="01AE3BEE" w14:textId="7C23D684" w:rsidR="00896524" w:rsidRPr="00BC57B0" w:rsidRDefault="00896524" w:rsidP="00896524">
      <w:pPr>
        <w:spacing w:before="240" w:after="240" w:line="360" w:lineRule="auto"/>
        <w:jc w:val="both"/>
        <w:rPr>
          <w:rFonts w:ascii="Palatino Linotype" w:eastAsia="Calibri" w:hAnsi="Palatino Linotype" w:cs="Tahoma"/>
          <w:bCs/>
          <w:iCs/>
          <w:lang w:eastAsia="es-ES_tradnl"/>
        </w:rPr>
      </w:pPr>
      <w:r w:rsidRPr="00896524">
        <w:rPr>
          <w:rFonts w:ascii="Palatino Linotype" w:eastAsia="Calibri" w:hAnsi="Palatino Linotype" w:cs="Tahoma"/>
          <w:iCs/>
          <w:lang w:eastAsia="es-ES_tradnl"/>
        </w:rPr>
        <w:t>Además, que, con dicha información, se estaría revelando que el desempeño de los servidores públicos sancionados, no fue conforme a derecho, asimismo, de dar a conocer que los referidos acreditaron que había cometido alguna responsabilidad grave.</w:t>
      </w:r>
    </w:p>
    <w:p w14:paraId="143DD568" w14:textId="77777777" w:rsidR="00896524" w:rsidRPr="00896524" w:rsidRDefault="00896524" w:rsidP="00896524">
      <w:pPr>
        <w:spacing w:before="240" w:after="240" w:line="360" w:lineRule="auto"/>
        <w:jc w:val="both"/>
        <w:rPr>
          <w:rFonts w:ascii="Palatino Linotype" w:eastAsia="Calibri" w:hAnsi="Palatino Linotype" w:cs="Tahoma"/>
          <w:iCs/>
          <w:lang w:eastAsia="es-ES_tradnl"/>
        </w:rPr>
      </w:pPr>
      <w:r w:rsidRPr="00896524">
        <w:rPr>
          <w:rFonts w:ascii="Palatino Linotype" w:eastAsia="Calibri" w:hAnsi="Palatino Linotype" w:cs="Tahoma"/>
          <w:iCs/>
          <w:lang w:eastAsia="es-ES_tradnl"/>
        </w:rPr>
        <w:t>Con base en lo anterior, se considera que el principio que se debe adoptar en el presente asunto es el que subyace en el derecho fundamental de acceso a la información, puesto que a través de éste se busca no sólo satisfacer un interés individual, sino la necesidad de la colectividad de estar en posibilidad de evaluar el desempeño de los servidores públicos y autoridades.</w:t>
      </w:r>
    </w:p>
    <w:p w14:paraId="2330B640" w14:textId="77777777" w:rsidR="00896524" w:rsidRPr="00896524" w:rsidRDefault="00896524" w:rsidP="00896524">
      <w:pPr>
        <w:spacing w:before="240" w:after="240" w:line="360" w:lineRule="auto"/>
        <w:jc w:val="both"/>
        <w:rPr>
          <w:rFonts w:ascii="Palatino Linotype" w:eastAsia="Calibri" w:hAnsi="Palatino Linotype" w:cs="Tahoma"/>
          <w:iCs/>
          <w:lang w:eastAsia="es-ES_tradnl"/>
        </w:rPr>
      </w:pPr>
      <w:r w:rsidRPr="00896524">
        <w:rPr>
          <w:rFonts w:ascii="Palatino Linotype" w:eastAsia="Calibri" w:hAnsi="Palatino Linotype" w:cs="Tahoma"/>
          <w:b/>
          <w:iCs/>
          <w:lang w:eastAsia="es-ES_tradnl"/>
        </w:rPr>
        <w:t xml:space="preserve">b) </w:t>
      </w:r>
      <w:bookmarkStart w:id="2" w:name="_Hlk87401894"/>
      <w:r w:rsidRPr="00896524">
        <w:rPr>
          <w:rFonts w:ascii="Palatino Linotype" w:eastAsia="Calibri" w:hAnsi="Palatino Linotype" w:cs="Tahoma"/>
          <w:b/>
          <w:iCs/>
          <w:lang w:eastAsia="es-ES_tradnl"/>
        </w:rPr>
        <w:t>Necesidad</w:t>
      </w:r>
      <w:bookmarkEnd w:id="2"/>
      <w:r w:rsidRPr="00896524">
        <w:rPr>
          <w:rFonts w:ascii="Palatino Linotype" w:eastAsia="Calibri" w:hAnsi="Palatino Linotype" w:cs="Tahoma"/>
          <w:b/>
          <w:iCs/>
          <w:lang w:eastAsia="es-ES_tradnl"/>
        </w:rPr>
        <w:t xml:space="preserve">: </w:t>
      </w:r>
      <w:r w:rsidRPr="00896524">
        <w:rPr>
          <w:rFonts w:ascii="Palatino Linotype" w:eastAsia="Calibri" w:hAnsi="Palatino Linotype" w:cs="Tahoma"/>
          <w:iCs/>
          <w:lang w:eastAsia="es-ES_tradnl"/>
        </w:rPr>
        <w:t>Por otra parte, este Instituto observa que también se actualiza el principio de necesidad, ya que no existe un medio menos oneroso para lograr el fin válido, pues se estima necesaria la difusión de la información requerida, es decir, de los procedimientos en análisis</w:t>
      </w:r>
      <w:r w:rsidRPr="00896524">
        <w:rPr>
          <w:rFonts w:ascii="Palatino Linotype" w:eastAsia="Calibri" w:hAnsi="Palatino Linotype" w:cs="Tahoma"/>
          <w:bCs/>
          <w:iCs/>
          <w:lang w:eastAsia="es-ES_tradnl"/>
        </w:rPr>
        <w:t xml:space="preserve"> vinculándolos al servidor público sancionado, pues se relacionan con el ejercicio de sus funciones de los cargos ocupados</w:t>
      </w:r>
      <w:r w:rsidRPr="00896524">
        <w:rPr>
          <w:rFonts w:ascii="Palatino Linotype" w:eastAsia="Calibri" w:hAnsi="Palatino Linotype" w:cs="Tahoma"/>
          <w:iCs/>
          <w:lang w:eastAsia="es-ES_tradnl"/>
        </w:rPr>
        <w:t xml:space="preserve">, a fin de que los ciudadanos identifiquen el tipo de desempeño efectuado por el trabajador, en el ejercicio de sus atribuciones y así, calificar su actuar, ello con independencia de que el funcionario también revista el carácter de persona física identificada e </w:t>
      </w:r>
      <w:r w:rsidRPr="00896524">
        <w:rPr>
          <w:rFonts w:ascii="Palatino Linotype" w:eastAsia="Calibri" w:hAnsi="Palatino Linotype" w:cs="Tahoma"/>
          <w:iCs/>
          <w:lang w:eastAsia="es-ES_tradnl"/>
        </w:rPr>
        <w:lastRenderedPageBreak/>
        <w:t>identificable, pues, tal como se hizo alusión en el análisis que precede, la protección de sus datos personales queda supeditada al interés mayor de conocer los motivos y circunstancias que dieron origen a las posibles responsabilidades instauradas en su contra, que en su caso obren en los archivos.</w:t>
      </w:r>
    </w:p>
    <w:p w14:paraId="1ECC79F6" w14:textId="1A704FEF" w:rsidR="00896524" w:rsidRPr="00896524" w:rsidRDefault="00896524" w:rsidP="00896524">
      <w:pPr>
        <w:spacing w:before="240" w:after="240" w:line="360" w:lineRule="auto"/>
        <w:jc w:val="both"/>
        <w:rPr>
          <w:rFonts w:ascii="Palatino Linotype" w:eastAsia="Calibri" w:hAnsi="Palatino Linotype" w:cs="Tahoma"/>
          <w:iCs/>
          <w:lang w:eastAsia="es-ES_tradnl"/>
        </w:rPr>
      </w:pPr>
      <w:r w:rsidRPr="00896524">
        <w:rPr>
          <w:rFonts w:ascii="Palatino Linotype" w:eastAsia="Calibri" w:hAnsi="Palatino Linotype" w:cs="Tahoma"/>
          <w:iCs/>
          <w:lang w:eastAsia="es-ES_tradnl"/>
        </w:rPr>
        <w:t>Además, ello permite evaluar la actuación de la Contraloría Munici</w:t>
      </w:r>
      <w:r w:rsidR="006844F7">
        <w:rPr>
          <w:rFonts w:ascii="Palatino Linotype" w:eastAsia="Calibri" w:hAnsi="Palatino Linotype" w:cs="Tahoma"/>
          <w:iCs/>
          <w:lang w:eastAsia="es-ES_tradnl"/>
        </w:rPr>
        <w:t>pal del Ayuntamiento de Tenancingo</w:t>
      </w:r>
      <w:r w:rsidRPr="00896524">
        <w:rPr>
          <w:rFonts w:ascii="Palatino Linotype" w:eastAsia="Calibri" w:hAnsi="Palatino Linotype" w:cs="Tahoma"/>
          <w:iCs/>
          <w:lang w:eastAsia="es-ES_tradnl"/>
        </w:rPr>
        <w:t>, pues se podrá advertir la forma en la que ejercieron las funciones que legalmente tienen conferidas.</w:t>
      </w:r>
    </w:p>
    <w:p w14:paraId="256F9B80" w14:textId="77777777" w:rsidR="00896524" w:rsidRPr="00896524" w:rsidRDefault="00896524" w:rsidP="00896524">
      <w:pPr>
        <w:spacing w:before="240" w:after="240" w:line="360" w:lineRule="auto"/>
        <w:jc w:val="both"/>
        <w:rPr>
          <w:rFonts w:ascii="Palatino Linotype" w:eastAsia="Calibri" w:hAnsi="Palatino Linotype" w:cs="Tahoma"/>
          <w:iCs/>
          <w:lang w:eastAsia="es-ES_tradnl"/>
        </w:rPr>
      </w:pPr>
      <w:r w:rsidRPr="00896524">
        <w:rPr>
          <w:rFonts w:ascii="Palatino Linotype" w:eastAsia="Calibri" w:hAnsi="Palatino Linotype" w:cs="Tahoma"/>
          <w:iCs/>
          <w:lang w:eastAsia="es-ES_tradnl"/>
        </w:rPr>
        <w:t xml:space="preserve">Lo anterior, considerando que sólo por esta vía se podría lograr el acceso a la información correspondiente </w:t>
      </w:r>
      <w:r w:rsidRPr="00896524">
        <w:rPr>
          <w:rFonts w:ascii="Palatino Linotype" w:eastAsia="Calibri" w:hAnsi="Palatino Linotype" w:cs="Tahoma"/>
          <w:bCs/>
          <w:iCs/>
          <w:lang w:eastAsia="es-ES_tradnl"/>
        </w:rPr>
        <w:t xml:space="preserve">a los documentos </w:t>
      </w:r>
      <w:r w:rsidRPr="00896524">
        <w:rPr>
          <w:rFonts w:ascii="Palatino Linotype" w:eastAsia="Calibri" w:hAnsi="Palatino Linotype" w:cs="Tahoma"/>
          <w:iCs/>
          <w:lang w:eastAsia="es-ES_tradnl"/>
        </w:rPr>
        <w:t>del interés de la Particular, para garantizar la rendición de cuentas sobre su actuación, así como, la de los servidores públicos sancionados.</w:t>
      </w:r>
    </w:p>
    <w:p w14:paraId="45AD3BC4" w14:textId="77777777" w:rsidR="00896524" w:rsidRPr="00896524" w:rsidRDefault="00896524" w:rsidP="00896524">
      <w:pPr>
        <w:spacing w:before="240" w:after="240" w:line="360" w:lineRule="auto"/>
        <w:jc w:val="both"/>
        <w:rPr>
          <w:rFonts w:ascii="Palatino Linotype" w:eastAsia="Calibri" w:hAnsi="Palatino Linotype" w:cs="Tahoma"/>
          <w:iCs/>
          <w:lang w:eastAsia="es-ES_tradnl"/>
        </w:rPr>
      </w:pPr>
      <w:r w:rsidRPr="00896524">
        <w:rPr>
          <w:rFonts w:ascii="Palatino Linotype" w:eastAsia="Calibri" w:hAnsi="Palatino Linotype" w:cs="Tahoma"/>
          <w:iCs/>
          <w:lang w:eastAsia="es-ES_tradnl"/>
        </w:rPr>
        <w:t>En tal virtud, por la trascendencia social de la materia del requerimiento, el derecho de acceso a la información deberá prevalecer sobre el derecho a la privacidad.</w:t>
      </w:r>
    </w:p>
    <w:p w14:paraId="21DAA5DF" w14:textId="77777777" w:rsidR="00896524" w:rsidRPr="00896524" w:rsidRDefault="00896524" w:rsidP="00896524">
      <w:pPr>
        <w:spacing w:before="240" w:after="240" w:line="360" w:lineRule="auto"/>
        <w:jc w:val="both"/>
        <w:rPr>
          <w:rFonts w:ascii="Palatino Linotype" w:eastAsia="Calibri" w:hAnsi="Palatino Linotype" w:cs="Tahoma"/>
          <w:iCs/>
          <w:lang w:eastAsia="es-ES_tradnl"/>
        </w:rPr>
      </w:pPr>
      <w:r w:rsidRPr="00896524">
        <w:rPr>
          <w:rFonts w:ascii="Palatino Linotype" w:eastAsia="Calibri" w:hAnsi="Palatino Linotype" w:cs="Tahoma"/>
          <w:b/>
          <w:iCs/>
          <w:lang w:eastAsia="es-ES_tradnl"/>
        </w:rPr>
        <w:t>c) Proporcionalidad en sentido estricto:</w:t>
      </w:r>
      <w:r w:rsidRPr="00896524">
        <w:rPr>
          <w:rFonts w:ascii="Palatino Linotype" w:eastAsia="Calibri" w:hAnsi="Palatino Linotype" w:cs="Tahoma"/>
          <w:iCs/>
          <w:lang w:eastAsia="es-ES_tradnl"/>
        </w:rPr>
        <w:t xml:space="preserve"> El sacrificio de la protección del nombre de los servidores públicos, </w:t>
      </w:r>
      <w:r w:rsidRPr="00896524">
        <w:rPr>
          <w:rFonts w:ascii="Palatino Linotype" w:eastAsia="Calibri" w:hAnsi="Palatino Linotype" w:cs="Tahoma"/>
          <w:bCs/>
          <w:iCs/>
          <w:lang w:eastAsia="es-ES_tradnl"/>
        </w:rPr>
        <w:t xml:space="preserve">en caso de que </w:t>
      </w:r>
      <w:r w:rsidRPr="00896524">
        <w:rPr>
          <w:rFonts w:ascii="Palatino Linotype" w:eastAsia="Calibri" w:hAnsi="Palatino Linotype" w:cs="Tahoma"/>
          <w:iCs/>
          <w:lang w:eastAsia="es-ES_tradnl"/>
        </w:rPr>
        <w:t xml:space="preserve">hayan sido sujetos a proceso y cuente con una resolución sancionatoria por haber cometido responsabilidades graves, relacionadas con el desempeño de sus funciones, como medio para lograr el fin válido señalado, se justifica en razón de que se satisface el interés público en conocer el desempeño de sus funciones como trabajador gubernamental y elemento de la institución policial, esto es, que no operó conforme a derecho, así como, la actividad desplegada por las autoridades correspondientes, en el trámite de dichos asuntos. </w:t>
      </w:r>
      <w:r w:rsidRPr="00896524">
        <w:rPr>
          <w:rFonts w:ascii="Palatino Linotype" w:eastAsia="Calibri" w:hAnsi="Palatino Linotype" w:cs="Tahoma"/>
          <w:iCs/>
          <w:lang w:eastAsia="es-ES_tradnl"/>
        </w:rPr>
        <w:lastRenderedPageBreak/>
        <w:t>Además, que como se precisó en párrafos previos, dichas faltas recaen en una afectación, para terceras personas, o bien, al erario público.</w:t>
      </w:r>
    </w:p>
    <w:p w14:paraId="5C1A236B" w14:textId="77777777" w:rsidR="00896524" w:rsidRPr="00896524" w:rsidRDefault="00896524" w:rsidP="00896524">
      <w:pPr>
        <w:spacing w:before="240" w:after="240" w:line="360" w:lineRule="auto"/>
        <w:jc w:val="both"/>
        <w:rPr>
          <w:rFonts w:ascii="Palatino Linotype" w:eastAsia="Calibri" w:hAnsi="Palatino Linotype" w:cs="Tahoma"/>
          <w:iCs/>
          <w:lang w:eastAsia="es-ES_tradnl"/>
        </w:rPr>
      </w:pPr>
      <w:r w:rsidRPr="00896524">
        <w:rPr>
          <w:rFonts w:ascii="Palatino Linotype" w:eastAsia="Calibri" w:hAnsi="Palatino Linotype" w:cs="Tahoma"/>
          <w:iCs/>
          <w:lang w:eastAsia="es-ES_tradnl"/>
        </w:rPr>
        <w:t>De esta manera, se logra un mayor beneficio en proporción del otro derecho que se verá restringido, logrando publicitar información que es de interés público, por lo que, se advierte que el daño que se causaría con su difusión es menor a aquél que se causaría con su resguardo.</w:t>
      </w:r>
    </w:p>
    <w:p w14:paraId="71CD9DAE" w14:textId="77777777" w:rsidR="00896524" w:rsidRPr="00896524" w:rsidRDefault="00896524" w:rsidP="00896524">
      <w:pPr>
        <w:spacing w:before="240" w:after="240" w:line="360" w:lineRule="auto"/>
        <w:jc w:val="both"/>
        <w:rPr>
          <w:rFonts w:ascii="Palatino Linotype" w:eastAsia="Calibri" w:hAnsi="Palatino Linotype" w:cs="Tahoma"/>
          <w:bCs/>
          <w:iCs/>
          <w:lang w:eastAsia="es-ES_tradnl"/>
        </w:rPr>
      </w:pPr>
      <w:r w:rsidRPr="00896524">
        <w:rPr>
          <w:rFonts w:ascii="Palatino Linotype" w:eastAsia="Calibri" w:hAnsi="Palatino Linotype" w:cs="Tahoma"/>
          <w:bCs/>
          <w:iCs/>
          <w:lang w:eastAsia="es-ES_tradnl"/>
        </w:rPr>
        <w:t>En ese orden de ideas, es posible advertir un margen de beneficio mayor al favorecer el derecho de acceso a la información, respecto del derecho a la vida privada; por lo que, la intervención que subsume este ejercicio de ponderación apunta a la obtención de mayores efectos positivos y una afectación menor en la esfera de privacidad de los servidores públicos.</w:t>
      </w:r>
    </w:p>
    <w:p w14:paraId="782705EF" w14:textId="77777777" w:rsidR="00896524" w:rsidRPr="00896524" w:rsidRDefault="00896524" w:rsidP="00896524">
      <w:pPr>
        <w:spacing w:before="240" w:after="240" w:line="360" w:lineRule="auto"/>
        <w:jc w:val="both"/>
        <w:rPr>
          <w:rFonts w:ascii="Palatino Linotype" w:eastAsia="Calibri" w:hAnsi="Palatino Linotype" w:cs="Tahoma"/>
          <w:iCs/>
          <w:lang w:eastAsia="es-ES_tradnl"/>
        </w:rPr>
      </w:pPr>
      <w:r w:rsidRPr="00896524">
        <w:rPr>
          <w:rFonts w:ascii="Palatino Linotype" w:eastAsia="Calibri" w:hAnsi="Palatino Linotype" w:cs="Tahoma"/>
          <w:iCs/>
          <w:lang w:eastAsia="es-ES_tradnl"/>
        </w:rPr>
        <w:t>Lo anterior se robustece con el hecho de que la difusión de la información solicitada contribuiría a garantizar el ejercicio de acceso a la información, a favorecer la rendición de cuentas a los ciudadanos, de manera que puedan valorar el desempeño de los sujetos obligados y servidores públicos, además de fortalecer el escrutinio ciudadano sobre las actividades sustantivas de los sujetos obligados, en cumplimiento a los objetivos previstos en el artículo 2° de la Ley Federal de Transparencia y Acceso a la Información Pública.</w:t>
      </w:r>
    </w:p>
    <w:p w14:paraId="0C1B870E" w14:textId="77777777" w:rsidR="00896524" w:rsidRPr="00896524" w:rsidRDefault="00896524" w:rsidP="00896524">
      <w:pPr>
        <w:spacing w:before="240" w:after="240" w:line="360" w:lineRule="auto"/>
        <w:jc w:val="both"/>
        <w:rPr>
          <w:rFonts w:ascii="Palatino Linotype" w:eastAsia="Calibri" w:hAnsi="Palatino Linotype" w:cs="Tahoma"/>
          <w:iCs/>
          <w:lang w:eastAsia="es-ES_tradnl"/>
        </w:rPr>
      </w:pPr>
      <w:r w:rsidRPr="00896524">
        <w:rPr>
          <w:rFonts w:ascii="Palatino Linotype" w:eastAsia="Calibri" w:hAnsi="Palatino Linotype" w:cs="Tahoma"/>
          <w:iCs/>
          <w:lang w:eastAsia="es-ES_tradnl"/>
        </w:rPr>
        <w:t>Por tanto, se concluye que, al tenor de la ponderación realizada, se cumple con los tres elementos para darle preminencia, en el caso concreto, al derecho de acceso a la información.</w:t>
      </w:r>
    </w:p>
    <w:p w14:paraId="1718E6DA" w14:textId="77777777" w:rsidR="00896524" w:rsidRPr="00896524" w:rsidRDefault="00896524" w:rsidP="00896524">
      <w:pPr>
        <w:spacing w:before="240" w:after="240" w:line="360" w:lineRule="auto"/>
        <w:jc w:val="both"/>
        <w:rPr>
          <w:rFonts w:ascii="Palatino Linotype" w:eastAsia="Calibri" w:hAnsi="Palatino Linotype" w:cs="Tahoma"/>
          <w:iCs/>
          <w:lang w:val="es-ES_tradnl" w:eastAsia="es-ES_tradnl"/>
        </w:rPr>
      </w:pPr>
      <w:r w:rsidRPr="00896524">
        <w:rPr>
          <w:rFonts w:ascii="Palatino Linotype" w:eastAsia="Calibri" w:hAnsi="Palatino Linotype" w:cs="Tahoma"/>
          <w:iCs/>
          <w:lang w:eastAsia="es-ES_tradnl"/>
        </w:rPr>
        <w:lastRenderedPageBreak/>
        <w:t xml:space="preserve">Por lo expuesto, se determina que los procedimientos de responsabilidades graves vinculados con el nombre de los servidores públicos o ex trabajadores, guardan la naturaleza pública, en razón de que, si bien </w:t>
      </w:r>
      <w:r w:rsidRPr="00896524">
        <w:rPr>
          <w:rFonts w:ascii="Palatino Linotype" w:eastAsia="Calibri" w:hAnsi="Palatino Linotype" w:cs="Tahoma"/>
          <w:iCs/>
          <w:lang w:val="es-ES_tradnl" w:eastAsia="es-ES_tradnl"/>
        </w:rPr>
        <w:t>la difusión de los mismos afectaría los derechos a la confidencialidad, a la privacidad, al honor y a la propia imagen, también lo es que tratándose de asuntos relacionados con actos de responsabilidad graves, tales prerrogativas quedan supeditadas al interés mayor de conocer tales eventualidades y por lo tanto no precede su clasificación en términos del artículo 143, fracción I de la Ley de la materia.</w:t>
      </w:r>
    </w:p>
    <w:p w14:paraId="315CE69A" w14:textId="77777777" w:rsidR="00896524" w:rsidRPr="00896524" w:rsidRDefault="00896524" w:rsidP="00896524">
      <w:pPr>
        <w:spacing w:before="240" w:after="240" w:line="360" w:lineRule="auto"/>
        <w:jc w:val="both"/>
        <w:rPr>
          <w:rFonts w:ascii="Palatino Linotype" w:eastAsia="Calibri" w:hAnsi="Palatino Linotype" w:cs="Tahoma"/>
          <w:iCs/>
          <w:lang w:eastAsia="es-ES_tradnl"/>
        </w:rPr>
      </w:pPr>
      <w:r w:rsidRPr="00896524">
        <w:rPr>
          <w:rFonts w:ascii="Palatino Linotype" w:eastAsia="Calibri" w:hAnsi="Palatino Linotype" w:cs="Tahoma"/>
          <w:iCs/>
          <w:lang w:eastAsia="es-ES_tradnl"/>
        </w:rPr>
        <w:t>Conforme a lo anterior, se concluye que el sujeto obligado únicamente se encuentra constreñido, a proporcionar los procedimientos que ya hayan causado estado, sin testar el nombre de servidores públicos que fueron sancionados por responsabilidades graves.</w:t>
      </w:r>
    </w:p>
    <w:p w14:paraId="54077EA1" w14:textId="77777777" w:rsidR="00896524" w:rsidRPr="00896524" w:rsidRDefault="00896524" w:rsidP="00BC57B0">
      <w:pPr>
        <w:numPr>
          <w:ilvl w:val="0"/>
          <w:numId w:val="11"/>
        </w:numPr>
        <w:pBdr>
          <w:top w:val="nil"/>
          <w:left w:val="nil"/>
          <w:bottom w:val="nil"/>
          <w:right w:val="nil"/>
          <w:between w:val="nil"/>
        </w:pBdr>
        <w:spacing w:before="240" w:after="240" w:line="360" w:lineRule="auto"/>
        <w:ind w:left="0" w:right="49" w:hanging="142"/>
        <w:contextualSpacing/>
        <w:jc w:val="both"/>
        <w:rPr>
          <w:rFonts w:ascii="Palatino Linotype" w:eastAsia="Palatino Linotype" w:hAnsi="Palatino Linotype" w:cs="Palatino Linotype"/>
          <w:b/>
        </w:rPr>
      </w:pPr>
      <w:r w:rsidRPr="00896524">
        <w:rPr>
          <w:rFonts w:ascii="Palatino Linotype" w:eastAsia="Palatino Linotype" w:hAnsi="Palatino Linotype" w:cs="Palatino Linotype"/>
          <w:b/>
        </w:rPr>
        <w:t>Procedimientos de sanciones graves absolutorias, concluidos.</w:t>
      </w:r>
    </w:p>
    <w:p w14:paraId="3E91DAC7" w14:textId="72E1DD20" w:rsidR="00896524" w:rsidRPr="00896524" w:rsidRDefault="00896524" w:rsidP="00896524">
      <w:pPr>
        <w:spacing w:before="240" w:after="240" w:line="360" w:lineRule="auto"/>
        <w:contextualSpacing/>
        <w:jc w:val="both"/>
        <w:rPr>
          <w:rFonts w:ascii="Palatino Linotype" w:hAnsi="Palatino Linotype"/>
          <w:bCs/>
        </w:rPr>
      </w:pPr>
      <w:r w:rsidRPr="00896524">
        <w:rPr>
          <w:rFonts w:ascii="Palatino Linotype" w:hAnsi="Palatino Linotype"/>
        </w:rPr>
        <w:t xml:space="preserve">Si </w:t>
      </w:r>
      <w:r w:rsidR="00472F27">
        <w:rPr>
          <w:rFonts w:ascii="Palatino Linotype" w:hAnsi="Palatino Linotype"/>
        </w:rPr>
        <w:t>los procedimientos administrativos</w:t>
      </w:r>
      <w:r w:rsidRPr="00896524">
        <w:rPr>
          <w:rFonts w:ascii="Palatino Linotype" w:hAnsi="Palatino Linotype"/>
        </w:rPr>
        <w:t xml:space="preserve"> requeridos por el particular, están contenidos en expedientes </w:t>
      </w:r>
      <w:r w:rsidR="00BC57B0">
        <w:rPr>
          <w:rFonts w:ascii="Palatino Linotype" w:hAnsi="Palatino Linotype"/>
        </w:rPr>
        <w:t xml:space="preserve">que </w:t>
      </w:r>
      <w:r w:rsidR="00472F27">
        <w:rPr>
          <w:rFonts w:ascii="Palatino Linotype" w:hAnsi="Palatino Linotype"/>
        </w:rPr>
        <w:t>encuadra</w:t>
      </w:r>
      <w:r w:rsidRPr="00896524">
        <w:rPr>
          <w:rFonts w:ascii="Palatino Linotype" w:hAnsi="Palatino Linotype"/>
        </w:rPr>
        <w:t xml:space="preserve">n en el presente caso se procederá a su acceso en versión pública, protegiendo el nombre, cargo y área de adscripción del Servidor Público absuelto y aquellos datos personales que hagan identificable a una persona, </w:t>
      </w:r>
      <w:r w:rsidRPr="00896524">
        <w:rPr>
          <w:rFonts w:ascii="Palatino Linotype" w:hAnsi="Palatino Linotype"/>
          <w:bCs/>
        </w:rPr>
        <w:t>toda vez que la información solicitada, se relaciona con servidores públicos en específico, los cuales al no haber recibido alguna sanción por posibles responsabilidades, se procede a clasificar como confidencial el nombre y cargo del servidor público, al poder causar un perjuicio a la vida privada de estos.</w:t>
      </w:r>
    </w:p>
    <w:p w14:paraId="7C82DA88" w14:textId="77777777" w:rsidR="00896524" w:rsidRPr="00896524" w:rsidRDefault="00896524" w:rsidP="00896524">
      <w:pPr>
        <w:spacing w:before="240" w:after="240" w:line="360" w:lineRule="auto"/>
        <w:contextualSpacing/>
        <w:jc w:val="both"/>
        <w:rPr>
          <w:rFonts w:ascii="Palatino Linotype" w:hAnsi="Palatino Linotype"/>
        </w:rPr>
      </w:pPr>
    </w:p>
    <w:p w14:paraId="4306963B" w14:textId="77777777" w:rsidR="00896524" w:rsidRPr="00896524" w:rsidRDefault="00896524" w:rsidP="00896524">
      <w:pPr>
        <w:spacing w:before="240" w:after="240" w:line="360" w:lineRule="auto"/>
        <w:contextualSpacing/>
        <w:jc w:val="both"/>
        <w:rPr>
          <w:rFonts w:ascii="Palatino Linotype" w:hAnsi="Palatino Linotype"/>
        </w:rPr>
      </w:pPr>
      <w:r w:rsidRPr="00896524">
        <w:rPr>
          <w:rFonts w:ascii="Palatino Linotype" w:hAnsi="Palatino Linotype"/>
        </w:rPr>
        <w:lastRenderedPageBreak/>
        <w:t xml:space="preserve">Cabe mencionar que el artículo 6°, Apartado A), fracción II, de la Constitución Política de los Estados Unidos Mexicanos, prevé que la información que se refiere a la vida privada y los datos personales, será protegida en los términos y con las excepciones que fijen las leyes. </w:t>
      </w:r>
      <w:r w:rsidRPr="00896524">
        <w:rPr>
          <w:rFonts w:ascii="Palatino Linotype" w:hAnsi="Palatino Linotype"/>
          <w:bCs/>
        </w:rPr>
        <w:t xml:space="preserve">Igualmente, el segundo párrafo del artículo 16 de la </w:t>
      </w:r>
      <w:r w:rsidRPr="00896524">
        <w:rPr>
          <w:rFonts w:ascii="Palatino Linotype" w:hAnsi="Palatino Linotype"/>
        </w:rPr>
        <w:t xml:space="preserve">Carta Magna </w:t>
      </w:r>
      <w:r w:rsidRPr="00896524">
        <w:rPr>
          <w:rFonts w:ascii="Palatino Linotype" w:hAnsi="Palatino Linotype"/>
          <w:bCs/>
        </w:rPr>
        <w:t>dispone que t</w:t>
      </w:r>
      <w:r w:rsidRPr="00896524">
        <w:rPr>
          <w:rFonts w:ascii="Palatino Linotype" w:hAnsi="Palatino Linotype"/>
        </w:rPr>
        <w: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6EBE34F7" w14:textId="77777777" w:rsidR="00896524" w:rsidRPr="00896524" w:rsidRDefault="00896524" w:rsidP="00896524">
      <w:pPr>
        <w:spacing w:before="240" w:after="240" w:line="360" w:lineRule="auto"/>
        <w:contextualSpacing/>
        <w:jc w:val="both"/>
        <w:rPr>
          <w:rFonts w:ascii="Palatino Linotype" w:hAnsi="Palatino Linotype"/>
        </w:rPr>
      </w:pPr>
    </w:p>
    <w:p w14:paraId="1202D847" w14:textId="77777777" w:rsidR="00896524" w:rsidRPr="00896524" w:rsidRDefault="00896524" w:rsidP="00896524">
      <w:pPr>
        <w:spacing w:before="240" w:after="240" w:line="360" w:lineRule="auto"/>
        <w:contextualSpacing/>
        <w:jc w:val="both"/>
        <w:rPr>
          <w:rFonts w:ascii="Palatino Linotype" w:hAnsi="Palatino Linotype"/>
        </w:rPr>
      </w:pPr>
      <w:r w:rsidRPr="00896524">
        <w:rPr>
          <w:rFonts w:ascii="Palatino Linotype" w:hAnsi="Palatino Linotype"/>
        </w:rPr>
        <w:t>Acorde</w:t>
      </w:r>
      <w:r w:rsidRPr="00896524">
        <w:rPr>
          <w:rFonts w:ascii="Palatino Linotype" w:hAnsi="Palatino Linotype"/>
          <w:bCs/>
        </w:rPr>
        <w:t xml:space="preserve"> con lo anterior, la Ley General de Transparencia y Acceso a la Información Pública, en su artículo 116, dispone que se considera información confidencial la que contenga datos personales concernientes a una persona física identificada o identificable. </w:t>
      </w:r>
      <w:r w:rsidRPr="00896524">
        <w:rPr>
          <w:rFonts w:ascii="Palatino Linotype" w:hAnsi="Palatino Linotype"/>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122FC8AE" w14:textId="77777777" w:rsidR="00896524" w:rsidRPr="00896524" w:rsidRDefault="00896524" w:rsidP="00896524">
      <w:pPr>
        <w:spacing w:before="240" w:after="240" w:line="360" w:lineRule="auto"/>
        <w:contextualSpacing/>
        <w:jc w:val="both"/>
        <w:rPr>
          <w:rFonts w:ascii="Palatino Linotype" w:hAnsi="Palatino Linotype"/>
        </w:rPr>
      </w:pPr>
    </w:p>
    <w:p w14:paraId="4E32671E" w14:textId="77777777" w:rsidR="00896524" w:rsidRPr="00896524" w:rsidRDefault="00896524" w:rsidP="00896524">
      <w:pPr>
        <w:spacing w:before="240" w:after="240" w:line="360" w:lineRule="auto"/>
        <w:contextualSpacing/>
        <w:jc w:val="both"/>
        <w:rPr>
          <w:rFonts w:ascii="Palatino Linotype" w:hAnsi="Palatino Linotype"/>
          <w:bCs/>
        </w:rPr>
      </w:pPr>
      <w:r w:rsidRPr="00896524">
        <w:rPr>
          <w:rFonts w:ascii="Palatino Linotype" w:hAnsi="Palatino Linotype"/>
          <w:bCs/>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7AAD9E1A" w14:textId="77777777" w:rsidR="00896524" w:rsidRPr="00896524" w:rsidRDefault="00896524" w:rsidP="00896524">
      <w:pPr>
        <w:spacing w:before="240" w:after="240" w:line="360" w:lineRule="auto"/>
        <w:contextualSpacing/>
        <w:jc w:val="both"/>
        <w:rPr>
          <w:rFonts w:ascii="Palatino Linotype" w:hAnsi="Palatino Linotype"/>
          <w:bCs/>
        </w:rPr>
      </w:pPr>
      <w:r w:rsidRPr="00896524">
        <w:rPr>
          <w:rFonts w:ascii="Palatino Linotype" w:hAnsi="Palatino Linotype"/>
          <w:bCs/>
        </w:rPr>
        <w:lastRenderedPageBreak/>
        <w:t xml:space="preserve">En concordancia con lo previo, el artículo 143, fracción I, de la Ley previamente citada, establece que </w:t>
      </w:r>
      <w:r w:rsidRPr="00896524">
        <w:rPr>
          <w:rFonts w:ascii="Palatino Linotype" w:hAnsi="Palatino Linotype"/>
        </w:rPr>
        <w:t>la información privada</w:t>
      </w:r>
      <w:r w:rsidRPr="00896524">
        <w:rPr>
          <w:rFonts w:ascii="Palatino Linotype" w:hAnsi="Palatino Linotype"/>
          <w:bCs/>
        </w:rPr>
        <w:t xml:space="preserve"> y los datos personales, concernientes a una persona física identificada o identificable son confidenciales.</w:t>
      </w:r>
    </w:p>
    <w:p w14:paraId="3DEB2A01" w14:textId="77777777" w:rsidR="00BC57B0" w:rsidRDefault="00BC57B0" w:rsidP="00896524">
      <w:pPr>
        <w:spacing w:before="240" w:after="240" w:line="360" w:lineRule="auto"/>
        <w:contextualSpacing/>
        <w:jc w:val="both"/>
        <w:rPr>
          <w:rFonts w:ascii="Palatino Linotype" w:hAnsi="Palatino Linotype"/>
          <w:bCs/>
        </w:rPr>
      </w:pPr>
    </w:p>
    <w:p w14:paraId="52948431" w14:textId="77777777" w:rsidR="00896524" w:rsidRPr="00896524" w:rsidRDefault="00896524" w:rsidP="00896524">
      <w:pPr>
        <w:spacing w:before="240" w:after="240" w:line="360" w:lineRule="auto"/>
        <w:contextualSpacing/>
        <w:jc w:val="both"/>
        <w:rPr>
          <w:rFonts w:ascii="Palatino Linotype" w:hAnsi="Palatino Linotype"/>
          <w:bCs/>
        </w:rPr>
      </w:pPr>
      <w:r w:rsidRPr="00896524">
        <w:rPr>
          <w:rFonts w:ascii="Palatino Linotype" w:hAnsi="Palatino Linotype"/>
          <w:bCs/>
        </w:rPr>
        <w:t xml:space="preserve">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w:t>
      </w:r>
      <w:r w:rsidRPr="00896524">
        <w:rPr>
          <w:rFonts w:ascii="Palatino Linotype" w:hAnsi="Palatino Linotype"/>
          <w:b/>
          <w:bCs/>
        </w:rPr>
        <w:t xml:space="preserve">i) </w:t>
      </w:r>
      <w:r w:rsidRPr="00896524">
        <w:rPr>
          <w:rFonts w:ascii="Palatino Linotype" w:hAnsi="Palatino Linotype"/>
          <w:bCs/>
        </w:rPr>
        <w:t xml:space="preserve">la información se encuentre en registros públicos o fuentes de acceso público, </w:t>
      </w:r>
      <w:r w:rsidRPr="00896524">
        <w:rPr>
          <w:rFonts w:ascii="Palatino Linotype" w:hAnsi="Palatino Linotype"/>
          <w:b/>
          <w:bCs/>
        </w:rPr>
        <w:t>ii)</w:t>
      </w:r>
      <w:r w:rsidRPr="00896524">
        <w:rPr>
          <w:rFonts w:ascii="Palatino Linotype" w:hAnsi="Palatino Linotype"/>
          <w:bCs/>
        </w:rPr>
        <w:t xml:space="preserve"> por ley tenga el carácter de pública, </w:t>
      </w:r>
      <w:r w:rsidRPr="00896524">
        <w:rPr>
          <w:rFonts w:ascii="Palatino Linotype" w:hAnsi="Palatino Linotype"/>
          <w:b/>
          <w:bCs/>
        </w:rPr>
        <w:t>iii)</w:t>
      </w:r>
      <w:r w:rsidRPr="00896524">
        <w:rPr>
          <w:rFonts w:ascii="Palatino Linotype" w:hAnsi="Palatino Linotype"/>
          <w:bCs/>
        </w:rPr>
        <w:t xml:space="preserve"> exista una orden judicial, </w:t>
      </w:r>
      <w:r w:rsidRPr="00896524">
        <w:rPr>
          <w:rFonts w:ascii="Palatino Linotype" w:hAnsi="Palatino Linotype"/>
          <w:b/>
          <w:bCs/>
        </w:rPr>
        <w:t>iv)</w:t>
      </w:r>
      <w:r w:rsidRPr="00896524">
        <w:rPr>
          <w:rFonts w:ascii="Palatino Linotype" w:hAnsi="Palatino Linotype"/>
          <w:bCs/>
        </w:rPr>
        <w:t xml:space="preserve"> por razones de seguridad nacional y salubridad general o </w:t>
      </w:r>
      <w:r w:rsidRPr="00896524">
        <w:rPr>
          <w:rFonts w:ascii="Palatino Linotype" w:hAnsi="Palatino Linotype"/>
          <w:b/>
          <w:bCs/>
        </w:rPr>
        <w:t>v)</w:t>
      </w:r>
      <w:r w:rsidRPr="00896524">
        <w:rPr>
          <w:rFonts w:ascii="Palatino Linotype" w:hAnsi="Palatino Linotype"/>
          <w:bCs/>
        </w:rPr>
        <w:t xml:space="preserve"> para proteger los derechos de terceros o cuando se transmita entre sujetos obligados en términos de los tratados y los acuerdos interinstitucionales.</w:t>
      </w:r>
    </w:p>
    <w:p w14:paraId="26A02857" w14:textId="77777777" w:rsidR="00896524" w:rsidRPr="00896524" w:rsidRDefault="00896524" w:rsidP="00896524">
      <w:pPr>
        <w:spacing w:before="240" w:after="240" w:line="360" w:lineRule="auto"/>
        <w:contextualSpacing/>
        <w:jc w:val="both"/>
        <w:rPr>
          <w:rFonts w:ascii="Palatino Linotype" w:hAnsi="Palatino Linotype"/>
          <w:bCs/>
        </w:rPr>
      </w:pPr>
    </w:p>
    <w:p w14:paraId="69385198" w14:textId="77777777" w:rsidR="00896524" w:rsidRPr="00896524" w:rsidRDefault="00896524" w:rsidP="00896524">
      <w:pPr>
        <w:spacing w:before="240" w:after="240" w:line="360" w:lineRule="auto"/>
        <w:contextualSpacing/>
        <w:jc w:val="both"/>
        <w:rPr>
          <w:rFonts w:ascii="Palatino Linotype" w:hAnsi="Palatino Linotype"/>
          <w:bCs/>
        </w:rPr>
      </w:pPr>
      <w:r w:rsidRPr="00896524">
        <w:rPr>
          <w:rFonts w:ascii="Palatino Linotype" w:hAnsi="Palatino Linotype"/>
          <w:bCs/>
        </w:rPr>
        <w:t>En términos de lo expuesto, la documentación y aquellos datos que se consideren confidenciales, serán una limitante del derecho de acceso a la información, siempre y cuando:</w:t>
      </w:r>
    </w:p>
    <w:p w14:paraId="309F12B4" w14:textId="77777777" w:rsidR="00896524" w:rsidRPr="00896524" w:rsidRDefault="00896524" w:rsidP="00896524">
      <w:pPr>
        <w:spacing w:line="360" w:lineRule="auto"/>
        <w:ind w:right="49"/>
        <w:contextualSpacing/>
        <w:jc w:val="both"/>
        <w:rPr>
          <w:rFonts w:ascii="Palatino Linotype" w:hAnsi="Palatino Linotype"/>
          <w:bCs/>
        </w:rPr>
      </w:pPr>
    </w:p>
    <w:p w14:paraId="619D5F1A" w14:textId="77777777" w:rsidR="00896524" w:rsidRPr="00896524" w:rsidRDefault="00896524" w:rsidP="00896524">
      <w:pPr>
        <w:spacing w:line="360" w:lineRule="auto"/>
        <w:ind w:left="851" w:right="51"/>
        <w:contextualSpacing/>
        <w:jc w:val="both"/>
        <w:rPr>
          <w:rFonts w:ascii="Palatino Linotype" w:hAnsi="Palatino Linotype"/>
          <w:bCs/>
          <w:sz w:val="22"/>
        </w:rPr>
      </w:pPr>
      <w:r w:rsidRPr="00896524">
        <w:rPr>
          <w:rFonts w:ascii="Palatino Linotype" w:hAnsi="Palatino Linotype"/>
          <w:b/>
          <w:sz w:val="22"/>
        </w:rPr>
        <w:t>a).</w:t>
      </w:r>
      <w:r w:rsidRPr="00896524">
        <w:rPr>
          <w:rFonts w:ascii="Palatino Linotype" w:hAnsi="Palatino Linotype"/>
          <w:bCs/>
          <w:sz w:val="22"/>
        </w:rPr>
        <w:t xml:space="preserve"> Se trate de datos personales; esto es, información concerniente a una persona física y que ésta sea identificada o identificable. </w:t>
      </w:r>
    </w:p>
    <w:p w14:paraId="6D564EDF" w14:textId="77777777" w:rsidR="00896524" w:rsidRPr="00896524" w:rsidRDefault="00896524" w:rsidP="00896524">
      <w:pPr>
        <w:spacing w:line="360" w:lineRule="auto"/>
        <w:ind w:left="142" w:right="51"/>
        <w:contextualSpacing/>
        <w:jc w:val="both"/>
        <w:rPr>
          <w:rFonts w:ascii="Palatino Linotype" w:hAnsi="Palatino Linotype"/>
          <w:bCs/>
          <w:sz w:val="22"/>
        </w:rPr>
      </w:pPr>
    </w:p>
    <w:p w14:paraId="231CA677" w14:textId="77777777" w:rsidR="00896524" w:rsidRPr="00896524" w:rsidRDefault="00896524" w:rsidP="00896524">
      <w:pPr>
        <w:spacing w:line="360" w:lineRule="auto"/>
        <w:ind w:left="851" w:right="51"/>
        <w:contextualSpacing/>
        <w:jc w:val="both"/>
        <w:rPr>
          <w:rFonts w:ascii="Palatino Linotype" w:hAnsi="Palatino Linotype"/>
          <w:bCs/>
          <w:sz w:val="22"/>
        </w:rPr>
      </w:pPr>
      <w:r w:rsidRPr="00896524">
        <w:rPr>
          <w:rFonts w:ascii="Palatino Linotype" w:hAnsi="Palatino Linotype"/>
          <w:b/>
          <w:sz w:val="22"/>
        </w:rPr>
        <w:t>b).</w:t>
      </w:r>
      <w:r w:rsidRPr="00896524">
        <w:rPr>
          <w:rFonts w:ascii="Palatino Linotype" w:hAnsi="Palatino Linotype"/>
          <w:bCs/>
          <w:sz w:val="22"/>
        </w:rPr>
        <w:t xml:space="preserve"> Para la difusión de los datos, se requiera el consentimiento del titular. </w:t>
      </w:r>
    </w:p>
    <w:p w14:paraId="1D2AFAF9" w14:textId="77777777" w:rsidR="00896524" w:rsidRPr="00896524" w:rsidRDefault="00896524" w:rsidP="00896524">
      <w:pPr>
        <w:spacing w:line="360" w:lineRule="auto"/>
        <w:ind w:right="49"/>
        <w:contextualSpacing/>
        <w:jc w:val="both"/>
        <w:rPr>
          <w:rFonts w:ascii="Palatino Linotype" w:hAnsi="Palatino Linotype"/>
          <w:bCs/>
        </w:rPr>
      </w:pPr>
    </w:p>
    <w:p w14:paraId="14EAF0D6" w14:textId="77777777" w:rsidR="00896524" w:rsidRPr="00896524" w:rsidRDefault="00896524" w:rsidP="00896524">
      <w:pPr>
        <w:spacing w:before="240" w:after="240" w:line="360" w:lineRule="auto"/>
        <w:contextualSpacing/>
        <w:jc w:val="both"/>
        <w:rPr>
          <w:rFonts w:ascii="Palatino Linotype" w:hAnsi="Palatino Linotype"/>
          <w:bCs/>
        </w:rPr>
      </w:pPr>
      <w:r w:rsidRPr="00896524">
        <w:rPr>
          <w:rFonts w:ascii="Palatino Linotype" w:hAnsi="Palatino Linotype"/>
          <w:bCs/>
        </w:rPr>
        <w:t xml:space="preserve">En ese orden de ideas, de conformidad con el artículo 3°, fracción IX de la Ley de Transparencia y Acceso a la Información Pública del Estado de México y Municipios, </w:t>
      </w:r>
      <w:r w:rsidRPr="00896524">
        <w:rPr>
          <w:rFonts w:ascii="Palatino Linotype" w:hAnsi="Palatino Linotype"/>
          <w:bCs/>
        </w:rPr>
        <w:lastRenderedPageBreak/>
        <w:t>con relación el diverso 4°, fracciones XI y XII, de la Ley de Protección de Datos Personales en Posesión de Sujetos Obligados del Estado de México y Municipios, se advierte que son datos personales, la información concerniente a una persona física identificada o identificable (</w:t>
      </w:r>
      <w:r w:rsidRPr="00896524">
        <w:rPr>
          <w:rFonts w:ascii="Palatino Linotype" w:hAnsi="Palatino Linotype"/>
          <w:bCs/>
          <w:i/>
          <w:iCs/>
        </w:rPr>
        <w:t>cuando su identidad pueda determinarse directa o indirectamente a través de cualquier documento informativo físico o electrónico</w:t>
      </w:r>
      <w:r w:rsidRPr="00896524">
        <w:rPr>
          <w:rFonts w:ascii="Palatino Linotype" w:hAnsi="Palatino Linotype"/>
          <w:bCs/>
        </w:rPr>
        <w:t xml:space="preserve">), establecida en cualquier formato o modalidad. </w:t>
      </w:r>
    </w:p>
    <w:p w14:paraId="1425F512" w14:textId="77777777" w:rsidR="00896524" w:rsidRPr="00896524" w:rsidRDefault="00896524" w:rsidP="00896524">
      <w:pPr>
        <w:spacing w:before="240" w:after="240" w:line="360" w:lineRule="auto"/>
        <w:contextualSpacing/>
        <w:jc w:val="both"/>
        <w:rPr>
          <w:rFonts w:ascii="Palatino Linotype" w:hAnsi="Palatino Linotype"/>
          <w:bCs/>
        </w:rPr>
      </w:pPr>
    </w:p>
    <w:p w14:paraId="0F377747" w14:textId="77777777" w:rsidR="00896524" w:rsidRPr="00896524" w:rsidRDefault="00896524" w:rsidP="00896524">
      <w:pPr>
        <w:spacing w:before="240" w:after="240" w:line="360" w:lineRule="auto"/>
        <w:contextualSpacing/>
        <w:jc w:val="both"/>
        <w:rPr>
          <w:rFonts w:ascii="Palatino Linotype" w:hAnsi="Palatino Linotype"/>
          <w:bCs/>
        </w:rPr>
      </w:pPr>
      <w:r w:rsidRPr="00896524">
        <w:rPr>
          <w:rFonts w:ascii="Palatino Linotype" w:hAnsi="Palatino Linotype"/>
          <w:bCs/>
        </w:rPr>
        <w:t xml:space="preserve">Además, en el artículo 5° de dicho ordenamiento jurídico, establece que es la Ley aplicable para todo tratamiento de datos personales. </w:t>
      </w:r>
    </w:p>
    <w:p w14:paraId="5DE79A0F" w14:textId="77777777" w:rsidR="00896524" w:rsidRPr="00896524" w:rsidRDefault="00896524" w:rsidP="00896524">
      <w:pPr>
        <w:spacing w:before="240" w:after="240" w:line="360" w:lineRule="auto"/>
        <w:contextualSpacing/>
        <w:jc w:val="both"/>
        <w:rPr>
          <w:rFonts w:ascii="Palatino Linotype" w:hAnsi="Palatino Linotype"/>
        </w:rPr>
      </w:pPr>
    </w:p>
    <w:p w14:paraId="190E254B" w14:textId="77777777" w:rsidR="00896524" w:rsidRPr="00896524" w:rsidRDefault="00896524" w:rsidP="00896524">
      <w:pPr>
        <w:spacing w:before="240" w:after="240" w:line="360" w:lineRule="auto"/>
        <w:contextualSpacing/>
        <w:jc w:val="both"/>
        <w:rPr>
          <w:rFonts w:ascii="Palatino Linotype" w:hAnsi="Palatino Linotype"/>
        </w:rPr>
      </w:pPr>
      <w:r w:rsidRPr="00896524">
        <w:rPr>
          <w:rFonts w:ascii="Palatino Linotype" w:hAnsi="Palatino Linotype"/>
        </w:rPr>
        <w:t xml:space="preserve">En </w:t>
      </w:r>
      <w:r w:rsidRPr="00896524">
        <w:rPr>
          <w:rFonts w:ascii="Palatino Linotype" w:hAnsi="Palatino Linotype"/>
          <w:bCs/>
        </w:rPr>
        <w:t>ese</w:t>
      </w:r>
      <w:r w:rsidRPr="00896524">
        <w:rPr>
          <w:rFonts w:ascii="Palatino Linotype" w:hAnsi="Palatino Linotype"/>
        </w:rPr>
        <w:t xml:space="preserve"> contexto, los artículos 6°, 7°, 8° y 14 de la </w:t>
      </w:r>
      <w:r w:rsidRPr="00896524">
        <w:rPr>
          <w:rFonts w:ascii="Palatino Linotype" w:hAnsi="Palatino Linotype"/>
          <w:bCs/>
        </w:rPr>
        <w:t>Ley de Protección de Datos Personales en Posesión de Sujetos Obligados del Estado de México y Municipios</w:t>
      </w:r>
      <w:r w:rsidRPr="00896524">
        <w:rPr>
          <w:rFonts w:ascii="Palatino Linotype" w:hAnsi="Palatino Linotype"/>
        </w:rPr>
        <w:t xml:space="preserve">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w:t>
      </w:r>
      <w:r w:rsidRPr="00896524">
        <w:rPr>
          <w:rFonts w:ascii="Palatino Linotype" w:hAnsi="Palatino Linotype"/>
          <w:i/>
          <w:iCs/>
        </w:rPr>
        <w:t>principio de finalidad</w:t>
      </w:r>
      <w:r w:rsidRPr="00896524">
        <w:rPr>
          <w:rFonts w:ascii="Palatino Linotype" w:hAnsi="Palatino Linotype"/>
        </w:rPr>
        <w:t>).</w:t>
      </w:r>
    </w:p>
    <w:p w14:paraId="4EB95AAE" w14:textId="77777777" w:rsidR="00896524" w:rsidRPr="00896524" w:rsidRDefault="00896524" w:rsidP="00896524">
      <w:pPr>
        <w:spacing w:before="240" w:after="240" w:line="360" w:lineRule="auto"/>
        <w:contextualSpacing/>
        <w:jc w:val="both"/>
        <w:rPr>
          <w:rFonts w:ascii="Palatino Linotype" w:hAnsi="Palatino Linotype"/>
        </w:rPr>
      </w:pPr>
    </w:p>
    <w:p w14:paraId="37D89409" w14:textId="77777777" w:rsidR="00896524" w:rsidRPr="00896524" w:rsidRDefault="00896524" w:rsidP="00896524">
      <w:pPr>
        <w:spacing w:before="240" w:after="240" w:line="360" w:lineRule="auto"/>
        <w:contextualSpacing/>
        <w:jc w:val="both"/>
        <w:rPr>
          <w:rFonts w:ascii="Palatino Linotype" w:hAnsi="Palatino Linotype"/>
        </w:rPr>
      </w:pPr>
      <w:r w:rsidRPr="00896524">
        <w:rPr>
          <w:rFonts w:ascii="Palatino Linotype" w:hAnsi="Palatino Linotype"/>
        </w:rPr>
        <w:t xml:space="preserve">Así,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w:t>
      </w:r>
      <w:r w:rsidRPr="00896524">
        <w:rPr>
          <w:rFonts w:ascii="Palatino Linotype" w:hAnsi="Palatino Linotype"/>
        </w:rPr>
        <w:lastRenderedPageBreak/>
        <w:t>relacionada con otra permita hacer identificable a una persona, es un dato personal, susceptible de ser clasificado.</w:t>
      </w:r>
    </w:p>
    <w:p w14:paraId="0AB3FA69" w14:textId="77777777" w:rsidR="00896524" w:rsidRPr="00896524" w:rsidRDefault="00896524" w:rsidP="00896524">
      <w:pPr>
        <w:spacing w:before="240" w:after="240" w:line="360" w:lineRule="auto"/>
        <w:contextualSpacing/>
        <w:jc w:val="both"/>
        <w:rPr>
          <w:rFonts w:ascii="Palatino Linotype" w:hAnsi="Palatino Linotype"/>
        </w:rPr>
      </w:pPr>
    </w:p>
    <w:p w14:paraId="359A3928" w14:textId="77777777" w:rsidR="00896524" w:rsidRPr="00896524" w:rsidRDefault="00896524" w:rsidP="00896524">
      <w:pPr>
        <w:spacing w:before="240" w:after="240" w:line="360" w:lineRule="auto"/>
        <w:contextualSpacing/>
        <w:jc w:val="both"/>
        <w:rPr>
          <w:rFonts w:ascii="Palatino Linotype" w:hAnsi="Palatino Linotype"/>
        </w:rPr>
      </w:pPr>
      <w:r w:rsidRPr="00896524">
        <w:rPr>
          <w:rFonts w:ascii="Palatino Linotype" w:hAnsi="Palatino Linotype"/>
        </w:rPr>
        <w:t xml:space="preserve">En este contexto, la confidencialidad de los datos personales, tiene por objetivo establecer el límite del derecho de acceso a la información a partir del derecho a la intimidad y la vida privada de los individuos. </w:t>
      </w:r>
    </w:p>
    <w:p w14:paraId="788F710B" w14:textId="77777777" w:rsidR="00896524" w:rsidRPr="00896524" w:rsidRDefault="00896524" w:rsidP="00896524">
      <w:pPr>
        <w:spacing w:before="240" w:after="240" w:line="360" w:lineRule="auto"/>
        <w:contextualSpacing/>
        <w:jc w:val="both"/>
        <w:rPr>
          <w:rFonts w:ascii="Palatino Linotype" w:hAnsi="Palatino Linotype"/>
        </w:rPr>
      </w:pPr>
    </w:p>
    <w:p w14:paraId="31F0B812" w14:textId="77777777" w:rsidR="00896524" w:rsidRPr="00896524" w:rsidRDefault="00896524" w:rsidP="00896524">
      <w:pPr>
        <w:spacing w:before="240" w:after="240" w:line="360" w:lineRule="auto"/>
        <w:contextualSpacing/>
        <w:jc w:val="both"/>
        <w:rPr>
          <w:rFonts w:ascii="Palatino Linotype" w:hAnsi="Palatino Linotype"/>
        </w:rPr>
      </w:pPr>
      <w:r w:rsidRPr="00896524">
        <w:rPr>
          <w:rFonts w:ascii="Palatino Linotype" w:hAnsi="Palatino Linotype"/>
        </w:rPr>
        <w:t>De tal suerte, las instituciones públicas tienen la doble responsabilidad, por un lado, de proteger los datos personales y por otro, darle publicidad aquella información de relevancia que sea de interés público.</w:t>
      </w:r>
    </w:p>
    <w:p w14:paraId="7AD254CA" w14:textId="77777777" w:rsidR="00896524" w:rsidRPr="00896524" w:rsidRDefault="00896524" w:rsidP="00896524">
      <w:pPr>
        <w:spacing w:before="240" w:after="240" w:line="360" w:lineRule="auto"/>
        <w:contextualSpacing/>
        <w:jc w:val="both"/>
        <w:rPr>
          <w:rFonts w:ascii="Palatino Linotype" w:hAnsi="Palatino Linotype"/>
        </w:rPr>
      </w:pPr>
    </w:p>
    <w:p w14:paraId="720BC9CF" w14:textId="4E4058D8" w:rsidR="00896524" w:rsidRPr="00896524" w:rsidRDefault="00896524" w:rsidP="00896524">
      <w:pPr>
        <w:spacing w:before="240" w:after="240" w:line="360" w:lineRule="auto"/>
        <w:contextualSpacing/>
        <w:jc w:val="both"/>
        <w:rPr>
          <w:rFonts w:ascii="Palatino Linotype" w:hAnsi="Palatino Linotype"/>
        </w:rPr>
      </w:pPr>
      <w:r w:rsidRPr="00896524">
        <w:rPr>
          <w:rFonts w:ascii="Palatino Linotype" w:hAnsi="Palatino Linotype"/>
        </w:rPr>
        <w:t>En este orden de ideas, toda la información que transparente la gestión pública, favorezca la rendición de cuentas y contribuya a la democratización del Estado Mexicano es, sin excepción, de naturaleza pública; sin embargo, la información esta necesariamente vinculada con datos personales, l</w:t>
      </w:r>
      <w:r w:rsidR="000529E0">
        <w:rPr>
          <w:rFonts w:ascii="Palatino Linotype" w:hAnsi="Palatino Linotype"/>
        </w:rPr>
        <w:t>os cuales deben ser protegidos.</w:t>
      </w:r>
    </w:p>
    <w:p w14:paraId="4987018E" w14:textId="77777777" w:rsidR="000529E0" w:rsidRDefault="000529E0" w:rsidP="00896524">
      <w:pPr>
        <w:spacing w:before="240" w:after="240" w:line="360" w:lineRule="auto"/>
        <w:contextualSpacing/>
        <w:jc w:val="both"/>
        <w:rPr>
          <w:rFonts w:ascii="Palatino Linotype" w:hAnsi="Palatino Linotype"/>
        </w:rPr>
      </w:pPr>
    </w:p>
    <w:p w14:paraId="34AC8F23" w14:textId="5B536FAA" w:rsidR="00896524" w:rsidRPr="00896524" w:rsidRDefault="000529E0" w:rsidP="00896524">
      <w:pPr>
        <w:spacing w:before="240" w:after="240" w:line="360" w:lineRule="auto"/>
        <w:contextualSpacing/>
        <w:jc w:val="both"/>
        <w:rPr>
          <w:rFonts w:ascii="Palatino Linotype" w:hAnsi="Palatino Linotype"/>
        </w:rPr>
      </w:pPr>
      <w:r>
        <w:rPr>
          <w:rFonts w:ascii="Palatino Linotype" w:hAnsi="Palatino Linotype"/>
        </w:rPr>
        <w:t>Por otro lado</w:t>
      </w:r>
      <w:r w:rsidR="00896524" w:rsidRPr="00896524">
        <w:rPr>
          <w:rFonts w:ascii="Palatino Linotype" w:hAnsi="Palatino Linotype"/>
        </w:rPr>
        <w:t>,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5AFBFFCA" w14:textId="77777777" w:rsidR="00896524" w:rsidRPr="00896524" w:rsidRDefault="00896524" w:rsidP="00896524">
      <w:pPr>
        <w:spacing w:before="240" w:after="240" w:line="360" w:lineRule="auto"/>
        <w:jc w:val="both"/>
        <w:rPr>
          <w:rFonts w:ascii="Palatino Linotype" w:eastAsia="Calibri" w:hAnsi="Palatino Linotype" w:cs="Tahoma"/>
          <w:iCs/>
          <w:sz w:val="22"/>
          <w:szCs w:val="22"/>
          <w:lang w:eastAsia="es-ES_tradnl"/>
        </w:rPr>
      </w:pPr>
    </w:p>
    <w:p w14:paraId="1090CC91" w14:textId="77777777" w:rsidR="00896524" w:rsidRPr="00896524" w:rsidRDefault="00896524" w:rsidP="00896524">
      <w:pPr>
        <w:spacing w:before="240" w:after="240" w:line="360" w:lineRule="auto"/>
        <w:jc w:val="both"/>
        <w:rPr>
          <w:rFonts w:ascii="Palatino Linotype" w:eastAsia="Calibri" w:hAnsi="Palatino Linotype" w:cs="Tahoma"/>
          <w:iCs/>
          <w:lang w:eastAsia="es-ES_tradnl"/>
        </w:rPr>
      </w:pPr>
      <w:r w:rsidRPr="00896524">
        <w:rPr>
          <w:rFonts w:ascii="Palatino Linotype" w:eastAsia="Calibri" w:hAnsi="Palatino Linotype" w:cs="Tahoma"/>
          <w:iCs/>
          <w:lang w:eastAsia="es-ES_tradnl"/>
        </w:rPr>
        <w:lastRenderedPageBreak/>
        <w:t>En tales circunstancias, se considera que en la especie proporcionar el nombre, cargo y área de adscripción de los Servidores Públicos absueltos</w:t>
      </w:r>
      <w:r w:rsidRPr="00896524">
        <w:rPr>
          <w:rFonts w:ascii="Palatino Linotype" w:eastAsia="Calibri" w:hAnsi="Palatino Linotype" w:cs="Tahoma"/>
          <w:bCs/>
          <w:iCs/>
          <w:lang w:eastAsia="es-ES_tradnl"/>
        </w:rPr>
        <w:t>,</w:t>
      </w:r>
      <w:r w:rsidRPr="00896524">
        <w:rPr>
          <w:rFonts w:ascii="Palatino Linotype" w:eastAsia="Calibri" w:hAnsi="Palatino Linotype" w:cs="Tahoma"/>
          <w:b/>
          <w:iCs/>
          <w:lang w:eastAsia="es-ES_tradnl"/>
        </w:rPr>
        <w:t xml:space="preserve"> </w:t>
      </w:r>
      <w:r w:rsidRPr="00896524">
        <w:rPr>
          <w:rFonts w:ascii="Palatino Linotype" w:eastAsia="Calibri" w:hAnsi="Palatino Linotype" w:cs="Tahoma"/>
          <w:iCs/>
          <w:lang w:eastAsia="es-ES_tradnl"/>
        </w:rPr>
        <w:t>en caso de que existieran, podría afectar su honor, buen nombre y su imagen.</w:t>
      </w:r>
    </w:p>
    <w:p w14:paraId="1E048489" w14:textId="77777777" w:rsidR="00896524" w:rsidRPr="00896524" w:rsidRDefault="00896524" w:rsidP="00896524">
      <w:pPr>
        <w:spacing w:before="240" w:after="240" w:line="360" w:lineRule="auto"/>
        <w:jc w:val="both"/>
        <w:rPr>
          <w:rFonts w:ascii="Palatino Linotype" w:hAnsi="Palatino Linotype"/>
        </w:rPr>
      </w:pPr>
      <w:r w:rsidRPr="00896524">
        <w:rPr>
          <w:rFonts w:ascii="Palatino Linotype" w:hAnsi="Palatino Linotype"/>
        </w:rPr>
        <w:t>Al respecto, la Suprema Corte de Justicia de la Nación ha reconocido como derechos fundamentales de las personas, el derecho a la intimidad y a la propia imagen, en el siguiente criterio:</w:t>
      </w:r>
    </w:p>
    <w:p w14:paraId="2E5D358A" w14:textId="77777777" w:rsidR="00896524" w:rsidRPr="00896524" w:rsidRDefault="00896524" w:rsidP="00896524">
      <w:pPr>
        <w:ind w:left="851" w:right="851"/>
        <w:contextualSpacing/>
        <w:jc w:val="both"/>
        <w:rPr>
          <w:rFonts w:ascii="Palatino Linotype" w:eastAsia="Calibri" w:hAnsi="Palatino Linotype" w:cs="Arial"/>
          <w:b/>
          <w:i/>
          <w:sz w:val="22"/>
          <w:szCs w:val="22"/>
          <w:lang w:eastAsia="es-MX"/>
        </w:rPr>
      </w:pPr>
      <w:r w:rsidRPr="00896524">
        <w:rPr>
          <w:rFonts w:ascii="Palatino Linotype" w:eastAsia="Calibri" w:hAnsi="Palatino Linotype" w:cs="Arial"/>
          <w:bCs/>
          <w:i/>
          <w:sz w:val="22"/>
          <w:szCs w:val="22"/>
          <w:lang w:eastAsia="es-MX"/>
        </w:rPr>
        <w:t>“</w:t>
      </w:r>
      <w:r w:rsidRPr="00896524">
        <w:rPr>
          <w:rFonts w:ascii="Palatino Linotype" w:eastAsia="Calibri" w:hAnsi="Palatino Linotype" w:cs="Arial"/>
          <w:b/>
          <w:bCs/>
          <w:i/>
          <w:sz w:val="22"/>
          <w:szCs w:val="22"/>
          <w:lang w:eastAsia="es-MX"/>
        </w:rPr>
        <w:t xml:space="preserve">DERECHOS A LA INTIMIDAD, PROPIA IMAGEN, IDENTIDAD PERSONAL Y SEXUAL. CONSTITUYEN DERECHOS DE DEFENSA Y GARANTÍA ESENCIAL PARA LA CONDICIÓN HUMANA.  </w:t>
      </w:r>
      <w:r w:rsidRPr="00896524">
        <w:rPr>
          <w:rFonts w:ascii="Palatino Linotype" w:eastAsia="Calibri" w:hAnsi="Palatino Linotype" w:cs="Arial"/>
          <w:i/>
          <w:sz w:val="22"/>
          <w:szCs w:val="22"/>
          <w:lang w:eastAsia="es-MX"/>
        </w:rPr>
        <w:t xml:space="preserve">Dentro de los derechos personalísimos se encuentran necesariamente comprendidos el </w:t>
      </w:r>
      <w:r w:rsidRPr="00896524">
        <w:rPr>
          <w:rFonts w:ascii="Palatino Linotype" w:eastAsia="Calibri" w:hAnsi="Palatino Linotype" w:cs="Arial"/>
          <w:b/>
          <w:i/>
          <w:sz w:val="22"/>
          <w:szCs w:val="22"/>
          <w:lang w:eastAsia="es-MX"/>
        </w:rPr>
        <w:t>derecho a la intimidad y a la propia imagen</w:t>
      </w:r>
      <w:r w:rsidRPr="00896524">
        <w:rPr>
          <w:rFonts w:ascii="Palatino Linotype" w:eastAsia="Calibri" w:hAnsi="Palatino Linotype" w:cs="Arial"/>
          <w:i/>
          <w:sz w:val="22"/>
          <w:szCs w:val="22"/>
          <w:lang w:eastAsia="es-MX"/>
        </w:rPr>
        <w:t xml:space="preserve">, así como a la </w:t>
      </w:r>
      <w:r w:rsidRPr="00896524">
        <w:rPr>
          <w:rFonts w:ascii="Palatino Linotype" w:eastAsia="Calibri" w:hAnsi="Palatino Linotype" w:cs="Arial"/>
          <w:b/>
          <w:i/>
          <w:sz w:val="22"/>
          <w:szCs w:val="22"/>
          <w:lang w:eastAsia="es-MX"/>
        </w:rPr>
        <w:t>identidad personal</w:t>
      </w:r>
      <w:r w:rsidRPr="00896524">
        <w:rPr>
          <w:rFonts w:ascii="Palatino Linotype" w:eastAsia="Calibri" w:hAnsi="Palatino Linotype" w:cs="Arial"/>
          <w:i/>
          <w:sz w:val="22"/>
          <w:szCs w:val="22"/>
          <w:lang w:eastAsia="es-MX"/>
        </w:rPr>
        <w:t xml:space="preserve"> y sexual; entendiéndose por el primero, </w:t>
      </w:r>
      <w:r w:rsidRPr="00896524">
        <w:rPr>
          <w:rFonts w:ascii="Palatino Linotype" w:eastAsia="Calibri" w:hAnsi="Palatino Linotype" w:cs="Arial"/>
          <w:b/>
          <w:i/>
          <w:sz w:val="22"/>
          <w:szCs w:val="22"/>
          <w:lang w:eastAsia="es-MX"/>
        </w:rPr>
        <w:t>el derecho del individuo a no ser conocido por otros en ciertos aspectos de su vida</w:t>
      </w:r>
      <w:r w:rsidRPr="00896524">
        <w:rPr>
          <w:rFonts w:ascii="Palatino Linotype" w:eastAsia="Calibri" w:hAnsi="Palatino Linotype" w:cs="Arial"/>
          <w:i/>
          <w:sz w:val="22"/>
          <w:szCs w:val="22"/>
          <w:lang w:eastAsia="es-MX"/>
        </w:rPr>
        <w:t xml:space="preserve"> y, </w:t>
      </w:r>
      <w:r w:rsidRPr="00896524">
        <w:rPr>
          <w:rFonts w:ascii="Palatino Linotype" w:eastAsia="Calibri" w:hAnsi="Palatino Linotype" w:cs="Arial"/>
          <w:b/>
          <w:i/>
          <w:sz w:val="22"/>
          <w:szCs w:val="22"/>
          <w:lang w:eastAsia="es-MX"/>
        </w:rPr>
        <w:t>por ende, el poder de decisión sobre la publicidad o información de datos relativos a su persona</w:t>
      </w:r>
      <w:r w:rsidRPr="00896524">
        <w:rPr>
          <w:rFonts w:ascii="Palatino Linotype" w:eastAsia="Calibri" w:hAnsi="Palatino Linotype" w:cs="Arial"/>
          <w:i/>
          <w:sz w:val="22"/>
          <w:szCs w:val="22"/>
          <w:lang w:eastAsia="es-MX"/>
        </w:rPr>
        <w:t>, familia, pensamientos o sentimientos;</w:t>
      </w:r>
      <w:r w:rsidRPr="00896524">
        <w:rPr>
          <w:rFonts w:ascii="Palatino Linotype" w:eastAsia="Calibri" w:hAnsi="Palatino Linotype" w:cs="Arial"/>
          <w:b/>
          <w:i/>
          <w:sz w:val="22"/>
          <w:szCs w:val="22"/>
          <w:lang w:eastAsia="es-MX"/>
        </w:rPr>
        <w:t xml:space="preserve"> </w:t>
      </w:r>
      <w:r w:rsidRPr="00896524">
        <w:rPr>
          <w:rFonts w:ascii="Palatino Linotype" w:eastAsia="Calibri" w:hAnsi="Palatino Linotype" w:cs="Arial"/>
          <w:i/>
          <w:sz w:val="22"/>
          <w:szCs w:val="22"/>
          <w:lang w:eastAsia="es-MX"/>
        </w:rPr>
        <w:t xml:space="preserve">a la </w:t>
      </w:r>
      <w:r w:rsidRPr="00896524">
        <w:rPr>
          <w:rFonts w:ascii="Palatino Linotype" w:eastAsia="Calibri" w:hAnsi="Palatino Linotype" w:cs="Arial"/>
          <w:b/>
          <w:i/>
          <w:sz w:val="22"/>
          <w:szCs w:val="22"/>
          <w:lang w:eastAsia="es-MX"/>
        </w:rPr>
        <w:t>propia imagen, como aquel derecho de decidir, en forma libre, sobre la manera en que elige mostrarse frente a los demás</w:t>
      </w:r>
      <w:r w:rsidRPr="00896524">
        <w:rPr>
          <w:rFonts w:ascii="Palatino Linotype" w:eastAsia="Calibri" w:hAnsi="Palatino Linotype" w:cs="Arial"/>
          <w:i/>
          <w:sz w:val="22"/>
          <w:szCs w:val="22"/>
          <w:lang w:eastAsia="es-MX"/>
        </w:rPr>
        <w:t xml:space="preserve">; a la identidad personal, entendida como el derecho de todo individuo a ser uno mismo, en la propia conciencia y en la opinión de los demás, es decir, es la forma en que se ve a sí mismo y se proyecta en la sociedad, de acuerdo con sus caracteres físicos e internos y sus acciones, que lo individualizan ante la sociedad y permiten identificarlo; y que implica, por tanto, la identidad sexual, al ser la manera en que cada individuo se proyecta frente a sí y ante la sociedad desde su perspectiva sexual, no sólo en cuanto a sus preferencias sexuales sino, primordialmente, en cuanto a cómo se percibe él, con base en sus sentimientos y convicciones más profundos de pertenencia o no al sexo que legalmente le fue asignado al nacer y que, de acuerdo a ese ajuste personalísimo en el desarrollo de cada individuo, proyectará su vida en todos los ámbitos, privado y público, por lo que al ser la sexualidad un elemento esencial de la persona y de su psique, la autodeterminación sexual forma parte de ese ámbito propio y reservado de lo íntimo, la parte de la vida que se desea mantener fuera del alcance de terceros o del conocimiento público. Por consiguiente, </w:t>
      </w:r>
      <w:r w:rsidRPr="00896524">
        <w:rPr>
          <w:rFonts w:ascii="Palatino Linotype" w:eastAsia="Calibri" w:hAnsi="Palatino Linotype" w:cs="Arial"/>
          <w:b/>
          <w:i/>
          <w:sz w:val="22"/>
          <w:szCs w:val="22"/>
          <w:lang w:eastAsia="es-MX"/>
        </w:rPr>
        <w:t xml:space="preserve">al constituir derechos inherentes a la persona, fuera de la injerencia de los demás, se configuran como derechos de defensa y garantía esencial para la condición humana, ya que pueden reclamarse tanto en defensa de la intimidad violada o amenazada, </w:t>
      </w:r>
      <w:r w:rsidRPr="00896524">
        <w:rPr>
          <w:rFonts w:ascii="Palatino Linotype" w:eastAsia="Calibri" w:hAnsi="Palatino Linotype" w:cs="Arial"/>
          <w:b/>
          <w:i/>
          <w:sz w:val="22"/>
          <w:szCs w:val="22"/>
          <w:lang w:eastAsia="es-MX"/>
        </w:rPr>
        <w:lastRenderedPageBreak/>
        <w:t>como exigir del Estado que prevenga la existencia de eventuales intromisiones que los lesionen por lo que, si bien no son absolutos, sólo por ley podrá justificarse su intromisión, siempre que medie un interés superior.</w:t>
      </w:r>
      <w:r w:rsidRPr="00896524">
        <w:rPr>
          <w:rFonts w:ascii="Palatino Linotype" w:eastAsia="Calibri" w:hAnsi="Palatino Linotype" w:cs="Arial"/>
          <w:i/>
          <w:sz w:val="22"/>
          <w:szCs w:val="22"/>
          <w:lang w:eastAsia="es-MX"/>
        </w:rPr>
        <w:t>”</w:t>
      </w:r>
    </w:p>
    <w:p w14:paraId="48DBCAB2" w14:textId="77777777" w:rsidR="00896524" w:rsidRPr="00896524" w:rsidRDefault="00896524" w:rsidP="00896524">
      <w:pPr>
        <w:spacing w:line="360" w:lineRule="auto"/>
        <w:jc w:val="both"/>
        <w:rPr>
          <w:rFonts w:ascii="Palatino Linotype" w:hAnsi="Palatino Linotype"/>
          <w:sz w:val="22"/>
          <w:szCs w:val="22"/>
        </w:rPr>
      </w:pPr>
      <w:r w:rsidRPr="00896524">
        <w:rPr>
          <w:rFonts w:ascii="Palatino Linotype" w:hAnsi="Palatino Linotype"/>
          <w:sz w:val="22"/>
          <w:szCs w:val="22"/>
        </w:rPr>
        <w:t xml:space="preserve"> </w:t>
      </w:r>
    </w:p>
    <w:p w14:paraId="32FBE728" w14:textId="77777777" w:rsidR="00896524" w:rsidRPr="00896524" w:rsidRDefault="00896524" w:rsidP="00896524">
      <w:pPr>
        <w:spacing w:before="240" w:after="240" w:line="360" w:lineRule="auto"/>
        <w:jc w:val="both"/>
        <w:rPr>
          <w:rFonts w:ascii="Palatino Linotype" w:hAnsi="Palatino Linotype"/>
        </w:rPr>
      </w:pPr>
      <w:r w:rsidRPr="00896524">
        <w:rPr>
          <w:rFonts w:ascii="Palatino Linotype" w:hAnsi="Palatino Linotype"/>
        </w:rPr>
        <w:t>En ese sentido, es derecho de todo individuo a no ser conocido por otros en ciertos aspectos de su vida y, por ende, el poder de decisión sobre la publicidad o información de datos relativos a su persona (</w:t>
      </w:r>
      <w:r w:rsidRPr="00896524">
        <w:rPr>
          <w:rFonts w:ascii="Palatino Linotype" w:hAnsi="Palatino Linotype"/>
          <w:i/>
          <w:iCs/>
        </w:rPr>
        <w:t>derecho a la intimidad</w:t>
      </w:r>
      <w:r w:rsidRPr="00896524">
        <w:rPr>
          <w:rFonts w:ascii="Palatino Linotype" w:hAnsi="Palatino Linotype"/>
        </w:rPr>
        <w:t>).</w:t>
      </w:r>
    </w:p>
    <w:p w14:paraId="04DFB0DE" w14:textId="77777777" w:rsidR="00896524" w:rsidRPr="00896524" w:rsidRDefault="00896524" w:rsidP="00896524">
      <w:pPr>
        <w:spacing w:before="240" w:after="240" w:line="360" w:lineRule="auto"/>
        <w:jc w:val="both"/>
        <w:rPr>
          <w:rFonts w:ascii="Palatino Linotype" w:hAnsi="Palatino Linotype"/>
        </w:rPr>
      </w:pPr>
      <w:r w:rsidRPr="00896524">
        <w:rPr>
          <w:rFonts w:ascii="Palatino Linotype" w:hAnsi="Palatino Linotype"/>
        </w:rPr>
        <w:t>Asimismo, el derecho a la propia imagen es el derecho de decidir, de forma libre, sobre la manera en que elige mostrarse frente a los demás.</w:t>
      </w:r>
    </w:p>
    <w:p w14:paraId="1490E521" w14:textId="77777777" w:rsidR="00896524" w:rsidRPr="00896524" w:rsidRDefault="00896524" w:rsidP="00896524">
      <w:pPr>
        <w:spacing w:before="240" w:after="240" w:line="360" w:lineRule="auto"/>
        <w:jc w:val="both"/>
        <w:rPr>
          <w:rFonts w:ascii="Palatino Linotype" w:hAnsi="Palatino Linotype"/>
        </w:rPr>
      </w:pPr>
      <w:r w:rsidRPr="00896524">
        <w:rPr>
          <w:rFonts w:ascii="Palatino Linotype" w:hAnsi="Palatino Linotype" w:cs="Arial"/>
          <w:bCs/>
          <w:iCs/>
        </w:rPr>
        <w:t xml:space="preserve">Por otro lado, en cuanto al derecho al honor, </w:t>
      </w:r>
      <w:r w:rsidRPr="00896524">
        <w:rPr>
          <w:rFonts w:ascii="Palatino Linotype" w:hAnsi="Palatino Linotype"/>
        </w:rPr>
        <w:t xml:space="preserve">la jurisprudencia número 1a./J. 118/2013 (10a.), emitida por la Primera Sala de la Suprema Corte de Justicia de la Nación, publicada en la Gaceta del Semanario Judicial de la Federación, Tomo I, Libro 3, de febrero de 2014, página 470, de la Décima Época, materia constitucional, dispone: </w:t>
      </w:r>
    </w:p>
    <w:p w14:paraId="15B2EA79" w14:textId="77777777" w:rsidR="00896524" w:rsidRPr="00896524" w:rsidRDefault="00896524" w:rsidP="00896524">
      <w:pPr>
        <w:autoSpaceDE w:val="0"/>
        <w:autoSpaceDN w:val="0"/>
        <w:adjustRightInd w:val="0"/>
        <w:ind w:left="851" w:right="851"/>
        <w:contextualSpacing/>
        <w:jc w:val="both"/>
        <w:rPr>
          <w:rFonts w:ascii="Palatino Linotype" w:eastAsia="Batang" w:hAnsi="Palatino Linotype" w:cs="Arial"/>
          <w:b/>
          <w:i/>
          <w:sz w:val="22"/>
          <w:szCs w:val="22"/>
        </w:rPr>
      </w:pPr>
      <w:r w:rsidRPr="00896524">
        <w:rPr>
          <w:rFonts w:ascii="Palatino Linotype" w:eastAsia="Batang" w:hAnsi="Palatino Linotype" w:cs="Arial"/>
          <w:i/>
          <w:sz w:val="22"/>
          <w:szCs w:val="22"/>
        </w:rPr>
        <w:t>“</w:t>
      </w:r>
      <w:r w:rsidRPr="00896524">
        <w:rPr>
          <w:rFonts w:ascii="Palatino Linotype" w:eastAsia="Batang" w:hAnsi="Palatino Linotype" w:cs="Arial"/>
          <w:b/>
          <w:i/>
          <w:sz w:val="22"/>
          <w:szCs w:val="22"/>
        </w:rPr>
        <w:t xml:space="preserve">DERECHO FUNDAMENTAL AL HONOR. SU DIMENSIÓN SUBJETIVA Y OBJETIVA. </w:t>
      </w:r>
      <w:r w:rsidRPr="00896524">
        <w:rPr>
          <w:rFonts w:ascii="Palatino Linotype" w:eastAsia="Batang" w:hAnsi="Palatino Linotype" w:cs="Arial"/>
          <w:i/>
          <w:sz w:val="22"/>
          <w:szCs w:val="22"/>
        </w:rPr>
        <w:t xml:space="preserve">A juicio de esta Primera Sala de la Suprema Corte de Justicia de la Nación, es posible definir al honor como el </w:t>
      </w:r>
      <w:r w:rsidRPr="00896524">
        <w:rPr>
          <w:rFonts w:ascii="Palatino Linotype" w:eastAsia="Batang" w:hAnsi="Palatino Linotype" w:cs="Arial"/>
          <w:b/>
          <w:i/>
          <w:sz w:val="22"/>
          <w:szCs w:val="22"/>
        </w:rPr>
        <w:t>concepto que la persona tiene de sí misma o que los demás se han formado de ella, en virtud de su proceder o de la expresión de su calidad ética y social.</w:t>
      </w:r>
      <w:r w:rsidRPr="00896524">
        <w:rPr>
          <w:rFonts w:ascii="Palatino Linotype" w:eastAsia="Batang" w:hAnsi="Palatino Linotype" w:cs="Arial"/>
          <w:i/>
          <w:sz w:val="22"/>
          <w:szCs w:val="22"/>
        </w:rPr>
        <w:t xml:space="preserve"> Todo individuo, al vivir en sociedad, tiene el derecho de ser respetado y considerado y, correlativamente, tiene la obligación de respetar a aquellos que lo rodean. En el campo jurídico esta necesidad se traduce en un derecho que involucra la facultad que tiene cada individuo de pedir que se le trate en forma decorosa y la obligación de los demás de responder a este tratamiento. Por lo general, existen dos formas de sentir y entender el honor: a) en el aspecto subjetivo o ético, el honor se basa en un sentimiento íntimo que se exterioriza por la afirmación que la persona hace de su propia dignidad; y b) en el aspecto objetivo, externo o social, como la estimación interpersonal que la persona tiene por sus cualidades morales y profesionales dentro de la comunidad. En el aspecto subjetivo, el honor es lesionado por todo aquello que lastima el sentimiento de la propia dignidad. En el aspecto objetivo, el </w:t>
      </w:r>
      <w:r w:rsidRPr="00896524">
        <w:rPr>
          <w:rFonts w:ascii="Palatino Linotype" w:eastAsia="Batang" w:hAnsi="Palatino Linotype" w:cs="Arial"/>
          <w:i/>
          <w:sz w:val="22"/>
          <w:szCs w:val="22"/>
        </w:rPr>
        <w:lastRenderedPageBreak/>
        <w:t>honor es lesionado por todo aquello que afecta a la reputación que la persona merece, es decir, el derecho a que otros no condicionen negativamente la opinión que los demás hayan de formarse de nosotros.”</w:t>
      </w:r>
    </w:p>
    <w:p w14:paraId="0BD9E260" w14:textId="77777777" w:rsidR="00896524" w:rsidRPr="00896524" w:rsidRDefault="00896524" w:rsidP="00896524">
      <w:pPr>
        <w:autoSpaceDE w:val="0"/>
        <w:autoSpaceDN w:val="0"/>
        <w:adjustRightInd w:val="0"/>
        <w:contextualSpacing/>
        <w:jc w:val="both"/>
        <w:rPr>
          <w:rFonts w:ascii="Palatino Linotype" w:eastAsia="Batang" w:hAnsi="Palatino Linotype" w:cs="Arial"/>
          <w:bCs/>
          <w:iCs/>
          <w:sz w:val="22"/>
          <w:szCs w:val="22"/>
        </w:rPr>
      </w:pPr>
    </w:p>
    <w:p w14:paraId="40CE3C1D" w14:textId="77777777" w:rsidR="00896524" w:rsidRPr="00896524" w:rsidRDefault="00896524" w:rsidP="00896524">
      <w:pPr>
        <w:autoSpaceDE w:val="0"/>
        <w:autoSpaceDN w:val="0"/>
        <w:adjustRightInd w:val="0"/>
        <w:spacing w:line="360" w:lineRule="auto"/>
        <w:jc w:val="both"/>
        <w:rPr>
          <w:rFonts w:ascii="Palatino Linotype" w:eastAsia="Batang" w:hAnsi="Palatino Linotype" w:cs="Arial"/>
        </w:rPr>
      </w:pPr>
      <w:r w:rsidRPr="00896524">
        <w:rPr>
          <w:rFonts w:ascii="Palatino Linotype" w:eastAsia="Batang" w:hAnsi="Palatino Linotype" w:cs="Arial"/>
          <w:bCs/>
          <w:iCs/>
        </w:rPr>
        <w:t xml:space="preserve">De la tesis transcrita se desprende que </w:t>
      </w:r>
      <w:r w:rsidRPr="00896524">
        <w:rPr>
          <w:rFonts w:ascii="Palatino Linotype" w:eastAsia="Batang" w:hAnsi="Palatino Linotype" w:cs="Arial"/>
        </w:rPr>
        <w:t xml:space="preserve">el honor es el concepto que la persona tiene de sí misma o que los demás se han formado de ella, en virtud de su proceder o de la expresión de su calidad ética y social. </w:t>
      </w:r>
    </w:p>
    <w:p w14:paraId="42E50A10" w14:textId="77777777" w:rsidR="00896524" w:rsidRPr="00896524" w:rsidRDefault="00896524" w:rsidP="00896524">
      <w:pPr>
        <w:autoSpaceDE w:val="0"/>
        <w:autoSpaceDN w:val="0"/>
        <w:adjustRightInd w:val="0"/>
        <w:spacing w:line="360" w:lineRule="auto"/>
        <w:jc w:val="both"/>
        <w:rPr>
          <w:rFonts w:ascii="Palatino Linotype" w:eastAsia="Batang" w:hAnsi="Palatino Linotype" w:cs="Arial"/>
        </w:rPr>
      </w:pPr>
    </w:p>
    <w:p w14:paraId="67BFE65F" w14:textId="77777777" w:rsidR="00896524" w:rsidRPr="00896524" w:rsidRDefault="00896524" w:rsidP="00896524">
      <w:pPr>
        <w:autoSpaceDE w:val="0"/>
        <w:autoSpaceDN w:val="0"/>
        <w:adjustRightInd w:val="0"/>
        <w:spacing w:line="360" w:lineRule="auto"/>
        <w:jc w:val="both"/>
        <w:rPr>
          <w:rFonts w:ascii="Palatino Linotype" w:eastAsia="Batang" w:hAnsi="Palatino Linotype" w:cs="Arial"/>
        </w:rPr>
      </w:pPr>
      <w:r w:rsidRPr="00896524">
        <w:rPr>
          <w:rFonts w:ascii="Palatino Linotype" w:eastAsia="Batang" w:hAnsi="Palatino Linotype" w:cs="Arial"/>
        </w:rPr>
        <w:t>En el campo jurídico, es un derecho humano que involucra la facultad de cada individuo de ser tratado de forma decorosa. Este derecho tiene dos elementos, el subjetivo, que se basa en un sentimiento íntimo que se exterioriza por la afirmación que la persona hace de su propia dignidad, y en un sentimiento objetivo, que es la estimación interpersonal que la persona tiene por sus cualidades morales y profesionales dentro de la comunidad. En el aspecto subjetivo, el honor es lesionado por todo aquello que lastima el sentimiento de la propia dignidad. En el aspecto objetivo, el honor es lesionado por todo aquello que afecta a la reputación que la persona merece.</w:t>
      </w:r>
    </w:p>
    <w:p w14:paraId="47F5AD31" w14:textId="77777777" w:rsidR="00896524" w:rsidRPr="00896524" w:rsidRDefault="00896524" w:rsidP="00896524">
      <w:pPr>
        <w:autoSpaceDE w:val="0"/>
        <w:autoSpaceDN w:val="0"/>
        <w:adjustRightInd w:val="0"/>
        <w:spacing w:line="360" w:lineRule="auto"/>
        <w:jc w:val="both"/>
        <w:rPr>
          <w:rFonts w:ascii="Palatino Linotype" w:eastAsia="Batang" w:hAnsi="Palatino Linotype" w:cs="Arial"/>
        </w:rPr>
      </w:pPr>
    </w:p>
    <w:p w14:paraId="3702131C" w14:textId="77777777" w:rsidR="00896524" w:rsidRPr="00896524" w:rsidRDefault="00896524" w:rsidP="00896524">
      <w:pPr>
        <w:spacing w:line="360" w:lineRule="auto"/>
        <w:jc w:val="both"/>
        <w:rPr>
          <w:rFonts w:ascii="Palatino Linotype" w:hAnsi="Palatino Linotype"/>
        </w:rPr>
      </w:pPr>
      <w:r w:rsidRPr="00896524">
        <w:rPr>
          <w:rFonts w:ascii="Palatino Linotype" w:hAnsi="Palatino Linotype"/>
        </w:rPr>
        <w:t>Adicionalmente, en relación a este derecho [</w:t>
      </w:r>
      <w:r w:rsidRPr="00896524">
        <w:rPr>
          <w:rFonts w:ascii="Palatino Linotype" w:hAnsi="Palatino Linotype"/>
          <w:i/>
          <w:iCs/>
        </w:rPr>
        <w:t>al honor</w:t>
      </w:r>
      <w:r w:rsidRPr="00896524">
        <w:rPr>
          <w:rFonts w:ascii="Palatino Linotype" w:hAnsi="Palatino Linotype"/>
        </w:rPr>
        <w:t>], el máximo tribual también ha señalado que aunque no esté expresamente contenido en la Carta Magna, ésta obliga su tutela en términos de lo previsto en el artículo 1° Constitucional, como se muestra en la tesis aislada número I.5o.C.4 K (10a.), emitida por Tribunales Colegiados de Circuito, publicada en el Semanario Judicial de la Federación y su Gaceta, Tomo 2, Libro XXI, de junio de 2013, página 1258, de la Décima Época, materia constitucional, de rubro y texto siguiente:</w:t>
      </w:r>
    </w:p>
    <w:p w14:paraId="65A3D8A2" w14:textId="77777777" w:rsidR="00896524" w:rsidRPr="00896524" w:rsidRDefault="00896524" w:rsidP="00896524">
      <w:pPr>
        <w:spacing w:line="360" w:lineRule="auto"/>
        <w:jc w:val="both"/>
        <w:rPr>
          <w:rFonts w:ascii="Palatino Linotype" w:hAnsi="Palatino Linotype"/>
          <w:sz w:val="22"/>
          <w:szCs w:val="22"/>
        </w:rPr>
      </w:pPr>
    </w:p>
    <w:p w14:paraId="59BAB948" w14:textId="77777777" w:rsidR="00896524" w:rsidRPr="00896524" w:rsidRDefault="00896524" w:rsidP="00896524">
      <w:pPr>
        <w:tabs>
          <w:tab w:val="left" w:pos="8363"/>
        </w:tabs>
        <w:ind w:left="851" w:right="851"/>
        <w:contextualSpacing/>
        <w:jc w:val="both"/>
        <w:rPr>
          <w:rFonts w:ascii="Palatino Linotype" w:hAnsi="Palatino Linotype"/>
          <w:b/>
          <w:i/>
          <w:sz w:val="22"/>
          <w:szCs w:val="22"/>
        </w:rPr>
      </w:pPr>
      <w:r w:rsidRPr="00896524">
        <w:rPr>
          <w:rFonts w:ascii="Palatino Linotype" w:hAnsi="Palatino Linotype"/>
          <w:i/>
          <w:sz w:val="22"/>
          <w:szCs w:val="22"/>
        </w:rPr>
        <w:lastRenderedPageBreak/>
        <w:t>“</w:t>
      </w:r>
      <w:r w:rsidRPr="00896524">
        <w:rPr>
          <w:rFonts w:ascii="Palatino Linotype" w:hAnsi="Palatino Linotype"/>
          <w:b/>
          <w:i/>
          <w:sz w:val="22"/>
          <w:szCs w:val="22"/>
        </w:rPr>
        <w:t xml:space="preserve">DERECHOS AL HONOR, A LA INTIMIDAD Y A LA PROPIA IMAGEN. CONSTITUYEN DERECHOS HUMANOS QUE SE PROTEGEN A TRAVÉS DEL ACTUAL MARCO CONSTITUCIONAL. </w:t>
      </w:r>
      <w:r w:rsidRPr="00896524">
        <w:rPr>
          <w:rFonts w:ascii="Palatino Linotype" w:hAnsi="Palatino Linotype"/>
          <w:i/>
          <w:sz w:val="22"/>
          <w:szCs w:val="22"/>
        </w:rPr>
        <w:t xml:space="preserve">Si conforme a las características que conforman a los derechos humanos, éstos no recaen sobre cosas materiales, sino que otorgan acción para lograr que el Estado respete los derechos garantizados, y se consideran esenciales e inherentes al ser humano y derivados de su propia naturaleza, resulta lógico que los atributos de la personalidad se enlacen directamente con tales derechos, pues los mencionados atributos tienen una coincidencia con las libertades protegidas por los derechos del hombre como son los concernientes al honor, a la intimidad y a la propia imagen que constituyen derechos subjetivos del ser humano, en tanto que son inseparables de su titular, quien nace con ellos, y el Estado debe reconocerlos. Como no recaen sobre bienes materiales, sino sobre la personalidad de los individuos, son generales porque corresponden a todos los seres humanos, y no pueden considerarse renunciables, transmisibles o prescriptibles, porque son inherentes a la persona misma, es decir, son intrínsecos al sujeto quien no puede vivir sin ellos. Ahora, del contenido expreso del artículo 1o. constitucional se advierte que nuestro país actualmente adopta una protección amplia de los derechos humanos, mediante el reconocimiento claro del principio pro </w:t>
      </w:r>
      <w:proofErr w:type="spellStart"/>
      <w:r w:rsidRPr="00896524">
        <w:rPr>
          <w:rFonts w:ascii="Palatino Linotype" w:hAnsi="Palatino Linotype"/>
          <w:i/>
          <w:sz w:val="22"/>
          <w:szCs w:val="22"/>
        </w:rPr>
        <w:t>personae</w:t>
      </w:r>
      <w:proofErr w:type="spellEnd"/>
      <w:r w:rsidRPr="00896524">
        <w:rPr>
          <w:rFonts w:ascii="Palatino Linotype" w:hAnsi="Palatino Linotype"/>
          <w:i/>
          <w:sz w:val="22"/>
          <w:szCs w:val="22"/>
        </w:rPr>
        <w:t>, como rector de la interpretación y aplicación de las normas jurídicas, en aquellas que favorezcan y brinden mayor protección a las personas, aunado a que también precisa de manera clara la obligación de observar los tratados internacionales firmados por el Estado Mexicano al momento de aplicar e interpretar las normas jurídicas en las que se vea involucrado este tipo de derechos, como son los señalados atributos de la personalidad conforme a la Convención Americana sobre Derechos Humanos y el Pacto Internacional de Derechos Civiles y Políticos, y en casos en los que se involucra la posible afectación por daño moral de un atributo de la personalidad -en su vertiente del derecho al honor- debe aplicarse la tutela y protección consagrada en los principios reconocidos al efecto en nuestra Carta Magna, con independencia de que no exista una referencia expresa en el texto constitucional hacia la salvaguarda concreta del citado atributo, pues la obligación de protección deriva de disposiciones contenidas en dos tipos de ordenamientos superiores -Constitución y tratados internacionales- con los que cuenta el Estado Mexicano.”(Sic)</w:t>
      </w:r>
    </w:p>
    <w:p w14:paraId="6B62F7B7" w14:textId="77777777" w:rsidR="00896524" w:rsidRPr="00896524" w:rsidRDefault="00896524" w:rsidP="00896524">
      <w:pPr>
        <w:autoSpaceDE w:val="0"/>
        <w:autoSpaceDN w:val="0"/>
        <w:adjustRightInd w:val="0"/>
        <w:spacing w:line="360" w:lineRule="auto"/>
        <w:jc w:val="both"/>
        <w:rPr>
          <w:rFonts w:ascii="Palatino Linotype" w:eastAsia="Batang" w:hAnsi="Palatino Linotype" w:cs="Arial"/>
          <w:sz w:val="22"/>
          <w:szCs w:val="22"/>
        </w:rPr>
      </w:pPr>
    </w:p>
    <w:p w14:paraId="4EC60B49" w14:textId="77777777" w:rsidR="00896524" w:rsidRPr="00896524" w:rsidRDefault="00896524" w:rsidP="00896524">
      <w:pPr>
        <w:autoSpaceDE w:val="0"/>
        <w:autoSpaceDN w:val="0"/>
        <w:adjustRightInd w:val="0"/>
        <w:spacing w:line="360" w:lineRule="auto"/>
        <w:jc w:val="both"/>
        <w:rPr>
          <w:rFonts w:ascii="Palatino Linotype" w:eastAsia="Batang" w:hAnsi="Palatino Linotype" w:cs="Arial"/>
        </w:rPr>
      </w:pPr>
      <w:r w:rsidRPr="00896524">
        <w:rPr>
          <w:rFonts w:ascii="Palatino Linotype" w:eastAsia="Batang" w:hAnsi="Palatino Linotype" w:cs="Arial"/>
        </w:rPr>
        <w:t>Asimismo, el artículo 12 de la Declaración Universal de los Derechos Humanos</w:t>
      </w:r>
      <w:r w:rsidRPr="00896524">
        <w:rPr>
          <w:rFonts w:ascii="Palatino Linotype" w:eastAsia="Batang" w:hAnsi="Palatino Linotype" w:cs="Arial"/>
          <w:i/>
        </w:rPr>
        <w:t xml:space="preserve"> </w:t>
      </w:r>
      <w:r w:rsidRPr="00896524">
        <w:rPr>
          <w:rFonts w:ascii="Palatino Linotype" w:eastAsia="Batang" w:hAnsi="Palatino Linotype" w:cs="Arial"/>
        </w:rPr>
        <w:t xml:space="preserve">prevé que nadie será objeto de injerencias arbitrarias en su vida privada, su familia, </w:t>
      </w:r>
      <w:r w:rsidRPr="00896524">
        <w:rPr>
          <w:rFonts w:ascii="Palatino Linotype" w:eastAsia="Batang" w:hAnsi="Palatino Linotype" w:cs="Arial"/>
        </w:rPr>
        <w:lastRenderedPageBreak/>
        <w:t>su domicilio o su correspondencia, ni de ataques a su honra o a su reputación. Toda persona tiene derecho a la protección de la ley contra tales injerencias o ataques.</w:t>
      </w:r>
    </w:p>
    <w:p w14:paraId="1EABC743" w14:textId="77777777" w:rsidR="00896524" w:rsidRPr="00896524" w:rsidRDefault="00896524" w:rsidP="00896524">
      <w:pPr>
        <w:autoSpaceDE w:val="0"/>
        <w:autoSpaceDN w:val="0"/>
        <w:adjustRightInd w:val="0"/>
        <w:spacing w:line="360" w:lineRule="auto"/>
        <w:jc w:val="both"/>
        <w:rPr>
          <w:rFonts w:ascii="Palatino Linotype" w:eastAsia="Batang" w:hAnsi="Palatino Linotype" w:cs="Arial"/>
        </w:rPr>
      </w:pPr>
    </w:p>
    <w:p w14:paraId="3F0823B7" w14:textId="77777777" w:rsidR="00896524" w:rsidRPr="00896524" w:rsidRDefault="00896524" w:rsidP="00896524">
      <w:pPr>
        <w:autoSpaceDE w:val="0"/>
        <w:autoSpaceDN w:val="0"/>
        <w:adjustRightInd w:val="0"/>
        <w:spacing w:line="360" w:lineRule="auto"/>
        <w:jc w:val="both"/>
        <w:rPr>
          <w:rFonts w:ascii="Palatino Linotype" w:eastAsia="Batang" w:hAnsi="Palatino Linotype" w:cs="Arial"/>
        </w:rPr>
      </w:pPr>
      <w:r w:rsidRPr="00896524">
        <w:rPr>
          <w:rFonts w:ascii="Palatino Linotype" w:eastAsia="Batang" w:hAnsi="Palatino Linotype" w:cs="Arial"/>
        </w:rPr>
        <w:t>De igual manera, la Convención Americana sobre los Derechos Humanos, en su artículo 11, establece que toda persona tiene derecho al respeto de su honra y al reconocimiento de su dignidad; que nadie puede ser objeto de injerencias arbitrarias o abusivas en su vida privada, en la de su familia, en su domicilio o en su correspondencia, ni de ataques ilegales a su honra o reputación; y que toda persona tiene derecho a la protección de la ley contra esas injerencias o esos ataques.</w:t>
      </w:r>
    </w:p>
    <w:p w14:paraId="364EFD2C" w14:textId="77777777" w:rsidR="00896524" w:rsidRPr="00896524" w:rsidRDefault="00896524" w:rsidP="00896524">
      <w:pPr>
        <w:autoSpaceDE w:val="0"/>
        <w:autoSpaceDN w:val="0"/>
        <w:adjustRightInd w:val="0"/>
        <w:spacing w:line="360" w:lineRule="auto"/>
        <w:jc w:val="both"/>
        <w:rPr>
          <w:rFonts w:ascii="Palatino Linotype" w:eastAsia="Batang" w:hAnsi="Palatino Linotype" w:cs="Arial"/>
        </w:rPr>
      </w:pPr>
    </w:p>
    <w:p w14:paraId="0F5344B9" w14:textId="77777777" w:rsidR="00896524" w:rsidRPr="00896524" w:rsidRDefault="00896524" w:rsidP="00896524">
      <w:pPr>
        <w:autoSpaceDE w:val="0"/>
        <w:autoSpaceDN w:val="0"/>
        <w:adjustRightInd w:val="0"/>
        <w:spacing w:line="360" w:lineRule="auto"/>
        <w:jc w:val="both"/>
        <w:rPr>
          <w:rFonts w:ascii="Palatino Linotype" w:eastAsia="Batang" w:hAnsi="Palatino Linotype" w:cs="Arial"/>
        </w:rPr>
      </w:pPr>
      <w:r w:rsidRPr="00896524">
        <w:rPr>
          <w:rFonts w:ascii="Palatino Linotype" w:eastAsia="Batang" w:hAnsi="Palatino Linotype" w:cs="Arial"/>
        </w:rPr>
        <w:t>Finalmente, el artículo 17 del Pacto Internacional de los Derechos Civiles y Políticos señala que nadie será objeto de injerencias arbitrarias o ilegales en su vida privada, su familia, su domicilio o su correspondencia, ni de ataques ilegales a su honra y reputación; y que toda persona tiene derecho a la protección de la ley contra esas injerencias o esos ataques.</w:t>
      </w:r>
    </w:p>
    <w:p w14:paraId="0880287B" w14:textId="77777777" w:rsidR="00896524" w:rsidRPr="00896524" w:rsidRDefault="00896524" w:rsidP="00896524">
      <w:pPr>
        <w:autoSpaceDE w:val="0"/>
        <w:autoSpaceDN w:val="0"/>
        <w:adjustRightInd w:val="0"/>
        <w:spacing w:line="360" w:lineRule="auto"/>
        <w:jc w:val="both"/>
        <w:rPr>
          <w:rFonts w:ascii="Palatino Linotype" w:eastAsia="Batang" w:hAnsi="Palatino Linotype" w:cs="Arial"/>
        </w:rPr>
      </w:pPr>
    </w:p>
    <w:p w14:paraId="379D9DCC" w14:textId="18CDE7A9" w:rsidR="00896524" w:rsidRPr="00896524" w:rsidRDefault="00896524" w:rsidP="00896524">
      <w:pPr>
        <w:autoSpaceDE w:val="0"/>
        <w:autoSpaceDN w:val="0"/>
        <w:adjustRightInd w:val="0"/>
        <w:spacing w:line="360" w:lineRule="auto"/>
        <w:jc w:val="both"/>
        <w:rPr>
          <w:rFonts w:ascii="Palatino Linotype" w:hAnsi="Palatino Linotype" w:cs="Arial"/>
        </w:rPr>
      </w:pPr>
      <w:r w:rsidRPr="00896524">
        <w:rPr>
          <w:rFonts w:ascii="Palatino Linotype" w:hAnsi="Palatino Linotype" w:cs="Arial"/>
        </w:rPr>
        <w:t>Por lo expuesto, s</w:t>
      </w:r>
      <w:r w:rsidR="00641B92">
        <w:rPr>
          <w:rFonts w:ascii="Palatino Linotype" w:hAnsi="Palatino Linotype" w:cs="Arial"/>
        </w:rPr>
        <w:t>e desprende que dar a conocer los</w:t>
      </w:r>
      <w:r w:rsidRPr="00896524">
        <w:rPr>
          <w:rFonts w:ascii="Palatino Linotype" w:hAnsi="Palatino Linotype" w:cs="Arial"/>
        </w:rPr>
        <w:t xml:space="preserve"> nombre</w:t>
      </w:r>
      <w:r w:rsidR="00641B92">
        <w:rPr>
          <w:rFonts w:ascii="Palatino Linotype" w:hAnsi="Palatino Linotype" w:cs="Arial"/>
        </w:rPr>
        <w:t>s</w:t>
      </w:r>
      <w:r w:rsidRPr="00896524">
        <w:rPr>
          <w:rFonts w:ascii="Palatino Linotype" w:hAnsi="Palatino Linotype" w:cs="Arial"/>
        </w:rPr>
        <w:t>, cargo</w:t>
      </w:r>
      <w:r w:rsidR="00641B92">
        <w:rPr>
          <w:rFonts w:ascii="Palatino Linotype" w:hAnsi="Palatino Linotype" w:cs="Arial"/>
        </w:rPr>
        <w:t>s</w:t>
      </w:r>
      <w:r w:rsidRPr="00896524">
        <w:rPr>
          <w:rFonts w:ascii="Palatino Linotype" w:hAnsi="Palatino Linotype" w:cs="Arial"/>
        </w:rPr>
        <w:t xml:space="preserve"> y área</w:t>
      </w:r>
      <w:r w:rsidR="00641B92">
        <w:rPr>
          <w:rFonts w:ascii="Palatino Linotype" w:hAnsi="Palatino Linotype" w:cs="Arial"/>
        </w:rPr>
        <w:t>s de adscripción de los</w:t>
      </w:r>
      <w:r w:rsidRPr="00896524">
        <w:rPr>
          <w:rFonts w:ascii="Palatino Linotype" w:hAnsi="Palatino Linotype" w:cs="Arial"/>
        </w:rPr>
        <w:t xml:space="preserve"> servidor</w:t>
      </w:r>
      <w:r w:rsidR="00641B92">
        <w:rPr>
          <w:rFonts w:ascii="Palatino Linotype" w:hAnsi="Palatino Linotype" w:cs="Arial"/>
        </w:rPr>
        <w:t>es</w:t>
      </w:r>
      <w:r w:rsidRPr="00896524">
        <w:rPr>
          <w:rFonts w:ascii="Palatino Linotype" w:hAnsi="Palatino Linotype" w:cs="Arial"/>
        </w:rPr>
        <w:t xml:space="preserve"> público</w:t>
      </w:r>
      <w:r w:rsidR="00641B92">
        <w:rPr>
          <w:rFonts w:ascii="Palatino Linotype" w:hAnsi="Palatino Linotype" w:cs="Arial"/>
        </w:rPr>
        <w:t>s</w:t>
      </w:r>
      <w:r w:rsidRPr="00896524">
        <w:rPr>
          <w:rFonts w:ascii="Palatino Linotype" w:hAnsi="Palatino Linotype" w:cs="Arial"/>
        </w:rPr>
        <w:t>, absuelto</w:t>
      </w:r>
      <w:r w:rsidR="00641B92">
        <w:rPr>
          <w:rFonts w:ascii="Palatino Linotype" w:hAnsi="Palatino Linotype" w:cs="Arial"/>
        </w:rPr>
        <w:t>s</w:t>
      </w:r>
      <w:r w:rsidRPr="00896524">
        <w:rPr>
          <w:rFonts w:ascii="Palatino Linotype" w:hAnsi="Palatino Linotype" w:cs="Arial"/>
        </w:rPr>
        <w:t>, en su caso que existan, constituye</w:t>
      </w:r>
      <w:r w:rsidR="00641B92">
        <w:rPr>
          <w:rFonts w:ascii="Palatino Linotype" w:hAnsi="Palatino Linotype" w:cs="Arial"/>
        </w:rPr>
        <w:t>n</w:t>
      </w:r>
      <w:r w:rsidRPr="00896524">
        <w:rPr>
          <w:rFonts w:ascii="Palatino Linotype" w:hAnsi="Palatino Linotype" w:cs="Arial"/>
        </w:rPr>
        <w:t xml:space="preserve"> información confidencial que afecta su esfera privada, puesto que podría generar una percepción negativa de éste, ocasionando un perjuicio en su honor, intimidad y buena imagen, pues como se precisó la afectación es para el propio servidor público, situación que no afecta a terceros.</w:t>
      </w:r>
    </w:p>
    <w:p w14:paraId="34BB6DE8" w14:textId="77777777" w:rsidR="00896524" w:rsidRPr="00896524" w:rsidRDefault="00896524" w:rsidP="00896524">
      <w:pPr>
        <w:autoSpaceDE w:val="0"/>
        <w:autoSpaceDN w:val="0"/>
        <w:adjustRightInd w:val="0"/>
        <w:spacing w:line="360" w:lineRule="auto"/>
        <w:jc w:val="both"/>
        <w:rPr>
          <w:rFonts w:ascii="Palatino Linotype" w:hAnsi="Palatino Linotype" w:cs="Arial"/>
          <w:sz w:val="22"/>
          <w:szCs w:val="22"/>
        </w:rPr>
      </w:pPr>
    </w:p>
    <w:p w14:paraId="04A01FD9" w14:textId="415C1276" w:rsidR="00896524" w:rsidRDefault="00641B92" w:rsidP="00BC57B0">
      <w:pPr>
        <w:autoSpaceDE w:val="0"/>
        <w:autoSpaceDN w:val="0"/>
        <w:adjustRightInd w:val="0"/>
        <w:spacing w:line="360" w:lineRule="auto"/>
        <w:jc w:val="both"/>
        <w:rPr>
          <w:rFonts w:ascii="Palatino Linotype" w:hAnsi="Palatino Linotype" w:cs="Arial"/>
        </w:rPr>
      </w:pPr>
      <w:r>
        <w:rPr>
          <w:rFonts w:ascii="Palatino Linotype" w:hAnsi="Palatino Linotype" w:cs="Arial"/>
        </w:rPr>
        <w:lastRenderedPageBreak/>
        <w:t>Asimismo</w:t>
      </w:r>
      <w:r w:rsidR="00896524" w:rsidRPr="00896524">
        <w:rPr>
          <w:rFonts w:ascii="Palatino Linotype" w:hAnsi="Palatino Linotype" w:cs="Arial"/>
        </w:rPr>
        <w:t>, dar a conocer el nombre y cargo del servidor público que no haya recibido una sanción por una supuesta responsabilidad que no se comprobó, la cual no cau</w:t>
      </w:r>
      <w:r>
        <w:rPr>
          <w:rFonts w:ascii="Palatino Linotype" w:hAnsi="Palatino Linotype" w:cs="Arial"/>
        </w:rPr>
        <w:t xml:space="preserve">sa una afectación a otros, </w:t>
      </w:r>
      <w:r w:rsidR="00896524" w:rsidRPr="00896524">
        <w:rPr>
          <w:rFonts w:ascii="Palatino Linotype" w:hAnsi="Palatino Linotype" w:cs="Arial"/>
        </w:rPr>
        <w:t xml:space="preserve">como se precisó en párrafos anteriores, podría generar un juicio </w:t>
      </w:r>
      <w:r w:rsidR="00896524" w:rsidRPr="00896524">
        <w:rPr>
          <w:rFonts w:ascii="Palatino Linotype" w:hAnsi="Palatino Linotype" w:cs="Arial"/>
          <w:i/>
        </w:rPr>
        <w:t>a priori</w:t>
      </w:r>
      <w:r w:rsidR="00896524" w:rsidRPr="00896524">
        <w:rPr>
          <w:rFonts w:ascii="Palatino Linotype" w:hAnsi="Palatino Linotype" w:cs="Arial"/>
        </w:rPr>
        <w:t xml:space="preserve"> por parte de la sociedad, afectando su prestigio y su buen nombre, pues la sociedad podría calificar </w:t>
      </w:r>
      <w:r w:rsidR="000529E0">
        <w:rPr>
          <w:rFonts w:ascii="Palatino Linotype" w:hAnsi="Palatino Linotype" w:cs="Arial"/>
        </w:rPr>
        <w:t xml:space="preserve">de manera negativa </w:t>
      </w:r>
      <w:r w:rsidR="00896524" w:rsidRPr="00896524">
        <w:rPr>
          <w:rFonts w:ascii="Palatino Linotype" w:hAnsi="Palatino Linotype" w:cs="Arial"/>
        </w:rPr>
        <w:t>a dicho ser</w:t>
      </w:r>
      <w:r w:rsidR="000529E0">
        <w:rPr>
          <w:rFonts w:ascii="Palatino Linotype" w:hAnsi="Palatino Linotype" w:cs="Arial"/>
        </w:rPr>
        <w:t xml:space="preserve">vidor público, </w:t>
      </w:r>
      <w:r w:rsidR="00896524" w:rsidRPr="00896524">
        <w:rPr>
          <w:rFonts w:ascii="Palatino Linotype" w:hAnsi="Palatino Linotype" w:cs="Arial"/>
        </w:rPr>
        <w:t xml:space="preserve">o </w:t>
      </w:r>
      <w:r w:rsidR="000529E0">
        <w:rPr>
          <w:rFonts w:ascii="Palatino Linotype" w:hAnsi="Palatino Linotype" w:cs="Arial"/>
        </w:rPr>
        <w:t xml:space="preserve">hacerlo sujeto a </w:t>
      </w:r>
      <w:r>
        <w:rPr>
          <w:rFonts w:ascii="Palatino Linotype" w:hAnsi="Palatino Linotype" w:cs="Arial"/>
        </w:rPr>
        <w:t xml:space="preserve">ofensas, lo cual daña su </w:t>
      </w:r>
      <w:r w:rsidR="00896524" w:rsidRPr="00896524">
        <w:rPr>
          <w:rFonts w:ascii="Palatino Linotype" w:hAnsi="Palatino Linotype" w:cs="Arial"/>
        </w:rPr>
        <w:t>vida privada y profesional, mismas que forman parte de su intimidad; por lo que se concluye que dicha información, en caso que existiera, tie</w:t>
      </w:r>
      <w:r w:rsidR="00BC57B0">
        <w:rPr>
          <w:rFonts w:ascii="Palatino Linotype" w:hAnsi="Palatino Linotype" w:cs="Arial"/>
        </w:rPr>
        <w:t>ne el carácter de confidencial.</w:t>
      </w:r>
    </w:p>
    <w:p w14:paraId="0ABA9FF0" w14:textId="77777777" w:rsidR="008007B0" w:rsidRDefault="008007B0" w:rsidP="00BC57B0">
      <w:pPr>
        <w:autoSpaceDE w:val="0"/>
        <w:autoSpaceDN w:val="0"/>
        <w:adjustRightInd w:val="0"/>
        <w:spacing w:line="360" w:lineRule="auto"/>
        <w:jc w:val="both"/>
        <w:rPr>
          <w:rFonts w:ascii="Palatino Linotype" w:hAnsi="Palatino Linotype" w:cs="Arial"/>
        </w:rPr>
      </w:pPr>
    </w:p>
    <w:p w14:paraId="349666FF" w14:textId="16669EE7" w:rsidR="008007B0" w:rsidRDefault="008007B0" w:rsidP="00BC57B0">
      <w:pPr>
        <w:autoSpaceDE w:val="0"/>
        <w:autoSpaceDN w:val="0"/>
        <w:adjustRightInd w:val="0"/>
        <w:spacing w:line="360" w:lineRule="auto"/>
        <w:jc w:val="both"/>
        <w:rPr>
          <w:rFonts w:ascii="Palatino Linotype" w:hAnsi="Palatino Linotype"/>
          <w:szCs w:val="22"/>
        </w:rPr>
      </w:pPr>
      <w:r>
        <w:rPr>
          <w:rFonts w:ascii="Palatino Linotype" w:hAnsi="Palatino Linotype" w:cs="Arial"/>
        </w:rPr>
        <w:t xml:space="preserve">Ahora bien, por cuanto hace al punto mediante el cual, el Recurrente solicita </w:t>
      </w:r>
      <w:r w:rsidRPr="00254116">
        <w:rPr>
          <w:rFonts w:ascii="Palatino Linotype" w:hAnsi="Palatino Linotype"/>
          <w:i/>
          <w:sz w:val="22"/>
          <w:szCs w:val="22"/>
        </w:rPr>
        <w:t xml:space="preserve">Los Procedimientos de </w:t>
      </w:r>
      <w:proofErr w:type="spellStart"/>
      <w:r w:rsidRPr="00254116">
        <w:rPr>
          <w:rFonts w:ascii="Palatino Linotype" w:hAnsi="Palatino Linotype"/>
          <w:i/>
          <w:sz w:val="22"/>
          <w:szCs w:val="22"/>
        </w:rPr>
        <w:t>Responabilidad</w:t>
      </w:r>
      <w:proofErr w:type="spellEnd"/>
      <w:r w:rsidRPr="00254116">
        <w:rPr>
          <w:rFonts w:ascii="Palatino Linotype" w:hAnsi="Palatino Linotype"/>
          <w:i/>
          <w:sz w:val="22"/>
          <w:szCs w:val="22"/>
        </w:rPr>
        <w:t xml:space="preserve"> Administrativa que tienen de Alfonso </w:t>
      </w:r>
      <w:proofErr w:type="spellStart"/>
      <w:r w:rsidRPr="00254116">
        <w:rPr>
          <w:rFonts w:ascii="Palatino Linotype" w:hAnsi="Palatino Linotype"/>
          <w:i/>
          <w:sz w:val="22"/>
          <w:szCs w:val="22"/>
        </w:rPr>
        <w:t>Lopez</w:t>
      </w:r>
      <w:proofErr w:type="spellEnd"/>
      <w:r w:rsidRPr="00254116">
        <w:rPr>
          <w:rFonts w:ascii="Palatino Linotype" w:hAnsi="Palatino Linotype"/>
          <w:i/>
          <w:sz w:val="22"/>
          <w:szCs w:val="22"/>
        </w:rPr>
        <w:t xml:space="preserve"> </w:t>
      </w:r>
      <w:proofErr w:type="spellStart"/>
      <w:r w:rsidRPr="00254116">
        <w:rPr>
          <w:rFonts w:ascii="Palatino Linotype" w:hAnsi="Palatino Linotype"/>
          <w:i/>
          <w:sz w:val="22"/>
          <w:szCs w:val="22"/>
        </w:rPr>
        <w:t>Abundis</w:t>
      </w:r>
      <w:proofErr w:type="spellEnd"/>
      <w:r>
        <w:rPr>
          <w:rFonts w:ascii="Palatino Linotype" w:hAnsi="Palatino Linotype"/>
          <w:i/>
          <w:sz w:val="22"/>
          <w:szCs w:val="22"/>
        </w:rPr>
        <w:t xml:space="preserve">” </w:t>
      </w:r>
      <w:r>
        <w:rPr>
          <w:rFonts w:ascii="Palatino Linotype" w:hAnsi="Palatino Linotype"/>
          <w:szCs w:val="22"/>
        </w:rPr>
        <w:t>debe apuntarse que al no tener certeza este Órgano Garante de la naturaleza de los procedimientos administrativos del servidor público en referencia, el Sujeto Obligado deberá entregar esta información únicamente si se tratan de procedimientos de responsabilidad administrativa</w:t>
      </w:r>
      <w:r w:rsidR="00452CC9">
        <w:rPr>
          <w:rFonts w:ascii="Palatino Linotype" w:hAnsi="Palatino Linotype"/>
          <w:szCs w:val="22"/>
        </w:rPr>
        <w:t xml:space="preserve"> por faltas graves concluidas condenatorias</w:t>
      </w:r>
      <w:r>
        <w:rPr>
          <w:rFonts w:ascii="Palatino Linotype" w:hAnsi="Palatino Linotype"/>
          <w:szCs w:val="22"/>
        </w:rPr>
        <w:t>, así como las graves que se encuentren en trámite observando las excepciones previstas por la normatividad para su entrega, esto en versión p</w:t>
      </w:r>
      <w:r w:rsidR="00452CC9">
        <w:rPr>
          <w:rFonts w:ascii="Palatino Linotype" w:hAnsi="Palatino Linotype"/>
          <w:szCs w:val="22"/>
        </w:rPr>
        <w:t>ública, no obstante, si lo requerido encuadra en cualquier otro supuesto de los abordados con anterioridad, el Sujeto Obligado deberá estarse a lo señalado en líneas argumentativas anteriores, esto sin emitir pronunciamiento respecto a la existencia de algún procedimi</w:t>
      </w:r>
      <w:r w:rsidR="00EE659F">
        <w:rPr>
          <w:rFonts w:ascii="Palatino Linotype" w:hAnsi="Palatino Linotype"/>
          <w:szCs w:val="22"/>
        </w:rPr>
        <w:t>ento administrativo que actualice</w:t>
      </w:r>
      <w:r w:rsidR="00452CC9">
        <w:rPr>
          <w:rFonts w:ascii="Palatino Linotype" w:hAnsi="Palatino Linotype"/>
          <w:szCs w:val="22"/>
        </w:rPr>
        <w:t xml:space="preserve"> los supuestos previamente abordados.</w:t>
      </w:r>
    </w:p>
    <w:p w14:paraId="4D78FD47" w14:textId="77777777" w:rsidR="008007B0" w:rsidRPr="008007B0" w:rsidRDefault="008007B0" w:rsidP="00BC57B0">
      <w:pPr>
        <w:autoSpaceDE w:val="0"/>
        <w:autoSpaceDN w:val="0"/>
        <w:adjustRightInd w:val="0"/>
        <w:spacing w:line="360" w:lineRule="auto"/>
        <w:jc w:val="both"/>
        <w:rPr>
          <w:rFonts w:ascii="Palatino Linotype" w:hAnsi="Palatino Linotype" w:cs="Arial"/>
        </w:rPr>
      </w:pPr>
    </w:p>
    <w:p w14:paraId="357CFC31" w14:textId="421A662F" w:rsidR="00C23E53" w:rsidRPr="00DD7845" w:rsidRDefault="00C23E53" w:rsidP="00DD7845">
      <w:pPr>
        <w:spacing w:line="360" w:lineRule="auto"/>
        <w:jc w:val="both"/>
        <w:rPr>
          <w:rFonts w:ascii="Palatino Linotype" w:hAnsi="Palatino Linotype" w:cs="Arial"/>
          <w:b/>
          <w:lang w:val="es-MX"/>
        </w:rPr>
      </w:pPr>
      <w:r>
        <w:rPr>
          <w:rFonts w:ascii="Palatino Linotype" w:hAnsi="Palatino Linotype"/>
          <w:color w:val="000000"/>
        </w:rPr>
        <w:lastRenderedPageBreak/>
        <w:t>Así, por</w:t>
      </w:r>
      <w:r w:rsidR="00DD7845" w:rsidRPr="001865EC">
        <w:rPr>
          <w:rFonts w:ascii="Palatino Linotype" w:hAnsi="Palatino Linotype"/>
          <w:color w:val="000000"/>
        </w:rPr>
        <w:t xml:space="preserve"> todo lo anteriormente expuesto, esta Ponencia </w:t>
      </w:r>
      <w:proofErr w:type="spellStart"/>
      <w:r w:rsidR="00DD7845" w:rsidRPr="001865EC">
        <w:rPr>
          <w:rFonts w:ascii="Palatino Linotype" w:hAnsi="Palatino Linotype"/>
          <w:color w:val="000000"/>
        </w:rPr>
        <w:t>Resolutora</w:t>
      </w:r>
      <w:proofErr w:type="spellEnd"/>
      <w:r w:rsidR="00DD7845" w:rsidRPr="001865EC">
        <w:rPr>
          <w:rFonts w:ascii="Palatino Linotype" w:hAnsi="Palatino Linotype"/>
          <w:color w:val="000000"/>
        </w:rPr>
        <w:t xml:space="preserve"> considera que el derecho de acceso a la información solamente puede tenerse por satisfecho en el momento en que el particular tenga en su poder los soportes documentales con la información solicitada, por ello se </w:t>
      </w:r>
      <w:r w:rsidR="00DD7845" w:rsidRPr="001865EC">
        <w:rPr>
          <w:rFonts w:ascii="Palatino Linotype" w:hAnsi="Palatino Linotype" w:cs="Arial"/>
          <w:color w:val="000000"/>
          <w:lang w:val="es-MX"/>
        </w:rPr>
        <w:t xml:space="preserve">determina ordenar al </w:t>
      </w:r>
      <w:r w:rsidR="00DD7845" w:rsidRPr="001865EC">
        <w:rPr>
          <w:rFonts w:ascii="Palatino Linotype" w:hAnsi="Palatino Linotype" w:cs="Arial"/>
          <w:b/>
          <w:color w:val="000000"/>
          <w:lang w:val="es-MX"/>
        </w:rPr>
        <w:t xml:space="preserve">Sujeto Obligado, </w:t>
      </w:r>
      <w:r w:rsidR="00DD7845" w:rsidRPr="001865EC">
        <w:rPr>
          <w:rFonts w:ascii="Palatino Linotype" w:hAnsi="Palatino Linotype" w:cs="Arial"/>
          <w:bCs/>
          <w:color w:val="000000"/>
          <w:lang w:val="es-MX"/>
        </w:rPr>
        <w:t xml:space="preserve">la </w:t>
      </w:r>
      <w:r w:rsidR="00DD7845" w:rsidRPr="001865EC">
        <w:rPr>
          <w:rFonts w:ascii="Palatino Linotype" w:hAnsi="Palatino Linotype" w:cs="Arial"/>
          <w:color w:val="000000"/>
          <w:lang w:val="es-MX"/>
        </w:rPr>
        <w:t xml:space="preserve">entrega </w:t>
      </w:r>
      <w:r w:rsidR="00281356">
        <w:rPr>
          <w:rFonts w:ascii="Palatino Linotype" w:hAnsi="Palatino Linotype" w:cs="Arial"/>
          <w:color w:val="000000"/>
          <w:lang w:val="es-MX"/>
        </w:rPr>
        <w:t xml:space="preserve">de la información </w:t>
      </w:r>
      <w:r w:rsidR="00DD7845" w:rsidRPr="001865EC">
        <w:rPr>
          <w:rFonts w:ascii="Palatino Linotype" w:hAnsi="Palatino Linotype" w:cs="Arial"/>
          <w:color w:val="000000"/>
          <w:lang w:val="es-MX"/>
        </w:rPr>
        <w:t xml:space="preserve">al </w:t>
      </w:r>
      <w:r w:rsidR="00DD7845" w:rsidRPr="001865EC">
        <w:rPr>
          <w:rFonts w:ascii="Palatino Linotype" w:hAnsi="Palatino Linotype" w:cs="Arial"/>
          <w:b/>
          <w:color w:val="000000"/>
          <w:lang w:val="es-MX"/>
        </w:rPr>
        <w:t xml:space="preserve">Recurrente, </w:t>
      </w:r>
      <w:r w:rsidR="00DD7845" w:rsidRPr="001865EC">
        <w:rPr>
          <w:rFonts w:ascii="Palatino Linotype" w:hAnsi="Palatino Linotype" w:cs="Arial"/>
          <w:color w:val="000000"/>
          <w:lang w:val="es-MX"/>
        </w:rPr>
        <w:t>de</w:t>
      </w:r>
      <w:r w:rsidR="00DD7845" w:rsidRPr="001865EC">
        <w:rPr>
          <w:rFonts w:ascii="Palatino Linotype" w:hAnsi="Palatino Linotype" w:cs="Arial"/>
          <w:lang w:val="es-MX"/>
        </w:rPr>
        <w:t xml:space="preserve"> ser procedente en </w:t>
      </w:r>
      <w:r w:rsidR="00DD7845" w:rsidRPr="001865EC">
        <w:rPr>
          <w:rFonts w:ascii="Palatino Linotype" w:hAnsi="Palatino Linotype" w:cs="Arial"/>
          <w:b/>
          <w:lang w:val="es-MX"/>
        </w:rPr>
        <w:t xml:space="preserve">versión pública, </w:t>
      </w:r>
      <w:r w:rsidR="00DD7845" w:rsidRPr="001865EC">
        <w:rPr>
          <w:rFonts w:ascii="Palatino Linotype" w:hAnsi="Palatino Linotype" w:cs="Arial"/>
          <w:lang w:val="es-MX"/>
        </w:rPr>
        <w:t>tal como se detallará en el considerando siguiente</w:t>
      </w:r>
      <w:r w:rsidR="00DD7845" w:rsidRPr="001865EC">
        <w:rPr>
          <w:rFonts w:ascii="Palatino Linotype" w:hAnsi="Palatino Linotype" w:cs="Arial"/>
          <w:b/>
          <w:lang w:val="es-MX"/>
        </w:rPr>
        <w:t>.</w:t>
      </w:r>
    </w:p>
    <w:p w14:paraId="1B6192F0" w14:textId="77777777" w:rsidR="00C04B32" w:rsidRPr="00C04B32" w:rsidRDefault="00C04B32" w:rsidP="00C04B32">
      <w:pPr>
        <w:spacing w:before="240" w:after="240" w:line="360" w:lineRule="auto"/>
        <w:jc w:val="both"/>
        <w:rPr>
          <w:lang w:val="es-MX"/>
        </w:rPr>
      </w:pPr>
      <w:r w:rsidRPr="00C04B32">
        <w:rPr>
          <w:rFonts w:ascii="Palatino Linotype" w:hAnsi="Palatino Linotype"/>
          <w:b/>
          <w:lang w:val="es-MX"/>
        </w:rPr>
        <w:t>Quinto. Versión Pública.</w:t>
      </w:r>
      <w:r w:rsidRPr="00C04B32">
        <w:rPr>
          <w:rFonts w:ascii="Palatino Linotype" w:hAnsi="Palatino Linotype" w:cs="Arial"/>
          <w:bCs/>
          <w:lang w:val="es-MX"/>
        </w:rPr>
        <w:t xml:space="preserve"> </w:t>
      </w:r>
      <w:r w:rsidRPr="00C04B32">
        <w:rPr>
          <w:rFonts w:ascii="Palatino Linotype" w:hAnsi="Palatino Linotype" w:cs="Arial"/>
          <w:lang w:val="es-MX"/>
        </w:rPr>
        <w:t xml:space="preserve">Para efectos de la elaboración de la versión pública se deberá observar lo dispuesto por los artículos 3 fracciones IX, XX, XXI y XLV, 91, 132 fracciones II y III, y 143 </w:t>
      </w:r>
      <w:proofErr w:type="gramStart"/>
      <w:r w:rsidRPr="00C04B32">
        <w:rPr>
          <w:rFonts w:ascii="Palatino Linotype" w:hAnsi="Palatino Linotype" w:cs="Arial"/>
          <w:lang w:val="es-MX"/>
        </w:rPr>
        <w:t>fracción</w:t>
      </w:r>
      <w:proofErr w:type="gramEnd"/>
      <w:r w:rsidRPr="00C04B32">
        <w:rPr>
          <w:rFonts w:ascii="Palatino Linotype" w:hAnsi="Palatino Linotype" w:cs="Arial"/>
          <w:lang w:val="es-MX"/>
        </w:rPr>
        <w:t xml:space="preserve"> I de la Ley de Transparencia y Acceso a la Información Pública del Estado de México y Municipios que establecen:</w:t>
      </w:r>
    </w:p>
    <w:p w14:paraId="094EB20B" w14:textId="77777777" w:rsidR="00C04B32" w:rsidRPr="00C04B32" w:rsidRDefault="00C04B32" w:rsidP="004E5E43">
      <w:pPr>
        <w:spacing w:before="120" w:after="120"/>
        <w:ind w:left="567" w:right="902"/>
        <w:jc w:val="both"/>
        <w:rPr>
          <w:rFonts w:ascii="Palatino Linotype" w:hAnsi="Palatino Linotype" w:cs="Arial"/>
          <w:i/>
          <w:sz w:val="22"/>
          <w:szCs w:val="20"/>
          <w:lang w:val="es-MX"/>
        </w:rPr>
      </w:pPr>
      <w:r w:rsidRPr="00C04B32">
        <w:rPr>
          <w:rFonts w:ascii="Palatino Linotype" w:hAnsi="Palatino Linotype" w:cs="Arial"/>
          <w:i/>
          <w:sz w:val="22"/>
          <w:szCs w:val="20"/>
          <w:lang w:val="es-MX"/>
        </w:rPr>
        <w:t>“</w:t>
      </w:r>
      <w:r w:rsidRPr="00C04B32">
        <w:rPr>
          <w:rFonts w:ascii="Palatino Linotype" w:hAnsi="Palatino Linotype" w:cs="Arial"/>
          <w:b/>
          <w:i/>
          <w:sz w:val="22"/>
          <w:szCs w:val="20"/>
          <w:lang w:val="es-MX"/>
        </w:rPr>
        <w:t>Artículo 3</w:t>
      </w:r>
      <w:r w:rsidRPr="00C04B32">
        <w:rPr>
          <w:rFonts w:ascii="Palatino Linotype" w:hAnsi="Palatino Linotype" w:cs="Arial"/>
          <w:i/>
          <w:sz w:val="22"/>
          <w:szCs w:val="20"/>
          <w:lang w:val="es-MX"/>
        </w:rPr>
        <w:t>. Para los efectos de la presente Ley se entenderá por:</w:t>
      </w:r>
    </w:p>
    <w:p w14:paraId="2B1113F5" w14:textId="77777777" w:rsidR="00C04B32" w:rsidRPr="00C04B32" w:rsidRDefault="00C04B32" w:rsidP="004E5E43">
      <w:pPr>
        <w:spacing w:before="120" w:after="120"/>
        <w:ind w:left="567" w:right="902"/>
        <w:jc w:val="both"/>
        <w:rPr>
          <w:rFonts w:ascii="Palatino Linotype" w:hAnsi="Palatino Linotype" w:cs="Arial"/>
          <w:i/>
          <w:sz w:val="22"/>
          <w:szCs w:val="20"/>
          <w:lang w:val="es-MX"/>
        </w:rPr>
      </w:pPr>
      <w:r w:rsidRPr="00C04B32">
        <w:rPr>
          <w:rFonts w:ascii="Palatino Linotype" w:hAnsi="Palatino Linotype" w:cs="Arial"/>
          <w:i/>
          <w:sz w:val="22"/>
          <w:szCs w:val="20"/>
          <w:lang w:val="es-MX"/>
        </w:rPr>
        <w:t>[…]</w:t>
      </w:r>
    </w:p>
    <w:p w14:paraId="49376E2D" w14:textId="77777777" w:rsidR="00C04B32" w:rsidRPr="00C04B32" w:rsidRDefault="00C04B32" w:rsidP="004E5E43">
      <w:pPr>
        <w:spacing w:before="120" w:after="120"/>
        <w:ind w:left="567" w:right="902"/>
        <w:jc w:val="both"/>
        <w:rPr>
          <w:rFonts w:ascii="Palatino Linotype" w:hAnsi="Palatino Linotype" w:cs="Arial"/>
          <w:i/>
          <w:sz w:val="22"/>
          <w:szCs w:val="20"/>
          <w:lang w:val="es-MX"/>
        </w:rPr>
      </w:pPr>
      <w:r w:rsidRPr="00C04B32">
        <w:rPr>
          <w:rFonts w:ascii="Palatino Linotype" w:hAnsi="Palatino Linotype" w:cs="Arial"/>
          <w:b/>
          <w:i/>
          <w:sz w:val="22"/>
          <w:szCs w:val="20"/>
          <w:lang w:val="es-MX"/>
        </w:rPr>
        <w:t>IX. Datos personales:</w:t>
      </w:r>
      <w:r w:rsidRPr="00C04B32">
        <w:rPr>
          <w:rFonts w:ascii="Palatino Linotype" w:hAnsi="Palatino Linotype" w:cs="Arial"/>
          <w:i/>
          <w:sz w:val="22"/>
          <w:szCs w:val="20"/>
          <w:lang w:val="es-MX"/>
        </w:rPr>
        <w:t xml:space="preserve"> La información concerniente a una persona, identificada o identificable según lo dispuesto por la Ley de Protección de Datos Personales del Estado de México; </w:t>
      </w:r>
    </w:p>
    <w:p w14:paraId="6E8A9BD2" w14:textId="77777777" w:rsidR="00C04B32" w:rsidRPr="00C04B32" w:rsidRDefault="00C04B32" w:rsidP="004E5E43">
      <w:pPr>
        <w:spacing w:before="120" w:after="120"/>
        <w:ind w:left="567" w:right="902"/>
        <w:jc w:val="both"/>
        <w:rPr>
          <w:rFonts w:ascii="Palatino Linotype" w:hAnsi="Palatino Linotype" w:cs="Arial"/>
          <w:i/>
          <w:sz w:val="22"/>
          <w:szCs w:val="20"/>
          <w:lang w:val="es-MX"/>
        </w:rPr>
      </w:pPr>
      <w:r w:rsidRPr="00C04B32">
        <w:rPr>
          <w:rFonts w:ascii="Palatino Linotype" w:hAnsi="Palatino Linotype" w:cs="Arial"/>
          <w:b/>
          <w:i/>
          <w:sz w:val="22"/>
          <w:szCs w:val="20"/>
          <w:lang w:val="es-MX"/>
        </w:rPr>
        <w:t>XX. Información clasificada</w:t>
      </w:r>
      <w:r w:rsidRPr="00C04B32">
        <w:rPr>
          <w:rFonts w:ascii="Palatino Linotype" w:hAnsi="Palatino Linotype" w:cs="Arial"/>
          <w:i/>
          <w:sz w:val="22"/>
          <w:szCs w:val="20"/>
          <w:lang w:val="es-MX"/>
        </w:rPr>
        <w:t>: Aquella considerada por la presente Ley como reservada o confidencial;</w:t>
      </w:r>
    </w:p>
    <w:p w14:paraId="5688C192" w14:textId="77777777" w:rsidR="00C04B32" w:rsidRPr="00C04B32" w:rsidRDefault="00C04B32" w:rsidP="004E5E43">
      <w:pPr>
        <w:spacing w:before="120" w:after="120"/>
        <w:ind w:left="567" w:right="902"/>
        <w:jc w:val="both"/>
        <w:rPr>
          <w:rFonts w:ascii="Palatino Linotype" w:hAnsi="Palatino Linotype" w:cs="Arial"/>
          <w:i/>
          <w:sz w:val="22"/>
          <w:szCs w:val="20"/>
          <w:lang w:val="es-MX"/>
        </w:rPr>
      </w:pPr>
      <w:r w:rsidRPr="00C04B32">
        <w:rPr>
          <w:rFonts w:ascii="Palatino Linotype" w:hAnsi="Palatino Linotype" w:cs="Arial"/>
          <w:b/>
          <w:i/>
          <w:sz w:val="22"/>
          <w:szCs w:val="20"/>
          <w:lang w:val="es-MX"/>
        </w:rPr>
        <w:t>XXI. Información confidencial:</w:t>
      </w:r>
      <w:r w:rsidRPr="00C04B32">
        <w:rPr>
          <w:rFonts w:ascii="Palatino Linotype" w:hAnsi="Palatino Linotype" w:cs="Arial"/>
          <w:i/>
          <w:sz w:val="22"/>
          <w:szCs w:val="20"/>
          <w:lang w:val="es-MX"/>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776E8A9" w14:textId="77777777" w:rsidR="00C04B32" w:rsidRPr="00C04B32" w:rsidRDefault="00C04B32" w:rsidP="004E5E43">
      <w:pPr>
        <w:spacing w:before="120" w:after="120"/>
        <w:ind w:left="567" w:right="902"/>
        <w:jc w:val="both"/>
        <w:rPr>
          <w:rFonts w:ascii="Palatino Linotype" w:hAnsi="Palatino Linotype" w:cs="Arial"/>
          <w:i/>
          <w:sz w:val="22"/>
          <w:szCs w:val="20"/>
          <w:lang w:val="es-MX"/>
        </w:rPr>
      </w:pPr>
      <w:r w:rsidRPr="00C04B32">
        <w:rPr>
          <w:rFonts w:ascii="Palatino Linotype" w:hAnsi="Palatino Linotype" w:cs="Arial"/>
          <w:b/>
          <w:i/>
          <w:sz w:val="22"/>
          <w:szCs w:val="20"/>
          <w:lang w:val="es-MX"/>
        </w:rPr>
        <w:t>XLV. Versión pública:</w:t>
      </w:r>
      <w:r w:rsidRPr="00C04B32">
        <w:rPr>
          <w:rFonts w:ascii="Palatino Linotype" w:hAnsi="Palatino Linotype" w:cs="Arial"/>
          <w:i/>
          <w:sz w:val="22"/>
          <w:szCs w:val="20"/>
          <w:lang w:val="es-MX"/>
        </w:rPr>
        <w:t xml:space="preserve"> Documento en el que se elimine, suprime o borra la información clasificada como reservada o confidencial para permitir su acceso.</w:t>
      </w:r>
    </w:p>
    <w:p w14:paraId="07C88772" w14:textId="77777777" w:rsidR="00C04B32" w:rsidRPr="00C04B32" w:rsidRDefault="00C04B32" w:rsidP="004E5E43">
      <w:pPr>
        <w:spacing w:before="120" w:after="120"/>
        <w:ind w:left="567" w:right="902"/>
        <w:jc w:val="both"/>
        <w:rPr>
          <w:rFonts w:ascii="Palatino Linotype" w:hAnsi="Palatino Linotype" w:cs="Arial"/>
          <w:i/>
          <w:sz w:val="22"/>
          <w:szCs w:val="20"/>
          <w:lang w:val="es-MX"/>
        </w:rPr>
      </w:pPr>
      <w:r w:rsidRPr="00C04B32">
        <w:rPr>
          <w:rFonts w:ascii="Palatino Linotype" w:hAnsi="Palatino Linotype" w:cs="Arial"/>
          <w:i/>
          <w:sz w:val="22"/>
          <w:szCs w:val="20"/>
          <w:lang w:val="es-MX"/>
        </w:rPr>
        <w:t>[…]</w:t>
      </w:r>
    </w:p>
    <w:p w14:paraId="3300D10B" w14:textId="77777777" w:rsidR="00C04B32" w:rsidRPr="00C04B32" w:rsidRDefault="00C04B32" w:rsidP="004E5E43">
      <w:pPr>
        <w:spacing w:before="120" w:after="120"/>
        <w:ind w:left="567" w:right="902"/>
        <w:jc w:val="both"/>
        <w:rPr>
          <w:rFonts w:ascii="Palatino Linotype" w:hAnsi="Palatino Linotype" w:cs="Arial"/>
          <w:i/>
          <w:sz w:val="22"/>
          <w:szCs w:val="20"/>
          <w:lang w:val="es-MX"/>
        </w:rPr>
      </w:pPr>
      <w:r w:rsidRPr="00C04B32">
        <w:rPr>
          <w:rFonts w:ascii="Palatino Linotype" w:hAnsi="Palatino Linotype" w:cs="Arial"/>
          <w:b/>
          <w:i/>
          <w:sz w:val="22"/>
          <w:szCs w:val="20"/>
          <w:lang w:val="es-MX"/>
        </w:rPr>
        <w:t xml:space="preserve">Artículo 91. </w:t>
      </w:r>
      <w:r w:rsidRPr="00C04B32">
        <w:rPr>
          <w:rFonts w:ascii="Palatino Linotype" w:hAnsi="Palatino Linotype" w:cs="Arial"/>
          <w:i/>
          <w:sz w:val="22"/>
          <w:szCs w:val="20"/>
          <w:lang w:val="es-MX"/>
        </w:rPr>
        <w:t>El acceso a la información pública será restringido excepcionalmente, cuando ésta sea clasificada como reservada o confidencial.</w:t>
      </w:r>
    </w:p>
    <w:p w14:paraId="4160686A" w14:textId="77777777" w:rsidR="00C04B32" w:rsidRPr="00C04B32" w:rsidRDefault="00C04B32" w:rsidP="004E5E43">
      <w:pPr>
        <w:spacing w:before="120" w:after="120"/>
        <w:ind w:left="567" w:right="902"/>
        <w:jc w:val="both"/>
        <w:rPr>
          <w:rFonts w:ascii="Palatino Linotype" w:hAnsi="Palatino Linotype" w:cs="Arial"/>
          <w:i/>
          <w:sz w:val="22"/>
          <w:szCs w:val="20"/>
          <w:lang w:val="es-MX"/>
        </w:rPr>
      </w:pPr>
      <w:r w:rsidRPr="00C04B32">
        <w:rPr>
          <w:rFonts w:ascii="Palatino Linotype" w:hAnsi="Palatino Linotype" w:cs="Arial"/>
          <w:b/>
          <w:i/>
          <w:sz w:val="22"/>
          <w:szCs w:val="20"/>
          <w:lang w:val="es-MX"/>
        </w:rPr>
        <w:t xml:space="preserve">Artículo 132. </w:t>
      </w:r>
      <w:r w:rsidRPr="00C04B32">
        <w:rPr>
          <w:rFonts w:ascii="Palatino Linotype" w:hAnsi="Palatino Linotype" w:cs="Arial"/>
          <w:i/>
          <w:sz w:val="22"/>
          <w:szCs w:val="20"/>
          <w:lang w:val="es-MX"/>
        </w:rPr>
        <w:t>La clasificación de la información se llevará a cabo en el momento en que:</w:t>
      </w:r>
    </w:p>
    <w:p w14:paraId="2A92870C" w14:textId="77777777" w:rsidR="00C04B32" w:rsidRPr="00C04B32" w:rsidRDefault="00C04B32" w:rsidP="004E5E43">
      <w:pPr>
        <w:spacing w:before="120" w:after="120"/>
        <w:ind w:left="567" w:right="902"/>
        <w:jc w:val="both"/>
        <w:rPr>
          <w:rFonts w:ascii="Palatino Linotype" w:hAnsi="Palatino Linotype" w:cs="Arial"/>
          <w:i/>
          <w:sz w:val="22"/>
          <w:szCs w:val="20"/>
          <w:lang w:val="es-MX"/>
        </w:rPr>
      </w:pPr>
      <w:r w:rsidRPr="00C04B32">
        <w:rPr>
          <w:rFonts w:ascii="Palatino Linotype" w:hAnsi="Palatino Linotype" w:cs="Arial"/>
          <w:b/>
          <w:i/>
          <w:sz w:val="22"/>
          <w:szCs w:val="20"/>
          <w:lang w:val="es-MX"/>
        </w:rPr>
        <w:lastRenderedPageBreak/>
        <w:t>I</w:t>
      </w:r>
      <w:r w:rsidRPr="00C04B32">
        <w:rPr>
          <w:rFonts w:ascii="Palatino Linotype" w:hAnsi="Palatino Linotype" w:cs="Arial"/>
          <w:i/>
          <w:sz w:val="22"/>
          <w:szCs w:val="20"/>
          <w:lang w:val="es-MX"/>
        </w:rPr>
        <w:t>. Se reciba una solicitud de acceso a la información;</w:t>
      </w:r>
    </w:p>
    <w:p w14:paraId="52539759" w14:textId="77777777" w:rsidR="00C04B32" w:rsidRPr="00C04B32" w:rsidRDefault="00C04B32" w:rsidP="004E5E43">
      <w:pPr>
        <w:spacing w:before="120" w:after="120"/>
        <w:ind w:left="567" w:right="902"/>
        <w:jc w:val="both"/>
        <w:rPr>
          <w:rFonts w:ascii="Palatino Linotype" w:hAnsi="Palatino Linotype" w:cs="Arial"/>
          <w:i/>
          <w:sz w:val="22"/>
          <w:szCs w:val="20"/>
          <w:lang w:val="es-MX"/>
        </w:rPr>
      </w:pPr>
      <w:r w:rsidRPr="00C04B32">
        <w:rPr>
          <w:rFonts w:ascii="Palatino Linotype" w:hAnsi="Palatino Linotype" w:cs="Arial"/>
          <w:b/>
          <w:i/>
          <w:sz w:val="22"/>
          <w:szCs w:val="20"/>
          <w:lang w:val="es-MX"/>
        </w:rPr>
        <w:t>II</w:t>
      </w:r>
      <w:r w:rsidRPr="00C04B32">
        <w:rPr>
          <w:rFonts w:ascii="Palatino Linotype" w:hAnsi="Palatino Linotype" w:cs="Arial"/>
          <w:i/>
          <w:sz w:val="22"/>
          <w:szCs w:val="20"/>
          <w:lang w:val="es-MX"/>
        </w:rPr>
        <w:t>. Se determine mediante resolución de autoridad competente; o</w:t>
      </w:r>
    </w:p>
    <w:p w14:paraId="6BE20FD0" w14:textId="77777777" w:rsidR="00C04B32" w:rsidRPr="00C04B32" w:rsidRDefault="00C04B32" w:rsidP="004E5E43">
      <w:pPr>
        <w:spacing w:before="120" w:after="120"/>
        <w:ind w:left="567" w:right="902"/>
        <w:jc w:val="both"/>
        <w:rPr>
          <w:rFonts w:ascii="Palatino Linotype" w:hAnsi="Palatino Linotype" w:cs="Arial"/>
          <w:i/>
          <w:sz w:val="22"/>
          <w:szCs w:val="20"/>
          <w:lang w:val="es-MX"/>
        </w:rPr>
      </w:pPr>
      <w:r w:rsidRPr="00C04B32">
        <w:rPr>
          <w:rFonts w:ascii="Palatino Linotype" w:hAnsi="Palatino Linotype" w:cs="Arial"/>
          <w:b/>
          <w:i/>
          <w:sz w:val="22"/>
          <w:szCs w:val="20"/>
          <w:lang w:val="es-MX"/>
        </w:rPr>
        <w:t>III</w:t>
      </w:r>
      <w:r w:rsidRPr="00C04B32">
        <w:rPr>
          <w:rFonts w:ascii="Palatino Linotype" w:hAnsi="Palatino Linotype" w:cs="Arial"/>
          <w:i/>
          <w:sz w:val="22"/>
          <w:szCs w:val="20"/>
          <w:lang w:val="es-MX"/>
        </w:rPr>
        <w:t>. Se generen versiones públicas para dar cumplimiento a las obligaciones de transparencia previstas en esta Ley.</w:t>
      </w:r>
    </w:p>
    <w:p w14:paraId="5A85A0A3" w14:textId="77777777" w:rsidR="00C04B32" w:rsidRPr="00C04B32" w:rsidRDefault="00C04B32" w:rsidP="004E5E43">
      <w:pPr>
        <w:spacing w:before="120" w:after="120"/>
        <w:ind w:left="567" w:right="902"/>
        <w:jc w:val="both"/>
        <w:rPr>
          <w:rFonts w:ascii="Palatino Linotype" w:hAnsi="Palatino Linotype" w:cs="Arial"/>
          <w:i/>
          <w:sz w:val="22"/>
          <w:szCs w:val="20"/>
          <w:lang w:val="es-MX"/>
        </w:rPr>
      </w:pPr>
      <w:r w:rsidRPr="00C04B32">
        <w:rPr>
          <w:rFonts w:ascii="Palatino Linotype" w:hAnsi="Palatino Linotype" w:cs="Arial"/>
          <w:i/>
          <w:sz w:val="22"/>
          <w:szCs w:val="20"/>
          <w:lang w:val="es-MX"/>
        </w:rPr>
        <w:t>[…]</w:t>
      </w:r>
    </w:p>
    <w:p w14:paraId="537073A4" w14:textId="77777777" w:rsidR="00C04B32" w:rsidRPr="00C04B32" w:rsidRDefault="00C04B32" w:rsidP="00452CC9">
      <w:pPr>
        <w:spacing w:before="120" w:after="120"/>
        <w:ind w:left="567" w:right="902"/>
        <w:jc w:val="both"/>
        <w:rPr>
          <w:rFonts w:ascii="Palatino Linotype" w:hAnsi="Palatino Linotype" w:cs="Arial"/>
          <w:i/>
          <w:sz w:val="22"/>
          <w:szCs w:val="20"/>
          <w:lang w:val="es-MX"/>
        </w:rPr>
      </w:pPr>
      <w:r w:rsidRPr="00C04B32">
        <w:rPr>
          <w:rFonts w:ascii="Palatino Linotype" w:hAnsi="Palatino Linotype" w:cs="Arial"/>
          <w:b/>
          <w:i/>
          <w:sz w:val="22"/>
          <w:szCs w:val="20"/>
          <w:lang w:val="es-MX"/>
        </w:rPr>
        <w:t>Artículo 143</w:t>
      </w:r>
      <w:r w:rsidRPr="00C04B32">
        <w:rPr>
          <w:rFonts w:ascii="Palatino Linotype" w:hAnsi="Palatino Linotype" w:cs="Arial"/>
          <w:i/>
          <w:sz w:val="22"/>
          <w:szCs w:val="20"/>
          <w:lang w:val="es-MX"/>
        </w:rPr>
        <w:t>. Para los efectos de esta Ley se considera información confidencial, la clasificada como tal, de manera permanente, por su naturaleza, cuando:</w:t>
      </w:r>
    </w:p>
    <w:p w14:paraId="1C114009" w14:textId="77777777" w:rsidR="00C04B32" w:rsidRPr="00C04B32" w:rsidRDefault="00C04B32" w:rsidP="00452CC9">
      <w:pPr>
        <w:spacing w:before="120" w:after="120"/>
        <w:ind w:left="567" w:right="902"/>
        <w:jc w:val="both"/>
        <w:rPr>
          <w:rFonts w:ascii="Palatino Linotype" w:hAnsi="Palatino Linotype" w:cs="Arial"/>
          <w:i/>
          <w:sz w:val="22"/>
          <w:szCs w:val="20"/>
          <w:lang w:val="es-MX"/>
        </w:rPr>
      </w:pPr>
      <w:r w:rsidRPr="00C04B32">
        <w:rPr>
          <w:rFonts w:ascii="Palatino Linotype" w:hAnsi="Palatino Linotype" w:cs="Arial"/>
          <w:b/>
          <w:i/>
          <w:sz w:val="22"/>
          <w:szCs w:val="20"/>
          <w:lang w:val="es-MX"/>
        </w:rPr>
        <w:t>I.</w:t>
      </w:r>
      <w:r w:rsidRPr="00C04B32">
        <w:rPr>
          <w:rFonts w:ascii="Palatino Linotype" w:hAnsi="Palatino Linotype" w:cs="Arial"/>
          <w:i/>
          <w:sz w:val="22"/>
          <w:szCs w:val="20"/>
          <w:lang w:val="es-MX"/>
        </w:rPr>
        <w:t xml:space="preserve"> Se refiera a la información privada y los datos personales concernientes a una persona física o </w:t>
      </w:r>
      <w:proofErr w:type="gramStart"/>
      <w:r w:rsidRPr="00C04B32">
        <w:rPr>
          <w:rFonts w:ascii="Palatino Linotype" w:hAnsi="Palatino Linotype" w:cs="Arial"/>
          <w:i/>
          <w:sz w:val="22"/>
          <w:szCs w:val="20"/>
          <w:lang w:val="es-MX"/>
        </w:rPr>
        <w:t>jurídico</w:t>
      </w:r>
      <w:proofErr w:type="gramEnd"/>
      <w:r w:rsidRPr="00C04B32">
        <w:rPr>
          <w:rFonts w:ascii="Palatino Linotype" w:hAnsi="Palatino Linotype" w:cs="Arial"/>
          <w:i/>
          <w:sz w:val="22"/>
          <w:szCs w:val="20"/>
          <w:lang w:val="es-MX"/>
        </w:rPr>
        <w:t xml:space="preserve"> colectiva identificada o identificable;</w:t>
      </w:r>
    </w:p>
    <w:p w14:paraId="5CD24A7F" w14:textId="77777777" w:rsidR="00C04B32" w:rsidRPr="00C04B32" w:rsidRDefault="00C04B32" w:rsidP="00452CC9">
      <w:pPr>
        <w:spacing w:before="120" w:after="120"/>
        <w:ind w:left="567" w:right="902"/>
        <w:jc w:val="both"/>
        <w:rPr>
          <w:rFonts w:ascii="Palatino Linotype" w:hAnsi="Palatino Linotype" w:cs="Arial"/>
          <w:i/>
          <w:sz w:val="22"/>
          <w:szCs w:val="20"/>
          <w:lang w:val="es-MX"/>
        </w:rPr>
      </w:pPr>
      <w:r w:rsidRPr="00C04B32">
        <w:rPr>
          <w:rFonts w:ascii="Palatino Linotype" w:hAnsi="Palatino Linotype" w:cs="Arial"/>
          <w:b/>
          <w:i/>
          <w:sz w:val="22"/>
          <w:szCs w:val="20"/>
          <w:lang w:val="es-MX"/>
        </w:rPr>
        <w:t>II.</w:t>
      </w:r>
      <w:r w:rsidRPr="00C04B32">
        <w:rPr>
          <w:rFonts w:ascii="Palatino Linotype" w:hAnsi="Palatino Linotype" w:cs="Arial"/>
          <w:i/>
          <w:sz w:val="22"/>
          <w:szCs w:val="20"/>
          <w:lang w:val="es-MX"/>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0A80D0F1" w14:textId="77777777" w:rsidR="00C04B32" w:rsidRPr="00C04B32" w:rsidRDefault="00C04B32" w:rsidP="00452CC9">
      <w:pPr>
        <w:spacing w:before="120" w:after="120"/>
        <w:ind w:left="567" w:right="902"/>
        <w:jc w:val="both"/>
        <w:rPr>
          <w:rFonts w:ascii="Palatino Linotype" w:hAnsi="Palatino Linotype" w:cs="Arial"/>
          <w:i/>
          <w:sz w:val="22"/>
          <w:szCs w:val="20"/>
          <w:lang w:val="es-MX"/>
        </w:rPr>
      </w:pPr>
      <w:r w:rsidRPr="00C04B32">
        <w:rPr>
          <w:rFonts w:ascii="Palatino Linotype" w:hAnsi="Palatino Linotype" w:cs="Arial"/>
          <w:b/>
          <w:i/>
          <w:sz w:val="22"/>
          <w:szCs w:val="20"/>
          <w:lang w:val="es-MX"/>
        </w:rPr>
        <w:t>III</w:t>
      </w:r>
      <w:r w:rsidRPr="00C04B32">
        <w:rPr>
          <w:rFonts w:ascii="Palatino Linotype" w:hAnsi="Palatino Linotype" w:cs="Arial"/>
          <w:i/>
          <w:sz w:val="22"/>
          <w:szCs w:val="20"/>
          <w:lang w:val="es-MX"/>
        </w:rPr>
        <w:t>. La que presenten los particulares a los sujetos obligados, de conformidad con lo dispuesto por las leyes o los tratados internacionales.</w:t>
      </w:r>
    </w:p>
    <w:p w14:paraId="0ADC691F" w14:textId="77777777" w:rsidR="00C04B32" w:rsidRPr="00C04B32" w:rsidRDefault="00C04B32" w:rsidP="00452CC9">
      <w:pPr>
        <w:spacing w:before="120" w:after="120"/>
        <w:ind w:left="567" w:right="902"/>
        <w:jc w:val="both"/>
        <w:rPr>
          <w:rFonts w:ascii="Palatino Linotype" w:hAnsi="Palatino Linotype" w:cs="Arial"/>
          <w:i/>
          <w:sz w:val="22"/>
          <w:szCs w:val="20"/>
          <w:lang w:val="es-MX"/>
        </w:rPr>
      </w:pPr>
      <w:r w:rsidRPr="00C04B32">
        <w:rPr>
          <w:rFonts w:ascii="Palatino Linotype" w:hAnsi="Palatino Linotype" w:cs="Arial"/>
          <w:i/>
          <w:sz w:val="22"/>
          <w:szCs w:val="20"/>
          <w:lang w:val="es-MX"/>
        </w:rPr>
        <w:t>La información confidencial no estará sujeta a temporalidad alguna y sólo podrán tener acceso a ella los titulares de la misma, sus representantes y los servidores públicos facultados para ello.</w:t>
      </w:r>
    </w:p>
    <w:p w14:paraId="44B98D3F" w14:textId="77777777" w:rsidR="00C04B32" w:rsidRPr="00C04B32" w:rsidRDefault="00C04B32" w:rsidP="00452CC9">
      <w:pPr>
        <w:spacing w:before="120" w:after="120"/>
        <w:ind w:left="567" w:right="902"/>
        <w:jc w:val="both"/>
        <w:rPr>
          <w:rFonts w:ascii="Palatino Linotype" w:hAnsi="Palatino Linotype" w:cs="Arial"/>
          <w:i/>
          <w:sz w:val="22"/>
          <w:szCs w:val="20"/>
          <w:lang w:val="es-MX"/>
        </w:rPr>
      </w:pPr>
      <w:r w:rsidRPr="00C04B32">
        <w:rPr>
          <w:rFonts w:ascii="Palatino Linotype" w:hAnsi="Palatino Linotype" w:cs="Arial"/>
          <w:i/>
          <w:sz w:val="22"/>
          <w:szCs w:val="20"/>
          <w:lang w:val="es-MX"/>
        </w:rPr>
        <w:t>No se considerará confidencial la información que se encuentre en los registros públicos o en fuentes de acceso público, ni tampoco la que sea considerada por la presente ley como información pública.”</w:t>
      </w:r>
    </w:p>
    <w:p w14:paraId="1D6C9290" w14:textId="77777777" w:rsidR="00C04B32" w:rsidRPr="00C04B32" w:rsidRDefault="00C04B32" w:rsidP="00C04B32">
      <w:pPr>
        <w:spacing w:before="240" w:after="240" w:line="360" w:lineRule="auto"/>
        <w:jc w:val="both"/>
        <w:rPr>
          <w:rFonts w:ascii="Palatino Linotype" w:hAnsi="Palatino Linotype" w:cs="Arial"/>
          <w:lang w:val="es-MX"/>
        </w:rPr>
      </w:pPr>
      <w:r w:rsidRPr="00C04B32">
        <w:rPr>
          <w:rFonts w:ascii="Palatino Linotype" w:hAnsi="Palatino Linotype" w:cs="Arial"/>
          <w:lang w:val="es-MX"/>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693F6EA2" w14:textId="77777777" w:rsidR="00C04B32" w:rsidRPr="00C04B32" w:rsidRDefault="00C04B32" w:rsidP="00C04B32">
      <w:pPr>
        <w:spacing w:before="240" w:after="240" w:line="360" w:lineRule="auto"/>
        <w:jc w:val="both"/>
        <w:rPr>
          <w:rFonts w:ascii="Palatino Linotype" w:hAnsi="Palatino Linotype" w:cs="Arial"/>
          <w:lang w:val="es-MX"/>
        </w:rPr>
      </w:pPr>
      <w:r w:rsidRPr="00C04B32">
        <w:rPr>
          <w:rFonts w:ascii="Palatino Linotype" w:hAnsi="Palatino Linotype" w:cs="Arial"/>
          <w:lang w:val="es-MX"/>
        </w:rPr>
        <w:lastRenderedPageBreak/>
        <w:t>Entorno a lo que aquí nos interesa, los Lineamientos Quincuagésimo sexto, Quincuagésimo séptimo y Quincuagésimo octavo, establecen lo siguiente:</w:t>
      </w:r>
    </w:p>
    <w:p w14:paraId="07892662" w14:textId="0C325702" w:rsidR="00C04B32" w:rsidRPr="00C04B32" w:rsidRDefault="002E2283" w:rsidP="002E2283">
      <w:pPr>
        <w:spacing w:before="120" w:after="120"/>
        <w:ind w:left="851" w:right="902"/>
        <w:jc w:val="both"/>
        <w:rPr>
          <w:rFonts w:ascii="Palatino Linotype" w:hAnsi="Palatino Linotype" w:cs="Arial"/>
          <w:i/>
          <w:sz w:val="22"/>
          <w:szCs w:val="20"/>
          <w:lang w:val="es-MX"/>
        </w:rPr>
      </w:pPr>
      <w:r>
        <w:rPr>
          <w:rFonts w:ascii="Palatino Linotype" w:hAnsi="Palatino Linotype" w:cs="Arial"/>
          <w:i/>
          <w:sz w:val="22"/>
          <w:szCs w:val="20"/>
          <w:lang w:val="es-MX"/>
        </w:rPr>
        <w:t>“</w:t>
      </w:r>
      <w:r w:rsidR="00C04B32" w:rsidRPr="00C04B32">
        <w:rPr>
          <w:rFonts w:ascii="Palatino Linotype" w:hAnsi="Palatino Linotype" w:cs="Arial"/>
          <w:b/>
          <w:i/>
          <w:sz w:val="22"/>
          <w:szCs w:val="20"/>
          <w:lang w:val="es-MX"/>
        </w:rPr>
        <w:t>Quincuagésimo sexto</w:t>
      </w:r>
      <w:r w:rsidR="00C04B32" w:rsidRPr="00C04B32">
        <w:rPr>
          <w:rFonts w:ascii="Palatino Linotype" w:hAnsi="Palatino Linotype" w:cs="Arial"/>
          <w:i/>
          <w:sz w:val="22"/>
          <w:szCs w:val="20"/>
          <w:lang w:val="es-MX"/>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3392429D" w14:textId="77777777" w:rsidR="00C04B32" w:rsidRPr="00C04B32" w:rsidRDefault="00C04B32" w:rsidP="00C04B32">
      <w:pPr>
        <w:spacing w:before="120" w:after="120"/>
        <w:ind w:left="851" w:right="902"/>
        <w:jc w:val="both"/>
        <w:rPr>
          <w:rFonts w:ascii="Palatino Linotype" w:hAnsi="Palatino Linotype" w:cs="Arial"/>
          <w:i/>
          <w:sz w:val="22"/>
          <w:szCs w:val="20"/>
          <w:lang w:val="es-MX"/>
        </w:rPr>
      </w:pPr>
      <w:r w:rsidRPr="00C04B32">
        <w:rPr>
          <w:rFonts w:ascii="Palatino Linotype" w:hAnsi="Palatino Linotype" w:cs="Arial"/>
          <w:b/>
          <w:i/>
          <w:sz w:val="22"/>
          <w:szCs w:val="20"/>
          <w:lang w:val="es-MX"/>
        </w:rPr>
        <w:t>Quincuagésimo séptimo</w:t>
      </w:r>
      <w:r w:rsidRPr="00C04B32">
        <w:rPr>
          <w:rFonts w:ascii="Palatino Linotype" w:hAnsi="Palatino Linotype" w:cs="Arial"/>
          <w:i/>
          <w:sz w:val="22"/>
          <w:szCs w:val="20"/>
          <w:lang w:val="es-MX"/>
        </w:rPr>
        <w:t xml:space="preserve">. Se considera, en principio, como información pública y no podrá omitirse de las versiones públicas la siguiente: </w:t>
      </w:r>
    </w:p>
    <w:p w14:paraId="0D123FAE" w14:textId="77777777" w:rsidR="00C04B32" w:rsidRPr="00C04B32" w:rsidRDefault="00C04B32" w:rsidP="00C04B32">
      <w:pPr>
        <w:spacing w:before="120" w:after="120"/>
        <w:ind w:left="993" w:right="902"/>
        <w:jc w:val="both"/>
        <w:rPr>
          <w:rFonts w:ascii="Palatino Linotype" w:hAnsi="Palatino Linotype" w:cs="Arial"/>
          <w:i/>
          <w:sz w:val="22"/>
          <w:szCs w:val="20"/>
          <w:lang w:val="es-MX"/>
        </w:rPr>
      </w:pPr>
      <w:r w:rsidRPr="00C04B32">
        <w:rPr>
          <w:rFonts w:ascii="Palatino Linotype" w:hAnsi="Palatino Linotype" w:cs="Arial"/>
          <w:b/>
          <w:i/>
          <w:sz w:val="22"/>
          <w:szCs w:val="20"/>
          <w:lang w:val="es-MX"/>
        </w:rPr>
        <w:t>I</w:t>
      </w:r>
      <w:r w:rsidRPr="00C04B32">
        <w:rPr>
          <w:rFonts w:ascii="Palatino Linotype" w:hAnsi="Palatino Linotype" w:cs="Arial"/>
          <w:i/>
          <w:sz w:val="22"/>
          <w:szCs w:val="20"/>
          <w:lang w:val="es-MX"/>
        </w:rPr>
        <w:t xml:space="preserve">. La relativa a las Obligaciones de Transparencia que contempla el Título V de la Ley General y las demás disposiciones legales aplicables; </w:t>
      </w:r>
    </w:p>
    <w:p w14:paraId="1021A3FF" w14:textId="77777777" w:rsidR="00C04B32" w:rsidRPr="00C04B32" w:rsidRDefault="00C04B32" w:rsidP="00C04B32">
      <w:pPr>
        <w:spacing w:before="120" w:after="120"/>
        <w:ind w:left="993" w:right="902"/>
        <w:jc w:val="both"/>
        <w:rPr>
          <w:rFonts w:ascii="Palatino Linotype" w:hAnsi="Palatino Linotype" w:cs="Arial"/>
          <w:i/>
          <w:sz w:val="22"/>
          <w:szCs w:val="20"/>
          <w:lang w:val="es-MX"/>
        </w:rPr>
      </w:pPr>
      <w:r w:rsidRPr="00C04B32">
        <w:rPr>
          <w:rFonts w:ascii="Palatino Linotype" w:hAnsi="Palatino Linotype" w:cs="Arial"/>
          <w:b/>
          <w:i/>
          <w:sz w:val="22"/>
          <w:szCs w:val="20"/>
          <w:lang w:val="es-MX"/>
        </w:rPr>
        <w:t>II.</w:t>
      </w:r>
      <w:r w:rsidRPr="00C04B32">
        <w:rPr>
          <w:rFonts w:ascii="Palatino Linotype" w:hAnsi="Palatino Linotype" w:cs="Arial"/>
          <w:i/>
          <w:sz w:val="22"/>
          <w:szCs w:val="20"/>
          <w:lang w:val="es-MX"/>
        </w:rPr>
        <w:t xml:space="preserve"> El nombre de los servidores públicos en los documentos, y sus firmas autógrafas, cuando sean utilizados en el ejercicio de las facultades conferidas para el desempeño del servicio público, y </w:t>
      </w:r>
    </w:p>
    <w:p w14:paraId="759D206F" w14:textId="77777777" w:rsidR="00C04B32" w:rsidRPr="00C04B32" w:rsidRDefault="00C04B32" w:rsidP="00C04B32">
      <w:pPr>
        <w:spacing w:before="120" w:after="120"/>
        <w:ind w:left="993" w:right="902"/>
        <w:jc w:val="both"/>
        <w:rPr>
          <w:rFonts w:ascii="Palatino Linotype" w:hAnsi="Palatino Linotype" w:cs="Arial"/>
          <w:i/>
          <w:sz w:val="22"/>
          <w:szCs w:val="20"/>
          <w:lang w:val="es-MX"/>
        </w:rPr>
      </w:pPr>
      <w:r w:rsidRPr="00C04B32">
        <w:rPr>
          <w:rFonts w:ascii="Palatino Linotype" w:hAnsi="Palatino Linotype" w:cs="Arial"/>
          <w:b/>
          <w:i/>
          <w:sz w:val="22"/>
          <w:szCs w:val="20"/>
          <w:lang w:val="es-MX"/>
        </w:rPr>
        <w:t>III.</w:t>
      </w:r>
      <w:r w:rsidRPr="00C04B32">
        <w:rPr>
          <w:rFonts w:ascii="Palatino Linotype" w:hAnsi="Palatino Linotype" w:cs="Arial"/>
          <w:i/>
          <w:sz w:val="22"/>
          <w:szCs w:val="20"/>
          <w:lang w:val="es-MX"/>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27F2485F" w14:textId="77777777" w:rsidR="00C04B32" w:rsidRPr="00C04B32" w:rsidRDefault="00C04B32" w:rsidP="00C04B32">
      <w:pPr>
        <w:spacing w:before="120" w:after="120"/>
        <w:ind w:left="851" w:right="902"/>
        <w:jc w:val="both"/>
        <w:rPr>
          <w:rFonts w:ascii="Palatino Linotype" w:hAnsi="Palatino Linotype" w:cs="Arial"/>
          <w:i/>
          <w:sz w:val="22"/>
          <w:szCs w:val="20"/>
          <w:lang w:val="es-MX"/>
        </w:rPr>
      </w:pPr>
      <w:r w:rsidRPr="00C04B32">
        <w:rPr>
          <w:rFonts w:ascii="Palatino Linotype" w:hAnsi="Palatino Linotype" w:cs="Arial"/>
          <w:i/>
          <w:sz w:val="22"/>
          <w:szCs w:val="20"/>
          <w:lang w:val="es-MX"/>
        </w:rPr>
        <w:t xml:space="preserve">Lo anterior, siempre y cuando no se acredite alguna causal de clasificación, prevista en las leyes o en los tratados internaciones suscritos por el Estado mexicano. </w:t>
      </w:r>
    </w:p>
    <w:p w14:paraId="14CF3CB5" w14:textId="77777777" w:rsidR="00C04B32" w:rsidRPr="00C04B32" w:rsidRDefault="00C04B32" w:rsidP="00C04B32">
      <w:pPr>
        <w:spacing w:before="120" w:after="120"/>
        <w:ind w:left="851" w:right="902"/>
        <w:jc w:val="both"/>
        <w:rPr>
          <w:rFonts w:ascii="Palatino Linotype" w:hAnsi="Palatino Linotype" w:cs="Arial"/>
          <w:i/>
          <w:sz w:val="22"/>
          <w:szCs w:val="20"/>
          <w:lang w:val="es-MX"/>
        </w:rPr>
      </w:pPr>
      <w:r w:rsidRPr="00C04B32">
        <w:rPr>
          <w:rFonts w:ascii="Palatino Linotype" w:hAnsi="Palatino Linotype" w:cs="Arial"/>
          <w:b/>
          <w:i/>
          <w:sz w:val="22"/>
          <w:szCs w:val="20"/>
          <w:lang w:val="es-MX"/>
        </w:rPr>
        <w:t>Quincuagésimo octavo</w:t>
      </w:r>
      <w:r w:rsidRPr="00C04B32">
        <w:rPr>
          <w:rFonts w:ascii="Palatino Linotype" w:hAnsi="Palatino Linotype" w:cs="Arial"/>
          <w:i/>
          <w:sz w:val="22"/>
          <w:szCs w:val="20"/>
          <w:lang w:val="es-MX"/>
        </w:rPr>
        <w:t>. Los sujetos obligados garantizarán que los sistemas o medios empleados para eliminar la información en las versiones públicas no permitan la recuperación o visualización de la misma.”</w:t>
      </w:r>
    </w:p>
    <w:p w14:paraId="6D589736" w14:textId="77777777" w:rsidR="00C04B32" w:rsidRPr="00C04B32" w:rsidRDefault="00C04B32" w:rsidP="00C04B32">
      <w:pPr>
        <w:spacing w:before="240" w:after="240" w:line="360" w:lineRule="auto"/>
        <w:jc w:val="both"/>
        <w:rPr>
          <w:rFonts w:ascii="Palatino Linotype" w:hAnsi="Palatino Linotype" w:cs="Arial"/>
          <w:lang w:val="es-MX"/>
        </w:rPr>
      </w:pPr>
      <w:r w:rsidRPr="00C04B32">
        <w:rPr>
          <w:rFonts w:ascii="Palatino Linotype" w:hAnsi="Palatino Linotype" w:cs="Arial"/>
          <w:lang w:val="es-MX"/>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w:t>
      </w:r>
      <w:r w:rsidRPr="00C04B32">
        <w:rPr>
          <w:rFonts w:ascii="Palatino Linotype" w:hAnsi="Palatino Linotype" w:cs="Arial"/>
          <w:lang w:val="es-MX"/>
        </w:rPr>
        <w:lastRenderedPageBreak/>
        <w:t>las causas o motivos por las que no se aprecian determinados datos -ya sea porque se testan o suprimen- deja al solicitante en estado de incertidumbre, al no conocer o comprender porque no aparecen en la documentación respectiva.</w:t>
      </w:r>
    </w:p>
    <w:p w14:paraId="7AADD9F1" w14:textId="77777777" w:rsidR="00C04B32" w:rsidRPr="00C04B32" w:rsidRDefault="00C04B32" w:rsidP="00C04B32">
      <w:pPr>
        <w:spacing w:before="240" w:after="240" w:line="360" w:lineRule="auto"/>
        <w:jc w:val="both"/>
        <w:rPr>
          <w:rFonts w:ascii="Palatino Linotype" w:hAnsi="Palatino Linotype"/>
          <w:lang w:val="es-MX"/>
        </w:rPr>
      </w:pPr>
      <w:r w:rsidRPr="00C04B32">
        <w:rPr>
          <w:rFonts w:ascii="Palatino Linotype" w:hAnsi="Palatino Linotype" w:cs="Arial"/>
          <w:lang w:val="es-MX"/>
        </w:rPr>
        <w:t>En relación directa con ello, los Lineamientos en estudio</w:t>
      </w:r>
      <w:r w:rsidRPr="00C04B32">
        <w:rPr>
          <w:rFonts w:ascii="Palatino Linotype" w:hAnsi="Palatino Linotype"/>
          <w:lang w:val="es-MX"/>
        </w:rPr>
        <w:t xml:space="preserve"> establecen los formatos para la clasificación parcial y total de los documentos, que atienden a lo siguiente:</w:t>
      </w:r>
    </w:p>
    <w:tbl>
      <w:tblPr>
        <w:tblStyle w:val="Tabladelista1clara-nfasis12"/>
        <w:tblW w:w="0" w:type="auto"/>
        <w:tblLayout w:type="fixed"/>
        <w:tblLook w:val="04A0" w:firstRow="1" w:lastRow="0" w:firstColumn="1" w:lastColumn="0" w:noHBand="0" w:noVBand="1"/>
      </w:tblPr>
      <w:tblGrid>
        <w:gridCol w:w="1134"/>
        <w:gridCol w:w="3119"/>
        <w:gridCol w:w="1129"/>
        <w:gridCol w:w="3446"/>
      </w:tblGrid>
      <w:tr w:rsidR="00C04B32" w:rsidRPr="00C04B32" w14:paraId="43AE5038" w14:textId="77777777" w:rsidTr="00C04B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gridSpan w:val="2"/>
            <w:tcBorders>
              <w:top w:val="nil"/>
              <w:left w:val="nil"/>
              <w:right w:val="nil"/>
            </w:tcBorders>
            <w:hideMark/>
          </w:tcPr>
          <w:p w14:paraId="7A8EDEF8" w14:textId="77777777" w:rsidR="00C04B32" w:rsidRPr="00C04B32" w:rsidRDefault="00C04B32" w:rsidP="00C04B32">
            <w:pPr>
              <w:jc w:val="center"/>
              <w:rPr>
                <w:rFonts w:ascii="Palatino Linotype" w:hAnsi="Palatino Linotype"/>
                <w:sz w:val="12"/>
                <w:szCs w:val="12"/>
                <w:lang w:val="es-ES_tradnl"/>
              </w:rPr>
            </w:pPr>
            <w:r w:rsidRPr="00C04B32">
              <w:rPr>
                <w:rFonts w:ascii="Palatino Linotype" w:hAnsi="Palatino Linotype"/>
                <w:sz w:val="12"/>
                <w:szCs w:val="12"/>
                <w:lang w:val="es-ES_tradnl"/>
              </w:rPr>
              <w:t>Parcial</w:t>
            </w:r>
          </w:p>
        </w:tc>
        <w:tc>
          <w:tcPr>
            <w:tcW w:w="4575" w:type="dxa"/>
            <w:gridSpan w:val="2"/>
            <w:tcBorders>
              <w:top w:val="nil"/>
              <w:left w:val="nil"/>
              <w:right w:val="nil"/>
            </w:tcBorders>
            <w:hideMark/>
          </w:tcPr>
          <w:p w14:paraId="560CCA00" w14:textId="77777777" w:rsidR="00C04B32" w:rsidRPr="00C04B32" w:rsidRDefault="00C04B32" w:rsidP="00C04B32">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sz w:val="12"/>
                <w:szCs w:val="12"/>
                <w:lang w:val="es-ES_tradnl"/>
              </w:rPr>
            </w:pPr>
            <w:r w:rsidRPr="00C04B32">
              <w:rPr>
                <w:rFonts w:ascii="Palatino Linotype" w:hAnsi="Palatino Linotype"/>
                <w:sz w:val="12"/>
                <w:szCs w:val="12"/>
                <w:lang w:val="es-ES_tradnl"/>
              </w:rPr>
              <w:t>Total</w:t>
            </w:r>
          </w:p>
        </w:tc>
      </w:tr>
      <w:tr w:rsidR="00C04B32" w:rsidRPr="00C04B32" w14:paraId="2964559A" w14:textId="77777777" w:rsidTr="00C04B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hideMark/>
          </w:tcPr>
          <w:p w14:paraId="1148559B" w14:textId="77777777" w:rsidR="00C04B32" w:rsidRPr="00C04B32" w:rsidRDefault="00C04B32" w:rsidP="00C04B32">
            <w:pPr>
              <w:jc w:val="center"/>
              <w:rPr>
                <w:rFonts w:ascii="Palatino Linotype" w:hAnsi="Palatino Linotype"/>
                <w:sz w:val="12"/>
                <w:szCs w:val="12"/>
                <w:lang w:val="es-ES_tradnl"/>
              </w:rPr>
            </w:pPr>
            <w:r w:rsidRPr="00C04B32">
              <w:rPr>
                <w:rFonts w:ascii="Palatino Linotype" w:hAnsi="Palatino Linotype"/>
                <w:sz w:val="12"/>
                <w:szCs w:val="12"/>
                <w:lang w:val="es-ES_tradnl"/>
              </w:rPr>
              <w:t>Concepto</w:t>
            </w:r>
          </w:p>
        </w:tc>
        <w:tc>
          <w:tcPr>
            <w:tcW w:w="3119" w:type="dxa"/>
            <w:hideMark/>
          </w:tcPr>
          <w:p w14:paraId="1F08C5F2" w14:textId="77777777" w:rsidR="00C04B32" w:rsidRPr="00C04B32" w:rsidRDefault="00C04B32" w:rsidP="00C04B3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lang w:val="es-ES_tradnl"/>
              </w:rPr>
            </w:pPr>
            <w:r w:rsidRPr="00C04B32">
              <w:rPr>
                <w:rFonts w:ascii="Palatino Linotype" w:hAnsi="Palatino Linotype"/>
                <w:b/>
                <w:sz w:val="12"/>
                <w:szCs w:val="12"/>
                <w:lang w:val="es-ES_tradnl"/>
              </w:rPr>
              <w:t>Dónde</w:t>
            </w:r>
          </w:p>
        </w:tc>
        <w:tc>
          <w:tcPr>
            <w:tcW w:w="1129" w:type="dxa"/>
            <w:hideMark/>
          </w:tcPr>
          <w:p w14:paraId="2E9E95F4" w14:textId="77777777" w:rsidR="00C04B32" w:rsidRPr="00C04B32" w:rsidRDefault="00C04B32" w:rsidP="00C04B3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lang w:val="es-ES_tradnl"/>
              </w:rPr>
            </w:pPr>
            <w:r w:rsidRPr="00C04B32">
              <w:rPr>
                <w:rFonts w:ascii="Palatino Linotype" w:hAnsi="Palatino Linotype"/>
                <w:b/>
                <w:sz w:val="12"/>
                <w:szCs w:val="12"/>
                <w:lang w:val="es-ES_tradnl"/>
              </w:rPr>
              <w:t>Concepto</w:t>
            </w:r>
          </w:p>
        </w:tc>
        <w:tc>
          <w:tcPr>
            <w:tcW w:w="3446" w:type="dxa"/>
            <w:hideMark/>
          </w:tcPr>
          <w:p w14:paraId="14EB7E98" w14:textId="77777777" w:rsidR="00C04B32" w:rsidRPr="00C04B32" w:rsidRDefault="00C04B32" w:rsidP="00C04B3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lang w:val="es-ES_tradnl"/>
              </w:rPr>
            </w:pPr>
            <w:r w:rsidRPr="00C04B32">
              <w:rPr>
                <w:rFonts w:ascii="Palatino Linotype" w:hAnsi="Palatino Linotype"/>
                <w:b/>
                <w:sz w:val="12"/>
                <w:szCs w:val="12"/>
                <w:lang w:val="es-ES_tradnl"/>
              </w:rPr>
              <w:t>Dónde</w:t>
            </w:r>
          </w:p>
        </w:tc>
      </w:tr>
      <w:tr w:rsidR="00C04B32" w:rsidRPr="00C04B32" w14:paraId="46DA2A20" w14:textId="77777777" w:rsidTr="00C04B32">
        <w:tc>
          <w:tcPr>
            <w:cnfStyle w:val="001000000000" w:firstRow="0" w:lastRow="0" w:firstColumn="1" w:lastColumn="0" w:oddVBand="0" w:evenVBand="0" w:oddHBand="0" w:evenHBand="0" w:firstRowFirstColumn="0" w:firstRowLastColumn="0" w:lastRowFirstColumn="0" w:lastRowLastColumn="0"/>
            <w:tcW w:w="8828" w:type="dxa"/>
            <w:gridSpan w:val="4"/>
            <w:hideMark/>
          </w:tcPr>
          <w:p w14:paraId="0934BA42" w14:textId="77777777" w:rsidR="00C04B32" w:rsidRPr="00C04B32" w:rsidRDefault="00C04B32" w:rsidP="00C04B32">
            <w:pPr>
              <w:jc w:val="center"/>
              <w:rPr>
                <w:rFonts w:ascii="Palatino Linotype" w:hAnsi="Palatino Linotype"/>
                <w:sz w:val="12"/>
                <w:szCs w:val="12"/>
                <w:lang w:val="es-ES_tradnl"/>
              </w:rPr>
            </w:pPr>
            <w:r w:rsidRPr="00C04B32">
              <w:rPr>
                <w:rFonts w:ascii="Palatino Linotype" w:hAnsi="Palatino Linotype"/>
                <w:sz w:val="12"/>
                <w:szCs w:val="12"/>
                <w:lang w:val="es-ES_tradnl"/>
              </w:rPr>
              <w:t>Sello oficial o logotipo del sujeto obligado</w:t>
            </w:r>
          </w:p>
        </w:tc>
      </w:tr>
      <w:tr w:rsidR="00C04B32" w:rsidRPr="00C04B32" w14:paraId="5835DF8D" w14:textId="77777777" w:rsidTr="00C04B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hideMark/>
          </w:tcPr>
          <w:p w14:paraId="3A8EF7A6" w14:textId="77777777" w:rsidR="00C04B32" w:rsidRPr="00C04B32" w:rsidRDefault="00C04B32" w:rsidP="00C04B32">
            <w:pPr>
              <w:jc w:val="both"/>
              <w:rPr>
                <w:rFonts w:ascii="Palatino Linotype" w:hAnsi="Palatino Linotype"/>
                <w:sz w:val="12"/>
                <w:szCs w:val="12"/>
                <w:lang w:val="es-ES_tradnl"/>
              </w:rPr>
            </w:pPr>
            <w:r w:rsidRPr="00C04B32">
              <w:rPr>
                <w:rFonts w:ascii="Palatino Linotype" w:hAnsi="Palatino Linotype"/>
                <w:sz w:val="12"/>
                <w:szCs w:val="12"/>
                <w:lang w:val="es-ES_tradnl"/>
              </w:rPr>
              <w:t>Fecha de clasificación</w:t>
            </w:r>
          </w:p>
        </w:tc>
        <w:tc>
          <w:tcPr>
            <w:tcW w:w="3119" w:type="dxa"/>
            <w:hideMark/>
          </w:tcPr>
          <w:p w14:paraId="19BF75F8" w14:textId="77777777" w:rsidR="00C04B32" w:rsidRPr="00C04B32" w:rsidRDefault="00C04B32" w:rsidP="00C04B3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val="es-ES_tradnl"/>
              </w:rPr>
            </w:pPr>
            <w:r w:rsidRPr="00C04B32">
              <w:rPr>
                <w:rFonts w:ascii="Palatino Linotype" w:hAnsi="Palatino Linotype"/>
                <w:sz w:val="12"/>
                <w:szCs w:val="12"/>
                <w:lang w:val="es-ES_tradnl"/>
              </w:rPr>
              <w:t>Se anotará la fecha en la que el Comité de Transparencia confirmó la clasificación del documento, en su caso.</w:t>
            </w:r>
          </w:p>
        </w:tc>
        <w:tc>
          <w:tcPr>
            <w:tcW w:w="1129" w:type="dxa"/>
            <w:hideMark/>
          </w:tcPr>
          <w:p w14:paraId="611D7CB0" w14:textId="77777777" w:rsidR="00C04B32" w:rsidRPr="00C04B32" w:rsidRDefault="00C04B32" w:rsidP="00C04B3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lang w:val="es-ES_tradnl"/>
              </w:rPr>
            </w:pPr>
            <w:r w:rsidRPr="00C04B32">
              <w:rPr>
                <w:rFonts w:ascii="Palatino Linotype" w:hAnsi="Palatino Linotype"/>
                <w:b/>
                <w:sz w:val="12"/>
                <w:szCs w:val="12"/>
                <w:lang w:val="es-ES_tradnl"/>
              </w:rPr>
              <w:t>Fecha de clasificación</w:t>
            </w:r>
          </w:p>
        </w:tc>
        <w:tc>
          <w:tcPr>
            <w:tcW w:w="3446" w:type="dxa"/>
            <w:hideMark/>
          </w:tcPr>
          <w:p w14:paraId="434564B9" w14:textId="77777777" w:rsidR="00C04B32" w:rsidRPr="00C04B32" w:rsidRDefault="00C04B32" w:rsidP="00C04B3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val="es-ES_tradnl"/>
              </w:rPr>
            </w:pPr>
            <w:r w:rsidRPr="00C04B32">
              <w:rPr>
                <w:rFonts w:ascii="Palatino Linotype" w:hAnsi="Palatino Linotype"/>
                <w:sz w:val="12"/>
                <w:szCs w:val="12"/>
                <w:lang w:val="es-ES_tradnl"/>
              </w:rPr>
              <w:t>Se anotará la fecha en la que el Comité de Transparencia confirmó la clasificación del documento, en su caso.</w:t>
            </w:r>
          </w:p>
        </w:tc>
      </w:tr>
      <w:tr w:rsidR="00C04B32" w:rsidRPr="00C04B32" w14:paraId="6B258878" w14:textId="77777777" w:rsidTr="00C04B32">
        <w:tc>
          <w:tcPr>
            <w:cnfStyle w:val="001000000000" w:firstRow="0" w:lastRow="0" w:firstColumn="1" w:lastColumn="0" w:oddVBand="0" w:evenVBand="0" w:oddHBand="0" w:evenHBand="0" w:firstRowFirstColumn="0" w:firstRowLastColumn="0" w:lastRowFirstColumn="0" w:lastRowLastColumn="0"/>
            <w:tcW w:w="1134" w:type="dxa"/>
            <w:hideMark/>
          </w:tcPr>
          <w:p w14:paraId="25CE15F7" w14:textId="77777777" w:rsidR="00C04B32" w:rsidRPr="00C04B32" w:rsidRDefault="00C04B32" w:rsidP="00C04B32">
            <w:pPr>
              <w:jc w:val="both"/>
              <w:rPr>
                <w:rFonts w:ascii="Palatino Linotype" w:hAnsi="Palatino Linotype"/>
                <w:sz w:val="12"/>
                <w:szCs w:val="12"/>
                <w:lang w:val="es-ES_tradnl"/>
              </w:rPr>
            </w:pPr>
            <w:r w:rsidRPr="00C04B32">
              <w:rPr>
                <w:rFonts w:ascii="Palatino Linotype" w:hAnsi="Palatino Linotype"/>
                <w:sz w:val="12"/>
                <w:szCs w:val="12"/>
                <w:lang w:val="es-ES_tradnl"/>
              </w:rPr>
              <w:t>Área</w:t>
            </w:r>
          </w:p>
        </w:tc>
        <w:tc>
          <w:tcPr>
            <w:tcW w:w="3119" w:type="dxa"/>
            <w:hideMark/>
          </w:tcPr>
          <w:p w14:paraId="6E2D743A" w14:textId="77777777" w:rsidR="00C04B32" w:rsidRPr="00C04B32" w:rsidRDefault="00C04B32" w:rsidP="00C04B3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val="es-ES_tradnl"/>
              </w:rPr>
            </w:pPr>
            <w:r w:rsidRPr="00C04B32">
              <w:rPr>
                <w:rFonts w:ascii="Palatino Linotype" w:hAnsi="Palatino Linotype"/>
                <w:sz w:val="12"/>
                <w:szCs w:val="12"/>
                <w:lang w:val="es-ES_tradnl"/>
              </w:rPr>
              <w:t>Se señalará el nombre del área del cual es titular quien clasifica.</w:t>
            </w:r>
          </w:p>
        </w:tc>
        <w:tc>
          <w:tcPr>
            <w:tcW w:w="1129" w:type="dxa"/>
            <w:hideMark/>
          </w:tcPr>
          <w:p w14:paraId="60D0CA8E" w14:textId="77777777" w:rsidR="00C04B32" w:rsidRPr="00C04B32" w:rsidRDefault="00C04B32" w:rsidP="00C04B3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lang w:val="es-ES_tradnl"/>
              </w:rPr>
            </w:pPr>
            <w:r w:rsidRPr="00C04B32">
              <w:rPr>
                <w:rFonts w:ascii="Palatino Linotype" w:hAnsi="Palatino Linotype"/>
                <w:b/>
                <w:sz w:val="12"/>
                <w:szCs w:val="12"/>
                <w:lang w:val="es-ES_tradnl"/>
              </w:rPr>
              <w:t>Área</w:t>
            </w:r>
          </w:p>
        </w:tc>
        <w:tc>
          <w:tcPr>
            <w:tcW w:w="3446" w:type="dxa"/>
            <w:hideMark/>
          </w:tcPr>
          <w:p w14:paraId="44F7A298" w14:textId="77777777" w:rsidR="00C04B32" w:rsidRPr="00C04B32" w:rsidRDefault="00C04B32" w:rsidP="00C04B3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val="es-ES_tradnl"/>
              </w:rPr>
            </w:pPr>
            <w:r w:rsidRPr="00C04B32">
              <w:rPr>
                <w:rFonts w:ascii="Palatino Linotype" w:hAnsi="Palatino Linotype"/>
                <w:sz w:val="12"/>
                <w:szCs w:val="12"/>
                <w:lang w:val="es-ES_tradnl"/>
              </w:rPr>
              <w:t>Se señalará el nombre del área de la cual es el titular quien clasifica.</w:t>
            </w:r>
          </w:p>
        </w:tc>
      </w:tr>
      <w:tr w:rsidR="00C04B32" w:rsidRPr="00C04B32" w14:paraId="2B6CFE59" w14:textId="77777777" w:rsidTr="00C04B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hideMark/>
          </w:tcPr>
          <w:p w14:paraId="19F148F9" w14:textId="77777777" w:rsidR="00C04B32" w:rsidRPr="00C04B32" w:rsidRDefault="00C04B32" w:rsidP="00C04B32">
            <w:pPr>
              <w:jc w:val="both"/>
              <w:rPr>
                <w:rFonts w:ascii="Palatino Linotype" w:hAnsi="Palatino Linotype"/>
                <w:sz w:val="12"/>
                <w:szCs w:val="12"/>
                <w:lang w:val="es-ES_tradnl"/>
              </w:rPr>
            </w:pPr>
            <w:r w:rsidRPr="00C04B32">
              <w:rPr>
                <w:rFonts w:ascii="Palatino Linotype" w:hAnsi="Palatino Linotype"/>
                <w:sz w:val="12"/>
                <w:szCs w:val="12"/>
                <w:lang w:val="es-ES_tradnl"/>
              </w:rPr>
              <w:t>Información reservada</w:t>
            </w:r>
          </w:p>
        </w:tc>
        <w:tc>
          <w:tcPr>
            <w:tcW w:w="3119" w:type="dxa"/>
            <w:hideMark/>
          </w:tcPr>
          <w:p w14:paraId="58894927" w14:textId="77777777" w:rsidR="00C04B32" w:rsidRPr="00C04B32" w:rsidRDefault="00C04B32" w:rsidP="00C04B3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val="es-ES_tradnl"/>
              </w:rPr>
            </w:pPr>
            <w:r w:rsidRPr="00C04B32">
              <w:rPr>
                <w:rFonts w:ascii="Palatino Linotype" w:hAnsi="Palatino Linotype"/>
                <w:sz w:val="12"/>
                <w:szCs w:val="12"/>
                <w:lang w:val="es-ES_tradnl"/>
              </w:rPr>
              <w:t xml:space="preserve">Se indicarán, en su caso, las partes o páginas del documento que se clasifican como reservadas. Si el documento fuera reservado en su totalidad, se </w:t>
            </w:r>
            <w:proofErr w:type="gramStart"/>
            <w:r w:rsidRPr="00C04B32">
              <w:rPr>
                <w:rFonts w:ascii="Palatino Linotype" w:hAnsi="Palatino Linotype"/>
                <w:sz w:val="12"/>
                <w:szCs w:val="12"/>
                <w:lang w:val="es-ES_tradnl"/>
              </w:rPr>
              <w:t>anotarán</w:t>
            </w:r>
            <w:proofErr w:type="gramEnd"/>
            <w:r w:rsidRPr="00C04B32">
              <w:rPr>
                <w:rFonts w:ascii="Palatino Linotype" w:hAnsi="Palatino Linotype"/>
                <w:sz w:val="12"/>
                <w:szCs w:val="12"/>
                <w:lang w:val="es-ES_tradnl"/>
              </w:rPr>
              <w:t xml:space="preserve"> todas las páginas que lo conforman. Si el documento no contiene información reservada, se tachará este apartado.</w:t>
            </w:r>
          </w:p>
        </w:tc>
        <w:tc>
          <w:tcPr>
            <w:tcW w:w="1129" w:type="dxa"/>
            <w:hideMark/>
          </w:tcPr>
          <w:p w14:paraId="25C84F10" w14:textId="77777777" w:rsidR="00C04B32" w:rsidRPr="00C04B32" w:rsidRDefault="00C04B32" w:rsidP="00C04B3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lang w:val="es-ES_tradnl"/>
              </w:rPr>
            </w:pPr>
            <w:r w:rsidRPr="00C04B32">
              <w:rPr>
                <w:rFonts w:ascii="Palatino Linotype" w:hAnsi="Palatino Linotype"/>
                <w:b/>
                <w:sz w:val="12"/>
                <w:szCs w:val="12"/>
                <w:lang w:val="es-ES_tradnl"/>
              </w:rPr>
              <w:t>Reservado</w:t>
            </w:r>
          </w:p>
        </w:tc>
        <w:tc>
          <w:tcPr>
            <w:tcW w:w="3446" w:type="dxa"/>
            <w:hideMark/>
          </w:tcPr>
          <w:p w14:paraId="108DCFE3" w14:textId="77777777" w:rsidR="00C04B32" w:rsidRPr="00C04B32" w:rsidRDefault="00C04B32" w:rsidP="00C04B3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val="es-ES_tradnl"/>
              </w:rPr>
            </w:pPr>
            <w:r w:rsidRPr="00C04B32">
              <w:rPr>
                <w:rFonts w:ascii="Palatino Linotype" w:hAnsi="Palatino Linotype"/>
                <w:sz w:val="12"/>
                <w:szCs w:val="12"/>
                <w:lang w:val="es-ES_tradnl"/>
              </w:rPr>
              <w:t>Leyenda de información RESERVADA.</w:t>
            </w:r>
          </w:p>
        </w:tc>
      </w:tr>
      <w:tr w:rsidR="00C04B32" w:rsidRPr="00C04B32" w14:paraId="2DFE22E3" w14:textId="77777777" w:rsidTr="00C04B32">
        <w:tc>
          <w:tcPr>
            <w:cnfStyle w:val="001000000000" w:firstRow="0" w:lastRow="0" w:firstColumn="1" w:lastColumn="0" w:oddVBand="0" w:evenVBand="0" w:oddHBand="0" w:evenHBand="0" w:firstRowFirstColumn="0" w:firstRowLastColumn="0" w:lastRowFirstColumn="0" w:lastRowLastColumn="0"/>
            <w:tcW w:w="1134" w:type="dxa"/>
            <w:hideMark/>
          </w:tcPr>
          <w:p w14:paraId="0F666FBB" w14:textId="77777777" w:rsidR="00C04B32" w:rsidRPr="00C04B32" w:rsidRDefault="00C04B32" w:rsidP="00C04B32">
            <w:pPr>
              <w:jc w:val="both"/>
              <w:rPr>
                <w:rFonts w:ascii="Palatino Linotype" w:hAnsi="Palatino Linotype"/>
                <w:sz w:val="12"/>
                <w:szCs w:val="12"/>
                <w:lang w:val="es-ES_tradnl"/>
              </w:rPr>
            </w:pPr>
            <w:r w:rsidRPr="00C04B32">
              <w:rPr>
                <w:rFonts w:ascii="Palatino Linotype" w:hAnsi="Palatino Linotype"/>
                <w:sz w:val="12"/>
                <w:szCs w:val="12"/>
                <w:lang w:val="es-ES_tradnl"/>
              </w:rPr>
              <w:t>Fundamento legal</w:t>
            </w:r>
          </w:p>
        </w:tc>
        <w:tc>
          <w:tcPr>
            <w:tcW w:w="3119" w:type="dxa"/>
            <w:hideMark/>
          </w:tcPr>
          <w:p w14:paraId="67D912C7" w14:textId="77777777" w:rsidR="00C04B32" w:rsidRPr="00C04B32" w:rsidRDefault="00C04B32" w:rsidP="00C04B3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val="es-ES_tradnl"/>
              </w:rPr>
            </w:pPr>
            <w:r w:rsidRPr="00C04B32">
              <w:rPr>
                <w:rFonts w:ascii="Palatino Linotype" w:hAnsi="Palatino Linotype"/>
                <w:sz w:val="12"/>
                <w:szCs w:val="12"/>
                <w:lang w:val="es-ES_tradnl"/>
              </w:rPr>
              <w:t>Se señalará el nombre del ordenamiento, el o los artículos, fracción(es), párrafo(s) con base en los cuales se sustente la reserva.</w:t>
            </w:r>
          </w:p>
        </w:tc>
        <w:tc>
          <w:tcPr>
            <w:tcW w:w="1129" w:type="dxa"/>
            <w:hideMark/>
          </w:tcPr>
          <w:p w14:paraId="0DB23ED4" w14:textId="77777777" w:rsidR="00C04B32" w:rsidRPr="00C04B32" w:rsidRDefault="00C04B32" w:rsidP="00C04B3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lang w:val="es-ES_tradnl"/>
              </w:rPr>
            </w:pPr>
            <w:r w:rsidRPr="00C04B32">
              <w:rPr>
                <w:rFonts w:ascii="Palatino Linotype" w:hAnsi="Palatino Linotype"/>
                <w:b/>
                <w:sz w:val="12"/>
                <w:szCs w:val="12"/>
                <w:lang w:val="es-ES_tradnl"/>
              </w:rPr>
              <w:t>Periodo de reserva</w:t>
            </w:r>
          </w:p>
        </w:tc>
        <w:tc>
          <w:tcPr>
            <w:tcW w:w="3446" w:type="dxa"/>
            <w:hideMark/>
          </w:tcPr>
          <w:p w14:paraId="0A20F906" w14:textId="77777777" w:rsidR="00C04B32" w:rsidRPr="00C04B32" w:rsidRDefault="00C04B32" w:rsidP="00C04B3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val="es-ES_tradnl"/>
              </w:rPr>
            </w:pPr>
            <w:r w:rsidRPr="00C04B32">
              <w:rPr>
                <w:rFonts w:ascii="Palatino Linotype" w:hAnsi="Palatino Linotype"/>
                <w:sz w:val="12"/>
                <w:szCs w:val="12"/>
                <w:lang w:val="es-ES_tradnl"/>
              </w:rPr>
              <w:t>Se anotará el número de años o meses por los que se mantendrá el documento o las partes del mismo como reservado. Si el expediente no es reservado, sino confidencial, deberá tacharse este apartado.</w:t>
            </w:r>
          </w:p>
        </w:tc>
      </w:tr>
      <w:tr w:rsidR="00C04B32" w:rsidRPr="00C04B32" w14:paraId="7E5D7745" w14:textId="77777777" w:rsidTr="00C04B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hideMark/>
          </w:tcPr>
          <w:p w14:paraId="098D31CA" w14:textId="77777777" w:rsidR="00C04B32" w:rsidRPr="00C04B32" w:rsidRDefault="00C04B32" w:rsidP="00C04B32">
            <w:pPr>
              <w:jc w:val="both"/>
              <w:rPr>
                <w:rFonts w:ascii="Palatino Linotype" w:hAnsi="Palatino Linotype"/>
                <w:sz w:val="12"/>
                <w:szCs w:val="12"/>
                <w:lang w:val="es-ES_tradnl"/>
              </w:rPr>
            </w:pPr>
            <w:r w:rsidRPr="00C04B32">
              <w:rPr>
                <w:rFonts w:ascii="Palatino Linotype" w:hAnsi="Palatino Linotype"/>
                <w:sz w:val="12"/>
                <w:szCs w:val="12"/>
                <w:lang w:val="es-ES_tradnl"/>
              </w:rPr>
              <w:t>Ampliación del periodo de reserva</w:t>
            </w:r>
          </w:p>
        </w:tc>
        <w:tc>
          <w:tcPr>
            <w:tcW w:w="3119" w:type="dxa"/>
            <w:hideMark/>
          </w:tcPr>
          <w:p w14:paraId="08BBC543" w14:textId="77777777" w:rsidR="00C04B32" w:rsidRPr="00C04B32" w:rsidRDefault="00C04B32" w:rsidP="00C04B3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val="es-ES_tradnl"/>
              </w:rPr>
            </w:pPr>
            <w:r w:rsidRPr="00C04B32">
              <w:rPr>
                <w:rFonts w:ascii="Palatino Linotype" w:hAnsi="Palatino Linotype"/>
                <w:sz w:val="12"/>
                <w:szCs w:val="12"/>
                <w:lang w:val="es-ES_tradnl"/>
              </w:rPr>
              <w:t>En caso de haber solicitado la ampliación del periodo de reserva originalmente establecido, se deberá anotar el número de años o meses por los que se amplía la reserva.</w:t>
            </w:r>
          </w:p>
        </w:tc>
        <w:tc>
          <w:tcPr>
            <w:tcW w:w="1129" w:type="dxa"/>
            <w:hideMark/>
          </w:tcPr>
          <w:p w14:paraId="268B5BA1" w14:textId="77777777" w:rsidR="00C04B32" w:rsidRPr="00C04B32" w:rsidRDefault="00C04B32" w:rsidP="00C04B3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lang w:val="es-ES_tradnl"/>
              </w:rPr>
            </w:pPr>
            <w:r w:rsidRPr="00C04B32">
              <w:rPr>
                <w:rFonts w:ascii="Palatino Linotype" w:hAnsi="Palatino Linotype"/>
                <w:b/>
                <w:sz w:val="12"/>
                <w:szCs w:val="12"/>
                <w:lang w:val="es-ES_tradnl"/>
              </w:rPr>
              <w:t>Fundamento legal</w:t>
            </w:r>
          </w:p>
        </w:tc>
        <w:tc>
          <w:tcPr>
            <w:tcW w:w="3446" w:type="dxa"/>
            <w:hideMark/>
          </w:tcPr>
          <w:p w14:paraId="4B47037C" w14:textId="77777777" w:rsidR="00C04B32" w:rsidRPr="00C04B32" w:rsidRDefault="00C04B32" w:rsidP="00C04B3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val="es-ES_tradnl"/>
              </w:rPr>
            </w:pPr>
            <w:r w:rsidRPr="00C04B32">
              <w:rPr>
                <w:rFonts w:ascii="Palatino Linotype" w:hAnsi="Palatino Linotype"/>
                <w:sz w:val="12"/>
                <w:szCs w:val="12"/>
                <w:lang w:val="es-ES_tradnl"/>
              </w:rPr>
              <w:t>Se señalará el nombre del o de los ordenamientos jurídicos, el o los artículos, fracción(es), párrafo(s) con base en los cuales se sustenta la reserva.</w:t>
            </w:r>
          </w:p>
        </w:tc>
      </w:tr>
      <w:tr w:rsidR="00C04B32" w:rsidRPr="00C04B32" w14:paraId="08FAB559" w14:textId="77777777" w:rsidTr="00C04B32">
        <w:tc>
          <w:tcPr>
            <w:cnfStyle w:val="001000000000" w:firstRow="0" w:lastRow="0" w:firstColumn="1" w:lastColumn="0" w:oddVBand="0" w:evenVBand="0" w:oddHBand="0" w:evenHBand="0" w:firstRowFirstColumn="0" w:firstRowLastColumn="0" w:lastRowFirstColumn="0" w:lastRowLastColumn="0"/>
            <w:tcW w:w="1134" w:type="dxa"/>
            <w:hideMark/>
          </w:tcPr>
          <w:p w14:paraId="62B5A05A" w14:textId="77777777" w:rsidR="00C04B32" w:rsidRPr="00C04B32" w:rsidRDefault="00C04B32" w:rsidP="00C04B32">
            <w:pPr>
              <w:jc w:val="both"/>
              <w:rPr>
                <w:rFonts w:ascii="Palatino Linotype" w:hAnsi="Palatino Linotype"/>
                <w:sz w:val="12"/>
                <w:szCs w:val="12"/>
                <w:lang w:val="es-ES_tradnl"/>
              </w:rPr>
            </w:pPr>
            <w:r w:rsidRPr="00C04B32">
              <w:rPr>
                <w:rFonts w:ascii="Palatino Linotype" w:hAnsi="Palatino Linotype"/>
                <w:sz w:val="12"/>
                <w:szCs w:val="12"/>
                <w:lang w:val="es-ES_tradnl"/>
              </w:rPr>
              <w:t>Confidencial</w:t>
            </w:r>
          </w:p>
        </w:tc>
        <w:tc>
          <w:tcPr>
            <w:tcW w:w="3119" w:type="dxa"/>
            <w:hideMark/>
          </w:tcPr>
          <w:p w14:paraId="6CD59A7F" w14:textId="77777777" w:rsidR="00C04B32" w:rsidRPr="00C04B32" w:rsidRDefault="00C04B32" w:rsidP="00C04B3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val="es-ES_tradnl"/>
              </w:rPr>
            </w:pPr>
            <w:r w:rsidRPr="00C04B32">
              <w:rPr>
                <w:rFonts w:ascii="Palatino Linotype" w:hAnsi="Palatino Linotype"/>
                <w:sz w:val="12"/>
                <w:szCs w:val="12"/>
                <w:lang w:val="es-ES_tradnl"/>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1129" w:type="dxa"/>
            <w:hideMark/>
          </w:tcPr>
          <w:p w14:paraId="5994F95D" w14:textId="77777777" w:rsidR="00C04B32" w:rsidRPr="00C04B32" w:rsidRDefault="00C04B32" w:rsidP="00C04B3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lang w:val="es-ES_tradnl"/>
              </w:rPr>
            </w:pPr>
            <w:r w:rsidRPr="00C04B32">
              <w:rPr>
                <w:rFonts w:ascii="Palatino Linotype" w:hAnsi="Palatino Linotype"/>
                <w:b/>
                <w:sz w:val="12"/>
                <w:szCs w:val="12"/>
                <w:lang w:val="es-ES_tradnl"/>
              </w:rPr>
              <w:t>Ampliación del periodo de reserva</w:t>
            </w:r>
          </w:p>
        </w:tc>
        <w:tc>
          <w:tcPr>
            <w:tcW w:w="3446" w:type="dxa"/>
            <w:hideMark/>
          </w:tcPr>
          <w:p w14:paraId="432F4F1C" w14:textId="77777777" w:rsidR="00C04B32" w:rsidRPr="00C04B32" w:rsidRDefault="00C04B32" w:rsidP="00C04B3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val="es-ES_tradnl"/>
              </w:rPr>
            </w:pPr>
            <w:r w:rsidRPr="00C04B32">
              <w:rPr>
                <w:rFonts w:ascii="Palatino Linotype" w:hAnsi="Palatino Linotype"/>
                <w:sz w:val="12"/>
                <w:szCs w:val="12"/>
                <w:lang w:val="es-ES_tradnl"/>
              </w:rPr>
              <w:t>En caso de haber solicitado la ampliación del periodo de reserva originalmente establecido, se deberá anotar el número de años o meses por los que se amplía la reserva.</w:t>
            </w:r>
          </w:p>
        </w:tc>
      </w:tr>
      <w:tr w:rsidR="00C04B32" w:rsidRPr="00C04B32" w14:paraId="6D475EDA" w14:textId="77777777" w:rsidTr="00C04B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hideMark/>
          </w:tcPr>
          <w:p w14:paraId="150BD873" w14:textId="77777777" w:rsidR="00C04B32" w:rsidRPr="00C04B32" w:rsidRDefault="00C04B32" w:rsidP="00C04B32">
            <w:pPr>
              <w:jc w:val="both"/>
              <w:rPr>
                <w:rFonts w:ascii="Palatino Linotype" w:hAnsi="Palatino Linotype"/>
                <w:sz w:val="12"/>
                <w:szCs w:val="12"/>
                <w:lang w:val="es-ES_tradnl"/>
              </w:rPr>
            </w:pPr>
            <w:r w:rsidRPr="00C04B32">
              <w:rPr>
                <w:rFonts w:ascii="Palatino Linotype" w:hAnsi="Palatino Linotype"/>
                <w:sz w:val="12"/>
                <w:szCs w:val="12"/>
                <w:lang w:val="es-ES_tradnl"/>
              </w:rPr>
              <w:t>Fundamento legal</w:t>
            </w:r>
          </w:p>
        </w:tc>
        <w:tc>
          <w:tcPr>
            <w:tcW w:w="3119" w:type="dxa"/>
            <w:hideMark/>
          </w:tcPr>
          <w:p w14:paraId="027B6156" w14:textId="77777777" w:rsidR="00C04B32" w:rsidRPr="00C04B32" w:rsidRDefault="00C04B32" w:rsidP="00C04B3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val="es-ES_tradnl"/>
              </w:rPr>
            </w:pPr>
            <w:r w:rsidRPr="00C04B32">
              <w:rPr>
                <w:rFonts w:ascii="Palatino Linotype" w:hAnsi="Palatino Linotype"/>
                <w:sz w:val="12"/>
                <w:szCs w:val="12"/>
                <w:lang w:val="es-ES_tradnl"/>
              </w:rPr>
              <w:t>Se señalará el nombre del ordenamiento, el o los artículos, fracción(es), párrafo(s) con base en los cuales se sustente la confidencialidad.</w:t>
            </w:r>
          </w:p>
        </w:tc>
        <w:tc>
          <w:tcPr>
            <w:tcW w:w="1129" w:type="dxa"/>
            <w:hideMark/>
          </w:tcPr>
          <w:p w14:paraId="5251E480" w14:textId="77777777" w:rsidR="00C04B32" w:rsidRPr="00C04B32" w:rsidRDefault="00C04B32" w:rsidP="00C04B3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lang w:val="es-ES_tradnl"/>
              </w:rPr>
            </w:pPr>
            <w:r w:rsidRPr="00C04B32">
              <w:rPr>
                <w:rFonts w:ascii="Palatino Linotype" w:hAnsi="Palatino Linotype"/>
                <w:b/>
                <w:sz w:val="12"/>
                <w:szCs w:val="12"/>
                <w:lang w:val="es-ES_tradnl"/>
              </w:rPr>
              <w:t>Confidencial</w:t>
            </w:r>
          </w:p>
        </w:tc>
        <w:tc>
          <w:tcPr>
            <w:tcW w:w="3446" w:type="dxa"/>
            <w:hideMark/>
          </w:tcPr>
          <w:p w14:paraId="2AB7EE8D" w14:textId="77777777" w:rsidR="00C04B32" w:rsidRPr="00C04B32" w:rsidRDefault="00C04B32" w:rsidP="00C04B3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val="es-ES_tradnl"/>
              </w:rPr>
            </w:pPr>
            <w:r w:rsidRPr="00C04B32">
              <w:rPr>
                <w:rFonts w:ascii="Palatino Linotype" w:hAnsi="Palatino Linotype"/>
                <w:sz w:val="12"/>
                <w:szCs w:val="12"/>
                <w:lang w:val="es-ES_tradnl"/>
              </w:rPr>
              <w:t>Leyenda de información CONFIDENCIAL.</w:t>
            </w:r>
          </w:p>
        </w:tc>
      </w:tr>
      <w:tr w:rsidR="00C04B32" w:rsidRPr="00C04B32" w14:paraId="32A22EC2" w14:textId="77777777" w:rsidTr="00C04B32">
        <w:tc>
          <w:tcPr>
            <w:cnfStyle w:val="001000000000" w:firstRow="0" w:lastRow="0" w:firstColumn="1" w:lastColumn="0" w:oddVBand="0" w:evenVBand="0" w:oddHBand="0" w:evenHBand="0" w:firstRowFirstColumn="0" w:firstRowLastColumn="0" w:lastRowFirstColumn="0" w:lastRowLastColumn="0"/>
            <w:tcW w:w="1134" w:type="dxa"/>
            <w:hideMark/>
          </w:tcPr>
          <w:p w14:paraId="660EC3E9" w14:textId="77777777" w:rsidR="00C04B32" w:rsidRPr="00C04B32" w:rsidRDefault="00C04B32" w:rsidP="00C04B32">
            <w:pPr>
              <w:jc w:val="both"/>
              <w:rPr>
                <w:rFonts w:ascii="Palatino Linotype" w:hAnsi="Palatino Linotype"/>
                <w:sz w:val="12"/>
                <w:szCs w:val="12"/>
                <w:lang w:val="es-ES_tradnl"/>
              </w:rPr>
            </w:pPr>
            <w:r w:rsidRPr="00C04B32">
              <w:rPr>
                <w:rFonts w:ascii="Palatino Linotype" w:hAnsi="Palatino Linotype"/>
                <w:sz w:val="12"/>
                <w:szCs w:val="12"/>
                <w:lang w:val="es-ES_tradnl"/>
              </w:rPr>
              <w:t>Rúbrica del titular del área</w:t>
            </w:r>
          </w:p>
        </w:tc>
        <w:tc>
          <w:tcPr>
            <w:tcW w:w="3119" w:type="dxa"/>
            <w:hideMark/>
          </w:tcPr>
          <w:p w14:paraId="5F7E9F14" w14:textId="77777777" w:rsidR="00C04B32" w:rsidRPr="00C04B32" w:rsidRDefault="00C04B32" w:rsidP="00C04B3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val="es-ES_tradnl"/>
              </w:rPr>
            </w:pPr>
            <w:r w:rsidRPr="00C04B32">
              <w:rPr>
                <w:rFonts w:ascii="Palatino Linotype" w:hAnsi="Palatino Linotype"/>
                <w:sz w:val="12"/>
                <w:szCs w:val="12"/>
                <w:lang w:val="es-ES_tradnl"/>
              </w:rPr>
              <w:t>Rúbrica autógrafa de quien clasifica.</w:t>
            </w:r>
          </w:p>
        </w:tc>
        <w:tc>
          <w:tcPr>
            <w:tcW w:w="1129" w:type="dxa"/>
            <w:hideMark/>
          </w:tcPr>
          <w:p w14:paraId="17A9AF84" w14:textId="77777777" w:rsidR="00C04B32" w:rsidRPr="00C04B32" w:rsidRDefault="00C04B32" w:rsidP="00C04B3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lang w:val="es-ES_tradnl"/>
              </w:rPr>
            </w:pPr>
            <w:r w:rsidRPr="00C04B32">
              <w:rPr>
                <w:rFonts w:ascii="Palatino Linotype" w:hAnsi="Palatino Linotype"/>
                <w:b/>
                <w:sz w:val="12"/>
                <w:szCs w:val="12"/>
                <w:lang w:val="es-ES_tradnl"/>
              </w:rPr>
              <w:t>Fundamento legal</w:t>
            </w:r>
          </w:p>
        </w:tc>
        <w:tc>
          <w:tcPr>
            <w:tcW w:w="3446" w:type="dxa"/>
            <w:hideMark/>
          </w:tcPr>
          <w:p w14:paraId="63BF07FC" w14:textId="77777777" w:rsidR="00C04B32" w:rsidRPr="00C04B32" w:rsidRDefault="00C04B32" w:rsidP="00C04B3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val="es-ES_tradnl"/>
              </w:rPr>
            </w:pPr>
            <w:r w:rsidRPr="00C04B32">
              <w:rPr>
                <w:rFonts w:ascii="Palatino Linotype" w:hAnsi="Palatino Linotype"/>
                <w:sz w:val="12"/>
                <w:szCs w:val="12"/>
                <w:lang w:val="es-ES_tradnl"/>
              </w:rPr>
              <w:t>Se señalará el nombre del o de los ordenamientos jurídicos, el o los artículos, fracción(es), párrafo(s) con base en los cuales se sustente la confidencialidad.</w:t>
            </w:r>
          </w:p>
        </w:tc>
      </w:tr>
      <w:tr w:rsidR="00C04B32" w:rsidRPr="00C04B32" w14:paraId="73652393" w14:textId="77777777" w:rsidTr="00C04B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hideMark/>
          </w:tcPr>
          <w:p w14:paraId="12E884A6" w14:textId="77777777" w:rsidR="00C04B32" w:rsidRPr="00C04B32" w:rsidRDefault="00C04B32" w:rsidP="00C04B32">
            <w:pPr>
              <w:jc w:val="both"/>
              <w:rPr>
                <w:rFonts w:ascii="Palatino Linotype" w:hAnsi="Palatino Linotype"/>
                <w:sz w:val="12"/>
                <w:szCs w:val="12"/>
                <w:lang w:val="es-ES_tradnl"/>
              </w:rPr>
            </w:pPr>
            <w:r w:rsidRPr="00C04B32">
              <w:rPr>
                <w:rFonts w:ascii="Palatino Linotype" w:hAnsi="Palatino Linotype"/>
                <w:sz w:val="12"/>
                <w:szCs w:val="12"/>
                <w:lang w:val="es-ES_tradnl"/>
              </w:rPr>
              <w:t>Fecha de desclasificación</w:t>
            </w:r>
          </w:p>
        </w:tc>
        <w:tc>
          <w:tcPr>
            <w:tcW w:w="3119" w:type="dxa"/>
            <w:hideMark/>
          </w:tcPr>
          <w:p w14:paraId="7D35824F" w14:textId="77777777" w:rsidR="00C04B32" w:rsidRPr="00C04B32" w:rsidRDefault="00C04B32" w:rsidP="00C04B3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val="es-ES_tradnl"/>
              </w:rPr>
            </w:pPr>
            <w:r w:rsidRPr="00C04B32">
              <w:rPr>
                <w:rFonts w:ascii="Palatino Linotype" w:hAnsi="Palatino Linotype"/>
                <w:sz w:val="12"/>
                <w:szCs w:val="12"/>
                <w:lang w:val="es-ES_tradnl"/>
              </w:rPr>
              <w:t>Se anotará la fecha en que se desclasifica el documento.</w:t>
            </w:r>
          </w:p>
        </w:tc>
        <w:tc>
          <w:tcPr>
            <w:tcW w:w="1129" w:type="dxa"/>
            <w:hideMark/>
          </w:tcPr>
          <w:p w14:paraId="08D4FEC6" w14:textId="77777777" w:rsidR="00C04B32" w:rsidRPr="00C04B32" w:rsidRDefault="00C04B32" w:rsidP="00C04B3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lang w:val="es-ES_tradnl"/>
              </w:rPr>
            </w:pPr>
            <w:r w:rsidRPr="00C04B32">
              <w:rPr>
                <w:rFonts w:ascii="Palatino Linotype" w:hAnsi="Palatino Linotype"/>
                <w:b/>
                <w:sz w:val="12"/>
                <w:szCs w:val="12"/>
                <w:lang w:val="es-ES_tradnl"/>
              </w:rPr>
              <w:t>Rúbrica del titular del área</w:t>
            </w:r>
          </w:p>
        </w:tc>
        <w:tc>
          <w:tcPr>
            <w:tcW w:w="3446" w:type="dxa"/>
            <w:hideMark/>
          </w:tcPr>
          <w:p w14:paraId="6E3E9EF6" w14:textId="77777777" w:rsidR="00C04B32" w:rsidRPr="00C04B32" w:rsidRDefault="00C04B32" w:rsidP="00C04B3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val="es-ES_tradnl"/>
              </w:rPr>
            </w:pPr>
            <w:r w:rsidRPr="00C04B32">
              <w:rPr>
                <w:rFonts w:ascii="Palatino Linotype" w:hAnsi="Palatino Linotype"/>
                <w:sz w:val="12"/>
                <w:szCs w:val="12"/>
                <w:lang w:val="es-ES_tradnl"/>
              </w:rPr>
              <w:t>Rúbrica autógrafa de quien clasifica.</w:t>
            </w:r>
          </w:p>
        </w:tc>
      </w:tr>
      <w:tr w:rsidR="00C04B32" w:rsidRPr="00C04B32" w14:paraId="4FB17252" w14:textId="77777777" w:rsidTr="00C04B32">
        <w:tc>
          <w:tcPr>
            <w:cnfStyle w:val="001000000000" w:firstRow="0" w:lastRow="0" w:firstColumn="1" w:lastColumn="0" w:oddVBand="0" w:evenVBand="0" w:oddHBand="0" w:evenHBand="0" w:firstRowFirstColumn="0" w:firstRowLastColumn="0" w:lastRowFirstColumn="0" w:lastRowLastColumn="0"/>
            <w:tcW w:w="1134" w:type="dxa"/>
            <w:hideMark/>
          </w:tcPr>
          <w:p w14:paraId="0A12A0F0" w14:textId="77777777" w:rsidR="00C04B32" w:rsidRPr="00C04B32" w:rsidRDefault="00C04B32" w:rsidP="00C04B32">
            <w:pPr>
              <w:jc w:val="both"/>
              <w:rPr>
                <w:rFonts w:ascii="Palatino Linotype" w:hAnsi="Palatino Linotype"/>
                <w:sz w:val="12"/>
                <w:szCs w:val="12"/>
                <w:lang w:val="es-ES_tradnl"/>
              </w:rPr>
            </w:pPr>
            <w:r w:rsidRPr="00C04B32">
              <w:rPr>
                <w:rFonts w:ascii="Palatino Linotype" w:hAnsi="Palatino Linotype"/>
                <w:sz w:val="12"/>
                <w:szCs w:val="12"/>
                <w:lang w:val="es-ES_tradnl"/>
              </w:rPr>
              <w:t>Rúbrica y cargo del servidor público</w:t>
            </w:r>
          </w:p>
        </w:tc>
        <w:tc>
          <w:tcPr>
            <w:tcW w:w="3119" w:type="dxa"/>
            <w:hideMark/>
          </w:tcPr>
          <w:p w14:paraId="07B4C546" w14:textId="77777777" w:rsidR="00C04B32" w:rsidRPr="00C04B32" w:rsidRDefault="00C04B32" w:rsidP="00C04B3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val="es-ES_tradnl"/>
              </w:rPr>
            </w:pPr>
            <w:r w:rsidRPr="00C04B32">
              <w:rPr>
                <w:rFonts w:ascii="Palatino Linotype" w:hAnsi="Palatino Linotype"/>
                <w:sz w:val="12"/>
                <w:szCs w:val="12"/>
                <w:lang w:val="es-ES_tradnl"/>
              </w:rPr>
              <w:t>Rúbrica autógrafa de quien desclasifica.</w:t>
            </w:r>
          </w:p>
        </w:tc>
        <w:tc>
          <w:tcPr>
            <w:tcW w:w="1129" w:type="dxa"/>
            <w:hideMark/>
          </w:tcPr>
          <w:p w14:paraId="3D00B6BE" w14:textId="77777777" w:rsidR="00C04B32" w:rsidRPr="00C04B32" w:rsidRDefault="00C04B32" w:rsidP="00C04B3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lang w:val="es-ES_tradnl"/>
              </w:rPr>
            </w:pPr>
            <w:r w:rsidRPr="00C04B32">
              <w:rPr>
                <w:rFonts w:ascii="Palatino Linotype" w:hAnsi="Palatino Linotype"/>
                <w:b/>
                <w:sz w:val="12"/>
                <w:szCs w:val="12"/>
                <w:lang w:val="es-ES_tradnl"/>
              </w:rPr>
              <w:t>Fecha de desclasificación</w:t>
            </w:r>
          </w:p>
        </w:tc>
        <w:tc>
          <w:tcPr>
            <w:tcW w:w="3446" w:type="dxa"/>
            <w:hideMark/>
          </w:tcPr>
          <w:p w14:paraId="5F6F6639" w14:textId="77777777" w:rsidR="00C04B32" w:rsidRPr="00C04B32" w:rsidRDefault="00C04B32" w:rsidP="00C04B3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val="es-ES_tradnl"/>
              </w:rPr>
            </w:pPr>
            <w:r w:rsidRPr="00C04B32">
              <w:rPr>
                <w:rFonts w:ascii="Palatino Linotype" w:hAnsi="Palatino Linotype"/>
                <w:sz w:val="12"/>
                <w:szCs w:val="12"/>
                <w:lang w:val="es-ES_tradnl"/>
              </w:rPr>
              <w:t>Se anotará la fecha en que se desclasifica.</w:t>
            </w:r>
          </w:p>
        </w:tc>
      </w:tr>
      <w:tr w:rsidR="00C04B32" w:rsidRPr="00C04B32" w14:paraId="02B707E6" w14:textId="77777777" w:rsidTr="00C04B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657B96EB" w14:textId="77777777" w:rsidR="00C04B32" w:rsidRPr="00C04B32" w:rsidRDefault="00C04B32" w:rsidP="00C04B32">
            <w:pPr>
              <w:jc w:val="both"/>
              <w:rPr>
                <w:rFonts w:ascii="Palatino Linotype" w:hAnsi="Palatino Linotype"/>
                <w:sz w:val="12"/>
                <w:szCs w:val="12"/>
                <w:lang w:val="es-ES_tradnl"/>
              </w:rPr>
            </w:pPr>
          </w:p>
        </w:tc>
        <w:tc>
          <w:tcPr>
            <w:tcW w:w="3119" w:type="dxa"/>
          </w:tcPr>
          <w:p w14:paraId="51599B1F" w14:textId="77777777" w:rsidR="00C04B32" w:rsidRPr="00C04B32" w:rsidRDefault="00C04B32" w:rsidP="00C04B3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val="es-ES_tradnl"/>
              </w:rPr>
            </w:pPr>
          </w:p>
        </w:tc>
        <w:tc>
          <w:tcPr>
            <w:tcW w:w="1129" w:type="dxa"/>
            <w:hideMark/>
          </w:tcPr>
          <w:p w14:paraId="75A0E7B9" w14:textId="77777777" w:rsidR="00C04B32" w:rsidRPr="00C04B32" w:rsidRDefault="00C04B32" w:rsidP="00C04B3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lang w:val="es-ES_tradnl"/>
              </w:rPr>
            </w:pPr>
            <w:r w:rsidRPr="00C04B32">
              <w:rPr>
                <w:rFonts w:ascii="Palatino Linotype" w:hAnsi="Palatino Linotype"/>
                <w:b/>
                <w:sz w:val="12"/>
                <w:szCs w:val="12"/>
                <w:lang w:val="es-ES_tradnl"/>
              </w:rPr>
              <w:t>Partes o secciones reservadas o confidenciales</w:t>
            </w:r>
          </w:p>
        </w:tc>
        <w:tc>
          <w:tcPr>
            <w:tcW w:w="3446" w:type="dxa"/>
            <w:hideMark/>
          </w:tcPr>
          <w:p w14:paraId="38E6A0E3" w14:textId="77777777" w:rsidR="00C04B32" w:rsidRPr="00C04B32" w:rsidRDefault="00C04B32" w:rsidP="00C04B3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val="es-ES_tradnl"/>
              </w:rPr>
            </w:pPr>
            <w:r w:rsidRPr="00C04B32">
              <w:rPr>
                <w:rFonts w:ascii="Palatino Linotype" w:hAnsi="Palatino Linotype"/>
                <w:sz w:val="12"/>
                <w:szCs w:val="12"/>
                <w:lang w:val="es-ES_tradnl"/>
              </w:rPr>
              <w:t xml:space="preserve">En caso que una vez desclasificado el expediente, </w:t>
            </w:r>
            <w:proofErr w:type="spellStart"/>
            <w:r w:rsidRPr="00C04B32">
              <w:rPr>
                <w:rFonts w:ascii="Palatino Linotype" w:hAnsi="Palatino Linotype"/>
                <w:sz w:val="12"/>
                <w:szCs w:val="12"/>
                <w:lang w:val="es-ES_tradnl"/>
              </w:rPr>
              <w:t>subsistanpartes</w:t>
            </w:r>
            <w:proofErr w:type="spellEnd"/>
            <w:r w:rsidRPr="00C04B32">
              <w:rPr>
                <w:rFonts w:ascii="Palatino Linotype" w:hAnsi="Palatino Linotype"/>
                <w:sz w:val="12"/>
                <w:szCs w:val="12"/>
                <w:lang w:val="es-ES_tradnl"/>
              </w:rPr>
              <w:t xml:space="preserve"> o secciones del mismo reservadas o confidenciales, se señalará este hecho.</w:t>
            </w:r>
          </w:p>
        </w:tc>
      </w:tr>
      <w:tr w:rsidR="00C04B32" w:rsidRPr="00C04B32" w14:paraId="5C1FFB8B" w14:textId="77777777" w:rsidTr="00C04B32">
        <w:tc>
          <w:tcPr>
            <w:cnfStyle w:val="001000000000" w:firstRow="0" w:lastRow="0" w:firstColumn="1" w:lastColumn="0" w:oddVBand="0" w:evenVBand="0" w:oddHBand="0" w:evenHBand="0" w:firstRowFirstColumn="0" w:firstRowLastColumn="0" w:lastRowFirstColumn="0" w:lastRowLastColumn="0"/>
            <w:tcW w:w="1134" w:type="dxa"/>
          </w:tcPr>
          <w:p w14:paraId="42B6B774" w14:textId="77777777" w:rsidR="00C04B32" w:rsidRPr="00C04B32" w:rsidRDefault="00C04B32" w:rsidP="00C04B32">
            <w:pPr>
              <w:jc w:val="both"/>
              <w:rPr>
                <w:rFonts w:ascii="Palatino Linotype" w:hAnsi="Palatino Linotype"/>
                <w:sz w:val="12"/>
                <w:szCs w:val="12"/>
                <w:lang w:val="es-ES_tradnl"/>
              </w:rPr>
            </w:pPr>
          </w:p>
        </w:tc>
        <w:tc>
          <w:tcPr>
            <w:tcW w:w="3119" w:type="dxa"/>
          </w:tcPr>
          <w:p w14:paraId="76A8C01F" w14:textId="77777777" w:rsidR="00C04B32" w:rsidRPr="00C04B32" w:rsidRDefault="00C04B32" w:rsidP="00C04B3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val="es-ES_tradnl"/>
              </w:rPr>
            </w:pPr>
          </w:p>
        </w:tc>
        <w:tc>
          <w:tcPr>
            <w:tcW w:w="1129" w:type="dxa"/>
            <w:hideMark/>
          </w:tcPr>
          <w:p w14:paraId="42DF5415" w14:textId="77777777" w:rsidR="00C04B32" w:rsidRPr="00C04B32" w:rsidRDefault="00C04B32" w:rsidP="00C04B3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lang w:val="es-ES_tradnl"/>
              </w:rPr>
            </w:pPr>
            <w:r w:rsidRPr="00C04B32">
              <w:rPr>
                <w:rFonts w:ascii="Palatino Linotype" w:hAnsi="Palatino Linotype"/>
                <w:b/>
                <w:sz w:val="12"/>
                <w:szCs w:val="12"/>
                <w:lang w:val="es-ES_tradnl"/>
              </w:rPr>
              <w:t>Rúbrica y cargo del servidor público</w:t>
            </w:r>
          </w:p>
        </w:tc>
        <w:tc>
          <w:tcPr>
            <w:tcW w:w="3446" w:type="dxa"/>
            <w:hideMark/>
          </w:tcPr>
          <w:p w14:paraId="0CA975FC" w14:textId="77777777" w:rsidR="00C04B32" w:rsidRPr="00C04B32" w:rsidRDefault="00C04B32" w:rsidP="00C04B3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val="es-ES_tradnl"/>
              </w:rPr>
            </w:pPr>
            <w:r w:rsidRPr="00C04B32">
              <w:rPr>
                <w:rFonts w:ascii="Palatino Linotype" w:hAnsi="Palatino Linotype"/>
                <w:sz w:val="12"/>
                <w:szCs w:val="12"/>
                <w:lang w:val="es-ES_tradnl"/>
              </w:rPr>
              <w:t>Rúbrica autógrafa de quien desclasifica.</w:t>
            </w:r>
          </w:p>
        </w:tc>
      </w:tr>
    </w:tbl>
    <w:p w14:paraId="5201E9C6" w14:textId="77777777" w:rsidR="00C04B32" w:rsidRPr="00C04B32" w:rsidRDefault="00C04B32" w:rsidP="00C04B32">
      <w:pPr>
        <w:autoSpaceDE w:val="0"/>
        <w:autoSpaceDN w:val="0"/>
        <w:adjustRightInd w:val="0"/>
        <w:spacing w:before="240" w:after="240" w:line="360" w:lineRule="auto"/>
        <w:jc w:val="both"/>
        <w:rPr>
          <w:rFonts w:ascii="Palatino Linotype" w:hAnsi="Palatino Linotype" w:cs="Arial"/>
        </w:rPr>
      </w:pPr>
      <w:r w:rsidRPr="00C04B32">
        <w:rPr>
          <w:rFonts w:ascii="Palatino Linotype" w:hAnsi="Palatino Linotype" w:cs="Arial"/>
        </w:rPr>
        <w:lastRenderedPageBreak/>
        <w:t>Efectivamente, cuando se clasifica información como confidencial es importante someterlo al Comité de Transparencia, quien debe confirmar, modificar o revocar la clasificación.</w:t>
      </w:r>
    </w:p>
    <w:p w14:paraId="2E722873" w14:textId="30EA871D" w:rsidR="00C04B32" w:rsidRPr="00C04B32" w:rsidRDefault="00C04B32" w:rsidP="00C04B32">
      <w:pPr>
        <w:autoSpaceDE w:val="0"/>
        <w:autoSpaceDN w:val="0"/>
        <w:adjustRightInd w:val="0"/>
        <w:spacing w:before="240" w:after="240" w:line="360" w:lineRule="auto"/>
        <w:jc w:val="both"/>
        <w:rPr>
          <w:rFonts w:ascii="Palatino Linotype" w:hAnsi="Palatino Linotype" w:cs="Arial"/>
        </w:rPr>
      </w:pPr>
      <w:r w:rsidRPr="00C04B32">
        <w:rPr>
          <w:rFonts w:ascii="Palatino Linotype" w:hAnsi="Palatino Linotype" w:cs="Arial"/>
        </w:rPr>
        <w:t>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w:t>
      </w:r>
      <w:r w:rsidR="00DD7845">
        <w:rPr>
          <w:rFonts w:ascii="Palatino Linotype" w:hAnsi="Palatino Linotype" w:cs="Arial"/>
        </w:rPr>
        <w:t xml:space="preserve">rá hacerse del conocimiento de la parte </w:t>
      </w:r>
      <w:r w:rsidRPr="00C04B32">
        <w:rPr>
          <w:rFonts w:ascii="Palatino Linotype" w:hAnsi="Palatino Linotype" w:cs="Arial"/>
        </w:rPr>
        <w:t>Recurrente.</w:t>
      </w:r>
    </w:p>
    <w:p w14:paraId="05F34351" w14:textId="1E2E039C" w:rsidR="00C04B32" w:rsidRPr="00C04B32" w:rsidRDefault="00C04B32" w:rsidP="00C04B32">
      <w:pPr>
        <w:spacing w:before="240" w:after="240" w:line="360" w:lineRule="auto"/>
        <w:ind w:right="49"/>
        <w:jc w:val="both"/>
        <w:rPr>
          <w:rFonts w:ascii="Palatino Linotype" w:hAnsi="Palatino Linotype"/>
        </w:rPr>
      </w:pPr>
      <w:r w:rsidRPr="00C04B32">
        <w:rPr>
          <w:rFonts w:ascii="Palatino Linotype" w:hAnsi="Palatino Linotype"/>
        </w:rPr>
        <w:t>Por lo expuesto, con fundamento en el artículo 186 fracción III de la Ley de Transparencia y Acceso a la Información Pública del Estado de México y Municipios, este Órgano Garante considera procedente</w:t>
      </w:r>
      <w:r w:rsidRPr="00C04B32">
        <w:rPr>
          <w:rFonts w:ascii="Palatino Linotype" w:hAnsi="Palatino Linotype"/>
          <w:b/>
        </w:rPr>
        <w:t xml:space="preserve"> </w:t>
      </w:r>
      <w:r w:rsidR="00DC5FE5">
        <w:rPr>
          <w:rFonts w:ascii="Palatino Linotype" w:hAnsi="Palatino Linotype"/>
          <w:b/>
        </w:rPr>
        <w:t xml:space="preserve">revocar las respuestas </w:t>
      </w:r>
      <w:r w:rsidRPr="00C04B32">
        <w:rPr>
          <w:rFonts w:ascii="Palatino Linotype" w:hAnsi="Palatino Linotype"/>
          <w:b/>
        </w:rPr>
        <w:t xml:space="preserve">ordenar </w:t>
      </w:r>
      <w:r w:rsidRPr="00C04B32">
        <w:rPr>
          <w:rFonts w:ascii="Palatino Linotype" w:hAnsi="Palatino Linotype"/>
        </w:rPr>
        <w:t>la entrega de la información</w:t>
      </w:r>
      <w:r w:rsidR="00476CF8">
        <w:rPr>
          <w:rFonts w:ascii="Palatino Linotype" w:hAnsi="Palatino Linotype"/>
        </w:rPr>
        <w:t xml:space="preserve"> requerida</w:t>
      </w:r>
      <w:r w:rsidRPr="00C04B32">
        <w:rPr>
          <w:rFonts w:ascii="Palatino Linotype" w:hAnsi="Palatino Linotype"/>
        </w:rPr>
        <w:t>.</w:t>
      </w:r>
    </w:p>
    <w:p w14:paraId="6EEC3C5D" w14:textId="6389D2EF" w:rsidR="00C04B32" w:rsidRDefault="00C04B32" w:rsidP="00C04B32">
      <w:pPr>
        <w:shd w:val="clear" w:color="auto" w:fill="FFFFFF"/>
        <w:spacing w:before="240" w:after="240" w:line="360" w:lineRule="auto"/>
        <w:jc w:val="both"/>
        <w:rPr>
          <w:rFonts w:ascii="Palatino Linotype" w:hAnsi="Palatino Linotype" w:cs="Arial"/>
          <w:lang w:eastAsia="es-MX"/>
        </w:rPr>
      </w:pPr>
      <w:r w:rsidRPr="00C04B32">
        <w:rPr>
          <w:rFonts w:ascii="Palatino Linotype" w:hAnsi="Palatino Linotype" w:cs="Arial"/>
          <w:lang w:eastAsia="es-MX"/>
        </w:rPr>
        <w:t xml:space="preserve">Así, con fundamento en lo prescrito en los artículos 5 párrafos vigésimo segundo, vigésimo tercero y vigésimo cuarto de la Constitución Política del Estado Libre y Soberano de México; 2, fracción II; 29, 36 fracciones I y II; 176, 178, 179, fracción I, </w:t>
      </w:r>
      <w:r w:rsidRPr="00C04B32">
        <w:rPr>
          <w:rFonts w:ascii="Palatino Linotype" w:hAnsi="Palatino Linotype" w:cs="Arial"/>
          <w:lang w:eastAsia="es-MX"/>
        </w:rPr>
        <w:lastRenderedPageBreak/>
        <w:t>181, 185 de la Ley de Transparencia y Acceso a la Información Pública del Estado de México y Municipios, este Pleno:</w:t>
      </w:r>
    </w:p>
    <w:p w14:paraId="63829D9A" w14:textId="77777777" w:rsidR="00C04B32" w:rsidRPr="00C04B32" w:rsidRDefault="00C04B32" w:rsidP="00B17D48">
      <w:pPr>
        <w:numPr>
          <w:ilvl w:val="0"/>
          <w:numId w:val="4"/>
        </w:numPr>
        <w:spacing w:before="240" w:after="240" w:line="360" w:lineRule="auto"/>
        <w:ind w:left="426"/>
        <w:jc w:val="center"/>
        <w:rPr>
          <w:rFonts w:ascii="Palatino Linotype" w:hAnsi="Palatino Linotype" w:cs="Arial"/>
          <w:b/>
        </w:rPr>
      </w:pPr>
      <w:r w:rsidRPr="00C04B32">
        <w:rPr>
          <w:rFonts w:ascii="Palatino Linotype" w:hAnsi="Palatino Linotype" w:cs="Arial"/>
          <w:b/>
        </w:rPr>
        <w:t>R E S U E L V E</w:t>
      </w:r>
    </w:p>
    <w:p w14:paraId="24E507F2" w14:textId="5E91CA7B" w:rsidR="00C04B32" w:rsidRPr="00C04B32" w:rsidRDefault="00C04B32" w:rsidP="00C04B32">
      <w:pPr>
        <w:autoSpaceDE w:val="0"/>
        <w:autoSpaceDN w:val="0"/>
        <w:adjustRightInd w:val="0"/>
        <w:spacing w:before="240" w:after="240" w:line="360" w:lineRule="auto"/>
        <w:jc w:val="both"/>
        <w:rPr>
          <w:rFonts w:ascii="Palatino Linotype" w:hAnsi="Palatino Linotype" w:cs="Arial"/>
        </w:rPr>
      </w:pPr>
      <w:r w:rsidRPr="00C04B32">
        <w:rPr>
          <w:rFonts w:ascii="Palatino Linotype" w:hAnsi="Palatino Linotype" w:cs="Arial"/>
          <w:b/>
        </w:rPr>
        <w:t>Primero</w:t>
      </w:r>
      <w:r w:rsidRPr="00C04B32">
        <w:rPr>
          <w:rFonts w:ascii="Palatino Linotype" w:hAnsi="Palatino Linotype" w:cs="Arial"/>
        </w:rPr>
        <w:t>. Resulta</w:t>
      </w:r>
      <w:r w:rsidR="00771606">
        <w:rPr>
          <w:rFonts w:ascii="Palatino Linotype" w:hAnsi="Palatino Linotype" w:cs="Arial"/>
        </w:rPr>
        <w:t>n</w:t>
      </w:r>
      <w:r w:rsidRPr="00C04B32">
        <w:rPr>
          <w:rFonts w:ascii="Palatino Linotype" w:hAnsi="Palatino Linotype" w:cs="Arial"/>
        </w:rPr>
        <w:t xml:space="preserve"> </w:t>
      </w:r>
      <w:r w:rsidRPr="00C04B32">
        <w:rPr>
          <w:rFonts w:ascii="Palatino Linotype" w:hAnsi="Palatino Linotype" w:cs="Arial"/>
          <w:b/>
        </w:rPr>
        <w:t>fundado</w:t>
      </w:r>
      <w:r w:rsidR="00771606">
        <w:rPr>
          <w:rFonts w:ascii="Palatino Linotype" w:hAnsi="Palatino Linotype" w:cs="Arial"/>
          <w:b/>
        </w:rPr>
        <w:t>s</w:t>
      </w:r>
      <w:r w:rsidR="00771606">
        <w:rPr>
          <w:rFonts w:ascii="Palatino Linotype" w:hAnsi="Palatino Linotype" w:cs="Arial"/>
        </w:rPr>
        <w:t xml:space="preserve"> los </w:t>
      </w:r>
      <w:r w:rsidRPr="00C04B32">
        <w:rPr>
          <w:rFonts w:ascii="Palatino Linotype" w:hAnsi="Palatino Linotype" w:cs="Arial"/>
        </w:rPr>
        <w:t>motivo</w:t>
      </w:r>
      <w:r w:rsidR="00771606">
        <w:rPr>
          <w:rFonts w:ascii="Palatino Linotype" w:hAnsi="Palatino Linotype" w:cs="Arial"/>
        </w:rPr>
        <w:t>s</w:t>
      </w:r>
      <w:r w:rsidRPr="00C04B32">
        <w:rPr>
          <w:rFonts w:ascii="Palatino Linotype" w:hAnsi="Palatino Linotype" w:cs="Arial"/>
        </w:rPr>
        <w:t xml:space="preserve"> de inconformidad planteado</w:t>
      </w:r>
      <w:r w:rsidR="00771606">
        <w:rPr>
          <w:rFonts w:ascii="Palatino Linotype" w:hAnsi="Palatino Linotype" w:cs="Arial"/>
        </w:rPr>
        <w:t>s</w:t>
      </w:r>
      <w:r w:rsidRPr="00C04B32">
        <w:rPr>
          <w:rFonts w:ascii="Palatino Linotype" w:hAnsi="Palatino Linotype" w:cs="Arial"/>
        </w:rPr>
        <w:t xml:space="preserve"> por el recurrente</w:t>
      </w:r>
      <w:r w:rsidRPr="00C04B32">
        <w:rPr>
          <w:rFonts w:ascii="Palatino Linotype" w:hAnsi="Palatino Linotype" w:cs="Arial"/>
          <w:b/>
          <w:i/>
        </w:rPr>
        <w:t xml:space="preserve"> </w:t>
      </w:r>
      <w:r w:rsidR="00771606">
        <w:rPr>
          <w:rFonts w:ascii="Palatino Linotype" w:eastAsia="Palatino Linotype" w:hAnsi="Palatino Linotype" w:cs="Palatino Linotype"/>
        </w:rPr>
        <w:t>en los</w:t>
      </w:r>
      <w:r w:rsidRPr="00C04B32">
        <w:rPr>
          <w:rFonts w:ascii="Palatino Linotype" w:eastAsia="Palatino Linotype" w:hAnsi="Palatino Linotype" w:cs="Palatino Linotype"/>
        </w:rPr>
        <w:t xml:space="preserve"> recurso</w:t>
      </w:r>
      <w:r w:rsidR="00771606">
        <w:rPr>
          <w:rFonts w:ascii="Palatino Linotype" w:eastAsia="Palatino Linotype" w:hAnsi="Palatino Linotype" w:cs="Palatino Linotype"/>
        </w:rPr>
        <w:t>s</w:t>
      </w:r>
      <w:r w:rsidRPr="00C04B32">
        <w:rPr>
          <w:rFonts w:ascii="Palatino Linotype" w:eastAsia="Palatino Linotype" w:hAnsi="Palatino Linotype" w:cs="Palatino Linotype"/>
        </w:rPr>
        <w:t xml:space="preserve"> de revisión </w:t>
      </w:r>
      <w:r w:rsidR="00771606">
        <w:rPr>
          <w:rFonts w:ascii="Palatino Linotype" w:eastAsia="Palatino Linotype" w:hAnsi="Palatino Linotype" w:cs="Palatino Linotype"/>
          <w:b/>
        </w:rPr>
        <w:t>04769</w:t>
      </w:r>
      <w:r w:rsidRPr="00C04B32">
        <w:rPr>
          <w:rFonts w:ascii="Palatino Linotype" w:eastAsia="Palatino Linotype" w:hAnsi="Palatino Linotype" w:cs="Palatino Linotype"/>
          <w:b/>
        </w:rPr>
        <w:t>/INFOEM/IP/RR/2021</w:t>
      </w:r>
      <w:r w:rsidR="00771606">
        <w:rPr>
          <w:rFonts w:ascii="Palatino Linotype" w:eastAsia="Palatino Linotype" w:hAnsi="Palatino Linotype" w:cs="Palatino Linotype"/>
          <w:b/>
        </w:rPr>
        <w:t xml:space="preserve"> y 04770</w:t>
      </w:r>
      <w:r w:rsidR="00771606" w:rsidRPr="00C04B32">
        <w:rPr>
          <w:rFonts w:ascii="Palatino Linotype" w:eastAsia="Palatino Linotype" w:hAnsi="Palatino Linotype" w:cs="Palatino Linotype"/>
          <w:b/>
        </w:rPr>
        <w:t>/INFOEM/IP/RR/2021</w:t>
      </w:r>
      <w:r w:rsidRPr="00C04B32">
        <w:rPr>
          <w:rFonts w:ascii="Palatino Linotype" w:eastAsia="Palatino Linotype" w:hAnsi="Palatino Linotype" w:cs="Palatino Linotype"/>
        </w:rPr>
        <w:t xml:space="preserve">, por lo que, </w:t>
      </w:r>
      <w:r w:rsidRPr="00C04B32">
        <w:rPr>
          <w:rFonts w:ascii="Palatino Linotype" w:hAnsi="Palatino Linotype" w:cs="Arial"/>
        </w:rPr>
        <w:t xml:space="preserve">en términos del </w:t>
      </w:r>
      <w:r w:rsidRPr="00C04B32">
        <w:rPr>
          <w:rFonts w:ascii="Palatino Linotype" w:hAnsi="Palatino Linotype" w:cs="Arial"/>
          <w:b/>
        </w:rPr>
        <w:t>Considerando Cuarto</w:t>
      </w:r>
      <w:r w:rsidRPr="00C04B32">
        <w:rPr>
          <w:rFonts w:ascii="Palatino Linotype" w:hAnsi="Palatino Linotype" w:cs="Arial"/>
        </w:rPr>
        <w:t xml:space="preserve"> de la presente resolución, se </w:t>
      </w:r>
      <w:r w:rsidR="00472DA4">
        <w:rPr>
          <w:rFonts w:ascii="Palatino Linotype" w:hAnsi="Palatino Linotype" w:cs="Arial"/>
          <w:b/>
        </w:rPr>
        <w:t>REVO</w:t>
      </w:r>
      <w:r w:rsidRPr="00C04B32">
        <w:rPr>
          <w:rFonts w:ascii="Palatino Linotype" w:hAnsi="Palatino Linotype" w:cs="Arial"/>
          <w:b/>
        </w:rPr>
        <w:t>CA</w:t>
      </w:r>
      <w:r w:rsidR="00771606">
        <w:rPr>
          <w:rFonts w:ascii="Palatino Linotype" w:hAnsi="Palatino Linotype" w:cs="Arial"/>
          <w:b/>
        </w:rPr>
        <w:t>N</w:t>
      </w:r>
      <w:r w:rsidR="00771606">
        <w:rPr>
          <w:rFonts w:ascii="Palatino Linotype" w:hAnsi="Palatino Linotype" w:cs="Arial"/>
        </w:rPr>
        <w:t xml:space="preserve"> las </w:t>
      </w:r>
      <w:r w:rsidRPr="00C04B32">
        <w:rPr>
          <w:rFonts w:ascii="Palatino Linotype" w:hAnsi="Palatino Linotype" w:cs="Arial"/>
        </w:rPr>
        <w:t>respuesta</w:t>
      </w:r>
      <w:r w:rsidR="00771606">
        <w:rPr>
          <w:rFonts w:ascii="Palatino Linotype" w:hAnsi="Palatino Linotype" w:cs="Arial"/>
        </w:rPr>
        <w:t>s</w:t>
      </w:r>
      <w:r w:rsidRPr="00C04B32">
        <w:rPr>
          <w:rFonts w:ascii="Palatino Linotype" w:hAnsi="Palatino Linotype" w:cs="Arial"/>
        </w:rPr>
        <w:t xml:space="preserve"> emitida</w:t>
      </w:r>
      <w:r w:rsidR="00771606">
        <w:rPr>
          <w:rFonts w:ascii="Palatino Linotype" w:hAnsi="Palatino Linotype" w:cs="Arial"/>
        </w:rPr>
        <w:t>s</w:t>
      </w:r>
      <w:r w:rsidRPr="00C04B32">
        <w:rPr>
          <w:rFonts w:ascii="Palatino Linotype" w:hAnsi="Palatino Linotype" w:cs="Arial"/>
        </w:rPr>
        <w:t xml:space="preserve"> por el </w:t>
      </w:r>
      <w:r w:rsidR="00771606">
        <w:rPr>
          <w:rFonts w:ascii="Palatino Linotype" w:hAnsi="Palatino Linotype" w:cs="Arial"/>
          <w:b/>
        </w:rPr>
        <w:t>Ayuntamiento de Tenancingo</w:t>
      </w:r>
      <w:r w:rsidRPr="00C04B32">
        <w:rPr>
          <w:rFonts w:ascii="Palatino Linotype" w:hAnsi="Palatino Linotype" w:cs="Arial"/>
        </w:rPr>
        <w:t>.</w:t>
      </w:r>
    </w:p>
    <w:p w14:paraId="016E9114" w14:textId="5B4AF567" w:rsidR="00C04B32" w:rsidRPr="00C04B32" w:rsidRDefault="00C04B32" w:rsidP="00C04B32">
      <w:pPr>
        <w:spacing w:before="240" w:after="240" w:line="360" w:lineRule="auto"/>
        <w:ind w:right="49"/>
        <w:jc w:val="both"/>
        <w:rPr>
          <w:rFonts w:ascii="Palatino Linotype" w:eastAsia="Palatino Linotype" w:hAnsi="Palatino Linotype" w:cs="Palatino Linotype"/>
        </w:rPr>
      </w:pPr>
      <w:r w:rsidRPr="00C04B32">
        <w:rPr>
          <w:rFonts w:ascii="Palatino Linotype" w:hAnsi="Palatino Linotype" w:cs="Arial"/>
          <w:b/>
        </w:rPr>
        <w:t>Segundo.</w:t>
      </w:r>
      <w:r w:rsidRPr="00C04B32">
        <w:rPr>
          <w:rFonts w:ascii="Palatino Linotype" w:hAnsi="Palatino Linotype" w:cs="Arial"/>
          <w:b/>
          <w:sz w:val="28"/>
        </w:rPr>
        <w:t xml:space="preserve"> </w:t>
      </w:r>
      <w:r w:rsidRPr="00C04B32">
        <w:rPr>
          <w:rFonts w:ascii="Palatino Linotype" w:hAnsi="Palatino Linotype" w:cs="Arial"/>
        </w:rPr>
        <w:t>Se</w:t>
      </w:r>
      <w:r w:rsidRPr="00C04B32">
        <w:rPr>
          <w:rFonts w:ascii="Palatino Linotype" w:hAnsi="Palatino Linotype" w:cs="Arial"/>
          <w:b/>
        </w:rPr>
        <w:t xml:space="preserve"> ORDENA </w:t>
      </w:r>
      <w:r w:rsidRPr="00C04B32">
        <w:rPr>
          <w:rFonts w:ascii="Palatino Linotype" w:hAnsi="Palatino Linotype" w:cs="Arial"/>
        </w:rPr>
        <w:t xml:space="preserve">al Sujeto Obligado que en términos de los </w:t>
      </w:r>
      <w:r w:rsidRPr="00C04B32">
        <w:rPr>
          <w:rFonts w:ascii="Palatino Linotype" w:hAnsi="Palatino Linotype" w:cs="Arial"/>
          <w:b/>
        </w:rPr>
        <w:t>Considerandos Cuarto y Quinto</w:t>
      </w:r>
      <w:r w:rsidRPr="00C04B32">
        <w:rPr>
          <w:rFonts w:ascii="Palatino Linotype" w:hAnsi="Palatino Linotype" w:cs="Arial"/>
        </w:rPr>
        <w:t xml:space="preserve"> de esta resolución</w:t>
      </w:r>
      <w:r w:rsidRPr="00C04B32">
        <w:rPr>
          <w:rFonts w:ascii="Palatino Linotype" w:hAnsi="Palatino Linotype"/>
          <w:bCs/>
        </w:rPr>
        <w:t xml:space="preserve"> </w:t>
      </w:r>
      <w:r w:rsidRPr="00C04B32">
        <w:rPr>
          <w:rFonts w:ascii="Palatino Linotype" w:eastAsia="Palatino Linotype" w:hAnsi="Palatino Linotype" w:cs="Palatino Linotype"/>
        </w:rPr>
        <w:t xml:space="preserve">haga entrega al recurrente </w:t>
      </w:r>
      <w:r w:rsidRPr="00C04B32">
        <w:rPr>
          <w:rFonts w:ascii="Palatino Linotype" w:hAnsi="Palatino Linotype"/>
        </w:rPr>
        <w:t xml:space="preserve">a través del </w:t>
      </w:r>
      <w:r w:rsidRPr="00C04B32">
        <w:rPr>
          <w:rFonts w:ascii="Palatino Linotype" w:hAnsi="Palatino Linotype"/>
          <w:b/>
        </w:rPr>
        <w:t>SAIMEX</w:t>
      </w:r>
      <w:r w:rsidR="00771606">
        <w:rPr>
          <w:rFonts w:ascii="Palatino Linotype" w:hAnsi="Palatino Linotype"/>
          <w:b/>
        </w:rPr>
        <w:t xml:space="preserve">, </w:t>
      </w:r>
      <w:r w:rsidRPr="00C04B32">
        <w:rPr>
          <w:rFonts w:ascii="Palatino Linotype" w:eastAsia="Palatino Linotype" w:hAnsi="Palatino Linotype" w:cs="Palatino Linotype"/>
        </w:rPr>
        <w:t xml:space="preserve">en </w:t>
      </w:r>
      <w:r w:rsidRPr="00AC4A52">
        <w:rPr>
          <w:rFonts w:ascii="Palatino Linotype" w:eastAsia="Palatino Linotype" w:hAnsi="Palatino Linotype" w:cs="Palatino Linotype"/>
          <w:b/>
        </w:rPr>
        <w:t>versión pública</w:t>
      </w:r>
      <w:r w:rsidRPr="00C04B32">
        <w:rPr>
          <w:rFonts w:ascii="Palatino Linotype" w:eastAsia="Palatino Linotype" w:hAnsi="Palatino Linotype" w:cs="Palatino Linotype"/>
        </w:rPr>
        <w:t xml:space="preserve">, </w:t>
      </w:r>
      <w:r w:rsidR="00DF7EA6" w:rsidRPr="00DF7EA6">
        <w:rPr>
          <w:rFonts w:ascii="Palatino Linotype" w:hAnsi="Palatino Linotype"/>
        </w:rPr>
        <w:t xml:space="preserve">del soporte documental en donde conste </w:t>
      </w:r>
      <w:r w:rsidRPr="00C04B32">
        <w:rPr>
          <w:rFonts w:ascii="Palatino Linotype" w:eastAsia="Palatino Linotype" w:hAnsi="Palatino Linotype" w:cs="Palatino Linotype"/>
        </w:rPr>
        <w:t>lo siguiente:</w:t>
      </w:r>
    </w:p>
    <w:p w14:paraId="7C6004C5" w14:textId="52130BEF" w:rsidR="00F75609" w:rsidRPr="00F75609" w:rsidRDefault="00E825CB" w:rsidP="00F75609">
      <w:pPr>
        <w:pStyle w:val="Prrafodelista"/>
        <w:ind w:left="567" w:right="474"/>
        <w:jc w:val="both"/>
        <w:rPr>
          <w:rFonts w:ascii="Palatino Linotype" w:hAnsi="Palatino Linotype"/>
          <w:b/>
        </w:rPr>
      </w:pPr>
      <w:r w:rsidRPr="00E825CB">
        <w:rPr>
          <w:rFonts w:ascii="Palatino Linotype" w:hAnsi="Palatino Linotype"/>
          <w:b/>
        </w:rPr>
        <w:t>De los años 2019, 2020 y del 1 de enero al 11 de agosto de 2021:</w:t>
      </w:r>
    </w:p>
    <w:p w14:paraId="4D28298A" w14:textId="1905A460" w:rsidR="00F75609" w:rsidRPr="00F75609" w:rsidRDefault="00F75609" w:rsidP="00F75609">
      <w:pPr>
        <w:numPr>
          <w:ilvl w:val="0"/>
          <w:numId w:val="16"/>
        </w:numPr>
        <w:spacing w:before="100" w:beforeAutospacing="1" w:after="100" w:afterAutospacing="1" w:line="360" w:lineRule="auto"/>
        <w:ind w:right="900"/>
        <w:jc w:val="both"/>
        <w:rPr>
          <w:rFonts w:ascii="Palatino Linotype" w:hAnsi="Palatino Linotype"/>
          <w:sz w:val="22"/>
          <w:szCs w:val="22"/>
        </w:rPr>
      </w:pPr>
      <w:r w:rsidRPr="00F75609">
        <w:rPr>
          <w:rFonts w:ascii="Palatino Linotype" w:hAnsi="Palatino Linotype" w:cs="Arial"/>
          <w:sz w:val="22"/>
          <w:szCs w:val="22"/>
        </w:rPr>
        <w:t>Los procedimientos por faltas graves condenatorias y que hayan causado estado.</w:t>
      </w:r>
    </w:p>
    <w:p w14:paraId="18CE7E22" w14:textId="087FB48B" w:rsidR="00F75609" w:rsidRPr="00F75609" w:rsidRDefault="00F75609" w:rsidP="00F75609">
      <w:pPr>
        <w:numPr>
          <w:ilvl w:val="0"/>
          <w:numId w:val="16"/>
        </w:numPr>
        <w:spacing w:before="100" w:beforeAutospacing="1" w:after="100" w:afterAutospacing="1" w:line="360" w:lineRule="auto"/>
        <w:ind w:right="900"/>
        <w:jc w:val="both"/>
        <w:rPr>
          <w:rFonts w:ascii="Palatino Linotype" w:hAnsi="Palatino Linotype"/>
          <w:sz w:val="22"/>
          <w:szCs w:val="22"/>
        </w:rPr>
      </w:pPr>
      <w:r w:rsidRPr="00F75609">
        <w:rPr>
          <w:rFonts w:ascii="Palatino Linotype" w:hAnsi="Palatino Linotype" w:cs="Arial"/>
          <w:sz w:val="22"/>
          <w:szCs w:val="22"/>
        </w:rPr>
        <w:t>Los procedimientos por faltas graves absolutorias y que hayan causado estado (</w:t>
      </w:r>
      <w:r w:rsidRPr="00F75609">
        <w:rPr>
          <w:rFonts w:ascii="Palatino Linotype" w:hAnsi="Palatino Linotype"/>
          <w:i/>
        </w:rPr>
        <w:t>clasificando como confidencial el nombre y cargo)</w:t>
      </w:r>
      <w:r w:rsidRPr="00F75609">
        <w:rPr>
          <w:rFonts w:ascii="Palatino Linotype" w:hAnsi="Palatino Linotype" w:cs="Arial"/>
          <w:sz w:val="22"/>
          <w:szCs w:val="22"/>
        </w:rPr>
        <w:t>.</w:t>
      </w:r>
    </w:p>
    <w:p w14:paraId="061FAA58" w14:textId="06479168" w:rsidR="00F75609" w:rsidRPr="00F75609" w:rsidRDefault="00F75609" w:rsidP="00F75609">
      <w:pPr>
        <w:numPr>
          <w:ilvl w:val="0"/>
          <w:numId w:val="16"/>
        </w:numPr>
        <w:spacing w:before="240" w:after="240" w:line="360" w:lineRule="auto"/>
        <w:ind w:right="900"/>
        <w:contextualSpacing/>
        <w:jc w:val="both"/>
        <w:rPr>
          <w:rFonts w:ascii="Palatino Linotype" w:hAnsi="Palatino Linotype" w:cs="Arial"/>
          <w:sz w:val="22"/>
          <w:szCs w:val="22"/>
        </w:rPr>
      </w:pPr>
      <w:r w:rsidRPr="00F75609">
        <w:rPr>
          <w:rFonts w:ascii="Palatino Linotype" w:hAnsi="Palatino Linotype"/>
        </w:rPr>
        <w:t>Los procedimientos concluidos por faltas no graves (</w:t>
      </w:r>
      <w:r w:rsidRPr="00F75609">
        <w:rPr>
          <w:rFonts w:ascii="Palatino Linotype" w:hAnsi="Palatino Linotype"/>
          <w:i/>
        </w:rPr>
        <w:t>clasificando como confidencial el nombre y cargo y sanción</w:t>
      </w:r>
      <w:r w:rsidRPr="00F75609">
        <w:rPr>
          <w:rFonts w:ascii="Palatino Linotype" w:hAnsi="Palatino Linotype"/>
        </w:rPr>
        <w:t>).</w:t>
      </w:r>
    </w:p>
    <w:p w14:paraId="07D6A2E7" w14:textId="77777777" w:rsidR="00F75609" w:rsidRPr="00F75609" w:rsidRDefault="00F75609" w:rsidP="00F75609">
      <w:pPr>
        <w:spacing w:before="240" w:after="240"/>
        <w:ind w:left="567" w:right="900"/>
        <w:contextualSpacing/>
        <w:jc w:val="both"/>
        <w:rPr>
          <w:rFonts w:ascii="Palatino Linotype" w:hAnsi="Palatino Linotype"/>
          <w:i/>
          <w:iCs/>
          <w:sz w:val="22"/>
          <w:szCs w:val="22"/>
        </w:rPr>
      </w:pPr>
      <w:r w:rsidRPr="00F75609">
        <w:rPr>
          <w:rFonts w:ascii="Palatino Linotype" w:hAnsi="Palatino Linotype"/>
          <w:i/>
          <w:iCs/>
          <w:sz w:val="22"/>
          <w:szCs w:val="22"/>
        </w:rPr>
        <w:t>Debiendo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 mismo que igualmente hará de su conocimiento.</w:t>
      </w:r>
    </w:p>
    <w:p w14:paraId="50341C7B" w14:textId="77777777" w:rsidR="00F75609" w:rsidRPr="00F75609" w:rsidRDefault="00F75609" w:rsidP="00F75609">
      <w:pPr>
        <w:spacing w:before="240" w:after="240" w:line="360" w:lineRule="auto"/>
        <w:ind w:left="720" w:right="51"/>
        <w:contextualSpacing/>
        <w:jc w:val="both"/>
        <w:rPr>
          <w:rFonts w:ascii="Palatino Linotype" w:hAnsi="Palatino Linotype" w:cs="Arial"/>
          <w:sz w:val="22"/>
          <w:szCs w:val="22"/>
        </w:rPr>
      </w:pPr>
    </w:p>
    <w:p w14:paraId="7A358D19" w14:textId="117A04B0" w:rsidR="00F75609" w:rsidRPr="00F75609" w:rsidRDefault="00F75609" w:rsidP="00EA46BA">
      <w:pPr>
        <w:numPr>
          <w:ilvl w:val="0"/>
          <w:numId w:val="16"/>
        </w:numPr>
        <w:spacing w:before="240" w:after="240" w:line="360" w:lineRule="auto"/>
        <w:ind w:right="900"/>
        <w:contextualSpacing/>
        <w:jc w:val="both"/>
        <w:rPr>
          <w:rFonts w:ascii="Palatino Linotype" w:hAnsi="Palatino Linotype" w:cs="Arial"/>
          <w:sz w:val="22"/>
          <w:szCs w:val="22"/>
        </w:rPr>
      </w:pPr>
      <w:r w:rsidRPr="00F75609">
        <w:rPr>
          <w:rFonts w:ascii="Palatino Linotype" w:hAnsi="Palatino Linotype" w:cs="Arial"/>
          <w:sz w:val="22"/>
          <w:szCs w:val="22"/>
        </w:rPr>
        <w:lastRenderedPageBreak/>
        <w:t>Acuerdo mediante el cual se clasifique</w:t>
      </w:r>
      <w:r w:rsidR="00EA46BA">
        <w:rPr>
          <w:rFonts w:ascii="Palatino Linotype" w:hAnsi="Palatino Linotype" w:cs="Arial"/>
          <w:sz w:val="22"/>
          <w:szCs w:val="22"/>
        </w:rPr>
        <w:t>n</w:t>
      </w:r>
      <w:r w:rsidRPr="00F75609">
        <w:rPr>
          <w:rFonts w:ascii="Palatino Linotype" w:hAnsi="Palatino Linotype" w:cs="Arial"/>
          <w:sz w:val="22"/>
          <w:szCs w:val="22"/>
        </w:rPr>
        <w:t xml:space="preserve"> como reservados, los procedimientos por faltas no graves en trámite.</w:t>
      </w:r>
    </w:p>
    <w:p w14:paraId="7372DFEE" w14:textId="77777777" w:rsidR="00F75609" w:rsidRPr="00F75609" w:rsidRDefault="00F75609" w:rsidP="00EA46BA">
      <w:pPr>
        <w:numPr>
          <w:ilvl w:val="0"/>
          <w:numId w:val="16"/>
        </w:numPr>
        <w:spacing w:before="240" w:after="240" w:line="360" w:lineRule="auto"/>
        <w:ind w:right="900"/>
        <w:contextualSpacing/>
        <w:jc w:val="both"/>
        <w:rPr>
          <w:rFonts w:ascii="Palatino Linotype" w:eastAsia="MS Mincho" w:hAnsi="Palatino Linotype"/>
          <w:shd w:val="clear" w:color="auto" w:fill="FFFFFF"/>
          <w:lang w:val="es-ES_tradnl"/>
        </w:rPr>
      </w:pPr>
      <w:r w:rsidRPr="00F75609">
        <w:rPr>
          <w:rFonts w:ascii="Palatino Linotype" w:hAnsi="Palatino Linotype" w:cs="Arial"/>
          <w:sz w:val="22"/>
          <w:szCs w:val="22"/>
        </w:rPr>
        <w:t xml:space="preserve">Acuerdo mediante el cual se clasifique(n) como reservado(s), el o los acuerdos de los procedimientos por faltas graves que no hayan causado estado, </w:t>
      </w:r>
      <w:r w:rsidRPr="00F75609">
        <w:rPr>
          <w:rFonts w:ascii="Palatino Linotype" w:hAnsi="Palatino Linotype" w:cs="Arial"/>
          <w:b/>
          <w:i/>
          <w:sz w:val="22"/>
          <w:szCs w:val="22"/>
        </w:rPr>
        <w:t xml:space="preserve">siempre y cuando </w:t>
      </w:r>
      <w:r w:rsidRPr="00F75609">
        <w:rPr>
          <w:rFonts w:ascii="Palatino Linotype" w:hAnsi="Palatino Linotype" w:cs="Arial"/>
          <w:b/>
          <w:i/>
          <w:sz w:val="22"/>
          <w:szCs w:val="22"/>
          <w:lang w:val="es-MX"/>
        </w:rPr>
        <w:t xml:space="preserve">no se configure alguno de los supuestos contemplados en el artículo 142 de la Ley de la materia, </w:t>
      </w:r>
      <w:r w:rsidRPr="00F75609">
        <w:rPr>
          <w:rFonts w:ascii="Palatino Linotype" w:hAnsi="Palatino Linotype" w:cs="Arial"/>
          <w:sz w:val="22"/>
          <w:szCs w:val="22"/>
          <w:lang w:val="es-MX"/>
        </w:rPr>
        <w:t>en caso contrario</w:t>
      </w:r>
      <w:r w:rsidRPr="00F75609">
        <w:rPr>
          <w:rFonts w:ascii="Palatino Linotype" w:hAnsi="Palatino Linotype" w:cs="Arial"/>
          <w:b/>
          <w:sz w:val="22"/>
          <w:szCs w:val="22"/>
          <w:lang w:val="es-MX"/>
        </w:rPr>
        <w:t xml:space="preserve"> </w:t>
      </w:r>
      <w:r w:rsidRPr="00F75609">
        <w:rPr>
          <w:rFonts w:ascii="Palatino Linotype" w:eastAsia="Palatino Linotype" w:hAnsi="Palatino Linotype" w:cs="Palatino Linotype"/>
        </w:rPr>
        <w:t>deberá hacer entrega de los mismos en versión publica, conforme a lo establecido en considerando quinto de la presente resolución.</w:t>
      </w:r>
      <w:r w:rsidRPr="00F75609">
        <w:rPr>
          <w:rFonts w:ascii="Palatino Linotype" w:eastAsia="Palatino Linotype" w:hAnsi="Palatino Linotype" w:cs="Palatino Linotype"/>
          <w:i/>
        </w:rPr>
        <w:t xml:space="preserve"> </w:t>
      </w:r>
    </w:p>
    <w:p w14:paraId="0AA3E8D7" w14:textId="77777777" w:rsidR="00F75609" w:rsidRPr="00AC4A52" w:rsidRDefault="00F75609" w:rsidP="00AC4A52">
      <w:pPr>
        <w:autoSpaceDE w:val="0"/>
        <w:autoSpaceDN w:val="0"/>
        <w:adjustRightInd w:val="0"/>
        <w:spacing w:before="240" w:after="240"/>
        <w:ind w:left="567" w:right="902"/>
        <w:jc w:val="both"/>
        <w:rPr>
          <w:rFonts w:ascii="Palatino Linotype" w:hAnsi="Palatino Linotype" w:cs="Arial"/>
          <w:i/>
          <w:sz w:val="22"/>
          <w:szCs w:val="22"/>
          <w:lang w:eastAsia="en-US"/>
        </w:rPr>
      </w:pPr>
    </w:p>
    <w:p w14:paraId="35611EC6" w14:textId="52F525D2" w:rsidR="00C04B32" w:rsidRPr="00C04B32" w:rsidRDefault="00C04B32" w:rsidP="00C04B32">
      <w:pPr>
        <w:autoSpaceDE w:val="0"/>
        <w:autoSpaceDN w:val="0"/>
        <w:adjustRightInd w:val="0"/>
        <w:spacing w:before="240" w:after="240" w:line="360" w:lineRule="auto"/>
        <w:jc w:val="both"/>
        <w:rPr>
          <w:rFonts w:ascii="Palatino Linotype" w:hAnsi="Palatino Linotype" w:cs="Arial"/>
          <w:lang w:val="es-MX" w:eastAsia="es-MX"/>
        </w:rPr>
      </w:pPr>
      <w:r w:rsidRPr="00C04B32">
        <w:rPr>
          <w:rFonts w:ascii="Palatino Linotype" w:hAnsi="Palatino Linotype" w:cs="Arial"/>
          <w:b/>
          <w:szCs w:val="28"/>
          <w:lang w:val="es-MX" w:eastAsia="es-MX"/>
        </w:rPr>
        <w:t>Tercero.</w:t>
      </w:r>
      <w:r w:rsidRPr="00C04B32">
        <w:rPr>
          <w:rFonts w:ascii="Palatino Linotype" w:hAnsi="Palatino Linotype" w:cs="Arial"/>
          <w:b/>
          <w:sz w:val="28"/>
          <w:szCs w:val="28"/>
          <w:lang w:val="es-MX" w:eastAsia="es-MX"/>
        </w:rPr>
        <w:t xml:space="preserve">  </w:t>
      </w:r>
      <w:r w:rsidRPr="00C04B32">
        <w:rPr>
          <w:rFonts w:ascii="Palatino Linotype" w:hAnsi="Palatino Linotype" w:cs="Arial"/>
          <w:b/>
          <w:lang w:val="es-MX" w:eastAsia="es-MX"/>
        </w:rPr>
        <w:t>Notifíquese,</w:t>
      </w:r>
      <w:r w:rsidRPr="00C04B32">
        <w:rPr>
          <w:rFonts w:ascii="Palatino Linotype" w:hAnsi="Palatino Linotype" w:cs="Arial"/>
          <w:b/>
          <w:sz w:val="28"/>
          <w:szCs w:val="28"/>
          <w:lang w:val="es-MX" w:eastAsia="es-MX"/>
        </w:rPr>
        <w:t xml:space="preserve"> </w:t>
      </w:r>
      <w:r w:rsidR="002C4DEE" w:rsidRPr="002C4DEE">
        <w:rPr>
          <w:rFonts w:ascii="Palatino Linotype" w:hAnsi="Palatino Linotype" w:cs="Arial"/>
          <w:b/>
          <w:lang w:val="es-MX" w:eastAsia="es-MX"/>
        </w:rPr>
        <w:t>vía Sistema de Acceso a la Información Mexiquense (SAIMEX)</w:t>
      </w:r>
      <w:r w:rsidR="002C4DEE">
        <w:rPr>
          <w:rFonts w:ascii="Palatino Linotype" w:hAnsi="Palatino Linotype" w:cs="Arial"/>
          <w:b/>
          <w:lang w:val="es-MX" w:eastAsia="es-MX"/>
        </w:rPr>
        <w:t xml:space="preserve">, </w:t>
      </w:r>
      <w:r w:rsidRPr="00C04B32">
        <w:rPr>
          <w:rFonts w:ascii="Palatino Linotype" w:hAnsi="Palatino Linotype" w:cs="Arial"/>
          <w:lang w:val="es-MX" w:eastAsia="es-MX"/>
        </w:rPr>
        <w:t>al Responsable de la Unidad de Transparencia del Sujeto Obligado, para que conforme a los artículos 186, último párrafo y 189, párrafo segundo de la Ley de Transparencia y Acceso a la Información Pública del Estado de México y Municipios dé cumplimiento a lo ordenado dentro del p</w:t>
      </w:r>
      <w:r w:rsidR="002C4DEE">
        <w:rPr>
          <w:rFonts w:ascii="Palatino Linotype" w:hAnsi="Palatino Linotype" w:cs="Arial"/>
          <w:lang w:val="es-MX" w:eastAsia="es-MX"/>
        </w:rPr>
        <w:t>lazo de diez</w:t>
      </w:r>
      <w:r w:rsidRPr="00C04B32">
        <w:rPr>
          <w:rFonts w:ascii="Palatino Linotype" w:hAnsi="Palatino Linotype" w:cs="Arial"/>
          <w:lang w:val="es-MX" w:eastAsia="es-MX"/>
        </w:rPr>
        <w:t xml:space="preserve"> días hábiles, debiendo informar a este Instituto en un plazo de tres días hábiles siguientes sobre el cumplimiento dado a la presente resolución.</w:t>
      </w:r>
    </w:p>
    <w:p w14:paraId="69E66386" w14:textId="77777777" w:rsidR="00C04B32" w:rsidRPr="00C04B32" w:rsidRDefault="00C04B32" w:rsidP="00C04B32">
      <w:pPr>
        <w:spacing w:line="360" w:lineRule="auto"/>
        <w:jc w:val="both"/>
        <w:rPr>
          <w:rFonts w:ascii="Palatino Linotype" w:hAnsi="Palatino Linotype" w:cs="Arial"/>
          <w:lang w:val="es-MX" w:eastAsia="es-MX"/>
        </w:rPr>
      </w:pPr>
      <w:r w:rsidRPr="00C04B32">
        <w:rPr>
          <w:rFonts w:ascii="Palatino Linotype" w:hAnsi="Palatino Linotype" w:cs="Arial"/>
          <w:b/>
          <w:szCs w:val="28"/>
          <w:lang w:val="es-MX" w:eastAsia="es-MX"/>
        </w:rPr>
        <w:t>Cuarto.</w:t>
      </w:r>
      <w:r w:rsidRPr="00C04B32">
        <w:rPr>
          <w:rFonts w:ascii="Palatino Linotype" w:hAnsi="Palatino Linotype" w:cs="Arial"/>
          <w:b/>
          <w:sz w:val="28"/>
          <w:szCs w:val="28"/>
          <w:lang w:val="es-MX" w:eastAsia="es-MX"/>
        </w:rPr>
        <w:t xml:space="preserve"> </w:t>
      </w:r>
      <w:r w:rsidRPr="00C04B32">
        <w:rPr>
          <w:rFonts w:ascii="Palatino Linotype" w:hAnsi="Palatino Linotype" w:cs="Arial"/>
          <w:lang w:val="es-MX" w:eastAsia="es-MX"/>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46850477" w14:textId="38F5295A" w:rsidR="00C04B32" w:rsidRPr="00A827C1" w:rsidRDefault="00C04B32" w:rsidP="00A827C1">
      <w:pPr>
        <w:spacing w:before="240" w:after="240" w:line="360" w:lineRule="auto"/>
        <w:jc w:val="both"/>
        <w:rPr>
          <w:rFonts w:ascii="Palatino Linotype" w:hAnsi="Palatino Linotype" w:cs="Arial"/>
        </w:rPr>
      </w:pPr>
      <w:r w:rsidRPr="00C04B32">
        <w:rPr>
          <w:rFonts w:ascii="Palatino Linotype" w:hAnsi="Palatino Linotype" w:cs="Arial"/>
          <w:b/>
          <w:szCs w:val="28"/>
          <w:lang w:val="es-MX" w:eastAsia="es-MX"/>
        </w:rPr>
        <w:t xml:space="preserve">Quinto. </w:t>
      </w:r>
      <w:r w:rsidR="002C4DEE" w:rsidRPr="002C4DEE">
        <w:rPr>
          <w:rFonts w:ascii="Palatino Linotype" w:hAnsi="Palatino Linotype" w:cs="Arial"/>
          <w:b/>
          <w:lang w:val="es-MX" w:eastAsia="es-MX"/>
        </w:rPr>
        <w:t xml:space="preserve">Notifíquese, </w:t>
      </w:r>
      <w:r w:rsidR="002C4DEE" w:rsidRPr="002C4DEE">
        <w:rPr>
          <w:rFonts w:ascii="Palatino Linotype" w:hAnsi="Palatino Linotype" w:cs="Arial"/>
          <w:lang w:val="es-MX" w:eastAsia="es-MX"/>
        </w:rPr>
        <w:t xml:space="preserve">al recurrente </w:t>
      </w:r>
      <w:r w:rsidR="002C4DEE" w:rsidRPr="002C4DEE">
        <w:rPr>
          <w:rFonts w:ascii="Palatino Linotype" w:hAnsi="Palatino Linotype" w:cs="Arial"/>
          <w:b/>
          <w:lang w:val="es-MX" w:eastAsia="es-MX"/>
        </w:rPr>
        <w:t>vía Sistema de Acceso a la Información Mexiquense (SAIMEX)</w:t>
      </w:r>
      <w:r w:rsidR="002C4DEE">
        <w:rPr>
          <w:rFonts w:ascii="Palatino Linotype" w:hAnsi="Palatino Linotype" w:cs="Arial"/>
          <w:b/>
          <w:lang w:val="es-MX" w:eastAsia="es-MX"/>
        </w:rPr>
        <w:t xml:space="preserve">, </w:t>
      </w:r>
      <w:r w:rsidR="00A827C1" w:rsidRPr="00A827C1">
        <w:rPr>
          <w:rFonts w:ascii="Palatino Linotype" w:hAnsi="Palatino Linotype" w:cs="Arial"/>
          <w:bCs/>
        </w:rPr>
        <w:t xml:space="preserve">así como, que de conformidad con lo establecido en los artículos 159 y 160 de la Ley General de Transparencia y Acceso a la Información Pública y en el artículo 196 de la Ley de Transparencia y Acceso a la Información </w:t>
      </w:r>
      <w:r w:rsidR="00A827C1" w:rsidRPr="00A827C1">
        <w:rPr>
          <w:rFonts w:ascii="Palatino Linotype" w:hAnsi="Palatino Linotype" w:cs="Arial"/>
          <w:bCs/>
        </w:rPr>
        <w:lastRenderedPageBreak/>
        <w:t>Pública del Estado de México y Municipios, podrá impugnarla vía recurso de inconformidad ante el Instituto Nacional de Transparencia, Acceso a la Información y Protección de Datos Personales, o bien, vía Juicio de Amparo en términos de las leyes aplicables</w:t>
      </w:r>
      <w:r w:rsidRPr="00C04B32">
        <w:rPr>
          <w:rFonts w:ascii="Palatino Linotype" w:hAnsi="Palatino Linotype" w:cs="Arial"/>
          <w:lang w:val="es-MX" w:eastAsia="es-MX"/>
        </w:rPr>
        <w:t xml:space="preserve">. </w:t>
      </w:r>
    </w:p>
    <w:p w14:paraId="44D20317" w14:textId="4D51512E" w:rsidR="00C04B32" w:rsidRPr="00C04B32" w:rsidRDefault="00DC5FE5" w:rsidP="00C04B32">
      <w:pPr>
        <w:autoSpaceDE w:val="0"/>
        <w:autoSpaceDN w:val="0"/>
        <w:adjustRightInd w:val="0"/>
        <w:spacing w:before="240" w:after="240" w:line="360" w:lineRule="auto"/>
        <w:jc w:val="both"/>
        <w:rPr>
          <w:rFonts w:ascii="Palatino Linotype" w:eastAsia="Arial Unicode MS"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73600" behindDoc="0" locked="0" layoutInCell="1" allowOverlap="1" wp14:anchorId="43A42242" wp14:editId="670ED12B">
                <wp:simplePos x="0" y="0"/>
                <wp:positionH relativeFrom="column">
                  <wp:posOffset>100964</wp:posOffset>
                </wp:positionH>
                <wp:positionV relativeFrom="paragraph">
                  <wp:posOffset>3082289</wp:posOffset>
                </wp:positionV>
                <wp:extent cx="5229225" cy="3019425"/>
                <wp:effectExtent l="0" t="0" r="28575" b="28575"/>
                <wp:wrapNone/>
                <wp:docPr id="2" name="Conector recto 2"/>
                <wp:cNvGraphicFramePr/>
                <a:graphic xmlns:a="http://schemas.openxmlformats.org/drawingml/2006/main">
                  <a:graphicData uri="http://schemas.microsoft.com/office/word/2010/wordprocessingShape">
                    <wps:wsp>
                      <wps:cNvCnPr/>
                      <wps:spPr>
                        <a:xfrm>
                          <a:off x="0" y="0"/>
                          <a:ext cx="5229225" cy="30194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8622247" id="Conector recto 2"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7.95pt,242.7pt" to="419.7pt,48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" strokecolor="black [3040]"/>
            </w:pict>
          </mc:Fallback>
        </mc:AlternateContent>
      </w:r>
      <w:r w:rsidR="00B801F9" w:rsidRPr="00B801F9">
        <w:rPr>
          <w:rFonts w:ascii="Palatino Linotype" w:hAnsi="Palatino Linotype" w:cs="Arial"/>
        </w:rPr>
        <w:t>ASÍ LO RESUELVE, POR UNANIMIDAD DE VOTOS, EL PLENO DEL INSTITUTO DE TRANSPARENCIA, ACCESO A LA INFORMACIÓN PÚBLICA Y PROTECCIÓN DE DATOS PERSONALES DEL ESTADO DE MÉXICO Y MUNICIPIOS, CONFORMADO POR LOS COMISIONADOS JOSÉ MARTÍNEZ VILCHIS</w:t>
      </w:r>
      <w:r w:rsidR="00783A57">
        <w:rPr>
          <w:rFonts w:ascii="Palatino Linotype" w:hAnsi="Palatino Linotype" w:cs="Arial"/>
        </w:rPr>
        <w:t>, MARÍA DEL ROSARIO MEJÍA AYALA; EMITIENDO VOTO PARTICULAR;</w:t>
      </w:r>
      <w:r w:rsidR="00B801F9" w:rsidRPr="00B801F9">
        <w:rPr>
          <w:rFonts w:ascii="Palatino Linotype" w:hAnsi="Palatino Linotype" w:cs="Arial"/>
        </w:rPr>
        <w:t xml:space="preserve"> SHARON CRISTINA MORALES MARTÍNEZ, LUIS GUSTAVO PARRA NORIEGA</w:t>
      </w:r>
      <w:r w:rsidR="00783A57">
        <w:rPr>
          <w:rFonts w:ascii="Palatino Linotype" w:hAnsi="Palatino Linotype" w:cs="Arial"/>
        </w:rPr>
        <w:t xml:space="preserve">; EMITIENDO </w:t>
      </w:r>
      <w:r>
        <w:rPr>
          <w:rFonts w:ascii="Palatino Linotype" w:hAnsi="Palatino Linotype" w:cs="Arial"/>
        </w:rPr>
        <w:t>VOTO PARTICULAR</w:t>
      </w:r>
      <w:r w:rsidR="00B17D48">
        <w:rPr>
          <w:rFonts w:ascii="Palatino Linotype" w:hAnsi="Palatino Linotype" w:cs="Arial"/>
        </w:rPr>
        <w:t xml:space="preserve"> </w:t>
      </w:r>
      <w:r w:rsidR="00B801F9" w:rsidRPr="00B801F9">
        <w:rPr>
          <w:rFonts w:ascii="Palatino Linotype" w:hAnsi="Palatino Linotype" w:cs="Arial"/>
        </w:rPr>
        <w:t>Y GUADALUPE RAMÍREZ PEÑA</w:t>
      </w:r>
      <w:r w:rsidR="00452CC9">
        <w:rPr>
          <w:rFonts w:ascii="Palatino Linotype" w:hAnsi="Palatino Linotype" w:cs="Arial"/>
        </w:rPr>
        <w:t>; EN LA CUADRAGÉSIMA CUART</w:t>
      </w:r>
      <w:r w:rsidR="00B17D48">
        <w:rPr>
          <w:rFonts w:ascii="Palatino Linotype" w:hAnsi="Palatino Linotype" w:cs="Arial"/>
        </w:rPr>
        <w:t>A</w:t>
      </w:r>
      <w:r w:rsidR="00C04B32" w:rsidRPr="00C04B32">
        <w:rPr>
          <w:rFonts w:ascii="Palatino Linotype" w:hAnsi="Palatino Linotype" w:cs="Arial"/>
        </w:rPr>
        <w:t xml:space="preserve"> SE</w:t>
      </w:r>
      <w:r w:rsidR="00E43B10">
        <w:rPr>
          <w:rFonts w:ascii="Palatino Linotype" w:hAnsi="Palatino Linotype" w:cs="Arial"/>
        </w:rPr>
        <w:t>SIÓN OR</w:t>
      </w:r>
      <w:r w:rsidR="00452CC9">
        <w:rPr>
          <w:rFonts w:ascii="Palatino Linotype" w:hAnsi="Palatino Linotype" w:cs="Arial"/>
        </w:rPr>
        <w:t>DINARIA CELEBRADA EL OCH</w:t>
      </w:r>
      <w:r w:rsidR="00B17D48">
        <w:rPr>
          <w:rFonts w:ascii="Palatino Linotype" w:hAnsi="Palatino Linotype" w:cs="Arial"/>
        </w:rPr>
        <w:t>O DE DIC</w:t>
      </w:r>
      <w:r w:rsidR="00E43B10">
        <w:rPr>
          <w:rFonts w:ascii="Palatino Linotype" w:hAnsi="Palatino Linotype" w:cs="Arial"/>
        </w:rPr>
        <w:t>IEMBRE</w:t>
      </w:r>
      <w:r w:rsidR="00C04B32" w:rsidRPr="00C04B32">
        <w:rPr>
          <w:rFonts w:ascii="Palatino Linotype" w:hAnsi="Palatino Linotype" w:cs="Arial"/>
        </w:rPr>
        <w:t xml:space="preserve"> DEL DOS MIL VEINTIUNO, ANTE EL SECRETARIO TÉCNICO DEL PLENO, ALEXIS TAPIA RAMÍREZ.</w:t>
      </w:r>
    </w:p>
    <w:p w14:paraId="70571816" w14:textId="77777777" w:rsidR="00BC13D8" w:rsidRDefault="00BC13D8" w:rsidP="006F54A9">
      <w:pPr>
        <w:pStyle w:val="Sinespaciado"/>
        <w:spacing w:before="240" w:after="240" w:line="360" w:lineRule="auto"/>
        <w:jc w:val="both"/>
        <w:rPr>
          <w:rFonts w:ascii="Palatino Linotype" w:hAnsi="Palatino Linotype" w:cs="Arial"/>
        </w:rPr>
        <w:sectPr w:rsidR="00BC13D8" w:rsidSect="002B62AF">
          <w:headerReference w:type="default" r:id="rId21"/>
          <w:footerReference w:type="default" r:id="rId22"/>
          <w:headerReference w:type="first" r:id="rId23"/>
          <w:footerReference w:type="first" r:id="rId24"/>
          <w:pgSz w:w="12240" w:h="15840"/>
          <w:pgMar w:top="1417" w:right="1701" w:bottom="1417" w:left="1701" w:header="708" w:footer="708" w:gutter="0"/>
          <w:cols w:space="708"/>
          <w:titlePg/>
          <w:docGrid w:linePitch="360"/>
        </w:sectPr>
      </w:pPr>
    </w:p>
    <w:p w14:paraId="22F6FCF8" w14:textId="4360B6F1" w:rsidR="005F731E" w:rsidRDefault="005F731E" w:rsidP="006F54A9">
      <w:pPr>
        <w:pStyle w:val="Sinespaciado"/>
        <w:spacing w:before="240" w:after="240" w:line="360" w:lineRule="auto"/>
        <w:jc w:val="both"/>
        <w:rPr>
          <w:rFonts w:ascii="Palatino Linotype" w:hAnsi="Palatino Linotype" w:cs="Arial"/>
        </w:rPr>
      </w:pPr>
    </w:p>
    <w:p w14:paraId="4E69EF6A" w14:textId="453C9900" w:rsidR="005F731E" w:rsidRDefault="005F731E" w:rsidP="006F54A9">
      <w:pPr>
        <w:pStyle w:val="Sinespaciado"/>
        <w:spacing w:before="240" w:after="240" w:line="360" w:lineRule="auto"/>
        <w:jc w:val="both"/>
        <w:rPr>
          <w:rFonts w:ascii="Palatino Linotype" w:hAnsi="Palatino Linotype" w:cs="Arial"/>
        </w:rPr>
      </w:pPr>
    </w:p>
    <w:p w14:paraId="73B315D5" w14:textId="77777777" w:rsidR="005F731E" w:rsidRPr="00A4521A" w:rsidRDefault="005F731E" w:rsidP="006F54A9">
      <w:pPr>
        <w:pStyle w:val="Sinespaciado"/>
        <w:spacing w:before="240" w:after="240" w:line="360" w:lineRule="auto"/>
        <w:jc w:val="both"/>
        <w:rPr>
          <w:rFonts w:ascii="Palatino Linotype" w:hAnsi="Palatino Linotype" w:cs="Arial"/>
        </w:rPr>
      </w:pPr>
    </w:p>
    <w:sectPr w:rsidR="005F731E" w:rsidRPr="00A4521A" w:rsidSect="002B62AF">
      <w:headerReference w:type="first" r:id="rId25"/>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A525CA" w14:textId="77777777" w:rsidR="006E7A04" w:rsidRDefault="006E7A04" w:rsidP="00C80F8C">
      <w:r>
        <w:separator/>
      </w:r>
    </w:p>
  </w:endnote>
  <w:endnote w:type="continuationSeparator" w:id="0">
    <w:p w14:paraId="26060AF6" w14:textId="77777777" w:rsidR="006E7A04" w:rsidRDefault="006E7A04"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5A68B520" w:rsidR="006E7A04" w:rsidRDefault="006E7A04"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392DD9">
      <w:rPr>
        <w:rFonts w:ascii="Arial" w:hAnsi="Arial" w:cs="Arial"/>
        <w:b/>
        <w:bCs/>
        <w:noProof/>
        <w:sz w:val="20"/>
        <w:szCs w:val="20"/>
      </w:rPr>
      <w:t>66</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392DD9">
      <w:rPr>
        <w:rFonts w:ascii="Arial" w:hAnsi="Arial" w:cs="Arial"/>
        <w:b/>
        <w:bCs/>
        <w:noProof/>
        <w:sz w:val="20"/>
        <w:szCs w:val="20"/>
      </w:rPr>
      <w:t>85</w:t>
    </w:r>
    <w:r>
      <w:rPr>
        <w:rFonts w:ascii="Arial" w:hAnsi="Arial" w:cs="Arial"/>
        <w:b/>
        <w:bCs/>
        <w:sz w:val="20"/>
        <w:szCs w:val="20"/>
      </w:rPr>
      <w:fldChar w:fldCharType="end"/>
    </w:r>
  </w:p>
  <w:p w14:paraId="1192A578" w14:textId="77777777" w:rsidR="006E7A04" w:rsidRDefault="006E7A04" w:rsidP="00935A0D">
    <w:pPr>
      <w:pStyle w:val="Piedepgina"/>
      <w:rPr>
        <w:rFonts w:ascii="Times New Roman" w:hAnsi="Times New Roman" w:cs="Times New Roman"/>
      </w:rPr>
    </w:pPr>
  </w:p>
  <w:p w14:paraId="14A770F8" w14:textId="77777777" w:rsidR="006E7A04" w:rsidRDefault="006E7A04"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3E94B4FF" w:rsidR="006E7A04" w:rsidRDefault="006E7A04"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392DD9">
      <w:rPr>
        <w:rFonts w:ascii="Arial" w:hAnsi="Arial" w:cs="Arial"/>
        <w:b/>
        <w:bCs/>
        <w:noProof/>
        <w:sz w:val="20"/>
        <w:szCs w:val="20"/>
      </w:rPr>
      <w:t>85</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392DD9">
      <w:rPr>
        <w:rFonts w:ascii="Arial" w:hAnsi="Arial" w:cs="Arial"/>
        <w:b/>
        <w:bCs/>
        <w:noProof/>
        <w:sz w:val="20"/>
        <w:szCs w:val="20"/>
      </w:rPr>
      <w:t>85</w:t>
    </w:r>
    <w:r>
      <w:rPr>
        <w:rFonts w:ascii="Arial" w:hAnsi="Arial" w:cs="Arial"/>
        <w:b/>
        <w:bCs/>
        <w:sz w:val="20"/>
        <w:szCs w:val="20"/>
      </w:rPr>
      <w:fldChar w:fldCharType="end"/>
    </w:r>
  </w:p>
  <w:p w14:paraId="5D98ABD5" w14:textId="5688D88C" w:rsidR="006E7A04" w:rsidRDefault="006E7A0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3CCD41" w14:textId="77777777" w:rsidR="006E7A04" w:rsidRDefault="006E7A04" w:rsidP="00C80F8C">
      <w:r>
        <w:separator/>
      </w:r>
    </w:p>
  </w:footnote>
  <w:footnote w:type="continuationSeparator" w:id="0">
    <w:p w14:paraId="6C99DD6B" w14:textId="77777777" w:rsidR="006E7A04" w:rsidRDefault="006E7A04" w:rsidP="00C80F8C">
      <w:r>
        <w:continuationSeparator/>
      </w:r>
    </w:p>
  </w:footnote>
  <w:footnote w:id="1">
    <w:p w14:paraId="0FC1D8EC" w14:textId="77777777" w:rsidR="006E7A04" w:rsidRPr="006456DC" w:rsidRDefault="006E7A04" w:rsidP="002804D9">
      <w:pPr>
        <w:pStyle w:val="Textonotapie"/>
        <w:jc w:val="both"/>
        <w:rPr>
          <w:rFonts w:ascii="Palatino Linotype" w:hAnsi="Palatino Linotype" w:cs="Arial"/>
          <w:sz w:val="16"/>
          <w:szCs w:val="16"/>
        </w:rPr>
      </w:pPr>
      <w:r w:rsidRPr="006456DC">
        <w:rPr>
          <w:rStyle w:val="Refdenotaalpie"/>
          <w:rFonts w:ascii="Palatino Linotype" w:hAnsi="Palatino Linotype" w:cs="Arial"/>
          <w:sz w:val="16"/>
          <w:szCs w:val="16"/>
        </w:rPr>
        <w:footnoteRef/>
      </w:r>
      <w:r w:rsidRPr="006456DC">
        <w:rPr>
          <w:rFonts w:ascii="Palatino Linotype" w:hAnsi="Palatino Linotype" w:cs="Arial"/>
          <w:sz w:val="16"/>
          <w:szCs w:val="16"/>
        </w:rPr>
        <w:t xml:space="preserve"> Artículo 12. (…)</w:t>
      </w:r>
    </w:p>
    <w:p w14:paraId="1AAB94AD" w14:textId="77777777" w:rsidR="006E7A04" w:rsidRPr="006456DC" w:rsidRDefault="006E7A04" w:rsidP="002804D9">
      <w:pPr>
        <w:pStyle w:val="Textonotapie"/>
        <w:jc w:val="both"/>
        <w:rPr>
          <w:rFonts w:ascii="Palatino Linotype" w:hAnsi="Palatino Linotype" w:cs="Arial"/>
          <w:sz w:val="16"/>
          <w:szCs w:val="16"/>
        </w:rPr>
      </w:pPr>
      <w:r w:rsidRPr="006456DC">
        <w:rPr>
          <w:rFonts w:ascii="Palatino Linotype" w:hAnsi="Palatino Linotype" w:cs="Arial"/>
          <w:sz w:val="16"/>
          <w:szCs w:val="16"/>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footnote>
  <w:footnote w:id="2">
    <w:p w14:paraId="43737A81" w14:textId="77777777" w:rsidR="006E7A04" w:rsidRPr="006456DC" w:rsidRDefault="006E7A04" w:rsidP="002804D9">
      <w:pPr>
        <w:pStyle w:val="Textonotapie"/>
        <w:jc w:val="both"/>
        <w:rPr>
          <w:rFonts w:ascii="Palatino Linotype" w:hAnsi="Palatino Linotype" w:cs="Arial"/>
          <w:sz w:val="16"/>
          <w:szCs w:val="16"/>
        </w:rPr>
      </w:pPr>
      <w:r w:rsidRPr="006456DC">
        <w:rPr>
          <w:rStyle w:val="Refdenotaalpie"/>
          <w:rFonts w:ascii="Palatino Linotype" w:hAnsi="Palatino Linotype" w:cs="Arial"/>
          <w:sz w:val="16"/>
          <w:szCs w:val="16"/>
        </w:rPr>
        <w:footnoteRef/>
      </w:r>
      <w:r w:rsidRPr="006456DC">
        <w:rPr>
          <w:rFonts w:ascii="Palatino Linotype" w:hAnsi="Palatino Linotype" w:cs="Arial"/>
          <w:sz w:val="16"/>
          <w:szCs w:val="16"/>
        </w:rPr>
        <w:t xml:space="preserve"> Artículo 3. Para los efectos de la presente Ley se entenderá por: (…)</w:t>
      </w:r>
    </w:p>
    <w:p w14:paraId="402F6F8B" w14:textId="77777777" w:rsidR="006E7A04" w:rsidRPr="006456DC" w:rsidRDefault="006E7A04" w:rsidP="002804D9">
      <w:pPr>
        <w:pStyle w:val="Textonotapie"/>
        <w:jc w:val="both"/>
        <w:rPr>
          <w:rFonts w:ascii="Palatino Linotype" w:hAnsi="Palatino Linotype" w:cs="Arial"/>
          <w:sz w:val="16"/>
          <w:szCs w:val="16"/>
        </w:rPr>
      </w:pPr>
      <w:r w:rsidRPr="006456DC">
        <w:rPr>
          <w:rFonts w:ascii="Palatino Linotype" w:hAnsi="Palatino Linotype" w:cs="Arial"/>
          <w:sz w:val="16"/>
          <w:szCs w:val="16"/>
        </w:rPr>
        <w:t>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24CCE4F2" w14:textId="77777777" w:rsidR="006E7A04" w:rsidRDefault="006E7A04" w:rsidP="00896524">
      <w:pPr>
        <w:pBdr>
          <w:top w:val="nil"/>
          <w:left w:val="nil"/>
          <w:bottom w:val="nil"/>
          <w:right w:val="nil"/>
          <w:between w:val="nil"/>
        </w:pBdr>
        <w:jc w:val="both"/>
        <w:rPr>
          <w:rFonts w:ascii="Palatino Linotype" w:eastAsia="Palatino Linotype" w:hAnsi="Palatino Linotype" w:cs="Palatino Linotype"/>
          <w:color w:val="000000"/>
          <w:sz w:val="20"/>
          <w:szCs w:val="20"/>
        </w:rPr>
      </w:pPr>
      <w:r>
        <w:rPr>
          <w:vertAlign w:val="superscript"/>
        </w:rPr>
        <w:footnoteRef/>
      </w:r>
      <w:r>
        <w:rPr>
          <w:rFonts w:ascii="Palatino Linotype" w:eastAsia="Palatino Linotype" w:hAnsi="Palatino Linotype" w:cs="Palatino Linotype"/>
          <w:color w:val="000000"/>
          <w:sz w:val="20"/>
          <w:szCs w:val="20"/>
        </w:rPr>
        <w:t xml:space="preserve"> Ver páginas 71 y 72 de la contradicción de tesis 200/2013, específicamente los epígrafes 84, 85 y 87. </w:t>
      </w:r>
    </w:p>
  </w:footnote>
  <w:footnote w:id="4">
    <w:p w14:paraId="6377E949" w14:textId="77777777" w:rsidR="006E7A04" w:rsidRDefault="006E7A04" w:rsidP="00896524">
      <w:pPr>
        <w:pBdr>
          <w:top w:val="nil"/>
          <w:left w:val="nil"/>
          <w:bottom w:val="nil"/>
          <w:right w:val="nil"/>
          <w:between w:val="nil"/>
        </w:pBdr>
        <w:jc w:val="both"/>
        <w:rPr>
          <w:rFonts w:ascii="Palatino Linotype" w:eastAsia="Palatino Linotype" w:hAnsi="Palatino Linotype" w:cs="Palatino Linotype"/>
          <w:color w:val="000000"/>
          <w:sz w:val="20"/>
          <w:szCs w:val="20"/>
        </w:rPr>
      </w:pPr>
      <w:r>
        <w:rPr>
          <w:vertAlign w:val="superscript"/>
        </w:rPr>
        <w:footnoteRef/>
      </w:r>
      <w:r>
        <w:rPr>
          <w:rFonts w:ascii="Palatino Linotype" w:eastAsia="Palatino Linotype" w:hAnsi="Palatino Linotype" w:cs="Palatino Linotype"/>
          <w:color w:val="000000"/>
          <w:sz w:val="20"/>
          <w:szCs w:val="20"/>
        </w:rPr>
        <w:t xml:space="preserve"> Ver supra. Página 24.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40" w:type="dxa"/>
      <w:tblInd w:w="3746" w:type="dxa"/>
      <w:tblLayout w:type="fixed"/>
      <w:tblLook w:val="04A0" w:firstRow="1" w:lastRow="0" w:firstColumn="1" w:lastColumn="0" w:noHBand="0" w:noVBand="1"/>
    </w:tblPr>
    <w:tblGrid>
      <w:gridCol w:w="2553"/>
      <w:gridCol w:w="3687"/>
    </w:tblGrid>
    <w:tr w:rsidR="006E7A04" w14:paraId="6B4E3B81" w14:textId="77777777" w:rsidTr="009D4854">
      <w:tc>
        <w:tcPr>
          <w:tcW w:w="2553" w:type="dxa"/>
          <w:vAlign w:val="center"/>
          <w:hideMark/>
        </w:tcPr>
        <w:p w14:paraId="0ABBC6C0" w14:textId="77777777" w:rsidR="006E7A04" w:rsidRDefault="006E7A04" w:rsidP="009D4854">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87" w:type="dxa"/>
          <w:vAlign w:val="center"/>
          <w:hideMark/>
        </w:tcPr>
        <w:p w14:paraId="60C471CA" w14:textId="2D71C389" w:rsidR="006E7A04" w:rsidRDefault="006E7A04" w:rsidP="00B36178">
          <w:pPr>
            <w:rPr>
              <w:rFonts w:ascii="Palatino Linotype" w:hAnsi="Palatino Linotype"/>
              <w:b/>
              <w:sz w:val="22"/>
              <w:szCs w:val="22"/>
              <w:lang w:val="es-ES_tradnl"/>
            </w:rPr>
          </w:pPr>
          <w:r>
            <w:rPr>
              <w:rFonts w:ascii="Palatino Linotype" w:eastAsiaTheme="minorEastAsia" w:hAnsi="Palatino Linotype" w:cs="Arial"/>
              <w:b/>
              <w:bCs/>
              <w:sz w:val="22"/>
              <w:szCs w:val="22"/>
              <w:lang w:val="es-MX"/>
            </w:rPr>
            <w:t>04769/INFOEM/IP/RR/2021 y acumulado</w:t>
          </w:r>
        </w:p>
      </w:tc>
    </w:tr>
    <w:tr w:rsidR="006E7A04" w14:paraId="31CB780F" w14:textId="77777777" w:rsidTr="009D4854">
      <w:trPr>
        <w:trHeight w:val="228"/>
      </w:trPr>
      <w:tc>
        <w:tcPr>
          <w:tcW w:w="2553" w:type="dxa"/>
          <w:vAlign w:val="center"/>
          <w:hideMark/>
        </w:tcPr>
        <w:p w14:paraId="4F49CB4A" w14:textId="6966D32E" w:rsidR="006E7A04" w:rsidRDefault="006E7A04" w:rsidP="009D4854">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87" w:type="dxa"/>
          <w:vAlign w:val="center"/>
          <w:hideMark/>
        </w:tcPr>
        <w:p w14:paraId="5D08B318" w14:textId="335F7249" w:rsidR="006E7A04" w:rsidRDefault="006E7A04" w:rsidP="001F5E9E">
          <w:pPr>
            <w:jc w:val="both"/>
            <w:rPr>
              <w:rFonts w:ascii="Palatino Linotype" w:hAnsi="Palatino Linotype"/>
              <w:b/>
              <w:sz w:val="22"/>
              <w:szCs w:val="22"/>
              <w:lang w:val="es-ES_tradnl"/>
            </w:rPr>
          </w:pPr>
          <w:r>
            <w:rPr>
              <w:rFonts w:ascii="Palatino Linotype" w:eastAsiaTheme="minorEastAsia" w:hAnsi="Palatino Linotype" w:cs="Arial"/>
              <w:b/>
              <w:sz w:val="22"/>
              <w:szCs w:val="22"/>
              <w:lang w:val="es-MX"/>
            </w:rPr>
            <w:t>Ayuntamiento de Tenancingo</w:t>
          </w:r>
        </w:p>
      </w:tc>
    </w:tr>
    <w:tr w:rsidR="006E7A04" w14:paraId="69050F56" w14:textId="77777777" w:rsidTr="009D4854">
      <w:tc>
        <w:tcPr>
          <w:tcW w:w="2553" w:type="dxa"/>
          <w:vAlign w:val="center"/>
          <w:hideMark/>
        </w:tcPr>
        <w:p w14:paraId="65C9B735" w14:textId="3468C75F" w:rsidR="006E7A04" w:rsidRDefault="006E7A04" w:rsidP="009D4854">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687" w:type="dxa"/>
          <w:vAlign w:val="center"/>
          <w:hideMark/>
        </w:tcPr>
        <w:p w14:paraId="06864B57" w14:textId="520828FB" w:rsidR="006E7A04" w:rsidRDefault="006E7A04" w:rsidP="009D4854">
          <w:pPr>
            <w:ind w:right="-533"/>
            <w:rPr>
              <w:rFonts w:ascii="Palatino Linotype" w:hAnsi="Palatino Linotype"/>
              <w:b/>
              <w:sz w:val="22"/>
              <w:szCs w:val="22"/>
              <w:lang w:val="es-ES_tradnl"/>
            </w:rPr>
          </w:pPr>
          <w:r>
            <w:rPr>
              <w:rFonts w:ascii="Palatino Linotype" w:hAnsi="Palatino Linotype"/>
              <w:b/>
              <w:sz w:val="22"/>
              <w:szCs w:val="22"/>
            </w:rPr>
            <w:t>Guadalupe Ramírez Peña</w:t>
          </w:r>
        </w:p>
      </w:tc>
    </w:tr>
  </w:tbl>
  <w:p w14:paraId="0F9141D0" w14:textId="201069CD" w:rsidR="006E7A04" w:rsidRDefault="006E7A04"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3775891" wp14:editId="73B168DA">
          <wp:simplePos x="0" y="0"/>
          <wp:positionH relativeFrom="page">
            <wp:posOffset>-161925</wp:posOffset>
          </wp:positionH>
          <wp:positionV relativeFrom="paragraph">
            <wp:posOffset>-1097915</wp:posOffset>
          </wp:positionV>
          <wp:extent cx="7635600" cy="9943200"/>
          <wp:effectExtent l="0" t="0" r="3810" b="127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26F50012" w:rsidR="006E7A04" w:rsidRDefault="006E7A04"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0403AAC3" w:rsidR="006E7A04" w:rsidRDefault="006E7A04" w:rsidP="00C47D1B">
    <w:pPr>
      <w:pStyle w:val="Encabezado"/>
      <w:jc w:val="both"/>
    </w:pPr>
    <w:r>
      <w:rPr>
        <w:noProof/>
        <w:lang w:val="es-MX" w:eastAsia="es-MX"/>
      </w:rPr>
      <w:drawing>
        <wp:anchor distT="0" distB="0" distL="114300" distR="114300" simplePos="0" relativeHeight="251659264" behindDoc="1" locked="0" layoutInCell="1" allowOverlap="1" wp14:anchorId="1BBABE47" wp14:editId="51D3C150">
          <wp:simplePos x="0" y="0"/>
          <wp:positionH relativeFrom="page">
            <wp:align>left</wp:align>
          </wp:positionH>
          <wp:positionV relativeFrom="paragraph">
            <wp:posOffset>-343535</wp:posOffset>
          </wp:positionV>
          <wp:extent cx="7635600" cy="9943200"/>
          <wp:effectExtent l="0" t="0" r="3810" b="127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240" w:type="dxa"/>
      <w:tblInd w:w="3685" w:type="dxa"/>
      <w:tblLayout w:type="fixed"/>
      <w:tblLook w:val="04A0" w:firstRow="1" w:lastRow="0" w:firstColumn="1" w:lastColumn="0" w:noHBand="0" w:noVBand="1"/>
    </w:tblPr>
    <w:tblGrid>
      <w:gridCol w:w="2553"/>
      <w:gridCol w:w="3687"/>
    </w:tblGrid>
    <w:tr w:rsidR="006E7A04" w14:paraId="477E149B" w14:textId="77777777" w:rsidTr="00C47D1B">
      <w:tc>
        <w:tcPr>
          <w:tcW w:w="2553" w:type="dxa"/>
          <w:vAlign w:val="center"/>
          <w:hideMark/>
        </w:tcPr>
        <w:p w14:paraId="5C0586E4" w14:textId="77777777" w:rsidR="006E7A04" w:rsidRDefault="006E7A04" w:rsidP="00C47D1B">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87" w:type="dxa"/>
          <w:vAlign w:val="center"/>
          <w:hideMark/>
        </w:tcPr>
        <w:p w14:paraId="5B14C95E" w14:textId="08FE93D4" w:rsidR="006E7A04" w:rsidRPr="004440AC" w:rsidRDefault="006E7A04" w:rsidP="00BD14BA">
          <w:pPr>
            <w:rPr>
              <w:rFonts w:ascii="Palatino Linotype" w:hAnsi="Palatino Linotype"/>
              <w:b/>
              <w:sz w:val="22"/>
              <w:szCs w:val="22"/>
              <w:lang w:val="es-ES_tradnl"/>
            </w:rPr>
          </w:pPr>
          <w:r>
            <w:rPr>
              <w:rFonts w:ascii="Palatino Linotype" w:eastAsiaTheme="minorEastAsia" w:hAnsi="Palatino Linotype" w:cs="Arial"/>
              <w:b/>
              <w:bCs/>
              <w:sz w:val="22"/>
              <w:szCs w:val="22"/>
              <w:lang w:val="es-MX"/>
            </w:rPr>
            <w:t>04769/INFOEM/IP/RR/2021                      y acumulado</w:t>
          </w:r>
        </w:p>
      </w:tc>
    </w:tr>
    <w:tr w:rsidR="006E7A04" w14:paraId="5B5BE21C" w14:textId="77777777" w:rsidTr="003C388A">
      <w:tc>
        <w:tcPr>
          <w:tcW w:w="2553" w:type="dxa"/>
          <w:vAlign w:val="center"/>
          <w:hideMark/>
        </w:tcPr>
        <w:p w14:paraId="4AE96902" w14:textId="4E063913" w:rsidR="006E7A04" w:rsidRDefault="006E7A04" w:rsidP="00C47D1B">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687" w:type="dxa"/>
          <w:vAlign w:val="center"/>
        </w:tcPr>
        <w:p w14:paraId="776E3E60" w14:textId="361FF5E1" w:rsidR="006E7A04" w:rsidRPr="004440AC" w:rsidRDefault="006E7A04" w:rsidP="00155789">
          <w:pPr>
            <w:rPr>
              <w:rFonts w:ascii="Palatino Linotype" w:hAnsi="Palatino Linotype"/>
              <w:b/>
              <w:sz w:val="22"/>
              <w:szCs w:val="22"/>
              <w:lang w:val="es-ES_tradnl"/>
            </w:rPr>
          </w:pPr>
          <w:r>
            <w:rPr>
              <w:rFonts w:ascii="Palatino Linotype" w:hAnsi="Palatino Linotype"/>
              <w:b/>
              <w:sz w:val="22"/>
              <w:szCs w:val="22"/>
              <w:lang w:val="es-ES_tradnl"/>
            </w:rPr>
            <w:t>XXXXX XXXXXX XXXXXXXX XXXXXX</w:t>
          </w:r>
        </w:p>
      </w:tc>
    </w:tr>
    <w:tr w:rsidR="006E7A04" w14:paraId="22601A11" w14:textId="77777777" w:rsidTr="00C47D1B">
      <w:trPr>
        <w:trHeight w:val="228"/>
      </w:trPr>
      <w:tc>
        <w:tcPr>
          <w:tcW w:w="2553" w:type="dxa"/>
          <w:vAlign w:val="center"/>
          <w:hideMark/>
        </w:tcPr>
        <w:p w14:paraId="6EFE221D" w14:textId="49C5F800" w:rsidR="006E7A04" w:rsidRDefault="006E7A04" w:rsidP="00C47D1B">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87" w:type="dxa"/>
          <w:vAlign w:val="center"/>
          <w:hideMark/>
        </w:tcPr>
        <w:p w14:paraId="266F997D" w14:textId="052C211A" w:rsidR="006E7A04" w:rsidRPr="004440AC" w:rsidRDefault="006E7A04" w:rsidP="00BA1316">
          <w:pPr>
            <w:jc w:val="both"/>
            <w:rPr>
              <w:rFonts w:ascii="Palatino Linotype" w:hAnsi="Palatino Linotype"/>
              <w:b/>
              <w:sz w:val="22"/>
              <w:szCs w:val="22"/>
              <w:lang w:val="es-ES_tradnl"/>
            </w:rPr>
          </w:pPr>
          <w:r>
            <w:rPr>
              <w:rFonts w:ascii="Palatino Linotype" w:eastAsiaTheme="minorEastAsia" w:hAnsi="Palatino Linotype" w:cs="Arial"/>
              <w:b/>
              <w:sz w:val="22"/>
              <w:szCs w:val="22"/>
              <w:lang w:val="es-MX"/>
            </w:rPr>
            <w:t>Ayuntamiento de Tenancingo</w:t>
          </w:r>
        </w:p>
      </w:tc>
    </w:tr>
    <w:tr w:rsidR="006E7A04" w14:paraId="2D6C630E" w14:textId="77777777" w:rsidTr="00C47D1B">
      <w:tc>
        <w:tcPr>
          <w:tcW w:w="2553" w:type="dxa"/>
          <w:vAlign w:val="center"/>
          <w:hideMark/>
        </w:tcPr>
        <w:p w14:paraId="5BD4C6DB" w14:textId="2BEF086E" w:rsidR="006E7A04" w:rsidRDefault="006E7A04" w:rsidP="00C47D1B">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687" w:type="dxa"/>
          <w:vAlign w:val="center"/>
          <w:hideMark/>
        </w:tcPr>
        <w:p w14:paraId="0CDDA0BE" w14:textId="33AA34C2" w:rsidR="006E7A04" w:rsidRPr="004440AC" w:rsidRDefault="006E7A04" w:rsidP="00C47D1B">
          <w:pPr>
            <w:ind w:right="-533"/>
            <w:rPr>
              <w:rFonts w:ascii="Palatino Linotype" w:hAnsi="Palatino Linotype"/>
              <w:b/>
              <w:sz w:val="22"/>
              <w:szCs w:val="22"/>
              <w:lang w:val="es-ES_tradnl"/>
            </w:rPr>
          </w:pPr>
          <w:r>
            <w:rPr>
              <w:rFonts w:ascii="Palatino Linotype" w:hAnsi="Palatino Linotype"/>
              <w:b/>
              <w:sz w:val="22"/>
              <w:szCs w:val="22"/>
            </w:rPr>
            <w:t>Guadalupe Ramírez Peña</w:t>
          </w:r>
        </w:p>
      </w:tc>
    </w:tr>
  </w:tbl>
  <w:p w14:paraId="59DE3767" w14:textId="6FD10F8D" w:rsidR="006E7A04" w:rsidRDefault="006E7A04" w:rsidP="00C47D1B">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946903" w14:textId="1DBEEFAF" w:rsidR="006E7A04" w:rsidRDefault="006E7A04" w:rsidP="00C47D1B">
    <w:pPr>
      <w:pStyle w:val="Encabezado"/>
      <w:jc w:val="both"/>
    </w:pPr>
    <w:r>
      <w:t xml:space="preserve">                                  </w:t>
    </w:r>
  </w:p>
  <w:p w14:paraId="2BD1D79E" w14:textId="77777777" w:rsidR="006E7A04" w:rsidRDefault="006E7A04"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C444D9"/>
    <w:multiLevelType w:val="hybridMultilevel"/>
    <w:tmpl w:val="F2D20E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014695B"/>
    <w:multiLevelType w:val="multilevel"/>
    <w:tmpl w:val="4ECE8F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21D04F77"/>
    <w:multiLevelType w:val="hybridMultilevel"/>
    <w:tmpl w:val="80640706"/>
    <w:lvl w:ilvl="0" w:tplc="E6782338">
      <w:start w:val="1"/>
      <w:numFmt w:val="upperRoman"/>
      <w:lvlText w:val="%1."/>
      <w:lvlJc w:val="left"/>
      <w:pPr>
        <w:ind w:left="1860" w:hanging="720"/>
      </w:pPr>
      <w:rPr>
        <w:rFonts w:hint="default"/>
      </w:rPr>
    </w:lvl>
    <w:lvl w:ilvl="1" w:tplc="080A0019" w:tentative="1">
      <w:start w:val="1"/>
      <w:numFmt w:val="lowerLetter"/>
      <w:lvlText w:val="%2."/>
      <w:lvlJc w:val="left"/>
      <w:pPr>
        <w:ind w:left="2220" w:hanging="360"/>
      </w:pPr>
    </w:lvl>
    <w:lvl w:ilvl="2" w:tplc="080A001B" w:tentative="1">
      <w:start w:val="1"/>
      <w:numFmt w:val="lowerRoman"/>
      <w:lvlText w:val="%3."/>
      <w:lvlJc w:val="right"/>
      <w:pPr>
        <w:ind w:left="2940" w:hanging="180"/>
      </w:pPr>
    </w:lvl>
    <w:lvl w:ilvl="3" w:tplc="080A000F" w:tentative="1">
      <w:start w:val="1"/>
      <w:numFmt w:val="decimal"/>
      <w:lvlText w:val="%4."/>
      <w:lvlJc w:val="left"/>
      <w:pPr>
        <w:ind w:left="3660" w:hanging="360"/>
      </w:pPr>
    </w:lvl>
    <w:lvl w:ilvl="4" w:tplc="080A0019" w:tentative="1">
      <w:start w:val="1"/>
      <w:numFmt w:val="lowerLetter"/>
      <w:lvlText w:val="%5."/>
      <w:lvlJc w:val="left"/>
      <w:pPr>
        <w:ind w:left="4380" w:hanging="360"/>
      </w:pPr>
    </w:lvl>
    <w:lvl w:ilvl="5" w:tplc="080A001B" w:tentative="1">
      <w:start w:val="1"/>
      <w:numFmt w:val="lowerRoman"/>
      <w:lvlText w:val="%6."/>
      <w:lvlJc w:val="right"/>
      <w:pPr>
        <w:ind w:left="5100" w:hanging="180"/>
      </w:pPr>
    </w:lvl>
    <w:lvl w:ilvl="6" w:tplc="080A000F" w:tentative="1">
      <w:start w:val="1"/>
      <w:numFmt w:val="decimal"/>
      <w:lvlText w:val="%7."/>
      <w:lvlJc w:val="left"/>
      <w:pPr>
        <w:ind w:left="5820" w:hanging="360"/>
      </w:pPr>
    </w:lvl>
    <w:lvl w:ilvl="7" w:tplc="080A0019" w:tentative="1">
      <w:start w:val="1"/>
      <w:numFmt w:val="lowerLetter"/>
      <w:lvlText w:val="%8."/>
      <w:lvlJc w:val="left"/>
      <w:pPr>
        <w:ind w:left="6540" w:hanging="360"/>
      </w:pPr>
    </w:lvl>
    <w:lvl w:ilvl="8" w:tplc="080A001B" w:tentative="1">
      <w:start w:val="1"/>
      <w:numFmt w:val="lowerRoman"/>
      <w:lvlText w:val="%9."/>
      <w:lvlJc w:val="right"/>
      <w:pPr>
        <w:ind w:left="7260" w:hanging="180"/>
      </w:pPr>
    </w:lvl>
  </w:abstractNum>
  <w:abstractNum w:abstractNumId="3">
    <w:nsid w:val="268F7842"/>
    <w:multiLevelType w:val="hybridMultilevel"/>
    <w:tmpl w:val="94645FC8"/>
    <w:lvl w:ilvl="0" w:tplc="009483EC">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nsid w:val="27CD0F4B"/>
    <w:multiLevelType w:val="hybridMultilevel"/>
    <w:tmpl w:val="0F50BAD0"/>
    <w:lvl w:ilvl="0" w:tplc="125224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8F74690"/>
    <w:multiLevelType w:val="hybridMultilevel"/>
    <w:tmpl w:val="83D2900A"/>
    <w:lvl w:ilvl="0" w:tplc="DBB656B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4D208CF"/>
    <w:multiLevelType w:val="hybridMultilevel"/>
    <w:tmpl w:val="6466FCC6"/>
    <w:lvl w:ilvl="0" w:tplc="C8169A16">
      <w:start w:val="1"/>
      <w:numFmt w:val="bullet"/>
      <w:lvlText w:val=""/>
      <w:lvlJc w:val="left"/>
      <w:pPr>
        <w:ind w:left="720" w:hanging="360"/>
      </w:pPr>
      <w:rPr>
        <w:rFonts w:ascii="Symbol" w:hAnsi="Symbol"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nsid w:val="4B471ABE"/>
    <w:multiLevelType w:val="hybridMultilevel"/>
    <w:tmpl w:val="4326625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8">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53786D43"/>
    <w:multiLevelType w:val="hybridMultilevel"/>
    <w:tmpl w:val="6F98BCAE"/>
    <w:lvl w:ilvl="0" w:tplc="3EA014CA">
      <w:start w:val="1"/>
      <w:numFmt w:val="decimal"/>
      <w:lvlText w:val="%1."/>
      <w:lvlJc w:val="left"/>
      <w:pPr>
        <w:ind w:left="786"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nsid w:val="566764C7"/>
    <w:multiLevelType w:val="hybridMultilevel"/>
    <w:tmpl w:val="64CEC1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5DEC6957"/>
    <w:multiLevelType w:val="hybridMultilevel"/>
    <w:tmpl w:val="2354B9B2"/>
    <w:lvl w:ilvl="0" w:tplc="688AE268">
      <w:start w:val="1"/>
      <w:numFmt w:val="lowerLetter"/>
      <w:lvlText w:val="%1)"/>
      <w:lvlJc w:val="left"/>
      <w:pPr>
        <w:ind w:left="927" w:hanging="360"/>
      </w:pPr>
      <w:rPr>
        <w:rFonts w:hint="default"/>
        <w:b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
    <w:nsid w:val="674058CA"/>
    <w:multiLevelType w:val="hybridMultilevel"/>
    <w:tmpl w:val="79B2033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3">
    <w:nsid w:val="77012CFC"/>
    <w:multiLevelType w:val="multilevel"/>
    <w:tmpl w:val="1A1C18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77A67905"/>
    <w:multiLevelType w:val="hybridMultilevel"/>
    <w:tmpl w:val="74542EB4"/>
    <w:lvl w:ilvl="0" w:tplc="B6DA44D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7BE43C81"/>
    <w:multiLevelType w:val="hybridMultilevel"/>
    <w:tmpl w:val="CE90225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7CEA7168"/>
    <w:multiLevelType w:val="hybridMultilevel"/>
    <w:tmpl w:val="E0500C74"/>
    <w:lvl w:ilvl="0" w:tplc="5EC2C61E">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4"/>
  </w:num>
  <w:num w:numId="3">
    <w:abstractNumId w:val="2"/>
  </w:num>
  <w:num w:numId="4">
    <w:abstractNumId w:val="16"/>
  </w:num>
  <w:num w:numId="5">
    <w:abstractNumId w:val="3"/>
  </w:num>
  <w:num w:numId="6">
    <w:abstractNumId w:val="7"/>
  </w:num>
  <w:num w:numId="7">
    <w:abstractNumId w:val="11"/>
  </w:num>
  <w:num w:numId="8">
    <w:abstractNumId w:val="9"/>
  </w:num>
  <w:num w:numId="9">
    <w:abstractNumId w:val="8"/>
  </w:num>
  <w:num w:numId="10">
    <w:abstractNumId w:val="10"/>
  </w:num>
  <w:num w:numId="11">
    <w:abstractNumId w:val="12"/>
  </w:num>
  <w:num w:numId="12">
    <w:abstractNumId w:val="1"/>
  </w:num>
  <w:num w:numId="13">
    <w:abstractNumId w:val="6"/>
  </w:num>
  <w:num w:numId="14">
    <w:abstractNumId w:val="13"/>
  </w:num>
  <w:num w:numId="15">
    <w:abstractNumId w:val="0"/>
  </w:num>
  <w:num w:numId="16">
    <w:abstractNumId w:val="5"/>
  </w:num>
  <w:num w:numId="17">
    <w:abstractNumId w:val="1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s-ES" w:vendorID="64" w:dllVersion="131078" w:nlCheck="1" w:checkStyle="0"/>
  <w:activeWritingStyle w:appName="MSWord" w:lang="es-MX" w:vendorID="64" w:dllVersion="131078" w:nlCheck="1" w:checkStyle="0"/>
  <w:activeWritingStyle w:appName="MSWord" w:lang="es-ES_tradnl" w:vendorID="64" w:dllVersion="131078" w:nlCheck="1" w:checkStyle="0"/>
  <w:proofState w:spelling="clean" w:grammar="clean"/>
  <w:defaultTabStop w:val="708"/>
  <w:hyphenationZone w:val="425"/>
  <w:characterSpacingControl w:val="doNotCompress"/>
  <w:hdrShapeDefaults>
    <o:shapedefaults v:ext="edit" spidmax="1945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0AC7"/>
    <w:rsid w:val="000011B5"/>
    <w:rsid w:val="00003255"/>
    <w:rsid w:val="000035AE"/>
    <w:rsid w:val="0000625E"/>
    <w:rsid w:val="000064FC"/>
    <w:rsid w:val="00007CF3"/>
    <w:rsid w:val="00007D6B"/>
    <w:rsid w:val="00011FE4"/>
    <w:rsid w:val="00012597"/>
    <w:rsid w:val="00012A5F"/>
    <w:rsid w:val="000155F8"/>
    <w:rsid w:val="000163E2"/>
    <w:rsid w:val="00017394"/>
    <w:rsid w:val="00017BE1"/>
    <w:rsid w:val="00020A18"/>
    <w:rsid w:val="00020FBB"/>
    <w:rsid w:val="00021E8D"/>
    <w:rsid w:val="0002371F"/>
    <w:rsid w:val="000239D7"/>
    <w:rsid w:val="00023C79"/>
    <w:rsid w:val="000252E9"/>
    <w:rsid w:val="00025693"/>
    <w:rsid w:val="00026705"/>
    <w:rsid w:val="00026D94"/>
    <w:rsid w:val="0003297A"/>
    <w:rsid w:val="0003385D"/>
    <w:rsid w:val="00034241"/>
    <w:rsid w:val="00035413"/>
    <w:rsid w:val="000354B7"/>
    <w:rsid w:val="000359D8"/>
    <w:rsid w:val="00035B1B"/>
    <w:rsid w:val="00035F2E"/>
    <w:rsid w:val="000360A7"/>
    <w:rsid w:val="00036575"/>
    <w:rsid w:val="00036B8A"/>
    <w:rsid w:val="00037DD5"/>
    <w:rsid w:val="00041D3E"/>
    <w:rsid w:val="00042350"/>
    <w:rsid w:val="000423C7"/>
    <w:rsid w:val="00042431"/>
    <w:rsid w:val="00043AE9"/>
    <w:rsid w:val="0004471E"/>
    <w:rsid w:val="00045FD8"/>
    <w:rsid w:val="00046DFC"/>
    <w:rsid w:val="0004750C"/>
    <w:rsid w:val="00047F41"/>
    <w:rsid w:val="00050B6B"/>
    <w:rsid w:val="000529E0"/>
    <w:rsid w:val="000531EF"/>
    <w:rsid w:val="00056A11"/>
    <w:rsid w:val="00057073"/>
    <w:rsid w:val="00060310"/>
    <w:rsid w:val="00060CD1"/>
    <w:rsid w:val="00061B28"/>
    <w:rsid w:val="00062B1E"/>
    <w:rsid w:val="00062CC1"/>
    <w:rsid w:val="000646E3"/>
    <w:rsid w:val="000652AD"/>
    <w:rsid w:val="000667E0"/>
    <w:rsid w:val="00066867"/>
    <w:rsid w:val="00066D7D"/>
    <w:rsid w:val="0006730A"/>
    <w:rsid w:val="00071380"/>
    <w:rsid w:val="00071462"/>
    <w:rsid w:val="00071A99"/>
    <w:rsid w:val="00072735"/>
    <w:rsid w:val="000752EF"/>
    <w:rsid w:val="00075D7A"/>
    <w:rsid w:val="00077347"/>
    <w:rsid w:val="00077788"/>
    <w:rsid w:val="00082571"/>
    <w:rsid w:val="0008304C"/>
    <w:rsid w:val="00083058"/>
    <w:rsid w:val="00083113"/>
    <w:rsid w:val="000831C8"/>
    <w:rsid w:val="0008387F"/>
    <w:rsid w:val="0008542A"/>
    <w:rsid w:val="000862C1"/>
    <w:rsid w:val="00086447"/>
    <w:rsid w:val="00087498"/>
    <w:rsid w:val="00087514"/>
    <w:rsid w:val="000879EF"/>
    <w:rsid w:val="00090EBA"/>
    <w:rsid w:val="00091097"/>
    <w:rsid w:val="00091682"/>
    <w:rsid w:val="000922D4"/>
    <w:rsid w:val="00092DFC"/>
    <w:rsid w:val="0009444C"/>
    <w:rsid w:val="00094E67"/>
    <w:rsid w:val="00095E37"/>
    <w:rsid w:val="00097EF0"/>
    <w:rsid w:val="000A0BA3"/>
    <w:rsid w:val="000A0D0B"/>
    <w:rsid w:val="000A1403"/>
    <w:rsid w:val="000A16A2"/>
    <w:rsid w:val="000A1C9A"/>
    <w:rsid w:val="000A1E1F"/>
    <w:rsid w:val="000A351A"/>
    <w:rsid w:val="000A4EC4"/>
    <w:rsid w:val="000A515A"/>
    <w:rsid w:val="000A577A"/>
    <w:rsid w:val="000A6651"/>
    <w:rsid w:val="000A7C0E"/>
    <w:rsid w:val="000B0C40"/>
    <w:rsid w:val="000B0C87"/>
    <w:rsid w:val="000B2B61"/>
    <w:rsid w:val="000B2CE3"/>
    <w:rsid w:val="000B2D3D"/>
    <w:rsid w:val="000B2FE2"/>
    <w:rsid w:val="000B3A0B"/>
    <w:rsid w:val="000B3FFD"/>
    <w:rsid w:val="000B4126"/>
    <w:rsid w:val="000B4DA5"/>
    <w:rsid w:val="000B5351"/>
    <w:rsid w:val="000B74BA"/>
    <w:rsid w:val="000B7B5A"/>
    <w:rsid w:val="000B7FC4"/>
    <w:rsid w:val="000C057C"/>
    <w:rsid w:val="000C4453"/>
    <w:rsid w:val="000C54A3"/>
    <w:rsid w:val="000C7714"/>
    <w:rsid w:val="000C77C6"/>
    <w:rsid w:val="000C7C04"/>
    <w:rsid w:val="000D03C2"/>
    <w:rsid w:val="000D0980"/>
    <w:rsid w:val="000D17BA"/>
    <w:rsid w:val="000D2FB4"/>
    <w:rsid w:val="000D5029"/>
    <w:rsid w:val="000D54CA"/>
    <w:rsid w:val="000D7676"/>
    <w:rsid w:val="000E0002"/>
    <w:rsid w:val="000E059C"/>
    <w:rsid w:val="000E08B8"/>
    <w:rsid w:val="000E0E8E"/>
    <w:rsid w:val="000F20B4"/>
    <w:rsid w:val="000F36AE"/>
    <w:rsid w:val="000F42DB"/>
    <w:rsid w:val="000F6886"/>
    <w:rsid w:val="000F7078"/>
    <w:rsid w:val="000F71B5"/>
    <w:rsid w:val="000F7FE2"/>
    <w:rsid w:val="0010152C"/>
    <w:rsid w:val="00103334"/>
    <w:rsid w:val="00104E08"/>
    <w:rsid w:val="00107249"/>
    <w:rsid w:val="001073CC"/>
    <w:rsid w:val="00107A49"/>
    <w:rsid w:val="001110FC"/>
    <w:rsid w:val="00111416"/>
    <w:rsid w:val="00112067"/>
    <w:rsid w:val="00112892"/>
    <w:rsid w:val="00113998"/>
    <w:rsid w:val="00114D4B"/>
    <w:rsid w:val="00114DDF"/>
    <w:rsid w:val="001150FF"/>
    <w:rsid w:val="00115594"/>
    <w:rsid w:val="00115AAD"/>
    <w:rsid w:val="001165E8"/>
    <w:rsid w:val="001168F3"/>
    <w:rsid w:val="001228F2"/>
    <w:rsid w:val="00124762"/>
    <w:rsid w:val="00125637"/>
    <w:rsid w:val="00127CA9"/>
    <w:rsid w:val="00130642"/>
    <w:rsid w:val="001306E4"/>
    <w:rsid w:val="00131F2F"/>
    <w:rsid w:val="00132AAA"/>
    <w:rsid w:val="00136083"/>
    <w:rsid w:val="001407EE"/>
    <w:rsid w:val="00141F78"/>
    <w:rsid w:val="00142A63"/>
    <w:rsid w:val="00143967"/>
    <w:rsid w:val="00145D65"/>
    <w:rsid w:val="00147E1D"/>
    <w:rsid w:val="00151D19"/>
    <w:rsid w:val="00152866"/>
    <w:rsid w:val="00152C84"/>
    <w:rsid w:val="00154F9F"/>
    <w:rsid w:val="0015575F"/>
    <w:rsid w:val="00155789"/>
    <w:rsid w:val="00155C46"/>
    <w:rsid w:val="00161A72"/>
    <w:rsid w:val="00161FC4"/>
    <w:rsid w:val="00163B98"/>
    <w:rsid w:val="00166139"/>
    <w:rsid w:val="001667F0"/>
    <w:rsid w:val="00166CA0"/>
    <w:rsid w:val="00167F89"/>
    <w:rsid w:val="001701C4"/>
    <w:rsid w:val="00170E0A"/>
    <w:rsid w:val="00170FC7"/>
    <w:rsid w:val="00172089"/>
    <w:rsid w:val="001723BF"/>
    <w:rsid w:val="0017530C"/>
    <w:rsid w:val="0017555E"/>
    <w:rsid w:val="00175974"/>
    <w:rsid w:val="00175CD2"/>
    <w:rsid w:val="00177A27"/>
    <w:rsid w:val="00181791"/>
    <w:rsid w:val="00183275"/>
    <w:rsid w:val="00184474"/>
    <w:rsid w:val="00184FBA"/>
    <w:rsid w:val="00186B63"/>
    <w:rsid w:val="001905F4"/>
    <w:rsid w:val="001911CC"/>
    <w:rsid w:val="00191232"/>
    <w:rsid w:val="00191780"/>
    <w:rsid w:val="001943B1"/>
    <w:rsid w:val="00196DC5"/>
    <w:rsid w:val="00197AAA"/>
    <w:rsid w:val="00197DA4"/>
    <w:rsid w:val="001A0461"/>
    <w:rsid w:val="001A0542"/>
    <w:rsid w:val="001A1810"/>
    <w:rsid w:val="001A2131"/>
    <w:rsid w:val="001A21A6"/>
    <w:rsid w:val="001A2A37"/>
    <w:rsid w:val="001A2ACE"/>
    <w:rsid w:val="001A2FF3"/>
    <w:rsid w:val="001A373A"/>
    <w:rsid w:val="001A4183"/>
    <w:rsid w:val="001A49B5"/>
    <w:rsid w:val="001A4C5F"/>
    <w:rsid w:val="001A65A2"/>
    <w:rsid w:val="001A7372"/>
    <w:rsid w:val="001A7913"/>
    <w:rsid w:val="001A7C83"/>
    <w:rsid w:val="001B3256"/>
    <w:rsid w:val="001B3A7E"/>
    <w:rsid w:val="001B5099"/>
    <w:rsid w:val="001B6BDC"/>
    <w:rsid w:val="001C0C3F"/>
    <w:rsid w:val="001C1B80"/>
    <w:rsid w:val="001C304B"/>
    <w:rsid w:val="001C4584"/>
    <w:rsid w:val="001C5205"/>
    <w:rsid w:val="001C5E2E"/>
    <w:rsid w:val="001C6065"/>
    <w:rsid w:val="001C775A"/>
    <w:rsid w:val="001D064E"/>
    <w:rsid w:val="001D36C6"/>
    <w:rsid w:val="001D43BD"/>
    <w:rsid w:val="001D54C7"/>
    <w:rsid w:val="001D63C6"/>
    <w:rsid w:val="001D78E5"/>
    <w:rsid w:val="001D7A7E"/>
    <w:rsid w:val="001E1C02"/>
    <w:rsid w:val="001E39C4"/>
    <w:rsid w:val="001E3B66"/>
    <w:rsid w:val="001E5075"/>
    <w:rsid w:val="001E50ED"/>
    <w:rsid w:val="001E5309"/>
    <w:rsid w:val="001E5E95"/>
    <w:rsid w:val="001E64BE"/>
    <w:rsid w:val="001E66EB"/>
    <w:rsid w:val="001E709B"/>
    <w:rsid w:val="001F1B46"/>
    <w:rsid w:val="001F1F7D"/>
    <w:rsid w:val="001F2CA8"/>
    <w:rsid w:val="001F501F"/>
    <w:rsid w:val="001F5E9E"/>
    <w:rsid w:val="001F6787"/>
    <w:rsid w:val="001F6EBE"/>
    <w:rsid w:val="001F79BC"/>
    <w:rsid w:val="00200119"/>
    <w:rsid w:val="0020054B"/>
    <w:rsid w:val="00200852"/>
    <w:rsid w:val="00201E21"/>
    <w:rsid w:val="00203421"/>
    <w:rsid w:val="002048C6"/>
    <w:rsid w:val="00204C2A"/>
    <w:rsid w:val="00205361"/>
    <w:rsid w:val="002071BB"/>
    <w:rsid w:val="002073F1"/>
    <w:rsid w:val="00211018"/>
    <w:rsid w:val="00211484"/>
    <w:rsid w:val="00212FE4"/>
    <w:rsid w:val="002153F3"/>
    <w:rsid w:val="002155B0"/>
    <w:rsid w:val="00215922"/>
    <w:rsid w:val="00215DD9"/>
    <w:rsid w:val="00216CA9"/>
    <w:rsid w:val="00220958"/>
    <w:rsid w:val="00221545"/>
    <w:rsid w:val="00221D2C"/>
    <w:rsid w:val="00222F65"/>
    <w:rsid w:val="00223136"/>
    <w:rsid w:val="00223D0B"/>
    <w:rsid w:val="00225818"/>
    <w:rsid w:val="00226723"/>
    <w:rsid w:val="00226949"/>
    <w:rsid w:val="00230CC7"/>
    <w:rsid w:val="002310DA"/>
    <w:rsid w:val="00232249"/>
    <w:rsid w:val="0023264F"/>
    <w:rsid w:val="0023380E"/>
    <w:rsid w:val="002339A2"/>
    <w:rsid w:val="00233F88"/>
    <w:rsid w:val="00235FB4"/>
    <w:rsid w:val="0023617B"/>
    <w:rsid w:val="00241648"/>
    <w:rsid w:val="002440EB"/>
    <w:rsid w:val="00244397"/>
    <w:rsid w:val="00244EEF"/>
    <w:rsid w:val="00245CDE"/>
    <w:rsid w:val="002464BA"/>
    <w:rsid w:val="00247177"/>
    <w:rsid w:val="002473A9"/>
    <w:rsid w:val="0025024A"/>
    <w:rsid w:val="00251066"/>
    <w:rsid w:val="00251C63"/>
    <w:rsid w:val="00253E81"/>
    <w:rsid w:val="00254116"/>
    <w:rsid w:val="002556CA"/>
    <w:rsid w:val="00256193"/>
    <w:rsid w:val="002568DF"/>
    <w:rsid w:val="00256AF3"/>
    <w:rsid w:val="00260148"/>
    <w:rsid w:val="002608CE"/>
    <w:rsid w:val="00260E6B"/>
    <w:rsid w:val="0026164E"/>
    <w:rsid w:val="00261C72"/>
    <w:rsid w:val="0026271B"/>
    <w:rsid w:val="002629E7"/>
    <w:rsid w:val="002630EE"/>
    <w:rsid w:val="00263972"/>
    <w:rsid w:val="002657BB"/>
    <w:rsid w:val="0026683E"/>
    <w:rsid w:val="00273D22"/>
    <w:rsid w:val="0027438C"/>
    <w:rsid w:val="00276F2E"/>
    <w:rsid w:val="002804D9"/>
    <w:rsid w:val="00281356"/>
    <w:rsid w:val="00281EF2"/>
    <w:rsid w:val="00281FA3"/>
    <w:rsid w:val="002822B9"/>
    <w:rsid w:val="00283308"/>
    <w:rsid w:val="00285031"/>
    <w:rsid w:val="0028781E"/>
    <w:rsid w:val="002905B2"/>
    <w:rsid w:val="00290A2D"/>
    <w:rsid w:val="00290C42"/>
    <w:rsid w:val="002937C6"/>
    <w:rsid w:val="00293DE5"/>
    <w:rsid w:val="002948A1"/>
    <w:rsid w:val="00294E82"/>
    <w:rsid w:val="00295078"/>
    <w:rsid w:val="00295C72"/>
    <w:rsid w:val="00295DE7"/>
    <w:rsid w:val="00296BC8"/>
    <w:rsid w:val="00297AB0"/>
    <w:rsid w:val="00297C68"/>
    <w:rsid w:val="00297FDC"/>
    <w:rsid w:val="002A08C2"/>
    <w:rsid w:val="002A1583"/>
    <w:rsid w:val="002A3DD5"/>
    <w:rsid w:val="002A4074"/>
    <w:rsid w:val="002A6CC7"/>
    <w:rsid w:val="002A7759"/>
    <w:rsid w:val="002A7AC7"/>
    <w:rsid w:val="002B04B3"/>
    <w:rsid w:val="002B0A1D"/>
    <w:rsid w:val="002B0ABE"/>
    <w:rsid w:val="002B0EF8"/>
    <w:rsid w:val="002B1362"/>
    <w:rsid w:val="002B1708"/>
    <w:rsid w:val="002B393B"/>
    <w:rsid w:val="002B4161"/>
    <w:rsid w:val="002B4950"/>
    <w:rsid w:val="002B5C57"/>
    <w:rsid w:val="002B62AF"/>
    <w:rsid w:val="002B7622"/>
    <w:rsid w:val="002C0C5C"/>
    <w:rsid w:val="002C0C63"/>
    <w:rsid w:val="002C0F5C"/>
    <w:rsid w:val="002C1E7D"/>
    <w:rsid w:val="002C4011"/>
    <w:rsid w:val="002C49B0"/>
    <w:rsid w:val="002C4BC2"/>
    <w:rsid w:val="002C4DEE"/>
    <w:rsid w:val="002C4EBB"/>
    <w:rsid w:val="002C4F45"/>
    <w:rsid w:val="002C6154"/>
    <w:rsid w:val="002C67BF"/>
    <w:rsid w:val="002C6C4B"/>
    <w:rsid w:val="002D07B6"/>
    <w:rsid w:val="002D23B6"/>
    <w:rsid w:val="002D381A"/>
    <w:rsid w:val="002D46BF"/>
    <w:rsid w:val="002D508B"/>
    <w:rsid w:val="002D5FAE"/>
    <w:rsid w:val="002D7FA3"/>
    <w:rsid w:val="002E0EA2"/>
    <w:rsid w:val="002E155E"/>
    <w:rsid w:val="002E2283"/>
    <w:rsid w:val="002E298F"/>
    <w:rsid w:val="002E374C"/>
    <w:rsid w:val="002E5744"/>
    <w:rsid w:val="002E6172"/>
    <w:rsid w:val="002E6B74"/>
    <w:rsid w:val="002E74F5"/>
    <w:rsid w:val="002F1C4D"/>
    <w:rsid w:val="002F21D9"/>
    <w:rsid w:val="002F2315"/>
    <w:rsid w:val="002F2653"/>
    <w:rsid w:val="002F3A84"/>
    <w:rsid w:val="002F411A"/>
    <w:rsid w:val="002F4B70"/>
    <w:rsid w:val="002F5A90"/>
    <w:rsid w:val="002F6F61"/>
    <w:rsid w:val="002F700E"/>
    <w:rsid w:val="00302787"/>
    <w:rsid w:val="00302FBC"/>
    <w:rsid w:val="00306430"/>
    <w:rsid w:val="00306B09"/>
    <w:rsid w:val="00306C3C"/>
    <w:rsid w:val="0030711C"/>
    <w:rsid w:val="00307205"/>
    <w:rsid w:val="0031046F"/>
    <w:rsid w:val="0031189B"/>
    <w:rsid w:val="00312073"/>
    <w:rsid w:val="00312EFF"/>
    <w:rsid w:val="0031351C"/>
    <w:rsid w:val="00313AFB"/>
    <w:rsid w:val="00313FA6"/>
    <w:rsid w:val="00314023"/>
    <w:rsid w:val="00314587"/>
    <w:rsid w:val="00314DEC"/>
    <w:rsid w:val="003151BB"/>
    <w:rsid w:val="003156AE"/>
    <w:rsid w:val="00315795"/>
    <w:rsid w:val="00316354"/>
    <w:rsid w:val="003179EC"/>
    <w:rsid w:val="00321D72"/>
    <w:rsid w:val="00322863"/>
    <w:rsid w:val="00322AE2"/>
    <w:rsid w:val="00323623"/>
    <w:rsid w:val="003248F4"/>
    <w:rsid w:val="00324C10"/>
    <w:rsid w:val="0032631D"/>
    <w:rsid w:val="00326D18"/>
    <w:rsid w:val="0033030C"/>
    <w:rsid w:val="0033396B"/>
    <w:rsid w:val="00333C7C"/>
    <w:rsid w:val="003349F4"/>
    <w:rsid w:val="00335047"/>
    <w:rsid w:val="003357AB"/>
    <w:rsid w:val="003358DC"/>
    <w:rsid w:val="003404F0"/>
    <w:rsid w:val="00340B86"/>
    <w:rsid w:val="0034164E"/>
    <w:rsid w:val="003438B7"/>
    <w:rsid w:val="00343B40"/>
    <w:rsid w:val="00343CBA"/>
    <w:rsid w:val="00344708"/>
    <w:rsid w:val="00344A4C"/>
    <w:rsid w:val="00346C1D"/>
    <w:rsid w:val="00346CBE"/>
    <w:rsid w:val="00347274"/>
    <w:rsid w:val="00347D87"/>
    <w:rsid w:val="003519B1"/>
    <w:rsid w:val="00351CB7"/>
    <w:rsid w:val="003522A4"/>
    <w:rsid w:val="00352E50"/>
    <w:rsid w:val="003537DE"/>
    <w:rsid w:val="00354A9E"/>
    <w:rsid w:val="00355706"/>
    <w:rsid w:val="003557C1"/>
    <w:rsid w:val="003557DA"/>
    <w:rsid w:val="00355B75"/>
    <w:rsid w:val="00355F41"/>
    <w:rsid w:val="0035716F"/>
    <w:rsid w:val="00357BB6"/>
    <w:rsid w:val="0036086E"/>
    <w:rsid w:val="00362689"/>
    <w:rsid w:val="003633DD"/>
    <w:rsid w:val="003633FB"/>
    <w:rsid w:val="00363A24"/>
    <w:rsid w:val="0036555F"/>
    <w:rsid w:val="003668F1"/>
    <w:rsid w:val="00366C6B"/>
    <w:rsid w:val="00367CE5"/>
    <w:rsid w:val="003710D0"/>
    <w:rsid w:val="003718B9"/>
    <w:rsid w:val="0037225D"/>
    <w:rsid w:val="003729E8"/>
    <w:rsid w:val="00372CBB"/>
    <w:rsid w:val="00373B44"/>
    <w:rsid w:val="00373EDE"/>
    <w:rsid w:val="003804BC"/>
    <w:rsid w:val="00380791"/>
    <w:rsid w:val="00381E05"/>
    <w:rsid w:val="00382014"/>
    <w:rsid w:val="0038230C"/>
    <w:rsid w:val="00383C34"/>
    <w:rsid w:val="00386E7A"/>
    <w:rsid w:val="00390804"/>
    <w:rsid w:val="00391F37"/>
    <w:rsid w:val="00392DD9"/>
    <w:rsid w:val="00392EE5"/>
    <w:rsid w:val="00393317"/>
    <w:rsid w:val="003957EC"/>
    <w:rsid w:val="003972ED"/>
    <w:rsid w:val="003A0CB7"/>
    <w:rsid w:val="003A11DD"/>
    <w:rsid w:val="003A1AF1"/>
    <w:rsid w:val="003A2B96"/>
    <w:rsid w:val="003A4399"/>
    <w:rsid w:val="003A5A6E"/>
    <w:rsid w:val="003A6186"/>
    <w:rsid w:val="003A640F"/>
    <w:rsid w:val="003A7A6D"/>
    <w:rsid w:val="003A7FA3"/>
    <w:rsid w:val="003B0688"/>
    <w:rsid w:val="003B2480"/>
    <w:rsid w:val="003B31F9"/>
    <w:rsid w:val="003B3431"/>
    <w:rsid w:val="003B4245"/>
    <w:rsid w:val="003B63EB"/>
    <w:rsid w:val="003B72E9"/>
    <w:rsid w:val="003B7EC1"/>
    <w:rsid w:val="003C388A"/>
    <w:rsid w:val="003C4A79"/>
    <w:rsid w:val="003C55F5"/>
    <w:rsid w:val="003C5621"/>
    <w:rsid w:val="003C5A54"/>
    <w:rsid w:val="003C739F"/>
    <w:rsid w:val="003D1561"/>
    <w:rsid w:val="003D1883"/>
    <w:rsid w:val="003D18A4"/>
    <w:rsid w:val="003D202C"/>
    <w:rsid w:val="003D48A3"/>
    <w:rsid w:val="003D4D18"/>
    <w:rsid w:val="003D5B72"/>
    <w:rsid w:val="003D5D47"/>
    <w:rsid w:val="003D5EEB"/>
    <w:rsid w:val="003D61B0"/>
    <w:rsid w:val="003E0A67"/>
    <w:rsid w:val="003E1018"/>
    <w:rsid w:val="003E5177"/>
    <w:rsid w:val="003E5A0A"/>
    <w:rsid w:val="003E5D23"/>
    <w:rsid w:val="003E5DB7"/>
    <w:rsid w:val="003E666B"/>
    <w:rsid w:val="003E6D0E"/>
    <w:rsid w:val="003E71D8"/>
    <w:rsid w:val="003E750D"/>
    <w:rsid w:val="003F09F0"/>
    <w:rsid w:val="003F2039"/>
    <w:rsid w:val="003F2BA9"/>
    <w:rsid w:val="003F52C2"/>
    <w:rsid w:val="003F58C3"/>
    <w:rsid w:val="003F5CBA"/>
    <w:rsid w:val="0040233B"/>
    <w:rsid w:val="004053FB"/>
    <w:rsid w:val="00410650"/>
    <w:rsid w:val="004106C1"/>
    <w:rsid w:val="004123F3"/>
    <w:rsid w:val="004126F7"/>
    <w:rsid w:val="00414AE6"/>
    <w:rsid w:val="00414EE8"/>
    <w:rsid w:val="00416BBD"/>
    <w:rsid w:val="0042006D"/>
    <w:rsid w:val="00422852"/>
    <w:rsid w:val="0042327C"/>
    <w:rsid w:val="00423786"/>
    <w:rsid w:val="00424241"/>
    <w:rsid w:val="00425752"/>
    <w:rsid w:val="00431170"/>
    <w:rsid w:val="004325FD"/>
    <w:rsid w:val="0043317E"/>
    <w:rsid w:val="00433345"/>
    <w:rsid w:val="00433BD1"/>
    <w:rsid w:val="00434264"/>
    <w:rsid w:val="004350B4"/>
    <w:rsid w:val="00436503"/>
    <w:rsid w:val="00441BF3"/>
    <w:rsid w:val="00441C6D"/>
    <w:rsid w:val="004436ED"/>
    <w:rsid w:val="0044374E"/>
    <w:rsid w:val="00443F1A"/>
    <w:rsid w:val="004440AC"/>
    <w:rsid w:val="004443A2"/>
    <w:rsid w:val="00444919"/>
    <w:rsid w:val="0044547C"/>
    <w:rsid w:val="0044590C"/>
    <w:rsid w:val="0044591B"/>
    <w:rsid w:val="0044678A"/>
    <w:rsid w:val="00446BB3"/>
    <w:rsid w:val="004505C5"/>
    <w:rsid w:val="00450869"/>
    <w:rsid w:val="0045197D"/>
    <w:rsid w:val="00451F5B"/>
    <w:rsid w:val="00452CC9"/>
    <w:rsid w:val="00453028"/>
    <w:rsid w:val="00453918"/>
    <w:rsid w:val="00454D4F"/>
    <w:rsid w:val="00455768"/>
    <w:rsid w:val="00456E2C"/>
    <w:rsid w:val="00457077"/>
    <w:rsid w:val="00457FC7"/>
    <w:rsid w:val="00462417"/>
    <w:rsid w:val="00462643"/>
    <w:rsid w:val="004642EF"/>
    <w:rsid w:val="00464322"/>
    <w:rsid w:val="00464624"/>
    <w:rsid w:val="00465E62"/>
    <w:rsid w:val="0046659B"/>
    <w:rsid w:val="004677F9"/>
    <w:rsid w:val="004715D7"/>
    <w:rsid w:val="00471EC2"/>
    <w:rsid w:val="00472DA4"/>
    <w:rsid w:val="00472F27"/>
    <w:rsid w:val="0047312F"/>
    <w:rsid w:val="00473B43"/>
    <w:rsid w:val="00476BA5"/>
    <w:rsid w:val="00476CF8"/>
    <w:rsid w:val="0047775E"/>
    <w:rsid w:val="0047777D"/>
    <w:rsid w:val="00482324"/>
    <w:rsid w:val="00482731"/>
    <w:rsid w:val="0048286C"/>
    <w:rsid w:val="00483A0F"/>
    <w:rsid w:val="00484625"/>
    <w:rsid w:val="0048589D"/>
    <w:rsid w:val="00487282"/>
    <w:rsid w:val="004874F8"/>
    <w:rsid w:val="004879E2"/>
    <w:rsid w:val="00487F15"/>
    <w:rsid w:val="004912A0"/>
    <w:rsid w:val="00491B92"/>
    <w:rsid w:val="00491ECE"/>
    <w:rsid w:val="004928DE"/>
    <w:rsid w:val="00493E2F"/>
    <w:rsid w:val="0049576C"/>
    <w:rsid w:val="004A0E5A"/>
    <w:rsid w:val="004A0EA8"/>
    <w:rsid w:val="004A14D9"/>
    <w:rsid w:val="004A1F37"/>
    <w:rsid w:val="004A21F6"/>
    <w:rsid w:val="004A3B39"/>
    <w:rsid w:val="004A43C8"/>
    <w:rsid w:val="004A4B61"/>
    <w:rsid w:val="004A6EFE"/>
    <w:rsid w:val="004A7086"/>
    <w:rsid w:val="004B067A"/>
    <w:rsid w:val="004B1858"/>
    <w:rsid w:val="004B2540"/>
    <w:rsid w:val="004B3E17"/>
    <w:rsid w:val="004B58C3"/>
    <w:rsid w:val="004B675F"/>
    <w:rsid w:val="004B72C5"/>
    <w:rsid w:val="004B7A1B"/>
    <w:rsid w:val="004C054C"/>
    <w:rsid w:val="004C08BF"/>
    <w:rsid w:val="004C3804"/>
    <w:rsid w:val="004C3DAF"/>
    <w:rsid w:val="004C45A2"/>
    <w:rsid w:val="004C51D7"/>
    <w:rsid w:val="004C56DE"/>
    <w:rsid w:val="004C7629"/>
    <w:rsid w:val="004C7701"/>
    <w:rsid w:val="004D0A26"/>
    <w:rsid w:val="004D0EE4"/>
    <w:rsid w:val="004D1E91"/>
    <w:rsid w:val="004D25E0"/>
    <w:rsid w:val="004D4688"/>
    <w:rsid w:val="004D482C"/>
    <w:rsid w:val="004D5AC0"/>
    <w:rsid w:val="004D5FEF"/>
    <w:rsid w:val="004D6AB1"/>
    <w:rsid w:val="004D764F"/>
    <w:rsid w:val="004D7C73"/>
    <w:rsid w:val="004E1EBF"/>
    <w:rsid w:val="004E27AD"/>
    <w:rsid w:val="004E45B8"/>
    <w:rsid w:val="004E4987"/>
    <w:rsid w:val="004E585B"/>
    <w:rsid w:val="004E5E43"/>
    <w:rsid w:val="004E65C6"/>
    <w:rsid w:val="004F227C"/>
    <w:rsid w:val="004F3B64"/>
    <w:rsid w:val="004F5243"/>
    <w:rsid w:val="00501044"/>
    <w:rsid w:val="00505B26"/>
    <w:rsid w:val="005068DC"/>
    <w:rsid w:val="00507449"/>
    <w:rsid w:val="00511092"/>
    <w:rsid w:val="00511602"/>
    <w:rsid w:val="0051367E"/>
    <w:rsid w:val="0051411C"/>
    <w:rsid w:val="005155A4"/>
    <w:rsid w:val="005164B6"/>
    <w:rsid w:val="00516E6A"/>
    <w:rsid w:val="00517437"/>
    <w:rsid w:val="005206C8"/>
    <w:rsid w:val="005218EA"/>
    <w:rsid w:val="00521EE1"/>
    <w:rsid w:val="0052414D"/>
    <w:rsid w:val="0052498A"/>
    <w:rsid w:val="00531ABD"/>
    <w:rsid w:val="00532033"/>
    <w:rsid w:val="00535560"/>
    <w:rsid w:val="005368E5"/>
    <w:rsid w:val="0053695E"/>
    <w:rsid w:val="005408FA"/>
    <w:rsid w:val="005413A9"/>
    <w:rsid w:val="00542D8A"/>
    <w:rsid w:val="00544117"/>
    <w:rsid w:val="00544E0A"/>
    <w:rsid w:val="00545734"/>
    <w:rsid w:val="00546F92"/>
    <w:rsid w:val="00550E9C"/>
    <w:rsid w:val="00551BA4"/>
    <w:rsid w:val="00552D59"/>
    <w:rsid w:val="0055319C"/>
    <w:rsid w:val="0055320F"/>
    <w:rsid w:val="00553604"/>
    <w:rsid w:val="00553D6D"/>
    <w:rsid w:val="00556636"/>
    <w:rsid w:val="00556686"/>
    <w:rsid w:val="00557D61"/>
    <w:rsid w:val="0056055E"/>
    <w:rsid w:val="005608B3"/>
    <w:rsid w:val="005609B4"/>
    <w:rsid w:val="005639F9"/>
    <w:rsid w:val="00563C65"/>
    <w:rsid w:val="0056588E"/>
    <w:rsid w:val="005671CD"/>
    <w:rsid w:val="00570CBE"/>
    <w:rsid w:val="00571391"/>
    <w:rsid w:val="005719CA"/>
    <w:rsid w:val="00573949"/>
    <w:rsid w:val="00573ECF"/>
    <w:rsid w:val="005745EE"/>
    <w:rsid w:val="0057549C"/>
    <w:rsid w:val="00575B5A"/>
    <w:rsid w:val="00575B60"/>
    <w:rsid w:val="00576872"/>
    <w:rsid w:val="00577287"/>
    <w:rsid w:val="00580998"/>
    <w:rsid w:val="0058269D"/>
    <w:rsid w:val="0058423C"/>
    <w:rsid w:val="0058439D"/>
    <w:rsid w:val="005845F7"/>
    <w:rsid w:val="00585149"/>
    <w:rsid w:val="0058544C"/>
    <w:rsid w:val="00585C24"/>
    <w:rsid w:val="00585C6E"/>
    <w:rsid w:val="00586E86"/>
    <w:rsid w:val="0058743A"/>
    <w:rsid w:val="005875A9"/>
    <w:rsid w:val="00587E97"/>
    <w:rsid w:val="0059012B"/>
    <w:rsid w:val="0059026C"/>
    <w:rsid w:val="0059069B"/>
    <w:rsid w:val="00591AF3"/>
    <w:rsid w:val="005921E5"/>
    <w:rsid w:val="00592755"/>
    <w:rsid w:val="00592E86"/>
    <w:rsid w:val="00592E91"/>
    <w:rsid w:val="00593DB7"/>
    <w:rsid w:val="00594366"/>
    <w:rsid w:val="00594BC5"/>
    <w:rsid w:val="005954E9"/>
    <w:rsid w:val="00595F52"/>
    <w:rsid w:val="00596F65"/>
    <w:rsid w:val="00597AB5"/>
    <w:rsid w:val="005A0F47"/>
    <w:rsid w:val="005A232E"/>
    <w:rsid w:val="005A3E06"/>
    <w:rsid w:val="005A668C"/>
    <w:rsid w:val="005A682E"/>
    <w:rsid w:val="005A6845"/>
    <w:rsid w:val="005A7C3F"/>
    <w:rsid w:val="005B1BBE"/>
    <w:rsid w:val="005B23CF"/>
    <w:rsid w:val="005B2CAC"/>
    <w:rsid w:val="005B4020"/>
    <w:rsid w:val="005B4623"/>
    <w:rsid w:val="005B6938"/>
    <w:rsid w:val="005B7350"/>
    <w:rsid w:val="005C5799"/>
    <w:rsid w:val="005C617E"/>
    <w:rsid w:val="005D06A3"/>
    <w:rsid w:val="005D18B1"/>
    <w:rsid w:val="005D1DF5"/>
    <w:rsid w:val="005D4472"/>
    <w:rsid w:val="005D45A0"/>
    <w:rsid w:val="005D52E6"/>
    <w:rsid w:val="005D6415"/>
    <w:rsid w:val="005D67C8"/>
    <w:rsid w:val="005D6E4F"/>
    <w:rsid w:val="005D7248"/>
    <w:rsid w:val="005D7A74"/>
    <w:rsid w:val="005E0300"/>
    <w:rsid w:val="005E15A3"/>
    <w:rsid w:val="005E187B"/>
    <w:rsid w:val="005E298D"/>
    <w:rsid w:val="005E2AF1"/>
    <w:rsid w:val="005E35A0"/>
    <w:rsid w:val="005E4A3D"/>
    <w:rsid w:val="005E4F05"/>
    <w:rsid w:val="005E5859"/>
    <w:rsid w:val="005E5DC1"/>
    <w:rsid w:val="005E67EC"/>
    <w:rsid w:val="005E76FC"/>
    <w:rsid w:val="005F178D"/>
    <w:rsid w:val="005F3863"/>
    <w:rsid w:val="005F391F"/>
    <w:rsid w:val="005F4DCE"/>
    <w:rsid w:val="005F5725"/>
    <w:rsid w:val="005F5ED5"/>
    <w:rsid w:val="005F62B5"/>
    <w:rsid w:val="005F731E"/>
    <w:rsid w:val="005F7934"/>
    <w:rsid w:val="00600037"/>
    <w:rsid w:val="00600733"/>
    <w:rsid w:val="00600A14"/>
    <w:rsid w:val="00600F79"/>
    <w:rsid w:val="006010BF"/>
    <w:rsid w:val="00601296"/>
    <w:rsid w:val="00602ED8"/>
    <w:rsid w:val="006031FE"/>
    <w:rsid w:val="006047FC"/>
    <w:rsid w:val="006048D2"/>
    <w:rsid w:val="006077EB"/>
    <w:rsid w:val="006079C9"/>
    <w:rsid w:val="00607FEA"/>
    <w:rsid w:val="006100A1"/>
    <w:rsid w:val="00611F9E"/>
    <w:rsid w:val="006164C3"/>
    <w:rsid w:val="0061663A"/>
    <w:rsid w:val="00616F4A"/>
    <w:rsid w:val="00621CA8"/>
    <w:rsid w:val="006222EA"/>
    <w:rsid w:val="00622A41"/>
    <w:rsid w:val="00623EA3"/>
    <w:rsid w:val="00624BDB"/>
    <w:rsid w:val="0062541D"/>
    <w:rsid w:val="00625AFD"/>
    <w:rsid w:val="00625E1B"/>
    <w:rsid w:val="006270B1"/>
    <w:rsid w:val="00627B5D"/>
    <w:rsid w:val="0063130F"/>
    <w:rsid w:val="006329CF"/>
    <w:rsid w:val="00633AB7"/>
    <w:rsid w:val="00634485"/>
    <w:rsid w:val="006345A0"/>
    <w:rsid w:val="00634692"/>
    <w:rsid w:val="00634F6F"/>
    <w:rsid w:val="006354DC"/>
    <w:rsid w:val="00637551"/>
    <w:rsid w:val="00637C16"/>
    <w:rsid w:val="00640A05"/>
    <w:rsid w:val="00641B92"/>
    <w:rsid w:val="006426A4"/>
    <w:rsid w:val="00642757"/>
    <w:rsid w:val="006434CE"/>
    <w:rsid w:val="006445D2"/>
    <w:rsid w:val="00647094"/>
    <w:rsid w:val="006473CC"/>
    <w:rsid w:val="0065487B"/>
    <w:rsid w:val="006551DE"/>
    <w:rsid w:val="00655B83"/>
    <w:rsid w:val="00655F33"/>
    <w:rsid w:val="0065640B"/>
    <w:rsid w:val="00656C59"/>
    <w:rsid w:val="00657D7A"/>
    <w:rsid w:val="00660395"/>
    <w:rsid w:val="006606B2"/>
    <w:rsid w:val="00660D07"/>
    <w:rsid w:val="006628C0"/>
    <w:rsid w:val="00662993"/>
    <w:rsid w:val="00666655"/>
    <w:rsid w:val="00666755"/>
    <w:rsid w:val="006703E1"/>
    <w:rsid w:val="0067092E"/>
    <w:rsid w:val="00670BF0"/>
    <w:rsid w:val="006747B5"/>
    <w:rsid w:val="0067526C"/>
    <w:rsid w:val="00675974"/>
    <w:rsid w:val="00677DDB"/>
    <w:rsid w:val="006803E8"/>
    <w:rsid w:val="00682656"/>
    <w:rsid w:val="00683EAC"/>
    <w:rsid w:val="006844F7"/>
    <w:rsid w:val="00684EF6"/>
    <w:rsid w:val="00686279"/>
    <w:rsid w:val="00686A8A"/>
    <w:rsid w:val="006878A4"/>
    <w:rsid w:val="00690B63"/>
    <w:rsid w:val="00694FF2"/>
    <w:rsid w:val="006954F2"/>
    <w:rsid w:val="00695554"/>
    <w:rsid w:val="006957B8"/>
    <w:rsid w:val="006971F7"/>
    <w:rsid w:val="006A03CD"/>
    <w:rsid w:val="006A06FE"/>
    <w:rsid w:val="006A177B"/>
    <w:rsid w:val="006A21FE"/>
    <w:rsid w:val="006A3FF3"/>
    <w:rsid w:val="006A4007"/>
    <w:rsid w:val="006A42D4"/>
    <w:rsid w:val="006A4E98"/>
    <w:rsid w:val="006A77F3"/>
    <w:rsid w:val="006A7829"/>
    <w:rsid w:val="006B095F"/>
    <w:rsid w:val="006B25BF"/>
    <w:rsid w:val="006B2A9B"/>
    <w:rsid w:val="006B2BA6"/>
    <w:rsid w:val="006B4A50"/>
    <w:rsid w:val="006B4B65"/>
    <w:rsid w:val="006B537E"/>
    <w:rsid w:val="006B5F48"/>
    <w:rsid w:val="006B794C"/>
    <w:rsid w:val="006C11D4"/>
    <w:rsid w:val="006C24A5"/>
    <w:rsid w:val="006C24CD"/>
    <w:rsid w:val="006C60B5"/>
    <w:rsid w:val="006C7D68"/>
    <w:rsid w:val="006D0BF8"/>
    <w:rsid w:val="006D0E54"/>
    <w:rsid w:val="006D1A5E"/>
    <w:rsid w:val="006D2C17"/>
    <w:rsid w:val="006D3F2C"/>
    <w:rsid w:val="006D526B"/>
    <w:rsid w:val="006D64F9"/>
    <w:rsid w:val="006D66AF"/>
    <w:rsid w:val="006D71CA"/>
    <w:rsid w:val="006E1147"/>
    <w:rsid w:val="006E13E8"/>
    <w:rsid w:val="006E2065"/>
    <w:rsid w:val="006E34B6"/>
    <w:rsid w:val="006E5832"/>
    <w:rsid w:val="006E5D60"/>
    <w:rsid w:val="006E6278"/>
    <w:rsid w:val="006E6389"/>
    <w:rsid w:val="006E662E"/>
    <w:rsid w:val="006E665B"/>
    <w:rsid w:val="006E689A"/>
    <w:rsid w:val="006E69AA"/>
    <w:rsid w:val="006E7444"/>
    <w:rsid w:val="006E7462"/>
    <w:rsid w:val="006E7A04"/>
    <w:rsid w:val="006E7C8D"/>
    <w:rsid w:val="006F0D84"/>
    <w:rsid w:val="006F15BD"/>
    <w:rsid w:val="006F1A78"/>
    <w:rsid w:val="006F1B5C"/>
    <w:rsid w:val="006F2E77"/>
    <w:rsid w:val="006F30F8"/>
    <w:rsid w:val="006F3144"/>
    <w:rsid w:val="006F3CA9"/>
    <w:rsid w:val="006F54A9"/>
    <w:rsid w:val="006F5B9E"/>
    <w:rsid w:val="006F6E1B"/>
    <w:rsid w:val="00700AB7"/>
    <w:rsid w:val="00700C41"/>
    <w:rsid w:val="007016E0"/>
    <w:rsid w:val="00702323"/>
    <w:rsid w:val="007027EB"/>
    <w:rsid w:val="00702CB3"/>
    <w:rsid w:val="00703E92"/>
    <w:rsid w:val="0070479C"/>
    <w:rsid w:val="007061DF"/>
    <w:rsid w:val="00710259"/>
    <w:rsid w:val="007112A9"/>
    <w:rsid w:val="00711B09"/>
    <w:rsid w:val="00712094"/>
    <w:rsid w:val="007121C5"/>
    <w:rsid w:val="00716040"/>
    <w:rsid w:val="0071646D"/>
    <w:rsid w:val="00716CE1"/>
    <w:rsid w:val="00716D25"/>
    <w:rsid w:val="00717D14"/>
    <w:rsid w:val="00717FAF"/>
    <w:rsid w:val="00726FA5"/>
    <w:rsid w:val="00727E61"/>
    <w:rsid w:val="00730313"/>
    <w:rsid w:val="00730BC4"/>
    <w:rsid w:val="00730E37"/>
    <w:rsid w:val="007317F8"/>
    <w:rsid w:val="00731D9B"/>
    <w:rsid w:val="00733CB7"/>
    <w:rsid w:val="00734A8B"/>
    <w:rsid w:val="00735210"/>
    <w:rsid w:val="00735B0D"/>
    <w:rsid w:val="00735D72"/>
    <w:rsid w:val="00736C06"/>
    <w:rsid w:val="00740197"/>
    <w:rsid w:val="007401BB"/>
    <w:rsid w:val="00740E5C"/>
    <w:rsid w:val="00741FEA"/>
    <w:rsid w:val="00742873"/>
    <w:rsid w:val="007446D8"/>
    <w:rsid w:val="00744736"/>
    <w:rsid w:val="00745497"/>
    <w:rsid w:val="00745906"/>
    <w:rsid w:val="007463C9"/>
    <w:rsid w:val="00747664"/>
    <w:rsid w:val="007479CA"/>
    <w:rsid w:val="0075051A"/>
    <w:rsid w:val="00750F05"/>
    <w:rsid w:val="00751311"/>
    <w:rsid w:val="0075239A"/>
    <w:rsid w:val="00754EC5"/>
    <w:rsid w:val="0075580F"/>
    <w:rsid w:val="00756C34"/>
    <w:rsid w:val="00757203"/>
    <w:rsid w:val="00757444"/>
    <w:rsid w:val="00757C27"/>
    <w:rsid w:val="00757F23"/>
    <w:rsid w:val="007622E4"/>
    <w:rsid w:val="007645A1"/>
    <w:rsid w:val="00764B6A"/>
    <w:rsid w:val="00765B85"/>
    <w:rsid w:val="007668D6"/>
    <w:rsid w:val="00766A1E"/>
    <w:rsid w:val="007670AA"/>
    <w:rsid w:val="00767196"/>
    <w:rsid w:val="00767912"/>
    <w:rsid w:val="00770E29"/>
    <w:rsid w:val="00771606"/>
    <w:rsid w:val="0077203A"/>
    <w:rsid w:val="0077266E"/>
    <w:rsid w:val="007729C2"/>
    <w:rsid w:val="00773601"/>
    <w:rsid w:val="007753ED"/>
    <w:rsid w:val="00775CB2"/>
    <w:rsid w:val="0077689F"/>
    <w:rsid w:val="00777545"/>
    <w:rsid w:val="00777BBD"/>
    <w:rsid w:val="007819D6"/>
    <w:rsid w:val="00782DD9"/>
    <w:rsid w:val="007830E3"/>
    <w:rsid w:val="00783A57"/>
    <w:rsid w:val="00783DAE"/>
    <w:rsid w:val="00784C44"/>
    <w:rsid w:val="00787DB5"/>
    <w:rsid w:val="00791EF6"/>
    <w:rsid w:val="00794305"/>
    <w:rsid w:val="0079518F"/>
    <w:rsid w:val="00795AEC"/>
    <w:rsid w:val="007A02EB"/>
    <w:rsid w:val="007A04D9"/>
    <w:rsid w:val="007A11F1"/>
    <w:rsid w:val="007A30F8"/>
    <w:rsid w:val="007A3458"/>
    <w:rsid w:val="007A35F6"/>
    <w:rsid w:val="007A4155"/>
    <w:rsid w:val="007A4219"/>
    <w:rsid w:val="007A4E83"/>
    <w:rsid w:val="007A5F1A"/>
    <w:rsid w:val="007A7693"/>
    <w:rsid w:val="007A7F2B"/>
    <w:rsid w:val="007B0905"/>
    <w:rsid w:val="007B5B76"/>
    <w:rsid w:val="007B755C"/>
    <w:rsid w:val="007C025F"/>
    <w:rsid w:val="007C071A"/>
    <w:rsid w:val="007C09AA"/>
    <w:rsid w:val="007C0A83"/>
    <w:rsid w:val="007C0AFD"/>
    <w:rsid w:val="007C20AF"/>
    <w:rsid w:val="007C2D96"/>
    <w:rsid w:val="007C3D29"/>
    <w:rsid w:val="007C3E67"/>
    <w:rsid w:val="007C56CC"/>
    <w:rsid w:val="007C5DCE"/>
    <w:rsid w:val="007C6783"/>
    <w:rsid w:val="007C7E5A"/>
    <w:rsid w:val="007D0C6E"/>
    <w:rsid w:val="007D112D"/>
    <w:rsid w:val="007D1594"/>
    <w:rsid w:val="007D1598"/>
    <w:rsid w:val="007D5B23"/>
    <w:rsid w:val="007D7334"/>
    <w:rsid w:val="007D773C"/>
    <w:rsid w:val="007E07A7"/>
    <w:rsid w:val="007E0CCF"/>
    <w:rsid w:val="007E3963"/>
    <w:rsid w:val="007E5C55"/>
    <w:rsid w:val="007E724E"/>
    <w:rsid w:val="007F18A3"/>
    <w:rsid w:val="007F36DE"/>
    <w:rsid w:val="007F37C5"/>
    <w:rsid w:val="007F444F"/>
    <w:rsid w:val="007F528B"/>
    <w:rsid w:val="007F61DA"/>
    <w:rsid w:val="007F685F"/>
    <w:rsid w:val="007F6AA9"/>
    <w:rsid w:val="00800475"/>
    <w:rsid w:val="008005BB"/>
    <w:rsid w:val="008007B0"/>
    <w:rsid w:val="00800DDC"/>
    <w:rsid w:val="00801303"/>
    <w:rsid w:val="00801648"/>
    <w:rsid w:val="00801D34"/>
    <w:rsid w:val="0080219E"/>
    <w:rsid w:val="008021EE"/>
    <w:rsid w:val="00805A48"/>
    <w:rsid w:val="00805B87"/>
    <w:rsid w:val="00805F55"/>
    <w:rsid w:val="008063E2"/>
    <w:rsid w:val="00806807"/>
    <w:rsid w:val="00807739"/>
    <w:rsid w:val="008100C2"/>
    <w:rsid w:val="00810ACD"/>
    <w:rsid w:val="0081115F"/>
    <w:rsid w:val="00811637"/>
    <w:rsid w:val="00814930"/>
    <w:rsid w:val="00815086"/>
    <w:rsid w:val="00815F29"/>
    <w:rsid w:val="008177D0"/>
    <w:rsid w:val="008207CA"/>
    <w:rsid w:val="00820DEA"/>
    <w:rsid w:val="0082134A"/>
    <w:rsid w:val="008222B2"/>
    <w:rsid w:val="008223A5"/>
    <w:rsid w:val="008235DE"/>
    <w:rsid w:val="008254D3"/>
    <w:rsid w:val="00825915"/>
    <w:rsid w:val="0082599A"/>
    <w:rsid w:val="00825CA4"/>
    <w:rsid w:val="00833074"/>
    <w:rsid w:val="008331EF"/>
    <w:rsid w:val="00833271"/>
    <w:rsid w:val="0083402A"/>
    <w:rsid w:val="00835546"/>
    <w:rsid w:val="00835741"/>
    <w:rsid w:val="00836465"/>
    <w:rsid w:val="008367D9"/>
    <w:rsid w:val="00837520"/>
    <w:rsid w:val="00837B23"/>
    <w:rsid w:val="00837CBA"/>
    <w:rsid w:val="008422A0"/>
    <w:rsid w:val="008425AB"/>
    <w:rsid w:val="0084270E"/>
    <w:rsid w:val="00842C37"/>
    <w:rsid w:val="008442E6"/>
    <w:rsid w:val="00851A59"/>
    <w:rsid w:val="00851F8C"/>
    <w:rsid w:val="00854691"/>
    <w:rsid w:val="00855B03"/>
    <w:rsid w:val="00856585"/>
    <w:rsid w:val="00856F7A"/>
    <w:rsid w:val="00857279"/>
    <w:rsid w:val="0085736B"/>
    <w:rsid w:val="00857B52"/>
    <w:rsid w:val="00861950"/>
    <w:rsid w:val="00861B32"/>
    <w:rsid w:val="008627B4"/>
    <w:rsid w:val="00863F8C"/>
    <w:rsid w:val="0086472B"/>
    <w:rsid w:val="00867C9A"/>
    <w:rsid w:val="0087010D"/>
    <w:rsid w:val="008701A1"/>
    <w:rsid w:val="008718F3"/>
    <w:rsid w:val="00871B33"/>
    <w:rsid w:val="008725A0"/>
    <w:rsid w:val="00873262"/>
    <w:rsid w:val="008734E5"/>
    <w:rsid w:val="00874685"/>
    <w:rsid w:val="00874DC9"/>
    <w:rsid w:val="0087561C"/>
    <w:rsid w:val="008761FE"/>
    <w:rsid w:val="00876615"/>
    <w:rsid w:val="00877E3C"/>
    <w:rsid w:val="00880490"/>
    <w:rsid w:val="0088137B"/>
    <w:rsid w:val="00882131"/>
    <w:rsid w:val="0088270B"/>
    <w:rsid w:val="00883AE3"/>
    <w:rsid w:val="0088473B"/>
    <w:rsid w:val="0088510A"/>
    <w:rsid w:val="00885CB3"/>
    <w:rsid w:val="008860BB"/>
    <w:rsid w:val="00886BFC"/>
    <w:rsid w:val="00887493"/>
    <w:rsid w:val="008900BC"/>
    <w:rsid w:val="00892674"/>
    <w:rsid w:val="00892AFC"/>
    <w:rsid w:val="008936C7"/>
    <w:rsid w:val="0089436A"/>
    <w:rsid w:val="00895C62"/>
    <w:rsid w:val="008963A8"/>
    <w:rsid w:val="00896524"/>
    <w:rsid w:val="008A0114"/>
    <w:rsid w:val="008A0C05"/>
    <w:rsid w:val="008A1764"/>
    <w:rsid w:val="008A393D"/>
    <w:rsid w:val="008A42A4"/>
    <w:rsid w:val="008A42B0"/>
    <w:rsid w:val="008A4982"/>
    <w:rsid w:val="008A6085"/>
    <w:rsid w:val="008A663F"/>
    <w:rsid w:val="008B0803"/>
    <w:rsid w:val="008B1273"/>
    <w:rsid w:val="008B2EEE"/>
    <w:rsid w:val="008B3151"/>
    <w:rsid w:val="008B36C5"/>
    <w:rsid w:val="008B3A27"/>
    <w:rsid w:val="008B542E"/>
    <w:rsid w:val="008B590E"/>
    <w:rsid w:val="008B5BE2"/>
    <w:rsid w:val="008B74A0"/>
    <w:rsid w:val="008C04B3"/>
    <w:rsid w:val="008C0694"/>
    <w:rsid w:val="008C06D5"/>
    <w:rsid w:val="008C16E9"/>
    <w:rsid w:val="008C2635"/>
    <w:rsid w:val="008C36E1"/>
    <w:rsid w:val="008C3963"/>
    <w:rsid w:val="008C596D"/>
    <w:rsid w:val="008C686F"/>
    <w:rsid w:val="008C7431"/>
    <w:rsid w:val="008D0B33"/>
    <w:rsid w:val="008D0D25"/>
    <w:rsid w:val="008D0FBC"/>
    <w:rsid w:val="008D1526"/>
    <w:rsid w:val="008D2273"/>
    <w:rsid w:val="008D3137"/>
    <w:rsid w:val="008D3182"/>
    <w:rsid w:val="008D4869"/>
    <w:rsid w:val="008D4B2A"/>
    <w:rsid w:val="008D75E7"/>
    <w:rsid w:val="008D7E18"/>
    <w:rsid w:val="008E094D"/>
    <w:rsid w:val="008E176A"/>
    <w:rsid w:val="008E2822"/>
    <w:rsid w:val="008E2982"/>
    <w:rsid w:val="008E3418"/>
    <w:rsid w:val="008E4713"/>
    <w:rsid w:val="008E5043"/>
    <w:rsid w:val="008E5BC1"/>
    <w:rsid w:val="008E6246"/>
    <w:rsid w:val="008E7250"/>
    <w:rsid w:val="008E7698"/>
    <w:rsid w:val="008F0A3E"/>
    <w:rsid w:val="008F0F17"/>
    <w:rsid w:val="008F4434"/>
    <w:rsid w:val="008F47CD"/>
    <w:rsid w:val="008F494D"/>
    <w:rsid w:val="008F4C62"/>
    <w:rsid w:val="008F4FB9"/>
    <w:rsid w:val="008F5E3B"/>
    <w:rsid w:val="008F7D25"/>
    <w:rsid w:val="008F7E54"/>
    <w:rsid w:val="00900C8D"/>
    <w:rsid w:val="00901088"/>
    <w:rsid w:val="009021D3"/>
    <w:rsid w:val="00902202"/>
    <w:rsid w:val="00905A0D"/>
    <w:rsid w:val="0090613B"/>
    <w:rsid w:val="00911559"/>
    <w:rsid w:val="00911889"/>
    <w:rsid w:val="00911CD5"/>
    <w:rsid w:val="00914FDF"/>
    <w:rsid w:val="0091599A"/>
    <w:rsid w:val="00916BDE"/>
    <w:rsid w:val="00917EB1"/>
    <w:rsid w:val="00917F48"/>
    <w:rsid w:val="00921436"/>
    <w:rsid w:val="009224C9"/>
    <w:rsid w:val="009239BB"/>
    <w:rsid w:val="0092433B"/>
    <w:rsid w:val="00926B57"/>
    <w:rsid w:val="00930F79"/>
    <w:rsid w:val="00931E8E"/>
    <w:rsid w:val="00931EF0"/>
    <w:rsid w:val="00932CFF"/>
    <w:rsid w:val="00932F08"/>
    <w:rsid w:val="00934D2C"/>
    <w:rsid w:val="00935A0D"/>
    <w:rsid w:val="00936419"/>
    <w:rsid w:val="00937B0E"/>
    <w:rsid w:val="00940FFE"/>
    <w:rsid w:val="009411A0"/>
    <w:rsid w:val="00943629"/>
    <w:rsid w:val="00943B74"/>
    <w:rsid w:val="0094486F"/>
    <w:rsid w:val="00944CA2"/>
    <w:rsid w:val="00945C24"/>
    <w:rsid w:val="00945D23"/>
    <w:rsid w:val="009469E9"/>
    <w:rsid w:val="0094714C"/>
    <w:rsid w:val="009472B3"/>
    <w:rsid w:val="00947905"/>
    <w:rsid w:val="009500DD"/>
    <w:rsid w:val="00950AF2"/>
    <w:rsid w:val="00955DC1"/>
    <w:rsid w:val="009573BD"/>
    <w:rsid w:val="0096089C"/>
    <w:rsid w:val="009614D7"/>
    <w:rsid w:val="00962E4E"/>
    <w:rsid w:val="00963379"/>
    <w:rsid w:val="00963F03"/>
    <w:rsid w:val="00964E79"/>
    <w:rsid w:val="00964F37"/>
    <w:rsid w:val="00967C2E"/>
    <w:rsid w:val="00971EA5"/>
    <w:rsid w:val="00972515"/>
    <w:rsid w:val="00974437"/>
    <w:rsid w:val="00974B27"/>
    <w:rsid w:val="00974CC8"/>
    <w:rsid w:val="00975A2A"/>
    <w:rsid w:val="00975EB9"/>
    <w:rsid w:val="009763B8"/>
    <w:rsid w:val="0097711A"/>
    <w:rsid w:val="0098153D"/>
    <w:rsid w:val="00981F51"/>
    <w:rsid w:val="009834BA"/>
    <w:rsid w:val="009837CB"/>
    <w:rsid w:val="00983C9A"/>
    <w:rsid w:val="009856A7"/>
    <w:rsid w:val="009858EF"/>
    <w:rsid w:val="00990393"/>
    <w:rsid w:val="0099075B"/>
    <w:rsid w:val="009909ED"/>
    <w:rsid w:val="00990E7A"/>
    <w:rsid w:val="0099120B"/>
    <w:rsid w:val="00991FA7"/>
    <w:rsid w:val="00992009"/>
    <w:rsid w:val="009925EC"/>
    <w:rsid w:val="00996390"/>
    <w:rsid w:val="009969DF"/>
    <w:rsid w:val="009976D9"/>
    <w:rsid w:val="009A00BC"/>
    <w:rsid w:val="009A0F6D"/>
    <w:rsid w:val="009A20C1"/>
    <w:rsid w:val="009A34EE"/>
    <w:rsid w:val="009A3ADA"/>
    <w:rsid w:val="009A423F"/>
    <w:rsid w:val="009A4EC8"/>
    <w:rsid w:val="009A5195"/>
    <w:rsid w:val="009A5793"/>
    <w:rsid w:val="009A78A9"/>
    <w:rsid w:val="009A7A5C"/>
    <w:rsid w:val="009B0013"/>
    <w:rsid w:val="009B1511"/>
    <w:rsid w:val="009B299F"/>
    <w:rsid w:val="009B29BB"/>
    <w:rsid w:val="009B348C"/>
    <w:rsid w:val="009B4B7E"/>
    <w:rsid w:val="009B55C4"/>
    <w:rsid w:val="009B6C33"/>
    <w:rsid w:val="009B6EF8"/>
    <w:rsid w:val="009B7603"/>
    <w:rsid w:val="009B793E"/>
    <w:rsid w:val="009B79A0"/>
    <w:rsid w:val="009C1CAA"/>
    <w:rsid w:val="009C2C14"/>
    <w:rsid w:val="009C3731"/>
    <w:rsid w:val="009C4391"/>
    <w:rsid w:val="009C5252"/>
    <w:rsid w:val="009C6A35"/>
    <w:rsid w:val="009C6A51"/>
    <w:rsid w:val="009C6A60"/>
    <w:rsid w:val="009D00FC"/>
    <w:rsid w:val="009D1F44"/>
    <w:rsid w:val="009D4249"/>
    <w:rsid w:val="009D4854"/>
    <w:rsid w:val="009D5847"/>
    <w:rsid w:val="009D605C"/>
    <w:rsid w:val="009D6900"/>
    <w:rsid w:val="009D747A"/>
    <w:rsid w:val="009E03BE"/>
    <w:rsid w:val="009E11BB"/>
    <w:rsid w:val="009E1E5F"/>
    <w:rsid w:val="009E2235"/>
    <w:rsid w:val="009E2C5B"/>
    <w:rsid w:val="009E2FFB"/>
    <w:rsid w:val="009E30D5"/>
    <w:rsid w:val="009E4CF0"/>
    <w:rsid w:val="009E4D74"/>
    <w:rsid w:val="009E54F7"/>
    <w:rsid w:val="009E5A71"/>
    <w:rsid w:val="009E6FB3"/>
    <w:rsid w:val="009E7036"/>
    <w:rsid w:val="009E7E1B"/>
    <w:rsid w:val="009F19E6"/>
    <w:rsid w:val="009F704F"/>
    <w:rsid w:val="00A00110"/>
    <w:rsid w:val="00A00BC6"/>
    <w:rsid w:val="00A014EE"/>
    <w:rsid w:val="00A037CB"/>
    <w:rsid w:val="00A0469A"/>
    <w:rsid w:val="00A04F15"/>
    <w:rsid w:val="00A0772E"/>
    <w:rsid w:val="00A11708"/>
    <w:rsid w:val="00A15663"/>
    <w:rsid w:val="00A2030A"/>
    <w:rsid w:val="00A20F7B"/>
    <w:rsid w:val="00A25AF8"/>
    <w:rsid w:val="00A320AB"/>
    <w:rsid w:val="00A35622"/>
    <w:rsid w:val="00A35FAC"/>
    <w:rsid w:val="00A36377"/>
    <w:rsid w:val="00A363D9"/>
    <w:rsid w:val="00A367EF"/>
    <w:rsid w:val="00A36ED5"/>
    <w:rsid w:val="00A37066"/>
    <w:rsid w:val="00A377B0"/>
    <w:rsid w:val="00A37AD0"/>
    <w:rsid w:val="00A405D1"/>
    <w:rsid w:val="00A41054"/>
    <w:rsid w:val="00A41E44"/>
    <w:rsid w:val="00A42254"/>
    <w:rsid w:val="00A42D27"/>
    <w:rsid w:val="00A43472"/>
    <w:rsid w:val="00A44682"/>
    <w:rsid w:val="00A4521A"/>
    <w:rsid w:val="00A46659"/>
    <w:rsid w:val="00A4679F"/>
    <w:rsid w:val="00A46A52"/>
    <w:rsid w:val="00A50056"/>
    <w:rsid w:val="00A502AA"/>
    <w:rsid w:val="00A51D2C"/>
    <w:rsid w:val="00A52C18"/>
    <w:rsid w:val="00A5404F"/>
    <w:rsid w:val="00A55E21"/>
    <w:rsid w:val="00A566E6"/>
    <w:rsid w:val="00A56D78"/>
    <w:rsid w:val="00A57AFC"/>
    <w:rsid w:val="00A60FAB"/>
    <w:rsid w:val="00A6220A"/>
    <w:rsid w:val="00A67754"/>
    <w:rsid w:val="00A717E4"/>
    <w:rsid w:val="00A73DA1"/>
    <w:rsid w:val="00A76FB1"/>
    <w:rsid w:val="00A776B4"/>
    <w:rsid w:val="00A80FC0"/>
    <w:rsid w:val="00A81140"/>
    <w:rsid w:val="00A827C1"/>
    <w:rsid w:val="00A87855"/>
    <w:rsid w:val="00A900E2"/>
    <w:rsid w:val="00A906D5"/>
    <w:rsid w:val="00A92027"/>
    <w:rsid w:val="00A92F62"/>
    <w:rsid w:val="00A932D8"/>
    <w:rsid w:val="00A9364F"/>
    <w:rsid w:val="00A940E3"/>
    <w:rsid w:val="00A94413"/>
    <w:rsid w:val="00A94713"/>
    <w:rsid w:val="00A95947"/>
    <w:rsid w:val="00A96BC3"/>
    <w:rsid w:val="00A96EE6"/>
    <w:rsid w:val="00A97959"/>
    <w:rsid w:val="00AA03BF"/>
    <w:rsid w:val="00AA0506"/>
    <w:rsid w:val="00AA0DF0"/>
    <w:rsid w:val="00AA1180"/>
    <w:rsid w:val="00AA19A7"/>
    <w:rsid w:val="00AA204D"/>
    <w:rsid w:val="00AA2C2B"/>
    <w:rsid w:val="00AA37FC"/>
    <w:rsid w:val="00AA44B0"/>
    <w:rsid w:val="00AA4B65"/>
    <w:rsid w:val="00AA57EF"/>
    <w:rsid w:val="00AA58CA"/>
    <w:rsid w:val="00AA58FA"/>
    <w:rsid w:val="00AA5BDB"/>
    <w:rsid w:val="00AA724B"/>
    <w:rsid w:val="00AB3A72"/>
    <w:rsid w:val="00AB3ED5"/>
    <w:rsid w:val="00AB3F5E"/>
    <w:rsid w:val="00AB4396"/>
    <w:rsid w:val="00AB6036"/>
    <w:rsid w:val="00AB7491"/>
    <w:rsid w:val="00AC03F2"/>
    <w:rsid w:val="00AC10CC"/>
    <w:rsid w:val="00AC1307"/>
    <w:rsid w:val="00AC1F0E"/>
    <w:rsid w:val="00AC4A52"/>
    <w:rsid w:val="00AC4E32"/>
    <w:rsid w:val="00AC6B4C"/>
    <w:rsid w:val="00AC6E31"/>
    <w:rsid w:val="00AC7B43"/>
    <w:rsid w:val="00AD0240"/>
    <w:rsid w:val="00AD1D3D"/>
    <w:rsid w:val="00AD233F"/>
    <w:rsid w:val="00AD2C2D"/>
    <w:rsid w:val="00AD4868"/>
    <w:rsid w:val="00AD4941"/>
    <w:rsid w:val="00AD4ECE"/>
    <w:rsid w:val="00AD5C04"/>
    <w:rsid w:val="00AD5CB3"/>
    <w:rsid w:val="00AD6769"/>
    <w:rsid w:val="00AD6AC8"/>
    <w:rsid w:val="00AD7ADF"/>
    <w:rsid w:val="00AE013D"/>
    <w:rsid w:val="00AE34E5"/>
    <w:rsid w:val="00AE6BFD"/>
    <w:rsid w:val="00AF0939"/>
    <w:rsid w:val="00AF200E"/>
    <w:rsid w:val="00AF203D"/>
    <w:rsid w:val="00AF299E"/>
    <w:rsid w:val="00AF2AD6"/>
    <w:rsid w:val="00AF3515"/>
    <w:rsid w:val="00AF4015"/>
    <w:rsid w:val="00AF4BD7"/>
    <w:rsid w:val="00AF55A6"/>
    <w:rsid w:val="00AF6D90"/>
    <w:rsid w:val="00AF7C75"/>
    <w:rsid w:val="00B0060F"/>
    <w:rsid w:val="00B006A9"/>
    <w:rsid w:val="00B00EA0"/>
    <w:rsid w:val="00B020F4"/>
    <w:rsid w:val="00B03355"/>
    <w:rsid w:val="00B03721"/>
    <w:rsid w:val="00B03CE2"/>
    <w:rsid w:val="00B04607"/>
    <w:rsid w:val="00B04A8E"/>
    <w:rsid w:val="00B0682F"/>
    <w:rsid w:val="00B06BA1"/>
    <w:rsid w:val="00B11E6A"/>
    <w:rsid w:val="00B136F9"/>
    <w:rsid w:val="00B15F9D"/>
    <w:rsid w:val="00B1736B"/>
    <w:rsid w:val="00B17D48"/>
    <w:rsid w:val="00B21982"/>
    <w:rsid w:val="00B22153"/>
    <w:rsid w:val="00B24D09"/>
    <w:rsid w:val="00B25866"/>
    <w:rsid w:val="00B25A6F"/>
    <w:rsid w:val="00B31B4E"/>
    <w:rsid w:val="00B31F99"/>
    <w:rsid w:val="00B3213E"/>
    <w:rsid w:val="00B33C2F"/>
    <w:rsid w:val="00B346C7"/>
    <w:rsid w:val="00B35040"/>
    <w:rsid w:val="00B35432"/>
    <w:rsid w:val="00B35DD8"/>
    <w:rsid w:val="00B36178"/>
    <w:rsid w:val="00B364A9"/>
    <w:rsid w:val="00B37095"/>
    <w:rsid w:val="00B370FA"/>
    <w:rsid w:val="00B373AD"/>
    <w:rsid w:val="00B37E6C"/>
    <w:rsid w:val="00B40D04"/>
    <w:rsid w:val="00B4134E"/>
    <w:rsid w:val="00B4213D"/>
    <w:rsid w:val="00B421ED"/>
    <w:rsid w:val="00B42B2D"/>
    <w:rsid w:val="00B433B3"/>
    <w:rsid w:val="00B44DA3"/>
    <w:rsid w:val="00B451CE"/>
    <w:rsid w:val="00B45904"/>
    <w:rsid w:val="00B5061D"/>
    <w:rsid w:val="00B5114C"/>
    <w:rsid w:val="00B518F7"/>
    <w:rsid w:val="00B51A2C"/>
    <w:rsid w:val="00B5328A"/>
    <w:rsid w:val="00B5510F"/>
    <w:rsid w:val="00B557B8"/>
    <w:rsid w:val="00B55D96"/>
    <w:rsid w:val="00B623CE"/>
    <w:rsid w:val="00B662AD"/>
    <w:rsid w:val="00B671AA"/>
    <w:rsid w:val="00B67939"/>
    <w:rsid w:val="00B70066"/>
    <w:rsid w:val="00B710E7"/>
    <w:rsid w:val="00B72ACE"/>
    <w:rsid w:val="00B73BC0"/>
    <w:rsid w:val="00B77788"/>
    <w:rsid w:val="00B77EF4"/>
    <w:rsid w:val="00B801F9"/>
    <w:rsid w:val="00B82000"/>
    <w:rsid w:val="00B82323"/>
    <w:rsid w:val="00B83446"/>
    <w:rsid w:val="00B8366E"/>
    <w:rsid w:val="00B84265"/>
    <w:rsid w:val="00B86BEE"/>
    <w:rsid w:val="00B86E05"/>
    <w:rsid w:val="00B91560"/>
    <w:rsid w:val="00B91A02"/>
    <w:rsid w:val="00B92B46"/>
    <w:rsid w:val="00B92E1C"/>
    <w:rsid w:val="00B9454C"/>
    <w:rsid w:val="00B94AD8"/>
    <w:rsid w:val="00B96729"/>
    <w:rsid w:val="00BA00A9"/>
    <w:rsid w:val="00BA0426"/>
    <w:rsid w:val="00BA0EBC"/>
    <w:rsid w:val="00BA1316"/>
    <w:rsid w:val="00BA1B7A"/>
    <w:rsid w:val="00BA3262"/>
    <w:rsid w:val="00BA36A5"/>
    <w:rsid w:val="00BA65A5"/>
    <w:rsid w:val="00BA69F4"/>
    <w:rsid w:val="00BA6E2F"/>
    <w:rsid w:val="00BB0CC2"/>
    <w:rsid w:val="00BB1A72"/>
    <w:rsid w:val="00BB37FC"/>
    <w:rsid w:val="00BB4824"/>
    <w:rsid w:val="00BB6202"/>
    <w:rsid w:val="00BB64C1"/>
    <w:rsid w:val="00BB66A8"/>
    <w:rsid w:val="00BB7698"/>
    <w:rsid w:val="00BB782D"/>
    <w:rsid w:val="00BC13D8"/>
    <w:rsid w:val="00BC15AB"/>
    <w:rsid w:val="00BC2070"/>
    <w:rsid w:val="00BC250E"/>
    <w:rsid w:val="00BC26D1"/>
    <w:rsid w:val="00BC30AA"/>
    <w:rsid w:val="00BC3FE1"/>
    <w:rsid w:val="00BC57B0"/>
    <w:rsid w:val="00BC63BC"/>
    <w:rsid w:val="00BC6991"/>
    <w:rsid w:val="00BC7267"/>
    <w:rsid w:val="00BD000E"/>
    <w:rsid w:val="00BD0947"/>
    <w:rsid w:val="00BD1191"/>
    <w:rsid w:val="00BD14BA"/>
    <w:rsid w:val="00BD1625"/>
    <w:rsid w:val="00BD1BDB"/>
    <w:rsid w:val="00BD24F0"/>
    <w:rsid w:val="00BD2516"/>
    <w:rsid w:val="00BD3667"/>
    <w:rsid w:val="00BD3AD2"/>
    <w:rsid w:val="00BD412A"/>
    <w:rsid w:val="00BD428D"/>
    <w:rsid w:val="00BD4548"/>
    <w:rsid w:val="00BD4F79"/>
    <w:rsid w:val="00BD6BED"/>
    <w:rsid w:val="00BD7483"/>
    <w:rsid w:val="00BE0E74"/>
    <w:rsid w:val="00BE15D8"/>
    <w:rsid w:val="00BE226E"/>
    <w:rsid w:val="00BE3A35"/>
    <w:rsid w:val="00BE3B2F"/>
    <w:rsid w:val="00BE57CA"/>
    <w:rsid w:val="00BE62F8"/>
    <w:rsid w:val="00BE67A1"/>
    <w:rsid w:val="00BF06C1"/>
    <w:rsid w:val="00BF0748"/>
    <w:rsid w:val="00BF2DD3"/>
    <w:rsid w:val="00BF4BE6"/>
    <w:rsid w:val="00BF4D3B"/>
    <w:rsid w:val="00BF6D06"/>
    <w:rsid w:val="00BF7D1A"/>
    <w:rsid w:val="00BF7E9F"/>
    <w:rsid w:val="00C004E1"/>
    <w:rsid w:val="00C007B9"/>
    <w:rsid w:val="00C0130F"/>
    <w:rsid w:val="00C0343A"/>
    <w:rsid w:val="00C04B04"/>
    <w:rsid w:val="00C04B32"/>
    <w:rsid w:val="00C0590E"/>
    <w:rsid w:val="00C1122F"/>
    <w:rsid w:val="00C117CB"/>
    <w:rsid w:val="00C12849"/>
    <w:rsid w:val="00C12F6E"/>
    <w:rsid w:val="00C134E5"/>
    <w:rsid w:val="00C13832"/>
    <w:rsid w:val="00C15C48"/>
    <w:rsid w:val="00C16490"/>
    <w:rsid w:val="00C1712D"/>
    <w:rsid w:val="00C17535"/>
    <w:rsid w:val="00C20E42"/>
    <w:rsid w:val="00C22635"/>
    <w:rsid w:val="00C22842"/>
    <w:rsid w:val="00C23048"/>
    <w:rsid w:val="00C23621"/>
    <w:rsid w:val="00C23E53"/>
    <w:rsid w:val="00C2421C"/>
    <w:rsid w:val="00C243A2"/>
    <w:rsid w:val="00C25515"/>
    <w:rsid w:val="00C26070"/>
    <w:rsid w:val="00C265CC"/>
    <w:rsid w:val="00C27231"/>
    <w:rsid w:val="00C273AE"/>
    <w:rsid w:val="00C3109F"/>
    <w:rsid w:val="00C31ECA"/>
    <w:rsid w:val="00C3292E"/>
    <w:rsid w:val="00C349AC"/>
    <w:rsid w:val="00C34B07"/>
    <w:rsid w:val="00C352E7"/>
    <w:rsid w:val="00C3596C"/>
    <w:rsid w:val="00C359E4"/>
    <w:rsid w:val="00C35EDD"/>
    <w:rsid w:val="00C36DFA"/>
    <w:rsid w:val="00C400E5"/>
    <w:rsid w:val="00C41E21"/>
    <w:rsid w:val="00C4317A"/>
    <w:rsid w:val="00C431E7"/>
    <w:rsid w:val="00C44D26"/>
    <w:rsid w:val="00C4656F"/>
    <w:rsid w:val="00C46981"/>
    <w:rsid w:val="00C472F7"/>
    <w:rsid w:val="00C47587"/>
    <w:rsid w:val="00C47D1B"/>
    <w:rsid w:val="00C503FF"/>
    <w:rsid w:val="00C50698"/>
    <w:rsid w:val="00C515D8"/>
    <w:rsid w:val="00C518A2"/>
    <w:rsid w:val="00C519E8"/>
    <w:rsid w:val="00C51B23"/>
    <w:rsid w:val="00C51DB4"/>
    <w:rsid w:val="00C53782"/>
    <w:rsid w:val="00C53E72"/>
    <w:rsid w:val="00C546A6"/>
    <w:rsid w:val="00C54BE5"/>
    <w:rsid w:val="00C562FE"/>
    <w:rsid w:val="00C56A45"/>
    <w:rsid w:val="00C57553"/>
    <w:rsid w:val="00C6012D"/>
    <w:rsid w:val="00C61475"/>
    <w:rsid w:val="00C61B3E"/>
    <w:rsid w:val="00C61F98"/>
    <w:rsid w:val="00C62190"/>
    <w:rsid w:val="00C636D0"/>
    <w:rsid w:val="00C6630B"/>
    <w:rsid w:val="00C673D1"/>
    <w:rsid w:val="00C70684"/>
    <w:rsid w:val="00C716E5"/>
    <w:rsid w:val="00C71B02"/>
    <w:rsid w:val="00C73CC8"/>
    <w:rsid w:val="00C7460D"/>
    <w:rsid w:val="00C74C5A"/>
    <w:rsid w:val="00C76CED"/>
    <w:rsid w:val="00C7739C"/>
    <w:rsid w:val="00C77CD0"/>
    <w:rsid w:val="00C8009A"/>
    <w:rsid w:val="00C80153"/>
    <w:rsid w:val="00C801FE"/>
    <w:rsid w:val="00C805BA"/>
    <w:rsid w:val="00C8083C"/>
    <w:rsid w:val="00C80F8C"/>
    <w:rsid w:val="00C8162E"/>
    <w:rsid w:val="00C81D68"/>
    <w:rsid w:val="00C828BE"/>
    <w:rsid w:val="00C82C57"/>
    <w:rsid w:val="00C834AA"/>
    <w:rsid w:val="00C84585"/>
    <w:rsid w:val="00C86144"/>
    <w:rsid w:val="00C87926"/>
    <w:rsid w:val="00C87AB8"/>
    <w:rsid w:val="00C90A72"/>
    <w:rsid w:val="00C92091"/>
    <w:rsid w:val="00C92FA3"/>
    <w:rsid w:val="00C946FA"/>
    <w:rsid w:val="00C94DA4"/>
    <w:rsid w:val="00C94EA7"/>
    <w:rsid w:val="00C9682A"/>
    <w:rsid w:val="00C97E22"/>
    <w:rsid w:val="00CA29AC"/>
    <w:rsid w:val="00CA2AE3"/>
    <w:rsid w:val="00CA30DF"/>
    <w:rsid w:val="00CA31C0"/>
    <w:rsid w:val="00CA456C"/>
    <w:rsid w:val="00CA460D"/>
    <w:rsid w:val="00CA4FB8"/>
    <w:rsid w:val="00CA66DF"/>
    <w:rsid w:val="00CA7476"/>
    <w:rsid w:val="00CA7C1E"/>
    <w:rsid w:val="00CB2A57"/>
    <w:rsid w:val="00CB33EF"/>
    <w:rsid w:val="00CB35F9"/>
    <w:rsid w:val="00CB5BCD"/>
    <w:rsid w:val="00CB7F63"/>
    <w:rsid w:val="00CC0C5D"/>
    <w:rsid w:val="00CC0EE1"/>
    <w:rsid w:val="00CC22DD"/>
    <w:rsid w:val="00CC2BF2"/>
    <w:rsid w:val="00CC30A8"/>
    <w:rsid w:val="00CC5E23"/>
    <w:rsid w:val="00CC6364"/>
    <w:rsid w:val="00CC702F"/>
    <w:rsid w:val="00CC7405"/>
    <w:rsid w:val="00CD07CF"/>
    <w:rsid w:val="00CD2845"/>
    <w:rsid w:val="00CD2AE3"/>
    <w:rsid w:val="00CD4A97"/>
    <w:rsid w:val="00CD5EEA"/>
    <w:rsid w:val="00CD7C46"/>
    <w:rsid w:val="00CE0017"/>
    <w:rsid w:val="00CE0F87"/>
    <w:rsid w:val="00CE1592"/>
    <w:rsid w:val="00CE4075"/>
    <w:rsid w:val="00CE46FC"/>
    <w:rsid w:val="00CE4AA8"/>
    <w:rsid w:val="00CE4ACF"/>
    <w:rsid w:val="00CE4CC9"/>
    <w:rsid w:val="00CE58C5"/>
    <w:rsid w:val="00CE5945"/>
    <w:rsid w:val="00CE657B"/>
    <w:rsid w:val="00CE6664"/>
    <w:rsid w:val="00CF0C04"/>
    <w:rsid w:val="00CF108B"/>
    <w:rsid w:val="00CF4303"/>
    <w:rsid w:val="00CF67F8"/>
    <w:rsid w:val="00CF6971"/>
    <w:rsid w:val="00CF6B0F"/>
    <w:rsid w:val="00D01EDC"/>
    <w:rsid w:val="00D027E3"/>
    <w:rsid w:val="00D035FA"/>
    <w:rsid w:val="00D06512"/>
    <w:rsid w:val="00D073F7"/>
    <w:rsid w:val="00D101FD"/>
    <w:rsid w:val="00D10312"/>
    <w:rsid w:val="00D11533"/>
    <w:rsid w:val="00D121AE"/>
    <w:rsid w:val="00D1236B"/>
    <w:rsid w:val="00D12E08"/>
    <w:rsid w:val="00D14503"/>
    <w:rsid w:val="00D16EAC"/>
    <w:rsid w:val="00D17DCA"/>
    <w:rsid w:val="00D236C3"/>
    <w:rsid w:val="00D24764"/>
    <w:rsid w:val="00D24A5F"/>
    <w:rsid w:val="00D269B7"/>
    <w:rsid w:val="00D278A7"/>
    <w:rsid w:val="00D303FA"/>
    <w:rsid w:val="00D31A46"/>
    <w:rsid w:val="00D31B82"/>
    <w:rsid w:val="00D31BFC"/>
    <w:rsid w:val="00D32B38"/>
    <w:rsid w:val="00D331F2"/>
    <w:rsid w:val="00D33B5C"/>
    <w:rsid w:val="00D34301"/>
    <w:rsid w:val="00D3463B"/>
    <w:rsid w:val="00D35612"/>
    <w:rsid w:val="00D35C16"/>
    <w:rsid w:val="00D3622F"/>
    <w:rsid w:val="00D36B89"/>
    <w:rsid w:val="00D371C6"/>
    <w:rsid w:val="00D372B2"/>
    <w:rsid w:val="00D37AAA"/>
    <w:rsid w:val="00D404DC"/>
    <w:rsid w:val="00D41363"/>
    <w:rsid w:val="00D4136B"/>
    <w:rsid w:val="00D418A9"/>
    <w:rsid w:val="00D41D70"/>
    <w:rsid w:val="00D42175"/>
    <w:rsid w:val="00D42497"/>
    <w:rsid w:val="00D43208"/>
    <w:rsid w:val="00D439E6"/>
    <w:rsid w:val="00D44F7D"/>
    <w:rsid w:val="00D463BD"/>
    <w:rsid w:val="00D46A09"/>
    <w:rsid w:val="00D47351"/>
    <w:rsid w:val="00D50580"/>
    <w:rsid w:val="00D513C7"/>
    <w:rsid w:val="00D518E8"/>
    <w:rsid w:val="00D51AEA"/>
    <w:rsid w:val="00D523CA"/>
    <w:rsid w:val="00D5352C"/>
    <w:rsid w:val="00D53645"/>
    <w:rsid w:val="00D547F7"/>
    <w:rsid w:val="00D57A4E"/>
    <w:rsid w:val="00D600E3"/>
    <w:rsid w:val="00D6203D"/>
    <w:rsid w:val="00D63D09"/>
    <w:rsid w:val="00D649B8"/>
    <w:rsid w:val="00D66740"/>
    <w:rsid w:val="00D66A2A"/>
    <w:rsid w:val="00D66B59"/>
    <w:rsid w:val="00D7015C"/>
    <w:rsid w:val="00D70B6F"/>
    <w:rsid w:val="00D70F1D"/>
    <w:rsid w:val="00D71585"/>
    <w:rsid w:val="00D72B26"/>
    <w:rsid w:val="00D75214"/>
    <w:rsid w:val="00D77B71"/>
    <w:rsid w:val="00D80763"/>
    <w:rsid w:val="00D83CE5"/>
    <w:rsid w:val="00D84696"/>
    <w:rsid w:val="00D851F2"/>
    <w:rsid w:val="00D90475"/>
    <w:rsid w:val="00D90C56"/>
    <w:rsid w:val="00D91FB9"/>
    <w:rsid w:val="00D94608"/>
    <w:rsid w:val="00D950A6"/>
    <w:rsid w:val="00D95EF8"/>
    <w:rsid w:val="00D9665A"/>
    <w:rsid w:val="00D969D6"/>
    <w:rsid w:val="00D970C4"/>
    <w:rsid w:val="00DA0AF6"/>
    <w:rsid w:val="00DA0B77"/>
    <w:rsid w:val="00DA299A"/>
    <w:rsid w:val="00DA492C"/>
    <w:rsid w:val="00DA4C11"/>
    <w:rsid w:val="00DA62F5"/>
    <w:rsid w:val="00DA63C9"/>
    <w:rsid w:val="00DB012F"/>
    <w:rsid w:val="00DB091D"/>
    <w:rsid w:val="00DB0EDA"/>
    <w:rsid w:val="00DB23C1"/>
    <w:rsid w:val="00DB33CA"/>
    <w:rsid w:val="00DB57CE"/>
    <w:rsid w:val="00DC215D"/>
    <w:rsid w:val="00DC27D5"/>
    <w:rsid w:val="00DC3B6D"/>
    <w:rsid w:val="00DC3E83"/>
    <w:rsid w:val="00DC59EC"/>
    <w:rsid w:val="00DC5FE5"/>
    <w:rsid w:val="00DC70B3"/>
    <w:rsid w:val="00DC752F"/>
    <w:rsid w:val="00DC78FB"/>
    <w:rsid w:val="00DC7CC1"/>
    <w:rsid w:val="00DD0FEA"/>
    <w:rsid w:val="00DD10D7"/>
    <w:rsid w:val="00DD1AE4"/>
    <w:rsid w:val="00DD1B85"/>
    <w:rsid w:val="00DD1D6B"/>
    <w:rsid w:val="00DD324F"/>
    <w:rsid w:val="00DD36E9"/>
    <w:rsid w:val="00DD430C"/>
    <w:rsid w:val="00DD43B7"/>
    <w:rsid w:val="00DD4B66"/>
    <w:rsid w:val="00DD4EA2"/>
    <w:rsid w:val="00DD5A5D"/>
    <w:rsid w:val="00DD747F"/>
    <w:rsid w:val="00DD7845"/>
    <w:rsid w:val="00DE0181"/>
    <w:rsid w:val="00DE03DC"/>
    <w:rsid w:val="00DE0BBF"/>
    <w:rsid w:val="00DE0BC1"/>
    <w:rsid w:val="00DE0D39"/>
    <w:rsid w:val="00DE18CF"/>
    <w:rsid w:val="00DE1D18"/>
    <w:rsid w:val="00DE4FA2"/>
    <w:rsid w:val="00DE5A9A"/>
    <w:rsid w:val="00DE7F9A"/>
    <w:rsid w:val="00DF0B40"/>
    <w:rsid w:val="00DF0D44"/>
    <w:rsid w:val="00DF1135"/>
    <w:rsid w:val="00DF1223"/>
    <w:rsid w:val="00DF134A"/>
    <w:rsid w:val="00DF13C0"/>
    <w:rsid w:val="00DF28B2"/>
    <w:rsid w:val="00DF3014"/>
    <w:rsid w:val="00DF3CE0"/>
    <w:rsid w:val="00DF3F63"/>
    <w:rsid w:val="00DF50E2"/>
    <w:rsid w:val="00DF74A1"/>
    <w:rsid w:val="00DF7EA6"/>
    <w:rsid w:val="00E000A7"/>
    <w:rsid w:val="00E004A7"/>
    <w:rsid w:val="00E010DE"/>
    <w:rsid w:val="00E01862"/>
    <w:rsid w:val="00E01ED7"/>
    <w:rsid w:val="00E020A1"/>
    <w:rsid w:val="00E023C9"/>
    <w:rsid w:val="00E02EC1"/>
    <w:rsid w:val="00E03758"/>
    <w:rsid w:val="00E0481B"/>
    <w:rsid w:val="00E048A0"/>
    <w:rsid w:val="00E05C70"/>
    <w:rsid w:val="00E05DF2"/>
    <w:rsid w:val="00E07F0A"/>
    <w:rsid w:val="00E10E5D"/>
    <w:rsid w:val="00E1262E"/>
    <w:rsid w:val="00E14C8B"/>
    <w:rsid w:val="00E16244"/>
    <w:rsid w:val="00E162C7"/>
    <w:rsid w:val="00E16369"/>
    <w:rsid w:val="00E16AC1"/>
    <w:rsid w:val="00E204B7"/>
    <w:rsid w:val="00E207FE"/>
    <w:rsid w:val="00E21052"/>
    <w:rsid w:val="00E21378"/>
    <w:rsid w:val="00E21C20"/>
    <w:rsid w:val="00E2306B"/>
    <w:rsid w:val="00E23A69"/>
    <w:rsid w:val="00E2538E"/>
    <w:rsid w:val="00E261A8"/>
    <w:rsid w:val="00E269B2"/>
    <w:rsid w:val="00E26B94"/>
    <w:rsid w:val="00E32DD1"/>
    <w:rsid w:val="00E330B2"/>
    <w:rsid w:val="00E33369"/>
    <w:rsid w:val="00E34300"/>
    <w:rsid w:val="00E34890"/>
    <w:rsid w:val="00E35CAE"/>
    <w:rsid w:val="00E364A7"/>
    <w:rsid w:val="00E369C3"/>
    <w:rsid w:val="00E4041D"/>
    <w:rsid w:val="00E40D16"/>
    <w:rsid w:val="00E40FF0"/>
    <w:rsid w:val="00E430A9"/>
    <w:rsid w:val="00E43B10"/>
    <w:rsid w:val="00E4549D"/>
    <w:rsid w:val="00E45F6B"/>
    <w:rsid w:val="00E46895"/>
    <w:rsid w:val="00E46A7F"/>
    <w:rsid w:val="00E47425"/>
    <w:rsid w:val="00E5314B"/>
    <w:rsid w:val="00E53D1B"/>
    <w:rsid w:val="00E545EF"/>
    <w:rsid w:val="00E5532F"/>
    <w:rsid w:val="00E558B1"/>
    <w:rsid w:val="00E55E95"/>
    <w:rsid w:val="00E55ECE"/>
    <w:rsid w:val="00E56D64"/>
    <w:rsid w:val="00E60472"/>
    <w:rsid w:val="00E61731"/>
    <w:rsid w:val="00E619AC"/>
    <w:rsid w:val="00E6267E"/>
    <w:rsid w:val="00E62DB9"/>
    <w:rsid w:val="00E62F48"/>
    <w:rsid w:val="00E640ED"/>
    <w:rsid w:val="00E64143"/>
    <w:rsid w:val="00E6514E"/>
    <w:rsid w:val="00E66AC9"/>
    <w:rsid w:val="00E66CA0"/>
    <w:rsid w:val="00E70607"/>
    <w:rsid w:val="00E71476"/>
    <w:rsid w:val="00E7373D"/>
    <w:rsid w:val="00E73FB2"/>
    <w:rsid w:val="00E744D4"/>
    <w:rsid w:val="00E805C5"/>
    <w:rsid w:val="00E81221"/>
    <w:rsid w:val="00E8169E"/>
    <w:rsid w:val="00E825CB"/>
    <w:rsid w:val="00E82A53"/>
    <w:rsid w:val="00E8311E"/>
    <w:rsid w:val="00E86E4F"/>
    <w:rsid w:val="00E87ACA"/>
    <w:rsid w:val="00E91AC2"/>
    <w:rsid w:val="00E945A1"/>
    <w:rsid w:val="00E94C51"/>
    <w:rsid w:val="00E954B7"/>
    <w:rsid w:val="00E95D22"/>
    <w:rsid w:val="00EA061E"/>
    <w:rsid w:val="00EA0658"/>
    <w:rsid w:val="00EA46BA"/>
    <w:rsid w:val="00EA4CD3"/>
    <w:rsid w:val="00EA4E2D"/>
    <w:rsid w:val="00EA4E50"/>
    <w:rsid w:val="00EA6925"/>
    <w:rsid w:val="00EA699B"/>
    <w:rsid w:val="00EA6D71"/>
    <w:rsid w:val="00EA75AA"/>
    <w:rsid w:val="00EB0C31"/>
    <w:rsid w:val="00EB108B"/>
    <w:rsid w:val="00EB1551"/>
    <w:rsid w:val="00EB160E"/>
    <w:rsid w:val="00EB1965"/>
    <w:rsid w:val="00EB29D3"/>
    <w:rsid w:val="00EB3E96"/>
    <w:rsid w:val="00EB49F3"/>
    <w:rsid w:val="00EB4AF6"/>
    <w:rsid w:val="00EB57EC"/>
    <w:rsid w:val="00EB5BD5"/>
    <w:rsid w:val="00EB648C"/>
    <w:rsid w:val="00EB69E1"/>
    <w:rsid w:val="00EC0103"/>
    <w:rsid w:val="00EC35B4"/>
    <w:rsid w:val="00EC3967"/>
    <w:rsid w:val="00EC40CC"/>
    <w:rsid w:val="00EC6696"/>
    <w:rsid w:val="00EC68B1"/>
    <w:rsid w:val="00EC7099"/>
    <w:rsid w:val="00ED1375"/>
    <w:rsid w:val="00ED2A18"/>
    <w:rsid w:val="00ED3020"/>
    <w:rsid w:val="00ED39C1"/>
    <w:rsid w:val="00ED3D1C"/>
    <w:rsid w:val="00ED4629"/>
    <w:rsid w:val="00ED4E84"/>
    <w:rsid w:val="00ED6B7C"/>
    <w:rsid w:val="00ED7C7A"/>
    <w:rsid w:val="00ED7CAF"/>
    <w:rsid w:val="00ED7D9E"/>
    <w:rsid w:val="00EE12AB"/>
    <w:rsid w:val="00EE277C"/>
    <w:rsid w:val="00EE57A3"/>
    <w:rsid w:val="00EE5DA3"/>
    <w:rsid w:val="00EE659F"/>
    <w:rsid w:val="00EF00D9"/>
    <w:rsid w:val="00EF079E"/>
    <w:rsid w:val="00EF0E89"/>
    <w:rsid w:val="00EF1F2A"/>
    <w:rsid w:val="00EF4435"/>
    <w:rsid w:val="00EF7B32"/>
    <w:rsid w:val="00F00AB6"/>
    <w:rsid w:val="00F00D29"/>
    <w:rsid w:val="00F01589"/>
    <w:rsid w:val="00F016F3"/>
    <w:rsid w:val="00F02049"/>
    <w:rsid w:val="00F04F66"/>
    <w:rsid w:val="00F063EF"/>
    <w:rsid w:val="00F069F1"/>
    <w:rsid w:val="00F10ED4"/>
    <w:rsid w:val="00F10FE2"/>
    <w:rsid w:val="00F122A0"/>
    <w:rsid w:val="00F12A0E"/>
    <w:rsid w:val="00F14E59"/>
    <w:rsid w:val="00F172EE"/>
    <w:rsid w:val="00F179D8"/>
    <w:rsid w:val="00F2098F"/>
    <w:rsid w:val="00F219A8"/>
    <w:rsid w:val="00F25459"/>
    <w:rsid w:val="00F26169"/>
    <w:rsid w:val="00F271DD"/>
    <w:rsid w:val="00F300EF"/>
    <w:rsid w:val="00F302F4"/>
    <w:rsid w:val="00F30A7B"/>
    <w:rsid w:val="00F30EC1"/>
    <w:rsid w:val="00F30F7B"/>
    <w:rsid w:val="00F31401"/>
    <w:rsid w:val="00F32BCB"/>
    <w:rsid w:val="00F3329C"/>
    <w:rsid w:val="00F34964"/>
    <w:rsid w:val="00F366CD"/>
    <w:rsid w:val="00F36CCC"/>
    <w:rsid w:val="00F37637"/>
    <w:rsid w:val="00F40718"/>
    <w:rsid w:val="00F41380"/>
    <w:rsid w:val="00F414B3"/>
    <w:rsid w:val="00F423A8"/>
    <w:rsid w:val="00F45839"/>
    <w:rsid w:val="00F46A8F"/>
    <w:rsid w:val="00F4715B"/>
    <w:rsid w:val="00F47385"/>
    <w:rsid w:val="00F47EF8"/>
    <w:rsid w:val="00F5012C"/>
    <w:rsid w:val="00F5164C"/>
    <w:rsid w:val="00F533A1"/>
    <w:rsid w:val="00F552FA"/>
    <w:rsid w:val="00F5530B"/>
    <w:rsid w:val="00F567A8"/>
    <w:rsid w:val="00F5729F"/>
    <w:rsid w:val="00F574F8"/>
    <w:rsid w:val="00F600F2"/>
    <w:rsid w:val="00F60490"/>
    <w:rsid w:val="00F6065B"/>
    <w:rsid w:val="00F63C1F"/>
    <w:rsid w:val="00F65053"/>
    <w:rsid w:val="00F702B4"/>
    <w:rsid w:val="00F74ED2"/>
    <w:rsid w:val="00F75609"/>
    <w:rsid w:val="00F75810"/>
    <w:rsid w:val="00F75E36"/>
    <w:rsid w:val="00F80729"/>
    <w:rsid w:val="00F80996"/>
    <w:rsid w:val="00F81C34"/>
    <w:rsid w:val="00F82380"/>
    <w:rsid w:val="00F82EA9"/>
    <w:rsid w:val="00F84BAA"/>
    <w:rsid w:val="00F84D35"/>
    <w:rsid w:val="00F86C3E"/>
    <w:rsid w:val="00F8725D"/>
    <w:rsid w:val="00F87384"/>
    <w:rsid w:val="00F875D6"/>
    <w:rsid w:val="00F878EA"/>
    <w:rsid w:val="00F907B2"/>
    <w:rsid w:val="00F92058"/>
    <w:rsid w:val="00F944D7"/>
    <w:rsid w:val="00F95C1D"/>
    <w:rsid w:val="00F97F78"/>
    <w:rsid w:val="00FA43A4"/>
    <w:rsid w:val="00FA43F5"/>
    <w:rsid w:val="00FA499D"/>
    <w:rsid w:val="00FA5129"/>
    <w:rsid w:val="00FA62D8"/>
    <w:rsid w:val="00FA6339"/>
    <w:rsid w:val="00FA6D3B"/>
    <w:rsid w:val="00FA6E24"/>
    <w:rsid w:val="00FA7B5A"/>
    <w:rsid w:val="00FA7B91"/>
    <w:rsid w:val="00FA7FF8"/>
    <w:rsid w:val="00FB1D39"/>
    <w:rsid w:val="00FB2122"/>
    <w:rsid w:val="00FB40AA"/>
    <w:rsid w:val="00FB48D6"/>
    <w:rsid w:val="00FB59B6"/>
    <w:rsid w:val="00FC2A75"/>
    <w:rsid w:val="00FC3122"/>
    <w:rsid w:val="00FC3695"/>
    <w:rsid w:val="00FC5C77"/>
    <w:rsid w:val="00FC6CDB"/>
    <w:rsid w:val="00FC7BE3"/>
    <w:rsid w:val="00FD0E90"/>
    <w:rsid w:val="00FD1DE6"/>
    <w:rsid w:val="00FD2F92"/>
    <w:rsid w:val="00FD64C4"/>
    <w:rsid w:val="00FD6EAB"/>
    <w:rsid w:val="00FD7CD2"/>
    <w:rsid w:val="00FE021A"/>
    <w:rsid w:val="00FE1A69"/>
    <w:rsid w:val="00FE1B57"/>
    <w:rsid w:val="00FE1F79"/>
    <w:rsid w:val="00FE2C96"/>
    <w:rsid w:val="00FE43BA"/>
    <w:rsid w:val="00FE5006"/>
    <w:rsid w:val="00FE5219"/>
    <w:rsid w:val="00FE547A"/>
    <w:rsid w:val="00FE56B4"/>
    <w:rsid w:val="00FE6C02"/>
    <w:rsid w:val="00FE71F9"/>
    <w:rsid w:val="00FE7747"/>
    <w:rsid w:val="00FF0271"/>
    <w:rsid w:val="00FF0383"/>
    <w:rsid w:val="00FF32F3"/>
    <w:rsid w:val="00FF3308"/>
    <w:rsid w:val="00FF3CDA"/>
    <w:rsid w:val="00FF607A"/>
    <w:rsid w:val="00FF63C5"/>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9457"/>
    <o:shapelayout v:ext="edit">
      <o:idmap v:ext="edit" data="1"/>
    </o:shapelayout>
  </w:shapeDefaults>
  <w:decimalSymbol w:val="."/>
  <w:listSeparator w:val=","/>
  <w14:docId w14:val="3E8CC70D"/>
  <w15:docId w15:val="{B9B5CDD0-E586-4D47-9B99-F4CB1E550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A776B4"/>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INAI"/>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INAI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unhideWhenUsed/>
    <w:rsid w:val="00444919"/>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A776B4"/>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A776B4"/>
    <w:pPr>
      <w:ind w:left="283" w:hanging="283"/>
      <w:contextualSpacing/>
    </w:pPr>
  </w:style>
  <w:style w:type="paragraph" w:styleId="Lista2">
    <w:name w:val="List 2"/>
    <w:basedOn w:val="Normal"/>
    <w:uiPriority w:val="99"/>
    <w:unhideWhenUsed/>
    <w:rsid w:val="00A776B4"/>
    <w:pPr>
      <w:ind w:left="566" w:hanging="283"/>
      <w:contextualSpacing/>
    </w:pPr>
  </w:style>
  <w:style w:type="paragraph" w:styleId="Lista3">
    <w:name w:val="List 3"/>
    <w:basedOn w:val="Normal"/>
    <w:uiPriority w:val="99"/>
    <w:unhideWhenUsed/>
    <w:rsid w:val="00A776B4"/>
    <w:pPr>
      <w:ind w:left="849" w:hanging="283"/>
      <w:contextualSpacing/>
    </w:pPr>
  </w:style>
  <w:style w:type="paragraph" w:styleId="Textoindependiente">
    <w:name w:val="Body Text"/>
    <w:basedOn w:val="Normal"/>
    <w:link w:val="TextoindependienteCar"/>
    <w:uiPriority w:val="99"/>
    <w:unhideWhenUsed/>
    <w:rsid w:val="00A776B4"/>
    <w:pPr>
      <w:spacing w:after="120"/>
    </w:pPr>
  </w:style>
  <w:style w:type="character" w:customStyle="1" w:styleId="TextoindependienteCar">
    <w:name w:val="Texto independiente Car"/>
    <w:basedOn w:val="Fuentedeprrafopredeter"/>
    <w:link w:val="Textoindependiente"/>
    <w:uiPriority w:val="99"/>
    <w:rsid w:val="00A776B4"/>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A776B4"/>
    <w:pPr>
      <w:spacing w:after="120"/>
      <w:ind w:left="283"/>
    </w:pPr>
  </w:style>
  <w:style w:type="character" w:customStyle="1" w:styleId="SangradetextonormalCar">
    <w:name w:val="Sangría de texto normal Car"/>
    <w:basedOn w:val="Fuentedeprrafopredeter"/>
    <w:link w:val="Sangradetextonormal"/>
    <w:uiPriority w:val="99"/>
    <w:rsid w:val="00A776B4"/>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A776B4"/>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776B4"/>
    <w:rPr>
      <w:rFonts w:ascii="Times New Roman" w:eastAsia="Times New Roman" w:hAnsi="Times New Roman" w:cs="Times New Roman"/>
      <w:lang w:val="es-ES"/>
    </w:rPr>
  </w:style>
  <w:style w:type="paragraph" w:styleId="Textosinformato">
    <w:name w:val="Plain Text"/>
    <w:basedOn w:val="Normal"/>
    <w:link w:val="TextosinformatoCar"/>
    <w:rsid w:val="00B67939"/>
    <w:rPr>
      <w:rFonts w:ascii="Courier New" w:hAnsi="Courier New"/>
      <w:sz w:val="20"/>
      <w:szCs w:val="20"/>
    </w:rPr>
  </w:style>
  <w:style w:type="character" w:customStyle="1" w:styleId="TextosinformatoCar">
    <w:name w:val="Texto sin formato Car"/>
    <w:basedOn w:val="Fuentedeprrafopredeter"/>
    <w:link w:val="Textosinformato"/>
    <w:rsid w:val="00B67939"/>
    <w:rPr>
      <w:rFonts w:ascii="Courier New" w:eastAsia="Times New Roman" w:hAnsi="Courier New" w:cs="Times New Roman"/>
      <w:sz w:val="20"/>
      <w:szCs w:val="20"/>
      <w:lang w:val="es-ES"/>
    </w:rPr>
  </w:style>
  <w:style w:type="paragraph" w:customStyle="1" w:styleId="j">
    <w:name w:val="j"/>
    <w:basedOn w:val="Normal"/>
    <w:rsid w:val="00226723"/>
    <w:pPr>
      <w:spacing w:before="100" w:beforeAutospacing="1" w:after="100" w:afterAutospacing="1"/>
    </w:pPr>
    <w:rPr>
      <w:lang w:val="es-MX" w:eastAsia="es-MX"/>
    </w:rPr>
  </w:style>
  <w:style w:type="table" w:styleId="Tabladelista1clara-nfasis1">
    <w:name w:val="List Table 1 Light Accent 1"/>
    <w:basedOn w:val="Tablanormal"/>
    <w:uiPriority w:val="46"/>
    <w:rsid w:val="008E6246"/>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2871584667633129156gmail-msofootnotereference">
    <w:name w:val="m_2871584667633129156gmail-msofootnotereference"/>
    <w:basedOn w:val="Fuentedeprrafopredeter"/>
    <w:rsid w:val="00C12849"/>
  </w:style>
  <w:style w:type="character" w:customStyle="1" w:styleId="h">
    <w:name w:val="h"/>
    <w:basedOn w:val="Fuentedeprrafopredeter"/>
    <w:rsid w:val="007F685F"/>
  </w:style>
  <w:style w:type="table" w:customStyle="1" w:styleId="Tabladelista1clara-nfasis12">
    <w:name w:val="Tabla de lista 1 clara - Énfasis 12"/>
    <w:basedOn w:val="Tablanormal"/>
    <w:next w:val="Tabladelista1clara-nfasis1"/>
    <w:uiPriority w:val="46"/>
    <w:rsid w:val="00C04B32"/>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04025965">
      <w:bodyDiv w:val="1"/>
      <w:marLeft w:val="0"/>
      <w:marRight w:val="0"/>
      <w:marTop w:val="0"/>
      <w:marBottom w:val="0"/>
      <w:divBdr>
        <w:top w:val="none" w:sz="0" w:space="0" w:color="auto"/>
        <w:left w:val="none" w:sz="0" w:space="0" w:color="auto"/>
        <w:bottom w:val="none" w:sz="0" w:space="0" w:color="auto"/>
        <w:right w:val="none" w:sz="0" w:space="0" w:color="auto"/>
      </w:divBdr>
    </w:div>
    <w:div w:id="210266309">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95113731">
      <w:bodyDiv w:val="1"/>
      <w:marLeft w:val="0"/>
      <w:marRight w:val="0"/>
      <w:marTop w:val="0"/>
      <w:marBottom w:val="0"/>
      <w:divBdr>
        <w:top w:val="none" w:sz="0" w:space="0" w:color="auto"/>
        <w:left w:val="none" w:sz="0" w:space="0" w:color="auto"/>
        <w:bottom w:val="none" w:sz="0" w:space="0" w:color="auto"/>
        <w:right w:val="none" w:sz="0" w:space="0" w:color="auto"/>
      </w:divBdr>
    </w:div>
    <w:div w:id="304044366">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43093851">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30652480">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07099981">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110586547">
      <w:bodyDiv w:val="1"/>
      <w:marLeft w:val="0"/>
      <w:marRight w:val="0"/>
      <w:marTop w:val="0"/>
      <w:marBottom w:val="0"/>
      <w:divBdr>
        <w:top w:val="none" w:sz="0" w:space="0" w:color="auto"/>
        <w:left w:val="none" w:sz="0" w:space="0" w:color="auto"/>
        <w:bottom w:val="none" w:sz="0" w:space="0" w:color="auto"/>
        <w:right w:val="none" w:sz="0" w:space="0" w:color="auto"/>
      </w:divBdr>
    </w:div>
    <w:div w:id="1130512972">
      <w:bodyDiv w:val="1"/>
      <w:marLeft w:val="0"/>
      <w:marRight w:val="0"/>
      <w:marTop w:val="0"/>
      <w:marBottom w:val="0"/>
      <w:divBdr>
        <w:top w:val="none" w:sz="0" w:space="0" w:color="auto"/>
        <w:left w:val="none" w:sz="0" w:space="0" w:color="auto"/>
        <w:bottom w:val="none" w:sz="0" w:space="0" w:color="auto"/>
        <w:right w:val="none" w:sz="0" w:space="0" w:color="auto"/>
      </w:divBdr>
    </w:div>
    <w:div w:id="1181899223">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8558251">
      <w:bodyDiv w:val="1"/>
      <w:marLeft w:val="0"/>
      <w:marRight w:val="0"/>
      <w:marTop w:val="0"/>
      <w:marBottom w:val="0"/>
      <w:divBdr>
        <w:top w:val="none" w:sz="0" w:space="0" w:color="auto"/>
        <w:left w:val="none" w:sz="0" w:space="0" w:color="auto"/>
        <w:bottom w:val="none" w:sz="0" w:space="0" w:color="auto"/>
        <w:right w:val="none" w:sz="0" w:space="0" w:color="auto"/>
      </w:divBdr>
    </w:div>
    <w:div w:id="1311253802">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95251907">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914661289">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55497233">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saimex.org.mx/saimex/solicitud/downloadAttach/1220120.page" TargetMode="External"/><Relationship Id="rId17" Type="http://schemas.openxmlformats.org/officeDocument/2006/relationships/image" Target="media/image7.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www.saimex.org.mx/saimex/solicitud/downloadAttach/1220119.page" TargetMode="External"/><Relationship Id="rId20" Type="http://schemas.openxmlformats.org/officeDocument/2006/relationships/hyperlink" Target="javascript:AbrirModal(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1220119.page"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oter" Target="foot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7DB4EF-CF51-493B-BF08-43087412F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1335</TotalTime>
  <Pages>85</Pages>
  <Words>23024</Words>
  <Characters>126633</Characters>
  <Application>Microsoft Office Word</Application>
  <DocSecurity>0</DocSecurity>
  <Lines>1055</Lines>
  <Paragraphs>298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149359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34</cp:revision>
  <cp:lastPrinted>2021-11-26T00:54:00Z</cp:lastPrinted>
  <dcterms:created xsi:type="dcterms:W3CDTF">2021-11-11T19:29:00Z</dcterms:created>
  <dcterms:modified xsi:type="dcterms:W3CDTF">2021-12-16T16:53:00Z</dcterms:modified>
</cp:coreProperties>
</file>