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DDCA4" w14:textId="77777777" w:rsidR="00160133" w:rsidRDefault="00160133" w:rsidP="00200BFC">
      <w:pPr>
        <w:spacing w:line="360" w:lineRule="auto"/>
        <w:jc w:val="both"/>
        <w:rPr>
          <w:rFonts w:ascii="Palatino Linotype" w:hAnsi="Palatino Linotype"/>
        </w:rPr>
      </w:pPr>
      <w:bookmarkStart w:id="0" w:name="_Hlk57136682"/>
      <w:bookmarkEnd w:id="0"/>
    </w:p>
    <w:p w14:paraId="7810B00A" w14:textId="66366263" w:rsidR="00200BFC" w:rsidRPr="00300A2C" w:rsidRDefault="003C5F74" w:rsidP="00200BFC">
      <w:pPr>
        <w:spacing w:line="360" w:lineRule="auto"/>
        <w:jc w:val="both"/>
        <w:rPr>
          <w:rFonts w:ascii="Palatino Linotype" w:hAnsi="Palatino Linotype" w:cs="Arial"/>
        </w:rPr>
      </w:pPr>
      <w:r w:rsidRPr="00300A2C">
        <w:rPr>
          <w:rFonts w:ascii="Palatino Linotype" w:hAnsi="Palatino Linotype"/>
        </w:rPr>
        <w:t xml:space="preserve">Resolución </w:t>
      </w:r>
      <w:r w:rsidR="00200BFC" w:rsidRPr="00300A2C">
        <w:rPr>
          <w:rFonts w:ascii="Palatino Linotype" w:hAnsi="Palatino Linotype" w:cs="Arial"/>
        </w:rPr>
        <w:t xml:space="preserve">del Pleno del Instituto de Transparencia, Acceso a la Información Pública y Protección de Datos Personales del Estado de México y Municipios, con domicilio en Metepec, Estado de México, de fecha </w:t>
      </w:r>
      <w:r w:rsidR="00DF50C3" w:rsidRPr="00300A2C">
        <w:rPr>
          <w:rFonts w:ascii="Palatino Linotype" w:hAnsi="Palatino Linotype" w:cs="Arial"/>
        </w:rPr>
        <w:t>veintiséis</w:t>
      </w:r>
      <w:r w:rsidR="00543868" w:rsidRPr="00300A2C">
        <w:rPr>
          <w:rFonts w:ascii="Palatino Linotype" w:hAnsi="Palatino Linotype" w:cs="Arial"/>
        </w:rPr>
        <w:t xml:space="preserve"> de </w:t>
      </w:r>
      <w:r w:rsidR="00A4245C" w:rsidRPr="00300A2C">
        <w:rPr>
          <w:rFonts w:ascii="Palatino Linotype" w:hAnsi="Palatino Linotype" w:cs="Arial"/>
        </w:rPr>
        <w:t>mayo</w:t>
      </w:r>
      <w:r w:rsidR="00543868" w:rsidRPr="00300A2C">
        <w:rPr>
          <w:rFonts w:ascii="Palatino Linotype" w:hAnsi="Palatino Linotype" w:cs="Arial"/>
        </w:rPr>
        <w:t xml:space="preserve"> de dos mil veintiuno</w:t>
      </w:r>
      <w:r w:rsidR="003253C6" w:rsidRPr="00300A2C">
        <w:rPr>
          <w:rFonts w:ascii="Palatino Linotype" w:hAnsi="Palatino Linotype" w:cs="Arial"/>
        </w:rPr>
        <w:t>.</w:t>
      </w:r>
    </w:p>
    <w:p w14:paraId="57CA25AC" w14:textId="77777777" w:rsidR="003253C6" w:rsidRPr="00300A2C" w:rsidRDefault="003253C6" w:rsidP="00200BFC">
      <w:pPr>
        <w:spacing w:line="360" w:lineRule="auto"/>
        <w:jc w:val="both"/>
        <w:rPr>
          <w:rFonts w:ascii="Palatino Linotype" w:hAnsi="Palatino Linotype" w:cs="Arial"/>
        </w:rPr>
      </w:pPr>
    </w:p>
    <w:p w14:paraId="42C7D1A2" w14:textId="5ECD97F6" w:rsidR="003253C6" w:rsidRPr="00300A2C" w:rsidRDefault="00200BFC" w:rsidP="00200BFC">
      <w:pPr>
        <w:spacing w:line="360" w:lineRule="auto"/>
        <w:jc w:val="both"/>
        <w:rPr>
          <w:rFonts w:ascii="Palatino Linotype" w:hAnsi="Palatino Linotype" w:cs="Arial"/>
          <w:lang w:val="es-ES"/>
        </w:rPr>
      </w:pPr>
      <w:r w:rsidRPr="00300A2C">
        <w:rPr>
          <w:rFonts w:ascii="Palatino Linotype" w:hAnsi="Palatino Linotype" w:cs="Arial"/>
          <w:b/>
          <w:sz w:val="28"/>
        </w:rPr>
        <w:t>VISTO</w:t>
      </w:r>
      <w:r w:rsidRPr="00300A2C">
        <w:rPr>
          <w:rFonts w:ascii="Palatino Linotype" w:hAnsi="Palatino Linotype" w:cs="Arial"/>
        </w:rPr>
        <w:t xml:space="preserve"> el expediente formado con motivo del recurso de </w:t>
      </w:r>
      <w:r w:rsidR="00543868" w:rsidRPr="00300A2C">
        <w:rPr>
          <w:rFonts w:ascii="Palatino Linotype" w:hAnsi="Palatino Linotype" w:cs="Arial"/>
        </w:rPr>
        <w:t xml:space="preserve">revisión </w:t>
      </w:r>
      <w:r w:rsidR="00DD541F" w:rsidRPr="00300A2C">
        <w:rPr>
          <w:rFonts w:ascii="Palatino Linotype" w:hAnsi="Palatino Linotype" w:cs="Arial"/>
          <w:b/>
          <w:bCs/>
        </w:rPr>
        <w:t>01082/INFOEM/IP/RR/2021</w:t>
      </w:r>
      <w:r w:rsidRPr="00300A2C">
        <w:rPr>
          <w:rFonts w:ascii="Palatino Linotype" w:hAnsi="Palatino Linotype" w:cs="Arial"/>
        </w:rPr>
        <w:t xml:space="preserve">, </w:t>
      </w:r>
      <w:r w:rsidR="008C4B2D" w:rsidRPr="00300A2C">
        <w:rPr>
          <w:rFonts w:ascii="Palatino Linotype" w:hAnsi="Palatino Linotype"/>
          <w:lang w:val="es-ES"/>
        </w:rPr>
        <w:t xml:space="preserve">interpuesto por </w:t>
      </w:r>
      <w:r w:rsidR="0011603D" w:rsidRPr="00300A2C">
        <w:rPr>
          <w:rFonts w:ascii="Palatino Linotype" w:hAnsi="Palatino Linotype"/>
          <w:lang w:val="es-ES"/>
        </w:rPr>
        <w:t xml:space="preserve">el C. </w:t>
      </w:r>
      <w:r w:rsidR="00331FE7" w:rsidRPr="00331FE7">
        <w:rPr>
          <w:rFonts w:ascii="Palatino Linotype" w:hAnsi="Palatino Linotype"/>
          <w:b/>
          <w:lang w:val="es-ES"/>
        </w:rPr>
        <w:t>Xxxxxx Xxxxxx Xxxxxx</w:t>
      </w:r>
      <w:bookmarkStart w:id="1" w:name="_GoBack"/>
      <w:bookmarkEnd w:id="1"/>
      <w:r w:rsidR="008C4B2D" w:rsidRPr="00300A2C">
        <w:rPr>
          <w:rFonts w:ascii="Palatino Linotype" w:hAnsi="Palatino Linotype"/>
          <w:b/>
          <w:lang w:val="es-ES"/>
        </w:rPr>
        <w:t>,</w:t>
      </w:r>
      <w:r w:rsidR="008C4B2D" w:rsidRPr="00300A2C">
        <w:rPr>
          <w:rFonts w:ascii="Palatino Linotype" w:hAnsi="Palatino Linotype"/>
          <w:lang w:val="es-ES"/>
        </w:rPr>
        <w:t xml:space="preserve"> en lo sucesivo </w:t>
      </w:r>
      <w:r w:rsidR="008C4B2D" w:rsidRPr="00300A2C">
        <w:rPr>
          <w:rFonts w:ascii="Palatino Linotype" w:hAnsi="Palatino Linotype"/>
          <w:b/>
          <w:lang w:val="es-ES"/>
        </w:rPr>
        <w:t>EL RECURRENTE</w:t>
      </w:r>
      <w:r w:rsidRPr="00300A2C">
        <w:rPr>
          <w:rFonts w:ascii="Palatino Linotype" w:hAnsi="Palatino Linotype" w:cs="Arial"/>
          <w:b/>
          <w:lang w:val="es-ES"/>
        </w:rPr>
        <w:t>,</w:t>
      </w:r>
      <w:r w:rsidRPr="00300A2C">
        <w:rPr>
          <w:rFonts w:ascii="Palatino Linotype" w:hAnsi="Palatino Linotype" w:cs="Arial"/>
          <w:lang w:val="es-ES"/>
        </w:rPr>
        <w:t xml:space="preserve"> en contra de la respuesta del</w:t>
      </w:r>
      <w:r w:rsidR="00D123BE" w:rsidRPr="00300A2C">
        <w:rPr>
          <w:rFonts w:ascii="Palatino Linotype" w:hAnsi="Palatino Linotype" w:cs="Arial"/>
          <w:lang w:val="es-ES"/>
        </w:rPr>
        <w:t xml:space="preserve"> </w:t>
      </w:r>
      <w:r w:rsidR="00DD541F" w:rsidRPr="00300A2C">
        <w:rPr>
          <w:rFonts w:ascii="Palatino Linotype" w:hAnsi="Palatino Linotype" w:cs="Arial"/>
          <w:b/>
          <w:bCs/>
        </w:rPr>
        <w:t>Ayuntamiento de Ecatepec de Morelos</w:t>
      </w:r>
      <w:r w:rsidRPr="00300A2C">
        <w:rPr>
          <w:rFonts w:ascii="Palatino Linotype" w:hAnsi="Palatino Linotype" w:cs="Arial"/>
          <w:b/>
          <w:lang w:val="es-ES"/>
        </w:rPr>
        <w:t xml:space="preserve">, </w:t>
      </w:r>
      <w:r w:rsidRPr="00300A2C">
        <w:rPr>
          <w:rFonts w:ascii="Palatino Linotype" w:hAnsi="Palatino Linotype" w:cs="Arial"/>
          <w:lang w:val="es-ES"/>
        </w:rPr>
        <w:t xml:space="preserve">en lo sucesivo </w:t>
      </w:r>
      <w:r w:rsidRPr="00300A2C">
        <w:rPr>
          <w:rFonts w:ascii="Palatino Linotype" w:hAnsi="Palatino Linotype" w:cs="Arial"/>
          <w:b/>
          <w:lang w:val="es-ES"/>
        </w:rPr>
        <w:t xml:space="preserve">EL SUJETO OBLIGADO, </w:t>
      </w:r>
      <w:r w:rsidRPr="00300A2C">
        <w:rPr>
          <w:rFonts w:ascii="Palatino Linotype" w:hAnsi="Palatino Linotype" w:cs="Arial"/>
          <w:lang w:val="es-ES"/>
        </w:rPr>
        <w:t xml:space="preserve">se procede a dictar la presente resolución con base en lo siguiente: </w:t>
      </w:r>
    </w:p>
    <w:p w14:paraId="7E5DAA96" w14:textId="77777777" w:rsidR="00200BFC" w:rsidRPr="00300A2C" w:rsidRDefault="00200BFC" w:rsidP="00200BFC">
      <w:pPr>
        <w:jc w:val="center"/>
        <w:rPr>
          <w:rFonts w:ascii="Palatino Linotype" w:hAnsi="Palatino Linotype" w:cs="Arial"/>
          <w:b/>
          <w:bCs/>
          <w:spacing w:val="60"/>
        </w:rPr>
      </w:pPr>
    </w:p>
    <w:p w14:paraId="0A30CA76" w14:textId="4EC2909E" w:rsidR="00770063" w:rsidRPr="00300A2C" w:rsidRDefault="00200BFC" w:rsidP="00770063">
      <w:pPr>
        <w:jc w:val="center"/>
        <w:rPr>
          <w:rFonts w:ascii="Palatino Linotype" w:hAnsi="Palatino Linotype" w:cs="Arial"/>
          <w:b/>
          <w:bCs/>
          <w:spacing w:val="60"/>
          <w:sz w:val="28"/>
        </w:rPr>
      </w:pPr>
      <w:r w:rsidRPr="00300A2C">
        <w:rPr>
          <w:rFonts w:ascii="Palatino Linotype" w:hAnsi="Palatino Linotype" w:cs="Arial"/>
          <w:b/>
          <w:bCs/>
          <w:spacing w:val="60"/>
          <w:sz w:val="28"/>
        </w:rPr>
        <w:t>RESULTANDO</w:t>
      </w:r>
    </w:p>
    <w:p w14:paraId="70D9D779" w14:textId="77777777" w:rsidR="00200BFC" w:rsidRPr="00300A2C" w:rsidRDefault="00200BFC" w:rsidP="008857BB">
      <w:pPr>
        <w:rPr>
          <w:rFonts w:ascii="Palatino Linotype" w:hAnsi="Palatino Linotype" w:cs="Arial"/>
          <w:b/>
          <w:bCs/>
          <w:spacing w:val="60"/>
        </w:rPr>
      </w:pPr>
    </w:p>
    <w:p w14:paraId="702C2C4C" w14:textId="7EF8B001" w:rsidR="00200BFC" w:rsidRPr="00300A2C" w:rsidRDefault="00200BFC" w:rsidP="00200BFC">
      <w:pPr>
        <w:spacing w:line="360" w:lineRule="auto"/>
        <w:jc w:val="both"/>
        <w:rPr>
          <w:rFonts w:ascii="Palatino Linotype" w:eastAsia="MS Mincho" w:hAnsi="Palatino Linotype" w:cs="Arial"/>
          <w:b/>
          <w:bCs/>
        </w:rPr>
      </w:pPr>
      <w:r w:rsidRPr="00300A2C">
        <w:rPr>
          <w:rFonts w:ascii="Palatino Linotype" w:eastAsia="MS Mincho" w:hAnsi="Palatino Linotype" w:cs="Arial"/>
          <w:b/>
          <w:sz w:val="28"/>
        </w:rPr>
        <w:t>I</w:t>
      </w:r>
      <w:r w:rsidRPr="00300A2C">
        <w:rPr>
          <w:rFonts w:ascii="Palatino Linotype" w:eastAsia="MS Mincho" w:hAnsi="Palatino Linotype" w:cs="Arial"/>
          <w:b/>
        </w:rPr>
        <w:t xml:space="preserve">. </w:t>
      </w:r>
      <w:r w:rsidRPr="00300A2C">
        <w:rPr>
          <w:rFonts w:ascii="Palatino Linotype" w:eastAsia="MS Mincho" w:hAnsi="Palatino Linotype" w:cs="Arial"/>
        </w:rPr>
        <w:t xml:space="preserve">En fecha </w:t>
      </w:r>
      <w:r w:rsidR="00DD541F" w:rsidRPr="00300A2C">
        <w:rPr>
          <w:rFonts w:ascii="Palatino Linotype" w:eastAsia="MS Mincho" w:hAnsi="Palatino Linotype" w:cs="Arial"/>
        </w:rPr>
        <w:t>dieciocho</w:t>
      </w:r>
      <w:r w:rsidR="005029C7" w:rsidRPr="00300A2C">
        <w:rPr>
          <w:rFonts w:ascii="Palatino Linotype" w:eastAsia="MS Mincho" w:hAnsi="Palatino Linotype" w:cs="Arial"/>
        </w:rPr>
        <w:t xml:space="preserve"> de </w:t>
      </w:r>
      <w:r w:rsidR="0011603D" w:rsidRPr="00300A2C">
        <w:rPr>
          <w:rFonts w:ascii="Palatino Linotype" w:eastAsia="MS Mincho" w:hAnsi="Palatino Linotype" w:cs="Arial"/>
        </w:rPr>
        <w:t>enero</w:t>
      </w:r>
      <w:r w:rsidRPr="00300A2C">
        <w:rPr>
          <w:rFonts w:ascii="Palatino Linotype" w:eastAsia="MS Mincho" w:hAnsi="Palatino Linotype" w:cs="Arial"/>
        </w:rPr>
        <w:t xml:space="preserve"> de dos mil veint</w:t>
      </w:r>
      <w:r w:rsidR="0011603D" w:rsidRPr="00300A2C">
        <w:rPr>
          <w:rFonts w:ascii="Palatino Linotype" w:eastAsia="MS Mincho" w:hAnsi="Palatino Linotype" w:cs="Arial"/>
        </w:rPr>
        <w:t>iuno</w:t>
      </w:r>
      <w:r w:rsidRPr="00300A2C">
        <w:rPr>
          <w:rFonts w:ascii="Palatino Linotype" w:eastAsia="MS Mincho" w:hAnsi="Palatino Linotype" w:cs="Arial"/>
        </w:rPr>
        <w:t xml:space="preserve">, </w:t>
      </w:r>
      <w:r w:rsidR="008A1479" w:rsidRPr="00300A2C">
        <w:rPr>
          <w:rFonts w:ascii="Palatino Linotype" w:eastAsia="MS Mincho" w:hAnsi="Palatino Linotype" w:cs="Arial"/>
          <w:b/>
        </w:rPr>
        <w:t>EL</w:t>
      </w:r>
      <w:r w:rsidRPr="00300A2C">
        <w:rPr>
          <w:rFonts w:ascii="Palatino Linotype" w:eastAsia="MS Mincho" w:hAnsi="Palatino Linotype" w:cs="Arial"/>
          <w:b/>
        </w:rPr>
        <w:t xml:space="preserve"> RECURRENTE</w:t>
      </w:r>
      <w:r w:rsidR="00242FAC" w:rsidRPr="00300A2C">
        <w:rPr>
          <w:rFonts w:ascii="Palatino Linotype" w:eastAsia="MS Mincho" w:hAnsi="Palatino Linotype" w:cs="Arial"/>
        </w:rPr>
        <w:t xml:space="preserve"> presentó a través de</w:t>
      </w:r>
      <w:r w:rsidRPr="00300A2C">
        <w:rPr>
          <w:rFonts w:ascii="Palatino Linotype" w:eastAsia="MS Mincho" w:hAnsi="Palatino Linotype" w:cs="Arial"/>
        </w:rPr>
        <w:t>l Sistema de Acceso a la Información Mexiquense</w:t>
      </w:r>
      <w:r w:rsidRPr="00300A2C">
        <w:rPr>
          <w:rFonts w:ascii="Palatino Linotype" w:eastAsia="MS Mincho" w:hAnsi="Palatino Linotype"/>
        </w:rPr>
        <w:t xml:space="preserve">, en lo subsecuente </w:t>
      </w:r>
      <w:r w:rsidRPr="00300A2C">
        <w:rPr>
          <w:rFonts w:ascii="Palatino Linotype" w:eastAsia="MS Mincho" w:hAnsi="Palatino Linotype" w:cs="Arial"/>
          <w:b/>
        </w:rPr>
        <w:t>EL SAIMEX</w:t>
      </w:r>
      <w:r w:rsidRPr="00300A2C">
        <w:rPr>
          <w:rFonts w:ascii="Palatino Linotype" w:eastAsia="MS Mincho" w:hAnsi="Palatino Linotype" w:cs="Arial"/>
        </w:rPr>
        <w:t xml:space="preserve"> ante </w:t>
      </w:r>
      <w:r w:rsidRPr="00300A2C">
        <w:rPr>
          <w:rFonts w:ascii="Palatino Linotype" w:eastAsia="MS Mincho" w:hAnsi="Palatino Linotype" w:cs="Arial"/>
          <w:b/>
        </w:rPr>
        <w:t>EL SUJETO OBLIGADO</w:t>
      </w:r>
      <w:r w:rsidRPr="00300A2C">
        <w:rPr>
          <w:rFonts w:ascii="Palatino Linotype" w:eastAsia="MS Mincho" w:hAnsi="Palatino Linotype" w:cs="Arial"/>
        </w:rPr>
        <w:t xml:space="preserve">, la solicitud de acceso a la información pública, a la que se le asignó el número de expediente </w:t>
      </w:r>
      <w:r w:rsidR="00DD541F" w:rsidRPr="00300A2C">
        <w:rPr>
          <w:rFonts w:ascii="Palatino Linotype" w:eastAsia="MS Mincho" w:hAnsi="Palatino Linotype" w:cs="Arial"/>
          <w:b/>
          <w:bCs/>
        </w:rPr>
        <w:t>00010/ECATEPEC/IP/2021</w:t>
      </w:r>
      <w:r w:rsidRPr="00300A2C">
        <w:rPr>
          <w:rFonts w:ascii="Palatino Linotype" w:eastAsia="MS Mincho" w:hAnsi="Palatino Linotype" w:cs="Arial"/>
        </w:rPr>
        <w:t xml:space="preserve">, </w:t>
      </w:r>
      <w:r w:rsidRPr="00300A2C">
        <w:rPr>
          <w:rFonts w:ascii="Palatino Linotype" w:eastAsia="MS Mincho" w:hAnsi="Palatino Linotype" w:cs="Arial"/>
          <w:bCs/>
        </w:rPr>
        <w:t>por medio de la cual requirió</w:t>
      </w:r>
      <w:r w:rsidRPr="00300A2C">
        <w:rPr>
          <w:rFonts w:ascii="Palatino Linotype" w:eastAsia="MS Mincho" w:hAnsi="Palatino Linotype" w:cs="Arial"/>
        </w:rPr>
        <w:t>:</w:t>
      </w:r>
    </w:p>
    <w:p w14:paraId="69AC5CD0" w14:textId="77777777" w:rsidR="00200BFC" w:rsidRPr="00300A2C" w:rsidRDefault="00200BFC" w:rsidP="00200BFC">
      <w:pPr>
        <w:tabs>
          <w:tab w:val="left" w:pos="851"/>
        </w:tabs>
        <w:ind w:left="851" w:right="901"/>
        <w:jc w:val="both"/>
        <w:rPr>
          <w:rFonts w:ascii="Palatino Linotype" w:eastAsia="MS Mincho" w:hAnsi="Palatino Linotype" w:cs="Arial"/>
          <w:i/>
        </w:rPr>
      </w:pPr>
    </w:p>
    <w:tbl>
      <w:tblPr>
        <w:tblStyle w:val="Tablaconcuadrcula"/>
        <w:tblW w:w="9006" w:type="dxa"/>
        <w:tblLook w:val="04A0" w:firstRow="1" w:lastRow="0" w:firstColumn="1" w:lastColumn="0" w:noHBand="0" w:noVBand="1"/>
      </w:tblPr>
      <w:tblGrid>
        <w:gridCol w:w="2972"/>
        <w:gridCol w:w="6034"/>
      </w:tblGrid>
      <w:tr w:rsidR="008C4B2D" w:rsidRPr="00300A2C" w14:paraId="2E1289B5" w14:textId="77777777" w:rsidTr="008C4B2D">
        <w:trPr>
          <w:trHeight w:val="589"/>
        </w:trPr>
        <w:tc>
          <w:tcPr>
            <w:tcW w:w="2972" w:type="dxa"/>
            <w:shd w:val="clear" w:color="auto" w:fill="000000" w:themeFill="text1"/>
            <w:vAlign w:val="center"/>
          </w:tcPr>
          <w:p w14:paraId="3AC97C6C" w14:textId="77777777" w:rsidR="008C4B2D" w:rsidRPr="00300A2C" w:rsidRDefault="008C4B2D" w:rsidP="008C4B2D">
            <w:pPr>
              <w:spacing w:line="360" w:lineRule="auto"/>
              <w:jc w:val="center"/>
              <w:rPr>
                <w:rFonts w:ascii="Palatino Linotype" w:hAnsi="Palatino Linotype"/>
                <w:b/>
                <w:color w:val="FFFFFF" w:themeColor="background1"/>
                <w:sz w:val="24"/>
                <w:szCs w:val="24"/>
                <w:lang w:val="es-ES" w:eastAsia="es-ES"/>
              </w:rPr>
            </w:pPr>
            <w:r w:rsidRPr="00300A2C">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5EB7039D" w14:textId="77777777" w:rsidR="008C4B2D" w:rsidRPr="00300A2C" w:rsidRDefault="008C4B2D" w:rsidP="008C4B2D">
            <w:pPr>
              <w:tabs>
                <w:tab w:val="left" w:pos="1125"/>
              </w:tabs>
              <w:spacing w:line="360" w:lineRule="auto"/>
              <w:jc w:val="center"/>
              <w:rPr>
                <w:rFonts w:ascii="Palatino Linotype" w:hAnsi="Palatino Linotype"/>
                <w:b/>
                <w:sz w:val="24"/>
                <w:szCs w:val="24"/>
                <w:lang w:val="es-ES" w:eastAsia="es-ES"/>
              </w:rPr>
            </w:pPr>
            <w:r w:rsidRPr="00300A2C">
              <w:rPr>
                <w:rFonts w:ascii="Palatino Linotype" w:hAnsi="Palatino Linotype"/>
                <w:b/>
                <w:sz w:val="24"/>
                <w:szCs w:val="24"/>
                <w:lang w:val="es-ES" w:eastAsia="es-ES"/>
              </w:rPr>
              <w:t>Contenido</w:t>
            </w:r>
          </w:p>
        </w:tc>
      </w:tr>
      <w:tr w:rsidR="008C4B2D" w:rsidRPr="00300A2C" w14:paraId="08C3233D" w14:textId="77777777" w:rsidTr="008C4B2D">
        <w:trPr>
          <w:trHeight w:val="792"/>
        </w:trPr>
        <w:tc>
          <w:tcPr>
            <w:tcW w:w="2972" w:type="dxa"/>
            <w:vAlign w:val="center"/>
          </w:tcPr>
          <w:p w14:paraId="1839BF45" w14:textId="0A613E83" w:rsidR="008C4B2D" w:rsidRPr="00300A2C" w:rsidRDefault="00DD541F" w:rsidP="008C4B2D">
            <w:pPr>
              <w:spacing w:line="360" w:lineRule="auto"/>
              <w:jc w:val="center"/>
              <w:rPr>
                <w:rFonts w:ascii="Palatino Linotype" w:hAnsi="Palatino Linotype"/>
                <w:lang w:val="es-ES" w:eastAsia="es-ES"/>
              </w:rPr>
            </w:pPr>
            <w:r w:rsidRPr="00300A2C">
              <w:rPr>
                <w:rFonts w:ascii="Palatino Linotype" w:hAnsi="Palatino Linotype" w:cs="Arial"/>
                <w:b/>
                <w:lang w:val="es-ES" w:eastAsia="es-ES"/>
              </w:rPr>
              <w:t>00010/ECATEPEC/IP/2021</w:t>
            </w:r>
          </w:p>
        </w:tc>
        <w:tc>
          <w:tcPr>
            <w:tcW w:w="6034" w:type="dxa"/>
          </w:tcPr>
          <w:p w14:paraId="7A6B7DB9" w14:textId="39DCA9CE" w:rsidR="008C4B2D" w:rsidRPr="00300A2C" w:rsidRDefault="008C4B2D" w:rsidP="008C4B2D">
            <w:pPr>
              <w:spacing w:after="160" w:line="360" w:lineRule="auto"/>
              <w:jc w:val="both"/>
              <w:rPr>
                <w:rFonts w:ascii="Palatino Linotype" w:hAnsi="Palatino Linotype"/>
                <w:i/>
                <w:lang w:val="es-ES" w:eastAsia="es-ES"/>
              </w:rPr>
            </w:pPr>
            <w:r w:rsidRPr="00300A2C">
              <w:rPr>
                <w:rFonts w:ascii="Palatino Linotype" w:hAnsi="Palatino Linotype" w:cs="Arial"/>
                <w:i/>
                <w:lang w:val="es-ES" w:eastAsia="es-ES"/>
              </w:rPr>
              <w:t>“</w:t>
            </w:r>
            <w:r w:rsidR="00DD541F" w:rsidRPr="00300A2C">
              <w:rPr>
                <w:rFonts w:ascii="Palatino Linotype" w:hAnsi="Palatino Linotype" w:cs="Arial"/>
                <w:i/>
                <w:lang w:val="es-ES" w:eastAsia="es-ES"/>
              </w:rPr>
              <w:t xml:space="preserve">Solicito mediante el sistema denominado SAIMEX en copia simple del contrato con numeral MEM-DA-DSPyT-AD-RP-05-04-2020 del comité de adquisiciones, así como copia de las facturas </w:t>
            </w:r>
            <w:r w:rsidR="00DD541F" w:rsidRPr="00300A2C">
              <w:rPr>
                <w:rFonts w:ascii="Palatino Linotype" w:hAnsi="Palatino Linotype" w:cs="Arial"/>
                <w:i/>
                <w:lang w:val="es-ES" w:eastAsia="es-ES"/>
              </w:rPr>
              <w:lastRenderedPageBreak/>
              <w:t>generadas sobre este mismo contrato en tesorería y/o administración.</w:t>
            </w:r>
            <w:r w:rsidRPr="00300A2C">
              <w:rPr>
                <w:rFonts w:ascii="Palatino Linotype" w:hAnsi="Palatino Linotype" w:cs="Arial"/>
                <w:i/>
                <w:lang w:val="es-ES" w:eastAsia="es-ES"/>
              </w:rPr>
              <w:t>”</w:t>
            </w:r>
          </w:p>
        </w:tc>
      </w:tr>
    </w:tbl>
    <w:p w14:paraId="621AAB6E" w14:textId="23A90E59" w:rsidR="00200BFC" w:rsidRPr="00300A2C" w:rsidRDefault="00200BFC" w:rsidP="00770063">
      <w:pPr>
        <w:tabs>
          <w:tab w:val="left" w:pos="851"/>
        </w:tabs>
        <w:ind w:right="901"/>
        <w:jc w:val="both"/>
        <w:rPr>
          <w:rFonts w:ascii="Palatino Linotype" w:eastAsia="MS Mincho" w:hAnsi="Palatino Linotype" w:cs="Arial"/>
          <w:i/>
        </w:rPr>
      </w:pPr>
    </w:p>
    <w:p w14:paraId="27983EAE" w14:textId="77777777" w:rsidR="00D41CFB" w:rsidRPr="00300A2C" w:rsidRDefault="00D41CFB" w:rsidP="00770063">
      <w:pPr>
        <w:tabs>
          <w:tab w:val="left" w:pos="851"/>
        </w:tabs>
        <w:ind w:right="901"/>
        <w:jc w:val="both"/>
        <w:rPr>
          <w:rFonts w:ascii="Palatino Linotype" w:eastAsia="MS Mincho" w:hAnsi="Palatino Linotype" w:cs="Arial"/>
          <w:i/>
        </w:rPr>
      </w:pPr>
    </w:p>
    <w:p w14:paraId="342F7C72" w14:textId="1244A2FE" w:rsidR="00200BFC" w:rsidRPr="00300A2C" w:rsidRDefault="00200BFC" w:rsidP="00200BFC">
      <w:pPr>
        <w:spacing w:line="360" w:lineRule="auto"/>
        <w:jc w:val="both"/>
        <w:rPr>
          <w:rFonts w:ascii="Palatino Linotype" w:hAnsi="Palatino Linotype" w:cs="Arial"/>
          <w:b/>
        </w:rPr>
      </w:pPr>
      <w:r w:rsidRPr="00300A2C">
        <w:rPr>
          <w:rFonts w:ascii="Palatino Linotype" w:hAnsi="Palatino Linotype" w:cs="Arial"/>
          <w:b/>
        </w:rPr>
        <w:t>MODALIDAD DE ENTREGA:</w:t>
      </w:r>
      <w:r w:rsidRPr="00300A2C">
        <w:rPr>
          <w:rFonts w:ascii="Palatino Linotype" w:hAnsi="Palatino Linotype" w:cs="Arial"/>
        </w:rPr>
        <w:t xml:space="preserve"> </w:t>
      </w:r>
      <w:r w:rsidR="00DD541F" w:rsidRPr="00300A2C">
        <w:rPr>
          <w:rFonts w:ascii="Palatino Linotype" w:hAnsi="Palatino Linotype" w:cs="Arial"/>
          <w:b/>
        </w:rPr>
        <w:t>SAIMEX</w:t>
      </w:r>
      <w:r w:rsidR="00923E33" w:rsidRPr="00300A2C">
        <w:rPr>
          <w:rFonts w:ascii="Palatino Linotype" w:hAnsi="Palatino Linotype" w:cs="Arial"/>
          <w:b/>
        </w:rPr>
        <w:t>.</w:t>
      </w:r>
    </w:p>
    <w:p w14:paraId="6078F4AA" w14:textId="77777777" w:rsidR="00FA3875" w:rsidRPr="00300A2C" w:rsidRDefault="00FA3875" w:rsidP="00200BFC">
      <w:pPr>
        <w:spacing w:line="360" w:lineRule="auto"/>
        <w:jc w:val="both"/>
        <w:rPr>
          <w:rFonts w:ascii="Palatino Linotype" w:hAnsi="Palatino Linotype" w:cs="Arial"/>
          <w:b/>
        </w:rPr>
      </w:pPr>
    </w:p>
    <w:p w14:paraId="28996A6F" w14:textId="5E69031A" w:rsidR="00DD541F" w:rsidRPr="00300A2C" w:rsidRDefault="004463D6" w:rsidP="00DD541F">
      <w:pPr>
        <w:tabs>
          <w:tab w:val="left" w:pos="426"/>
        </w:tabs>
        <w:spacing w:before="100" w:beforeAutospacing="1" w:after="100" w:afterAutospacing="1" w:line="360" w:lineRule="auto"/>
        <w:contextualSpacing/>
        <w:jc w:val="both"/>
        <w:rPr>
          <w:rFonts w:ascii="Palatino Linotype" w:hAnsi="Palatino Linotype" w:cs="Arial"/>
          <w:bCs/>
        </w:rPr>
      </w:pPr>
      <w:r w:rsidRPr="00300A2C">
        <w:rPr>
          <w:rFonts w:ascii="Palatino Linotype" w:hAnsi="Palatino Linotype"/>
          <w:b/>
          <w:sz w:val="28"/>
        </w:rPr>
        <w:t>I</w:t>
      </w:r>
      <w:r w:rsidR="00200BFC" w:rsidRPr="00300A2C">
        <w:rPr>
          <w:rFonts w:ascii="Palatino Linotype" w:hAnsi="Palatino Linotype"/>
          <w:b/>
          <w:sz w:val="28"/>
        </w:rPr>
        <w:t>I</w:t>
      </w:r>
      <w:r w:rsidR="00200BFC" w:rsidRPr="00300A2C">
        <w:rPr>
          <w:rFonts w:ascii="Palatino Linotype" w:hAnsi="Palatino Linotype"/>
          <w:b/>
        </w:rPr>
        <w:t>.</w:t>
      </w:r>
      <w:r w:rsidR="007F1457" w:rsidRPr="00300A2C">
        <w:rPr>
          <w:rFonts w:ascii="Palatino Linotype" w:hAnsi="Palatino Linotype"/>
        </w:rPr>
        <w:t xml:space="preserve"> </w:t>
      </w:r>
      <w:r w:rsidR="00DD541F" w:rsidRPr="00300A2C">
        <w:rPr>
          <w:rFonts w:ascii="Palatino Linotype" w:hAnsi="Palatino Linotype"/>
        </w:rPr>
        <w:t xml:space="preserve">Por su parte </w:t>
      </w:r>
      <w:r w:rsidR="00DD541F" w:rsidRPr="00300A2C">
        <w:rPr>
          <w:rFonts w:ascii="Palatino Linotype" w:hAnsi="Palatino Linotype"/>
          <w:b/>
        </w:rPr>
        <w:t>EL SUJETO OBLIGADO</w:t>
      </w:r>
      <w:r w:rsidR="00DD541F" w:rsidRPr="00300A2C">
        <w:rPr>
          <w:rFonts w:ascii="Palatino Linotype" w:hAnsi="Palatino Linotype"/>
        </w:rPr>
        <w:t xml:space="preserve"> en fecha diez de marzo de dos mil veintiuno, solicitó la Servidora Pública Habilitada la información requerida en la solicitud de acceso a la información, </w:t>
      </w:r>
      <w:r w:rsidR="00DD541F" w:rsidRPr="00300A2C">
        <w:rPr>
          <w:rFonts w:ascii="Palatino Linotype" w:hAnsi="Palatino Linotype" w:cs="Arial"/>
          <w:bCs/>
        </w:rPr>
        <w:t>tal como se desprende de la siguiente imagen:</w:t>
      </w:r>
    </w:p>
    <w:p w14:paraId="7DA8D9E1" w14:textId="77777777" w:rsidR="007B6692" w:rsidRPr="00300A2C" w:rsidRDefault="007B6692" w:rsidP="00DD541F">
      <w:pPr>
        <w:tabs>
          <w:tab w:val="left" w:pos="426"/>
        </w:tabs>
        <w:spacing w:before="100" w:beforeAutospacing="1" w:after="100" w:afterAutospacing="1" w:line="360" w:lineRule="auto"/>
        <w:contextualSpacing/>
        <w:jc w:val="both"/>
        <w:rPr>
          <w:rFonts w:ascii="Palatino Linotype" w:hAnsi="Palatino Linotype" w:cs="Arial"/>
        </w:rPr>
      </w:pPr>
    </w:p>
    <w:p w14:paraId="2094E2BE" w14:textId="60BA1A1F" w:rsidR="00DD541F" w:rsidRPr="00300A2C" w:rsidRDefault="00DD541F" w:rsidP="00DD541F">
      <w:pPr>
        <w:spacing w:line="360" w:lineRule="auto"/>
        <w:jc w:val="both"/>
        <w:rPr>
          <w:rFonts w:ascii="Palatino Linotype" w:hAnsi="Palatino Linotype"/>
        </w:rPr>
      </w:pPr>
      <w:r w:rsidRPr="00300A2C">
        <w:rPr>
          <w:noProof/>
          <w:lang w:eastAsia="es-MX"/>
        </w:rPr>
        <w:drawing>
          <wp:inline distT="0" distB="0" distL="0" distR="0" wp14:anchorId="5E88F30C" wp14:editId="625DFCB8">
            <wp:extent cx="5268036" cy="9212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94" t="31416" r="4440" b="40307"/>
                    <a:stretch/>
                  </pic:blipFill>
                  <pic:spPr bwMode="auto">
                    <a:xfrm>
                      <a:off x="0" y="0"/>
                      <a:ext cx="5268579" cy="9213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CB5244" w14:textId="51BB79FC" w:rsidR="00DD541F" w:rsidRPr="00300A2C" w:rsidRDefault="00DD541F" w:rsidP="00DD541F">
      <w:pPr>
        <w:tabs>
          <w:tab w:val="left" w:pos="1582"/>
        </w:tabs>
        <w:spacing w:line="360" w:lineRule="auto"/>
        <w:jc w:val="both"/>
        <w:rPr>
          <w:rFonts w:ascii="Palatino Linotype" w:hAnsi="Palatino Linotype"/>
        </w:rPr>
      </w:pPr>
      <w:r w:rsidRPr="00300A2C">
        <w:rPr>
          <w:rFonts w:ascii="Palatino Linotype" w:hAnsi="Palatino Linotype"/>
        </w:rPr>
        <w:t xml:space="preserve">Cabe precisar que de una revisión a la página de IPOMEX del </w:t>
      </w:r>
      <w:r w:rsidRPr="00300A2C">
        <w:rPr>
          <w:rFonts w:ascii="Palatino Linotype" w:hAnsi="Palatino Linotype"/>
          <w:b/>
        </w:rPr>
        <w:t>SUJETO OBLIGADO</w:t>
      </w:r>
      <w:r w:rsidRPr="00300A2C">
        <w:rPr>
          <w:rFonts w:ascii="Palatino Linotype" w:hAnsi="Palatino Linotype"/>
        </w:rPr>
        <w:t xml:space="preserve"> </w:t>
      </w:r>
      <w:r w:rsidR="000A442F" w:rsidRPr="00300A2C">
        <w:rPr>
          <w:rFonts w:ascii="Palatino Linotype" w:hAnsi="Palatino Linotype"/>
        </w:rPr>
        <w:t xml:space="preserve">no </w:t>
      </w:r>
      <w:r w:rsidRPr="00300A2C">
        <w:rPr>
          <w:rFonts w:ascii="Palatino Linotype" w:hAnsi="Palatino Linotype"/>
        </w:rPr>
        <w:t xml:space="preserve">se encontró registro </w:t>
      </w:r>
      <w:r w:rsidR="000A442F" w:rsidRPr="00300A2C">
        <w:rPr>
          <w:rFonts w:ascii="Palatino Linotype" w:hAnsi="Palatino Linotype"/>
        </w:rPr>
        <w:t>de la servidora pública</w:t>
      </w:r>
      <w:r w:rsidR="007B6692" w:rsidRPr="00300A2C">
        <w:rPr>
          <w:rFonts w:ascii="Palatino Linotype" w:hAnsi="Palatino Linotype"/>
        </w:rPr>
        <w:t>,</w:t>
      </w:r>
      <w:r w:rsidR="000A442F" w:rsidRPr="00300A2C">
        <w:rPr>
          <w:rFonts w:ascii="Palatino Linotype" w:hAnsi="Palatino Linotype"/>
        </w:rPr>
        <w:t xml:space="preserve"> por lo que no se conoce el cargo que ostenta.</w:t>
      </w:r>
    </w:p>
    <w:p w14:paraId="6E2D9EDF" w14:textId="77777777" w:rsidR="00DD541F" w:rsidRPr="00300A2C" w:rsidRDefault="00DD541F" w:rsidP="0011603D">
      <w:pPr>
        <w:tabs>
          <w:tab w:val="left" w:pos="426"/>
        </w:tabs>
        <w:spacing w:before="100" w:beforeAutospacing="1" w:after="100" w:afterAutospacing="1" w:line="360" w:lineRule="auto"/>
        <w:contextualSpacing/>
        <w:jc w:val="both"/>
        <w:rPr>
          <w:rFonts w:ascii="Palatino Linotype" w:hAnsi="Palatino Linotype"/>
        </w:rPr>
      </w:pPr>
    </w:p>
    <w:p w14:paraId="1FB9A04A" w14:textId="258738D2" w:rsidR="00200BFC" w:rsidRPr="00300A2C" w:rsidRDefault="000A442F" w:rsidP="0011603D">
      <w:pPr>
        <w:tabs>
          <w:tab w:val="left" w:pos="426"/>
        </w:tabs>
        <w:spacing w:before="100" w:beforeAutospacing="1" w:after="100" w:afterAutospacing="1" w:line="360" w:lineRule="auto"/>
        <w:contextualSpacing/>
        <w:jc w:val="both"/>
        <w:rPr>
          <w:rFonts w:ascii="Palatino Linotype" w:hAnsi="Palatino Linotype"/>
          <w:color w:val="000000"/>
        </w:rPr>
      </w:pPr>
      <w:r w:rsidRPr="00300A2C">
        <w:rPr>
          <w:rFonts w:ascii="Palatino Linotype" w:hAnsi="Palatino Linotype"/>
          <w:b/>
          <w:sz w:val="28"/>
          <w:szCs w:val="28"/>
        </w:rPr>
        <w:t>III.</w:t>
      </w:r>
      <w:r w:rsidRPr="00300A2C">
        <w:rPr>
          <w:rFonts w:ascii="Palatino Linotype" w:hAnsi="Palatino Linotype"/>
        </w:rPr>
        <w:t xml:space="preserve"> </w:t>
      </w:r>
      <w:r w:rsidR="0011603D" w:rsidRPr="00300A2C">
        <w:rPr>
          <w:rFonts w:ascii="Palatino Linotype" w:hAnsi="Palatino Linotype"/>
        </w:rPr>
        <w:t>E</w:t>
      </w:r>
      <w:r w:rsidR="007940E5" w:rsidRPr="00300A2C">
        <w:rPr>
          <w:rFonts w:ascii="Palatino Linotype" w:hAnsi="Palatino Linotype" w:cs="Arial"/>
        </w:rPr>
        <w:t xml:space="preserve">n fecha </w:t>
      </w:r>
      <w:r w:rsidR="00B977C3" w:rsidRPr="00300A2C">
        <w:rPr>
          <w:rFonts w:ascii="Palatino Linotype" w:hAnsi="Palatino Linotype" w:cs="Arial"/>
        </w:rPr>
        <w:t>once</w:t>
      </w:r>
      <w:r w:rsidR="00941928" w:rsidRPr="00300A2C">
        <w:rPr>
          <w:rFonts w:ascii="Palatino Linotype" w:hAnsi="Palatino Linotype" w:cs="Arial"/>
        </w:rPr>
        <w:t xml:space="preserve"> </w:t>
      </w:r>
      <w:r w:rsidR="00913D16" w:rsidRPr="00300A2C">
        <w:rPr>
          <w:rFonts w:ascii="Palatino Linotype" w:hAnsi="Palatino Linotype" w:cs="Arial"/>
        </w:rPr>
        <w:t xml:space="preserve">de </w:t>
      </w:r>
      <w:r w:rsidR="00B977C3" w:rsidRPr="00300A2C">
        <w:rPr>
          <w:rFonts w:ascii="Palatino Linotype" w:hAnsi="Palatino Linotype" w:cs="Arial"/>
        </w:rPr>
        <w:t>marzo</w:t>
      </w:r>
      <w:r w:rsidR="00754D17" w:rsidRPr="00300A2C">
        <w:rPr>
          <w:rFonts w:ascii="Palatino Linotype" w:hAnsi="Palatino Linotype" w:cs="Arial"/>
        </w:rPr>
        <w:t xml:space="preserve"> de</w:t>
      </w:r>
      <w:r w:rsidR="003E7169" w:rsidRPr="00300A2C">
        <w:rPr>
          <w:rFonts w:ascii="Palatino Linotype" w:hAnsi="Palatino Linotype" w:cs="Arial"/>
        </w:rPr>
        <w:t xml:space="preserve"> dos mil</w:t>
      </w:r>
      <w:r w:rsidR="00754D17" w:rsidRPr="00300A2C">
        <w:rPr>
          <w:rFonts w:ascii="Palatino Linotype" w:hAnsi="Palatino Linotype" w:cs="Arial"/>
        </w:rPr>
        <w:t xml:space="preserve"> veint</w:t>
      </w:r>
      <w:r w:rsidR="0011603D" w:rsidRPr="00300A2C">
        <w:rPr>
          <w:rFonts w:ascii="Palatino Linotype" w:hAnsi="Palatino Linotype" w:cs="Arial"/>
        </w:rPr>
        <w:t>iuno</w:t>
      </w:r>
      <w:r w:rsidR="003E7169" w:rsidRPr="00300A2C">
        <w:rPr>
          <w:rFonts w:ascii="Palatino Linotype" w:hAnsi="Palatino Linotype" w:cs="Arial"/>
        </w:rPr>
        <w:t xml:space="preserve">, </w:t>
      </w:r>
      <w:r w:rsidR="003E7169" w:rsidRPr="00300A2C">
        <w:rPr>
          <w:rFonts w:ascii="Palatino Linotype" w:hAnsi="Palatino Linotype"/>
          <w:color w:val="000000"/>
        </w:rPr>
        <w:t xml:space="preserve">el </w:t>
      </w:r>
      <w:r w:rsidR="003E7169" w:rsidRPr="00300A2C">
        <w:rPr>
          <w:rFonts w:ascii="Palatino Linotype" w:hAnsi="Palatino Linotype"/>
          <w:b/>
          <w:color w:val="000000"/>
        </w:rPr>
        <w:t>SUJETO OBLIGADO</w:t>
      </w:r>
      <w:r w:rsidR="003E7169" w:rsidRPr="00300A2C">
        <w:rPr>
          <w:rFonts w:ascii="Palatino Linotype" w:hAnsi="Palatino Linotype"/>
          <w:color w:val="000000"/>
        </w:rPr>
        <w:t xml:space="preserve"> dio respuesta a la solicitud de información en los siguientes términos:</w:t>
      </w:r>
    </w:p>
    <w:p w14:paraId="7DA89BF2" w14:textId="0CB0893A" w:rsidR="00754D17" w:rsidRPr="00300A2C" w:rsidRDefault="00754D17" w:rsidP="007940E5">
      <w:pPr>
        <w:ind w:right="901"/>
        <w:rPr>
          <w:rFonts w:ascii="Palatino Linotype" w:hAnsi="Palatino Linotype" w:cs="Arial"/>
          <w:i/>
        </w:rPr>
      </w:pPr>
    </w:p>
    <w:p w14:paraId="6F06D51A" w14:textId="77777777" w:rsidR="000A442F" w:rsidRPr="00300A2C" w:rsidRDefault="00FD3603" w:rsidP="000A442F">
      <w:pPr>
        <w:ind w:left="850" w:right="901"/>
        <w:jc w:val="right"/>
        <w:rPr>
          <w:rFonts w:ascii="Palatino Linotype" w:hAnsi="Palatino Linotype" w:cs="Arial"/>
          <w:i/>
          <w:sz w:val="22"/>
          <w:szCs w:val="22"/>
        </w:rPr>
      </w:pPr>
      <w:r w:rsidRPr="00300A2C">
        <w:rPr>
          <w:rFonts w:ascii="Palatino Linotype" w:hAnsi="Palatino Linotype" w:cs="Arial"/>
          <w:i/>
          <w:sz w:val="22"/>
          <w:szCs w:val="22"/>
        </w:rPr>
        <w:t>“</w:t>
      </w:r>
      <w:r w:rsidR="000A442F" w:rsidRPr="00300A2C">
        <w:rPr>
          <w:rFonts w:ascii="Palatino Linotype" w:hAnsi="Palatino Linotype" w:cs="Arial"/>
          <w:i/>
          <w:sz w:val="22"/>
          <w:szCs w:val="22"/>
        </w:rPr>
        <w:t>Folio de la solicitud: 00010/ECATEPEC/IP/2021</w:t>
      </w:r>
    </w:p>
    <w:p w14:paraId="742A3B41" w14:textId="77777777" w:rsidR="000A442F" w:rsidRPr="00300A2C" w:rsidRDefault="000A442F" w:rsidP="000A442F">
      <w:pPr>
        <w:ind w:left="850" w:right="901"/>
        <w:jc w:val="both"/>
        <w:rPr>
          <w:rFonts w:ascii="Palatino Linotype" w:hAnsi="Palatino Linotype" w:cs="Arial"/>
          <w:i/>
          <w:sz w:val="22"/>
          <w:szCs w:val="22"/>
        </w:rPr>
      </w:pPr>
      <w:r w:rsidRPr="00300A2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3033B6" w14:textId="77777777" w:rsidR="000A442F" w:rsidRPr="00300A2C" w:rsidRDefault="000A442F" w:rsidP="000A442F">
      <w:pPr>
        <w:ind w:left="850" w:right="901"/>
        <w:jc w:val="both"/>
        <w:rPr>
          <w:rFonts w:ascii="Palatino Linotype" w:hAnsi="Palatino Linotype" w:cs="Arial"/>
          <w:i/>
          <w:sz w:val="22"/>
          <w:szCs w:val="22"/>
        </w:rPr>
      </w:pPr>
      <w:r w:rsidRPr="00300A2C">
        <w:rPr>
          <w:rFonts w:ascii="Palatino Linotype" w:hAnsi="Palatino Linotype" w:cs="Arial"/>
          <w:i/>
          <w:sz w:val="22"/>
          <w:szCs w:val="22"/>
        </w:rPr>
        <w:t xml:space="preserve">El H. Ayuntamiento Constitucional de Ecatepec de Morelos hace de su conocimiento las respuestas emitidas por: </w:t>
      </w:r>
      <w:r w:rsidRPr="00300A2C">
        <w:rPr>
          <w:rFonts w:ascii="Palatino Linotype" w:hAnsi="Palatino Linotype" w:cs="Arial"/>
          <w:i/>
          <w:sz w:val="22"/>
          <w:szCs w:val="22"/>
        </w:rPr>
        <w:t> DIRECCIÓN DE ADMINISTRACIÓN. Se anexa al presente en formato PDF respuesta emitida por el área antes mencionada.</w:t>
      </w:r>
    </w:p>
    <w:p w14:paraId="3B3C93C6" w14:textId="77777777" w:rsidR="000A442F" w:rsidRPr="00300A2C" w:rsidRDefault="000A442F" w:rsidP="000A442F">
      <w:pPr>
        <w:ind w:left="850" w:right="901"/>
        <w:jc w:val="both"/>
        <w:rPr>
          <w:rFonts w:ascii="Palatino Linotype" w:hAnsi="Palatino Linotype" w:cs="Arial"/>
          <w:i/>
          <w:sz w:val="22"/>
          <w:szCs w:val="22"/>
        </w:rPr>
      </w:pPr>
      <w:r w:rsidRPr="00300A2C">
        <w:rPr>
          <w:rFonts w:ascii="Palatino Linotype" w:hAnsi="Palatino Linotype" w:cs="Arial"/>
          <w:i/>
          <w:sz w:val="22"/>
          <w:szCs w:val="22"/>
        </w:rPr>
        <w:t>ATENTAMENTE</w:t>
      </w:r>
    </w:p>
    <w:p w14:paraId="4E43E25B" w14:textId="1DFDF7C9" w:rsidR="00754D17" w:rsidRPr="00300A2C" w:rsidRDefault="000A442F" w:rsidP="000A442F">
      <w:pPr>
        <w:ind w:left="850" w:right="901"/>
        <w:jc w:val="both"/>
        <w:rPr>
          <w:rFonts w:ascii="Palatino Linotype" w:hAnsi="Palatino Linotype" w:cs="Arial"/>
          <w:i/>
          <w:sz w:val="22"/>
          <w:szCs w:val="22"/>
        </w:rPr>
      </w:pPr>
      <w:r w:rsidRPr="00300A2C">
        <w:rPr>
          <w:rFonts w:ascii="Palatino Linotype" w:hAnsi="Palatino Linotype" w:cs="Arial"/>
          <w:i/>
          <w:sz w:val="22"/>
          <w:szCs w:val="22"/>
        </w:rPr>
        <w:t>Lic. Brianda Eunice Iberri Estrada</w:t>
      </w:r>
      <w:r w:rsidR="00754D17" w:rsidRPr="00300A2C">
        <w:rPr>
          <w:rFonts w:ascii="Palatino Linotype" w:hAnsi="Palatino Linotype" w:cs="Arial"/>
          <w:i/>
          <w:sz w:val="22"/>
          <w:szCs w:val="22"/>
        </w:rPr>
        <w:t>”</w:t>
      </w:r>
      <w:r w:rsidR="007940E5" w:rsidRPr="00300A2C">
        <w:rPr>
          <w:rFonts w:ascii="Palatino Linotype" w:hAnsi="Palatino Linotype" w:cs="Arial"/>
          <w:i/>
          <w:sz w:val="22"/>
          <w:szCs w:val="22"/>
        </w:rPr>
        <w:t xml:space="preserve"> (sic)</w:t>
      </w:r>
    </w:p>
    <w:p w14:paraId="47177984" w14:textId="77777777" w:rsidR="00592B42" w:rsidRPr="00300A2C" w:rsidRDefault="00592B42" w:rsidP="000A442F">
      <w:pPr>
        <w:ind w:right="901"/>
        <w:jc w:val="both"/>
        <w:rPr>
          <w:rFonts w:ascii="Palatino Linotype" w:hAnsi="Palatino Linotype" w:cs="Arial"/>
          <w:i/>
          <w:sz w:val="22"/>
          <w:szCs w:val="22"/>
        </w:rPr>
      </w:pPr>
    </w:p>
    <w:p w14:paraId="6A9DAAB9" w14:textId="553E2740" w:rsidR="00592B42" w:rsidRPr="00300A2C" w:rsidRDefault="00592B42" w:rsidP="000A442F">
      <w:pPr>
        <w:spacing w:line="360" w:lineRule="auto"/>
        <w:ind w:right="49"/>
        <w:jc w:val="both"/>
        <w:rPr>
          <w:rFonts w:ascii="Palatino Linotype" w:hAnsi="Palatino Linotype" w:cs="Arial"/>
        </w:rPr>
      </w:pPr>
      <w:r w:rsidRPr="00300A2C">
        <w:rPr>
          <w:rFonts w:ascii="Palatino Linotype" w:hAnsi="Palatino Linotype" w:cs="Arial"/>
        </w:rPr>
        <w:t>Cabe hacer mención que la Autoridad adjunt</w:t>
      </w:r>
      <w:r w:rsidR="00941928" w:rsidRPr="00300A2C">
        <w:rPr>
          <w:rFonts w:ascii="Palatino Linotype" w:hAnsi="Palatino Linotype" w:cs="Arial"/>
        </w:rPr>
        <w:t>ó</w:t>
      </w:r>
      <w:r w:rsidRPr="00300A2C">
        <w:rPr>
          <w:rFonts w:ascii="Palatino Linotype" w:hAnsi="Palatino Linotype" w:cs="Arial"/>
        </w:rPr>
        <w:t xml:space="preserve"> un archivo electrónico denominado </w:t>
      </w:r>
      <w:r w:rsidR="000A442F" w:rsidRPr="00300A2C">
        <w:rPr>
          <w:rFonts w:ascii="Palatino Linotype" w:hAnsi="Palatino Linotype" w:cs="Arial"/>
          <w:b/>
          <w:i/>
        </w:rPr>
        <w:t>10-11.pdf</w:t>
      </w:r>
      <w:r w:rsidRPr="00300A2C">
        <w:rPr>
          <w:rFonts w:ascii="Palatino Linotype" w:hAnsi="Palatino Linotype" w:cs="Arial"/>
        </w:rPr>
        <w:t xml:space="preserve">, el cual </w:t>
      </w:r>
      <w:r w:rsidR="000A442F" w:rsidRPr="00300A2C">
        <w:rPr>
          <w:rFonts w:ascii="Palatino Linotype" w:hAnsi="Palatino Linotype" w:cs="Arial"/>
        </w:rPr>
        <w:t>contiene oficio número DA/ECA/SAyL/0075/2021 suscrito por el Subdirector de Adquisiciones y Licitaciones</w:t>
      </w:r>
      <w:r w:rsidR="00737A2C" w:rsidRPr="00300A2C">
        <w:rPr>
          <w:rFonts w:ascii="Palatino Linotype" w:hAnsi="Palatino Linotype" w:cs="Arial"/>
        </w:rPr>
        <w:t>,</w:t>
      </w:r>
      <w:r w:rsidR="00B977C3" w:rsidRPr="00300A2C">
        <w:rPr>
          <w:rFonts w:ascii="Palatino Linotype" w:hAnsi="Palatino Linotype" w:cs="Arial"/>
        </w:rPr>
        <w:t xml:space="preserve"> dirigido a la Titular de la Unidad de Transparencia en la que le informó que después de una búsqueda minuciosa dentro de los archivos y registros con los que cuenta, no se encontró información referente a lo requerido en la solicitud de acceso a la información pública</w:t>
      </w:r>
      <w:r w:rsidRPr="00300A2C">
        <w:rPr>
          <w:rFonts w:ascii="Palatino Linotype" w:hAnsi="Palatino Linotype" w:cs="Arial"/>
        </w:rPr>
        <w:t>.</w:t>
      </w:r>
    </w:p>
    <w:p w14:paraId="1D211A49" w14:textId="41A2DAFC" w:rsidR="003E7169" w:rsidRPr="00300A2C" w:rsidRDefault="003E7169" w:rsidP="00754D17">
      <w:pPr>
        <w:jc w:val="both"/>
        <w:rPr>
          <w:rFonts w:ascii="Palatino Linotype" w:hAnsi="Palatino Linotype" w:cs="Arial"/>
        </w:rPr>
      </w:pPr>
    </w:p>
    <w:p w14:paraId="31BE1913" w14:textId="2DDDE768" w:rsidR="008F4F10" w:rsidRPr="00300A2C" w:rsidRDefault="0011603D" w:rsidP="008F4F10">
      <w:pPr>
        <w:spacing w:line="360" w:lineRule="auto"/>
        <w:jc w:val="both"/>
        <w:rPr>
          <w:rFonts w:ascii="Palatino Linotype" w:hAnsi="Palatino Linotype" w:cs="Arial"/>
          <w:lang w:val="es-ES"/>
        </w:rPr>
      </w:pPr>
      <w:r w:rsidRPr="00300A2C">
        <w:rPr>
          <w:rFonts w:ascii="Palatino Linotype" w:hAnsi="Palatino Linotype" w:cs="Arial"/>
          <w:b/>
          <w:sz w:val="28"/>
          <w:szCs w:val="28"/>
        </w:rPr>
        <w:t>I</w:t>
      </w:r>
      <w:r w:rsidR="00B977C3" w:rsidRPr="00300A2C">
        <w:rPr>
          <w:rFonts w:ascii="Palatino Linotype" w:hAnsi="Palatino Linotype" w:cs="Arial"/>
          <w:b/>
          <w:sz w:val="28"/>
          <w:szCs w:val="28"/>
        </w:rPr>
        <w:t>V</w:t>
      </w:r>
      <w:r w:rsidR="00200BFC" w:rsidRPr="00300A2C">
        <w:rPr>
          <w:rFonts w:ascii="Palatino Linotype" w:hAnsi="Palatino Linotype" w:cs="Arial"/>
          <w:b/>
        </w:rPr>
        <w:t xml:space="preserve">. </w:t>
      </w:r>
      <w:r w:rsidR="00754D17" w:rsidRPr="00300A2C">
        <w:rPr>
          <w:rFonts w:ascii="Palatino Linotype" w:hAnsi="Palatino Linotype" w:cs="Arial"/>
        </w:rPr>
        <w:t>Inconforme por la</w:t>
      </w:r>
      <w:r w:rsidR="00200BFC" w:rsidRPr="00300A2C">
        <w:rPr>
          <w:rFonts w:ascii="Palatino Linotype" w:hAnsi="Palatino Linotype" w:cs="Arial"/>
        </w:rPr>
        <w:t xml:space="preserve"> respuesta</w:t>
      </w:r>
      <w:r w:rsidR="00AC709C" w:rsidRPr="00300A2C">
        <w:rPr>
          <w:rFonts w:ascii="Palatino Linotype" w:hAnsi="Palatino Linotype" w:cs="Arial"/>
        </w:rPr>
        <w:t xml:space="preserve"> del</w:t>
      </w:r>
      <w:r w:rsidR="00AC709C" w:rsidRPr="00300A2C">
        <w:rPr>
          <w:rFonts w:ascii="Palatino Linotype" w:hAnsi="Palatino Linotype" w:cs="Arial"/>
          <w:b/>
        </w:rPr>
        <w:t xml:space="preserve"> SUJETO OBLIGADO</w:t>
      </w:r>
      <w:r w:rsidR="00200BFC" w:rsidRPr="00300A2C">
        <w:rPr>
          <w:rFonts w:ascii="Palatino Linotype" w:hAnsi="Palatino Linotype" w:cs="Arial"/>
        </w:rPr>
        <w:t xml:space="preserve">, el </w:t>
      </w:r>
      <w:bookmarkStart w:id="2" w:name="_Hlk59545062"/>
      <w:r w:rsidR="00B977C3" w:rsidRPr="00300A2C">
        <w:rPr>
          <w:rFonts w:ascii="Palatino Linotype" w:hAnsi="Palatino Linotype" w:cs="Arial"/>
        </w:rPr>
        <w:t>once</w:t>
      </w:r>
      <w:r w:rsidR="006F5BDF" w:rsidRPr="00300A2C">
        <w:rPr>
          <w:rFonts w:ascii="Palatino Linotype" w:hAnsi="Palatino Linotype" w:cs="Arial"/>
        </w:rPr>
        <w:t xml:space="preserve"> </w:t>
      </w:r>
      <w:bookmarkEnd w:id="2"/>
      <w:r w:rsidR="00212E74" w:rsidRPr="00300A2C">
        <w:rPr>
          <w:rFonts w:ascii="Palatino Linotype" w:hAnsi="Palatino Linotype" w:cs="Arial"/>
        </w:rPr>
        <w:t xml:space="preserve">de </w:t>
      </w:r>
      <w:r w:rsidRPr="00300A2C">
        <w:rPr>
          <w:rFonts w:ascii="Palatino Linotype" w:hAnsi="Palatino Linotype" w:cs="Arial"/>
        </w:rPr>
        <w:t>marzo</w:t>
      </w:r>
      <w:r w:rsidR="00200BFC" w:rsidRPr="00300A2C">
        <w:rPr>
          <w:rFonts w:ascii="Palatino Linotype" w:hAnsi="Palatino Linotype" w:cs="Arial"/>
        </w:rPr>
        <w:t xml:space="preserve"> de dos mil veint</w:t>
      </w:r>
      <w:r w:rsidR="00E84EC0" w:rsidRPr="00300A2C">
        <w:rPr>
          <w:rFonts w:ascii="Palatino Linotype" w:hAnsi="Palatino Linotype" w:cs="Arial"/>
        </w:rPr>
        <w:t>iuno</w:t>
      </w:r>
      <w:r w:rsidR="00200BFC" w:rsidRPr="00300A2C">
        <w:rPr>
          <w:rFonts w:ascii="Palatino Linotype" w:hAnsi="Palatino Linotype" w:cs="Arial"/>
        </w:rPr>
        <w:t>,</w:t>
      </w:r>
      <w:r w:rsidR="004633FD" w:rsidRPr="00300A2C">
        <w:rPr>
          <w:rFonts w:ascii="Palatino Linotype" w:hAnsi="Palatino Linotype" w:cs="Arial"/>
        </w:rPr>
        <w:t xml:space="preserve"> </w:t>
      </w:r>
      <w:r w:rsidR="004633FD" w:rsidRPr="00300A2C">
        <w:rPr>
          <w:rFonts w:ascii="Palatino Linotype" w:hAnsi="Palatino Linotype" w:cs="Arial"/>
          <w:b/>
          <w:bCs/>
        </w:rPr>
        <w:t>EL</w:t>
      </w:r>
      <w:r w:rsidR="00200BFC" w:rsidRPr="00300A2C">
        <w:rPr>
          <w:rFonts w:ascii="Palatino Linotype" w:hAnsi="Palatino Linotype" w:cs="Arial"/>
          <w:b/>
        </w:rPr>
        <w:t xml:space="preserve"> RECURRENTE</w:t>
      </w:r>
      <w:r w:rsidR="00200BFC" w:rsidRPr="00300A2C">
        <w:rPr>
          <w:rFonts w:ascii="Palatino Linotype" w:hAnsi="Palatino Linotype" w:cs="Arial"/>
        </w:rPr>
        <w:t xml:space="preserve"> interpuso el recurso de revisión sujeto del presente estudio, el cual fue registrado en </w:t>
      </w:r>
      <w:r w:rsidR="00200BFC" w:rsidRPr="00300A2C">
        <w:rPr>
          <w:rFonts w:ascii="Palatino Linotype" w:hAnsi="Palatino Linotype" w:cs="Arial"/>
          <w:b/>
        </w:rPr>
        <w:t>EL SAIMEX</w:t>
      </w:r>
      <w:r w:rsidR="00200BFC" w:rsidRPr="00300A2C">
        <w:rPr>
          <w:rFonts w:ascii="Palatino Linotype" w:hAnsi="Palatino Linotype" w:cs="Arial"/>
        </w:rPr>
        <w:t xml:space="preserve"> y se le</w:t>
      </w:r>
      <w:r w:rsidR="003E7169" w:rsidRPr="00300A2C">
        <w:rPr>
          <w:rFonts w:ascii="Palatino Linotype" w:hAnsi="Palatino Linotype" w:cs="Arial"/>
        </w:rPr>
        <w:t xml:space="preserve"> asignó el número de expediente </w:t>
      </w:r>
      <w:r w:rsidR="006F5BDF" w:rsidRPr="00300A2C">
        <w:rPr>
          <w:rFonts w:ascii="Palatino Linotype" w:hAnsi="Palatino Linotype" w:cs="Arial"/>
          <w:b/>
        </w:rPr>
        <w:t>0</w:t>
      </w:r>
      <w:r w:rsidR="00B977C3" w:rsidRPr="00300A2C">
        <w:rPr>
          <w:rFonts w:ascii="Palatino Linotype" w:hAnsi="Palatino Linotype" w:cs="Arial"/>
          <w:b/>
        </w:rPr>
        <w:t>1</w:t>
      </w:r>
      <w:r w:rsidR="00E84EC0" w:rsidRPr="00300A2C">
        <w:rPr>
          <w:rFonts w:ascii="Palatino Linotype" w:hAnsi="Palatino Linotype" w:cs="Arial"/>
          <w:b/>
        </w:rPr>
        <w:t>0</w:t>
      </w:r>
      <w:r w:rsidRPr="00300A2C">
        <w:rPr>
          <w:rFonts w:ascii="Palatino Linotype" w:hAnsi="Palatino Linotype" w:cs="Arial"/>
          <w:b/>
        </w:rPr>
        <w:t>82</w:t>
      </w:r>
      <w:r w:rsidR="006F5BDF" w:rsidRPr="00300A2C">
        <w:rPr>
          <w:rFonts w:ascii="Palatino Linotype" w:hAnsi="Palatino Linotype" w:cs="Arial"/>
          <w:b/>
        </w:rPr>
        <w:t>/INFOEM/IP/RR/202</w:t>
      </w:r>
      <w:r w:rsidR="00E84EC0" w:rsidRPr="00300A2C">
        <w:rPr>
          <w:rFonts w:ascii="Palatino Linotype" w:hAnsi="Palatino Linotype" w:cs="Arial"/>
          <w:b/>
        </w:rPr>
        <w:t>1</w:t>
      </w:r>
      <w:r w:rsidR="00200BFC" w:rsidRPr="00300A2C">
        <w:rPr>
          <w:rFonts w:ascii="Palatino Linotype" w:hAnsi="Palatino Linotype" w:cs="Arial"/>
          <w:b/>
        </w:rPr>
        <w:t>,</w:t>
      </w:r>
      <w:r w:rsidR="00200BFC" w:rsidRPr="00300A2C">
        <w:rPr>
          <w:rFonts w:ascii="Palatino Linotype" w:hAnsi="Palatino Linotype" w:cs="Arial"/>
        </w:rPr>
        <w:t xml:space="preserve"> </w:t>
      </w:r>
      <w:r w:rsidR="008F4F10" w:rsidRPr="00300A2C">
        <w:rPr>
          <w:rFonts w:ascii="Palatino Linotype" w:hAnsi="Palatino Linotype" w:cs="Arial"/>
          <w:lang w:val="es-ES"/>
        </w:rPr>
        <w:t>en el que señaló como acto impugnado y razones o motivos de inconformidad lo siguiente:</w:t>
      </w:r>
    </w:p>
    <w:p w14:paraId="35035F7E" w14:textId="77777777" w:rsidR="007B6692" w:rsidRPr="00300A2C" w:rsidRDefault="007B6692" w:rsidP="008F4F10">
      <w:pPr>
        <w:spacing w:line="360" w:lineRule="auto"/>
        <w:jc w:val="both"/>
        <w:rPr>
          <w:rFonts w:ascii="Palatino Linotype" w:hAnsi="Palatino Linotype" w:cs="Arial"/>
          <w:lang w:val="es-ES"/>
        </w:rPr>
      </w:pPr>
    </w:p>
    <w:tbl>
      <w:tblPr>
        <w:tblStyle w:val="Tablaconcuadrcula"/>
        <w:tblW w:w="0" w:type="auto"/>
        <w:jc w:val="center"/>
        <w:tblLayout w:type="fixed"/>
        <w:tblLook w:val="04A0" w:firstRow="1" w:lastRow="0" w:firstColumn="1" w:lastColumn="0" w:noHBand="0" w:noVBand="1"/>
      </w:tblPr>
      <w:tblGrid>
        <w:gridCol w:w="2689"/>
        <w:gridCol w:w="2976"/>
        <w:gridCol w:w="3163"/>
      </w:tblGrid>
      <w:tr w:rsidR="008F4F10" w:rsidRPr="00300A2C" w14:paraId="67239A95" w14:textId="77777777" w:rsidTr="00547E5E">
        <w:trPr>
          <w:jc w:val="center"/>
        </w:trPr>
        <w:tc>
          <w:tcPr>
            <w:tcW w:w="2689" w:type="dxa"/>
            <w:shd w:val="clear" w:color="auto" w:fill="000000" w:themeFill="text1"/>
            <w:vAlign w:val="center"/>
          </w:tcPr>
          <w:p w14:paraId="52063A18" w14:textId="77777777" w:rsidR="008F4F10" w:rsidRPr="00300A2C" w:rsidRDefault="008F4F10" w:rsidP="00547E5E">
            <w:pPr>
              <w:jc w:val="center"/>
              <w:rPr>
                <w:rFonts w:ascii="Palatino Linotype" w:hAnsi="Palatino Linotype"/>
                <w:b/>
                <w:sz w:val="24"/>
                <w:szCs w:val="24"/>
              </w:rPr>
            </w:pPr>
            <w:r w:rsidRPr="00300A2C">
              <w:rPr>
                <w:rFonts w:ascii="Palatino Linotype" w:hAnsi="Palatino Linotype"/>
                <w:b/>
                <w:sz w:val="24"/>
                <w:szCs w:val="24"/>
              </w:rPr>
              <w:t>Número de Recurso</w:t>
            </w:r>
          </w:p>
        </w:tc>
        <w:tc>
          <w:tcPr>
            <w:tcW w:w="2976" w:type="dxa"/>
            <w:shd w:val="clear" w:color="auto" w:fill="000000" w:themeFill="text1"/>
            <w:vAlign w:val="center"/>
          </w:tcPr>
          <w:p w14:paraId="53EF7AAB" w14:textId="77777777" w:rsidR="008F4F10" w:rsidRPr="00300A2C" w:rsidRDefault="008F4F10" w:rsidP="00547E5E">
            <w:pPr>
              <w:jc w:val="center"/>
              <w:rPr>
                <w:rFonts w:ascii="Palatino Linotype" w:hAnsi="Palatino Linotype"/>
                <w:b/>
                <w:sz w:val="24"/>
                <w:szCs w:val="24"/>
              </w:rPr>
            </w:pPr>
            <w:r w:rsidRPr="00300A2C">
              <w:rPr>
                <w:rFonts w:ascii="Palatino Linotype" w:hAnsi="Palatino Linotype"/>
                <w:b/>
                <w:sz w:val="24"/>
                <w:szCs w:val="24"/>
              </w:rPr>
              <w:t>Acto Impugnado</w:t>
            </w:r>
          </w:p>
        </w:tc>
        <w:tc>
          <w:tcPr>
            <w:tcW w:w="3163" w:type="dxa"/>
            <w:shd w:val="clear" w:color="auto" w:fill="000000" w:themeFill="text1"/>
            <w:vAlign w:val="center"/>
          </w:tcPr>
          <w:p w14:paraId="2541C4B2" w14:textId="77777777" w:rsidR="008F4F10" w:rsidRPr="00300A2C" w:rsidRDefault="008F4F10" w:rsidP="00547E5E">
            <w:pPr>
              <w:jc w:val="center"/>
              <w:rPr>
                <w:rFonts w:ascii="Palatino Linotype" w:hAnsi="Palatino Linotype"/>
                <w:b/>
                <w:sz w:val="24"/>
                <w:szCs w:val="24"/>
              </w:rPr>
            </w:pPr>
            <w:r w:rsidRPr="00300A2C">
              <w:rPr>
                <w:rFonts w:ascii="Palatino Linotype" w:hAnsi="Palatino Linotype"/>
                <w:b/>
                <w:sz w:val="24"/>
                <w:szCs w:val="24"/>
              </w:rPr>
              <w:t>Razones o motivos de inconformidad</w:t>
            </w:r>
          </w:p>
        </w:tc>
      </w:tr>
      <w:tr w:rsidR="008F4F10" w:rsidRPr="00300A2C" w14:paraId="558315D2" w14:textId="77777777" w:rsidTr="00547E5E">
        <w:trPr>
          <w:trHeight w:val="1384"/>
          <w:jc w:val="center"/>
        </w:trPr>
        <w:tc>
          <w:tcPr>
            <w:tcW w:w="2689" w:type="dxa"/>
          </w:tcPr>
          <w:p w14:paraId="5BEE2FA0" w14:textId="40B5A7EE" w:rsidR="008F4F10" w:rsidRPr="00300A2C" w:rsidRDefault="00E84EC0" w:rsidP="00B977C3">
            <w:pPr>
              <w:rPr>
                <w:rFonts w:ascii="Palatino Linotype" w:hAnsi="Palatino Linotype"/>
                <w:sz w:val="20"/>
                <w:szCs w:val="20"/>
              </w:rPr>
            </w:pPr>
            <w:r w:rsidRPr="00300A2C">
              <w:rPr>
                <w:rFonts w:ascii="Palatino Linotype" w:hAnsi="Palatino Linotype" w:cs="Arial"/>
                <w:b/>
                <w:sz w:val="20"/>
                <w:szCs w:val="20"/>
              </w:rPr>
              <w:t>0</w:t>
            </w:r>
            <w:r w:rsidR="00B977C3" w:rsidRPr="00300A2C">
              <w:rPr>
                <w:rFonts w:ascii="Palatino Linotype" w:hAnsi="Palatino Linotype" w:cs="Arial"/>
                <w:b/>
                <w:sz w:val="20"/>
                <w:szCs w:val="20"/>
              </w:rPr>
              <w:t>1</w:t>
            </w:r>
            <w:r w:rsidRPr="00300A2C">
              <w:rPr>
                <w:rFonts w:ascii="Palatino Linotype" w:hAnsi="Palatino Linotype" w:cs="Arial"/>
                <w:b/>
                <w:sz w:val="20"/>
                <w:szCs w:val="20"/>
              </w:rPr>
              <w:t>0</w:t>
            </w:r>
            <w:r w:rsidR="0011603D" w:rsidRPr="00300A2C">
              <w:rPr>
                <w:rFonts w:ascii="Palatino Linotype" w:hAnsi="Palatino Linotype" w:cs="Arial"/>
                <w:b/>
                <w:sz w:val="20"/>
                <w:szCs w:val="20"/>
              </w:rPr>
              <w:t>82</w:t>
            </w:r>
            <w:r w:rsidRPr="00300A2C">
              <w:rPr>
                <w:rFonts w:ascii="Palatino Linotype" w:hAnsi="Palatino Linotype" w:cs="Arial"/>
                <w:b/>
                <w:sz w:val="20"/>
                <w:szCs w:val="20"/>
              </w:rPr>
              <w:t>/INFOEM/IP/RR/2021</w:t>
            </w:r>
          </w:p>
        </w:tc>
        <w:tc>
          <w:tcPr>
            <w:tcW w:w="2976" w:type="dxa"/>
          </w:tcPr>
          <w:p w14:paraId="57D687BF" w14:textId="619B7C9B" w:rsidR="008F4F10" w:rsidRPr="00300A2C" w:rsidRDefault="008F4F10" w:rsidP="008F4F10">
            <w:pPr>
              <w:tabs>
                <w:tab w:val="left" w:pos="851"/>
              </w:tabs>
              <w:ind w:right="317"/>
              <w:jc w:val="both"/>
              <w:rPr>
                <w:rFonts w:ascii="Palatino Linotype" w:hAnsi="Palatino Linotype" w:cs="Arial"/>
                <w:i/>
              </w:rPr>
            </w:pPr>
            <w:r w:rsidRPr="00300A2C">
              <w:rPr>
                <w:rFonts w:ascii="Palatino Linotype" w:hAnsi="Palatino Linotype" w:cs="Arial"/>
                <w:i/>
              </w:rPr>
              <w:t>“</w:t>
            </w:r>
            <w:r w:rsidR="00B977C3" w:rsidRPr="00300A2C">
              <w:rPr>
                <w:rFonts w:ascii="Palatino Linotype" w:hAnsi="Palatino Linotype" w:cs="Arial"/>
                <w:i/>
              </w:rPr>
              <w:t>EL PRESENTE</w:t>
            </w:r>
            <w:r w:rsidRPr="00300A2C">
              <w:rPr>
                <w:rFonts w:ascii="Palatino Linotype" w:hAnsi="Palatino Linotype" w:cs="Arial"/>
                <w:i/>
              </w:rPr>
              <w:t>” (sic)</w:t>
            </w:r>
          </w:p>
          <w:p w14:paraId="5BA603BC" w14:textId="26564D0C" w:rsidR="008F4F10" w:rsidRPr="00300A2C" w:rsidRDefault="008F4F10" w:rsidP="00547E5E">
            <w:pPr>
              <w:jc w:val="both"/>
              <w:rPr>
                <w:rFonts w:ascii="Palatino Linotype" w:hAnsi="Palatino Linotype"/>
                <w:i/>
              </w:rPr>
            </w:pPr>
          </w:p>
        </w:tc>
        <w:tc>
          <w:tcPr>
            <w:tcW w:w="3163" w:type="dxa"/>
          </w:tcPr>
          <w:p w14:paraId="4A91866A" w14:textId="31F24DD3" w:rsidR="008F4F10" w:rsidRPr="00300A2C" w:rsidRDefault="008F4F10" w:rsidP="008F4F10">
            <w:pPr>
              <w:spacing w:line="360" w:lineRule="auto"/>
              <w:jc w:val="both"/>
              <w:rPr>
                <w:rFonts w:ascii="Palatino Linotype" w:hAnsi="Palatino Linotype" w:cs="Arial"/>
                <w:i/>
              </w:rPr>
            </w:pPr>
            <w:r w:rsidRPr="00300A2C">
              <w:rPr>
                <w:rFonts w:ascii="Palatino Linotype" w:hAnsi="Palatino Linotype"/>
                <w:i/>
                <w:color w:val="000000"/>
              </w:rPr>
              <w:t>“</w:t>
            </w:r>
            <w:r w:rsidR="00B977C3" w:rsidRPr="00300A2C">
              <w:rPr>
                <w:rFonts w:ascii="Palatino Linotype" w:hAnsi="Palatino Linotype"/>
                <w:i/>
                <w:color w:val="000000"/>
              </w:rPr>
              <w:t>EL AYUNTAMIENTO NO ESTÁ ENTREGANDO LA INFORMACIÓN SOLICITADA</w:t>
            </w:r>
            <w:r w:rsidRPr="00300A2C">
              <w:rPr>
                <w:rFonts w:ascii="Palatino Linotype" w:hAnsi="Palatino Linotype"/>
                <w:i/>
                <w:color w:val="000000"/>
              </w:rPr>
              <w:t>” (sic)</w:t>
            </w:r>
          </w:p>
          <w:p w14:paraId="0AEA31BF" w14:textId="31D30FC1" w:rsidR="008F4F10" w:rsidRPr="00300A2C" w:rsidRDefault="008F4F10" w:rsidP="00547E5E">
            <w:pPr>
              <w:jc w:val="both"/>
              <w:rPr>
                <w:rFonts w:ascii="Palatino Linotype" w:hAnsi="Palatino Linotype"/>
                <w:i/>
              </w:rPr>
            </w:pPr>
          </w:p>
        </w:tc>
      </w:tr>
    </w:tbl>
    <w:p w14:paraId="5906C19D" w14:textId="77777777" w:rsidR="00E84EC0" w:rsidRPr="00300A2C" w:rsidRDefault="00E84EC0" w:rsidP="00200BFC">
      <w:pPr>
        <w:spacing w:line="360" w:lineRule="auto"/>
        <w:jc w:val="both"/>
        <w:rPr>
          <w:rFonts w:ascii="Palatino Linotype" w:hAnsi="Palatino Linotype" w:cs="Arial"/>
          <w:b/>
          <w:sz w:val="28"/>
          <w:szCs w:val="28"/>
        </w:rPr>
      </w:pPr>
    </w:p>
    <w:p w14:paraId="7AFA6F77" w14:textId="7202D51B" w:rsidR="00200BFC" w:rsidRPr="00300A2C" w:rsidRDefault="00F862A0" w:rsidP="00200BFC">
      <w:pPr>
        <w:spacing w:line="360" w:lineRule="auto"/>
        <w:jc w:val="both"/>
        <w:rPr>
          <w:rFonts w:ascii="Palatino Linotype" w:hAnsi="Palatino Linotype" w:cs="Arial"/>
        </w:rPr>
      </w:pPr>
      <w:r w:rsidRPr="00300A2C">
        <w:rPr>
          <w:rFonts w:ascii="Palatino Linotype" w:hAnsi="Palatino Linotype" w:cs="Arial"/>
          <w:b/>
          <w:sz w:val="28"/>
          <w:szCs w:val="28"/>
        </w:rPr>
        <w:t>V</w:t>
      </w:r>
      <w:r w:rsidR="00200BFC" w:rsidRPr="00300A2C">
        <w:rPr>
          <w:rFonts w:ascii="Palatino Linotype" w:hAnsi="Palatino Linotype" w:cs="Arial"/>
          <w:b/>
        </w:rPr>
        <w:t xml:space="preserve">. </w:t>
      </w:r>
      <w:r w:rsidR="00200BFC" w:rsidRPr="00300A2C">
        <w:rPr>
          <w:rFonts w:ascii="Palatino Linotype" w:hAnsi="Palatino Linotype" w:cs="Arial"/>
        </w:rPr>
        <w:t>El</w:t>
      </w:r>
      <w:r w:rsidR="004633FD" w:rsidRPr="00300A2C">
        <w:rPr>
          <w:rFonts w:ascii="Palatino Linotype" w:hAnsi="Palatino Linotype" w:cs="Arial"/>
        </w:rPr>
        <w:t xml:space="preserve"> </w:t>
      </w:r>
      <w:r w:rsidR="00B977C3" w:rsidRPr="00300A2C">
        <w:rPr>
          <w:rFonts w:ascii="Palatino Linotype" w:hAnsi="Palatino Linotype" w:cs="Arial"/>
        </w:rPr>
        <w:t>once</w:t>
      </w:r>
      <w:r w:rsidR="006F5BDF" w:rsidRPr="00300A2C">
        <w:rPr>
          <w:rFonts w:ascii="Palatino Linotype" w:hAnsi="Palatino Linotype" w:cs="Arial"/>
        </w:rPr>
        <w:t xml:space="preserve"> </w:t>
      </w:r>
      <w:r w:rsidR="00212E74" w:rsidRPr="00300A2C">
        <w:rPr>
          <w:rFonts w:ascii="Palatino Linotype" w:hAnsi="Palatino Linotype" w:cs="Arial"/>
        </w:rPr>
        <w:t xml:space="preserve">de </w:t>
      </w:r>
      <w:r w:rsidR="006B6E36" w:rsidRPr="00300A2C">
        <w:rPr>
          <w:rFonts w:ascii="Palatino Linotype" w:hAnsi="Palatino Linotype" w:cs="Arial"/>
        </w:rPr>
        <w:t>marzo</w:t>
      </w:r>
      <w:r w:rsidR="00A6763D" w:rsidRPr="00300A2C">
        <w:rPr>
          <w:rFonts w:ascii="Palatino Linotype" w:hAnsi="Palatino Linotype" w:cs="Arial"/>
        </w:rPr>
        <w:t xml:space="preserve"> </w:t>
      </w:r>
      <w:r w:rsidR="00200BFC" w:rsidRPr="00300A2C">
        <w:rPr>
          <w:rFonts w:ascii="Palatino Linotype" w:hAnsi="Palatino Linotype" w:cs="Arial"/>
        </w:rPr>
        <w:t>de dos mil veint</w:t>
      </w:r>
      <w:r w:rsidR="00E84EC0" w:rsidRPr="00300A2C">
        <w:rPr>
          <w:rFonts w:ascii="Palatino Linotype" w:hAnsi="Palatino Linotype" w:cs="Arial"/>
        </w:rPr>
        <w:t>iuno</w:t>
      </w:r>
      <w:r w:rsidR="00200BFC" w:rsidRPr="00300A2C">
        <w:rPr>
          <w:rFonts w:ascii="Palatino Linotype" w:hAnsi="Palatino Linotype" w:cs="Arial"/>
        </w:rPr>
        <w:t xml:space="preserve">, el recurso de que se trata se envió electrónicamente al Instituto de </w:t>
      </w:r>
      <w:r w:rsidR="00200BFC" w:rsidRPr="00300A2C">
        <w:rPr>
          <w:rFonts w:ascii="Palatino Linotype" w:eastAsia="Arial Unicode MS" w:hAnsi="Palatino Linotype" w:cs="Arial"/>
        </w:rPr>
        <w:t>Transparencia</w:t>
      </w:r>
      <w:r w:rsidR="00200BFC" w:rsidRPr="00300A2C">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300A2C">
        <w:rPr>
          <w:rFonts w:ascii="Palatino Linotype" w:hAnsi="Palatino Linotype"/>
        </w:rPr>
        <w:t>Ley de Transparencia y Acceso a la Información Pública del Estado de México y Municipios</w:t>
      </w:r>
      <w:r w:rsidR="00200BFC" w:rsidRPr="00300A2C">
        <w:rPr>
          <w:rFonts w:ascii="Palatino Linotype" w:hAnsi="Palatino Linotype" w:cs="Arial"/>
        </w:rPr>
        <w:t>, se turnó, a través del</w:t>
      </w:r>
      <w:r w:rsidR="00200BFC" w:rsidRPr="00300A2C">
        <w:rPr>
          <w:rFonts w:ascii="Palatino Linotype" w:eastAsia="Arial Unicode MS" w:hAnsi="Palatino Linotype" w:cs="Arial"/>
        </w:rPr>
        <w:t xml:space="preserve"> </w:t>
      </w:r>
      <w:r w:rsidR="00200BFC" w:rsidRPr="00300A2C">
        <w:rPr>
          <w:rFonts w:ascii="Palatino Linotype" w:eastAsia="Arial Unicode MS" w:hAnsi="Palatino Linotype" w:cs="Arial"/>
          <w:b/>
        </w:rPr>
        <w:t>SAIMEX</w:t>
      </w:r>
      <w:r w:rsidR="00200BFC" w:rsidRPr="00300A2C">
        <w:rPr>
          <w:rFonts w:ascii="Palatino Linotype" w:hAnsi="Palatino Linotype"/>
        </w:rPr>
        <w:t xml:space="preserve">, a la </w:t>
      </w:r>
      <w:r w:rsidR="00200BFC" w:rsidRPr="00300A2C">
        <w:rPr>
          <w:rFonts w:ascii="Palatino Linotype" w:hAnsi="Palatino Linotype" w:cs="Arial"/>
        </w:rPr>
        <w:t xml:space="preserve">Comisionada </w:t>
      </w:r>
      <w:r w:rsidR="00200BFC" w:rsidRPr="00300A2C">
        <w:rPr>
          <w:rFonts w:ascii="Palatino Linotype" w:hAnsi="Palatino Linotype" w:cs="Arial"/>
          <w:b/>
        </w:rPr>
        <w:t>EVA ABAID YAPUR</w:t>
      </w:r>
      <w:r w:rsidR="00200BFC" w:rsidRPr="00300A2C">
        <w:rPr>
          <w:rFonts w:ascii="Palatino Linotype" w:hAnsi="Palatino Linotype"/>
        </w:rPr>
        <w:t>,</w:t>
      </w:r>
      <w:r w:rsidR="00200BFC" w:rsidRPr="00300A2C">
        <w:rPr>
          <w:rFonts w:ascii="Palatino Linotype" w:hAnsi="Palatino Linotype" w:cs="Arial"/>
        </w:rPr>
        <w:t xml:space="preserve"> a efecto de decretar su admisión o desechamiento.</w:t>
      </w:r>
    </w:p>
    <w:p w14:paraId="74931326" w14:textId="77777777" w:rsidR="00200BFC" w:rsidRPr="00300A2C" w:rsidRDefault="00200BFC" w:rsidP="00200BFC">
      <w:pPr>
        <w:spacing w:line="360" w:lineRule="auto"/>
        <w:jc w:val="both"/>
        <w:rPr>
          <w:rFonts w:ascii="Palatino Linotype" w:hAnsi="Palatino Linotype" w:cs="Arial"/>
        </w:rPr>
      </w:pPr>
    </w:p>
    <w:p w14:paraId="01EFA607" w14:textId="1F6E9A02" w:rsidR="00200BFC" w:rsidRPr="00300A2C" w:rsidRDefault="00200BFC" w:rsidP="004F3E7D">
      <w:pPr>
        <w:tabs>
          <w:tab w:val="center" w:pos="4252"/>
          <w:tab w:val="right" w:pos="8504"/>
        </w:tabs>
        <w:spacing w:line="360" w:lineRule="auto"/>
        <w:jc w:val="both"/>
        <w:rPr>
          <w:rFonts w:ascii="Palatino Linotype" w:hAnsi="Palatino Linotype" w:cs="Arial"/>
        </w:rPr>
      </w:pPr>
      <w:r w:rsidRPr="00300A2C">
        <w:rPr>
          <w:rFonts w:ascii="Palatino Linotype" w:hAnsi="Palatino Linotype" w:cs="Arial"/>
          <w:b/>
          <w:sz w:val="28"/>
          <w:szCs w:val="28"/>
        </w:rPr>
        <w:t>V</w:t>
      </w:r>
      <w:r w:rsidR="00E84EC0" w:rsidRPr="00300A2C">
        <w:rPr>
          <w:rFonts w:ascii="Palatino Linotype" w:hAnsi="Palatino Linotype" w:cs="Arial"/>
          <w:b/>
          <w:sz w:val="28"/>
          <w:szCs w:val="28"/>
        </w:rPr>
        <w:t>II</w:t>
      </w:r>
      <w:r w:rsidRPr="00300A2C">
        <w:rPr>
          <w:rFonts w:ascii="Palatino Linotype" w:hAnsi="Palatino Linotype" w:cs="Arial"/>
          <w:b/>
        </w:rPr>
        <w:t xml:space="preserve">. </w:t>
      </w:r>
      <w:r w:rsidRPr="00300A2C">
        <w:rPr>
          <w:rFonts w:ascii="Palatino Linotype" w:hAnsi="Palatino Linotype" w:cs="Arial"/>
        </w:rPr>
        <w:t>De las constancias del expediente electrónico del</w:t>
      </w:r>
      <w:r w:rsidRPr="00300A2C">
        <w:rPr>
          <w:rFonts w:ascii="Palatino Linotype" w:hAnsi="Palatino Linotype" w:cs="Arial"/>
          <w:b/>
        </w:rPr>
        <w:t xml:space="preserve"> SAIMEX</w:t>
      </w:r>
      <w:r w:rsidRPr="00300A2C">
        <w:rPr>
          <w:rFonts w:ascii="Palatino Linotype" w:hAnsi="Palatino Linotype" w:cs="Arial"/>
        </w:rPr>
        <w:t xml:space="preserve">, se advierte que en fecha </w:t>
      </w:r>
      <w:r w:rsidR="00B977C3" w:rsidRPr="00300A2C">
        <w:rPr>
          <w:rFonts w:ascii="Palatino Linotype" w:hAnsi="Palatino Linotype" w:cs="Arial"/>
        </w:rPr>
        <w:t>dieciocho</w:t>
      </w:r>
      <w:r w:rsidR="006F5BDF" w:rsidRPr="00300A2C">
        <w:rPr>
          <w:rFonts w:ascii="Palatino Linotype" w:hAnsi="Palatino Linotype" w:cs="Arial"/>
        </w:rPr>
        <w:t xml:space="preserve"> de </w:t>
      </w:r>
      <w:r w:rsidR="006B6E36" w:rsidRPr="00300A2C">
        <w:rPr>
          <w:rFonts w:ascii="Palatino Linotype" w:hAnsi="Palatino Linotype" w:cs="Arial"/>
        </w:rPr>
        <w:t>marzo</w:t>
      </w:r>
      <w:r w:rsidRPr="00300A2C">
        <w:rPr>
          <w:rFonts w:ascii="Palatino Linotype" w:hAnsi="Palatino Linotype" w:cs="Arial"/>
        </w:rPr>
        <w:t xml:space="preserve"> de dos mil veint</w:t>
      </w:r>
      <w:r w:rsidR="00E84EC0" w:rsidRPr="00300A2C">
        <w:rPr>
          <w:rFonts w:ascii="Palatino Linotype" w:hAnsi="Palatino Linotype" w:cs="Arial"/>
        </w:rPr>
        <w:t>iuno</w:t>
      </w:r>
      <w:r w:rsidRPr="00300A2C">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00A2C">
        <w:rPr>
          <w:rFonts w:ascii="Palatino Linotype" w:hAnsi="Palatino Linotype" w:cs="Arial"/>
          <w:b/>
        </w:rPr>
        <w:t xml:space="preserve">EL SUJETO OBLIGADO </w:t>
      </w:r>
      <w:r w:rsidRPr="00300A2C">
        <w:rPr>
          <w:rFonts w:ascii="Palatino Linotype" w:hAnsi="Palatino Linotype" w:cs="Arial"/>
        </w:rPr>
        <w:t>rindiera su</w:t>
      </w:r>
      <w:r w:rsidRPr="00300A2C">
        <w:rPr>
          <w:rFonts w:ascii="Palatino Linotype" w:hAnsi="Palatino Linotype" w:cs="Arial"/>
          <w:b/>
        </w:rPr>
        <w:t xml:space="preserve"> </w:t>
      </w:r>
      <w:r w:rsidRPr="00300A2C">
        <w:rPr>
          <w:rFonts w:ascii="Palatino Linotype" w:hAnsi="Palatino Linotype" w:cs="Arial"/>
        </w:rPr>
        <w:t>Informe Justificado.</w:t>
      </w:r>
    </w:p>
    <w:p w14:paraId="2E6F6C1C" w14:textId="77777777" w:rsidR="006F5BDF" w:rsidRPr="00300A2C" w:rsidRDefault="006F5BDF" w:rsidP="006F5BDF">
      <w:pPr>
        <w:spacing w:line="360" w:lineRule="auto"/>
        <w:jc w:val="both"/>
        <w:rPr>
          <w:rFonts w:ascii="Palatino Linotype" w:hAnsi="Palatino Linotype" w:cs="Arial"/>
        </w:rPr>
      </w:pPr>
    </w:p>
    <w:p w14:paraId="61F07A5D" w14:textId="446C314C" w:rsidR="008F4F10" w:rsidRPr="00300A2C" w:rsidRDefault="006F5BDF" w:rsidP="008F4F10">
      <w:pPr>
        <w:spacing w:line="360" w:lineRule="auto"/>
        <w:jc w:val="both"/>
        <w:rPr>
          <w:rFonts w:ascii="Palatino Linotype" w:eastAsia="Arial Unicode MS" w:hAnsi="Palatino Linotype" w:cs="Arial"/>
          <w:lang w:val="es-ES_tradnl"/>
        </w:rPr>
      </w:pPr>
      <w:r w:rsidRPr="00300A2C">
        <w:rPr>
          <w:rFonts w:ascii="Palatino Linotype" w:eastAsia="Arial Unicode MS" w:hAnsi="Palatino Linotype" w:cs="Arial"/>
          <w:b/>
          <w:sz w:val="28"/>
          <w:szCs w:val="28"/>
        </w:rPr>
        <w:t>VI</w:t>
      </w:r>
      <w:r w:rsidR="00E84EC0" w:rsidRPr="00300A2C">
        <w:rPr>
          <w:rFonts w:ascii="Palatino Linotype" w:eastAsia="Arial Unicode MS" w:hAnsi="Palatino Linotype" w:cs="Arial"/>
          <w:b/>
          <w:sz w:val="28"/>
          <w:szCs w:val="28"/>
        </w:rPr>
        <w:t>II</w:t>
      </w:r>
      <w:r w:rsidRPr="00300A2C">
        <w:rPr>
          <w:rFonts w:ascii="Palatino Linotype" w:eastAsia="Arial Unicode MS" w:hAnsi="Palatino Linotype" w:cs="Arial"/>
          <w:b/>
          <w:sz w:val="28"/>
          <w:szCs w:val="28"/>
        </w:rPr>
        <w:t>.</w:t>
      </w:r>
      <w:r w:rsidRPr="00300A2C">
        <w:rPr>
          <w:rFonts w:ascii="Palatino Linotype" w:eastAsia="Arial Unicode MS" w:hAnsi="Palatino Linotype" w:cs="Arial"/>
          <w:b/>
        </w:rPr>
        <w:t xml:space="preserve"> </w:t>
      </w:r>
      <w:r w:rsidRPr="00300A2C">
        <w:rPr>
          <w:rFonts w:ascii="Palatino Linotype" w:hAnsi="Palatino Linotype" w:cs="Arial"/>
          <w:lang w:val="es-ES"/>
        </w:rPr>
        <w:t>En cumplimiento a lo anterior, de las constancias del expediente electrónico del</w:t>
      </w:r>
      <w:r w:rsidRPr="00300A2C">
        <w:rPr>
          <w:rFonts w:ascii="Palatino Linotype" w:hAnsi="Palatino Linotype" w:cs="Arial"/>
          <w:b/>
          <w:lang w:val="es-ES"/>
        </w:rPr>
        <w:t xml:space="preserve"> SAIMEX</w:t>
      </w:r>
      <w:r w:rsidRPr="00300A2C">
        <w:rPr>
          <w:rFonts w:ascii="Palatino Linotype" w:hAnsi="Palatino Linotype" w:cs="Arial"/>
          <w:lang w:val="es-ES"/>
        </w:rPr>
        <w:t>, se observa que</w:t>
      </w:r>
      <w:r w:rsidRPr="00300A2C">
        <w:rPr>
          <w:rFonts w:ascii="Palatino Linotype" w:hAnsi="Palatino Linotype" w:cs="Arial"/>
          <w:b/>
          <w:lang w:val="es-ES"/>
        </w:rPr>
        <w:t xml:space="preserve"> </w:t>
      </w:r>
      <w:r w:rsidRPr="00300A2C">
        <w:rPr>
          <w:rFonts w:ascii="Palatino Linotype" w:hAnsi="Palatino Linotype" w:cs="Arial"/>
          <w:lang w:val="es-ES"/>
        </w:rPr>
        <w:t xml:space="preserve">el </w:t>
      </w:r>
      <w:r w:rsidRPr="00300A2C">
        <w:rPr>
          <w:rFonts w:ascii="Palatino Linotype" w:hAnsi="Palatino Linotype" w:cs="Arial"/>
          <w:b/>
          <w:lang w:val="es-ES"/>
        </w:rPr>
        <w:t>SUJETO OBLIGADO</w:t>
      </w:r>
      <w:r w:rsidRPr="00300A2C">
        <w:rPr>
          <w:rFonts w:ascii="Palatino Linotype" w:hAnsi="Palatino Linotype" w:cs="Arial"/>
          <w:lang w:val="es-ES"/>
        </w:rPr>
        <w:t xml:space="preserve"> fue omiso e</w:t>
      </w:r>
      <w:r w:rsidR="008F4F10" w:rsidRPr="00300A2C">
        <w:rPr>
          <w:rFonts w:ascii="Palatino Linotype" w:hAnsi="Palatino Linotype" w:cs="Arial"/>
          <w:lang w:val="es-ES"/>
        </w:rPr>
        <w:t>n enviar el Informe Justificado;</w:t>
      </w:r>
      <w:r w:rsidRPr="00300A2C">
        <w:rPr>
          <w:rFonts w:ascii="Palatino Linotype" w:hAnsi="Palatino Linotype" w:cs="Arial"/>
          <w:lang w:val="es-ES"/>
        </w:rPr>
        <w:t xml:space="preserve"> </w:t>
      </w:r>
      <w:r w:rsidR="008F4F10" w:rsidRPr="00300A2C">
        <w:rPr>
          <w:rFonts w:ascii="Palatino Linotype" w:hAnsi="Palatino Linotype" w:cs="Arial"/>
          <w:lang w:val="es-ES"/>
        </w:rPr>
        <w:t>p</w:t>
      </w:r>
      <w:r w:rsidR="008F4F10" w:rsidRPr="00300A2C">
        <w:rPr>
          <w:rFonts w:ascii="Palatino Linotype" w:eastAsia="MS Mincho" w:hAnsi="Palatino Linotype"/>
          <w:noProof/>
          <w:lang w:eastAsia="es-MX"/>
        </w:rPr>
        <w:t xml:space="preserve">or su parte, </w:t>
      </w:r>
      <w:r w:rsidR="008F4F10" w:rsidRPr="00300A2C">
        <w:rPr>
          <w:rFonts w:ascii="Palatino Linotype" w:eastAsia="MS Mincho" w:hAnsi="Palatino Linotype"/>
          <w:b/>
          <w:noProof/>
          <w:lang w:eastAsia="es-MX"/>
        </w:rPr>
        <w:t xml:space="preserve">EL RECURRENTE </w:t>
      </w:r>
      <w:r w:rsidR="008F4F10" w:rsidRPr="00300A2C">
        <w:rPr>
          <w:rFonts w:ascii="Palatino Linotype" w:eastAsia="MS Mincho" w:hAnsi="Palatino Linotype"/>
          <w:noProof/>
          <w:lang w:eastAsia="es-MX"/>
        </w:rPr>
        <w:t>no realizó manifiestación alguna,</w:t>
      </w:r>
      <w:r w:rsidR="008F4F10" w:rsidRPr="00300A2C">
        <w:rPr>
          <w:rFonts w:ascii="Palatino Linotype" w:eastAsia="Arial Unicode MS" w:hAnsi="Palatino Linotype" w:cs="Arial"/>
          <w:lang w:val="es-ES_tradnl"/>
        </w:rPr>
        <w:t xml:space="preserve"> ni presentó pruebas o alegatos que a su derecho convinieran.</w:t>
      </w:r>
    </w:p>
    <w:p w14:paraId="798AD56B" w14:textId="75FC0FA1" w:rsidR="006F5BDF" w:rsidRPr="00300A2C" w:rsidRDefault="006F5BDF" w:rsidP="006F5BDF">
      <w:pPr>
        <w:spacing w:line="360" w:lineRule="auto"/>
        <w:jc w:val="both"/>
        <w:rPr>
          <w:rFonts w:ascii="Palatino Linotype" w:hAnsi="Palatino Linotype" w:cs="Arial"/>
          <w:noProof/>
          <w:lang w:eastAsia="es-MX"/>
        </w:rPr>
      </w:pPr>
    </w:p>
    <w:p w14:paraId="78EE04B1" w14:textId="21A395FD" w:rsidR="004F3E7D" w:rsidRPr="00300A2C" w:rsidRDefault="00655B99" w:rsidP="00423754">
      <w:pPr>
        <w:spacing w:line="360" w:lineRule="auto"/>
        <w:jc w:val="both"/>
        <w:rPr>
          <w:rFonts w:ascii="Palatino Linotype" w:eastAsia="MS Mincho" w:hAnsi="Palatino Linotype"/>
          <w:color w:val="000000"/>
          <w:lang w:val="es-ES_tradnl"/>
        </w:rPr>
      </w:pPr>
      <w:r w:rsidRPr="00300A2C">
        <w:rPr>
          <w:rFonts w:ascii="Palatino Linotype" w:hAnsi="Palatino Linotype"/>
          <w:b/>
          <w:sz w:val="28"/>
        </w:rPr>
        <w:t>I</w:t>
      </w:r>
      <w:r w:rsidR="00E84EC0" w:rsidRPr="00300A2C">
        <w:rPr>
          <w:rFonts w:ascii="Palatino Linotype" w:hAnsi="Palatino Linotype"/>
          <w:b/>
          <w:sz w:val="28"/>
        </w:rPr>
        <w:t>X</w:t>
      </w:r>
      <w:r w:rsidR="00200BFC" w:rsidRPr="00300A2C">
        <w:rPr>
          <w:rFonts w:ascii="Palatino Linotype" w:hAnsi="Palatino Linotype"/>
          <w:b/>
        </w:rPr>
        <w:t xml:space="preserve">. </w:t>
      </w:r>
      <w:r w:rsidRPr="00300A2C">
        <w:rPr>
          <w:rFonts w:ascii="Palatino Linotype" w:hAnsi="Palatino Linotype" w:cs="Arial"/>
        </w:rPr>
        <w:t xml:space="preserve">Transcurrido el plazo señalado en el párrafo anterior y, una vez analizado el estado procesal que guarda el expediente, el </w:t>
      </w:r>
      <w:bookmarkStart w:id="3" w:name="_Hlk59545599"/>
      <w:r w:rsidR="00B977C3" w:rsidRPr="00300A2C">
        <w:rPr>
          <w:rFonts w:ascii="Palatino Linotype" w:hAnsi="Palatino Linotype" w:cs="Arial"/>
        </w:rPr>
        <w:t>seis</w:t>
      </w:r>
      <w:r w:rsidR="000D1187" w:rsidRPr="00300A2C">
        <w:rPr>
          <w:rFonts w:ascii="Palatino Linotype" w:hAnsi="Palatino Linotype" w:cs="Arial"/>
        </w:rPr>
        <w:t xml:space="preserve"> de </w:t>
      </w:r>
      <w:r w:rsidR="00B977C3" w:rsidRPr="00300A2C">
        <w:rPr>
          <w:rFonts w:ascii="Palatino Linotype" w:hAnsi="Palatino Linotype" w:cs="Arial"/>
        </w:rPr>
        <w:t>abril</w:t>
      </w:r>
      <w:r w:rsidR="000D1187" w:rsidRPr="00300A2C">
        <w:rPr>
          <w:rFonts w:ascii="Palatino Linotype" w:hAnsi="Palatino Linotype" w:cs="Arial"/>
        </w:rPr>
        <w:t xml:space="preserve"> de dos mil veintiuno</w:t>
      </w:r>
      <w:bookmarkEnd w:id="3"/>
      <w:r w:rsidRPr="00300A2C">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BE7097" w:rsidRPr="00300A2C">
        <w:rPr>
          <w:rFonts w:ascii="Palatino Linotype" w:eastAsia="MS Mincho" w:hAnsi="Palatino Linotype"/>
          <w:color w:val="000000"/>
          <w:lang w:val="es-ES_tradnl"/>
        </w:rPr>
        <w:t>; y</w:t>
      </w:r>
    </w:p>
    <w:p w14:paraId="2E9054D3" w14:textId="77777777" w:rsidR="00E84EC0" w:rsidRPr="00300A2C" w:rsidRDefault="00E84EC0" w:rsidP="00423754">
      <w:pPr>
        <w:spacing w:line="360" w:lineRule="auto"/>
        <w:jc w:val="both"/>
        <w:rPr>
          <w:rFonts w:ascii="Palatino Linotype" w:eastAsia="MS Mincho" w:hAnsi="Palatino Linotype"/>
          <w:color w:val="000000"/>
          <w:lang w:val="es-ES_tradnl"/>
        </w:rPr>
      </w:pPr>
    </w:p>
    <w:p w14:paraId="1996111C" w14:textId="432E563F" w:rsidR="00770063" w:rsidRPr="00300A2C" w:rsidRDefault="00200BFC" w:rsidP="00770063">
      <w:pPr>
        <w:jc w:val="center"/>
        <w:rPr>
          <w:rFonts w:ascii="Palatino Linotype" w:hAnsi="Palatino Linotype" w:cs="Arial"/>
          <w:b/>
          <w:bCs/>
          <w:spacing w:val="60"/>
          <w:sz w:val="28"/>
        </w:rPr>
      </w:pPr>
      <w:r w:rsidRPr="00300A2C">
        <w:rPr>
          <w:rFonts w:ascii="Palatino Linotype" w:hAnsi="Palatino Linotype" w:cs="Arial"/>
          <w:b/>
          <w:bCs/>
          <w:spacing w:val="60"/>
          <w:sz w:val="28"/>
        </w:rPr>
        <w:t>CONSIDERANDO</w:t>
      </w:r>
    </w:p>
    <w:p w14:paraId="0C6B727C" w14:textId="617D4FC5" w:rsidR="004F3E7D" w:rsidRPr="00300A2C" w:rsidRDefault="004F3E7D" w:rsidP="00A269B9">
      <w:pPr>
        <w:rPr>
          <w:rFonts w:ascii="Palatino Linotype" w:hAnsi="Palatino Linotype"/>
          <w:b/>
        </w:rPr>
      </w:pPr>
    </w:p>
    <w:p w14:paraId="1F6A2EA8" w14:textId="77777777" w:rsidR="00DF0E8D" w:rsidRPr="00300A2C" w:rsidRDefault="00DF0E8D" w:rsidP="00A269B9">
      <w:pPr>
        <w:rPr>
          <w:rFonts w:ascii="Palatino Linotype" w:hAnsi="Palatino Linotype"/>
          <w:b/>
        </w:rPr>
      </w:pPr>
    </w:p>
    <w:p w14:paraId="1317F366" w14:textId="2AD9C5D3" w:rsidR="00BE7097" w:rsidRPr="00300A2C" w:rsidRDefault="00BE7097" w:rsidP="00BE7097">
      <w:pPr>
        <w:spacing w:line="360" w:lineRule="auto"/>
        <w:ind w:right="50"/>
        <w:jc w:val="both"/>
        <w:rPr>
          <w:rFonts w:ascii="Palatino Linotype" w:hAnsi="Palatino Linotype" w:cs="Arial"/>
        </w:rPr>
      </w:pPr>
      <w:r w:rsidRPr="00300A2C">
        <w:rPr>
          <w:rFonts w:ascii="Palatino Linotype" w:hAnsi="Palatino Linotype"/>
          <w:b/>
          <w:sz w:val="28"/>
          <w:szCs w:val="28"/>
        </w:rPr>
        <w:t>PRIMERO</w:t>
      </w:r>
      <w:r w:rsidRPr="00300A2C">
        <w:rPr>
          <w:rFonts w:ascii="Palatino Linotype" w:hAnsi="Palatino Linotype"/>
          <w:b/>
        </w:rPr>
        <w:t>.</w:t>
      </w:r>
      <w:r w:rsidRPr="00300A2C">
        <w:rPr>
          <w:rFonts w:ascii="Palatino Linotype" w:hAnsi="Palatino Linotype"/>
        </w:rPr>
        <w:t xml:space="preserve"> </w:t>
      </w:r>
      <w:r w:rsidRPr="00300A2C">
        <w:rPr>
          <w:rFonts w:ascii="Palatino Linotype" w:hAnsi="Palatino Linotype"/>
          <w:b/>
          <w:i/>
        </w:rPr>
        <w:t>Competencia</w:t>
      </w:r>
      <w:r w:rsidRPr="00300A2C">
        <w:rPr>
          <w:rFonts w:ascii="Palatino Linotype" w:hAnsi="Palatino Linotype"/>
        </w:rPr>
        <w:t>.</w:t>
      </w:r>
      <w:r w:rsidRPr="00300A2C">
        <w:rPr>
          <w:rFonts w:ascii="Palatino Linotype" w:hAnsi="Palatino Linotype"/>
          <w:b/>
        </w:rPr>
        <w:t xml:space="preserve"> </w:t>
      </w:r>
      <w:r w:rsidRPr="00300A2C">
        <w:rPr>
          <w:rFonts w:ascii="Palatino Linotype" w:hAnsi="Palatino Linotype"/>
        </w:rPr>
        <w:t xml:space="preserve">Este Instituto de </w:t>
      </w:r>
      <w:r w:rsidRPr="00300A2C">
        <w:rPr>
          <w:rFonts w:ascii="Palatino Linotype" w:hAnsi="Palatino Linotype" w:cs="Arial"/>
        </w:rPr>
        <w:t>Transparencia</w:t>
      </w:r>
      <w:r w:rsidRPr="00300A2C">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00E84EC0" w:rsidRPr="00300A2C">
        <w:rPr>
          <w:rFonts w:ascii="Palatino Linotype" w:hAnsi="Palatino Linotype"/>
        </w:rPr>
        <w:t>tr</w:t>
      </w:r>
      <w:r w:rsidRPr="00300A2C">
        <w:rPr>
          <w:rFonts w:ascii="Palatino Linotype" w:hAnsi="Palatino Linotype"/>
        </w:rPr>
        <w:t>igésimo, trigésimo</w:t>
      </w:r>
      <w:r w:rsidR="00E84EC0" w:rsidRPr="00300A2C">
        <w:rPr>
          <w:rFonts w:ascii="Palatino Linotype" w:hAnsi="Palatino Linotype"/>
        </w:rPr>
        <w:t xml:space="preserve"> primero</w:t>
      </w:r>
      <w:r w:rsidRPr="00300A2C">
        <w:rPr>
          <w:rFonts w:ascii="Palatino Linotype" w:hAnsi="Palatino Linotype"/>
        </w:rPr>
        <w:t xml:space="preserve"> y trigésimo </w:t>
      </w:r>
      <w:r w:rsidR="00E84EC0" w:rsidRPr="00300A2C">
        <w:rPr>
          <w:rFonts w:ascii="Palatino Linotype" w:hAnsi="Palatino Linotype"/>
        </w:rPr>
        <w:t>segundo</w:t>
      </w:r>
      <w:r w:rsidRPr="00300A2C">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00A2C">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18E142EF" w14:textId="77777777" w:rsidR="00BE7097" w:rsidRPr="00300A2C" w:rsidRDefault="00BE7097" w:rsidP="00BE7097">
      <w:pPr>
        <w:spacing w:line="360" w:lineRule="auto"/>
        <w:ind w:right="50"/>
        <w:jc w:val="both"/>
        <w:rPr>
          <w:rFonts w:ascii="Palatino Linotype" w:hAnsi="Palatino Linotype" w:cs="Arial"/>
        </w:rPr>
      </w:pPr>
    </w:p>
    <w:p w14:paraId="14D18B1E" w14:textId="77777777" w:rsidR="00BE7097" w:rsidRPr="00300A2C" w:rsidRDefault="00BE7097" w:rsidP="00BE7097">
      <w:pPr>
        <w:spacing w:line="360" w:lineRule="auto"/>
        <w:ind w:right="50"/>
        <w:jc w:val="both"/>
        <w:rPr>
          <w:rFonts w:ascii="Palatino Linotype" w:hAnsi="Palatino Linotype" w:cs="Arial"/>
        </w:rPr>
      </w:pPr>
      <w:r w:rsidRPr="00300A2C">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5D2AB88" w14:textId="77777777" w:rsidR="00BE7097" w:rsidRPr="00300A2C" w:rsidRDefault="00BE7097" w:rsidP="00BE7097">
      <w:pPr>
        <w:spacing w:line="360" w:lineRule="auto"/>
        <w:jc w:val="both"/>
        <w:rPr>
          <w:rFonts w:ascii="Palatino Linotype" w:hAnsi="Palatino Linotype" w:cs="Arial"/>
          <w:b/>
          <w:sz w:val="14"/>
          <w:lang w:val="es-ES"/>
        </w:rPr>
      </w:pPr>
    </w:p>
    <w:p w14:paraId="4DD8B4F5" w14:textId="78F5D86F" w:rsidR="00200BFC" w:rsidRPr="00300A2C" w:rsidRDefault="00200BFC" w:rsidP="00B90E30">
      <w:pPr>
        <w:spacing w:line="360" w:lineRule="auto"/>
        <w:ind w:right="50"/>
        <w:jc w:val="both"/>
        <w:rPr>
          <w:rFonts w:ascii="Palatino Linotype" w:hAnsi="Palatino Linotype" w:cs="Arial"/>
          <w:b/>
        </w:rPr>
      </w:pPr>
      <w:r w:rsidRPr="00300A2C">
        <w:rPr>
          <w:rFonts w:ascii="Palatino Linotype" w:hAnsi="Palatino Linotype" w:cs="Arial"/>
          <w:b/>
          <w:sz w:val="28"/>
        </w:rPr>
        <w:t>SEGUNDO</w:t>
      </w:r>
      <w:r w:rsidRPr="00300A2C">
        <w:rPr>
          <w:rFonts w:ascii="Palatino Linotype" w:hAnsi="Palatino Linotype" w:cs="Arial"/>
          <w:b/>
        </w:rPr>
        <w:t xml:space="preserve">. </w:t>
      </w:r>
      <w:r w:rsidRPr="00300A2C">
        <w:rPr>
          <w:rFonts w:ascii="Palatino Linotype" w:hAnsi="Palatino Linotype" w:cs="Arial"/>
          <w:b/>
          <w:i/>
        </w:rPr>
        <w:t>Interés</w:t>
      </w:r>
      <w:r w:rsidRPr="00300A2C">
        <w:rPr>
          <w:rFonts w:ascii="Palatino Linotype" w:hAnsi="Palatino Linotype" w:cs="Arial"/>
          <w:b/>
        </w:rPr>
        <w:t xml:space="preserve">. </w:t>
      </w:r>
      <w:r w:rsidRPr="00300A2C">
        <w:rPr>
          <w:rFonts w:ascii="Palatino Linotype" w:hAnsi="Palatino Linotype" w:cs="Arial"/>
          <w:bCs/>
        </w:rPr>
        <w:t>El recurso de revisión fue interpuesto por parte legítima, en atención a que se presentó por</w:t>
      </w:r>
      <w:r w:rsidR="00073F72" w:rsidRPr="00300A2C">
        <w:rPr>
          <w:rFonts w:ascii="Palatino Linotype" w:hAnsi="Palatino Linotype" w:cs="Arial"/>
          <w:bCs/>
        </w:rPr>
        <w:t xml:space="preserve"> </w:t>
      </w:r>
      <w:r w:rsidR="00073F72" w:rsidRPr="00300A2C">
        <w:rPr>
          <w:rFonts w:ascii="Palatino Linotype" w:hAnsi="Palatino Linotype" w:cs="Arial"/>
          <w:b/>
        </w:rPr>
        <w:t>EL</w:t>
      </w:r>
      <w:r w:rsidRPr="00300A2C">
        <w:rPr>
          <w:rFonts w:ascii="Palatino Linotype" w:hAnsi="Palatino Linotype" w:cs="Arial"/>
          <w:b/>
          <w:bCs/>
        </w:rPr>
        <w:t xml:space="preserve"> RECURRENTE,</w:t>
      </w:r>
      <w:r w:rsidRPr="00300A2C">
        <w:rPr>
          <w:rFonts w:ascii="Palatino Linotype" w:hAnsi="Palatino Linotype" w:cs="Arial"/>
          <w:bCs/>
        </w:rPr>
        <w:t xml:space="preserve"> quien es la misma persona que formuló la solicitud de acceso a la información pública al </w:t>
      </w:r>
      <w:r w:rsidRPr="00300A2C">
        <w:rPr>
          <w:rFonts w:ascii="Palatino Linotype" w:hAnsi="Palatino Linotype" w:cs="Arial"/>
          <w:b/>
          <w:bCs/>
        </w:rPr>
        <w:t>SUJETO OBLIGADO.</w:t>
      </w:r>
    </w:p>
    <w:p w14:paraId="7267C8A1" w14:textId="32797B15" w:rsidR="00FD561B" w:rsidRPr="00300A2C"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300A2C">
        <w:rPr>
          <w:rFonts w:ascii="Palatino Linotype" w:hAnsi="Palatino Linotype" w:cs="Arial"/>
          <w:b/>
          <w:sz w:val="28"/>
        </w:rPr>
        <w:t>TERCERO</w:t>
      </w:r>
      <w:r w:rsidRPr="00300A2C">
        <w:rPr>
          <w:rFonts w:ascii="Palatino Linotype" w:hAnsi="Palatino Linotype" w:cs="Arial"/>
          <w:b/>
        </w:rPr>
        <w:t xml:space="preserve">. </w:t>
      </w:r>
      <w:r w:rsidRPr="00300A2C">
        <w:rPr>
          <w:rFonts w:ascii="Palatino Linotype" w:hAnsi="Palatino Linotype" w:cs="Arial"/>
          <w:b/>
          <w:i/>
          <w:lang w:val="es-ES"/>
        </w:rPr>
        <w:t>Oportunidad</w:t>
      </w:r>
      <w:r w:rsidR="00FD561B" w:rsidRPr="00300A2C">
        <w:rPr>
          <w:rFonts w:ascii="Palatino Linotype" w:hAnsi="Palatino Linotype" w:cs="Arial"/>
        </w:rPr>
        <w:t xml:space="preserve">. El recurso de revisión fue interpuesto dentro del plazo de quince días hábiles, contados a partir del día siguiente al en que </w:t>
      </w:r>
      <w:r w:rsidR="00073F72" w:rsidRPr="00300A2C">
        <w:rPr>
          <w:rFonts w:ascii="Palatino Linotype" w:hAnsi="Palatino Linotype" w:cs="Arial"/>
          <w:b/>
        </w:rPr>
        <w:t>EL</w:t>
      </w:r>
      <w:r w:rsidR="00FD561B" w:rsidRPr="00300A2C">
        <w:rPr>
          <w:rFonts w:ascii="Palatino Linotype" w:hAnsi="Palatino Linotype" w:cs="Arial"/>
          <w:b/>
        </w:rPr>
        <w:t xml:space="preserve"> RECURRENTE </w:t>
      </w:r>
      <w:r w:rsidR="00FD561B" w:rsidRPr="00300A2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300A2C" w:rsidRDefault="00FD561B" w:rsidP="00FD561B">
      <w:pPr>
        <w:spacing w:before="100" w:beforeAutospacing="1" w:after="100" w:afterAutospacing="1"/>
        <w:ind w:left="720" w:right="709"/>
        <w:contextualSpacing/>
        <w:jc w:val="both"/>
        <w:rPr>
          <w:rFonts w:ascii="Palatino Linotype" w:hAnsi="Palatino Linotype" w:cs="Arial"/>
          <w:i/>
          <w:sz w:val="22"/>
        </w:rPr>
      </w:pPr>
      <w:r w:rsidRPr="00300A2C">
        <w:rPr>
          <w:rFonts w:ascii="Palatino Linotype" w:hAnsi="Palatino Linotype" w:cs="Arial"/>
          <w:i/>
          <w:sz w:val="22"/>
        </w:rPr>
        <w:t>“</w:t>
      </w:r>
      <w:r w:rsidRPr="00300A2C">
        <w:rPr>
          <w:rFonts w:ascii="Palatino Linotype" w:hAnsi="Palatino Linotype" w:cs="Arial"/>
          <w:b/>
          <w:i/>
          <w:sz w:val="22"/>
        </w:rPr>
        <w:t>Artículo 178.</w:t>
      </w:r>
      <w:r w:rsidRPr="00300A2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300A2C" w:rsidRDefault="00FD561B" w:rsidP="00FD561B">
      <w:pPr>
        <w:spacing w:before="100" w:beforeAutospacing="1" w:after="100" w:afterAutospacing="1"/>
        <w:ind w:left="720" w:right="709"/>
        <w:contextualSpacing/>
        <w:jc w:val="both"/>
        <w:rPr>
          <w:rFonts w:ascii="Palatino Linotype" w:hAnsi="Palatino Linotype" w:cs="Arial"/>
          <w:i/>
          <w:sz w:val="22"/>
        </w:rPr>
      </w:pPr>
      <w:r w:rsidRPr="00300A2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4E009E3" w14:textId="478CA0B2" w:rsidR="00770063" w:rsidRPr="00300A2C" w:rsidRDefault="00FD561B" w:rsidP="00770063">
      <w:pPr>
        <w:spacing w:before="240" w:after="100" w:afterAutospacing="1"/>
        <w:ind w:left="720" w:right="709"/>
        <w:jc w:val="both"/>
        <w:rPr>
          <w:rFonts w:ascii="Palatino Linotype" w:hAnsi="Palatino Linotype" w:cs="Arial"/>
          <w:i/>
          <w:sz w:val="22"/>
        </w:rPr>
      </w:pPr>
      <w:r w:rsidRPr="00300A2C">
        <w:rPr>
          <w:rFonts w:ascii="Palatino Linotype" w:hAnsi="Palatino Linotype" w:cs="Arial"/>
          <w:i/>
          <w:sz w:val="22"/>
        </w:rPr>
        <w:t xml:space="preserve">En el caso de que se interponga ante la Unidad de Transparencia, ésta deberá remitir el recurso de revisión al Instituto a más tardar al día </w:t>
      </w:r>
      <w:r w:rsidRPr="00300A2C">
        <w:rPr>
          <w:rFonts w:ascii="Palatino Linotype" w:hAnsi="Palatino Linotype" w:cs="Arial"/>
          <w:i/>
          <w:sz w:val="22"/>
          <w:lang w:eastAsia="es-MX"/>
        </w:rPr>
        <w:t>siguiente</w:t>
      </w:r>
      <w:r w:rsidRPr="00300A2C">
        <w:rPr>
          <w:rFonts w:ascii="Palatino Linotype" w:hAnsi="Palatino Linotype" w:cs="Arial"/>
          <w:i/>
          <w:sz w:val="22"/>
        </w:rPr>
        <w:t xml:space="preserve"> de haberlo recibido.”</w:t>
      </w:r>
    </w:p>
    <w:p w14:paraId="3DB31F4B" w14:textId="03015411" w:rsidR="00BE7097" w:rsidRPr="00300A2C" w:rsidRDefault="00BE7097" w:rsidP="00BE7097">
      <w:pPr>
        <w:spacing w:line="360" w:lineRule="auto"/>
        <w:jc w:val="both"/>
        <w:rPr>
          <w:rFonts w:ascii="Palatino Linotype" w:hAnsi="Palatino Linotype"/>
        </w:rPr>
      </w:pPr>
      <w:r w:rsidRPr="00300A2C">
        <w:rPr>
          <w:rFonts w:ascii="Palatino Linotype" w:hAnsi="Palatino Linotype" w:cs="Arial"/>
        </w:rPr>
        <w:t xml:space="preserve">En efecto, atendiendo a que </w:t>
      </w:r>
      <w:r w:rsidRPr="00300A2C">
        <w:rPr>
          <w:rFonts w:ascii="Palatino Linotype" w:hAnsi="Palatino Linotype" w:cs="Arial"/>
          <w:b/>
        </w:rPr>
        <w:t>EL SUJETO OBLIGADO</w:t>
      </w:r>
      <w:r w:rsidRPr="00300A2C">
        <w:rPr>
          <w:rFonts w:ascii="Palatino Linotype" w:hAnsi="Palatino Linotype" w:cs="Arial"/>
        </w:rPr>
        <w:t xml:space="preserve"> notificó la respuesta a la solicitud de información pública el día </w:t>
      </w:r>
      <w:r w:rsidR="002E6505" w:rsidRPr="00300A2C">
        <w:rPr>
          <w:rFonts w:ascii="Palatino Linotype" w:hAnsi="Palatino Linotype" w:cs="Arial"/>
          <w:b/>
        </w:rPr>
        <w:t>once</w:t>
      </w:r>
      <w:r w:rsidRPr="00300A2C">
        <w:rPr>
          <w:rFonts w:ascii="Palatino Linotype" w:hAnsi="Palatino Linotype" w:cs="Arial"/>
          <w:b/>
        </w:rPr>
        <w:t xml:space="preserve"> de </w:t>
      </w:r>
      <w:r w:rsidR="002E6505" w:rsidRPr="00300A2C">
        <w:rPr>
          <w:rFonts w:ascii="Palatino Linotype" w:hAnsi="Palatino Linotype" w:cs="Arial"/>
          <w:b/>
        </w:rPr>
        <w:t>marzo</w:t>
      </w:r>
      <w:r w:rsidRPr="00300A2C">
        <w:rPr>
          <w:rFonts w:ascii="Palatino Linotype" w:hAnsi="Palatino Linotype" w:cs="Arial"/>
          <w:b/>
        </w:rPr>
        <w:t xml:space="preserve"> de dos mil veint</w:t>
      </w:r>
      <w:r w:rsidR="00E84EC0" w:rsidRPr="00300A2C">
        <w:rPr>
          <w:rFonts w:ascii="Palatino Linotype" w:hAnsi="Palatino Linotype" w:cs="Arial"/>
          <w:b/>
        </w:rPr>
        <w:t>iuno</w:t>
      </w:r>
      <w:r w:rsidRPr="00300A2C">
        <w:rPr>
          <w:rFonts w:ascii="Palatino Linotype" w:hAnsi="Palatino Linotype" w:cs="Arial"/>
        </w:rPr>
        <w:t>, el plazo de quince días hábiles que el artículo 178 de la ley de la materia otorga al</w:t>
      </w:r>
      <w:r w:rsidRPr="00300A2C">
        <w:rPr>
          <w:rFonts w:ascii="Palatino Linotype" w:hAnsi="Palatino Linotype" w:cs="Arial"/>
          <w:b/>
        </w:rPr>
        <w:t xml:space="preserve"> RECURRENTE</w:t>
      </w:r>
      <w:r w:rsidRPr="00300A2C">
        <w:rPr>
          <w:rFonts w:ascii="Palatino Linotype" w:hAnsi="Palatino Linotype" w:cs="Arial"/>
        </w:rPr>
        <w:t xml:space="preserve"> para presentar el recurso de revisión, transcurrió del </w:t>
      </w:r>
      <w:r w:rsidR="002E6505" w:rsidRPr="00300A2C">
        <w:rPr>
          <w:rFonts w:ascii="Palatino Linotype" w:hAnsi="Palatino Linotype" w:cs="Arial"/>
          <w:b/>
        </w:rPr>
        <w:t>doce</w:t>
      </w:r>
      <w:r w:rsidR="00B059F7" w:rsidRPr="00300A2C">
        <w:rPr>
          <w:rFonts w:ascii="Palatino Linotype" w:hAnsi="Palatino Linotype" w:cs="Arial"/>
        </w:rPr>
        <w:t xml:space="preserve"> </w:t>
      </w:r>
      <w:r w:rsidRPr="00300A2C">
        <w:rPr>
          <w:rFonts w:ascii="Palatino Linotype" w:hAnsi="Palatino Linotype" w:cs="Arial"/>
          <w:b/>
        </w:rPr>
        <w:t xml:space="preserve">de </w:t>
      </w:r>
      <w:r w:rsidR="002E6505" w:rsidRPr="00300A2C">
        <w:rPr>
          <w:rFonts w:ascii="Palatino Linotype" w:hAnsi="Palatino Linotype" w:cs="Arial"/>
          <w:b/>
        </w:rPr>
        <w:t>marzo</w:t>
      </w:r>
      <w:r w:rsidRPr="00300A2C">
        <w:rPr>
          <w:rFonts w:ascii="Palatino Linotype" w:hAnsi="Palatino Linotype" w:cs="Arial"/>
          <w:b/>
        </w:rPr>
        <w:t xml:space="preserve"> al </w:t>
      </w:r>
      <w:r w:rsidR="00061FBE" w:rsidRPr="00300A2C">
        <w:rPr>
          <w:rFonts w:ascii="Palatino Linotype" w:hAnsi="Palatino Linotype" w:cs="Arial"/>
          <w:b/>
        </w:rPr>
        <w:t>nueve</w:t>
      </w:r>
      <w:r w:rsidRPr="00300A2C">
        <w:rPr>
          <w:rFonts w:ascii="Palatino Linotype" w:hAnsi="Palatino Linotype" w:cs="Arial"/>
          <w:b/>
        </w:rPr>
        <w:t xml:space="preserve"> de </w:t>
      </w:r>
      <w:r w:rsidR="002E6505" w:rsidRPr="00300A2C">
        <w:rPr>
          <w:rFonts w:ascii="Palatino Linotype" w:hAnsi="Palatino Linotype" w:cs="Arial"/>
          <w:b/>
        </w:rPr>
        <w:t>abril</w:t>
      </w:r>
      <w:r w:rsidRPr="00300A2C">
        <w:rPr>
          <w:rFonts w:ascii="Palatino Linotype" w:hAnsi="Palatino Linotype" w:cs="Arial"/>
          <w:b/>
        </w:rPr>
        <w:t xml:space="preserve"> del dos mil veintiuno</w:t>
      </w:r>
      <w:r w:rsidRPr="00300A2C">
        <w:rPr>
          <w:rFonts w:ascii="Palatino Linotype" w:hAnsi="Palatino Linotype" w:cs="Arial"/>
        </w:rPr>
        <w:t xml:space="preserve">, </w:t>
      </w:r>
      <w:r w:rsidRPr="00300A2C">
        <w:rPr>
          <w:rFonts w:ascii="Palatino Linotype" w:hAnsi="Palatino Linotype" w:cs="Arial"/>
          <w:lang w:val="es-ES_tradnl"/>
        </w:rPr>
        <w:t xml:space="preserve">sin contemplar en el cómputo los días </w:t>
      </w:r>
      <w:r w:rsidR="002E6505" w:rsidRPr="00300A2C">
        <w:rPr>
          <w:rFonts w:ascii="Palatino Linotype" w:hAnsi="Palatino Linotype" w:cs="Arial"/>
          <w:lang w:val="es-ES_tradnl"/>
        </w:rPr>
        <w:t xml:space="preserve">trece, catorce, </w:t>
      </w:r>
      <w:r w:rsidR="00061FBE" w:rsidRPr="00300A2C">
        <w:rPr>
          <w:rFonts w:ascii="Palatino Linotype" w:hAnsi="Palatino Linotype" w:cs="Arial"/>
          <w:lang w:val="es-ES_tradnl"/>
        </w:rPr>
        <w:t>veinte, veintiuno, veintisiete y veintiocho</w:t>
      </w:r>
      <w:r w:rsidR="00B059F7" w:rsidRPr="00300A2C">
        <w:rPr>
          <w:rFonts w:ascii="Palatino Linotype" w:hAnsi="Palatino Linotype" w:cs="Arial"/>
          <w:lang w:val="es-ES_tradnl"/>
        </w:rPr>
        <w:t xml:space="preserve"> de </w:t>
      </w:r>
      <w:r w:rsidR="002E6505" w:rsidRPr="00300A2C">
        <w:rPr>
          <w:rFonts w:ascii="Palatino Linotype" w:hAnsi="Palatino Linotype" w:cs="Arial"/>
          <w:lang w:val="es-ES_tradnl"/>
        </w:rPr>
        <w:t>marzo</w:t>
      </w:r>
      <w:r w:rsidR="00061FBE" w:rsidRPr="00300A2C">
        <w:rPr>
          <w:rFonts w:ascii="Palatino Linotype" w:hAnsi="Palatino Linotype" w:cs="Arial"/>
          <w:lang w:val="es-ES_tradnl"/>
        </w:rPr>
        <w:t xml:space="preserve">; </w:t>
      </w:r>
      <w:r w:rsidR="002E6505" w:rsidRPr="00300A2C">
        <w:rPr>
          <w:rFonts w:ascii="Palatino Linotype" w:hAnsi="Palatino Linotype" w:cs="Arial"/>
          <w:lang w:val="es-ES_tradnl"/>
        </w:rPr>
        <w:t>tres</w:t>
      </w:r>
      <w:r w:rsidR="00061FBE" w:rsidRPr="00300A2C">
        <w:rPr>
          <w:rFonts w:ascii="Palatino Linotype" w:hAnsi="Palatino Linotype" w:cs="Arial"/>
          <w:lang w:val="es-ES_tradnl"/>
        </w:rPr>
        <w:t xml:space="preserve"> y </w:t>
      </w:r>
      <w:r w:rsidR="002E6505" w:rsidRPr="00300A2C">
        <w:rPr>
          <w:rFonts w:ascii="Palatino Linotype" w:hAnsi="Palatino Linotype" w:cs="Arial"/>
          <w:lang w:val="es-ES_tradnl"/>
        </w:rPr>
        <w:t>cuatro</w:t>
      </w:r>
      <w:r w:rsidR="00061FBE" w:rsidRPr="00300A2C">
        <w:rPr>
          <w:rFonts w:ascii="Palatino Linotype" w:hAnsi="Palatino Linotype" w:cs="Arial"/>
          <w:lang w:val="es-ES_tradnl"/>
        </w:rPr>
        <w:t xml:space="preserve"> de marzo</w:t>
      </w:r>
      <w:r w:rsidRPr="00300A2C">
        <w:rPr>
          <w:rFonts w:ascii="Palatino Linotype" w:hAnsi="Palatino Linotype" w:cs="Arial"/>
          <w:lang w:val="es-ES_tradnl"/>
        </w:rPr>
        <w:t xml:space="preserve"> de dos mil veintiuno por corresponder a sábados y domingos </w:t>
      </w:r>
      <w:r w:rsidRPr="00300A2C">
        <w:rPr>
          <w:rFonts w:ascii="Palatino Linotype" w:hAnsi="Palatino Linotype" w:cs="Arial"/>
        </w:rPr>
        <w:t xml:space="preserve">considerados como días inhábiles; en términos del artículo 3, fracción X de la </w:t>
      </w:r>
      <w:r w:rsidRPr="00300A2C">
        <w:rPr>
          <w:rFonts w:ascii="Palatino Linotype" w:hAnsi="Palatino Linotype"/>
        </w:rPr>
        <w:t>Ley de Transparencia y Acceso a la Información Pública del Estado de</w:t>
      </w:r>
      <w:r w:rsidR="002E6505" w:rsidRPr="00300A2C">
        <w:rPr>
          <w:rFonts w:ascii="Palatino Linotype" w:hAnsi="Palatino Linotype"/>
        </w:rPr>
        <w:t xml:space="preserve"> México y Municipios; así como </w:t>
      </w:r>
      <w:r w:rsidRPr="00300A2C">
        <w:rPr>
          <w:rFonts w:ascii="Palatino Linotype" w:hAnsi="Palatino Linotype"/>
        </w:rPr>
        <w:t xml:space="preserve">el </w:t>
      </w:r>
      <w:r w:rsidR="002E6505" w:rsidRPr="00300A2C">
        <w:rPr>
          <w:rFonts w:ascii="Palatino Linotype" w:hAnsi="Palatino Linotype"/>
        </w:rPr>
        <w:t>quince</w:t>
      </w:r>
      <w:r w:rsidRPr="00300A2C">
        <w:rPr>
          <w:rFonts w:ascii="Palatino Linotype" w:hAnsi="Palatino Linotype"/>
        </w:rPr>
        <w:t xml:space="preserve"> de </w:t>
      </w:r>
      <w:r w:rsidR="00061FBE" w:rsidRPr="00300A2C">
        <w:rPr>
          <w:rFonts w:ascii="Palatino Linotype" w:hAnsi="Palatino Linotype"/>
        </w:rPr>
        <w:t>marzo</w:t>
      </w:r>
      <w:r w:rsidRPr="00300A2C">
        <w:rPr>
          <w:rFonts w:ascii="Palatino Linotype" w:hAnsi="Palatino Linotype"/>
        </w:rPr>
        <w:t xml:space="preserve"> </w:t>
      </w:r>
      <w:r w:rsidR="002E6505" w:rsidRPr="00300A2C">
        <w:rPr>
          <w:rFonts w:ascii="Palatino Linotype" w:hAnsi="Palatino Linotype"/>
        </w:rPr>
        <w:t xml:space="preserve">y del  veintinueve de marzo al dos de abril de dos mil veintiuno, </w:t>
      </w:r>
      <w:r w:rsidR="00B059F7" w:rsidRPr="00300A2C">
        <w:rPr>
          <w:rFonts w:ascii="Palatino Linotype" w:hAnsi="Palatino Linotype"/>
        </w:rPr>
        <w:t>por ser día</w:t>
      </w:r>
      <w:r w:rsidR="002E6505" w:rsidRPr="00300A2C">
        <w:rPr>
          <w:rFonts w:ascii="Palatino Linotype" w:hAnsi="Palatino Linotype"/>
        </w:rPr>
        <w:t>s</w:t>
      </w:r>
      <w:r w:rsidR="00B059F7" w:rsidRPr="00300A2C">
        <w:rPr>
          <w:rFonts w:ascii="Palatino Linotype" w:hAnsi="Palatino Linotype"/>
        </w:rPr>
        <w:t xml:space="preserve"> inhábil</w:t>
      </w:r>
      <w:r w:rsidR="002E6505" w:rsidRPr="00300A2C">
        <w:rPr>
          <w:rFonts w:ascii="Palatino Linotype" w:hAnsi="Palatino Linotype"/>
        </w:rPr>
        <w:t>es</w:t>
      </w:r>
      <w:r w:rsidRPr="00300A2C">
        <w:rPr>
          <w:rFonts w:ascii="Palatino Linotype" w:hAnsi="Palatino Linotype"/>
        </w:rPr>
        <w:t>.</w:t>
      </w:r>
    </w:p>
    <w:p w14:paraId="1BC44841" w14:textId="77777777" w:rsidR="00BE7097" w:rsidRPr="00300A2C" w:rsidRDefault="00BE7097" w:rsidP="00BE7097">
      <w:pPr>
        <w:spacing w:line="360" w:lineRule="auto"/>
        <w:jc w:val="both"/>
        <w:rPr>
          <w:rFonts w:ascii="Palatino Linotype" w:hAnsi="Palatino Linotype"/>
          <w:sz w:val="14"/>
        </w:rPr>
      </w:pPr>
    </w:p>
    <w:p w14:paraId="7E939DC5" w14:textId="4FB93F16" w:rsidR="00BE7097" w:rsidRPr="00300A2C" w:rsidRDefault="00BE7097" w:rsidP="00BE7097">
      <w:pPr>
        <w:spacing w:line="360" w:lineRule="auto"/>
        <w:jc w:val="both"/>
        <w:rPr>
          <w:rFonts w:ascii="Palatino Linotype" w:hAnsi="Palatino Linotype" w:cs="Arial"/>
          <w:lang w:val="es-ES"/>
        </w:rPr>
      </w:pPr>
      <w:r w:rsidRPr="00300A2C">
        <w:rPr>
          <w:rFonts w:ascii="Palatino Linotype" w:hAnsi="Palatino Linotype" w:cs="Arial"/>
          <w:lang w:val="es-ES"/>
        </w:rPr>
        <w:t xml:space="preserve">En ese tenor, si el recurso de revisión que nos ocupa, se interpuso en fecha </w:t>
      </w:r>
      <w:r w:rsidR="002E6505" w:rsidRPr="00300A2C">
        <w:rPr>
          <w:rFonts w:ascii="Palatino Linotype" w:hAnsi="Palatino Linotype" w:cs="Arial"/>
          <w:b/>
          <w:u w:val="single"/>
          <w:lang w:val="es-ES"/>
        </w:rPr>
        <w:t>once</w:t>
      </w:r>
      <w:r w:rsidRPr="00300A2C">
        <w:rPr>
          <w:rFonts w:ascii="Palatino Linotype" w:hAnsi="Palatino Linotype" w:cs="Arial"/>
          <w:b/>
          <w:u w:val="single"/>
          <w:lang w:val="es-ES"/>
        </w:rPr>
        <w:t xml:space="preserve"> de </w:t>
      </w:r>
      <w:r w:rsidR="00061FBE" w:rsidRPr="00300A2C">
        <w:rPr>
          <w:rFonts w:ascii="Palatino Linotype" w:hAnsi="Palatino Linotype" w:cs="Arial"/>
          <w:b/>
          <w:u w:val="single"/>
          <w:lang w:val="es-ES"/>
        </w:rPr>
        <w:t>marzo</w:t>
      </w:r>
      <w:r w:rsidRPr="00300A2C">
        <w:rPr>
          <w:rFonts w:ascii="Palatino Linotype" w:hAnsi="Palatino Linotype" w:cs="Arial"/>
          <w:b/>
          <w:u w:val="single"/>
          <w:lang w:val="es-ES"/>
        </w:rPr>
        <w:t xml:space="preserve"> de dos mil veint</w:t>
      </w:r>
      <w:r w:rsidR="00B059F7" w:rsidRPr="00300A2C">
        <w:rPr>
          <w:rFonts w:ascii="Palatino Linotype" w:hAnsi="Palatino Linotype" w:cs="Arial"/>
          <w:b/>
          <w:u w:val="single"/>
          <w:lang w:val="es-ES"/>
        </w:rPr>
        <w:t>iuno</w:t>
      </w:r>
      <w:r w:rsidRPr="00300A2C">
        <w:rPr>
          <w:rFonts w:ascii="Palatino Linotype" w:hAnsi="Palatino Linotype" w:cs="Arial"/>
          <w:b/>
          <w:lang w:val="es-ES"/>
        </w:rPr>
        <w:t xml:space="preserve">, </w:t>
      </w:r>
      <w:r w:rsidRPr="00300A2C">
        <w:rPr>
          <w:rFonts w:ascii="Palatino Linotype" w:hAnsi="Palatino Linotype" w:cs="Arial"/>
          <w:lang w:val="es-ES"/>
        </w:rPr>
        <w:t xml:space="preserve">éste se encuentra dentro del margen temporal previsto en el precepto legal y, por tanto, es oportuno. </w:t>
      </w:r>
    </w:p>
    <w:p w14:paraId="39F52912" w14:textId="77777777" w:rsidR="002E6505" w:rsidRPr="00300A2C" w:rsidRDefault="002E6505" w:rsidP="00BE7097">
      <w:pPr>
        <w:spacing w:line="360" w:lineRule="auto"/>
        <w:jc w:val="both"/>
        <w:rPr>
          <w:rFonts w:ascii="Palatino Linotype" w:hAnsi="Palatino Linotype" w:cs="Arial"/>
          <w:lang w:val="es-ES"/>
        </w:rPr>
      </w:pPr>
    </w:p>
    <w:p w14:paraId="538847B9" w14:textId="6D60A1B1" w:rsidR="002E6505" w:rsidRPr="00300A2C" w:rsidRDefault="002E6505" w:rsidP="002E6505">
      <w:pPr>
        <w:pStyle w:val="xmsonormal"/>
        <w:shd w:val="clear" w:color="auto" w:fill="FFFFFF"/>
        <w:spacing w:before="0" w:beforeAutospacing="0" w:after="0" w:afterAutospacing="0" w:line="360" w:lineRule="auto"/>
        <w:jc w:val="both"/>
        <w:rPr>
          <w:rFonts w:ascii="Palatino Linotype" w:hAnsi="Palatino Linotype"/>
          <w:color w:val="201F1E"/>
        </w:rPr>
      </w:pPr>
      <w:r w:rsidRPr="00300A2C">
        <w:rPr>
          <w:rFonts w:ascii="Palatino Linotype" w:hAnsi="Palatino Linotype"/>
          <w:color w:val="201F1E"/>
          <w:bdr w:val="none" w:sz="0" w:space="0" w:color="auto" w:frame="1"/>
        </w:rPr>
        <w:t>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00297F55" w:rsidRPr="00300A2C">
        <w:rPr>
          <w:rFonts w:ascii="Palatino Linotype" w:hAnsi="Palatino Linotype"/>
          <w:b/>
          <w:bCs/>
          <w:color w:val="201F1E"/>
          <w:bdr w:val="none" w:sz="0" w:space="0" w:color="auto" w:frame="1"/>
        </w:rPr>
        <w:t>EL</w:t>
      </w:r>
      <w:r w:rsidRPr="00300A2C">
        <w:rPr>
          <w:rFonts w:ascii="Palatino Linotype" w:hAnsi="Palatino Linotype"/>
          <w:b/>
          <w:bCs/>
          <w:color w:val="201F1E"/>
          <w:bdr w:val="none" w:sz="0" w:space="0" w:color="auto" w:frame="1"/>
        </w:rPr>
        <w:t xml:space="preserve"> RECURRENTE</w:t>
      </w:r>
      <w:r w:rsidRPr="00300A2C">
        <w:rPr>
          <w:rFonts w:ascii="Palatino Linotype" w:hAnsi="Palatino Linotype"/>
          <w:color w:val="201F1E"/>
          <w:bdr w:val="none" w:sz="0" w:space="0" w:color="auto" w:frame="1"/>
        </w:rPr>
        <w:t> tenga conocimiento de la respuesta impugnada; sin embargo, no prohíbe que el recurso de revisión, se presente el mismo día en que aquélla fue notificada.</w:t>
      </w:r>
    </w:p>
    <w:p w14:paraId="2E346DEF" w14:textId="77777777" w:rsidR="002E6505" w:rsidRPr="00300A2C" w:rsidRDefault="002E6505" w:rsidP="002E6505">
      <w:pPr>
        <w:pStyle w:val="xmsonormal"/>
        <w:shd w:val="clear" w:color="auto" w:fill="FFFFFF"/>
        <w:spacing w:before="0" w:beforeAutospacing="0" w:after="0" w:afterAutospacing="0" w:line="360" w:lineRule="auto"/>
        <w:jc w:val="both"/>
        <w:rPr>
          <w:rFonts w:ascii="Palatino Linotype" w:hAnsi="Palatino Linotype"/>
          <w:color w:val="201F1E"/>
        </w:rPr>
      </w:pPr>
      <w:r w:rsidRPr="00300A2C">
        <w:rPr>
          <w:rFonts w:ascii="Palatino Linotype" w:hAnsi="Palatino Linotype"/>
          <w:color w:val="201F1E"/>
          <w:bdr w:val="none" w:sz="0" w:space="0" w:color="auto" w:frame="1"/>
        </w:rPr>
        <w:t> </w:t>
      </w:r>
    </w:p>
    <w:p w14:paraId="2C6A289E" w14:textId="77777777" w:rsidR="002E6505" w:rsidRPr="00300A2C" w:rsidRDefault="002E6505" w:rsidP="002E6505">
      <w:pPr>
        <w:pStyle w:val="xmsonormal"/>
        <w:shd w:val="clear" w:color="auto" w:fill="FFFFFF"/>
        <w:spacing w:before="0" w:beforeAutospacing="0" w:after="0" w:afterAutospacing="0" w:line="360" w:lineRule="auto"/>
        <w:jc w:val="both"/>
        <w:rPr>
          <w:rFonts w:ascii="Palatino Linotype" w:hAnsi="Palatino Linotype"/>
          <w:color w:val="201F1E"/>
          <w:bdr w:val="none" w:sz="0" w:space="0" w:color="auto" w:frame="1"/>
        </w:rPr>
      </w:pPr>
      <w:r w:rsidRPr="00300A2C">
        <w:rPr>
          <w:rFonts w:ascii="Palatino Linotype" w:hAnsi="Palatino Linotype"/>
          <w:color w:val="201F1E"/>
          <w:bdr w:val="none" w:sz="0" w:space="0" w:color="auto" w:frame="1"/>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7FA4F11D" w14:textId="77777777" w:rsidR="002E6505" w:rsidRPr="00300A2C" w:rsidRDefault="002E6505" w:rsidP="002E6505">
      <w:pPr>
        <w:pStyle w:val="xmsonormal"/>
        <w:shd w:val="clear" w:color="auto" w:fill="FFFFFF"/>
        <w:spacing w:before="0" w:beforeAutospacing="0" w:after="0" w:afterAutospacing="0"/>
        <w:jc w:val="both"/>
        <w:rPr>
          <w:rFonts w:ascii="Palatino Linotype" w:hAnsi="Palatino Linotype"/>
          <w:color w:val="201F1E"/>
        </w:rPr>
      </w:pPr>
    </w:p>
    <w:p w14:paraId="75C2DCD1" w14:textId="77777777" w:rsidR="002E6505" w:rsidRPr="00300A2C" w:rsidRDefault="002E6505" w:rsidP="002E6505">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300A2C">
        <w:rPr>
          <w:rFonts w:ascii="Palatino Linotype" w:hAnsi="Palatino Linotype"/>
          <w:b/>
          <w:bCs/>
          <w:i/>
          <w:iCs/>
          <w:color w:val="201F1E"/>
          <w:sz w:val="22"/>
          <w:bdr w:val="none" w:sz="0" w:space="0" w:color="auto" w:frame="1"/>
        </w:rPr>
        <w:t>“RECURSO DE RECLAMACIÓN. SU INTERPOSICIÓN NO ES EXTEMPORÁNEA SI SE REALIZA ANTES DE QUE INICIE EL PLAZO PARA HACERLO. </w:t>
      </w:r>
      <w:r w:rsidRPr="00300A2C">
        <w:rPr>
          <w:rFonts w:ascii="Palatino Linotype" w:hAnsi="Palatino Linotype"/>
          <w:i/>
          <w:iCs/>
          <w:color w:val="201F1E"/>
          <w:sz w:val="22"/>
          <w:bdr w:val="none" w:sz="0" w:space="0" w:color="auto" w:frame="1"/>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F9E44B9" w14:textId="77777777" w:rsidR="002E6505" w:rsidRPr="00300A2C" w:rsidRDefault="002E6505" w:rsidP="002E6505">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300A2C">
        <w:rPr>
          <w:rFonts w:ascii="Palatino Linotype" w:hAnsi="Palatino Linotype"/>
          <w:i/>
          <w:iCs/>
          <w:color w:val="201F1E"/>
          <w:sz w:val="22"/>
          <w:bdr w:val="none" w:sz="0" w:space="0" w:color="auto" w:frame="1"/>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05BF3E5C" w14:textId="77777777" w:rsidR="002E6505" w:rsidRPr="00300A2C" w:rsidRDefault="002E6505" w:rsidP="002E6505">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300A2C">
        <w:rPr>
          <w:rFonts w:ascii="Palatino Linotype" w:hAnsi="Palatino Linotype"/>
          <w:i/>
          <w:iCs/>
          <w:color w:val="201F1E"/>
          <w:sz w:val="22"/>
          <w:bdr w:val="none" w:sz="0" w:space="0" w:color="auto" w:frame="1"/>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14C7F809" w14:textId="77777777" w:rsidR="002E6505" w:rsidRPr="00300A2C" w:rsidRDefault="002E6505" w:rsidP="002E6505">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300A2C">
        <w:rPr>
          <w:rFonts w:ascii="Palatino Linotype" w:hAnsi="Palatino Linotype"/>
          <w:i/>
          <w:iCs/>
          <w:color w:val="201F1E"/>
          <w:sz w:val="22"/>
          <w:bdr w:val="none" w:sz="0" w:space="0" w:color="auto" w:frame="1"/>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568335FA" w14:textId="77777777" w:rsidR="002E6505" w:rsidRPr="00300A2C" w:rsidRDefault="002E6505" w:rsidP="002E6505">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300A2C">
        <w:rPr>
          <w:rFonts w:ascii="Palatino Linotype" w:hAnsi="Palatino Linotype"/>
          <w:i/>
          <w:iCs/>
          <w:color w:val="201F1E"/>
          <w:sz w:val="22"/>
          <w:bdr w:val="none" w:sz="0" w:space="0" w:color="auto" w:frame="1"/>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02BAA751" w14:textId="77777777" w:rsidR="002E6505" w:rsidRPr="00300A2C" w:rsidRDefault="002E6505" w:rsidP="002E6505">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300A2C">
        <w:rPr>
          <w:rFonts w:ascii="Palatino Linotype" w:hAnsi="Palatino Linotype"/>
          <w:i/>
          <w:iCs/>
          <w:color w:val="201F1E"/>
          <w:sz w:val="22"/>
          <w:bdr w:val="none" w:sz="0" w:space="0" w:color="auto" w:frame="1"/>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4DB18CB1" w14:textId="77777777" w:rsidR="002E6505" w:rsidRPr="00300A2C" w:rsidRDefault="002E6505" w:rsidP="002E6505">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300A2C">
        <w:rPr>
          <w:rFonts w:ascii="Palatino Linotype" w:hAnsi="Palatino Linotype"/>
          <w:i/>
          <w:iCs/>
          <w:color w:val="201F1E"/>
          <w:sz w:val="22"/>
          <w:bdr w:val="none" w:sz="0" w:space="0" w:color="auto" w:frame="1"/>
        </w:rPr>
        <w:t>Tesis de jurisprudencia 41/2015 (10a.). Aprobada por la Primera Sala de este Alto Tribunal, en sesión privada de veintisiete de mayo de dos mil quince.</w:t>
      </w:r>
      <w:r w:rsidRPr="00300A2C">
        <w:rPr>
          <w:rFonts w:ascii="Palatino Linotype" w:hAnsi="Palatino Linotype"/>
          <w:b/>
          <w:bCs/>
          <w:i/>
          <w:iCs/>
          <w:color w:val="201F1E"/>
          <w:sz w:val="22"/>
          <w:bdr w:val="none" w:sz="0" w:space="0" w:color="auto" w:frame="1"/>
        </w:rPr>
        <w:t>”</w:t>
      </w:r>
    </w:p>
    <w:p w14:paraId="2F6F39F8" w14:textId="77777777" w:rsidR="002E6505" w:rsidRPr="00300A2C" w:rsidRDefault="002E6505" w:rsidP="002E6505">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300A2C">
        <w:rPr>
          <w:rFonts w:ascii="Palatino Linotype" w:hAnsi="Palatino Linotype"/>
          <w:i/>
          <w:iCs/>
          <w:color w:val="201F1E"/>
          <w:sz w:val="22"/>
          <w:bdr w:val="none" w:sz="0" w:space="0" w:color="auto" w:frame="1"/>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590FBD81" w14:textId="77777777" w:rsidR="002E6505" w:rsidRPr="00300A2C" w:rsidRDefault="002E6505" w:rsidP="002E6505">
      <w:pPr>
        <w:pStyle w:val="xmsonormal"/>
        <w:shd w:val="clear" w:color="auto" w:fill="FFFFFF"/>
        <w:spacing w:before="0" w:beforeAutospacing="0" w:after="0" w:afterAutospacing="0"/>
        <w:ind w:left="851" w:right="901"/>
        <w:jc w:val="both"/>
        <w:rPr>
          <w:rFonts w:ascii="Palatino Linotype" w:hAnsi="Palatino Linotype"/>
          <w:color w:val="201F1E"/>
        </w:rPr>
      </w:pPr>
      <w:r w:rsidRPr="00300A2C">
        <w:rPr>
          <w:rFonts w:ascii="Palatino Linotype" w:hAnsi="Palatino Linotype"/>
          <w:color w:val="201F1E"/>
          <w:bdr w:val="none" w:sz="0" w:space="0" w:color="auto" w:frame="1"/>
        </w:rPr>
        <w:t> </w:t>
      </w:r>
    </w:p>
    <w:p w14:paraId="4BE5D29B" w14:textId="77777777" w:rsidR="002E6505" w:rsidRPr="00300A2C" w:rsidRDefault="002E6505" w:rsidP="002E6505">
      <w:pPr>
        <w:spacing w:before="240" w:after="100" w:afterAutospacing="1" w:line="360" w:lineRule="auto"/>
        <w:jc w:val="both"/>
        <w:rPr>
          <w:rFonts w:ascii="Palatino Linotype" w:hAnsi="Palatino Linotype" w:cs="Arial"/>
        </w:rPr>
      </w:pPr>
      <w:r w:rsidRPr="00300A2C">
        <w:rPr>
          <w:rFonts w:ascii="Palatino Linotype" w:hAnsi="Palatino Linotype"/>
          <w:color w:val="201F1E"/>
          <w:bdr w:val="none" w:sz="0" w:space="0" w:color="auto" w:frame="1"/>
        </w:rPr>
        <w:t>Por lo tanto, en aras de privilegiar el derecho de acceso a la información se entra al estudio del presente recurso de revisión, sin que la fecha en que se presentó afecte la resolución</w:t>
      </w:r>
    </w:p>
    <w:p w14:paraId="580324D2" w14:textId="77777777" w:rsidR="00061FBE" w:rsidRPr="00300A2C" w:rsidRDefault="00B475A7" w:rsidP="00061FB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300A2C">
        <w:rPr>
          <w:rFonts w:ascii="Palatino Linotype" w:hAnsi="Palatino Linotype" w:cs="Arial"/>
          <w:b/>
          <w:sz w:val="28"/>
        </w:rPr>
        <w:t>CUARTO</w:t>
      </w:r>
      <w:r w:rsidRPr="00300A2C">
        <w:rPr>
          <w:rFonts w:ascii="Palatino Linotype" w:hAnsi="Palatino Linotype"/>
          <w:b/>
        </w:rPr>
        <w:t xml:space="preserve">. </w:t>
      </w:r>
      <w:r w:rsidRPr="00300A2C">
        <w:rPr>
          <w:rFonts w:ascii="Palatino Linotype" w:hAnsi="Palatino Linotype"/>
          <w:b/>
          <w:i/>
        </w:rPr>
        <w:t>Procedibilidad</w:t>
      </w:r>
      <w:r w:rsidRPr="00300A2C">
        <w:rPr>
          <w:rFonts w:ascii="Palatino Linotype" w:hAnsi="Palatino Linotype"/>
          <w:b/>
        </w:rPr>
        <w:t xml:space="preserve">. </w:t>
      </w:r>
      <w:r w:rsidR="00061FBE" w:rsidRPr="00300A2C">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061FBE" w:rsidRPr="00300A2C">
        <w:rPr>
          <w:rFonts w:ascii="Palatino Linotype" w:hAnsi="Palatino Linotype" w:cs="Arial"/>
          <w:b/>
          <w:szCs w:val="28"/>
        </w:rPr>
        <w:t>SAIMEX</w:t>
      </w:r>
      <w:r w:rsidR="00061FBE" w:rsidRPr="00300A2C">
        <w:rPr>
          <w:rFonts w:ascii="Palatino Linotype" w:hAnsi="Palatino Linotype" w:cs="Arial"/>
          <w:szCs w:val="28"/>
        </w:rPr>
        <w:t>.</w:t>
      </w:r>
    </w:p>
    <w:p w14:paraId="2A8A1BA9" w14:textId="36F78C18" w:rsidR="00061FBE" w:rsidRPr="00300A2C" w:rsidRDefault="004D6EDE" w:rsidP="00061FBE">
      <w:pPr>
        <w:spacing w:after="120" w:line="360" w:lineRule="auto"/>
        <w:jc w:val="both"/>
        <w:rPr>
          <w:rFonts w:ascii="Palatino Linotype" w:hAnsi="Palatino Linotype" w:cs="Arial"/>
          <w:sz w:val="22"/>
          <w:szCs w:val="22"/>
          <w:lang w:eastAsia="es-MX"/>
        </w:rPr>
      </w:pPr>
      <w:r w:rsidRPr="00300A2C">
        <w:rPr>
          <w:rFonts w:ascii="Palatino Linotype" w:hAnsi="Palatino Linotype" w:cs="Arial"/>
          <w:b/>
          <w:sz w:val="28"/>
          <w:szCs w:val="28"/>
        </w:rPr>
        <w:t>QUINTO</w:t>
      </w:r>
      <w:r w:rsidRPr="00300A2C">
        <w:rPr>
          <w:rFonts w:ascii="Palatino Linotype" w:hAnsi="Palatino Linotype" w:cs="Arial"/>
          <w:b/>
        </w:rPr>
        <w:t xml:space="preserve">. </w:t>
      </w:r>
      <w:r w:rsidR="00BE7097" w:rsidRPr="00300A2C">
        <w:rPr>
          <w:rFonts w:ascii="Palatino Linotype" w:hAnsi="Palatino Linotype" w:cs="Arial"/>
          <w:b/>
          <w:i/>
          <w:color w:val="000000" w:themeColor="text1"/>
        </w:rPr>
        <w:t xml:space="preserve">Estudio y resolución del asunto. </w:t>
      </w:r>
      <w:r w:rsidR="00061FBE" w:rsidRPr="00300A2C">
        <w:rPr>
          <w:rFonts w:ascii="Palatino Linotype" w:hAnsi="Palatino Linotype" w:cs="Arial"/>
        </w:rPr>
        <w:t xml:space="preserve">Del análisis efectuado se advierte que el recurso de revisión de que se trata es procedente; toda vez, que se actualiza la hipótesis prevista en la fracción </w:t>
      </w:r>
      <w:r w:rsidR="00E31B26" w:rsidRPr="00300A2C">
        <w:rPr>
          <w:rFonts w:ascii="Palatino Linotype" w:hAnsi="Palatino Linotype" w:cs="Arial"/>
        </w:rPr>
        <w:t>I</w:t>
      </w:r>
      <w:r w:rsidR="00061FBE" w:rsidRPr="00300A2C">
        <w:rPr>
          <w:rFonts w:ascii="Palatino Linotype" w:hAnsi="Palatino Linotype" w:cs="Arial"/>
        </w:rPr>
        <w:t xml:space="preserve"> del artículo 179 de la Ley de la materia, que a la letra indica:</w:t>
      </w:r>
    </w:p>
    <w:p w14:paraId="0F53D8F2" w14:textId="77777777" w:rsidR="00061FBE" w:rsidRPr="00300A2C" w:rsidRDefault="00061FBE" w:rsidP="00061FBE">
      <w:pPr>
        <w:suppressAutoHyphens/>
        <w:ind w:left="850" w:right="901"/>
        <w:jc w:val="both"/>
        <w:rPr>
          <w:rFonts w:ascii="Palatino Linotype" w:hAnsi="Palatino Linotype" w:cs="Arial"/>
          <w:b/>
          <w:i/>
          <w:sz w:val="22"/>
          <w:szCs w:val="22"/>
        </w:rPr>
      </w:pPr>
      <w:r w:rsidRPr="00300A2C">
        <w:rPr>
          <w:rFonts w:ascii="Palatino Linotype" w:hAnsi="Palatino Linotype" w:cs="Arial"/>
          <w:bCs/>
          <w:i/>
          <w:sz w:val="22"/>
          <w:szCs w:val="22"/>
        </w:rPr>
        <w:t>“</w:t>
      </w:r>
      <w:r w:rsidRPr="00300A2C">
        <w:rPr>
          <w:rFonts w:ascii="Palatino Linotype" w:hAnsi="Palatino Linotype" w:cs="Arial"/>
          <w:b/>
          <w:bCs/>
          <w:i/>
          <w:sz w:val="22"/>
          <w:szCs w:val="22"/>
        </w:rPr>
        <w:t>Artículo 179.</w:t>
      </w:r>
      <w:r w:rsidRPr="00300A2C">
        <w:rPr>
          <w:rFonts w:ascii="Palatino Linotype" w:hAnsi="Palatino Linotype" w:cs="Arial"/>
          <w:bCs/>
          <w:i/>
          <w:sz w:val="22"/>
          <w:szCs w:val="22"/>
        </w:rPr>
        <w:t xml:space="preserve"> </w:t>
      </w:r>
      <w:r w:rsidRPr="00300A2C">
        <w:rPr>
          <w:rFonts w:ascii="Palatino Linotype" w:hAnsi="Palatino Linotype" w:cs="Arial"/>
          <w:b/>
          <w:i/>
          <w:sz w:val="22"/>
          <w:szCs w:val="22"/>
        </w:rPr>
        <w:t>El recurso de revisión</w:t>
      </w:r>
      <w:r w:rsidRPr="00300A2C">
        <w:rPr>
          <w:rFonts w:ascii="Palatino Linotype" w:hAnsi="Palatino Linotype" w:cs="Arial"/>
          <w:i/>
          <w:sz w:val="22"/>
          <w:szCs w:val="22"/>
        </w:rPr>
        <w:t xml:space="preserve"> es un medio de protección que la Ley otorga a los particulares, para hacer valer su derecho de acceso a la información pública, y </w:t>
      </w:r>
      <w:r w:rsidRPr="00300A2C">
        <w:rPr>
          <w:rFonts w:ascii="Palatino Linotype" w:hAnsi="Palatino Linotype" w:cs="Arial"/>
          <w:b/>
          <w:i/>
          <w:sz w:val="22"/>
          <w:szCs w:val="22"/>
        </w:rPr>
        <w:t>procederá en contra de las siguientes causas:</w:t>
      </w:r>
    </w:p>
    <w:p w14:paraId="5935117B" w14:textId="2E74E94A" w:rsidR="00061FBE" w:rsidRPr="00300A2C" w:rsidRDefault="00E31B26" w:rsidP="00061FBE">
      <w:pPr>
        <w:suppressAutoHyphens/>
        <w:ind w:left="850" w:right="901"/>
        <w:jc w:val="both"/>
        <w:rPr>
          <w:rFonts w:ascii="Palatino Linotype" w:hAnsi="Palatino Linotype" w:cs="Arial"/>
          <w:b/>
          <w:bCs/>
          <w:i/>
          <w:sz w:val="22"/>
          <w:szCs w:val="22"/>
        </w:rPr>
      </w:pPr>
      <w:r w:rsidRPr="00300A2C">
        <w:rPr>
          <w:rFonts w:ascii="Palatino Linotype" w:hAnsi="Palatino Linotype" w:cs="Arial"/>
          <w:b/>
          <w:bCs/>
          <w:i/>
          <w:sz w:val="22"/>
          <w:szCs w:val="22"/>
        </w:rPr>
        <w:t>I. La negativa a la información solicitada;</w:t>
      </w:r>
      <w:r w:rsidR="00061FBE" w:rsidRPr="00300A2C">
        <w:rPr>
          <w:rFonts w:ascii="Palatino Linotype" w:hAnsi="Palatino Linotype" w:cs="Arial"/>
          <w:b/>
          <w:bCs/>
          <w:i/>
          <w:sz w:val="22"/>
          <w:szCs w:val="22"/>
        </w:rPr>
        <w:t xml:space="preserve"> </w:t>
      </w:r>
    </w:p>
    <w:p w14:paraId="63EC7944" w14:textId="77777777" w:rsidR="00061FBE" w:rsidRPr="00300A2C" w:rsidRDefault="00061FBE" w:rsidP="00061FBE">
      <w:pPr>
        <w:suppressAutoHyphens/>
        <w:ind w:left="850" w:right="901"/>
        <w:jc w:val="both"/>
        <w:rPr>
          <w:rFonts w:ascii="Palatino Linotype" w:hAnsi="Palatino Linotype" w:cs="Arial"/>
          <w:b/>
          <w:bCs/>
          <w:i/>
          <w:sz w:val="22"/>
          <w:szCs w:val="22"/>
        </w:rPr>
      </w:pPr>
      <w:r w:rsidRPr="00300A2C">
        <w:rPr>
          <w:rFonts w:ascii="Palatino Linotype" w:hAnsi="Palatino Linotype" w:cs="Arial"/>
          <w:b/>
          <w:bCs/>
          <w:i/>
          <w:sz w:val="22"/>
          <w:szCs w:val="22"/>
        </w:rPr>
        <w:t>(…)”</w:t>
      </w:r>
    </w:p>
    <w:p w14:paraId="01F520E4" w14:textId="77777777" w:rsidR="00061FBE" w:rsidRPr="00300A2C" w:rsidRDefault="00061FBE" w:rsidP="00061FBE">
      <w:pPr>
        <w:suppressAutoHyphens/>
        <w:ind w:left="850" w:right="901"/>
        <w:jc w:val="both"/>
        <w:rPr>
          <w:rFonts w:ascii="Palatino Linotype" w:hAnsi="Palatino Linotype" w:cs="Arial"/>
          <w:i/>
          <w:sz w:val="22"/>
          <w:szCs w:val="22"/>
        </w:rPr>
      </w:pPr>
      <w:r w:rsidRPr="00300A2C">
        <w:rPr>
          <w:rFonts w:ascii="Palatino Linotype" w:hAnsi="Palatino Linotype" w:cs="Arial"/>
          <w:i/>
          <w:sz w:val="22"/>
          <w:szCs w:val="22"/>
        </w:rPr>
        <w:t>(énfasis añadido)</w:t>
      </w:r>
    </w:p>
    <w:p w14:paraId="33FB6F9E" w14:textId="0C407B60" w:rsidR="00061FBE" w:rsidRPr="00300A2C" w:rsidRDefault="00061FBE" w:rsidP="00061FBE">
      <w:pPr>
        <w:widowControl w:val="0"/>
        <w:suppressAutoHyphens/>
        <w:spacing w:before="200" w:after="200" w:line="360" w:lineRule="auto"/>
        <w:jc w:val="both"/>
        <w:rPr>
          <w:rFonts w:ascii="Palatino Linotype" w:hAnsi="Palatino Linotype" w:cs="Arial"/>
        </w:rPr>
      </w:pPr>
      <w:r w:rsidRPr="00300A2C">
        <w:rPr>
          <w:rFonts w:ascii="Palatino Linotype" w:hAnsi="Palatino Linotype" w:cs="Arial"/>
        </w:rPr>
        <w:t xml:space="preserve">El precepto legal antes citado, establece como supuesto de procedencia del recurso de revisión, </w:t>
      </w:r>
      <w:r w:rsidR="00EC1983" w:rsidRPr="00300A2C">
        <w:rPr>
          <w:rFonts w:ascii="Palatino Linotype" w:hAnsi="Palatino Linotype" w:cs="Arial"/>
        </w:rPr>
        <w:t xml:space="preserve">cuando </w:t>
      </w:r>
      <w:r w:rsidR="00E31B26" w:rsidRPr="00300A2C">
        <w:rPr>
          <w:rFonts w:ascii="Palatino Linotype" w:hAnsi="Palatino Linotype" w:cs="Arial"/>
        </w:rPr>
        <w:t>se niegue la información</w:t>
      </w:r>
      <w:r w:rsidR="00EC1983" w:rsidRPr="00300A2C">
        <w:rPr>
          <w:rFonts w:ascii="Palatino Linotype" w:hAnsi="Palatino Linotype" w:cs="Arial"/>
        </w:rPr>
        <w:t xml:space="preserve"> </w:t>
      </w:r>
      <w:r w:rsidRPr="00300A2C">
        <w:rPr>
          <w:rFonts w:ascii="Palatino Linotype" w:hAnsi="Palatino Linotype" w:cs="Arial"/>
        </w:rPr>
        <w:t xml:space="preserve">por parte del </w:t>
      </w:r>
      <w:r w:rsidRPr="00300A2C">
        <w:rPr>
          <w:rFonts w:ascii="Palatino Linotype" w:hAnsi="Palatino Linotype" w:cs="Arial"/>
          <w:b/>
        </w:rPr>
        <w:t>SUJETO OBLIGADO</w:t>
      </w:r>
      <w:r w:rsidRPr="00300A2C">
        <w:rPr>
          <w:rFonts w:ascii="Palatino Linotype" w:hAnsi="Palatino Linotype" w:cs="Arial"/>
        </w:rPr>
        <w:t xml:space="preserve">, situación que se actualiza en el presente caso, en razón a que mediante respuesta </w:t>
      </w:r>
      <w:r w:rsidR="00EC1983" w:rsidRPr="00300A2C">
        <w:rPr>
          <w:rFonts w:ascii="Palatino Linotype" w:hAnsi="Palatino Linotype" w:cs="Arial"/>
        </w:rPr>
        <w:t xml:space="preserve">manifestó </w:t>
      </w:r>
      <w:r w:rsidR="00E31B26" w:rsidRPr="00300A2C">
        <w:rPr>
          <w:rFonts w:ascii="Palatino Linotype" w:hAnsi="Palatino Linotype" w:cs="Arial"/>
        </w:rPr>
        <w:t>que después de una búsqueda minuciosa no se encontró la información requerida.</w:t>
      </w:r>
    </w:p>
    <w:p w14:paraId="4FF5E15B" w14:textId="77777777" w:rsidR="00061FBE" w:rsidRPr="00300A2C" w:rsidRDefault="00061FBE" w:rsidP="00061FBE">
      <w:pPr>
        <w:tabs>
          <w:tab w:val="left" w:pos="709"/>
        </w:tabs>
        <w:spacing w:line="360" w:lineRule="auto"/>
        <w:jc w:val="both"/>
        <w:rPr>
          <w:rFonts w:ascii="Palatino Linotype" w:hAnsi="Palatino Linotype" w:cs="Arial"/>
        </w:rPr>
      </w:pPr>
      <w:r w:rsidRPr="00300A2C">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26D3528D" w14:textId="77777777" w:rsidR="00061FBE" w:rsidRPr="00300A2C" w:rsidRDefault="00061FBE" w:rsidP="00061FBE">
      <w:pPr>
        <w:tabs>
          <w:tab w:val="left" w:pos="709"/>
        </w:tabs>
        <w:jc w:val="both"/>
        <w:rPr>
          <w:rFonts w:ascii="Palatino Linotype" w:hAnsi="Palatino Linotype" w:cs="Arial"/>
        </w:rPr>
      </w:pPr>
    </w:p>
    <w:p w14:paraId="1412B3AE" w14:textId="77777777" w:rsidR="00061FBE" w:rsidRPr="00300A2C" w:rsidRDefault="00061FBE" w:rsidP="00061FBE">
      <w:pPr>
        <w:ind w:left="851" w:right="901"/>
        <w:jc w:val="both"/>
        <w:rPr>
          <w:rFonts w:ascii="Palatino Linotype" w:hAnsi="Palatino Linotype" w:cs="Arial"/>
          <w:i/>
          <w:sz w:val="22"/>
          <w:szCs w:val="22"/>
        </w:rPr>
      </w:pPr>
      <w:r w:rsidRPr="00300A2C">
        <w:rPr>
          <w:rFonts w:ascii="Palatino Linotype" w:hAnsi="Palatino Linotype" w:cs="Arial"/>
          <w:i/>
          <w:sz w:val="22"/>
          <w:szCs w:val="22"/>
        </w:rPr>
        <w:t>“</w:t>
      </w:r>
      <w:r w:rsidRPr="00300A2C">
        <w:rPr>
          <w:rFonts w:ascii="Palatino Linotype" w:hAnsi="Palatino Linotype" w:cs="Arial"/>
          <w:b/>
          <w:i/>
          <w:sz w:val="22"/>
          <w:szCs w:val="22"/>
        </w:rPr>
        <w:t>Artículo 4.</w:t>
      </w:r>
      <w:r w:rsidRPr="00300A2C">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C83E67D" w14:textId="77777777" w:rsidR="00061FBE" w:rsidRPr="00300A2C" w:rsidRDefault="00061FBE" w:rsidP="00061FBE">
      <w:pPr>
        <w:ind w:left="851" w:right="901"/>
        <w:jc w:val="both"/>
        <w:rPr>
          <w:rFonts w:ascii="Palatino Linotype" w:hAnsi="Palatino Linotype" w:cs="Arial"/>
          <w:i/>
          <w:sz w:val="22"/>
          <w:szCs w:val="22"/>
        </w:rPr>
      </w:pPr>
      <w:r w:rsidRPr="00300A2C">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300A2C">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2E1FCD" w14:textId="77777777" w:rsidR="00061FBE" w:rsidRPr="00300A2C" w:rsidRDefault="00061FBE" w:rsidP="00061FBE">
      <w:pPr>
        <w:ind w:left="851" w:right="901"/>
        <w:jc w:val="both"/>
        <w:rPr>
          <w:rFonts w:ascii="Palatino Linotype" w:hAnsi="Palatino Linotype" w:cs="Arial"/>
          <w:i/>
          <w:sz w:val="22"/>
          <w:szCs w:val="22"/>
        </w:rPr>
      </w:pPr>
      <w:r w:rsidRPr="00300A2C">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1386E5E0" w14:textId="77777777" w:rsidR="00061FBE" w:rsidRPr="00300A2C" w:rsidRDefault="00061FBE" w:rsidP="00061FBE">
      <w:pPr>
        <w:ind w:left="851" w:right="901"/>
        <w:jc w:val="both"/>
        <w:rPr>
          <w:rFonts w:ascii="Palatino Linotype" w:hAnsi="Palatino Linotype" w:cs="Arial"/>
          <w:i/>
          <w:sz w:val="22"/>
          <w:szCs w:val="22"/>
        </w:rPr>
      </w:pPr>
      <w:r w:rsidRPr="00300A2C">
        <w:rPr>
          <w:rFonts w:ascii="Palatino Linotype" w:hAnsi="Palatino Linotype" w:cs="Arial"/>
          <w:b/>
          <w:i/>
          <w:sz w:val="22"/>
          <w:szCs w:val="22"/>
        </w:rPr>
        <w:t>Artículo 12.</w:t>
      </w:r>
      <w:r w:rsidRPr="00300A2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392D7327" w14:textId="77777777" w:rsidR="00061FBE" w:rsidRPr="00300A2C" w:rsidRDefault="00061FBE" w:rsidP="00061FBE">
      <w:pPr>
        <w:ind w:left="851" w:right="901"/>
        <w:jc w:val="both"/>
        <w:rPr>
          <w:rFonts w:ascii="Palatino Linotype" w:hAnsi="Palatino Linotype" w:cs="Arial"/>
          <w:i/>
          <w:sz w:val="22"/>
          <w:szCs w:val="22"/>
        </w:rPr>
      </w:pPr>
      <w:r w:rsidRPr="00300A2C">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300A2C">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FA78286" w14:textId="77777777" w:rsidR="00061FBE" w:rsidRPr="00300A2C" w:rsidRDefault="00061FBE" w:rsidP="00061FBE">
      <w:pPr>
        <w:ind w:left="851" w:right="901"/>
        <w:jc w:val="both"/>
        <w:rPr>
          <w:rFonts w:ascii="Palatino Linotype" w:hAnsi="Palatino Linotype" w:cs="Arial"/>
          <w:i/>
          <w:sz w:val="22"/>
          <w:szCs w:val="22"/>
        </w:rPr>
      </w:pPr>
      <w:r w:rsidRPr="00300A2C">
        <w:rPr>
          <w:rFonts w:ascii="Palatino Linotype" w:hAnsi="Palatino Linotype" w:cs="Arial"/>
          <w:i/>
          <w:sz w:val="22"/>
          <w:szCs w:val="22"/>
        </w:rPr>
        <w:t>(Énfasis añadido)</w:t>
      </w:r>
    </w:p>
    <w:p w14:paraId="784722F9" w14:textId="77777777" w:rsidR="00061FBE" w:rsidRPr="00300A2C" w:rsidRDefault="00061FBE" w:rsidP="00061FBE">
      <w:pPr>
        <w:ind w:left="851" w:right="901"/>
        <w:jc w:val="both"/>
        <w:rPr>
          <w:rFonts w:ascii="Palatino Linotype" w:hAnsi="Palatino Linotype" w:cs="Arial"/>
          <w:i/>
          <w:sz w:val="22"/>
          <w:szCs w:val="22"/>
        </w:rPr>
      </w:pPr>
    </w:p>
    <w:p w14:paraId="5C15918F" w14:textId="77777777" w:rsidR="00061FBE" w:rsidRPr="00300A2C" w:rsidRDefault="00061FBE" w:rsidP="00061FBE">
      <w:pPr>
        <w:spacing w:line="360" w:lineRule="auto"/>
        <w:jc w:val="both"/>
        <w:rPr>
          <w:rFonts w:ascii="Palatino Linotype" w:hAnsi="Palatino Linotype" w:cs="Arial"/>
        </w:rPr>
      </w:pPr>
      <w:r w:rsidRPr="00300A2C">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4A544FC1" w14:textId="4C74ACB9" w:rsidR="00E31B26" w:rsidRPr="00300A2C" w:rsidRDefault="00061FBE" w:rsidP="00E31B26">
      <w:pPr>
        <w:spacing w:line="360" w:lineRule="auto"/>
        <w:jc w:val="both"/>
        <w:rPr>
          <w:rFonts w:ascii="Palatino Linotype" w:hAnsi="Palatino Linotype"/>
          <w:bCs/>
          <w:lang w:val="es-ES"/>
        </w:rPr>
      </w:pPr>
      <w:r w:rsidRPr="00300A2C">
        <w:rPr>
          <w:rFonts w:ascii="Palatino Linotype" w:hAnsi="Palatino Linotype" w:cs="Arial"/>
        </w:rPr>
        <w:t xml:space="preserve">Atento a ello, </w:t>
      </w:r>
      <w:r w:rsidRPr="00300A2C">
        <w:rPr>
          <w:rFonts w:ascii="Palatino Linotype" w:hAnsi="Palatino Linotype"/>
          <w:bCs/>
          <w:lang w:val="es-ES"/>
        </w:rPr>
        <w:t xml:space="preserve">es conveniente recordar que el particular requirió del </w:t>
      </w:r>
      <w:r w:rsidRPr="00300A2C">
        <w:rPr>
          <w:rFonts w:ascii="Palatino Linotype" w:hAnsi="Palatino Linotype"/>
          <w:b/>
          <w:bCs/>
          <w:lang w:val="es-ES"/>
        </w:rPr>
        <w:t xml:space="preserve">SUJETO OBLIGADO, </w:t>
      </w:r>
      <w:r w:rsidRPr="00300A2C">
        <w:rPr>
          <w:rFonts w:ascii="Palatino Linotype" w:hAnsi="Palatino Linotype"/>
          <w:lang w:val="es-ES"/>
        </w:rPr>
        <w:t>vía</w:t>
      </w:r>
      <w:r w:rsidRPr="00300A2C">
        <w:rPr>
          <w:rFonts w:ascii="Palatino Linotype" w:hAnsi="Palatino Linotype"/>
          <w:b/>
          <w:bCs/>
          <w:lang w:val="es-ES"/>
        </w:rPr>
        <w:t xml:space="preserve"> SAIMEX, </w:t>
      </w:r>
      <w:r w:rsidR="00737A2C" w:rsidRPr="00300A2C">
        <w:rPr>
          <w:rFonts w:ascii="Palatino Linotype" w:hAnsi="Palatino Linotype"/>
          <w:b/>
          <w:bCs/>
          <w:lang w:val="es-ES"/>
        </w:rPr>
        <w:t>c</w:t>
      </w:r>
      <w:r w:rsidR="00E31B26" w:rsidRPr="00300A2C">
        <w:rPr>
          <w:rFonts w:ascii="Palatino Linotype" w:hAnsi="Palatino Linotype"/>
          <w:bCs/>
          <w:lang w:val="es-ES"/>
        </w:rPr>
        <w:t>opia simple del contrato con numeral MEM-DA-DSPyT-AD-RP-05-04-2020 del comité de adquisiciones, así como copia de las facturas generadas sobre este mismo contrato en tesorería y/o administración.</w:t>
      </w:r>
    </w:p>
    <w:p w14:paraId="74C8BF31" w14:textId="67709825" w:rsidR="00061FBE" w:rsidRPr="00300A2C" w:rsidRDefault="00061FBE" w:rsidP="00E31B26">
      <w:pPr>
        <w:spacing w:line="360" w:lineRule="auto"/>
        <w:jc w:val="both"/>
        <w:rPr>
          <w:rFonts w:ascii="Palatino Linotype" w:hAnsi="Palatino Linotype"/>
          <w:lang w:val="es-ES"/>
        </w:rPr>
      </w:pPr>
    </w:p>
    <w:p w14:paraId="5AD4CD21" w14:textId="625CDAAC" w:rsidR="00061FBE" w:rsidRPr="00300A2C" w:rsidRDefault="00061FBE" w:rsidP="00061FBE">
      <w:pPr>
        <w:spacing w:line="360" w:lineRule="auto"/>
        <w:jc w:val="both"/>
        <w:rPr>
          <w:rFonts w:ascii="Palatino Linotype" w:hAnsi="Palatino Linotype"/>
          <w:lang w:val="es-ES"/>
        </w:rPr>
      </w:pPr>
      <w:r w:rsidRPr="00300A2C">
        <w:rPr>
          <w:rFonts w:ascii="Palatino Linotype" w:hAnsi="Palatino Linotype"/>
          <w:bCs/>
          <w:lang w:val="es-ES"/>
        </w:rPr>
        <w:t xml:space="preserve">De lo anterior, </w:t>
      </w:r>
      <w:r w:rsidRPr="00300A2C">
        <w:rPr>
          <w:rFonts w:ascii="Palatino Linotype" w:hAnsi="Palatino Linotype" w:cs="Arial"/>
          <w:b/>
        </w:rPr>
        <w:t xml:space="preserve">EL </w:t>
      </w:r>
      <w:r w:rsidRPr="00300A2C">
        <w:rPr>
          <w:rFonts w:ascii="Palatino Linotype" w:hAnsi="Palatino Linotype"/>
          <w:b/>
          <w:lang w:val="es-ES"/>
        </w:rPr>
        <w:t>SUJETO OBLIGADO</w:t>
      </w:r>
      <w:r w:rsidRPr="00300A2C">
        <w:rPr>
          <w:rFonts w:ascii="Palatino Linotype" w:hAnsi="Palatino Linotype"/>
          <w:lang w:val="es-ES"/>
        </w:rPr>
        <w:t xml:space="preserve"> mediante respuesta, descrita en el Resultando </w:t>
      </w:r>
      <w:r w:rsidRPr="00300A2C">
        <w:rPr>
          <w:rFonts w:ascii="Palatino Linotype" w:hAnsi="Palatino Linotype"/>
          <w:b/>
          <w:bCs/>
          <w:lang w:val="es-ES"/>
        </w:rPr>
        <w:t>III</w:t>
      </w:r>
      <w:r w:rsidRPr="00300A2C">
        <w:rPr>
          <w:rFonts w:ascii="Palatino Linotype" w:hAnsi="Palatino Linotype"/>
          <w:lang w:val="es-ES"/>
        </w:rPr>
        <w:t xml:space="preserve"> del presente Recurso de Revisión, </w:t>
      </w:r>
      <w:r w:rsidR="00EC1983" w:rsidRPr="00300A2C">
        <w:rPr>
          <w:rFonts w:ascii="Palatino Linotype" w:hAnsi="Palatino Linotype"/>
          <w:lang w:val="es-ES"/>
        </w:rPr>
        <w:t xml:space="preserve">le informó que </w:t>
      </w:r>
      <w:r w:rsidR="00E31B26" w:rsidRPr="00300A2C">
        <w:rPr>
          <w:rFonts w:ascii="Palatino Linotype" w:hAnsi="Palatino Linotype"/>
          <w:lang w:val="es-ES"/>
        </w:rPr>
        <w:t xml:space="preserve">después de una búsqueda </w:t>
      </w:r>
      <w:r w:rsidR="00E31B26" w:rsidRPr="00300A2C">
        <w:rPr>
          <w:rFonts w:ascii="Palatino Linotype" w:hAnsi="Palatino Linotype" w:cs="Arial"/>
        </w:rPr>
        <w:t xml:space="preserve">minuciosa </w:t>
      </w:r>
      <w:r w:rsidR="00E31B26" w:rsidRPr="00300A2C">
        <w:rPr>
          <w:rFonts w:ascii="Palatino Linotype" w:hAnsi="Palatino Linotype"/>
          <w:lang w:val="es-ES"/>
        </w:rPr>
        <w:t xml:space="preserve">de la información en los archivos que ocupa la </w:t>
      </w:r>
      <w:r w:rsidR="00E31B26" w:rsidRPr="00300A2C">
        <w:rPr>
          <w:rFonts w:ascii="Palatino Linotype" w:hAnsi="Palatino Linotype" w:cs="Arial"/>
        </w:rPr>
        <w:t>Subdirector de Adquisiciones y Licitaciones no encontró lo requerido</w:t>
      </w:r>
      <w:r w:rsidR="00EC1983" w:rsidRPr="00300A2C">
        <w:rPr>
          <w:rFonts w:ascii="Palatino Linotype" w:hAnsi="Palatino Linotype"/>
          <w:lang w:val="es-ES"/>
        </w:rPr>
        <w:t>.</w:t>
      </w:r>
      <w:r w:rsidRPr="00300A2C">
        <w:rPr>
          <w:rFonts w:ascii="Palatino Linotype" w:hAnsi="Palatino Linotype" w:cs="Arial"/>
        </w:rPr>
        <w:t xml:space="preserve"> </w:t>
      </w:r>
    </w:p>
    <w:p w14:paraId="30CE61AD" w14:textId="77777777" w:rsidR="00061FBE" w:rsidRPr="00300A2C" w:rsidRDefault="00061FBE" w:rsidP="00061FBE">
      <w:pPr>
        <w:spacing w:line="360" w:lineRule="auto"/>
        <w:jc w:val="both"/>
        <w:rPr>
          <w:rFonts w:ascii="Palatino Linotype" w:hAnsi="Palatino Linotype"/>
          <w:lang w:val="es-ES"/>
        </w:rPr>
      </w:pPr>
    </w:p>
    <w:p w14:paraId="7885F8E5" w14:textId="0D688ED2" w:rsidR="00061FBE" w:rsidRPr="00300A2C" w:rsidRDefault="00061FBE" w:rsidP="00061FBE">
      <w:pPr>
        <w:spacing w:line="360" w:lineRule="auto"/>
        <w:jc w:val="both"/>
        <w:rPr>
          <w:rFonts w:ascii="Palatino Linotype" w:eastAsia="Calibri" w:hAnsi="Palatino Linotype"/>
          <w:bCs/>
          <w:lang w:val="es-ES"/>
        </w:rPr>
      </w:pPr>
      <w:r w:rsidRPr="00300A2C">
        <w:rPr>
          <w:rFonts w:ascii="Palatino Linotype" w:eastAsia="Calibri" w:hAnsi="Palatino Linotype"/>
          <w:bCs/>
          <w:lang w:val="es-ES"/>
        </w:rPr>
        <w:t xml:space="preserve">Inconforme el particular por la respuesta del </w:t>
      </w:r>
      <w:r w:rsidRPr="00300A2C">
        <w:rPr>
          <w:rFonts w:ascii="Palatino Linotype" w:eastAsia="Calibri" w:hAnsi="Palatino Linotype"/>
          <w:b/>
          <w:lang w:val="es-ES"/>
        </w:rPr>
        <w:t>SUJETO OBLIGADO</w:t>
      </w:r>
      <w:r w:rsidRPr="00300A2C">
        <w:rPr>
          <w:rFonts w:ascii="Palatino Linotype" w:eastAsia="Calibri" w:hAnsi="Palatino Linotype"/>
          <w:bCs/>
          <w:lang w:val="es-ES"/>
        </w:rPr>
        <w:t xml:space="preserve">, interpuso el presente recurso de revisión, </w:t>
      </w:r>
      <w:r w:rsidR="008453E6" w:rsidRPr="00300A2C">
        <w:rPr>
          <w:rFonts w:ascii="Palatino Linotype" w:eastAsia="Calibri" w:hAnsi="Palatino Linotype"/>
          <w:bCs/>
          <w:lang w:val="es-ES"/>
        </w:rPr>
        <w:t xml:space="preserve">impugnado la respuesta toda vez que </w:t>
      </w:r>
      <w:r w:rsidR="003F4491" w:rsidRPr="00300A2C">
        <w:rPr>
          <w:rFonts w:ascii="Palatino Linotype" w:eastAsia="Calibri" w:hAnsi="Palatino Linotype"/>
          <w:bCs/>
          <w:lang w:val="es-ES"/>
        </w:rPr>
        <w:t>le informaron que no se encontró la información requerida en la solicitud de acceso a la información pública</w:t>
      </w:r>
      <w:r w:rsidRPr="00300A2C">
        <w:rPr>
          <w:rFonts w:ascii="Palatino Linotype" w:eastAsia="Calibri" w:hAnsi="Palatino Linotype"/>
          <w:bCs/>
          <w:lang w:val="es-ES"/>
        </w:rPr>
        <w:t>.</w:t>
      </w:r>
    </w:p>
    <w:p w14:paraId="46AA5B3B" w14:textId="77777777" w:rsidR="00061FBE" w:rsidRPr="00300A2C" w:rsidRDefault="00061FBE" w:rsidP="00061FBE">
      <w:pPr>
        <w:spacing w:line="360" w:lineRule="auto"/>
        <w:jc w:val="both"/>
        <w:rPr>
          <w:rFonts w:ascii="Palatino Linotype" w:eastAsia="Calibri" w:hAnsi="Palatino Linotype"/>
          <w:bCs/>
          <w:sz w:val="18"/>
          <w:lang w:val="es-ES"/>
        </w:rPr>
      </w:pPr>
    </w:p>
    <w:p w14:paraId="02951FE4" w14:textId="05B8CE3B" w:rsidR="008C57D6" w:rsidRPr="00300A2C" w:rsidRDefault="00E83EEE"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sidRPr="00300A2C">
        <w:rPr>
          <w:rFonts w:ascii="Palatino Linotype" w:hAnsi="Palatino Linotype"/>
        </w:rPr>
        <w:t xml:space="preserve">Ahora bien, el Bando Municipal de </w:t>
      </w:r>
      <w:r w:rsidR="004D619C" w:rsidRPr="00300A2C">
        <w:rPr>
          <w:rFonts w:ascii="Palatino Linotype" w:hAnsi="Palatino Linotype"/>
        </w:rPr>
        <w:t xml:space="preserve">Ecatepec de Morelos, </w:t>
      </w:r>
      <w:r w:rsidRPr="00300A2C">
        <w:rPr>
          <w:rFonts w:ascii="Palatino Linotype" w:hAnsi="Palatino Linotype"/>
        </w:rPr>
        <w:t>señala lo siguiente:</w:t>
      </w:r>
    </w:p>
    <w:p w14:paraId="13263B92" w14:textId="77777777" w:rsidR="00E00265" w:rsidRPr="00300A2C" w:rsidRDefault="00E00265"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3101982A" w14:textId="5A679C0B" w:rsidR="00551EAA" w:rsidRPr="00300A2C" w:rsidRDefault="004D619C"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w:t>
      </w:r>
      <w:r w:rsidR="00E00265" w:rsidRPr="00300A2C">
        <w:rPr>
          <w:rFonts w:ascii="Palatino Linotype" w:hAnsi="Palatino Linotype"/>
          <w:i/>
          <w:sz w:val="22"/>
          <w:szCs w:val="22"/>
        </w:rPr>
        <w:t>Artículo 46. La Tesorería Municipal es la unidad administrativa encargada de la recaudación de los ingresos municipales y la administración de la hacienda pública municipal, responsable de realizar y verificar las erogaciones y funciones requeridas por el H. Ayuntamiento, el Presidente Municipal Constitucional y demás dependencias de la Administración Pública Municipal, apegadas a la Constitución Política de los Estados Unidos Mexicanos, la Ley General de Contabilidad Gubernamental, la Ley de Disciplina Financiera de las Entidades Federativas y los Municipios, el Código Financiero del Estado de México y Municipios, Ley Orgánica Municipal del Estado de México, la Ley de Gobierno Digital del Estado de México y Municipios y los demás ordenamientos legales vigentes aplicables a la materia.</w:t>
      </w:r>
    </w:p>
    <w:p w14:paraId="3CC80457" w14:textId="59C52908" w:rsidR="00E00265"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b/>
          <w:i/>
          <w:sz w:val="22"/>
          <w:szCs w:val="22"/>
        </w:rPr>
        <w:t>Artículo 49.</w:t>
      </w:r>
      <w:r w:rsidRPr="00300A2C">
        <w:rPr>
          <w:rFonts w:ascii="Palatino Linotype" w:hAnsi="Palatino Linotype"/>
          <w:i/>
          <w:sz w:val="22"/>
          <w:szCs w:val="22"/>
        </w:rPr>
        <w:t xml:space="preserve"> La Dirección de Administración proveerá los recursos humanos, materiales y servicios, así como el soporte técnico y tecnológico, a las diversas áreas que conforman la Administración Pública Municipal y asignará a éstas, previa autorización del Presidente Municipal Constitucional, el personal capacitado que requiera para el cumplimiento de sus atribuciones, llevando el registro del mismo y calculará el monto de los salarios; establecerá programas de capacitación, atenderá las relaciones laborales, en coordinación con la Dirección Jurídica y Consultiva, así como llevará a cabo los procedimientos de adquisiciones de bienes y servicios y en general, cumplirá con todas las atribuciones que le otorguen las disposiciones legales que regulen sus actividades.</w:t>
      </w:r>
      <w:r w:rsidR="004D619C" w:rsidRPr="00300A2C">
        <w:rPr>
          <w:rFonts w:ascii="Palatino Linotype" w:hAnsi="Palatino Linotype"/>
          <w:i/>
          <w:sz w:val="22"/>
          <w:szCs w:val="22"/>
        </w:rPr>
        <w:t>”</w:t>
      </w:r>
    </w:p>
    <w:p w14:paraId="56F30EE2" w14:textId="77777777" w:rsidR="00E00265" w:rsidRPr="00300A2C" w:rsidRDefault="00E00265" w:rsidP="00E00265">
      <w:pPr>
        <w:spacing w:line="276" w:lineRule="auto"/>
        <w:ind w:left="851" w:right="902"/>
        <w:jc w:val="both"/>
        <w:rPr>
          <w:rFonts w:ascii="Palatino Linotype" w:hAnsi="Palatino Linotype"/>
          <w:i/>
          <w:sz w:val="22"/>
          <w:szCs w:val="22"/>
        </w:rPr>
      </w:pPr>
    </w:p>
    <w:p w14:paraId="458ED73B" w14:textId="21FF25B7" w:rsidR="00E00265" w:rsidRPr="00300A2C" w:rsidRDefault="00E00265" w:rsidP="004D619C">
      <w:pPr>
        <w:spacing w:line="360" w:lineRule="auto"/>
        <w:ind w:right="902"/>
        <w:jc w:val="both"/>
        <w:rPr>
          <w:rFonts w:ascii="Palatino Linotype" w:hAnsi="Palatino Linotype"/>
        </w:rPr>
      </w:pPr>
      <w:r w:rsidRPr="00300A2C">
        <w:rPr>
          <w:rFonts w:ascii="Palatino Linotype" w:hAnsi="Palatino Linotype"/>
        </w:rPr>
        <w:t xml:space="preserve">Por su parte el </w:t>
      </w:r>
      <w:r w:rsidR="00463E38" w:rsidRPr="00300A2C">
        <w:rPr>
          <w:rFonts w:ascii="Palatino Linotype" w:hAnsi="Palatino Linotype"/>
        </w:rPr>
        <w:t xml:space="preserve">Reglamento Interno de la Administración Pública Municipal de Ecatepec de Morelos </w:t>
      </w:r>
      <w:r w:rsidRPr="00300A2C">
        <w:rPr>
          <w:rFonts w:ascii="Palatino Linotype" w:hAnsi="Palatino Linotype"/>
        </w:rPr>
        <w:t>2019-2021, dispone:</w:t>
      </w:r>
    </w:p>
    <w:p w14:paraId="2A14451A" w14:textId="77777777" w:rsidR="00E00265" w:rsidRPr="00300A2C" w:rsidRDefault="00E00265" w:rsidP="00E00265">
      <w:pPr>
        <w:spacing w:line="276" w:lineRule="auto"/>
        <w:ind w:right="902"/>
        <w:jc w:val="both"/>
        <w:rPr>
          <w:rFonts w:ascii="Palatino Linotype" w:hAnsi="Palatino Linotype"/>
          <w:i/>
          <w:sz w:val="22"/>
          <w:szCs w:val="22"/>
        </w:rPr>
      </w:pPr>
    </w:p>
    <w:p w14:paraId="13E3D830" w14:textId="6FB71B4F" w:rsidR="00E00265" w:rsidRPr="00300A2C" w:rsidRDefault="004D619C"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w:t>
      </w:r>
      <w:r w:rsidR="00E00265" w:rsidRPr="00300A2C">
        <w:rPr>
          <w:rFonts w:ascii="Palatino Linotype" w:hAnsi="Palatino Linotype"/>
          <w:b/>
          <w:i/>
          <w:sz w:val="22"/>
          <w:szCs w:val="22"/>
        </w:rPr>
        <w:t>Artículo 29.</w:t>
      </w:r>
      <w:r w:rsidR="00E00265" w:rsidRPr="00300A2C">
        <w:rPr>
          <w:rFonts w:ascii="Palatino Linotype" w:hAnsi="Palatino Linotype"/>
          <w:i/>
          <w:sz w:val="22"/>
          <w:szCs w:val="22"/>
        </w:rPr>
        <w:t xml:space="preserve"> </w:t>
      </w:r>
      <w:r w:rsidR="00E00265" w:rsidRPr="00300A2C">
        <w:rPr>
          <w:rFonts w:ascii="Palatino Linotype" w:hAnsi="Palatino Linotype"/>
          <w:b/>
          <w:i/>
          <w:sz w:val="22"/>
          <w:szCs w:val="22"/>
        </w:rPr>
        <w:t>La Tesorería Municipal</w:t>
      </w:r>
      <w:r w:rsidR="00E00265" w:rsidRPr="00300A2C">
        <w:rPr>
          <w:rFonts w:ascii="Palatino Linotype" w:hAnsi="Palatino Linotype"/>
          <w:i/>
          <w:sz w:val="22"/>
          <w:szCs w:val="22"/>
        </w:rPr>
        <w:t xml:space="preserve"> es la unidad administrativa encargada de la recaudación de los ingresos municipales y la administración de la hacienda pública municipal, responsable de realizar las erogaciones y funciones requeridas por el H. Ayuntamiento, el Presidente Municipal Constitucional y demás dependencias de la Administración Pública Municipal, de conformidad con el Código Financiero del Estado de México y Municipios, Ley Orgánica Municipal del Estado de México, la Ley de Gobierno Digital del Estado de México y Municipios y los demás ordenamientos legales vigentes aplicables a la materia.</w:t>
      </w:r>
    </w:p>
    <w:p w14:paraId="44B2064D" w14:textId="0F1D380E" w:rsidR="00E00265"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Asimismo, deberá implementar las medidas y mecanismos previamente aprobados por el H. Ayuntamiento, tendientes a difundir el pago entre la población, ampliar la base de contribuyentes y estimular el pago oportuno. La Tesorería Municipal, a fin de cumplir su objetivo, iniciará el Procedimiento Administrativo de Ejecución apegado a la legalidad, instaurado a los contribuyentes que se encuentren en rezago de sus contribuciones. La Tesorería Municipal además tendrá las siguientes atribuciones:</w:t>
      </w:r>
    </w:p>
    <w:p w14:paraId="3F2DBB87"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I. Administrar las finanzas y la hacienda pública Municipal, de conformidad con las disposiciones legales aplicables; </w:t>
      </w:r>
    </w:p>
    <w:p w14:paraId="65A3D12D"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II. Revisará, vigilará y analizará los ingresos y egresos de la Administración Pública Municipal, con la finalidad de incrementar y acreditar la recaudación Municipal, informando al Órgano de Control Interno sobre cualquier irregularidad para transparentar una sana cuenta hacendaria. </w:t>
      </w:r>
    </w:p>
    <w:p w14:paraId="09D63B48"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III. Proveerá los recursos humanos, materiales y servicios a las diversas áreas que conforman la Administración Pública Municipal, y asignará a éstas, previa autorización del Presidente Municipal, el personal capacitado que requiera para el cumplimiento de sus atribuciones, llevando el registro del mismo, y calculará el monto de los salarios; </w:t>
      </w:r>
    </w:p>
    <w:p w14:paraId="59157C78"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IV. Establecerá programas de capacitación, atenderá las relaciones laborales, en coordinación con la Subsecretaría Jurídica, y en general, cumplirá con todas las atribuciones que le otorguen las disposiciones legales que regulen sus actividades. </w:t>
      </w:r>
    </w:p>
    <w:p w14:paraId="5B64B07A"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V. Determinar, liquidar, recaudar, fiscalizar, vigilar y administrar las contribuciones en los términos de los ordenamientos jurídicos aplicables y, en su caso, aplicar el procedimiento administrativo de ejecución en términos del Código Financiero del Estado de México y Municipios y demás disposiciones legales aplicables; </w:t>
      </w:r>
    </w:p>
    <w:p w14:paraId="7FA29B93"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VI. Opinar en la dictaminación de los procedimientos utilizados en la elaboración y cambios de los formatos utilizados en los procesos de recaudación a fin de determinar la veracidad en cuanto a la forma y fondo de los mismos, para determinar si existen o no elementos para sugerir medidas preventivas o correctivas; </w:t>
      </w:r>
    </w:p>
    <w:p w14:paraId="13893878"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VII. Revisar, vigilar y analizar los ingresos y egresos de la Administración Pública Municipal, con la finalidad de incrementar y acreditar la recaudación Municipal, informando al Órgano de Control Interno sobre cualquier irregularidad para transparentar una sana cuenta hacendaria; </w:t>
      </w:r>
    </w:p>
    <w:p w14:paraId="737D0A17"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VIII. Imponerlas sanciones administrativas que procedan por infracciones a las disposiciones fiscales; </w:t>
      </w:r>
    </w:p>
    <w:p w14:paraId="557F5925"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IX. Llevar los registros contables, financieros y administrativos de los ingresos, egresos e inventarios dando seguimiento, supervisando y vigilando las asignaciones conforme a los planes y proyectos aprobados; </w:t>
      </w:r>
    </w:p>
    <w:p w14:paraId="3A1CBAD1"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 Asesorar al H. Ayuntamiento en el ejercicio de sus funciones en materia fiscal y en la elaboración de los proyectos respectivos que deban enviarse a la Legislatura o al Gobernador del Estado, por conducto del Presidente Municipal, así como en la elaboración del proyecto de la Ley Anual de Ingresos; </w:t>
      </w:r>
    </w:p>
    <w:p w14:paraId="259A2CD1"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XI. Apoyar al H. Ayuntamiento en la elaboración del proyecto del Presupuesto de Egresos Municipales, proporcionando todos los datos e informes que se le requieran, vigilando que el mismo se ajuste a las disposiciones que las normas jurídicas establecen, además, intervendrá en la elaboración del programa financiero Municipal, así como en la elaboración del presupuesto definitivo anual de egresos; XII. Establecer los sistemas de avance, promoviendo, fomentando y orientando el proceso de desarrollo en el Municipio, en relación con los programas en los que tenga injerencia conforme a sus atribuciones; </w:t>
      </w:r>
    </w:p>
    <w:p w14:paraId="302F94C8"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XIII. Proponer al Ejecutivo Municipal la política de ingresos y, en su caso, la cancelación de cuentas 22 incobrables para su debida aprobación por el H. Ayuntamiento; </w:t>
      </w:r>
    </w:p>
    <w:p w14:paraId="322F4936"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XIV. Custodiar y ejercer las garantías que se otorguen a favor de la hacienda Municipal; </w:t>
      </w:r>
    </w:p>
    <w:p w14:paraId="54A7B69F"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XV. Formular y presentar al Segundo Síndico y al Presidente Municipal, informes mensuales y la integración anual de la cuenta pública del H. Ayuntamiento, que debe rendir éste, al Órgano Superior de Fiscalización del Poder Legislativo del Estado de México; </w:t>
      </w:r>
    </w:p>
    <w:p w14:paraId="0035B653"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XVI. Recibir, resguardar y liberar, en su caso, los recursos de los programas federales y/o estatales de conformidad con la normatividad aplicable; </w:t>
      </w:r>
    </w:p>
    <w:p w14:paraId="4750AE33"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XVII. Ministrar a su inmediato antecesor todos los datos oficiales que le solicite, para contestar los pliegos de observaciones y alcances que formule y deduzca al Órgano Superior de Fiscalización del Poder Legislativo del Estado de México; </w:t>
      </w:r>
    </w:p>
    <w:p w14:paraId="5DE40240"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XVIII. Elaborar y mantener actualizado el padrón de contribuyentes; </w:t>
      </w:r>
    </w:p>
    <w:p w14:paraId="52B66071"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XIX. Solicitar a las instancias competentes la práctica de revisiones circunstanciadas, de conformidad con las normas que rigen en materia de control y evaluación gubernamental en el ámbito Municipal; </w:t>
      </w:r>
    </w:p>
    <w:p w14:paraId="15D64F1C"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XX. Glosar oportunamente las cuentas del H. Ayuntamiento; </w:t>
      </w:r>
    </w:p>
    <w:p w14:paraId="3FB2F76D"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XXI. Contestar oportunamente los pliegos de observaciones y recomendaciones que en su materia haga la Auditoría Superior de la Federación de la Cámara de Diputados y el Órgano Superior de Fiscalización del Poder Legislativo del Estado de México XXII. Certificar la existencia de los documentos a su cuidado de conformidad con lo establecido en la fracción XVIII del artículo 95 de la Ley Orgánica Municipal del Estado de México; </w:t>
      </w:r>
    </w:p>
    <w:p w14:paraId="377C51C1"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XXIII. Ordenar visitas domiciliarias, así como la realización de auditorías fiscales, de acuerdo con las disposiciones legales aplicables; </w:t>
      </w:r>
    </w:p>
    <w:p w14:paraId="750D0069"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XXIV. Coadyuvar en los juicios y procedimientos jurisdiccionales cuando sea afectada la hacienda pública Municipal, con los órganos Municipales competentes; XXV. Efectuar las compras que requieran las distintas dependencias, ajustándose a las disposiciones legales en la materia; </w:t>
      </w:r>
    </w:p>
    <w:p w14:paraId="3942AD19"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XXVI. Integrar y actualizar el catálogo general de proveedores; </w:t>
      </w:r>
    </w:p>
    <w:p w14:paraId="2539C62E"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b/>
          <w:i/>
          <w:sz w:val="22"/>
          <w:szCs w:val="22"/>
        </w:rPr>
        <w:t>XXVII. Planear, organizar, integrar, dirigir, y controlar las licitaciones públicas, las restringidas y las adjudicaciones directas que se requieran para cubrir las necesidades de la Administración Pública Municipal, tanto las generales, como aquellas que sean necesarias para la concesión de la prestación de algún servicio público que no se encuentre prohibido por norma jurídica alguna, de acuerdo a los requisitos establecidos en las diversas disposiciones legales aplicables</w:t>
      </w:r>
      <w:r w:rsidRPr="00300A2C">
        <w:rPr>
          <w:rFonts w:ascii="Palatino Linotype" w:hAnsi="Palatino Linotype"/>
          <w:i/>
          <w:sz w:val="22"/>
          <w:szCs w:val="22"/>
        </w:rPr>
        <w:t xml:space="preserve"> </w:t>
      </w:r>
    </w:p>
    <w:p w14:paraId="793DA3B6"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u w:val="single"/>
        </w:rPr>
        <w:t>XXVIII. Proveer al Gobierno Municipal y a las distintas áreas que conforman la Administración Pública Municipal, de los bienes y servicios que requieran para el desarrollo eficaz de sus funciones</w:t>
      </w:r>
      <w:r w:rsidRPr="00300A2C">
        <w:rPr>
          <w:rFonts w:ascii="Palatino Linotype" w:hAnsi="Palatino Linotype"/>
          <w:i/>
          <w:sz w:val="22"/>
          <w:szCs w:val="22"/>
        </w:rPr>
        <w:t xml:space="preserve">; </w:t>
      </w:r>
    </w:p>
    <w:p w14:paraId="447B51B5" w14:textId="77777777" w:rsidR="00463E38" w:rsidRPr="00300A2C" w:rsidRDefault="00E00265" w:rsidP="00E00265">
      <w:pPr>
        <w:spacing w:line="276" w:lineRule="auto"/>
        <w:ind w:left="851" w:right="902"/>
        <w:jc w:val="both"/>
        <w:rPr>
          <w:rFonts w:ascii="Palatino Linotype" w:hAnsi="Palatino Linotype"/>
          <w:i/>
          <w:sz w:val="22"/>
          <w:szCs w:val="22"/>
          <w:u w:val="single"/>
        </w:rPr>
      </w:pPr>
      <w:r w:rsidRPr="00300A2C">
        <w:rPr>
          <w:rFonts w:ascii="Palatino Linotype" w:hAnsi="Palatino Linotype"/>
          <w:i/>
          <w:sz w:val="22"/>
          <w:szCs w:val="22"/>
          <w:u w:val="single"/>
        </w:rPr>
        <w:t xml:space="preserve">XXIX. Solicitar a las distintas áreas de la Administración Pública Municipal, que presenten antes del quince de noviembre de cada año, los datos necesarios para formular el programa anual de requerimientos de la Administración Pública Municipal; </w:t>
      </w:r>
    </w:p>
    <w:p w14:paraId="289D2B9B"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XXX. Integrar y actualizar los registros de información gráfica y alfanumérica respecto de los lotes, edificaciones, infraestructura y equipamiento urbano del Municipio; </w:t>
      </w:r>
    </w:p>
    <w:p w14:paraId="4F66175A"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XXXI. Establecer conforme a los lineamientos del Instituto de Información e Investigación Geográfica, Estadística y Catastral del Estado de México, las zonas y sectores catastrales del Municipio, así como las calificaciones y cálculos relativos a los indicadores y diferenciales para el impuesto predial; </w:t>
      </w:r>
    </w:p>
    <w:p w14:paraId="3D1DB4FC"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XXXII. Generar productos cartográficos y estadísticos multifinalitarios para las necesidades de planeación que requiera el H. Ayuntamiento; </w:t>
      </w:r>
    </w:p>
    <w:p w14:paraId="330F06A7" w14:textId="77777777" w:rsidR="00463E38"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XXXIII. Integrar y custodiar el acervo informático, estadístico, cartográfico, de indicadores socioeconómicos de información y de su historia; </w:t>
      </w:r>
    </w:p>
    <w:p w14:paraId="6EFC1FC4" w14:textId="6E64E74D" w:rsidR="00E00265" w:rsidRPr="00300A2C" w:rsidRDefault="00E00265" w:rsidP="00E00265">
      <w:pPr>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XXXIV. Elaborar el diseño, levantamiento y procesamiento de censos, encuestas y muestreos sobre las variables económicas, catastrales y demográficas del Municipio; XXXV. Proponer la realización de convenios concernientes al intercambio de información y datos</w:t>
      </w:r>
      <w:r w:rsidR="00463E38" w:rsidRPr="00300A2C">
        <w:rPr>
          <w:rFonts w:ascii="Palatino Linotype" w:hAnsi="Palatino Linotype"/>
          <w:i/>
          <w:sz w:val="22"/>
          <w:szCs w:val="22"/>
        </w:rPr>
        <w:t xml:space="preserve"> sobre la población y territorio de nuestro Municipio, con las demás entidades públicas Federales, Estatales y Municipales;</w:t>
      </w:r>
    </w:p>
    <w:p w14:paraId="6A1F36CC" w14:textId="77777777" w:rsidR="00E00265" w:rsidRPr="00300A2C" w:rsidRDefault="00E00265" w:rsidP="00E00265">
      <w:pPr>
        <w:spacing w:line="276" w:lineRule="auto"/>
        <w:ind w:left="851" w:right="902"/>
        <w:jc w:val="both"/>
      </w:pPr>
    </w:p>
    <w:p w14:paraId="300A5EC6" w14:textId="466B8A64" w:rsidR="00463E38" w:rsidRPr="00300A2C" w:rsidRDefault="00463E38" w:rsidP="00551EAA">
      <w:pPr>
        <w:spacing w:line="360" w:lineRule="auto"/>
        <w:jc w:val="both"/>
        <w:rPr>
          <w:rFonts w:ascii="Palatino Linotype" w:hAnsi="Palatino Linotype" w:cs="Arial"/>
          <w:lang w:val="es-ES"/>
        </w:rPr>
      </w:pPr>
      <w:r w:rsidRPr="00300A2C">
        <w:rPr>
          <w:rFonts w:ascii="Palatino Linotype" w:hAnsi="Palatino Linotype" w:cs="Arial"/>
          <w:lang w:val="es-ES"/>
        </w:rPr>
        <w:t>De la normativa en estudio, se desprende que la Unidad Administrativa que lleva a cabo la Planeación, organización, integración; así como la de dirigir, y controlar las licitaciones públicas, las restringidas y las adjudicaciones directas que se requieran para cubrir las necesidades de la Administración Pública Municipal, es la Tesorería Municipal.</w:t>
      </w:r>
    </w:p>
    <w:p w14:paraId="5E9FA91F" w14:textId="77777777" w:rsidR="004D619C" w:rsidRPr="00300A2C" w:rsidRDefault="004D619C" w:rsidP="00551EAA">
      <w:pPr>
        <w:spacing w:line="360" w:lineRule="auto"/>
        <w:jc w:val="both"/>
        <w:rPr>
          <w:rFonts w:ascii="Palatino Linotype" w:hAnsi="Palatino Linotype" w:cs="Arial"/>
          <w:lang w:val="es-ES"/>
        </w:rPr>
      </w:pPr>
    </w:p>
    <w:p w14:paraId="2E27FB2E" w14:textId="4947EBD0" w:rsidR="004D619C" w:rsidRPr="00300A2C" w:rsidRDefault="004D619C" w:rsidP="00551EAA">
      <w:pPr>
        <w:spacing w:line="360" w:lineRule="auto"/>
        <w:jc w:val="both"/>
        <w:rPr>
          <w:rFonts w:ascii="Palatino Linotype" w:hAnsi="Palatino Linotype" w:cs="Arial"/>
        </w:rPr>
      </w:pPr>
      <w:r w:rsidRPr="00300A2C">
        <w:rPr>
          <w:rFonts w:ascii="Palatino Linotype" w:hAnsi="Palatino Linotype" w:cs="Arial"/>
          <w:lang w:val="es-ES"/>
        </w:rPr>
        <w:t xml:space="preserve">Por lo anterior, si bien es cierto el </w:t>
      </w:r>
      <w:r w:rsidRPr="00300A2C">
        <w:rPr>
          <w:rFonts w:ascii="Palatino Linotype" w:hAnsi="Palatino Linotype" w:cs="Arial"/>
        </w:rPr>
        <w:t>Subdirector de Adquisiciones y Licitaciones dio respuesta a la Solicitud de acceso a la información pública, también lo es, que no siguió el procedimiento establecido en el artículo 162 de la Ley de Transparencia y Acceso a la Información Pública del Estado de México y Municipios que dispone:</w:t>
      </w:r>
    </w:p>
    <w:p w14:paraId="672E5F61" w14:textId="77777777" w:rsidR="004D619C" w:rsidRPr="00300A2C" w:rsidRDefault="004D619C" w:rsidP="00551EAA">
      <w:pPr>
        <w:spacing w:line="360" w:lineRule="auto"/>
        <w:jc w:val="both"/>
        <w:rPr>
          <w:rFonts w:ascii="Palatino Linotype" w:hAnsi="Palatino Linotype" w:cs="Arial"/>
        </w:rPr>
      </w:pPr>
    </w:p>
    <w:p w14:paraId="790DFDC0" w14:textId="4B56599B" w:rsidR="004D619C" w:rsidRPr="00300A2C" w:rsidRDefault="004D619C" w:rsidP="004D619C">
      <w:pPr>
        <w:spacing w:line="276" w:lineRule="auto"/>
        <w:ind w:left="851" w:right="899"/>
        <w:jc w:val="both"/>
        <w:rPr>
          <w:rFonts w:ascii="Palatino Linotype" w:hAnsi="Palatino Linotype" w:cs="Arial"/>
          <w:i/>
          <w:sz w:val="22"/>
          <w:szCs w:val="22"/>
          <w:lang w:val="es-ES"/>
        </w:rPr>
      </w:pPr>
      <w:r w:rsidRPr="00300A2C">
        <w:rPr>
          <w:rFonts w:ascii="Palatino Linotype" w:hAnsi="Palatino Linotype"/>
          <w:i/>
          <w:sz w:val="22"/>
          <w:szCs w:val="22"/>
        </w:rPr>
        <w:t>“</w:t>
      </w:r>
      <w:r w:rsidRPr="00300A2C">
        <w:rPr>
          <w:rFonts w:ascii="Palatino Linotype" w:hAnsi="Palatino Linotype"/>
          <w:b/>
          <w:i/>
          <w:sz w:val="22"/>
          <w:szCs w:val="22"/>
        </w:rPr>
        <w:t>Artículo 162</w:t>
      </w:r>
      <w:r w:rsidRPr="00300A2C">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ABB16EF" w14:textId="77777777" w:rsidR="00463E38" w:rsidRPr="00300A2C" w:rsidRDefault="00463E38" w:rsidP="00551EAA">
      <w:pPr>
        <w:spacing w:line="360" w:lineRule="auto"/>
        <w:jc w:val="both"/>
        <w:rPr>
          <w:rFonts w:ascii="Palatino Linotype" w:hAnsi="Palatino Linotype" w:cs="Arial"/>
          <w:lang w:val="es-ES"/>
        </w:rPr>
      </w:pPr>
    </w:p>
    <w:p w14:paraId="1B03F831" w14:textId="41F0C92C" w:rsidR="004D619C" w:rsidRPr="00300A2C" w:rsidRDefault="004D619C" w:rsidP="00551EAA">
      <w:pPr>
        <w:spacing w:line="360" w:lineRule="auto"/>
        <w:jc w:val="both"/>
        <w:rPr>
          <w:rFonts w:ascii="Palatino Linotype" w:hAnsi="Palatino Linotype" w:cs="Arial"/>
          <w:lang w:val="es-ES"/>
        </w:rPr>
      </w:pPr>
      <w:r w:rsidRPr="00300A2C">
        <w:rPr>
          <w:rFonts w:ascii="Palatino Linotype" w:hAnsi="Palatino Linotype" w:cs="Arial"/>
          <w:lang w:val="es-ES"/>
        </w:rPr>
        <w:t xml:space="preserve">Atento a la normativa, es que a efecto de garantizar un pleno ejercicio del Derecho Constitucional de acceso a la información pública </w:t>
      </w:r>
      <w:r w:rsidRPr="00300A2C">
        <w:rPr>
          <w:rFonts w:ascii="Palatino Linotype" w:hAnsi="Palatino Linotype" w:cs="Arial"/>
          <w:b/>
          <w:lang w:val="es-ES"/>
        </w:rPr>
        <w:t>EL SUJETO OBLIGADO</w:t>
      </w:r>
      <w:r w:rsidRPr="00300A2C">
        <w:rPr>
          <w:rFonts w:ascii="Palatino Linotype" w:hAnsi="Palatino Linotype" w:cs="Arial"/>
          <w:lang w:val="es-ES"/>
        </w:rPr>
        <w:t xml:space="preserve"> debe requerir a todas las áreas que conforman el mismo, con el objeto de darle certeza jurídica al particular que se buscó la información que obra en poder de los servidores públicos, garantizado una efectiva rendición de cuentas.</w:t>
      </w:r>
    </w:p>
    <w:p w14:paraId="1FA6A87B" w14:textId="6589C2E4" w:rsidR="004D619C" w:rsidRPr="00300A2C" w:rsidRDefault="004D619C" w:rsidP="00551EAA">
      <w:pPr>
        <w:spacing w:line="360" w:lineRule="auto"/>
        <w:jc w:val="both"/>
        <w:rPr>
          <w:rFonts w:ascii="Palatino Linotype" w:hAnsi="Palatino Linotype" w:cs="Arial"/>
          <w:lang w:val="es-ES"/>
        </w:rPr>
      </w:pPr>
      <w:r w:rsidRPr="00300A2C">
        <w:rPr>
          <w:rFonts w:ascii="Palatino Linotype" w:hAnsi="Palatino Linotype" w:cs="Arial"/>
          <w:lang w:val="es-ES"/>
        </w:rPr>
        <w:t>Ahora bien, personal de esta Ponencia Resolutora revis</w:t>
      </w:r>
      <w:r w:rsidR="00737A2C" w:rsidRPr="00300A2C">
        <w:rPr>
          <w:rFonts w:ascii="Palatino Linotype" w:hAnsi="Palatino Linotype" w:cs="Arial"/>
          <w:lang w:val="es-ES"/>
        </w:rPr>
        <w:t>ó</w:t>
      </w:r>
      <w:r w:rsidR="00C37A6F" w:rsidRPr="00300A2C">
        <w:rPr>
          <w:rFonts w:ascii="Palatino Linotype" w:hAnsi="Palatino Linotype" w:cs="Arial"/>
          <w:lang w:val="es-ES"/>
        </w:rPr>
        <w:t xml:space="preserve"> sitios de internet encontrando lo siguiente:</w:t>
      </w:r>
    </w:p>
    <w:p w14:paraId="12619AB9" w14:textId="09092BBA" w:rsidR="00C37A6F" w:rsidRPr="00300A2C" w:rsidRDefault="00A560CD" w:rsidP="00551EAA">
      <w:pPr>
        <w:spacing w:line="360" w:lineRule="auto"/>
        <w:jc w:val="both"/>
        <w:rPr>
          <w:noProof/>
          <w:lang w:eastAsia="es-MX"/>
        </w:rPr>
      </w:pPr>
      <w:r w:rsidRPr="00300A2C">
        <w:rPr>
          <w:noProof/>
          <w:lang w:eastAsia="es-MX"/>
        </w:rPr>
        <w:t xml:space="preserve"> </w:t>
      </w:r>
      <w:r w:rsidRPr="00300A2C">
        <w:rPr>
          <w:noProof/>
          <w:lang w:eastAsia="es-MX"/>
        </w:rPr>
        <w:drawing>
          <wp:inline distT="0" distB="0" distL="0" distR="0" wp14:anchorId="062054C9" wp14:editId="6C8D4323">
            <wp:extent cx="5703529" cy="66004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246" t="24112" r="36622" b="24689"/>
                    <a:stretch/>
                  </pic:blipFill>
                  <pic:spPr bwMode="auto">
                    <a:xfrm>
                      <a:off x="0" y="0"/>
                      <a:ext cx="5768021" cy="66750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DBDE5E" w14:textId="5D7FDED0" w:rsidR="00A560CD" w:rsidRPr="00300A2C" w:rsidRDefault="00A560CD" w:rsidP="00551EAA">
      <w:pPr>
        <w:spacing w:line="360" w:lineRule="auto"/>
        <w:jc w:val="both"/>
        <w:rPr>
          <w:rFonts w:ascii="Palatino Linotype" w:hAnsi="Palatino Linotype" w:cs="Arial"/>
          <w:lang w:val="es-ES"/>
        </w:rPr>
      </w:pPr>
      <w:r w:rsidRPr="00300A2C">
        <w:rPr>
          <w:noProof/>
          <w:lang w:eastAsia="es-MX"/>
        </w:rPr>
        <w:drawing>
          <wp:inline distT="0" distB="0" distL="0" distR="0" wp14:anchorId="0D93AF73" wp14:editId="7B4B9BA7">
            <wp:extent cx="5711190" cy="4095482"/>
            <wp:effectExtent l="0" t="0" r="381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567" t="15811" r="28492" b="18155"/>
                    <a:stretch/>
                  </pic:blipFill>
                  <pic:spPr bwMode="auto">
                    <a:xfrm>
                      <a:off x="0" y="0"/>
                      <a:ext cx="5734857" cy="41124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5D37B6" w14:textId="53EAC3A6" w:rsidR="00C37A6F" w:rsidRPr="00300A2C" w:rsidRDefault="00C37A6F" w:rsidP="00C37A6F">
      <w:pPr>
        <w:spacing w:before="120" w:after="120" w:line="360" w:lineRule="auto"/>
        <w:jc w:val="both"/>
        <w:rPr>
          <w:rFonts w:ascii="Palatino Linotype" w:hAnsi="Palatino Linotype" w:cs="Arial"/>
          <w:bCs/>
        </w:rPr>
      </w:pPr>
      <w:r w:rsidRPr="00300A2C">
        <w:rPr>
          <w:rFonts w:ascii="Palatino Linotype" w:hAnsi="Palatino Linotype" w:cs="Arial"/>
          <w:bCs/>
        </w:rPr>
        <w:t xml:space="preserve">De esta forma, no pasa inadvertido para esta Ponencia Resolutora el contenido de diversas ligas electrónicas </w:t>
      </w:r>
      <w:r w:rsidRPr="00300A2C">
        <w:rPr>
          <w:rFonts w:ascii="Palatino Linotype" w:hAnsi="Palatino Linotype"/>
        </w:rPr>
        <w:t xml:space="preserve">consistentes en: </w:t>
      </w:r>
      <w:r w:rsidRPr="00300A2C">
        <w:rPr>
          <w:rFonts w:ascii="Palatino Linotype" w:hAnsi="Palatino Linotype" w:cs="Arial"/>
          <w:bCs/>
        </w:rPr>
        <w:t xml:space="preserve">notas periodísticas, por lo que se advierten indicios de la </w:t>
      </w:r>
      <w:r w:rsidR="00A560CD" w:rsidRPr="00300A2C">
        <w:rPr>
          <w:rFonts w:ascii="Palatino Linotype" w:hAnsi="Palatino Linotype" w:cs="Arial"/>
          <w:bCs/>
        </w:rPr>
        <w:t>información requerida</w:t>
      </w:r>
      <w:r w:rsidRPr="00300A2C">
        <w:rPr>
          <w:rFonts w:ascii="Palatino Linotype" w:hAnsi="Palatino Linotype" w:cs="Arial"/>
          <w:bCs/>
        </w:rPr>
        <w:t>.</w:t>
      </w:r>
    </w:p>
    <w:p w14:paraId="0D309117" w14:textId="1FF05D7A" w:rsidR="00DD7513" w:rsidRPr="00300A2C" w:rsidRDefault="00DD7513" w:rsidP="00C37A6F">
      <w:pPr>
        <w:spacing w:before="120" w:after="120" w:line="360" w:lineRule="auto"/>
        <w:jc w:val="both"/>
        <w:rPr>
          <w:rFonts w:ascii="Palatino Linotype" w:hAnsi="Palatino Linotype" w:cs="Arial"/>
          <w:bCs/>
        </w:rPr>
      </w:pPr>
      <w:r w:rsidRPr="00300A2C">
        <w:rPr>
          <w:rFonts w:ascii="Palatino Linotype" w:hAnsi="Palatino Linotype" w:cs="Arial"/>
          <w:bCs/>
        </w:rPr>
        <w:t>Asimismo, del número otorgado por el particular, se desprende dentro de la nomenclatura como AD, lo que conlleva a presumir que se trata de una adjudicación directa y no a una licitación pública; por lo que en términos del ordinal 13 y 181 de la Ley de la materia, resulta conveniente suplir al particular a efecto que independientemente de la modalidad de adjudicación, si se celebró el contrato, deberá hacer entrega de la información requerida para el caso que se hubiese signado el mismo.</w:t>
      </w:r>
    </w:p>
    <w:p w14:paraId="70609FC1" w14:textId="77777777" w:rsidR="00A560CD" w:rsidRPr="00300A2C" w:rsidRDefault="00A560CD" w:rsidP="00C37A6F">
      <w:pPr>
        <w:spacing w:before="120" w:after="120" w:line="360" w:lineRule="auto"/>
        <w:jc w:val="both"/>
        <w:rPr>
          <w:rFonts w:ascii="Palatino Linotype" w:hAnsi="Palatino Linotype" w:cs="Arial"/>
          <w:bCs/>
        </w:rPr>
      </w:pPr>
    </w:p>
    <w:p w14:paraId="392F20A7" w14:textId="77777777" w:rsidR="00C37A6F" w:rsidRPr="00300A2C" w:rsidRDefault="00C37A6F" w:rsidP="00C37A6F">
      <w:pPr>
        <w:spacing w:before="120" w:after="120" w:line="360" w:lineRule="auto"/>
        <w:jc w:val="both"/>
        <w:rPr>
          <w:rFonts w:ascii="Palatino Linotype" w:hAnsi="Palatino Linotype" w:cs="Arial"/>
          <w:bCs/>
        </w:rPr>
      </w:pPr>
      <w:r w:rsidRPr="00300A2C">
        <w:rPr>
          <w:rFonts w:ascii="Palatino Linotype" w:hAnsi="Palatino Linotype" w:cs="Arial"/>
          <w:bCs/>
        </w:rPr>
        <w:t>Al respecto, por lo que hace al contenido de las diversas ligas que contienen notas periodísticas de diversas fuentes de noticias digitales esta Ponencia Resolutora, advierte que carecen de valor y eficacia probatoria, puesto que tienen el carácter de documento privado que, en su caso, sólo acreditan que se realizaron en el modo, tiempo y lugar en ellas se haga referencia, sin que por sí mismas tengan por efecto acreditar los hechos a que se contienen, ya que no reúnen las características que deben contener los documentos públicos, por lo que lo señalado en su contenido, no puede considerarse como un hecho público y notorio, pues aun y cuando no pudiera ser desmentida por quienes se considerasen afectados por su contenido, éste solamente le es imputable al autor de la misma, mas no así, a quienes se ven involucrados en la noticia correspondiente.</w:t>
      </w:r>
    </w:p>
    <w:p w14:paraId="45DD90E5" w14:textId="77777777" w:rsidR="00A560CD" w:rsidRPr="00300A2C" w:rsidRDefault="00A560CD" w:rsidP="00C37A6F">
      <w:pPr>
        <w:spacing w:before="120" w:after="120" w:line="360" w:lineRule="auto"/>
        <w:jc w:val="both"/>
        <w:rPr>
          <w:rFonts w:ascii="Palatino Linotype" w:hAnsi="Palatino Linotype" w:cs="Arial"/>
          <w:bCs/>
          <w:sz w:val="14"/>
        </w:rPr>
      </w:pPr>
    </w:p>
    <w:p w14:paraId="600470D8" w14:textId="77777777" w:rsidR="00C37A6F" w:rsidRPr="00300A2C" w:rsidRDefault="00C37A6F" w:rsidP="00C37A6F">
      <w:pPr>
        <w:spacing w:before="120" w:after="120" w:line="360" w:lineRule="auto"/>
        <w:jc w:val="both"/>
        <w:rPr>
          <w:rFonts w:ascii="Palatino Linotype" w:hAnsi="Palatino Linotype" w:cs="Arial"/>
          <w:bCs/>
        </w:rPr>
      </w:pPr>
      <w:r w:rsidRPr="00300A2C">
        <w:rPr>
          <w:rFonts w:ascii="Palatino Linotype" w:hAnsi="Palatino Linotype" w:cs="Arial"/>
          <w:bCs/>
        </w:rPr>
        <w:t xml:space="preserve">Sirve de sustento a lo anterior, las Tesis Aisladas aplicables por analogía en nuestra materia, con números de registro 173244 y 203623 de la Novena Época del Cuarto y Décimo Tercer Tribunal Colegiado en Materia de Trabajo del Primer Circuito, publicadas en la página 1827 del Tomo XXV, de febrero de 2007 y página 541 del Tomo II, de diciembre de 1995, respectivamente, del Semanario Judicial de la Federación y su Gaceta, que es del tenor literal siguiente: </w:t>
      </w:r>
    </w:p>
    <w:p w14:paraId="256A07EE" w14:textId="77777777" w:rsidR="00C37A6F" w:rsidRPr="00300A2C" w:rsidRDefault="00C37A6F" w:rsidP="00C37A6F">
      <w:pPr>
        <w:spacing w:before="120" w:after="120" w:line="276" w:lineRule="auto"/>
        <w:ind w:left="709" w:right="709"/>
        <w:jc w:val="both"/>
        <w:rPr>
          <w:rFonts w:ascii="Palatino Linotype" w:hAnsi="Palatino Linotype" w:cs="Arial"/>
          <w:i/>
          <w:iCs/>
          <w:lang w:eastAsia="es-MX"/>
        </w:rPr>
      </w:pPr>
      <w:r w:rsidRPr="00300A2C">
        <w:rPr>
          <w:rFonts w:ascii="Palatino Linotype" w:hAnsi="Palatino Linotype" w:cs="Arial"/>
          <w:i/>
          <w:iCs/>
          <w:lang w:eastAsia="es-MX"/>
        </w:rPr>
        <w:t>“</w:t>
      </w:r>
      <w:r w:rsidRPr="00300A2C">
        <w:rPr>
          <w:rFonts w:ascii="Palatino Linotype" w:hAnsi="Palatino Linotype" w:cs="Arial"/>
          <w:b/>
          <w:i/>
          <w:iCs/>
          <w:lang w:eastAsia="es-MX"/>
        </w:rPr>
        <w:t>NOTAS PERIODÍSTICAS. AL TENER EN EL PROCEDIMIENTO LABORAL EL CARÁCTER DE INSTRUMENTOS PRIVADOS CARECEN DE EFICACIA PROBATORIA, POR SÍ MISMAS, PARA ACREDITAR LOS HECHOS CONTENIDOS EN ELLAS SI NO SON CORROBORADAS CON OTROS MEDIOS DE PRUEBA</w:t>
      </w:r>
      <w:r w:rsidRPr="00300A2C">
        <w:rPr>
          <w:rFonts w:ascii="Palatino Linotype" w:hAnsi="Palatino Linotype" w:cs="Arial"/>
          <w:i/>
          <w:iCs/>
          <w:lang w:eastAsia="es-MX"/>
        </w:rPr>
        <w:t xml:space="preserve">. </w:t>
      </w:r>
      <w:r w:rsidRPr="00300A2C">
        <w:rPr>
          <w:rFonts w:ascii="Palatino Linotype" w:hAnsi="Palatino Linotype" w:cs="Arial"/>
          <w:b/>
          <w:i/>
          <w:iCs/>
          <w:u w:val="single"/>
          <w:lang w:eastAsia="es-MX"/>
        </w:rPr>
        <w:t>Las publicaciones contenidas en los medios informativos</w:t>
      </w:r>
      <w:r w:rsidRPr="00300A2C">
        <w:rPr>
          <w:rFonts w:ascii="Palatino Linotype" w:hAnsi="Palatino Linotype" w:cs="Arial"/>
          <w:i/>
          <w:iCs/>
          <w:lang w:eastAsia="es-MX"/>
        </w:rPr>
        <w:t xml:space="preserve">, como los periódicos, </w:t>
      </w:r>
      <w:r w:rsidRPr="00300A2C">
        <w:rPr>
          <w:rFonts w:ascii="Palatino Linotype" w:hAnsi="Palatino Linotype" w:cs="Arial"/>
          <w:b/>
          <w:i/>
          <w:iCs/>
          <w:u w:val="single"/>
          <w:lang w:eastAsia="es-MX"/>
        </w:rPr>
        <w:t>únicamente son aptas para acreditar que se realizaron en el modo, tiempo y lugar en ellas referidos</w:t>
      </w:r>
      <w:r w:rsidRPr="00300A2C">
        <w:rPr>
          <w:rFonts w:ascii="Palatino Linotype" w:hAnsi="Palatino Linotype" w:cs="Arial"/>
          <w:i/>
          <w:iCs/>
          <w:lang w:eastAsia="es-MX"/>
        </w:rPr>
        <w:t xml:space="preserve">; </w:t>
      </w:r>
      <w:r w:rsidRPr="00300A2C">
        <w:rPr>
          <w:rFonts w:ascii="Palatino Linotype" w:hAnsi="Palatino Linotype" w:cs="Arial"/>
          <w:b/>
          <w:i/>
          <w:iCs/>
          <w:u w:val="single"/>
          <w:lang w:eastAsia="es-MX"/>
        </w:rPr>
        <w:t>sin embargo,</w:t>
      </w:r>
      <w:r w:rsidRPr="00300A2C">
        <w:rPr>
          <w:rFonts w:ascii="Palatino Linotype" w:hAnsi="Palatino Linotype" w:cs="Arial"/>
          <w:i/>
          <w:iCs/>
          <w:lang w:eastAsia="es-MX"/>
        </w:rPr>
        <w:t xml:space="preserve"> en el procedimiento laboral </w:t>
      </w:r>
      <w:r w:rsidRPr="00300A2C">
        <w:rPr>
          <w:rFonts w:ascii="Palatino Linotype" w:hAnsi="Palatino Linotype" w:cs="Arial"/>
          <w:b/>
          <w:i/>
          <w:iCs/>
          <w:u w:val="single"/>
          <w:lang w:eastAsia="es-MX"/>
        </w:rPr>
        <w:t>carecen de eficacia probatoria, por sí mismas, para acreditar los hechos a que se contraen, por no reunir las características que deben contener los documentos públicos</w:t>
      </w:r>
      <w:r w:rsidRPr="00300A2C">
        <w:rPr>
          <w:rFonts w:ascii="Palatino Linotype" w:hAnsi="Palatino Linotype" w:cs="Arial"/>
          <w:i/>
          <w:iCs/>
          <w:lang w:eastAsia="es-MX"/>
        </w:rPr>
        <w:t xml:space="preserve"> en términos del artículo 795 de la Ley Federal del Trabajo, y si bien podría considerarse que los ejemplares de los medios de comunicación impresos o diarios informativos son instrumentos privados, sin embargo, </w:t>
      </w:r>
      <w:r w:rsidRPr="00300A2C">
        <w:rPr>
          <w:rFonts w:ascii="Palatino Linotype" w:hAnsi="Palatino Linotype" w:cs="Arial"/>
          <w:b/>
          <w:i/>
          <w:iCs/>
          <w:u w:val="single"/>
          <w:lang w:eastAsia="es-MX"/>
        </w:rPr>
        <w:t>no los hace aptos para estimar que la información que contienen y que hacen del conocimiento público se encuentre apegada a la realidad, toda vez que ésta surge de la investigación periodística y de la interpretación personal que haga su redactor</w:t>
      </w:r>
      <w:r w:rsidRPr="00300A2C">
        <w:rPr>
          <w:rFonts w:ascii="Palatino Linotype" w:hAnsi="Palatino Linotype" w:cs="Arial"/>
          <w:i/>
          <w:iCs/>
          <w:lang w:eastAsia="es-MX"/>
        </w:rPr>
        <w:t>. Por tanto, lo consignado en una nota periodística no debe tenerse como un hecho verídico, pues al margen de que el reportaje fuere o no desmentido por quien resultare afectado con su publicación, su veracidad se encuentra supeditada a que se corrobore por otros medios de prueba.</w:t>
      </w:r>
    </w:p>
    <w:p w14:paraId="6FBEF9CB" w14:textId="77777777" w:rsidR="00C37A6F" w:rsidRPr="00300A2C" w:rsidRDefault="00C37A6F" w:rsidP="00C37A6F">
      <w:pPr>
        <w:spacing w:before="120" w:after="120" w:line="276" w:lineRule="auto"/>
        <w:ind w:left="709" w:right="709"/>
        <w:jc w:val="both"/>
        <w:rPr>
          <w:rFonts w:ascii="Palatino Linotype" w:hAnsi="Palatino Linotype" w:cs="Arial"/>
          <w:i/>
          <w:iCs/>
          <w:lang w:eastAsia="es-MX"/>
        </w:rPr>
      </w:pPr>
      <w:r w:rsidRPr="00300A2C">
        <w:rPr>
          <w:rFonts w:ascii="Palatino Linotype" w:hAnsi="Palatino Linotype" w:cs="Arial"/>
          <w:i/>
          <w:iCs/>
          <w:lang w:eastAsia="es-MX"/>
        </w:rPr>
        <w:t>DÉCIMO TERCER TRIBUNAL COLEGIADO EN MATERIA DE TRABAJO DEL PRIMER CIRCUITO.</w:t>
      </w:r>
    </w:p>
    <w:p w14:paraId="0C81D3C4" w14:textId="77777777" w:rsidR="00C37A6F" w:rsidRPr="00300A2C" w:rsidRDefault="00C37A6F" w:rsidP="00C37A6F">
      <w:pPr>
        <w:spacing w:before="120" w:after="120" w:line="276" w:lineRule="auto"/>
        <w:ind w:left="709" w:right="709"/>
        <w:jc w:val="both"/>
        <w:rPr>
          <w:rFonts w:ascii="Palatino Linotype" w:hAnsi="Palatino Linotype" w:cs="Arial"/>
          <w:i/>
          <w:iCs/>
          <w:lang w:eastAsia="es-MX"/>
        </w:rPr>
      </w:pPr>
      <w:r w:rsidRPr="00300A2C">
        <w:rPr>
          <w:rFonts w:ascii="Palatino Linotype" w:hAnsi="Palatino Linotype" w:cs="Arial"/>
          <w:i/>
          <w:iCs/>
          <w:lang w:eastAsia="es-MX"/>
        </w:rPr>
        <w:t>Amparo directo 20093/2006. Concepción Peralta García. 14 de noviembre de 2006. Unanimidad de votos. Ponente: Héctor Landa Razo. Secretario: Juan de Dios González-Pliego Ameneyro.”</w:t>
      </w:r>
    </w:p>
    <w:p w14:paraId="6BA5B2C8" w14:textId="77777777" w:rsidR="00C37A6F" w:rsidRPr="00300A2C" w:rsidRDefault="00C37A6F" w:rsidP="00C37A6F">
      <w:pPr>
        <w:spacing w:before="120" w:after="120" w:line="276" w:lineRule="auto"/>
        <w:ind w:left="709" w:right="709"/>
        <w:jc w:val="both"/>
        <w:rPr>
          <w:rFonts w:ascii="Palatino Linotype" w:hAnsi="Palatino Linotype" w:cs="Arial"/>
          <w:i/>
          <w:iCs/>
          <w:lang w:eastAsia="es-MX"/>
        </w:rPr>
      </w:pPr>
      <w:r w:rsidRPr="00300A2C">
        <w:rPr>
          <w:rFonts w:ascii="Palatino Linotype" w:hAnsi="Palatino Linotype" w:cs="Arial"/>
          <w:i/>
          <w:iCs/>
          <w:lang w:eastAsia="es-MX"/>
        </w:rPr>
        <w:t>“</w:t>
      </w:r>
      <w:r w:rsidRPr="00300A2C">
        <w:rPr>
          <w:rFonts w:ascii="Palatino Linotype" w:hAnsi="Palatino Linotype" w:cs="Arial"/>
          <w:b/>
          <w:i/>
          <w:iCs/>
          <w:lang w:eastAsia="es-MX"/>
        </w:rPr>
        <w:t>NOTAS PERIODISTICAS, INEFICACIA PROBATORIA DE LAS</w:t>
      </w:r>
      <w:r w:rsidRPr="00300A2C">
        <w:rPr>
          <w:rFonts w:ascii="Palatino Linotype" w:hAnsi="Palatino Linotype" w:cs="Arial"/>
          <w:i/>
          <w:iCs/>
          <w:lang w:eastAsia="es-MX"/>
        </w:rPr>
        <w:t xml:space="preserve">. </w:t>
      </w:r>
      <w:r w:rsidRPr="00300A2C">
        <w:rPr>
          <w:rFonts w:ascii="Palatino Linotype" w:hAnsi="Palatino Linotype" w:cs="Arial"/>
          <w:b/>
          <w:i/>
          <w:iCs/>
          <w:u w:val="single"/>
          <w:lang w:eastAsia="es-MX"/>
        </w:rPr>
        <w:t xml:space="preserve">Las publicaciones en los periódicos únicamente acreditan que tuvieron realización en el modo, tiempo y lugar que de las mismas aparezca, mas en forma alguna son aptas para demostrar los hechos que en tales publicaciones se contengan, pues no reúnen las características de documento público </w:t>
      </w:r>
      <w:r w:rsidRPr="00300A2C">
        <w:rPr>
          <w:rFonts w:ascii="Palatino Linotype" w:hAnsi="Palatino Linotype" w:cs="Arial"/>
          <w:i/>
          <w:iCs/>
          <w:lang w:eastAsia="es-MX"/>
        </w:rPr>
        <w:t xml:space="preserve">a que se refiere el artículo 795 de la Ley Federal del Trabajo, ni tampoco puede ser considerado como documental privada conforme a los artículos 796 y 797 del propio ordenamiento legal, en cuyo caso surge la posibilidad de formular las objeciones respectivas; consecuentemente, </w:t>
      </w:r>
      <w:r w:rsidRPr="00300A2C">
        <w:rPr>
          <w:rFonts w:ascii="Palatino Linotype" w:hAnsi="Palatino Linotype" w:cs="Arial"/>
          <w:b/>
          <w:i/>
          <w:iCs/>
          <w:u w:val="single"/>
          <w:lang w:eastAsia="es-MX"/>
        </w:rPr>
        <w:t>el contenido de una nota periodística</w:t>
      </w:r>
      <w:r w:rsidRPr="00300A2C">
        <w:rPr>
          <w:rFonts w:ascii="Palatino Linotype" w:hAnsi="Palatino Linotype" w:cs="Arial"/>
          <w:i/>
          <w:iCs/>
          <w:lang w:eastAsia="es-MX"/>
        </w:rPr>
        <w:t xml:space="preserve">, -generalmente redactada y dada a conocer por profesionales de la materia, cuyas fuentes no son necesariamente confiables, amén de que cabe la posibilidad de que sean producto de la interpretación e investigación personal de su autor- </w:t>
      </w:r>
      <w:r w:rsidRPr="00300A2C">
        <w:rPr>
          <w:rFonts w:ascii="Palatino Linotype" w:hAnsi="Palatino Linotype" w:cs="Arial"/>
          <w:b/>
          <w:i/>
          <w:iCs/>
          <w:u w:val="single"/>
          <w:lang w:eastAsia="es-MX"/>
        </w:rPr>
        <w:t>no puede convertirse en un hecho público y notorio, pues aunque aquélla no sea desmentida por quien puede resultar afectado, el contenido de la nota solamente le es imputable al autor de la misma, mas no así a quienes se ven involucrados en la noticia correspondiente</w:t>
      </w:r>
      <w:r w:rsidRPr="00300A2C">
        <w:rPr>
          <w:rFonts w:ascii="Palatino Linotype" w:hAnsi="Palatino Linotype" w:cs="Arial"/>
          <w:i/>
          <w:iCs/>
          <w:lang w:eastAsia="es-MX"/>
        </w:rPr>
        <w:t>.</w:t>
      </w:r>
    </w:p>
    <w:p w14:paraId="4EC8A5C8" w14:textId="77777777" w:rsidR="00C37A6F" w:rsidRPr="00300A2C" w:rsidRDefault="00C37A6F" w:rsidP="00C37A6F">
      <w:pPr>
        <w:spacing w:before="120" w:after="120" w:line="276" w:lineRule="auto"/>
        <w:ind w:left="709" w:right="709"/>
        <w:jc w:val="both"/>
        <w:rPr>
          <w:rFonts w:ascii="Palatino Linotype" w:hAnsi="Palatino Linotype" w:cs="Arial"/>
          <w:i/>
          <w:iCs/>
          <w:lang w:eastAsia="es-MX"/>
        </w:rPr>
      </w:pPr>
      <w:r w:rsidRPr="00300A2C">
        <w:rPr>
          <w:rFonts w:ascii="Palatino Linotype" w:hAnsi="Palatino Linotype" w:cs="Arial"/>
          <w:i/>
          <w:iCs/>
          <w:lang w:eastAsia="es-MX"/>
        </w:rPr>
        <w:t>CUARTO TRIBUNAL COLEGIADO EN MATERIA DE TRABAJO DEL PRIMER CIRCUITO.</w:t>
      </w:r>
    </w:p>
    <w:p w14:paraId="028CBEB4" w14:textId="77777777" w:rsidR="00C37A6F" w:rsidRPr="00300A2C" w:rsidRDefault="00C37A6F" w:rsidP="00C37A6F">
      <w:pPr>
        <w:spacing w:before="120" w:after="120" w:line="276" w:lineRule="auto"/>
        <w:ind w:left="709" w:right="709"/>
        <w:jc w:val="both"/>
        <w:rPr>
          <w:rFonts w:ascii="Palatino Linotype" w:hAnsi="Palatino Linotype" w:cs="Arial"/>
          <w:i/>
          <w:iCs/>
          <w:lang w:eastAsia="es-MX"/>
        </w:rPr>
      </w:pPr>
      <w:r w:rsidRPr="00300A2C">
        <w:rPr>
          <w:rFonts w:ascii="Palatino Linotype" w:hAnsi="Palatino Linotype" w:cs="Arial"/>
          <w:i/>
          <w:iCs/>
          <w:lang w:eastAsia="es-MX"/>
        </w:rPr>
        <w:t>Amparo directo 742/95. Mario A. Velázquez Hernández. 31 de agosto de 1995. Unanimidad de votos. Ponente: Fortino Valencia Sandoval. Secretario: René Díaz Nárez.”</w:t>
      </w:r>
    </w:p>
    <w:p w14:paraId="0441761F" w14:textId="46D77A59" w:rsidR="00C37A6F" w:rsidRPr="00300A2C" w:rsidRDefault="00C37A6F" w:rsidP="00A560CD">
      <w:pPr>
        <w:spacing w:before="120" w:after="120" w:line="276" w:lineRule="auto"/>
        <w:ind w:left="709" w:right="709"/>
        <w:jc w:val="both"/>
        <w:rPr>
          <w:rFonts w:ascii="Palatino Linotype" w:hAnsi="Palatino Linotype" w:cs="Arial"/>
        </w:rPr>
      </w:pPr>
      <w:r w:rsidRPr="00300A2C">
        <w:rPr>
          <w:rFonts w:ascii="Palatino Linotype" w:hAnsi="Palatino Linotype" w:cs="Arial"/>
        </w:rPr>
        <w:t>(Énfasis añadido)</w:t>
      </w:r>
    </w:p>
    <w:p w14:paraId="537D7B5A" w14:textId="7106A3E7" w:rsidR="00A560CD" w:rsidRPr="00300A2C" w:rsidRDefault="00A560CD" w:rsidP="004D619C">
      <w:pPr>
        <w:spacing w:before="100" w:beforeAutospacing="1" w:after="100" w:afterAutospacing="1" w:line="360" w:lineRule="auto"/>
        <w:jc w:val="both"/>
        <w:rPr>
          <w:rFonts w:ascii="Palatino Linotype" w:hAnsi="Palatino Linotype" w:cs="Arial"/>
          <w:bCs/>
          <w:szCs w:val="22"/>
          <w:lang w:val="es-ES"/>
        </w:rPr>
      </w:pPr>
      <w:r w:rsidRPr="00300A2C">
        <w:rPr>
          <w:rFonts w:ascii="Palatino Linotype" w:hAnsi="Palatino Linotype" w:cs="Arial"/>
          <w:bCs/>
          <w:szCs w:val="22"/>
          <w:lang w:val="es-ES"/>
        </w:rPr>
        <w:t xml:space="preserve">Por lo anterior, es que EL </w:t>
      </w:r>
      <w:r w:rsidRPr="00300A2C">
        <w:rPr>
          <w:rFonts w:ascii="Palatino Linotype" w:hAnsi="Palatino Linotype" w:cs="Arial"/>
          <w:b/>
          <w:bCs/>
          <w:szCs w:val="22"/>
          <w:lang w:val="es-ES"/>
        </w:rPr>
        <w:t>SUJETO OBLIGADO</w:t>
      </w:r>
      <w:r w:rsidRPr="00300A2C">
        <w:rPr>
          <w:rFonts w:ascii="Palatino Linotype" w:hAnsi="Palatino Linotype" w:cs="Arial"/>
          <w:bCs/>
          <w:szCs w:val="22"/>
          <w:lang w:val="es-ES"/>
        </w:rPr>
        <w:t xml:space="preserve"> debe realizar una búsqueda de la información en los archivos de la Tesorería Municipal, ya que como quedó asentado en párrafos que anteceden es el área que pudiera contar con la información </w:t>
      </w:r>
      <w:r w:rsidR="00737A2C" w:rsidRPr="00300A2C">
        <w:rPr>
          <w:rFonts w:ascii="Palatino Linotype" w:hAnsi="Palatino Linotype" w:cs="Arial"/>
          <w:bCs/>
          <w:szCs w:val="22"/>
          <w:lang w:val="es-ES"/>
        </w:rPr>
        <w:t>requerida</w:t>
      </w:r>
      <w:r w:rsidRPr="00300A2C">
        <w:rPr>
          <w:rFonts w:ascii="Palatino Linotype" w:hAnsi="Palatino Linotype" w:cs="Arial"/>
          <w:bCs/>
          <w:szCs w:val="22"/>
          <w:lang w:val="es-ES"/>
        </w:rPr>
        <w:t xml:space="preserve"> por el ahora </w:t>
      </w:r>
      <w:r w:rsidRPr="00300A2C">
        <w:rPr>
          <w:rFonts w:ascii="Palatino Linotype" w:hAnsi="Palatino Linotype" w:cs="Arial"/>
          <w:b/>
          <w:bCs/>
          <w:szCs w:val="22"/>
          <w:lang w:val="es-ES"/>
        </w:rPr>
        <w:t>RECURRENTE</w:t>
      </w:r>
      <w:r w:rsidRPr="00300A2C">
        <w:rPr>
          <w:rFonts w:ascii="Palatino Linotype" w:hAnsi="Palatino Linotype" w:cs="Arial"/>
          <w:bCs/>
          <w:szCs w:val="22"/>
          <w:lang w:val="es-ES"/>
        </w:rPr>
        <w:t>.</w:t>
      </w:r>
    </w:p>
    <w:p w14:paraId="430B1754" w14:textId="26CAD785" w:rsidR="004D619C" w:rsidRPr="00300A2C" w:rsidRDefault="00BB07DC" w:rsidP="004D619C">
      <w:pPr>
        <w:spacing w:before="100" w:beforeAutospacing="1" w:after="100" w:afterAutospacing="1" w:line="360" w:lineRule="auto"/>
        <w:jc w:val="both"/>
        <w:rPr>
          <w:rFonts w:ascii="Palatino Linotype" w:hAnsi="Palatino Linotype" w:cs="Arial"/>
          <w:lang w:eastAsia="es-MX"/>
        </w:rPr>
      </w:pPr>
      <w:r w:rsidRPr="00300A2C">
        <w:rPr>
          <w:rFonts w:ascii="Palatino Linotype" w:hAnsi="Palatino Linotype" w:cs="Arial"/>
          <w:bCs/>
          <w:szCs w:val="22"/>
          <w:lang w:val="es-ES"/>
        </w:rPr>
        <w:t xml:space="preserve">Ahora bien, </w:t>
      </w:r>
      <w:r w:rsidR="00737A2C" w:rsidRPr="00300A2C">
        <w:rPr>
          <w:rFonts w:ascii="Palatino Linotype" w:hAnsi="Palatino Linotype" w:cs="Arial"/>
          <w:bCs/>
          <w:szCs w:val="22"/>
          <w:lang w:val="es-ES"/>
        </w:rPr>
        <w:t>respecto del</w:t>
      </w:r>
      <w:r w:rsidR="004D619C" w:rsidRPr="00300A2C">
        <w:rPr>
          <w:rFonts w:ascii="Palatino Linotype" w:hAnsi="Palatino Linotype" w:cs="Arial"/>
          <w:lang w:eastAsia="es-MX"/>
        </w:rPr>
        <w:t xml:space="preserve"> contrato</w:t>
      </w:r>
      <w:r w:rsidR="00A560CD" w:rsidRPr="00300A2C">
        <w:rPr>
          <w:rFonts w:ascii="Palatino Linotype" w:hAnsi="Palatino Linotype" w:cs="Arial"/>
          <w:lang w:eastAsia="es-MX"/>
        </w:rPr>
        <w:t xml:space="preserve"> derivado de un procedimiento adquisitivo</w:t>
      </w:r>
      <w:r w:rsidR="004D619C" w:rsidRPr="00300A2C">
        <w:rPr>
          <w:rFonts w:ascii="Palatino Linotype" w:hAnsi="Palatino Linotype" w:cs="Arial"/>
          <w:lang w:eastAsia="es-MX"/>
        </w:rPr>
        <w:t xml:space="preserve">, conviene traer a contexto lo establecido por la </w:t>
      </w:r>
      <w:r w:rsidR="004D619C" w:rsidRPr="00300A2C">
        <w:rPr>
          <w:rFonts w:ascii="Palatino Linotype" w:hAnsi="Palatino Linotype" w:cs="Arial"/>
        </w:rPr>
        <w:t>Ley de la Contratación Pública del Estado de México y Municipios; pues es esta la que tiene por objeto regular los actos relativos a la planeación, programación, presupuestación, ejecución y control de la adquisición, enajenación y arrendamiento de bienes, y la contratación de servicios de cualquier naturaleza, que realicen los Ayuntamientos del Estado; es decir, la normatividad regula la contratación de adquisiciones de bienes y la contratación de</w:t>
      </w:r>
      <w:r w:rsidR="004D619C" w:rsidRPr="00300A2C">
        <w:rPr>
          <w:rFonts w:ascii="Palatino Linotype" w:hAnsi="Palatino Linotype" w:cs="Arial"/>
          <w:b/>
        </w:rPr>
        <w:t xml:space="preserve"> servicios</w:t>
      </w:r>
      <w:r w:rsidR="004D619C" w:rsidRPr="00300A2C">
        <w:rPr>
          <w:rFonts w:ascii="Palatino Linotype" w:hAnsi="Palatino Linotype" w:cs="Arial"/>
        </w:rPr>
        <w:t xml:space="preserve"> que realice </w:t>
      </w:r>
      <w:r w:rsidR="004D619C" w:rsidRPr="00300A2C">
        <w:rPr>
          <w:rFonts w:ascii="Palatino Linotype" w:hAnsi="Palatino Linotype" w:cs="Arial"/>
          <w:b/>
        </w:rPr>
        <w:t>EL SUJETO OBLIGADO</w:t>
      </w:r>
      <w:r w:rsidR="004D619C" w:rsidRPr="00300A2C">
        <w:rPr>
          <w:rFonts w:ascii="Palatino Linotype" w:hAnsi="Palatino Linotype" w:cs="Arial"/>
        </w:rPr>
        <w:t>.</w:t>
      </w:r>
    </w:p>
    <w:p w14:paraId="1B8ACB0F" w14:textId="77777777" w:rsidR="004D619C" w:rsidRPr="00300A2C" w:rsidRDefault="004D619C" w:rsidP="004D619C">
      <w:pPr>
        <w:spacing w:before="100" w:beforeAutospacing="1" w:after="100" w:afterAutospacing="1" w:line="360" w:lineRule="auto"/>
        <w:jc w:val="both"/>
        <w:rPr>
          <w:rFonts w:ascii="Palatino Linotype" w:hAnsi="Palatino Linotype" w:cs="Arial"/>
          <w:lang w:val="es-ES"/>
        </w:rPr>
      </w:pPr>
      <w:r w:rsidRPr="00300A2C">
        <w:rPr>
          <w:rFonts w:ascii="Palatino Linotype" w:hAnsi="Palatino Linotype" w:cs="Arial"/>
          <w:lang w:val="es-ES"/>
        </w:rPr>
        <w:t>Por ello, conviene destacar en lo que nos interesa que, respecto de la adjudicación directa, el artículo 48 de la Ley de la Contratación Pública del Estado de México y Municipios y 91 del Reglamento de dicha Ley, indican en qué supuestos puede llevarse a cabo este procedimiento.</w:t>
      </w:r>
    </w:p>
    <w:p w14:paraId="369CB440" w14:textId="77777777" w:rsidR="004D619C" w:rsidRPr="00300A2C" w:rsidRDefault="004D619C" w:rsidP="004D619C">
      <w:pPr>
        <w:spacing w:before="100" w:beforeAutospacing="1" w:after="100" w:afterAutospacing="1" w:line="360" w:lineRule="auto"/>
        <w:jc w:val="both"/>
        <w:rPr>
          <w:rFonts w:ascii="Palatino Linotype" w:hAnsi="Palatino Linotype" w:cs="Arial"/>
          <w:lang w:val="es-ES"/>
        </w:rPr>
      </w:pPr>
      <w:r w:rsidRPr="00300A2C">
        <w:rPr>
          <w:rFonts w:ascii="Palatino Linotype" w:hAnsi="Palatino Linotype" w:cs="Arial"/>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34BBBEC3" w14:textId="77777777" w:rsidR="004D619C" w:rsidRPr="00300A2C" w:rsidRDefault="004D619C" w:rsidP="004D619C">
      <w:pPr>
        <w:spacing w:before="100" w:beforeAutospacing="1" w:after="100" w:afterAutospacing="1" w:line="360" w:lineRule="auto"/>
        <w:jc w:val="both"/>
        <w:rPr>
          <w:rFonts w:ascii="Palatino Linotype" w:hAnsi="Palatino Linotype" w:cs="Arial"/>
          <w:lang w:val="es-ES"/>
        </w:rPr>
      </w:pPr>
      <w:r w:rsidRPr="00300A2C">
        <w:rPr>
          <w:rFonts w:ascii="Palatino Linotype" w:hAnsi="Palatino Linotype" w:cs="Arial"/>
          <w:lang w:val="es-ES"/>
        </w:rPr>
        <w:t xml:space="preserve">Además, el artículo 94 del mismo Reglamento, detalla el procedimiento que se llevará a cabo en la adjudicación directa, de la siguiente manera: </w:t>
      </w:r>
    </w:p>
    <w:p w14:paraId="21920B92" w14:textId="77777777" w:rsidR="004D619C" w:rsidRPr="00300A2C" w:rsidRDefault="004D619C" w:rsidP="004D619C">
      <w:pPr>
        <w:ind w:left="851" w:right="851"/>
        <w:jc w:val="both"/>
        <w:rPr>
          <w:rFonts w:ascii="Palatino Linotype" w:hAnsi="Palatino Linotype" w:cs="Arial"/>
          <w:i/>
          <w:sz w:val="22"/>
          <w:lang w:val="es-ES"/>
        </w:rPr>
      </w:pPr>
      <w:r w:rsidRPr="00300A2C">
        <w:rPr>
          <w:rFonts w:ascii="Palatino Linotype" w:hAnsi="Palatino Linotype" w:cs="Arial"/>
          <w:b/>
          <w:i/>
          <w:sz w:val="22"/>
          <w:lang w:val="es-ES"/>
        </w:rPr>
        <w:t>“</w:t>
      </w:r>
      <w:r w:rsidRPr="00300A2C">
        <w:rPr>
          <w:rFonts w:ascii="Palatino Linotype" w:hAnsi="Palatino Linotype" w:cs="Arial"/>
          <w:i/>
          <w:sz w:val="22"/>
          <w:lang w:val="es-ES"/>
        </w:rPr>
        <w:t>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7AD29383" w14:textId="77777777" w:rsidR="004D619C" w:rsidRPr="00300A2C" w:rsidRDefault="004D619C" w:rsidP="004D619C">
      <w:pPr>
        <w:ind w:left="851" w:right="851"/>
        <w:jc w:val="both"/>
        <w:rPr>
          <w:rFonts w:ascii="Palatino Linotype" w:hAnsi="Palatino Linotype" w:cs="Arial"/>
          <w:i/>
          <w:sz w:val="22"/>
          <w:lang w:val="es-ES"/>
        </w:rPr>
      </w:pPr>
      <w:r w:rsidRPr="00300A2C">
        <w:rPr>
          <w:rFonts w:ascii="Palatino Linotype" w:hAnsi="Palatino Linotype" w:cs="Arial"/>
          <w:i/>
          <w:sz w:val="22"/>
          <w:lang w:val="es-ES"/>
        </w:rPr>
        <w:t>II.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7B72009F" w14:textId="77777777" w:rsidR="004D619C" w:rsidRPr="00300A2C" w:rsidRDefault="004D619C" w:rsidP="004D619C">
      <w:pPr>
        <w:ind w:left="851" w:right="851"/>
        <w:jc w:val="both"/>
        <w:rPr>
          <w:rFonts w:ascii="Palatino Linotype" w:hAnsi="Palatino Linotype" w:cs="Arial"/>
          <w:i/>
          <w:sz w:val="22"/>
          <w:lang w:val="es-ES"/>
        </w:rPr>
      </w:pPr>
      <w:r w:rsidRPr="00300A2C">
        <w:rPr>
          <w:rFonts w:ascii="Palatino Linotype" w:hAnsi="Palatino Linotype" w:cs="Arial"/>
          <w:i/>
          <w:sz w:val="22"/>
          <w:lang w:val="es-ES"/>
        </w:rPr>
        <w:t>III. La solicitud de participación contendrá, como mínimo, la descripción y cantidad de los bienes o servicios requeridos, lugar, plazo de entrega o duración del servicio y forma de pago;</w:t>
      </w:r>
    </w:p>
    <w:p w14:paraId="5F8ED3AA" w14:textId="77777777" w:rsidR="004D619C" w:rsidRPr="00300A2C" w:rsidRDefault="004D619C" w:rsidP="004D619C">
      <w:pPr>
        <w:ind w:left="851" w:right="851"/>
        <w:jc w:val="both"/>
        <w:rPr>
          <w:rFonts w:ascii="Palatino Linotype" w:hAnsi="Palatino Linotype" w:cs="Arial"/>
          <w:i/>
          <w:sz w:val="22"/>
          <w:lang w:val="es-ES"/>
        </w:rPr>
      </w:pPr>
      <w:r w:rsidRPr="00300A2C">
        <w:rPr>
          <w:rFonts w:ascii="Palatino Linotype" w:hAnsi="Palatino Linotype" w:cs="Arial"/>
          <w:i/>
          <w:sz w:val="22"/>
          <w:lang w:val="es-ES"/>
        </w:rPr>
        <w:t>IV. La solicitud de participación deberá señalar el día, hora y lugar en que tendrá verificativo el acto de presentación y apertura de ofertas;</w:t>
      </w:r>
    </w:p>
    <w:p w14:paraId="055AFD00" w14:textId="77777777" w:rsidR="004D619C" w:rsidRPr="00300A2C" w:rsidRDefault="004D619C" w:rsidP="004D619C">
      <w:pPr>
        <w:ind w:left="851" w:right="851"/>
        <w:jc w:val="both"/>
        <w:rPr>
          <w:rFonts w:ascii="Palatino Linotype" w:hAnsi="Palatino Linotype" w:cs="Arial"/>
          <w:i/>
          <w:sz w:val="22"/>
          <w:lang w:val="es-ES"/>
        </w:rPr>
      </w:pPr>
      <w:r w:rsidRPr="00300A2C">
        <w:rPr>
          <w:rFonts w:ascii="Palatino Linotype" w:hAnsi="Palatino Linotype" w:cs="Arial"/>
          <w:i/>
          <w:sz w:val="22"/>
          <w:lang w:val="es-ES"/>
        </w:rPr>
        <w:t>V. Atendiendo a la naturaleza de los bienes o servicios, la convocante podrá optar entre celebrar o no junta de aclaraciones, en términos de lo dispuesto por este Reglamento;</w:t>
      </w:r>
    </w:p>
    <w:p w14:paraId="0EA88D1E" w14:textId="77777777" w:rsidR="004D619C" w:rsidRPr="00300A2C" w:rsidRDefault="004D619C" w:rsidP="004D619C">
      <w:pPr>
        <w:ind w:left="851" w:right="851"/>
        <w:jc w:val="both"/>
        <w:rPr>
          <w:rFonts w:ascii="Palatino Linotype" w:hAnsi="Palatino Linotype" w:cs="Arial"/>
          <w:i/>
          <w:sz w:val="22"/>
          <w:lang w:val="es-ES"/>
        </w:rPr>
      </w:pPr>
      <w:r w:rsidRPr="00300A2C">
        <w:rPr>
          <w:rFonts w:ascii="Palatino Linotype" w:hAnsi="Palatino Linotype" w:cs="Arial"/>
          <w:i/>
          <w:sz w:val="22"/>
          <w:lang w:val="es-ES"/>
        </w:rPr>
        <w:t>VI. El servidor público designado por la convocante será el responsable de llevar a cabo el acto de presentación y apertura de propuestas;</w:t>
      </w:r>
    </w:p>
    <w:p w14:paraId="733A8080" w14:textId="77777777" w:rsidR="004D619C" w:rsidRPr="00300A2C" w:rsidRDefault="004D619C" w:rsidP="004D619C">
      <w:pPr>
        <w:ind w:left="851" w:right="851"/>
        <w:jc w:val="both"/>
        <w:rPr>
          <w:rFonts w:ascii="Palatino Linotype" w:hAnsi="Palatino Linotype" w:cs="Arial"/>
          <w:i/>
          <w:sz w:val="22"/>
          <w:lang w:val="es-ES"/>
        </w:rPr>
      </w:pPr>
      <w:r w:rsidRPr="00300A2C">
        <w:rPr>
          <w:rFonts w:ascii="Palatino Linotype" w:hAnsi="Palatino Linotype" w:cs="Arial"/>
          <w:i/>
          <w:sz w:val="22"/>
          <w:lang w:val="es-ES"/>
        </w:rPr>
        <w:t>VII. Se observarán, en lo conducente, las disposiciones relativas a la contraoferta; y</w:t>
      </w:r>
    </w:p>
    <w:p w14:paraId="2660AF14" w14:textId="77777777" w:rsidR="004D619C" w:rsidRPr="00300A2C" w:rsidRDefault="004D619C" w:rsidP="004D619C">
      <w:pPr>
        <w:ind w:left="851" w:right="851"/>
        <w:jc w:val="both"/>
        <w:rPr>
          <w:rFonts w:ascii="Palatino Linotype" w:hAnsi="Palatino Linotype" w:cs="Arial"/>
          <w:i/>
          <w:sz w:val="22"/>
          <w:lang w:val="es-ES"/>
        </w:rPr>
      </w:pPr>
      <w:r w:rsidRPr="00300A2C">
        <w:rPr>
          <w:rFonts w:ascii="Palatino Linotype" w:hAnsi="Palatino Linotype" w:cs="Arial"/>
          <w:i/>
          <w:sz w:val="22"/>
          <w:lang w:val="es-ES"/>
        </w:rPr>
        <w:t>VIII. El comité será responsable de emitir el dictamen de adjudicación que servirá de base para el fallo de adjudicación; correspondiendo a la convocante emitir dicho fallo, quien lo hará del conocimiento de los licitantes.</w:t>
      </w:r>
      <w:r w:rsidRPr="00300A2C">
        <w:rPr>
          <w:rFonts w:ascii="Palatino Linotype" w:hAnsi="Palatino Linotype" w:cs="Arial"/>
          <w:b/>
          <w:i/>
          <w:sz w:val="22"/>
          <w:lang w:val="es-ES"/>
        </w:rPr>
        <w:t>”</w:t>
      </w:r>
      <w:r w:rsidRPr="00300A2C">
        <w:rPr>
          <w:rFonts w:ascii="Palatino Linotype" w:hAnsi="Palatino Linotype" w:cs="Arial"/>
          <w:i/>
          <w:sz w:val="22"/>
          <w:lang w:val="es-ES"/>
        </w:rPr>
        <w:t xml:space="preserve"> (sic)</w:t>
      </w:r>
    </w:p>
    <w:p w14:paraId="6629606A" w14:textId="77777777" w:rsidR="004D619C" w:rsidRPr="00300A2C" w:rsidRDefault="004D619C" w:rsidP="004D619C">
      <w:pPr>
        <w:spacing w:before="100" w:beforeAutospacing="1" w:after="100" w:afterAutospacing="1" w:line="360" w:lineRule="auto"/>
        <w:jc w:val="both"/>
        <w:rPr>
          <w:rFonts w:ascii="Palatino Linotype" w:hAnsi="Palatino Linotype" w:cs="Arial"/>
        </w:rPr>
      </w:pPr>
      <w:r w:rsidRPr="00300A2C">
        <w:rPr>
          <w:rFonts w:ascii="Palatino Linotype" w:hAnsi="Palatino Linotype"/>
        </w:rPr>
        <w:t xml:space="preserve">En este sentido, </w:t>
      </w:r>
      <w:r w:rsidRPr="00300A2C">
        <w:rPr>
          <w:rFonts w:ascii="Palatino Linotype" w:hAnsi="Palatino Linotype" w:cs="Arial"/>
        </w:rPr>
        <w:t>debe decirse que los expedientes de las adquisiciones, es información considerada pública de oficio, y que debe poseer </w:t>
      </w:r>
      <w:r w:rsidRPr="00300A2C">
        <w:rPr>
          <w:rFonts w:ascii="Palatino Linotype" w:hAnsi="Palatino Linotype" w:cs="Arial"/>
          <w:b/>
        </w:rPr>
        <w:t>EL SUJETO OBLIGADO</w:t>
      </w:r>
      <w:r w:rsidRPr="00300A2C">
        <w:rPr>
          <w:rFonts w:ascii="Palatino Linotype" w:hAnsi="Palatino Linotype" w:cs="Arial"/>
        </w:rPr>
        <w:t> en el ejercicio de sus atribuciones, pero que además debería estar publicada en su portal o página electrónica, toda vez que los legisladores consideraron que se trata de información que debe ser puesta de manera permanente y actualizada, lo que contribuye a trasparentar y mejorar la gestión pública y promueve la rendición de cuentas, al privilegiarse y garantizarse el principio de máxima publicidad constituido en nuestra Carta Magna.</w:t>
      </w:r>
    </w:p>
    <w:p w14:paraId="5C64ADA7" w14:textId="77777777" w:rsidR="004D619C" w:rsidRPr="00300A2C" w:rsidRDefault="004D619C" w:rsidP="004D619C">
      <w:pPr>
        <w:spacing w:before="100" w:beforeAutospacing="1" w:after="100" w:afterAutospacing="1" w:line="360" w:lineRule="auto"/>
        <w:jc w:val="both"/>
        <w:rPr>
          <w:rFonts w:ascii="Palatino Linotype" w:hAnsi="Palatino Linotype" w:cs="Arial"/>
        </w:rPr>
      </w:pPr>
      <w:r w:rsidRPr="00300A2C">
        <w:rPr>
          <w:rFonts w:ascii="Palatino Linotype" w:hAnsi="Palatino Linotype" w:cs="Arial"/>
        </w:rPr>
        <w:t>Así pues, el artículo 92 de la de la Ley de Transparencia y Acceso a la Información Pública del Estado de México y Municipios, en su fracción XXIX, dispone lo siguiente:</w:t>
      </w:r>
    </w:p>
    <w:p w14:paraId="1D66D622"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“Artículo 92. </w:t>
      </w:r>
      <w:r w:rsidRPr="00300A2C">
        <w:rPr>
          <w:rFonts w:ascii="Palatino Linotype" w:hAnsi="Palatino Linotype" w:cs="Arial"/>
          <w:i/>
          <w:iCs/>
          <w:sz w:val="22"/>
          <w:szCs w:val="22"/>
          <w:lang w:eastAsia="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319080" w14:textId="77777777" w:rsidR="004D619C" w:rsidRPr="00300A2C" w:rsidRDefault="004D619C" w:rsidP="004D619C">
      <w:pPr>
        <w:shd w:val="clear" w:color="auto" w:fill="FFFFFF"/>
        <w:ind w:left="851" w:right="851"/>
        <w:jc w:val="both"/>
        <w:rPr>
          <w:rFonts w:ascii="Palatino Linotype" w:hAnsi="Palatino Linotype" w:cs="Arial"/>
          <w:i/>
          <w:iCs/>
          <w:sz w:val="22"/>
          <w:szCs w:val="22"/>
          <w:lang w:eastAsia="es-MX"/>
        </w:rPr>
      </w:pPr>
      <w:r w:rsidRPr="00300A2C">
        <w:rPr>
          <w:rFonts w:ascii="Palatino Linotype" w:hAnsi="Palatino Linotype" w:cs="Arial"/>
          <w:b/>
          <w:bCs/>
          <w:i/>
          <w:iCs/>
          <w:sz w:val="22"/>
          <w:szCs w:val="22"/>
          <w:lang w:eastAsia="es-MX"/>
        </w:rPr>
        <w:t>XXIX. </w:t>
      </w:r>
      <w:r w:rsidRPr="00300A2C">
        <w:rPr>
          <w:rFonts w:ascii="Palatino Linotype" w:hAnsi="Palatino Linotype" w:cs="Arial"/>
          <w:i/>
          <w:iCs/>
          <w:sz w:val="22"/>
          <w:szCs w:val="22"/>
          <w:lang w:eastAsia="es-MX"/>
        </w:rPr>
        <w:t>La información sobre los procesos y resultados sobre procedimientos de adjudicación directa, invitación restringida y licitación de cualquier naturaleza, </w:t>
      </w:r>
      <w:r w:rsidRPr="00300A2C">
        <w:rPr>
          <w:rFonts w:ascii="Palatino Linotype" w:hAnsi="Palatino Linotype" w:cs="Arial"/>
          <w:b/>
          <w:bCs/>
          <w:i/>
          <w:iCs/>
          <w:sz w:val="22"/>
          <w:szCs w:val="22"/>
          <w:u w:val="single"/>
          <w:lang w:eastAsia="es-MX"/>
        </w:rPr>
        <w:t xml:space="preserve">incluyendo la versión pública del expediente respectivo </w:t>
      </w:r>
      <w:r w:rsidRPr="00300A2C">
        <w:rPr>
          <w:rFonts w:ascii="Palatino Linotype" w:hAnsi="Palatino Linotype" w:cs="Arial"/>
          <w:bCs/>
          <w:i/>
          <w:iCs/>
          <w:sz w:val="22"/>
          <w:szCs w:val="22"/>
          <w:lang w:eastAsia="es-MX"/>
        </w:rPr>
        <w:t>y de los contratos</w:t>
      </w:r>
      <w:r w:rsidRPr="00300A2C">
        <w:rPr>
          <w:rFonts w:ascii="Palatino Linotype" w:hAnsi="Palatino Linotype" w:cs="Arial"/>
          <w:i/>
          <w:iCs/>
          <w:sz w:val="22"/>
          <w:szCs w:val="22"/>
          <w:lang w:eastAsia="es-MX"/>
        </w:rPr>
        <w:t> celebrados, que deberán contener, por los menos, lo siguiente:</w:t>
      </w:r>
    </w:p>
    <w:p w14:paraId="4181302D" w14:textId="77777777" w:rsidR="004D619C" w:rsidRPr="00300A2C" w:rsidRDefault="004D619C" w:rsidP="004D619C">
      <w:pPr>
        <w:shd w:val="clear" w:color="auto" w:fill="FFFFFF"/>
        <w:ind w:left="851" w:right="851"/>
        <w:jc w:val="both"/>
        <w:rPr>
          <w:rFonts w:ascii="Arial" w:hAnsi="Arial" w:cs="Arial"/>
          <w:sz w:val="22"/>
          <w:szCs w:val="22"/>
          <w:lang w:eastAsia="es-MX"/>
        </w:rPr>
      </w:pPr>
    </w:p>
    <w:p w14:paraId="14221899"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a) </w:t>
      </w:r>
      <w:r w:rsidRPr="00300A2C">
        <w:rPr>
          <w:rFonts w:ascii="Palatino Linotype" w:hAnsi="Palatino Linotype" w:cs="Arial"/>
          <w:i/>
          <w:iCs/>
          <w:sz w:val="22"/>
          <w:szCs w:val="22"/>
          <w:lang w:eastAsia="es-MX"/>
        </w:rPr>
        <w:t>De licitaciones públicas o procedimientos de invitación restringida:</w:t>
      </w:r>
    </w:p>
    <w:p w14:paraId="7B166EC9"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1)</w:t>
      </w:r>
      <w:r w:rsidRPr="00300A2C">
        <w:rPr>
          <w:rFonts w:ascii="Palatino Linotype" w:hAnsi="Palatino Linotype" w:cs="Arial"/>
          <w:i/>
          <w:iCs/>
          <w:sz w:val="22"/>
          <w:szCs w:val="22"/>
          <w:lang w:eastAsia="es-MX"/>
        </w:rPr>
        <w:t> La convocatoria o invitación emitida, así como los fundamentos legales aplicados para llevarla a cabo;</w:t>
      </w:r>
    </w:p>
    <w:p w14:paraId="26A5009E"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2) </w:t>
      </w:r>
      <w:r w:rsidRPr="00300A2C">
        <w:rPr>
          <w:rFonts w:ascii="Palatino Linotype" w:hAnsi="Palatino Linotype" w:cs="Arial"/>
          <w:i/>
          <w:iCs/>
          <w:sz w:val="22"/>
          <w:szCs w:val="22"/>
          <w:lang w:eastAsia="es-MX"/>
        </w:rPr>
        <w:t>Los nombres de los participantes o invitados;</w:t>
      </w:r>
    </w:p>
    <w:p w14:paraId="231580F2"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3)</w:t>
      </w:r>
      <w:r w:rsidRPr="00300A2C">
        <w:rPr>
          <w:rFonts w:ascii="Palatino Linotype" w:hAnsi="Palatino Linotype" w:cs="Arial"/>
          <w:i/>
          <w:iCs/>
          <w:sz w:val="22"/>
          <w:szCs w:val="22"/>
          <w:lang w:eastAsia="es-MX"/>
        </w:rPr>
        <w:t> El nombre del ganador y las razones que lo justifican;</w:t>
      </w:r>
    </w:p>
    <w:p w14:paraId="0B008BB3"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4) </w:t>
      </w:r>
      <w:r w:rsidRPr="00300A2C">
        <w:rPr>
          <w:rFonts w:ascii="Palatino Linotype" w:hAnsi="Palatino Linotype" w:cs="Arial"/>
          <w:i/>
          <w:iCs/>
          <w:sz w:val="22"/>
          <w:szCs w:val="22"/>
          <w:lang w:eastAsia="es-MX"/>
        </w:rPr>
        <w:t>El área solicitante y la responsable de su ejecución;</w:t>
      </w:r>
    </w:p>
    <w:p w14:paraId="2EFC05F4"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5) </w:t>
      </w:r>
      <w:r w:rsidRPr="00300A2C">
        <w:rPr>
          <w:rFonts w:ascii="Palatino Linotype" w:hAnsi="Palatino Linotype" w:cs="Arial"/>
          <w:i/>
          <w:iCs/>
          <w:sz w:val="22"/>
          <w:szCs w:val="22"/>
          <w:lang w:eastAsia="es-MX"/>
        </w:rPr>
        <w:t>Las convocatorias e invitaciones emitidas;</w:t>
      </w:r>
    </w:p>
    <w:p w14:paraId="157D36C3"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6)</w:t>
      </w:r>
      <w:r w:rsidRPr="00300A2C">
        <w:rPr>
          <w:rFonts w:ascii="Palatino Linotype" w:hAnsi="Palatino Linotype" w:cs="Arial"/>
          <w:i/>
          <w:iCs/>
          <w:sz w:val="22"/>
          <w:szCs w:val="22"/>
          <w:lang w:eastAsia="es-MX"/>
        </w:rPr>
        <w:t> Los dictámenes y fallo de adjudicación;</w:t>
      </w:r>
    </w:p>
    <w:p w14:paraId="7FAA9780"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7)</w:t>
      </w:r>
      <w:r w:rsidRPr="00300A2C">
        <w:rPr>
          <w:rFonts w:ascii="Palatino Linotype" w:hAnsi="Palatino Linotype" w:cs="Arial"/>
          <w:bCs/>
          <w:i/>
          <w:iCs/>
          <w:sz w:val="22"/>
          <w:szCs w:val="22"/>
          <w:lang w:eastAsia="es-MX"/>
        </w:rPr>
        <w:t> El contrato y, en su caso, sus anexos;</w:t>
      </w:r>
    </w:p>
    <w:p w14:paraId="4E830056"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8) </w:t>
      </w:r>
      <w:r w:rsidRPr="00300A2C">
        <w:rPr>
          <w:rFonts w:ascii="Palatino Linotype" w:hAnsi="Palatino Linotype" w:cs="Arial"/>
          <w:i/>
          <w:iCs/>
          <w:sz w:val="22"/>
          <w:szCs w:val="22"/>
          <w:lang w:eastAsia="es-MX"/>
        </w:rPr>
        <w:t>Los mecanismos de vigilancia y supervisión, incluyendo en su caso, los estudios de impacto urbano y ambiental, según corresponda;</w:t>
      </w:r>
    </w:p>
    <w:p w14:paraId="12B0C062"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9) </w:t>
      </w:r>
      <w:r w:rsidRPr="00300A2C">
        <w:rPr>
          <w:rFonts w:ascii="Palatino Linotype" w:hAnsi="Palatino Linotype" w:cs="Arial"/>
          <w:i/>
          <w:iCs/>
          <w:sz w:val="22"/>
          <w:szCs w:val="22"/>
          <w:lang w:eastAsia="es-MX"/>
        </w:rPr>
        <w:t>La partida presupuestal, de conformidad con el clasificador por objeto del gasto, en el caso de ser aplicable;</w:t>
      </w:r>
    </w:p>
    <w:p w14:paraId="21D11A9D"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10) </w:t>
      </w:r>
      <w:r w:rsidRPr="00300A2C">
        <w:rPr>
          <w:rFonts w:ascii="Palatino Linotype" w:hAnsi="Palatino Linotype" w:cs="Arial"/>
          <w:i/>
          <w:iCs/>
          <w:sz w:val="22"/>
          <w:szCs w:val="22"/>
          <w:lang w:eastAsia="es-MX"/>
        </w:rPr>
        <w:t>Origen de los recursos especificando si son federales, estatales o municipales, así como el tipo de fondo de participación o aportación respectiva;</w:t>
      </w:r>
    </w:p>
    <w:p w14:paraId="6DF6B68C"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11) </w:t>
      </w:r>
      <w:r w:rsidRPr="00300A2C">
        <w:rPr>
          <w:rFonts w:ascii="Palatino Linotype" w:hAnsi="Palatino Linotype" w:cs="Arial"/>
          <w:i/>
          <w:iCs/>
          <w:sz w:val="22"/>
          <w:szCs w:val="22"/>
          <w:lang w:eastAsia="es-MX"/>
        </w:rPr>
        <w:t>Los convenios modificatorios que, en su caso, sean firmados, precisando el objeto y la fecha de celebración;</w:t>
      </w:r>
    </w:p>
    <w:p w14:paraId="2CC61DEF"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12) </w:t>
      </w:r>
      <w:r w:rsidRPr="00300A2C">
        <w:rPr>
          <w:rFonts w:ascii="Palatino Linotype" w:hAnsi="Palatino Linotype" w:cs="Arial"/>
          <w:i/>
          <w:iCs/>
          <w:sz w:val="22"/>
          <w:szCs w:val="22"/>
          <w:lang w:eastAsia="es-MX"/>
        </w:rPr>
        <w:t>Los informes de avance físico y financiero sobre las obras o servicios contratados;</w:t>
      </w:r>
    </w:p>
    <w:p w14:paraId="47772414"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13) </w:t>
      </w:r>
      <w:r w:rsidRPr="00300A2C">
        <w:rPr>
          <w:rFonts w:ascii="Palatino Linotype" w:hAnsi="Palatino Linotype" w:cs="Arial"/>
          <w:i/>
          <w:iCs/>
          <w:sz w:val="22"/>
          <w:szCs w:val="22"/>
          <w:lang w:eastAsia="es-MX"/>
        </w:rPr>
        <w:t>El convenio de terminación; y</w:t>
      </w:r>
    </w:p>
    <w:p w14:paraId="40AFED54" w14:textId="77777777" w:rsidR="004D619C" w:rsidRPr="00300A2C" w:rsidRDefault="004D619C" w:rsidP="004D619C">
      <w:pPr>
        <w:shd w:val="clear" w:color="auto" w:fill="FFFFFF"/>
        <w:ind w:left="851" w:right="851"/>
        <w:jc w:val="both"/>
        <w:rPr>
          <w:rFonts w:ascii="Palatino Linotype" w:hAnsi="Palatino Linotype" w:cs="Arial"/>
          <w:i/>
          <w:iCs/>
          <w:sz w:val="22"/>
          <w:szCs w:val="22"/>
          <w:lang w:eastAsia="es-MX"/>
        </w:rPr>
      </w:pPr>
      <w:r w:rsidRPr="00300A2C">
        <w:rPr>
          <w:rFonts w:ascii="Palatino Linotype" w:hAnsi="Palatino Linotype" w:cs="Arial"/>
          <w:b/>
          <w:bCs/>
          <w:i/>
          <w:iCs/>
          <w:sz w:val="22"/>
          <w:szCs w:val="22"/>
          <w:lang w:eastAsia="es-MX"/>
        </w:rPr>
        <w:t>14) </w:t>
      </w:r>
      <w:r w:rsidRPr="00300A2C">
        <w:rPr>
          <w:rFonts w:ascii="Palatino Linotype" w:hAnsi="Palatino Linotype" w:cs="Arial"/>
          <w:i/>
          <w:iCs/>
          <w:sz w:val="22"/>
          <w:szCs w:val="22"/>
          <w:lang w:eastAsia="es-MX"/>
        </w:rPr>
        <w:t>El finiquito.</w:t>
      </w:r>
    </w:p>
    <w:p w14:paraId="38309618" w14:textId="77777777" w:rsidR="004D619C" w:rsidRPr="00300A2C" w:rsidRDefault="004D619C" w:rsidP="004D619C">
      <w:pPr>
        <w:shd w:val="clear" w:color="auto" w:fill="FFFFFF"/>
        <w:ind w:left="851" w:right="851"/>
        <w:jc w:val="both"/>
        <w:rPr>
          <w:rFonts w:ascii="Arial" w:hAnsi="Arial" w:cs="Arial"/>
          <w:sz w:val="22"/>
          <w:szCs w:val="22"/>
          <w:lang w:eastAsia="es-MX"/>
        </w:rPr>
      </w:pPr>
    </w:p>
    <w:p w14:paraId="3AFAE3BF"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b) </w:t>
      </w:r>
      <w:r w:rsidRPr="00300A2C">
        <w:rPr>
          <w:rFonts w:ascii="Palatino Linotype" w:hAnsi="Palatino Linotype" w:cs="Arial"/>
          <w:i/>
          <w:iCs/>
          <w:sz w:val="22"/>
          <w:szCs w:val="22"/>
          <w:lang w:eastAsia="es-MX"/>
        </w:rPr>
        <w:t>De las adjudicaciones directas:</w:t>
      </w:r>
    </w:p>
    <w:p w14:paraId="45FFE5BC"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1) </w:t>
      </w:r>
      <w:r w:rsidRPr="00300A2C">
        <w:rPr>
          <w:rFonts w:ascii="Palatino Linotype" w:hAnsi="Palatino Linotype" w:cs="Arial"/>
          <w:i/>
          <w:iCs/>
          <w:sz w:val="22"/>
          <w:szCs w:val="22"/>
          <w:lang w:eastAsia="es-MX"/>
        </w:rPr>
        <w:t>La propuesta enviada por el participante;</w:t>
      </w:r>
    </w:p>
    <w:p w14:paraId="051D44DA"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2) </w:t>
      </w:r>
      <w:r w:rsidRPr="00300A2C">
        <w:rPr>
          <w:rFonts w:ascii="Palatino Linotype" w:hAnsi="Palatino Linotype" w:cs="Arial"/>
          <w:i/>
          <w:iCs/>
          <w:sz w:val="22"/>
          <w:szCs w:val="22"/>
          <w:lang w:eastAsia="es-MX"/>
        </w:rPr>
        <w:t>Los motivos y fundamentos legales aplicados para llevarla a cabo;</w:t>
      </w:r>
    </w:p>
    <w:p w14:paraId="4EE713B8"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3) </w:t>
      </w:r>
      <w:r w:rsidRPr="00300A2C">
        <w:rPr>
          <w:rFonts w:ascii="Palatino Linotype" w:hAnsi="Palatino Linotype" w:cs="Arial"/>
          <w:i/>
          <w:iCs/>
          <w:sz w:val="22"/>
          <w:szCs w:val="22"/>
          <w:lang w:eastAsia="es-MX"/>
        </w:rPr>
        <w:t>La autorización del ejercicio de la opción;</w:t>
      </w:r>
    </w:p>
    <w:p w14:paraId="11EC6059"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4) </w:t>
      </w:r>
      <w:r w:rsidRPr="00300A2C">
        <w:rPr>
          <w:rFonts w:ascii="Palatino Linotype" w:hAnsi="Palatino Linotype" w:cs="Arial"/>
          <w:i/>
          <w:iCs/>
          <w:sz w:val="22"/>
          <w:szCs w:val="22"/>
          <w:lang w:eastAsia="es-MX"/>
        </w:rPr>
        <w:t>En su caso, las cotizaciones consideradas, especificando los nombres de los proveedores y sus montos;</w:t>
      </w:r>
    </w:p>
    <w:p w14:paraId="3438FC64"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5) </w:t>
      </w:r>
      <w:r w:rsidRPr="00300A2C">
        <w:rPr>
          <w:rFonts w:ascii="Palatino Linotype" w:hAnsi="Palatino Linotype" w:cs="Arial"/>
          <w:i/>
          <w:iCs/>
          <w:sz w:val="22"/>
          <w:szCs w:val="22"/>
          <w:lang w:eastAsia="es-MX"/>
        </w:rPr>
        <w:t>El nombre de la persona física o jurídica colectiva adjudicada;</w:t>
      </w:r>
    </w:p>
    <w:p w14:paraId="09375BCD"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6) </w:t>
      </w:r>
      <w:r w:rsidRPr="00300A2C">
        <w:rPr>
          <w:rFonts w:ascii="Palatino Linotype" w:hAnsi="Palatino Linotype" w:cs="Arial"/>
          <w:i/>
          <w:iCs/>
          <w:sz w:val="22"/>
          <w:szCs w:val="22"/>
          <w:lang w:eastAsia="es-MX"/>
        </w:rPr>
        <w:t>La unidad administrativa solicitante y la responsable de su ejecución;</w:t>
      </w:r>
    </w:p>
    <w:p w14:paraId="2BC9884A"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7)</w:t>
      </w:r>
      <w:r w:rsidRPr="00300A2C">
        <w:rPr>
          <w:rFonts w:ascii="Palatino Linotype" w:hAnsi="Palatino Linotype" w:cs="Arial"/>
          <w:bCs/>
          <w:i/>
          <w:iCs/>
          <w:sz w:val="22"/>
          <w:szCs w:val="22"/>
          <w:lang w:eastAsia="es-MX"/>
        </w:rPr>
        <w:t> El número, fecha, el monto del contrato y el plazo de entrega o de ejecución de los servicios u obra;</w:t>
      </w:r>
    </w:p>
    <w:p w14:paraId="6D7E36ED"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8) </w:t>
      </w:r>
      <w:r w:rsidRPr="00300A2C">
        <w:rPr>
          <w:rFonts w:ascii="Palatino Linotype" w:hAnsi="Palatino Linotype" w:cs="Arial"/>
          <w:i/>
          <w:iCs/>
          <w:sz w:val="22"/>
          <w:szCs w:val="22"/>
          <w:lang w:eastAsia="es-MX"/>
        </w:rPr>
        <w:t>Los mecanismos de vigilancia y supervisión, incluyendo, en su caso, los estudios de impacto urbano y ambiental, según corresponda;</w:t>
      </w:r>
    </w:p>
    <w:p w14:paraId="1E0E1D35"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9) </w:t>
      </w:r>
      <w:r w:rsidRPr="00300A2C">
        <w:rPr>
          <w:rFonts w:ascii="Palatino Linotype" w:hAnsi="Palatino Linotype" w:cs="Arial"/>
          <w:i/>
          <w:iCs/>
          <w:sz w:val="22"/>
          <w:szCs w:val="22"/>
          <w:lang w:eastAsia="es-MX"/>
        </w:rPr>
        <w:t>Los informes de avance sobre las obras o servicios contratados;</w:t>
      </w:r>
    </w:p>
    <w:p w14:paraId="1E833E84" w14:textId="77777777" w:rsidR="004D619C" w:rsidRPr="00300A2C" w:rsidRDefault="004D619C" w:rsidP="004D619C">
      <w:pPr>
        <w:shd w:val="clear" w:color="auto" w:fill="FFFFFF"/>
        <w:ind w:left="851" w:right="851"/>
        <w:jc w:val="both"/>
        <w:rPr>
          <w:rFonts w:ascii="Arial" w:hAnsi="Arial" w:cs="Arial"/>
          <w:sz w:val="22"/>
          <w:szCs w:val="22"/>
          <w:lang w:eastAsia="es-MX"/>
        </w:rPr>
      </w:pPr>
      <w:r w:rsidRPr="00300A2C">
        <w:rPr>
          <w:rFonts w:ascii="Palatino Linotype" w:hAnsi="Palatino Linotype" w:cs="Arial"/>
          <w:b/>
          <w:bCs/>
          <w:i/>
          <w:iCs/>
          <w:sz w:val="22"/>
          <w:szCs w:val="22"/>
          <w:lang w:eastAsia="es-MX"/>
        </w:rPr>
        <w:t>10) </w:t>
      </w:r>
      <w:r w:rsidRPr="00300A2C">
        <w:rPr>
          <w:rFonts w:ascii="Palatino Linotype" w:hAnsi="Palatino Linotype" w:cs="Arial"/>
          <w:i/>
          <w:iCs/>
          <w:sz w:val="22"/>
          <w:szCs w:val="22"/>
          <w:lang w:eastAsia="es-MX"/>
        </w:rPr>
        <w:t>El convenio de terminación; y</w:t>
      </w:r>
    </w:p>
    <w:p w14:paraId="2C0213A3" w14:textId="77777777" w:rsidR="004D619C" w:rsidRPr="00300A2C" w:rsidRDefault="004D619C" w:rsidP="004D619C">
      <w:pPr>
        <w:shd w:val="clear" w:color="auto" w:fill="FFFFFF"/>
        <w:ind w:left="851" w:right="851"/>
        <w:jc w:val="both"/>
        <w:rPr>
          <w:rFonts w:ascii="Palatino Linotype" w:hAnsi="Palatino Linotype" w:cs="Arial"/>
          <w:b/>
          <w:i/>
          <w:iCs/>
          <w:sz w:val="22"/>
          <w:szCs w:val="22"/>
          <w:lang w:eastAsia="es-MX"/>
        </w:rPr>
      </w:pPr>
      <w:r w:rsidRPr="00300A2C">
        <w:rPr>
          <w:rFonts w:ascii="Palatino Linotype" w:hAnsi="Palatino Linotype" w:cs="Arial"/>
          <w:b/>
          <w:bCs/>
          <w:i/>
          <w:iCs/>
          <w:sz w:val="22"/>
          <w:szCs w:val="22"/>
          <w:lang w:eastAsia="es-MX"/>
        </w:rPr>
        <w:t>11) </w:t>
      </w:r>
      <w:r w:rsidRPr="00300A2C">
        <w:rPr>
          <w:rFonts w:ascii="Palatino Linotype" w:hAnsi="Palatino Linotype" w:cs="Arial"/>
          <w:i/>
          <w:iCs/>
          <w:sz w:val="22"/>
          <w:szCs w:val="22"/>
          <w:lang w:eastAsia="es-MX"/>
        </w:rPr>
        <w:t>El finiquito.</w:t>
      </w:r>
      <w:r w:rsidRPr="00300A2C">
        <w:rPr>
          <w:rFonts w:ascii="Palatino Linotype" w:hAnsi="Palatino Linotype" w:cs="Arial"/>
          <w:b/>
          <w:i/>
          <w:iCs/>
          <w:sz w:val="22"/>
          <w:szCs w:val="22"/>
          <w:lang w:eastAsia="es-MX"/>
        </w:rPr>
        <w:t xml:space="preserve">” </w:t>
      </w:r>
      <w:r w:rsidRPr="00300A2C">
        <w:rPr>
          <w:rFonts w:ascii="Palatino Linotype" w:hAnsi="Palatino Linotype" w:cs="Arial"/>
          <w:i/>
          <w:iCs/>
          <w:sz w:val="22"/>
          <w:szCs w:val="22"/>
          <w:lang w:eastAsia="es-MX"/>
        </w:rPr>
        <w:t>(Énfasis añadido)</w:t>
      </w:r>
    </w:p>
    <w:p w14:paraId="66B82B34" w14:textId="77777777" w:rsidR="004D619C" w:rsidRPr="00300A2C" w:rsidRDefault="004D619C" w:rsidP="004D619C">
      <w:pPr>
        <w:spacing w:before="100" w:beforeAutospacing="1" w:after="100" w:afterAutospacing="1" w:line="360" w:lineRule="auto"/>
        <w:jc w:val="both"/>
        <w:rPr>
          <w:rFonts w:ascii="Palatino Linotype" w:hAnsi="Palatino Linotype" w:cs="Arial"/>
        </w:rPr>
      </w:pPr>
      <w:r w:rsidRPr="00300A2C">
        <w:rPr>
          <w:rFonts w:ascii="Palatino Linotype" w:hAnsi="Palatino Linotype" w:cs="Arial"/>
        </w:rPr>
        <w:t xml:space="preserve">De lo anterior, se desprende que es obligación de los Sujetos Obligados poner a disposición del público de manera constante y actualizada, de forma sencilla, precisa y entendible, en los respectivos medios electrónicos, la información referente a los procesos y resultados </w:t>
      </w:r>
      <w:r w:rsidRPr="00300A2C">
        <w:rPr>
          <w:rFonts w:ascii="Palatino Linotype" w:hAnsi="Palatino Linotype" w:cs="Arial"/>
          <w:b/>
        </w:rPr>
        <w:t>sobre procedimientos de adjudicación directa</w:t>
      </w:r>
      <w:r w:rsidRPr="00300A2C">
        <w:rPr>
          <w:rFonts w:ascii="Palatino Linotype" w:hAnsi="Palatino Linotype" w:cs="Arial"/>
        </w:rPr>
        <w:t xml:space="preserve">, </w:t>
      </w:r>
      <w:r w:rsidRPr="00300A2C">
        <w:rPr>
          <w:rFonts w:ascii="Palatino Linotype" w:hAnsi="Palatino Linotype" w:cs="Arial"/>
          <w:b/>
        </w:rPr>
        <w:t>invitación restringida y licitación de cualquier naturaleza</w:t>
      </w:r>
      <w:r w:rsidRPr="00300A2C">
        <w:rPr>
          <w:rFonts w:ascii="Palatino Linotype" w:hAnsi="Palatino Linotype" w:cs="Arial"/>
        </w:rPr>
        <w:t>, en el que se debe contener dentro de la versión pública del expediente respectivo y de los contratos celebrados, el contrato que debe contener entre otros requisitos, el número, fecha y monto del mismo, así como el plazo de entrega o de ejecución de los servicios u obra.</w:t>
      </w:r>
    </w:p>
    <w:p w14:paraId="425E65AC" w14:textId="77777777" w:rsidR="004D619C" w:rsidRPr="00300A2C" w:rsidRDefault="004D619C" w:rsidP="004D619C">
      <w:pPr>
        <w:spacing w:before="100" w:beforeAutospacing="1" w:after="100" w:afterAutospacing="1" w:line="360" w:lineRule="auto"/>
        <w:jc w:val="both"/>
        <w:rPr>
          <w:rFonts w:ascii="Palatino Linotype" w:hAnsi="Palatino Linotype" w:cs="Arial"/>
        </w:rPr>
      </w:pPr>
      <w:r w:rsidRPr="00300A2C">
        <w:rPr>
          <w:rFonts w:ascii="Palatino Linotype" w:hAnsi="Palatino Linotype" w:cs="Arial"/>
        </w:rPr>
        <w:t>A mayor abundamiento, debe observarse lo establecido en los artículos 1, fracción III, 20, 21, 22, 23, 24, 26, 27 y 39 de la Ley de Contratación Pública del Estado de México y Municipios, los cuales se transcriben a continuación:</w:t>
      </w:r>
    </w:p>
    <w:p w14:paraId="3A6F5405"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b/>
          <w:bCs/>
          <w:i/>
          <w:iCs/>
          <w:sz w:val="22"/>
          <w:szCs w:val="22"/>
          <w:lang w:eastAsia="es-MX"/>
        </w:rPr>
        <w:t>“Artículo 1</w:t>
      </w:r>
      <w:r w:rsidRPr="00300A2C">
        <w:rPr>
          <w:rFonts w:ascii="Palatino Linotype" w:hAnsi="Palatino Linotype" w:cs="Arial"/>
          <w:i/>
          <w:iCs/>
          <w:sz w:val="22"/>
          <w:szCs w:val="22"/>
          <w:lang w:eastAsia="es-MX"/>
        </w:rPr>
        <w:t>.- </w:t>
      </w:r>
      <w:r w:rsidRPr="00300A2C">
        <w:rPr>
          <w:rFonts w:ascii="Palatino Linotype" w:hAnsi="Palatino Linotype" w:cs="Arial"/>
          <w:b/>
          <w:bCs/>
          <w:i/>
          <w:iCs/>
          <w:sz w:val="22"/>
          <w:szCs w:val="22"/>
          <w:lang w:eastAsia="es-MX"/>
        </w:rPr>
        <w:t>Esta Ley tiene por objeto regular los actos relativos a</w:t>
      </w:r>
      <w:r w:rsidRPr="00300A2C">
        <w:rPr>
          <w:rFonts w:ascii="Palatino Linotype" w:hAnsi="Palatino Linotype" w:cs="Arial"/>
          <w:i/>
          <w:iCs/>
          <w:sz w:val="22"/>
          <w:szCs w:val="22"/>
          <w:lang w:eastAsia="es-MX"/>
        </w:rPr>
        <w:t> la planeación, programación, presupuestación, ejecución y control de </w:t>
      </w:r>
      <w:r w:rsidRPr="00300A2C">
        <w:rPr>
          <w:rFonts w:ascii="Palatino Linotype" w:hAnsi="Palatino Linotype" w:cs="Arial"/>
          <w:b/>
          <w:bCs/>
          <w:i/>
          <w:iCs/>
          <w:sz w:val="22"/>
          <w:szCs w:val="22"/>
          <w:lang w:eastAsia="es-MX"/>
        </w:rPr>
        <w:t>la adquisición, enajenación y arrendamiento de bienes, y la contratación de servicios de cualquier naturaleza</w:t>
      </w:r>
      <w:r w:rsidRPr="00300A2C">
        <w:rPr>
          <w:rFonts w:ascii="Palatino Linotype" w:hAnsi="Palatino Linotype" w:cs="Arial"/>
          <w:i/>
          <w:iCs/>
          <w:sz w:val="22"/>
          <w:szCs w:val="22"/>
          <w:lang w:eastAsia="es-MX"/>
        </w:rPr>
        <w:t>, </w:t>
      </w:r>
      <w:r w:rsidRPr="00300A2C">
        <w:rPr>
          <w:rFonts w:ascii="Palatino Linotype" w:hAnsi="Palatino Linotype" w:cs="Arial"/>
          <w:b/>
          <w:bCs/>
          <w:i/>
          <w:iCs/>
          <w:sz w:val="22"/>
          <w:szCs w:val="22"/>
          <w:lang w:eastAsia="es-MX"/>
        </w:rPr>
        <w:t>que realicen</w:t>
      </w:r>
      <w:r w:rsidRPr="00300A2C">
        <w:rPr>
          <w:rFonts w:ascii="Palatino Linotype" w:hAnsi="Palatino Linotype" w:cs="Arial"/>
          <w:i/>
          <w:iCs/>
          <w:sz w:val="22"/>
          <w:szCs w:val="22"/>
          <w:lang w:eastAsia="es-MX"/>
        </w:rPr>
        <w:t>:</w:t>
      </w:r>
    </w:p>
    <w:p w14:paraId="5BF72A2B"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i/>
          <w:iCs/>
          <w:sz w:val="22"/>
          <w:szCs w:val="22"/>
          <w:lang w:eastAsia="es-MX"/>
        </w:rPr>
        <w:t>…</w:t>
      </w:r>
    </w:p>
    <w:p w14:paraId="3419921B"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b/>
          <w:bCs/>
          <w:i/>
          <w:iCs/>
          <w:sz w:val="22"/>
          <w:szCs w:val="22"/>
          <w:lang w:eastAsia="es-MX"/>
        </w:rPr>
        <w:t>III. Los ayuntamientos de los municipios del Estado</w:t>
      </w:r>
      <w:r w:rsidRPr="00300A2C">
        <w:rPr>
          <w:rFonts w:ascii="Palatino Linotype" w:hAnsi="Palatino Linotype" w:cs="Arial"/>
          <w:i/>
          <w:iCs/>
          <w:sz w:val="22"/>
          <w:szCs w:val="22"/>
          <w:lang w:eastAsia="es-MX"/>
        </w:rPr>
        <w:t>.</w:t>
      </w:r>
    </w:p>
    <w:p w14:paraId="5406F185" w14:textId="77777777" w:rsidR="004D619C" w:rsidRPr="00300A2C" w:rsidRDefault="004D619C" w:rsidP="004D619C">
      <w:pPr>
        <w:shd w:val="clear" w:color="auto" w:fill="FFFFFF"/>
        <w:ind w:left="851" w:right="899"/>
        <w:jc w:val="both"/>
        <w:rPr>
          <w:rFonts w:ascii="Palatino Linotype" w:hAnsi="Palatino Linotype" w:cs="Arial"/>
          <w:b/>
          <w:bCs/>
          <w:i/>
          <w:iCs/>
          <w:sz w:val="22"/>
          <w:szCs w:val="22"/>
          <w:lang w:eastAsia="es-MX"/>
        </w:rPr>
      </w:pPr>
    </w:p>
    <w:p w14:paraId="296C61BF"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b/>
          <w:bCs/>
          <w:i/>
          <w:iCs/>
          <w:sz w:val="22"/>
          <w:szCs w:val="22"/>
          <w:lang w:eastAsia="es-MX"/>
        </w:rPr>
        <w:t>Artículo 20</w:t>
      </w:r>
      <w:r w:rsidRPr="00300A2C">
        <w:rPr>
          <w:rFonts w:ascii="Palatino Linotype" w:hAnsi="Palatino Linotype" w:cs="Arial"/>
          <w:i/>
          <w:iCs/>
          <w:sz w:val="22"/>
          <w:szCs w:val="22"/>
          <w:lang w:eastAsia="es-MX"/>
        </w:rPr>
        <w:t>.- La Secretaría y </w:t>
      </w:r>
      <w:r w:rsidRPr="00300A2C">
        <w:rPr>
          <w:rFonts w:ascii="Palatino Linotype" w:hAnsi="Palatino Linotype" w:cs="Arial"/>
          <w:b/>
          <w:bCs/>
          <w:i/>
          <w:iCs/>
          <w:sz w:val="22"/>
          <w:szCs w:val="22"/>
          <w:lang w:eastAsia="es-MX"/>
        </w:rPr>
        <w:t>los ayuntamientos establecerán y operarán el catálogo de bienes y servicios</w:t>
      </w:r>
      <w:r w:rsidRPr="00300A2C">
        <w:rPr>
          <w:rFonts w:ascii="Palatino Linotype" w:hAnsi="Palatino Linotype" w:cs="Arial"/>
          <w:i/>
          <w:iCs/>
          <w:sz w:val="22"/>
          <w:szCs w:val="22"/>
          <w:lang w:eastAsia="es-MX"/>
        </w:rPr>
        <w:t>, de acuerdo con la reglamentación respectiva. </w:t>
      </w:r>
      <w:r w:rsidRPr="00300A2C">
        <w:rPr>
          <w:rFonts w:ascii="Palatino Linotype" w:hAnsi="Palatino Linotype" w:cs="Arial"/>
          <w:b/>
          <w:bCs/>
          <w:i/>
          <w:iCs/>
          <w:sz w:val="22"/>
          <w:szCs w:val="22"/>
          <w:lang w:eastAsia="es-MX"/>
        </w:rPr>
        <w:t>Establecerán y operarán también el catálogo de bienes y servicios específicos que sean susceptibles de ser adquiridos o contratados</w:t>
      </w:r>
      <w:r w:rsidRPr="00300A2C">
        <w:rPr>
          <w:rFonts w:ascii="Palatino Linotype" w:hAnsi="Palatino Linotype" w:cs="Arial"/>
          <w:i/>
          <w:iCs/>
          <w:sz w:val="22"/>
          <w:szCs w:val="22"/>
          <w:lang w:eastAsia="es-MX"/>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3DEE9B7A" w14:textId="77777777" w:rsidR="004D619C" w:rsidRPr="00300A2C" w:rsidRDefault="004D619C" w:rsidP="004D619C">
      <w:pPr>
        <w:shd w:val="clear" w:color="auto" w:fill="FFFFFF"/>
        <w:ind w:left="851" w:right="899"/>
        <w:jc w:val="both"/>
        <w:rPr>
          <w:rFonts w:ascii="Palatino Linotype" w:hAnsi="Palatino Linotype" w:cs="Arial"/>
          <w:b/>
          <w:bCs/>
          <w:i/>
          <w:iCs/>
          <w:sz w:val="22"/>
          <w:szCs w:val="22"/>
          <w:lang w:eastAsia="es-MX"/>
        </w:rPr>
      </w:pPr>
    </w:p>
    <w:p w14:paraId="05CF6EEA"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b/>
          <w:bCs/>
          <w:i/>
          <w:iCs/>
          <w:sz w:val="22"/>
          <w:szCs w:val="22"/>
          <w:lang w:eastAsia="es-MX"/>
        </w:rPr>
        <w:t>Artículo 21.- A fin de conocer la capacidad administrativa, financiera, legal y técnica de las fuentes de suministro</w:t>
      </w:r>
      <w:r w:rsidRPr="00300A2C">
        <w:rPr>
          <w:rFonts w:ascii="Palatino Linotype" w:hAnsi="Palatino Linotype" w:cs="Arial"/>
          <w:i/>
          <w:iCs/>
          <w:sz w:val="22"/>
          <w:szCs w:val="22"/>
          <w:lang w:eastAsia="es-MX"/>
        </w:rPr>
        <w:t>, la Secretaría y </w:t>
      </w:r>
      <w:r w:rsidRPr="00300A2C">
        <w:rPr>
          <w:rFonts w:ascii="Palatino Linotype" w:hAnsi="Palatino Linotype" w:cs="Arial"/>
          <w:b/>
          <w:bCs/>
          <w:i/>
          <w:iCs/>
          <w:sz w:val="22"/>
          <w:szCs w:val="22"/>
          <w:lang w:eastAsia="es-MX"/>
        </w:rPr>
        <w:t>los ayuntamientos integrarán un catálogo de proveedores y de prestadores de servicios</w:t>
      </w:r>
      <w:r w:rsidRPr="00300A2C">
        <w:rPr>
          <w:rFonts w:ascii="Palatino Linotype" w:hAnsi="Palatino Linotype" w:cs="Arial"/>
          <w:i/>
          <w:iCs/>
          <w:sz w:val="22"/>
          <w:szCs w:val="22"/>
          <w:lang w:eastAsia="es-MX"/>
        </w:rPr>
        <w:t>.</w:t>
      </w:r>
    </w:p>
    <w:p w14:paraId="01DEC773"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i/>
          <w:iCs/>
          <w:sz w:val="22"/>
          <w:szCs w:val="22"/>
          <w:lang w:eastAsia="es-MX"/>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5A964258" w14:textId="77777777" w:rsidR="004D619C" w:rsidRPr="00300A2C" w:rsidRDefault="004D619C" w:rsidP="004D619C">
      <w:pPr>
        <w:shd w:val="clear" w:color="auto" w:fill="FFFFFF"/>
        <w:ind w:left="851" w:right="899"/>
        <w:jc w:val="both"/>
        <w:rPr>
          <w:rFonts w:ascii="Palatino Linotype" w:hAnsi="Palatino Linotype" w:cs="Arial"/>
          <w:b/>
          <w:bCs/>
          <w:i/>
          <w:iCs/>
          <w:sz w:val="22"/>
          <w:szCs w:val="22"/>
          <w:lang w:eastAsia="es-MX"/>
        </w:rPr>
      </w:pPr>
    </w:p>
    <w:p w14:paraId="517C1352"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b/>
          <w:bCs/>
          <w:i/>
          <w:iCs/>
          <w:sz w:val="22"/>
          <w:szCs w:val="22"/>
          <w:lang w:eastAsia="es-MX"/>
        </w:rPr>
        <w:t>Artículo 22</w:t>
      </w:r>
      <w:r w:rsidRPr="00300A2C">
        <w:rPr>
          <w:rFonts w:ascii="Palatino Linotype" w:hAnsi="Palatino Linotype" w:cs="Arial"/>
          <w:i/>
          <w:iCs/>
          <w:sz w:val="22"/>
          <w:szCs w:val="22"/>
          <w:lang w:eastAsia="es-MX"/>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300A2C">
        <w:rPr>
          <w:rFonts w:ascii="Palatino Linotype" w:hAnsi="Palatino Linotype" w:cs="Arial"/>
          <w:b/>
          <w:bCs/>
          <w:i/>
          <w:iCs/>
          <w:sz w:val="22"/>
          <w:szCs w:val="22"/>
          <w:lang w:eastAsia="es-MX"/>
        </w:rPr>
        <w:t>los ayuntamientos se auxiliarán de un comité de arrendamientos, adquisiciones de inmuebles y enajenaciones</w:t>
      </w:r>
      <w:r w:rsidRPr="00300A2C">
        <w:rPr>
          <w:rFonts w:ascii="Palatino Linotype" w:hAnsi="Palatino Linotype" w:cs="Arial"/>
          <w:i/>
          <w:iCs/>
          <w:sz w:val="22"/>
          <w:szCs w:val="22"/>
          <w:lang w:eastAsia="es-MX"/>
        </w:rPr>
        <w:t>.”</w:t>
      </w:r>
    </w:p>
    <w:p w14:paraId="1FFE0A1B" w14:textId="77777777" w:rsidR="004D619C" w:rsidRPr="00300A2C" w:rsidRDefault="004D619C" w:rsidP="004D619C">
      <w:pPr>
        <w:shd w:val="clear" w:color="auto" w:fill="FFFFFF"/>
        <w:ind w:left="851" w:right="899"/>
        <w:jc w:val="both"/>
        <w:rPr>
          <w:rFonts w:ascii="Palatino Linotype" w:hAnsi="Palatino Linotype" w:cs="Arial"/>
          <w:b/>
          <w:bCs/>
          <w:i/>
          <w:iCs/>
          <w:sz w:val="22"/>
          <w:szCs w:val="22"/>
          <w:lang w:eastAsia="es-MX"/>
        </w:rPr>
      </w:pPr>
    </w:p>
    <w:p w14:paraId="6FD67510"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b/>
          <w:bCs/>
          <w:i/>
          <w:iCs/>
          <w:sz w:val="22"/>
          <w:szCs w:val="22"/>
          <w:lang w:eastAsia="es-MX"/>
        </w:rPr>
        <w:t>Artículo 23</w:t>
      </w:r>
      <w:r w:rsidRPr="00300A2C">
        <w:rPr>
          <w:rFonts w:ascii="Palatino Linotype" w:hAnsi="Palatino Linotype" w:cs="Arial"/>
          <w:i/>
          <w:iCs/>
          <w:sz w:val="22"/>
          <w:szCs w:val="22"/>
          <w:lang w:eastAsia="es-MX"/>
        </w:rPr>
        <w:t>.- </w:t>
      </w:r>
      <w:r w:rsidRPr="00300A2C">
        <w:rPr>
          <w:rFonts w:ascii="Palatino Linotype" w:hAnsi="Palatino Linotype" w:cs="Arial"/>
          <w:b/>
          <w:bCs/>
          <w:i/>
          <w:iCs/>
          <w:sz w:val="22"/>
          <w:szCs w:val="22"/>
          <w:lang w:eastAsia="es-MX"/>
        </w:rPr>
        <w:t>Los comités de adquisiciones y de servicios tendrán las funciones siguientes</w:t>
      </w:r>
      <w:r w:rsidRPr="00300A2C">
        <w:rPr>
          <w:rFonts w:ascii="Palatino Linotype" w:hAnsi="Palatino Linotype" w:cs="Arial"/>
          <w:i/>
          <w:iCs/>
          <w:sz w:val="22"/>
          <w:szCs w:val="22"/>
          <w:lang w:eastAsia="es-MX"/>
        </w:rPr>
        <w:t>:</w:t>
      </w:r>
    </w:p>
    <w:p w14:paraId="1155DD0D"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i/>
          <w:iCs/>
          <w:sz w:val="22"/>
          <w:szCs w:val="22"/>
          <w:lang w:eastAsia="es-MX"/>
        </w:rPr>
        <w:t>I. Dictaminar sobre la procedencia de los casos de excepción al procedimiento de licitación pública.</w:t>
      </w:r>
    </w:p>
    <w:p w14:paraId="260E077A"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i/>
          <w:iCs/>
          <w:sz w:val="22"/>
          <w:szCs w:val="22"/>
          <w:lang w:eastAsia="es-MX"/>
        </w:rPr>
        <w:t>II. Participar en los procedimientos de licitación, invitación restringida y adjudicación directa, hasta dejarlos en estado de dictar el fallo correspondiente, incluidos los que tengan que desahogarse bajo la modalidad de subasta inversa.</w:t>
      </w:r>
    </w:p>
    <w:p w14:paraId="03419F4D"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b/>
          <w:bCs/>
          <w:i/>
          <w:iCs/>
          <w:sz w:val="22"/>
          <w:szCs w:val="22"/>
          <w:lang w:eastAsia="es-MX"/>
        </w:rPr>
        <w:t>III. Emitir los dictámenes de adjudicación</w:t>
      </w:r>
      <w:r w:rsidRPr="00300A2C">
        <w:rPr>
          <w:rFonts w:ascii="Palatino Linotype" w:hAnsi="Palatino Linotype" w:cs="Arial"/>
          <w:i/>
          <w:iCs/>
          <w:sz w:val="22"/>
          <w:szCs w:val="22"/>
          <w:lang w:eastAsia="es-MX"/>
        </w:rPr>
        <w:t>.</w:t>
      </w:r>
    </w:p>
    <w:p w14:paraId="0789077F"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i/>
          <w:iCs/>
          <w:sz w:val="22"/>
          <w:szCs w:val="22"/>
          <w:lang w:eastAsia="es-MX"/>
        </w:rPr>
        <w:t>IV. Las demás que establezca el reglamento de esta Ley.”</w:t>
      </w:r>
    </w:p>
    <w:p w14:paraId="2EF1414C" w14:textId="77777777" w:rsidR="004D619C" w:rsidRPr="00300A2C" w:rsidRDefault="004D619C" w:rsidP="004D619C">
      <w:pPr>
        <w:shd w:val="clear" w:color="auto" w:fill="FFFFFF"/>
        <w:ind w:left="851" w:right="899"/>
        <w:jc w:val="both"/>
        <w:rPr>
          <w:rFonts w:ascii="Palatino Linotype" w:hAnsi="Palatino Linotype" w:cs="Arial"/>
          <w:b/>
          <w:bCs/>
          <w:i/>
          <w:iCs/>
          <w:sz w:val="22"/>
          <w:szCs w:val="22"/>
          <w:lang w:eastAsia="es-MX"/>
        </w:rPr>
      </w:pPr>
    </w:p>
    <w:p w14:paraId="7862C6E1"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b/>
          <w:bCs/>
          <w:i/>
          <w:iCs/>
          <w:sz w:val="22"/>
          <w:szCs w:val="22"/>
          <w:lang w:eastAsia="es-MX"/>
        </w:rPr>
        <w:t>Artículo 24</w:t>
      </w:r>
      <w:r w:rsidRPr="00300A2C">
        <w:rPr>
          <w:rFonts w:ascii="Palatino Linotype" w:hAnsi="Palatino Linotype" w:cs="Arial"/>
          <w:i/>
          <w:iCs/>
          <w:sz w:val="22"/>
          <w:szCs w:val="22"/>
          <w:lang w:eastAsia="es-MX"/>
        </w:rPr>
        <w:t>.- </w:t>
      </w:r>
      <w:r w:rsidRPr="00300A2C">
        <w:rPr>
          <w:rFonts w:ascii="Palatino Linotype" w:hAnsi="Palatino Linotype" w:cs="Arial"/>
          <w:b/>
          <w:bCs/>
          <w:i/>
          <w:iCs/>
          <w:sz w:val="22"/>
          <w:szCs w:val="22"/>
          <w:lang w:eastAsia="es-MX"/>
        </w:rPr>
        <w:t>El comité de arrendamientos, adquisiciones de inmuebles y enajenaciones tendrá las funciones siguientes</w:t>
      </w:r>
      <w:r w:rsidRPr="00300A2C">
        <w:rPr>
          <w:rFonts w:ascii="Palatino Linotype" w:hAnsi="Palatino Linotype" w:cs="Arial"/>
          <w:i/>
          <w:iCs/>
          <w:sz w:val="22"/>
          <w:szCs w:val="22"/>
          <w:lang w:eastAsia="es-MX"/>
        </w:rPr>
        <w:t>:</w:t>
      </w:r>
    </w:p>
    <w:p w14:paraId="0074A53C"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i/>
          <w:iCs/>
          <w:sz w:val="22"/>
          <w:szCs w:val="22"/>
          <w:lang w:eastAsia="es-MX"/>
        </w:rPr>
        <w:t>I. Dictaminar sobre la procedencia de los casos de excepción al procedimiento de licitación pública, tratándose de adquisición de inmuebles y arrendamientos.</w:t>
      </w:r>
    </w:p>
    <w:p w14:paraId="15F3917E"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i/>
          <w:iCs/>
          <w:sz w:val="22"/>
          <w:szCs w:val="22"/>
          <w:lang w:eastAsia="es-MX"/>
        </w:rPr>
        <w:t>II. Participar en los procedimientos de licitación, invitación restringida y adjudicación directa, hasta dejarlos en estado de dictar el fallo correspondiente, tratándose de adquisición de inmuebles y arrendamientos.</w:t>
      </w:r>
    </w:p>
    <w:p w14:paraId="3C214612"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b/>
          <w:bCs/>
          <w:i/>
          <w:iCs/>
          <w:sz w:val="22"/>
          <w:szCs w:val="22"/>
          <w:lang w:eastAsia="es-MX"/>
        </w:rPr>
        <w:t>III. Emitir los dictámenes de adjudicación, tratándose de adquisiciones de inmuebles y arrendamientos</w:t>
      </w:r>
      <w:r w:rsidRPr="00300A2C">
        <w:rPr>
          <w:rFonts w:ascii="Palatino Linotype" w:hAnsi="Palatino Linotype" w:cs="Arial"/>
          <w:i/>
          <w:iCs/>
          <w:sz w:val="22"/>
          <w:szCs w:val="22"/>
          <w:lang w:eastAsia="es-MX"/>
        </w:rPr>
        <w:t>.</w:t>
      </w:r>
    </w:p>
    <w:p w14:paraId="638A07D3"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i/>
          <w:iCs/>
          <w:sz w:val="22"/>
          <w:szCs w:val="22"/>
          <w:lang w:eastAsia="es-MX"/>
        </w:rPr>
        <w:t>IV. Participar en los procedimientos de subasta pública, hasta dejarlos en estado de dictar el fallo de adjudicación.</w:t>
      </w:r>
    </w:p>
    <w:p w14:paraId="415B25BC" w14:textId="77777777" w:rsidR="004D619C" w:rsidRPr="00300A2C" w:rsidRDefault="004D619C" w:rsidP="004D619C">
      <w:pPr>
        <w:shd w:val="clear" w:color="auto" w:fill="FFFFFF"/>
        <w:ind w:left="851" w:right="899"/>
        <w:jc w:val="both"/>
        <w:rPr>
          <w:rFonts w:ascii="Palatino Linotype" w:hAnsi="Palatino Linotype" w:cs="Arial"/>
          <w:i/>
          <w:iCs/>
          <w:sz w:val="22"/>
          <w:szCs w:val="22"/>
          <w:lang w:eastAsia="es-MX"/>
        </w:rPr>
      </w:pPr>
      <w:r w:rsidRPr="00300A2C">
        <w:rPr>
          <w:rFonts w:ascii="Palatino Linotype" w:hAnsi="Palatino Linotype" w:cs="Arial"/>
          <w:i/>
          <w:iCs/>
          <w:sz w:val="22"/>
          <w:szCs w:val="22"/>
          <w:lang w:eastAsia="es-MX"/>
        </w:rPr>
        <w:t>V. Las demás que establezca el reglamento de esta Ley.”</w:t>
      </w:r>
    </w:p>
    <w:p w14:paraId="60C36F57" w14:textId="77777777" w:rsidR="004D619C" w:rsidRPr="00300A2C" w:rsidRDefault="004D619C" w:rsidP="004D619C">
      <w:pPr>
        <w:ind w:left="851" w:right="899"/>
        <w:jc w:val="both"/>
        <w:rPr>
          <w:rFonts w:ascii="Palatino Linotype" w:hAnsi="Palatino Linotype" w:cs="Arial"/>
          <w:b/>
          <w:i/>
          <w:iCs/>
          <w:sz w:val="22"/>
          <w:szCs w:val="22"/>
          <w:lang w:eastAsia="es-MX"/>
        </w:rPr>
      </w:pPr>
    </w:p>
    <w:p w14:paraId="449358D6" w14:textId="77777777" w:rsidR="004D619C" w:rsidRPr="00300A2C" w:rsidRDefault="004D619C" w:rsidP="004D619C">
      <w:pPr>
        <w:ind w:left="851" w:right="899"/>
        <w:jc w:val="both"/>
        <w:rPr>
          <w:rFonts w:ascii="Palatino Linotype" w:hAnsi="Palatino Linotype" w:cs="Arial"/>
          <w:i/>
          <w:iCs/>
          <w:sz w:val="22"/>
          <w:szCs w:val="22"/>
          <w:lang w:eastAsia="es-MX"/>
        </w:rPr>
      </w:pPr>
      <w:r w:rsidRPr="00300A2C">
        <w:rPr>
          <w:rFonts w:ascii="Palatino Linotype" w:hAnsi="Palatino Linotype" w:cs="Arial"/>
          <w:b/>
          <w:i/>
          <w:iCs/>
          <w:sz w:val="22"/>
          <w:szCs w:val="22"/>
          <w:lang w:eastAsia="es-MX"/>
        </w:rPr>
        <w:t>Artículo 26.- </w:t>
      </w:r>
      <w:r w:rsidRPr="00300A2C">
        <w:rPr>
          <w:rFonts w:ascii="Palatino Linotype" w:hAnsi="Palatino Linotype" w:cs="Arial"/>
          <w:i/>
          <w:iCs/>
          <w:sz w:val="22"/>
          <w:szCs w:val="22"/>
          <w:lang w:eastAsia="es-MX"/>
        </w:rPr>
        <w:t>Las adquisiciones, arrendamientos y servicios se adjudicarán a través de licitaciones públicas, mediante convocatoria pública.</w:t>
      </w:r>
    </w:p>
    <w:p w14:paraId="63C3E9B9" w14:textId="77777777" w:rsidR="004D619C" w:rsidRPr="00300A2C" w:rsidRDefault="004D619C" w:rsidP="004D619C">
      <w:pPr>
        <w:ind w:left="851" w:right="899"/>
        <w:jc w:val="both"/>
        <w:rPr>
          <w:rFonts w:ascii="Palatino Linotype" w:hAnsi="Palatino Linotype" w:cs="Arial"/>
          <w:b/>
          <w:i/>
          <w:iCs/>
          <w:sz w:val="22"/>
          <w:szCs w:val="22"/>
          <w:lang w:eastAsia="es-MX"/>
        </w:rPr>
      </w:pPr>
    </w:p>
    <w:p w14:paraId="6DEA5232" w14:textId="77777777" w:rsidR="004D619C" w:rsidRPr="00300A2C" w:rsidRDefault="004D619C" w:rsidP="004D619C">
      <w:pPr>
        <w:ind w:left="851" w:right="899"/>
        <w:jc w:val="both"/>
        <w:rPr>
          <w:rFonts w:ascii="Palatino Linotype" w:hAnsi="Palatino Linotype" w:cs="Arial"/>
          <w:i/>
          <w:iCs/>
          <w:sz w:val="22"/>
          <w:szCs w:val="22"/>
          <w:lang w:eastAsia="es-MX"/>
        </w:rPr>
      </w:pPr>
      <w:r w:rsidRPr="00300A2C">
        <w:rPr>
          <w:rFonts w:ascii="Palatino Linotype" w:hAnsi="Palatino Linotype" w:cs="Arial"/>
          <w:b/>
          <w:i/>
          <w:iCs/>
          <w:sz w:val="22"/>
          <w:szCs w:val="22"/>
          <w:lang w:eastAsia="es-MX"/>
        </w:rPr>
        <w:t>Artículo 27.-</w:t>
      </w:r>
      <w:r w:rsidRPr="00300A2C">
        <w:rPr>
          <w:rFonts w:ascii="Palatino Linotype" w:hAnsi="Palatino Linotype" w:cs="Arial"/>
          <w:i/>
          <w:iCs/>
          <w:sz w:val="22"/>
          <w:szCs w:val="22"/>
          <w:lang w:eastAsia="es-MX"/>
        </w:rPr>
        <w:t xml:space="preserve"> La Secretaría, las entidades, los tribunales administrativos y los ayuntamientos podrán adjudicar adquisiciones, arrendamientos y servicios, mediante las excepciones al procedimiento de licitación que a continuación se señalan:</w:t>
      </w:r>
    </w:p>
    <w:p w14:paraId="516028E5"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b/>
          <w:bCs/>
          <w:i/>
          <w:iCs/>
          <w:sz w:val="22"/>
          <w:szCs w:val="22"/>
          <w:lang w:eastAsia="es-MX"/>
        </w:rPr>
        <w:t>I. Invitación restringida.</w:t>
      </w:r>
    </w:p>
    <w:p w14:paraId="710DC636" w14:textId="77777777" w:rsidR="004D619C" w:rsidRPr="00300A2C" w:rsidRDefault="004D619C" w:rsidP="004D619C">
      <w:pPr>
        <w:shd w:val="clear" w:color="auto" w:fill="FFFFFF"/>
        <w:ind w:left="851" w:right="899"/>
        <w:jc w:val="both"/>
        <w:rPr>
          <w:rFonts w:ascii="Arial" w:hAnsi="Arial" w:cs="Arial"/>
          <w:sz w:val="22"/>
          <w:szCs w:val="22"/>
          <w:lang w:eastAsia="es-MX"/>
        </w:rPr>
      </w:pPr>
      <w:r w:rsidRPr="00300A2C">
        <w:rPr>
          <w:rFonts w:ascii="Palatino Linotype" w:hAnsi="Palatino Linotype" w:cs="Arial"/>
          <w:b/>
          <w:bCs/>
          <w:i/>
          <w:iCs/>
          <w:sz w:val="22"/>
          <w:szCs w:val="22"/>
          <w:lang w:eastAsia="es-MX"/>
        </w:rPr>
        <w:t>II. Adjudicación directa</w:t>
      </w:r>
      <w:r w:rsidRPr="00300A2C">
        <w:rPr>
          <w:rFonts w:ascii="Palatino Linotype" w:hAnsi="Palatino Linotype" w:cs="Arial"/>
          <w:i/>
          <w:iCs/>
          <w:sz w:val="22"/>
          <w:szCs w:val="22"/>
          <w:lang w:eastAsia="es-MX"/>
        </w:rPr>
        <w:t>.</w:t>
      </w:r>
    </w:p>
    <w:p w14:paraId="3879EA79" w14:textId="77777777" w:rsidR="004D619C" w:rsidRPr="00300A2C" w:rsidRDefault="004D619C" w:rsidP="004D619C">
      <w:pPr>
        <w:shd w:val="clear" w:color="auto" w:fill="FFFFFF"/>
        <w:ind w:left="851" w:right="899"/>
        <w:jc w:val="both"/>
        <w:rPr>
          <w:rFonts w:ascii="Palatino Linotype" w:hAnsi="Palatino Linotype" w:cs="Arial"/>
          <w:b/>
          <w:bCs/>
          <w:i/>
          <w:iCs/>
          <w:sz w:val="22"/>
          <w:szCs w:val="22"/>
          <w:lang w:eastAsia="es-MX"/>
        </w:rPr>
      </w:pPr>
    </w:p>
    <w:p w14:paraId="3824EA51" w14:textId="77777777" w:rsidR="004D619C" w:rsidRPr="00300A2C" w:rsidRDefault="004D619C" w:rsidP="004D619C">
      <w:pPr>
        <w:shd w:val="clear" w:color="auto" w:fill="FFFFFF"/>
        <w:ind w:left="851" w:right="899"/>
        <w:jc w:val="both"/>
        <w:rPr>
          <w:rFonts w:ascii="Arial" w:hAnsi="Arial" w:cs="Arial"/>
          <w:b/>
          <w:sz w:val="22"/>
          <w:szCs w:val="22"/>
          <w:lang w:eastAsia="es-MX"/>
        </w:rPr>
      </w:pPr>
      <w:r w:rsidRPr="00300A2C">
        <w:rPr>
          <w:rFonts w:ascii="Palatino Linotype" w:hAnsi="Palatino Linotype" w:cs="Arial"/>
          <w:b/>
          <w:bCs/>
          <w:i/>
          <w:iCs/>
          <w:sz w:val="22"/>
          <w:szCs w:val="22"/>
          <w:lang w:eastAsia="es-MX"/>
        </w:rPr>
        <w:t>Artículo 39</w:t>
      </w:r>
      <w:r w:rsidRPr="00300A2C">
        <w:rPr>
          <w:rFonts w:ascii="Palatino Linotype" w:hAnsi="Palatino Linotype" w:cs="Arial"/>
          <w:i/>
          <w:iCs/>
          <w:sz w:val="22"/>
          <w:szCs w:val="22"/>
          <w:lang w:eastAsia="es-MX"/>
        </w:rPr>
        <w:t>.- </w:t>
      </w:r>
      <w:r w:rsidRPr="00300A2C">
        <w:rPr>
          <w:rFonts w:ascii="Palatino Linotype" w:hAnsi="Palatino Linotype" w:cs="Arial"/>
          <w:b/>
          <w:bCs/>
          <w:i/>
          <w:iCs/>
          <w:sz w:val="22"/>
          <w:szCs w:val="22"/>
          <w:lang w:eastAsia="es-MX"/>
        </w:rPr>
        <w:t>Para cada uno de los actos del procedimiento adquisitivo se levantará el acta respectiva</w:t>
      </w:r>
      <w:r w:rsidRPr="00300A2C">
        <w:rPr>
          <w:rFonts w:ascii="Palatino Linotype" w:hAnsi="Palatino Linotype" w:cs="Arial"/>
          <w:i/>
          <w:iCs/>
          <w:sz w:val="22"/>
          <w:szCs w:val="22"/>
          <w:lang w:eastAsia="es-MX"/>
        </w:rPr>
        <w:t>, la cual será firmada por los participantes, sin que la falta de firma de alguno de ellos invalide su contenido y efectos.</w:t>
      </w:r>
      <w:r w:rsidRPr="00300A2C">
        <w:rPr>
          <w:rFonts w:ascii="Palatino Linotype" w:hAnsi="Palatino Linotype" w:cs="Arial"/>
          <w:b/>
          <w:i/>
          <w:iCs/>
          <w:sz w:val="22"/>
          <w:szCs w:val="22"/>
          <w:lang w:eastAsia="es-MX"/>
        </w:rPr>
        <w:t>”</w:t>
      </w:r>
    </w:p>
    <w:p w14:paraId="7B3DEE67" w14:textId="77777777" w:rsidR="004D619C" w:rsidRPr="00300A2C" w:rsidRDefault="004D619C" w:rsidP="004D619C">
      <w:pPr>
        <w:ind w:left="851"/>
        <w:jc w:val="both"/>
        <w:rPr>
          <w:rFonts w:ascii="Palatino Linotype" w:hAnsi="Palatino Linotype" w:cs="Arial"/>
          <w:sz w:val="22"/>
          <w:szCs w:val="22"/>
        </w:rPr>
      </w:pPr>
    </w:p>
    <w:p w14:paraId="11EFE27A" w14:textId="77777777" w:rsidR="004D619C" w:rsidRPr="00300A2C" w:rsidRDefault="004D619C" w:rsidP="004D619C">
      <w:pPr>
        <w:ind w:left="851"/>
        <w:jc w:val="both"/>
        <w:rPr>
          <w:rFonts w:ascii="Palatino Linotype" w:hAnsi="Palatino Linotype" w:cs="Arial"/>
          <w:sz w:val="22"/>
          <w:szCs w:val="22"/>
        </w:rPr>
      </w:pPr>
      <w:r w:rsidRPr="00300A2C">
        <w:rPr>
          <w:rFonts w:ascii="Palatino Linotype" w:hAnsi="Palatino Linotype" w:cs="Arial"/>
          <w:sz w:val="22"/>
          <w:szCs w:val="22"/>
        </w:rPr>
        <w:t>(Énfasis añadido)</w:t>
      </w:r>
    </w:p>
    <w:p w14:paraId="3AD01BF1" w14:textId="77777777" w:rsidR="004D619C" w:rsidRPr="00300A2C" w:rsidRDefault="004D619C" w:rsidP="004D619C">
      <w:pPr>
        <w:autoSpaceDE w:val="0"/>
        <w:autoSpaceDN w:val="0"/>
        <w:adjustRightInd w:val="0"/>
        <w:spacing w:line="360" w:lineRule="auto"/>
        <w:jc w:val="both"/>
        <w:rPr>
          <w:rFonts w:ascii="Palatino Linotype" w:hAnsi="Palatino Linotype" w:cs="Arial"/>
        </w:rPr>
      </w:pPr>
    </w:p>
    <w:p w14:paraId="5CCCBA2D" w14:textId="120BB6CA" w:rsidR="004D619C" w:rsidRPr="00300A2C" w:rsidRDefault="004D619C" w:rsidP="004D619C">
      <w:pPr>
        <w:autoSpaceDE w:val="0"/>
        <w:autoSpaceDN w:val="0"/>
        <w:adjustRightInd w:val="0"/>
        <w:spacing w:line="360" w:lineRule="auto"/>
        <w:jc w:val="both"/>
        <w:rPr>
          <w:rFonts w:ascii="Palatino Linotype" w:hAnsi="Palatino Linotype" w:cs="Arial"/>
        </w:rPr>
      </w:pPr>
      <w:r w:rsidRPr="00300A2C">
        <w:rPr>
          <w:rFonts w:ascii="Palatino Linotype" w:hAnsi="Palatino Linotype" w:cs="Arial"/>
        </w:rPr>
        <w:t>De la interpretación armónica de los preceptos transcritos, se advierte que </w:t>
      </w:r>
      <w:r w:rsidRPr="00300A2C">
        <w:rPr>
          <w:rFonts w:ascii="Palatino Linotype" w:hAnsi="Palatino Linotype" w:cs="Arial"/>
          <w:b/>
        </w:rPr>
        <w:t>EL SUJETO OBLIGADO</w:t>
      </w:r>
      <w:r w:rsidRPr="00300A2C">
        <w:rPr>
          <w:rFonts w:ascii="Palatino Linotype" w:hAnsi="Palatino Linotype" w:cs="Arial"/>
        </w:rPr>
        <w:t>, cuenta con la</w:t>
      </w:r>
      <w:r w:rsidR="007B6692" w:rsidRPr="00300A2C">
        <w:rPr>
          <w:rFonts w:ascii="Palatino Linotype" w:hAnsi="Palatino Linotype" w:cs="Arial"/>
        </w:rPr>
        <w:t xml:space="preserve"> </w:t>
      </w:r>
      <w:r w:rsidRPr="00300A2C">
        <w:rPr>
          <w:rFonts w:ascii="Palatino Linotype" w:hAnsi="Palatino Linotype" w:cs="Arial"/>
        </w:rPr>
        <w:t>competencia para regular los actos relativos a la planeación, programación, presupuestación, ejecución y control de la adquisición y arrendamiento de bienes, así como la contratación de servicios de cualquier naturaleza; para tales efectos, se auxilia de los comités de arrendamientos y de adquisiciones de inmuebles y enajenaciones, quienes, entre otras funciones, emiten los dictámenes correspondientes a la adjudicación, debiendo levantar para cada procedimiento adquisitivo el acta respectiva. Asimismo, los Ayuntamientos están obligados a establecer y operar tres catálogos relacionados con la información requerida, a saber, 1) De bienes y servicios; 2) De bienes y servicios específicos; y 3) De proveedores y de prestadores de servicios.</w:t>
      </w:r>
    </w:p>
    <w:p w14:paraId="350F3115" w14:textId="77777777" w:rsidR="004D619C" w:rsidRPr="00300A2C" w:rsidRDefault="004D619C" w:rsidP="004D619C">
      <w:pPr>
        <w:autoSpaceDE w:val="0"/>
        <w:autoSpaceDN w:val="0"/>
        <w:adjustRightInd w:val="0"/>
        <w:spacing w:line="360" w:lineRule="auto"/>
        <w:jc w:val="both"/>
        <w:rPr>
          <w:rFonts w:ascii="Palatino Linotype" w:hAnsi="Palatino Linotype" w:cs="Arial"/>
        </w:rPr>
      </w:pPr>
    </w:p>
    <w:p w14:paraId="22DAB937" w14:textId="77777777" w:rsidR="004D619C" w:rsidRPr="00300A2C" w:rsidRDefault="004D619C" w:rsidP="004D619C">
      <w:pPr>
        <w:autoSpaceDE w:val="0"/>
        <w:autoSpaceDN w:val="0"/>
        <w:adjustRightInd w:val="0"/>
        <w:spacing w:line="360" w:lineRule="auto"/>
        <w:jc w:val="both"/>
        <w:rPr>
          <w:rFonts w:ascii="Palatino Linotype" w:hAnsi="Palatino Linotype" w:cs="Arial"/>
        </w:rPr>
      </w:pPr>
      <w:r w:rsidRPr="00300A2C">
        <w:rPr>
          <w:rFonts w:ascii="Palatino Linotype" w:hAnsi="Palatino Linotype" w:cs="Arial"/>
        </w:rPr>
        <w:t>Ahora bien, en relación a los programas anuales de adquisiciones y/o arrendamientos 2019 y 2020 el artículo 92 de la Ley de la materia, ya citado con anterioridad dispone en su fracción IV señala lo siguiente:</w:t>
      </w:r>
    </w:p>
    <w:p w14:paraId="3C002A81" w14:textId="77777777" w:rsidR="004D619C" w:rsidRPr="00300A2C" w:rsidRDefault="004D619C" w:rsidP="004D619C">
      <w:pPr>
        <w:autoSpaceDE w:val="0"/>
        <w:autoSpaceDN w:val="0"/>
        <w:adjustRightInd w:val="0"/>
        <w:spacing w:line="360" w:lineRule="auto"/>
        <w:jc w:val="both"/>
        <w:rPr>
          <w:rFonts w:ascii="Palatino Linotype" w:hAnsi="Palatino Linotype" w:cs="Arial"/>
        </w:rPr>
      </w:pPr>
    </w:p>
    <w:p w14:paraId="6D6B6131" w14:textId="77777777" w:rsidR="004D619C" w:rsidRPr="00300A2C" w:rsidRDefault="004D619C" w:rsidP="004D619C">
      <w:pPr>
        <w:autoSpaceDE w:val="0"/>
        <w:autoSpaceDN w:val="0"/>
        <w:adjustRightInd w:val="0"/>
        <w:spacing w:line="276" w:lineRule="auto"/>
        <w:ind w:left="851" w:right="899"/>
        <w:jc w:val="both"/>
        <w:rPr>
          <w:rFonts w:ascii="Palatino Linotype" w:hAnsi="Palatino Linotype" w:cs="Arial"/>
          <w:i/>
          <w:sz w:val="22"/>
          <w:szCs w:val="22"/>
        </w:rPr>
      </w:pPr>
      <w:r w:rsidRPr="00300A2C">
        <w:rPr>
          <w:rFonts w:ascii="Palatino Linotype" w:hAnsi="Palatino Linotype"/>
          <w:i/>
          <w:sz w:val="22"/>
          <w:szCs w:val="22"/>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14:paraId="4B7C75D5" w14:textId="77777777" w:rsidR="004D619C" w:rsidRPr="00300A2C" w:rsidRDefault="004D619C" w:rsidP="004D619C">
      <w:pPr>
        <w:autoSpaceDE w:val="0"/>
        <w:autoSpaceDN w:val="0"/>
        <w:adjustRightInd w:val="0"/>
        <w:spacing w:line="360" w:lineRule="auto"/>
        <w:jc w:val="both"/>
        <w:rPr>
          <w:rFonts w:ascii="Palatino Linotype" w:hAnsi="Palatino Linotype" w:cs="Arial"/>
          <w:szCs w:val="22"/>
        </w:rPr>
      </w:pPr>
    </w:p>
    <w:p w14:paraId="00C14EEA" w14:textId="77777777" w:rsidR="004D619C" w:rsidRPr="00300A2C" w:rsidRDefault="004D619C" w:rsidP="004D619C">
      <w:pPr>
        <w:autoSpaceDE w:val="0"/>
        <w:autoSpaceDN w:val="0"/>
        <w:adjustRightInd w:val="0"/>
        <w:spacing w:line="360" w:lineRule="auto"/>
        <w:jc w:val="both"/>
        <w:rPr>
          <w:rFonts w:ascii="Palatino Linotype" w:hAnsi="Palatino Linotype" w:cs="Arial"/>
        </w:rPr>
      </w:pPr>
      <w:r w:rsidRPr="00300A2C">
        <w:rPr>
          <w:rFonts w:ascii="Palatino Linotype" w:hAnsi="Palatino Linotype" w:cs="Arial"/>
          <w:szCs w:val="22"/>
        </w:rPr>
        <w:t xml:space="preserve">Por su parte la </w:t>
      </w:r>
      <w:r w:rsidRPr="00300A2C">
        <w:rPr>
          <w:rFonts w:ascii="Palatino Linotype" w:hAnsi="Palatino Linotype" w:cs="Arial"/>
        </w:rPr>
        <w:t>Ley de Contratación Pública anteriormente citada dispone en su artículo 11 dispone lo siguiente:</w:t>
      </w:r>
    </w:p>
    <w:p w14:paraId="12FD1504" w14:textId="77777777" w:rsidR="004D619C" w:rsidRPr="00300A2C" w:rsidRDefault="004D619C" w:rsidP="004D619C">
      <w:pPr>
        <w:autoSpaceDE w:val="0"/>
        <w:autoSpaceDN w:val="0"/>
        <w:adjustRightInd w:val="0"/>
        <w:spacing w:line="360" w:lineRule="auto"/>
        <w:jc w:val="both"/>
        <w:rPr>
          <w:rFonts w:ascii="Palatino Linotype" w:hAnsi="Palatino Linotype" w:cs="Arial"/>
        </w:rPr>
      </w:pPr>
    </w:p>
    <w:p w14:paraId="121C022A" w14:textId="77777777" w:rsidR="004D619C" w:rsidRPr="00300A2C" w:rsidRDefault="004D619C" w:rsidP="004D619C">
      <w:pPr>
        <w:autoSpaceDE w:val="0"/>
        <w:autoSpaceDN w:val="0"/>
        <w:adjustRightInd w:val="0"/>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“Artículo 11.- Las dependencias, entidades, ayuntamientos y tribunales administrativos, al formular sus programas anuales de adquisiciones, arrendamientos y servicios, además de lo establecido en otras disposiciones legales, deberán observar lo siguiente:</w:t>
      </w:r>
    </w:p>
    <w:p w14:paraId="578BBDB7" w14:textId="77777777" w:rsidR="004D619C" w:rsidRPr="00300A2C" w:rsidRDefault="004D619C" w:rsidP="004D619C">
      <w:pPr>
        <w:autoSpaceDE w:val="0"/>
        <w:autoSpaceDN w:val="0"/>
        <w:adjustRightInd w:val="0"/>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I. Los bienes, arrendamientos y servicios que solucionen de manera adecuada sus necesidades de operación. </w:t>
      </w:r>
    </w:p>
    <w:p w14:paraId="26F9FD5F" w14:textId="77777777" w:rsidR="004D619C" w:rsidRPr="00300A2C" w:rsidRDefault="004D619C" w:rsidP="004D619C">
      <w:pPr>
        <w:autoSpaceDE w:val="0"/>
        <w:autoSpaceDN w:val="0"/>
        <w:adjustRightInd w:val="0"/>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II. Los recursos financieros y materiales, y los servicios con los que se cuente. </w:t>
      </w:r>
    </w:p>
    <w:p w14:paraId="5F79E640" w14:textId="77777777" w:rsidR="004D619C" w:rsidRPr="00300A2C" w:rsidRDefault="004D619C" w:rsidP="004D619C">
      <w:pPr>
        <w:autoSpaceDE w:val="0"/>
        <w:autoSpaceDN w:val="0"/>
        <w:adjustRightInd w:val="0"/>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III. Los plazos estimados en los que se requerirán los bienes, arrendamientos y servicios. </w:t>
      </w:r>
    </w:p>
    <w:p w14:paraId="6282FCB1" w14:textId="77777777" w:rsidR="004D619C" w:rsidRPr="00300A2C" w:rsidRDefault="004D619C" w:rsidP="004D619C">
      <w:pPr>
        <w:autoSpaceDE w:val="0"/>
        <w:autoSpaceDN w:val="0"/>
        <w:adjustRightInd w:val="0"/>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IV. Las políticas y normas administrativas que establezcan la Secretaría y los ayuntamientos, en su caso, para optimizar las adquisiciones, arrendamientos y servicios.</w:t>
      </w:r>
    </w:p>
    <w:p w14:paraId="5624EB2A" w14:textId="77777777" w:rsidR="004D619C" w:rsidRPr="00300A2C" w:rsidRDefault="004D619C" w:rsidP="004D619C">
      <w:pPr>
        <w:autoSpaceDE w:val="0"/>
        <w:autoSpaceDN w:val="0"/>
        <w:adjustRightInd w:val="0"/>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V. Las demás previsiones que sean necesarias para la adecuada planeación, operación y ejecución de los programas y acciones correspondientes. </w:t>
      </w:r>
    </w:p>
    <w:p w14:paraId="615E946E" w14:textId="77777777" w:rsidR="004D619C" w:rsidRPr="00300A2C" w:rsidRDefault="004D619C" w:rsidP="004D619C">
      <w:pPr>
        <w:autoSpaceDE w:val="0"/>
        <w:autoSpaceDN w:val="0"/>
        <w:adjustRightInd w:val="0"/>
        <w:spacing w:line="276" w:lineRule="auto"/>
        <w:ind w:left="851" w:right="902"/>
        <w:jc w:val="both"/>
        <w:rPr>
          <w:rFonts w:ascii="Palatino Linotype" w:hAnsi="Palatino Linotype"/>
          <w:i/>
          <w:sz w:val="22"/>
          <w:szCs w:val="22"/>
        </w:rPr>
      </w:pPr>
    </w:p>
    <w:p w14:paraId="04712891" w14:textId="77777777" w:rsidR="004D619C" w:rsidRPr="00300A2C" w:rsidRDefault="004D619C" w:rsidP="004D619C">
      <w:pPr>
        <w:autoSpaceDE w:val="0"/>
        <w:autoSpaceDN w:val="0"/>
        <w:adjustRightInd w:val="0"/>
        <w:spacing w:line="276" w:lineRule="auto"/>
        <w:ind w:left="851" w:right="902"/>
        <w:jc w:val="both"/>
        <w:rPr>
          <w:rFonts w:ascii="Palatino Linotype" w:hAnsi="Palatino Linotype" w:cs="Arial"/>
          <w:b/>
          <w:i/>
          <w:sz w:val="22"/>
          <w:szCs w:val="22"/>
        </w:rPr>
      </w:pPr>
      <w:r w:rsidRPr="00300A2C">
        <w:rPr>
          <w:rFonts w:ascii="Palatino Linotype" w:hAnsi="Palatino Linotype"/>
          <w:i/>
          <w:sz w:val="22"/>
          <w:szCs w:val="22"/>
        </w:rPr>
        <w:t xml:space="preserve">Las dependencias, entidades estatales, </w:t>
      </w:r>
      <w:r w:rsidRPr="00300A2C">
        <w:rPr>
          <w:rFonts w:ascii="Palatino Linotype" w:hAnsi="Palatino Linotype"/>
          <w:b/>
          <w:i/>
          <w:sz w:val="22"/>
          <w:szCs w:val="22"/>
        </w:rPr>
        <w:t>ayuntamientos</w:t>
      </w:r>
      <w:r w:rsidRPr="00300A2C">
        <w:rPr>
          <w:rFonts w:ascii="Palatino Linotype" w:hAnsi="Palatino Linotype"/>
          <w:i/>
          <w:sz w:val="22"/>
          <w:szCs w:val="22"/>
        </w:rPr>
        <w:t xml:space="preserve"> y tribunales administrativos, </w:t>
      </w:r>
      <w:r w:rsidRPr="00300A2C">
        <w:rPr>
          <w:rFonts w:ascii="Palatino Linotype" w:hAnsi="Palatino Linotype"/>
          <w:b/>
          <w:i/>
          <w:sz w:val="22"/>
          <w:szCs w:val="22"/>
        </w:rPr>
        <w:t>formularán sus programas de adquisiciones, arrendamientos y servicios, simultáneamente con sus programas anuales y proyectos de presupuestos de egresos.</w:t>
      </w:r>
    </w:p>
    <w:p w14:paraId="042DE5AC" w14:textId="77777777" w:rsidR="004D619C" w:rsidRPr="00300A2C" w:rsidRDefault="004D619C" w:rsidP="004D619C">
      <w:pPr>
        <w:autoSpaceDE w:val="0"/>
        <w:autoSpaceDN w:val="0"/>
        <w:adjustRightInd w:val="0"/>
        <w:spacing w:line="360" w:lineRule="auto"/>
        <w:jc w:val="both"/>
        <w:rPr>
          <w:rFonts w:ascii="Palatino Linotype" w:hAnsi="Palatino Linotype" w:cs="Arial"/>
          <w:szCs w:val="22"/>
        </w:rPr>
      </w:pPr>
    </w:p>
    <w:p w14:paraId="6FD0A44A" w14:textId="77777777" w:rsidR="004D619C" w:rsidRPr="00300A2C" w:rsidRDefault="004D619C" w:rsidP="004D619C">
      <w:pPr>
        <w:autoSpaceDE w:val="0"/>
        <w:autoSpaceDN w:val="0"/>
        <w:adjustRightInd w:val="0"/>
        <w:spacing w:line="360" w:lineRule="auto"/>
        <w:jc w:val="both"/>
        <w:rPr>
          <w:rFonts w:ascii="Palatino Linotype" w:hAnsi="Palatino Linotype" w:cs="Arial"/>
          <w:szCs w:val="22"/>
        </w:rPr>
      </w:pPr>
      <w:r w:rsidRPr="00300A2C">
        <w:rPr>
          <w:rFonts w:ascii="Palatino Linotype" w:hAnsi="Palatino Linotype" w:cs="Arial"/>
          <w:szCs w:val="22"/>
        </w:rPr>
        <w:t>Lo anterior es así, de acuerdo a lo que establecen los artículos 4 y 12 de la Ley en comentó, como a continuación se expone:</w:t>
      </w:r>
    </w:p>
    <w:p w14:paraId="323B9C8D" w14:textId="77777777" w:rsidR="004D619C" w:rsidRPr="00300A2C" w:rsidRDefault="004D619C" w:rsidP="004D619C">
      <w:pPr>
        <w:autoSpaceDE w:val="0"/>
        <w:autoSpaceDN w:val="0"/>
        <w:adjustRightInd w:val="0"/>
        <w:spacing w:line="360" w:lineRule="auto"/>
        <w:jc w:val="both"/>
        <w:rPr>
          <w:rFonts w:ascii="Palatino Linotype" w:hAnsi="Palatino Linotype" w:cs="Arial"/>
          <w:szCs w:val="22"/>
        </w:rPr>
      </w:pPr>
    </w:p>
    <w:p w14:paraId="33F195D4" w14:textId="77777777" w:rsidR="004D619C" w:rsidRPr="00300A2C" w:rsidRDefault="004D619C" w:rsidP="004D619C">
      <w:pPr>
        <w:autoSpaceDE w:val="0"/>
        <w:autoSpaceDN w:val="0"/>
        <w:adjustRightInd w:val="0"/>
        <w:spacing w:line="276" w:lineRule="auto"/>
        <w:ind w:left="851" w:right="902"/>
        <w:jc w:val="both"/>
        <w:rPr>
          <w:rFonts w:ascii="Palatino Linotype" w:hAnsi="Palatino Linotype"/>
          <w:i/>
          <w:sz w:val="22"/>
          <w:szCs w:val="22"/>
        </w:rPr>
      </w:pPr>
      <w:r w:rsidRPr="00300A2C">
        <w:rPr>
          <w:rFonts w:ascii="Palatino Linotype" w:hAnsi="Palatino Linotype"/>
          <w:b/>
          <w:i/>
          <w:sz w:val="22"/>
          <w:szCs w:val="22"/>
        </w:rPr>
        <w:t>Artículo 4.</w:t>
      </w:r>
      <w:r w:rsidRPr="00300A2C">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60DC03A" w14:textId="77777777" w:rsidR="004D619C" w:rsidRPr="00300A2C" w:rsidRDefault="004D619C" w:rsidP="004D619C">
      <w:pPr>
        <w:autoSpaceDE w:val="0"/>
        <w:autoSpaceDN w:val="0"/>
        <w:adjustRightInd w:val="0"/>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68946595" w14:textId="77777777" w:rsidR="004D619C" w:rsidRPr="00300A2C" w:rsidRDefault="004D619C" w:rsidP="004D619C">
      <w:pPr>
        <w:autoSpaceDE w:val="0"/>
        <w:autoSpaceDN w:val="0"/>
        <w:adjustRightInd w:val="0"/>
        <w:spacing w:line="276" w:lineRule="auto"/>
        <w:ind w:left="851" w:right="902"/>
        <w:jc w:val="both"/>
        <w:rPr>
          <w:rFonts w:ascii="Palatino Linotype" w:hAnsi="Palatino Linotype"/>
          <w:i/>
          <w:sz w:val="22"/>
          <w:szCs w:val="22"/>
        </w:rPr>
      </w:pPr>
      <w:r w:rsidRPr="00300A2C">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2009F047" w14:textId="77777777" w:rsidR="004D619C" w:rsidRPr="00300A2C" w:rsidRDefault="004D619C" w:rsidP="004D619C">
      <w:pPr>
        <w:autoSpaceDE w:val="0"/>
        <w:autoSpaceDN w:val="0"/>
        <w:adjustRightInd w:val="0"/>
        <w:spacing w:line="276" w:lineRule="auto"/>
        <w:ind w:left="851" w:right="902"/>
        <w:jc w:val="both"/>
        <w:rPr>
          <w:rFonts w:ascii="Palatino Linotype" w:hAnsi="Palatino Linotype"/>
          <w:i/>
          <w:sz w:val="22"/>
          <w:szCs w:val="22"/>
        </w:rPr>
      </w:pPr>
      <w:r w:rsidRPr="00300A2C">
        <w:rPr>
          <w:rFonts w:ascii="Palatino Linotype" w:hAnsi="Palatino Linotype"/>
          <w:b/>
          <w:i/>
          <w:sz w:val="22"/>
          <w:szCs w:val="22"/>
        </w:rPr>
        <w:t>Artículo 12.</w:t>
      </w:r>
      <w:r w:rsidRPr="00300A2C">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853A3E4" w14:textId="77777777" w:rsidR="004D619C" w:rsidRPr="00300A2C" w:rsidRDefault="004D619C" w:rsidP="004D619C">
      <w:pPr>
        <w:autoSpaceDE w:val="0"/>
        <w:autoSpaceDN w:val="0"/>
        <w:adjustRightInd w:val="0"/>
        <w:spacing w:line="276" w:lineRule="auto"/>
        <w:ind w:left="851" w:right="902"/>
        <w:jc w:val="both"/>
        <w:rPr>
          <w:rFonts w:ascii="Palatino Linotype" w:hAnsi="Palatino Linotype" w:cs="Arial"/>
          <w:i/>
          <w:sz w:val="22"/>
          <w:szCs w:val="22"/>
        </w:rPr>
      </w:pPr>
      <w:r w:rsidRPr="00300A2C">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BC34255" w14:textId="77777777" w:rsidR="004D619C" w:rsidRPr="00300A2C" w:rsidRDefault="004D619C" w:rsidP="004D619C">
      <w:pPr>
        <w:autoSpaceDE w:val="0"/>
        <w:autoSpaceDN w:val="0"/>
        <w:adjustRightInd w:val="0"/>
        <w:spacing w:line="360" w:lineRule="auto"/>
        <w:jc w:val="both"/>
        <w:rPr>
          <w:rFonts w:ascii="Palatino Linotype" w:hAnsi="Palatino Linotype" w:cs="Arial"/>
          <w:szCs w:val="22"/>
        </w:rPr>
      </w:pPr>
    </w:p>
    <w:p w14:paraId="0CD4B549" w14:textId="77777777" w:rsidR="004D619C" w:rsidRPr="00300A2C" w:rsidRDefault="004D619C" w:rsidP="004D619C">
      <w:pPr>
        <w:autoSpaceDE w:val="0"/>
        <w:autoSpaceDN w:val="0"/>
        <w:adjustRightInd w:val="0"/>
        <w:spacing w:line="360" w:lineRule="auto"/>
        <w:jc w:val="both"/>
        <w:rPr>
          <w:rFonts w:ascii="Palatino Linotype" w:hAnsi="Palatino Linotype" w:cs="Arial"/>
          <w:szCs w:val="22"/>
        </w:rPr>
      </w:pPr>
      <w:r w:rsidRPr="00300A2C">
        <w:rPr>
          <w:rFonts w:ascii="Palatino Linotype" w:hAnsi="Palatino Linotype" w:cs="Arial"/>
          <w:szCs w:val="22"/>
        </w:rPr>
        <w:t xml:space="preserve">De la normativa en estudio, se desprende que toda la información generada, obtenida, adquirida, transformada, administrada o en posesión de los sujetos obligados es pública y accesible de manera permanente a cualquier persona, por lo que al desprenderse que </w:t>
      </w:r>
      <w:r w:rsidRPr="00300A2C">
        <w:rPr>
          <w:rFonts w:ascii="Palatino Linotype" w:hAnsi="Palatino Linotype" w:cs="Arial"/>
          <w:b/>
          <w:szCs w:val="22"/>
        </w:rPr>
        <w:t>EL SUJETO OBLIGADO</w:t>
      </w:r>
      <w:r w:rsidRPr="00300A2C">
        <w:rPr>
          <w:rFonts w:ascii="Palatino Linotype" w:hAnsi="Palatino Linotype" w:cs="Arial"/>
          <w:szCs w:val="22"/>
        </w:rPr>
        <w:t xml:space="preserve"> cuenta con facultades y atribuciones con la información requerida por el particular.</w:t>
      </w:r>
    </w:p>
    <w:p w14:paraId="573B757A" w14:textId="77777777" w:rsidR="004D619C" w:rsidRPr="00300A2C" w:rsidRDefault="004D619C" w:rsidP="004D619C">
      <w:pPr>
        <w:autoSpaceDE w:val="0"/>
        <w:autoSpaceDN w:val="0"/>
        <w:adjustRightInd w:val="0"/>
        <w:spacing w:line="360" w:lineRule="auto"/>
        <w:jc w:val="both"/>
        <w:rPr>
          <w:rFonts w:ascii="Palatino Linotype" w:hAnsi="Palatino Linotype" w:cs="Arial"/>
          <w:szCs w:val="22"/>
        </w:rPr>
      </w:pPr>
    </w:p>
    <w:p w14:paraId="1F16BFDC" w14:textId="77777777" w:rsidR="004D619C" w:rsidRPr="00300A2C" w:rsidRDefault="004D619C" w:rsidP="004D619C">
      <w:pPr>
        <w:autoSpaceDE w:val="0"/>
        <w:autoSpaceDN w:val="0"/>
        <w:adjustRightInd w:val="0"/>
        <w:spacing w:line="360" w:lineRule="auto"/>
        <w:jc w:val="both"/>
        <w:rPr>
          <w:rFonts w:ascii="Palatino Linotype" w:hAnsi="Palatino Linotype" w:cs="Arial"/>
          <w:szCs w:val="22"/>
        </w:rPr>
      </w:pPr>
      <w:r w:rsidRPr="00300A2C">
        <w:rPr>
          <w:rFonts w:ascii="Palatino Linotype" w:hAnsi="Palatino Linotype" w:cs="Arial"/>
          <w:szCs w:val="22"/>
        </w:rPr>
        <w:t xml:space="preserve">Aunado a lo anterior, la misma norma dispone que </w:t>
      </w:r>
      <w:r w:rsidRPr="00300A2C">
        <w:rPr>
          <w:rFonts w:ascii="Palatino Linotype" w:hAnsi="Palatino Linotype" w:cs="Arial"/>
          <w:b/>
          <w:szCs w:val="22"/>
        </w:rPr>
        <w:t>EL SUJETO OBLIGADO</w:t>
      </w:r>
      <w:r w:rsidRPr="00300A2C">
        <w:rPr>
          <w:rFonts w:ascii="Palatino Linotype" w:hAnsi="Palatino Linotype" w:cs="Arial"/>
          <w:szCs w:val="22"/>
        </w:rPr>
        <w:t xml:space="preserve"> sólo proporcionará la información pública que se les requiera y que obre en sus archivos y en el estado en que ésta se encuentre.</w:t>
      </w:r>
    </w:p>
    <w:p w14:paraId="46CB1C09" w14:textId="77777777" w:rsidR="004D619C" w:rsidRPr="00300A2C" w:rsidRDefault="004D619C" w:rsidP="004D619C">
      <w:pPr>
        <w:autoSpaceDE w:val="0"/>
        <w:autoSpaceDN w:val="0"/>
        <w:adjustRightInd w:val="0"/>
        <w:spacing w:line="360" w:lineRule="auto"/>
        <w:jc w:val="both"/>
        <w:rPr>
          <w:rFonts w:ascii="Palatino Linotype" w:hAnsi="Palatino Linotype" w:cs="Arial"/>
          <w:szCs w:val="22"/>
        </w:rPr>
      </w:pPr>
    </w:p>
    <w:p w14:paraId="78FF5930" w14:textId="77777777" w:rsidR="004D619C" w:rsidRPr="00300A2C" w:rsidRDefault="004D619C" w:rsidP="004D619C">
      <w:pPr>
        <w:autoSpaceDE w:val="0"/>
        <w:autoSpaceDN w:val="0"/>
        <w:adjustRightInd w:val="0"/>
        <w:spacing w:line="360" w:lineRule="auto"/>
        <w:jc w:val="both"/>
        <w:rPr>
          <w:rFonts w:ascii="Palatino Linotype" w:hAnsi="Palatino Linotype"/>
        </w:rPr>
      </w:pPr>
      <w:r w:rsidRPr="00300A2C">
        <w:rPr>
          <w:rFonts w:ascii="Palatino Linotype" w:hAnsi="Palatino Linotype" w:cs="Arial"/>
        </w:rPr>
        <w:t xml:space="preserve">Ello es así, ya que </w:t>
      </w:r>
      <w:r w:rsidRPr="00300A2C">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300A2C">
        <w:rPr>
          <w:rFonts w:ascii="Palatino Linotype" w:eastAsia="Arial Unicode MS" w:hAnsi="Palatino Linotype" w:cs="Arial"/>
        </w:rPr>
        <w:t>que</w:t>
      </w:r>
      <w:r w:rsidRPr="00300A2C">
        <w:rPr>
          <w:rFonts w:ascii="Palatino Linotype" w:hAnsi="Palatino Linotype"/>
          <w:color w:val="222222"/>
          <w:shd w:val="clear" w:color="auto" w:fill="FFFFFF"/>
        </w:rPr>
        <w:t xml:space="preserve"> generen; ello, de conformidad con </w:t>
      </w:r>
      <w:r w:rsidRPr="00300A2C">
        <w:rPr>
          <w:rFonts w:ascii="Palatino Linotype" w:hAnsi="Palatino Linotype"/>
        </w:rPr>
        <w:t>lo establecido en el artículo 18 de la Ley de Transparencia y Acceso a la Información Pública del Estado de México y Municipios.</w:t>
      </w:r>
    </w:p>
    <w:p w14:paraId="770D710F" w14:textId="77777777" w:rsidR="004D619C" w:rsidRPr="00300A2C" w:rsidRDefault="004D619C" w:rsidP="004D619C">
      <w:pPr>
        <w:autoSpaceDE w:val="0"/>
        <w:autoSpaceDN w:val="0"/>
        <w:adjustRightInd w:val="0"/>
        <w:spacing w:line="360" w:lineRule="auto"/>
        <w:jc w:val="both"/>
        <w:rPr>
          <w:rFonts w:ascii="Palatino Linotype" w:hAnsi="Palatino Linotype"/>
        </w:rPr>
      </w:pPr>
    </w:p>
    <w:p w14:paraId="59B73892" w14:textId="77777777" w:rsidR="004D619C" w:rsidRPr="00300A2C" w:rsidRDefault="004D619C" w:rsidP="004D619C">
      <w:pPr>
        <w:spacing w:line="360" w:lineRule="auto"/>
        <w:ind w:right="49"/>
        <w:jc w:val="both"/>
        <w:rPr>
          <w:rFonts w:ascii="Palatino Linotype" w:hAnsi="Palatino Linotype"/>
          <w:color w:val="222222"/>
        </w:rPr>
      </w:pPr>
      <w:r w:rsidRPr="00300A2C">
        <w:rPr>
          <w:rFonts w:ascii="Palatino Linotype" w:hAnsi="Palatino Linotype"/>
          <w:color w:val="222222"/>
        </w:rPr>
        <w:t xml:space="preserve">Ahora bien, es importante señalar que la información que requiere el particular pudiera ser entregada en versión pública, ya que no se tienen elementos necesarios para determinar tal circunstancia, pero debe ordenarse la entrega de la información de ser procedente en versión pública, salvaguardando en todo momento los datos personales que obren en los documentos de referencia. </w:t>
      </w:r>
    </w:p>
    <w:p w14:paraId="65021712" w14:textId="77777777" w:rsidR="004D619C" w:rsidRPr="00300A2C" w:rsidRDefault="004D619C" w:rsidP="004D619C">
      <w:pPr>
        <w:spacing w:line="360" w:lineRule="auto"/>
        <w:ind w:right="49"/>
        <w:jc w:val="both"/>
        <w:rPr>
          <w:rFonts w:ascii="Palatino Linotype" w:hAnsi="Palatino Linotype"/>
          <w:color w:val="222222"/>
        </w:rPr>
      </w:pPr>
    </w:p>
    <w:p w14:paraId="1C3C0C2C" w14:textId="705EE195" w:rsidR="004D619C" w:rsidRPr="00300A2C" w:rsidRDefault="004D619C" w:rsidP="004D619C">
      <w:pPr>
        <w:spacing w:before="100" w:beforeAutospacing="1" w:after="100" w:afterAutospacing="1" w:line="360" w:lineRule="auto"/>
        <w:contextualSpacing/>
        <w:jc w:val="both"/>
        <w:rPr>
          <w:rFonts w:ascii="Palatino Linotype" w:eastAsia="Batang" w:hAnsi="Palatino Linotype" w:cs="Arial"/>
          <w:iCs/>
          <w:lang w:val="es-AR"/>
        </w:rPr>
      </w:pPr>
      <w:r w:rsidRPr="00300A2C">
        <w:rPr>
          <w:rFonts w:ascii="Palatino Linotype" w:eastAsia="Batang" w:hAnsi="Palatino Linotype" w:cs="Arial"/>
          <w:iCs/>
          <w:lang w:val="es-AR"/>
        </w:rPr>
        <w:t>Para ello deberá cumplir con las formas y formalidades de la Ley de la materia impone; es decir, mediante acuerdo debidamente fundado y motivado, de su Comité de Transparencia, en términos de los artículos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6ABA669" w14:textId="77777777" w:rsidR="004D619C" w:rsidRPr="00300A2C" w:rsidRDefault="004D619C" w:rsidP="004D619C">
      <w:pPr>
        <w:spacing w:before="100" w:beforeAutospacing="1" w:after="100" w:afterAutospacing="1" w:line="360" w:lineRule="auto"/>
        <w:contextualSpacing/>
        <w:jc w:val="both"/>
        <w:rPr>
          <w:rFonts w:ascii="Palatino Linotype" w:eastAsia="Batang" w:hAnsi="Palatino Linotype" w:cs="Arial"/>
          <w:iCs/>
          <w:sz w:val="14"/>
          <w:lang w:val="es-AR"/>
        </w:rPr>
      </w:pPr>
    </w:p>
    <w:p w14:paraId="421BED5A"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“Artículo 49. Los Comités de Transparencia tendrán las siguientes atribuciones: VIII. Aprobar, modificar o revocar la clasificación de la información;</w:t>
      </w:r>
    </w:p>
    <w:p w14:paraId="446D5C0E"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Artículo 132. La clasificación de la información se llevará a cabo en el momento en que:</w:t>
      </w:r>
    </w:p>
    <w:p w14:paraId="32714E11"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I.</w:t>
      </w:r>
      <w:r w:rsidRPr="00300A2C">
        <w:rPr>
          <w:rFonts w:ascii="Palatino Linotype" w:eastAsia="Batang" w:hAnsi="Palatino Linotype" w:cs="Arial"/>
          <w:i/>
          <w:iCs/>
          <w:sz w:val="22"/>
          <w:szCs w:val="22"/>
          <w:lang w:val="es-AR"/>
        </w:rPr>
        <w:tab/>
        <w:t>Se reciba una solicitud de acceso a la información;</w:t>
      </w:r>
    </w:p>
    <w:p w14:paraId="3FCCB8DE"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II.</w:t>
      </w:r>
      <w:r w:rsidRPr="00300A2C">
        <w:rPr>
          <w:rFonts w:ascii="Palatino Linotype" w:eastAsia="Batang" w:hAnsi="Palatino Linotype" w:cs="Arial"/>
          <w:i/>
          <w:iCs/>
          <w:sz w:val="22"/>
          <w:szCs w:val="22"/>
          <w:lang w:val="es-AR"/>
        </w:rPr>
        <w:tab/>
        <w:t>Se determine mediante resolución de autoridad competente; o</w:t>
      </w:r>
    </w:p>
    <w:p w14:paraId="2BDCFC8F"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III.</w:t>
      </w:r>
      <w:r w:rsidRPr="00300A2C">
        <w:rPr>
          <w:rFonts w:ascii="Palatino Linotype" w:eastAsia="Batang" w:hAnsi="Palatino Linotype" w:cs="Arial"/>
          <w:i/>
          <w:iCs/>
          <w:sz w:val="22"/>
          <w:szCs w:val="22"/>
          <w:lang w:val="es-AR"/>
        </w:rPr>
        <w:tab/>
        <w:t>Se generen versiones públicas para dar cumplimiento a las obligaciones de transparencia previstas en esta Ley.”</w:t>
      </w:r>
    </w:p>
    <w:p w14:paraId="57D1C09B"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“Segundo.- Para efectos de los presentes Lineamientos Generales, se entenderá por:</w:t>
      </w:r>
    </w:p>
    <w:p w14:paraId="24D6DF2A"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 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23C1477"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Los sujetos obligados deberán aplicar, de manera estricta, las excepciones al derecho de acceso a la información y sólo podrán invocarlas cuando acrediten su procedencia. 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5E9FAA3"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6C411E26"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La clasificación de información se realizará conforme a un análisis caso por caso, mediante la aplicación de la prueba de daño y de interés público.</w:t>
      </w:r>
    </w:p>
    <w:p w14:paraId="192E76F7"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Séptimo. La clasificación de la información se llevará a cabo en el momento en que:</w:t>
      </w:r>
    </w:p>
    <w:p w14:paraId="2696AF95"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I.</w:t>
      </w:r>
      <w:r w:rsidRPr="00300A2C">
        <w:rPr>
          <w:rFonts w:ascii="Palatino Linotype" w:eastAsia="Batang" w:hAnsi="Palatino Linotype" w:cs="Arial"/>
          <w:i/>
          <w:iCs/>
          <w:sz w:val="22"/>
          <w:szCs w:val="22"/>
          <w:lang w:val="es-AR"/>
        </w:rPr>
        <w:tab/>
        <w:t>Se reciba una solicitud de acceso a la información;</w:t>
      </w:r>
    </w:p>
    <w:p w14:paraId="7DDAB666"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II.</w:t>
      </w:r>
      <w:r w:rsidRPr="00300A2C">
        <w:rPr>
          <w:rFonts w:ascii="Palatino Linotype" w:eastAsia="Batang" w:hAnsi="Palatino Linotype" w:cs="Arial"/>
          <w:i/>
          <w:iCs/>
          <w:sz w:val="22"/>
          <w:szCs w:val="22"/>
          <w:lang w:val="es-AR"/>
        </w:rPr>
        <w:tab/>
        <w:t>Se determine mediante resolución de autoridad competente, o</w:t>
      </w:r>
    </w:p>
    <w:p w14:paraId="4A946E00"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III. Se generen versiones públicas para dar cumplimiento a las obligaciones de transparencia previstas en la Ley General, la Ley Federal y las correspondientes de las entidades federativas.</w:t>
      </w:r>
    </w:p>
    <w:p w14:paraId="3B4CD516"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Los titulares de las áreas deberán revisar la clasificación al momento de la recepción de una solicitud de acceso a la información, para verificar si encuadra en una causal de reserva o de confidencialidad.</w:t>
      </w:r>
    </w:p>
    <w:p w14:paraId="0D9773BA"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Octavo.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w:t>
      </w:r>
    </w:p>
    <w:p w14:paraId="063F6C08"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En caso de referirse a información reservada, la motivación de la clasificación también deberá comprender las circunstancias que justifican el establecimiento de determinado plazo de reserva.</w:t>
      </w:r>
    </w:p>
    <w:p w14:paraId="4A2030FE"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Tratándose de información clasificada como confidencial respecto de la cual se haya determinado su conservación permanente por tener valor histórico, ésta conservará tal carácter de conformidad con la normativa aplicable en materia de archivos.</w:t>
      </w:r>
    </w:p>
    <w:p w14:paraId="5004620E"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Los documentos contenidos en los archivos históricos y los identificados como históricos confidenciales no serán susceptibles de clasificación como reservados.</w:t>
      </w:r>
    </w:p>
    <w:p w14:paraId="53328E7F"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5918F0D"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C29DBA9"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En ausencia de los titulares de las áreas, la información será clasificada o desclasificada por la persona que lo supla, en términos de la normativa que rija la actuación del sujeto obligado.</w:t>
      </w:r>
    </w:p>
    <w:p w14:paraId="7CDCB87C"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r w:rsidRPr="00300A2C">
        <w:rPr>
          <w:rFonts w:ascii="Palatino Linotype" w:eastAsia="Batang" w:hAnsi="Palatino Linotype" w:cs="Arial"/>
          <w:i/>
          <w:iCs/>
          <w:sz w:val="22"/>
          <w:szCs w:val="22"/>
          <w:lang w:val="es-AR"/>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3A9E61F0" w14:textId="77777777" w:rsidR="004D619C" w:rsidRPr="00300A2C" w:rsidRDefault="004D619C" w:rsidP="004D619C">
      <w:pPr>
        <w:spacing w:line="276" w:lineRule="auto"/>
        <w:ind w:left="851" w:right="902"/>
        <w:contextualSpacing/>
        <w:jc w:val="both"/>
        <w:rPr>
          <w:rFonts w:ascii="Palatino Linotype" w:eastAsia="Batang" w:hAnsi="Palatino Linotype" w:cs="Arial"/>
          <w:i/>
          <w:iCs/>
          <w:sz w:val="22"/>
          <w:szCs w:val="22"/>
          <w:lang w:val="es-AR"/>
        </w:rPr>
      </w:pPr>
    </w:p>
    <w:p w14:paraId="691FF573" w14:textId="77777777" w:rsidR="004D619C" w:rsidRPr="00300A2C" w:rsidRDefault="004D619C" w:rsidP="004D619C">
      <w:pPr>
        <w:spacing w:line="360" w:lineRule="auto"/>
        <w:jc w:val="both"/>
        <w:rPr>
          <w:rFonts w:ascii="Palatino Linotype" w:hAnsi="Palatino Linotype"/>
          <w:color w:val="222222"/>
          <w:lang w:eastAsia="es-MX"/>
        </w:rPr>
      </w:pPr>
      <w:r w:rsidRPr="00300A2C">
        <w:rPr>
          <w:rFonts w:ascii="Palatino Linotype" w:hAnsi="Palatino Linotype"/>
          <w:color w:val="222222"/>
          <w:lang w:eastAsia="es-MX"/>
        </w:rPr>
        <w:t xml:space="preserve">En este contexto, el hecho de que la información pública solicitada contenga datos personales susceptibles de ser protegidos mediante su versión pública, ello no implica que esta circunstancia opere en automático, sino que es necesario que el Comité de Transparencia del </w:t>
      </w:r>
      <w:r w:rsidRPr="00300A2C">
        <w:rPr>
          <w:rFonts w:ascii="Palatino Linotype" w:hAnsi="Palatino Linotype"/>
          <w:b/>
          <w:color w:val="222222"/>
          <w:lang w:eastAsia="es-MX"/>
        </w:rPr>
        <w:t>SUJETO OBLIGADO</w:t>
      </w:r>
      <w:r w:rsidRPr="00300A2C">
        <w:rPr>
          <w:rFonts w:ascii="Palatino Linotype" w:hAnsi="Palatino Linotype"/>
          <w:color w:val="222222"/>
          <w:lang w:eastAsia="es-MX"/>
        </w:rPr>
        <w:t xml:space="preserve"> emita el Acuerdo de Clasificación. </w:t>
      </w:r>
    </w:p>
    <w:p w14:paraId="0A181EA3" w14:textId="77777777" w:rsidR="004D619C" w:rsidRPr="00300A2C" w:rsidRDefault="004D619C" w:rsidP="004D619C">
      <w:pPr>
        <w:spacing w:line="360" w:lineRule="auto"/>
        <w:jc w:val="both"/>
        <w:rPr>
          <w:rFonts w:ascii="Palatino Linotype" w:hAnsi="Palatino Linotype"/>
          <w:color w:val="222222"/>
          <w:lang w:eastAsia="es-MX"/>
        </w:rPr>
      </w:pPr>
    </w:p>
    <w:p w14:paraId="5A5C0F3B" w14:textId="77777777" w:rsidR="004D619C" w:rsidRPr="00300A2C" w:rsidRDefault="004D619C" w:rsidP="004D619C">
      <w:pPr>
        <w:spacing w:line="360" w:lineRule="auto"/>
        <w:jc w:val="both"/>
        <w:rPr>
          <w:rFonts w:ascii="Palatino Linotype" w:hAnsi="Palatino Linotype"/>
          <w:color w:val="222222"/>
          <w:lang w:eastAsia="es-MX"/>
        </w:rPr>
      </w:pPr>
      <w:r w:rsidRPr="00300A2C">
        <w:rPr>
          <w:rFonts w:ascii="Palatino Linotype" w:hAnsi="Palatino Linotype"/>
          <w:color w:val="222222"/>
          <w:lang w:eastAsia="es-MX"/>
        </w:rPr>
        <w:t>Por tanto, dicho Acuerdo debe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14:paraId="18C1373B" w14:textId="77777777" w:rsidR="004D619C" w:rsidRPr="00300A2C" w:rsidRDefault="004D619C" w:rsidP="004D619C">
      <w:pPr>
        <w:spacing w:line="276" w:lineRule="auto"/>
        <w:ind w:left="851" w:right="902"/>
        <w:jc w:val="both"/>
        <w:rPr>
          <w:rFonts w:ascii="Palatino Linotype" w:hAnsi="Palatino Linotype"/>
          <w:i/>
          <w:color w:val="222222"/>
          <w:sz w:val="22"/>
          <w:szCs w:val="22"/>
          <w:lang w:eastAsia="es-MX"/>
        </w:rPr>
      </w:pPr>
      <w:r w:rsidRPr="00300A2C">
        <w:rPr>
          <w:rFonts w:ascii="Palatino Linotype" w:hAnsi="Palatino Linotype"/>
          <w:i/>
          <w:color w:val="222222"/>
          <w:sz w:val="22"/>
          <w:szCs w:val="22"/>
          <w:lang w:eastAsia="es-MX"/>
        </w:rPr>
        <w:t xml:space="preserve">“Artículo 135. Los lineamientos generales que se emitan al respecto en materia de clasificación de la información reservada y confidencial y, para la elaboración de versiones públicas, serán de observancia obligatoria para los sujetos obligados. </w:t>
      </w:r>
    </w:p>
    <w:p w14:paraId="4770A262" w14:textId="77777777" w:rsidR="004D619C" w:rsidRPr="00300A2C" w:rsidRDefault="004D619C" w:rsidP="004D619C">
      <w:pPr>
        <w:spacing w:line="276" w:lineRule="auto"/>
        <w:ind w:left="851" w:right="902"/>
        <w:jc w:val="both"/>
        <w:rPr>
          <w:rFonts w:ascii="Palatino Linotype" w:hAnsi="Palatino Linotype"/>
          <w:i/>
          <w:color w:val="222222"/>
          <w:sz w:val="22"/>
          <w:szCs w:val="22"/>
          <w:lang w:eastAsia="es-MX"/>
        </w:rPr>
      </w:pPr>
      <w:r w:rsidRPr="00300A2C">
        <w:rPr>
          <w:rFonts w:ascii="Palatino Linotype" w:hAnsi="Palatino Linotype"/>
          <w:i/>
          <w:color w:val="222222"/>
          <w:sz w:val="22"/>
          <w:szCs w:val="22"/>
          <w:lang w:eastAsia="es-MX"/>
        </w:rPr>
        <w:t>…”</w:t>
      </w:r>
    </w:p>
    <w:p w14:paraId="47125C2C"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r w:rsidRPr="00300A2C">
        <w:rPr>
          <w:rFonts w:ascii="Palatino Linotype" w:hAnsi="Palatino Linotype" w:cs="Arial"/>
          <w:lang w:eastAsia="es-MX"/>
        </w:rPr>
        <w:t>Lineamientos Generales en Materia de Clasificación y Desclasificación de la información, así como para la elaboración de Versiones Públicas.</w:t>
      </w:r>
    </w:p>
    <w:p w14:paraId="2666E445" w14:textId="77777777" w:rsidR="004D619C" w:rsidRPr="00300A2C" w:rsidRDefault="004D619C" w:rsidP="004D619C">
      <w:pPr>
        <w:spacing w:line="276" w:lineRule="auto"/>
        <w:ind w:left="851" w:right="902"/>
        <w:contextualSpacing/>
        <w:jc w:val="both"/>
        <w:rPr>
          <w:rFonts w:ascii="Palatino Linotype" w:hAnsi="Palatino Linotype" w:cs="Arial"/>
          <w:i/>
          <w:sz w:val="22"/>
          <w:szCs w:val="22"/>
          <w:lang w:eastAsia="es-MX"/>
        </w:rPr>
      </w:pPr>
    </w:p>
    <w:p w14:paraId="544FEE34" w14:textId="77777777" w:rsidR="004D619C" w:rsidRPr="00300A2C" w:rsidRDefault="004D619C" w:rsidP="004D619C">
      <w:pPr>
        <w:spacing w:line="276" w:lineRule="auto"/>
        <w:ind w:left="851" w:right="902"/>
        <w:contextualSpacing/>
        <w:jc w:val="both"/>
        <w:rPr>
          <w:rFonts w:ascii="Palatino Linotype" w:hAnsi="Palatino Linotype" w:cs="Arial"/>
          <w:i/>
          <w:sz w:val="22"/>
          <w:szCs w:val="22"/>
          <w:lang w:eastAsia="es-MX"/>
        </w:rPr>
      </w:pPr>
      <w:r w:rsidRPr="00300A2C">
        <w:rPr>
          <w:rFonts w:ascii="Palatino Linotype" w:hAnsi="Palatino Linotype" w:cs="Arial"/>
          <w:i/>
          <w:sz w:val="22"/>
          <w:szCs w:val="22"/>
          <w:lang w:eastAsia="es-MX"/>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19721124" w14:textId="77777777" w:rsidR="004D619C" w:rsidRPr="00300A2C" w:rsidRDefault="004D619C" w:rsidP="004D619C">
      <w:pPr>
        <w:spacing w:line="276" w:lineRule="auto"/>
        <w:ind w:left="851" w:right="902"/>
        <w:contextualSpacing/>
        <w:jc w:val="both"/>
        <w:rPr>
          <w:rFonts w:ascii="Palatino Linotype" w:hAnsi="Palatino Linotype" w:cs="Arial"/>
          <w:i/>
          <w:sz w:val="22"/>
          <w:szCs w:val="22"/>
          <w:lang w:eastAsia="es-MX"/>
        </w:rPr>
      </w:pPr>
      <w:r w:rsidRPr="00300A2C">
        <w:rPr>
          <w:rFonts w:ascii="Palatino Linotype" w:hAnsi="Palatino Linotype" w:cs="Arial"/>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48085A29" w14:textId="77777777" w:rsidR="004D619C" w:rsidRPr="00300A2C" w:rsidRDefault="004D619C" w:rsidP="004D619C">
      <w:pPr>
        <w:spacing w:line="276" w:lineRule="auto"/>
        <w:ind w:left="851" w:right="902"/>
        <w:contextualSpacing/>
        <w:jc w:val="both"/>
        <w:rPr>
          <w:rFonts w:ascii="Palatino Linotype" w:hAnsi="Palatino Linotype" w:cs="Arial"/>
          <w:i/>
          <w:sz w:val="22"/>
          <w:szCs w:val="22"/>
          <w:lang w:eastAsia="es-MX"/>
        </w:rPr>
      </w:pPr>
      <w:r w:rsidRPr="00300A2C">
        <w:rPr>
          <w:rFonts w:ascii="Palatino Linotype" w:hAnsi="Palatino Linotype" w:cs="Arial"/>
          <w:i/>
          <w:sz w:val="22"/>
          <w:szCs w:val="22"/>
          <w:lang w:eastAsia="es-MX"/>
        </w:rPr>
        <w:t xml:space="preserve">…” </w:t>
      </w:r>
    </w:p>
    <w:p w14:paraId="0377A6B2" w14:textId="77777777" w:rsidR="004D619C" w:rsidRPr="00300A2C" w:rsidRDefault="004D619C" w:rsidP="004D619C">
      <w:pPr>
        <w:spacing w:line="276" w:lineRule="auto"/>
        <w:ind w:left="851" w:right="902"/>
        <w:contextualSpacing/>
        <w:jc w:val="both"/>
        <w:rPr>
          <w:rFonts w:ascii="Palatino Linotype" w:hAnsi="Palatino Linotype" w:cs="Arial"/>
          <w:i/>
          <w:sz w:val="22"/>
          <w:szCs w:val="22"/>
          <w:lang w:eastAsia="es-MX"/>
        </w:rPr>
      </w:pPr>
      <w:r w:rsidRPr="00300A2C">
        <w:rPr>
          <w:rFonts w:ascii="Palatino Linotype" w:hAnsi="Palatino Linotype" w:cs="Arial"/>
          <w:i/>
          <w:sz w:val="22"/>
          <w:szCs w:val="22"/>
          <w:lang w:eastAsia="es-MX"/>
        </w:rPr>
        <w:t xml:space="preserve">(Énfasis añadido)  </w:t>
      </w:r>
    </w:p>
    <w:p w14:paraId="2042BF4D"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p>
    <w:p w14:paraId="3BB1AF23"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r w:rsidRPr="00300A2C">
        <w:rPr>
          <w:rFonts w:ascii="Palatino Linotype" w:hAnsi="Palatino Linotype" w:cs="Arial"/>
          <w:lang w:eastAsia="es-MX"/>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00A2C">
        <w:rPr>
          <w:rFonts w:ascii="Palatino Linotype" w:hAnsi="Palatino Linotype" w:cs="Arial"/>
          <w:b/>
          <w:lang w:eastAsia="es-MX"/>
        </w:rPr>
        <w:t>EL SUJETO OBLIGADO</w:t>
      </w:r>
      <w:r w:rsidRPr="00300A2C">
        <w:rPr>
          <w:rFonts w:ascii="Palatino Linotype" w:hAnsi="Palatino Linotype" w:cs="Arial"/>
          <w:lang w:eastAsia="es-MX"/>
        </w:rPr>
        <w:t xml:space="preserve">, en ese contexto, todo dato personal susceptible de clasificación debe ser protegido.  </w:t>
      </w:r>
    </w:p>
    <w:p w14:paraId="2A98941A"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p>
    <w:p w14:paraId="3A7680BD"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r w:rsidRPr="00300A2C">
        <w:rPr>
          <w:rFonts w:ascii="Palatino Linotype" w:hAnsi="Palatino Linotype" w:cs="Arial"/>
          <w:lang w:eastAsia="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F359D96" w14:textId="77777777" w:rsidR="004D619C" w:rsidRPr="00300A2C" w:rsidRDefault="004D619C" w:rsidP="004D619C">
      <w:pPr>
        <w:spacing w:line="276" w:lineRule="auto"/>
        <w:ind w:left="851" w:right="902"/>
        <w:contextualSpacing/>
        <w:jc w:val="both"/>
        <w:rPr>
          <w:rFonts w:ascii="Palatino Linotype" w:hAnsi="Palatino Linotype" w:cs="Arial"/>
          <w:i/>
          <w:sz w:val="22"/>
          <w:szCs w:val="22"/>
          <w:lang w:eastAsia="es-MX"/>
        </w:rPr>
      </w:pPr>
      <w:r w:rsidRPr="00300A2C">
        <w:rPr>
          <w:rFonts w:ascii="Palatino Linotype" w:hAnsi="Palatino Linotype" w:cs="Arial"/>
          <w:i/>
          <w:sz w:val="22"/>
          <w:szCs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6EB75E8" w14:textId="77777777" w:rsidR="004D619C" w:rsidRPr="00300A2C" w:rsidRDefault="004D619C" w:rsidP="004D619C">
      <w:pPr>
        <w:spacing w:line="276" w:lineRule="auto"/>
        <w:ind w:left="851" w:right="902"/>
        <w:contextualSpacing/>
        <w:jc w:val="both"/>
        <w:rPr>
          <w:rFonts w:ascii="Palatino Linotype" w:hAnsi="Palatino Linotype" w:cs="Arial"/>
          <w:i/>
          <w:sz w:val="22"/>
          <w:szCs w:val="22"/>
          <w:lang w:eastAsia="es-MX"/>
        </w:rPr>
      </w:pPr>
    </w:p>
    <w:p w14:paraId="42172D35"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r w:rsidRPr="00300A2C">
        <w:rPr>
          <w:rFonts w:ascii="Palatino Linotype" w:hAnsi="Palatino Linotype" w:cs="Arial"/>
          <w:lang w:eastAsia="es-MX"/>
        </w:rPr>
        <w:t xml:space="preserve">Por ende, en el presente caso, </w:t>
      </w:r>
      <w:r w:rsidRPr="00300A2C">
        <w:rPr>
          <w:rFonts w:ascii="Palatino Linotype" w:hAnsi="Palatino Linotype" w:cs="Arial"/>
          <w:b/>
          <w:lang w:eastAsia="es-MX"/>
        </w:rPr>
        <w:t>EL SUJETO OBLIGADO</w:t>
      </w:r>
      <w:r w:rsidRPr="00300A2C">
        <w:rPr>
          <w:rFonts w:ascii="Palatino Linotype" w:hAnsi="Palatino Linotype" w:cs="Arial"/>
          <w:lang w:eastAsia="es-MX"/>
        </w:rPr>
        <w:t xml:space="preserve"> debe 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300A2C">
        <w:rPr>
          <w:rFonts w:ascii="Palatino Linotype" w:hAnsi="Palatino Linotype" w:cs="Arial"/>
          <w:b/>
          <w:lang w:eastAsia="es-MX"/>
        </w:rPr>
        <w:t>EL SUJETO OBLIGADO</w:t>
      </w:r>
      <w:r w:rsidRPr="00300A2C">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300A2C">
        <w:rPr>
          <w:rFonts w:ascii="Palatino Linotype" w:hAnsi="Palatino Linotype" w:cs="Arial"/>
          <w:b/>
          <w:lang w:eastAsia="es-MX"/>
        </w:rPr>
        <w:t>SUJETO OBLIGADO</w:t>
      </w:r>
      <w:r w:rsidRPr="00300A2C">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E2E21B3"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sz w:val="16"/>
          <w:lang w:eastAsia="es-MX"/>
        </w:rPr>
      </w:pPr>
    </w:p>
    <w:p w14:paraId="1ACF8288"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r w:rsidRPr="00300A2C">
        <w:rPr>
          <w:rFonts w:ascii="Palatino Linotype" w:hAnsi="Palatino Linotype" w:cs="Arial"/>
          <w:lang w:eastAsia="es-MX"/>
        </w:rPr>
        <w:t xml:space="preserve">Así, es que </w:t>
      </w:r>
      <w:r w:rsidRPr="00300A2C">
        <w:rPr>
          <w:rFonts w:ascii="Palatino Linotype" w:hAnsi="Palatino Linotype" w:cs="Arial"/>
          <w:b/>
          <w:lang w:eastAsia="es-MX"/>
        </w:rPr>
        <w:t>EL SUJETO OBLIGADO</w:t>
      </w:r>
      <w:r w:rsidRPr="00300A2C">
        <w:rPr>
          <w:rFonts w:ascii="Palatino Linotype" w:hAnsi="Palatino Linotype" w:cs="Arial"/>
          <w:lang w:eastAsia="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 </w:t>
      </w:r>
    </w:p>
    <w:p w14:paraId="25CF5F38"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r w:rsidRPr="00300A2C">
        <w:rPr>
          <w:rFonts w:ascii="Palatino Linotype" w:hAnsi="Palatino Linotype" w:cs="Arial"/>
          <w:lang w:eastAsia="es-MX"/>
        </w:rPr>
        <w:t>Lo anterior, atiendo lo señalado en el artículo 149 de la Ley de Transparencia Local, cuyo contenido es de la literalidad siguiente:</w:t>
      </w:r>
    </w:p>
    <w:p w14:paraId="1F84A995"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p>
    <w:p w14:paraId="3F6A827C" w14:textId="77777777" w:rsidR="004D619C" w:rsidRPr="00300A2C" w:rsidRDefault="004D619C" w:rsidP="004D619C">
      <w:pPr>
        <w:spacing w:before="100" w:beforeAutospacing="1" w:after="100" w:afterAutospacing="1" w:line="276" w:lineRule="auto"/>
        <w:ind w:left="851" w:right="899"/>
        <w:contextualSpacing/>
        <w:jc w:val="both"/>
        <w:rPr>
          <w:rFonts w:ascii="Palatino Linotype" w:hAnsi="Palatino Linotype" w:cs="Arial"/>
          <w:i/>
          <w:sz w:val="22"/>
          <w:szCs w:val="22"/>
          <w:lang w:eastAsia="es-MX"/>
        </w:rPr>
      </w:pPr>
      <w:r w:rsidRPr="00300A2C">
        <w:rPr>
          <w:rFonts w:ascii="Palatino Linotype" w:hAnsi="Palatino Linotype" w:cs="Arial"/>
          <w:i/>
          <w:sz w:val="22"/>
          <w:szCs w:val="22"/>
          <w:lang w:eastAsia="es-MX"/>
        </w:rPr>
        <w:t>“Artículo 149. El acuerdo que clasifique la información como confidencial deberá contener un razonamiento lógico en el que demuestre que la información se encuentra en alguna o algunas de las hipótesis previstas en la presente Ley.”</w:t>
      </w:r>
    </w:p>
    <w:p w14:paraId="741CA237"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p>
    <w:p w14:paraId="098809A6"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r w:rsidRPr="00300A2C">
        <w:rPr>
          <w:rFonts w:ascii="Palatino Linotype" w:hAnsi="Palatino Linotype" w:cs="Arial"/>
          <w:lang w:eastAsia="es-MX"/>
        </w:rPr>
        <w:t xml:space="preserve">Atento a ello, es importante referir que la fundamentación y motivación consiste en la obligación que tiene todo ente público de expresar los preceptos jurídicos aplicables al asunto motivo del acto y las razones o argumentos de su actuar. </w:t>
      </w:r>
    </w:p>
    <w:p w14:paraId="42E6EDE9"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sz w:val="16"/>
          <w:lang w:eastAsia="es-MX"/>
        </w:rPr>
      </w:pPr>
    </w:p>
    <w:p w14:paraId="3041DDDC"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r w:rsidRPr="00300A2C">
        <w:rPr>
          <w:rFonts w:ascii="Palatino Linotype" w:hAnsi="Palatino Linotype" w:cs="Arial"/>
          <w:lang w:eastAsia="es-MX"/>
        </w:rPr>
        <w:t>Al respecto, el máximo tribunal del país ha establecido jurisprudencia respecto a qué debe entenderse por fundamentación y motivación, en los siguientes términos:</w:t>
      </w:r>
    </w:p>
    <w:p w14:paraId="69E90F12"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p>
    <w:p w14:paraId="2CF410B0" w14:textId="77777777" w:rsidR="004D619C" w:rsidRPr="00300A2C" w:rsidRDefault="004D619C" w:rsidP="004D619C">
      <w:pPr>
        <w:spacing w:before="100" w:beforeAutospacing="1" w:after="100" w:afterAutospacing="1"/>
        <w:ind w:left="851" w:right="899"/>
        <w:contextualSpacing/>
        <w:jc w:val="both"/>
        <w:rPr>
          <w:rFonts w:ascii="Palatino Linotype" w:hAnsi="Palatino Linotype" w:cs="Arial"/>
          <w:i/>
          <w:sz w:val="22"/>
          <w:szCs w:val="22"/>
          <w:lang w:eastAsia="es-MX"/>
        </w:rPr>
      </w:pPr>
      <w:r w:rsidRPr="00300A2C">
        <w:rPr>
          <w:rFonts w:ascii="Palatino Linotype" w:hAnsi="Palatino Linotype" w:cs="Arial"/>
          <w:i/>
          <w:sz w:val="22"/>
          <w:szCs w:val="22"/>
          <w:lang w:eastAsia="es-MX"/>
        </w:rPr>
        <w:t>“FUNDAMENTACIÓN Y MOTIVACIÓN.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2A31000A"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p>
    <w:p w14:paraId="34DB39C7"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r w:rsidRPr="00300A2C">
        <w:rPr>
          <w:rFonts w:ascii="Palatino Linotype" w:hAnsi="Palatino Linotype" w:cs="Arial"/>
          <w:lang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9445F55"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sz w:val="16"/>
          <w:lang w:eastAsia="es-MX"/>
        </w:rPr>
      </w:pPr>
    </w:p>
    <w:p w14:paraId="2F0A2A21"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r w:rsidRPr="00300A2C">
        <w:rPr>
          <w:rFonts w:ascii="Palatino Linotype" w:hAnsi="Palatino Linotype" w:cs="Arial"/>
          <w:lang w:eastAsia="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3FEFD32"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p>
    <w:p w14:paraId="58442C66" w14:textId="77777777" w:rsidR="004D619C" w:rsidRPr="00300A2C" w:rsidRDefault="004D619C" w:rsidP="004D619C">
      <w:pPr>
        <w:spacing w:before="100" w:beforeAutospacing="1" w:after="100" w:afterAutospacing="1" w:line="276" w:lineRule="auto"/>
        <w:ind w:left="851" w:right="899"/>
        <w:contextualSpacing/>
        <w:jc w:val="both"/>
        <w:rPr>
          <w:rFonts w:ascii="Palatino Linotype" w:hAnsi="Palatino Linotype" w:cs="Arial"/>
          <w:i/>
          <w:sz w:val="22"/>
          <w:szCs w:val="22"/>
          <w:lang w:eastAsia="es-MX"/>
        </w:rPr>
      </w:pPr>
      <w:r w:rsidRPr="00300A2C">
        <w:rPr>
          <w:rFonts w:ascii="Palatino Linotype" w:hAnsi="Palatino Linotype" w:cs="Arial"/>
          <w:i/>
          <w:sz w:val="22"/>
          <w:szCs w:val="22"/>
          <w:lang w:eastAsia="es-MX"/>
        </w:rPr>
        <w:t>“FUNDAMENTACIÓN Y MOTIVACIÓN. EL ASPECTO FORMAL DE LA GARANTÍA Y SU FINALIDAD SE TRADUCEN EN EXPLICAR, JUSTIFICAR, POSIBILITAR LA DEFENSA Y COMUNICAR LA DECISIÓN.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4A681899"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p>
    <w:p w14:paraId="168493BB" w14:textId="77777777" w:rsidR="004D619C" w:rsidRPr="00300A2C" w:rsidRDefault="004D619C" w:rsidP="004D619C">
      <w:pPr>
        <w:spacing w:before="100" w:beforeAutospacing="1" w:after="100" w:afterAutospacing="1" w:line="360" w:lineRule="auto"/>
        <w:contextualSpacing/>
        <w:jc w:val="both"/>
        <w:rPr>
          <w:rFonts w:ascii="Palatino Linotype" w:hAnsi="Palatino Linotype" w:cs="Arial"/>
          <w:lang w:eastAsia="es-MX"/>
        </w:rPr>
      </w:pPr>
      <w:r w:rsidRPr="00300A2C">
        <w:rPr>
          <w:rFonts w:ascii="Palatino Linotype" w:hAnsi="Palatino Linotype" w:cs="Arial"/>
          <w:lang w:eastAsia="es-MX"/>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72420DB" w14:textId="77777777" w:rsidR="004D619C" w:rsidRPr="00300A2C" w:rsidRDefault="004D619C" w:rsidP="004D619C">
      <w:pPr>
        <w:autoSpaceDE w:val="0"/>
        <w:autoSpaceDN w:val="0"/>
        <w:adjustRightInd w:val="0"/>
        <w:spacing w:line="360" w:lineRule="auto"/>
        <w:jc w:val="both"/>
        <w:rPr>
          <w:rFonts w:ascii="Palatino Linotype" w:eastAsiaTheme="minorHAnsi" w:hAnsi="Palatino Linotype" w:cs="Arial"/>
          <w:color w:val="000000"/>
          <w:sz w:val="14"/>
          <w:szCs w:val="22"/>
          <w:lang w:eastAsia="en-US"/>
        </w:rPr>
      </w:pPr>
    </w:p>
    <w:p w14:paraId="400D6D0A" w14:textId="77777777" w:rsidR="004D619C" w:rsidRPr="00300A2C" w:rsidRDefault="004D619C" w:rsidP="004D619C">
      <w:pPr>
        <w:spacing w:line="360" w:lineRule="auto"/>
        <w:jc w:val="both"/>
        <w:rPr>
          <w:rFonts w:ascii="Palatino Linotype" w:hAnsi="Palatino Linotype" w:cs="Arial"/>
        </w:rPr>
      </w:pPr>
      <w:r w:rsidRPr="00300A2C">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14:paraId="5E1CFFA8" w14:textId="77777777" w:rsidR="004D619C" w:rsidRPr="00300A2C" w:rsidRDefault="004D619C" w:rsidP="004D619C">
      <w:pPr>
        <w:spacing w:line="360" w:lineRule="auto"/>
        <w:jc w:val="both"/>
        <w:rPr>
          <w:rFonts w:ascii="Palatino Linotype" w:hAnsi="Palatino Linotype" w:cs="Arial"/>
          <w:sz w:val="18"/>
        </w:rPr>
      </w:pPr>
    </w:p>
    <w:p w14:paraId="1988C6DF" w14:textId="77777777" w:rsidR="004D619C" w:rsidRPr="00300A2C" w:rsidRDefault="004D619C" w:rsidP="004D619C">
      <w:pPr>
        <w:spacing w:line="360" w:lineRule="auto"/>
        <w:contextualSpacing/>
        <w:jc w:val="both"/>
        <w:rPr>
          <w:rFonts w:ascii="Palatino Linotype" w:hAnsi="Palatino Linotype" w:cs="Arial"/>
        </w:rPr>
      </w:pPr>
      <w:r w:rsidRPr="00300A2C">
        <w:rPr>
          <w:rFonts w:ascii="Palatino Linotype" w:hAnsi="Palatino Linotype" w:cs="Arial"/>
        </w:rPr>
        <w:t>Al respecto, el máximo tribunal del país ha establecido jurisprudencia respecto a qué debe entenderse por fundamentación y motivación, en los siguientes términos:</w:t>
      </w:r>
    </w:p>
    <w:p w14:paraId="2F420FA3" w14:textId="77777777" w:rsidR="004D619C" w:rsidRPr="00300A2C" w:rsidRDefault="004D619C" w:rsidP="004D619C">
      <w:pPr>
        <w:contextualSpacing/>
        <w:jc w:val="both"/>
        <w:rPr>
          <w:rFonts w:ascii="Palatino Linotype" w:hAnsi="Palatino Linotype" w:cs="Arial"/>
        </w:rPr>
      </w:pPr>
    </w:p>
    <w:p w14:paraId="145EA3A7" w14:textId="77777777" w:rsidR="004D619C" w:rsidRPr="00300A2C" w:rsidRDefault="004D619C" w:rsidP="004D619C">
      <w:pPr>
        <w:ind w:left="851" w:right="901"/>
        <w:jc w:val="both"/>
        <w:rPr>
          <w:rFonts w:ascii="Palatino Linotype" w:hAnsi="Palatino Linotype" w:cs="Arial"/>
          <w:i/>
          <w:sz w:val="22"/>
          <w:szCs w:val="22"/>
        </w:rPr>
      </w:pPr>
      <w:r w:rsidRPr="00300A2C">
        <w:rPr>
          <w:rFonts w:ascii="Palatino Linotype" w:hAnsi="Palatino Linotype" w:cs="Arial"/>
          <w:i/>
          <w:sz w:val="22"/>
          <w:szCs w:val="22"/>
        </w:rPr>
        <w:t>“</w:t>
      </w:r>
      <w:r w:rsidRPr="00300A2C">
        <w:rPr>
          <w:rFonts w:ascii="Palatino Linotype" w:hAnsi="Palatino Linotype" w:cs="Arial"/>
          <w:b/>
          <w:i/>
          <w:sz w:val="22"/>
          <w:szCs w:val="22"/>
        </w:rPr>
        <w:t xml:space="preserve">FUNDAMENTACIÓN Y MOTIVACIÓN. </w:t>
      </w:r>
      <w:r w:rsidRPr="00300A2C">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w:t>
      </w:r>
      <w:r w:rsidRPr="00300A2C">
        <w:rPr>
          <w:rFonts w:ascii="Palatino Linotype" w:hAnsi="Palatino Linotype" w:cs="Arial"/>
          <w:i/>
        </w:rPr>
        <w:t xml:space="preserve"> </w:t>
      </w:r>
      <w:r w:rsidRPr="00300A2C">
        <w:rPr>
          <w:rFonts w:ascii="Palatino Linotype" w:hAnsi="Palatino Linotype" w:cs="Arial"/>
          <w:i/>
          <w:sz w:val="22"/>
          <w:szCs w:val="22"/>
        </w:rPr>
        <w:t>previsto por la norma legal invocada como fundamento.”(Sic)</w:t>
      </w:r>
    </w:p>
    <w:p w14:paraId="0DB9036E" w14:textId="77777777" w:rsidR="004D619C" w:rsidRPr="00300A2C" w:rsidRDefault="004D619C" w:rsidP="004D619C">
      <w:pPr>
        <w:ind w:left="851" w:right="899"/>
        <w:contextualSpacing/>
        <w:jc w:val="both"/>
        <w:rPr>
          <w:rFonts w:ascii="Palatino Linotype" w:hAnsi="Palatino Linotype" w:cs="Arial"/>
          <w:i/>
        </w:rPr>
      </w:pPr>
    </w:p>
    <w:p w14:paraId="0DC54A90" w14:textId="77777777" w:rsidR="004D619C" w:rsidRPr="00300A2C" w:rsidRDefault="004D619C" w:rsidP="004D619C">
      <w:pPr>
        <w:spacing w:line="360" w:lineRule="auto"/>
        <w:jc w:val="both"/>
        <w:rPr>
          <w:rFonts w:ascii="Palatino Linotype" w:hAnsi="Palatino Linotype" w:cs="Arial"/>
        </w:rPr>
      </w:pPr>
      <w:r w:rsidRPr="00300A2C">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4CA213F" w14:textId="77777777" w:rsidR="004D619C" w:rsidRPr="00300A2C" w:rsidRDefault="004D619C" w:rsidP="004D619C">
      <w:pPr>
        <w:spacing w:line="360" w:lineRule="auto"/>
        <w:jc w:val="both"/>
        <w:rPr>
          <w:rFonts w:ascii="Palatino Linotype" w:hAnsi="Palatino Linotype" w:cs="Arial"/>
        </w:rPr>
      </w:pPr>
    </w:p>
    <w:p w14:paraId="396A4ACC" w14:textId="77777777" w:rsidR="004D619C" w:rsidRPr="00300A2C" w:rsidRDefault="004D619C" w:rsidP="004D619C">
      <w:pPr>
        <w:spacing w:line="360" w:lineRule="auto"/>
        <w:jc w:val="both"/>
        <w:rPr>
          <w:rFonts w:ascii="Palatino Linotype" w:hAnsi="Palatino Linotype" w:cs="Arial"/>
        </w:rPr>
      </w:pPr>
      <w:r w:rsidRPr="00300A2C">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DC456F1" w14:textId="77777777" w:rsidR="004D619C" w:rsidRPr="00300A2C" w:rsidRDefault="004D619C" w:rsidP="004D619C">
      <w:pPr>
        <w:spacing w:line="360" w:lineRule="auto"/>
        <w:jc w:val="both"/>
        <w:rPr>
          <w:rFonts w:ascii="Palatino Linotype" w:hAnsi="Palatino Linotype" w:cs="Arial"/>
        </w:rPr>
      </w:pPr>
    </w:p>
    <w:p w14:paraId="3048256E" w14:textId="77777777" w:rsidR="004D619C" w:rsidRPr="00300A2C" w:rsidRDefault="004D619C" w:rsidP="004D619C">
      <w:pPr>
        <w:ind w:left="851" w:right="901"/>
        <w:jc w:val="both"/>
        <w:rPr>
          <w:rFonts w:ascii="Palatino Linotype" w:hAnsi="Palatino Linotype" w:cs="Arial"/>
          <w:i/>
          <w:sz w:val="22"/>
          <w:szCs w:val="22"/>
        </w:rPr>
      </w:pPr>
      <w:r w:rsidRPr="00300A2C">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300A2C">
        <w:rPr>
          <w:rFonts w:ascii="Palatino Linotype" w:hAnsi="Palatino Linotype" w:cs="Arial"/>
          <w:i/>
          <w:sz w:val="22"/>
          <w:szCs w:val="22"/>
        </w:rPr>
        <w:t xml:space="preserve">. El contenido formal de la garantía de legalidad prevista en el artículo 16 constitucional relativa a la </w:t>
      </w:r>
      <w:r w:rsidRPr="00300A2C">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300A2C">
        <w:rPr>
          <w:rFonts w:ascii="Palatino Linotype" w:hAnsi="Palatino Linotype" w:cs="Arial"/>
          <w:i/>
          <w:sz w:val="22"/>
          <w:szCs w:val="22"/>
        </w:rPr>
        <w:t xml:space="preserve">. Por tanto, </w:t>
      </w:r>
      <w:r w:rsidRPr="00300A2C">
        <w:rPr>
          <w:rFonts w:ascii="Palatino Linotype" w:hAnsi="Palatino Linotype" w:cs="Arial"/>
          <w:b/>
          <w:i/>
          <w:sz w:val="22"/>
          <w:szCs w:val="22"/>
        </w:rPr>
        <w:t>no basta que el acto de autoridad apenas observe una motivación pro forma pero de una manera incongruente, insuficiente o imprecisa</w:t>
      </w:r>
      <w:r w:rsidRPr="00300A2C">
        <w:rPr>
          <w:rFonts w:ascii="Palatino Linotype" w:hAnsi="Palatino Linotype" w:cs="Arial"/>
          <w:i/>
          <w:sz w:val="22"/>
          <w:szCs w:val="22"/>
        </w:rPr>
        <w:t>, que impida la finalidad del conocimiento, comprobación y defensa pertinente</w:t>
      </w:r>
      <w:r w:rsidRPr="00300A2C">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300A2C">
        <w:rPr>
          <w:rFonts w:ascii="Palatino Linotype" w:hAnsi="Palatino Linotype" w:cs="Arial"/>
          <w:i/>
          <w:sz w:val="22"/>
          <w:szCs w:val="22"/>
        </w:rPr>
        <w:t>.”(Sic)</w:t>
      </w:r>
    </w:p>
    <w:p w14:paraId="5AD0CA8C" w14:textId="77777777" w:rsidR="004D619C" w:rsidRPr="00300A2C" w:rsidRDefault="004D619C" w:rsidP="004D619C">
      <w:pPr>
        <w:ind w:left="851" w:right="899"/>
        <w:contextualSpacing/>
        <w:jc w:val="both"/>
        <w:rPr>
          <w:rFonts w:ascii="Palatino Linotype" w:hAnsi="Palatino Linotype" w:cs="Arial"/>
          <w:i/>
        </w:rPr>
      </w:pPr>
    </w:p>
    <w:p w14:paraId="16F731AE" w14:textId="622C3F4E" w:rsidR="004D619C" w:rsidRPr="00300A2C" w:rsidRDefault="004D619C" w:rsidP="004D619C">
      <w:pPr>
        <w:spacing w:line="360" w:lineRule="auto"/>
        <w:jc w:val="both"/>
        <w:rPr>
          <w:rFonts w:ascii="Palatino Linotype" w:hAnsi="Palatino Linotype" w:cs="Arial"/>
        </w:rPr>
      </w:pPr>
      <w:r w:rsidRPr="00300A2C">
        <w:rPr>
          <w:rFonts w:ascii="Palatino Linotype" w:hAnsi="Palatino Linotype" w:cs="Arial"/>
        </w:rPr>
        <w:t xml:space="preserve">En consecuencia, la fundamentación y motivación implica </w:t>
      </w:r>
      <w:r w:rsidR="007B6692" w:rsidRPr="00300A2C">
        <w:rPr>
          <w:rFonts w:ascii="Palatino Linotype" w:hAnsi="Palatino Linotype" w:cs="Arial"/>
        </w:rPr>
        <w:t>que,</w:t>
      </w:r>
      <w:r w:rsidRPr="00300A2C">
        <w:rPr>
          <w:rFonts w:ascii="Palatino Linotype" w:hAnsi="Palatino Linotype" w:cs="Arial"/>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439AB5E" w14:textId="77777777" w:rsidR="004D619C" w:rsidRPr="00300A2C" w:rsidRDefault="004D619C" w:rsidP="004D619C">
      <w:pPr>
        <w:spacing w:line="360" w:lineRule="auto"/>
        <w:jc w:val="both"/>
        <w:rPr>
          <w:rFonts w:ascii="Palatino Linotype" w:hAnsi="Palatino Linotype" w:cs="Arial"/>
        </w:rPr>
      </w:pPr>
    </w:p>
    <w:p w14:paraId="0496B44D" w14:textId="730471D7" w:rsidR="00737A2C" w:rsidRPr="00300A2C" w:rsidRDefault="004D619C" w:rsidP="004D619C">
      <w:pPr>
        <w:spacing w:line="360" w:lineRule="auto"/>
        <w:jc w:val="both"/>
        <w:rPr>
          <w:rFonts w:ascii="Palatino Linotype" w:hAnsi="Palatino Linotype"/>
          <w:color w:val="222222"/>
        </w:rPr>
      </w:pPr>
      <w:r w:rsidRPr="00300A2C">
        <w:rPr>
          <w:rFonts w:ascii="Palatino Linotype" w:hAnsi="Palatino Linotype" w:cs="Arial"/>
        </w:rPr>
        <w:t xml:space="preserve">De igual forma </w:t>
      </w:r>
      <w:r w:rsidRPr="00300A2C">
        <w:rPr>
          <w:rFonts w:ascii="Palatino Linotype" w:hAnsi="Palatino Linotype"/>
          <w:color w:val="222222"/>
        </w:rPr>
        <w:t>y como ya se señaló al ser obligaciones de transparencia común previstas en el artículo 92 de la Ley de la materia, gírese oficio al Director General Jurídico y de Verificación a efecto de que en términos de lo que establece el artículo 23 fracción XIV del Reglamento Interior del Instituto de Transparencia, Acceso a la Información Pública y Protección de Datos Personales del Estado de México y Municipios, determine lo que en derecho proceda</w:t>
      </w:r>
      <w:r w:rsidR="00737A2C" w:rsidRPr="00300A2C">
        <w:rPr>
          <w:rFonts w:ascii="Palatino Linotype" w:hAnsi="Palatino Linotype"/>
          <w:color w:val="222222"/>
        </w:rPr>
        <w:t>, esto en razón: de que, en la página de IPOMEX no tiene actualizado en materia de contratos como se observa a continuación:</w:t>
      </w:r>
    </w:p>
    <w:p w14:paraId="536FEFBE" w14:textId="0AA16025" w:rsidR="004D619C" w:rsidRPr="00300A2C" w:rsidRDefault="00737A2C" w:rsidP="004D619C">
      <w:pPr>
        <w:spacing w:line="360" w:lineRule="auto"/>
        <w:jc w:val="both"/>
        <w:rPr>
          <w:rFonts w:ascii="Palatino Linotype" w:hAnsi="Palatino Linotype"/>
          <w:color w:val="222222"/>
        </w:rPr>
      </w:pPr>
      <w:r w:rsidRPr="00300A2C">
        <w:rPr>
          <w:noProof/>
          <w:lang w:eastAsia="es-MX"/>
        </w:rPr>
        <w:drawing>
          <wp:inline distT="0" distB="0" distL="0" distR="0" wp14:anchorId="78F9AC6B" wp14:editId="5283D094">
            <wp:extent cx="5715000" cy="5772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602" t="11109" r="29175" b="9764"/>
                    <a:stretch/>
                  </pic:blipFill>
                  <pic:spPr bwMode="auto">
                    <a:xfrm>
                      <a:off x="0" y="0"/>
                      <a:ext cx="5715000" cy="5772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300A2C">
        <w:rPr>
          <w:rFonts w:ascii="Palatino Linotype" w:hAnsi="Palatino Linotype"/>
          <w:color w:val="222222"/>
        </w:rPr>
        <w:t xml:space="preserve"> </w:t>
      </w:r>
    </w:p>
    <w:p w14:paraId="37C8C72E" w14:textId="77777777" w:rsidR="00065FBF" w:rsidRPr="00300A2C" w:rsidRDefault="00065FBF" w:rsidP="00E83EEE">
      <w:pPr>
        <w:spacing w:line="276" w:lineRule="auto"/>
        <w:ind w:right="49"/>
        <w:jc w:val="both"/>
        <w:rPr>
          <w:rFonts w:ascii="Palatino Linotype" w:hAnsi="Palatino Linotype"/>
          <w:color w:val="222222"/>
        </w:rPr>
      </w:pPr>
    </w:p>
    <w:p w14:paraId="0F433102" w14:textId="568A9DE3" w:rsidR="00C24FCC" w:rsidRPr="00300A2C" w:rsidRDefault="00C24FCC" w:rsidP="00C24FCC">
      <w:pPr>
        <w:tabs>
          <w:tab w:val="left" w:pos="8647"/>
        </w:tabs>
        <w:spacing w:line="360" w:lineRule="auto"/>
        <w:ind w:right="51"/>
        <w:jc w:val="both"/>
        <w:rPr>
          <w:rFonts w:ascii="Palatino Linotype" w:eastAsia="Palatino Linotype" w:hAnsi="Palatino Linotype" w:cs="Palatino Linotype"/>
        </w:rPr>
      </w:pPr>
      <w:r w:rsidRPr="00300A2C">
        <w:rPr>
          <w:rFonts w:ascii="Palatino Linotype" w:eastAsia="Palatino Linotype" w:hAnsi="Palatino Linotype" w:cs="Palatino Linotype"/>
        </w:rPr>
        <w:t>En mérito de lo expuesto en líneas anteriores, este Órgano Garante considera que resultan</w:t>
      </w:r>
      <w:r w:rsidR="00E54DB6" w:rsidRPr="00300A2C">
        <w:rPr>
          <w:rFonts w:ascii="Palatino Linotype" w:eastAsia="Palatino Linotype" w:hAnsi="Palatino Linotype" w:cs="Palatino Linotype"/>
        </w:rPr>
        <w:t xml:space="preserve"> parcialmente</w:t>
      </w:r>
      <w:r w:rsidRPr="00300A2C">
        <w:rPr>
          <w:rFonts w:ascii="Palatino Linotype" w:eastAsia="Palatino Linotype" w:hAnsi="Palatino Linotype" w:cs="Palatino Linotype"/>
        </w:rPr>
        <w:t xml:space="preserve"> fundadas las razones o motivos o razones de inconformidad esgrimidos por el particular en su medio de impugnación, por ello con fundamento en el artículo 186 fracción III de la Ley de Transparencia y Acceso a la Información Pública del Estado de México y Municipios, resulta procedente </w:t>
      </w:r>
      <w:r w:rsidR="00884C75" w:rsidRPr="00300A2C">
        <w:rPr>
          <w:rFonts w:ascii="Palatino Linotype" w:eastAsia="Palatino Linotype" w:hAnsi="Palatino Linotype" w:cs="Palatino Linotype"/>
          <w:b/>
          <w:bCs/>
        </w:rPr>
        <w:t>REVOCAR</w:t>
      </w:r>
      <w:r w:rsidR="00884C75" w:rsidRPr="00300A2C">
        <w:rPr>
          <w:rFonts w:ascii="Palatino Linotype" w:eastAsia="Palatino Linotype" w:hAnsi="Palatino Linotype" w:cs="Palatino Linotype"/>
        </w:rPr>
        <w:t xml:space="preserve"> y </w:t>
      </w:r>
      <w:r w:rsidRPr="00300A2C">
        <w:rPr>
          <w:rFonts w:ascii="Palatino Linotype" w:eastAsia="Palatino Linotype" w:hAnsi="Palatino Linotype" w:cs="Palatino Linotype"/>
          <w:b/>
        </w:rPr>
        <w:t>ORDENAR</w:t>
      </w:r>
      <w:r w:rsidRPr="00300A2C">
        <w:rPr>
          <w:rFonts w:ascii="Palatino Linotype" w:eastAsia="Palatino Linotype" w:hAnsi="Palatino Linotype" w:cs="Palatino Linotype"/>
        </w:rPr>
        <w:t xml:space="preserve"> al </w:t>
      </w:r>
      <w:r w:rsidRPr="00300A2C">
        <w:rPr>
          <w:rFonts w:ascii="Palatino Linotype" w:eastAsia="Palatino Linotype" w:hAnsi="Palatino Linotype" w:cs="Palatino Linotype"/>
          <w:b/>
        </w:rPr>
        <w:t>SUJETO OBLIGADO</w:t>
      </w:r>
      <w:r w:rsidRPr="00300A2C">
        <w:rPr>
          <w:rFonts w:ascii="Palatino Linotype" w:eastAsia="Palatino Linotype" w:hAnsi="Palatino Linotype" w:cs="Palatino Linotype"/>
        </w:rPr>
        <w:t xml:space="preserve"> entregue </w:t>
      </w:r>
      <w:r w:rsidR="00E83EEE" w:rsidRPr="00300A2C">
        <w:rPr>
          <w:rFonts w:ascii="Palatino Linotype" w:eastAsia="Palatino Linotype" w:hAnsi="Palatino Linotype" w:cs="Palatino Linotype"/>
        </w:rPr>
        <w:t>la información requerida por el particular.</w:t>
      </w:r>
    </w:p>
    <w:p w14:paraId="2B588E9F" w14:textId="77777777" w:rsidR="00C24FCC" w:rsidRPr="00300A2C" w:rsidRDefault="00C24FCC" w:rsidP="00C24FCC">
      <w:pPr>
        <w:spacing w:line="360" w:lineRule="auto"/>
        <w:jc w:val="both"/>
        <w:rPr>
          <w:rFonts w:ascii="Palatino Linotype" w:eastAsia="Palatino Linotype" w:hAnsi="Palatino Linotype" w:cs="Palatino Linotype"/>
        </w:rPr>
      </w:pPr>
    </w:p>
    <w:p w14:paraId="340847B1" w14:textId="23FCC25A" w:rsidR="00770063" w:rsidRPr="00300A2C" w:rsidRDefault="00C24FCC" w:rsidP="00770063">
      <w:pPr>
        <w:spacing w:line="360" w:lineRule="auto"/>
        <w:jc w:val="both"/>
        <w:rPr>
          <w:rFonts w:ascii="Palatino Linotype" w:eastAsia="Palatino Linotype" w:hAnsi="Palatino Linotype" w:cs="Palatino Linotype"/>
        </w:rPr>
      </w:pPr>
      <w:r w:rsidRPr="00300A2C">
        <w:rPr>
          <w:rFonts w:ascii="Palatino Linotype" w:eastAsia="Palatino Linotype" w:hAnsi="Palatino Linotype" w:cs="Palatino Linotype"/>
        </w:rPr>
        <w:t xml:space="preserve">Así, con fundamento en lo prescrito en los artículos 5, párrafos </w:t>
      </w:r>
      <w:r w:rsidR="00E83EEE" w:rsidRPr="00300A2C">
        <w:rPr>
          <w:rFonts w:ascii="Palatino Linotype" w:eastAsia="Palatino Linotype" w:hAnsi="Palatino Linotype" w:cs="Palatino Linotype"/>
        </w:rPr>
        <w:t>tr</w:t>
      </w:r>
      <w:r w:rsidRPr="00300A2C">
        <w:rPr>
          <w:rFonts w:ascii="Palatino Linotype" w:eastAsia="Palatino Linotype" w:hAnsi="Palatino Linotype" w:cs="Palatino Linotype"/>
        </w:rPr>
        <w:t xml:space="preserve">igésimo, </w:t>
      </w:r>
      <w:r w:rsidR="0074440C" w:rsidRPr="00300A2C">
        <w:rPr>
          <w:rFonts w:ascii="Palatino Linotype" w:eastAsia="Palatino Linotype" w:hAnsi="Palatino Linotype" w:cs="Palatino Linotype"/>
        </w:rPr>
        <w:t>tr</w:t>
      </w:r>
      <w:r w:rsidRPr="00300A2C">
        <w:rPr>
          <w:rFonts w:ascii="Palatino Linotype" w:eastAsia="Palatino Linotype" w:hAnsi="Palatino Linotype" w:cs="Palatino Linotype"/>
        </w:rPr>
        <w:t xml:space="preserve">igésimo </w:t>
      </w:r>
      <w:r w:rsidR="00E83EEE" w:rsidRPr="00300A2C">
        <w:rPr>
          <w:rFonts w:ascii="Palatino Linotype" w:eastAsia="Palatino Linotype" w:hAnsi="Palatino Linotype" w:cs="Palatino Linotype"/>
        </w:rPr>
        <w:t xml:space="preserve">primero </w:t>
      </w:r>
      <w:r w:rsidRPr="00300A2C">
        <w:rPr>
          <w:rFonts w:ascii="Palatino Linotype" w:eastAsia="Palatino Linotype" w:hAnsi="Palatino Linotype" w:cs="Palatino Linotype"/>
        </w:rPr>
        <w:t xml:space="preserve">y </w:t>
      </w:r>
      <w:r w:rsidR="0074440C" w:rsidRPr="00300A2C">
        <w:rPr>
          <w:rFonts w:ascii="Palatino Linotype" w:eastAsia="Palatino Linotype" w:hAnsi="Palatino Linotype" w:cs="Palatino Linotype"/>
        </w:rPr>
        <w:t>tr</w:t>
      </w:r>
      <w:r w:rsidRPr="00300A2C">
        <w:rPr>
          <w:rFonts w:ascii="Palatino Linotype" w:eastAsia="Palatino Linotype" w:hAnsi="Palatino Linotype" w:cs="Palatino Linotype"/>
        </w:rPr>
        <w:t xml:space="preserve">igésimo </w:t>
      </w:r>
      <w:r w:rsidR="00E83EEE" w:rsidRPr="00300A2C">
        <w:rPr>
          <w:rFonts w:ascii="Palatino Linotype" w:eastAsia="Palatino Linotype" w:hAnsi="Palatino Linotype" w:cs="Palatino Linotype"/>
        </w:rPr>
        <w:t>segundo</w:t>
      </w:r>
      <w:r w:rsidRPr="00300A2C">
        <w:rPr>
          <w:rFonts w:ascii="Palatino Linotype" w:eastAsia="Palatino Linotype" w:hAnsi="Palatino Linotype" w:cs="Palatino Linotype"/>
        </w:rPr>
        <w:t>,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r w:rsidR="008F7E6D" w:rsidRPr="00300A2C">
        <w:rPr>
          <w:rFonts w:ascii="Palatino Linotype" w:eastAsia="Palatino Linotype" w:hAnsi="Palatino Linotype" w:cs="Palatino Linotype"/>
        </w:rPr>
        <w:t>:</w:t>
      </w:r>
    </w:p>
    <w:p w14:paraId="3C82E42E" w14:textId="77777777" w:rsidR="00770063" w:rsidRPr="00300A2C" w:rsidRDefault="00770063" w:rsidP="00770063">
      <w:pPr>
        <w:jc w:val="both"/>
        <w:rPr>
          <w:rFonts w:ascii="Palatino Linotype" w:eastAsia="Calibri" w:hAnsi="Palatino Linotype" w:cs="Arial"/>
          <w:sz w:val="28"/>
          <w:szCs w:val="20"/>
          <w:lang w:val="es-ES_tradnl"/>
        </w:rPr>
      </w:pPr>
    </w:p>
    <w:p w14:paraId="04788165" w14:textId="692888A4" w:rsidR="00770063" w:rsidRPr="00300A2C" w:rsidRDefault="00770063" w:rsidP="00770063">
      <w:pPr>
        <w:jc w:val="center"/>
        <w:rPr>
          <w:rFonts w:ascii="Palatino Linotype" w:eastAsiaTheme="minorEastAsia" w:hAnsi="Palatino Linotype" w:cs="Arial"/>
          <w:b/>
          <w:spacing w:val="44"/>
          <w:sz w:val="28"/>
          <w:szCs w:val="18"/>
        </w:rPr>
      </w:pPr>
      <w:r w:rsidRPr="00300A2C">
        <w:rPr>
          <w:rFonts w:ascii="Palatino Linotype" w:eastAsiaTheme="minorEastAsia" w:hAnsi="Palatino Linotype" w:cs="Arial"/>
          <w:b/>
          <w:spacing w:val="44"/>
          <w:sz w:val="28"/>
          <w:szCs w:val="18"/>
        </w:rPr>
        <w:t>RESUELVE</w:t>
      </w:r>
    </w:p>
    <w:p w14:paraId="530EE527" w14:textId="77777777" w:rsidR="003A0C0B" w:rsidRPr="00300A2C" w:rsidRDefault="003A0C0B" w:rsidP="00770063">
      <w:pPr>
        <w:jc w:val="center"/>
        <w:rPr>
          <w:rFonts w:ascii="Palatino Linotype" w:eastAsiaTheme="minorEastAsia" w:hAnsi="Palatino Linotype" w:cs="Arial"/>
          <w:b/>
          <w:spacing w:val="44"/>
          <w:sz w:val="28"/>
          <w:szCs w:val="18"/>
        </w:rPr>
      </w:pPr>
    </w:p>
    <w:p w14:paraId="4FE7FD9E" w14:textId="77777777" w:rsidR="00770063" w:rsidRPr="00300A2C" w:rsidRDefault="00770063" w:rsidP="00770063">
      <w:pPr>
        <w:rPr>
          <w:rFonts w:ascii="Palatino Linotype" w:eastAsiaTheme="minorEastAsia" w:hAnsi="Palatino Linotype" w:cs="Arial"/>
          <w:b/>
          <w:szCs w:val="20"/>
        </w:rPr>
      </w:pPr>
    </w:p>
    <w:p w14:paraId="11F981EC" w14:textId="58D6655D" w:rsidR="00770063" w:rsidRPr="00300A2C" w:rsidRDefault="00770063" w:rsidP="00770063">
      <w:pPr>
        <w:spacing w:line="360" w:lineRule="auto"/>
        <w:jc w:val="both"/>
        <w:rPr>
          <w:rFonts w:ascii="Palatino Linotype" w:eastAsiaTheme="minorEastAsia" w:hAnsi="Palatino Linotype" w:cs="Arial"/>
        </w:rPr>
      </w:pPr>
      <w:r w:rsidRPr="00300A2C">
        <w:rPr>
          <w:rFonts w:ascii="Palatino Linotype" w:eastAsiaTheme="minorEastAsia" w:hAnsi="Palatino Linotype" w:cs="Arial"/>
          <w:b/>
          <w:bCs/>
          <w:color w:val="222222"/>
          <w:sz w:val="28"/>
          <w:szCs w:val="18"/>
          <w:lang w:val="es-ES_tradnl" w:eastAsia="es-MX"/>
        </w:rPr>
        <w:t>PRIMERO</w:t>
      </w:r>
      <w:r w:rsidRPr="00300A2C">
        <w:rPr>
          <w:rFonts w:ascii="Palatino Linotype" w:eastAsiaTheme="minorEastAsia" w:hAnsi="Palatino Linotype" w:cs="Arial"/>
          <w:sz w:val="20"/>
          <w:szCs w:val="20"/>
          <w:lang w:val="es-ES_tradnl"/>
        </w:rPr>
        <w:t xml:space="preserve">. </w:t>
      </w:r>
      <w:r w:rsidRPr="00300A2C">
        <w:rPr>
          <w:rFonts w:ascii="Palatino Linotype" w:eastAsiaTheme="minorEastAsia" w:hAnsi="Palatino Linotype" w:cs="Arial"/>
          <w:lang w:val="es-ES_tradnl"/>
        </w:rPr>
        <w:t xml:space="preserve">Resultan </w:t>
      </w:r>
      <w:r w:rsidR="00F8538C" w:rsidRPr="00300A2C">
        <w:rPr>
          <w:rFonts w:ascii="Palatino Linotype" w:eastAsiaTheme="minorEastAsia" w:hAnsi="Palatino Linotype" w:cs="Arial"/>
          <w:b/>
          <w:lang w:val="es-ES_tradnl"/>
        </w:rPr>
        <w:t>parcialmente</w:t>
      </w:r>
      <w:r w:rsidR="00F8538C" w:rsidRPr="00300A2C">
        <w:rPr>
          <w:rFonts w:ascii="Palatino Linotype" w:eastAsiaTheme="minorEastAsia" w:hAnsi="Palatino Linotype" w:cs="Arial"/>
          <w:lang w:val="es-ES_tradnl"/>
        </w:rPr>
        <w:t xml:space="preserve"> </w:t>
      </w:r>
      <w:r w:rsidRPr="00300A2C">
        <w:rPr>
          <w:rFonts w:ascii="Palatino Linotype" w:eastAsiaTheme="minorEastAsia" w:hAnsi="Palatino Linotype" w:cs="Arial"/>
          <w:b/>
          <w:lang w:val="es-ES_tradnl"/>
        </w:rPr>
        <w:t>fundadas</w:t>
      </w:r>
      <w:r w:rsidRPr="00300A2C">
        <w:rPr>
          <w:rFonts w:ascii="Palatino Linotype" w:eastAsiaTheme="minorEastAsia" w:hAnsi="Palatino Linotype" w:cs="Arial"/>
          <w:lang w:val="es-ES_tradnl"/>
        </w:rPr>
        <w:t xml:space="preserve"> las razones o motivos de inconformidad planteadas por </w:t>
      </w:r>
      <w:r w:rsidR="00073F72" w:rsidRPr="00300A2C">
        <w:rPr>
          <w:rFonts w:ascii="Palatino Linotype" w:eastAsiaTheme="minorEastAsia" w:hAnsi="Palatino Linotype" w:cs="Arial"/>
          <w:b/>
          <w:lang w:val="es-ES_tradnl"/>
        </w:rPr>
        <w:t>EL</w:t>
      </w:r>
      <w:r w:rsidRPr="00300A2C">
        <w:rPr>
          <w:rFonts w:ascii="Palatino Linotype" w:eastAsiaTheme="minorEastAsia" w:hAnsi="Palatino Linotype" w:cs="Arial"/>
          <w:b/>
          <w:lang w:val="es-ES_tradnl"/>
        </w:rPr>
        <w:t xml:space="preserve"> RECURRENTE</w:t>
      </w:r>
      <w:r w:rsidRPr="00300A2C">
        <w:rPr>
          <w:rFonts w:ascii="Palatino Linotype" w:eastAsiaTheme="minorEastAsia" w:hAnsi="Palatino Linotype" w:cs="Arial"/>
          <w:lang w:val="es-ES_tradnl"/>
        </w:rPr>
        <w:t xml:space="preserve"> </w:t>
      </w:r>
      <w:r w:rsidRPr="00300A2C">
        <w:rPr>
          <w:rFonts w:ascii="Palatino Linotype" w:eastAsiaTheme="minorEastAsia" w:hAnsi="Palatino Linotype" w:cs="Arial"/>
        </w:rPr>
        <w:t xml:space="preserve">en términos del </w:t>
      </w:r>
      <w:r w:rsidRPr="00300A2C">
        <w:rPr>
          <w:rFonts w:ascii="Palatino Linotype" w:eastAsiaTheme="minorEastAsia" w:hAnsi="Palatino Linotype" w:cs="Arial"/>
          <w:lang w:val="es-ES_tradnl"/>
        </w:rPr>
        <w:t>Considerando</w:t>
      </w:r>
      <w:r w:rsidRPr="00300A2C">
        <w:rPr>
          <w:rFonts w:ascii="Palatino Linotype" w:eastAsiaTheme="minorEastAsia" w:hAnsi="Palatino Linotype" w:cs="Arial"/>
        </w:rPr>
        <w:t xml:space="preserve"> </w:t>
      </w:r>
      <w:r w:rsidRPr="00300A2C">
        <w:rPr>
          <w:rFonts w:ascii="Palatino Linotype" w:eastAsiaTheme="minorEastAsia" w:hAnsi="Palatino Linotype" w:cs="Arial"/>
          <w:b/>
        </w:rPr>
        <w:t xml:space="preserve">QUINTO </w:t>
      </w:r>
      <w:r w:rsidRPr="00300A2C">
        <w:rPr>
          <w:rFonts w:ascii="Palatino Linotype" w:eastAsiaTheme="minorEastAsia" w:hAnsi="Palatino Linotype" w:cs="Arial"/>
        </w:rPr>
        <w:t>de esta Resolución.</w:t>
      </w:r>
    </w:p>
    <w:p w14:paraId="2BFA0750" w14:textId="77777777" w:rsidR="00770063" w:rsidRPr="00300A2C" w:rsidRDefault="00770063" w:rsidP="00770063">
      <w:pPr>
        <w:spacing w:line="360" w:lineRule="auto"/>
        <w:jc w:val="both"/>
        <w:rPr>
          <w:rFonts w:ascii="Palatino Linotype" w:eastAsiaTheme="minorEastAsia" w:hAnsi="Palatino Linotype" w:cs="Arial"/>
          <w:szCs w:val="20"/>
          <w:lang w:val="es-ES_tradnl"/>
        </w:rPr>
      </w:pPr>
    </w:p>
    <w:p w14:paraId="31F753F7" w14:textId="6BF22F2D" w:rsidR="00770063" w:rsidRPr="00300A2C" w:rsidRDefault="00770063" w:rsidP="00770063">
      <w:pPr>
        <w:spacing w:line="360" w:lineRule="auto"/>
        <w:jc w:val="both"/>
        <w:rPr>
          <w:rFonts w:ascii="Palatino Linotype" w:hAnsi="Palatino Linotype" w:cs="Arial"/>
          <w:lang w:val="es-ES_tradnl"/>
        </w:rPr>
      </w:pPr>
      <w:r w:rsidRPr="00300A2C">
        <w:rPr>
          <w:rFonts w:ascii="Palatino Linotype" w:eastAsiaTheme="minorEastAsia" w:hAnsi="Palatino Linotype" w:cs="Arial"/>
          <w:b/>
          <w:bCs/>
          <w:color w:val="222222"/>
          <w:sz w:val="28"/>
          <w:szCs w:val="18"/>
          <w:lang w:val="es-ES_tradnl" w:eastAsia="es-MX"/>
        </w:rPr>
        <w:t>SEGUNDO</w:t>
      </w:r>
      <w:r w:rsidRPr="00300A2C">
        <w:rPr>
          <w:rFonts w:ascii="Palatino Linotype" w:eastAsia="Calibri" w:hAnsi="Palatino Linotype" w:cs="Arial"/>
          <w:b/>
          <w:bCs/>
          <w:sz w:val="20"/>
          <w:szCs w:val="20"/>
          <w:lang w:val="es-ES_tradnl"/>
        </w:rPr>
        <w:t xml:space="preserve">. </w:t>
      </w:r>
      <w:r w:rsidRPr="00300A2C">
        <w:rPr>
          <w:rFonts w:ascii="Palatino Linotype" w:eastAsia="Calibri" w:hAnsi="Palatino Linotype" w:cs="Arial"/>
        </w:rPr>
        <w:t xml:space="preserve">Se </w:t>
      </w:r>
      <w:r w:rsidRPr="00300A2C">
        <w:rPr>
          <w:rFonts w:ascii="Palatino Linotype" w:eastAsia="Calibri" w:hAnsi="Palatino Linotype" w:cs="Arial"/>
          <w:b/>
        </w:rPr>
        <w:t xml:space="preserve">REVOCA </w:t>
      </w:r>
      <w:r w:rsidRPr="00300A2C">
        <w:rPr>
          <w:rFonts w:ascii="Palatino Linotype" w:eastAsia="Calibri" w:hAnsi="Palatino Linotype" w:cs="Arial"/>
        </w:rPr>
        <w:t xml:space="preserve">la respuesta proporcionada por </w:t>
      </w:r>
      <w:r w:rsidRPr="00300A2C">
        <w:rPr>
          <w:rFonts w:ascii="Palatino Linotype" w:eastAsia="Calibri" w:hAnsi="Palatino Linotype" w:cs="Arial"/>
          <w:b/>
        </w:rPr>
        <w:t xml:space="preserve">EL SUJETO OBLIGADO </w:t>
      </w:r>
      <w:r w:rsidRPr="00300A2C">
        <w:rPr>
          <w:rFonts w:ascii="Palatino Linotype" w:eastAsia="Calibri" w:hAnsi="Palatino Linotype" w:cs="Arial"/>
        </w:rPr>
        <w:t xml:space="preserve">y se </w:t>
      </w:r>
      <w:r w:rsidRPr="00300A2C">
        <w:rPr>
          <w:rFonts w:ascii="Palatino Linotype" w:eastAsia="Calibri" w:hAnsi="Palatino Linotype" w:cs="Arial"/>
          <w:b/>
        </w:rPr>
        <w:t>ORDENA</w:t>
      </w:r>
      <w:r w:rsidRPr="00300A2C">
        <w:rPr>
          <w:rFonts w:ascii="Palatino Linotype" w:eastAsia="Calibri" w:hAnsi="Palatino Linotype" w:cs="Arial"/>
          <w:b/>
          <w:lang w:val="es-ES_tradnl"/>
        </w:rPr>
        <w:t xml:space="preserve"> </w:t>
      </w:r>
      <w:r w:rsidRPr="00300A2C">
        <w:rPr>
          <w:rFonts w:ascii="Palatino Linotype" w:eastAsia="Calibri" w:hAnsi="Palatino Linotype" w:cs="Arial"/>
          <w:lang w:val="es-ES_tradnl"/>
        </w:rPr>
        <w:t xml:space="preserve">atienda la solicitud de información </w:t>
      </w:r>
      <w:r w:rsidR="00F8538C" w:rsidRPr="00300A2C">
        <w:rPr>
          <w:rFonts w:ascii="Palatino Linotype" w:eastAsiaTheme="minorEastAsia" w:hAnsi="Palatino Linotype" w:cs="Arial"/>
          <w:b/>
          <w:bCs/>
          <w:szCs w:val="20"/>
        </w:rPr>
        <w:t>00010/ECATEPEC/IP/2021</w:t>
      </w:r>
      <w:r w:rsidRPr="00300A2C">
        <w:rPr>
          <w:rFonts w:ascii="Palatino Linotype" w:eastAsiaTheme="minorEastAsia" w:hAnsi="Palatino Linotype" w:cs="Arial"/>
          <w:lang w:val="es-ES_tradnl"/>
        </w:rPr>
        <w:t xml:space="preserve">, en términos del Considerando </w:t>
      </w:r>
      <w:r w:rsidRPr="00300A2C">
        <w:rPr>
          <w:rFonts w:ascii="Palatino Linotype" w:eastAsiaTheme="minorEastAsia" w:hAnsi="Palatino Linotype" w:cs="Arial"/>
          <w:b/>
          <w:lang w:val="es-ES_tradnl"/>
        </w:rPr>
        <w:t>QUINTO</w:t>
      </w:r>
      <w:r w:rsidRPr="00300A2C">
        <w:rPr>
          <w:rFonts w:ascii="Palatino Linotype" w:eastAsiaTheme="minorEastAsia" w:hAnsi="Palatino Linotype" w:cs="Arial"/>
          <w:lang w:val="es-ES_tradnl"/>
        </w:rPr>
        <w:t xml:space="preserve"> y, haga entrega al </w:t>
      </w:r>
      <w:r w:rsidRPr="00300A2C">
        <w:rPr>
          <w:rFonts w:ascii="Palatino Linotype" w:eastAsiaTheme="minorEastAsia" w:hAnsi="Palatino Linotype" w:cs="Arial"/>
          <w:b/>
          <w:lang w:val="es-ES_tradnl"/>
        </w:rPr>
        <w:t>RECURRENTE</w:t>
      </w:r>
      <w:r w:rsidRPr="00300A2C">
        <w:rPr>
          <w:rFonts w:ascii="Palatino Linotype" w:eastAsiaTheme="minorEastAsia" w:hAnsi="Palatino Linotype" w:cs="Arial"/>
          <w:lang w:val="es-ES_tradnl"/>
        </w:rPr>
        <w:t xml:space="preserve">, vía </w:t>
      </w:r>
      <w:r w:rsidR="00F8538C" w:rsidRPr="00300A2C">
        <w:rPr>
          <w:rFonts w:ascii="Palatino Linotype" w:eastAsiaTheme="minorEastAsia" w:hAnsi="Palatino Linotype" w:cs="Arial"/>
          <w:b/>
          <w:lang w:val="es-ES_tradnl"/>
        </w:rPr>
        <w:t>SAIMEX</w:t>
      </w:r>
      <w:r w:rsidRPr="00300A2C">
        <w:rPr>
          <w:rFonts w:ascii="Palatino Linotype" w:hAnsi="Palatino Linotype" w:cs="Arial"/>
          <w:lang w:val="es-ES"/>
        </w:rPr>
        <w:t xml:space="preserve">, </w:t>
      </w:r>
      <w:r w:rsidR="0074440C" w:rsidRPr="00300A2C">
        <w:rPr>
          <w:rFonts w:ascii="Palatino Linotype" w:hAnsi="Palatino Linotype" w:cs="Arial"/>
          <w:lang w:val="es-ES"/>
        </w:rPr>
        <w:t xml:space="preserve">de ser procedente </w:t>
      </w:r>
      <w:r w:rsidRPr="00300A2C">
        <w:rPr>
          <w:rFonts w:ascii="Palatino Linotype" w:hAnsi="Palatino Linotype" w:cs="Arial"/>
          <w:lang w:val="es-ES"/>
        </w:rPr>
        <w:t xml:space="preserve">en </w:t>
      </w:r>
      <w:r w:rsidRPr="00300A2C">
        <w:rPr>
          <w:rFonts w:ascii="Palatino Linotype" w:hAnsi="Palatino Linotype" w:cs="Arial"/>
          <w:b/>
          <w:bCs/>
          <w:lang w:val="es-ES"/>
        </w:rPr>
        <w:t>versión pública</w:t>
      </w:r>
      <w:r w:rsidRPr="00300A2C">
        <w:rPr>
          <w:rFonts w:ascii="Palatino Linotype" w:hAnsi="Palatino Linotype" w:cs="Arial"/>
          <w:lang w:val="es-ES"/>
        </w:rPr>
        <w:t>,</w:t>
      </w:r>
      <w:r w:rsidR="0030180A" w:rsidRPr="00300A2C">
        <w:rPr>
          <w:rFonts w:ascii="Palatino Linotype" w:hAnsi="Palatino Linotype" w:cs="Arial"/>
          <w:lang w:val="es-ES"/>
        </w:rPr>
        <w:t xml:space="preserve"> previa </w:t>
      </w:r>
      <w:r w:rsidR="0030180A" w:rsidRPr="00300A2C">
        <w:rPr>
          <w:rFonts w:ascii="Palatino Linotype" w:hAnsi="Palatino Linotype" w:cs="Arial"/>
          <w:b/>
          <w:lang w:val="es-ES"/>
        </w:rPr>
        <w:t>búsqueda exhaustiva y razonable</w:t>
      </w:r>
      <w:r w:rsidR="0030180A" w:rsidRPr="00300A2C">
        <w:rPr>
          <w:rFonts w:ascii="Palatino Linotype" w:hAnsi="Palatino Linotype" w:cs="Arial"/>
          <w:lang w:val="es-ES"/>
        </w:rPr>
        <w:t xml:space="preserve">, </w:t>
      </w:r>
      <w:r w:rsidRPr="00300A2C">
        <w:rPr>
          <w:rFonts w:ascii="Palatino Linotype" w:hAnsi="Palatino Linotype" w:cs="Arial"/>
          <w:lang w:val="es-ES_tradnl"/>
        </w:rPr>
        <w:t>lo siguiente:</w:t>
      </w:r>
    </w:p>
    <w:p w14:paraId="785D04A4" w14:textId="77777777" w:rsidR="00770063" w:rsidRPr="00300A2C" w:rsidRDefault="00770063" w:rsidP="00770063">
      <w:pPr>
        <w:spacing w:line="360" w:lineRule="auto"/>
        <w:jc w:val="both"/>
        <w:rPr>
          <w:rFonts w:ascii="Palatino Linotype" w:hAnsi="Palatino Linotype" w:cs="Arial"/>
          <w:lang w:val="es-ES_tradnl"/>
        </w:rPr>
      </w:pPr>
    </w:p>
    <w:p w14:paraId="5D0FECCE" w14:textId="3E293604" w:rsidR="00F8538C" w:rsidRPr="00300A2C" w:rsidRDefault="00770063" w:rsidP="00F8538C">
      <w:pPr>
        <w:ind w:left="851" w:right="899"/>
        <w:jc w:val="both"/>
        <w:rPr>
          <w:rFonts w:ascii="Palatino Linotype" w:hAnsi="Palatino Linotype" w:cs="Arial"/>
          <w:i/>
          <w:iCs/>
          <w:lang w:val="es-ES_tradnl"/>
        </w:rPr>
      </w:pPr>
      <w:r w:rsidRPr="00300A2C">
        <w:rPr>
          <w:rFonts w:ascii="Palatino Linotype" w:hAnsi="Palatino Linotype" w:cs="Arial"/>
          <w:i/>
          <w:iCs/>
          <w:lang w:val="es-ES_tradnl"/>
        </w:rPr>
        <w:t>“</w:t>
      </w:r>
      <w:r w:rsidR="00F8538C" w:rsidRPr="00300A2C">
        <w:rPr>
          <w:rFonts w:ascii="Palatino Linotype" w:hAnsi="Palatino Linotype" w:cs="Arial"/>
          <w:i/>
          <w:iCs/>
          <w:lang w:val="es-ES_tradnl"/>
        </w:rPr>
        <w:t xml:space="preserve">El contrato con numeral MEM-DA-DSPyT-AD-RP-05-04-2020; así como, copia de las facturas </w:t>
      </w:r>
      <w:r w:rsidR="00761877" w:rsidRPr="00300A2C">
        <w:rPr>
          <w:rFonts w:ascii="Palatino Linotype" w:hAnsi="Palatino Linotype" w:cs="Arial"/>
          <w:i/>
          <w:iCs/>
          <w:lang w:val="es-ES_tradnl"/>
        </w:rPr>
        <w:t>derivadas del mismo</w:t>
      </w:r>
      <w:r w:rsidR="00F8538C" w:rsidRPr="00300A2C">
        <w:rPr>
          <w:rFonts w:ascii="Palatino Linotype" w:hAnsi="Palatino Linotype" w:cs="Arial"/>
          <w:i/>
          <w:iCs/>
          <w:lang w:val="es-ES_tradnl"/>
        </w:rPr>
        <w:t>.</w:t>
      </w:r>
    </w:p>
    <w:p w14:paraId="50861886" w14:textId="77777777" w:rsidR="00884C75" w:rsidRPr="00300A2C" w:rsidRDefault="00884C75" w:rsidP="00884C75">
      <w:pPr>
        <w:spacing w:line="276" w:lineRule="auto"/>
        <w:ind w:right="51"/>
        <w:jc w:val="both"/>
        <w:rPr>
          <w:rFonts w:ascii="Palatino Linotype" w:eastAsia="Palatino Linotype" w:hAnsi="Palatino Linotype" w:cs="Palatino Linotype"/>
          <w:i/>
          <w:sz w:val="22"/>
          <w:szCs w:val="22"/>
        </w:rPr>
      </w:pPr>
    </w:p>
    <w:p w14:paraId="4367B282" w14:textId="61545A7E" w:rsidR="00884C75" w:rsidRPr="00300A2C" w:rsidRDefault="00884C75" w:rsidP="00884C75">
      <w:pPr>
        <w:spacing w:line="276" w:lineRule="auto"/>
        <w:ind w:left="851" w:right="902"/>
        <w:jc w:val="both"/>
        <w:rPr>
          <w:rFonts w:ascii="Palatino Linotype" w:eastAsia="Palatino Linotype" w:hAnsi="Palatino Linotype" w:cs="Palatino Linotype"/>
          <w:i/>
          <w:sz w:val="22"/>
          <w:szCs w:val="22"/>
        </w:rPr>
      </w:pPr>
      <w:r w:rsidRPr="00300A2C">
        <w:rPr>
          <w:rFonts w:ascii="Palatino Linotype" w:eastAsia="Palatino Linotype" w:hAnsi="Palatino Linotype" w:cs="Palatino Linotype"/>
          <w:i/>
          <w:sz w:val="22"/>
          <w:szCs w:val="22"/>
        </w:rPr>
        <w:t xml:space="preserve">Debiendo notificar al </w:t>
      </w:r>
      <w:r w:rsidRPr="00300A2C">
        <w:rPr>
          <w:rFonts w:ascii="Palatino Linotype" w:eastAsia="Palatino Linotype" w:hAnsi="Palatino Linotype" w:cs="Palatino Linotype"/>
          <w:b/>
          <w:i/>
          <w:sz w:val="22"/>
          <w:szCs w:val="22"/>
        </w:rPr>
        <w:t>RECURRENTE</w:t>
      </w:r>
      <w:r w:rsidRPr="00300A2C">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p>
    <w:p w14:paraId="55F84C1A" w14:textId="77777777" w:rsidR="00F8538C" w:rsidRPr="00300A2C" w:rsidRDefault="00F8538C" w:rsidP="00884C75">
      <w:pPr>
        <w:spacing w:line="276" w:lineRule="auto"/>
        <w:ind w:left="851" w:right="902"/>
        <w:jc w:val="both"/>
        <w:rPr>
          <w:rFonts w:ascii="Palatino Linotype" w:eastAsia="Palatino Linotype" w:hAnsi="Palatino Linotype" w:cs="Palatino Linotype"/>
          <w:i/>
          <w:sz w:val="22"/>
          <w:szCs w:val="22"/>
        </w:rPr>
      </w:pPr>
    </w:p>
    <w:p w14:paraId="318C5B49" w14:textId="45E2FAEE" w:rsidR="00F8538C" w:rsidRPr="00300A2C" w:rsidRDefault="00F8538C" w:rsidP="00884C75">
      <w:pPr>
        <w:spacing w:line="276" w:lineRule="auto"/>
        <w:ind w:left="851" w:right="902"/>
        <w:jc w:val="both"/>
        <w:rPr>
          <w:rFonts w:ascii="Palatino Linotype" w:eastAsia="Palatino Linotype" w:hAnsi="Palatino Linotype" w:cs="Palatino Linotype"/>
          <w:i/>
          <w:sz w:val="22"/>
          <w:szCs w:val="22"/>
        </w:rPr>
      </w:pPr>
      <w:r w:rsidRPr="00300A2C">
        <w:rPr>
          <w:rFonts w:ascii="Palatino Linotype" w:eastAsia="Palatino Linotype" w:hAnsi="Palatino Linotype" w:cs="Palatino Linotype"/>
          <w:i/>
          <w:sz w:val="22"/>
          <w:szCs w:val="22"/>
        </w:rPr>
        <w:t>Para el caso de no contar con la información</w:t>
      </w:r>
      <w:r w:rsidR="00761877" w:rsidRPr="00300A2C">
        <w:rPr>
          <w:rFonts w:ascii="Palatino Linotype" w:eastAsia="Palatino Linotype" w:hAnsi="Palatino Linotype" w:cs="Palatino Linotype"/>
          <w:i/>
          <w:sz w:val="22"/>
          <w:szCs w:val="22"/>
        </w:rPr>
        <w:t xml:space="preserve"> derivado de la búsqueda exhaustiva y razonable por no haber generado el contrato, </w:t>
      </w:r>
      <w:r w:rsidRPr="00300A2C">
        <w:rPr>
          <w:rFonts w:ascii="Palatino Linotype" w:eastAsia="Palatino Linotype" w:hAnsi="Palatino Linotype" w:cs="Palatino Linotype"/>
          <w:i/>
          <w:sz w:val="22"/>
          <w:szCs w:val="22"/>
        </w:rPr>
        <w:t xml:space="preserve">deberá notificarlo al </w:t>
      </w:r>
      <w:r w:rsidRPr="00300A2C">
        <w:rPr>
          <w:rFonts w:ascii="Palatino Linotype" w:eastAsia="Palatino Linotype" w:hAnsi="Palatino Linotype" w:cs="Palatino Linotype"/>
          <w:b/>
          <w:i/>
          <w:sz w:val="22"/>
          <w:szCs w:val="22"/>
        </w:rPr>
        <w:t>RECURRENTE</w:t>
      </w:r>
      <w:r w:rsidRPr="00300A2C">
        <w:rPr>
          <w:rFonts w:ascii="Palatino Linotype" w:eastAsia="Palatino Linotype" w:hAnsi="Palatino Linotype" w:cs="Palatino Linotype"/>
          <w:i/>
          <w:sz w:val="22"/>
          <w:szCs w:val="22"/>
        </w:rPr>
        <w:t xml:space="preserve"> en términos de los artículos 18 y 19 de la Ley de Transparencia y Acceso a la Información Pública del Estado de México y Municipios</w:t>
      </w:r>
      <w:r w:rsidR="0030180A" w:rsidRPr="00300A2C">
        <w:rPr>
          <w:rFonts w:ascii="Palatino Linotype" w:eastAsia="Palatino Linotype" w:hAnsi="Palatino Linotype" w:cs="Palatino Linotype"/>
          <w:i/>
          <w:sz w:val="22"/>
          <w:szCs w:val="22"/>
        </w:rPr>
        <w:t>, es decir</w:t>
      </w:r>
      <w:r w:rsidR="00761877" w:rsidRPr="00300A2C">
        <w:rPr>
          <w:rFonts w:ascii="Palatino Linotype" w:eastAsia="Palatino Linotype" w:hAnsi="Palatino Linotype" w:cs="Palatino Linotype"/>
          <w:i/>
          <w:sz w:val="22"/>
          <w:szCs w:val="22"/>
        </w:rPr>
        <w:t xml:space="preserve">, </w:t>
      </w:r>
      <w:r w:rsidR="0030180A" w:rsidRPr="00300A2C">
        <w:rPr>
          <w:rFonts w:ascii="Palatino Linotype" w:eastAsia="Palatino Linotype" w:hAnsi="Palatino Linotype" w:cs="Palatino Linotype"/>
          <w:i/>
          <w:sz w:val="22"/>
          <w:szCs w:val="22"/>
        </w:rPr>
        <w:t xml:space="preserve"> de manera fundada y motivada</w:t>
      </w:r>
      <w:r w:rsidRPr="00300A2C">
        <w:rPr>
          <w:rFonts w:ascii="Palatino Linotype" w:eastAsia="Palatino Linotype" w:hAnsi="Palatino Linotype" w:cs="Palatino Linotype"/>
          <w:i/>
          <w:sz w:val="22"/>
          <w:szCs w:val="22"/>
        </w:rPr>
        <w:t>.”</w:t>
      </w:r>
    </w:p>
    <w:p w14:paraId="314B2363" w14:textId="77777777" w:rsidR="00E54DB6" w:rsidRPr="00300A2C" w:rsidRDefault="00E54DB6" w:rsidP="00884C75">
      <w:pPr>
        <w:spacing w:line="276" w:lineRule="auto"/>
        <w:ind w:left="851" w:right="902"/>
        <w:jc w:val="both"/>
        <w:rPr>
          <w:rFonts w:ascii="Palatino Linotype" w:eastAsia="Palatino Linotype" w:hAnsi="Palatino Linotype" w:cs="Palatino Linotype"/>
          <w:i/>
          <w:sz w:val="22"/>
          <w:szCs w:val="22"/>
        </w:rPr>
      </w:pPr>
    </w:p>
    <w:p w14:paraId="22085006" w14:textId="77777777" w:rsidR="004609F2" w:rsidRPr="00300A2C" w:rsidRDefault="004609F2" w:rsidP="00884C75">
      <w:pPr>
        <w:spacing w:line="276" w:lineRule="auto"/>
        <w:ind w:left="851" w:right="902"/>
        <w:jc w:val="both"/>
        <w:rPr>
          <w:rFonts w:ascii="Palatino Linotype" w:eastAsia="Palatino Linotype" w:hAnsi="Palatino Linotype" w:cs="Palatino Linotype"/>
          <w:i/>
          <w:color w:val="222222"/>
          <w:sz w:val="22"/>
          <w:szCs w:val="22"/>
        </w:rPr>
      </w:pPr>
    </w:p>
    <w:p w14:paraId="3A3191E6" w14:textId="741FB34E" w:rsidR="00770063" w:rsidRPr="00300A2C"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300A2C">
        <w:rPr>
          <w:rFonts w:ascii="Palatino Linotype" w:eastAsiaTheme="minorEastAsia" w:hAnsi="Palatino Linotype" w:cstheme="minorBidi"/>
          <w:b/>
          <w:color w:val="222222"/>
          <w:sz w:val="28"/>
          <w:shd w:val="clear" w:color="auto" w:fill="FFFFFF"/>
          <w:lang w:val="es-ES_tradnl"/>
        </w:rPr>
        <w:t>TERCERO</w:t>
      </w:r>
      <w:r w:rsidRPr="00300A2C">
        <w:rPr>
          <w:rFonts w:ascii="Palatino Linotype" w:eastAsiaTheme="minorEastAsia" w:hAnsi="Palatino Linotype" w:cstheme="minorBidi"/>
          <w:b/>
          <w:color w:val="222222"/>
          <w:sz w:val="28"/>
          <w:szCs w:val="28"/>
          <w:shd w:val="clear" w:color="auto" w:fill="FFFFFF"/>
          <w:lang w:val="es-ES_tradnl"/>
        </w:rPr>
        <w:t>.</w:t>
      </w:r>
      <w:r w:rsidRPr="00300A2C">
        <w:rPr>
          <w:rFonts w:ascii="Palatino Linotype" w:eastAsiaTheme="minorEastAsia" w:hAnsi="Palatino Linotype" w:cstheme="minorBidi"/>
          <w:b/>
          <w:color w:val="222222"/>
          <w:sz w:val="20"/>
          <w:szCs w:val="20"/>
          <w:shd w:val="clear" w:color="auto" w:fill="FFFFFF"/>
          <w:lang w:val="es-ES_tradnl"/>
        </w:rPr>
        <w:t> </w:t>
      </w:r>
      <w:r w:rsidRPr="00300A2C">
        <w:rPr>
          <w:rFonts w:ascii="Palatino Linotype" w:eastAsiaTheme="minorEastAsia" w:hAnsi="Palatino Linotype" w:cstheme="minorBidi"/>
          <w:b/>
          <w:color w:val="222222"/>
          <w:lang w:val="es-ES_tradnl" w:eastAsia="es-ES_tradnl"/>
        </w:rPr>
        <w:t>Notifíquese</w:t>
      </w:r>
      <w:r w:rsidRPr="00300A2C">
        <w:rPr>
          <w:rFonts w:ascii="Palatino Linotype" w:eastAsiaTheme="minorEastAsia" w:hAnsi="Palatino Linotype" w:cstheme="minorBidi"/>
          <w:color w:val="222222"/>
          <w:lang w:val="es-ES_tradnl" w:eastAsia="es-ES_tradnl"/>
        </w:rPr>
        <w:t xml:space="preserve"> </w:t>
      </w:r>
      <w:r w:rsidR="00737A2C" w:rsidRPr="00300A2C">
        <w:rPr>
          <w:rFonts w:ascii="Palatino Linotype" w:eastAsiaTheme="minorEastAsia" w:hAnsi="Palatino Linotype" w:cstheme="minorBidi"/>
          <w:color w:val="222222"/>
          <w:shd w:val="clear" w:color="auto" w:fill="FFFFFF"/>
          <w:lang w:val="es-ES_tradnl"/>
        </w:rPr>
        <w:t xml:space="preserve">a la </w:t>
      </w:r>
      <w:r w:rsidRPr="00300A2C">
        <w:rPr>
          <w:rFonts w:ascii="Palatino Linotype" w:eastAsiaTheme="minorEastAsia" w:hAnsi="Palatino Linotype" w:cstheme="minorBidi"/>
          <w:color w:val="222222"/>
          <w:shd w:val="clear" w:color="auto" w:fill="FFFFFF"/>
          <w:lang w:val="es-ES_tradnl"/>
        </w:rPr>
        <w:t>Titular de la Unidad de Transparencia del</w:t>
      </w:r>
      <w:r w:rsidRPr="00300A2C">
        <w:rPr>
          <w:rFonts w:ascii="Palatino Linotype" w:eastAsiaTheme="minorEastAsia" w:hAnsi="Palatino Linotype" w:cstheme="minorBidi"/>
          <w:b/>
          <w:color w:val="222222"/>
          <w:shd w:val="clear" w:color="auto" w:fill="FFFFFF"/>
          <w:lang w:val="es-ES_tradnl"/>
        </w:rPr>
        <w:t> SUJETO OBLIGADO</w:t>
      </w:r>
      <w:r w:rsidRPr="00300A2C">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300A2C">
        <w:rPr>
          <w:rFonts w:ascii="Palatino Linotype" w:eastAsiaTheme="minorEastAsia" w:hAnsi="Palatino Linotype" w:cs="Arial"/>
          <w:lang w:val="es-ES_tradnl"/>
        </w:rPr>
        <w:t>Transparencia</w:t>
      </w:r>
      <w:r w:rsidRPr="00300A2C">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300A2C">
        <w:rPr>
          <w:rFonts w:ascii="Palatino Linotype" w:eastAsiaTheme="minorEastAsia" w:hAnsi="Palatino Linotype" w:cs="Arial"/>
          <w:lang w:val="es-ES_tradnl"/>
        </w:rPr>
        <w:t>cumplimiento</w:t>
      </w:r>
      <w:r w:rsidRPr="00300A2C">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300A2C">
        <w:rPr>
          <w:rFonts w:ascii="Palatino Linotype" w:eastAsiaTheme="minorEastAsia" w:hAnsi="Palatino Linotype" w:cs="Arial"/>
          <w:lang w:val="es-ES_tradnl"/>
        </w:rPr>
        <w:t>informar</w:t>
      </w:r>
      <w:r w:rsidRPr="00300A2C">
        <w:rPr>
          <w:rFonts w:ascii="Palatino Linotype" w:eastAsiaTheme="minorEastAsia" w:hAnsi="Palatino Linotype" w:cstheme="minorBidi"/>
          <w:color w:val="222222"/>
          <w:shd w:val="clear" w:color="auto" w:fill="FFFFFF"/>
          <w:lang w:val="es-ES_tradnl"/>
        </w:rPr>
        <w:t xml:space="preserve"> a este Instituto en un plazo </w:t>
      </w:r>
      <w:r w:rsidRPr="00300A2C">
        <w:rPr>
          <w:rFonts w:ascii="Palatino Linotype" w:eastAsiaTheme="minorEastAsia" w:hAnsi="Palatino Linotype" w:cstheme="minorBidi"/>
          <w:color w:val="222222"/>
          <w:lang w:val="es-ES_tradnl" w:eastAsia="es-ES_tradnl"/>
        </w:rPr>
        <w:t>de</w:t>
      </w:r>
      <w:r w:rsidRPr="00300A2C">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1AB6F51B" w14:textId="77777777" w:rsidR="00770063" w:rsidRPr="00300A2C"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p>
    <w:p w14:paraId="77E5CA66" w14:textId="77777777" w:rsidR="00770063" w:rsidRPr="00300A2C"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300A2C">
        <w:rPr>
          <w:rFonts w:ascii="Palatino Linotype" w:eastAsia="Calibri" w:hAnsi="Palatino Linotype" w:cs="Arial"/>
          <w:b/>
          <w:sz w:val="28"/>
          <w:lang w:val="es-ES_tradnl"/>
        </w:rPr>
        <w:t>CUARTO</w:t>
      </w:r>
      <w:r w:rsidRPr="00300A2C">
        <w:rPr>
          <w:rFonts w:ascii="Palatino Linotype" w:eastAsia="Calibri" w:hAnsi="Palatino Linotype" w:cs="Arial"/>
          <w:b/>
          <w:sz w:val="28"/>
          <w:szCs w:val="28"/>
          <w:lang w:val="es-ES_tradnl"/>
        </w:rPr>
        <w:t xml:space="preserve">. </w:t>
      </w:r>
      <w:r w:rsidRPr="00300A2C">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300A2C">
        <w:rPr>
          <w:rFonts w:ascii="Palatino Linotype" w:eastAsia="Calibri" w:hAnsi="Palatino Linotype" w:cs="Arial"/>
          <w:b/>
          <w:lang w:val="es-ES_tradnl"/>
        </w:rPr>
        <w:t xml:space="preserve">SUJETO OBLIGADO </w:t>
      </w:r>
      <w:r w:rsidRPr="00300A2C">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459290BB" w14:textId="77777777" w:rsidR="00770063" w:rsidRPr="00300A2C" w:rsidRDefault="00770063" w:rsidP="00770063">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14:paraId="22C74282" w14:textId="41970088" w:rsidR="00770063" w:rsidRPr="00300A2C" w:rsidRDefault="00770063" w:rsidP="00770063">
      <w:pPr>
        <w:spacing w:line="360" w:lineRule="auto"/>
        <w:jc w:val="both"/>
        <w:rPr>
          <w:rFonts w:ascii="Palatino Linotype" w:eastAsia="Calibri" w:hAnsi="Palatino Linotype" w:cs="Arial"/>
          <w:lang w:val="es-ES_tradnl"/>
        </w:rPr>
      </w:pPr>
      <w:r w:rsidRPr="00300A2C">
        <w:rPr>
          <w:rFonts w:ascii="Palatino Linotype" w:eastAsiaTheme="minorEastAsia" w:hAnsi="Palatino Linotype" w:cstheme="minorBidi"/>
          <w:b/>
          <w:color w:val="222222"/>
          <w:sz w:val="28"/>
          <w:shd w:val="clear" w:color="auto" w:fill="FFFFFF"/>
          <w:lang w:val="es-ES_tradnl"/>
        </w:rPr>
        <w:t>QUINTO</w:t>
      </w:r>
      <w:r w:rsidRPr="00300A2C">
        <w:rPr>
          <w:rFonts w:ascii="Palatino Linotype" w:eastAsiaTheme="minorEastAsia" w:hAnsi="Palatino Linotype" w:cs="Arial"/>
          <w:b/>
          <w:bCs/>
          <w:color w:val="222222"/>
          <w:lang w:val="es-ES_tradnl" w:eastAsia="es-MX"/>
        </w:rPr>
        <w:t xml:space="preserve">. </w:t>
      </w:r>
      <w:bookmarkStart w:id="4" w:name="_Hlk57757546"/>
      <w:r w:rsidRPr="00300A2C">
        <w:rPr>
          <w:rFonts w:ascii="Palatino Linotype" w:eastAsiaTheme="minorEastAsia" w:hAnsi="Palatino Linotype" w:cstheme="minorBidi"/>
          <w:b/>
          <w:color w:val="222222"/>
          <w:lang w:val="es-ES_tradnl" w:eastAsia="es-ES_tradnl"/>
        </w:rPr>
        <w:t>Notifíquese</w:t>
      </w:r>
      <w:r w:rsidRPr="00300A2C">
        <w:rPr>
          <w:rFonts w:ascii="Palatino Linotype" w:eastAsiaTheme="minorEastAsia" w:hAnsi="Palatino Linotype" w:cstheme="minorBidi"/>
          <w:color w:val="222222"/>
          <w:lang w:val="es-ES_tradnl" w:eastAsia="es-ES_tradnl"/>
        </w:rPr>
        <w:t xml:space="preserve"> al </w:t>
      </w:r>
      <w:r w:rsidRPr="00300A2C">
        <w:rPr>
          <w:rFonts w:ascii="Palatino Linotype" w:eastAsiaTheme="minorEastAsia" w:hAnsi="Palatino Linotype" w:cstheme="minorBidi"/>
          <w:b/>
          <w:color w:val="222222"/>
          <w:lang w:val="es-ES_tradnl" w:eastAsia="es-ES_tradnl"/>
        </w:rPr>
        <w:t>RECURRENTE</w:t>
      </w:r>
      <w:r w:rsidRPr="00300A2C">
        <w:rPr>
          <w:rFonts w:ascii="Palatino Linotype" w:eastAsiaTheme="minorEastAsia" w:hAnsi="Palatino Linotype" w:cstheme="minorBidi"/>
          <w:color w:val="222222"/>
          <w:lang w:val="es-ES_tradnl" w:eastAsia="es-ES_tradnl"/>
        </w:rPr>
        <w:t xml:space="preserve"> la </w:t>
      </w:r>
      <w:r w:rsidRPr="00300A2C">
        <w:rPr>
          <w:rFonts w:ascii="Palatino Linotype" w:eastAsiaTheme="minorEastAsia" w:hAnsi="Palatino Linotype" w:cs="Arial"/>
          <w:lang w:val="es-ES_tradnl"/>
        </w:rPr>
        <w:t>presente</w:t>
      </w:r>
      <w:r w:rsidRPr="00300A2C">
        <w:rPr>
          <w:rFonts w:ascii="Palatino Linotype" w:eastAsiaTheme="minorEastAsia" w:hAnsi="Palatino Linotype" w:cstheme="minorBidi"/>
          <w:color w:val="222222"/>
          <w:lang w:val="es-ES_tradnl" w:eastAsia="es-ES_tradnl"/>
        </w:rPr>
        <w:t xml:space="preserve"> resolución</w:t>
      </w:r>
      <w:r w:rsidR="006E5E78" w:rsidRPr="00300A2C">
        <w:rPr>
          <w:rFonts w:ascii="Palatino Linotype" w:eastAsiaTheme="minorEastAsia" w:hAnsi="Palatino Linotype" w:cstheme="minorBidi"/>
          <w:color w:val="222222"/>
          <w:lang w:val="es-ES_tradnl" w:eastAsia="es-ES_tradnl"/>
        </w:rPr>
        <w:t>.</w:t>
      </w:r>
    </w:p>
    <w:bookmarkEnd w:id="4"/>
    <w:p w14:paraId="514F3045" w14:textId="77777777" w:rsidR="00770063" w:rsidRPr="00300A2C" w:rsidRDefault="00770063" w:rsidP="00770063">
      <w:pPr>
        <w:spacing w:line="360" w:lineRule="auto"/>
        <w:ind w:right="49"/>
        <w:jc w:val="both"/>
        <w:rPr>
          <w:rFonts w:ascii="Palatino Linotype" w:eastAsiaTheme="minorEastAsia" w:hAnsi="Palatino Linotype" w:cs="Arial"/>
          <w:b/>
          <w:bCs/>
          <w:color w:val="222222"/>
          <w:szCs w:val="20"/>
          <w:lang w:val="es-ES_tradnl" w:eastAsia="es-MX"/>
        </w:rPr>
      </w:pPr>
    </w:p>
    <w:p w14:paraId="65FBA600" w14:textId="77777777" w:rsidR="00770063" w:rsidRPr="00300A2C" w:rsidRDefault="00770063" w:rsidP="00770063">
      <w:pPr>
        <w:spacing w:line="360" w:lineRule="auto"/>
        <w:jc w:val="both"/>
        <w:rPr>
          <w:rFonts w:ascii="Palatino Linotype" w:eastAsiaTheme="minorEastAsia" w:hAnsi="Palatino Linotype" w:cstheme="minorBidi"/>
          <w:color w:val="222222"/>
          <w:lang w:val="es-ES_tradnl" w:eastAsia="es-ES_tradnl"/>
        </w:rPr>
      </w:pPr>
      <w:r w:rsidRPr="00300A2C">
        <w:rPr>
          <w:rFonts w:ascii="Palatino Linotype" w:eastAsiaTheme="minorEastAsia" w:hAnsi="Palatino Linotype" w:cstheme="minorBidi"/>
          <w:b/>
          <w:color w:val="222222"/>
          <w:sz w:val="28"/>
          <w:shd w:val="clear" w:color="auto" w:fill="FFFFFF"/>
          <w:lang w:val="es-ES_tradnl"/>
        </w:rPr>
        <w:t>SEXTO</w:t>
      </w:r>
      <w:r w:rsidRPr="00300A2C">
        <w:rPr>
          <w:rFonts w:ascii="Palatino Linotype" w:eastAsiaTheme="minorEastAsia" w:hAnsi="Palatino Linotype" w:cs="Arial"/>
          <w:b/>
          <w:bCs/>
          <w:color w:val="222222"/>
          <w:sz w:val="28"/>
          <w:szCs w:val="20"/>
          <w:lang w:val="es-ES_tradnl" w:eastAsia="es-MX"/>
        </w:rPr>
        <w:t>.</w:t>
      </w:r>
      <w:r w:rsidRPr="00300A2C">
        <w:rPr>
          <w:rFonts w:ascii="Palatino Linotype" w:eastAsiaTheme="minorEastAsia" w:hAnsi="Palatino Linotype" w:cstheme="minorBidi"/>
          <w:color w:val="222222"/>
          <w:sz w:val="20"/>
          <w:szCs w:val="17"/>
          <w:lang w:val="es-ES_tradnl" w:eastAsia="es-ES_tradnl"/>
        </w:rPr>
        <w:t xml:space="preserve"> </w:t>
      </w:r>
      <w:r w:rsidRPr="00300A2C">
        <w:rPr>
          <w:rFonts w:ascii="Palatino Linotype" w:eastAsiaTheme="minorEastAsia" w:hAnsi="Palatino Linotype" w:cstheme="minorBidi"/>
          <w:b/>
          <w:color w:val="222222"/>
          <w:lang w:val="es-ES_tradnl" w:eastAsia="es-ES_tradnl"/>
        </w:rPr>
        <w:t>Hágase del conocimiento</w:t>
      </w:r>
      <w:r w:rsidRPr="00300A2C">
        <w:rPr>
          <w:rFonts w:ascii="Palatino Linotype" w:eastAsiaTheme="minorEastAsia" w:hAnsi="Palatino Linotype" w:cstheme="minorBidi"/>
          <w:color w:val="222222"/>
          <w:lang w:val="es-ES_tradnl" w:eastAsia="es-ES_tradnl"/>
        </w:rPr>
        <w:t xml:space="preserve"> al </w:t>
      </w:r>
      <w:r w:rsidRPr="00300A2C">
        <w:rPr>
          <w:rFonts w:ascii="Palatino Linotype" w:eastAsiaTheme="minorEastAsia" w:hAnsi="Palatino Linotype" w:cstheme="minorBidi"/>
          <w:b/>
          <w:color w:val="222222"/>
          <w:lang w:val="es-ES_tradnl" w:eastAsia="es-ES_tradnl"/>
        </w:rPr>
        <w:t>RECURRENTE</w:t>
      </w:r>
      <w:r w:rsidRPr="00300A2C">
        <w:rPr>
          <w:rFonts w:ascii="Palatino Linotype" w:eastAsiaTheme="minorEastAsia" w:hAnsi="Palatino Linotype" w:cstheme="minorBidi"/>
          <w:color w:val="222222"/>
          <w:lang w:val="es-ES_tradnl" w:eastAsia="es-ES_tradnl"/>
        </w:rPr>
        <w:t xml:space="preserve"> que de conformidad con lo establecido en el </w:t>
      </w:r>
      <w:r w:rsidRPr="00300A2C">
        <w:rPr>
          <w:rFonts w:ascii="Palatino Linotype" w:eastAsiaTheme="minorEastAsia" w:hAnsi="Palatino Linotype" w:cs="Arial"/>
          <w:lang w:val="es-ES_tradnl"/>
        </w:rPr>
        <w:t>artículo</w:t>
      </w:r>
      <w:r w:rsidRPr="00300A2C">
        <w:rPr>
          <w:rFonts w:ascii="Palatino Linotype" w:eastAsiaTheme="minorEastAsia" w:hAnsi="Palatino Linotype" w:cstheme="minorBidi"/>
          <w:color w:val="222222"/>
          <w:lang w:val="es-ES_tradnl" w:eastAsia="es-ES_tradnl"/>
        </w:rPr>
        <w:t xml:space="preserve"> 196 de la </w:t>
      </w:r>
      <w:r w:rsidRPr="00300A2C">
        <w:rPr>
          <w:rFonts w:ascii="Palatino Linotype" w:eastAsiaTheme="minorEastAsia" w:hAnsi="Palatino Linotype" w:cs="Arial"/>
          <w:lang w:val="es-ES_tradnl"/>
        </w:rPr>
        <w:t>Ley</w:t>
      </w:r>
      <w:r w:rsidRPr="00300A2C">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14:paraId="7C5AB3A4" w14:textId="3AE96271" w:rsidR="004A3137" w:rsidRPr="00300A2C" w:rsidRDefault="004A3137" w:rsidP="004A3137">
      <w:pPr>
        <w:autoSpaceDE w:val="0"/>
        <w:autoSpaceDN w:val="0"/>
        <w:adjustRightInd w:val="0"/>
        <w:spacing w:line="360" w:lineRule="auto"/>
        <w:ind w:right="49"/>
        <w:jc w:val="both"/>
      </w:pPr>
    </w:p>
    <w:p w14:paraId="323EAC96" w14:textId="7F2EB73C" w:rsidR="00933E9B" w:rsidRPr="00300A2C" w:rsidRDefault="00737A2C" w:rsidP="00933E9B">
      <w:pPr>
        <w:spacing w:line="360" w:lineRule="auto"/>
        <w:jc w:val="both"/>
        <w:rPr>
          <w:rFonts w:ascii="Palatino Linotype" w:eastAsiaTheme="minorEastAsia" w:hAnsi="Palatino Linotype" w:cstheme="minorBidi"/>
          <w:color w:val="222222"/>
          <w:lang w:val="es-ES_tradnl" w:eastAsia="es-ES_tradnl"/>
        </w:rPr>
      </w:pPr>
      <w:r w:rsidRPr="00300A2C">
        <w:rPr>
          <w:rFonts w:ascii="Palatino Linotype" w:eastAsiaTheme="minorEastAsia" w:hAnsi="Palatino Linotype" w:cstheme="minorBidi"/>
          <w:b/>
          <w:bCs/>
          <w:color w:val="222222"/>
          <w:sz w:val="28"/>
          <w:szCs w:val="28"/>
          <w:lang w:val="es-ES_tradnl" w:eastAsia="es-ES_tradnl"/>
        </w:rPr>
        <w:t>SÉPTIMO</w:t>
      </w:r>
      <w:r w:rsidR="00933E9B" w:rsidRPr="00300A2C">
        <w:rPr>
          <w:rFonts w:ascii="Palatino Linotype" w:eastAsiaTheme="minorEastAsia" w:hAnsi="Palatino Linotype" w:cstheme="minorBidi"/>
          <w:b/>
          <w:bCs/>
          <w:color w:val="222222"/>
          <w:sz w:val="28"/>
          <w:szCs w:val="28"/>
          <w:lang w:val="es-ES_tradnl" w:eastAsia="es-ES_tradnl"/>
        </w:rPr>
        <w:t xml:space="preserve">. </w:t>
      </w:r>
      <w:r w:rsidR="00933E9B" w:rsidRPr="00300A2C">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00933E9B" w:rsidRPr="00300A2C">
        <w:rPr>
          <w:rFonts w:ascii="Palatino Linotype" w:eastAsiaTheme="minorEastAsia" w:hAnsi="Palatino Linotype" w:cstheme="minorBidi"/>
          <w:b/>
          <w:bCs/>
          <w:color w:val="222222"/>
          <w:lang w:val="es-ES_tradnl" w:eastAsia="es-ES_tradnl"/>
        </w:rPr>
        <w:t>EL SUJETO OBLIGADO</w:t>
      </w:r>
      <w:r w:rsidR="00933E9B" w:rsidRPr="00300A2C">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0618BB36" w14:textId="17E2C29C" w:rsidR="0000081B" w:rsidRPr="00300A2C" w:rsidRDefault="00705ABB" w:rsidP="0000081B">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b/>
          <w:color w:val="222222"/>
          <w:lang w:eastAsia="es-ES_tradnl"/>
        </w:rPr>
      </w:pPr>
      <w:r w:rsidRPr="00300A2C">
        <w:rPr>
          <w:rFonts w:ascii="Palatino Linotype" w:hAnsi="Palatino Linotype"/>
          <w:b/>
          <w:color w:val="222222"/>
          <w:sz w:val="28"/>
          <w:szCs w:val="28"/>
          <w:lang w:eastAsia="es-ES_tradnl"/>
        </w:rPr>
        <w:t>OCTAVO</w:t>
      </w:r>
      <w:r w:rsidR="0000081B" w:rsidRPr="00300A2C">
        <w:rPr>
          <w:rFonts w:ascii="Palatino Linotype" w:hAnsi="Palatino Linotype"/>
          <w:b/>
          <w:color w:val="222222"/>
          <w:sz w:val="28"/>
          <w:szCs w:val="28"/>
          <w:lang w:eastAsia="es-ES_tradnl"/>
        </w:rPr>
        <w:t>.</w:t>
      </w:r>
      <w:r w:rsidR="0000081B" w:rsidRPr="00300A2C">
        <w:rPr>
          <w:rFonts w:ascii="Palatino Linotype" w:hAnsi="Palatino Linotype"/>
          <w:b/>
          <w:color w:val="222222"/>
          <w:lang w:eastAsia="es-ES_tradnl"/>
        </w:rPr>
        <w:t xml:space="preserve">  </w:t>
      </w:r>
      <w:r w:rsidR="0000081B" w:rsidRPr="00300A2C">
        <w:rPr>
          <w:rFonts w:ascii="Palatino Linotype" w:eastAsiaTheme="minorEastAsia" w:hAnsi="Palatino Linotype" w:cstheme="minorBidi"/>
          <w:b/>
          <w:bCs/>
          <w:color w:val="222222"/>
          <w:lang w:val="es-ES_tradnl" w:eastAsia="es-ES_tradnl"/>
        </w:rPr>
        <w:t xml:space="preserve">Gírese oficio </w:t>
      </w:r>
      <w:r w:rsidR="0000081B" w:rsidRPr="00300A2C">
        <w:rPr>
          <w:rFonts w:ascii="Palatino Linotype" w:eastAsiaTheme="minorEastAsia" w:hAnsi="Palatino Linotype" w:cstheme="minorBidi"/>
          <w:color w:val="222222"/>
          <w:lang w:val="es-ES_tradnl" w:eastAsia="es-ES_tradnl"/>
        </w:rPr>
        <w:t xml:space="preserve">al Titular de la Dirección General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w:t>
      </w:r>
      <w:r w:rsidR="0000081B" w:rsidRPr="00300A2C">
        <w:rPr>
          <w:rFonts w:ascii="Palatino Linotype" w:eastAsiaTheme="minorEastAsia" w:hAnsi="Palatino Linotype" w:cstheme="minorBidi"/>
          <w:b/>
          <w:bCs/>
          <w:color w:val="222222"/>
          <w:lang w:val="es-ES_tradnl" w:eastAsia="es-ES_tradnl"/>
        </w:rPr>
        <w:t>QUINTO</w:t>
      </w:r>
      <w:r w:rsidR="0000081B" w:rsidRPr="00300A2C">
        <w:rPr>
          <w:rFonts w:ascii="Palatino Linotype" w:eastAsiaTheme="minorEastAsia" w:hAnsi="Palatino Linotype" w:cstheme="minorBidi"/>
          <w:color w:val="222222"/>
          <w:lang w:val="es-ES_tradnl" w:eastAsia="es-ES_tradnl"/>
        </w:rPr>
        <w:t xml:space="preserve"> de la presente resolución.</w:t>
      </w:r>
    </w:p>
    <w:p w14:paraId="5BD491E1" w14:textId="1063122F" w:rsidR="00C06C10" w:rsidRPr="00300A2C" w:rsidRDefault="00200BFC" w:rsidP="00200BFC">
      <w:pPr>
        <w:spacing w:line="360" w:lineRule="auto"/>
        <w:jc w:val="both"/>
        <w:rPr>
          <w:rFonts w:ascii="Palatino Linotype" w:hAnsi="Palatino Linotype" w:cs="Arial"/>
        </w:rPr>
      </w:pPr>
      <w:r w:rsidRPr="00300A2C">
        <w:rPr>
          <w:rFonts w:ascii="Palatino Linotype" w:hAnsi="Palatino Linotype" w:cs="Arial"/>
        </w:rPr>
        <w:t xml:space="preserve">ASÍ LO RESUELVE, POR </w:t>
      </w:r>
      <w:r w:rsidR="00300A2C" w:rsidRPr="00300A2C">
        <w:rPr>
          <w:rFonts w:ascii="Palatino Linotype" w:hAnsi="Palatino Linotype" w:cs="Arial"/>
        </w:rPr>
        <w:t xml:space="preserve">UNANIMIDAD </w:t>
      </w:r>
      <w:r w:rsidRPr="00300A2C">
        <w:rPr>
          <w:rFonts w:ascii="Palatino Linotype" w:hAnsi="Palatino Linotype" w:cs="Arial"/>
        </w:rPr>
        <w:t>DE VOTOS EL PLENO DEL</w:t>
      </w:r>
      <w:r w:rsidRPr="00300A2C">
        <w:rPr>
          <w:rFonts w:ascii="Palatino Linotype" w:eastAsia="Arial Unicode MS" w:hAnsi="Palatino Linotype" w:cs="Arial"/>
        </w:rPr>
        <w:t xml:space="preserve"> INSTITUTO DE </w:t>
      </w:r>
      <w:r w:rsidRPr="00300A2C">
        <w:rPr>
          <w:rFonts w:ascii="Palatino Linotype" w:hAnsi="Palatino Linotype"/>
          <w:lang w:eastAsia="en-US"/>
        </w:rPr>
        <w:t>TRANSPARENCIA</w:t>
      </w:r>
      <w:r w:rsidRPr="00300A2C">
        <w:rPr>
          <w:rFonts w:ascii="Palatino Linotype" w:eastAsia="Arial Unicode MS" w:hAnsi="Palatino Linotype" w:cs="Arial"/>
        </w:rPr>
        <w:t>, ACCESO A LA INFORMACIÓN PÚBLICA Y PROTECCIÓN DE DATOS PERSONALES DEL ESTADO DE MÉXICO Y MUNICIPIOS</w:t>
      </w:r>
      <w:r w:rsidRPr="00300A2C">
        <w:rPr>
          <w:rFonts w:ascii="Palatino Linotype" w:hAnsi="Palatino Linotype" w:cs="Arial"/>
        </w:rPr>
        <w:t>, CONFORMADO POR LOS COMISIONADOS ZULEMA MARTÍNEZ SÁNCHEZ; EVA ABAID YAPUR; JOSÉ GUADALUPE LUNA HERNÁNDEZ, JAVIER MARTÍNEZ CRUZ</w:t>
      </w:r>
      <w:r w:rsidR="00DC4519">
        <w:rPr>
          <w:rFonts w:ascii="Palatino Linotype" w:hAnsi="Palatino Linotype" w:cs="Arial"/>
        </w:rPr>
        <w:t xml:space="preserve"> EMITIENDO VOTO PARTICULAR CONCURRENTE</w:t>
      </w:r>
      <w:r w:rsidRPr="00300A2C">
        <w:rPr>
          <w:rFonts w:ascii="Palatino Linotype" w:hAnsi="Palatino Linotype" w:cs="Arial"/>
        </w:rPr>
        <w:t xml:space="preserve"> Y LUIS GUSTAVO PARRA NORIEGA</w:t>
      </w:r>
      <w:r w:rsidR="00DC4519">
        <w:rPr>
          <w:rFonts w:ascii="Palatino Linotype" w:hAnsi="Palatino Linotype" w:cs="Arial"/>
        </w:rPr>
        <w:t xml:space="preserve"> EMITIENDO VOTO PARTICULAR CONCURRENTE</w:t>
      </w:r>
      <w:r w:rsidRPr="00300A2C">
        <w:rPr>
          <w:rFonts w:ascii="Palatino Linotype" w:hAnsi="Palatino Linotype" w:cs="Arial"/>
        </w:rPr>
        <w:t xml:space="preserve">; </w:t>
      </w:r>
      <w:r w:rsidRPr="00300A2C">
        <w:rPr>
          <w:rFonts w:ascii="Palatino Linotype" w:hAnsi="Palatino Linotype" w:cs="Arial"/>
          <w:shd w:val="clear" w:color="auto" w:fill="FFFFFF" w:themeFill="background1"/>
        </w:rPr>
        <w:t xml:space="preserve">EN </w:t>
      </w:r>
      <w:r w:rsidR="005C25EA" w:rsidRPr="00300A2C">
        <w:rPr>
          <w:rFonts w:ascii="Palatino Linotype" w:hAnsi="Palatino Linotype" w:cs="Arial"/>
          <w:shd w:val="clear" w:color="auto" w:fill="FFFFFF" w:themeFill="background1"/>
        </w:rPr>
        <w:t xml:space="preserve">LA </w:t>
      </w:r>
      <w:r w:rsidR="004609F2" w:rsidRPr="00300A2C">
        <w:rPr>
          <w:rFonts w:ascii="Palatino Linotype" w:hAnsi="Palatino Linotype" w:cs="Arial"/>
        </w:rPr>
        <w:t xml:space="preserve">DÉCIMA </w:t>
      </w:r>
      <w:r w:rsidR="00300A2C" w:rsidRPr="00300A2C">
        <w:rPr>
          <w:rFonts w:ascii="Palatino Linotype" w:hAnsi="Palatino Linotype" w:cs="Arial"/>
        </w:rPr>
        <w:t>OCTAVA</w:t>
      </w:r>
      <w:r w:rsidR="008B488D" w:rsidRPr="00300A2C">
        <w:rPr>
          <w:rFonts w:ascii="Palatino Linotype" w:hAnsi="Palatino Linotype" w:cs="Arial"/>
        </w:rPr>
        <w:t xml:space="preserve"> </w:t>
      </w:r>
      <w:r w:rsidR="00AC0FFB" w:rsidRPr="00300A2C">
        <w:rPr>
          <w:rFonts w:ascii="Palatino Linotype" w:hAnsi="Palatino Linotype" w:cs="Arial"/>
        </w:rPr>
        <w:t xml:space="preserve">SESIÓN </w:t>
      </w:r>
      <w:r w:rsidRPr="00300A2C">
        <w:rPr>
          <w:rFonts w:ascii="Palatino Linotype" w:hAnsi="Palatino Linotype" w:cs="Arial"/>
        </w:rPr>
        <w:t>ORDINARIA CELEBRADA EL</w:t>
      </w:r>
      <w:r w:rsidR="00300A2C" w:rsidRPr="00300A2C">
        <w:rPr>
          <w:rFonts w:ascii="Palatino Linotype" w:hAnsi="Palatino Linotype" w:cs="Arial"/>
        </w:rPr>
        <w:t>VEINTISÉIS</w:t>
      </w:r>
      <w:r w:rsidR="008B488D" w:rsidRPr="00300A2C">
        <w:rPr>
          <w:rFonts w:ascii="Palatino Linotype" w:hAnsi="Palatino Linotype" w:cs="Arial"/>
        </w:rPr>
        <w:t xml:space="preserve"> </w:t>
      </w:r>
      <w:r w:rsidR="005C25EA" w:rsidRPr="00300A2C">
        <w:rPr>
          <w:rFonts w:ascii="Palatino Linotype" w:hAnsi="Palatino Linotype" w:cs="Arial"/>
        </w:rPr>
        <w:t xml:space="preserve">DE </w:t>
      </w:r>
      <w:r w:rsidR="00A4245C" w:rsidRPr="00300A2C">
        <w:rPr>
          <w:rFonts w:ascii="Palatino Linotype" w:hAnsi="Palatino Linotype" w:cs="Arial"/>
        </w:rPr>
        <w:t>MAYO</w:t>
      </w:r>
      <w:r w:rsidR="008B488D" w:rsidRPr="00300A2C">
        <w:rPr>
          <w:rFonts w:ascii="Palatino Linotype" w:hAnsi="Palatino Linotype" w:cs="Arial"/>
        </w:rPr>
        <w:t xml:space="preserve"> </w:t>
      </w:r>
      <w:r w:rsidRPr="00300A2C">
        <w:rPr>
          <w:rFonts w:ascii="Palatino Linotype" w:hAnsi="Palatino Linotype" w:cs="Arial"/>
        </w:rPr>
        <w:t>DE DOS MIL VEINT</w:t>
      </w:r>
      <w:r w:rsidR="00022C74" w:rsidRPr="00300A2C">
        <w:rPr>
          <w:rFonts w:ascii="Palatino Linotype" w:hAnsi="Palatino Linotype" w:cs="Arial"/>
        </w:rPr>
        <w:t>IUNO</w:t>
      </w:r>
      <w:r w:rsidRPr="00300A2C">
        <w:rPr>
          <w:rFonts w:ascii="Palatino Linotype" w:hAnsi="Palatino Linotype" w:cs="Arial"/>
        </w:rPr>
        <w:t xml:space="preserve">, ANTE EL SECRETARIO TÉCNICO DEL PLENO, </w:t>
      </w:r>
      <w:r w:rsidRPr="00300A2C">
        <w:rPr>
          <w:rFonts w:ascii="Palatino Linotype" w:eastAsia="Arial Unicode MS" w:hAnsi="Palatino Linotype" w:cs="Arial"/>
        </w:rPr>
        <w:t>ALEXIS</w:t>
      </w:r>
      <w:r w:rsidRPr="00300A2C">
        <w:rPr>
          <w:rFonts w:ascii="Palatino Linotype" w:hAnsi="Palatino Linotype" w:cs="Arial"/>
        </w:rPr>
        <w:t xml:space="preserve"> TAPIA RAMÍREZ.</w:t>
      </w:r>
    </w:p>
    <w:p w14:paraId="568434C7" w14:textId="13EA78E3" w:rsidR="00C34EFF" w:rsidRDefault="00200BFC" w:rsidP="00BB17AB">
      <w:pPr>
        <w:jc w:val="both"/>
        <w:rPr>
          <w:rFonts w:ascii="Palatino Linotype" w:hAnsi="Palatino Linotype" w:cs="Arial"/>
          <w:sz w:val="22"/>
          <w:szCs w:val="22"/>
        </w:rPr>
      </w:pPr>
      <w:r w:rsidRPr="00300A2C">
        <w:rPr>
          <w:rFonts w:ascii="Palatino Linotype" w:hAnsi="Palatino Linotype" w:cs="Arial"/>
          <w:sz w:val="22"/>
          <w:szCs w:val="22"/>
        </w:rPr>
        <w:t>YSM/</w:t>
      </w:r>
      <w:r w:rsidR="00022C74" w:rsidRPr="00300A2C">
        <w:rPr>
          <w:rFonts w:ascii="Palatino Linotype" w:hAnsi="Palatino Linotype" w:cs="Arial"/>
          <w:sz w:val="22"/>
          <w:szCs w:val="22"/>
        </w:rPr>
        <w:t>LAGO</w:t>
      </w:r>
    </w:p>
    <w:p w14:paraId="0B8DE292" w14:textId="77777777" w:rsidR="004609F2" w:rsidRDefault="004609F2" w:rsidP="00BB17AB">
      <w:pPr>
        <w:jc w:val="both"/>
        <w:rPr>
          <w:rFonts w:ascii="Palatino Linotype" w:hAnsi="Palatino Linotype" w:cs="Arial"/>
          <w:sz w:val="22"/>
          <w:szCs w:val="22"/>
        </w:rPr>
      </w:pPr>
    </w:p>
    <w:p w14:paraId="5D39BE19" w14:textId="77777777" w:rsidR="004609F2" w:rsidRDefault="004609F2" w:rsidP="00BB17AB">
      <w:pPr>
        <w:jc w:val="both"/>
        <w:rPr>
          <w:rFonts w:ascii="Palatino Linotype" w:hAnsi="Palatino Linotype" w:cs="Arial"/>
          <w:sz w:val="22"/>
          <w:szCs w:val="22"/>
        </w:rPr>
      </w:pPr>
    </w:p>
    <w:p w14:paraId="0B3EB4BB" w14:textId="77777777" w:rsidR="004609F2" w:rsidRDefault="004609F2" w:rsidP="00BB17AB">
      <w:pPr>
        <w:jc w:val="both"/>
        <w:rPr>
          <w:rFonts w:ascii="Palatino Linotype" w:hAnsi="Palatino Linotype" w:cs="Arial"/>
          <w:sz w:val="22"/>
          <w:szCs w:val="22"/>
        </w:rPr>
      </w:pPr>
    </w:p>
    <w:p w14:paraId="7FA80FC5" w14:textId="77777777" w:rsidR="004609F2" w:rsidRDefault="004609F2" w:rsidP="00BB17AB">
      <w:pPr>
        <w:jc w:val="both"/>
        <w:rPr>
          <w:rFonts w:ascii="Palatino Linotype" w:hAnsi="Palatino Linotype" w:cs="Arial"/>
          <w:sz w:val="22"/>
          <w:szCs w:val="22"/>
        </w:rPr>
      </w:pPr>
    </w:p>
    <w:p w14:paraId="6D71EE5A" w14:textId="77777777" w:rsidR="004609F2" w:rsidRDefault="004609F2" w:rsidP="00BB17AB">
      <w:pPr>
        <w:jc w:val="both"/>
        <w:rPr>
          <w:rFonts w:ascii="Palatino Linotype" w:hAnsi="Palatino Linotype" w:cs="Arial"/>
          <w:sz w:val="22"/>
          <w:szCs w:val="22"/>
        </w:rPr>
      </w:pPr>
    </w:p>
    <w:p w14:paraId="46D1E137" w14:textId="77777777" w:rsidR="004609F2" w:rsidRDefault="004609F2" w:rsidP="00BB17AB">
      <w:pPr>
        <w:jc w:val="both"/>
        <w:rPr>
          <w:rFonts w:ascii="Palatino Linotype" w:hAnsi="Palatino Linotype" w:cs="Arial"/>
          <w:sz w:val="22"/>
          <w:szCs w:val="22"/>
        </w:rPr>
      </w:pPr>
    </w:p>
    <w:p w14:paraId="7CB9D1D2" w14:textId="77777777" w:rsidR="004609F2" w:rsidRDefault="004609F2" w:rsidP="00BB17AB">
      <w:pPr>
        <w:jc w:val="both"/>
        <w:rPr>
          <w:rFonts w:ascii="Palatino Linotype" w:hAnsi="Palatino Linotype" w:cs="Arial"/>
          <w:sz w:val="22"/>
          <w:szCs w:val="22"/>
        </w:rPr>
      </w:pPr>
    </w:p>
    <w:p w14:paraId="7FB35321" w14:textId="77777777" w:rsidR="004609F2" w:rsidRDefault="004609F2" w:rsidP="00BB17AB">
      <w:pPr>
        <w:jc w:val="both"/>
        <w:rPr>
          <w:rFonts w:ascii="Palatino Linotype" w:hAnsi="Palatino Linotype" w:cs="Arial"/>
          <w:sz w:val="22"/>
          <w:szCs w:val="22"/>
        </w:rPr>
      </w:pPr>
    </w:p>
    <w:p w14:paraId="1D892448" w14:textId="77777777" w:rsidR="004609F2" w:rsidRDefault="004609F2" w:rsidP="00BB17AB">
      <w:pPr>
        <w:jc w:val="both"/>
        <w:rPr>
          <w:rFonts w:ascii="Palatino Linotype" w:hAnsi="Palatino Linotype" w:cs="Arial"/>
          <w:sz w:val="22"/>
          <w:szCs w:val="22"/>
        </w:rPr>
      </w:pPr>
    </w:p>
    <w:p w14:paraId="3141AB69" w14:textId="77777777" w:rsidR="004609F2" w:rsidRDefault="004609F2" w:rsidP="00BB17AB">
      <w:pPr>
        <w:jc w:val="both"/>
        <w:rPr>
          <w:rFonts w:ascii="Palatino Linotype" w:hAnsi="Palatino Linotype" w:cs="Arial"/>
          <w:sz w:val="22"/>
          <w:szCs w:val="22"/>
        </w:rPr>
      </w:pPr>
    </w:p>
    <w:p w14:paraId="3F599909" w14:textId="77777777" w:rsidR="004609F2" w:rsidRDefault="004609F2" w:rsidP="00BB17AB">
      <w:pPr>
        <w:jc w:val="both"/>
        <w:rPr>
          <w:rFonts w:ascii="Palatino Linotype" w:hAnsi="Palatino Linotype" w:cs="Arial"/>
          <w:sz w:val="22"/>
          <w:szCs w:val="22"/>
        </w:rPr>
      </w:pPr>
    </w:p>
    <w:p w14:paraId="6B50C974" w14:textId="77777777" w:rsidR="004609F2" w:rsidRDefault="004609F2" w:rsidP="00BB17AB">
      <w:pPr>
        <w:jc w:val="both"/>
        <w:rPr>
          <w:rFonts w:ascii="Palatino Linotype" w:hAnsi="Palatino Linotype" w:cs="Arial"/>
          <w:sz w:val="22"/>
          <w:szCs w:val="22"/>
        </w:rPr>
      </w:pPr>
    </w:p>
    <w:p w14:paraId="154D6985" w14:textId="77777777" w:rsidR="004609F2" w:rsidRDefault="004609F2" w:rsidP="00BB17AB">
      <w:pPr>
        <w:jc w:val="both"/>
        <w:rPr>
          <w:rFonts w:ascii="Palatino Linotype" w:hAnsi="Palatino Linotype" w:cs="Arial"/>
          <w:sz w:val="22"/>
          <w:szCs w:val="22"/>
        </w:rPr>
      </w:pPr>
    </w:p>
    <w:p w14:paraId="55D5C8E4" w14:textId="77777777" w:rsidR="004609F2" w:rsidRDefault="004609F2" w:rsidP="00BB17AB">
      <w:pPr>
        <w:jc w:val="both"/>
        <w:rPr>
          <w:rFonts w:ascii="Palatino Linotype" w:hAnsi="Palatino Linotype" w:cs="Arial"/>
          <w:sz w:val="22"/>
          <w:szCs w:val="22"/>
        </w:rPr>
      </w:pPr>
    </w:p>
    <w:p w14:paraId="0588A7CD" w14:textId="77777777" w:rsidR="004609F2" w:rsidRDefault="004609F2" w:rsidP="00BB17AB">
      <w:pPr>
        <w:jc w:val="both"/>
        <w:rPr>
          <w:rFonts w:ascii="Palatino Linotype" w:hAnsi="Palatino Linotype" w:cs="Arial"/>
          <w:sz w:val="22"/>
          <w:szCs w:val="22"/>
        </w:rPr>
      </w:pPr>
    </w:p>
    <w:p w14:paraId="669A1632" w14:textId="77777777" w:rsidR="004609F2" w:rsidRDefault="004609F2" w:rsidP="00BB17AB">
      <w:pPr>
        <w:jc w:val="both"/>
        <w:rPr>
          <w:rFonts w:ascii="Palatino Linotype" w:hAnsi="Palatino Linotype" w:cs="Arial"/>
          <w:sz w:val="22"/>
          <w:szCs w:val="22"/>
        </w:rPr>
      </w:pPr>
    </w:p>
    <w:p w14:paraId="40527B3E" w14:textId="77777777" w:rsidR="004609F2" w:rsidRDefault="004609F2" w:rsidP="00BB17AB">
      <w:pPr>
        <w:jc w:val="both"/>
        <w:rPr>
          <w:rFonts w:ascii="Palatino Linotype" w:hAnsi="Palatino Linotype" w:cs="Arial"/>
          <w:sz w:val="22"/>
          <w:szCs w:val="22"/>
        </w:rPr>
      </w:pPr>
    </w:p>
    <w:p w14:paraId="374ED5C3" w14:textId="77777777" w:rsidR="004609F2" w:rsidRDefault="004609F2" w:rsidP="00BB17AB">
      <w:pPr>
        <w:jc w:val="both"/>
        <w:rPr>
          <w:rFonts w:ascii="Palatino Linotype" w:hAnsi="Palatino Linotype" w:cs="Arial"/>
          <w:sz w:val="22"/>
          <w:szCs w:val="22"/>
        </w:rPr>
      </w:pPr>
    </w:p>
    <w:p w14:paraId="666B6451" w14:textId="77777777" w:rsidR="004609F2" w:rsidRDefault="004609F2" w:rsidP="00BB17AB">
      <w:pPr>
        <w:jc w:val="both"/>
        <w:rPr>
          <w:rFonts w:ascii="Palatino Linotype" w:hAnsi="Palatino Linotype" w:cs="Arial"/>
          <w:sz w:val="22"/>
          <w:szCs w:val="22"/>
        </w:rPr>
      </w:pPr>
    </w:p>
    <w:p w14:paraId="40F46665" w14:textId="77777777" w:rsidR="004609F2" w:rsidRDefault="004609F2" w:rsidP="00BB17AB">
      <w:pPr>
        <w:jc w:val="both"/>
        <w:rPr>
          <w:rFonts w:ascii="Palatino Linotype" w:hAnsi="Palatino Linotype" w:cs="Arial"/>
          <w:sz w:val="22"/>
          <w:szCs w:val="22"/>
        </w:rPr>
      </w:pPr>
    </w:p>
    <w:p w14:paraId="35E518E4" w14:textId="77777777" w:rsidR="0000081B" w:rsidRDefault="0000081B" w:rsidP="00BB17AB">
      <w:pPr>
        <w:jc w:val="both"/>
        <w:rPr>
          <w:rFonts w:ascii="Palatino Linotype" w:hAnsi="Palatino Linotype" w:cs="Arial"/>
          <w:sz w:val="22"/>
          <w:szCs w:val="22"/>
        </w:rPr>
      </w:pPr>
    </w:p>
    <w:p w14:paraId="30F8B699" w14:textId="77777777" w:rsidR="0000081B" w:rsidRDefault="0000081B" w:rsidP="00BB17AB">
      <w:pPr>
        <w:jc w:val="both"/>
        <w:rPr>
          <w:rFonts w:ascii="Palatino Linotype" w:hAnsi="Palatino Linotype" w:cs="Arial"/>
          <w:sz w:val="22"/>
          <w:szCs w:val="22"/>
        </w:rPr>
      </w:pPr>
    </w:p>
    <w:p w14:paraId="5081E845" w14:textId="77777777" w:rsidR="0000081B" w:rsidRDefault="0000081B" w:rsidP="00BB17AB">
      <w:pPr>
        <w:jc w:val="both"/>
        <w:rPr>
          <w:rFonts w:ascii="Palatino Linotype" w:hAnsi="Palatino Linotype" w:cs="Arial"/>
          <w:sz w:val="22"/>
          <w:szCs w:val="22"/>
        </w:rPr>
      </w:pPr>
    </w:p>
    <w:p w14:paraId="22B86CFE" w14:textId="77777777" w:rsidR="0000081B" w:rsidRDefault="0000081B" w:rsidP="00BB17AB">
      <w:pPr>
        <w:jc w:val="both"/>
        <w:rPr>
          <w:rFonts w:ascii="Palatino Linotype" w:hAnsi="Palatino Linotype" w:cs="Arial"/>
          <w:sz w:val="22"/>
          <w:szCs w:val="22"/>
        </w:rPr>
      </w:pPr>
    </w:p>
    <w:p w14:paraId="183A2285" w14:textId="77777777" w:rsidR="0000081B" w:rsidRDefault="0000081B" w:rsidP="00BB17AB">
      <w:pPr>
        <w:jc w:val="both"/>
        <w:rPr>
          <w:rFonts w:ascii="Palatino Linotype" w:hAnsi="Palatino Linotype" w:cs="Arial"/>
          <w:sz w:val="22"/>
          <w:szCs w:val="22"/>
        </w:rPr>
      </w:pPr>
    </w:p>
    <w:p w14:paraId="094AFE6B" w14:textId="77777777" w:rsidR="0000081B" w:rsidRDefault="0000081B" w:rsidP="00BB17AB">
      <w:pPr>
        <w:jc w:val="both"/>
        <w:rPr>
          <w:rFonts w:ascii="Palatino Linotype" w:hAnsi="Palatino Linotype" w:cs="Arial"/>
          <w:sz w:val="22"/>
          <w:szCs w:val="22"/>
        </w:rPr>
      </w:pPr>
    </w:p>
    <w:p w14:paraId="1D0F07E5" w14:textId="77777777" w:rsidR="0000081B" w:rsidRDefault="0000081B" w:rsidP="00BB17AB">
      <w:pPr>
        <w:jc w:val="both"/>
        <w:rPr>
          <w:rFonts w:ascii="Palatino Linotype" w:hAnsi="Palatino Linotype" w:cs="Arial"/>
          <w:sz w:val="22"/>
          <w:szCs w:val="22"/>
        </w:rPr>
      </w:pPr>
    </w:p>
    <w:p w14:paraId="7B090AE7" w14:textId="77777777" w:rsidR="004609F2" w:rsidRDefault="004609F2" w:rsidP="00BB17AB">
      <w:pPr>
        <w:jc w:val="both"/>
        <w:rPr>
          <w:rFonts w:ascii="Palatino Linotype" w:hAnsi="Palatino Linotype" w:cs="Arial"/>
          <w:sz w:val="22"/>
          <w:szCs w:val="22"/>
        </w:rPr>
      </w:pPr>
    </w:p>
    <w:p w14:paraId="24F4346F" w14:textId="77777777" w:rsidR="004609F2" w:rsidRDefault="004609F2" w:rsidP="00BB17AB">
      <w:pPr>
        <w:jc w:val="both"/>
        <w:rPr>
          <w:rFonts w:ascii="Palatino Linotype" w:hAnsi="Palatino Linotype" w:cs="Arial"/>
          <w:sz w:val="22"/>
          <w:szCs w:val="22"/>
        </w:rPr>
      </w:pPr>
    </w:p>
    <w:p w14:paraId="478C4B2F" w14:textId="77777777" w:rsidR="004609F2" w:rsidRPr="00C06C10" w:rsidRDefault="004609F2" w:rsidP="00BB17AB">
      <w:pPr>
        <w:jc w:val="both"/>
        <w:rPr>
          <w:rFonts w:ascii="Palatino Linotype" w:hAnsi="Palatino Linotype"/>
          <w:sz w:val="22"/>
          <w:szCs w:val="22"/>
        </w:rPr>
      </w:pPr>
    </w:p>
    <w:sectPr w:rsidR="004609F2" w:rsidRPr="00C06C10"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90DA0" w16cex:dateUtc="2021-05-14T19:54:00Z"/>
  <w16cex:commentExtensible w16cex:durableId="24490E1F" w16cex:dateUtc="2021-05-14T19:56:00Z"/>
  <w16cex:commentExtensible w16cex:durableId="24490E27" w16cex:dateUtc="2021-05-14T19:56:00Z"/>
  <w16cex:commentExtensible w16cex:durableId="24490E53" w16cex:dateUtc="2021-05-14T19:57:00Z"/>
  <w16cex:commentExtensible w16cex:durableId="24490E7B" w16cex:dateUtc="2021-05-14T19:58:00Z"/>
  <w16cex:commentExtensible w16cex:durableId="24490E83" w16cex:dateUtc="2021-05-14T19:58:00Z"/>
  <w16cex:commentExtensible w16cex:durableId="24490F21" w16cex:dateUtc="2021-05-14T20:00:00Z"/>
  <w16cex:commentExtensible w16cex:durableId="24490F32" w16cex:dateUtc="2021-05-14T20:01:00Z"/>
  <w16cex:commentExtensible w16cex:durableId="24490F44" w16cex:dateUtc="2021-05-14T20:01:00Z"/>
  <w16cex:commentExtensible w16cex:durableId="24490F4F" w16cex:dateUtc="2021-05-14T20: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623C80" w16cid:durableId="24490DA0"/>
  <w16cid:commentId w16cid:paraId="5D732F07" w16cid:durableId="24490E1F"/>
  <w16cid:commentId w16cid:paraId="1235E556" w16cid:durableId="24490E27"/>
  <w16cid:commentId w16cid:paraId="0D565FEA" w16cid:durableId="24490E53"/>
  <w16cid:commentId w16cid:paraId="2D04A6C7" w16cid:durableId="24490E7B"/>
  <w16cid:commentId w16cid:paraId="59C6D1F1" w16cid:durableId="24490E83"/>
  <w16cid:commentId w16cid:paraId="5685914A" w16cid:durableId="24490F21"/>
  <w16cid:commentId w16cid:paraId="5F0FB1CC" w16cid:durableId="24490F32"/>
  <w16cid:commentId w16cid:paraId="71D42E4B" w16cid:durableId="24490F44"/>
  <w16cid:commentId w16cid:paraId="7231B550" w16cid:durableId="24490F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49B1F" w14:textId="77777777" w:rsidR="000774C4" w:rsidRDefault="000774C4" w:rsidP="00C80F8C">
      <w:r>
        <w:separator/>
      </w:r>
    </w:p>
  </w:endnote>
  <w:endnote w:type="continuationSeparator" w:id="0">
    <w:p w14:paraId="79CE0C99" w14:textId="77777777" w:rsidR="000774C4" w:rsidRDefault="000774C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4D619C" w:rsidRPr="0010196A" w:rsidRDefault="004D619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31FE7">
      <w:rPr>
        <w:rFonts w:ascii="Palatino Linotype" w:hAnsi="Palatino Linotype" w:cs="Arial"/>
        <w:bCs/>
        <w:noProof/>
        <w:sz w:val="22"/>
        <w:szCs w:val="22"/>
      </w:rPr>
      <w:t>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31FE7">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4D619C" w:rsidRPr="0010196A" w:rsidRDefault="004D619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774C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774C4">
      <w:rPr>
        <w:rFonts w:ascii="Palatino Linotype" w:hAnsi="Palatino Linotype" w:cs="Arial"/>
        <w:bCs/>
        <w:noProof/>
        <w:sz w:val="22"/>
        <w:szCs w:val="22"/>
      </w:rPr>
      <w:t>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08624" w14:textId="77777777" w:rsidR="000774C4" w:rsidRDefault="000774C4" w:rsidP="00C80F8C">
      <w:r>
        <w:separator/>
      </w:r>
    </w:p>
  </w:footnote>
  <w:footnote w:type="continuationSeparator" w:id="0">
    <w:p w14:paraId="6583AC36" w14:textId="77777777" w:rsidR="000774C4" w:rsidRDefault="000774C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D619C" w:rsidRDefault="000774C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D619C" w:rsidRPr="0010196A" w:rsidRDefault="000774C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817" w:type="dxa"/>
      <w:tblInd w:w="-142" w:type="dxa"/>
      <w:tblLayout w:type="fixed"/>
      <w:tblLook w:val="04A0" w:firstRow="1" w:lastRow="0" w:firstColumn="1" w:lastColumn="0" w:noHBand="0" w:noVBand="1"/>
    </w:tblPr>
    <w:tblGrid>
      <w:gridCol w:w="3544"/>
      <w:gridCol w:w="2551"/>
      <w:gridCol w:w="3722"/>
    </w:tblGrid>
    <w:tr w:rsidR="004D619C" w:rsidRPr="008F2CCC" w14:paraId="1F097D8A" w14:textId="77777777" w:rsidTr="008C4B2D">
      <w:tc>
        <w:tcPr>
          <w:tcW w:w="3544" w:type="dxa"/>
          <w:vMerge w:val="restart"/>
        </w:tcPr>
        <w:p w14:paraId="1F780A0C" w14:textId="1EFF25F4" w:rsidR="004D619C" w:rsidRPr="008F2CCC" w:rsidRDefault="004D619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4D619C" w:rsidRPr="00664658" w:rsidRDefault="004D619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8B71243" w:rsidR="004D619C" w:rsidRPr="00664658" w:rsidRDefault="004D619C" w:rsidP="0011603D">
          <w:pPr>
            <w:jc w:val="both"/>
            <w:rPr>
              <w:rFonts w:ascii="Palatino Linotype" w:hAnsi="Palatino Linotype"/>
              <w:b/>
              <w:sz w:val="22"/>
              <w:szCs w:val="22"/>
              <w:lang w:val="es-ES_tradnl"/>
            </w:rPr>
          </w:pPr>
          <w:r w:rsidRPr="00DD541F">
            <w:rPr>
              <w:rFonts w:ascii="Palatino Linotype" w:hAnsi="Palatino Linotype"/>
              <w:b/>
              <w:bCs/>
              <w:sz w:val="22"/>
              <w:szCs w:val="22"/>
            </w:rPr>
            <w:t>01082/INFOEM/IP/RR/2021</w:t>
          </w:r>
        </w:p>
      </w:tc>
    </w:tr>
    <w:tr w:rsidR="004D619C" w:rsidRPr="008F2CCC" w14:paraId="049677A3" w14:textId="77777777" w:rsidTr="008C4B2D">
      <w:tc>
        <w:tcPr>
          <w:tcW w:w="3544" w:type="dxa"/>
          <w:vMerge/>
        </w:tcPr>
        <w:p w14:paraId="4A21EAC1" w14:textId="5C1F145E" w:rsidR="004D619C" w:rsidRPr="008F2CCC" w:rsidRDefault="004D619C" w:rsidP="00200BFC">
          <w:pPr>
            <w:rPr>
              <w:rFonts w:ascii="Palatino Linotype" w:hAnsi="Palatino Linotype"/>
              <w:b/>
              <w:sz w:val="22"/>
              <w:szCs w:val="22"/>
              <w:lang w:val="es-ES_tradnl"/>
            </w:rPr>
          </w:pPr>
        </w:p>
      </w:tc>
      <w:tc>
        <w:tcPr>
          <w:tcW w:w="2551" w:type="dxa"/>
          <w:shd w:val="clear" w:color="auto" w:fill="auto"/>
        </w:tcPr>
        <w:p w14:paraId="1237BCDE" w14:textId="77777777" w:rsidR="004D619C" w:rsidRPr="00664658" w:rsidRDefault="004D619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40DA724" w:rsidR="004D619C" w:rsidRPr="00D41D47" w:rsidRDefault="004D619C" w:rsidP="00DD541F">
          <w:pPr>
            <w:ind w:right="495"/>
            <w:jc w:val="both"/>
            <w:rPr>
              <w:rFonts w:ascii="Palatino Linotype" w:hAnsi="Palatino Linotype"/>
              <w:b/>
              <w:sz w:val="22"/>
              <w:szCs w:val="22"/>
              <w:lang w:val="es-ES_tradnl"/>
            </w:rPr>
          </w:pPr>
          <w:r w:rsidRPr="00DD541F">
            <w:rPr>
              <w:rFonts w:ascii="Palatino Linotype" w:hAnsi="Palatino Linotype"/>
              <w:b/>
              <w:bCs/>
              <w:sz w:val="22"/>
              <w:szCs w:val="22"/>
            </w:rPr>
            <w:t>Ayuntamiento de Ecatepec de Morelos</w:t>
          </w:r>
        </w:p>
      </w:tc>
    </w:tr>
    <w:tr w:rsidR="004D619C" w:rsidRPr="008F2CCC" w14:paraId="72CD087D" w14:textId="77777777" w:rsidTr="008C4B2D">
      <w:trPr>
        <w:trHeight w:val="228"/>
      </w:trPr>
      <w:tc>
        <w:tcPr>
          <w:tcW w:w="3544" w:type="dxa"/>
          <w:vMerge/>
        </w:tcPr>
        <w:p w14:paraId="1B78656F" w14:textId="01E6F6F6" w:rsidR="004D619C" w:rsidRPr="008F2CCC" w:rsidRDefault="004D619C" w:rsidP="00200BFC">
          <w:pPr>
            <w:rPr>
              <w:rFonts w:ascii="Palatino Linotype" w:hAnsi="Palatino Linotype"/>
              <w:b/>
              <w:sz w:val="22"/>
              <w:szCs w:val="22"/>
              <w:lang w:val="es-ES_tradnl"/>
            </w:rPr>
          </w:pPr>
        </w:p>
      </w:tc>
      <w:tc>
        <w:tcPr>
          <w:tcW w:w="2551" w:type="dxa"/>
          <w:shd w:val="clear" w:color="auto" w:fill="auto"/>
        </w:tcPr>
        <w:p w14:paraId="74D81628" w14:textId="77777777" w:rsidR="004D619C" w:rsidRPr="00664658" w:rsidRDefault="004D619C"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4D619C" w:rsidRPr="00664658" w:rsidRDefault="004D619C"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4D619C" w:rsidRPr="0010196A" w:rsidRDefault="004D619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4D619C" w:rsidRPr="0010196A" w:rsidRDefault="000774C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057" w:type="dxa"/>
      <w:tblInd w:w="-1276" w:type="dxa"/>
      <w:tblLayout w:type="fixed"/>
      <w:tblLook w:val="04A0" w:firstRow="1" w:lastRow="0" w:firstColumn="1" w:lastColumn="0" w:noHBand="0" w:noVBand="1"/>
    </w:tblPr>
    <w:tblGrid>
      <w:gridCol w:w="4820"/>
      <w:gridCol w:w="2552"/>
      <w:gridCol w:w="3685"/>
    </w:tblGrid>
    <w:tr w:rsidR="004D619C" w:rsidRPr="008F2CCC" w14:paraId="6ABABA57" w14:textId="77777777" w:rsidTr="008C4B2D">
      <w:tc>
        <w:tcPr>
          <w:tcW w:w="4820" w:type="dxa"/>
          <w:vMerge w:val="restart"/>
          <w:shd w:val="clear" w:color="auto" w:fill="auto"/>
        </w:tcPr>
        <w:p w14:paraId="6AA376CC" w14:textId="1234161B" w:rsidR="004D619C" w:rsidRPr="008F2CCC" w:rsidRDefault="004D619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4D619C" w:rsidRPr="008F2CCC" w:rsidRDefault="004D619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CEB0F5D" w:rsidR="004D619C" w:rsidRPr="008F2CCC" w:rsidRDefault="004D619C" w:rsidP="0011603D">
          <w:pPr>
            <w:jc w:val="both"/>
            <w:rPr>
              <w:rFonts w:ascii="Palatino Linotype" w:hAnsi="Palatino Linotype"/>
              <w:b/>
              <w:sz w:val="22"/>
              <w:szCs w:val="22"/>
              <w:lang w:val="es-ES_tradnl"/>
            </w:rPr>
          </w:pPr>
          <w:r w:rsidRPr="00DD541F">
            <w:rPr>
              <w:rFonts w:ascii="Palatino Linotype" w:hAnsi="Palatino Linotype"/>
              <w:b/>
              <w:bCs/>
              <w:sz w:val="22"/>
              <w:szCs w:val="22"/>
            </w:rPr>
            <w:t>01082/INFOEM/IP/RR/2021</w:t>
          </w:r>
        </w:p>
      </w:tc>
    </w:tr>
    <w:tr w:rsidR="004D619C" w:rsidRPr="008F2CCC" w14:paraId="3B45FB53" w14:textId="77777777" w:rsidTr="008C4B2D">
      <w:tc>
        <w:tcPr>
          <w:tcW w:w="4820" w:type="dxa"/>
          <w:vMerge/>
          <w:shd w:val="clear" w:color="auto" w:fill="auto"/>
        </w:tcPr>
        <w:p w14:paraId="188B82EF" w14:textId="77777777" w:rsidR="004D619C" w:rsidRPr="008F2CCC" w:rsidRDefault="004D619C" w:rsidP="00200BFC">
          <w:pPr>
            <w:rPr>
              <w:rFonts w:ascii="Palatino Linotype" w:hAnsi="Palatino Linotype"/>
              <w:b/>
              <w:sz w:val="22"/>
              <w:szCs w:val="22"/>
              <w:lang w:val="es-ES_tradnl"/>
            </w:rPr>
          </w:pPr>
        </w:p>
      </w:tc>
      <w:tc>
        <w:tcPr>
          <w:tcW w:w="2552" w:type="dxa"/>
          <w:shd w:val="clear" w:color="auto" w:fill="auto"/>
        </w:tcPr>
        <w:p w14:paraId="3B2AD0CF" w14:textId="77777777" w:rsidR="004D619C" w:rsidRPr="008F2CCC" w:rsidRDefault="004D619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46BD78B" w:rsidR="004D619C" w:rsidRPr="008F2CCC" w:rsidRDefault="00331FE7" w:rsidP="00DD541F">
          <w:pPr>
            <w:ind w:right="601"/>
            <w:jc w:val="both"/>
            <w:rPr>
              <w:rFonts w:ascii="Palatino Linotype" w:hAnsi="Palatino Linotype"/>
              <w:b/>
              <w:sz w:val="22"/>
              <w:szCs w:val="22"/>
              <w:lang w:val="es-ES_tradnl"/>
            </w:rPr>
          </w:pPr>
          <w:r>
            <w:rPr>
              <w:rFonts w:ascii="Palatino Linotype" w:hAnsi="Palatino Linotype"/>
              <w:b/>
              <w:sz w:val="22"/>
              <w:szCs w:val="22"/>
              <w:lang w:val="es-ES_tradnl"/>
            </w:rPr>
            <w:t>Xxxxxx</w:t>
          </w:r>
          <w:r w:rsidR="004D619C">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4D619C">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4D619C" w:rsidRPr="008F2CCC" w14:paraId="28A493EB" w14:textId="77777777" w:rsidTr="008C4B2D">
      <w:trPr>
        <w:trHeight w:val="228"/>
      </w:trPr>
      <w:tc>
        <w:tcPr>
          <w:tcW w:w="4820" w:type="dxa"/>
          <w:vMerge/>
          <w:shd w:val="clear" w:color="auto" w:fill="auto"/>
        </w:tcPr>
        <w:p w14:paraId="06C77D31" w14:textId="77777777" w:rsidR="004D619C" w:rsidRPr="008F2CCC" w:rsidRDefault="004D619C" w:rsidP="00200BFC">
          <w:pPr>
            <w:rPr>
              <w:rFonts w:ascii="Palatino Linotype" w:hAnsi="Palatino Linotype"/>
              <w:b/>
              <w:sz w:val="22"/>
              <w:szCs w:val="22"/>
              <w:lang w:val="es-ES_tradnl"/>
            </w:rPr>
          </w:pPr>
        </w:p>
      </w:tc>
      <w:tc>
        <w:tcPr>
          <w:tcW w:w="2552" w:type="dxa"/>
          <w:shd w:val="clear" w:color="auto" w:fill="auto"/>
        </w:tcPr>
        <w:p w14:paraId="2E1A72B4" w14:textId="77777777" w:rsidR="004D619C" w:rsidRPr="008F2CCC" w:rsidRDefault="004D619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5007829" w:rsidR="004D619C" w:rsidRPr="00DC41C8" w:rsidRDefault="004D619C" w:rsidP="00DD541F">
          <w:pPr>
            <w:ind w:right="601"/>
            <w:jc w:val="both"/>
            <w:rPr>
              <w:rFonts w:ascii="Palatino Linotype" w:hAnsi="Palatino Linotype"/>
              <w:b/>
              <w:sz w:val="22"/>
              <w:szCs w:val="22"/>
            </w:rPr>
          </w:pPr>
          <w:r w:rsidRPr="00DD541F">
            <w:rPr>
              <w:rFonts w:ascii="Palatino Linotype" w:hAnsi="Palatino Linotype"/>
              <w:b/>
              <w:bCs/>
              <w:sz w:val="22"/>
              <w:szCs w:val="22"/>
            </w:rPr>
            <w:t>Ayuntamiento de Ecatepec de Morelos</w:t>
          </w:r>
        </w:p>
      </w:tc>
    </w:tr>
    <w:tr w:rsidR="004D619C" w:rsidRPr="008F2CCC" w14:paraId="0F114FF0" w14:textId="77777777" w:rsidTr="008C4B2D">
      <w:tc>
        <w:tcPr>
          <w:tcW w:w="4820" w:type="dxa"/>
          <w:vMerge/>
          <w:shd w:val="clear" w:color="auto" w:fill="auto"/>
        </w:tcPr>
        <w:p w14:paraId="4CCB64BA" w14:textId="77777777" w:rsidR="004D619C" w:rsidRPr="008F2CCC" w:rsidRDefault="004D619C" w:rsidP="00200BFC">
          <w:pPr>
            <w:rPr>
              <w:rFonts w:ascii="Palatino Linotype" w:hAnsi="Palatino Linotype"/>
              <w:b/>
              <w:sz w:val="22"/>
              <w:szCs w:val="22"/>
              <w:lang w:val="es-ES_tradnl"/>
            </w:rPr>
          </w:pPr>
        </w:p>
      </w:tc>
      <w:tc>
        <w:tcPr>
          <w:tcW w:w="2552" w:type="dxa"/>
          <w:shd w:val="clear" w:color="auto" w:fill="auto"/>
        </w:tcPr>
        <w:p w14:paraId="31E422EA" w14:textId="77777777" w:rsidR="004D619C" w:rsidRPr="008F2CCC" w:rsidRDefault="004D619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4D619C" w:rsidRPr="008F2CCC" w:rsidRDefault="004D619C"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4D619C" w:rsidRPr="0010196A" w:rsidRDefault="004D619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F1009"/>
    <w:multiLevelType w:val="hybridMultilevel"/>
    <w:tmpl w:val="E196E9C6"/>
    <w:lvl w:ilvl="0" w:tplc="2EACDC8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2D606E21"/>
    <w:multiLevelType w:val="hybridMultilevel"/>
    <w:tmpl w:val="0D62B9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6C887C30"/>
    <w:multiLevelType w:val="hybridMultilevel"/>
    <w:tmpl w:val="02EC8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44A1795"/>
    <w:multiLevelType w:val="hybridMultilevel"/>
    <w:tmpl w:val="CE46D4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7C813BD4"/>
    <w:multiLevelType w:val="hybridMultilevel"/>
    <w:tmpl w:val="43744A1A"/>
    <w:lvl w:ilvl="0" w:tplc="2F88C63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
  </w:num>
  <w:num w:numId="2">
    <w:abstractNumId w:val="1"/>
  </w:num>
  <w:num w:numId="3">
    <w:abstractNumId w:val="6"/>
  </w:num>
  <w:num w:numId="4">
    <w:abstractNumId w:val="2"/>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0"/>
  </w:num>
  <w:num w:numId="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ES_tradnl" w:vendorID="64" w:dllVersion="131078" w:nlCheck="1" w:checkStyle="1"/>
  <w:defaultTabStop w:val="709"/>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1B"/>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3DB"/>
    <w:rsid w:val="00016A2B"/>
    <w:rsid w:val="00017746"/>
    <w:rsid w:val="0001796B"/>
    <w:rsid w:val="00017EBE"/>
    <w:rsid w:val="00020BD7"/>
    <w:rsid w:val="00020BF6"/>
    <w:rsid w:val="00020C9F"/>
    <w:rsid w:val="0002121F"/>
    <w:rsid w:val="00021F54"/>
    <w:rsid w:val="00022013"/>
    <w:rsid w:val="000225F4"/>
    <w:rsid w:val="00022A73"/>
    <w:rsid w:val="00022C74"/>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0C9"/>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F"/>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1FBE"/>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5FBF"/>
    <w:rsid w:val="00066A54"/>
    <w:rsid w:val="00066B22"/>
    <w:rsid w:val="00066D71"/>
    <w:rsid w:val="0006715F"/>
    <w:rsid w:val="00067C7D"/>
    <w:rsid w:val="0007064C"/>
    <w:rsid w:val="00070856"/>
    <w:rsid w:val="000710D2"/>
    <w:rsid w:val="00071FC4"/>
    <w:rsid w:val="000725D3"/>
    <w:rsid w:val="0007261F"/>
    <w:rsid w:val="000728B7"/>
    <w:rsid w:val="00072954"/>
    <w:rsid w:val="00072CB3"/>
    <w:rsid w:val="00072F99"/>
    <w:rsid w:val="0007327E"/>
    <w:rsid w:val="000734E9"/>
    <w:rsid w:val="0007367D"/>
    <w:rsid w:val="00073A2F"/>
    <w:rsid w:val="00073F72"/>
    <w:rsid w:val="0007436D"/>
    <w:rsid w:val="00074CF8"/>
    <w:rsid w:val="00075283"/>
    <w:rsid w:val="00075615"/>
    <w:rsid w:val="0007587F"/>
    <w:rsid w:val="00075EA3"/>
    <w:rsid w:val="00076C6E"/>
    <w:rsid w:val="00076EBE"/>
    <w:rsid w:val="000774C4"/>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0D91"/>
    <w:rsid w:val="000A1149"/>
    <w:rsid w:val="000A1549"/>
    <w:rsid w:val="000A2B2B"/>
    <w:rsid w:val="000A2E1A"/>
    <w:rsid w:val="000A3399"/>
    <w:rsid w:val="000A3D63"/>
    <w:rsid w:val="000A4349"/>
    <w:rsid w:val="000A442F"/>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187"/>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3E6"/>
    <w:rsid w:val="001149CC"/>
    <w:rsid w:val="00114CC0"/>
    <w:rsid w:val="0011502F"/>
    <w:rsid w:val="0011507B"/>
    <w:rsid w:val="00115499"/>
    <w:rsid w:val="00115DB1"/>
    <w:rsid w:val="00115E6B"/>
    <w:rsid w:val="00115F68"/>
    <w:rsid w:val="0011603D"/>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A9"/>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133"/>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2F98"/>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3BC"/>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816"/>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690"/>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97F55"/>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138"/>
    <w:rsid w:val="002C2724"/>
    <w:rsid w:val="002C2966"/>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505"/>
    <w:rsid w:val="002E65D1"/>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635"/>
    <w:rsid w:val="002F4A98"/>
    <w:rsid w:val="002F5860"/>
    <w:rsid w:val="002F59FA"/>
    <w:rsid w:val="002F5CE4"/>
    <w:rsid w:val="002F60DF"/>
    <w:rsid w:val="002F6259"/>
    <w:rsid w:val="002F69BB"/>
    <w:rsid w:val="002F6E11"/>
    <w:rsid w:val="002F7564"/>
    <w:rsid w:val="002F7A42"/>
    <w:rsid w:val="002F7C96"/>
    <w:rsid w:val="00300A2C"/>
    <w:rsid w:val="00300D2C"/>
    <w:rsid w:val="003010C6"/>
    <w:rsid w:val="003014D5"/>
    <w:rsid w:val="003014F9"/>
    <w:rsid w:val="0030180A"/>
    <w:rsid w:val="0030219F"/>
    <w:rsid w:val="00303671"/>
    <w:rsid w:val="00303AF8"/>
    <w:rsid w:val="00304085"/>
    <w:rsid w:val="0030426C"/>
    <w:rsid w:val="003044B2"/>
    <w:rsid w:val="00304BA5"/>
    <w:rsid w:val="003052CB"/>
    <w:rsid w:val="003056B1"/>
    <w:rsid w:val="00305CBC"/>
    <w:rsid w:val="00305F6C"/>
    <w:rsid w:val="00306604"/>
    <w:rsid w:val="00306BCD"/>
    <w:rsid w:val="0030792B"/>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1FE7"/>
    <w:rsid w:val="0033214C"/>
    <w:rsid w:val="003328F2"/>
    <w:rsid w:val="00332BD1"/>
    <w:rsid w:val="00333541"/>
    <w:rsid w:val="0033371A"/>
    <w:rsid w:val="0033392B"/>
    <w:rsid w:val="00334014"/>
    <w:rsid w:val="003343F4"/>
    <w:rsid w:val="00334446"/>
    <w:rsid w:val="003347AD"/>
    <w:rsid w:val="00334840"/>
    <w:rsid w:val="00334952"/>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014"/>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C0B"/>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0838"/>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3A1"/>
    <w:rsid w:val="003F2B44"/>
    <w:rsid w:val="003F38D6"/>
    <w:rsid w:val="003F4491"/>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06B"/>
    <w:rsid w:val="00457A14"/>
    <w:rsid w:val="00457EEE"/>
    <w:rsid w:val="00460083"/>
    <w:rsid w:val="004609F2"/>
    <w:rsid w:val="00460A6E"/>
    <w:rsid w:val="00462595"/>
    <w:rsid w:val="00462BCF"/>
    <w:rsid w:val="004631D8"/>
    <w:rsid w:val="004633DA"/>
    <w:rsid w:val="004633FD"/>
    <w:rsid w:val="004639C1"/>
    <w:rsid w:val="00463E38"/>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3137"/>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19C"/>
    <w:rsid w:val="004D6483"/>
    <w:rsid w:val="004D6B55"/>
    <w:rsid w:val="004D6EDE"/>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37EB"/>
    <w:rsid w:val="004F3E7D"/>
    <w:rsid w:val="004F47A8"/>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3CDE"/>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868"/>
    <w:rsid w:val="00543CC6"/>
    <w:rsid w:val="005446F5"/>
    <w:rsid w:val="00544C69"/>
    <w:rsid w:val="0054525B"/>
    <w:rsid w:val="00545557"/>
    <w:rsid w:val="00545A2E"/>
    <w:rsid w:val="005465AB"/>
    <w:rsid w:val="00546C2E"/>
    <w:rsid w:val="0054716E"/>
    <w:rsid w:val="0054754C"/>
    <w:rsid w:val="00547BC3"/>
    <w:rsid w:val="00547D0B"/>
    <w:rsid w:val="00547E5E"/>
    <w:rsid w:val="00550E43"/>
    <w:rsid w:val="00551EAA"/>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862"/>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B42"/>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1A3"/>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3EDE"/>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3B9"/>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447"/>
    <w:rsid w:val="0068264A"/>
    <w:rsid w:val="00682BE9"/>
    <w:rsid w:val="00682EA5"/>
    <w:rsid w:val="006836CA"/>
    <w:rsid w:val="00684125"/>
    <w:rsid w:val="00684891"/>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63E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54"/>
    <w:rsid w:val="006B689F"/>
    <w:rsid w:val="006B6E36"/>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5E78"/>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BDF"/>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4F53"/>
    <w:rsid w:val="00705122"/>
    <w:rsid w:val="0070528E"/>
    <w:rsid w:val="00705741"/>
    <w:rsid w:val="00705ABB"/>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0A2"/>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37A2C"/>
    <w:rsid w:val="00740052"/>
    <w:rsid w:val="007400E8"/>
    <w:rsid w:val="00740238"/>
    <w:rsid w:val="00740494"/>
    <w:rsid w:val="00740754"/>
    <w:rsid w:val="00740AFD"/>
    <w:rsid w:val="00741046"/>
    <w:rsid w:val="007410AA"/>
    <w:rsid w:val="00741570"/>
    <w:rsid w:val="007416A3"/>
    <w:rsid w:val="00741AB6"/>
    <w:rsid w:val="00742EDD"/>
    <w:rsid w:val="007431A4"/>
    <w:rsid w:val="00743F63"/>
    <w:rsid w:val="0074440C"/>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877"/>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063"/>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3B8E"/>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0C4"/>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692"/>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CB4"/>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955"/>
    <w:rsid w:val="00840A94"/>
    <w:rsid w:val="00840B86"/>
    <w:rsid w:val="00840E84"/>
    <w:rsid w:val="00840ECD"/>
    <w:rsid w:val="00840FBE"/>
    <w:rsid w:val="00841E4A"/>
    <w:rsid w:val="008422EC"/>
    <w:rsid w:val="00842C7F"/>
    <w:rsid w:val="00844279"/>
    <w:rsid w:val="0084429F"/>
    <w:rsid w:val="008448E0"/>
    <w:rsid w:val="00844916"/>
    <w:rsid w:val="00845238"/>
    <w:rsid w:val="008453E6"/>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750"/>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4B1"/>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4C75"/>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1AD2"/>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479"/>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2D"/>
    <w:rsid w:val="008C57D6"/>
    <w:rsid w:val="008C5DDA"/>
    <w:rsid w:val="008C5E44"/>
    <w:rsid w:val="008C5ECF"/>
    <w:rsid w:val="008C6296"/>
    <w:rsid w:val="008C737C"/>
    <w:rsid w:val="008C7D57"/>
    <w:rsid w:val="008D112A"/>
    <w:rsid w:val="008D12C0"/>
    <w:rsid w:val="008D1494"/>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628A"/>
    <w:rsid w:val="008E65F0"/>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10"/>
    <w:rsid w:val="008F4F7D"/>
    <w:rsid w:val="008F5255"/>
    <w:rsid w:val="008F5667"/>
    <w:rsid w:val="008F5901"/>
    <w:rsid w:val="008F5EEB"/>
    <w:rsid w:val="008F6A7E"/>
    <w:rsid w:val="008F6BA9"/>
    <w:rsid w:val="008F6D10"/>
    <w:rsid w:val="008F6E71"/>
    <w:rsid w:val="008F73C7"/>
    <w:rsid w:val="008F7E6D"/>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200"/>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E9B"/>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928"/>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7C"/>
    <w:rsid w:val="009507C2"/>
    <w:rsid w:val="00950BCA"/>
    <w:rsid w:val="00950F35"/>
    <w:rsid w:val="00952203"/>
    <w:rsid w:val="00952DFE"/>
    <w:rsid w:val="009537A0"/>
    <w:rsid w:val="00953838"/>
    <w:rsid w:val="009539AE"/>
    <w:rsid w:val="00953A6E"/>
    <w:rsid w:val="009548C2"/>
    <w:rsid w:val="009548CA"/>
    <w:rsid w:val="00955624"/>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4BEE"/>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079"/>
    <w:rsid w:val="00A1493B"/>
    <w:rsid w:val="00A14A4E"/>
    <w:rsid w:val="00A14E81"/>
    <w:rsid w:val="00A166EE"/>
    <w:rsid w:val="00A16D9E"/>
    <w:rsid w:val="00A17EB1"/>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9B9"/>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245C"/>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5D26"/>
    <w:rsid w:val="00A560CD"/>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4E2E"/>
    <w:rsid w:val="00A75489"/>
    <w:rsid w:val="00A75EE0"/>
    <w:rsid w:val="00A766B4"/>
    <w:rsid w:val="00A76DA1"/>
    <w:rsid w:val="00A770A2"/>
    <w:rsid w:val="00A77A85"/>
    <w:rsid w:val="00A8057D"/>
    <w:rsid w:val="00A8090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06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1E7E"/>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59F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9BD"/>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3C9C"/>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3A"/>
    <w:rsid w:val="00B35A38"/>
    <w:rsid w:val="00B35AE6"/>
    <w:rsid w:val="00B36189"/>
    <w:rsid w:val="00B365C1"/>
    <w:rsid w:val="00B36708"/>
    <w:rsid w:val="00B36DCE"/>
    <w:rsid w:val="00B37745"/>
    <w:rsid w:val="00B3788B"/>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5A7"/>
    <w:rsid w:val="00B47701"/>
    <w:rsid w:val="00B479AE"/>
    <w:rsid w:val="00B479AF"/>
    <w:rsid w:val="00B47F2A"/>
    <w:rsid w:val="00B47FE5"/>
    <w:rsid w:val="00B51266"/>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306D"/>
    <w:rsid w:val="00B530C1"/>
    <w:rsid w:val="00B532B0"/>
    <w:rsid w:val="00B539F4"/>
    <w:rsid w:val="00B53D51"/>
    <w:rsid w:val="00B53DDD"/>
    <w:rsid w:val="00B53F59"/>
    <w:rsid w:val="00B54512"/>
    <w:rsid w:val="00B54876"/>
    <w:rsid w:val="00B54939"/>
    <w:rsid w:val="00B54FB8"/>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3672"/>
    <w:rsid w:val="00B644B5"/>
    <w:rsid w:val="00B64959"/>
    <w:rsid w:val="00B651EF"/>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9A0"/>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7C3"/>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7DC"/>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C7CDF"/>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03B"/>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097"/>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C10"/>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72"/>
    <w:rsid w:val="00C20CA0"/>
    <w:rsid w:val="00C20FE9"/>
    <w:rsid w:val="00C227A2"/>
    <w:rsid w:val="00C22D67"/>
    <w:rsid w:val="00C2339E"/>
    <w:rsid w:val="00C23560"/>
    <w:rsid w:val="00C236F0"/>
    <w:rsid w:val="00C23EC5"/>
    <w:rsid w:val="00C24971"/>
    <w:rsid w:val="00C24FCC"/>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A6F"/>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CDA"/>
    <w:rsid w:val="00C54DDD"/>
    <w:rsid w:val="00C550F0"/>
    <w:rsid w:val="00C55A02"/>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1B3"/>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38"/>
    <w:rsid w:val="00D023BF"/>
    <w:rsid w:val="00D02856"/>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05"/>
    <w:rsid w:val="00D22638"/>
    <w:rsid w:val="00D22B05"/>
    <w:rsid w:val="00D23C5B"/>
    <w:rsid w:val="00D2486D"/>
    <w:rsid w:val="00D24B37"/>
    <w:rsid w:val="00D253F8"/>
    <w:rsid w:val="00D255A8"/>
    <w:rsid w:val="00D25733"/>
    <w:rsid w:val="00D25D8E"/>
    <w:rsid w:val="00D26144"/>
    <w:rsid w:val="00D26BC0"/>
    <w:rsid w:val="00D278B8"/>
    <w:rsid w:val="00D301D1"/>
    <w:rsid w:val="00D30461"/>
    <w:rsid w:val="00D30561"/>
    <w:rsid w:val="00D30DB1"/>
    <w:rsid w:val="00D31BB0"/>
    <w:rsid w:val="00D31DB2"/>
    <w:rsid w:val="00D3366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CFB"/>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8C5"/>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70E"/>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519"/>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41F"/>
    <w:rsid w:val="00DD589B"/>
    <w:rsid w:val="00DD58C9"/>
    <w:rsid w:val="00DD5F58"/>
    <w:rsid w:val="00DD642E"/>
    <w:rsid w:val="00DD6881"/>
    <w:rsid w:val="00DD6DED"/>
    <w:rsid w:val="00DD7161"/>
    <w:rsid w:val="00DD72E4"/>
    <w:rsid w:val="00DD739D"/>
    <w:rsid w:val="00DD7513"/>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0E8D"/>
    <w:rsid w:val="00DF1C97"/>
    <w:rsid w:val="00DF1D8C"/>
    <w:rsid w:val="00DF280F"/>
    <w:rsid w:val="00DF2858"/>
    <w:rsid w:val="00DF2862"/>
    <w:rsid w:val="00DF2D90"/>
    <w:rsid w:val="00DF306F"/>
    <w:rsid w:val="00DF317C"/>
    <w:rsid w:val="00DF336E"/>
    <w:rsid w:val="00DF3808"/>
    <w:rsid w:val="00DF3AE3"/>
    <w:rsid w:val="00DF46FC"/>
    <w:rsid w:val="00DF4780"/>
    <w:rsid w:val="00DF50C3"/>
    <w:rsid w:val="00DF54B5"/>
    <w:rsid w:val="00DF6138"/>
    <w:rsid w:val="00DF65FB"/>
    <w:rsid w:val="00DF671C"/>
    <w:rsid w:val="00DF6CCB"/>
    <w:rsid w:val="00DF73B1"/>
    <w:rsid w:val="00DF7501"/>
    <w:rsid w:val="00DF7A96"/>
    <w:rsid w:val="00DF7AD5"/>
    <w:rsid w:val="00DF7B6F"/>
    <w:rsid w:val="00DF7CD7"/>
    <w:rsid w:val="00E001FC"/>
    <w:rsid w:val="00E00265"/>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3C8"/>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B26"/>
    <w:rsid w:val="00E31FA6"/>
    <w:rsid w:val="00E32053"/>
    <w:rsid w:val="00E3275E"/>
    <w:rsid w:val="00E328E4"/>
    <w:rsid w:val="00E32ADE"/>
    <w:rsid w:val="00E32AF2"/>
    <w:rsid w:val="00E32EC8"/>
    <w:rsid w:val="00E3348A"/>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4DB6"/>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AF1"/>
    <w:rsid w:val="00E76B3A"/>
    <w:rsid w:val="00E76BC6"/>
    <w:rsid w:val="00E80488"/>
    <w:rsid w:val="00E808C7"/>
    <w:rsid w:val="00E80916"/>
    <w:rsid w:val="00E80B7F"/>
    <w:rsid w:val="00E81572"/>
    <w:rsid w:val="00E816E0"/>
    <w:rsid w:val="00E81912"/>
    <w:rsid w:val="00E81BAB"/>
    <w:rsid w:val="00E82955"/>
    <w:rsid w:val="00E832F8"/>
    <w:rsid w:val="00E8383B"/>
    <w:rsid w:val="00E838E2"/>
    <w:rsid w:val="00E839A1"/>
    <w:rsid w:val="00E83EEE"/>
    <w:rsid w:val="00E84715"/>
    <w:rsid w:val="00E84813"/>
    <w:rsid w:val="00E848B6"/>
    <w:rsid w:val="00E84EC0"/>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8D7"/>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1983"/>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3D10"/>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C07"/>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57F4A"/>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69"/>
    <w:rsid w:val="00F717D8"/>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38C"/>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E81"/>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875"/>
    <w:rsid w:val="00FA3A26"/>
    <w:rsid w:val="00FA3A48"/>
    <w:rsid w:val="00FA3BF4"/>
    <w:rsid w:val="00FA4C3D"/>
    <w:rsid w:val="00FA528A"/>
    <w:rsid w:val="00FA532C"/>
    <w:rsid w:val="00FA55CB"/>
    <w:rsid w:val="00FA6EF0"/>
    <w:rsid w:val="00FA7B36"/>
    <w:rsid w:val="00FB0039"/>
    <w:rsid w:val="00FB080F"/>
    <w:rsid w:val="00FB0FB2"/>
    <w:rsid w:val="00FB100D"/>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A41"/>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73565C12-6D9C-4090-AB9C-4566FC376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 w:type="character" w:customStyle="1" w:styleId="Caracteresdenotaalpie">
    <w:name w:val="Caracteres de nota al pie"/>
    <w:qFormat/>
    <w:rsid w:val="00C06C10"/>
  </w:style>
  <w:style w:type="table" w:customStyle="1" w:styleId="Tablaconcuadrcula3">
    <w:name w:val="Tabla con cuadrícula3"/>
    <w:basedOn w:val="Tablanormal"/>
    <w:next w:val="Tablaconcuadrcula"/>
    <w:uiPriority w:val="59"/>
    <w:rsid w:val="00C06C10"/>
    <w:pPr>
      <w:suppressAutoHyphens/>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E6505"/>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243154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3305376">
      <w:bodyDiv w:val="1"/>
      <w:marLeft w:val="0"/>
      <w:marRight w:val="0"/>
      <w:marTop w:val="0"/>
      <w:marBottom w:val="0"/>
      <w:divBdr>
        <w:top w:val="none" w:sz="0" w:space="0" w:color="auto"/>
        <w:left w:val="none" w:sz="0" w:space="0" w:color="auto"/>
        <w:bottom w:val="none" w:sz="0" w:space="0" w:color="auto"/>
        <w:right w:val="none" w:sz="0" w:space="0" w:color="auto"/>
      </w:divBdr>
      <w:divsChild>
        <w:div w:id="1690571046">
          <w:marLeft w:val="0"/>
          <w:marRight w:val="0"/>
          <w:marTop w:val="0"/>
          <w:marBottom w:val="82"/>
          <w:divBdr>
            <w:top w:val="none" w:sz="0" w:space="0" w:color="auto"/>
            <w:left w:val="none" w:sz="0" w:space="0" w:color="auto"/>
            <w:bottom w:val="none" w:sz="0" w:space="0" w:color="auto"/>
            <w:right w:val="none" w:sz="0" w:space="0" w:color="auto"/>
          </w:divBdr>
        </w:div>
        <w:div w:id="1989437598">
          <w:marLeft w:val="864"/>
          <w:marRight w:val="0"/>
          <w:marTop w:val="0"/>
          <w:marBottom w:val="82"/>
          <w:divBdr>
            <w:top w:val="none" w:sz="0" w:space="0" w:color="auto"/>
            <w:left w:val="none" w:sz="0" w:space="0" w:color="auto"/>
            <w:bottom w:val="none" w:sz="0" w:space="0" w:color="auto"/>
            <w:right w:val="none" w:sz="0" w:space="0" w:color="auto"/>
          </w:divBdr>
        </w:div>
        <w:div w:id="605771312">
          <w:marLeft w:val="864"/>
          <w:marRight w:val="0"/>
          <w:marTop w:val="0"/>
          <w:marBottom w:val="82"/>
          <w:divBdr>
            <w:top w:val="none" w:sz="0" w:space="0" w:color="auto"/>
            <w:left w:val="none" w:sz="0" w:space="0" w:color="auto"/>
            <w:bottom w:val="none" w:sz="0" w:space="0" w:color="auto"/>
            <w:right w:val="none" w:sz="0" w:space="0" w:color="auto"/>
          </w:divBdr>
        </w:div>
        <w:div w:id="2114202088">
          <w:marLeft w:val="864"/>
          <w:marRight w:val="0"/>
          <w:marTop w:val="0"/>
          <w:marBottom w:val="82"/>
          <w:divBdr>
            <w:top w:val="none" w:sz="0" w:space="0" w:color="auto"/>
            <w:left w:val="none" w:sz="0" w:space="0" w:color="auto"/>
            <w:bottom w:val="none" w:sz="0" w:space="0" w:color="auto"/>
            <w:right w:val="none" w:sz="0" w:space="0" w:color="auto"/>
          </w:divBdr>
        </w:div>
        <w:div w:id="1039086701">
          <w:marLeft w:val="864"/>
          <w:marRight w:val="0"/>
          <w:marTop w:val="0"/>
          <w:marBottom w:val="82"/>
          <w:divBdr>
            <w:top w:val="none" w:sz="0" w:space="0" w:color="auto"/>
            <w:left w:val="none" w:sz="0" w:space="0" w:color="auto"/>
            <w:bottom w:val="none" w:sz="0" w:space="0" w:color="auto"/>
            <w:right w:val="none" w:sz="0" w:space="0" w:color="auto"/>
          </w:divBdr>
        </w:div>
        <w:div w:id="1660579377">
          <w:marLeft w:val="864"/>
          <w:marRight w:val="0"/>
          <w:marTop w:val="0"/>
          <w:marBottom w:val="82"/>
          <w:divBdr>
            <w:top w:val="none" w:sz="0" w:space="0" w:color="auto"/>
            <w:left w:val="none" w:sz="0" w:space="0" w:color="auto"/>
            <w:bottom w:val="none" w:sz="0" w:space="0" w:color="auto"/>
            <w:right w:val="none" w:sz="0" w:space="0" w:color="auto"/>
          </w:divBdr>
        </w:div>
        <w:div w:id="2034646878">
          <w:marLeft w:val="864"/>
          <w:marRight w:val="0"/>
          <w:marTop w:val="0"/>
          <w:marBottom w:val="82"/>
          <w:divBdr>
            <w:top w:val="none" w:sz="0" w:space="0" w:color="auto"/>
            <w:left w:val="none" w:sz="0" w:space="0" w:color="auto"/>
            <w:bottom w:val="none" w:sz="0" w:space="0" w:color="auto"/>
            <w:right w:val="none" w:sz="0" w:space="0" w:color="auto"/>
          </w:divBdr>
        </w:div>
        <w:div w:id="200167419">
          <w:marLeft w:val="864"/>
          <w:marRight w:val="0"/>
          <w:marTop w:val="0"/>
          <w:marBottom w:val="82"/>
          <w:divBdr>
            <w:top w:val="none" w:sz="0" w:space="0" w:color="auto"/>
            <w:left w:val="none" w:sz="0" w:space="0" w:color="auto"/>
            <w:bottom w:val="none" w:sz="0" w:space="0" w:color="auto"/>
            <w:right w:val="none" w:sz="0" w:space="0" w:color="auto"/>
          </w:divBdr>
        </w:div>
        <w:div w:id="2139446872">
          <w:marLeft w:val="864"/>
          <w:marRight w:val="0"/>
          <w:marTop w:val="0"/>
          <w:marBottom w:val="82"/>
          <w:divBdr>
            <w:top w:val="none" w:sz="0" w:space="0" w:color="auto"/>
            <w:left w:val="none" w:sz="0" w:space="0" w:color="auto"/>
            <w:bottom w:val="none" w:sz="0" w:space="0" w:color="auto"/>
            <w:right w:val="none" w:sz="0" w:space="0" w:color="auto"/>
          </w:divBdr>
        </w:div>
        <w:div w:id="83765042">
          <w:marLeft w:val="864"/>
          <w:marRight w:val="0"/>
          <w:marTop w:val="0"/>
          <w:marBottom w:val="82"/>
          <w:divBdr>
            <w:top w:val="none" w:sz="0" w:space="0" w:color="auto"/>
            <w:left w:val="none" w:sz="0" w:space="0" w:color="auto"/>
            <w:bottom w:val="none" w:sz="0" w:space="0" w:color="auto"/>
            <w:right w:val="none" w:sz="0" w:space="0" w:color="auto"/>
          </w:divBdr>
        </w:div>
        <w:div w:id="1301882241">
          <w:marLeft w:val="864"/>
          <w:marRight w:val="0"/>
          <w:marTop w:val="0"/>
          <w:marBottom w:val="82"/>
          <w:divBdr>
            <w:top w:val="none" w:sz="0" w:space="0" w:color="auto"/>
            <w:left w:val="none" w:sz="0" w:space="0" w:color="auto"/>
            <w:bottom w:val="none" w:sz="0" w:space="0" w:color="auto"/>
            <w:right w:val="none" w:sz="0" w:space="0" w:color="auto"/>
          </w:divBdr>
        </w:div>
        <w:div w:id="1566839667">
          <w:marLeft w:val="864"/>
          <w:marRight w:val="0"/>
          <w:marTop w:val="0"/>
          <w:marBottom w:val="82"/>
          <w:divBdr>
            <w:top w:val="none" w:sz="0" w:space="0" w:color="auto"/>
            <w:left w:val="none" w:sz="0" w:space="0" w:color="auto"/>
            <w:bottom w:val="none" w:sz="0" w:space="0" w:color="auto"/>
            <w:right w:val="none" w:sz="0" w:space="0" w:color="auto"/>
          </w:divBdr>
        </w:div>
        <w:div w:id="820386765">
          <w:marLeft w:val="0"/>
          <w:marRight w:val="0"/>
          <w:marTop w:val="0"/>
          <w:marBottom w:val="82"/>
          <w:divBdr>
            <w:top w:val="none" w:sz="0" w:space="0" w:color="auto"/>
            <w:left w:val="none" w:sz="0" w:space="0" w:color="auto"/>
            <w:bottom w:val="none" w:sz="0" w:space="0" w:color="auto"/>
            <w:right w:val="none" w:sz="0" w:space="0" w:color="auto"/>
          </w:divBdr>
        </w:div>
        <w:div w:id="433667297">
          <w:marLeft w:val="0"/>
          <w:marRight w:val="0"/>
          <w:marTop w:val="0"/>
          <w:marBottom w:val="82"/>
          <w:divBdr>
            <w:top w:val="none" w:sz="0" w:space="0" w:color="auto"/>
            <w:left w:val="none" w:sz="0" w:space="0" w:color="auto"/>
            <w:bottom w:val="none" w:sz="0" w:space="0" w:color="auto"/>
            <w:right w:val="none" w:sz="0" w:space="0" w:color="auto"/>
          </w:divBdr>
        </w:div>
        <w:div w:id="316228430">
          <w:marLeft w:val="0"/>
          <w:marRight w:val="0"/>
          <w:marTop w:val="0"/>
          <w:marBottom w:val="82"/>
          <w:divBdr>
            <w:top w:val="none" w:sz="0" w:space="0" w:color="auto"/>
            <w:left w:val="none" w:sz="0" w:space="0" w:color="auto"/>
            <w:bottom w:val="none" w:sz="0" w:space="0" w:color="auto"/>
            <w:right w:val="none" w:sz="0" w:space="0" w:color="auto"/>
          </w:divBdr>
        </w:div>
        <w:div w:id="310988862">
          <w:marLeft w:val="0"/>
          <w:marRight w:val="0"/>
          <w:marTop w:val="0"/>
          <w:marBottom w:val="82"/>
          <w:divBdr>
            <w:top w:val="none" w:sz="0" w:space="0" w:color="auto"/>
            <w:left w:val="none" w:sz="0" w:space="0" w:color="auto"/>
            <w:bottom w:val="none" w:sz="0" w:space="0" w:color="auto"/>
            <w:right w:val="none" w:sz="0" w:space="0" w:color="auto"/>
          </w:divBdr>
        </w:div>
        <w:div w:id="216474339">
          <w:marLeft w:val="0"/>
          <w:marRight w:val="0"/>
          <w:marTop w:val="0"/>
          <w:marBottom w:val="82"/>
          <w:divBdr>
            <w:top w:val="none" w:sz="0" w:space="0" w:color="auto"/>
            <w:left w:val="none" w:sz="0" w:space="0" w:color="auto"/>
            <w:bottom w:val="none" w:sz="0" w:space="0" w:color="auto"/>
            <w:right w:val="none" w:sz="0" w:space="0" w:color="auto"/>
          </w:divBdr>
        </w:div>
        <w:div w:id="1776516323">
          <w:marLeft w:val="0"/>
          <w:marRight w:val="0"/>
          <w:marTop w:val="0"/>
          <w:marBottom w:val="82"/>
          <w:divBdr>
            <w:top w:val="none" w:sz="0" w:space="0" w:color="auto"/>
            <w:left w:val="none" w:sz="0" w:space="0" w:color="auto"/>
            <w:bottom w:val="none" w:sz="0" w:space="0" w:color="auto"/>
            <w:right w:val="none" w:sz="0" w:space="0" w:color="auto"/>
          </w:divBdr>
        </w:div>
        <w:div w:id="1234508885">
          <w:marLeft w:val="0"/>
          <w:marRight w:val="0"/>
          <w:marTop w:val="0"/>
          <w:marBottom w:val="101"/>
          <w:divBdr>
            <w:top w:val="none" w:sz="0" w:space="0" w:color="auto"/>
            <w:left w:val="none" w:sz="0" w:space="0" w:color="auto"/>
            <w:bottom w:val="none" w:sz="0" w:space="0" w:color="auto"/>
            <w:right w:val="none" w:sz="0" w:space="0" w:color="auto"/>
          </w:divBdr>
        </w:div>
        <w:div w:id="1937128200">
          <w:marLeft w:val="0"/>
          <w:marRight w:val="0"/>
          <w:marTop w:val="0"/>
          <w:marBottom w:val="101"/>
          <w:divBdr>
            <w:top w:val="none" w:sz="0" w:space="0" w:color="auto"/>
            <w:left w:val="none" w:sz="0" w:space="0" w:color="auto"/>
            <w:bottom w:val="none" w:sz="0" w:space="0" w:color="auto"/>
            <w:right w:val="none" w:sz="0" w:space="0" w:color="auto"/>
          </w:divBdr>
        </w:div>
        <w:div w:id="1273244337">
          <w:marLeft w:val="864"/>
          <w:marRight w:val="0"/>
          <w:marTop w:val="0"/>
          <w:marBottom w:val="101"/>
          <w:divBdr>
            <w:top w:val="none" w:sz="0" w:space="0" w:color="auto"/>
            <w:left w:val="none" w:sz="0" w:space="0" w:color="auto"/>
            <w:bottom w:val="none" w:sz="0" w:space="0" w:color="auto"/>
            <w:right w:val="none" w:sz="0" w:space="0" w:color="auto"/>
          </w:divBdr>
        </w:div>
        <w:div w:id="1622762268">
          <w:marLeft w:val="1339"/>
          <w:marRight w:val="0"/>
          <w:marTop w:val="0"/>
          <w:marBottom w:val="101"/>
          <w:divBdr>
            <w:top w:val="none" w:sz="0" w:space="0" w:color="auto"/>
            <w:left w:val="none" w:sz="0" w:space="0" w:color="auto"/>
            <w:bottom w:val="none" w:sz="0" w:space="0" w:color="auto"/>
            <w:right w:val="none" w:sz="0" w:space="0" w:color="auto"/>
          </w:divBdr>
        </w:div>
        <w:div w:id="1369646848">
          <w:marLeft w:val="1339"/>
          <w:marRight w:val="0"/>
          <w:marTop w:val="0"/>
          <w:marBottom w:val="101"/>
          <w:divBdr>
            <w:top w:val="none" w:sz="0" w:space="0" w:color="auto"/>
            <w:left w:val="none" w:sz="0" w:space="0" w:color="auto"/>
            <w:bottom w:val="none" w:sz="0" w:space="0" w:color="auto"/>
            <w:right w:val="none" w:sz="0" w:space="0" w:color="auto"/>
          </w:divBdr>
        </w:div>
        <w:div w:id="729502062">
          <w:marLeft w:val="1339"/>
          <w:marRight w:val="0"/>
          <w:marTop w:val="0"/>
          <w:marBottom w:val="101"/>
          <w:divBdr>
            <w:top w:val="none" w:sz="0" w:space="0" w:color="auto"/>
            <w:left w:val="none" w:sz="0" w:space="0" w:color="auto"/>
            <w:bottom w:val="none" w:sz="0" w:space="0" w:color="auto"/>
            <w:right w:val="none" w:sz="0" w:space="0" w:color="auto"/>
          </w:divBdr>
        </w:div>
        <w:div w:id="2055225799">
          <w:marLeft w:val="1339"/>
          <w:marRight w:val="0"/>
          <w:marTop w:val="0"/>
          <w:marBottom w:val="101"/>
          <w:divBdr>
            <w:top w:val="none" w:sz="0" w:space="0" w:color="auto"/>
            <w:left w:val="none" w:sz="0" w:space="0" w:color="auto"/>
            <w:bottom w:val="none" w:sz="0" w:space="0" w:color="auto"/>
            <w:right w:val="none" w:sz="0" w:space="0" w:color="auto"/>
          </w:divBdr>
        </w:div>
        <w:div w:id="296840631">
          <w:marLeft w:val="864"/>
          <w:marRight w:val="0"/>
          <w:marTop w:val="0"/>
          <w:marBottom w:val="101"/>
          <w:divBdr>
            <w:top w:val="none" w:sz="0" w:space="0" w:color="auto"/>
            <w:left w:val="none" w:sz="0" w:space="0" w:color="auto"/>
            <w:bottom w:val="none" w:sz="0" w:space="0" w:color="auto"/>
            <w:right w:val="none" w:sz="0" w:space="0" w:color="auto"/>
          </w:divBdr>
        </w:div>
        <w:div w:id="934827543">
          <w:marLeft w:val="0"/>
          <w:marRight w:val="0"/>
          <w:marTop w:val="0"/>
          <w:marBottom w:val="101"/>
          <w:divBdr>
            <w:top w:val="none" w:sz="0" w:space="0" w:color="auto"/>
            <w:left w:val="none" w:sz="0" w:space="0" w:color="auto"/>
            <w:bottom w:val="none" w:sz="0" w:space="0" w:color="auto"/>
            <w:right w:val="none" w:sz="0" w:space="0" w:color="auto"/>
          </w:divBdr>
        </w:div>
        <w:div w:id="1150251749">
          <w:marLeft w:val="0"/>
          <w:marRight w:val="0"/>
          <w:marTop w:val="0"/>
          <w:marBottom w:val="101"/>
          <w:divBdr>
            <w:top w:val="none" w:sz="0" w:space="0" w:color="auto"/>
            <w:left w:val="none" w:sz="0" w:space="0" w:color="auto"/>
            <w:bottom w:val="none" w:sz="0" w:space="0" w:color="auto"/>
            <w:right w:val="none" w:sz="0" w:space="0" w:color="auto"/>
          </w:divBdr>
        </w:div>
        <w:div w:id="1918443541">
          <w:marLeft w:val="0"/>
          <w:marRight w:val="0"/>
          <w:marTop w:val="0"/>
          <w:marBottom w:val="101"/>
          <w:divBdr>
            <w:top w:val="none" w:sz="0" w:space="0" w:color="auto"/>
            <w:left w:val="none" w:sz="0" w:space="0" w:color="auto"/>
            <w:bottom w:val="none" w:sz="0" w:space="0" w:color="auto"/>
            <w:right w:val="none" w:sz="0" w:space="0" w:color="auto"/>
          </w:divBdr>
        </w:div>
        <w:div w:id="1371875491">
          <w:marLeft w:val="0"/>
          <w:marRight w:val="0"/>
          <w:marTop w:val="0"/>
          <w:marBottom w:val="101"/>
          <w:divBdr>
            <w:top w:val="none" w:sz="0" w:space="0" w:color="auto"/>
            <w:left w:val="none" w:sz="0" w:space="0" w:color="auto"/>
            <w:bottom w:val="none" w:sz="0" w:space="0" w:color="auto"/>
            <w:right w:val="none" w:sz="0" w:space="0" w:color="auto"/>
          </w:divBdr>
        </w:div>
        <w:div w:id="2112312812">
          <w:marLeft w:val="864"/>
          <w:marRight w:val="0"/>
          <w:marTop w:val="0"/>
          <w:marBottom w:val="101"/>
          <w:divBdr>
            <w:top w:val="none" w:sz="0" w:space="0" w:color="auto"/>
            <w:left w:val="none" w:sz="0" w:space="0" w:color="auto"/>
            <w:bottom w:val="none" w:sz="0" w:space="0" w:color="auto"/>
            <w:right w:val="none" w:sz="0" w:space="0" w:color="auto"/>
          </w:divBdr>
        </w:div>
        <w:div w:id="1460880278">
          <w:marLeft w:val="0"/>
          <w:marRight w:val="0"/>
          <w:marTop w:val="0"/>
          <w:marBottom w:val="101"/>
          <w:divBdr>
            <w:top w:val="none" w:sz="0" w:space="0" w:color="auto"/>
            <w:left w:val="none" w:sz="0" w:space="0" w:color="auto"/>
            <w:bottom w:val="none" w:sz="0" w:space="0" w:color="auto"/>
            <w:right w:val="none" w:sz="0" w:space="0" w:color="auto"/>
          </w:divBdr>
        </w:div>
        <w:div w:id="1554347621">
          <w:marLeft w:val="864"/>
          <w:marRight w:val="0"/>
          <w:marTop w:val="0"/>
          <w:marBottom w:val="101"/>
          <w:divBdr>
            <w:top w:val="none" w:sz="0" w:space="0" w:color="auto"/>
            <w:left w:val="none" w:sz="0" w:space="0" w:color="auto"/>
            <w:bottom w:val="none" w:sz="0" w:space="0" w:color="auto"/>
            <w:right w:val="none" w:sz="0" w:space="0" w:color="auto"/>
          </w:divBdr>
        </w:div>
        <w:div w:id="633488171">
          <w:marLeft w:val="0"/>
          <w:marRight w:val="0"/>
          <w:marTop w:val="0"/>
          <w:marBottom w:val="101"/>
          <w:divBdr>
            <w:top w:val="none" w:sz="0" w:space="0" w:color="auto"/>
            <w:left w:val="none" w:sz="0" w:space="0" w:color="auto"/>
            <w:bottom w:val="none" w:sz="0" w:space="0" w:color="auto"/>
            <w:right w:val="none" w:sz="0" w:space="0" w:color="auto"/>
          </w:divBdr>
        </w:div>
        <w:div w:id="2002077781">
          <w:marLeft w:val="0"/>
          <w:marRight w:val="0"/>
          <w:marTop w:val="0"/>
          <w:marBottom w:val="101"/>
          <w:divBdr>
            <w:top w:val="none" w:sz="0" w:space="0" w:color="auto"/>
            <w:left w:val="none" w:sz="0" w:space="0" w:color="auto"/>
            <w:bottom w:val="none" w:sz="0" w:space="0" w:color="auto"/>
            <w:right w:val="none" w:sz="0" w:space="0" w:color="auto"/>
          </w:divBdr>
        </w:div>
        <w:div w:id="256721362">
          <w:marLeft w:val="864"/>
          <w:marRight w:val="0"/>
          <w:marTop w:val="0"/>
          <w:marBottom w:val="101"/>
          <w:divBdr>
            <w:top w:val="none" w:sz="0" w:space="0" w:color="auto"/>
            <w:left w:val="none" w:sz="0" w:space="0" w:color="auto"/>
            <w:bottom w:val="none" w:sz="0" w:space="0" w:color="auto"/>
            <w:right w:val="none" w:sz="0" w:space="0" w:color="auto"/>
          </w:divBdr>
        </w:div>
        <w:div w:id="612051965">
          <w:marLeft w:val="864"/>
          <w:marRight w:val="0"/>
          <w:marTop w:val="0"/>
          <w:marBottom w:val="101"/>
          <w:divBdr>
            <w:top w:val="none" w:sz="0" w:space="0" w:color="auto"/>
            <w:left w:val="none" w:sz="0" w:space="0" w:color="auto"/>
            <w:bottom w:val="none" w:sz="0" w:space="0" w:color="auto"/>
            <w:right w:val="none" w:sz="0" w:space="0" w:color="auto"/>
          </w:divBdr>
        </w:div>
        <w:div w:id="341662126">
          <w:marLeft w:val="864"/>
          <w:marRight w:val="0"/>
          <w:marTop w:val="0"/>
          <w:marBottom w:val="101"/>
          <w:divBdr>
            <w:top w:val="none" w:sz="0" w:space="0" w:color="auto"/>
            <w:left w:val="none" w:sz="0" w:space="0" w:color="auto"/>
            <w:bottom w:val="none" w:sz="0" w:space="0" w:color="auto"/>
            <w:right w:val="none" w:sz="0" w:space="0" w:color="auto"/>
          </w:divBdr>
        </w:div>
        <w:div w:id="231237043">
          <w:marLeft w:val="864"/>
          <w:marRight w:val="0"/>
          <w:marTop w:val="0"/>
          <w:marBottom w:val="101"/>
          <w:divBdr>
            <w:top w:val="none" w:sz="0" w:space="0" w:color="auto"/>
            <w:left w:val="none" w:sz="0" w:space="0" w:color="auto"/>
            <w:bottom w:val="none" w:sz="0" w:space="0" w:color="auto"/>
            <w:right w:val="none" w:sz="0" w:space="0" w:color="auto"/>
          </w:divBdr>
        </w:div>
        <w:div w:id="767890148">
          <w:marLeft w:val="0"/>
          <w:marRight w:val="0"/>
          <w:marTop w:val="0"/>
          <w:marBottom w:val="101"/>
          <w:divBdr>
            <w:top w:val="none" w:sz="0" w:space="0" w:color="auto"/>
            <w:left w:val="none" w:sz="0" w:space="0" w:color="auto"/>
            <w:bottom w:val="none" w:sz="0" w:space="0" w:color="auto"/>
            <w:right w:val="none" w:sz="0" w:space="0" w:color="auto"/>
          </w:divBdr>
        </w:div>
        <w:div w:id="1183979717">
          <w:marLeft w:val="0"/>
          <w:marRight w:val="0"/>
          <w:marTop w:val="0"/>
          <w:marBottom w:val="101"/>
          <w:divBdr>
            <w:top w:val="none" w:sz="0" w:space="0" w:color="auto"/>
            <w:left w:val="none" w:sz="0" w:space="0" w:color="auto"/>
            <w:bottom w:val="none" w:sz="0" w:space="0" w:color="auto"/>
            <w:right w:val="none" w:sz="0" w:space="0" w:color="auto"/>
          </w:divBdr>
        </w:div>
        <w:div w:id="1525050016">
          <w:marLeft w:val="864"/>
          <w:marRight w:val="0"/>
          <w:marTop w:val="0"/>
          <w:marBottom w:val="101"/>
          <w:divBdr>
            <w:top w:val="none" w:sz="0" w:space="0" w:color="auto"/>
            <w:left w:val="none" w:sz="0" w:space="0" w:color="auto"/>
            <w:bottom w:val="none" w:sz="0" w:space="0" w:color="auto"/>
            <w:right w:val="none" w:sz="0" w:space="0" w:color="auto"/>
          </w:divBdr>
        </w:div>
        <w:div w:id="498891209">
          <w:marLeft w:val="864"/>
          <w:marRight w:val="0"/>
          <w:marTop w:val="0"/>
          <w:marBottom w:val="101"/>
          <w:divBdr>
            <w:top w:val="none" w:sz="0" w:space="0" w:color="auto"/>
            <w:left w:val="none" w:sz="0" w:space="0" w:color="auto"/>
            <w:bottom w:val="none" w:sz="0" w:space="0" w:color="auto"/>
            <w:right w:val="none" w:sz="0" w:space="0" w:color="auto"/>
          </w:divBdr>
        </w:div>
        <w:div w:id="1306012638">
          <w:marLeft w:val="864"/>
          <w:marRight w:val="0"/>
          <w:marTop w:val="0"/>
          <w:marBottom w:val="101"/>
          <w:divBdr>
            <w:top w:val="none" w:sz="0" w:space="0" w:color="auto"/>
            <w:left w:val="none" w:sz="0" w:space="0" w:color="auto"/>
            <w:bottom w:val="none" w:sz="0" w:space="0" w:color="auto"/>
            <w:right w:val="none" w:sz="0" w:space="0" w:color="auto"/>
          </w:divBdr>
        </w:div>
        <w:div w:id="1734311675">
          <w:marLeft w:val="864"/>
          <w:marRight w:val="0"/>
          <w:marTop w:val="0"/>
          <w:marBottom w:val="101"/>
          <w:divBdr>
            <w:top w:val="none" w:sz="0" w:space="0" w:color="auto"/>
            <w:left w:val="none" w:sz="0" w:space="0" w:color="auto"/>
            <w:bottom w:val="none" w:sz="0" w:space="0" w:color="auto"/>
            <w:right w:val="none" w:sz="0" w:space="0" w:color="auto"/>
          </w:divBdr>
        </w:div>
        <w:div w:id="236524491">
          <w:marLeft w:val="0"/>
          <w:marRight w:val="0"/>
          <w:marTop w:val="0"/>
          <w:marBottom w:val="101"/>
          <w:divBdr>
            <w:top w:val="none" w:sz="0" w:space="0" w:color="auto"/>
            <w:left w:val="none" w:sz="0" w:space="0" w:color="auto"/>
            <w:bottom w:val="none" w:sz="0" w:space="0" w:color="auto"/>
            <w:right w:val="none" w:sz="0" w:space="0" w:color="auto"/>
          </w:divBdr>
        </w:div>
        <w:div w:id="1434714406">
          <w:marLeft w:val="0"/>
          <w:marRight w:val="0"/>
          <w:marTop w:val="0"/>
          <w:marBottom w:val="101"/>
          <w:divBdr>
            <w:top w:val="none" w:sz="0" w:space="0" w:color="auto"/>
            <w:left w:val="none" w:sz="0" w:space="0" w:color="auto"/>
            <w:bottom w:val="none" w:sz="0" w:space="0" w:color="auto"/>
            <w:right w:val="none" w:sz="0" w:space="0" w:color="auto"/>
          </w:divBdr>
        </w:div>
        <w:div w:id="556598860">
          <w:marLeft w:val="0"/>
          <w:marRight w:val="0"/>
          <w:marTop w:val="0"/>
          <w:marBottom w:val="101"/>
          <w:divBdr>
            <w:top w:val="none" w:sz="0" w:space="0" w:color="auto"/>
            <w:left w:val="none" w:sz="0" w:space="0" w:color="auto"/>
            <w:bottom w:val="none" w:sz="0" w:space="0" w:color="auto"/>
            <w:right w:val="none" w:sz="0" w:space="0" w:color="auto"/>
          </w:divBdr>
        </w:div>
        <w:div w:id="423957895">
          <w:marLeft w:val="864"/>
          <w:marRight w:val="0"/>
          <w:marTop w:val="0"/>
          <w:marBottom w:val="101"/>
          <w:divBdr>
            <w:top w:val="none" w:sz="0" w:space="0" w:color="auto"/>
            <w:left w:val="none" w:sz="0" w:space="0" w:color="auto"/>
            <w:bottom w:val="none" w:sz="0" w:space="0" w:color="auto"/>
            <w:right w:val="none" w:sz="0" w:space="0" w:color="auto"/>
          </w:divBdr>
        </w:div>
        <w:div w:id="1832484587">
          <w:marLeft w:val="864"/>
          <w:marRight w:val="0"/>
          <w:marTop w:val="0"/>
          <w:marBottom w:val="101"/>
          <w:divBdr>
            <w:top w:val="none" w:sz="0" w:space="0" w:color="auto"/>
            <w:left w:val="none" w:sz="0" w:space="0" w:color="auto"/>
            <w:bottom w:val="none" w:sz="0" w:space="0" w:color="auto"/>
            <w:right w:val="none" w:sz="0" w:space="0" w:color="auto"/>
          </w:divBdr>
        </w:div>
        <w:div w:id="733940885">
          <w:marLeft w:val="864"/>
          <w:marRight w:val="0"/>
          <w:marTop w:val="0"/>
          <w:marBottom w:val="101"/>
          <w:divBdr>
            <w:top w:val="none" w:sz="0" w:space="0" w:color="auto"/>
            <w:left w:val="none" w:sz="0" w:space="0" w:color="auto"/>
            <w:bottom w:val="none" w:sz="0" w:space="0" w:color="auto"/>
            <w:right w:val="none" w:sz="0" w:space="0" w:color="auto"/>
          </w:divBdr>
        </w:div>
        <w:div w:id="980234020">
          <w:marLeft w:val="864"/>
          <w:marRight w:val="0"/>
          <w:marTop w:val="0"/>
          <w:marBottom w:val="101"/>
          <w:divBdr>
            <w:top w:val="none" w:sz="0" w:space="0" w:color="auto"/>
            <w:left w:val="none" w:sz="0" w:space="0" w:color="auto"/>
            <w:bottom w:val="none" w:sz="0" w:space="0" w:color="auto"/>
            <w:right w:val="none" w:sz="0" w:space="0" w:color="auto"/>
          </w:divBdr>
        </w:div>
        <w:div w:id="501092534">
          <w:marLeft w:val="0"/>
          <w:marRight w:val="0"/>
          <w:marTop w:val="0"/>
          <w:marBottom w:val="101"/>
          <w:divBdr>
            <w:top w:val="none" w:sz="0" w:space="0" w:color="auto"/>
            <w:left w:val="none" w:sz="0" w:space="0" w:color="auto"/>
            <w:bottom w:val="none" w:sz="0" w:space="0" w:color="auto"/>
            <w:right w:val="none" w:sz="0" w:space="0" w:color="auto"/>
          </w:divBdr>
        </w:div>
        <w:div w:id="616791302">
          <w:marLeft w:val="864"/>
          <w:marRight w:val="0"/>
          <w:marTop w:val="0"/>
          <w:marBottom w:val="101"/>
          <w:divBdr>
            <w:top w:val="none" w:sz="0" w:space="0" w:color="auto"/>
            <w:left w:val="none" w:sz="0" w:space="0" w:color="auto"/>
            <w:bottom w:val="none" w:sz="0" w:space="0" w:color="auto"/>
            <w:right w:val="none" w:sz="0" w:space="0" w:color="auto"/>
          </w:divBdr>
        </w:div>
        <w:div w:id="148442048">
          <w:marLeft w:val="864"/>
          <w:marRight w:val="0"/>
          <w:marTop w:val="0"/>
          <w:marBottom w:val="101"/>
          <w:divBdr>
            <w:top w:val="none" w:sz="0" w:space="0" w:color="auto"/>
            <w:left w:val="none" w:sz="0" w:space="0" w:color="auto"/>
            <w:bottom w:val="none" w:sz="0" w:space="0" w:color="auto"/>
            <w:right w:val="none" w:sz="0" w:space="0" w:color="auto"/>
          </w:divBdr>
        </w:div>
        <w:div w:id="1100879063">
          <w:marLeft w:val="864"/>
          <w:marRight w:val="0"/>
          <w:marTop w:val="0"/>
          <w:marBottom w:val="101"/>
          <w:divBdr>
            <w:top w:val="none" w:sz="0" w:space="0" w:color="auto"/>
            <w:left w:val="none" w:sz="0" w:space="0" w:color="auto"/>
            <w:bottom w:val="none" w:sz="0" w:space="0" w:color="auto"/>
            <w:right w:val="none" w:sz="0" w:space="0" w:color="auto"/>
          </w:divBdr>
        </w:div>
        <w:div w:id="305820971">
          <w:marLeft w:val="864"/>
          <w:marRight w:val="0"/>
          <w:marTop w:val="0"/>
          <w:marBottom w:val="101"/>
          <w:divBdr>
            <w:top w:val="none" w:sz="0" w:space="0" w:color="auto"/>
            <w:left w:val="none" w:sz="0" w:space="0" w:color="auto"/>
            <w:bottom w:val="none" w:sz="0" w:space="0" w:color="auto"/>
            <w:right w:val="none" w:sz="0" w:space="0" w:color="auto"/>
          </w:divBdr>
        </w:div>
        <w:div w:id="742333475">
          <w:marLeft w:val="0"/>
          <w:marRight w:val="0"/>
          <w:marTop w:val="0"/>
          <w:marBottom w:val="101"/>
          <w:divBdr>
            <w:top w:val="none" w:sz="0" w:space="0" w:color="auto"/>
            <w:left w:val="none" w:sz="0" w:space="0" w:color="auto"/>
            <w:bottom w:val="none" w:sz="0" w:space="0" w:color="auto"/>
            <w:right w:val="none" w:sz="0" w:space="0" w:color="auto"/>
          </w:divBdr>
        </w:div>
        <w:div w:id="1899437142">
          <w:marLeft w:val="0"/>
          <w:marRight w:val="0"/>
          <w:marTop w:val="0"/>
          <w:marBottom w:val="101"/>
          <w:divBdr>
            <w:top w:val="none" w:sz="0" w:space="0" w:color="auto"/>
            <w:left w:val="none" w:sz="0" w:space="0" w:color="auto"/>
            <w:bottom w:val="none" w:sz="0" w:space="0" w:color="auto"/>
            <w:right w:val="none" w:sz="0" w:space="0" w:color="auto"/>
          </w:divBdr>
        </w:div>
        <w:div w:id="230777129">
          <w:marLeft w:val="0"/>
          <w:marRight w:val="0"/>
          <w:marTop w:val="0"/>
          <w:marBottom w:val="101"/>
          <w:divBdr>
            <w:top w:val="none" w:sz="0" w:space="0" w:color="auto"/>
            <w:left w:val="none" w:sz="0" w:space="0" w:color="auto"/>
            <w:bottom w:val="none" w:sz="0" w:space="0" w:color="auto"/>
            <w:right w:val="none" w:sz="0" w:space="0" w:color="auto"/>
          </w:divBdr>
        </w:div>
        <w:div w:id="270623360">
          <w:marLeft w:val="0"/>
          <w:marRight w:val="0"/>
          <w:marTop w:val="0"/>
          <w:marBottom w:val="101"/>
          <w:divBdr>
            <w:top w:val="none" w:sz="0" w:space="0" w:color="auto"/>
            <w:left w:val="none" w:sz="0" w:space="0" w:color="auto"/>
            <w:bottom w:val="none" w:sz="0" w:space="0" w:color="auto"/>
            <w:right w:val="none" w:sz="0" w:space="0" w:color="auto"/>
          </w:divBdr>
        </w:div>
        <w:div w:id="1672831811">
          <w:marLeft w:val="0"/>
          <w:marRight w:val="0"/>
          <w:marTop w:val="0"/>
          <w:marBottom w:val="101"/>
          <w:divBdr>
            <w:top w:val="none" w:sz="0" w:space="0" w:color="auto"/>
            <w:left w:val="none" w:sz="0" w:space="0" w:color="auto"/>
            <w:bottom w:val="none" w:sz="0" w:space="0" w:color="auto"/>
            <w:right w:val="none" w:sz="0" w:space="0" w:color="auto"/>
          </w:divBdr>
        </w:div>
        <w:div w:id="539323533">
          <w:marLeft w:val="864"/>
          <w:marRight w:val="0"/>
          <w:marTop w:val="0"/>
          <w:marBottom w:val="101"/>
          <w:divBdr>
            <w:top w:val="none" w:sz="0" w:space="0" w:color="auto"/>
            <w:left w:val="none" w:sz="0" w:space="0" w:color="auto"/>
            <w:bottom w:val="none" w:sz="0" w:space="0" w:color="auto"/>
            <w:right w:val="none" w:sz="0" w:space="0" w:color="auto"/>
          </w:divBdr>
        </w:div>
        <w:div w:id="333076579">
          <w:marLeft w:val="864"/>
          <w:marRight w:val="0"/>
          <w:marTop w:val="0"/>
          <w:marBottom w:val="101"/>
          <w:divBdr>
            <w:top w:val="none" w:sz="0" w:space="0" w:color="auto"/>
            <w:left w:val="none" w:sz="0" w:space="0" w:color="auto"/>
            <w:bottom w:val="none" w:sz="0" w:space="0" w:color="auto"/>
            <w:right w:val="none" w:sz="0" w:space="0" w:color="auto"/>
          </w:divBdr>
        </w:div>
        <w:div w:id="2016153509">
          <w:marLeft w:val="0"/>
          <w:marRight w:val="0"/>
          <w:marTop w:val="0"/>
          <w:marBottom w:val="101"/>
          <w:divBdr>
            <w:top w:val="none" w:sz="0" w:space="0" w:color="auto"/>
            <w:left w:val="none" w:sz="0" w:space="0" w:color="auto"/>
            <w:bottom w:val="none" w:sz="0" w:space="0" w:color="auto"/>
            <w:right w:val="none" w:sz="0" w:space="0" w:color="auto"/>
          </w:divBdr>
        </w:div>
        <w:div w:id="1233076646">
          <w:marLeft w:val="864"/>
          <w:marRight w:val="0"/>
          <w:marTop w:val="0"/>
          <w:marBottom w:val="101"/>
          <w:divBdr>
            <w:top w:val="none" w:sz="0" w:space="0" w:color="auto"/>
            <w:left w:val="none" w:sz="0" w:space="0" w:color="auto"/>
            <w:bottom w:val="none" w:sz="0" w:space="0" w:color="auto"/>
            <w:right w:val="none" w:sz="0" w:space="0" w:color="auto"/>
          </w:divBdr>
        </w:div>
        <w:div w:id="382363859">
          <w:marLeft w:val="864"/>
          <w:marRight w:val="0"/>
          <w:marTop w:val="0"/>
          <w:marBottom w:val="101"/>
          <w:divBdr>
            <w:top w:val="none" w:sz="0" w:space="0" w:color="auto"/>
            <w:left w:val="none" w:sz="0" w:space="0" w:color="auto"/>
            <w:bottom w:val="none" w:sz="0" w:space="0" w:color="auto"/>
            <w:right w:val="none" w:sz="0" w:space="0" w:color="auto"/>
          </w:divBdr>
        </w:div>
        <w:div w:id="41103302">
          <w:marLeft w:val="864"/>
          <w:marRight w:val="0"/>
          <w:marTop w:val="0"/>
          <w:marBottom w:val="101"/>
          <w:divBdr>
            <w:top w:val="none" w:sz="0" w:space="0" w:color="auto"/>
            <w:left w:val="none" w:sz="0" w:space="0" w:color="auto"/>
            <w:bottom w:val="none" w:sz="0" w:space="0" w:color="auto"/>
            <w:right w:val="none" w:sz="0" w:space="0" w:color="auto"/>
          </w:divBdr>
        </w:div>
        <w:div w:id="1545291010">
          <w:marLeft w:val="864"/>
          <w:marRight w:val="0"/>
          <w:marTop w:val="0"/>
          <w:marBottom w:val="101"/>
          <w:divBdr>
            <w:top w:val="none" w:sz="0" w:space="0" w:color="auto"/>
            <w:left w:val="none" w:sz="0" w:space="0" w:color="auto"/>
            <w:bottom w:val="none" w:sz="0" w:space="0" w:color="auto"/>
            <w:right w:val="none" w:sz="0" w:space="0" w:color="auto"/>
          </w:divBdr>
        </w:div>
        <w:div w:id="1868637599">
          <w:marLeft w:val="0"/>
          <w:marRight w:val="0"/>
          <w:marTop w:val="0"/>
          <w:marBottom w:val="101"/>
          <w:divBdr>
            <w:top w:val="none" w:sz="0" w:space="0" w:color="auto"/>
            <w:left w:val="none" w:sz="0" w:space="0" w:color="auto"/>
            <w:bottom w:val="none" w:sz="0" w:space="0" w:color="auto"/>
            <w:right w:val="none" w:sz="0" w:space="0" w:color="auto"/>
          </w:divBdr>
        </w:div>
        <w:div w:id="1220091312">
          <w:marLeft w:val="0"/>
          <w:marRight w:val="0"/>
          <w:marTop w:val="0"/>
          <w:marBottom w:val="101"/>
          <w:divBdr>
            <w:top w:val="none" w:sz="0" w:space="0" w:color="auto"/>
            <w:left w:val="none" w:sz="0" w:space="0" w:color="auto"/>
            <w:bottom w:val="none" w:sz="0" w:space="0" w:color="auto"/>
            <w:right w:val="none" w:sz="0" w:space="0" w:color="auto"/>
          </w:divBdr>
        </w:div>
        <w:div w:id="206647140">
          <w:marLeft w:val="864"/>
          <w:marRight w:val="0"/>
          <w:marTop w:val="0"/>
          <w:marBottom w:val="101"/>
          <w:divBdr>
            <w:top w:val="none" w:sz="0" w:space="0" w:color="auto"/>
            <w:left w:val="none" w:sz="0" w:space="0" w:color="auto"/>
            <w:bottom w:val="none" w:sz="0" w:space="0" w:color="auto"/>
            <w:right w:val="none" w:sz="0" w:space="0" w:color="auto"/>
          </w:divBdr>
        </w:div>
        <w:div w:id="936137849">
          <w:marLeft w:val="864"/>
          <w:marRight w:val="0"/>
          <w:marTop w:val="0"/>
          <w:marBottom w:val="101"/>
          <w:divBdr>
            <w:top w:val="none" w:sz="0" w:space="0" w:color="auto"/>
            <w:left w:val="none" w:sz="0" w:space="0" w:color="auto"/>
            <w:bottom w:val="none" w:sz="0" w:space="0" w:color="auto"/>
            <w:right w:val="none" w:sz="0" w:space="0" w:color="auto"/>
          </w:divBdr>
        </w:div>
        <w:div w:id="1139104981">
          <w:marLeft w:val="0"/>
          <w:marRight w:val="0"/>
          <w:marTop w:val="0"/>
          <w:marBottom w:val="101"/>
          <w:divBdr>
            <w:top w:val="none" w:sz="0" w:space="0" w:color="auto"/>
            <w:left w:val="none" w:sz="0" w:space="0" w:color="auto"/>
            <w:bottom w:val="none" w:sz="0" w:space="0" w:color="auto"/>
            <w:right w:val="none" w:sz="0" w:space="0" w:color="auto"/>
          </w:divBdr>
        </w:div>
        <w:div w:id="1888254162">
          <w:marLeft w:val="0"/>
          <w:marRight w:val="0"/>
          <w:marTop w:val="0"/>
          <w:marBottom w:val="101"/>
          <w:divBdr>
            <w:top w:val="none" w:sz="0" w:space="0" w:color="auto"/>
            <w:left w:val="none" w:sz="0" w:space="0" w:color="auto"/>
            <w:bottom w:val="none" w:sz="0" w:space="0" w:color="auto"/>
            <w:right w:val="none" w:sz="0" w:space="0" w:color="auto"/>
          </w:divBdr>
        </w:div>
        <w:div w:id="728460449">
          <w:marLeft w:val="0"/>
          <w:marRight w:val="0"/>
          <w:marTop w:val="0"/>
          <w:marBottom w:val="101"/>
          <w:divBdr>
            <w:top w:val="none" w:sz="0" w:space="0" w:color="auto"/>
            <w:left w:val="none" w:sz="0" w:space="0" w:color="auto"/>
            <w:bottom w:val="none" w:sz="0" w:space="0" w:color="auto"/>
            <w:right w:val="none" w:sz="0" w:space="0" w:color="auto"/>
          </w:divBdr>
        </w:div>
        <w:div w:id="319314022">
          <w:marLeft w:val="0"/>
          <w:marRight w:val="0"/>
          <w:marTop w:val="0"/>
          <w:marBottom w:val="101"/>
          <w:divBdr>
            <w:top w:val="none" w:sz="0" w:space="0" w:color="auto"/>
            <w:left w:val="none" w:sz="0" w:space="0" w:color="auto"/>
            <w:bottom w:val="none" w:sz="0" w:space="0" w:color="auto"/>
            <w:right w:val="none" w:sz="0" w:space="0" w:color="auto"/>
          </w:divBdr>
        </w:div>
        <w:div w:id="1602446888">
          <w:marLeft w:val="0"/>
          <w:marRight w:val="0"/>
          <w:marTop w:val="0"/>
          <w:marBottom w:val="101"/>
          <w:divBdr>
            <w:top w:val="none" w:sz="0" w:space="0" w:color="auto"/>
            <w:left w:val="none" w:sz="0" w:space="0" w:color="auto"/>
            <w:bottom w:val="none" w:sz="0" w:space="0" w:color="auto"/>
            <w:right w:val="none" w:sz="0" w:space="0" w:color="auto"/>
          </w:divBdr>
        </w:div>
        <w:div w:id="623580902">
          <w:marLeft w:val="0"/>
          <w:marRight w:val="0"/>
          <w:marTop w:val="0"/>
          <w:marBottom w:val="101"/>
          <w:divBdr>
            <w:top w:val="none" w:sz="0" w:space="0" w:color="auto"/>
            <w:left w:val="none" w:sz="0" w:space="0" w:color="auto"/>
            <w:bottom w:val="none" w:sz="0" w:space="0" w:color="auto"/>
            <w:right w:val="none" w:sz="0" w:space="0" w:color="auto"/>
          </w:divBdr>
        </w:div>
        <w:div w:id="290140071">
          <w:marLeft w:val="0"/>
          <w:marRight w:val="0"/>
          <w:marTop w:val="0"/>
          <w:marBottom w:val="82"/>
          <w:divBdr>
            <w:top w:val="none" w:sz="0" w:space="0" w:color="auto"/>
            <w:left w:val="none" w:sz="0" w:space="0" w:color="auto"/>
            <w:bottom w:val="none" w:sz="0" w:space="0" w:color="auto"/>
            <w:right w:val="none" w:sz="0" w:space="0" w:color="auto"/>
          </w:divBdr>
        </w:div>
        <w:div w:id="599416351">
          <w:marLeft w:val="0"/>
          <w:marRight w:val="0"/>
          <w:marTop w:val="0"/>
          <w:marBottom w:val="82"/>
          <w:divBdr>
            <w:top w:val="none" w:sz="0" w:space="0" w:color="auto"/>
            <w:left w:val="none" w:sz="0" w:space="0" w:color="auto"/>
            <w:bottom w:val="none" w:sz="0" w:space="0" w:color="auto"/>
            <w:right w:val="none" w:sz="0" w:space="0" w:color="auto"/>
          </w:divBdr>
        </w:div>
        <w:div w:id="1758555402">
          <w:marLeft w:val="864"/>
          <w:marRight w:val="0"/>
          <w:marTop w:val="0"/>
          <w:marBottom w:val="82"/>
          <w:divBdr>
            <w:top w:val="none" w:sz="0" w:space="0" w:color="auto"/>
            <w:left w:val="none" w:sz="0" w:space="0" w:color="auto"/>
            <w:bottom w:val="none" w:sz="0" w:space="0" w:color="auto"/>
            <w:right w:val="none" w:sz="0" w:space="0" w:color="auto"/>
          </w:divBdr>
        </w:div>
        <w:div w:id="772240859">
          <w:marLeft w:val="864"/>
          <w:marRight w:val="0"/>
          <w:marTop w:val="0"/>
          <w:marBottom w:val="82"/>
          <w:divBdr>
            <w:top w:val="none" w:sz="0" w:space="0" w:color="auto"/>
            <w:left w:val="none" w:sz="0" w:space="0" w:color="auto"/>
            <w:bottom w:val="none" w:sz="0" w:space="0" w:color="auto"/>
            <w:right w:val="none" w:sz="0" w:space="0" w:color="auto"/>
          </w:divBdr>
        </w:div>
        <w:div w:id="101727363">
          <w:marLeft w:val="864"/>
          <w:marRight w:val="0"/>
          <w:marTop w:val="0"/>
          <w:marBottom w:val="82"/>
          <w:divBdr>
            <w:top w:val="none" w:sz="0" w:space="0" w:color="auto"/>
            <w:left w:val="none" w:sz="0" w:space="0" w:color="auto"/>
            <w:bottom w:val="none" w:sz="0" w:space="0" w:color="auto"/>
            <w:right w:val="none" w:sz="0" w:space="0" w:color="auto"/>
          </w:divBdr>
        </w:div>
        <w:div w:id="76561668">
          <w:marLeft w:val="864"/>
          <w:marRight w:val="0"/>
          <w:marTop w:val="0"/>
          <w:marBottom w:val="82"/>
          <w:divBdr>
            <w:top w:val="none" w:sz="0" w:space="0" w:color="auto"/>
            <w:left w:val="none" w:sz="0" w:space="0" w:color="auto"/>
            <w:bottom w:val="none" w:sz="0" w:space="0" w:color="auto"/>
            <w:right w:val="none" w:sz="0" w:space="0" w:color="auto"/>
          </w:divBdr>
        </w:div>
        <w:div w:id="1261643730">
          <w:marLeft w:val="864"/>
          <w:marRight w:val="0"/>
          <w:marTop w:val="0"/>
          <w:marBottom w:val="82"/>
          <w:divBdr>
            <w:top w:val="none" w:sz="0" w:space="0" w:color="auto"/>
            <w:left w:val="none" w:sz="0" w:space="0" w:color="auto"/>
            <w:bottom w:val="none" w:sz="0" w:space="0" w:color="auto"/>
            <w:right w:val="none" w:sz="0" w:space="0" w:color="auto"/>
          </w:divBdr>
        </w:div>
        <w:div w:id="818308007">
          <w:marLeft w:val="864"/>
          <w:marRight w:val="0"/>
          <w:marTop w:val="0"/>
          <w:marBottom w:val="82"/>
          <w:divBdr>
            <w:top w:val="none" w:sz="0" w:space="0" w:color="auto"/>
            <w:left w:val="none" w:sz="0" w:space="0" w:color="auto"/>
            <w:bottom w:val="none" w:sz="0" w:space="0" w:color="auto"/>
            <w:right w:val="none" w:sz="0" w:space="0" w:color="auto"/>
          </w:divBdr>
        </w:div>
        <w:div w:id="807089825">
          <w:marLeft w:val="864"/>
          <w:marRight w:val="0"/>
          <w:marTop w:val="0"/>
          <w:marBottom w:val="82"/>
          <w:divBdr>
            <w:top w:val="none" w:sz="0" w:space="0" w:color="auto"/>
            <w:left w:val="none" w:sz="0" w:space="0" w:color="auto"/>
            <w:bottom w:val="none" w:sz="0" w:space="0" w:color="auto"/>
            <w:right w:val="none" w:sz="0" w:space="0" w:color="auto"/>
          </w:divBdr>
        </w:div>
        <w:div w:id="1517965531">
          <w:marLeft w:val="0"/>
          <w:marRight w:val="0"/>
          <w:marTop w:val="0"/>
          <w:marBottom w:val="82"/>
          <w:divBdr>
            <w:top w:val="none" w:sz="0" w:space="0" w:color="auto"/>
            <w:left w:val="none" w:sz="0" w:space="0" w:color="auto"/>
            <w:bottom w:val="none" w:sz="0" w:space="0" w:color="auto"/>
            <w:right w:val="none" w:sz="0" w:space="0" w:color="auto"/>
          </w:divBdr>
        </w:div>
        <w:div w:id="1976450193">
          <w:marLeft w:val="0"/>
          <w:marRight w:val="0"/>
          <w:marTop w:val="0"/>
          <w:marBottom w:val="82"/>
          <w:divBdr>
            <w:top w:val="none" w:sz="0" w:space="0" w:color="auto"/>
            <w:left w:val="none" w:sz="0" w:space="0" w:color="auto"/>
            <w:bottom w:val="none" w:sz="0" w:space="0" w:color="auto"/>
            <w:right w:val="none" w:sz="0" w:space="0" w:color="auto"/>
          </w:divBdr>
        </w:div>
        <w:div w:id="705325634">
          <w:marLeft w:val="0"/>
          <w:marRight w:val="0"/>
          <w:marTop w:val="0"/>
          <w:marBottom w:val="82"/>
          <w:divBdr>
            <w:top w:val="none" w:sz="0" w:space="0" w:color="auto"/>
            <w:left w:val="none" w:sz="0" w:space="0" w:color="auto"/>
            <w:bottom w:val="none" w:sz="0" w:space="0" w:color="auto"/>
            <w:right w:val="none" w:sz="0" w:space="0" w:color="auto"/>
          </w:divBdr>
        </w:div>
        <w:div w:id="393090148">
          <w:marLeft w:val="0"/>
          <w:marRight w:val="0"/>
          <w:marTop w:val="0"/>
          <w:marBottom w:val="82"/>
          <w:divBdr>
            <w:top w:val="none" w:sz="0" w:space="0" w:color="auto"/>
            <w:left w:val="none" w:sz="0" w:space="0" w:color="auto"/>
            <w:bottom w:val="none" w:sz="0" w:space="0" w:color="auto"/>
            <w:right w:val="none" w:sz="0" w:space="0" w:color="auto"/>
          </w:divBdr>
        </w:div>
        <w:div w:id="1361205391">
          <w:marLeft w:val="864"/>
          <w:marRight w:val="0"/>
          <w:marTop w:val="0"/>
          <w:marBottom w:val="82"/>
          <w:divBdr>
            <w:top w:val="none" w:sz="0" w:space="0" w:color="auto"/>
            <w:left w:val="none" w:sz="0" w:space="0" w:color="auto"/>
            <w:bottom w:val="none" w:sz="0" w:space="0" w:color="auto"/>
            <w:right w:val="none" w:sz="0" w:space="0" w:color="auto"/>
          </w:divBdr>
        </w:div>
        <w:div w:id="256212858">
          <w:marLeft w:val="864"/>
          <w:marRight w:val="0"/>
          <w:marTop w:val="0"/>
          <w:marBottom w:val="82"/>
          <w:divBdr>
            <w:top w:val="none" w:sz="0" w:space="0" w:color="auto"/>
            <w:left w:val="none" w:sz="0" w:space="0" w:color="auto"/>
            <w:bottom w:val="none" w:sz="0" w:space="0" w:color="auto"/>
            <w:right w:val="none" w:sz="0" w:space="0" w:color="auto"/>
          </w:divBdr>
        </w:div>
        <w:div w:id="181555949">
          <w:marLeft w:val="864"/>
          <w:marRight w:val="0"/>
          <w:marTop w:val="0"/>
          <w:marBottom w:val="82"/>
          <w:divBdr>
            <w:top w:val="none" w:sz="0" w:space="0" w:color="auto"/>
            <w:left w:val="none" w:sz="0" w:space="0" w:color="auto"/>
            <w:bottom w:val="none" w:sz="0" w:space="0" w:color="auto"/>
            <w:right w:val="none" w:sz="0" w:space="0" w:color="auto"/>
          </w:divBdr>
        </w:div>
        <w:div w:id="1682584007">
          <w:marLeft w:val="864"/>
          <w:marRight w:val="0"/>
          <w:marTop w:val="0"/>
          <w:marBottom w:val="82"/>
          <w:divBdr>
            <w:top w:val="none" w:sz="0" w:space="0" w:color="auto"/>
            <w:left w:val="none" w:sz="0" w:space="0" w:color="auto"/>
            <w:bottom w:val="none" w:sz="0" w:space="0" w:color="auto"/>
            <w:right w:val="none" w:sz="0" w:space="0" w:color="auto"/>
          </w:divBdr>
        </w:div>
        <w:div w:id="594944105">
          <w:marLeft w:val="0"/>
          <w:marRight w:val="0"/>
          <w:marTop w:val="0"/>
          <w:marBottom w:val="82"/>
          <w:divBdr>
            <w:top w:val="none" w:sz="0" w:space="0" w:color="auto"/>
            <w:left w:val="none" w:sz="0" w:space="0" w:color="auto"/>
            <w:bottom w:val="none" w:sz="0" w:space="0" w:color="auto"/>
            <w:right w:val="none" w:sz="0" w:space="0" w:color="auto"/>
          </w:divBdr>
        </w:div>
        <w:div w:id="1646812469">
          <w:marLeft w:val="0"/>
          <w:marRight w:val="0"/>
          <w:marTop w:val="0"/>
          <w:marBottom w:val="82"/>
          <w:divBdr>
            <w:top w:val="none" w:sz="0" w:space="0" w:color="auto"/>
            <w:left w:val="none" w:sz="0" w:space="0" w:color="auto"/>
            <w:bottom w:val="none" w:sz="0" w:space="0" w:color="auto"/>
            <w:right w:val="none" w:sz="0" w:space="0" w:color="auto"/>
          </w:divBdr>
        </w:div>
        <w:div w:id="1479959859">
          <w:marLeft w:val="0"/>
          <w:marRight w:val="0"/>
          <w:marTop w:val="0"/>
          <w:marBottom w:val="82"/>
          <w:divBdr>
            <w:top w:val="none" w:sz="0" w:space="0" w:color="auto"/>
            <w:left w:val="none" w:sz="0" w:space="0" w:color="auto"/>
            <w:bottom w:val="none" w:sz="0" w:space="0" w:color="auto"/>
            <w:right w:val="none" w:sz="0" w:space="0" w:color="auto"/>
          </w:divBdr>
        </w:div>
        <w:div w:id="200679513">
          <w:marLeft w:val="0"/>
          <w:marRight w:val="0"/>
          <w:marTop w:val="0"/>
          <w:marBottom w:val="94"/>
          <w:divBdr>
            <w:top w:val="none" w:sz="0" w:space="0" w:color="auto"/>
            <w:left w:val="none" w:sz="0" w:space="0" w:color="auto"/>
            <w:bottom w:val="none" w:sz="0" w:space="0" w:color="auto"/>
            <w:right w:val="none" w:sz="0" w:space="0" w:color="auto"/>
          </w:divBdr>
        </w:div>
        <w:div w:id="400493300">
          <w:marLeft w:val="0"/>
          <w:marRight w:val="0"/>
          <w:marTop w:val="0"/>
          <w:marBottom w:val="94"/>
          <w:divBdr>
            <w:top w:val="none" w:sz="0" w:space="0" w:color="auto"/>
            <w:left w:val="none" w:sz="0" w:space="0" w:color="auto"/>
            <w:bottom w:val="none" w:sz="0" w:space="0" w:color="auto"/>
            <w:right w:val="none" w:sz="0" w:space="0" w:color="auto"/>
          </w:divBdr>
        </w:div>
        <w:div w:id="804662540">
          <w:marLeft w:val="0"/>
          <w:marRight w:val="0"/>
          <w:marTop w:val="0"/>
          <w:marBottom w:val="94"/>
          <w:divBdr>
            <w:top w:val="none" w:sz="0" w:space="0" w:color="auto"/>
            <w:left w:val="none" w:sz="0" w:space="0" w:color="auto"/>
            <w:bottom w:val="none" w:sz="0" w:space="0" w:color="auto"/>
            <w:right w:val="none" w:sz="0" w:space="0" w:color="auto"/>
          </w:divBdr>
        </w:div>
        <w:div w:id="935944565">
          <w:marLeft w:val="0"/>
          <w:marRight w:val="0"/>
          <w:marTop w:val="0"/>
          <w:marBottom w:val="94"/>
          <w:divBdr>
            <w:top w:val="none" w:sz="0" w:space="0" w:color="auto"/>
            <w:left w:val="none" w:sz="0" w:space="0" w:color="auto"/>
            <w:bottom w:val="none" w:sz="0" w:space="0" w:color="auto"/>
            <w:right w:val="none" w:sz="0" w:space="0" w:color="auto"/>
          </w:divBdr>
        </w:div>
        <w:div w:id="1934240315">
          <w:marLeft w:val="864"/>
          <w:marRight w:val="0"/>
          <w:marTop w:val="0"/>
          <w:marBottom w:val="94"/>
          <w:divBdr>
            <w:top w:val="none" w:sz="0" w:space="0" w:color="auto"/>
            <w:left w:val="none" w:sz="0" w:space="0" w:color="auto"/>
            <w:bottom w:val="none" w:sz="0" w:space="0" w:color="auto"/>
            <w:right w:val="none" w:sz="0" w:space="0" w:color="auto"/>
          </w:divBdr>
        </w:div>
        <w:div w:id="974722150">
          <w:marLeft w:val="864"/>
          <w:marRight w:val="0"/>
          <w:marTop w:val="0"/>
          <w:marBottom w:val="94"/>
          <w:divBdr>
            <w:top w:val="none" w:sz="0" w:space="0" w:color="auto"/>
            <w:left w:val="none" w:sz="0" w:space="0" w:color="auto"/>
            <w:bottom w:val="none" w:sz="0" w:space="0" w:color="auto"/>
            <w:right w:val="none" w:sz="0" w:space="0" w:color="auto"/>
          </w:divBdr>
        </w:div>
        <w:div w:id="541593589">
          <w:marLeft w:val="864"/>
          <w:marRight w:val="0"/>
          <w:marTop w:val="0"/>
          <w:marBottom w:val="94"/>
          <w:divBdr>
            <w:top w:val="none" w:sz="0" w:space="0" w:color="auto"/>
            <w:left w:val="none" w:sz="0" w:space="0" w:color="auto"/>
            <w:bottom w:val="none" w:sz="0" w:space="0" w:color="auto"/>
            <w:right w:val="none" w:sz="0" w:space="0" w:color="auto"/>
          </w:divBdr>
        </w:div>
        <w:div w:id="706680294">
          <w:marLeft w:val="864"/>
          <w:marRight w:val="0"/>
          <w:marTop w:val="0"/>
          <w:marBottom w:val="94"/>
          <w:divBdr>
            <w:top w:val="none" w:sz="0" w:space="0" w:color="auto"/>
            <w:left w:val="none" w:sz="0" w:space="0" w:color="auto"/>
            <w:bottom w:val="none" w:sz="0" w:space="0" w:color="auto"/>
            <w:right w:val="none" w:sz="0" w:space="0" w:color="auto"/>
          </w:divBdr>
        </w:div>
        <w:div w:id="363478341">
          <w:marLeft w:val="864"/>
          <w:marRight w:val="0"/>
          <w:marTop w:val="0"/>
          <w:marBottom w:val="94"/>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24464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87608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01574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9120395">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6388741">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2023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997313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880433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854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222088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2C115-29B6-485F-BB08-4AF598B34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11670</Words>
  <Characters>64186</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2021-05-26T23:20:00Z</cp:lastPrinted>
  <dcterms:created xsi:type="dcterms:W3CDTF">2021-06-08T22:18:00Z</dcterms:created>
  <dcterms:modified xsi:type="dcterms:W3CDTF">2021-06-08T22:18:00Z</dcterms:modified>
</cp:coreProperties>
</file>