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Pr="00B92F1D" w:rsidR="00605283" w:rsidP="004C6617" w:rsidRDefault="00605283" w14:paraId="2ECD315C" w14:textId="77777777">
      <w:pPr>
        <w:spacing w:after="0" w:line="360" w:lineRule="auto"/>
        <w:rPr>
          <w:rFonts w:eastAsia="Times New Roman" w:cs="Tahoma"/>
          <w:bCs/>
          <w:color w:val="auto"/>
          <w:lang w:eastAsia="es-ES"/>
        </w:rPr>
      </w:pPr>
      <w:r w:rsidRPr="00B92F1D">
        <w:rPr>
          <w:rFonts w:eastAsia="Calibri" w:cs="Tahoma"/>
          <w:bCs/>
          <w:color w:val="000000"/>
        </w:rPr>
        <w:t xml:space="preserve">Resolución del Pleno del Instituto de Transparencia, Acceso a la Información Pública y </w:t>
      </w:r>
      <w:r w:rsidRPr="00B92F1D">
        <w:rPr>
          <w:rFonts w:eastAsia="Times New Roman" w:cs="Tahoma"/>
          <w:bCs/>
          <w:color w:val="auto"/>
          <w:lang w:eastAsia="es-ES"/>
        </w:rPr>
        <w:t xml:space="preserve">Protección de Datos Personales del Estado de México y Municipios, con domicilio en Metepec, Estado de México, de fecha </w:t>
      </w:r>
      <w:r>
        <w:rPr>
          <w:rFonts w:eastAsia="Times New Roman" w:cs="Tahoma"/>
          <w:bCs/>
          <w:color w:val="auto"/>
          <w:lang w:eastAsia="es-ES"/>
        </w:rPr>
        <w:t>quince de diciembre</w:t>
      </w:r>
      <w:r w:rsidRPr="00B92F1D">
        <w:rPr>
          <w:rFonts w:eastAsia="Times New Roman" w:cs="Tahoma"/>
          <w:bCs/>
          <w:color w:val="auto"/>
          <w:lang w:eastAsia="es-ES"/>
        </w:rPr>
        <w:t xml:space="preserve"> de dos mil veintiuno. </w:t>
      </w:r>
    </w:p>
    <w:p w:rsidRPr="00B92F1D" w:rsidR="00605283" w:rsidP="004C6617" w:rsidRDefault="00605283" w14:paraId="10EB584A" w14:textId="77777777">
      <w:pPr>
        <w:tabs>
          <w:tab w:val="left" w:pos="2839"/>
        </w:tabs>
        <w:spacing w:after="0" w:line="360" w:lineRule="auto"/>
        <w:rPr>
          <w:rFonts w:eastAsia="Times New Roman" w:cs="Tahoma"/>
          <w:bCs/>
          <w:color w:val="auto"/>
          <w:lang w:eastAsia="es-ES"/>
        </w:rPr>
      </w:pPr>
      <w:bookmarkStart w:name="_GoBack" w:id="0"/>
      <w:bookmarkEnd w:id="0"/>
    </w:p>
    <w:p w:rsidRPr="009A61B2" w:rsidR="00605283" w:rsidP="004C6617" w:rsidRDefault="00605283" w14:paraId="2FA6CC66" w14:textId="3E745546">
      <w:pPr>
        <w:spacing w:after="0" w:line="360" w:lineRule="auto"/>
        <w:rPr>
          <w:rFonts w:eastAsia="Calibri" w:cs="Tahoma"/>
          <w:color w:val="000000"/>
        </w:rPr>
      </w:pPr>
      <w:r w:rsidRPr="0DBBC258" w:rsidR="0DBBC258">
        <w:rPr>
          <w:rFonts w:eastAsia="Times New Roman" w:cs="Tahoma"/>
          <w:b w:val="1"/>
          <w:bCs w:val="1"/>
          <w:color w:val="auto"/>
          <w:lang w:eastAsia="es-ES"/>
        </w:rPr>
        <w:t>VISTO</w:t>
      </w:r>
      <w:r w:rsidRPr="0DBBC258" w:rsidR="0DBBC258">
        <w:rPr>
          <w:rFonts w:eastAsia="Calibri" w:cs="Tahoma"/>
          <w:color w:val="0D0D0D" w:themeColor="text1" w:themeTint="F2" w:themeShade="FF"/>
        </w:rPr>
        <w:t xml:space="preserve"> el expediente conformado con motivo de los Recursos de Revisión </w:t>
      </w:r>
      <w:r w:rsidRPr="0DBBC258" w:rsidR="0DBBC258">
        <w:rPr>
          <w:rFonts w:eastAsia="Calibri" w:cs="Tahoma"/>
          <w:color w:val="000000" w:themeColor="text1" w:themeTint="FF" w:themeShade="FF"/>
        </w:rPr>
        <w:t>05081/INFOEM/IP/RR/2021 y 05082/INFOEM/IP/RR/2021, interpuestos por</w:t>
      </w:r>
      <w:r w:rsidRPr="0DBBC258" w:rsidR="0DBBC258">
        <w:rPr>
          <w:rFonts w:eastAsia="Calibri" w:cs="Tahoma"/>
        </w:rPr>
        <w:t xml:space="preserve"> </w:t>
      </w:r>
      <w:r w:rsidRPr="0DBBC258" w:rsidR="0DBBC258">
        <w:rPr>
          <w:rFonts w:eastAsia="Calibri" w:cs="Tahoma"/>
          <w:highlight w:val="black"/>
        </w:rPr>
        <w:t>XXXXXXX XXXXXXXXXXXXXXXXXXXXXXXXXXXXXXXXXXXXXXXXXXXX</w:t>
      </w:r>
      <w:r w:rsidRPr="0DBBC258" w:rsidR="0DBBC258">
        <w:rPr>
          <w:rFonts w:eastAsia="Calibri" w:cs="Tahoma"/>
        </w:rPr>
        <w:t xml:space="preserve">, en lo sucesivo </w:t>
      </w:r>
      <w:r w:rsidRPr="0DBBC258" w:rsidR="0DBBC258">
        <w:rPr>
          <w:rFonts w:eastAsia="Calibri" w:cs="Tahoma"/>
          <w:color w:val="0D0D0D" w:themeColor="text1" w:themeTint="F2" w:themeShade="FF"/>
        </w:rPr>
        <w:t xml:space="preserve">Recurrente o Particular, en contra de la respuesta del Sujeto Obligado, </w:t>
      </w:r>
      <w:r w:rsidRPr="0DBBC258" w:rsidR="0DBBC258">
        <w:rPr>
          <w:rFonts w:eastAsia="Calibri" w:cs="Tahoma"/>
          <w:color w:val="000000" w:themeColor="text1" w:themeTint="FF" w:themeShade="FF"/>
        </w:rPr>
        <w:t>Ayuntamiento de Ecatepec de Morelos, a la solicitud de acceso a la información 00630/ECATEPEC/IP/2021 y 00635/ECATEPEC/IP/2021, se emite la presente Resolución, con base en los Antecedentes y Considerandos que se exponen a continuación:</w:t>
      </w:r>
    </w:p>
    <w:p w:rsidRPr="009A61B2" w:rsidR="009A61B2" w:rsidP="004C6617" w:rsidRDefault="009A61B2" w14:paraId="41C5FB36" w14:textId="77777777">
      <w:pPr>
        <w:spacing w:after="0" w:line="360" w:lineRule="auto"/>
        <w:rPr>
          <w:rFonts w:eastAsia="Calibri" w:cs="Tahoma"/>
          <w:color w:val="000000"/>
          <w:lang w:val="en-US"/>
        </w:rPr>
      </w:pPr>
    </w:p>
    <w:p w:rsidRPr="00B92F1D" w:rsidR="00605283" w:rsidP="004C6617" w:rsidRDefault="00605283" w14:paraId="64C08075" w14:textId="77777777">
      <w:pPr>
        <w:tabs>
          <w:tab w:val="center" w:pos="4522"/>
          <w:tab w:val="left" w:pos="7245"/>
        </w:tabs>
        <w:spacing w:after="0" w:line="360" w:lineRule="auto"/>
        <w:jc w:val="center"/>
        <w:rPr>
          <w:rFonts w:eastAsia="Calibri" w:cs="Tahoma"/>
          <w:b/>
          <w:color w:val="000000"/>
        </w:rPr>
      </w:pPr>
      <w:r w:rsidRPr="00B92F1D">
        <w:rPr>
          <w:rFonts w:eastAsia="Calibri" w:cs="Tahoma"/>
          <w:b/>
          <w:color w:val="000000"/>
        </w:rPr>
        <w:t>A N T E C E D E N T E S:</w:t>
      </w:r>
    </w:p>
    <w:p w:rsidRPr="00B92F1D" w:rsidR="00605283" w:rsidP="004C6617" w:rsidRDefault="00605283" w14:paraId="480CE291" w14:textId="77777777">
      <w:pPr>
        <w:spacing w:after="0" w:line="360" w:lineRule="auto"/>
      </w:pPr>
    </w:p>
    <w:p w:rsidRPr="00B92F1D" w:rsidR="00605283" w:rsidP="004C6617" w:rsidRDefault="00605283" w14:paraId="315CBB41" w14:textId="606A3EFA">
      <w:pPr>
        <w:tabs>
          <w:tab w:val="left" w:pos="567"/>
        </w:tabs>
        <w:spacing w:after="0" w:line="360" w:lineRule="auto"/>
        <w:rPr>
          <w:rFonts w:eastAsia="Times New Roman" w:cs="Tahoma"/>
          <w:b/>
          <w:color w:val="auto"/>
          <w:lang w:eastAsia="es-ES"/>
        </w:rPr>
      </w:pPr>
      <w:r w:rsidRPr="00B92F1D">
        <w:rPr>
          <w:rFonts w:eastAsia="Times New Roman" w:cs="Tahoma"/>
          <w:b/>
          <w:color w:val="auto"/>
          <w:lang w:eastAsia="es-ES"/>
        </w:rPr>
        <w:t xml:space="preserve">I. Presentación </w:t>
      </w:r>
      <w:r w:rsidR="009A61B2">
        <w:rPr>
          <w:rFonts w:eastAsia="Times New Roman" w:cs="Tahoma"/>
          <w:b/>
          <w:color w:val="auto"/>
          <w:lang w:eastAsia="es-ES"/>
        </w:rPr>
        <w:t xml:space="preserve">de las solicitudes de información: </w:t>
      </w:r>
    </w:p>
    <w:p w:rsidR="00605283" w:rsidP="004C6617" w:rsidRDefault="00605283" w14:paraId="4D8879A4" w14:textId="77777777">
      <w:pPr>
        <w:tabs>
          <w:tab w:val="left" w:pos="567"/>
        </w:tabs>
        <w:spacing w:after="0" w:line="360" w:lineRule="auto"/>
        <w:rPr>
          <w:rFonts w:eastAsia="Times New Roman" w:cs="Tahoma"/>
          <w:color w:val="auto"/>
          <w:lang w:eastAsia="es-ES"/>
        </w:rPr>
      </w:pPr>
    </w:p>
    <w:p w:rsidR="00605283" w:rsidP="004C6617" w:rsidRDefault="00605283" w14:paraId="07AF57EE" w14:textId="2046ECF0">
      <w:pPr>
        <w:tabs>
          <w:tab w:val="left" w:pos="567"/>
        </w:tabs>
        <w:spacing w:after="0" w:line="360" w:lineRule="auto"/>
        <w:rPr>
          <w:rFonts w:eastAsia="Times New Roman" w:cs="Tahoma"/>
          <w:color w:val="auto"/>
          <w:lang w:eastAsia="es-ES"/>
        </w:rPr>
      </w:pPr>
      <w:r>
        <w:rPr>
          <w:rFonts w:eastAsia="Times New Roman" w:cs="Tahoma"/>
          <w:color w:val="auto"/>
          <w:lang w:eastAsia="es-ES"/>
        </w:rPr>
        <w:t xml:space="preserve">El primero de septiembre de dos mil veintiuno, el Particular presento </w:t>
      </w:r>
      <w:r w:rsidR="002E691E">
        <w:rPr>
          <w:rFonts w:eastAsia="Times New Roman" w:cs="Tahoma"/>
          <w:color w:val="auto"/>
          <w:lang w:eastAsia="es-ES"/>
        </w:rPr>
        <w:t>dos</w:t>
      </w:r>
      <w:r>
        <w:rPr>
          <w:rFonts w:eastAsia="Times New Roman" w:cs="Tahoma"/>
          <w:color w:val="auto"/>
          <w:lang w:eastAsia="es-ES"/>
        </w:rPr>
        <w:t xml:space="preserve"> solicitud</w:t>
      </w:r>
      <w:r w:rsidR="002E691E">
        <w:rPr>
          <w:rFonts w:eastAsia="Times New Roman" w:cs="Tahoma"/>
          <w:color w:val="auto"/>
          <w:lang w:eastAsia="es-ES"/>
        </w:rPr>
        <w:t>es</w:t>
      </w:r>
      <w:r>
        <w:rPr>
          <w:rFonts w:eastAsia="Times New Roman" w:cs="Tahoma"/>
          <w:color w:val="auto"/>
          <w:lang w:eastAsia="es-ES"/>
        </w:rPr>
        <w:t xml:space="preserve"> de acceso </w:t>
      </w:r>
      <w:proofErr w:type="gramStart"/>
      <w:r>
        <w:rPr>
          <w:rFonts w:eastAsia="Times New Roman" w:cs="Tahoma"/>
          <w:color w:val="auto"/>
          <w:lang w:eastAsia="es-ES"/>
        </w:rPr>
        <w:t>a</w:t>
      </w:r>
      <w:proofErr w:type="gramEnd"/>
      <w:r>
        <w:rPr>
          <w:rFonts w:eastAsia="Times New Roman" w:cs="Tahoma"/>
          <w:color w:val="auto"/>
          <w:lang w:eastAsia="es-ES"/>
        </w:rPr>
        <w:t xml:space="preserve"> la información pública, a través de la Plataforma Nacional de Transparencia (PNT), ante el </w:t>
      </w:r>
      <w:r>
        <w:rPr>
          <w:rFonts w:eastAsia="Calibri" w:cs="Tahoma"/>
          <w:color w:val="000000"/>
        </w:rPr>
        <w:t xml:space="preserve">Ayuntamiento de Ecatepec de Morelos, </w:t>
      </w:r>
      <w:r w:rsidR="00F5409D">
        <w:rPr>
          <w:rFonts w:eastAsia="Calibri" w:cs="Tahoma"/>
          <w:color w:val="000000"/>
        </w:rPr>
        <w:t>ambas en los mismos términos, en donde</w:t>
      </w:r>
      <w:r>
        <w:rPr>
          <w:rFonts w:eastAsia="Calibri" w:cs="Tahoma"/>
          <w:color w:val="000000"/>
        </w:rPr>
        <w:t xml:space="preserve"> requirió lo siguiente: </w:t>
      </w:r>
    </w:p>
    <w:p w:rsidR="00605283" w:rsidP="004C6617" w:rsidRDefault="00605283" w14:paraId="6CCD06A5" w14:textId="66FEEF4F">
      <w:pPr>
        <w:spacing w:after="0" w:line="360" w:lineRule="auto"/>
        <w:rPr>
          <w:rFonts w:eastAsia="Times New Roman" w:cs="Tahoma"/>
          <w:color w:val="auto"/>
          <w:lang w:eastAsia="es-ES"/>
        </w:rPr>
      </w:pPr>
    </w:p>
    <w:p w:rsidRPr="00B92F1D" w:rsidR="00F5409D" w:rsidP="004C6617" w:rsidRDefault="00F5409D" w14:paraId="7D5B2B18" w14:textId="77777777">
      <w:pPr>
        <w:tabs>
          <w:tab w:val="left" w:pos="4667"/>
        </w:tabs>
        <w:spacing w:after="0" w:line="360" w:lineRule="auto"/>
        <w:ind w:left="567" w:right="567"/>
        <w:rPr>
          <w:rFonts w:eastAsia="Times New Roman" w:cs="Tahoma"/>
          <w:b/>
          <w:i/>
          <w:iCs/>
          <w:color w:val="auto"/>
          <w:sz w:val="20"/>
          <w:szCs w:val="20"/>
          <w:lang w:eastAsia="es-ES"/>
        </w:rPr>
      </w:pPr>
      <w:r w:rsidRPr="00B92F1D">
        <w:rPr>
          <w:rFonts w:eastAsia="Times New Roman" w:cs="Tahoma"/>
          <w:b/>
          <w:i/>
          <w:iCs/>
          <w:color w:val="auto"/>
          <w:sz w:val="20"/>
          <w:szCs w:val="20"/>
          <w:lang w:eastAsia="es-ES"/>
        </w:rPr>
        <w:t>“DESCRIPCIÓN CLARA Y PRECISA DE LA INFORMACIÓN SOLICITADA.</w:t>
      </w:r>
    </w:p>
    <w:p w:rsidR="00F5409D" w:rsidP="004C6617" w:rsidRDefault="00F5409D" w14:paraId="2D914509"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Toda actividad comercial o de prestación de servicios que realice una persona física o jurídica colectiva, pública o privada, requiere de autorización,</w:t>
      </w:r>
      <w:r>
        <w:rPr>
          <w:rFonts w:eastAsia="Times New Roman" w:cs="Tahoma"/>
          <w:bCs/>
          <w:i/>
          <w:iCs/>
          <w:color w:val="auto"/>
          <w:sz w:val="20"/>
          <w:szCs w:val="20"/>
          <w:lang w:eastAsia="es-ES"/>
        </w:rPr>
        <w:t xml:space="preserve"> </w:t>
      </w:r>
      <w:r w:rsidRPr="00E36E9B">
        <w:rPr>
          <w:rFonts w:eastAsia="Times New Roman" w:cs="Tahoma"/>
          <w:bCs/>
          <w:i/>
          <w:iCs/>
          <w:color w:val="auto"/>
          <w:sz w:val="20"/>
          <w:szCs w:val="20"/>
          <w:lang w:eastAsia="es-ES"/>
        </w:rPr>
        <w:t>licencia o permiso del Ayuntamiento. La licencia se expedirá mediante oficio que firmarán de manera conjunta el Director de Desarrollo Económico y el</w:t>
      </w:r>
      <w:r>
        <w:rPr>
          <w:rFonts w:eastAsia="Times New Roman" w:cs="Tahoma"/>
          <w:bCs/>
          <w:i/>
          <w:iCs/>
          <w:color w:val="auto"/>
          <w:sz w:val="20"/>
          <w:szCs w:val="20"/>
          <w:lang w:eastAsia="es-ES"/>
        </w:rPr>
        <w:t xml:space="preserve"> </w:t>
      </w:r>
      <w:r w:rsidRPr="00E36E9B">
        <w:rPr>
          <w:rFonts w:eastAsia="Times New Roman" w:cs="Tahoma"/>
          <w:bCs/>
          <w:i/>
          <w:iCs/>
          <w:color w:val="auto"/>
          <w:sz w:val="20"/>
          <w:szCs w:val="20"/>
          <w:lang w:eastAsia="es-ES"/>
        </w:rPr>
        <w:t>Secretario del Ayuntamiento.</w:t>
      </w:r>
    </w:p>
    <w:p w:rsidRPr="00E36E9B" w:rsidR="00F5409D" w:rsidP="004C6617" w:rsidRDefault="00F5409D" w14:paraId="391233ED" w14:textId="77777777">
      <w:pPr>
        <w:tabs>
          <w:tab w:val="left" w:pos="4667"/>
        </w:tabs>
        <w:spacing w:after="0" w:line="360" w:lineRule="auto"/>
        <w:ind w:left="567" w:right="567"/>
        <w:rPr>
          <w:rFonts w:eastAsia="Times New Roman" w:cs="Tahoma"/>
          <w:bCs/>
          <w:i/>
          <w:iCs/>
          <w:color w:val="auto"/>
          <w:sz w:val="20"/>
          <w:szCs w:val="20"/>
          <w:lang w:eastAsia="es-ES"/>
        </w:rPr>
      </w:pPr>
    </w:p>
    <w:p w:rsidRPr="00E36E9B" w:rsidR="00F5409D" w:rsidP="004C6617" w:rsidRDefault="00F5409D" w14:paraId="0A5ED3C8"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lastRenderedPageBreak/>
        <w:t>Por tanto, y en línea con lo encontrado en el Acuerdo del Ejecutivo del Estado por el que se da a conocer el Catálogo Mexiquense de Actividades</w:t>
      </w:r>
      <w:r>
        <w:rPr>
          <w:rFonts w:eastAsia="Times New Roman" w:cs="Tahoma"/>
          <w:bCs/>
          <w:i/>
          <w:iCs/>
          <w:color w:val="auto"/>
          <w:sz w:val="20"/>
          <w:szCs w:val="20"/>
          <w:lang w:eastAsia="es-ES"/>
        </w:rPr>
        <w:t xml:space="preserve"> </w:t>
      </w:r>
      <w:r w:rsidRPr="00E36E9B">
        <w:rPr>
          <w:rFonts w:eastAsia="Times New Roman" w:cs="Tahoma"/>
          <w:bCs/>
          <w:i/>
          <w:iCs/>
          <w:color w:val="auto"/>
          <w:sz w:val="20"/>
          <w:szCs w:val="20"/>
          <w:lang w:eastAsia="es-ES"/>
        </w:rPr>
        <w:t>Industriales, Comerciales y de Servicios de Bajo Riesgo es que se solicita a los respectivos ayuntamientos, presentar un registro (preferentemente en</w:t>
      </w:r>
    </w:p>
    <w:p w:rsidR="00F5409D" w:rsidP="004C6617" w:rsidRDefault="00F5409D" w14:paraId="72EF5A79"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 xml:space="preserve">formato </w:t>
      </w:r>
      <w:proofErr w:type="spellStart"/>
      <w:r w:rsidRPr="00E36E9B">
        <w:rPr>
          <w:rFonts w:eastAsia="Times New Roman" w:cs="Tahoma"/>
          <w:bCs/>
          <w:i/>
          <w:iCs/>
          <w:color w:val="auto"/>
          <w:sz w:val="20"/>
          <w:szCs w:val="20"/>
          <w:lang w:eastAsia="es-ES"/>
        </w:rPr>
        <w:t>xlsx</w:t>
      </w:r>
      <w:proofErr w:type="spellEnd"/>
      <w:r w:rsidRPr="00E36E9B">
        <w:rPr>
          <w:rFonts w:eastAsia="Times New Roman" w:cs="Tahoma"/>
          <w:bCs/>
          <w:i/>
          <w:iCs/>
          <w:color w:val="auto"/>
          <w:sz w:val="20"/>
          <w:szCs w:val="20"/>
          <w:lang w:eastAsia="es-ES"/>
        </w:rPr>
        <w:t>, para facilitar su manejo) de todas y cada una de las Licencias de Funcionamiento otorgadas para las siguientes Actividades Industriales,</w:t>
      </w:r>
      <w:r>
        <w:rPr>
          <w:rFonts w:eastAsia="Times New Roman" w:cs="Tahoma"/>
          <w:bCs/>
          <w:i/>
          <w:iCs/>
          <w:color w:val="auto"/>
          <w:sz w:val="20"/>
          <w:szCs w:val="20"/>
          <w:lang w:eastAsia="es-ES"/>
        </w:rPr>
        <w:t xml:space="preserve"> </w:t>
      </w:r>
      <w:r w:rsidRPr="00E36E9B">
        <w:rPr>
          <w:rFonts w:eastAsia="Times New Roman" w:cs="Tahoma"/>
          <w:bCs/>
          <w:i/>
          <w:iCs/>
          <w:color w:val="auto"/>
          <w:sz w:val="20"/>
          <w:szCs w:val="20"/>
          <w:lang w:eastAsia="es-ES"/>
        </w:rPr>
        <w:t>Comerciales y de Servicios (se anexan los números de identificación SCIAN):</w:t>
      </w:r>
    </w:p>
    <w:p w:rsidRPr="00E36E9B" w:rsidR="00F5409D" w:rsidP="004C6617" w:rsidRDefault="00F5409D" w14:paraId="636EC459" w14:textId="77777777">
      <w:pPr>
        <w:tabs>
          <w:tab w:val="left" w:pos="4667"/>
        </w:tabs>
        <w:spacing w:after="0" w:line="360" w:lineRule="auto"/>
        <w:ind w:left="567" w:right="567"/>
        <w:rPr>
          <w:rFonts w:eastAsia="Times New Roman" w:cs="Tahoma"/>
          <w:bCs/>
          <w:i/>
          <w:iCs/>
          <w:color w:val="auto"/>
          <w:sz w:val="20"/>
          <w:szCs w:val="20"/>
          <w:lang w:eastAsia="es-ES"/>
        </w:rPr>
      </w:pPr>
    </w:p>
    <w:p w:rsidRPr="00E36E9B" w:rsidR="00F5409D" w:rsidP="004C6617" w:rsidRDefault="00F5409D" w14:paraId="2B6F75DB"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a) 433110 Comercio al por mayor de productos farmacéuticos</w:t>
      </w:r>
    </w:p>
    <w:p w:rsidRPr="00E36E9B" w:rsidR="00F5409D" w:rsidP="004C6617" w:rsidRDefault="00F5409D" w14:paraId="6E091F22"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b) 434112 Comercio al por mayor de medicamentos veterinarios y alimentos para animales, excepto mascotas</w:t>
      </w:r>
    </w:p>
    <w:p w:rsidRPr="00E36E9B" w:rsidR="00F5409D" w:rsidP="004C6617" w:rsidRDefault="00F5409D" w14:paraId="6EFC4D9D"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c) 464111 Farmacias sin minisúper</w:t>
      </w:r>
    </w:p>
    <w:p w:rsidRPr="00E36E9B" w:rsidR="00F5409D" w:rsidP="004C6617" w:rsidRDefault="00F5409D" w14:paraId="603A8063"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d) 464112 Farmacias con minisúper</w:t>
      </w:r>
    </w:p>
    <w:p w:rsidRPr="00E36E9B" w:rsidR="00F5409D" w:rsidP="004C6617" w:rsidRDefault="00F5409D" w14:paraId="3F5C35A6"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e) 464113 Comercio al por menor de productos naturistas, medicamentos homeopáticos y de complementos alimenticios</w:t>
      </w:r>
    </w:p>
    <w:p w:rsidRPr="00E36E9B" w:rsidR="00F5409D" w:rsidP="004C6617" w:rsidRDefault="00F5409D" w14:paraId="4F82F96B"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f) 541941 Servicios veterinarios para mascotas prestados por el sector privado</w:t>
      </w:r>
    </w:p>
    <w:p w:rsidRPr="00E36E9B" w:rsidR="00F5409D" w:rsidP="004C6617" w:rsidRDefault="00F5409D" w14:paraId="6EA76F16"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g) 541942 Servicios veterinarios para mascotas prestados por el sector público</w:t>
      </w:r>
    </w:p>
    <w:p w:rsidRPr="00E36E9B" w:rsidR="00F5409D" w:rsidP="004C6617" w:rsidRDefault="00F5409D" w14:paraId="285D8A71"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h) 621113 Consultorios de medicina especializada del sector privado</w:t>
      </w:r>
    </w:p>
    <w:p w:rsidRPr="00E36E9B" w:rsidR="00F5409D" w:rsidP="004C6617" w:rsidRDefault="00F5409D" w14:paraId="2794D6D0"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i) 621114 Consultorios de medicina especializada del sector público</w:t>
      </w:r>
    </w:p>
    <w:p w:rsidRPr="00E36E9B" w:rsidR="00F5409D" w:rsidP="004C6617" w:rsidRDefault="00F5409D" w14:paraId="1401A12A"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j) 621111 Consultorios de medicina general del sector privado</w:t>
      </w:r>
    </w:p>
    <w:p w:rsidR="00F5409D" w:rsidP="004C6617" w:rsidRDefault="00F5409D" w14:paraId="1D907332"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k) 621112 Consultorios de medicina general del sector público</w:t>
      </w:r>
    </w:p>
    <w:p w:rsidRPr="00E36E9B" w:rsidR="00F5409D" w:rsidP="004C6617" w:rsidRDefault="00F5409D" w14:paraId="499FFBB6" w14:textId="77777777">
      <w:pPr>
        <w:tabs>
          <w:tab w:val="left" w:pos="4667"/>
        </w:tabs>
        <w:spacing w:after="0" w:line="360" w:lineRule="auto"/>
        <w:ind w:left="567" w:right="567"/>
        <w:rPr>
          <w:rFonts w:eastAsia="Times New Roman" w:cs="Tahoma"/>
          <w:bCs/>
          <w:i/>
          <w:iCs/>
          <w:color w:val="auto"/>
          <w:sz w:val="20"/>
          <w:szCs w:val="20"/>
          <w:lang w:eastAsia="es-ES"/>
        </w:rPr>
      </w:pPr>
    </w:p>
    <w:p w:rsidRPr="00E36E9B" w:rsidR="00F5409D" w:rsidP="004C6617" w:rsidRDefault="00F5409D" w14:paraId="198857F3"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Particularmente se busca obtener la mayor cantidad de datos pertenecientes a cada uno de los establecimientos, como por ejemplo (además de la</w:t>
      </w:r>
    </w:p>
    <w:p w:rsidR="00F5409D" w:rsidP="004C6617" w:rsidRDefault="00F5409D" w14:paraId="1EA2CF29" w14:textId="77777777">
      <w:pPr>
        <w:tabs>
          <w:tab w:val="left" w:pos="4667"/>
        </w:tabs>
        <w:spacing w:after="0" w:line="360" w:lineRule="auto"/>
        <w:ind w:left="567" w:right="567"/>
        <w:rPr>
          <w:rFonts w:eastAsia="Times New Roman" w:cs="Tahoma"/>
          <w:bCs/>
          <w:i/>
          <w:iCs/>
          <w:color w:val="auto"/>
          <w:sz w:val="20"/>
          <w:szCs w:val="20"/>
          <w:lang w:eastAsia="es-ES"/>
        </w:rPr>
      </w:pPr>
      <w:proofErr w:type="gramStart"/>
      <w:r w:rsidRPr="00E36E9B">
        <w:rPr>
          <w:rFonts w:eastAsia="Times New Roman" w:cs="Tahoma"/>
          <w:bCs/>
          <w:i/>
          <w:iCs/>
          <w:color w:val="auto"/>
          <w:sz w:val="20"/>
          <w:szCs w:val="20"/>
          <w:lang w:eastAsia="es-ES"/>
        </w:rPr>
        <w:t>mencionada</w:t>
      </w:r>
      <w:proofErr w:type="gramEnd"/>
      <w:r w:rsidRPr="00E36E9B">
        <w:rPr>
          <w:rFonts w:eastAsia="Times New Roman" w:cs="Tahoma"/>
          <w:bCs/>
          <w:i/>
          <w:iCs/>
          <w:color w:val="auto"/>
          <w:sz w:val="20"/>
          <w:szCs w:val="20"/>
          <w:lang w:eastAsia="es-ES"/>
        </w:rPr>
        <w:t xml:space="preserve"> identificación SCIAN):</w:t>
      </w:r>
    </w:p>
    <w:p w:rsidRPr="00E36E9B" w:rsidR="00F5409D" w:rsidP="004C6617" w:rsidRDefault="00F5409D" w14:paraId="66F20F1D" w14:textId="77777777">
      <w:pPr>
        <w:tabs>
          <w:tab w:val="left" w:pos="4667"/>
        </w:tabs>
        <w:spacing w:after="0" w:line="360" w:lineRule="auto"/>
        <w:ind w:left="567" w:right="567"/>
        <w:rPr>
          <w:rFonts w:eastAsia="Times New Roman" w:cs="Tahoma"/>
          <w:bCs/>
          <w:i/>
          <w:iCs/>
          <w:color w:val="auto"/>
          <w:sz w:val="20"/>
          <w:szCs w:val="20"/>
          <w:lang w:eastAsia="es-ES"/>
        </w:rPr>
      </w:pPr>
    </w:p>
    <w:p w:rsidRPr="00E36E9B" w:rsidR="00F5409D" w:rsidP="004C6617" w:rsidRDefault="00F5409D" w14:paraId="6F3AC6B7"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1) Folio, clave única del establecimiento y/o número de licencia ambiental.</w:t>
      </w:r>
    </w:p>
    <w:p w:rsidRPr="00E36E9B" w:rsidR="00F5409D" w:rsidP="004C6617" w:rsidRDefault="00F5409D" w14:paraId="3CE64BFF"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2) Dirección del establecimiento</w:t>
      </w:r>
    </w:p>
    <w:p w:rsidRPr="00E36E9B" w:rsidR="00F5409D" w:rsidP="004C6617" w:rsidRDefault="00F5409D" w14:paraId="69FE56AB"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 xml:space="preserve">3) Ubicación en coordenada geográficas o en coordenadas proyectadas (especificar </w:t>
      </w:r>
      <w:proofErr w:type="spellStart"/>
      <w:r w:rsidRPr="00E36E9B">
        <w:rPr>
          <w:rFonts w:eastAsia="Times New Roman" w:cs="Tahoma"/>
          <w:bCs/>
          <w:i/>
          <w:iCs/>
          <w:color w:val="auto"/>
          <w:sz w:val="20"/>
          <w:szCs w:val="20"/>
          <w:lang w:eastAsia="es-ES"/>
        </w:rPr>
        <w:t>cual</w:t>
      </w:r>
      <w:proofErr w:type="spellEnd"/>
      <w:r w:rsidRPr="00E36E9B">
        <w:rPr>
          <w:rFonts w:eastAsia="Times New Roman" w:cs="Tahoma"/>
          <w:bCs/>
          <w:i/>
          <w:iCs/>
          <w:color w:val="auto"/>
          <w:sz w:val="20"/>
          <w:szCs w:val="20"/>
          <w:lang w:eastAsia="es-ES"/>
        </w:rPr>
        <w:t>) del establecimiento.</w:t>
      </w:r>
    </w:p>
    <w:p w:rsidRPr="00E36E9B" w:rsidR="00F5409D" w:rsidP="004C6617" w:rsidRDefault="00F5409D" w14:paraId="5D4FC093"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4) Denominación o Razón Social</w:t>
      </w:r>
    </w:p>
    <w:p w:rsidRPr="00E36E9B" w:rsidR="00F5409D" w:rsidP="004C6617" w:rsidRDefault="00F5409D" w14:paraId="579BBB2A"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lastRenderedPageBreak/>
        <w:t>5) Si es Persona Física o Persona Moral</w:t>
      </w:r>
    </w:p>
    <w:p w:rsidRPr="00E36E9B" w:rsidR="00F5409D" w:rsidP="004C6617" w:rsidRDefault="00F5409D" w14:paraId="0C682C74"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6) Nombre comercial del establecimiento</w:t>
      </w:r>
    </w:p>
    <w:p w:rsidR="00F5409D" w:rsidP="004C6617" w:rsidRDefault="00F5409D" w14:paraId="137E0ABA"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7) Teléfono o Celular o cualquier otro medio de contacto.</w:t>
      </w:r>
    </w:p>
    <w:p w:rsidRPr="00E36E9B" w:rsidR="00F5409D" w:rsidP="004C6617" w:rsidRDefault="00F5409D" w14:paraId="656E37F7" w14:textId="77777777">
      <w:pPr>
        <w:tabs>
          <w:tab w:val="left" w:pos="4667"/>
        </w:tabs>
        <w:spacing w:after="0" w:line="360" w:lineRule="auto"/>
        <w:ind w:left="567" w:right="567"/>
        <w:rPr>
          <w:rFonts w:eastAsia="Times New Roman" w:cs="Tahoma"/>
          <w:bCs/>
          <w:i/>
          <w:iCs/>
          <w:color w:val="auto"/>
          <w:sz w:val="20"/>
          <w:szCs w:val="20"/>
          <w:lang w:eastAsia="es-ES"/>
        </w:rPr>
      </w:pPr>
    </w:p>
    <w:p w:rsidRPr="00E36E9B" w:rsidR="00F5409D" w:rsidP="004C6617" w:rsidRDefault="00F5409D" w14:paraId="5065F9FD" w14:textId="77777777">
      <w:pPr>
        <w:tabs>
          <w:tab w:val="left" w:pos="4667"/>
        </w:tabs>
        <w:spacing w:after="0" w:line="360" w:lineRule="auto"/>
        <w:ind w:left="567" w:right="567"/>
        <w:rPr>
          <w:rFonts w:eastAsia="Times New Roman" w:cs="Tahoma"/>
          <w:bCs/>
          <w:i/>
          <w:iCs/>
          <w:color w:val="auto"/>
          <w:sz w:val="20"/>
          <w:szCs w:val="20"/>
          <w:lang w:eastAsia="es-ES"/>
        </w:rPr>
      </w:pPr>
      <w:r w:rsidRPr="00E36E9B">
        <w:rPr>
          <w:rFonts w:eastAsia="Times New Roman" w:cs="Tahoma"/>
          <w:bCs/>
          <w:i/>
          <w:iCs/>
          <w:color w:val="auto"/>
          <w:sz w:val="20"/>
          <w:szCs w:val="20"/>
          <w:lang w:eastAsia="es-ES"/>
        </w:rPr>
        <w:t>A manera ilustrativa se cuenta con el Padrón de Establecimientos Mercantiles de la Ciudad de México (recordar que para la presente solicitud se prefiere</w:t>
      </w:r>
      <w:r>
        <w:rPr>
          <w:rFonts w:eastAsia="Times New Roman" w:cs="Tahoma"/>
          <w:bCs/>
          <w:i/>
          <w:iCs/>
          <w:color w:val="auto"/>
          <w:sz w:val="20"/>
          <w:szCs w:val="20"/>
          <w:lang w:eastAsia="es-ES"/>
        </w:rPr>
        <w:t xml:space="preserve"> </w:t>
      </w:r>
      <w:r w:rsidRPr="00E36E9B">
        <w:rPr>
          <w:rFonts w:eastAsia="Times New Roman" w:cs="Tahoma"/>
          <w:bCs/>
          <w:i/>
          <w:iCs/>
          <w:color w:val="auto"/>
          <w:sz w:val="20"/>
          <w:szCs w:val="20"/>
          <w:lang w:eastAsia="es-ES"/>
        </w:rPr>
        <w:t>que la información se presente en formato .</w:t>
      </w:r>
      <w:proofErr w:type="spellStart"/>
      <w:r w:rsidRPr="00E36E9B">
        <w:rPr>
          <w:rFonts w:eastAsia="Times New Roman" w:cs="Tahoma"/>
          <w:bCs/>
          <w:i/>
          <w:iCs/>
          <w:color w:val="auto"/>
          <w:sz w:val="20"/>
          <w:szCs w:val="20"/>
          <w:lang w:eastAsia="es-ES"/>
        </w:rPr>
        <w:t>xlsx</w:t>
      </w:r>
      <w:proofErr w:type="spellEnd"/>
      <w:r w:rsidRPr="00E36E9B">
        <w:rPr>
          <w:rFonts w:eastAsia="Times New Roman" w:cs="Tahoma"/>
          <w:bCs/>
          <w:i/>
          <w:iCs/>
          <w:color w:val="auto"/>
          <w:sz w:val="20"/>
          <w:szCs w:val="20"/>
          <w:lang w:eastAsia="es-ES"/>
        </w:rPr>
        <w:t>)</w:t>
      </w:r>
    </w:p>
    <w:p w:rsidR="00F5409D" w:rsidP="004C6617" w:rsidRDefault="00733F9B" w14:paraId="73343107" w14:textId="77777777">
      <w:pPr>
        <w:tabs>
          <w:tab w:val="left" w:pos="4667"/>
        </w:tabs>
        <w:spacing w:after="0" w:line="360" w:lineRule="auto"/>
        <w:ind w:left="567" w:right="567"/>
        <w:rPr>
          <w:rFonts w:eastAsia="Times New Roman" w:cs="Tahoma"/>
          <w:bCs/>
          <w:i/>
          <w:iCs/>
          <w:color w:val="auto"/>
          <w:sz w:val="20"/>
          <w:szCs w:val="20"/>
          <w:lang w:eastAsia="es-ES"/>
        </w:rPr>
      </w:pPr>
      <w:hyperlink w:history="1" r:id="rId7">
        <w:r w:rsidRPr="00173A9C" w:rsidR="00F5409D">
          <w:rPr>
            <w:rStyle w:val="Hipervnculo"/>
            <w:rFonts w:eastAsia="Times New Roman" w:cs="Tahoma"/>
            <w:bCs/>
            <w:i/>
            <w:iCs/>
            <w:sz w:val="20"/>
            <w:szCs w:val="20"/>
            <w:lang w:eastAsia="es-ES"/>
          </w:rPr>
          <w:t>https://pdelegacionales.cdmx.gob.mx/servicios/servicio/padron-de-establecimientos-mercantiles</w:t>
        </w:r>
      </w:hyperlink>
    </w:p>
    <w:p w:rsidR="00F5409D" w:rsidP="004C6617" w:rsidRDefault="00F5409D" w14:paraId="3449DCBE" w14:textId="77777777">
      <w:pPr>
        <w:tabs>
          <w:tab w:val="left" w:pos="4667"/>
        </w:tabs>
        <w:spacing w:after="0" w:line="360" w:lineRule="auto"/>
        <w:ind w:left="567" w:right="567"/>
        <w:rPr>
          <w:rFonts w:eastAsia="Times New Roman" w:cs="Tahoma"/>
          <w:bCs/>
          <w:i/>
          <w:iCs/>
          <w:color w:val="auto"/>
          <w:sz w:val="20"/>
          <w:szCs w:val="20"/>
          <w:lang w:eastAsia="es-ES"/>
        </w:rPr>
      </w:pPr>
      <w:r>
        <w:rPr>
          <w:rFonts w:eastAsia="Times New Roman" w:cs="Tahoma"/>
          <w:bCs/>
          <w:i/>
          <w:iCs/>
          <w:color w:val="auto"/>
          <w:sz w:val="20"/>
          <w:szCs w:val="20"/>
          <w:lang w:eastAsia="es-ES"/>
        </w:rPr>
        <w:t xml:space="preserve">…” (Sic) </w:t>
      </w:r>
    </w:p>
    <w:p w:rsidRPr="00B92F1D" w:rsidR="00F5409D" w:rsidP="004C6617" w:rsidRDefault="00F5409D" w14:paraId="10A640F7" w14:textId="77777777">
      <w:pPr>
        <w:tabs>
          <w:tab w:val="left" w:pos="4667"/>
        </w:tabs>
        <w:spacing w:after="0" w:line="360" w:lineRule="auto"/>
        <w:ind w:left="567" w:right="567"/>
        <w:rPr>
          <w:rFonts w:eastAsia="Times New Roman" w:cs="Tahoma"/>
          <w:b/>
          <w:bCs/>
          <w:i/>
          <w:iCs/>
          <w:color w:val="auto"/>
          <w:sz w:val="20"/>
          <w:lang w:eastAsia="es-ES"/>
        </w:rPr>
      </w:pPr>
    </w:p>
    <w:p w:rsidR="00F5409D" w:rsidP="004C6617" w:rsidRDefault="00F5409D" w14:paraId="5516F256" w14:textId="77777777">
      <w:pPr>
        <w:tabs>
          <w:tab w:val="left" w:pos="4667"/>
        </w:tabs>
        <w:spacing w:after="0" w:line="360" w:lineRule="auto"/>
        <w:ind w:left="567" w:right="567"/>
        <w:rPr>
          <w:rFonts w:eastAsia="Times New Roman" w:cs="Tahoma"/>
          <w:b/>
          <w:bCs/>
          <w:i/>
          <w:iCs/>
          <w:color w:val="auto"/>
          <w:sz w:val="20"/>
          <w:lang w:eastAsia="es-ES"/>
        </w:rPr>
      </w:pPr>
      <w:r w:rsidRPr="00B92F1D">
        <w:rPr>
          <w:rFonts w:eastAsia="Times New Roman" w:cs="Tahoma"/>
          <w:b/>
          <w:bCs/>
          <w:i/>
          <w:iCs/>
          <w:color w:val="auto"/>
          <w:sz w:val="20"/>
          <w:lang w:eastAsia="es-ES"/>
        </w:rPr>
        <w:t>“MODALIDAD</w:t>
      </w:r>
      <w:r>
        <w:rPr>
          <w:rFonts w:eastAsia="Times New Roman" w:cs="Tahoma"/>
          <w:b/>
          <w:bCs/>
          <w:i/>
          <w:iCs/>
          <w:color w:val="auto"/>
          <w:sz w:val="20"/>
          <w:lang w:eastAsia="es-ES"/>
        </w:rPr>
        <w:t xml:space="preserve"> PARA RECIBIR INFORMACIÓN Y NOTIFICACIONES:</w:t>
      </w:r>
    </w:p>
    <w:p w:rsidRPr="00A06C78" w:rsidR="00F5409D" w:rsidP="004C6617" w:rsidRDefault="00F5409D" w14:paraId="6C5BA654" w14:textId="77777777">
      <w:pPr>
        <w:tabs>
          <w:tab w:val="left" w:pos="4667"/>
        </w:tabs>
        <w:spacing w:after="0" w:line="360" w:lineRule="auto"/>
        <w:ind w:left="567" w:right="567"/>
        <w:rPr>
          <w:rFonts w:eastAsia="Times New Roman" w:cs="Tahoma"/>
          <w:i/>
          <w:iCs/>
          <w:color w:val="auto"/>
          <w:sz w:val="20"/>
          <w:lang w:eastAsia="es-ES"/>
        </w:rPr>
      </w:pPr>
      <w:r>
        <w:rPr>
          <w:rFonts w:eastAsia="Times New Roman" w:cs="Tahoma"/>
          <w:i/>
          <w:iCs/>
          <w:color w:val="auto"/>
          <w:sz w:val="20"/>
          <w:lang w:eastAsia="es-ES"/>
        </w:rPr>
        <w:t xml:space="preserve">CORREO ELECTRÓNICO </w:t>
      </w:r>
    </w:p>
    <w:p w:rsidR="00F5409D" w:rsidP="004C6617" w:rsidRDefault="00F5409D" w14:paraId="1308E399" w14:textId="77777777">
      <w:pPr>
        <w:tabs>
          <w:tab w:val="left" w:pos="4667"/>
        </w:tabs>
        <w:spacing w:after="0" w:line="360" w:lineRule="auto"/>
        <w:ind w:left="567" w:right="567"/>
        <w:rPr>
          <w:rFonts w:eastAsia="Times New Roman" w:cs="Tahoma"/>
          <w:b/>
          <w:bCs/>
          <w:i/>
          <w:iCs/>
          <w:color w:val="auto"/>
          <w:sz w:val="20"/>
          <w:lang w:eastAsia="es-ES"/>
        </w:rPr>
      </w:pPr>
    </w:p>
    <w:p w:rsidR="00F5409D" w:rsidP="004C6617" w:rsidRDefault="00F5409D" w14:paraId="57101A74" w14:textId="77777777">
      <w:pPr>
        <w:tabs>
          <w:tab w:val="left" w:pos="4667"/>
        </w:tabs>
        <w:spacing w:after="0" w:line="360" w:lineRule="auto"/>
        <w:ind w:left="567" w:right="567"/>
        <w:rPr>
          <w:rFonts w:eastAsia="Times New Roman" w:cs="Tahoma"/>
          <w:b/>
          <w:bCs/>
          <w:i/>
          <w:iCs/>
          <w:color w:val="auto"/>
          <w:sz w:val="20"/>
          <w:lang w:eastAsia="es-ES"/>
        </w:rPr>
      </w:pPr>
      <w:r>
        <w:rPr>
          <w:rFonts w:eastAsia="Times New Roman" w:cs="Tahoma"/>
          <w:b/>
          <w:bCs/>
          <w:i/>
          <w:iCs/>
          <w:color w:val="auto"/>
          <w:sz w:val="20"/>
          <w:lang w:eastAsia="es-ES"/>
        </w:rPr>
        <w:t>“INDIQUE COMO DESEA RECIBIR NOTIFICACIONES:</w:t>
      </w:r>
    </w:p>
    <w:p w:rsidR="00F5409D" w:rsidP="004C6617" w:rsidRDefault="00F5409D" w14:paraId="1FD3C4FC" w14:textId="77777777">
      <w:pPr>
        <w:tabs>
          <w:tab w:val="left" w:pos="4667"/>
        </w:tabs>
        <w:spacing w:after="0" w:line="360" w:lineRule="auto"/>
        <w:ind w:left="567" w:right="567"/>
        <w:rPr>
          <w:rFonts w:eastAsia="Times New Roman" w:cs="Tahoma"/>
          <w:i/>
          <w:iCs/>
          <w:color w:val="auto"/>
          <w:sz w:val="20"/>
          <w:lang w:eastAsia="es-ES"/>
        </w:rPr>
      </w:pPr>
      <w:r>
        <w:rPr>
          <w:rFonts w:eastAsia="Times New Roman" w:cs="Tahoma"/>
          <w:i/>
          <w:iCs/>
          <w:color w:val="auto"/>
          <w:sz w:val="20"/>
          <w:lang w:eastAsia="es-ES"/>
        </w:rPr>
        <w:t xml:space="preserve">CUALQUIER OTRO MEDIO INCLUIDOS LOS ELECTRÓNICOS” </w:t>
      </w:r>
    </w:p>
    <w:p w:rsidR="00F5409D" w:rsidP="004C6617" w:rsidRDefault="00F5409D" w14:paraId="1A38C028" w14:textId="77777777">
      <w:pPr>
        <w:tabs>
          <w:tab w:val="left" w:pos="4667"/>
        </w:tabs>
        <w:spacing w:after="0" w:line="360" w:lineRule="auto"/>
        <w:ind w:left="567" w:right="567"/>
        <w:rPr>
          <w:rFonts w:eastAsia="Times New Roman" w:cs="Tahoma"/>
          <w:i/>
          <w:iCs/>
          <w:color w:val="auto"/>
          <w:sz w:val="20"/>
          <w:lang w:eastAsia="es-ES"/>
        </w:rPr>
      </w:pPr>
    </w:p>
    <w:p w:rsidR="00F5409D" w:rsidP="004C6617" w:rsidRDefault="00F5409D" w14:paraId="0E307263" w14:textId="77777777">
      <w:pPr>
        <w:tabs>
          <w:tab w:val="left" w:pos="4667"/>
        </w:tabs>
        <w:spacing w:after="0" w:line="360" w:lineRule="auto"/>
        <w:ind w:left="567" w:right="567"/>
        <w:rPr>
          <w:rFonts w:eastAsia="Times New Roman" w:cs="Tahoma"/>
          <w:b/>
          <w:bCs/>
          <w:i/>
          <w:iCs/>
          <w:color w:val="auto"/>
          <w:sz w:val="20"/>
          <w:lang w:val="es-ES" w:eastAsia="es-ES"/>
        </w:rPr>
      </w:pPr>
      <w:r>
        <w:rPr>
          <w:rFonts w:eastAsia="Times New Roman" w:cs="Tahoma"/>
          <w:b/>
          <w:bCs/>
          <w:i/>
          <w:iCs/>
          <w:color w:val="auto"/>
          <w:sz w:val="20"/>
          <w:lang w:val="es-ES" w:eastAsia="es-ES"/>
        </w:rPr>
        <w:t>“</w:t>
      </w:r>
      <w:r w:rsidRPr="00C253C8">
        <w:rPr>
          <w:rFonts w:eastAsia="Times New Roman" w:cs="Tahoma"/>
          <w:b/>
          <w:bCs/>
          <w:i/>
          <w:iCs/>
          <w:color w:val="auto"/>
          <w:sz w:val="20"/>
          <w:lang w:val="es-ES" w:eastAsia="es-ES"/>
        </w:rPr>
        <w:t>CORREO ELECTRÓNICO PARA RECIBIR INFORMACIÓN</w:t>
      </w:r>
      <w:r>
        <w:rPr>
          <w:rFonts w:eastAsia="Times New Roman" w:cs="Tahoma"/>
          <w:b/>
          <w:bCs/>
          <w:i/>
          <w:iCs/>
          <w:color w:val="auto"/>
          <w:sz w:val="20"/>
          <w:lang w:val="es-ES" w:eastAsia="es-ES"/>
        </w:rPr>
        <w:t>:</w:t>
      </w:r>
    </w:p>
    <w:p w:rsidRPr="007400D6" w:rsidR="00F5409D" w:rsidP="004C6617" w:rsidRDefault="00F5409D" w14:paraId="73A0E7C0" w14:textId="77777777">
      <w:pPr>
        <w:tabs>
          <w:tab w:val="left" w:pos="4667"/>
        </w:tabs>
        <w:spacing w:after="0" w:line="360" w:lineRule="auto"/>
        <w:ind w:left="567" w:right="567"/>
        <w:rPr>
          <w:rFonts w:eastAsia="Times New Roman" w:cs="Tahoma"/>
          <w:i/>
          <w:iCs/>
          <w:color w:val="auto"/>
          <w:sz w:val="20"/>
          <w:lang w:eastAsia="es-ES"/>
        </w:rPr>
      </w:pPr>
      <w:r w:rsidRPr="007400D6">
        <w:rPr>
          <w:rFonts w:eastAsia="Times New Roman" w:cs="Tahoma"/>
          <w:i/>
          <w:iCs/>
          <w:color w:val="auto"/>
          <w:sz w:val="20"/>
          <w:lang w:val="es-ES" w:eastAsia="es-ES"/>
        </w:rPr>
        <w:t xml:space="preserve">…” </w:t>
      </w:r>
    </w:p>
    <w:p w:rsidR="009A61B2" w:rsidP="004C6617" w:rsidRDefault="009A61B2" w14:paraId="0739879D" w14:textId="7791E845">
      <w:pPr>
        <w:spacing w:after="0" w:line="360" w:lineRule="auto"/>
        <w:rPr>
          <w:rFonts w:eastAsia="Times New Roman" w:cs="Tahoma"/>
          <w:color w:val="auto"/>
          <w:lang w:eastAsia="es-ES"/>
        </w:rPr>
      </w:pPr>
    </w:p>
    <w:p w:rsidRPr="00C253C8" w:rsidR="00F5409D" w:rsidP="004C6617" w:rsidRDefault="00F5409D" w14:paraId="51F48520" w14:textId="77777777">
      <w:pPr>
        <w:tabs>
          <w:tab w:val="left" w:pos="567"/>
        </w:tabs>
        <w:spacing w:after="0" w:line="360" w:lineRule="auto"/>
        <w:rPr>
          <w:rFonts w:eastAsia="Times New Roman" w:cs="Tahoma"/>
          <w:bCs/>
          <w:color w:val="auto"/>
          <w:lang w:eastAsia="es-ES"/>
        </w:rPr>
      </w:pPr>
      <w:r w:rsidRPr="00C253C8">
        <w:rPr>
          <w:rFonts w:eastAsia="Times New Roman" w:cs="Tahoma"/>
          <w:bCs/>
          <w:color w:val="auto"/>
          <w:lang w:eastAsia="es-ES"/>
        </w:rPr>
        <w:t xml:space="preserve">Cabe señalar que el sistema de solicitudes de acceso a la información de la Plataforma Nacional de Transparencia (PNT), se encuentra vinculado al Sistema de Acceso a la Información Mexiquense (SAIMEX), por lo que, se tiene como modalidad de recibir notificaciones y entrega de la información </w:t>
      </w:r>
      <w:r w:rsidRPr="00C253C8">
        <w:rPr>
          <w:rFonts w:eastAsia="Times New Roman" w:cs="Tahoma"/>
          <w:bCs/>
          <w:i/>
          <w:iCs/>
          <w:color w:val="auto"/>
          <w:lang w:eastAsia="es-ES"/>
        </w:rPr>
        <w:t>“A través del SAIMEX” y</w:t>
      </w:r>
      <w:r w:rsidRPr="00C253C8">
        <w:rPr>
          <w:rFonts w:eastAsia="Times New Roman" w:cs="Tahoma"/>
          <w:bCs/>
          <w:color w:val="auto"/>
          <w:lang w:eastAsia="es-ES"/>
        </w:rPr>
        <w:t xml:space="preserve"> por correo electrónico.</w:t>
      </w:r>
    </w:p>
    <w:p w:rsidR="00F5409D" w:rsidP="004C6617" w:rsidRDefault="00F5409D" w14:paraId="2CA401DB" w14:textId="77777777">
      <w:pPr>
        <w:autoSpaceDE w:val="0"/>
        <w:autoSpaceDN w:val="0"/>
        <w:adjustRightInd w:val="0"/>
        <w:spacing w:after="0" w:line="360" w:lineRule="auto"/>
        <w:rPr>
          <w:rFonts w:cs="Tahoma"/>
          <w:bCs/>
        </w:rPr>
      </w:pPr>
    </w:p>
    <w:p w:rsidRPr="007400D6" w:rsidR="00F5409D" w:rsidP="004C6617" w:rsidRDefault="00F5409D" w14:paraId="2AE7F13F" w14:textId="77777777">
      <w:pPr>
        <w:autoSpaceDE w:val="0"/>
        <w:autoSpaceDN w:val="0"/>
        <w:adjustRightInd w:val="0"/>
        <w:spacing w:after="0" w:line="360" w:lineRule="auto"/>
        <w:rPr>
          <w:rFonts w:cs="Tahoma"/>
          <w:bCs/>
          <w:i/>
          <w:iCs/>
          <w:sz w:val="20"/>
          <w:szCs w:val="20"/>
        </w:rPr>
      </w:pPr>
      <w:r>
        <w:rPr>
          <w:rFonts w:cs="Tahoma"/>
          <w:bCs/>
        </w:rPr>
        <w:t>El Particular anexó un escrito libre, el cual contiene la solicitud de información previamente referida.</w:t>
      </w:r>
    </w:p>
    <w:p w:rsidR="00F5409D" w:rsidP="004C6617" w:rsidRDefault="00F5409D" w14:paraId="59D9FB0A" w14:textId="77777777">
      <w:pPr>
        <w:spacing w:after="0" w:line="360" w:lineRule="auto"/>
        <w:rPr>
          <w:rFonts w:eastAsia="Times New Roman" w:cs="Tahoma"/>
          <w:color w:val="auto"/>
          <w:lang w:eastAsia="es-ES"/>
        </w:rPr>
      </w:pPr>
    </w:p>
    <w:p w:rsidRPr="00B92F1D" w:rsidR="00605283" w:rsidP="004C6617" w:rsidRDefault="00605283" w14:paraId="5012B1F0" w14:textId="6CE52C0F">
      <w:pPr>
        <w:autoSpaceDE w:val="0"/>
        <w:autoSpaceDN w:val="0"/>
        <w:adjustRightInd w:val="0"/>
        <w:spacing w:after="0" w:line="360" w:lineRule="auto"/>
        <w:rPr>
          <w:b/>
          <w:bCs/>
        </w:rPr>
      </w:pPr>
      <w:r w:rsidRPr="00B92F1D">
        <w:rPr>
          <w:rFonts w:cs="Tahoma"/>
          <w:b/>
        </w:rPr>
        <w:t>II.</w:t>
      </w:r>
      <w:r w:rsidRPr="00B92F1D">
        <w:rPr>
          <w:b/>
          <w:bCs/>
        </w:rPr>
        <w:t xml:space="preserve"> Respuesta</w:t>
      </w:r>
      <w:r w:rsidR="00022D9B">
        <w:rPr>
          <w:b/>
          <w:bCs/>
        </w:rPr>
        <w:t>s del Sujeto Obligado.</w:t>
      </w:r>
    </w:p>
    <w:p w:rsidRPr="00B92F1D" w:rsidR="00605283" w:rsidP="004C6617" w:rsidRDefault="00605283" w14:paraId="784120F2" w14:textId="77777777">
      <w:pPr>
        <w:spacing w:after="0" w:line="360" w:lineRule="auto"/>
      </w:pPr>
    </w:p>
    <w:p w:rsidRPr="00224341" w:rsidR="00224341" w:rsidP="004C6617" w:rsidRDefault="00605283" w14:paraId="11A64D5C" w14:textId="346D7E19">
      <w:pPr>
        <w:spacing w:after="0" w:line="360" w:lineRule="auto"/>
      </w:pPr>
      <w:r w:rsidRPr="00B92F1D">
        <w:lastRenderedPageBreak/>
        <w:t>Con fecha</w:t>
      </w:r>
      <w:r>
        <w:t xml:space="preserve"> </w:t>
      </w:r>
      <w:r w:rsidR="00142784">
        <w:t xml:space="preserve">veintitrés </w:t>
      </w:r>
      <w:r>
        <w:t>de septiembre de dos mil veintiuno</w:t>
      </w:r>
      <w:r w:rsidRPr="00B92F1D">
        <w:t xml:space="preserve">, a través del Sistema de Acceso a la Información Mexiquense (SAIMEX), </w:t>
      </w:r>
      <w:r w:rsidR="00142784">
        <w:t xml:space="preserve">el Sujeto Obligado </w:t>
      </w:r>
      <w:r>
        <w:t xml:space="preserve">notifico </w:t>
      </w:r>
      <w:r w:rsidRPr="00B92F1D">
        <w:t>la</w:t>
      </w:r>
      <w:r w:rsidR="00142784">
        <w:t>s</w:t>
      </w:r>
      <w:r w:rsidRPr="00B92F1D">
        <w:t xml:space="preserve"> respuesta</w:t>
      </w:r>
      <w:r w:rsidR="00142784">
        <w:t>s</w:t>
      </w:r>
      <w:r w:rsidRPr="00B92F1D">
        <w:t xml:space="preserve"> a </w:t>
      </w:r>
      <w:r w:rsidRPr="00B92F1D" w:rsidR="00142784">
        <w:t>las solicitudes</w:t>
      </w:r>
      <w:r w:rsidR="00F5409D">
        <w:t xml:space="preserve"> de</w:t>
      </w:r>
      <w:r w:rsidR="003F6898">
        <w:t xml:space="preserve"> acceso a la información, a través de los oficios </w:t>
      </w:r>
      <w:r w:rsidRPr="003F6898" w:rsidR="003F6898">
        <w:t>DDE/677/2021</w:t>
      </w:r>
      <w:r w:rsidR="003F6898">
        <w:t xml:space="preserve"> y </w:t>
      </w:r>
      <w:r w:rsidRPr="003F6898" w:rsidR="003F6898">
        <w:t>DDE/678/2021</w:t>
      </w:r>
      <w:r w:rsidR="00224341">
        <w:t xml:space="preserve">, del veinte del mismo mes y año, suscritos por </w:t>
      </w:r>
      <w:r w:rsidRPr="00224341" w:rsidR="00224341">
        <w:t xml:space="preserve">la Directora de Desarrollo Económico y es dirigido a la Titular de la Unidad de Transparencia, por medio del cual le precisa lo siguiente: </w:t>
      </w:r>
    </w:p>
    <w:p w:rsidRPr="00224341" w:rsidR="00224341" w:rsidP="004C6617" w:rsidRDefault="00224341" w14:paraId="33F27407" w14:textId="77777777">
      <w:pPr>
        <w:spacing w:after="0" w:line="360" w:lineRule="auto"/>
      </w:pPr>
    </w:p>
    <w:p w:rsidRPr="00224341" w:rsidR="00224341" w:rsidP="004C6617" w:rsidRDefault="00224341" w14:paraId="7759ED75" w14:textId="77777777">
      <w:pPr>
        <w:spacing w:after="0" w:line="360" w:lineRule="auto"/>
        <w:ind w:left="567" w:right="567"/>
        <w:rPr>
          <w:i/>
          <w:iCs/>
          <w:sz w:val="20"/>
        </w:rPr>
      </w:pPr>
      <w:r w:rsidRPr="00224341">
        <w:rPr>
          <w:i/>
          <w:iCs/>
          <w:sz w:val="20"/>
        </w:rPr>
        <w:t>“…</w:t>
      </w:r>
    </w:p>
    <w:p w:rsidRPr="00224341" w:rsidR="00224341" w:rsidP="004C6617" w:rsidRDefault="00224341" w14:paraId="4FF79531" w14:textId="77777777">
      <w:pPr>
        <w:spacing w:after="0" w:line="360" w:lineRule="auto"/>
        <w:ind w:left="567" w:right="567"/>
        <w:rPr>
          <w:i/>
          <w:iCs/>
          <w:sz w:val="20"/>
        </w:rPr>
      </w:pPr>
      <w:r w:rsidRPr="00224341">
        <w:rPr>
          <w:i/>
          <w:iCs/>
          <w:sz w:val="20"/>
        </w:rPr>
        <w:t>Derivado a su solicitud le informo que de conformidad con los artículos 1, 2 fracción I, II, IV, VIII, 3 fracción IV, 5, 27 de la Ley de Protección de Datos Personales en Posesión de Sujetos Obligados del Estado de México y Municipios, no es factible proporcionales la información solicitada, en virtud de que dicha información se considera confidencial de conformidad con el artículo 40 del mismo ordenamiento legal invocado</w:t>
      </w:r>
    </w:p>
    <w:p w:rsidRPr="00224341" w:rsidR="00224341" w:rsidP="004C6617" w:rsidRDefault="00224341" w14:paraId="68236405" w14:textId="77777777">
      <w:pPr>
        <w:spacing w:after="0" w:line="360" w:lineRule="auto"/>
        <w:ind w:left="567" w:right="567"/>
        <w:rPr>
          <w:i/>
          <w:iCs/>
          <w:sz w:val="20"/>
        </w:rPr>
      </w:pPr>
      <w:r w:rsidRPr="00224341">
        <w:rPr>
          <w:i/>
          <w:iCs/>
          <w:sz w:val="20"/>
        </w:rPr>
        <w:t xml:space="preserve">…” (Sic) </w:t>
      </w:r>
    </w:p>
    <w:p w:rsidR="00224341" w:rsidP="004C6617" w:rsidRDefault="00224341" w14:paraId="678B4704" w14:textId="77777777">
      <w:pPr>
        <w:spacing w:after="0" w:line="360" w:lineRule="auto"/>
        <w:rPr>
          <w:b/>
        </w:rPr>
      </w:pPr>
    </w:p>
    <w:p w:rsidRPr="00B92F1D" w:rsidR="00605283" w:rsidP="004C6617" w:rsidRDefault="00605283" w14:paraId="43659401" w14:textId="74CBF4FA">
      <w:pPr>
        <w:spacing w:after="0" w:line="360" w:lineRule="auto"/>
        <w:rPr>
          <w:b/>
        </w:rPr>
      </w:pPr>
      <w:r w:rsidRPr="00B92F1D">
        <w:rPr>
          <w:b/>
        </w:rPr>
        <w:t>III. Interposición de</w:t>
      </w:r>
      <w:r w:rsidR="00DE3474">
        <w:rPr>
          <w:b/>
        </w:rPr>
        <w:t xml:space="preserve"> los </w:t>
      </w:r>
      <w:r w:rsidRPr="00B92F1D" w:rsidR="00DE3474">
        <w:rPr>
          <w:b/>
        </w:rPr>
        <w:t>Recurso</w:t>
      </w:r>
      <w:r w:rsidR="00DE3474">
        <w:rPr>
          <w:b/>
        </w:rPr>
        <w:t>s</w:t>
      </w:r>
      <w:r w:rsidRPr="00B92F1D">
        <w:rPr>
          <w:b/>
        </w:rPr>
        <w:t xml:space="preserve"> de Revisión. </w:t>
      </w:r>
    </w:p>
    <w:p w:rsidRPr="00B92F1D" w:rsidR="00605283" w:rsidP="004C6617" w:rsidRDefault="00605283" w14:paraId="2AEBB9B7" w14:textId="77777777">
      <w:pPr>
        <w:spacing w:after="0" w:line="360" w:lineRule="auto"/>
        <w:rPr>
          <w:bCs/>
        </w:rPr>
      </w:pPr>
    </w:p>
    <w:p w:rsidRPr="00B92F1D" w:rsidR="00605283" w:rsidP="004C6617" w:rsidRDefault="00605283" w14:paraId="304062AB" w14:textId="1D606C67">
      <w:pPr>
        <w:spacing w:after="0" w:line="360" w:lineRule="auto"/>
        <w:rPr>
          <w:bCs/>
        </w:rPr>
      </w:pPr>
      <w:r w:rsidRPr="00B92F1D">
        <w:rPr>
          <w:bCs/>
        </w:rPr>
        <w:t xml:space="preserve">Con fecha </w:t>
      </w:r>
      <w:r w:rsidR="00DE3474">
        <w:rPr>
          <w:bCs/>
        </w:rPr>
        <w:t>catorce</w:t>
      </w:r>
      <w:r>
        <w:rPr>
          <w:bCs/>
        </w:rPr>
        <w:t xml:space="preserve"> de octubre de dos mil veintiuno</w:t>
      </w:r>
      <w:r w:rsidRPr="00B92F1D">
        <w:rPr>
          <w:bCs/>
        </w:rPr>
        <w:t xml:space="preserve">, se </w:t>
      </w:r>
      <w:r>
        <w:rPr>
          <w:bCs/>
        </w:rPr>
        <w:t>present</w:t>
      </w:r>
      <w:r w:rsidR="00DE3474">
        <w:rPr>
          <w:bCs/>
        </w:rPr>
        <w:t xml:space="preserve">aron </w:t>
      </w:r>
      <w:r w:rsidRPr="00B92F1D">
        <w:rPr>
          <w:bCs/>
        </w:rPr>
        <w:t xml:space="preserve">en este Instituto, a través del </w:t>
      </w:r>
      <w:r w:rsidRPr="00B92F1D">
        <w:rPr>
          <w:bCs/>
          <w:lang w:val="es-ES"/>
        </w:rPr>
        <w:t>Sistema de Acceso a la Información Mexiquense (SAIMEX)</w:t>
      </w:r>
      <w:r w:rsidRPr="00B92F1D">
        <w:rPr>
          <w:bCs/>
        </w:rPr>
        <w:t xml:space="preserve">, </w:t>
      </w:r>
      <w:r w:rsidR="00DE3474">
        <w:rPr>
          <w:bCs/>
        </w:rPr>
        <w:t xml:space="preserve">dos </w:t>
      </w:r>
      <w:r w:rsidR="007C7753">
        <w:rPr>
          <w:bCs/>
        </w:rPr>
        <w:t xml:space="preserve">Recurso de Revisión, </w:t>
      </w:r>
      <w:r w:rsidRPr="00B92F1D">
        <w:rPr>
          <w:bCs/>
        </w:rPr>
        <w:t>interpuesto</w:t>
      </w:r>
      <w:r w:rsidR="007C7753">
        <w:rPr>
          <w:bCs/>
        </w:rPr>
        <w:t>s</w:t>
      </w:r>
      <w:r w:rsidRPr="00B92F1D">
        <w:rPr>
          <w:bCs/>
        </w:rPr>
        <w:t xml:space="preserve"> por la parte Recurrente, en contra de </w:t>
      </w:r>
      <w:r w:rsidR="007C7753">
        <w:rPr>
          <w:bCs/>
        </w:rPr>
        <w:t xml:space="preserve">la respuesta </w:t>
      </w:r>
      <w:r>
        <w:rPr>
          <w:bCs/>
        </w:rPr>
        <w:t>d</w:t>
      </w:r>
      <w:r w:rsidRPr="00B92F1D">
        <w:rPr>
          <w:bCs/>
        </w:rPr>
        <w:t>el Sujeto Obligado, a la</w:t>
      </w:r>
      <w:r w:rsidR="00DE3474">
        <w:rPr>
          <w:bCs/>
        </w:rPr>
        <w:t xml:space="preserve">s </w:t>
      </w:r>
      <w:r w:rsidRPr="00B92F1D">
        <w:rPr>
          <w:bCs/>
        </w:rPr>
        <w:t>solicitud</w:t>
      </w:r>
      <w:r w:rsidR="00DE3474">
        <w:rPr>
          <w:bCs/>
        </w:rPr>
        <w:t>es</w:t>
      </w:r>
      <w:r w:rsidRPr="00B92F1D">
        <w:rPr>
          <w:bCs/>
        </w:rPr>
        <w:t xml:space="preserve"> de información</w:t>
      </w:r>
      <w:r>
        <w:rPr>
          <w:bCs/>
        </w:rPr>
        <w:t xml:space="preserve">, </w:t>
      </w:r>
      <w:r w:rsidR="007C7753">
        <w:rPr>
          <w:bCs/>
        </w:rPr>
        <w:t xml:space="preserve">ambas </w:t>
      </w:r>
      <w:r w:rsidRPr="00B92F1D">
        <w:rPr>
          <w:bCs/>
        </w:rPr>
        <w:t>en los siguientes términos:</w:t>
      </w:r>
    </w:p>
    <w:p w:rsidR="00605283" w:rsidP="004C6617" w:rsidRDefault="00605283" w14:paraId="31161503" w14:textId="3637BA3B">
      <w:pPr>
        <w:spacing w:after="0" w:line="360" w:lineRule="auto"/>
        <w:rPr>
          <w:bCs/>
        </w:rPr>
      </w:pPr>
    </w:p>
    <w:p w:rsidRPr="0090769D" w:rsidR="00BC08DD" w:rsidP="004C6617" w:rsidRDefault="00BC08DD" w14:paraId="6CAD79EB" w14:textId="77777777">
      <w:pPr>
        <w:spacing w:after="0" w:line="360" w:lineRule="auto"/>
        <w:ind w:left="567" w:right="567"/>
        <w:rPr>
          <w:rFonts w:cs="Tahoma"/>
          <w:b/>
          <w:bCs/>
          <w:i/>
          <w:sz w:val="20"/>
          <w:szCs w:val="20"/>
          <w:lang w:eastAsia="es-ES"/>
        </w:rPr>
      </w:pPr>
      <w:r w:rsidRPr="0090769D">
        <w:rPr>
          <w:rFonts w:cs="Tahoma"/>
          <w:b/>
          <w:bCs/>
          <w:i/>
          <w:sz w:val="20"/>
          <w:szCs w:val="20"/>
          <w:lang w:eastAsia="es-ES"/>
        </w:rPr>
        <w:t>“ACTO IMPUGNADO</w:t>
      </w:r>
    </w:p>
    <w:p w:rsidRPr="0090769D" w:rsidR="00BC08DD" w:rsidP="004C6617" w:rsidRDefault="00BC08DD" w14:paraId="505720CA" w14:textId="15FD8342">
      <w:pPr>
        <w:spacing w:after="0" w:line="360" w:lineRule="auto"/>
        <w:ind w:left="567" w:right="567"/>
        <w:rPr>
          <w:rFonts w:cs="Tahoma"/>
          <w:bCs/>
          <w:i/>
          <w:sz w:val="20"/>
          <w:szCs w:val="20"/>
          <w:lang w:eastAsia="es-ES"/>
        </w:rPr>
      </w:pPr>
      <w:r w:rsidRPr="00F44C04">
        <w:rPr>
          <w:rFonts w:cs="Tahoma"/>
          <w:bCs/>
          <w:i/>
          <w:sz w:val="20"/>
          <w:szCs w:val="20"/>
          <w:lang w:eastAsia="es-ES"/>
        </w:rPr>
        <w:t>Sujeto Obligado: Ayuntamiento de Ecatepec de Morelos Número de Folio de la Solicitud: 00635/ECATEPEC/IP/2021 Acto que se recurre: Respuesta de la solicitud de acceso a la información mediante el oficio</w:t>
      </w:r>
      <w:r w:rsidR="00CC2EA6">
        <w:rPr>
          <w:rFonts w:cs="Tahoma"/>
          <w:bCs/>
          <w:i/>
          <w:sz w:val="20"/>
          <w:szCs w:val="20"/>
          <w:lang w:eastAsia="es-ES"/>
        </w:rPr>
        <w:t xml:space="preserve"> </w:t>
      </w:r>
      <w:r w:rsidRPr="00CC2EA6" w:rsidR="00CC2EA6">
        <w:rPr>
          <w:rFonts w:cs="Tahoma"/>
          <w:bCs/>
          <w:i/>
          <w:sz w:val="20"/>
          <w:szCs w:val="20"/>
          <w:lang w:eastAsia="es-ES"/>
        </w:rPr>
        <w:t>DDE/677/2021</w:t>
      </w:r>
      <w:r w:rsidRPr="00F44C04">
        <w:rPr>
          <w:rFonts w:cs="Tahoma"/>
          <w:bCs/>
          <w:i/>
          <w:sz w:val="20"/>
          <w:szCs w:val="20"/>
          <w:lang w:eastAsia="es-ES"/>
        </w:rPr>
        <w:t xml:space="preserve"> </w:t>
      </w:r>
      <w:r w:rsidR="00CC2EA6">
        <w:rPr>
          <w:rFonts w:cs="Tahoma"/>
          <w:bCs/>
          <w:i/>
          <w:sz w:val="20"/>
          <w:szCs w:val="20"/>
          <w:lang w:eastAsia="es-ES"/>
        </w:rPr>
        <w:t>(</w:t>
      </w:r>
      <w:r w:rsidRPr="00F44C04">
        <w:rPr>
          <w:rFonts w:cs="Tahoma"/>
          <w:bCs/>
          <w:i/>
          <w:sz w:val="20"/>
          <w:szCs w:val="20"/>
          <w:lang w:eastAsia="es-ES"/>
        </w:rPr>
        <w:t>DDE/678/2021</w:t>
      </w:r>
      <w:r w:rsidR="00CC2EA6">
        <w:rPr>
          <w:rFonts w:cs="Tahoma"/>
          <w:bCs/>
          <w:i/>
          <w:sz w:val="20"/>
          <w:szCs w:val="20"/>
          <w:lang w:eastAsia="es-ES"/>
        </w:rPr>
        <w:t>)</w:t>
      </w:r>
      <w:r w:rsidRPr="00F44C04">
        <w:rPr>
          <w:rFonts w:cs="Tahoma"/>
          <w:bCs/>
          <w:i/>
          <w:sz w:val="20"/>
          <w:szCs w:val="20"/>
          <w:lang w:eastAsia="es-ES"/>
        </w:rPr>
        <w:t xml:space="preserve"> (se anexa documento)</w:t>
      </w:r>
      <w:r w:rsidR="00CC2EA6">
        <w:rPr>
          <w:rFonts w:cs="Tahoma"/>
          <w:bCs/>
          <w:i/>
          <w:sz w:val="20"/>
          <w:szCs w:val="20"/>
          <w:lang w:eastAsia="es-ES"/>
        </w:rPr>
        <w:t xml:space="preserve">” </w:t>
      </w:r>
      <w:r w:rsidRPr="0090769D">
        <w:rPr>
          <w:rFonts w:cs="Tahoma"/>
          <w:bCs/>
          <w:i/>
          <w:sz w:val="20"/>
          <w:szCs w:val="20"/>
          <w:lang w:eastAsia="es-ES"/>
        </w:rPr>
        <w:t>(Sic.)</w:t>
      </w:r>
    </w:p>
    <w:p w:rsidRPr="0090769D" w:rsidR="00BC08DD" w:rsidP="004C6617" w:rsidRDefault="00BC08DD" w14:paraId="3991B901" w14:textId="77777777">
      <w:pPr>
        <w:spacing w:after="0" w:line="360" w:lineRule="auto"/>
        <w:ind w:left="567" w:right="567"/>
        <w:rPr>
          <w:rFonts w:cs="Tahoma"/>
          <w:bCs/>
          <w:i/>
          <w:sz w:val="20"/>
          <w:szCs w:val="20"/>
          <w:lang w:eastAsia="es-ES"/>
        </w:rPr>
      </w:pPr>
    </w:p>
    <w:p w:rsidRPr="0090769D" w:rsidR="00BC08DD" w:rsidP="004C6617" w:rsidRDefault="00BC08DD" w14:paraId="26732A1D" w14:textId="77777777">
      <w:pPr>
        <w:spacing w:after="0" w:line="360" w:lineRule="auto"/>
        <w:ind w:left="567" w:right="567"/>
        <w:rPr>
          <w:rFonts w:cs="Tahoma"/>
          <w:b/>
          <w:bCs/>
          <w:i/>
          <w:sz w:val="20"/>
          <w:szCs w:val="20"/>
          <w:lang w:eastAsia="es-ES"/>
        </w:rPr>
      </w:pPr>
      <w:r w:rsidRPr="0090769D">
        <w:rPr>
          <w:rFonts w:cs="Tahoma"/>
          <w:b/>
          <w:bCs/>
          <w:i/>
          <w:sz w:val="20"/>
          <w:szCs w:val="20"/>
          <w:lang w:eastAsia="es-ES"/>
        </w:rPr>
        <w:t>“RAZONES O MOTIVOS DE LA INCONFORMIDAD</w:t>
      </w:r>
    </w:p>
    <w:p w:rsidR="00BC08DD" w:rsidP="004C6617" w:rsidRDefault="00BC08DD" w14:paraId="2B2370B4" w14:textId="77777777">
      <w:pPr>
        <w:spacing w:after="0" w:line="360" w:lineRule="auto"/>
        <w:ind w:left="567" w:right="567"/>
        <w:rPr>
          <w:rFonts w:cs="Tahoma"/>
          <w:bCs/>
          <w:i/>
          <w:sz w:val="20"/>
          <w:szCs w:val="20"/>
          <w:lang w:eastAsia="es-ES"/>
        </w:rPr>
      </w:pPr>
      <w:r w:rsidRPr="00F44C04">
        <w:rPr>
          <w:rFonts w:cs="Tahoma"/>
          <w:bCs/>
          <w:i/>
          <w:sz w:val="20"/>
          <w:szCs w:val="20"/>
          <w:lang w:eastAsia="es-ES"/>
        </w:rPr>
        <w:t xml:space="preserve">Otra causante del recurso de revisión sería también: La negativa a la información solicitada Resaltar que el sujeto obligado imposibilitó el acceso a la información pública, puesto que en ningún momento </w:t>
      </w:r>
      <w:r w:rsidRPr="00F44C04">
        <w:rPr>
          <w:rFonts w:cs="Tahoma"/>
          <w:bCs/>
          <w:i/>
          <w:sz w:val="20"/>
          <w:szCs w:val="20"/>
          <w:lang w:eastAsia="es-ES"/>
        </w:rPr>
        <w:lastRenderedPageBreak/>
        <w:t>facilitó los documentos (Registro de las Licencias de Funcionamiento solicitadas) con alguna versión pública de los mismos. El solicitante duda que todo el contenido de las mencionadas licencias de funcionamiento se trate de información confidencial, como para así negar en su totalidad la información solicitada. Resaltar también que en la solicitud no se pide información que pueda considerarse como datos personales (información confidencial). Por citar y aclarar algunos incisos provenientes de mi solicitud inicial (más no de forma limitativa): 2) Dirección del establecimiento. No debe ser información confidencial debido a que no se trata de la dirección del DOMICILIO DE UN PARTICULAR, sino la dirección de un establecimiento/negocio/Unidad Económica, incluso si se trata de una Unidad Económica perteneciente a una Persona Física, puesto que, por defecto no cualquier domicilio y/o dirección puede albergar actividades mercantiles. Lo anterior en línea (más no determinante) con que cada ayuntamiento debe tener muy bien delimitado y establecido su Ordenamiento Ecológico y Usos de Suelo para saber que las Licencias de Funcionamiento por defecto no pueden otorgarse sin un control adecuando en cualquier sitio/lugar; en caso contrario, no es motivo para negar o clasificar la información dentro o fuera de una categoría específica. 4) Denominación o Razón Social. Se entiende que solo aplica a Personas Morales, lo que lo exime de considerarse como un dato personal. 5) Si es Persona Física o Persona Moral. ¿Quién está a cargo del negocio? ¿Pertenece a una persona Física o Moral? 7) Teléfono o Celular o cualquier otro medio de contacto. Nuevamente indicando que se busca la información del establecimiento mercantil, mas no de una persona en particula</w:t>
      </w:r>
      <w:r>
        <w:rPr>
          <w:rFonts w:cs="Tahoma"/>
          <w:bCs/>
          <w:i/>
          <w:sz w:val="20"/>
          <w:szCs w:val="20"/>
          <w:lang w:eastAsia="es-ES"/>
        </w:rPr>
        <w:t>r</w:t>
      </w:r>
    </w:p>
    <w:p w:rsidR="00BC08DD" w:rsidP="004C6617" w:rsidRDefault="00BC08DD" w14:paraId="09A77EE3" w14:textId="77777777">
      <w:pPr>
        <w:spacing w:after="0" w:line="360" w:lineRule="auto"/>
        <w:ind w:left="567" w:right="567"/>
        <w:rPr>
          <w:rFonts w:cs="Tahoma"/>
          <w:bCs/>
          <w:i/>
          <w:sz w:val="20"/>
          <w:szCs w:val="20"/>
          <w:lang w:eastAsia="es-ES"/>
        </w:rPr>
      </w:pPr>
      <w:r>
        <w:rPr>
          <w:rFonts w:cs="Tahoma"/>
          <w:bCs/>
          <w:i/>
          <w:sz w:val="20"/>
          <w:szCs w:val="20"/>
          <w:lang w:eastAsia="es-ES"/>
        </w:rPr>
        <w:t xml:space="preserve">…” </w:t>
      </w:r>
      <w:r w:rsidRPr="0090769D">
        <w:rPr>
          <w:rFonts w:cs="Tahoma"/>
          <w:bCs/>
          <w:i/>
          <w:sz w:val="20"/>
          <w:szCs w:val="20"/>
          <w:lang w:eastAsia="es-ES"/>
        </w:rPr>
        <w:t>(Sic)</w:t>
      </w:r>
    </w:p>
    <w:p w:rsidRPr="00CC2EA6" w:rsidR="00CC2EA6" w:rsidP="004C6617" w:rsidRDefault="00CC2EA6" w14:paraId="22B0B128" w14:textId="77777777">
      <w:pPr>
        <w:spacing w:after="0" w:line="360" w:lineRule="auto"/>
        <w:rPr>
          <w:rFonts w:cs="Tahoma"/>
        </w:rPr>
      </w:pPr>
    </w:p>
    <w:p w:rsidRPr="00CC2EA6" w:rsidR="00386087" w:rsidP="004C6617" w:rsidRDefault="00CC2EA6" w14:paraId="428044EF" w14:textId="70803665">
      <w:pPr>
        <w:spacing w:after="0" w:line="360" w:lineRule="auto"/>
        <w:rPr>
          <w:bCs/>
        </w:rPr>
      </w:pPr>
      <w:r>
        <w:rPr>
          <w:rFonts w:cs="Tahoma"/>
        </w:rPr>
        <w:t xml:space="preserve">El Particular adjuntó la digitalización de los oficios con número </w:t>
      </w:r>
      <w:r w:rsidRPr="00CC2EA6">
        <w:rPr>
          <w:rFonts w:cs="Tahoma"/>
        </w:rPr>
        <w:t>oficios DDE/677/2021 y DDE/678/2021</w:t>
      </w:r>
      <w:r>
        <w:rPr>
          <w:rFonts w:cs="Tahoma"/>
        </w:rPr>
        <w:t>, referidos en el Antecedente II.</w:t>
      </w:r>
    </w:p>
    <w:p w:rsidR="00386087" w:rsidP="004C6617" w:rsidRDefault="00386087" w14:paraId="57DD09BE" w14:textId="77777777">
      <w:pPr>
        <w:spacing w:after="0" w:line="360" w:lineRule="auto"/>
        <w:rPr>
          <w:bCs/>
        </w:rPr>
      </w:pPr>
    </w:p>
    <w:p w:rsidRPr="00B92F1D" w:rsidR="00605283" w:rsidP="004C6617" w:rsidRDefault="00605283" w14:paraId="2CC42F83" w14:textId="56F05285">
      <w:pPr>
        <w:spacing w:after="0" w:line="360" w:lineRule="auto"/>
        <w:rPr>
          <w:b/>
          <w:bCs/>
        </w:rPr>
      </w:pPr>
      <w:r w:rsidRPr="00B92F1D">
        <w:rPr>
          <w:b/>
        </w:rPr>
        <w:t xml:space="preserve">IV. </w:t>
      </w:r>
      <w:r w:rsidRPr="00B92F1D">
        <w:rPr>
          <w:b/>
          <w:bCs/>
        </w:rPr>
        <w:t>Trámite de</w:t>
      </w:r>
      <w:r w:rsidR="00CC2EA6">
        <w:rPr>
          <w:b/>
          <w:bCs/>
        </w:rPr>
        <w:t xml:space="preserve"> </w:t>
      </w:r>
      <w:r w:rsidRPr="00B92F1D">
        <w:rPr>
          <w:b/>
          <w:bCs/>
        </w:rPr>
        <w:t>l</w:t>
      </w:r>
      <w:r w:rsidR="00CC2EA6">
        <w:rPr>
          <w:b/>
          <w:bCs/>
        </w:rPr>
        <w:t>os</w:t>
      </w:r>
      <w:r w:rsidRPr="00B92F1D">
        <w:rPr>
          <w:b/>
          <w:bCs/>
        </w:rPr>
        <w:t xml:space="preserve"> </w:t>
      </w:r>
      <w:r w:rsidRPr="00B92F1D">
        <w:rPr>
          <w:b/>
        </w:rPr>
        <w:t>Recurso</w:t>
      </w:r>
      <w:r w:rsidR="00CC2EA6">
        <w:rPr>
          <w:b/>
        </w:rPr>
        <w:t>s</w:t>
      </w:r>
      <w:r w:rsidRPr="00B92F1D">
        <w:rPr>
          <w:b/>
        </w:rPr>
        <w:t xml:space="preserve"> de Revisión </w:t>
      </w:r>
      <w:r w:rsidRPr="00B92F1D">
        <w:rPr>
          <w:b/>
          <w:bCs/>
        </w:rPr>
        <w:t>ante este Instituto.</w:t>
      </w:r>
    </w:p>
    <w:p w:rsidRPr="00B92F1D" w:rsidR="00605283" w:rsidP="004C6617" w:rsidRDefault="00605283" w14:paraId="7D5F8A4C" w14:textId="77777777">
      <w:pPr>
        <w:spacing w:after="0" w:line="360" w:lineRule="auto"/>
        <w:rPr>
          <w:b/>
          <w:bCs/>
        </w:rPr>
      </w:pPr>
    </w:p>
    <w:p w:rsidRPr="0090769D" w:rsidR="006425AF" w:rsidP="004C6617" w:rsidRDefault="006425AF" w14:paraId="0A383534" w14:textId="28B21F37">
      <w:pPr>
        <w:spacing w:after="0" w:line="360" w:lineRule="auto"/>
        <w:ind w:right="-28"/>
        <w:contextualSpacing/>
        <w:rPr>
          <w:rFonts w:eastAsia="Batang" w:cs="Tahoma"/>
          <w:bCs/>
        </w:rPr>
      </w:pPr>
      <w:r w:rsidRPr="0090769D">
        <w:rPr>
          <w:rFonts w:eastAsia="Batang" w:cs="Tahoma"/>
          <w:b/>
          <w:bCs/>
        </w:rPr>
        <w:t xml:space="preserve">a) Turno de los </w:t>
      </w:r>
      <w:r w:rsidRPr="0090769D">
        <w:rPr>
          <w:rFonts w:cs="Tahoma"/>
          <w:b/>
        </w:rPr>
        <w:t>Recursos de Revisión</w:t>
      </w:r>
      <w:r w:rsidRPr="0090769D">
        <w:rPr>
          <w:rFonts w:eastAsia="Batang" w:cs="Tahoma"/>
          <w:b/>
          <w:bCs/>
        </w:rPr>
        <w:t xml:space="preserve">. </w:t>
      </w:r>
      <w:r w:rsidRPr="0090769D">
        <w:rPr>
          <w:rFonts w:cs="Tahoma"/>
        </w:rPr>
        <w:t>Con</w:t>
      </w:r>
      <w:r>
        <w:rPr>
          <w:rFonts w:cs="Tahoma"/>
        </w:rPr>
        <w:t xml:space="preserve"> </w:t>
      </w:r>
      <w:r w:rsidRPr="00E869D1" w:rsidR="00E869D1">
        <w:rPr>
          <w:rFonts w:cs="Tahoma"/>
          <w:bCs/>
        </w:rPr>
        <w:t xml:space="preserve">catorce de octubre </w:t>
      </w:r>
      <w:r w:rsidRPr="001B624D">
        <w:rPr>
          <w:rFonts w:cs="Tahoma"/>
        </w:rPr>
        <w:t>de dos mil veintiuno</w:t>
      </w:r>
      <w:r w:rsidRPr="0090769D">
        <w:rPr>
          <w:rFonts w:eastAsia="Batang" w:cs="Tahoma"/>
          <w:bCs/>
        </w:rPr>
        <w:t xml:space="preserve">, el </w:t>
      </w:r>
      <w:r w:rsidRPr="0090769D">
        <w:rPr>
          <w:rFonts w:cs="Tahoma"/>
        </w:rPr>
        <w:t>Sistema de Acceso a la Información Mexiquense (SAIMEX),</w:t>
      </w:r>
      <w:r w:rsidRPr="0090769D">
        <w:rPr>
          <w:rFonts w:eastAsia="Batang" w:cs="Tahoma"/>
          <w:bCs/>
        </w:rPr>
        <w:t xml:space="preserve"> asignó los Recursos de Revisión con base en el sistema aprobado por el Pleno de este Órgano Garante y los turnó para los efectos del </w:t>
      </w:r>
      <w:r w:rsidRPr="0090769D">
        <w:rPr>
          <w:rFonts w:eastAsia="Batang" w:cs="Tahoma"/>
          <w:bCs/>
        </w:rPr>
        <w:lastRenderedPageBreak/>
        <w:t>artículo 185, fracción I, de la Ley de Transparencia y Acceso a la Información Pública del Estado de México y Municipios, de la siguiente manera:</w:t>
      </w:r>
    </w:p>
    <w:p w:rsidR="006425AF" w:rsidP="004C6617" w:rsidRDefault="006425AF" w14:paraId="295DBFB5" w14:textId="77777777">
      <w:pPr>
        <w:autoSpaceDE w:val="0"/>
        <w:autoSpaceDN w:val="0"/>
        <w:adjustRightInd w:val="0"/>
        <w:spacing w:after="0" w:line="360" w:lineRule="auto"/>
        <w:ind w:right="-28"/>
        <w:contextualSpacing/>
        <w:rPr>
          <w:rFonts w:eastAsia="Batang" w:cs="Tahoma"/>
          <w:b/>
          <w:bCs/>
        </w:rPr>
      </w:pPr>
    </w:p>
    <w:tbl>
      <w:tblPr>
        <w:tblStyle w:val="Tablaconcuadrcula"/>
        <w:tblW w:w="0" w:type="auto"/>
        <w:tblLook w:val="04A0" w:firstRow="1" w:lastRow="0" w:firstColumn="1" w:lastColumn="0" w:noHBand="0" w:noVBand="1"/>
      </w:tblPr>
      <w:tblGrid>
        <w:gridCol w:w="3011"/>
        <w:gridCol w:w="2654"/>
        <w:gridCol w:w="3369"/>
      </w:tblGrid>
      <w:tr w:rsidRPr="00147E7D" w:rsidR="006425AF" w:rsidTr="00BF39FD" w14:paraId="2670259A" w14:textId="77777777">
        <w:tc>
          <w:tcPr>
            <w:tcW w:w="3011" w:type="dxa"/>
            <w:shd w:val="clear" w:color="auto" w:fill="BFBFBF" w:themeFill="background1" w:themeFillShade="BF"/>
            <w:vAlign w:val="center"/>
          </w:tcPr>
          <w:p w:rsidRPr="00147E7D" w:rsidR="006425AF" w:rsidP="004C6617" w:rsidRDefault="006425AF" w14:paraId="0C903A3E" w14:textId="77777777">
            <w:pPr>
              <w:autoSpaceDE w:val="0"/>
              <w:autoSpaceDN w:val="0"/>
              <w:adjustRightInd w:val="0"/>
              <w:spacing w:line="360" w:lineRule="auto"/>
              <w:jc w:val="center"/>
              <w:rPr>
                <w:rFonts w:cs="Tahoma"/>
                <w:b/>
                <w:bCs/>
                <w:sz w:val="20"/>
                <w:szCs w:val="20"/>
              </w:rPr>
            </w:pPr>
            <w:r w:rsidRPr="00147E7D">
              <w:rPr>
                <w:rFonts w:cs="Tahoma"/>
                <w:b/>
                <w:bCs/>
                <w:sz w:val="20"/>
                <w:szCs w:val="20"/>
              </w:rPr>
              <w:t>Solicitud de Información</w:t>
            </w:r>
          </w:p>
        </w:tc>
        <w:tc>
          <w:tcPr>
            <w:tcW w:w="2654" w:type="dxa"/>
            <w:shd w:val="clear" w:color="auto" w:fill="BFBFBF" w:themeFill="background1" w:themeFillShade="BF"/>
            <w:vAlign w:val="center"/>
          </w:tcPr>
          <w:p w:rsidRPr="00147E7D" w:rsidR="006425AF" w:rsidP="004C6617" w:rsidRDefault="006425AF" w14:paraId="14171031" w14:textId="77777777">
            <w:pPr>
              <w:autoSpaceDE w:val="0"/>
              <w:autoSpaceDN w:val="0"/>
              <w:adjustRightInd w:val="0"/>
              <w:spacing w:line="360" w:lineRule="auto"/>
              <w:jc w:val="center"/>
              <w:rPr>
                <w:rFonts w:cs="Tahoma"/>
                <w:b/>
                <w:bCs/>
                <w:sz w:val="20"/>
                <w:szCs w:val="20"/>
              </w:rPr>
            </w:pPr>
            <w:r w:rsidRPr="00147E7D">
              <w:rPr>
                <w:rFonts w:cs="Tahoma"/>
                <w:b/>
                <w:bCs/>
                <w:sz w:val="20"/>
                <w:szCs w:val="20"/>
              </w:rPr>
              <w:t>Recurso de Revisión</w:t>
            </w:r>
          </w:p>
        </w:tc>
        <w:tc>
          <w:tcPr>
            <w:tcW w:w="3369" w:type="dxa"/>
            <w:shd w:val="clear" w:color="auto" w:fill="BFBFBF" w:themeFill="background1" w:themeFillShade="BF"/>
            <w:vAlign w:val="center"/>
          </w:tcPr>
          <w:p w:rsidRPr="00147E7D" w:rsidR="006425AF" w:rsidP="004C6617" w:rsidRDefault="006425AF" w14:paraId="53D4D159" w14:textId="77777777">
            <w:pPr>
              <w:autoSpaceDE w:val="0"/>
              <w:autoSpaceDN w:val="0"/>
              <w:adjustRightInd w:val="0"/>
              <w:spacing w:line="360" w:lineRule="auto"/>
              <w:jc w:val="center"/>
              <w:rPr>
                <w:rFonts w:cs="Tahoma"/>
                <w:b/>
                <w:bCs/>
                <w:sz w:val="20"/>
                <w:szCs w:val="20"/>
              </w:rPr>
            </w:pPr>
            <w:r w:rsidRPr="00147E7D">
              <w:rPr>
                <w:rFonts w:cs="Tahoma"/>
                <w:b/>
                <w:bCs/>
                <w:sz w:val="20"/>
                <w:szCs w:val="20"/>
              </w:rPr>
              <w:t>Comisionado Ponente</w:t>
            </w:r>
          </w:p>
        </w:tc>
      </w:tr>
      <w:tr w:rsidRPr="00147E7D" w:rsidR="006425AF" w:rsidTr="00BF39FD" w14:paraId="21215088" w14:textId="77777777">
        <w:tc>
          <w:tcPr>
            <w:tcW w:w="3011" w:type="dxa"/>
            <w:vAlign w:val="center"/>
          </w:tcPr>
          <w:p w:rsidRPr="00147E7D" w:rsidR="006425AF" w:rsidP="004C6617" w:rsidRDefault="006425AF" w14:paraId="375F5412" w14:textId="2213B1D5">
            <w:pPr>
              <w:spacing w:line="360" w:lineRule="auto"/>
              <w:jc w:val="center"/>
              <w:rPr>
                <w:bCs/>
                <w:sz w:val="20"/>
                <w:szCs w:val="20"/>
              </w:rPr>
            </w:pPr>
            <w:r w:rsidRPr="00147E7D">
              <w:rPr>
                <w:bCs/>
                <w:sz w:val="20"/>
                <w:szCs w:val="20"/>
              </w:rPr>
              <w:t>00635/ECATEPEC/IP/2021</w:t>
            </w:r>
          </w:p>
        </w:tc>
        <w:tc>
          <w:tcPr>
            <w:tcW w:w="2654" w:type="dxa"/>
            <w:vAlign w:val="center"/>
          </w:tcPr>
          <w:p w:rsidRPr="00147E7D" w:rsidR="006425AF" w:rsidP="004C6617" w:rsidRDefault="006425AF" w14:paraId="5F29092F" w14:textId="6084FBF3">
            <w:pPr>
              <w:spacing w:line="360" w:lineRule="auto"/>
              <w:jc w:val="center"/>
              <w:rPr>
                <w:bCs/>
                <w:sz w:val="20"/>
                <w:szCs w:val="20"/>
              </w:rPr>
            </w:pPr>
            <w:r w:rsidRPr="00147E7D">
              <w:rPr>
                <w:bCs/>
                <w:sz w:val="20"/>
                <w:szCs w:val="20"/>
              </w:rPr>
              <w:t>05081/INFOEM/IP/RR/2021</w:t>
            </w:r>
          </w:p>
        </w:tc>
        <w:tc>
          <w:tcPr>
            <w:tcW w:w="3369" w:type="dxa"/>
            <w:vAlign w:val="center"/>
          </w:tcPr>
          <w:p w:rsidRPr="00147E7D" w:rsidR="006425AF" w:rsidP="004C6617" w:rsidRDefault="006425AF" w14:paraId="44523753" w14:textId="77777777">
            <w:pPr>
              <w:autoSpaceDE w:val="0"/>
              <w:autoSpaceDN w:val="0"/>
              <w:adjustRightInd w:val="0"/>
              <w:spacing w:line="360" w:lineRule="auto"/>
              <w:rPr>
                <w:rFonts w:cs="Tahoma"/>
                <w:sz w:val="20"/>
                <w:szCs w:val="20"/>
              </w:rPr>
            </w:pPr>
            <w:r w:rsidRPr="00147E7D">
              <w:rPr>
                <w:sz w:val="20"/>
                <w:szCs w:val="20"/>
              </w:rPr>
              <w:t>Luis Gustavo Parra Noriega</w:t>
            </w:r>
          </w:p>
        </w:tc>
      </w:tr>
      <w:tr w:rsidRPr="00147E7D" w:rsidR="006425AF" w:rsidTr="00BF39FD" w14:paraId="7AC162E3" w14:textId="77777777">
        <w:tc>
          <w:tcPr>
            <w:tcW w:w="3011" w:type="dxa"/>
            <w:vAlign w:val="center"/>
          </w:tcPr>
          <w:p w:rsidRPr="00147E7D" w:rsidR="006425AF" w:rsidP="004C6617" w:rsidRDefault="00147E7D" w14:paraId="161B4208" w14:textId="186559F9">
            <w:pPr>
              <w:autoSpaceDE w:val="0"/>
              <w:autoSpaceDN w:val="0"/>
              <w:adjustRightInd w:val="0"/>
              <w:spacing w:line="360" w:lineRule="auto"/>
              <w:jc w:val="center"/>
              <w:rPr>
                <w:rFonts w:cs="Tahoma"/>
                <w:sz w:val="20"/>
                <w:szCs w:val="20"/>
              </w:rPr>
            </w:pPr>
            <w:r w:rsidRPr="00147E7D">
              <w:rPr>
                <w:rFonts w:cs="Tahoma"/>
                <w:sz w:val="20"/>
                <w:szCs w:val="20"/>
              </w:rPr>
              <w:t>00630/ECATEPEC/IP/2021</w:t>
            </w:r>
          </w:p>
        </w:tc>
        <w:tc>
          <w:tcPr>
            <w:tcW w:w="2654" w:type="dxa"/>
            <w:vAlign w:val="center"/>
          </w:tcPr>
          <w:p w:rsidRPr="00147E7D" w:rsidR="006425AF" w:rsidP="004C6617" w:rsidRDefault="00147E7D" w14:paraId="2EC0F178" w14:textId="2865704F">
            <w:pPr>
              <w:autoSpaceDE w:val="0"/>
              <w:autoSpaceDN w:val="0"/>
              <w:adjustRightInd w:val="0"/>
              <w:spacing w:line="360" w:lineRule="auto"/>
              <w:jc w:val="center"/>
              <w:rPr>
                <w:rFonts w:cs="Tahoma"/>
                <w:sz w:val="20"/>
                <w:szCs w:val="20"/>
              </w:rPr>
            </w:pPr>
            <w:r w:rsidRPr="00147E7D">
              <w:rPr>
                <w:rFonts w:cs="Tahoma"/>
                <w:sz w:val="20"/>
                <w:szCs w:val="20"/>
              </w:rPr>
              <w:t>05082/INFOEM/IP/RR/2021</w:t>
            </w:r>
          </w:p>
        </w:tc>
        <w:tc>
          <w:tcPr>
            <w:tcW w:w="3369" w:type="dxa"/>
            <w:vAlign w:val="center"/>
          </w:tcPr>
          <w:p w:rsidRPr="00147E7D" w:rsidR="006425AF" w:rsidP="004C6617" w:rsidRDefault="006425AF" w14:paraId="3AFC43CA" w14:textId="77777777">
            <w:pPr>
              <w:autoSpaceDE w:val="0"/>
              <w:autoSpaceDN w:val="0"/>
              <w:adjustRightInd w:val="0"/>
              <w:spacing w:line="360" w:lineRule="auto"/>
              <w:rPr>
                <w:rFonts w:cs="Tahoma"/>
                <w:sz w:val="20"/>
                <w:szCs w:val="20"/>
              </w:rPr>
            </w:pPr>
            <w:r w:rsidRPr="00147E7D">
              <w:rPr>
                <w:sz w:val="20"/>
                <w:szCs w:val="20"/>
              </w:rPr>
              <w:t>Sharon Cristina Morales Martínez</w:t>
            </w:r>
          </w:p>
        </w:tc>
      </w:tr>
    </w:tbl>
    <w:p w:rsidRPr="00147E7D" w:rsidR="006425AF" w:rsidP="004C6617" w:rsidRDefault="006425AF" w14:paraId="7E4C6A91" w14:textId="77777777">
      <w:pPr>
        <w:spacing w:after="0" w:line="360" w:lineRule="auto"/>
        <w:rPr>
          <w:bCs/>
          <w:lang w:val="en-US"/>
        </w:rPr>
      </w:pPr>
    </w:p>
    <w:p w:rsidRPr="00E869D1" w:rsidR="00605283" w:rsidP="004C6617" w:rsidRDefault="00605283" w14:paraId="04F66BBF" w14:textId="7348B82D">
      <w:pPr>
        <w:spacing w:after="0" w:line="360" w:lineRule="auto"/>
        <w:rPr>
          <w:bCs/>
          <w:lang w:val="es-ES_tradnl"/>
        </w:rPr>
      </w:pPr>
      <w:r w:rsidRPr="00B92F1D">
        <w:rPr>
          <w:b/>
          <w:bCs/>
        </w:rPr>
        <w:t>b) Admisión de</w:t>
      </w:r>
      <w:r w:rsidR="00CC2EA6">
        <w:rPr>
          <w:b/>
          <w:bCs/>
        </w:rPr>
        <w:t xml:space="preserve"> </w:t>
      </w:r>
      <w:r w:rsidRPr="00B92F1D">
        <w:rPr>
          <w:b/>
          <w:bCs/>
        </w:rPr>
        <w:t>l</w:t>
      </w:r>
      <w:r w:rsidR="00CC2EA6">
        <w:rPr>
          <w:b/>
          <w:bCs/>
        </w:rPr>
        <w:t>os</w:t>
      </w:r>
      <w:r w:rsidRPr="00B92F1D">
        <w:rPr>
          <w:b/>
          <w:bCs/>
        </w:rPr>
        <w:t xml:space="preserve"> Recurso</w:t>
      </w:r>
      <w:r w:rsidR="00CC2EA6">
        <w:rPr>
          <w:b/>
          <w:bCs/>
        </w:rPr>
        <w:t>s</w:t>
      </w:r>
      <w:r w:rsidRPr="00B92F1D">
        <w:rPr>
          <w:b/>
          <w:bCs/>
        </w:rPr>
        <w:t xml:space="preserve"> de Revisión</w:t>
      </w:r>
      <w:r w:rsidRPr="00B92F1D">
        <w:rPr>
          <w:b/>
          <w:bCs/>
          <w:lang w:val="es-ES_tradnl"/>
        </w:rPr>
        <w:t xml:space="preserve">. </w:t>
      </w:r>
      <w:r w:rsidRPr="00B92F1D">
        <w:rPr>
          <w:bCs/>
          <w:lang w:val="es-ES_tradnl"/>
        </w:rPr>
        <w:t xml:space="preserve">El </w:t>
      </w:r>
      <w:r w:rsidRPr="00E869D1" w:rsidR="00E869D1">
        <w:rPr>
          <w:bCs/>
          <w:lang w:val="es-ES_tradnl"/>
        </w:rPr>
        <w:t>diecinueve de octubre</w:t>
      </w:r>
      <w:r w:rsidR="00E869D1">
        <w:rPr>
          <w:bCs/>
          <w:lang w:val="es-ES_tradnl"/>
        </w:rPr>
        <w:t xml:space="preserve"> de dos mil veintiuno</w:t>
      </w:r>
      <w:r w:rsidRPr="00B92F1D">
        <w:rPr>
          <w:bCs/>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Pr>
          <w:bCs/>
          <w:lang w:val="es-ES_tradnl"/>
        </w:rPr>
        <w:t xml:space="preserve">veinticuatro </w:t>
      </w:r>
      <w:r w:rsidRPr="00B92F1D">
        <w:rPr>
          <w:bCs/>
          <w:lang w:val="es-ES_tradnl"/>
        </w:rPr>
        <w:t>del mismo mes y año, a través del Sistema de Acceso a la Información Mexiquense (SAIMEX), en el que se les otorgó un plazo de siete días hábiles posteriores a la misma, para que manifestaran lo que a su derecho conviniera y formularan alegatos.</w:t>
      </w:r>
    </w:p>
    <w:p w:rsidRPr="00B92F1D" w:rsidR="00605283" w:rsidP="004C6617" w:rsidRDefault="00605283" w14:paraId="7C903741" w14:textId="77777777">
      <w:pPr>
        <w:spacing w:after="0" w:line="360" w:lineRule="auto"/>
      </w:pPr>
    </w:p>
    <w:p w:rsidRPr="00B6274C" w:rsidR="007C7753" w:rsidP="004C6617" w:rsidRDefault="00605283" w14:paraId="766548E6" w14:textId="77777777">
      <w:pPr>
        <w:spacing w:after="0" w:line="360" w:lineRule="auto"/>
        <w:rPr>
          <w:bCs/>
        </w:rPr>
      </w:pPr>
      <w:r w:rsidRPr="00B92F1D">
        <w:rPr>
          <w:b/>
        </w:rPr>
        <w:t>c) Informe Justificado</w:t>
      </w:r>
      <w:r>
        <w:rPr>
          <w:b/>
        </w:rPr>
        <w:t xml:space="preserve"> o manifestaciones</w:t>
      </w:r>
      <w:r w:rsidRPr="00B92F1D">
        <w:rPr>
          <w:b/>
        </w:rPr>
        <w:t xml:space="preserve">. </w:t>
      </w:r>
      <w:r w:rsidR="007C7753">
        <w:rPr>
          <w:bCs/>
        </w:rPr>
        <w:t>Las partes fueron omisas en emitir manifestaciones o alegatos.</w:t>
      </w:r>
    </w:p>
    <w:p w:rsidR="00605283" w:rsidP="004C6617" w:rsidRDefault="00605283" w14:paraId="208CA4AC" w14:textId="77777777">
      <w:pPr>
        <w:spacing w:after="0" w:line="360" w:lineRule="auto"/>
        <w:rPr>
          <w:rFonts w:eastAsia="Palatino Linotype" w:cs="Palatino Linotype"/>
          <w:b/>
          <w:bCs/>
          <w:lang w:val="es-ES"/>
        </w:rPr>
      </w:pPr>
    </w:p>
    <w:p w:rsidR="00605283" w:rsidP="004C6617" w:rsidRDefault="00605283" w14:paraId="4E962B42" w14:textId="77777777">
      <w:pPr>
        <w:widowControl w:val="0"/>
        <w:spacing w:after="0" w:line="360" w:lineRule="auto"/>
        <w:rPr>
          <w:rFonts w:eastAsia="Times New Roman" w:cs="Tahoma"/>
          <w:color w:val="auto"/>
          <w:szCs w:val="24"/>
          <w:lang w:eastAsia="es-ES"/>
        </w:rPr>
      </w:pPr>
      <w:r>
        <w:rPr>
          <w:rFonts w:eastAsia="Times New Roman" w:cs="Tahoma"/>
          <w:b/>
          <w:color w:val="auto"/>
          <w:szCs w:val="24"/>
          <w:lang w:eastAsia="es-ES"/>
        </w:rPr>
        <w:t xml:space="preserve">d) Cierre de </w:t>
      </w:r>
      <w:r w:rsidRPr="00AB4E8B">
        <w:rPr>
          <w:rFonts w:eastAsia="Times New Roman" w:cs="Tahoma"/>
          <w:b/>
          <w:color w:val="auto"/>
          <w:szCs w:val="24"/>
          <w:lang w:eastAsia="es-ES"/>
        </w:rPr>
        <w:t>instrucción.</w:t>
      </w:r>
      <w:r w:rsidRPr="00AB4E8B">
        <w:rPr>
          <w:rFonts w:eastAsia="Times New Roman" w:cs="Tahoma"/>
          <w:color w:val="auto"/>
          <w:szCs w:val="24"/>
          <w:lang w:eastAsia="es-ES"/>
        </w:rPr>
        <w:t xml:space="preserve"> </w:t>
      </w:r>
      <w:r w:rsidRPr="00AB4E8B">
        <w:rPr>
          <w:rFonts w:eastAsia="Palatino Linotype" w:cs="Palatino Linotype"/>
          <w:lang w:val="es-ES"/>
        </w:rPr>
        <w:t xml:space="preserve">El nueve de diciembre </w:t>
      </w:r>
      <w:r w:rsidRPr="00AB4E8B">
        <w:rPr>
          <w:rFonts w:eastAsia="Times New Roman" w:cs="Tahoma"/>
          <w:color w:val="auto"/>
          <w:szCs w:val="24"/>
          <w:lang w:val="es-ES" w:eastAsia="es-ES"/>
        </w:rPr>
        <w:t>de dos mil veintiuno</w:t>
      </w:r>
      <w:r w:rsidRPr="00AB4E8B">
        <w:rPr>
          <w:rFonts w:eastAsia="Times New Roman" w:cs="Tahoma"/>
          <w:color w:val="auto"/>
          <w:szCs w:val="24"/>
          <w:lang w:eastAsia="es-ES"/>
        </w:rPr>
        <w:t>, al no existir</w:t>
      </w:r>
      <w:r>
        <w:rPr>
          <w:rFonts w:eastAsia="Times New Roman" w:cs="Tahoma"/>
          <w:color w:val="auto"/>
          <w:szCs w:val="24"/>
          <w:lang w:eastAsia="es-ES"/>
        </w:rPr>
        <w:t xml:space="preserve">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p>
    <w:p w:rsidR="00605283" w:rsidP="004C6617" w:rsidRDefault="00605283" w14:paraId="72065578" w14:textId="77777777">
      <w:pPr>
        <w:widowControl w:val="0"/>
        <w:spacing w:after="0" w:line="360" w:lineRule="auto"/>
        <w:rPr>
          <w:rFonts w:eastAsia="Times New Roman" w:cs="Tahoma"/>
          <w:color w:val="auto"/>
          <w:szCs w:val="24"/>
          <w:lang w:val="es-ES" w:eastAsia="es-ES"/>
        </w:rPr>
      </w:pPr>
    </w:p>
    <w:p w:rsidR="00605283" w:rsidP="004C6617" w:rsidRDefault="00605283" w14:paraId="7809DC45" w14:textId="77777777">
      <w:pPr>
        <w:spacing w:after="0" w:line="360" w:lineRule="auto"/>
        <w:rPr>
          <w:rFonts w:eastAsia="Times New Roman" w:cs="Tahoma"/>
          <w:color w:val="000000"/>
          <w:szCs w:val="24"/>
          <w:lang w:eastAsia="es-ES"/>
        </w:rPr>
      </w:pPr>
      <w:r>
        <w:rPr>
          <w:rFonts w:eastAsia="Times New Roman" w:cs="Tahoma"/>
          <w:color w:val="000000"/>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rsidRPr="00B92F1D" w:rsidR="00605283" w:rsidP="004C6617" w:rsidRDefault="00605283" w14:paraId="2D5430B0" w14:textId="77777777">
      <w:pPr>
        <w:spacing w:after="0" w:line="360" w:lineRule="auto"/>
        <w:rPr>
          <w:rFonts w:eastAsia="Times New Roman" w:cs="Tahoma"/>
          <w:bCs/>
          <w:iCs/>
          <w:color w:val="auto"/>
          <w:lang w:val="es-ES" w:eastAsia="es-ES"/>
        </w:rPr>
      </w:pPr>
    </w:p>
    <w:p w:rsidRPr="00B92F1D" w:rsidR="00605283" w:rsidP="004C6617" w:rsidRDefault="00605283" w14:paraId="11DC9FE4" w14:textId="77777777">
      <w:pPr>
        <w:spacing w:after="0" w:line="360" w:lineRule="auto"/>
        <w:jc w:val="center"/>
        <w:rPr>
          <w:rFonts w:eastAsia="Times New Roman" w:cs="Tahoma"/>
          <w:b/>
          <w:color w:val="auto"/>
          <w:lang w:val="es-ES" w:eastAsia="es-ES"/>
        </w:rPr>
      </w:pPr>
      <w:r w:rsidRPr="00B92F1D">
        <w:rPr>
          <w:rFonts w:eastAsia="Times New Roman" w:cs="Tahoma"/>
          <w:b/>
          <w:color w:val="auto"/>
          <w:lang w:val="es-ES" w:eastAsia="es-ES"/>
        </w:rPr>
        <w:t>C O N S I D E R A N D O S:</w:t>
      </w:r>
    </w:p>
    <w:p w:rsidRPr="00B92F1D" w:rsidR="00605283" w:rsidP="004C6617" w:rsidRDefault="00605283" w14:paraId="57EE9A09" w14:textId="77777777">
      <w:pPr>
        <w:spacing w:after="0" w:line="360" w:lineRule="auto"/>
        <w:rPr>
          <w:b/>
        </w:rPr>
      </w:pPr>
    </w:p>
    <w:p w:rsidRPr="00B92F1D" w:rsidR="00605283" w:rsidP="004C6617" w:rsidRDefault="00605283" w14:paraId="77982B8D" w14:textId="77777777">
      <w:pPr>
        <w:autoSpaceDE w:val="0"/>
        <w:autoSpaceDN w:val="0"/>
        <w:adjustRightInd w:val="0"/>
        <w:spacing w:after="0" w:line="360" w:lineRule="auto"/>
        <w:rPr>
          <w:rFonts w:eastAsia="Times New Roman" w:cs="Tahoma"/>
          <w:b/>
          <w:color w:val="auto"/>
          <w:szCs w:val="24"/>
          <w:lang w:val="es-ES" w:eastAsia="es-ES"/>
        </w:rPr>
      </w:pPr>
      <w:r w:rsidRPr="00B92F1D">
        <w:rPr>
          <w:rFonts w:eastAsia="Calibri" w:cs="Tahoma"/>
          <w:b/>
          <w:color w:val="000000"/>
          <w:szCs w:val="24"/>
          <w:lang w:val="es-ES" w:eastAsia="es-MX"/>
        </w:rPr>
        <w:t>PRIMERO</w:t>
      </w:r>
      <w:r w:rsidRPr="00B92F1D">
        <w:rPr>
          <w:rFonts w:eastAsia="Calibri" w:cs="Tahoma"/>
          <w:color w:val="000000"/>
          <w:szCs w:val="24"/>
          <w:lang w:val="es-ES" w:eastAsia="es-MX"/>
        </w:rPr>
        <w:t xml:space="preserve">. </w:t>
      </w:r>
      <w:r w:rsidRPr="00B92F1D">
        <w:rPr>
          <w:rFonts w:eastAsia="Times New Roman" w:cs="Tahoma"/>
          <w:b/>
          <w:color w:val="auto"/>
          <w:szCs w:val="24"/>
          <w:lang w:val="es-ES" w:eastAsia="es-ES"/>
        </w:rPr>
        <w:t>Competencia.</w:t>
      </w:r>
    </w:p>
    <w:p w:rsidRPr="00B92F1D" w:rsidR="00605283" w:rsidP="004C6617" w:rsidRDefault="00605283" w14:paraId="23CBA9B9" w14:textId="77777777">
      <w:pPr>
        <w:autoSpaceDE w:val="0"/>
        <w:autoSpaceDN w:val="0"/>
        <w:adjustRightInd w:val="0"/>
        <w:spacing w:after="0" w:line="360" w:lineRule="auto"/>
        <w:rPr>
          <w:rFonts w:eastAsia="Times New Roman" w:cs="Tahoma"/>
          <w:b/>
          <w:color w:val="auto"/>
          <w:szCs w:val="24"/>
          <w:lang w:val="es-ES" w:eastAsia="es-ES"/>
        </w:rPr>
      </w:pPr>
    </w:p>
    <w:p w:rsidRPr="00B92F1D" w:rsidR="00605283" w:rsidP="004C6617" w:rsidRDefault="00605283" w14:paraId="573AEE74" w14:textId="77777777">
      <w:pPr>
        <w:spacing w:after="0" w:line="360" w:lineRule="auto"/>
        <w:rPr>
          <w:rFonts w:eastAsia="Times New Roman" w:cs="Tahoma"/>
          <w:bCs/>
          <w:color w:val="auto"/>
          <w:lang w:eastAsia="es-ES"/>
        </w:rPr>
      </w:pPr>
      <w:r w:rsidRPr="00B92F1D">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Pr>
          <w:rFonts w:eastAsia="Times New Roman" w:cs="Tahoma"/>
          <w:bCs/>
          <w:color w:val="auto"/>
          <w:lang w:eastAsia="es-ES"/>
        </w:rPr>
        <w:t xml:space="preserve">, </w:t>
      </w:r>
      <w:r w:rsidRPr="00B92F1D">
        <w:rPr>
          <w:rFonts w:eastAsia="Times New Roman" w:cs="Tahoma"/>
          <w:bCs/>
          <w:color w:val="auto"/>
          <w:lang w:eastAsia="es-ES"/>
        </w:rPr>
        <w:t>trigésimo primero</w:t>
      </w:r>
      <w:r>
        <w:rPr>
          <w:rFonts w:eastAsia="Times New Roman" w:cs="Tahoma"/>
          <w:bCs/>
          <w:color w:val="auto"/>
          <w:lang w:eastAsia="es-ES"/>
        </w:rPr>
        <w:t xml:space="preserve"> y trigésimo segundo</w:t>
      </w:r>
      <w:r w:rsidRPr="00B92F1D">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92F1D">
        <w:rPr>
          <w:rFonts w:eastAsia="Times New Roman" w:cs="Times New Roman"/>
          <w:bCs/>
          <w:color w:val="auto"/>
          <w:lang w:eastAsia="es-ES"/>
        </w:rPr>
        <w:t xml:space="preserve"> 7°, </w:t>
      </w:r>
      <w:r w:rsidRPr="00B92F1D">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B92F1D" w:rsidR="00605283" w:rsidP="004C6617" w:rsidRDefault="00605283" w14:paraId="0ADAC697" w14:textId="77777777">
      <w:pPr>
        <w:spacing w:after="0" w:line="360" w:lineRule="auto"/>
        <w:rPr>
          <w:rFonts w:eastAsia="Times New Roman" w:cs="Tahoma"/>
          <w:bCs/>
          <w:color w:val="auto"/>
          <w:lang w:eastAsia="es-ES"/>
        </w:rPr>
      </w:pPr>
    </w:p>
    <w:p w:rsidRPr="00B92F1D" w:rsidR="00605283" w:rsidP="004C6617" w:rsidRDefault="00605283" w14:paraId="0601384B" w14:textId="77777777">
      <w:pPr>
        <w:autoSpaceDE w:val="0"/>
        <w:autoSpaceDN w:val="0"/>
        <w:adjustRightInd w:val="0"/>
        <w:spacing w:after="0" w:line="360" w:lineRule="auto"/>
        <w:rPr>
          <w:rFonts w:eastAsia="Times New Roman" w:cs="Tahoma"/>
          <w:color w:val="auto"/>
          <w:szCs w:val="24"/>
          <w:lang w:val="es-ES" w:eastAsia="es-ES"/>
        </w:rPr>
      </w:pPr>
      <w:r w:rsidRPr="00B92F1D">
        <w:rPr>
          <w:rFonts w:eastAsia="Calibri" w:cs="Tahoma"/>
          <w:b/>
          <w:color w:val="000000"/>
          <w:szCs w:val="24"/>
          <w:lang w:val="es-ES" w:eastAsia="es-MX"/>
        </w:rPr>
        <w:t>SEGUNDO</w:t>
      </w:r>
      <w:r w:rsidRPr="00B92F1D">
        <w:rPr>
          <w:rFonts w:eastAsia="Calibri" w:cs="Tahoma"/>
          <w:color w:val="000000"/>
          <w:szCs w:val="24"/>
          <w:lang w:val="es-ES" w:eastAsia="es-MX"/>
        </w:rPr>
        <w:t xml:space="preserve">. </w:t>
      </w:r>
      <w:r w:rsidRPr="00B92F1D">
        <w:rPr>
          <w:rFonts w:eastAsia="Times New Roman" w:cs="Tahoma"/>
          <w:b/>
          <w:color w:val="auto"/>
          <w:szCs w:val="24"/>
          <w:lang w:val="es-ES" w:eastAsia="es-ES"/>
        </w:rPr>
        <w:t>Causales de improcedencia y sobreseimiento.</w:t>
      </w:r>
      <w:r w:rsidRPr="00B92F1D">
        <w:rPr>
          <w:rFonts w:eastAsia="Times New Roman" w:cs="Tahoma"/>
          <w:color w:val="auto"/>
          <w:szCs w:val="24"/>
          <w:lang w:val="es-ES" w:eastAsia="es-ES"/>
        </w:rPr>
        <w:t xml:space="preserve"> </w:t>
      </w:r>
    </w:p>
    <w:p w:rsidRPr="00B92F1D" w:rsidR="00605283" w:rsidP="004C6617" w:rsidRDefault="00605283" w14:paraId="77D959E1" w14:textId="77777777">
      <w:pPr>
        <w:autoSpaceDE w:val="0"/>
        <w:autoSpaceDN w:val="0"/>
        <w:adjustRightInd w:val="0"/>
        <w:spacing w:after="0" w:line="360" w:lineRule="auto"/>
        <w:rPr>
          <w:rFonts w:eastAsia="Times New Roman" w:cs="Tahoma"/>
          <w:color w:val="auto"/>
          <w:szCs w:val="24"/>
          <w:lang w:val="es-ES" w:eastAsia="es-ES"/>
        </w:rPr>
      </w:pPr>
    </w:p>
    <w:p w:rsidRPr="00B92F1D" w:rsidR="00605283" w:rsidP="004C6617" w:rsidRDefault="00605283" w14:paraId="6859F543" w14:textId="77777777">
      <w:pPr>
        <w:autoSpaceDE w:val="0"/>
        <w:autoSpaceDN w:val="0"/>
        <w:adjustRightInd w:val="0"/>
        <w:spacing w:after="0" w:line="360" w:lineRule="auto"/>
        <w:rPr>
          <w:rFonts w:eastAsia="Times New Roman" w:cs="Tahoma"/>
          <w:color w:val="auto"/>
          <w:szCs w:val="24"/>
          <w:lang w:val="es-ES" w:eastAsia="es-ES"/>
        </w:rPr>
      </w:pPr>
      <w:r w:rsidRPr="00B92F1D">
        <w:rPr>
          <w:rFonts w:eastAsia="Times New Roman" w:cs="Tahoma"/>
          <w:color w:val="auto"/>
          <w:szCs w:val="24"/>
          <w:lang w:val="es-ES" w:eastAsia="es-ES"/>
        </w:rPr>
        <w:t xml:space="preserve">De las constancias que forma parte del Recurso de Revisión que se analiza, se advierte que previo al estudio del fondo de la </w:t>
      </w:r>
      <w:proofErr w:type="spellStart"/>
      <w:r w:rsidRPr="00B92F1D">
        <w:rPr>
          <w:rFonts w:eastAsia="Times New Roman" w:cs="Tahoma"/>
          <w:i/>
          <w:color w:val="auto"/>
          <w:szCs w:val="24"/>
          <w:lang w:val="es-ES" w:eastAsia="es-ES"/>
        </w:rPr>
        <w:t>litis</w:t>
      </w:r>
      <w:proofErr w:type="spellEnd"/>
      <w:r w:rsidRPr="00B92F1D">
        <w:rPr>
          <w:rFonts w:eastAsia="Times New Roman" w:cs="Tahoma"/>
          <w:color w:val="auto"/>
          <w:szCs w:val="24"/>
          <w:lang w:val="es-ES" w:eastAsia="es-ES"/>
        </w:rPr>
        <w:t>, es necesario estudiar las causales de improcedencia y sobreseimiento que se adviertan, para determinar lo que en Derecho proceda.</w:t>
      </w:r>
    </w:p>
    <w:p w:rsidRPr="00B92F1D" w:rsidR="00605283" w:rsidP="004C6617" w:rsidRDefault="00605283" w14:paraId="5E22F42A" w14:textId="77777777">
      <w:pPr>
        <w:autoSpaceDE w:val="0"/>
        <w:autoSpaceDN w:val="0"/>
        <w:adjustRightInd w:val="0"/>
        <w:spacing w:after="0" w:line="360" w:lineRule="auto"/>
        <w:rPr>
          <w:rFonts w:eastAsia="Times New Roman" w:cs="Tahoma"/>
          <w:color w:val="auto"/>
          <w:szCs w:val="24"/>
          <w:lang w:val="es-ES" w:eastAsia="es-ES"/>
        </w:rPr>
      </w:pPr>
    </w:p>
    <w:p w:rsidR="00605283" w:rsidP="004C6617" w:rsidRDefault="00605283" w14:paraId="7DFDCD84" w14:textId="77777777">
      <w:pPr>
        <w:autoSpaceDE w:val="0"/>
        <w:autoSpaceDN w:val="0"/>
        <w:adjustRightInd w:val="0"/>
        <w:spacing w:after="0" w:line="360" w:lineRule="auto"/>
        <w:rPr>
          <w:rFonts w:eastAsia="Calibri" w:cs="Tahoma"/>
          <w:color w:val="000000"/>
          <w:szCs w:val="24"/>
          <w:lang w:val="es-ES" w:eastAsia="es-MX"/>
        </w:rPr>
      </w:pPr>
      <w:r w:rsidRPr="00B92F1D">
        <w:rPr>
          <w:rFonts w:eastAsia="Calibri" w:cs="Tahoma"/>
          <w:b/>
          <w:color w:val="000000"/>
          <w:szCs w:val="24"/>
          <w:lang w:val="es-ES" w:eastAsia="es-MX"/>
        </w:rPr>
        <w:t>Causales de improcedencia.</w:t>
      </w:r>
      <w:r w:rsidRPr="00B92F1D">
        <w:rPr>
          <w:rFonts w:eastAsia="Calibri" w:cs="Tahoma"/>
          <w:color w:val="000000"/>
          <w:szCs w:val="24"/>
          <w:lang w:val="es-ES" w:eastAsia="es-MX"/>
        </w:rPr>
        <w:t xml:space="preserve"> </w:t>
      </w:r>
    </w:p>
    <w:p w:rsidRPr="00B92F1D" w:rsidR="00605283" w:rsidP="004C6617" w:rsidRDefault="00605283" w14:paraId="0CC22E21" w14:textId="77777777">
      <w:pPr>
        <w:autoSpaceDE w:val="0"/>
        <w:autoSpaceDN w:val="0"/>
        <w:adjustRightInd w:val="0"/>
        <w:spacing w:after="0" w:line="360" w:lineRule="auto"/>
        <w:rPr>
          <w:rFonts w:eastAsia="Calibri" w:cs="Tahoma"/>
          <w:color w:val="000000"/>
          <w:szCs w:val="24"/>
          <w:lang w:val="es-ES" w:eastAsia="es-MX"/>
        </w:rPr>
      </w:pPr>
    </w:p>
    <w:p w:rsidRPr="00B92F1D" w:rsidR="00605283" w:rsidP="004C6617" w:rsidRDefault="00605283" w14:paraId="10704E21" w14:textId="77777777">
      <w:pPr>
        <w:autoSpaceDE w:val="0"/>
        <w:autoSpaceDN w:val="0"/>
        <w:adjustRightInd w:val="0"/>
        <w:spacing w:after="0" w:line="360" w:lineRule="auto"/>
        <w:rPr>
          <w:rFonts w:eastAsia="Calibri" w:cs="Tahoma"/>
          <w:color w:val="000000"/>
          <w:lang w:val="es-ES" w:eastAsia="es-MX"/>
        </w:rPr>
      </w:pPr>
      <w:r w:rsidRPr="00B92F1D">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sidRPr="00B92F1D">
        <w:rPr>
          <w:rFonts w:eastAsia="Calibri" w:cs="Tahoma"/>
          <w:color w:val="000000"/>
          <w:lang w:eastAsia="es-MX"/>
        </w:rPr>
        <w:t>./</w:t>
      </w:r>
      <w:proofErr w:type="gramEnd"/>
      <w:r w:rsidRPr="00B92F1D">
        <w:rPr>
          <w:rFonts w:eastAsia="Calibri" w:cs="Tahoma"/>
          <w:color w:val="000000"/>
          <w:lang w:eastAsia="es-MX"/>
        </w:rPr>
        <w:t>J. 163/2005</w:t>
      </w:r>
      <w:r w:rsidRPr="00B92F1D">
        <w:rPr>
          <w:rFonts w:eastAsia="Calibri" w:cs="Tahoma"/>
          <w:b/>
          <w:bCs/>
          <w:color w:val="000000"/>
          <w:lang w:eastAsia="es-MX"/>
        </w:rPr>
        <w:t xml:space="preserve"> </w:t>
      </w:r>
      <w:r w:rsidRPr="00B92F1D">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B92F1D" w:rsidR="00605283" w:rsidP="004C6617" w:rsidRDefault="00605283" w14:paraId="3F720CEC" w14:textId="77777777">
      <w:pPr>
        <w:autoSpaceDE w:val="0"/>
        <w:autoSpaceDN w:val="0"/>
        <w:adjustRightInd w:val="0"/>
        <w:spacing w:after="0" w:line="360" w:lineRule="auto"/>
        <w:rPr>
          <w:rFonts w:eastAsia="Calibri" w:cs="Tahoma"/>
          <w:color w:val="000000"/>
          <w:lang w:eastAsia="es-MX"/>
        </w:rPr>
      </w:pPr>
    </w:p>
    <w:p w:rsidRPr="00B92F1D" w:rsidR="00605283" w:rsidP="004C6617" w:rsidRDefault="00605283" w14:paraId="156697C6" w14:textId="77777777">
      <w:pPr>
        <w:autoSpaceDE w:val="0"/>
        <w:autoSpaceDN w:val="0"/>
        <w:adjustRightInd w:val="0"/>
        <w:spacing w:after="0" w:line="360" w:lineRule="auto"/>
        <w:rPr>
          <w:rFonts w:eastAsia="Calibri" w:cs="Tahoma"/>
          <w:color w:val="000000"/>
          <w:lang w:eastAsia="es-MX"/>
        </w:rPr>
      </w:pPr>
      <w:r w:rsidRPr="00B92F1D">
        <w:rPr>
          <w:rFonts w:eastAsia="Calibri" w:cs="Tahoma"/>
          <w:color w:val="000000"/>
          <w:lang w:eastAsia="es-MX"/>
        </w:rPr>
        <w:t xml:space="preserve">En el presente caso, </w:t>
      </w:r>
      <w:r w:rsidRPr="00B92F1D">
        <w:rPr>
          <w:rFonts w:eastAsia="Calibri" w:cs="Tahoma"/>
          <w:b/>
          <w:color w:val="000000"/>
          <w:lang w:eastAsia="es-MX"/>
        </w:rPr>
        <w:t>no se actualiza ninguna de las causales de improcedencia</w:t>
      </w:r>
      <w:r w:rsidRPr="00B92F1D">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B92F1D" w:rsidR="00605283" w:rsidP="004C6617" w:rsidRDefault="00605283" w14:paraId="1BD938D6" w14:textId="77777777">
      <w:pPr>
        <w:spacing w:after="0" w:line="360" w:lineRule="auto"/>
        <w:rPr>
          <w:rFonts w:eastAsia="Times New Roman" w:cs="Tahoma"/>
          <w:b/>
          <w:bCs/>
          <w:color w:val="auto"/>
          <w:lang w:eastAsia="es-ES"/>
        </w:rPr>
      </w:pPr>
    </w:p>
    <w:p w:rsidR="00605283" w:rsidP="004C6617" w:rsidRDefault="00605283" w14:paraId="77661C2A" w14:textId="42D5EDEA">
      <w:pPr>
        <w:spacing w:after="0" w:line="360" w:lineRule="auto"/>
        <w:rPr>
          <w:rFonts w:eastAsia="Times New Roman" w:cs="Tahoma"/>
          <w:color w:val="auto"/>
          <w:lang w:val="es-ES" w:eastAsia="es-ES"/>
        </w:rPr>
      </w:pPr>
      <w:r w:rsidRPr="00B92F1D">
        <w:rPr>
          <w:rFonts w:eastAsia="Times New Roman" w:cs="Tahoma"/>
          <w:color w:val="auto"/>
          <w:lang w:eastAsia="es-ES"/>
        </w:rPr>
        <w:t xml:space="preserve">Asimismo, se actualiza la causal de procedencia del Recurso de Revisión señalada en el artículo 179, fracciones </w:t>
      </w:r>
      <w:r w:rsidR="007C7753">
        <w:rPr>
          <w:rFonts w:eastAsia="Times New Roman" w:cs="Tahoma"/>
          <w:color w:val="auto"/>
          <w:lang w:eastAsia="es-ES"/>
        </w:rPr>
        <w:t>II</w:t>
      </w:r>
      <w:r>
        <w:rPr>
          <w:rFonts w:eastAsia="Times New Roman" w:cs="Tahoma"/>
          <w:color w:val="auto"/>
          <w:lang w:eastAsia="es-ES"/>
        </w:rPr>
        <w:t xml:space="preserve">, </w:t>
      </w:r>
      <w:r w:rsidRPr="00B92F1D">
        <w:rPr>
          <w:rFonts w:eastAsia="Calibri" w:cs="Tahoma"/>
          <w:color w:val="000000"/>
          <w:lang w:eastAsia="es-MX"/>
        </w:rPr>
        <w:t>Ley de Transparencia y Acceso a la Información Pública del Estado de México y Municipios</w:t>
      </w:r>
      <w:r w:rsidRPr="00B92F1D">
        <w:rPr>
          <w:rFonts w:eastAsia="Times New Roman" w:cs="Tahoma"/>
          <w:color w:val="auto"/>
          <w:lang w:eastAsia="es-ES"/>
        </w:rPr>
        <w:t xml:space="preserve">, </w:t>
      </w:r>
      <w:r w:rsidRPr="00B92F1D">
        <w:rPr>
          <w:rFonts w:eastAsia="Calibri" w:cs="Tahoma"/>
          <w:color w:val="000000"/>
          <w:lang w:eastAsia="es-MX"/>
        </w:rPr>
        <w:t xml:space="preserve">pues la Recurrente se inconformó </w:t>
      </w:r>
      <w:r w:rsidR="007C7753">
        <w:rPr>
          <w:rFonts w:eastAsia="Times New Roman" w:cs="Tahoma"/>
          <w:color w:val="auto"/>
          <w:lang w:val="es-ES" w:eastAsia="es-ES"/>
        </w:rPr>
        <w:t>con la clasificación de la información.</w:t>
      </w:r>
    </w:p>
    <w:p w:rsidRPr="00E02E0E" w:rsidR="00605283" w:rsidP="004C6617" w:rsidRDefault="00605283" w14:paraId="235380D4" w14:textId="77777777">
      <w:pPr>
        <w:spacing w:after="0" w:line="360" w:lineRule="auto"/>
        <w:rPr>
          <w:rFonts w:eastAsia="Times New Roman" w:cs="Tahoma"/>
          <w:color w:val="auto"/>
          <w:lang w:val="es-ES" w:eastAsia="es-ES"/>
        </w:rPr>
      </w:pPr>
    </w:p>
    <w:p w:rsidR="00605283" w:rsidP="004C6617" w:rsidRDefault="00605283" w14:paraId="55820B5F" w14:textId="77777777">
      <w:pPr>
        <w:spacing w:after="0" w:line="360" w:lineRule="auto"/>
        <w:rPr>
          <w:rFonts w:eastAsia="Times New Roman" w:cs="Tahoma"/>
          <w:b/>
          <w:bCs/>
          <w:color w:val="auto"/>
          <w:lang w:eastAsia="es-ES"/>
        </w:rPr>
      </w:pPr>
      <w:r w:rsidRPr="00B92F1D">
        <w:rPr>
          <w:rFonts w:eastAsia="Times New Roman" w:cs="Tahoma"/>
          <w:b/>
          <w:bCs/>
          <w:color w:val="auto"/>
          <w:lang w:eastAsia="es-ES"/>
        </w:rPr>
        <w:t>Causales de sobreseimiento.</w:t>
      </w:r>
    </w:p>
    <w:p w:rsidRPr="00B92F1D" w:rsidR="00605283" w:rsidP="004C6617" w:rsidRDefault="00605283" w14:paraId="78FB2ADA" w14:textId="77777777">
      <w:pPr>
        <w:spacing w:after="0" w:line="360" w:lineRule="auto"/>
        <w:rPr>
          <w:rFonts w:eastAsia="Times New Roman" w:cs="Tahoma"/>
          <w:b/>
          <w:bCs/>
          <w:color w:val="auto"/>
          <w:lang w:eastAsia="es-ES"/>
        </w:rPr>
      </w:pPr>
    </w:p>
    <w:p w:rsidR="00605283" w:rsidP="004C6617" w:rsidRDefault="00605283" w14:paraId="56A7EA40" w14:textId="77777777">
      <w:pPr>
        <w:spacing w:after="0" w:line="360" w:lineRule="auto"/>
        <w:rPr>
          <w:rFonts w:eastAsia="Times New Roman" w:cs="Tahoma"/>
          <w:color w:val="auto"/>
          <w:szCs w:val="24"/>
          <w:lang w:eastAsia="es-ES"/>
        </w:rPr>
      </w:pPr>
      <w:r w:rsidRPr="00B92F1D">
        <w:rPr>
          <w:rFonts w:eastAsia="Times New Roman" w:cs="Tahoma"/>
          <w:color w:val="auto"/>
          <w:szCs w:val="24"/>
          <w:lang w:eastAsia="es-ES"/>
        </w:rPr>
        <w:t>Por ser de previo y especial pronunciamiento, este Instituto analiza si se actualiza alguna causal de sobreseimiento.</w:t>
      </w:r>
    </w:p>
    <w:p w:rsidRPr="00B92F1D" w:rsidR="00605283" w:rsidP="004C6617" w:rsidRDefault="00605283" w14:paraId="02D2793D" w14:textId="77777777">
      <w:pPr>
        <w:spacing w:after="0" w:line="360" w:lineRule="auto"/>
        <w:rPr>
          <w:rFonts w:eastAsia="Times New Roman" w:cs="Tahoma"/>
          <w:color w:val="auto"/>
          <w:szCs w:val="24"/>
          <w:lang w:eastAsia="es-ES"/>
        </w:rPr>
      </w:pPr>
    </w:p>
    <w:p w:rsidRPr="00B92F1D" w:rsidR="00605283" w:rsidP="004C6617" w:rsidRDefault="00605283" w14:paraId="5F81C06C" w14:textId="77777777">
      <w:pPr>
        <w:spacing w:after="0" w:line="360" w:lineRule="auto"/>
        <w:rPr>
          <w:rFonts w:eastAsia="Times New Roman" w:cs="Tahoma"/>
          <w:color w:val="auto"/>
          <w:szCs w:val="24"/>
          <w:lang w:eastAsia="es-ES"/>
        </w:rPr>
      </w:pPr>
      <w:r w:rsidRPr="00B92F1D">
        <w:rPr>
          <w:rFonts w:eastAsia="Times New Roman" w:cs="Tahoma"/>
          <w:color w:val="auto"/>
          <w:szCs w:val="24"/>
          <w:lang w:eastAsia="es-ES"/>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B92F1D" w:rsidR="00605283" w:rsidP="004C6617" w:rsidRDefault="00605283" w14:paraId="0FBFCFF9" w14:textId="77777777">
      <w:pPr>
        <w:spacing w:after="0" w:line="360" w:lineRule="auto"/>
        <w:rPr>
          <w:rFonts w:eastAsia="Times New Roman" w:cs="Tahoma"/>
          <w:color w:val="auto"/>
          <w:szCs w:val="24"/>
          <w:lang w:eastAsia="es-ES"/>
        </w:rPr>
      </w:pPr>
    </w:p>
    <w:p w:rsidRPr="00B92F1D" w:rsidR="00605283" w:rsidP="004C6617" w:rsidRDefault="00605283" w14:paraId="4C9A3AAE" w14:textId="77777777">
      <w:pPr>
        <w:spacing w:after="0" w:line="360" w:lineRule="auto"/>
        <w:rPr>
          <w:rFonts w:eastAsia="Times New Roman" w:cs="Tahoma"/>
          <w:color w:val="auto"/>
          <w:szCs w:val="24"/>
          <w:lang w:val="es-ES" w:eastAsia="es-ES"/>
        </w:rPr>
      </w:pPr>
      <w:r w:rsidRPr="00B92F1D">
        <w:rPr>
          <w:rFonts w:eastAsia="Times New Roman" w:cs="Tahoma"/>
          <w:bCs/>
          <w:color w:val="auto"/>
          <w:szCs w:val="24"/>
          <w:lang w:val="es-ES" w:eastAsia="es-ES"/>
        </w:rPr>
        <w:t xml:space="preserve">Por tales motivos, </w:t>
      </w:r>
      <w:r w:rsidRPr="00B92F1D">
        <w:rPr>
          <w:rFonts w:eastAsia="Times New Roman" w:cs="Tahoma"/>
          <w:color w:val="auto"/>
          <w:szCs w:val="24"/>
          <w:lang w:val="es-ES" w:eastAsia="es-ES"/>
        </w:rPr>
        <w:t>se considera procedente entrar al fondo del presente asunto.</w:t>
      </w:r>
    </w:p>
    <w:p w:rsidRPr="00B92F1D" w:rsidR="00605283" w:rsidP="004C6617" w:rsidRDefault="00605283" w14:paraId="53C9FA07" w14:textId="77777777">
      <w:pPr>
        <w:spacing w:after="0" w:line="360" w:lineRule="auto"/>
      </w:pPr>
    </w:p>
    <w:p w:rsidRPr="00B92F1D" w:rsidR="00605283" w:rsidP="004C6617" w:rsidRDefault="00605283" w14:paraId="0689D010" w14:textId="77777777">
      <w:pPr>
        <w:spacing w:after="0" w:line="360" w:lineRule="auto"/>
        <w:rPr>
          <w:rFonts w:eastAsia="Times New Roman" w:cs="Tahoma"/>
          <w:b/>
          <w:bCs/>
          <w:iCs/>
          <w:color w:val="auto"/>
          <w:lang w:val="es-ES" w:eastAsia="es-ES"/>
        </w:rPr>
      </w:pPr>
      <w:r w:rsidRPr="00BB7267">
        <w:rPr>
          <w:rFonts w:eastAsia="Times New Roman" w:cs="Tahoma"/>
          <w:b/>
          <w:bCs/>
          <w:iCs/>
          <w:color w:val="auto"/>
          <w:lang w:val="es-ES" w:eastAsia="es-ES"/>
        </w:rPr>
        <w:t>TERCERO. Determinación de la Controversia.</w:t>
      </w:r>
      <w:r w:rsidRPr="00B92F1D">
        <w:rPr>
          <w:rFonts w:eastAsia="Times New Roman" w:cs="Tahoma"/>
          <w:b/>
          <w:bCs/>
          <w:iCs/>
          <w:color w:val="auto"/>
          <w:lang w:val="es-ES" w:eastAsia="es-ES"/>
        </w:rPr>
        <w:t xml:space="preserve"> </w:t>
      </w:r>
    </w:p>
    <w:p w:rsidRPr="00B92F1D" w:rsidR="00605283" w:rsidP="004C6617" w:rsidRDefault="00605283" w14:paraId="6FFFB067" w14:textId="77777777">
      <w:pPr>
        <w:autoSpaceDE w:val="0"/>
        <w:autoSpaceDN w:val="0"/>
        <w:adjustRightInd w:val="0"/>
        <w:spacing w:after="0" w:line="360" w:lineRule="auto"/>
        <w:rPr>
          <w:rFonts w:eastAsia="Calibri" w:cs="Tahoma"/>
          <w:color w:val="000000"/>
          <w:szCs w:val="24"/>
          <w:lang w:val="es-ES" w:eastAsia="es-MX"/>
        </w:rPr>
      </w:pPr>
    </w:p>
    <w:p w:rsidR="00142D09" w:rsidP="004C6617" w:rsidRDefault="00142D09" w14:paraId="445075D9" w14:textId="77777777">
      <w:pPr>
        <w:tabs>
          <w:tab w:val="center" w:pos="4522"/>
        </w:tabs>
        <w:spacing w:after="0" w:line="360" w:lineRule="auto"/>
        <w:contextualSpacing/>
        <w:rPr>
          <w:rFonts w:eastAsia="Calibri" w:cs="Tahoma"/>
          <w:iCs/>
          <w:lang w:val="es-ES" w:eastAsia="es-ES_tradnl"/>
        </w:rPr>
      </w:pPr>
      <w:r w:rsidRPr="005879E4">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el </w:t>
      </w:r>
      <w:r>
        <w:rPr>
          <w:rFonts w:eastAsia="Calibri" w:cs="Tahoma"/>
          <w:iCs/>
          <w:lang w:val="es-ES" w:eastAsia="es-ES_tradnl"/>
        </w:rPr>
        <w:t>Particular requirió una relación preferentemente en formato (.</w:t>
      </w:r>
      <w:proofErr w:type="spellStart"/>
      <w:r>
        <w:rPr>
          <w:rFonts w:eastAsia="Calibri" w:cs="Tahoma"/>
          <w:iCs/>
          <w:lang w:val="es-ES" w:eastAsia="es-ES_tradnl"/>
        </w:rPr>
        <w:t>xlsx</w:t>
      </w:r>
      <w:proofErr w:type="spellEnd"/>
      <w:r>
        <w:rPr>
          <w:rFonts w:eastAsia="Calibri" w:cs="Tahoma"/>
          <w:iCs/>
          <w:lang w:val="es-ES" w:eastAsia="es-ES_tradnl"/>
        </w:rPr>
        <w:t>), respecto a cada una de las licencias de funcionamiento otorgadas para once actividades industriales, comerciales y de servicios, que contenga la siguiente información:</w:t>
      </w:r>
    </w:p>
    <w:p w:rsidR="007C7753" w:rsidP="004C6617" w:rsidRDefault="007C7753" w14:paraId="790F4EA8" w14:textId="77777777">
      <w:pPr>
        <w:tabs>
          <w:tab w:val="center" w:pos="4522"/>
        </w:tabs>
        <w:spacing w:after="0" w:line="360" w:lineRule="auto"/>
        <w:contextualSpacing/>
        <w:rPr>
          <w:rFonts w:eastAsia="Calibri" w:cs="Tahoma"/>
          <w:iCs/>
          <w:lang w:val="es-ES" w:eastAsia="es-ES_tradnl"/>
        </w:rPr>
      </w:pPr>
    </w:p>
    <w:p w:rsidR="007C7753" w:rsidP="004C6617" w:rsidRDefault="007C7753" w14:paraId="5B498DA6" w14:textId="44B22A87">
      <w:pPr>
        <w:pStyle w:val="Prrafodelista"/>
        <w:numPr>
          <w:ilvl w:val="0"/>
          <w:numId w:val="12"/>
        </w:numPr>
        <w:tabs>
          <w:tab w:val="center" w:pos="4522"/>
        </w:tabs>
        <w:spacing w:after="0" w:line="360" w:lineRule="auto"/>
        <w:rPr>
          <w:rFonts w:eastAsia="Calibri" w:cs="Tahoma"/>
          <w:iCs/>
          <w:lang w:val="es-ES" w:eastAsia="es-ES_tradnl"/>
        </w:rPr>
      </w:pPr>
      <w:r>
        <w:rPr>
          <w:rFonts w:eastAsia="Calibri" w:cs="Tahoma"/>
          <w:iCs/>
          <w:lang w:val="es-ES" w:eastAsia="es-ES_tradnl"/>
        </w:rPr>
        <w:t>Identificación</w:t>
      </w:r>
      <w:r w:rsidR="00142D09">
        <w:rPr>
          <w:rFonts w:eastAsia="Calibri" w:cs="Tahoma"/>
          <w:iCs/>
          <w:lang w:val="es-ES" w:eastAsia="es-ES_tradnl"/>
        </w:rPr>
        <w:t xml:space="preserve"> SCIAN</w:t>
      </w:r>
      <w:r>
        <w:rPr>
          <w:rFonts w:eastAsia="Calibri" w:cs="Tahoma"/>
          <w:iCs/>
          <w:lang w:val="es-ES" w:eastAsia="es-ES_tradnl"/>
        </w:rPr>
        <w:t>;</w:t>
      </w:r>
    </w:p>
    <w:p w:rsidR="007C7753" w:rsidP="004C6617" w:rsidRDefault="007C7753" w14:paraId="2FCBF4A5" w14:textId="77777777">
      <w:pPr>
        <w:pStyle w:val="Prrafodelista"/>
        <w:numPr>
          <w:ilvl w:val="0"/>
          <w:numId w:val="12"/>
        </w:numPr>
        <w:tabs>
          <w:tab w:val="center" w:pos="4522"/>
        </w:tabs>
        <w:spacing w:after="0" w:line="360" w:lineRule="auto"/>
        <w:rPr>
          <w:rFonts w:eastAsia="Calibri" w:cs="Tahoma"/>
          <w:iCs/>
          <w:lang w:val="es-ES" w:eastAsia="es-ES_tradnl"/>
        </w:rPr>
      </w:pPr>
      <w:r>
        <w:rPr>
          <w:rFonts w:eastAsia="Calibri" w:cs="Tahoma"/>
          <w:iCs/>
          <w:lang w:val="es-ES" w:eastAsia="es-ES_tradnl"/>
        </w:rPr>
        <w:t>Folio o clave única del establecimiento;</w:t>
      </w:r>
    </w:p>
    <w:p w:rsidR="007C7753" w:rsidP="004C6617" w:rsidRDefault="007C7753" w14:paraId="3E752187" w14:textId="77777777">
      <w:pPr>
        <w:pStyle w:val="Prrafodelista"/>
        <w:numPr>
          <w:ilvl w:val="0"/>
          <w:numId w:val="12"/>
        </w:numPr>
        <w:tabs>
          <w:tab w:val="center" w:pos="4522"/>
        </w:tabs>
        <w:spacing w:after="0" w:line="360" w:lineRule="auto"/>
        <w:rPr>
          <w:rFonts w:eastAsia="Calibri" w:cs="Tahoma"/>
          <w:iCs/>
          <w:lang w:val="es-ES" w:eastAsia="es-ES_tradnl"/>
        </w:rPr>
      </w:pPr>
      <w:r>
        <w:rPr>
          <w:rFonts w:eastAsia="Calibri" w:cs="Tahoma"/>
          <w:iCs/>
          <w:lang w:val="es-ES" w:eastAsia="es-ES_tradnl"/>
        </w:rPr>
        <w:t>Número de licencia ambiental;</w:t>
      </w:r>
    </w:p>
    <w:p w:rsidR="007C7753" w:rsidP="004C6617" w:rsidRDefault="007C7753" w14:paraId="2E940BBD" w14:textId="77777777">
      <w:pPr>
        <w:pStyle w:val="Prrafodelista"/>
        <w:numPr>
          <w:ilvl w:val="0"/>
          <w:numId w:val="12"/>
        </w:numPr>
        <w:tabs>
          <w:tab w:val="center" w:pos="4522"/>
        </w:tabs>
        <w:spacing w:after="0" w:line="360" w:lineRule="auto"/>
        <w:rPr>
          <w:rFonts w:eastAsia="Calibri" w:cs="Tahoma"/>
          <w:iCs/>
          <w:lang w:val="es-ES" w:eastAsia="es-ES_tradnl"/>
        </w:rPr>
      </w:pPr>
      <w:r>
        <w:rPr>
          <w:rFonts w:eastAsia="Calibri" w:cs="Tahoma"/>
          <w:iCs/>
          <w:lang w:val="es-ES" w:eastAsia="es-ES_tradnl"/>
        </w:rPr>
        <w:t>Coordenadas geográficas del establecimiento;</w:t>
      </w:r>
    </w:p>
    <w:p w:rsidR="007C7753" w:rsidP="004C6617" w:rsidRDefault="007C7753" w14:paraId="00932762" w14:textId="77777777">
      <w:pPr>
        <w:pStyle w:val="Prrafodelista"/>
        <w:numPr>
          <w:ilvl w:val="0"/>
          <w:numId w:val="12"/>
        </w:numPr>
        <w:tabs>
          <w:tab w:val="center" w:pos="4522"/>
        </w:tabs>
        <w:spacing w:after="0" w:line="360" w:lineRule="auto"/>
        <w:rPr>
          <w:rFonts w:eastAsia="Calibri" w:cs="Tahoma"/>
          <w:iCs/>
          <w:lang w:val="es-ES" w:eastAsia="es-ES_tradnl"/>
        </w:rPr>
      </w:pPr>
      <w:r>
        <w:rPr>
          <w:rFonts w:eastAsia="Calibri" w:cs="Tahoma"/>
          <w:iCs/>
          <w:lang w:val="es-ES" w:eastAsia="es-ES_tradnl"/>
        </w:rPr>
        <w:t>Denominación o razón social;</w:t>
      </w:r>
    </w:p>
    <w:p w:rsidR="007C7753" w:rsidP="004C6617" w:rsidRDefault="007C7753" w14:paraId="285A8649" w14:textId="77777777">
      <w:pPr>
        <w:pStyle w:val="Prrafodelista"/>
        <w:numPr>
          <w:ilvl w:val="0"/>
          <w:numId w:val="12"/>
        </w:numPr>
        <w:tabs>
          <w:tab w:val="center" w:pos="4522"/>
        </w:tabs>
        <w:spacing w:after="0" w:line="360" w:lineRule="auto"/>
        <w:rPr>
          <w:rFonts w:eastAsia="Calibri" w:cs="Tahoma"/>
          <w:iCs/>
          <w:lang w:val="es-ES" w:eastAsia="es-ES_tradnl"/>
        </w:rPr>
      </w:pPr>
      <w:r>
        <w:rPr>
          <w:rFonts w:eastAsia="Calibri" w:cs="Tahoma"/>
          <w:iCs/>
          <w:lang w:val="es-ES" w:eastAsia="es-ES_tradnl"/>
        </w:rPr>
        <w:t>Persona física o moral;</w:t>
      </w:r>
    </w:p>
    <w:p w:rsidR="007C7753" w:rsidP="004C6617" w:rsidRDefault="007C7753" w14:paraId="33DE7464" w14:textId="77777777">
      <w:pPr>
        <w:pStyle w:val="Prrafodelista"/>
        <w:numPr>
          <w:ilvl w:val="0"/>
          <w:numId w:val="12"/>
        </w:numPr>
        <w:tabs>
          <w:tab w:val="center" w:pos="4522"/>
        </w:tabs>
        <w:spacing w:after="0" w:line="360" w:lineRule="auto"/>
        <w:rPr>
          <w:rFonts w:eastAsia="Calibri" w:cs="Tahoma"/>
          <w:iCs/>
          <w:lang w:val="es-ES" w:eastAsia="es-ES_tradnl"/>
        </w:rPr>
      </w:pPr>
      <w:r>
        <w:rPr>
          <w:rFonts w:eastAsia="Calibri" w:cs="Tahoma"/>
          <w:iCs/>
          <w:lang w:val="es-ES" w:eastAsia="es-ES_tradnl"/>
        </w:rPr>
        <w:t>Nombre comercial del establecimiento;</w:t>
      </w:r>
    </w:p>
    <w:p w:rsidRPr="00431AE3" w:rsidR="007C7753" w:rsidP="004C6617" w:rsidRDefault="007C7753" w14:paraId="7823E572" w14:textId="77777777">
      <w:pPr>
        <w:pStyle w:val="Prrafodelista"/>
        <w:numPr>
          <w:ilvl w:val="0"/>
          <w:numId w:val="12"/>
        </w:numPr>
        <w:tabs>
          <w:tab w:val="center" w:pos="4522"/>
        </w:tabs>
        <w:spacing w:after="0" w:line="360" w:lineRule="auto"/>
        <w:rPr>
          <w:rFonts w:eastAsia="Calibri" w:cs="Tahoma"/>
          <w:iCs/>
          <w:lang w:val="es-ES" w:eastAsia="es-ES_tradnl"/>
        </w:rPr>
      </w:pPr>
      <w:r>
        <w:rPr>
          <w:rFonts w:eastAsia="Calibri" w:cs="Tahoma"/>
          <w:iCs/>
          <w:lang w:val="es-ES" w:eastAsia="es-ES_tradnl"/>
        </w:rPr>
        <w:t>Teléfono o medio de contacto con el establecimiento.</w:t>
      </w:r>
    </w:p>
    <w:p w:rsidR="007C7753" w:rsidP="004C6617" w:rsidRDefault="007C7753" w14:paraId="1426490E" w14:textId="77777777">
      <w:pPr>
        <w:tabs>
          <w:tab w:val="center" w:pos="4522"/>
        </w:tabs>
        <w:spacing w:after="0" w:line="360" w:lineRule="auto"/>
        <w:contextualSpacing/>
        <w:rPr>
          <w:rFonts w:eastAsia="Calibri" w:cs="Tahoma"/>
          <w:iCs/>
          <w:lang w:val="es-ES" w:eastAsia="es-ES_tradnl"/>
        </w:rPr>
      </w:pPr>
    </w:p>
    <w:p w:rsidR="007C7753" w:rsidP="004C6617" w:rsidRDefault="007C7753" w14:paraId="1BCD58E8" w14:textId="0EFCDDE6">
      <w:pPr>
        <w:tabs>
          <w:tab w:val="center" w:pos="4522"/>
        </w:tabs>
        <w:spacing w:after="0" w:line="360" w:lineRule="auto"/>
        <w:contextualSpacing/>
        <w:rPr>
          <w:rFonts w:eastAsia="Calibri" w:cs="Tahoma"/>
          <w:iCs/>
          <w:lang w:val="es-ES" w:eastAsia="es-ES_tradnl"/>
        </w:rPr>
      </w:pPr>
      <w:r>
        <w:rPr>
          <w:rFonts w:eastAsia="Calibri" w:cs="Tahoma"/>
          <w:iCs/>
          <w:lang w:val="es-ES" w:eastAsia="es-ES_tradnl"/>
        </w:rPr>
        <w:lastRenderedPageBreak/>
        <w:t xml:space="preserve">En respuesta, el Sujeto Obligado manifestó que no </w:t>
      </w:r>
      <w:r w:rsidR="00142D09">
        <w:rPr>
          <w:rFonts w:eastAsia="Calibri" w:cs="Tahoma"/>
          <w:iCs/>
          <w:lang w:val="es-ES" w:eastAsia="es-ES_tradnl"/>
        </w:rPr>
        <w:t>podía entregar la información, al ser de carácter confidencial</w:t>
      </w:r>
      <w:r>
        <w:rPr>
          <w:rFonts w:eastAsia="Calibri" w:cs="Tahoma"/>
          <w:iCs/>
          <w:lang w:val="es-ES" w:eastAsia="es-ES_tradnl"/>
        </w:rPr>
        <w:t xml:space="preserve">; ante dicha circunstancia, el Recurrente se inconformó </w:t>
      </w:r>
      <w:r w:rsidR="00142D09">
        <w:rPr>
          <w:rFonts w:eastAsia="Calibri" w:cs="Tahoma"/>
          <w:iCs/>
          <w:lang w:val="es-ES" w:eastAsia="es-ES_tradnl"/>
        </w:rPr>
        <w:t>con la clasificación de la información</w:t>
      </w:r>
      <w:r>
        <w:rPr>
          <w:rFonts w:eastAsia="Calibri" w:cs="Tahoma"/>
          <w:iCs/>
          <w:lang w:val="es-ES" w:eastAsia="es-ES_tradnl"/>
        </w:rPr>
        <w:t xml:space="preserve">, lo cual </w:t>
      </w:r>
      <w:r w:rsidRPr="009B1161">
        <w:rPr>
          <w:rFonts w:eastAsia="Calibri" w:cs="Tahoma"/>
          <w:iCs/>
          <w:lang w:eastAsia="es-ES_tradnl"/>
        </w:rPr>
        <w:t xml:space="preserve">actualiza la causal de procedencia prevista en la fracción </w:t>
      </w:r>
      <w:r w:rsidR="00142D09">
        <w:rPr>
          <w:rFonts w:eastAsia="Calibri" w:cs="Tahoma"/>
          <w:iCs/>
          <w:lang w:eastAsia="es-ES_tradnl"/>
        </w:rPr>
        <w:t>I</w:t>
      </w:r>
      <w:r w:rsidRPr="009B1161">
        <w:rPr>
          <w:rFonts w:eastAsia="Calibri" w:cs="Tahoma"/>
          <w:iCs/>
          <w:lang w:eastAsia="es-ES_tradnl"/>
        </w:rPr>
        <w:t>I, del artículo 179 de la Ley de Transparencia y Acceso a la Información Pública del Estado de México y Municipios.</w:t>
      </w:r>
      <w:r w:rsidRPr="009B1161">
        <w:rPr>
          <w:rFonts w:eastAsia="Times New Roman" w:cs="Tahoma"/>
          <w:bCs/>
          <w:iCs/>
          <w:lang w:val="es-ES_tradnl" w:eastAsia="es-ES"/>
        </w:rPr>
        <w:t xml:space="preserve"> </w:t>
      </w:r>
      <w:r w:rsidRPr="009B1161">
        <w:rPr>
          <w:rFonts w:eastAsia="Calibri" w:cs="Tahoma"/>
          <w:bCs/>
          <w:iCs/>
          <w:lang w:val="es-ES_tradnl" w:eastAsia="es-ES_tradnl"/>
        </w:rPr>
        <w:t>Así las cosas, una vez admitido y notificado el Recurso de Revisión a las partes,</w:t>
      </w:r>
      <w:r>
        <w:rPr>
          <w:rFonts w:eastAsia="Calibri" w:cs="Tahoma"/>
          <w:bCs/>
          <w:iCs/>
          <w:lang w:val="es-ES_tradnl" w:eastAsia="es-ES_tradnl"/>
        </w:rPr>
        <w:t xml:space="preserve"> estas fueron omisas en emitir manifestaciones o alegatos.</w:t>
      </w:r>
    </w:p>
    <w:p w:rsidR="007C7753" w:rsidP="004C6617" w:rsidRDefault="007C7753" w14:paraId="2FD88650" w14:textId="77777777">
      <w:pPr>
        <w:tabs>
          <w:tab w:val="center" w:pos="4522"/>
        </w:tabs>
        <w:spacing w:after="0" w:line="360" w:lineRule="auto"/>
        <w:contextualSpacing/>
        <w:rPr>
          <w:rFonts w:eastAsia="Calibri" w:cs="Tahoma"/>
          <w:iCs/>
          <w:lang w:val="es-ES" w:eastAsia="es-ES_tradnl"/>
        </w:rPr>
      </w:pPr>
    </w:p>
    <w:p w:rsidR="007C7753" w:rsidP="004C6617" w:rsidRDefault="007C7753" w14:paraId="20A57039" w14:textId="77777777">
      <w:pPr>
        <w:spacing w:after="0" w:line="360" w:lineRule="auto"/>
        <w:rPr>
          <w:rFonts w:eastAsia="Times New Roman" w:cs="Tahoma"/>
          <w:bCs/>
          <w:lang w:eastAsia="es-ES"/>
        </w:rPr>
      </w:pPr>
      <w:r w:rsidRPr="00B92F1D">
        <w:rPr>
          <w:rFonts w:eastAsia="Times New Roman" w:cs="Tahoma"/>
          <w:iCs/>
          <w:lang w:eastAsia="es-ES"/>
        </w:rPr>
        <w:t>Lo anterior, se desprende de las documentales que obran en los expedientes de referencia, materia de la presente resolución, consistente en: la solicitud de información</w:t>
      </w:r>
      <w:r>
        <w:rPr>
          <w:rFonts w:eastAsia="Times New Roman" w:cs="Tahoma"/>
          <w:iCs/>
          <w:lang w:eastAsia="es-ES"/>
        </w:rPr>
        <w:t>;</w:t>
      </w:r>
      <w:r w:rsidRPr="00B92F1D">
        <w:rPr>
          <w:rFonts w:eastAsia="Times New Roman" w:cs="Tahoma"/>
          <w:iCs/>
          <w:lang w:eastAsia="es-ES"/>
        </w:rPr>
        <w:t xml:space="preserve"> la respuesta otorgada por el Sujeto Obligado</w:t>
      </w:r>
      <w:r>
        <w:rPr>
          <w:rFonts w:eastAsia="Times New Roman" w:cs="Tahoma"/>
          <w:iCs/>
          <w:lang w:eastAsia="es-ES"/>
        </w:rPr>
        <w:t xml:space="preserve"> y</w:t>
      </w:r>
      <w:r w:rsidRPr="00B92F1D">
        <w:rPr>
          <w:rFonts w:eastAsia="Times New Roman" w:cs="Tahoma"/>
          <w:iCs/>
          <w:lang w:eastAsia="es-ES"/>
        </w:rPr>
        <w:t xml:space="preserve"> el escrito </w:t>
      </w:r>
      <w:proofErr w:type="spellStart"/>
      <w:r w:rsidRPr="00B92F1D">
        <w:rPr>
          <w:rFonts w:eastAsia="Times New Roman" w:cs="Tahoma"/>
          <w:iCs/>
          <w:lang w:eastAsia="es-ES"/>
        </w:rPr>
        <w:t>recursal</w:t>
      </w:r>
      <w:proofErr w:type="spellEnd"/>
      <w:r>
        <w:rPr>
          <w:rFonts w:eastAsia="Times New Roman" w:cs="Tahoma"/>
          <w:iCs/>
          <w:lang w:eastAsia="es-ES"/>
        </w:rPr>
        <w:t>;</w:t>
      </w:r>
      <w:r w:rsidRPr="00B92F1D">
        <w:rPr>
          <w:rFonts w:eastAsia="Times New Roman" w:cs="Tahoma"/>
          <w:iCs/>
          <w:lang w:eastAsia="es-ES"/>
        </w:rPr>
        <w:t xml:space="preserve"> </w:t>
      </w:r>
      <w:r>
        <w:rPr>
          <w:rFonts w:eastAsia="Times New Roman" w:cs="Tahoma"/>
          <w:iCs/>
          <w:lang w:eastAsia="es-ES"/>
        </w:rPr>
        <w:t>i</w:t>
      </w:r>
      <w:r w:rsidRPr="00B92F1D">
        <w:rPr>
          <w:rFonts w:eastAsia="Times New Roman" w:cs="Tahoma"/>
          <w:iCs/>
          <w:lang w:eastAsia="es-ES"/>
        </w:rPr>
        <w:t xml:space="preserve">nstrumentales que se toman en cuenta </w:t>
      </w:r>
      <w:r w:rsidRPr="00B92F1D">
        <w:rPr>
          <w:rFonts w:eastAsia="Times New Roman" w:cs="Tahoma"/>
          <w:bCs/>
          <w:lang w:eastAsia="es-ES"/>
        </w:rPr>
        <w:t>a efecto de resolver el presente medio de impugnación, conforme a lo dispuesto por el artículo 185, fracción IV, de la Ley de Transparencia y Acceso a la Información Pública del Estado de México y Municipios.</w:t>
      </w:r>
    </w:p>
    <w:p w:rsidR="00605283" w:rsidP="004C6617" w:rsidRDefault="00605283" w14:paraId="31E365AA" w14:textId="77777777">
      <w:pPr>
        <w:tabs>
          <w:tab w:val="center" w:pos="4522"/>
        </w:tabs>
        <w:spacing w:after="0" w:line="360" w:lineRule="auto"/>
        <w:contextualSpacing/>
        <w:rPr>
          <w:rFonts w:eastAsia="Calibri" w:cs="Tahoma"/>
          <w:iCs/>
          <w:lang w:val="es-ES" w:eastAsia="es-ES_tradnl"/>
        </w:rPr>
      </w:pPr>
    </w:p>
    <w:p w:rsidR="00605283" w:rsidP="004C6617" w:rsidRDefault="00605283" w14:paraId="41B198AE" w14:textId="77777777">
      <w:pPr>
        <w:spacing w:after="0" w:line="360" w:lineRule="auto"/>
        <w:rPr>
          <w:rFonts w:eastAsia="Times New Roman" w:cs="Tahoma"/>
          <w:bCs/>
          <w:lang w:eastAsia="es-ES"/>
        </w:rPr>
      </w:pPr>
      <w:r w:rsidRPr="00B92F1D">
        <w:rPr>
          <w:rFonts w:eastAsia="Times New Roman" w:cs="Tahoma"/>
          <w:iCs/>
          <w:lang w:eastAsia="es-ES"/>
        </w:rPr>
        <w:t>Lo anterior, se desprende de las documentales que obran en los expedientes de referencia, materia de la presente resolución, consistente en: la solicitud de información</w:t>
      </w:r>
      <w:r>
        <w:rPr>
          <w:rFonts w:eastAsia="Times New Roman" w:cs="Tahoma"/>
          <w:iCs/>
          <w:lang w:eastAsia="es-ES"/>
        </w:rPr>
        <w:t>;</w:t>
      </w:r>
      <w:r w:rsidRPr="00B92F1D">
        <w:rPr>
          <w:rFonts w:eastAsia="Times New Roman" w:cs="Tahoma"/>
          <w:iCs/>
          <w:lang w:eastAsia="es-ES"/>
        </w:rPr>
        <w:t xml:space="preserve"> la respuesta otorgada por el Sujeto Obligado</w:t>
      </w:r>
      <w:r>
        <w:rPr>
          <w:rFonts w:eastAsia="Times New Roman" w:cs="Tahoma"/>
          <w:iCs/>
          <w:lang w:eastAsia="es-ES"/>
        </w:rPr>
        <w:t xml:space="preserve"> y</w:t>
      </w:r>
      <w:r w:rsidRPr="00B92F1D">
        <w:rPr>
          <w:rFonts w:eastAsia="Times New Roman" w:cs="Tahoma"/>
          <w:iCs/>
          <w:lang w:eastAsia="es-ES"/>
        </w:rPr>
        <w:t xml:space="preserve"> el escrito </w:t>
      </w:r>
      <w:proofErr w:type="spellStart"/>
      <w:r w:rsidRPr="00B92F1D">
        <w:rPr>
          <w:rFonts w:eastAsia="Times New Roman" w:cs="Tahoma"/>
          <w:iCs/>
          <w:lang w:eastAsia="es-ES"/>
        </w:rPr>
        <w:t>recursal</w:t>
      </w:r>
      <w:proofErr w:type="spellEnd"/>
      <w:r>
        <w:rPr>
          <w:rFonts w:eastAsia="Times New Roman" w:cs="Tahoma"/>
          <w:iCs/>
          <w:lang w:eastAsia="es-ES"/>
        </w:rPr>
        <w:t>;</w:t>
      </w:r>
      <w:r w:rsidRPr="00B92F1D">
        <w:rPr>
          <w:rFonts w:eastAsia="Times New Roman" w:cs="Tahoma"/>
          <w:iCs/>
          <w:lang w:eastAsia="es-ES"/>
        </w:rPr>
        <w:t xml:space="preserve"> </w:t>
      </w:r>
      <w:r>
        <w:rPr>
          <w:rFonts w:eastAsia="Times New Roman" w:cs="Tahoma"/>
          <w:iCs/>
          <w:lang w:eastAsia="es-ES"/>
        </w:rPr>
        <w:t>i</w:t>
      </w:r>
      <w:r w:rsidRPr="00B92F1D">
        <w:rPr>
          <w:rFonts w:eastAsia="Times New Roman" w:cs="Tahoma"/>
          <w:iCs/>
          <w:lang w:eastAsia="es-ES"/>
        </w:rPr>
        <w:t xml:space="preserve">nstrumentales que se toman en cuenta </w:t>
      </w:r>
      <w:r w:rsidRPr="00B92F1D">
        <w:rPr>
          <w:rFonts w:eastAsia="Times New Roman" w:cs="Tahoma"/>
          <w:bCs/>
          <w:lang w:eastAsia="es-ES"/>
        </w:rPr>
        <w:t>a efecto de resolver el presente medio de impugnación, conforme a lo dispuesto por el artículo 185, fracción IV, de la Ley de Transparencia y Acceso a la Información Pública del Estado de México y Municipios.</w:t>
      </w:r>
    </w:p>
    <w:p w:rsidRPr="00B92F1D" w:rsidR="00605283" w:rsidP="004C6617" w:rsidRDefault="00605283" w14:paraId="553B2FFD" w14:textId="77777777">
      <w:pPr>
        <w:spacing w:after="0" w:line="360" w:lineRule="auto"/>
        <w:rPr>
          <w:rFonts w:eastAsia="Times New Roman" w:cs="Tahoma"/>
          <w:iCs/>
          <w:lang w:eastAsia="es-ES"/>
        </w:rPr>
      </w:pPr>
    </w:p>
    <w:p w:rsidRPr="00B92F1D" w:rsidR="00605283" w:rsidP="004C6617" w:rsidRDefault="00605283" w14:paraId="5AACE283" w14:textId="77777777">
      <w:pPr>
        <w:spacing w:after="0" w:line="360" w:lineRule="auto"/>
        <w:rPr>
          <w:rFonts w:eastAsia="Times New Roman" w:cs="Tahoma"/>
          <w:b/>
          <w:bCs/>
          <w:iCs/>
          <w:color w:val="auto"/>
          <w:lang w:eastAsia="es-ES"/>
        </w:rPr>
      </w:pPr>
      <w:r w:rsidRPr="00B92F1D">
        <w:rPr>
          <w:rFonts w:eastAsia="Times New Roman" w:cs="Tahoma"/>
          <w:b/>
          <w:bCs/>
          <w:iCs/>
          <w:color w:val="auto"/>
          <w:lang w:val="es-ES" w:eastAsia="es-ES"/>
        </w:rPr>
        <w:t xml:space="preserve">CUARTO. </w:t>
      </w:r>
      <w:r w:rsidRPr="00B92F1D">
        <w:rPr>
          <w:rFonts w:eastAsia="Times New Roman" w:cs="Tahoma"/>
          <w:b/>
          <w:bCs/>
          <w:iCs/>
          <w:color w:val="auto"/>
          <w:lang w:eastAsia="es-ES"/>
        </w:rPr>
        <w:t>Marco normativo aplicable en materia de transparencia y acceso a la información pública.</w:t>
      </w:r>
    </w:p>
    <w:p w:rsidRPr="00B92F1D" w:rsidR="00605283" w:rsidP="004C6617" w:rsidRDefault="00605283" w14:paraId="357AA11E" w14:textId="77777777">
      <w:pPr>
        <w:spacing w:after="0" w:line="360" w:lineRule="auto"/>
        <w:rPr>
          <w:rFonts w:eastAsia="Times New Roman" w:cs="Tahoma"/>
          <w:b/>
          <w:bCs/>
          <w:iCs/>
          <w:color w:val="auto"/>
          <w:lang w:eastAsia="es-ES"/>
        </w:rPr>
      </w:pPr>
    </w:p>
    <w:p w:rsidRPr="00B92F1D" w:rsidR="00605283" w:rsidP="004C6617" w:rsidRDefault="00605283" w14:paraId="3C83DA75" w14:textId="77777777">
      <w:pPr>
        <w:spacing w:after="0" w:line="360" w:lineRule="auto"/>
        <w:rPr>
          <w:rFonts w:eastAsia="Times New Roman" w:cs="Tahoma"/>
          <w:bCs/>
          <w:iCs/>
          <w:color w:val="auto"/>
          <w:lang w:eastAsia="es-ES"/>
        </w:rPr>
      </w:pPr>
      <w:r w:rsidRPr="00B92F1D">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92F1D" w:rsidR="00605283" w:rsidP="004C6617" w:rsidRDefault="00605283" w14:paraId="29609D30" w14:textId="77777777">
      <w:pPr>
        <w:spacing w:after="0" w:line="360" w:lineRule="auto"/>
        <w:rPr>
          <w:rFonts w:eastAsia="Times New Roman" w:cs="Tahoma"/>
          <w:bCs/>
          <w:iCs/>
          <w:color w:val="auto"/>
          <w:lang w:eastAsia="es-ES"/>
        </w:rPr>
      </w:pPr>
    </w:p>
    <w:p w:rsidRPr="00B92F1D" w:rsidR="00605283" w:rsidP="004C6617" w:rsidRDefault="00605283" w14:paraId="7A7AF660" w14:textId="77777777">
      <w:pPr>
        <w:spacing w:after="0" w:line="360" w:lineRule="auto"/>
        <w:rPr>
          <w:rFonts w:eastAsia="Times New Roman" w:cs="Tahoma"/>
          <w:bCs/>
          <w:iCs/>
          <w:color w:val="auto"/>
          <w:lang w:eastAsia="es-ES"/>
        </w:rPr>
      </w:pPr>
      <w:r w:rsidRPr="00B92F1D">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B92F1D" w:rsidR="00605283" w:rsidP="004C6617" w:rsidRDefault="00605283" w14:paraId="5A4ACD11" w14:textId="77777777">
      <w:pPr>
        <w:spacing w:after="0" w:line="360" w:lineRule="auto"/>
        <w:rPr>
          <w:rFonts w:eastAsia="Times New Roman" w:cs="Tahoma"/>
          <w:bCs/>
          <w:iCs/>
          <w:color w:val="auto"/>
          <w:lang w:eastAsia="es-ES"/>
        </w:rPr>
      </w:pPr>
    </w:p>
    <w:p w:rsidRPr="00B92F1D" w:rsidR="00605283" w:rsidP="004C6617" w:rsidRDefault="00605283" w14:paraId="02A9D953" w14:textId="77777777">
      <w:pPr>
        <w:spacing w:after="0" w:line="360" w:lineRule="auto"/>
        <w:rPr>
          <w:rFonts w:eastAsia="Times New Roman" w:cs="Tahoma"/>
          <w:bCs/>
          <w:iCs/>
          <w:color w:val="auto"/>
          <w:lang w:eastAsia="es-ES"/>
        </w:rPr>
      </w:pPr>
      <w:r w:rsidRPr="00B92F1D">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605283" w:rsidP="004C6617" w:rsidRDefault="00605283" w14:paraId="4902F7F4" w14:textId="77777777">
      <w:pPr>
        <w:spacing w:after="0" w:line="360" w:lineRule="auto"/>
        <w:rPr>
          <w:rFonts w:eastAsia="Times New Roman" w:cs="Tahoma"/>
          <w:bCs/>
          <w:iCs/>
          <w:color w:val="auto"/>
          <w:lang w:eastAsia="es-ES"/>
        </w:rPr>
      </w:pPr>
    </w:p>
    <w:p w:rsidRPr="00B92F1D" w:rsidR="00605283" w:rsidP="004C6617" w:rsidRDefault="00605283" w14:paraId="11EF2B54" w14:textId="77777777">
      <w:pPr>
        <w:spacing w:after="0" w:line="360" w:lineRule="auto"/>
        <w:rPr>
          <w:rFonts w:eastAsia="Times New Roman" w:cs="Tahoma"/>
          <w:bCs/>
          <w:iCs/>
          <w:color w:val="auto"/>
          <w:lang w:eastAsia="es-ES"/>
        </w:rPr>
      </w:pPr>
      <w:r w:rsidRPr="00B92F1D">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B92F1D" w:rsidR="00605283" w:rsidP="004C6617" w:rsidRDefault="00605283" w14:paraId="1F5DFE46" w14:textId="77777777">
      <w:pPr>
        <w:spacing w:after="0" w:line="360" w:lineRule="auto"/>
        <w:rPr>
          <w:rFonts w:eastAsia="Times New Roman" w:cs="Tahoma"/>
          <w:bCs/>
          <w:iCs/>
          <w:color w:val="auto"/>
          <w:lang w:eastAsia="es-ES"/>
        </w:rPr>
      </w:pPr>
    </w:p>
    <w:p w:rsidRPr="00B92F1D" w:rsidR="00605283" w:rsidP="004C6617" w:rsidRDefault="00605283" w14:paraId="73F08537" w14:textId="77777777">
      <w:pPr>
        <w:spacing w:after="0" w:line="360" w:lineRule="auto"/>
        <w:rPr>
          <w:rFonts w:eastAsia="Times New Roman" w:cs="Tahoma"/>
          <w:bCs/>
          <w:iCs/>
          <w:color w:val="auto"/>
          <w:lang w:eastAsia="es-ES"/>
        </w:rPr>
      </w:pPr>
      <w:r w:rsidRPr="00B92F1D">
        <w:rPr>
          <w:rFonts w:eastAsia="Times New Roman" w:cs="Tahoma"/>
          <w:bCs/>
          <w:iCs/>
          <w:color w:val="auto"/>
          <w:lang w:eastAsia="es-ES"/>
        </w:rPr>
        <w:t>El artículo 12, que, quienes generen, recopilen, administren, manejen, procesen, archiven o conserven información pública serán responsables de la misma.</w:t>
      </w:r>
    </w:p>
    <w:p w:rsidRPr="00B92F1D" w:rsidR="00605283" w:rsidP="004C6617" w:rsidRDefault="00605283" w14:paraId="6D337B40" w14:textId="77777777">
      <w:pPr>
        <w:spacing w:after="0" w:line="360" w:lineRule="auto"/>
        <w:rPr>
          <w:rFonts w:eastAsia="Times New Roman" w:cs="Tahoma"/>
          <w:bCs/>
          <w:iCs/>
          <w:color w:val="auto"/>
          <w:lang w:eastAsia="es-ES"/>
        </w:rPr>
      </w:pPr>
    </w:p>
    <w:p w:rsidRPr="00B92F1D" w:rsidR="00605283" w:rsidP="004C6617" w:rsidRDefault="00605283" w14:paraId="6B0C3238" w14:textId="77777777">
      <w:pPr>
        <w:spacing w:after="0" w:line="360" w:lineRule="auto"/>
        <w:rPr>
          <w:rFonts w:eastAsia="Times New Roman" w:cs="Tahoma"/>
          <w:bCs/>
          <w:iCs/>
          <w:color w:val="auto"/>
          <w:lang w:eastAsia="es-ES"/>
        </w:rPr>
      </w:pPr>
      <w:r w:rsidRPr="00B92F1D">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B92F1D" w:rsidR="00605283" w:rsidP="004C6617" w:rsidRDefault="00605283" w14:paraId="4DEF84CE" w14:textId="77777777">
      <w:pPr>
        <w:spacing w:after="0" w:line="360" w:lineRule="auto"/>
        <w:rPr>
          <w:rFonts w:eastAsia="Times New Roman" w:cs="Tahoma"/>
          <w:bCs/>
          <w:iCs/>
          <w:color w:val="auto"/>
          <w:lang w:eastAsia="es-ES"/>
        </w:rPr>
      </w:pPr>
    </w:p>
    <w:p w:rsidRPr="00B92F1D" w:rsidR="00605283" w:rsidP="004C6617" w:rsidRDefault="00605283" w14:paraId="78C6B36A" w14:textId="77777777">
      <w:pPr>
        <w:widowControl w:val="0"/>
        <w:spacing w:after="0" w:line="360" w:lineRule="auto"/>
        <w:rPr>
          <w:rFonts w:eastAsia="Times New Roman" w:cs="Tahoma"/>
          <w:bCs/>
          <w:iCs/>
          <w:color w:val="auto"/>
          <w:lang w:eastAsia="es-ES"/>
        </w:rPr>
      </w:pPr>
      <w:r w:rsidRPr="00B92F1D">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05283" w:rsidP="004C6617" w:rsidRDefault="00605283" w14:paraId="79DDEEE1" w14:textId="77777777">
      <w:pPr>
        <w:spacing w:after="0" w:line="360" w:lineRule="auto"/>
        <w:rPr>
          <w:rFonts w:eastAsia="Times New Roman" w:cs="Tahoma"/>
          <w:color w:val="auto"/>
          <w:lang w:eastAsia="es-ES"/>
        </w:rPr>
      </w:pPr>
    </w:p>
    <w:p w:rsidR="00605283" w:rsidP="004C6617" w:rsidRDefault="00605283" w14:paraId="522213DD" w14:textId="77777777">
      <w:pPr>
        <w:spacing w:after="0" w:line="360" w:lineRule="auto"/>
        <w:rPr>
          <w:rFonts w:cs="Tahoma"/>
        </w:rPr>
      </w:pPr>
      <w:r>
        <w:rPr>
          <w:rFonts w:cs="Tahoma"/>
        </w:rPr>
        <w:lastRenderedPageBreak/>
        <w:t xml:space="preserve">El artículo 92, fracción XXXII, </w:t>
      </w:r>
      <w:r>
        <w:rPr>
          <w:rFonts w:eastAsia="Calibri" w:cs="Tahoma"/>
          <w:lang w:val="es-ES" w:eastAsia="es-ES_tradnl"/>
        </w:rPr>
        <w:t>que, la información sobre las concesiones, contratos, convenios, permisos, licencias o autorizaciones otorgados, corresponde a una Obligación Común de Transparencia para los Sujetos Obligados.</w:t>
      </w:r>
    </w:p>
    <w:p w:rsidRPr="00B92F1D" w:rsidR="00605283" w:rsidP="004C6617" w:rsidRDefault="00605283" w14:paraId="0060F54F" w14:textId="77777777">
      <w:pPr>
        <w:spacing w:after="0" w:line="360" w:lineRule="auto"/>
        <w:rPr>
          <w:rFonts w:eastAsia="Times New Roman" w:cs="Tahoma"/>
          <w:color w:val="auto"/>
          <w:lang w:eastAsia="es-ES"/>
        </w:rPr>
      </w:pPr>
    </w:p>
    <w:p w:rsidRPr="00B92F1D" w:rsidR="00605283" w:rsidP="004C6617" w:rsidRDefault="00605283" w14:paraId="22AF7A05" w14:textId="77777777">
      <w:pPr>
        <w:spacing w:after="0" w:line="360" w:lineRule="auto"/>
        <w:rPr>
          <w:rFonts w:eastAsia="Times New Roman" w:cs="Tahoma"/>
          <w:b/>
          <w:bCs/>
          <w:iCs/>
          <w:color w:val="auto"/>
          <w:lang w:val="es-ES" w:eastAsia="es-ES"/>
        </w:rPr>
      </w:pPr>
      <w:r w:rsidRPr="00B92F1D">
        <w:rPr>
          <w:rFonts w:eastAsia="Times New Roman" w:cs="Tahoma"/>
          <w:b/>
          <w:bCs/>
          <w:iCs/>
          <w:color w:val="auto"/>
          <w:lang w:val="es-ES" w:eastAsia="es-ES"/>
        </w:rPr>
        <w:t>Quinto. Estudio de Fondo.</w:t>
      </w:r>
    </w:p>
    <w:p w:rsidR="00605283" w:rsidP="004C6617" w:rsidRDefault="00605283" w14:paraId="40E8CCA3" w14:textId="77777777">
      <w:pPr>
        <w:spacing w:after="0" w:line="360" w:lineRule="auto"/>
        <w:rPr>
          <w:rFonts w:eastAsia="Times New Roman" w:cs="Tahoma"/>
          <w:iCs/>
          <w:color w:val="auto"/>
          <w:lang w:val="es-ES" w:eastAsia="es-ES"/>
        </w:rPr>
      </w:pPr>
    </w:p>
    <w:p w:rsidRPr="00C56550" w:rsidR="00C56550" w:rsidP="004C6617" w:rsidRDefault="00C56550" w14:paraId="2D9B7A21" w14:textId="77777777">
      <w:pPr>
        <w:spacing w:after="0" w:line="360" w:lineRule="auto"/>
        <w:rPr>
          <w:rFonts w:eastAsia="Times New Roman" w:cs="Tahoma"/>
          <w:iCs/>
          <w:color w:val="auto"/>
          <w:lang w:val="es-ES" w:eastAsia="es-ES"/>
        </w:rPr>
      </w:pPr>
      <w:r w:rsidRPr="00C56550">
        <w:rPr>
          <w:rFonts w:eastAsia="Times New Roman" w:cs="Tahoma"/>
          <w:iCs/>
          <w:color w:val="auto"/>
          <w:lang w:val="es-ES" w:eastAsia="es-ES"/>
        </w:rPr>
        <w:t>Expuestas las posturas de las partes, se procede al análisis de los agravios hechos valer por el ahora Recurrente, referente a la inexistencia de la información solicitada; por lo que resulta necesario analizar la naturaleza de la información.</w:t>
      </w:r>
    </w:p>
    <w:p w:rsidRPr="00C56550" w:rsidR="00C56550" w:rsidP="004C6617" w:rsidRDefault="00C56550" w14:paraId="40A91510" w14:textId="77777777">
      <w:pPr>
        <w:spacing w:after="0" w:line="360" w:lineRule="auto"/>
        <w:rPr>
          <w:rFonts w:eastAsia="Times New Roman" w:cs="Tahoma"/>
          <w:iCs/>
          <w:color w:val="auto"/>
          <w:lang w:val="es-ES" w:eastAsia="es-ES"/>
        </w:rPr>
      </w:pPr>
    </w:p>
    <w:p w:rsidRPr="00C56550" w:rsidR="00C56550" w:rsidP="004C6617" w:rsidRDefault="00C56550" w14:paraId="3199CED2" w14:textId="05BC4215">
      <w:pPr>
        <w:spacing w:after="0" w:line="360" w:lineRule="auto"/>
        <w:rPr>
          <w:rFonts w:eastAsia="Calibri" w:cs="Tahoma"/>
          <w:bCs/>
          <w:color w:val="auto"/>
        </w:rPr>
      </w:pPr>
      <w:r w:rsidRPr="00C56550">
        <w:rPr>
          <w:rFonts w:eastAsia="Times New Roman" w:cs="Tahoma"/>
          <w:color w:val="auto"/>
          <w:lang w:val="es-ES" w:eastAsia="es-ES"/>
        </w:rPr>
        <w:t xml:space="preserve">Sobre dicha información, </w:t>
      </w:r>
      <w:r w:rsidRPr="00C56550">
        <w:rPr>
          <w:rFonts w:eastAsia="Calibri" w:cs="Tahoma"/>
          <w:bCs/>
          <w:color w:val="auto"/>
        </w:rPr>
        <w:t xml:space="preserve">el artículo 31, fracciones, XXIV </w:t>
      </w:r>
      <w:proofErr w:type="spellStart"/>
      <w:r w:rsidRPr="00C56550">
        <w:rPr>
          <w:rFonts w:eastAsia="Calibri" w:cs="Tahoma"/>
          <w:bCs/>
          <w:color w:val="auto"/>
        </w:rPr>
        <w:t>Quinques</w:t>
      </w:r>
      <w:proofErr w:type="spellEnd"/>
      <w:r w:rsidRPr="00C56550">
        <w:rPr>
          <w:rFonts w:eastAsia="Calibri" w:cs="Tahoma"/>
          <w:bCs/>
          <w:color w:val="auto"/>
        </w:rPr>
        <w:t xml:space="preserve"> y XLIV, de la Ley Orgánica Municipal el Estado de México, establece que los Ayuntamientos, entre los que se encuentra el de </w:t>
      </w:r>
      <w:r>
        <w:rPr>
          <w:rFonts w:eastAsia="Calibri" w:cs="Tahoma"/>
          <w:bCs/>
          <w:color w:val="auto"/>
        </w:rPr>
        <w:t>Ecatepec de Morelos</w:t>
      </w:r>
      <w:r w:rsidRPr="00C56550">
        <w:rPr>
          <w:rFonts w:eastAsia="Calibri" w:cs="Tahoma"/>
          <w:bCs/>
          <w:color w:val="auto"/>
        </w:rPr>
        <w:t>, son los encargados de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por lo que, una vez presentado el Dictamen de Giro aprobado, se expedirá la licencia de funcionamiento en un plazo no mayor a diez días hábiles; así como, de crear el Registro Municipal de Unidades Económicas, donde se especifique la licencia de funcionamiento y las características que se determinen convenientes.</w:t>
      </w:r>
    </w:p>
    <w:p w:rsidRPr="00C56550" w:rsidR="00C56550" w:rsidP="004C6617" w:rsidRDefault="00C56550" w14:paraId="74A0171E" w14:textId="77777777">
      <w:pPr>
        <w:spacing w:after="0" w:line="360" w:lineRule="auto"/>
        <w:rPr>
          <w:rFonts w:eastAsia="Calibri" w:cs="Tahoma"/>
          <w:bCs/>
          <w:color w:val="auto"/>
        </w:rPr>
      </w:pPr>
    </w:p>
    <w:p w:rsidRPr="00C56550" w:rsidR="00C56550" w:rsidP="004C6617" w:rsidRDefault="00C56550" w14:paraId="3CA3C905" w14:textId="77777777">
      <w:pPr>
        <w:spacing w:after="0" w:line="360" w:lineRule="auto"/>
        <w:rPr>
          <w:rFonts w:eastAsia="Calibri" w:cs="Tahoma"/>
          <w:bCs/>
          <w:color w:val="auto"/>
        </w:rPr>
      </w:pPr>
      <w:r w:rsidRPr="00C56550">
        <w:rPr>
          <w:rFonts w:eastAsia="Calibri" w:cs="Tahoma"/>
          <w:bCs/>
          <w:color w:val="auto"/>
        </w:rPr>
        <w:t xml:space="preserve">Para lograr lo anterior, los Ayuntamientos contarán con un Director de Desarrollo Económico o equivalente que impulsa la simplificación de trámites y reducción de plazos para el otorgamiento de permisos, </w:t>
      </w:r>
      <w:r w:rsidRPr="00C56550">
        <w:rPr>
          <w:rFonts w:eastAsia="Calibri" w:cs="Tahoma"/>
          <w:b/>
          <w:bCs/>
          <w:color w:val="auto"/>
        </w:rPr>
        <w:t>licencias</w:t>
      </w:r>
      <w:r w:rsidRPr="00C56550">
        <w:rPr>
          <w:rFonts w:eastAsia="Calibri" w:cs="Tahoma"/>
          <w:bCs/>
          <w:color w:val="auto"/>
        </w:rPr>
        <w:t xml:space="preserve"> y autorizaciones del orden municipal, así como de operar y actualizar el Registro Municipal de Unidades Económicas de los permisos o licencias de </w:t>
      </w:r>
      <w:r w:rsidRPr="00C56550">
        <w:rPr>
          <w:rFonts w:eastAsia="Calibri" w:cs="Tahoma"/>
          <w:bCs/>
          <w:color w:val="auto"/>
        </w:rPr>
        <w:lastRenderedPageBreak/>
        <w:t xml:space="preserve">funcionamiento otorgadas, de conformidad con el artículo 96 </w:t>
      </w:r>
      <w:proofErr w:type="spellStart"/>
      <w:r w:rsidRPr="00C56550">
        <w:rPr>
          <w:rFonts w:eastAsia="Calibri" w:cs="Tahoma"/>
          <w:bCs/>
          <w:color w:val="auto"/>
        </w:rPr>
        <w:t>Quáter</w:t>
      </w:r>
      <w:proofErr w:type="spellEnd"/>
      <w:r w:rsidRPr="00C56550">
        <w:rPr>
          <w:rFonts w:eastAsia="Calibri" w:cs="Tahoma"/>
          <w:bCs/>
          <w:color w:val="auto"/>
        </w:rPr>
        <w:t xml:space="preserve"> de la Ley señalada en el párrafo anterior.</w:t>
      </w:r>
    </w:p>
    <w:p w:rsidRPr="00C56550" w:rsidR="00C56550" w:rsidP="004C6617" w:rsidRDefault="00C56550" w14:paraId="726386AD" w14:textId="77777777">
      <w:pPr>
        <w:spacing w:after="0" w:line="360" w:lineRule="auto"/>
        <w:rPr>
          <w:rFonts w:eastAsia="Calibri" w:cs="Tahoma"/>
          <w:bCs/>
          <w:color w:val="auto"/>
        </w:rPr>
      </w:pPr>
    </w:p>
    <w:p w:rsidRPr="00C56550" w:rsidR="00C56550" w:rsidP="004C6617" w:rsidRDefault="00C56550" w14:paraId="6F328E16" w14:textId="77777777">
      <w:pPr>
        <w:spacing w:after="0" w:line="360" w:lineRule="auto"/>
        <w:rPr>
          <w:rFonts w:eastAsia="Calibri" w:cs="Tahoma"/>
          <w:b/>
          <w:bCs/>
          <w:color w:val="auto"/>
        </w:rPr>
      </w:pPr>
      <w:r w:rsidRPr="00C56550">
        <w:rPr>
          <w:rFonts w:eastAsia="Calibri" w:cs="Tahoma"/>
          <w:bCs/>
          <w:color w:val="auto"/>
        </w:rPr>
        <w:t xml:space="preserve">En ese sentido, conforme a los artículos 2°, fracciones XV y XXXVII, 5°, fracción X, 7°, fracción V, 14 y 16 de la Ley de Competitividad y Ordenamiento Comercial del Estado de México, la </w:t>
      </w:r>
      <w:r w:rsidRPr="00C56550">
        <w:rPr>
          <w:rFonts w:eastAsia="Calibri" w:cs="Tahoma"/>
          <w:b/>
          <w:bCs/>
          <w:color w:val="auto"/>
        </w:rPr>
        <w:t xml:space="preserve">licencia de funcionamiento, </w:t>
      </w:r>
      <w:r w:rsidRPr="00C56550">
        <w:rPr>
          <w:rFonts w:eastAsia="Calibri" w:cs="Tahoma"/>
          <w:bCs/>
          <w:color w:val="auto"/>
        </w:rPr>
        <w:t xml:space="preserve">es el acto administrativo emitido por </w:t>
      </w:r>
      <w:r w:rsidRPr="00C56550">
        <w:rPr>
          <w:rFonts w:eastAsia="Calibri" w:cs="Tahoma"/>
          <w:b/>
          <w:bCs/>
          <w:color w:val="auto"/>
        </w:rPr>
        <w:t>los Municipios, a través del cual se autoriza a una persona física o jurídica colectiva a desarrollar actividades económicas de alto y mediano impacto, entre las que se encuentran la venta de bebidas alcohólicas para su consumo inmediato.</w:t>
      </w:r>
    </w:p>
    <w:p w:rsidRPr="00C56550" w:rsidR="00C56550" w:rsidP="004C6617" w:rsidRDefault="00C56550" w14:paraId="0181C9EC" w14:textId="77777777">
      <w:pPr>
        <w:spacing w:after="0" w:line="360" w:lineRule="auto"/>
        <w:rPr>
          <w:rFonts w:eastAsia="Calibri" w:cs="Tahoma"/>
          <w:bCs/>
          <w:color w:val="auto"/>
        </w:rPr>
      </w:pPr>
      <w:r w:rsidRPr="00C56550">
        <w:rPr>
          <w:rFonts w:eastAsia="Calibri" w:cs="Tahoma"/>
          <w:bCs/>
          <w:color w:val="auto"/>
        </w:rPr>
        <w:t xml:space="preserve"> </w:t>
      </w:r>
    </w:p>
    <w:p w:rsidRPr="00C56550" w:rsidR="00C56550" w:rsidP="004C6617" w:rsidRDefault="00C56550" w14:paraId="6B2C13CF" w14:textId="77777777">
      <w:pPr>
        <w:spacing w:after="0" w:line="360" w:lineRule="auto"/>
        <w:rPr>
          <w:rFonts w:eastAsia="Calibri" w:cs="Tahoma"/>
          <w:bCs/>
          <w:color w:val="auto"/>
        </w:rPr>
      </w:pPr>
      <w:r w:rsidRPr="00C56550">
        <w:rPr>
          <w:rFonts w:eastAsia="Calibri" w:cs="Tahoma"/>
          <w:bCs/>
          <w:color w:val="auto"/>
        </w:rPr>
        <w:t>Por su parte, el artículo 2°, fracciones XXXIII, XXXIV y XXXV, de dicho ordenamiento jurídico, establece tres tipos de unidades económicas, a saber, las siguientes:</w:t>
      </w:r>
    </w:p>
    <w:p w:rsidRPr="00C56550" w:rsidR="00C56550" w:rsidP="004C6617" w:rsidRDefault="00C56550" w14:paraId="1500EB6E" w14:textId="77777777">
      <w:pPr>
        <w:spacing w:after="0" w:line="360" w:lineRule="auto"/>
        <w:rPr>
          <w:rFonts w:eastAsia="Calibri" w:cs="Tahoma"/>
          <w:bCs/>
          <w:color w:val="auto"/>
        </w:rPr>
      </w:pPr>
    </w:p>
    <w:p w:rsidRPr="00C56550" w:rsidR="00C56550" w:rsidP="004C6617" w:rsidRDefault="00C56550" w14:paraId="5F54AA4F" w14:textId="77777777">
      <w:pPr>
        <w:numPr>
          <w:ilvl w:val="0"/>
          <w:numId w:val="5"/>
        </w:numPr>
        <w:spacing w:after="0" w:line="360" w:lineRule="auto"/>
        <w:contextualSpacing/>
        <w:jc w:val="left"/>
        <w:rPr>
          <w:rFonts w:eastAsia="Calibri" w:cs="Tahoma"/>
          <w:b/>
          <w:bCs/>
          <w:color w:val="auto"/>
        </w:rPr>
      </w:pPr>
      <w:r w:rsidRPr="00C56550">
        <w:rPr>
          <w:rFonts w:eastAsia="Calibri" w:cs="Tahoma"/>
          <w:b/>
          <w:bCs/>
          <w:color w:val="auto"/>
        </w:rPr>
        <w:t xml:space="preserve">Bajo impacto: </w:t>
      </w:r>
      <w:r w:rsidRPr="00C56550">
        <w:rPr>
          <w:rFonts w:eastAsia="Calibri" w:cs="Tahoma"/>
          <w:bCs/>
          <w:color w:val="auto"/>
        </w:rPr>
        <w:t>A las autorizadas para la venta de bebidas alcohólicas en envase cerrado y no sean de consumo inmediato, así como, las que no estén en supuestos subsecuentes.</w:t>
      </w:r>
    </w:p>
    <w:p w:rsidRPr="00C56550" w:rsidR="00C56550" w:rsidP="004C6617" w:rsidRDefault="00C56550" w14:paraId="4E168040" w14:textId="77777777">
      <w:pPr>
        <w:spacing w:after="0" w:line="360" w:lineRule="auto"/>
        <w:ind w:left="720"/>
        <w:contextualSpacing/>
        <w:rPr>
          <w:rFonts w:eastAsia="Calibri" w:cs="Tahoma"/>
          <w:b/>
          <w:bCs/>
          <w:color w:val="auto"/>
        </w:rPr>
      </w:pPr>
    </w:p>
    <w:p w:rsidRPr="00C56550" w:rsidR="00C56550" w:rsidP="004C6617" w:rsidRDefault="00C56550" w14:paraId="5042F223" w14:textId="77777777">
      <w:pPr>
        <w:numPr>
          <w:ilvl w:val="0"/>
          <w:numId w:val="5"/>
        </w:numPr>
        <w:spacing w:after="0" w:line="360" w:lineRule="auto"/>
        <w:contextualSpacing/>
        <w:jc w:val="left"/>
        <w:rPr>
          <w:rFonts w:eastAsia="Calibri" w:cs="Tahoma"/>
          <w:b/>
          <w:bCs/>
          <w:color w:val="auto"/>
        </w:rPr>
      </w:pPr>
      <w:r w:rsidRPr="00C56550">
        <w:rPr>
          <w:rFonts w:eastAsia="Calibri" w:cs="Tahoma"/>
          <w:b/>
          <w:bCs/>
          <w:color w:val="auto"/>
        </w:rPr>
        <w:t xml:space="preserve">Mediano impacto: </w:t>
      </w:r>
      <w:r w:rsidRPr="00C56550">
        <w:rPr>
          <w:rFonts w:eastAsia="Calibri" w:cs="Tahoma"/>
          <w:bCs/>
          <w:color w:val="auto"/>
        </w:rPr>
        <w:t>A las que se les permite la venta de bebidas alcohólicas para consumo inmediato, siendo otra su actividad principal.</w:t>
      </w:r>
    </w:p>
    <w:p w:rsidRPr="00C56550" w:rsidR="00C56550" w:rsidP="004C6617" w:rsidRDefault="00C56550" w14:paraId="33500F38" w14:textId="77777777">
      <w:pPr>
        <w:spacing w:after="0" w:line="360" w:lineRule="auto"/>
        <w:ind w:left="720"/>
        <w:contextualSpacing/>
        <w:jc w:val="left"/>
        <w:rPr>
          <w:rFonts w:eastAsia="Calibri" w:cs="Tahoma"/>
          <w:b/>
          <w:bCs/>
          <w:color w:val="auto"/>
        </w:rPr>
      </w:pPr>
    </w:p>
    <w:p w:rsidRPr="00C56550" w:rsidR="00C56550" w:rsidP="004C6617" w:rsidRDefault="00C56550" w14:paraId="21649D67" w14:textId="77777777">
      <w:pPr>
        <w:numPr>
          <w:ilvl w:val="0"/>
          <w:numId w:val="5"/>
        </w:numPr>
        <w:spacing w:after="0" w:line="360" w:lineRule="auto"/>
        <w:contextualSpacing/>
        <w:jc w:val="left"/>
        <w:rPr>
          <w:rFonts w:eastAsia="Calibri" w:cs="Tahoma"/>
          <w:b/>
          <w:bCs/>
          <w:color w:val="auto"/>
        </w:rPr>
      </w:pPr>
      <w:r w:rsidRPr="00C56550">
        <w:rPr>
          <w:rFonts w:eastAsia="Calibri" w:cs="Tahoma"/>
          <w:b/>
          <w:bCs/>
          <w:color w:val="auto"/>
        </w:rPr>
        <w:t xml:space="preserve">Alto Impacto: </w:t>
      </w:r>
      <w:r w:rsidRPr="00C56550">
        <w:rPr>
          <w:rFonts w:eastAsia="Calibri" w:cs="Tahoma"/>
          <w:bCs/>
          <w:color w:val="auto"/>
        </w:rPr>
        <w:t>Aquellas que tienen como actividad principal, la venta de bebidas alcohólicas para consumo inmediato y las que requieran dictamen único de factibilidad.</w:t>
      </w:r>
    </w:p>
    <w:p w:rsidRPr="00C56550" w:rsidR="00C56550" w:rsidP="004C6617" w:rsidRDefault="00C56550" w14:paraId="2BF74BE4" w14:textId="77777777">
      <w:pPr>
        <w:spacing w:after="0" w:line="360" w:lineRule="auto"/>
        <w:rPr>
          <w:rFonts w:eastAsia="Calibri" w:cs="Tahoma"/>
          <w:bCs/>
          <w:color w:val="auto"/>
        </w:rPr>
      </w:pPr>
    </w:p>
    <w:p w:rsidR="00C56550" w:rsidP="004C6617" w:rsidRDefault="00C56550" w14:paraId="49272AA4" w14:textId="77777777">
      <w:pPr>
        <w:widowControl w:val="0"/>
        <w:spacing w:after="0" w:line="360" w:lineRule="auto"/>
        <w:rPr>
          <w:rFonts w:eastAsia="Calibri" w:cs="Tahoma"/>
          <w:bCs/>
          <w:color w:val="auto"/>
        </w:rPr>
      </w:pPr>
      <w:r w:rsidRPr="00C56550">
        <w:rPr>
          <w:rFonts w:eastAsia="Calibri" w:cs="Tahoma"/>
          <w:bCs/>
          <w:color w:val="auto"/>
        </w:rPr>
        <w:t xml:space="preserve">En ese contexto, la expedición de las </w:t>
      </w:r>
      <w:r w:rsidRPr="00C56550">
        <w:rPr>
          <w:rFonts w:eastAsia="Calibri" w:cs="Tahoma"/>
          <w:b/>
          <w:bCs/>
          <w:color w:val="auto"/>
        </w:rPr>
        <w:t>licencias de funcionamiento</w:t>
      </w:r>
      <w:r w:rsidRPr="00C56550">
        <w:rPr>
          <w:rFonts w:eastAsia="Calibri" w:cs="Tahoma"/>
          <w:bCs/>
          <w:color w:val="auto"/>
        </w:rPr>
        <w:t xml:space="preserve">, le corresponde a los Ayuntamientos, al coordinar la gestión de trámites para la recepción, integración y verificación de los expedientes que presentan los particulares; por tales circunstancias, cada Municipio </w:t>
      </w:r>
      <w:r w:rsidRPr="00C56550">
        <w:rPr>
          <w:rFonts w:eastAsia="Calibri" w:cs="Tahoma"/>
          <w:bCs/>
          <w:color w:val="auto"/>
        </w:rPr>
        <w:lastRenderedPageBreak/>
        <w:t>deberá apegarse a las disposiciones legales que emita, ello conforme al artículo 16 del Reglamento de la Ley de Competitividad y Ordenamiento Comercial del Estado de México.</w:t>
      </w:r>
    </w:p>
    <w:p w:rsidR="00BD0225" w:rsidP="004C6617" w:rsidRDefault="00BD0225" w14:paraId="5F697B6C" w14:textId="77777777">
      <w:pPr>
        <w:widowControl w:val="0"/>
        <w:spacing w:after="0" w:line="360" w:lineRule="auto"/>
        <w:rPr>
          <w:rFonts w:eastAsia="Calibri" w:cs="Tahoma"/>
          <w:bCs/>
          <w:color w:val="auto"/>
        </w:rPr>
      </w:pPr>
    </w:p>
    <w:p w:rsidRPr="00BD0225" w:rsidR="00BD0225" w:rsidP="004C6617" w:rsidRDefault="00CC3A84" w14:paraId="6F6A3AB2" w14:textId="1A6487DD">
      <w:pPr>
        <w:spacing w:after="0" w:line="360" w:lineRule="auto"/>
        <w:ind w:right="-93"/>
        <w:rPr>
          <w:rFonts w:eastAsia="Calibri" w:cs="Tahoma"/>
          <w:b/>
          <w:bCs/>
          <w:color w:val="auto"/>
        </w:rPr>
      </w:pPr>
      <w:r>
        <w:rPr>
          <w:rFonts w:eastAsia="Calibri" w:cs="Tahoma"/>
          <w:bCs/>
          <w:color w:val="auto"/>
        </w:rPr>
        <w:t>Además</w:t>
      </w:r>
      <w:r w:rsidRPr="00BD0225" w:rsidR="00BD0225">
        <w:rPr>
          <w:rFonts w:eastAsia="Calibri" w:cs="Tahoma"/>
          <w:bCs/>
          <w:color w:val="auto"/>
        </w:rPr>
        <w:t xml:space="preserve">, la operación de la </w:t>
      </w:r>
      <w:r w:rsidRPr="00BD0225" w:rsidR="00BD0225">
        <w:rPr>
          <w:rFonts w:eastAsia="Calibri" w:cs="Tahoma"/>
          <w:b/>
          <w:bCs/>
          <w:color w:val="auto"/>
        </w:rPr>
        <w:t xml:space="preserve">Ventanilla Única </w:t>
      </w:r>
      <w:r w:rsidRPr="00BD0225" w:rsidR="00BD0225">
        <w:rPr>
          <w:rFonts w:eastAsia="Calibri" w:cs="Tahoma"/>
          <w:bCs/>
          <w:color w:val="auto"/>
        </w:rPr>
        <w:t xml:space="preserve">y la expedición de las </w:t>
      </w:r>
      <w:r w:rsidRPr="00BD0225" w:rsidR="00BD0225">
        <w:rPr>
          <w:rFonts w:eastAsia="Calibri" w:cs="Tahoma"/>
          <w:b/>
          <w:bCs/>
          <w:color w:val="auto"/>
        </w:rPr>
        <w:t>licencias de funcionamiento</w:t>
      </w:r>
      <w:r w:rsidRPr="00BD0225" w:rsidR="00BD0225">
        <w:rPr>
          <w:rFonts w:eastAsia="Calibri" w:cs="Tahoma"/>
          <w:bCs/>
          <w:color w:val="auto"/>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rsidRPr="00C56550" w:rsidR="00C56550" w:rsidP="004C6617" w:rsidRDefault="00C56550" w14:paraId="7E9BB3FC" w14:textId="77777777">
      <w:pPr>
        <w:spacing w:after="0" w:line="360" w:lineRule="auto"/>
        <w:rPr>
          <w:rFonts w:eastAsia="Calibri" w:cs="Tahoma"/>
          <w:bCs/>
          <w:color w:val="auto"/>
        </w:rPr>
      </w:pPr>
    </w:p>
    <w:p w:rsidRPr="00CC3A84" w:rsidR="00CC3A84" w:rsidP="004C6617" w:rsidRDefault="00CC3A84" w14:paraId="7845166F" w14:textId="5F629F4A">
      <w:pPr>
        <w:spacing w:after="0" w:line="360" w:lineRule="auto"/>
        <w:ind w:right="-93"/>
        <w:rPr>
          <w:rFonts w:eastAsia="Calibri" w:cs="Tahoma"/>
          <w:bCs/>
          <w:color w:val="auto"/>
        </w:rPr>
      </w:pPr>
      <w:r w:rsidRPr="00CC3A84">
        <w:rPr>
          <w:rFonts w:eastAsia="Calibri" w:cs="Tahoma"/>
          <w:bCs/>
          <w:color w:val="auto"/>
        </w:rPr>
        <w:t>En ese orden de ideas</w:t>
      </w:r>
      <w:r>
        <w:rPr>
          <w:rFonts w:eastAsia="Calibri" w:cs="Tahoma"/>
          <w:bCs/>
          <w:color w:val="auto"/>
        </w:rPr>
        <w:t>, el artículo 52</w:t>
      </w:r>
      <w:r w:rsidRPr="00CC3A84">
        <w:rPr>
          <w:rFonts w:eastAsia="Calibri" w:cs="Tahoma"/>
          <w:bCs/>
          <w:color w:val="auto"/>
        </w:rPr>
        <w:t xml:space="preserve"> del Bando Municipal de Ecatepec de Morelos</w:t>
      </w:r>
      <w:r w:rsidR="001C2A03">
        <w:rPr>
          <w:rFonts w:eastAsia="Calibri" w:cs="Tahoma"/>
          <w:bCs/>
          <w:color w:val="auto"/>
        </w:rPr>
        <w:t>, del dos mil veintiuno</w:t>
      </w:r>
      <w:r w:rsidRPr="00CC3A84">
        <w:rPr>
          <w:rFonts w:eastAsia="Calibri" w:cs="Tahoma"/>
          <w:bCs/>
          <w:color w:val="auto"/>
        </w:rPr>
        <w:t xml:space="preserve">, establece que la Dirección de Desarrollo Económico, contará </w:t>
      </w:r>
      <w:r w:rsidR="001C2A03">
        <w:rPr>
          <w:rFonts w:eastAsia="Calibri" w:cs="Tahoma"/>
          <w:bCs/>
          <w:color w:val="auto"/>
        </w:rPr>
        <w:t>con el Centro de Atención Empresarial, mediante el cual se realizarán los trámites para la instalación, apertura, operación y ampliación de unidades económicas.</w:t>
      </w:r>
    </w:p>
    <w:p w:rsidRPr="00C56550" w:rsidR="00C56550" w:rsidP="004C6617" w:rsidRDefault="00C56550" w14:paraId="1C4B6A35" w14:textId="77777777">
      <w:pPr>
        <w:spacing w:after="0" w:line="360" w:lineRule="auto"/>
        <w:rPr>
          <w:rFonts w:eastAsia="Times New Roman" w:cs="Tahoma"/>
          <w:b/>
          <w:color w:val="auto"/>
          <w:lang w:val="es-ES" w:eastAsia="es-ES"/>
        </w:rPr>
      </w:pPr>
    </w:p>
    <w:p w:rsidRPr="00C56550" w:rsidR="00C56550" w:rsidP="004C6617" w:rsidRDefault="00C56550" w14:paraId="1436357E" w14:textId="77777777">
      <w:pPr>
        <w:spacing w:after="0" w:line="360" w:lineRule="auto"/>
        <w:rPr>
          <w:rFonts w:eastAsia="Times New Roman" w:cs="Tahoma"/>
          <w:iCs/>
          <w:color w:val="auto"/>
          <w:lang w:val="es-ES" w:eastAsia="es-ES"/>
        </w:rPr>
      </w:pPr>
      <w:r w:rsidRPr="00C56550">
        <w:rPr>
          <w:rFonts w:eastAsia="Times New Roman" w:cs="Tahoma"/>
          <w:iCs/>
          <w:color w:val="auto"/>
          <w:lang w:val="es-ES" w:eastAsia="es-ES"/>
        </w:rPr>
        <w:t xml:space="preserve">Conforme a lo anterior, se logra advertir que el Sujeto Obligado, </w:t>
      </w:r>
      <w:r w:rsidRPr="00C56550">
        <w:rPr>
          <w:rFonts w:eastAsia="Times New Roman" w:cs="Tahoma"/>
          <w:b/>
          <w:iCs/>
          <w:color w:val="auto"/>
          <w:lang w:val="es-ES" w:eastAsia="es-ES"/>
        </w:rPr>
        <w:t xml:space="preserve">cuenta con competencia para conocer de la información solicitada, </w:t>
      </w:r>
      <w:r w:rsidRPr="00C56550">
        <w:rPr>
          <w:rFonts w:eastAsia="Times New Roman" w:cs="Tahoma"/>
          <w:iCs/>
          <w:color w:val="auto"/>
          <w:lang w:val="es-ES" w:eastAsia="es-ES"/>
        </w:rPr>
        <w:t xml:space="preserve">pues el Ayuntamiento es el encargado de emitir las licencias de funcionamiento para que se puedan desarrollar actividades comerciales, industriales o de servicios dentro del territorio municipal. </w:t>
      </w:r>
    </w:p>
    <w:p w:rsidRPr="00C56550" w:rsidR="00C56550" w:rsidP="004C6617" w:rsidRDefault="00C56550" w14:paraId="7EAEEC20" w14:textId="77777777">
      <w:pPr>
        <w:spacing w:after="0" w:line="360" w:lineRule="auto"/>
        <w:rPr>
          <w:rFonts w:eastAsia="Times New Roman" w:cs="Tahoma"/>
          <w:iCs/>
          <w:color w:val="auto"/>
          <w:lang w:val="es-ES" w:eastAsia="es-ES"/>
        </w:rPr>
      </w:pPr>
    </w:p>
    <w:p w:rsidRPr="00C56550" w:rsidR="00C56550" w:rsidP="004C6617" w:rsidRDefault="00C56550" w14:paraId="17A58129" w14:textId="15076ADB">
      <w:pPr>
        <w:spacing w:after="0" w:line="360" w:lineRule="auto"/>
        <w:rPr>
          <w:rFonts w:eastAsia="Times New Roman" w:cs="Tahoma"/>
          <w:iCs/>
          <w:color w:val="auto"/>
          <w:lang w:val="es-ES" w:eastAsia="es-ES"/>
        </w:rPr>
      </w:pPr>
      <w:r w:rsidRPr="00C56550">
        <w:rPr>
          <w:rFonts w:eastAsia="Times New Roman" w:cs="Tahoma"/>
          <w:iCs/>
          <w:color w:val="auto"/>
          <w:lang w:val="es-ES" w:eastAsia="es-ES"/>
        </w:rPr>
        <w:t>Ahora bien, en atención y análisis tanto de la solicitud de información, como del Recurso de Revisión, se logra advertir que la pretensión del ahora Recurrente es obtener una relación, preferentemente en formato “</w:t>
      </w:r>
      <w:proofErr w:type="spellStart"/>
      <w:r w:rsidRPr="00C56550">
        <w:rPr>
          <w:rFonts w:eastAsia="Times New Roman" w:cs="Tahoma"/>
          <w:iCs/>
          <w:color w:val="auto"/>
          <w:lang w:val="es-ES" w:eastAsia="es-ES"/>
        </w:rPr>
        <w:t>xlsx</w:t>
      </w:r>
      <w:proofErr w:type="spellEnd"/>
      <w:r w:rsidRPr="00C56550">
        <w:rPr>
          <w:rFonts w:eastAsia="Times New Roman" w:cs="Tahoma"/>
          <w:iCs/>
          <w:color w:val="auto"/>
          <w:lang w:val="es-ES" w:eastAsia="es-ES"/>
        </w:rPr>
        <w:t xml:space="preserve">”, con la información de las licencias de funcionamiento expedidas por el Ayuntamiento de </w:t>
      </w:r>
      <w:r w:rsidR="00214A6A">
        <w:rPr>
          <w:rFonts w:eastAsia="Times New Roman" w:cs="Tahoma"/>
          <w:iCs/>
          <w:color w:val="auto"/>
          <w:lang w:val="es-ES" w:eastAsia="es-ES"/>
        </w:rPr>
        <w:t>Ecatepec de Morelos</w:t>
      </w:r>
      <w:r w:rsidRPr="00C56550">
        <w:rPr>
          <w:rFonts w:eastAsia="Times New Roman" w:cs="Tahoma"/>
          <w:iCs/>
          <w:color w:val="auto"/>
          <w:lang w:val="es-ES" w:eastAsia="es-ES"/>
        </w:rPr>
        <w:t xml:space="preserve">, al primero de septiembre de dos mil veintiuno, que contengan el número de identificación, folio o clase única del establecimiento, número de licencia ambiental, dirección y ubicación geográfica (coordenadas); denominación o razón social, persona física o moral, nombre comercial y teléfono de contacto del </w:t>
      </w:r>
      <w:r w:rsidRPr="00C56550">
        <w:rPr>
          <w:rFonts w:eastAsia="Times New Roman" w:cs="Tahoma"/>
          <w:iCs/>
          <w:color w:val="auto"/>
          <w:lang w:val="es-ES" w:eastAsia="es-ES"/>
        </w:rPr>
        <w:lastRenderedPageBreak/>
        <w:t>establecimiento, de las siguientes actividades industriales, comerciales y de servicios u homólogas:</w:t>
      </w:r>
    </w:p>
    <w:p w:rsidRPr="00C56550" w:rsidR="00C56550" w:rsidP="004C6617" w:rsidRDefault="00C56550" w14:paraId="4358CD59" w14:textId="77777777">
      <w:pPr>
        <w:spacing w:after="0" w:line="360" w:lineRule="auto"/>
        <w:rPr>
          <w:rFonts w:eastAsia="Times New Roman" w:cs="Tahoma"/>
          <w:iCs/>
          <w:color w:val="auto"/>
          <w:lang w:val="es-ES" w:eastAsia="es-ES"/>
        </w:rPr>
      </w:pPr>
    </w:p>
    <w:p w:rsidRPr="00C56550" w:rsidR="00C56550" w:rsidP="004C6617" w:rsidRDefault="00C56550" w14:paraId="40CAA5CD" w14:textId="77777777">
      <w:pPr>
        <w:numPr>
          <w:ilvl w:val="0"/>
          <w:numId w:val="14"/>
        </w:numPr>
        <w:tabs>
          <w:tab w:val="center" w:pos="4522"/>
        </w:tabs>
        <w:spacing w:after="0" w:line="360" w:lineRule="auto"/>
        <w:contextualSpacing/>
        <w:rPr>
          <w:rFonts w:eastAsia="Calibri" w:cs="Tahoma"/>
          <w:iCs/>
          <w:lang w:eastAsia="es-ES_tradnl"/>
        </w:rPr>
      </w:pPr>
      <w:r w:rsidRPr="00C56550">
        <w:rPr>
          <w:rFonts w:eastAsia="Calibri" w:cs="Tahoma"/>
          <w:iCs/>
          <w:lang w:val="es-ES" w:eastAsia="es-ES_tradnl"/>
        </w:rPr>
        <w:t>Comercio al por mayor de productos farmacéuticos</w:t>
      </w:r>
      <w:r w:rsidRPr="00C56550">
        <w:rPr>
          <w:rFonts w:eastAsia="Calibri" w:cs="Tahoma"/>
          <w:iCs/>
          <w:lang w:eastAsia="es-ES_tradnl"/>
        </w:rPr>
        <w:t>;</w:t>
      </w:r>
    </w:p>
    <w:p w:rsidRPr="00C56550" w:rsidR="00C56550" w:rsidP="004C6617" w:rsidRDefault="00C56550" w14:paraId="3947747A" w14:textId="77777777">
      <w:pPr>
        <w:numPr>
          <w:ilvl w:val="0"/>
          <w:numId w:val="14"/>
        </w:numPr>
        <w:tabs>
          <w:tab w:val="center" w:pos="4522"/>
        </w:tabs>
        <w:spacing w:after="0" w:line="360" w:lineRule="auto"/>
        <w:contextualSpacing/>
        <w:rPr>
          <w:rFonts w:eastAsia="Calibri" w:cs="Tahoma"/>
          <w:iCs/>
          <w:lang w:eastAsia="es-ES_tradnl"/>
        </w:rPr>
      </w:pPr>
      <w:r w:rsidRPr="00C56550">
        <w:rPr>
          <w:rFonts w:eastAsia="Calibri" w:cs="Tahoma"/>
          <w:iCs/>
          <w:lang w:val="es-ES" w:eastAsia="es-ES_tradnl"/>
        </w:rPr>
        <w:t>Comercio al por mayor de medicamentos veterinarios y alimentos para animales, excepto mascotas</w:t>
      </w:r>
      <w:r w:rsidRPr="00C56550">
        <w:rPr>
          <w:rFonts w:eastAsia="Calibri" w:cs="Tahoma"/>
          <w:iCs/>
          <w:lang w:eastAsia="es-ES_tradnl"/>
        </w:rPr>
        <w:t>;</w:t>
      </w:r>
    </w:p>
    <w:p w:rsidRPr="00C56550" w:rsidR="00C56550" w:rsidP="004C6617" w:rsidRDefault="00C56550" w14:paraId="054C3F58" w14:textId="77777777">
      <w:pPr>
        <w:numPr>
          <w:ilvl w:val="0"/>
          <w:numId w:val="14"/>
        </w:numPr>
        <w:tabs>
          <w:tab w:val="center" w:pos="4522"/>
        </w:tabs>
        <w:spacing w:after="0" w:line="360" w:lineRule="auto"/>
        <w:contextualSpacing/>
        <w:rPr>
          <w:rFonts w:eastAsia="Calibri" w:cs="Tahoma"/>
          <w:iCs/>
          <w:lang w:eastAsia="es-ES_tradnl"/>
        </w:rPr>
      </w:pPr>
      <w:r w:rsidRPr="00C56550">
        <w:rPr>
          <w:rFonts w:eastAsia="Calibri" w:cs="Tahoma"/>
          <w:iCs/>
          <w:lang w:val="es-ES" w:eastAsia="es-ES_tradnl"/>
        </w:rPr>
        <w:t>Farmacias sin minisúper</w:t>
      </w:r>
      <w:r w:rsidRPr="00C56550">
        <w:rPr>
          <w:rFonts w:eastAsia="Calibri" w:cs="Tahoma"/>
          <w:iCs/>
          <w:lang w:eastAsia="es-ES_tradnl"/>
        </w:rPr>
        <w:t>;</w:t>
      </w:r>
    </w:p>
    <w:p w:rsidRPr="00C56550" w:rsidR="00C56550" w:rsidP="004C6617" w:rsidRDefault="00C56550" w14:paraId="5926D055" w14:textId="77777777">
      <w:pPr>
        <w:numPr>
          <w:ilvl w:val="0"/>
          <w:numId w:val="14"/>
        </w:numPr>
        <w:tabs>
          <w:tab w:val="center" w:pos="4522"/>
        </w:tabs>
        <w:spacing w:after="0" w:line="360" w:lineRule="auto"/>
        <w:contextualSpacing/>
        <w:rPr>
          <w:rFonts w:eastAsia="Calibri" w:cs="Tahoma"/>
          <w:iCs/>
          <w:lang w:eastAsia="es-ES_tradnl"/>
        </w:rPr>
      </w:pPr>
      <w:r w:rsidRPr="00C56550">
        <w:rPr>
          <w:rFonts w:eastAsia="Calibri" w:cs="Tahoma"/>
          <w:iCs/>
          <w:lang w:val="es-ES" w:eastAsia="es-ES_tradnl"/>
        </w:rPr>
        <w:t>Farmacias con minisúper</w:t>
      </w:r>
      <w:r w:rsidRPr="00C56550">
        <w:rPr>
          <w:rFonts w:eastAsia="Calibri" w:cs="Tahoma"/>
          <w:iCs/>
          <w:lang w:eastAsia="es-ES_tradnl"/>
        </w:rPr>
        <w:t>;</w:t>
      </w:r>
    </w:p>
    <w:p w:rsidRPr="00C56550" w:rsidR="00C56550" w:rsidP="004C6617" w:rsidRDefault="00C56550" w14:paraId="41134404" w14:textId="77777777">
      <w:pPr>
        <w:numPr>
          <w:ilvl w:val="0"/>
          <w:numId w:val="14"/>
        </w:numPr>
        <w:tabs>
          <w:tab w:val="center" w:pos="4522"/>
        </w:tabs>
        <w:spacing w:after="0" w:line="360" w:lineRule="auto"/>
        <w:contextualSpacing/>
        <w:rPr>
          <w:rFonts w:eastAsia="Calibri" w:cs="Tahoma"/>
          <w:iCs/>
          <w:lang w:eastAsia="es-ES_tradnl"/>
        </w:rPr>
      </w:pPr>
      <w:r w:rsidRPr="00C56550">
        <w:rPr>
          <w:rFonts w:eastAsia="Calibri" w:cs="Tahoma"/>
          <w:iCs/>
          <w:lang w:val="es-ES" w:eastAsia="es-ES_tradnl"/>
        </w:rPr>
        <w:t>Comercio al por menor de productos naturistas, medicamentos homeopáticos y de complementos alimenticios</w:t>
      </w:r>
      <w:r w:rsidRPr="00C56550">
        <w:rPr>
          <w:rFonts w:eastAsia="Calibri" w:cs="Tahoma"/>
          <w:iCs/>
          <w:lang w:eastAsia="es-ES_tradnl"/>
        </w:rPr>
        <w:t>;</w:t>
      </w:r>
    </w:p>
    <w:p w:rsidRPr="00C56550" w:rsidR="00C56550" w:rsidP="004C6617" w:rsidRDefault="00C56550" w14:paraId="1B251FF4" w14:textId="77777777">
      <w:pPr>
        <w:numPr>
          <w:ilvl w:val="0"/>
          <w:numId w:val="14"/>
        </w:numPr>
        <w:tabs>
          <w:tab w:val="center" w:pos="4522"/>
        </w:tabs>
        <w:spacing w:after="0" w:line="360" w:lineRule="auto"/>
        <w:contextualSpacing/>
        <w:rPr>
          <w:rFonts w:eastAsia="Calibri" w:cs="Tahoma"/>
          <w:iCs/>
          <w:lang w:eastAsia="es-ES_tradnl"/>
        </w:rPr>
      </w:pPr>
      <w:r w:rsidRPr="00C56550">
        <w:rPr>
          <w:rFonts w:eastAsia="Calibri" w:cs="Tahoma"/>
          <w:iCs/>
          <w:lang w:val="es-ES" w:eastAsia="es-ES_tradnl"/>
        </w:rPr>
        <w:t>Servicios veterinarios para mascotas prestados por el sector privado</w:t>
      </w:r>
      <w:r w:rsidRPr="00C56550">
        <w:rPr>
          <w:rFonts w:eastAsia="Calibri" w:cs="Tahoma"/>
          <w:iCs/>
          <w:lang w:eastAsia="es-ES_tradnl"/>
        </w:rPr>
        <w:t>;</w:t>
      </w:r>
    </w:p>
    <w:p w:rsidRPr="00C56550" w:rsidR="00C56550" w:rsidP="004C6617" w:rsidRDefault="00C56550" w14:paraId="7A478697" w14:textId="77777777">
      <w:pPr>
        <w:numPr>
          <w:ilvl w:val="0"/>
          <w:numId w:val="14"/>
        </w:numPr>
        <w:tabs>
          <w:tab w:val="center" w:pos="4522"/>
        </w:tabs>
        <w:spacing w:after="0" w:line="360" w:lineRule="auto"/>
        <w:contextualSpacing/>
        <w:rPr>
          <w:rFonts w:eastAsia="Calibri" w:cs="Tahoma"/>
          <w:iCs/>
          <w:lang w:eastAsia="es-ES_tradnl"/>
        </w:rPr>
      </w:pPr>
      <w:r w:rsidRPr="00C56550">
        <w:rPr>
          <w:rFonts w:eastAsia="Calibri" w:cs="Tahoma"/>
          <w:iCs/>
          <w:lang w:val="es-ES" w:eastAsia="es-ES_tradnl"/>
        </w:rPr>
        <w:t>Servicios veterinarios para mascotas prestados por el sector público</w:t>
      </w:r>
      <w:r w:rsidRPr="00C56550">
        <w:rPr>
          <w:rFonts w:eastAsia="Calibri" w:cs="Tahoma"/>
          <w:iCs/>
          <w:lang w:eastAsia="es-ES_tradnl"/>
        </w:rPr>
        <w:t>;</w:t>
      </w:r>
    </w:p>
    <w:p w:rsidRPr="00C56550" w:rsidR="00C56550" w:rsidP="004C6617" w:rsidRDefault="00C56550" w14:paraId="25033C7A" w14:textId="77777777">
      <w:pPr>
        <w:numPr>
          <w:ilvl w:val="0"/>
          <w:numId w:val="14"/>
        </w:numPr>
        <w:tabs>
          <w:tab w:val="center" w:pos="4522"/>
        </w:tabs>
        <w:spacing w:after="0" w:line="360" w:lineRule="auto"/>
        <w:contextualSpacing/>
        <w:rPr>
          <w:rFonts w:eastAsia="Calibri" w:cs="Tahoma"/>
          <w:iCs/>
          <w:lang w:eastAsia="es-ES_tradnl"/>
        </w:rPr>
      </w:pPr>
      <w:r w:rsidRPr="00C56550">
        <w:rPr>
          <w:rFonts w:eastAsia="Calibri" w:cs="Tahoma"/>
          <w:iCs/>
          <w:lang w:val="es-ES" w:eastAsia="es-ES_tradnl"/>
        </w:rPr>
        <w:t>Consultorios de medicina especializada del sector privado</w:t>
      </w:r>
      <w:r w:rsidRPr="00C56550">
        <w:rPr>
          <w:rFonts w:eastAsia="Calibri" w:cs="Tahoma"/>
          <w:iCs/>
          <w:lang w:eastAsia="es-ES_tradnl"/>
        </w:rPr>
        <w:t>;</w:t>
      </w:r>
    </w:p>
    <w:p w:rsidRPr="00C56550" w:rsidR="00C56550" w:rsidP="004C6617" w:rsidRDefault="00C56550" w14:paraId="0833E446" w14:textId="77777777">
      <w:pPr>
        <w:numPr>
          <w:ilvl w:val="0"/>
          <w:numId w:val="14"/>
        </w:numPr>
        <w:tabs>
          <w:tab w:val="center" w:pos="4522"/>
        </w:tabs>
        <w:spacing w:after="0" w:line="360" w:lineRule="auto"/>
        <w:contextualSpacing/>
        <w:rPr>
          <w:rFonts w:eastAsia="Calibri" w:cs="Tahoma"/>
          <w:iCs/>
          <w:lang w:eastAsia="es-ES_tradnl"/>
        </w:rPr>
      </w:pPr>
      <w:r w:rsidRPr="00C56550">
        <w:rPr>
          <w:rFonts w:eastAsia="Calibri" w:cs="Tahoma"/>
          <w:iCs/>
          <w:lang w:val="es-ES" w:eastAsia="es-ES_tradnl"/>
        </w:rPr>
        <w:t>Consultorios de medicina especializada del sector público</w:t>
      </w:r>
      <w:r w:rsidRPr="00C56550">
        <w:rPr>
          <w:rFonts w:eastAsia="Calibri" w:cs="Tahoma"/>
          <w:iCs/>
          <w:lang w:eastAsia="es-ES_tradnl"/>
        </w:rPr>
        <w:t>;</w:t>
      </w:r>
    </w:p>
    <w:p w:rsidRPr="00C56550" w:rsidR="00C56550" w:rsidP="004C6617" w:rsidRDefault="00C56550" w14:paraId="49C8FDA3" w14:textId="0608E1BF">
      <w:pPr>
        <w:numPr>
          <w:ilvl w:val="0"/>
          <w:numId w:val="14"/>
        </w:numPr>
        <w:tabs>
          <w:tab w:val="center" w:pos="4522"/>
        </w:tabs>
        <w:spacing w:after="0" w:line="360" w:lineRule="auto"/>
        <w:contextualSpacing/>
        <w:rPr>
          <w:rFonts w:eastAsia="Calibri" w:cs="Tahoma"/>
          <w:iCs/>
          <w:lang w:eastAsia="es-ES_tradnl"/>
        </w:rPr>
      </w:pPr>
      <w:r w:rsidRPr="00C56550">
        <w:rPr>
          <w:rFonts w:eastAsia="Calibri" w:cs="Tahoma"/>
          <w:iCs/>
          <w:lang w:val="es-ES" w:eastAsia="es-ES_tradnl"/>
        </w:rPr>
        <w:t>Consultorios de medicina general del sector privado</w:t>
      </w:r>
      <w:r w:rsidR="00E81D49">
        <w:rPr>
          <w:rFonts w:eastAsia="Calibri" w:cs="Tahoma"/>
          <w:iCs/>
          <w:lang w:eastAsia="es-ES_tradnl"/>
        </w:rPr>
        <w:t>, y</w:t>
      </w:r>
    </w:p>
    <w:p w:rsidRPr="00C56550" w:rsidR="00C56550" w:rsidP="004C6617" w:rsidRDefault="00C56550" w14:paraId="3EB73680" w14:textId="4483CDB1">
      <w:pPr>
        <w:numPr>
          <w:ilvl w:val="0"/>
          <w:numId w:val="14"/>
        </w:numPr>
        <w:tabs>
          <w:tab w:val="center" w:pos="4522"/>
        </w:tabs>
        <w:spacing w:after="0" w:line="360" w:lineRule="auto"/>
        <w:contextualSpacing/>
        <w:rPr>
          <w:rFonts w:eastAsia="Calibri" w:cs="Tahoma"/>
          <w:iCs/>
          <w:lang w:eastAsia="es-ES_tradnl"/>
        </w:rPr>
      </w:pPr>
      <w:r w:rsidRPr="00C56550">
        <w:rPr>
          <w:rFonts w:eastAsia="Calibri" w:cs="Tahoma"/>
          <w:iCs/>
          <w:lang w:val="es-ES" w:eastAsia="es-ES_tradnl"/>
        </w:rPr>
        <w:t>Consultorios de medicina general del</w:t>
      </w:r>
      <w:r w:rsidR="00E81D49">
        <w:rPr>
          <w:rFonts w:eastAsia="Calibri" w:cs="Tahoma"/>
          <w:iCs/>
          <w:lang w:val="es-ES" w:eastAsia="es-ES_tradnl"/>
        </w:rPr>
        <w:t xml:space="preserve"> sector público.</w:t>
      </w:r>
    </w:p>
    <w:p w:rsidRPr="00C56550" w:rsidR="00C56550" w:rsidP="004C6617" w:rsidRDefault="00C56550" w14:paraId="15B28FA3" w14:textId="77777777">
      <w:pPr>
        <w:spacing w:after="0" w:line="360" w:lineRule="auto"/>
        <w:rPr>
          <w:rFonts w:eastAsia="Times New Roman" w:cs="Tahoma"/>
          <w:iCs/>
          <w:color w:val="auto"/>
          <w:lang w:val="es-ES" w:eastAsia="es-ES"/>
        </w:rPr>
      </w:pPr>
    </w:p>
    <w:p w:rsidRPr="00C56550" w:rsidR="00C56550" w:rsidP="004C6617" w:rsidRDefault="00C56550" w14:paraId="7E3D3076" w14:textId="284F65DF">
      <w:pPr>
        <w:spacing w:after="0" w:line="360" w:lineRule="auto"/>
        <w:rPr>
          <w:rFonts w:eastAsia="Times New Roman" w:cs="Tahoma"/>
          <w:bCs/>
          <w:color w:val="0D0D0D" w:themeColor="text1" w:themeTint="F2"/>
          <w:lang w:eastAsia="es-ES"/>
        </w:rPr>
      </w:pPr>
      <w:r w:rsidRPr="00C56550">
        <w:rPr>
          <w:rFonts w:eastAsia="Times New Roman" w:cs="Tahoma"/>
          <w:bCs/>
          <w:color w:val="0D0D0D" w:themeColor="text1" w:themeTint="F2"/>
          <w:lang w:eastAsia="es-ES"/>
        </w:rPr>
        <w:t xml:space="preserve">Ahora bien, </w:t>
      </w:r>
      <w:r w:rsidR="00214A6A">
        <w:rPr>
          <w:rFonts w:eastAsia="Times New Roman" w:cs="Tahoma"/>
          <w:bCs/>
          <w:color w:val="0D0D0D" w:themeColor="text1" w:themeTint="F2"/>
          <w:lang w:eastAsia="es-ES"/>
        </w:rPr>
        <w:t>la Dirección de Desarrollo Económico</w:t>
      </w:r>
      <w:r w:rsidRPr="00C56550">
        <w:rPr>
          <w:rFonts w:eastAsia="Times New Roman" w:cs="Tahoma"/>
          <w:bCs/>
          <w:color w:val="0D0D0D" w:themeColor="text1" w:themeTint="F2"/>
          <w:lang w:eastAsia="es-ES"/>
        </w:rPr>
        <w:t xml:space="preserve"> precisó que </w:t>
      </w:r>
      <w:r w:rsidR="00214A6A">
        <w:rPr>
          <w:rFonts w:eastAsia="Times New Roman" w:cs="Tahoma"/>
          <w:bCs/>
          <w:color w:val="0D0D0D" w:themeColor="text1" w:themeTint="F2"/>
          <w:lang w:eastAsia="es-ES"/>
        </w:rPr>
        <w:t xml:space="preserve">la información solicitada era confidencial, en términos del artículo 40 </w:t>
      </w:r>
      <w:r w:rsidR="00EB79F1">
        <w:rPr>
          <w:rFonts w:eastAsia="Times New Roman" w:cs="Tahoma"/>
          <w:bCs/>
          <w:color w:val="0D0D0D" w:themeColor="text1" w:themeTint="F2"/>
          <w:lang w:eastAsia="es-ES"/>
        </w:rPr>
        <w:t>de la Ley de Protección de Datos Personales en Posesión de Sujetos Obligados del Estado de México y Municipios; es decir aludió a que estaba clasificada.</w:t>
      </w:r>
    </w:p>
    <w:p w:rsidR="00605283" w:rsidP="004C6617" w:rsidRDefault="00605283" w14:paraId="219AE844" w14:textId="77777777">
      <w:pPr>
        <w:spacing w:after="0" w:line="360" w:lineRule="auto"/>
        <w:rPr>
          <w:rFonts w:eastAsia="Times New Roman" w:cs="Tahoma"/>
          <w:iCs/>
          <w:color w:val="auto"/>
          <w:lang w:val="es-ES" w:eastAsia="es-ES"/>
        </w:rPr>
      </w:pPr>
    </w:p>
    <w:p w:rsidRPr="00D91955" w:rsidR="00D91955" w:rsidP="004C6617" w:rsidRDefault="00D91955" w14:paraId="506CD0EF" w14:textId="77777777">
      <w:pPr>
        <w:spacing w:after="0" w:line="360" w:lineRule="auto"/>
        <w:rPr>
          <w:rFonts w:cs="Tahoma"/>
          <w:b/>
          <w:bCs/>
          <w:iCs/>
        </w:rPr>
      </w:pPr>
      <w:r w:rsidRPr="00D91955">
        <w:rPr>
          <w:rFonts w:cs="Tahoma"/>
          <w:bCs/>
          <w:iCs/>
        </w:rPr>
        <w:t xml:space="preserve">Al respecto, cabe precisar, que conforme al artículo 20 de la Ley de Transparencia y Acceso a la Información Pública del Estado de México y Municipios, </w:t>
      </w:r>
      <w:r w:rsidRPr="00D91955">
        <w:rPr>
          <w:rFonts w:cs="Tahoma"/>
          <w:b/>
          <w:bCs/>
          <w:iCs/>
        </w:rPr>
        <w:t>ante la negativa de acceso a la información o su inexistencia, el sujeto obligado deberá demostrar que encuentra en alguna de las excepciones establecidas en la normatividad aplicable.</w:t>
      </w:r>
    </w:p>
    <w:p w:rsidRPr="00D91955" w:rsidR="00D91955" w:rsidP="004C6617" w:rsidRDefault="00D91955" w14:paraId="79984F57" w14:textId="77777777">
      <w:pPr>
        <w:spacing w:after="0" w:line="360" w:lineRule="auto"/>
        <w:rPr>
          <w:rFonts w:cs="Tahoma"/>
          <w:bCs/>
          <w:iCs/>
        </w:rPr>
      </w:pPr>
    </w:p>
    <w:p w:rsidRPr="00D91955" w:rsidR="00D91955" w:rsidP="004C6617" w:rsidRDefault="00D91955" w14:paraId="6328B9BC" w14:textId="77777777">
      <w:pPr>
        <w:spacing w:after="0" w:line="360" w:lineRule="auto"/>
        <w:rPr>
          <w:rFonts w:cs="Tahoma"/>
          <w:bCs/>
          <w:iCs/>
        </w:rPr>
      </w:pPr>
      <w:r w:rsidRPr="00D91955">
        <w:rPr>
          <w:rFonts w:cs="Tahoma"/>
          <w:bCs/>
          <w:iCs/>
        </w:rPr>
        <w:lastRenderedPageBreak/>
        <w:t xml:space="preserve">En ese sentido, según Trujillo, Humberto (2019), en el “Diccionario de Transparencia y Acceso a la Información Pública” (p. 201), </w:t>
      </w:r>
      <w:r w:rsidRPr="00D91955">
        <w:rPr>
          <w:rFonts w:cs="Tahoma"/>
          <w:b/>
          <w:bCs/>
          <w:iCs/>
        </w:rPr>
        <w:t xml:space="preserve">la negativa de acceso a la información </w:t>
      </w:r>
      <w:r w:rsidRPr="00D91955">
        <w:rPr>
          <w:rFonts w:cs="Tahoma"/>
          <w:bCs/>
          <w:iCs/>
        </w:rPr>
        <w:t xml:space="preserve">ocurre cuanto de manera fundada y motivada, una autoridad la niega o la limita, por alguna de las siguientes razones: </w:t>
      </w:r>
    </w:p>
    <w:p w:rsidRPr="00D91955" w:rsidR="00D91955" w:rsidP="004C6617" w:rsidRDefault="00D91955" w14:paraId="2C6A4853" w14:textId="77777777">
      <w:pPr>
        <w:spacing w:after="0" w:line="360" w:lineRule="auto"/>
        <w:rPr>
          <w:rFonts w:cs="Tahoma"/>
          <w:bCs/>
          <w:iCs/>
        </w:rPr>
      </w:pPr>
    </w:p>
    <w:p w:rsidRPr="00D91955" w:rsidR="00D91955" w:rsidP="004C6617" w:rsidRDefault="00D91955" w14:paraId="046568A1" w14:textId="77777777">
      <w:pPr>
        <w:numPr>
          <w:ilvl w:val="0"/>
          <w:numId w:val="15"/>
        </w:numPr>
        <w:spacing w:after="0" w:line="360" w:lineRule="auto"/>
        <w:rPr>
          <w:rFonts w:cs="Tahoma"/>
          <w:b/>
          <w:bCs/>
          <w:iCs/>
        </w:rPr>
      </w:pPr>
      <w:r w:rsidRPr="00D91955">
        <w:rPr>
          <w:rFonts w:cs="Tahoma"/>
          <w:b/>
          <w:bCs/>
          <w:iCs/>
        </w:rPr>
        <w:t xml:space="preserve">La inexistencia de la información (p. 171): </w:t>
      </w:r>
      <w:r w:rsidRPr="00D91955">
        <w:rPr>
          <w:rFonts w:cs="Tahoma"/>
          <w:bCs/>
          <w:iCs/>
        </w:rPr>
        <w:t>Sucede cuando la información solicitada no se encuentra en los archivos públicos o clasificados de los entes sujetos a las Leyes de Transparencia.</w:t>
      </w:r>
    </w:p>
    <w:p w:rsidRPr="00D91955" w:rsidR="00D91955" w:rsidP="004C6617" w:rsidRDefault="00D91955" w14:paraId="416B9F1C" w14:textId="77777777">
      <w:pPr>
        <w:spacing w:after="0" w:line="360" w:lineRule="auto"/>
        <w:rPr>
          <w:rFonts w:cs="Tahoma"/>
          <w:b/>
          <w:bCs/>
          <w:iCs/>
        </w:rPr>
      </w:pPr>
    </w:p>
    <w:p w:rsidRPr="00D91955" w:rsidR="00D91955" w:rsidP="004C6617" w:rsidRDefault="00D91955" w14:paraId="58C3DEF8" w14:textId="77777777">
      <w:pPr>
        <w:numPr>
          <w:ilvl w:val="0"/>
          <w:numId w:val="15"/>
        </w:numPr>
        <w:spacing w:after="0" w:line="360" w:lineRule="auto"/>
        <w:rPr>
          <w:rFonts w:cs="Tahoma"/>
          <w:b/>
          <w:bCs/>
          <w:iCs/>
        </w:rPr>
      </w:pPr>
      <w:r w:rsidRPr="00D91955">
        <w:rPr>
          <w:rFonts w:cs="Tahoma"/>
          <w:b/>
          <w:bCs/>
          <w:iCs/>
        </w:rPr>
        <w:t xml:space="preserve">La incompetencia del Sujeto Obligado (p. 171): </w:t>
      </w:r>
      <w:r w:rsidRPr="00D91955">
        <w:rPr>
          <w:rFonts w:cs="Tahoma"/>
          <w:bCs/>
          <w:iCs/>
        </w:rPr>
        <w:t>Ocurre cuando el Sujeto Obligado carece de atribuciones para poseer la información peticionada.</w:t>
      </w:r>
    </w:p>
    <w:p w:rsidRPr="00D91955" w:rsidR="00D91955" w:rsidP="004C6617" w:rsidRDefault="00D91955" w14:paraId="6D4DBC36" w14:textId="77777777">
      <w:pPr>
        <w:spacing w:after="0" w:line="360" w:lineRule="auto"/>
        <w:rPr>
          <w:rFonts w:cs="Tahoma"/>
          <w:b/>
          <w:bCs/>
          <w:iCs/>
        </w:rPr>
      </w:pPr>
    </w:p>
    <w:p w:rsidRPr="00D91955" w:rsidR="00D91955" w:rsidP="004C6617" w:rsidRDefault="00D91955" w14:paraId="5A3A67F0" w14:textId="77777777">
      <w:pPr>
        <w:numPr>
          <w:ilvl w:val="0"/>
          <w:numId w:val="15"/>
        </w:numPr>
        <w:spacing w:after="0" w:line="360" w:lineRule="auto"/>
        <w:rPr>
          <w:rFonts w:cs="Tahoma"/>
          <w:b/>
          <w:bCs/>
          <w:iCs/>
        </w:rPr>
      </w:pPr>
      <w:r w:rsidRPr="00D91955">
        <w:rPr>
          <w:rFonts w:cs="Tahoma"/>
          <w:b/>
          <w:bCs/>
          <w:iCs/>
        </w:rPr>
        <w:t xml:space="preserve">La clasificación de la información (p. 70): </w:t>
      </w:r>
      <w:r w:rsidRPr="00D91955">
        <w:rPr>
          <w:rFonts w:cs="Tahoma"/>
          <w:bCs/>
          <w:iCs/>
        </w:rPr>
        <w:t>Es el proceso o conjunto de acciones que realizan los sujetos obligados para establecer que determinada información se encuentra en alguno de los supuestos de reserva o confidencialidad establecidos en la legislación en materia de transparencia.</w:t>
      </w:r>
    </w:p>
    <w:p w:rsidRPr="00D91955" w:rsidR="00D91955" w:rsidP="004C6617" w:rsidRDefault="00D91955" w14:paraId="0DB25A00" w14:textId="77777777">
      <w:pPr>
        <w:spacing w:after="0" w:line="360" w:lineRule="auto"/>
        <w:rPr>
          <w:rFonts w:cs="Tahoma"/>
          <w:bCs/>
          <w:iCs/>
        </w:rPr>
      </w:pPr>
    </w:p>
    <w:p w:rsidRPr="00D91955" w:rsidR="00D91955" w:rsidP="004C6617" w:rsidRDefault="00D91955" w14:paraId="0E33767D" w14:textId="77777777">
      <w:pPr>
        <w:spacing w:after="0" w:line="360" w:lineRule="auto"/>
        <w:rPr>
          <w:rFonts w:cs="Tahoma"/>
          <w:b/>
          <w:bCs/>
          <w:iCs/>
          <w:lang w:val="es-ES"/>
        </w:rPr>
      </w:pPr>
      <w:r w:rsidRPr="00D91955">
        <w:rPr>
          <w:rFonts w:cs="Tahoma"/>
          <w:bCs/>
          <w:iCs/>
        </w:rPr>
        <w:t>En ese orden de ideas y en atención a lo anterior, es de señalar que l</w:t>
      </w:r>
      <w:r w:rsidRPr="00D91955">
        <w:rPr>
          <w:rFonts w:cs="Tahoma"/>
          <w:bCs/>
          <w:iCs/>
          <w:lang w:val="es-ES"/>
        </w:rPr>
        <w:t xml:space="preserve">as excepciones al derecho de acceso a la información, consisten en que la documentación sea inexistente, </w:t>
      </w:r>
      <w:r w:rsidRPr="00D91955">
        <w:rPr>
          <w:rFonts w:cs="Tahoma"/>
          <w:b/>
          <w:bCs/>
          <w:iCs/>
          <w:lang w:val="es-ES"/>
        </w:rPr>
        <w:t>se encuentre clasificada</w:t>
      </w:r>
      <w:r w:rsidRPr="00D91955">
        <w:rPr>
          <w:rFonts w:cs="Tahoma"/>
          <w:bCs/>
          <w:iCs/>
          <w:lang w:val="es-ES"/>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D91955">
        <w:rPr>
          <w:rFonts w:cs="Tahoma"/>
          <w:b/>
          <w:bCs/>
          <w:iCs/>
          <w:lang w:val="es-ES"/>
        </w:rPr>
        <w:t>confidenciales o reservados.</w:t>
      </w:r>
    </w:p>
    <w:p w:rsidRPr="00D91955" w:rsidR="00D91955" w:rsidP="004C6617" w:rsidRDefault="00D91955" w14:paraId="67554DA2" w14:textId="77777777">
      <w:pPr>
        <w:spacing w:after="0" w:line="360" w:lineRule="auto"/>
        <w:rPr>
          <w:rFonts w:cs="Tahoma"/>
          <w:bCs/>
          <w:iCs/>
          <w:lang w:val="es-ES"/>
        </w:rPr>
      </w:pPr>
    </w:p>
    <w:p w:rsidRPr="00D91955" w:rsidR="00D91955" w:rsidP="004C6617" w:rsidRDefault="00D91955" w14:paraId="4E9030D8" w14:textId="77777777">
      <w:pPr>
        <w:spacing w:after="0" w:line="360" w:lineRule="auto"/>
        <w:rPr>
          <w:rFonts w:cs="Tahoma"/>
          <w:bCs/>
          <w:iCs/>
          <w:lang w:val="es-ES"/>
        </w:rPr>
      </w:pPr>
      <w:r w:rsidRPr="00D91955">
        <w:rPr>
          <w:rFonts w:cs="Tahoma"/>
          <w:bCs/>
          <w:iCs/>
        </w:rPr>
        <w:t xml:space="preserve">Así, en los artículos 122, 128 y 130 de la Ley Transparencia y Acceso a la Información Pública del Estado de México y Municipios, se prevé que </w:t>
      </w:r>
      <w:r w:rsidRPr="00D91955">
        <w:rPr>
          <w:rFonts w:cs="Tahoma"/>
          <w:b/>
          <w:bCs/>
          <w:iCs/>
        </w:rPr>
        <w:t xml:space="preserve">la clasificación </w:t>
      </w:r>
      <w:r w:rsidRPr="00D91955">
        <w:rPr>
          <w:rFonts w:cs="Tahoma"/>
          <w:bCs/>
          <w:iCs/>
        </w:rPr>
        <w:t xml:space="preserve">es el proceso mediante el cual los sujetos obligados determinan que la información en su poder, actualiza alguno de los </w:t>
      </w:r>
      <w:r w:rsidRPr="00D91955">
        <w:rPr>
          <w:rFonts w:cs="Tahoma"/>
          <w:bCs/>
          <w:iCs/>
        </w:rPr>
        <w:lastRenderedPageBreak/>
        <w:t xml:space="preserve">supuestos de reserva o confidencialidad. </w:t>
      </w:r>
      <w:r w:rsidRPr="00D91955">
        <w:rPr>
          <w:rFonts w:cs="Tahoma"/>
          <w:bCs/>
          <w:iCs/>
          <w:lang w:val="es-ES"/>
        </w:rPr>
        <w:t>Además, que dichos entes deberán aplicar de manera restrictiva y limitada, las excepciones al derecho de acceso a la información, por lo que, tendrán que acreditar la procedencia.</w:t>
      </w:r>
    </w:p>
    <w:p w:rsidR="00C56550" w:rsidP="004C6617" w:rsidRDefault="00C56550" w14:paraId="46D29B92" w14:textId="77777777">
      <w:pPr>
        <w:spacing w:after="0" w:line="360" w:lineRule="auto"/>
        <w:rPr>
          <w:rFonts w:eastAsia="Times New Roman" w:cs="Tahoma"/>
          <w:iCs/>
          <w:color w:val="auto"/>
          <w:lang w:val="es-ES" w:eastAsia="es-ES"/>
        </w:rPr>
      </w:pPr>
    </w:p>
    <w:p w:rsidRPr="007D297C" w:rsidR="007D297C" w:rsidP="004C6617" w:rsidRDefault="007D297C" w14:paraId="5FB6966A" w14:textId="77777777">
      <w:pPr>
        <w:spacing w:after="0" w:line="360" w:lineRule="auto"/>
        <w:rPr>
          <w:rFonts w:eastAsia="Times New Roman" w:cs="Tahoma"/>
          <w:color w:val="auto"/>
          <w:lang w:val="es-ES" w:eastAsia="es-MX"/>
        </w:rPr>
      </w:pPr>
      <w:r w:rsidRPr="007D297C">
        <w:rPr>
          <w:rFonts w:eastAsia="Times New Roman" w:cs="Tahoma"/>
          <w:color w:val="auto"/>
          <w:lang w:val="es-ES" w:eastAsia="es-MX"/>
        </w:rPr>
        <w:t xml:space="preserve">Por lo cual, en los casos en que se niegue el acceso a la información, por actualizarse alguno de los supuestos de clasificación, </w:t>
      </w:r>
      <w:r w:rsidRPr="007D297C">
        <w:rPr>
          <w:rFonts w:eastAsia="Times New Roman" w:cs="Tahoma"/>
          <w:b/>
          <w:color w:val="auto"/>
          <w:lang w:val="es-ES" w:eastAsia="es-MX"/>
        </w:rPr>
        <w:t xml:space="preserve">el Comité de Transparencia deberá confirmar, modificar o revocar la decisión; </w:t>
      </w:r>
      <w:r w:rsidRPr="007D297C">
        <w:rPr>
          <w:rFonts w:eastAsia="Times New Roman" w:cs="Tahoma"/>
          <w:color w:val="auto"/>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Pr="007D297C" w:rsidR="007D297C" w:rsidP="004C6617" w:rsidRDefault="007D297C" w14:paraId="7AB541FC" w14:textId="77777777">
      <w:pPr>
        <w:spacing w:after="0" w:line="360" w:lineRule="auto"/>
        <w:rPr>
          <w:rFonts w:eastAsia="Times New Roman" w:cs="Tahoma"/>
          <w:color w:val="auto"/>
          <w:lang w:val="es-ES" w:eastAsia="es-MX"/>
        </w:rPr>
      </w:pPr>
    </w:p>
    <w:p w:rsidRPr="007D297C" w:rsidR="007D297C" w:rsidP="004C6617" w:rsidRDefault="007D297C" w14:paraId="16B16CD1" w14:textId="77777777">
      <w:pPr>
        <w:spacing w:after="0" w:line="360" w:lineRule="auto"/>
        <w:rPr>
          <w:rFonts w:eastAsia="Times New Roman" w:cs="Arial"/>
          <w:b/>
          <w:bCs/>
          <w:color w:val="auto"/>
          <w:lang w:eastAsia="es-ES"/>
        </w:rPr>
      </w:pPr>
      <w:r w:rsidRPr="007D297C">
        <w:rPr>
          <w:rFonts w:eastAsia="Times New Roman" w:cs="Tahoma"/>
          <w:color w:val="auto"/>
          <w:lang w:val="es-ES" w:eastAsia="es-ES"/>
        </w:rPr>
        <w:t xml:space="preserve">Por su parte, </w:t>
      </w:r>
      <w:r w:rsidRPr="007D297C">
        <w:rPr>
          <w:rFonts w:eastAsia="Times New Roman" w:cs="Arial"/>
          <w:bCs/>
          <w:color w:val="auto"/>
          <w:lang w:eastAsia="es-ES"/>
        </w:rPr>
        <w:t xml:space="preserve">según </w:t>
      </w:r>
      <w:proofErr w:type="spellStart"/>
      <w:r w:rsidRPr="007D297C">
        <w:rPr>
          <w:rFonts w:eastAsia="Times New Roman" w:cs="Arial"/>
          <w:bCs/>
          <w:color w:val="auto"/>
          <w:lang w:eastAsia="es-ES"/>
        </w:rPr>
        <w:t>Bonifaz</w:t>
      </w:r>
      <w:proofErr w:type="spellEnd"/>
      <w:r w:rsidRPr="007D297C">
        <w:rPr>
          <w:rFonts w:eastAsia="Times New Roman" w:cs="Arial"/>
          <w:bCs/>
          <w:color w:val="auto"/>
          <w:lang w:eastAsia="es-ES"/>
        </w:rPr>
        <w:t xml:space="preserve">, Leticia (2016), en la “Ley General de Transparencia y Acceso a la Información Pública Comentada” (p. 342), la </w:t>
      </w:r>
      <w:r w:rsidRPr="007D297C">
        <w:rPr>
          <w:rFonts w:eastAsia="Times New Roman" w:cs="Arial"/>
          <w:b/>
          <w:bCs/>
          <w:color w:val="auto"/>
          <w:lang w:eastAsia="es-ES"/>
        </w:rPr>
        <w:t>clasificación de la información</w:t>
      </w:r>
      <w:r w:rsidRPr="007D297C">
        <w:rPr>
          <w:rFonts w:eastAsia="Times New Roman" w:cs="Arial"/>
          <w:bCs/>
          <w:color w:val="auto"/>
          <w:lang w:eastAsia="es-E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7D297C">
        <w:rPr>
          <w:rFonts w:eastAsia="Times New Roman" w:cs="Arial"/>
          <w:b/>
          <w:bCs/>
          <w:color w:val="auto"/>
          <w:lang w:eastAsia="es-ES"/>
        </w:rPr>
        <w:t>de manera adecuada la negativa de información.</w:t>
      </w:r>
    </w:p>
    <w:p w:rsidRPr="007D297C" w:rsidR="007D297C" w:rsidP="004C6617" w:rsidRDefault="007D297C" w14:paraId="2FA8429A" w14:textId="77777777">
      <w:pPr>
        <w:spacing w:after="0" w:line="360" w:lineRule="auto"/>
        <w:rPr>
          <w:rFonts w:eastAsia="Calibri" w:cs="Tahoma"/>
          <w:bCs/>
          <w:color w:val="auto"/>
        </w:rPr>
      </w:pPr>
    </w:p>
    <w:p w:rsidRPr="007D297C" w:rsidR="007D297C" w:rsidP="004C6617" w:rsidRDefault="007D297C" w14:paraId="650FDC05" w14:textId="77777777">
      <w:pPr>
        <w:spacing w:after="0" w:line="360" w:lineRule="auto"/>
        <w:rPr>
          <w:rFonts w:eastAsia="Calibri" w:cs="Tahoma"/>
          <w:bCs/>
          <w:color w:val="auto"/>
        </w:rPr>
      </w:pPr>
      <w:r w:rsidRPr="007D297C">
        <w:rPr>
          <w:rFonts w:eastAsia="Calibri" w:cs="Tahoma"/>
          <w:bCs/>
          <w:color w:val="auto"/>
        </w:rPr>
        <w:t>Conforme a lo anterior, se negó parcialmente el acceso a la información peticionada, al testar determinados datos, al considerar que estaban clasificados, pues el Sujeto Obligado aludió a la causal de clasificación establecida en el artículo 143, fracción I, de la Ley de Transparencia y Acceso a la Información Pública del Estado de México y Municipios.</w:t>
      </w:r>
    </w:p>
    <w:p w:rsidRPr="007D297C" w:rsidR="007D297C" w:rsidP="004C6617" w:rsidRDefault="007D297C" w14:paraId="2C788FFF" w14:textId="77777777">
      <w:pPr>
        <w:spacing w:after="0" w:line="360" w:lineRule="auto"/>
        <w:rPr>
          <w:rFonts w:eastAsia="Calibri" w:cs="Tahoma"/>
          <w:bCs/>
          <w:color w:val="auto"/>
        </w:rPr>
      </w:pPr>
    </w:p>
    <w:p w:rsidRPr="007D297C" w:rsidR="007D297C" w:rsidP="004C6617" w:rsidRDefault="007D297C" w14:paraId="2838FDDC" w14:textId="77777777">
      <w:pPr>
        <w:spacing w:after="0" w:line="360" w:lineRule="auto"/>
        <w:rPr>
          <w:rFonts w:eastAsia="Times New Roman" w:cs="Tahoma"/>
          <w:b/>
          <w:color w:val="auto"/>
          <w:lang w:eastAsia="es-ES"/>
        </w:rPr>
      </w:pPr>
      <w:r w:rsidRPr="007D297C">
        <w:rPr>
          <w:rFonts w:eastAsia="Times New Roman" w:cs="Tahoma"/>
          <w:color w:val="auto"/>
          <w:lang w:eastAsia="es-ES"/>
        </w:rPr>
        <w:t xml:space="preserve">En ese sentido, conforme al artículo 108 de la Ley General de Transparencia y Acceso a la Información Pública,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w:t>
      </w:r>
      <w:r w:rsidRPr="007D297C">
        <w:rPr>
          <w:rFonts w:eastAsia="Times New Roman" w:cs="Tahoma"/>
          <w:color w:val="auto"/>
          <w:lang w:eastAsia="es-ES"/>
        </w:rPr>
        <w:lastRenderedPageBreak/>
        <w:t xml:space="preserve">general que clasifiquen documentos o expedientes; por lo que, la clasificación de información se llevará a cabo mediante un </w:t>
      </w:r>
      <w:r w:rsidRPr="007D297C">
        <w:rPr>
          <w:rFonts w:eastAsia="Times New Roman" w:cs="Tahoma"/>
          <w:b/>
          <w:color w:val="auto"/>
          <w:lang w:eastAsia="es-ES"/>
        </w:rPr>
        <w:t>análisis caso por caso.</w:t>
      </w:r>
    </w:p>
    <w:p w:rsidRPr="007D297C" w:rsidR="007D297C" w:rsidP="004C6617" w:rsidRDefault="007D297C" w14:paraId="2D6F9AB1" w14:textId="77777777">
      <w:pPr>
        <w:spacing w:after="0" w:line="360" w:lineRule="auto"/>
        <w:rPr>
          <w:rFonts w:eastAsia="Times New Roman" w:cs="Tahoma"/>
          <w:b/>
          <w:color w:val="auto"/>
          <w:lang w:eastAsia="es-ES"/>
        </w:rPr>
      </w:pPr>
    </w:p>
    <w:p w:rsidRPr="007D297C" w:rsidR="007D297C" w:rsidP="004C6617" w:rsidRDefault="007D297C" w14:paraId="2D8E53DD" w14:textId="77777777">
      <w:pPr>
        <w:spacing w:after="0" w:line="360" w:lineRule="auto"/>
        <w:rPr>
          <w:rFonts w:eastAsia="Times New Roman" w:cs="Tahoma"/>
          <w:color w:val="auto"/>
          <w:lang w:eastAsia="es-ES"/>
        </w:rPr>
      </w:pPr>
      <w:r w:rsidRPr="007D297C">
        <w:rPr>
          <w:rFonts w:eastAsia="Times New Roman" w:cs="Tahoma"/>
          <w:color w:val="auto"/>
          <w:lang w:eastAsia="es-ES"/>
        </w:rPr>
        <w:t>Además, que la clasificación de la información, se llevará a cabo, en el momento, en que se reciba una solicitud de acceso a la información, de conformidad con el diverso 106, fracción I de la Ley General de Transparencia y Acceso a la Información Pública, el 132, fracción I de la Ley de Transparencia y Acceso a la Información Pública del Estado de México y Municipios y el Séptimo, fracción I, de los Lineamientos Generales.</w:t>
      </w:r>
    </w:p>
    <w:p w:rsidRPr="007D297C" w:rsidR="007D297C" w:rsidP="004C6617" w:rsidRDefault="007D297C" w14:paraId="48341DC6" w14:textId="77777777">
      <w:pPr>
        <w:spacing w:after="0" w:line="360" w:lineRule="auto"/>
        <w:rPr>
          <w:rFonts w:eastAsia="Times New Roman" w:cs="Tahoma"/>
          <w:b/>
          <w:color w:val="auto"/>
          <w:lang w:eastAsia="es-ES"/>
        </w:rPr>
      </w:pPr>
    </w:p>
    <w:p w:rsidRPr="007D297C" w:rsidR="007D297C" w:rsidP="004C6617" w:rsidRDefault="007D297C" w14:paraId="126722A1" w14:textId="77777777">
      <w:pPr>
        <w:spacing w:after="0" w:line="360" w:lineRule="auto"/>
        <w:rPr>
          <w:rFonts w:eastAsia="Times New Roman" w:cs="Tahoma"/>
          <w:color w:val="auto"/>
          <w:lang w:eastAsia="es-ES"/>
        </w:rPr>
      </w:pPr>
      <w:r w:rsidRPr="007D297C">
        <w:rPr>
          <w:rFonts w:eastAsia="Times New Roman" w:cs="Tahoma"/>
          <w:color w:val="auto"/>
          <w:lang w:eastAsia="es-ES"/>
        </w:rPr>
        <w:t xml:space="preserve">En ese orden de ideas, el artículo 105 de la Ley de General de Transparencia y Acceso a la Información Pública y 131 de la Ley de Transparencia y Acceso a la Información Pública del Estado de México y Municipios, así como el Quinto de los Lineamientos Generales, establecen que los sujetos obligados </w:t>
      </w:r>
      <w:r w:rsidRPr="007D297C">
        <w:rPr>
          <w:rFonts w:eastAsia="Times New Roman" w:cs="Tahoma"/>
          <w:b/>
          <w:color w:val="auto"/>
          <w:lang w:eastAsia="es-ES"/>
        </w:rPr>
        <w:t>deberán fundar y motivar</w:t>
      </w:r>
      <w:r w:rsidRPr="007D297C">
        <w:rPr>
          <w:rFonts w:eastAsia="Times New Roman" w:cs="Tahoma"/>
          <w:color w:val="auto"/>
          <w:lang w:eastAsia="es-ES"/>
        </w:rPr>
        <w:t xml:space="preserve"> debidamente la clasificación de la información.</w:t>
      </w:r>
    </w:p>
    <w:p w:rsidRPr="007D297C" w:rsidR="007D297C" w:rsidP="004C6617" w:rsidRDefault="007D297C" w14:paraId="19A82AF8" w14:textId="77777777">
      <w:pPr>
        <w:spacing w:after="0" w:line="360" w:lineRule="auto"/>
        <w:rPr>
          <w:rFonts w:eastAsia="Times New Roman" w:cs="Tahoma"/>
          <w:b/>
          <w:color w:val="auto"/>
          <w:lang w:eastAsia="es-ES"/>
        </w:rPr>
      </w:pPr>
    </w:p>
    <w:p w:rsidRPr="007D297C" w:rsidR="007D297C" w:rsidP="004C6617" w:rsidRDefault="007D297C" w14:paraId="63853393" w14:textId="77777777">
      <w:pPr>
        <w:spacing w:after="0" w:line="360" w:lineRule="auto"/>
        <w:rPr>
          <w:rFonts w:eastAsia="Times New Roman" w:cs="Tahoma"/>
          <w:bCs/>
          <w:iCs/>
          <w:color w:val="auto"/>
          <w:lang w:eastAsia="es-ES"/>
        </w:rPr>
      </w:pPr>
      <w:r w:rsidRPr="007D297C">
        <w:rPr>
          <w:rFonts w:eastAsia="Times New Roman" w:cs="Tahoma"/>
          <w:color w:val="auto"/>
          <w:lang w:eastAsia="es-ES"/>
        </w:rPr>
        <w:t>Al respecto, e</w:t>
      </w:r>
      <w:r w:rsidRPr="007D297C">
        <w:rPr>
          <w:rFonts w:eastAsia="Times New Roman" w:cs="Tahoma"/>
          <w:bCs/>
          <w:iCs/>
          <w:color w:val="auto"/>
          <w:lang w:eastAsia="es-ES"/>
        </w:rPr>
        <w:t>l Octavo de los Lineamientos Generales, precisa lo siguiente:</w:t>
      </w:r>
    </w:p>
    <w:p w:rsidRPr="007D297C" w:rsidR="007D297C" w:rsidP="004C6617" w:rsidRDefault="007D297C" w14:paraId="0818732F" w14:textId="77777777">
      <w:pPr>
        <w:spacing w:after="0" w:line="360" w:lineRule="auto"/>
        <w:rPr>
          <w:rFonts w:eastAsia="Times New Roman" w:cs="Tahoma"/>
          <w:bCs/>
          <w:iCs/>
          <w:color w:val="auto"/>
          <w:lang w:eastAsia="es-ES"/>
        </w:rPr>
      </w:pPr>
    </w:p>
    <w:p w:rsidRPr="007D297C" w:rsidR="007D297C" w:rsidP="004C6617" w:rsidRDefault="007D297C" w14:paraId="2D079151" w14:textId="77777777">
      <w:pPr>
        <w:numPr>
          <w:ilvl w:val="0"/>
          <w:numId w:val="16"/>
        </w:numPr>
        <w:spacing w:after="0" w:line="360" w:lineRule="auto"/>
        <w:jc w:val="left"/>
        <w:rPr>
          <w:rFonts w:eastAsia="Times New Roman" w:cs="Tahoma"/>
          <w:bCs/>
          <w:color w:val="auto"/>
          <w:lang w:eastAsia="es-ES"/>
        </w:rPr>
      </w:pPr>
      <w:r w:rsidRPr="007D297C">
        <w:rPr>
          <w:rFonts w:eastAsia="Times New Roman" w:cs="Tahoma"/>
          <w:b/>
          <w:bCs/>
          <w:color w:val="auto"/>
          <w:lang w:eastAsia="es-ES"/>
        </w:rPr>
        <w:t>Para fundar la clasificación</w:t>
      </w:r>
      <w:r w:rsidRPr="007D297C">
        <w:rPr>
          <w:rFonts w:eastAsia="Times New Roman" w:cs="Tahoma"/>
          <w:bCs/>
          <w:color w:val="auto"/>
          <w:lang w:eastAsia="es-ES"/>
        </w:rPr>
        <w:t xml:space="preserve"> de la información se deberán señalar el artículo, fracción, inciso, párrafo o numeral de la Ley aplicable;</w:t>
      </w:r>
    </w:p>
    <w:p w:rsidRPr="007D297C" w:rsidR="007D297C" w:rsidP="004C6617" w:rsidRDefault="007D297C" w14:paraId="165E8F98" w14:textId="77777777">
      <w:pPr>
        <w:numPr>
          <w:ilvl w:val="0"/>
          <w:numId w:val="16"/>
        </w:numPr>
        <w:spacing w:after="0" w:line="360" w:lineRule="auto"/>
        <w:jc w:val="left"/>
        <w:rPr>
          <w:rFonts w:eastAsia="Times New Roman" w:cs="Tahoma"/>
          <w:bCs/>
          <w:color w:val="auto"/>
          <w:lang w:eastAsia="es-ES"/>
        </w:rPr>
      </w:pPr>
      <w:r w:rsidRPr="007D297C">
        <w:rPr>
          <w:rFonts w:eastAsia="Times New Roman" w:cs="Tahoma"/>
          <w:b/>
          <w:bCs/>
          <w:color w:val="auto"/>
          <w:lang w:eastAsia="es-ES"/>
        </w:rPr>
        <w:t>Para motivar la clasificación</w:t>
      </w:r>
      <w:r w:rsidRPr="007D297C">
        <w:rPr>
          <w:rFonts w:eastAsia="Times New Roman" w:cs="Tahoma"/>
          <w:bCs/>
          <w:color w:val="auto"/>
          <w:lang w:eastAsia="es-E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Pr="007D297C" w:rsidR="007D297C" w:rsidP="004C6617" w:rsidRDefault="007D297C" w14:paraId="44B7726A" w14:textId="77777777">
      <w:pPr>
        <w:spacing w:after="0" w:line="360" w:lineRule="auto"/>
        <w:ind w:left="720"/>
        <w:contextualSpacing/>
        <w:jc w:val="left"/>
        <w:rPr>
          <w:rFonts w:eastAsia="Times New Roman" w:cs="Tahoma"/>
          <w:bCs/>
          <w:color w:val="auto"/>
          <w:lang w:eastAsia="es-ES"/>
        </w:rPr>
      </w:pPr>
    </w:p>
    <w:p w:rsidRPr="007D297C" w:rsidR="007D297C" w:rsidP="004C6617" w:rsidRDefault="007D297C" w14:paraId="4CAD2F30" w14:textId="77777777">
      <w:pPr>
        <w:spacing w:after="0" w:line="360" w:lineRule="auto"/>
        <w:rPr>
          <w:rFonts w:eastAsia="Times New Roman" w:cs="Tahoma"/>
          <w:color w:val="auto"/>
          <w:lang w:eastAsia="es-ES"/>
        </w:rPr>
      </w:pPr>
      <w:r w:rsidRPr="007D297C">
        <w:rPr>
          <w:rFonts w:eastAsia="Times New Roman" w:cs="Tahoma"/>
          <w:color w:val="auto"/>
          <w:lang w:eastAsia="es-ES"/>
        </w:rPr>
        <w:t xml:space="preserve">Lo anterior, toma sustento en la fracción VII, del artículo 1.8, del Código Administrativo del Estado de México, que establece que todo acto administrativo, </w:t>
      </w:r>
      <w:r w:rsidRPr="007D297C">
        <w:rPr>
          <w:rFonts w:eastAsia="Times New Roman" w:cs="Tahoma"/>
          <w:b/>
          <w:color w:val="auto"/>
          <w:lang w:eastAsia="es-ES"/>
        </w:rPr>
        <w:t>debe estar fundado y motivado,</w:t>
      </w:r>
      <w:r w:rsidRPr="007D297C">
        <w:rPr>
          <w:rFonts w:eastAsia="Times New Roman" w:cs="Tahoma"/>
          <w:color w:val="auto"/>
          <w:lang w:eastAsia="es-ES"/>
        </w:rPr>
        <w:t xml:space="preserve"> </w:t>
      </w:r>
      <w:r w:rsidRPr="007D297C">
        <w:rPr>
          <w:rFonts w:eastAsia="Times New Roman" w:cs="Tahoma"/>
          <w:color w:val="auto"/>
          <w:lang w:eastAsia="es-ES"/>
        </w:rPr>
        <w:lastRenderedPageBreak/>
        <w:t>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rsidRPr="007D297C" w:rsidR="007D297C" w:rsidP="004C6617" w:rsidRDefault="007D297C" w14:paraId="2AF826BF" w14:textId="77777777">
      <w:pPr>
        <w:spacing w:after="0" w:line="360" w:lineRule="auto"/>
        <w:rPr>
          <w:rFonts w:eastAsia="Times New Roman" w:cs="Tahoma"/>
          <w:color w:val="auto"/>
          <w:lang w:eastAsia="es-ES"/>
        </w:rPr>
      </w:pPr>
    </w:p>
    <w:p w:rsidRPr="007D297C" w:rsidR="007D297C" w:rsidP="004C6617" w:rsidRDefault="007D297C" w14:paraId="0CF32CDB" w14:textId="77777777">
      <w:pPr>
        <w:spacing w:after="0" w:line="360" w:lineRule="auto"/>
        <w:ind w:left="567" w:right="567"/>
        <w:rPr>
          <w:rFonts w:eastAsia="Times New Roman" w:cs="Tahoma"/>
          <w:i/>
          <w:color w:val="auto"/>
          <w:sz w:val="20"/>
          <w:szCs w:val="20"/>
          <w:lang w:eastAsia="es-ES"/>
        </w:rPr>
      </w:pPr>
      <w:r w:rsidRPr="007D297C">
        <w:rPr>
          <w:rFonts w:eastAsia="Times New Roman" w:cs="Tahoma"/>
          <w:b/>
          <w:i/>
          <w:color w:val="auto"/>
          <w:sz w:val="20"/>
          <w:szCs w:val="20"/>
          <w:lang w:eastAsia="es-ES"/>
        </w:rPr>
        <w:t xml:space="preserve">“FUNDAMENTACION Y MOTIVACION, CONCEPTO DE. </w:t>
      </w:r>
      <w:r w:rsidRPr="007D297C">
        <w:rPr>
          <w:rFonts w:eastAsia="Times New Roman" w:cs="Tahoma"/>
          <w:i/>
          <w:color w:val="auto"/>
          <w:sz w:val="20"/>
          <w:szCs w:val="20"/>
          <w:lang w:eastAsia="es-E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Pr="007D297C" w:rsidR="007D297C" w:rsidP="004C6617" w:rsidRDefault="007D297C" w14:paraId="680C7B43" w14:textId="77777777">
      <w:pPr>
        <w:spacing w:after="0" w:line="360" w:lineRule="auto"/>
        <w:rPr>
          <w:rFonts w:eastAsia="Times New Roman" w:cs="Tahoma"/>
          <w:color w:val="auto"/>
          <w:lang w:eastAsia="es-ES"/>
        </w:rPr>
      </w:pPr>
    </w:p>
    <w:p w:rsidRPr="007D297C" w:rsidR="007D297C" w:rsidP="004C6617" w:rsidRDefault="007D297C" w14:paraId="41E1B1E6" w14:textId="77777777">
      <w:pPr>
        <w:spacing w:after="0" w:line="360" w:lineRule="auto"/>
        <w:rPr>
          <w:rFonts w:eastAsia="Times New Roman" w:cs="Tahoma"/>
          <w:color w:val="auto"/>
          <w:lang w:eastAsia="es-ES"/>
        </w:rPr>
      </w:pPr>
      <w:r w:rsidRPr="007D297C">
        <w:rPr>
          <w:rFonts w:eastAsia="Times New Roman" w:cs="Tahoma"/>
          <w:color w:val="auto"/>
          <w:lang w:eastAsia="es-ES"/>
        </w:rPr>
        <w:t>Conforme a lo anterior, se advierte lo siguiente:</w:t>
      </w:r>
    </w:p>
    <w:p w:rsidRPr="007D297C" w:rsidR="007D297C" w:rsidP="004C6617" w:rsidRDefault="007D297C" w14:paraId="0A72A85D" w14:textId="77777777">
      <w:pPr>
        <w:spacing w:after="0" w:line="360" w:lineRule="auto"/>
        <w:rPr>
          <w:rFonts w:eastAsia="Times New Roman" w:cs="Tahoma"/>
          <w:color w:val="auto"/>
          <w:lang w:eastAsia="es-ES"/>
        </w:rPr>
      </w:pPr>
    </w:p>
    <w:p w:rsidRPr="007D297C" w:rsidR="007D297C" w:rsidP="004C6617" w:rsidRDefault="007D297C" w14:paraId="6BB1A929" w14:textId="77777777">
      <w:pPr>
        <w:numPr>
          <w:ilvl w:val="0"/>
          <w:numId w:val="17"/>
        </w:numPr>
        <w:spacing w:after="0" w:line="360" w:lineRule="auto"/>
        <w:contextualSpacing/>
        <w:jc w:val="left"/>
        <w:rPr>
          <w:rFonts w:eastAsia="Times New Roman" w:cs="Tahoma"/>
          <w:b/>
          <w:color w:val="auto"/>
          <w:lang w:eastAsia="es-ES"/>
        </w:rPr>
      </w:pPr>
      <w:r w:rsidRPr="007D297C">
        <w:rPr>
          <w:rFonts w:eastAsia="Times New Roman" w:cs="Tahoma"/>
          <w:b/>
          <w:color w:val="auto"/>
          <w:lang w:eastAsia="es-ES"/>
        </w:rPr>
        <w:t xml:space="preserve">Fundamentación: </w:t>
      </w:r>
      <w:r w:rsidRPr="007D297C">
        <w:rPr>
          <w:rFonts w:eastAsia="Times New Roman" w:cs="Tahoma"/>
          <w:color w:val="auto"/>
          <w:lang w:eastAsia="es-ES"/>
        </w:rPr>
        <w:t>Obligación de la autoridad que emite un acto, para citar los preceptos legales, sustantivos y adjetivos, en que se apoye para la determinación tomada.</w:t>
      </w:r>
    </w:p>
    <w:p w:rsidRPr="007D297C" w:rsidR="007D297C" w:rsidP="004C6617" w:rsidRDefault="007D297C" w14:paraId="19B37EA3" w14:textId="77777777">
      <w:pPr>
        <w:numPr>
          <w:ilvl w:val="0"/>
          <w:numId w:val="17"/>
        </w:numPr>
        <w:spacing w:after="0" w:line="360" w:lineRule="auto"/>
        <w:contextualSpacing/>
        <w:jc w:val="left"/>
        <w:rPr>
          <w:rFonts w:eastAsia="Times New Roman" w:cs="Tahoma"/>
          <w:b/>
          <w:color w:val="auto"/>
          <w:lang w:eastAsia="es-ES"/>
        </w:rPr>
      </w:pPr>
      <w:r w:rsidRPr="007D297C">
        <w:rPr>
          <w:rFonts w:eastAsia="Times New Roman" w:cs="Tahoma"/>
          <w:b/>
          <w:color w:val="auto"/>
          <w:lang w:eastAsia="es-ES"/>
        </w:rPr>
        <w:t xml:space="preserve">Motivación: </w:t>
      </w:r>
      <w:r w:rsidRPr="007D297C">
        <w:rPr>
          <w:rFonts w:eastAsia="Times New Roman" w:cs="Tahoma"/>
          <w:color w:val="auto"/>
          <w:lang w:eastAsia="es-ES"/>
        </w:rPr>
        <w:t>Razonamientos lógico-jurídicos sobre porque se consideró en el caso en concreto, que se ajusta a la hipótesis normativa.</w:t>
      </w:r>
    </w:p>
    <w:p w:rsidRPr="007D297C" w:rsidR="007D297C" w:rsidP="004C6617" w:rsidRDefault="007D297C" w14:paraId="160DE6B2" w14:textId="77777777">
      <w:pPr>
        <w:spacing w:after="0" w:line="360" w:lineRule="auto"/>
        <w:rPr>
          <w:rFonts w:eastAsia="Times New Roman" w:cs="Tahoma"/>
          <w:color w:val="auto"/>
          <w:lang w:val="es-ES" w:eastAsia="es-ES"/>
        </w:rPr>
      </w:pPr>
    </w:p>
    <w:p w:rsidRPr="00BF39FD" w:rsidR="00BF39FD" w:rsidP="004C6617" w:rsidRDefault="00BF39FD" w14:paraId="3828C0B7" w14:textId="77777777">
      <w:pPr>
        <w:spacing w:after="0" w:line="360" w:lineRule="auto"/>
        <w:rPr>
          <w:rFonts w:eastAsia="Calibri" w:cs="Tahoma"/>
          <w:bCs/>
          <w:color w:val="auto"/>
        </w:rPr>
      </w:pPr>
      <w:r w:rsidRPr="00BF39FD">
        <w:rPr>
          <w:rFonts w:eastAsia="Times New Roman" w:cs="Tahoma"/>
          <w:color w:val="auto"/>
          <w:lang w:val="es-ES" w:eastAsia="es-ES"/>
        </w:rPr>
        <w:t xml:space="preserve">En ese contexto, de las constancias que obran en el expediente, no se logra advertir que el Comité de Transparencia haya confirmado la clasificación como confidencial, </w:t>
      </w:r>
      <w:r w:rsidRPr="00BF39FD">
        <w:rPr>
          <w:rFonts w:eastAsia="Calibri" w:cs="Tahoma"/>
          <w:iCs/>
          <w:szCs w:val="24"/>
        </w:rPr>
        <w:t xml:space="preserve">el monto que se les debe a cada uno de los proveedores del Ayuntamiento, al veinte de septiembre de dos mil veintiuno </w:t>
      </w:r>
      <w:r w:rsidRPr="00BF39FD">
        <w:rPr>
          <w:rFonts w:eastAsia="Times New Roman" w:cs="Tahoma"/>
          <w:color w:val="auto"/>
          <w:lang w:val="es-ES" w:eastAsia="es-ES"/>
        </w:rPr>
        <w:t xml:space="preserve">y tampoco, la Dirección de Administración, señaló las razones por las cuales, se actualizaba la causal de confidencialidad establecida en el artículo 143, fracción I, de la Ley de Transparencia y Acceso a la Información Pública del Estado de México y Municipios; por lo que, se logra observar, que el Sujeto Obligado incumplió con el procedimiento de clasificación </w:t>
      </w:r>
      <w:r w:rsidRPr="00BF39FD">
        <w:rPr>
          <w:rFonts w:eastAsia="Times New Roman" w:cs="Tahoma"/>
          <w:color w:val="auto"/>
          <w:lang w:val="es-ES" w:eastAsia="es-ES"/>
        </w:rPr>
        <w:lastRenderedPageBreak/>
        <w:t>establecido en la normatividad aplicable y,</w:t>
      </w:r>
      <w:r w:rsidRPr="00BF39FD">
        <w:rPr>
          <w:rFonts w:eastAsia="Calibri" w:cs="Tahoma"/>
          <w:bCs/>
          <w:color w:val="auto"/>
        </w:rPr>
        <w:t xml:space="preserve"> por lo tanto, se considera improcedente la clasificación aludida y el agravio hecho valer por el Particular es </w:t>
      </w:r>
      <w:r w:rsidRPr="00BF39FD">
        <w:rPr>
          <w:rFonts w:eastAsia="Calibri" w:cs="Tahoma"/>
          <w:b/>
          <w:bCs/>
          <w:color w:val="auto"/>
        </w:rPr>
        <w:t>FUNDADO.</w:t>
      </w:r>
    </w:p>
    <w:p w:rsidR="009A74E3" w:rsidP="004C6617" w:rsidRDefault="009A74E3" w14:paraId="68E5A082" w14:textId="77777777">
      <w:pPr>
        <w:spacing w:after="0" w:line="360" w:lineRule="auto"/>
        <w:rPr>
          <w:rFonts w:eastAsia="Times New Roman" w:cs="Tahoma"/>
          <w:color w:val="auto"/>
          <w:lang w:val="es-ES" w:eastAsia="es-ES"/>
        </w:rPr>
      </w:pPr>
    </w:p>
    <w:p w:rsidRPr="00BF39FD" w:rsidR="00BF39FD" w:rsidP="004C6617" w:rsidRDefault="00BF39FD" w14:paraId="69A5EBFE" w14:textId="35C8869C">
      <w:pPr>
        <w:spacing w:after="0" w:line="360" w:lineRule="auto"/>
        <w:rPr>
          <w:rFonts w:eastAsia="Times New Roman" w:cs="Tahoma"/>
          <w:color w:val="auto"/>
          <w:lang w:val="es-ES" w:eastAsia="es-ES"/>
        </w:rPr>
      </w:pPr>
      <w:r w:rsidRPr="00BF39FD">
        <w:rPr>
          <w:rFonts w:eastAsia="Times New Roman" w:cs="Tahoma"/>
          <w:color w:val="auto"/>
          <w:lang w:val="es-ES" w:eastAsia="es-ES"/>
        </w:rPr>
        <w:t>Sin menoscabar, lo anterior se procede analizar la causal de clasificación; por lo que, en principio es necesario traer a colac</w:t>
      </w:r>
      <w:r w:rsidR="009A74E3">
        <w:rPr>
          <w:rFonts w:eastAsia="Times New Roman" w:cs="Tahoma"/>
          <w:color w:val="auto"/>
          <w:lang w:val="es-ES" w:eastAsia="es-ES"/>
        </w:rPr>
        <w:t xml:space="preserve">ión, el artículo 143, fracción </w:t>
      </w:r>
      <w:r w:rsidRPr="00BF39FD">
        <w:rPr>
          <w:rFonts w:eastAsia="Times New Roman" w:cs="Tahoma"/>
          <w:color w:val="auto"/>
          <w:lang w:val="es-ES" w:eastAsia="es-ES"/>
        </w:rPr>
        <w:t xml:space="preserve">I de la Ley de Transparencia y Acceso a la Información Pública del Estado de México </w:t>
      </w:r>
      <w:r w:rsidR="009A74E3">
        <w:rPr>
          <w:rFonts w:eastAsia="Times New Roman" w:cs="Tahoma"/>
          <w:color w:val="auto"/>
          <w:lang w:val="es-ES" w:eastAsia="es-ES"/>
        </w:rPr>
        <w:t xml:space="preserve">y Municipios (homólogo al 116, primer </w:t>
      </w:r>
      <w:r w:rsidRPr="00BF39FD">
        <w:rPr>
          <w:rFonts w:eastAsia="Times New Roman" w:cs="Tahoma"/>
          <w:color w:val="auto"/>
          <w:lang w:val="es-ES" w:eastAsia="es-ES"/>
        </w:rPr>
        <w:t>párrafo, de la Ley General de transparencia y Acceso a la Información Pública), que establece lo siguiente:</w:t>
      </w:r>
    </w:p>
    <w:p w:rsidRPr="00BF39FD" w:rsidR="00BF39FD" w:rsidP="004C6617" w:rsidRDefault="00BF39FD" w14:paraId="1D5B5CF9" w14:textId="77777777">
      <w:pPr>
        <w:spacing w:after="0" w:line="360" w:lineRule="auto"/>
        <w:ind w:left="567" w:right="567"/>
        <w:rPr>
          <w:rFonts w:eastAsia="Times New Roman" w:cs="Tahoma"/>
          <w:color w:val="auto"/>
          <w:lang w:val="es-ES" w:eastAsia="es-ES"/>
        </w:rPr>
      </w:pPr>
    </w:p>
    <w:p w:rsidRPr="00BF39FD" w:rsidR="00BF39FD" w:rsidP="004C6617" w:rsidRDefault="00BF39FD" w14:paraId="550A6CEF" w14:textId="77777777">
      <w:pPr>
        <w:spacing w:after="0" w:line="360" w:lineRule="auto"/>
        <w:ind w:left="567" w:right="567"/>
        <w:rPr>
          <w:rFonts w:eastAsia="Times New Roman" w:cs="Tahoma"/>
          <w:i/>
          <w:iCs/>
          <w:color w:val="auto"/>
          <w:sz w:val="20"/>
          <w:szCs w:val="20"/>
          <w:lang w:eastAsia="es-ES"/>
        </w:rPr>
      </w:pPr>
      <w:r w:rsidRPr="00BF39FD">
        <w:rPr>
          <w:rFonts w:eastAsia="Times New Roman" w:cs="Tahoma"/>
          <w:b/>
          <w:bCs/>
          <w:i/>
          <w:iCs/>
          <w:color w:val="auto"/>
          <w:sz w:val="20"/>
          <w:szCs w:val="20"/>
          <w:lang w:eastAsia="es-ES"/>
        </w:rPr>
        <w:t>“Artículo 143.</w:t>
      </w:r>
      <w:r w:rsidRPr="00BF39FD">
        <w:rPr>
          <w:rFonts w:eastAsia="Times New Roman" w:cs="Tahoma"/>
          <w:i/>
          <w:iCs/>
          <w:color w:val="auto"/>
          <w:sz w:val="20"/>
          <w:szCs w:val="20"/>
          <w:lang w:eastAsia="es-ES"/>
        </w:rPr>
        <w:t xml:space="preserve"> Para los efectos de esta Ley se considera información confidencial, la clasificada como tal, de manera permanente, por su naturaleza, cuando: </w:t>
      </w:r>
    </w:p>
    <w:p w:rsidRPr="00BF39FD" w:rsidR="00BF39FD" w:rsidP="004C6617" w:rsidRDefault="00BF39FD" w14:paraId="0C01FAAC" w14:textId="77777777">
      <w:pPr>
        <w:spacing w:after="0" w:line="360" w:lineRule="auto"/>
        <w:ind w:left="567" w:right="567"/>
        <w:rPr>
          <w:rFonts w:eastAsia="Times New Roman" w:cs="Tahoma"/>
          <w:i/>
          <w:iCs/>
          <w:color w:val="auto"/>
          <w:sz w:val="20"/>
          <w:szCs w:val="20"/>
          <w:lang w:eastAsia="es-ES"/>
        </w:rPr>
      </w:pPr>
    </w:p>
    <w:p w:rsidRPr="00BF39FD" w:rsidR="00BF39FD" w:rsidP="004C6617" w:rsidRDefault="00BF39FD" w14:paraId="42FA56E6" w14:textId="77777777">
      <w:pPr>
        <w:spacing w:after="0" w:line="360" w:lineRule="auto"/>
        <w:ind w:left="567" w:right="567"/>
        <w:rPr>
          <w:rFonts w:eastAsia="Times New Roman" w:cs="Tahoma"/>
          <w:i/>
          <w:iCs/>
          <w:color w:val="auto"/>
          <w:sz w:val="20"/>
          <w:szCs w:val="20"/>
          <w:lang w:eastAsia="es-ES"/>
        </w:rPr>
      </w:pPr>
      <w:r w:rsidRPr="00BF39FD">
        <w:rPr>
          <w:rFonts w:eastAsia="Times New Roman" w:cs="Tahoma"/>
          <w:i/>
          <w:iCs/>
          <w:color w:val="auto"/>
          <w:sz w:val="20"/>
          <w:szCs w:val="20"/>
          <w:lang w:eastAsia="es-ES"/>
        </w:rPr>
        <w:t xml:space="preserve">I. Se refiera a la información privada y los datos personales concernientes a una persona física o </w:t>
      </w:r>
      <w:proofErr w:type="gramStart"/>
      <w:r w:rsidRPr="00BF39FD">
        <w:rPr>
          <w:rFonts w:eastAsia="Times New Roman" w:cs="Tahoma"/>
          <w:i/>
          <w:iCs/>
          <w:color w:val="auto"/>
          <w:sz w:val="20"/>
          <w:szCs w:val="20"/>
          <w:lang w:eastAsia="es-ES"/>
        </w:rPr>
        <w:t>jurídico</w:t>
      </w:r>
      <w:proofErr w:type="gramEnd"/>
      <w:r w:rsidRPr="00BF39FD">
        <w:rPr>
          <w:rFonts w:eastAsia="Times New Roman" w:cs="Tahoma"/>
          <w:i/>
          <w:iCs/>
          <w:color w:val="auto"/>
          <w:sz w:val="20"/>
          <w:szCs w:val="20"/>
          <w:lang w:eastAsia="es-ES"/>
        </w:rPr>
        <w:t xml:space="preserve"> colectiva identificada o identificable;</w:t>
      </w:r>
    </w:p>
    <w:p w:rsidRPr="00BF39FD" w:rsidR="00BF39FD" w:rsidP="004C6617" w:rsidRDefault="00BF39FD" w14:paraId="18E49B29" w14:textId="77777777">
      <w:pPr>
        <w:spacing w:after="0" w:line="360" w:lineRule="auto"/>
        <w:ind w:left="567" w:right="567"/>
        <w:rPr>
          <w:rFonts w:eastAsia="Times New Roman" w:cs="Tahoma"/>
          <w:i/>
          <w:iCs/>
          <w:color w:val="auto"/>
          <w:sz w:val="20"/>
          <w:szCs w:val="20"/>
          <w:lang w:val="es-ES" w:eastAsia="es-ES"/>
        </w:rPr>
      </w:pPr>
      <w:r w:rsidRPr="00BF39FD">
        <w:rPr>
          <w:rFonts w:eastAsia="Times New Roman" w:cs="Tahoma"/>
          <w:i/>
          <w:iCs/>
          <w:color w:val="auto"/>
          <w:sz w:val="20"/>
          <w:szCs w:val="20"/>
          <w:lang w:eastAsia="es-ES"/>
        </w:rPr>
        <w:t>…”</w:t>
      </w:r>
    </w:p>
    <w:p w:rsidRPr="00BF39FD" w:rsidR="00BF39FD" w:rsidP="004C6617" w:rsidRDefault="00BF39FD" w14:paraId="15213310" w14:textId="77777777">
      <w:pPr>
        <w:spacing w:after="0" w:line="360" w:lineRule="auto"/>
        <w:rPr>
          <w:rFonts w:eastAsia="Times New Roman" w:cs="Tahoma"/>
          <w:color w:val="auto"/>
          <w:lang w:val="es-ES" w:eastAsia="es-ES"/>
        </w:rPr>
      </w:pPr>
    </w:p>
    <w:p w:rsidR="00BF39FD" w:rsidP="004C6617" w:rsidRDefault="00BF39FD" w14:paraId="35B0A502" w14:textId="76AC51EF">
      <w:pPr>
        <w:spacing w:after="0" w:line="360" w:lineRule="auto"/>
        <w:rPr>
          <w:rFonts w:eastAsia="Times New Roman" w:cs="Tahoma"/>
          <w:color w:val="auto"/>
          <w:lang w:val="es-ES" w:eastAsia="es-ES"/>
        </w:rPr>
      </w:pPr>
      <w:r w:rsidRPr="00BF39FD">
        <w:rPr>
          <w:rFonts w:eastAsia="Times New Roman" w:cs="Tahoma"/>
          <w:color w:val="auto"/>
          <w:lang w:val="es-ES" w:eastAsia="es-ES"/>
        </w:rPr>
        <w:t xml:space="preserve">Como se logra observar, se considera como información confidencial, aquella que refiera a la información privada y los datos personales concernientes a una persona física o </w:t>
      </w:r>
      <w:r w:rsidRPr="00BF39FD" w:rsidR="00336B1C">
        <w:rPr>
          <w:rFonts w:eastAsia="Times New Roman" w:cs="Tahoma"/>
          <w:color w:val="auto"/>
          <w:lang w:val="es-ES" w:eastAsia="es-ES"/>
        </w:rPr>
        <w:t>jurídica</w:t>
      </w:r>
      <w:r w:rsidRPr="00BF39FD">
        <w:rPr>
          <w:rFonts w:eastAsia="Times New Roman" w:cs="Tahoma"/>
          <w:color w:val="auto"/>
          <w:lang w:val="es-ES" w:eastAsia="es-ES"/>
        </w:rPr>
        <w:t xml:space="preserve"> colectiva identificada o identificable; sobre el tema, el </w:t>
      </w:r>
      <w:r w:rsidR="004C4ED6">
        <w:rPr>
          <w:rFonts w:eastAsia="Times New Roman" w:cs="Tahoma"/>
          <w:color w:val="auto"/>
          <w:lang w:val="es-ES" w:eastAsia="es-ES"/>
        </w:rPr>
        <w:t>Trigésimo octavo</w:t>
      </w:r>
      <w:r w:rsidRPr="00BF39FD">
        <w:rPr>
          <w:rFonts w:eastAsia="Times New Roman" w:cs="Tahoma"/>
          <w:color w:val="auto"/>
          <w:lang w:val="es-ES" w:eastAsia="es-ES"/>
        </w:rPr>
        <w:t xml:space="preserve"> de los Lineamientos Generales, establece lo siguiente:</w:t>
      </w:r>
    </w:p>
    <w:p w:rsidRPr="00BF39FD" w:rsidR="004C4ED6" w:rsidP="004C6617" w:rsidRDefault="004C4ED6" w14:paraId="5ED53E6B" w14:textId="77777777">
      <w:pPr>
        <w:spacing w:after="0" w:line="360" w:lineRule="auto"/>
        <w:rPr>
          <w:rFonts w:eastAsia="Times New Roman" w:cs="Tahoma"/>
          <w:color w:val="auto"/>
          <w:lang w:val="es-ES" w:eastAsia="es-ES"/>
        </w:rPr>
      </w:pPr>
    </w:p>
    <w:p w:rsidRPr="00BF39FD" w:rsidR="00BF39FD" w:rsidP="004C6617" w:rsidRDefault="00BF39FD" w14:paraId="10631817" w14:textId="77777777">
      <w:pPr>
        <w:spacing w:after="0" w:line="360" w:lineRule="auto"/>
        <w:ind w:left="567" w:right="567"/>
        <w:rPr>
          <w:rFonts w:eastAsia="Times New Roman" w:cs="Tahoma"/>
          <w:i/>
          <w:iCs/>
          <w:color w:val="auto"/>
          <w:sz w:val="20"/>
          <w:szCs w:val="20"/>
          <w:lang w:eastAsia="es-ES"/>
        </w:rPr>
      </w:pPr>
      <w:r w:rsidRPr="00BF39FD">
        <w:rPr>
          <w:rFonts w:eastAsia="Times New Roman" w:cs="Tahoma"/>
          <w:i/>
          <w:iCs/>
          <w:color w:val="auto"/>
          <w:sz w:val="20"/>
          <w:szCs w:val="20"/>
          <w:lang w:eastAsia="es-ES"/>
        </w:rPr>
        <w:t xml:space="preserve">“Trigésimo octavo. Se considera información confidencial: </w:t>
      </w:r>
    </w:p>
    <w:p w:rsidRPr="00BF39FD" w:rsidR="00BF39FD" w:rsidP="004C6617" w:rsidRDefault="00BF39FD" w14:paraId="449FE9D2" w14:textId="77777777">
      <w:pPr>
        <w:spacing w:after="0" w:line="360" w:lineRule="auto"/>
        <w:ind w:left="567" w:right="567"/>
        <w:rPr>
          <w:rFonts w:eastAsia="Times New Roman" w:cs="Tahoma"/>
          <w:i/>
          <w:iCs/>
          <w:color w:val="auto"/>
          <w:sz w:val="20"/>
          <w:szCs w:val="20"/>
          <w:lang w:eastAsia="es-ES"/>
        </w:rPr>
      </w:pPr>
    </w:p>
    <w:p w:rsidRPr="00BF39FD" w:rsidR="00BF39FD" w:rsidP="004C6617" w:rsidRDefault="00BF39FD" w14:paraId="45D9F15C" w14:textId="77777777">
      <w:pPr>
        <w:spacing w:after="0" w:line="360" w:lineRule="auto"/>
        <w:ind w:left="567" w:right="567"/>
        <w:rPr>
          <w:rFonts w:eastAsia="Times New Roman" w:cs="Tahoma"/>
          <w:i/>
          <w:iCs/>
          <w:color w:val="auto"/>
          <w:sz w:val="20"/>
          <w:szCs w:val="20"/>
          <w:lang w:eastAsia="es-ES"/>
        </w:rPr>
      </w:pPr>
      <w:r w:rsidRPr="00BF39FD">
        <w:rPr>
          <w:rFonts w:eastAsia="Times New Roman" w:cs="Tahoma"/>
          <w:i/>
          <w:iCs/>
          <w:color w:val="auto"/>
          <w:sz w:val="20"/>
          <w:szCs w:val="20"/>
          <w:lang w:eastAsia="es-ES"/>
        </w:rPr>
        <w:t>I. Los datos personales en los términos de la norma aplicable;</w:t>
      </w:r>
    </w:p>
    <w:p w:rsidRPr="00BF39FD" w:rsidR="00BF39FD" w:rsidP="004C6617" w:rsidRDefault="00BF39FD" w14:paraId="550D289E" w14:textId="77777777">
      <w:pPr>
        <w:spacing w:after="0" w:line="360" w:lineRule="auto"/>
        <w:ind w:left="567" w:right="567"/>
        <w:rPr>
          <w:rFonts w:eastAsia="Times New Roman" w:cs="Tahoma"/>
          <w:i/>
          <w:iCs/>
          <w:color w:val="auto"/>
          <w:sz w:val="20"/>
          <w:szCs w:val="20"/>
          <w:lang w:val="es-ES" w:eastAsia="es-ES"/>
        </w:rPr>
      </w:pPr>
      <w:r w:rsidRPr="00BF39FD">
        <w:rPr>
          <w:rFonts w:eastAsia="Times New Roman" w:cs="Tahoma"/>
          <w:i/>
          <w:iCs/>
          <w:color w:val="auto"/>
          <w:sz w:val="20"/>
          <w:szCs w:val="20"/>
          <w:lang w:eastAsia="es-ES"/>
        </w:rPr>
        <w:t>…”</w:t>
      </w:r>
    </w:p>
    <w:p w:rsidRPr="00BF39FD" w:rsidR="00BF39FD" w:rsidP="004C6617" w:rsidRDefault="00BF39FD" w14:paraId="74DC1933" w14:textId="77777777">
      <w:pPr>
        <w:spacing w:after="0" w:line="360" w:lineRule="auto"/>
        <w:rPr>
          <w:rFonts w:eastAsia="Times New Roman" w:cs="Tahoma"/>
          <w:color w:val="auto"/>
          <w:lang w:val="es-ES" w:eastAsia="es-ES"/>
        </w:rPr>
      </w:pPr>
    </w:p>
    <w:p w:rsidRPr="00BF39FD" w:rsidR="00BF39FD" w:rsidP="004C6617" w:rsidRDefault="00BF39FD" w14:paraId="2129EF3D" w14:textId="30AEE031">
      <w:pPr>
        <w:spacing w:after="0" w:line="360" w:lineRule="auto"/>
        <w:rPr>
          <w:rFonts w:eastAsia="Times New Roman" w:cs="Tahoma"/>
          <w:bCs/>
          <w:color w:val="auto"/>
          <w:lang w:eastAsia="es-MX"/>
        </w:rPr>
      </w:pPr>
      <w:r w:rsidRPr="00BF39FD">
        <w:rPr>
          <w:rFonts w:eastAsia="Times New Roman" w:cs="Tahoma"/>
          <w:color w:val="auto"/>
          <w:lang w:val="es-ES" w:eastAsia="es-ES"/>
        </w:rPr>
        <w:t>En ese contexto, se puede advertir que se podrá clasificar como información confidencial, aquella que refiera a la vida</w:t>
      </w:r>
      <w:r w:rsidR="00385A90">
        <w:rPr>
          <w:rFonts w:eastAsia="Times New Roman" w:cs="Tahoma"/>
          <w:color w:val="auto"/>
          <w:lang w:val="es-ES" w:eastAsia="es-ES"/>
        </w:rPr>
        <w:t xml:space="preserve"> privada y los datos personales; en ese sentido, </w:t>
      </w:r>
      <w:proofErr w:type="spellStart"/>
      <w:r w:rsidRPr="00BF39FD">
        <w:rPr>
          <w:rFonts w:eastAsia="Times New Roman" w:cs="Tahoma"/>
          <w:bCs/>
          <w:color w:val="auto"/>
          <w:lang w:eastAsia="es-MX"/>
        </w:rPr>
        <w:t>Davara</w:t>
      </w:r>
      <w:proofErr w:type="spellEnd"/>
      <w:r w:rsidRPr="00BF39FD">
        <w:rPr>
          <w:rFonts w:eastAsia="Times New Roman" w:cs="Tahoma"/>
          <w:bCs/>
          <w:color w:val="auto"/>
          <w:lang w:eastAsia="es-MX"/>
        </w:rPr>
        <w:t xml:space="preserve">, Isabel; </w:t>
      </w:r>
      <w:r w:rsidRPr="00BF39FD">
        <w:rPr>
          <w:rFonts w:eastAsia="Times New Roman" w:cs="Tahoma"/>
          <w:bCs/>
          <w:color w:val="auto"/>
          <w:lang w:eastAsia="es-MX"/>
        </w:rPr>
        <w:lastRenderedPageBreak/>
        <w:t>Barco, Gregorio, y Cervantes, Alexis (2019), en el “Diccionario de Protección de Datos Personales Conceptos Fundamentales” (P. 212 a 215), establecen que un dato personal es toda aquella información concerniente a una persona identificada (identificación directa) o identificable (identificación directa o indirecta).</w:t>
      </w:r>
    </w:p>
    <w:p w:rsidR="00C56550" w:rsidP="004C6617" w:rsidRDefault="00C56550" w14:paraId="5DF8CE77" w14:textId="77777777">
      <w:pPr>
        <w:spacing w:after="0" w:line="360" w:lineRule="auto"/>
        <w:rPr>
          <w:rFonts w:eastAsia="Times New Roman" w:cs="Tahoma"/>
          <w:iCs/>
          <w:color w:val="auto"/>
          <w:lang w:val="es-ES" w:eastAsia="es-ES"/>
        </w:rPr>
      </w:pPr>
    </w:p>
    <w:p w:rsidRPr="00C554F3" w:rsidR="00C554F3" w:rsidP="004C6617" w:rsidRDefault="00385A90" w14:paraId="5B4EBDCC" w14:textId="46C4408B">
      <w:pPr>
        <w:spacing w:after="0" w:line="360" w:lineRule="auto"/>
        <w:rPr>
          <w:rFonts w:eastAsia="Calibri" w:cs="Tahoma"/>
          <w:bCs/>
          <w:color w:val="auto"/>
          <w:lang w:val="es-ES"/>
        </w:rPr>
      </w:pPr>
      <w:r>
        <w:rPr>
          <w:rFonts w:eastAsia="Calibri" w:cs="Tahoma"/>
          <w:bCs/>
          <w:color w:val="auto"/>
          <w:lang w:val="es-ES"/>
        </w:rPr>
        <w:t>E</w:t>
      </w:r>
      <w:r w:rsidRPr="00C554F3" w:rsidR="00C554F3">
        <w:rPr>
          <w:rFonts w:eastAsia="Calibri" w:cs="Tahoma"/>
          <w:bCs/>
          <w:color w:val="auto"/>
          <w:lang w:val="es-ES"/>
        </w:rPr>
        <w:t xml:space="preserve">n el presente caso, </w:t>
      </w:r>
      <w:r w:rsidRPr="00C554F3" w:rsidR="00C554F3">
        <w:rPr>
          <w:rFonts w:eastAsia="Calibri" w:cs="Tahoma"/>
          <w:b/>
          <w:bCs/>
          <w:color w:val="auto"/>
          <w:lang w:val="es-ES"/>
        </w:rPr>
        <w:t xml:space="preserve">se trata </w:t>
      </w:r>
      <w:r>
        <w:rPr>
          <w:rFonts w:eastAsia="Calibri" w:cs="Tahoma"/>
          <w:b/>
          <w:bCs/>
          <w:color w:val="auto"/>
          <w:lang w:val="es-ES"/>
        </w:rPr>
        <w:t>de información relacionada con</w:t>
      </w:r>
      <w:r w:rsidR="00336B1C">
        <w:rPr>
          <w:rFonts w:eastAsia="Calibri" w:cs="Tahoma"/>
          <w:b/>
          <w:bCs/>
          <w:color w:val="auto"/>
          <w:lang w:val="es-ES"/>
        </w:rPr>
        <w:t xml:space="preserve"> las autorizaciones emitidas por</w:t>
      </w:r>
      <w:r>
        <w:rPr>
          <w:rFonts w:eastAsia="Calibri" w:cs="Tahoma"/>
          <w:b/>
          <w:bCs/>
          <w:color w:val="auto"/>
          <w:lang w:val="es-ES"/>
        </w:rPr>
        <w:t xml:space="preserve"> el Sujeto Obligado </w:t>
      </w:r>
      <w:r w:rsidRPr="00C554F3" w:rsidR="00C554F3">
        <w:rPr>
          <w:rFonts w:eastAsia="Calibri" w:cs="Tahoma"/>
          <w:b/>
          <w:bCs/>
          <w:color w:val="auto"/>
          <w:lang w:val="es-ES"/>
        </w:rPr>
        <w:t xml:space="preserve">a </w:t>
      </w:r>
      <w:r>
        <w:rPr>
          <w:rFonts w:eastAsia="Calibri" w:cs="Tahoma"/>
          <w:b/>
          <w:bCs/>
          <w:color w:val="auto"/>
          <w:lang w:val="es-ES"/>
        </w:rPr>
        <w:t>diversas personas, para</w:t>
      </w:r>
      <w:r w:rsidRPr="00C554F3" w:rsidR="00C554F3">
        <w:rPr>
          <w:rFonts w:eastAsia="Calibri" w:cs="Tahoma"/>
          <w:b/>
          <w:bCs/>
          <w:color w:val="auto"/>
          <w:lang w:val="es-ES"/>
        </w:rPr>
        <w:t xml:space="preserve"> a realizar una actividad comercial, industrial o de servicios, </w:t>
      </w:r>
      <w:r w:rsidR="00622E54">
        <w:rPr>
          <w:rFonts w:eastAsia="Calibri" w:cs="Tahoma"/>
          <w:bCs/>
          <w:color w:val="auto"/>
          <w:lang w:val="es-ES"/>
        </w:rPr>
        <w:t>las cuales</w:t>
      </w:r>
      <w:r w:rsidRPr="00C554F3" w:rsidR="00C554F3">
        <w:rPr>
          <w:rFonts w:eastAsia="Calibri" w:cs="Tahoma"/>
          <w:bCs/>
          <w:color w:val="auto"/>
          <w:lang w:val="es-ES"/>
        </w:rPr>
        <w:t xml:space="preserve"> debe</w:t>
      </w:r>
      <w:r w:rsidR="00622E54">
        <w:rPr>
          <w:rFonts w:eastAsia="Calibri" w:cs="Tahoma"/>
          <w:bCs/>
          <w:color w:val="auto"/>
          <w:lang w:val="es-ES"/>
        </w:rPr>
        <w:t>n ser emitidas</w:t>
      </w:r>
      <w:r w:rsidRPr="00C554F3" w:rsidR="00C554F3">
        <w:rPr>
          <w:rFonts w:eastAsia="Calibri" w:cs="Tahoma"/>
          <w:bCs/>
          <w:color w:val="auto"/>
          <w:lang w:val="es-ES"/>
        </w:rPr>
        <w:t xml:space="preserve"> por el Ayuntamiento de </w:t>
      </w:r>
      <w:r w:rsidR="00336B1C">
        <w:rPr>
          <w:rFonts w:eastAsia="Calibri" w:cs="Tahoma"/>
          <w:bCs/>
          <w:color w:val="auto"/>
          <w:lang w:val="es-ES"/>
        </w:rPr>
        <w:t>Ecatepec de Morelos</w:t>
      </w:r>
      <w:r w:rsidRPr="00C554F3" w:rsidR="00C554F3">
        <w:rPr>
          <w:rFonts w:eastAsia="Calibri" w:cs="Tahoma"/>
          <w:bCs/>
          <w:color w:val="auto"/>
          <w:lang w:val="es-ES"/>
        </w:rPr>
        <w:t>, ya que es la autoridad encargada de regular, normar, controlar y vigilar dichas actividades económicas, dentro del territorio municipal.</w:t>
      </w:r>
    </w:p>
    <w:p w:rsidRPr="00C554F3" w:rsidR="00C554F3" w:rsidP="004C6617" w:rsidRDefault="00C554F3" w14:paraId="76D41EC3" w14:textId="77777777">
      <w:pPr>
        <w:spacing w:after="0" w:line="360" w:lineRule="auto"/>
        <w:rPr>
          <w:rFonts w:eastAsia="Calibri" w:cs="Tahoma"/>
          <w:bCs/>
          <w:color w:val="auto"/>
          <w:lang w:val="es-ES"/>
        </w:rPr>
      </w:pPr>
    </w:p>
    <w:p w:rsidRPr="00C554F3" w:rsidR="00C554F3" w:rsidP="004C6617" w:rsidRDefault="00C554F3" w14:paraId="42AD0F02" w14:textId="77777777">
      <w:pPr>
        <w:spacing w:after="0" w:line="360" w:lineRule="auto"/>
        <w:rPr>
          <w:rFonts w:eastAsia="Calibri" w:cs="Tahoma"/>
          <w:bCs/>
          <w:color w:val="auto"/>
        </w:rPr>
      </w:pPr>
      <w:r w:rsidRPr="00C554F3">
        <w:rPr>
          <w:rFonts w:eastAsia="Calibri" w:cs="Tahoma"/>
          <w:bCs/>
          <w:color w:val="auto"/>
        </w:rPr>
        <w:t>Por lo que, dichos documentos, en primera instancia, permiten transparentar y rendir cuentas a la sociedad sobre las personas a quiénes se les otorgaron licencias, permisos o autorizaciones, por parte del Municipio, para realizar actividades económicas, comerciales o industriales, pues conforme al artículo 21 de la Ley de Competitividad y Ordenamiento Comercial del Estado de México, establece que los titulares deben tener en la unidad económica, el original o copia certificada del permiso o licencia de funcionamiento; es decir, los documentos solicitados por el ahora Recurrente, deben de estar a la vista del público, en el lugar donde se ubique el establecimiento, puesto, mercado, tianguis, etcétera.</w:t>
      </w:r>
    </w:p>
    <w:p w:rsidRPr="00C554F3" w:rsidR="00C554F3" w:rsidP="004C6617" w:rsidRDefault="00C554F3" w14:paraId="0425966C" w14:textId="77777777">
      <w:pPr>
        <w:spacing w:after="0" w:line="360" w:lineRule="auto"/>
        <w:rPr>
          <w:rFonts w:eastAsia="Calibri" w:cs="Tahoma"/>
          <w:bCs/>
          <w:color w:val="auto"/>
        </w:rPr>
      </w:pPr>
    </w:p>
    <w:p w:rsidRPr="00C554F3" w:rsidR="00C554F3" w:rsidP="004C6617" w:rsidRDefault="00C554F3" w14:paraId="310866C8" w14:textId="77777777">
      <w:pPr>
        <w:spacing w:after="0" w:line="360" w:lineRule="auto"/>
        <w:rPr>
          <w:rFonts w:eastAsia="Calibri" w:cs="Tahoma"/>
          <w:bCs/>
          <w:color w:val="auto"/>
        </w:rPr>
      </w:pPr>
      <w:r w:rsidRPr="00C554F3">
        <w:rPr>
          <w:rFonts w:eastAsia="Calibri" w:cs="Tahoma"/>
          <w:bCs/>
          <w:color w:val="auto"/>
        </w:rPr>
        <w:t>Además, que da cuenta de la forma en la cual el Ente Recurrido ejerció sus facultades emanadas en los diversos ordenamientos jurídicos, mismas que permite comprobar que las licencias y permisos emitidos cumplieron con los requisitos establecidos en la normatividad aplicable.</w:t>
      </w:r>
    </w:p>
    <w:p w:rsidR="00D963CD" w:rsidP="004C6617" w:rsidRDefault="00D963CD" w14:paraId="7D9F7A2E" w14:textId="77777777">
      <w:pPr>
        <w:spacing w:after="0" w:line="360" w:lineRule="auto"/>
        <w:rPr>
          <w:rFonts w:eastAsia="Times New Roman" w:cs="Tahoma"/>
          <w:iCs/>
          <w:color w:val="auto"/>
          <w:lang w:val="es-ES" w:eastAsia="es-ES"/>
        </w:rPr>
      </w:pPr>
    </w:p>
    <w:p w:rsidR="00622E54" w:rsidP="004C6617" w:rsidRDefault="0095248D" w14:paraId="71ECFA65" w14:textId="07F2D6D9">
      <w:pPr>
        <w:spacing w:after="0" w:line="360" w:lineRule="auto"/>
        <w:rPr>
          <w:rFonts w:eastAsia="Times New Roman" w:cs="Tahoma"/>
          <w:iCs/>
          <w:color w:val="auto"/>
          <w:lang w:val="es-ES" w:eastAsia="es-ES"/>
        </w:rPr>
      </w:pPr>
      <w:r>
        <w:rPr>
          <w:rFonts w:eastAsia="Times New Roman" w:cs="Tahoma"/>
          <w:iCs/>
          <w:color w:val="auto"/>
          <w:lang w:val="es-ES" w:eastAsia="es-ES"/>
        </w:rPr>
        <w:t xml:space="preserve">Inclusive es de señalar que en términos del artículo 70, fracción XXVII, de la Ley General de Transparencia y Acceso a la Información Pública, y 92, fracción </w:t>
      </w:r>
      <w:r w:rsidR="00326894">
        <w:rPr>
          <w:rFonts w:eastAsia="Times New Roman" w:cs="Tahoma"/>
          <w:iCs/>
          <w:color w:val="auto"/>
          <w:lang w:val="es-ES" w:eastAsia="es-ES"/>
        </w:rPr>
        <w:t xml:space="preserve">XXXII, de la Ley de Transparencia y Acceso a la Información Pública del Estado de México y Municipios, precisa </w:t>
      </w:r>
      <w:r w:rsidR="00326894">
        <w:rPr>
          <w:rFonts w:eastAsia="Times New Roman" w:cs="Tahoma"/>
          <w:iCs/>
          <w:color w:val="auto"/>
          <w:lang w:val="es-ES" w:eastAsia="es-ES"/>
        </w:rPr>
        <w:lastRenderedPageBreak/>
        <w:t>que las autorizaciones, permisos o convenios, corresponde a obligaciones comunes de transparencia, por lo que, los Sujetos Obligado deberán publicar en sus páginas de internet y sistemas respectivos, para que la ciudadanía los conozca.</w:t>
      </w:r>
    </w:p>
    <w:p w:rsidR="00326894" w:rsidP="004C6617" w:rsidRDefault="00326894" w14:paraId="0A29097E" w14:textId="77777777">
      <w:pPr>
        <w:spacing w:after="0" w:line="360" w:lineRule="auto"/>
        <w:rPr>
          <w:rFonts w:eastAsia="Times New Roman" w:cs="Tahoma"/>
          <w:iCs/>
          <w:color w:val="auto"/>
          <w:lang w:val="es-ES" w:eastAsia="es-ES"/>
        </w:rPr>
      </w:pPr>
    </w:p>
    <w:p w:rsidRPr="00682222" w:rsidR="00F80BB8" w:rsidP="004C6617" w:rsidRDefault="00F80BB8" w14:paraId="527B5AD7" w14:textId="77777777">
      <w:pPr>
        <w:spacing w:after="0" w:line="360" w:lineRule="auto"/>
        <w:ind w:right="-93"/>
        <w:rPr>
          <w:rFonts w:eastAsia="Times New Roman" w:cs="Tahoma"/>
          <w:color w:val="auto"/>
          <w:lang w:val="es-ES" w:eastAsia="es-ES"/>
        </w:rPr>
      </w:pPr>
      <w:r w:rsidRPr="00682222">
        <w:rPr>
          <w:rFonts w:eastAsia="Times New Roman" w:cs="Tahoma"/>
          <w:color w:val="auto"/>
          <w:lang w:val="es-ES" w:eastAsia="es-ES"/>
        </w:rPr>
        <w:t>Lo anterior,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rsidR="00326894" w:rsidP="004C6617" w:rsidRDefault="00326894" w14:paraId="635DE543" w14:textId="77777777">
      <w:pPr>
        <w:spacing w:after="0" w:line="360" w:lineRule="auto"/>
        <w:rPr>
          <w:rFonts w:eastAsia="Times New Roman" w:cs="Tahoma"/>
          <w:iCs/>
          <w:color w:val="auto"/>
          <w:lang w:val="es-ES" w:eastAsia="es-ES"/>
        </w:rPr>
      </w:pPr>
    </w:p>
    <w:p w:rsidR="00F80BB8" w:rsidP="004C6617" w:rsidRDefault="00F80BB8" w14:paraId="6158DCAB" w14:textId="37E4EDE3">
      <w:pPr>
        <w:spacing w:after="0" w:line="360" w:lineRule="auto"/>
        <w:jc w:val="center"/>
        <w:rPr>
          <w:rFonts w:eastAsia="Times New Roman" w:cs="Tahoma"/>
          <w:iCs/>
          <w:color w:val="auto"/>
          <w:lang w:val="es-ES" w:eastAsia="es-ES"/>
        </w:rPr>
      </w:pPr>
      <w:r>
        <w:rPr>
          <w:noProof/>
          <w:lang w:eastAsia="es-MX"/>
        </w:rPr>
        <w:drawing>
          <wp:inline distT="0" distB="0" distL="0" distR="0" wp14:anchorId="6486E133" wp14:editId="257A4329">
            <wp:extent cx="5648325" cy="1514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48325" cy="1514475"/>
                    </a:xfrm>
                    <a:prstGeom prst="rect">
                      <a:avLst/>
                    </a:prstGeom>
                  </pic:spPr>
                </pic:pic>
              </a:graphicData>
            </a:graphic>
          </wp:inline>
        </w:drawing>
      </w:r>
    </w:p>
    <w:p w:rsidR="00F80BB8" w:rsidP="004C6617" w:rsidRDefault="00F80BB8" w14:paraId="5E6F495E" w14:textId="4118D137">
      <w:pPr>
        <w:spacing w:after="0" w:line="360" w:lineRule="auto"/>
        <w:jc w:val="center"/>
        <w:rPr>
          <w:rFonts w:eastAsia="Times New Roman" w:cs="Tahoma"/>
          <w:iCs/>
          <w:color w:val="auto"/>
          <w:lang w:val="es-ES" w:eastAsia="es-ES"/>
        </w:rPr>
      </w:pPr>
      <w:r>
        <w:rPr>
          <w:noProof/>
          <w:lang w:eastAsia="es-MX"/>
        </w:rPr>
        <w:drawing>
          <wp:inline distT="0" distB="0" distL="0" distR="0" wp14:anchorId="701EFE73" wp14:editId="701468F3">
            <wp:extent cx="5638800" cy="552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38800" cy="552450"/>
                    </a:xfrm>
                    <a:prstGeom prst="rect">
                      <a:avLst/>
                    </a:prstGeom>
                  </pic:spPr>
                </pic:pic>
              </a:graphicData>
            </a:graphic>
          </wp:inline>
        </w:drawing>
      </w:r>
    </w:p>
    <w:p w:rsidR="00C56550" w:rsidP="004C6617" w:rsidRDefault="00C56550" w14:paraId="2D159687" w14:textId="77777777">
      <w:pPr>
        <w:spacing w:after="0" w:line="360" w:lineRule="auto"/>
        <w:rPr>
          <w:rFonts w:eastAsia="Times New Roman" w:cs="Tahoma"/>
          <w:iCs/>
          <w:color w:val="auto"/>
          <w:lang w:val="es-ES" w:eastAsia="es-ES"/>
        </w:rPr>
      </w:pPr>
    </w:p>
    <w:p w:rsidR="00F80BB8" w:rsidP="004C6617" w:rsidRDefault="00F80BB8" w14:paraId="5A0B3720" w14:textId="6BC12F66">
      <w:pPr>
        <w:spacing w:after="0" w:line="360" w:lineRule="auto"/>
        <w:rPr>
          <w:rFonts w:eastAsia="Times New Roman" w:cs="Tahoma"/>
          <w:iCs/>
          <w:color w:val="auto"/>
          <w:lang w:val="es-ES" w:eastAsia="es-ES"/>
        </w:rPr>
      </w:pPr>
      <w:r>
        <w:rPr>
          <w:rFonts w:eastAsia="Times New Roman" w:cs="Tahoma"/>
          <w:iCs/>
          <w:color w:val="auto"/>
          <w:lang w:val="es-ES" w:eastAsia="es-ES"/>
        </w:rPr>
        <w:t>Como se logra observar, los Sujetos Obligados deben dar a conocer las licencias, autorizaciones y permisos, así como, datos que se encuentran en dichos documentos, tales como el nombre del titular, razón social</w:t>
      </w:r>
      <w:r w:rsidR="003958C0">
        <w:rPr>
          <w:rFonts w:eastAsia="Times New Roman" w:cs="Tahoma"/>
          <w:iCs/>
          <w:color w:val="auto"/>
          <w:lang w:val="es-ES" w:eastAsia="es-ES"/>
        </w:rPr>
        <w:t xml:space="preserve">, servicio brindado, entre otros; situación que toma relevancia, pues en el Portal de Información Pública de Oficio Mexiquense del Sujeto Obligado, en la fracción XXXII (consultado el nueve de diciembre de dos mil veintiuno, a las trece horas, en la liga </w:t>
      </w:r>
      <w:hyperlink w:history="1" r:id="rId10">
        <w:r w:rsidRPr="00AE002E" w:rsidR="003958C0">
          <w:rPr>
            <w:rStyle w:val="Hipervnculo"/>
            <w:rFonts w:eastAsia="Times New Roman" w:cs="Tahoma"/>
            <w:iCs/>
            <w:lang w:val="es-ES" w:eastAsia="es-ES"/>
          </w:rPr>
          <w:t>https://www.ipomex.org.mx/ipo3/lgt/infoExcel/ECATEPEC/art_92_xxxii/3.web</w:t>
        </w:r>
      </w:hyperlink>
      <w:r w:rsidR="003958C0">
        <w:rPr>
          <w:rFonts w:eastAsia="Times New Roman" w:cs="Tahoma"/>
          <w:iCs/>
          <w:color w:val="auto"/>
          <w:lang w:val="es-ES" w:eastAsia="es-ES"/>
        </w:rPr>
        <w:t>), se localizan datos de las licencias de funcionamiento emitidas por el Ayuntamiento, tal como se muestra a continuación:</w:t>
      </w:r>
    </w:p>
    <w:p w:rsidR="003958C0" w:rsidP="004C6617" w:rsidRDefault="003958C0" w14:paraId="52977027" w14:textId="77777777">
      <w:pPr>
        <w:spacing w:after="0" w:line="360" w:lineRule="auto"/>
        <w:rPr>
          <w:rFonts w:eastAsia="Times New Roman" w:cs="Tahoma"/>
          <w:iCs/>
          <w:color w:val="auto"/>
          <w:lang w:val="es-ES" w:eastAsia="es-ES"/>
        </w:rPr>
      </w:pPr>
    </w:p>
    <w:p w:rsidR="003958C0" w:rsidP="004C6617" w:rsidRDefault="00B549E0" w14:paraId="16B66B73" w14:textId="492C2FF8">
      <w:pPr>
        <w:spacing w:after="0" w:line="360" w:lineRule="auto"/>
        <w:rPr>
          <w:rFonts w:eastAsia="Times New Roman" w:cs="Tahoma"/>
          <w:iCs/>
          <w:color w:val="auto"/>
          <w:lang w:val="es-ES" w:eastAsia="es-ES"/>
        </w:rPr>
      </w:pPr>
      <w:r>
        <w:rPr>
          <w:noProof/>
          <w:lang w:eastAsia="es-MX"/>
        </w:rPr>
        <w:drawing>
          <wp:inline distT="0" distB="0" distL="0" distR="0" wp14:anchorId="3F3916C9" wp14:editId="66488214">
            <wp:extent cx="5791835" cy="23139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313940"/>
                    </a:xfrm>
                    <a:prstGeom prst="rect">
                      <a:avLst/>
                    </a:prstGeom>
                  </pic:spPr>
                </pic:pic>
              </a:graphicData>
            </a:graphic>
          </wp:inline>
        </w:drawing>
      </w:r>
    </w:p>
    <w:p w:rsidR="00F80BB8" w:rsidP="004C6617" w:rsidRDefault="00F80BB8" w14:paraId="6548727B" w14:textId="77777777">
      <w:pPr>
        <w:spacing w:after="0" w:line="360" w:lineRule="auto"/>
        <w:rPr>
          <w:rFonts w:eastAsia="Times New Roman" w:cs="Tahoma"/>
          <w:iCs/>
          <w:color w:val="auto"/>
          <w:lang w:val="es-ES" w:eastAsia="es-ES"/>
        </w:rPr>
      </w:pPr>
    </w:p>
    <w:p w:rsidR="00B549E0" w:rsidP="004C6617" w:rsidRDefault="00B549E0" w14:paraId="5013762A" w14:textId="6A48DE60">
      <w:pPr>
        <w:spacing w:after="0" w:line="360" w:lineRule="auto"/>
        <w:rPr>
          <w:rFonts w:eastAsia="Times New Roman" w:cs="Tahoma"/>
          <w:iCs/>
          <w:color w:val="auto"/>
          <w:lang w:val="es-ES" w:eastAsia="es-ES"/>
        </w:rPr>
      </w:pPr>
      <w:r>
        <w:rPr>
          <w:rFonts w:eastAsia="Times New Roman" w:cs="Tahoma"/>
          <w:iCs/>
          <w:color w:val="auto"/>
          <w:lang w:val="es-ES" w:eastAsia="es-ES"/>
        </w:rPr>
        <w:t>Conforme a lo anterior, se logra observar que las licencias, permisos o autorizaciones de funcionamiento, guardan la naturaleza de públicas, pues dan cuenta del actuar del Ayuntamiento, además si bien podrían hacer identificable al titular de las autorizaciones, lo cierto, es que se trata de información pública de oficio y por normatividad, dicho dato debe estar visible en los establecimientos; por lo que, dar a conocer la información de estas, permite a la ciudadanía verificar que la información que obra en los registros de la Subdirección de Desarrollo Económico y la de los establecimientos coincide.</w:t>
      </w:r>
    </w:p>
    <w:p w:rsidR="00B549E0" w:rsidP="004C6617" w:rsidRDefault="00B549E0" w14:paraId="06B32E75" w14:textId="77777777">
      <w:pPr>
        <w:spacing w:after="0" w:line="360" w:lineRule="auto"/>
        <w:rPr>
          <w:rFonts w:eastAsia="Times New Roman" w:cs="Tahoma"/>
          <w:iCs/>
          <w:color w:val="auto"/>
          <w:lang w:val="es-ES" w:eastAsia="es-ES"/>
        </w:rPr>
      </w:pPr>
    </w:p>
    <w:p w:rsidR="00A97D8B" w:rsidP="004C6617" w:rsidRDefault="001E3EC0" w14:paraId="31674159" w14:textId="036BB405">
      <w:pPr>
        <w:tabs>
          <w:tab w:val="left" w:pos="4962"/>
        </w:tabs>
        <w:spacing w:after="0" w:line="360" w:lineRule="auto"/>
        <w:rPr>
          <w:rFonts w:cs="Tahoma"/>
          <w:szCs w:val="24"/>
        </w:rPr>
      </w:pPr>
      <w:r>
        <w:rPr>
          <w:rFonts w:cs="Tahoma"/>
          <w:szCs w:val="24"/>
        </w:rPr>
        <w:t>Así</w:t>
      </w:r>
      <w:r w:rsidR="00A97D8B">
        <w:rPr>
          <w:rFonts w:cs="Tahoma"/>
          <w:szCs w:val="24"/>
        </w:rPr>
        <w:t>, la información relacionada con las licencias de funcionamiento, no actualizan la causal de clasificación prevista en el artículo 143, fracción I, de la Ley de Transparencia y Acceso a la Información Pública del Estado de México y Municipios, al estar relacionada con un acto de autori</w:t>
      </w:r>
      <w:r w:rsidR="006911B3">
        <w:rPr>
          <w:rFonts w:cs="Tahoma"/>
          <w:szCs w:val="24"/>
        </w:rPr>
        <w:t xml:space="preserve">dad, mediante el cual se le permitió a una persona física o moral, </w:t>
      </w:r>
      <w:r w:rsidR="009A74E3">
        <w:rPr>
          <w:rFonts w:cs="Tahoma"/>
          <w:szCs w:val="24"/>
        </w:rPr>
        <w:t>realizar una actividad comercial, industrial o de servicios; aunado a que parte de los datos del propietario del establecimiento, como lo es su nombre, corresponde a información p</w:t>
      </w:r>
      <w:r w:rsidR="004C4ED6">
        <w:rPr>
          <w:rFonts w:cs="Tahoma"/>
          <w:szCs w:val="24"/>
        </w:rPr>
        <w:t>ública de oficio; por lo que, resulta improcedente la respuesta emitida.</w:t>
      </w:r>
    </w:p>
    <w:p w:rsidR="004C4ED6" w:rsidP="004C6617" w:rsidRDefault="004C4ED6" w14:paraId="3F23E10E" w14:textId="77777777">
      <w:pPr>
        <w:tabs>
          <w:tab w:val="left" w:pos="4962"/>
        </w:tabs>
        <w:spacing w:after="0" w:line="360" w:lineRule="auto"/>
        <w:rPr>
          <w:rFonts w:cs="Tahoma"/>
          <w:szCs w:val="24"/>
        </w:rPr>
      </w:pPr>
    </w:p>
    <w:p w:rsidR="004C6617" w:rsidP="004C6617" w:rsidRDefault="004C6617" w14:paraId="4D05ACB7" w14:textId="77777777">
      <w:pPr>
        <w:tabs>
          <w:tab w:val="left" w:pos="4962"/>
        </w:tabs>
        <w:spacing w:after="0" w:line="360" w:lineRule="auto"/>
        <w:rPr>
          <w:rFonts w:cs="Tahoma"/>
          <w:szCs w:val="24"/>
        </w:rPr>
      </w:pPr>
    </w:p>
    <w:p w:rsidR="004C4ED6" w:rsidP="004C6617" w:rsidRDefault="004C4ED6" w14:paraId="6C20AE41" w14:textId="55E5E694">
      <w:pPr>
        <w:spacing w:after="0" w:line="360" w:lineRule="auto"/>
        <w:rPr>
          <w:rFonts w:cs="Tahoma"/>
          <w:bCs/>
          <w:color w:val="0D0D0D"/>
        </w:rPr>
      </w:pPr>
      <w:r>
        <w:rPr>
          <w:rFonts w:cs="Tahoma"/>
          <w:bCs/>
          <w:color w:val="0D0D0D"/>
        </w:rPr>
        <w:lastRenderedPageBreak/>
        <w:t>Conforme a lo anterior, se logra advertir que el Sujeto Obligado deberá realizar la búsqueda de la información en la Dirección de Desarrollo Económico, para así dar cumplimiento al artículo 162 de la Ley de Transparencia y Acceso a la Información Pública del Estado de México y Municipios.</w:t>
      </w:r>
    </w:p>
    <w:p w:rsidR="004C4ED6" w:rsidP="004C6617" w:rsidRDefault="004C4ED6" w14:paraId="3CC9E116" w14:textId="77777777">
      <w:pPr>
        <w:spacing w:after="0" w:line="360" w:lineRule="auto"/>
        <w:rPr>
          <w:rFonts w:cs="Tahoma"/>
          <w:bCs/>
          <w:color w:val="0D0D0D"/>
        </w:rPr>
      </w:pPr>
    </w:p>
    <w:p w:rsidR="004C4ED6" w:rsidP="004C6617" w:rsidRDefault="004C4ED6" w14:paraId="27CCCB01" w14:textId="77777777">
      <w:pPr>
        <w:spacing w:after="0" w:line="360" w:lineRule="auto"/>
        <w:rPr>
          <w:rFonts w:cs="Tahoma"/>
          <w:bCs/>
          <w:color w:val="0D0D0D"/>
        </w:rPr>
      </w:pPr>
      <w:r>
        <w:rPr>
          <w:rFonts w:cs="Tahoma"/>
          <w:bCs/>
          <w:color w:val="0D0D0D"/>
        </w:rPr>
        <w:t>Ahora bien, respecto a la información peticionada, es necesario recordar que del análisis de la solicitud y el Recurso de Revisión, la pretensión del ahora Recurrente es obtener una base de datos, con información respecto a las licencias o autorizaciones de funcionamiento emitidas por el Ayuntamiento, para realizar determinadas actividades, tan es así, que las requiere en un formato compatible con el programa “Microsoft Excel”.</w:t>
      </w:r>
    </w:p>
    <w:p w:rsidR="004C4ED6" w:rsidP="004C6617" w:rsidRDefault="004C4ED6" w14:paraId="7694C02C" w14:textId="77777777">
      <w:pPr>
        <w:spacing w:after="0" w:line="360" w:lineRule="auto"/>
        <w:rPr>
          <w:rFonts w:cs="Tahoma"/>
          <w:bCs/>
          <w:color w:val="0D0D0D"/>
        </w:rPr>
      </w:pPr>
    </w:p>
    <w:p w:rsidRPr="00155A0C" w:rsidR="004C4ED6" w:rsidP="004C6617" w:rsidRDefault="004C4ED6" w14:paraId="439D5DE2" w14:textId="7244D82B">
      <w:pPr>
        <w:spacing w:after="0" w:line="360" w:lineRule="auto"/>
        <w:rPr>
          <w:rFonts w:eastAsia="Times New Roman" w:cs="Tahoma"/>
          <w:iCs/>
          <w:color w:val="auto"/>
          <w:lang w:eastAsia="es-ES"/>
        </w:rPr>
      </w:pPr>
      <w:r>
        <w:rPr>
          <w:rFonts w:cs="Tahoma"/>
          <w:bCs/>
          <w:color w:val="0D0D0D"/>
        </w:rPr>
        <w:t>En ese sentido, los artículos 7°, fracciones I y III, 10 y 11, de la Ley de Competitividad y Ordenamiento Comercial del Estado de México, precisa</w:t>
      </w:r>
      <w:r w:rsidR="001E3EC0">
        <w:rPr>
          <w:rFonts w:cs="Tahoma"/>
          <w:bCs/>
          <w:color w:val="0D0D0D"/>
        </w:rPr>
        <w:t>n</w:t>
      </w:r>
      <w:r>
        <w:rPr>
          <w:rFonts w:cs="Tahoma"/>
          <w:bCs/>
          <w:color w:val="0D0D0D"/>
        </w:rPr>
        <w:t xml:space="preserve"> que los Ayuntamientos tienen la obligación de crear el Registro Municipal de Unidades Económicas, donde se </w:t>
      </w:r>
      <w:r w:rsidR="001E3EC0">
        <w:rPr>
          <w:rFonts w:cs="Tahoma"/>
          <w:bCs/>
          <w:color w:val="0D0D0D"/>
        </w:rPr>
        <w:t>establecen</w:t>
      </w:r>
      <w:r>
        <w:rPr>
          <w:rFonts w:cs="Tahoma"/>
          <w:bCs/>
          <w:color w:val="0D0D0D"/>
        </w:rPr>
        <w:t xml:space="preserve"> los datos de la licencia de funcionamiento con la actividad económica, y las demás características que se determinen; así como, operar, digitalizar y mantener actualizado dicho registro. Atribuciones que realiza el Área de Regulación Comercial.</w:t>
      </w:r>
    </w:p>
    <w:p w:rsidR="004C4ED6" w:rsidP="004C6617" w:rsidRDefault="004C4ED6" w14:paraId="0727715C" w14:textId="77777777">
      <w:pPr>
        <w:spacing w:after="0" w:line="360" w:lineRule="auto"/>
        <w:rPr>
          <w:rFonts w:eastAsia="Times New Roman" w:cs="Tahoma"/>
          <w:iCs/>
          <w:color w:val="auto"/>
          <w:lang w:eastAsia="es-ES"/>
        </w:rPr>
      </w:pPr>
    </w:p>
    <w:p w:rsidR="004C4ED6" w:rsidP="004C6617" w:rsidRDefault="004C4ED6" w14:paraId="0F348A20" w14:textId="77777777">
      <w:pPr>
        <w:spacing w:after="0" w:line="360" w:lineRule="auto"/>
        <w:rPr>
          <w:rFonts w:eastAsia="Times New Roman" w:cs="Tahoma"/>
          <w:iCs/>
          <w:color w:val="auto"/>
          <w:lang w:eastAsia="es-ES"/>
        </w:rPr>
      </w:pPr>
      <w:r>
        <w:rPr>
          <w:rFonts w:eastAsia="Times New Roman" w:cs="Tahoma"/>
          <w:iCs/>
          <w:color w:val="auto"/>
          <w:lang w:eastAsia="es-ES"/>
        </w:rPr>
        <w:t>Además, que dicho registro se conformará de los siguientes datos:</w:t>
      </w:r>
    </w:p>
    <w:p w:rsidR="004C4ED6" w:rsidP="004C6617" w:rsidRDefault="004C4ED6" w14:paraId="6DA3ADD6" w14:textId="77777777">
      <w:pPr>
        <w:spacing w:after="0" w:line="360" w:lineRule="auto"/>
        <w:rPr>
          <w:rFonts w:eastAsia="Times New Roman" w:cs="Tahoma"/>
          <w:iCs/>
          <w:color w:val="auto"/>
          <w:lang w:eastAsia="es-ES"/>
        </w:rPr>
      </w:pPr>
    </w:p>
    <w:p w:rsidR="004C4ED6" w:rsidP="004C6617" w:rsidRDefault="004C4ED6" w14:paraId="3B50DE22" w14:textId="77777777">
      <w:pPr>
        <w:pStyle w:val="Prrafodelista"/>
        <w:numPr>
          <w:ilvl w:val="0"/>
          <w:numId w:val="18"/>
        </w:numPr>
        <w:spacing w:after="0" w:line="360" w:lineRule="auto"/>
        <w:rPr>
          <w:rFonts w:eastAsia="Times New Roman" w:cs="Tahoma"/>
          <w:iCs/>
          <w:color w:val="auto"/>
          <w:lang w:eastAsia="es-ES"/>
        </w:rPr>
      </w:pPr>
      <w:r>
        <w:rPr>
          <w:rFonts w:eastAsia="Times New Roman" w:cs="Tahoma"/>
          <w:iCs/>
          <w:color w:val="auto"/>
          <w:lang w:eastAsia="es-ES"/>
        </w:rPr>
        <w:t>Clave Única del establecimiento;</w:t>
      </w:r>
    </w:p>
    <w:p w:rsidR="004C4ED6" w:rsidP="004C6617" w:rsidRDefault="004C4ED6" w14:paraId="28668DB4" w14:textId="77777777">
      <w:pPr>
        <w:pStyle w:val="Prrafodelista"/>
        <w:numPr>
          <w:ilvl w:val="0"/>
          <w:numId w:val="18"/>
        </w:numPr>
        <w:spacing w:after="0" w:line="360" w:lineRule="auto"/>
        <w:rPr>
          <w:rFonts w:eastAsia="Times New Roman" w:cs="Tahoma"/>
          <w:iCs/>
          <w:color w:val="auto"/>
          <w:lang w:eastAsia="es-ES"/>
        </w:rPr>
      </w:pPr>
      <w:r>
        <w:rPr>
          <w:rFonts w:eastAsia="Times New Roman" w:cs="Tahoma"/>
          <w:iCs/>
          <w:color w:val="auto"/>
          <w:lang w:eastAsia="es-ES"/>
        </w:rPr>
        <w:t>Nombre del titular (denominación o razón social, persona física o moral);</w:t>
      </w:r>
    </w:p>
    <w:p w:rsidR="004C4ED6" w:rsidP="004C6617" w:rsidRDefault="004C4ED6" w14:paraId="0156F395" w14:textId="77777777">
      <w:pPr>
        <w:pStyle w:val="Prrafodelista"/>
        <w:numPr>
          <w:ilvl w:val="0"/>
          <w:numId w:val="18"/>
        </w:numPr>
        <w:spacing w:after="0" w:line="360" w:lineRule="auto"/>
        <w:rPr>
          <w:rFonts w:eastAsia="Times New Roman" w:cs="Tahoma"/>
          <w:iCs/>
          <w:color w:val="auto"/>
          <w:lang w:eastAsia="es-ES"/>
        </w:rPr>
      </w:pPr>
      <w:r>
        <w:rPr>
          <w:rFonts w:eastAsia="Times New Roman" w:cs="Tahoma"/>
          <w:iCs/>
          <w:color w:val="auto"/>
          <w:lang w:eastAsia="es-ES"/>
        </w:rPr>
        <w:t>Dirección, y</w:t>
      </w:r>
    </w:p>
    <w:p w:rsidRPr="00B42524" w:rsidR="004C4ED6" w:rsidP="004C6617" w:rsidRDefault="004C4ED6" w14:paraId="7FCB4FA6" w14:textId="77777777">
      <w:pPr>
        <w:pStyle w:val="Prrafodelista"/>
        <w:numPr>
          <w:ilvl w:val="0"/>
          <w:numId w:val="18"/>
        </w:numPr>
        <w:spacing w:after="0" w:line="360" w:lineRule="auto"/>
        <w:rPr>
          <w:rFonts w:eastAsia="Times New Roman" w:cs="Tahoma"/>
          <w:iCs/>
          <w:color w:val="auto"/>
          <w:lang w:eastAsia="es-ES"/>
        </w:rPr>
      </w:pPr>
      <w:r>
        <w:rPr>
          <w:rFonts w:eastAsia="Times New Roman" w:cs="Tahoma"/>
          <w:iCs/>
          <w:color w:val="auto"/>
          <w:lang w:eastAsia="es-ES"/>
        </w:rPr>
        <w:t>Otros que determinen las disposiciones aplicables.</w:t>
      </w:r>
    </w:p>
    <w:p w:rsidR="004C4ED6" w:rsidP="004C6617" w:rsidRDefault="004C4ED6" w14:paraId="35BBA02C" w14:textId="77777777">
      <w:pPr>
        <w:spacing w:after="0" w:line="360" w:lineRule="auto"/>
        <w:rPr>
          <w:rFonts w:eastAsia="Times New Roman" w:cs="Tahoma"/>
          <w:iCs/>
          <w:color w:val="auto"/>
          <w:lang w:eastAsia="es-ES"/>
        </w:rPr>
      </w:pPr>
    </w:p>
    <w:p w:rsidRPr="002A09C1" w:rsidR="004C4ED6" w:rsidP="004C6617" w:rsidRDefault="004C4ED6" w14:paraId="79FC8994" w14:textId="77777777">
      <w:pPr>
        <w:spacing w:after="0" w:line="360" w:lineRule="auto"/>
        <w:rPr>
          <w:rFonts w:cs="Tahoma"/>
          <w:iCs/>
          <w:lang w:val="es-ES"/>
        </w:rPr>
      </w:pPr>
      <w:r>
        <w:rPr>
          <w:rFonts w:eastAsia="Times New Roman" w:cs="Tahoma"/>
          <w:iCs/>
          <w:color w:val="auto"/>
          <w:lang w:eastAsia="es-ES"/>
        </w:rPr>
        <w:t xml:space="preserve">Como se logra observar, el Registro Municipal de Unidades Económicas, es el documento que daría cuenta de lo solicitado, pues corresponde a la base de datos que genera el Sujeto </w:t>
      </w:r>
      <w:r>
        <w:rPr>
          <w:rFonts w:eastAsia="Times New Roman" w:cs="Tahoma"/>
          <w:iCs/>
          <w:color w:val="auto"/>
          <w:lang w:eastAsia="es-ES"/>
        </w:rPr>
        <w:lastRenderedPageBreak/>
        <w:t>Obligado, por normatividad y que contiene la información de las autorizaciones de funcionamiento realizadas por el Área de Regulación Comercial; d</w:t>
      </w:r>
      <w:r>
        <w:rPr>
          <w:rFonts w:eastAsia="Times New Roman" w:cs="Tahoma"/>
          <w:bCs/>
          <w:iCs/>
          <w:color w:val="auto"/>
          <w:lang w:eastAsia="es-ES"/>
        </w:rPr>
        <w:t>i</w:t>
      </w:r>
      <w:r w:rsidRPr="002A09C1">
        <w:rPr>
          <w:bCs/>
          <w:iCs/>
        </w:rPr>
        <w:t>cha situación toma sustento en</w:t>
      </w:r>
      <w:r w:rsidRPr="002A09C1">
        <w:rPr>
          <w:bCs/>
        </w:rPr>
        <w:t xml:space="preserve"> el</w:t>
      </w:r>
      <w:r w:rsidRPr="002A09C1">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w:t>
      </w:r>
      <w:r w:rsidRPr="002A09C1">
        <w:rPr>
          <w:rFonts w:cs="Tahoma"/>
          <w:iCs/>
          <w:lang w:val="es-ES"/>
        </w:rPr>
        <w:t>misma, ni presentarla conforme al interés del Solicitante.</w:t>
      </w:r>
    </w:p>
    <w:p w:rsidRPr="002A09C1" w:rsidR="004C4ED6" w:rsidP="004C6617" w:rsidRDefault="004C4ED6" w14:paraId="6836EB8C" w14:textId="77777777">
      <w:pPr>
        <w:spacing w:after="0" w:line="360" w:lineRule="auto"/>
        <w:rPr>
          <w:rFonts w:cs="Tahoma"/>
          <w:iCs/>
          <w:lang w:val="es-ES"/>
        </w:rPr>
      </w:pPr>
    </w:p>
    <w:p w:rsidRPr="00F27192" w:rsidR="004C4ED6" w:rsidP="004C6617" w:rsidRDefault="004C4ED6" w14:paraId="1DF75292" w14:textId="77777777">
      <w:pPr>
        <w:tabs>
          <w:tab w:val="left" w:pos="4962"/>
        </w:tabs>
        <w:spacing w:after="0" w:line="360" w:lineRule="auto"/>
        <w:rPr>
          <w:rFonts w:eastAsia="Calibri" w:cs="Tahoma"/>
          <w:iCs/>
          <w:color w:val="auto"/>
          <w:lang w:val="es-ES" w:eastAsia="es-ES_tradnl"/>
        </w:rPr>
      </w:pPr>
      <w:r w:rsidRPr="00F27192">
        <w:rPr>
          <w:rFonts w:eastAsia="Times New Roman" w:cs="Tahoma"/>
          <w:color w:val="auto"/>
          <w:lang w:eastAsia="es-ES"/>
        </w:rPr>
        <w:t xml:space="preserve">De esta manera, </w:t>
      </w:r>
      <w:r w:rsidRPr="00F27192">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F27192">
        <w:rPr>
          <w:rFonts w:eastAsia="Times New Roman" w:cs="Tahoma"/>
          <w:i/>
          <w:color w:val="auto"/>
          <w:lang w:eastAsia="es-ES"/>
        </w:rPr>
        <w:t>ad hoc</w:t>
      </w:r>
      <w:r w:rsidRPr="00F27192">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Además, resulta aplicable </w:t>
      </w:r>
      <w:r w:rsidRPr="00F27192">
        <w:rPr>
          <w:rFonts w:eastAsia="Calibri" w:cs="Tahoma"/>
          <w:iCs/>
          <w:color w:val="auto"/>
          <w:lang w:val="es-ES" w:eastAsia="es-ES_tradnl"/>
        </w:rPr>
        <w:t>el Criterio 03/17 del Instituto Nacional de Transparencia, Acceso a la Información y Protección de Datos Personales que a continuación se cita:</w:t>
      </w:r>
    </w:p>
    <w:p w:rsidRPr="00F27192" w:rsidR="004C4ED6" w:rsidP="004C6617" w:rsidRDefault="004C4ED6" w14:paraId="3427766B" w14:textId="77777777">
      <w:pPr>
        <w:spacing w:after="0" w:line="360" w:lineRule="auto"/>
        <w:rPr>
          <w:rFonts w:eastAsia="Arial" w:cs="Arial"/>
          <w:b/>
          <w:color w:val="auto"/>
          <w:szCs w:val="20"/>
          <w:lang w:eastAsia="es-ES"/>
        </w:rPr>
      </w:pPr>
    </w:p>
    <w:p w:rsidRPr="00F27192" w:rsidR="004C4ED6" w:rsidP="004C6617" w:rsidRDefault="004C4ED6" w14:paraId="68F6B65E" w14:textId="77777777">
      <w:pPr>
        <w:spacing w:after="0" w:line="360" w:lineRule="auto"/>
        <w:ind w:left="567" w:right="567"/>
        <w:rPr>
          <w:rFonts w:eastAsia="Arial" w:cs="Arial"/>
          <w:i/>
          <w:color w:val="auto"/>
          <w:sz w:val="20"/>
          <w:szCs w:val="20"/>
          <w:lang w:eastAsia="es-ES"/>
        </w:rPr>
      </w:pPr>
      <w:r w:rsidRPr="00F27192">
        <w:rPr>
          <w:rFonts w:eastAsia="Arial" w:cs="Arial"/>
          <w:b/>
          <w:i/>
          <w:color w:val="auto"/>
          <w:sz w:val="20"/>
          <w:szCs w:val="20"/>
          <w:lang w:eastAsia="es-ES"/>
        </w:rPr>
        <w:t xml:space="preserve">“No existe obligación de elaborar </w:t>
      </w:r>
      <w:r w:rsidRPr="00F27192">
        <w:rPr>
          <w:rFonts w:eastAsia="Arial" w:cs="Arial"/>
          <w:b/>
          <w:i/>
          <w:color w:val="auto"/>
          <w:spacing w:val="-3"/>
          <w:sz w:val="20"/>
          <w:szCs w:val="20"/>
          <w:lang w:eastAsia="es-ES"/>
        </w:rPr>
        <w:t>d</w:t>
      </w:r>
      <w:r w:rsidRPr="00F27192">
        <w:rPr>
          <w:rFonts w:eastAsia="Arial" w:cs="Arial"/>
          <w:b/>
          <w:i/>
          <w:color w:val="auto"/>
          <w:sz w:val="20"/>
          <w:szCs w:val="20"/>
          <w:lang w:eastAsia="es-ES"/>
        </w:rPr>
        <w:t>ocum</w:t>
      </w:r>
      <w:r w:rsidRPr="00F27192">
        <w:rPr>
          <w:rFonts w:eastAsia="Arial" w:cs="Arial"/>
          <w:b/>
          <w:i/>
          <w:color w:val="auto"/>
          <w:spacing w:val="1"/>
          <w:sz w:val="20"/>
          <w:szCs w:val="20"/>
          <w:lang w:eastAsia="es-ES"/>
        </w:rPr>
        <w:t>e</w:t>
      </w:r>
      <w:r w:rsidRPr="00F27192">
        <w:rPr>
          <w:rFonts w:eastAsia="Arial" w:cs="Arial"/>
          <w:b/>
          <w:i/>
          <w:color w:val="auto"/>
          <w:sz w:val="20"/>
          <w:szCs w:val="20"/>
          <w:lang w:eastAsia="es-ES"/>
        </w:rPr>
        <w:t>n</w:t>
      </w:r>
      <w:r w:rsidRPr="00F27192">
        <w:rPr>
          <w:rFonts w:eastAsia="Arial" w:cs="Arial"/>
          <w:b/>
          <w:i/>
          <w:color w:val="auto"/>
          <w:spacing w:val="-1"/>
          <w:sz w:val="20"/>
          <w:szCs w:val="20"/>
          <w:lang w:eastAsia="es-ES"/>
        </w:rPr>
        <w:t>t</w:t>
      </w:r>
      <w:r w:rsidRPr="00F27192">
        <w:rPr>
          <w:rFonts w:eastAsia="Arial" w:cs="Arial"/>
          <w:b/>
          <w:i/>
          <w:color w:val="auto"/>
          <w:sz w:val="20"/>
          <w:szCs w:val="20"/>
          <w:lang w:eastAsia="es-ES"/>
        </w:rPr>
        <w:t xml:space="preserve">os </w:t>
      </w:r>
      <w:r w:rsidRPr="00F27192">
        <w:rPr>
          <w:rFonts w:eastAsia="Arial" w:cs="Arial"/>
          <w:b/>
          <w:i/>
          <w:color w:val="auto"/>
          <w:spacing w:val="-1"/>
          <w:sz w:val="20"/>
          <w:szCs w:val="20"/>
          <w:lang w:eastAsia="es-ES"/>
        </w:rPr>
        <w:t xml:space="preserve">ad </w:t>
      </w:r>
      <w:r w:rsidRPr="00F27192">
        <w:rPr>
          <w:rFonts w:eastAsia="Arial" w:cs="Arial"/>
          <w:b/>
          <w:i/>
          <w:color w:val="auto"/>
          <w:sz w:val="20"/>
          <w:szCs w:val="20"/>
          <w:lang w:eastAsia="es-ES"/>
        </w:rPr>
        <w:t>hoc para atender las sol</w:t>
      </w:r>
      <w:r w:rsidRPr="00F27192">
        <w:rPr>
          <w:rFonts w:eastAsia="Arial" w:cs="Arial"/>
          <w:b/>
          <w:i/>
          <w:color w:val="auto"/>
          <w:spacing w:val="-2"/>
          <w:sz w:val="20"/>
          <w:szCs w:val="20"/>
          <w:lang w:eastAsia="es-ES"/>
        </w:rPr>
        <w:t>i</w:t>
      </w:r>
      <w:r w:rsidRPr="00F27192">
        <w:rPr>
          <w:rFonts w:eastAsia="Arial" w:cs="Arial"/>
          <w:b/>
          <w:i/>
          <w:color w:val="auto"/>
          <w:spacing w:val="1"/>
          <w:sz w:val="20"/>
          <w:szCs w:val="20"/>
          <w:lang w:eastAsia="es-ES"/>
        </w:rPr>
        <w:t>c</w:t>
      </w:r>
      <w:r w:rsidRPr="00F27192">
        <w:rPr>
          <w:rFonts w:eastAsia="Arial" w:cs="Arial"/>
          <w:b/>
          <w:i/>
          <w:color w:val="auto"/>
          <w:sz w:val="20"/>
          <w:szCs w:val="20"/>
          <w:lang w:eastAsia="es-ES"/>
        </w:rPr>
        <w:t xml:space="preserve">itudes de </w:t>
      </w:r>
      <w:r w:rsidRPr="00F27192">
        <w:rPr>
          <w:rFonts w:eastAsia="Arial" w:cs="Arial"/>
          <w:b/>
          <w:i/>
          <w:color w:val="auto"/>
          <w:spacing w:val="1"/>
          <w:sz w:val="20"/>
          <w:szCs w:val="20"/>
          <w:lang w:eastAsia="es-ES"/>
        </w:rPr>
        <w:t>ac</w:t>
      </w:r>
      <w:r w:rsidRPr="00F27192">
        <w:rPr>
          <w:rFonts w:eastAsia="Arial" w:cs="Arial"/>
          <w:b/>
          <w:i/>
          <w:color w:val="auto"/>
          <w:spacing w:val="-1"/>
          <w:sz w:val="20"/>
          <w:szCs w:val="20"/>
          <w:lang w:eastAsia="es-ES"/>
        </w:rPr>
        <w:t>c</w:t>
      </w:r>
      <w:r w:rsidRPr="00F27192">
        <w:rPr>
          <w:rFonts w:eastAsia="Arial" w:cs="Arial"/>
          <w:b/>
          <w:i/>
          <w:color w:val="auto"/>
          <w:spacing w:val="1"/>
          <w:sz w:val="20"/>
          <w:szCs w:val="20"/>
          <w:lang w:eastAsia="es-ES"/>
        </w:rPr>
        <w:t>es</w:t>
      </w:r>
      <w:r w:rsidRPr="00F27192">
        <w:rPr>
          <w:rFonts w:eastAsia="Arial" w:cs="Arial"/>
          <w:b/>
          <w:i/>
          <w:color w:val="auto"/>
          <w:sz w:val="20"/>
          <w:szCs w:val="20"/>
          <w:lang w:eastAsia="es-ES"/>
        </w:rPr>
        <w:t>o a la informa</w:t>
      </w:r>
      <w:r w:rsidRPr="00F27192">
        <w:rPr>
          <w:rFonts w:eastAsia="Arial" w:cs="Arial"/>
          <w:b/>
          <w:i/>
          <w:color w:val="auto"/>
          <w:spacing w:val="1"/>
          <w:sz w:val="20"/>
          <w:szCs w:val="20"/>
          <w:lang w:eastAsia="es-ES"/>
        </w:rPr>
        <w:t>c</w:t>
      </w:r>
      <w:r w:rsidRPr="00F27192">
        <w:rPr>
          <w:rFonts w:eastAsia="Arial" w:cs="Arial"/>
          <w:b/>
          <w:i/>
          <w:color w:val="auto"/>
          <w:sz w:val="20"/>
          <w:szCs w:val="20"/>
          <w:lang w:eastAsia="es-ES"/>
        </w:rPr>
        <w:t>ió</w:t>
      </w:r>
      <w:r w:rsidRPr="00F27192">
        <w:rPr>
          <w:rFonts w:eastAsia="Arial" w:cs="Arial"/>
          <w:b/>
          <w:i/>
          <w:color w:val="auto"/>
          <w:spacing w:val="-2"/>
          <w:sz w:val="20"/>
          <w:szCs w:val="20"/>
          <w:lang w:eastAsia="es-ES"/>
        </w:rPr>
        <w:t>n</w:t>
      </w:r>
      <w:r w:rsidRPr="00F27192">
        <w:rPr>
          <w:rFonts w:eastAsia="Arial" w:cs="Arial"/>
          <w:b/>
          <w:i/>
          <w:color w:val="auto"/>
          <w:sz w:val="20"/>
          <w:szCs w:val="20"/>
          <w:lang w:eastAsia="es-ES"/>
        </w:rPr>
        <w:t xml:space="preserve">. </w:t>
      </w:r>
      <w:r w:rsidRPr="00F27192">
        <w:rPr>
          <w:rFonts w:eastAsia="Arial" w:cs="Arial"/>
          <w:i/>
          <w:color w:val="auto"/>
          <w:spacing w:val="18"/>
          <w:sz w:val="20"/>
          <w:szCs w:val="20"/>
          <w:lang w:eastAsia="es-ES"/>
        </w:rPr>
        <w:t>L</w:t>
      </w:r>
      <w:r w:rsidRPr="00F27192">
        <w:rPr>
          <w:rFonts w:eastAsia="Arial" w:cs="Arial"/>
          <w:i/>
          <w:color w:val="auto"/>
          <w:spacing w:val="-1"/>
          <w:sz w:val="20"/>
          <w:szCs w:val="20"/>
          <w:lang w:eastAsia="es-ES"/>
        </w:rPr>
        <w:t xml:space="preserve">os </w:t>
      </w:r>
      <w:r w:rsidRPr="00F27192">
        <w:rPr>
          <w:rFonts w:eastAsia="Arial" w:cs="Arial"/>
          <w:i/>
          <w:color w:val="auto"/>
          <w:spacing w:val="1"/>
          <w:sz w:val="20"/>
          <w:szCs w:val="20"/>
          <w:lang w:eastAsia="es-ES"/>
        </w:rPr>
        <w:t>a</w:t>
      </w:r>
      <w:r w:rsidRPr="00F27192">
        <w:rPr>
          <w:rFonts w:eastAsia="Arial" w:cs="Arial"/>
          <w:i/>
          <w:color w:val="auto"/>
          <w:sz w:val="20"/>
          <w:szCs w:val="20"/>
          <w:lang w:eastAsia="es-ES"/>
        </w:rPr>
        <w:t>rt</w:t>
      </w:r>
      <w:r w:rsidRPr="00F27192">
        <w:rPr>
          <w:rFonts w:eastAsia="Arial" w:cs="Arial"/>
          <w:i/>
          <w:color w:val="auto"/>
          <w:spacing w:val="-2"/>
          <w:sz w:val="20"/>
          <w:szCs w:val="20"/>
          <w:lang w:eastAsia="es-ES"/>
        </w:rPr>
        <w:t>í</w:t>
      </w:r>
      <w:r w:rsidRPr="00F27192">
        <w:rPr>
          <w:rFonts w:eastAsia="Arial" w:cs="Arial"/>
          <w:i/>
          <w:color w:val="auto"/>
          <w:sz w:val="20"/>
          <w:szCs w:val="20"/>
          <w:lang w:eastAsia="es-ES"/>
        </w:rPr>
        <w:t>c</w:t>
      </w:r>
      <w:r w:rsidRPr="00F27192">
        <w:rPr>
          <w:rFonts w:eastAsia="Arial" w:cs="Arial"/>
          <w:i/>
          <w:color w:val="auto"/>
          <w:spacing w:val="1"/>
          <w:sz w:val="20"/>
          <w:szCs w:val="20"/>
          <w:lang w:eastAsia="es-ES"/>
        </w:rPr>
        <w:t>u</w:t>
      </w:r>
      <w:r w:rsidRPr="00F27192">
        <w:rPr>
          <w:rFonts w:eastAsia="Arial" w:cs="Arial"/>
          <w:i/>
          <w:color w:val="auto"/>
          <w:sz w:val="20"/>
          <w:szCs w:val="20"/>
          <w:lang w:eastAsia="es-ES"/>
        </w:rPr>
        <w:t>los</w:t>
      </w:r>
      <w:r w:rsidRPr="00F27192">
        <w:rPr>
          <w:rFonts w:eastAsia="Arial" w:cs="Arial"/>
          <w:i/>
          <w:color w:val="auto"/>
          <w:spacing w:val="8"/>
          <w:sz w:val="20"/>
          <w:szCs w:val="20"/>
          <w:lang w:eastAsia="es-ES"/>
        </w:rPr>
        <w:t xml:space="preserve"> 129 </w:t>
      </w:r>
      <w:r w:rsidRPr="00F27192">
        <w:rPr>
          <w:rFonts w:eastAsia="Arial" w:cs="Arial"/>
          <w:i/>
          <w:color w:val="auto"/>
          <w:spacing w:val="1"/>
          <w:sz w:val="20"/>
          <w:szCs w:val="20"/>
          <w:lang w:eastAsia="es-ES"/>
        </w:rPr>
        <w:t>d</w:t>
      </w:r>
      <w:r w:rsidRPr="00F27192">
        <w:rPr>
          <w:rFonts w:eastAsia="Arial" w:cs="Arial"/>
          <w:i/>
          <w:color w:val="auto"/>
          <w:sz w:val="20"/>
          <w:szCs w:val="20"/>
          <w:lang w:eastAsia="es-ES"/>
        </w:rPr>
        <w:t xml:space="preserve">e la </w:t>
      </w:r>
      <w:r w:rsidRPr="00F27192">
        <w:rPr>
          <w:rFonts w:eastAsia="Arial" w:cs="Arial"/>
          <w:i/>
          <w:color w:val="auto"/>
          <w:spacing w:val="-1"/>
          <w:sz w:val="20"/>
          <w:szCs w:val="20"/>
          <w:lang w:eastAsia="es-ES"/>
        </w:rPr>
        <w:t>L</w:t>
      </w:r>
      <w:r w:rsidRPr="00F27192">
        <w:rPr>
          <w:rFonts w:eastAsia="Arial" w:cs="Arial"/>
          <w:i/>
          <w:color w:val="auto"/>
          <w:spacing w:val="1"/>
          <w:sz w:val="20"/>
          <w:szCs w:val="20"/>
          <w:lang w:eastAsia="es-ES"/>
        </w:rPr>
        <w:t>e</w:t>
      </w:r>
      <w:r w:rsidRPr="00F27192">
        <w:rPr>
          <w:rFonts w:eastAsia="Arial" w:cs="Arial"/>
          <w:i/>
          <w:color w:val="auto"/>
          <w:sz w:val="20"/>
          <w:szCs w:val="20"/>
          <w:lang w:eastAsia="es-ES"/>
        </w:rPr>
        <w:t xml:space="preserve">y General </w:t>
      </w:r>
      <w:r w:rsidRPr="00F27192">
        <w:rPr>
          <w:rFonts w:eastAsia="Arial" w:cs="Arial"/>
          <w:i/>
          <w:color w:val="auto"/>
          <w:spacing w:val="-1"/>
          <w:sz w:val="20"/>
          <w:szCs w:val="20"/>
          <w:lang w:eastAsia="es-ES"/>
        </w:rPr>
        <w:t>d</w:t>
      </w:r>
      <w:r w:rsidRPr="00F27192">
        <w:rPr>
          <w:rFonts w:eastAsia="Arial" w:cs="Arial"/>
          <w:i/>
          <w:color w:val="auto"/>
          <w:sz w:val="20"/>
          <w:szCs w:val="20"/>
          <w:lang w:eastAsia="es-ES"/>
        </w:rPr>
        <w:t xml:space="preserve">e </w:t>
      </w:r>
      <w:r w:rsidRPr="00F27192">
        <w:rPr>
          <w:rFonts w:eastAsia="Arial" w:cs="Arial"/>
          <w:i/>
          <w:color w:val="auto"/>
          <w:spacing w:val="2"/>
          <w:sz w:val="20"/>
          <w:szCs w:val="20"/>
          <w:lang w:eastAsia="es-ES"/>
        </w:rPr>
        <w:t>T</w:t>
      </w:r>
      <w:r w:rsidRPr="00F27192">
        <w:rPr>
          <w:rFonts w:eastAsia="Arial" w:cs="Arial"/>
          <w:i/>
          <w:color w:val="auto"/>
          <w:sz w:val="20"/>
          <w:szCs w:val="20"/>
          <w:lang w:eastAsia="es-ES"/>
        </w:rPr>
        <w:t>r</w:t>
      </w:r>
      <w:r w:rsidRPr="00F27192">
        <w:rPr>
          <w:rFonts w:eastAsia="Arial" w:cs="Arial"/>
          <w:i/>
          <w:color w:val="auto"/>
          <w:spacing w:val="-2"/>
          <w:sz w:val="20"/>
          <w:szCs w:val="20"/>
          <w:lang w:eastAsia="es-ES"/>
        </w:rPr>
        <w:t>a</w:t>
      </w:r>
      <w:r w:rsidRPr="00F27192">
        <w:rPr>
          <w:rFonts w:eastAsia="Arial" w:cs="Arial"/>
          <w:i/>
          <w:color w:val="auto"/>
          <w:spacing w:val="1"/>
          <w:sz w:val="20"/>
          <w:szCs w:val="20"/>
          <w:lang w:eastAsia="es-ES"/>
        </w:rPr>
        <w:t>n</w:t>
      </w:r>
      <w:r w:rsidRPr="00F27192">
        <w:rPr>
          <w:rFonts w:eastAsia="Arial" w:cs="Arial"/>
          <w:i/>
          <w:color w:val="auto"/>
          <w:sz w:val="20"/>
          <w:szCs w:val="20"/>
          <w:lang w:eastAsia="es-ES"/>
        </w:rPr>
        <w:t>s</w:t>
      </w:r>
      <w:r w:rsidRPr="00F27192">
        <w:rPr>
          <w:rFonts w:eastAsia="Arial" w:cs="Arial"/>
          <w:i/>
          <w:color w:val="auto"/>
          <w:spacing w:val="1"/>
          <w:sz w:val="20"/>
          <w:szCs w:val="20"/>
          <w:lang w:eastAsia="es-ES"/>
        </w:rPr>
        <w:t>pa</w:t>
      </w:r>
      <w:r w:rsidRPr="00F27192">
        <w:rPr>
          <w:rFonts w:eastAsia="Arial" w:cs="Arial"/>
          <w:i/>
          <w:color w:val="auto"/>
          <w:sz w:val="20"/>
          <w:szCs w:val="20"/>
          <w:lang w:eastAsia="es-ES"/>
        </w:rPr>
        <w:t>r</w:t>
      </w:r>
      <w:r w:rsidRPr="00F27192">
        <w:rPr>
          <w:rFonts w:eastAsia="Arial" w:cs="Arial"/>
          <w:i/>
          <w:color w:val="auto"/>
          <w:spacing w:val="-2"/>
          <w:sz w:val="20"/>
          <w:szCs w:val="20"/>
          <w:lang w:eastAsia="es-ES"/>
        </w:rPr>
        <w:t>e</w:t>
      </w:r>
      <w:r w:rsidRPr="00F27192">
        <w:rPr>
          <w:rFonts w:eastAsia="Arial" w:cs="Arial"/>
          <w:i/>
          <w:color w:val="auto"/>
          <w:spacing w:val="1"/>
          <w:sz w:val="20"/>
          <w:szCs w:val="20"/>
          <w:lang w:eastAsia="es-ES"/>
        </w:rPr>
        <w:t>n</w:t>
      </w:r>
      <w:r w:rsidRPr="00F27192">
        <w:rPr>
          <w:rFonts w:eastAsia="Arial" w:cs="Arial"/>
          <w:i/>
          <w:color w:val="auto"/>
          <w:sz w:val="20"/>
          <w:szCs w:val="20"/>
          <w:lang w:eastAsia="es-ES"/>
        </w:rPr>
        <w:t>cia y Acc</w:t>
      </w:r>
      <w:r w:rsidRPr="00F27192">
        <w:rPr>
          <w:rFonts w:eastAsia="Arial" w:cs="Arial"/>
          <w:i/>
          <w:color w:val="auto"/>
          <w:spacing w:val="1"/>
          <w:sz w:val="20"/>
          <w:szCs w:val="20"/>
          <w:lang w:eastAsia="es-ES"/>
        </w:rPr>
        <w:t>e</w:t>
      </w:r>
      <w:r w:rsidRPr="00F27192">
        <w:rPr>
          <w:rFonts w:eastAsia="Arial" w:cs="Arial"/>
          <w:i/>
          <w:color w:val="auto"/>
          <w:sz w:val="20"/>
          <w:szCs w:val="20"/>
          <w:lang w:eastAsia="es-ES"/>
        </w:rPr>
        <w:t>so a la I</w:t>
      </w:r>
      <w:r w:rsidRPr="00F27192">
        <w:rPr>
          <w:rFonts w:eastAsia="Arial" w:cs="Arial"/>
          <w:i/>
          <w:color w:val="auto"/>
          <w:spacing w:val="-1"/>
          <w:sz w:val="20"/>
          <w:szCs w:val="20"/>
          <w:lang w:eastAsia="es-ES"/>
        </w:rPr>
        <w:t>n</w:t>
      </w:r>
      <w:r w:rsidRPr="00F27192">
        <w:rPr>
          <w:rFonts w:eastAsia="Arial" w:cs="Arial"/>
          <w:i/>
          <w:color w:val="auto"/>
          <w:sz w:val="20"/>
          <w:szCs w:val="20"/>
          <w:lang w:eastAsia="es-ES"/>
        </w:rPr>
        <w:t>f</w:t>
      </w:r>
      <w:r w:rsidRPr="00F27192">
        <w:rPr>
          <w:rFonts w:eastAsia="Arial" w:cs="Arial"/>
          <w:i/>
          <w:color w:val="auto"/>
          <w:spacing w:val="1"/>
          <w:sz w:val="20"/>
          <w:szCs w:val="20"/>
          <w:lang w:eastAsia="es-ES"/>
        </w:rPr>
        <w:t>o</w:t>
      </w:r>
      <w:r w:rsidRPr="00F27192">
        <w:rPr>
          <w:rFonts w:eastAsia="Arial" w:cs="Arial"/>
          <w:i/>
          <w:color w:val="auto"/>
          <w:spacing w:val="-3"/>
          <w:sz w:val="20"/>
          <w:szCs w:val="20"/>
          <w:lang w:eastAsia="es-ES"/>
        </w:rPr>
        <w:t>r</w:t>
      </w:r>
      <w:r w:rsidRPr="00F27192">
        <w:rPr>
          <w:rFonts w:eastAsia="Arial" w:cs="Arial"/>
          <w:i/>
          <w:color w:val="auto"/>
          <w:spacing w:val="1"/>
          <w:sz w:val="20"/>
          <w:szCs w:val="20"/>
          <w:lang w:eastAsia="es-ES"/>
        </w:rPr>
        <w:t>ma</w:t>
      </w:r>
      <w:r w:rsidRPr="00F27192">
        <w:rPr>
          <w:rFonts w:eastAsia="Arial" w:cs="Arial"/>
          <w:i/>
          <w:color w:val="auto"/>
          <w:sz w:val="20"/>
          <w:szCs w:val="20"/>
          <w:lang w:eastAsia="es-ES"/>
        </w:rPr>
        <w:t>ci</w:t>
      </w:r>
      <w:r w:rsidRPr="00F27192">
        <w:rPr>
          <w:rFonts w:eastAsia="Arial" w:cs="Arial"/>
          <w:i/>
          <w:color w:val="auto"/>
          <w:spacing w:val="-2"/>
          <w:sz w:val="20"/>
          <w:szCs w:val="20"/>
          <w:lang w:eastAsia="es-ES"/>
        </w:rPr>
        <w:t>ó</w:t>
      </w:r>
      <w:r w:rsidRPr="00F27192">
        <w:rPr>
          <w:rFonts w:eastAsia="Arial" w:cs="Arial"/>
          <w:i/>
          <w:color w:val="auto"/>
          <w:sz w:val="20"/>
          <w:szCs w:val="20"/>
          <w:lang w:eastAsia="es-ES"/>
        </w:rPr>
        <w:t xml:space="preserve">n </w:t>
      </w:r>
      <w:r w:rsidRPr="00F27192">
        <w:rPr>
          <w:rFonts w:eastAsia="Arial" w:cs="Arial"/>
          <w:i/>
          <w:color w:val="auto"/>
          <w:spacing w:val="-2"/>
          <w:sz w:val="20"/>
          <w:szCs w:val="20"/>
          <w:lang w:eastAsia="es-ES"/>
        </w:rPr>
        <w:t>P</w:t>
      </w:r>
      <w:r w:rsidRPr="00F27192">
        <w:rPr>
          <w:rFonts w:eastAsia="Arial" w:cs="Arial"/>
          <w:i/>
          <w:color w:val="auto"/>
          <w:spacing w:val="1"/>
          <w:sz w:val="20"/>
          <w:szCs w:val="20"/>
          <w:lang w:eastAsia="es-ES"/>
        </w:rPr>
        <w:t>úb</w:t>
      </w:r>
      <w:r w:rsidRPr="00F27192">
        <w:rPr>
          <w:rFonts w:eastAsia="Arial" w:cs="Arial"/>
          <w:i/>
          <w:color w:val="auto"/>
          <w:sz w:val="20"/>
          <w:szCs w:val="20"/>
          <w:lang w:eastAsia="es-ES"/>
        </w:rPr>
        <w:t>l</w:t>
      </w:r>
      <w:r w:rsidRPr="00F27192">
        <w:rPr>
          <w:rFonts w:eastAsia="Arial" w:cs="Arial"/>
          <w:i/>
          <w:color w:val="auto"/>
          <w:spacing w:val="-1"/>
          <w:sz w:val="20"/>
          <w:szCs w:val="20"/>
          <w:lang w:eastAsia="es-ES"/>
        </w:rPr>
        <w:t>i</w:t>
      </w:r>
      <w:r w:rsidRPr="00F27192">
        <w:rPr>
          <w:rFonts w:eastAsia="Arial" w:cs="Arial"/>
          <w:i/>
          <w:color w:val="auto"/>
          <w:sz w:val="20"/>
          <w:szCs w:val="20"/>
          <w:lang w:eastAsia="es-ES"/>
        </w:rPr>
        <w:t xml:space="preserve">ca y </w:t>
      </w:r>
      <w:r w:rsidRPr="00F27192">
        <w:rPr>
          <w:rFonts w:eastAsia="Arial" w:cs="Arial"/>
          <w:i/>
          <w:color w:val="auto"/>
          <w:spacing w:val="8"/>
          <w:sz w:val="20"/>
          <w:szCs w:val="20"/>
          <w:lang w:eastAsia="es-ES"/>
        </w:rPr>
        <w:t xml:space="preserve">130, párrafo cuarto, </w:t>
      </w:r>
      <w:r w:rsidRPr="00F27192">
        <w:rPr>
          <w:rFonts w:eastAsia="Arial" w:cs="Arial"/>
          <w:i/>
          <w:color w:val="auto"/>
          <w:spacing w:val="1"/>
          <w:sz w:val="20"/>
          <w:szCs w:val="20"/>
          <w:lang w:eastAsia="es-ES"/>
        </w:rPr>
        <w:t>d</w:t>
      </w:r>
      <w:r w:rsidRPr="00F27192">
        <w:rPr>
          <w:rFonts w:eastAsia="Arial" w:cs="Arial"/>
          <w:i/>
          <w:color w:val="auto"/>
          <w:sz w:val="20"/>
          <w:szCs w:val="20"/>
          <w:lang w:eastAsia="es-ES"/>
        </w:rPr>
        <w:t xml:space="preserve">e la </w:t>
      </w:r>
      <w:r w:rsidRPr="00F27192">
        <w:rPr>
          <w:rFonts w:eastAsia="Arial" w:cs="Arial"/>
          <w:i/>
          <w:color w:val="auto"/>
          <w:spacing w:val="-1"/>
          <w:sz w:val="20"/>
          <w:szCs w:val="20"/>
          <w:lang w:eastAsia="es-ES"/>
        </w:rPr>
        <w:t>L</w:t>
      </w:r>
      <w:r w:rsidRPr="00F27192">
        <w:rPr>
          <w:rFonts w:eastAsia="Arial" w:cs="Arial"/>
          <w:i/>
          <w:color w:val="auto"/>
          <w:spacing w:val="1"/>
          <w:sz w:val="20"/>
          <w:szCs w:val="20"/>
          <w:lang w:eastAsia="es-ES"/>
        </w:rPr>
        <w:t>e</w:t>
      </w:r>
      <w:r w:rsidRPr="00F27192">
        <w:rPr>
          <w:rFonts w:eastAsia="Arial" w:cs="Arial"/>
          <w:i/>
          <w:color w:val="auto"/>
          <w:sz w:val="20"/>
          <w:szCs w:val="20"/>
          <w:lang w:eastAsia="es-ES"/>
        </w:rPr>
        <w:t>y Fe</w:t>
      </w:r>
      <w:r w:rsidRPr="00F27192">
        <w:rPr>
          <w:rFonts w:eastAsia="Arial" w:cs="Arial"/>
          <w:i/>
          <w:color w:val="auto"/>
          <w:spacing w:val="1"/>
          <w:sz w:val="20"/>
          <w:szCs w:val="20"/>
          <w:lang w:eastAsia="es-ES"/>
        </w:rPr>
        <w:t>de</w:t>
      </w:r>
      <w:r w:rsidRPr="00F27192">
        <w:rPr>
          <w:rFonts w:eastAsia="Arial" w:cs="Arial"/>
          <w:i/>
          <w:color w:val="auto"/>
          <w:sz w:val="20"/>
          <w:szCs w:val="20"/>
          <w:lang w:eastAsia="es-ES"/>
        </w:rPr>
        <w:t xml:space="preserve">ral </w:t>
      </w:r>
      <w:r w:rsidRPr="00F27192">
        <w:rPr>
          <w:rFonts w:eastAsia="Arial" w:cs="Arial"/>
          <w:i/>
          <w:color w:val="auto"/>
          <w:spacing w:val="-1"/>
          <w:sz w:val="20"/>
          <w:szCs w:val="20"/>
          <w:lang w:eastAsia="es-ES"/>
        </w:rPr>
        <w:t>d</w:t>
      </w:r>
      <w:r w:rsidRPr="00F27192">
        <w:rPr>
          <w:rFonts w:eastAsia="Arial" w:cs="Arial"/>
          <w:i/>
          <w:color w:val="auto"/>
          <w:sz w:val="20"/>
          <w:szCs w:val="20"/>
          <w:lang w:eastAsia="es-ES"/>
        </w:rPr>
        <w:t xml:space="preserve">e </w:t>
      </w:r>
      <w:r w:rsidRPr="00F27192">
        <w:rPr>
          <w:rFonts w:eastAsia="Arial" w:cs="Arial"/>
          <w:i/>
          <w:color w:val="auto"/>
          <w:spacing w:val="2"/>
          <w:sz w:val="20"/>
          <w:szCs w:val="20"/>
          <w:lang w:eastAsia="es-ES"/>
        </w:rPr>
        <w:t>T</w:t>
      </w:r>
      <w:r w:rsidRPr="00F27192">
        <w:rPr>
          <w:rFonts w:eastAsia="Arial" w:cs="Arial"/>
          <w:i/>
          <w:color w:val="auto"/>
          <w:sz w:val="20"/>
          <w:szCs w:val="20"/>
          <w:lang w:eastAsia="es-ES"/>
        </w:rPr>
        <w:t>r</w:t>
      </w:r>
      <w:r w:rsidRPr="00F27192">
        <w:rPr>
          <w:rFonts w:eastAsia="Arial" w:cs="Arial"/>
          <w:i/>
          <w:color w:val="auto"/>
          <w:spacing w:val="-2"/>
          <w:sz w:val="20"/>
          <w:szCs w:val="20"/>
          <w:lang w:eastAsia="es-ES"/>
        </w:rPr>
        <w:t>a</w:t>
      </w:r>
      <w:r w:rsidRPr="00F27192">
        <w:rPr>
          <w:rFonts w:eastAsia="Arial" w:cs="Arial"/>
          <w:i/>
          <w:color w:val="auto"/>
          <w:spacing w:val="1"/>
          <w:sz w:val="20"/>
          <w:szCs w:val="20"/>
          <w:lang w:eastAsia="es-ES"/>
        </w:rPr>
        <w:t>n</w:t>
      </w:r>
      <w:r w:rsidRPr="00F27192">
        <w:rPr>
          <w:rFonts w:eastAsia="Arial" w:cs="Arial"/>
          <w:i/>
          <w:color w:val="auto"/>
          <w:sz w:val="20"/>
          <w:szCs w:val="20"/>
          <w:lang w:eastAsia="es-ES"/>
        </w:rPr>
        <w:t>s</w:t>
      </w:r>
      <w:r w:rsidRPr="00F27192">
        <w:rPr>
          <w:rFonts w:eastAsia="Arial" w:cs="Arial"/>
          <w:i/>
          <w:color w:val="auto"/>
          <w:spacing w:val="1"/>
          <w:sz w:val="20"/>
          <w:szCs w:val="20"/>
          <w:lang w:eastAsia="es-ES"/>
        </w:rPr>
        <w:t>pa</w:t>
      </w:r>
      <w:r w:rsidRPr="00F27192">
        <w:rPr>
          <w:rFonts w:eastAsia="Arial" w:cs="Arial"/>
          <w:i/>
          <w:color w:val="auto"/>
          <w:sz w:val="20"/>
          <w:szCs w:val="20"/>
          <w:lang w:eastAsia="es-ES"/>
        </w:rPr>
        <w:t>r</w:t>
      </w:r>
      <w:r w:rsidRPr="00F27192">
        <w:rPr>
          <w:rFonts w:eastAsia="Arial" w:cs="Arial"/>
          <w:i/>
          <w:color w:val="auto"/>
          <w:spacing w:val="-2"/>
          <w:sz w:val="20"/>
          <w:szCs w:val="20"/>
          <w:lang w:eastAsia="es-ES"/>
        </w:rPr>
        <w:t>e</w:t>
      </w:r>
      <w:r w:rsidRPr="00F27192">
        <w:rPr>
          <w:rFonts w:eastAsia="Arial" w:cs="Arial"/>
          <w:i/>
          <w:color w:val="auto"/>
          <w:spacing w:val="1"/>
          <w:sz w:val="20"/>
          <w:szCs w:val="20"/>
          <w:lang w:eastAsia="es-ES"/>
        </w:rPr>
        <w:t>n</w:t>
      </w:r>
      <w:r w:rsidRPr="00F27192">
        <w:rPr>
          <w:rFonts w:eastAsia="Arial" w:cs="Arial"/>
          <w:i/>
          <w:color w:val="auto"/>
          <w:sz w:val="20"/>
          <w:szCs w:val="20"/>
          <w:lang w:eastAsia="es-ES"/>
        </w:rPr>
        <w:t>cia y Acc</w:t>
      </w:r>
      <w:r w:rsidRPr="00F27192">
        <w:rPr>
          <w:rFonts w:eastAsia="Arial" w:cs="Arial"/>
          <w:i/>
          <w:color w:val="auto"/>
          <w:spacing w:val="1"/>
          <w:sz w:val="20"/>
          <w:szCs w:val="20"/>
          <w:lang w:eastAsia="es-ES"/>
        </w:rPr>
        <w:t>e</w:t>
      </w:r>
      <w:r w:rsidRPr="00F27192">
        <w:rPr>
          <w:rFonts w:eastAsia="Arial" w:cs="Arial"/>
          <w:i/>
          <w:color w:val="auto"/>
          <w:sz w:val="20"/>
          <w:szCs w:val="20"/>
          <w:lang w:eastAsia="es-ES"/>
        </w:rPr>
        <w:t>so a la I</w:t>
      </w:r>
      <w:r w:rsidRPr="00F27192">
        <w:rPr>
          <w:rFonts w:eastAsia="Arial" w:cs="Arial"/>
          <w:i/>
          <w:color w:val="auto"/>
          <w:spacing w:val="-1"/>
          <w:sz w:val="20"/>
          <w:szCs w:val="20"/>
          <w:lang w:eastAsia="es-ES"/>
        </w:rPr>
        <w:t>n</w:t>
      </w:r>
      <w:r w:rsidRPr="00F27192">
        <w:rPr>
          <w:rFonts w:eastAsia="Arial" w:cs="Arial"/>
          <w:i/>
          <w:color w:val="auto"/>
          <w:sz w:val="20"/>
          <w:szCs w:val="20"/>
          <w:lang w:eastAsia="es-ES"/>
        </w:rPr>
        <w:t>f</w:t>
      </w:r>
      <w:r w:rsidRPr="00F27192">
        <w:rPr>
          <w:rFonts w:eastAsia="Arial" w:cs="Arial"/>
          <w:i/>
          <w:color w:val="auto"/>
          <w:spacing w:val="1"/>
          <w:sz w:val="20"/>
          <w:szCs w:val="20"/>
          <w:lang w:eastAsia="es-ES"/>
        </w:rPr>
        <w:t>o</w:t>
      </w:r>
      <w:r w:rsidRPr="00F27192">
        <w:rPr>
          <w:rFonts w:eastAsia="Arial" w:cs="Arial"/>
          <w:i/>
          <w:color w:val="auto"/>
          <w:spacing w:val="-3"/>
          <w:sz w:val="20"/>
          <w:szCs w:val="20"/>
          <w:lang w:eastAsia="es-ES"/>
        </w:rPr>
        <w:t>r</w:t>
      </w:r>
      <w:r w:rsidRPr="00F27192">
        <w:rPr>
          <w:rFonts w:eastAsia="Arial" w:cs="Arial"/>
          <w:i/>
          <w:color w:val="auto"/>
          <w:spacing w:val="1"/>
          <w:sz w:val="20"/>
          <w:szCs w:val="20"/>
          <w:lang w:eastAsia="es-ES"/>
        </w:rPr>
        <w:t>ma</w:t>
      </w:r>
      <w:r w:rsidRPr="00F27192">
        <w:rPr>
          <w:rFonts w:eastAsia="Arial" w:cs="Arial"/>
          <w:i/>
          <w:color w:val="auto"/>
          <w:sz w:val="20"/>
          <w:szCs w:val="20"/>
          <w:lang w:eastAsia="es-ES"/>
        </w:rPr>
        <w:t>ci</w:t>
      </w:r>
      <w:r w:rsidRPr="00F27192">
        <w:rPr>
          <w:rFonts w:eastAsia="Arial" w:cs="Arial"/>
          <w:i/>
          <w:color w:val="auto"/>
          <w:spacing w:val="-2"/>
          <w:sz w:val="20"/>
          <w:szCs w:val="20"/>
          <w:lang w:eastAsia="es-ES"/>
        </w:rPr>
        <w:t>ó</w:t>
      </w:r>
      <w:r w:rsidRPr="00F27192">
        <w:rPr>
          <w:rFonts w:eastAsia="Arial" w:cs="Arial"/>
          <w:i/>
          <w:color w:val="auto"/>
          <w:sz w:val="20"/>
          <w:szCs w:val="20"/>
          <w:lang w:eastAsia="es-ES"/>
        </w:rPr>
        <w:t xml:space="preserve">n </w:t>
      </w:r>
      <w:r w:rsidRPr="00F27192">
        <w:rPr>
          <w:rFonts w:eastAsia="Arial" w:cs="Arial"/>
          <w:i/>
          <w:color w:val="auto"/>
          <w:spacing w:val="-2"/>
          <w:sz w:val="20"/>
          <w:szCs w:val="20"/>
          <w:lang w:eastAsia="es-ES"/>
        </w:rPr>
        <w:t>P</w:t>
      </w:r>
      <w:r w:rsidRPr="00F27192">
        <w:rPr>
          <w:rFonts w:eastAsia="Arial" w:cs="Arial"/>
          <w:i/>
          <w:color w:val="auto"/>
          <w:spacing w:val="1"/>
          <w:sz w:val="20"/>
          <w:szCs w:val="20"/>
          <w:lang w:eastAsia="es-ES"/>
        </w:rPr>
        <w:t>úb</w:t>
      </w:r>
      <w:r w:rsidRPr="00F27192">
        <w:rPr>
          <w:rFonts w:eastAsia="Arial" w:cs="Arial"/>
          <w:i/>
          <w:color w:val="auto"/>
          <w:sz w:val="20"/>
          <w:szCs w:val="20"/>
          <w:lang w:eastAsia="es-ES"/>
        </w:rPr>
        <w:t>l</w:t>
      </w:r>
      <w:r w:rsidRPr="00F27192">
        <w:rPr>
          <w:rFonts w:eastAsia="Arial" w:cs="Arial"/>
          <w:i/>
          <w:color w:val="auto"/>
          <w:spacing w:val="-1"/>
          <w:sz w:val="20"/>
          <w:szCs w:val="20"/>
          <w:lang w:eastAsia="es-ES"/>
        </w:rPr>
        <w:t>i</w:t>
      </w:r>
      <w:r w:rsidRPr="00F27192">
        <w:rPr>
          <w:rFonts w:eastAsia="Arial" w:cs="Arial"/>
          <w:i/>
          <w:color w:val="auto"/>
          <w:sz w:val="20"/>
          <w:szCs w:val="20"/>
          <w:lang w:eastAsia="es-ES"/>
        </w:rPr>
        <w:t xml:space="preserve">ca, </w:t>
      </w:r>
      <w:r w:rsidRPr="00F27192">
        <w:rPr>
          <w:rFonts w:eastAsia="Arial" w:cs="Arial"/>
          <w:i/>
          <w:color w:val="auto"/>
          <w:spacing w:val="-1"/>
          <w:sz w:val="20"/>
          <w:szCs w:val="20"/>
          <w:lang w:eastAsia="es-ES"/>
        </w:rPr>
        <w:t>señalan q</w:t>
      </w:r>
      <w:r w:rsidRPr="00F27192">
        <w:rPr>
          <w:rFonts w:eastAsia="Arial" w:cs="Arial"/>
          <w:i/>
          <w:color w:val="auto"/>
          <w:spacing w:val="1"/>
          <w:sz w:val="20"/>
          <w:szCs w:val="20"/>
          <w:lang w:eastAsia="es-ES"/>
        </w:rPr>
        <w:t>u</w:t>
      </w:r>
      <w:r w:rsidRPr="00F27192">
        <w:rPr>
          <w:rFonts w:eastAsia="Arial" w:cs="Arial"/>
          <w:i/>
          <w:color w:val="auto"/>
          <w:sz w:val="20"/>
          <w:szCs w:val="20"/>
          <w:lang w:eastAsia="es-E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27192">
        <w:rPr>
          <w:rFonts w:eastAsia="Arial" w:cs="Arial"/>
          <w:i/>
          <w:color w:val="auto"/>
          <w:spacing w:val="-1"/>
          <w:sz w:val="20"/>
          <w:szCs w:val="20"/>
          <w:lang w:eastAsia="es-ES"/>
        </w:rPr>
        <w:t xml:space="preserve"> sin necesidad de</w:t>
      </w:r>
      <w:r w:rsidRPr="00F27192">
        <w:rPr>
          <w:rFonts w:eastAsia="Arial" w:cs="Arial"/>
          <w:i/>
          <w:color w:val="auto"/>
          <w:spacing w:val="1"/>
          <w:sz w:val="20"/>
          <w:szCs w:val="20"/>
          <w:lang w:eastAsia="es-ES"/>
        </w:rPr>
        <w:t xml:space="preserve"> e</w:t>
      </w:r>
      <w:r w:rsidRPr="00F27192">
        <w:rPr>
          <w:rFonts w:eastAsia="Arial" w:cs="Arial"/>
          <w:i/>
          <w:color w:val="auto"/>
          <w:sz w:val="20"/>
          <w:szCs w:val="20"/>
          <w:lang w:eastAsia="es-ES"/>
        </w:rPr>
        <w:t>la</w:t>
      </w:r>
      <w:r w:rsidRPr="00F27192">
        <w:rPr>
          <w:rFonts w:eastAsia="Arial" w:cs="Arial"/>
          <w:i/>
          <w:color w:val="auto"/>
          <w:spacing w:val="1"/>
          <w:sz w:val="20"/>
          <w:szCs w:val="20"/>
          <w:lang w:eastAsia="es-ES"/>
        </w:rPr>
        <w:t>bo</w:t>
      </w:r>
      <w:r w:rsidRPr="00F27192">
        <w:rPr>
          <w:rFonts w:eastAsia="Arial" w:cs="Arial"/>
          <w:i/>
          <w:color w:val="auto"/>
          <w:sz w:val="20"/>
          <w:szCs w:val="20"/>
          <w:lang w:eastAsia="es-ES"/>
        </w:rPr>
        <w:t xml:space="preserve">rar </w:t>
      </w:r>
      <w:r w:rsidRPr="00F27192">
        <w:rPr>
          <w:rFonts w:eastAsia="Arial" w:cs="Arial"/>
          <w:i/>
          <w:color w:val="auto"/>
          <w:spacing w:val="1"/>
          <w:sz w:val="20"/>
          <w:szCs w:val="20"/>
          <w:lang w:eastAsia="es-ES"/>
        </w:rPr>
        <w:t>do</w:t>
      </w:r>
      <w:r w:rsidRPr="00F27192">
        <w:rPr>
          <w:rFonts w:eastAsia="Arial" w:cs="Arial"/>
          <w:i/>
          <w:color w:val="auto"/>
          <w:spacing w:val="-2"/>
          <w:sz w:val="20"/>
          <w:szCs w:val="20"/>
          <w:lang w:eastAsia="es-ES"/>
        </w:rPr>
        <w:t>c</w:t>
      </w:r>
      <w:r w:rsidRPr="00F27192">
        <w:rPr>
          <w:rFonts w:eastAsia="Arial" w:cs="Arial"/>
          <w:i/>
          <w:color w:val="auto"/>
          <w:spacing w:val="1"/>
          <w:sz w:val="20"/>
          <w:szCs w:val="20"/>
          <w:lang w:eastAsia="es-ES"/>
        </w:rPr>
        <w:t>u</w:t>
      </w:r>
      <w:r w:rsidRPr="00F27192">
        <w:rPr>
          <w:rFonts w:eastAsia="Arial" w:cs="Arial"/>
          <w:i/>
          <w:color w:val="auto"/>
          <w:spacing w:val="-1"/>
          <w:sz w:val="20"/>
          <w:szCs w:val="20"/>
          <w:lang w:eastAsia="es-ES"/>
        </w:rPr>
        <w:t>m</w:t>
      </w:r>
      <w:r w:rsidRPr="00F27192">
        <w:rPr>
          <w:rFonts w:eastAsia="Arial" w:cs="Arial"/>
          <w:i/>
          <w:color w:val="auto"/>
          <w:spacing w:val="1"/>
          <w:sz w:val="20"/>
          <w:szCs w:val="20"/>
          <w:lang w:eastAsia="es-ES"/>
        </w:rPr>
        <w:t>en</w:t>
      </w:r>
      <w:r w:rsidRPr="00F27192">
        <w:rPr>
          <w:rFonts w:eastAsia="Arial" w:cs="Arial"/>
          <w:i/>
          <w:color w:val="auto"/>
          <w:spacing w:val="-2"/>
          <w:sz w:val="20"/>
          <w:szCs w:val="20"/>
          <w:lang w:eastAsia="es-ES"/>
        </w:rPr>
        <w:t>t</w:t>
      </w:r>
      <w:r w:rsidRPr="00F27192">
        <w:rPr>
          <w:rFonts w:eastAsia="Arial" w:cs="Arial"/>
          <w:i/>
          <w:color w:val="auto"/>
          <w:spacing w:val="1"/>
          <w:sz w:val="20"/>
          <w:szCs w:val="20"/>
          <w:lang w:eastAsia="es-ES"/>
        </w:rPr>
        <w:t>o</w:t>
      </w:r>
      <w:r w:rsidRPr="00F27192">
        <w:rPr>
          <w:rFonts w:eastAsia="Arial" w:cs="Arial"/>
          <w:i/>
          <w:color w:val="auto"/>
          <w:sz w:val="20"/>
          <w:szCs w:val="20"/>
          <w:lang w:eastAsia="es-ES"/>
        </w:rPr>
        <w:t xml:space="preserve">s </w:t>
      </w:r>
      <w:r w:rsidRPr="00F27192">
        <w:rPr>
          <w:rFonts w:eastAsia="Arial" w:cs="Arial"/>
          <w:i/>
          <w:color w:val="auto"/>
          <w:spacing w:val="1"/>
          <w:sz w:val="20"/>
          <w:szCs w:val="20"/>
          <w:lang w:eastAsia="es-ES"/>
        </w:rPr>
        <w:t>a</w:t>
      </w:r>
      <w:r w:rsidRPr="00F27192">
        <w:rPr>
          <w:rFonts w:eastAsia="Arial" w:cs="Arial"/>
          <w:i/>
          <w:color w:val="auto"/>
          <w:sz w:val="20"/>
          <w:szCs w:val="20"/>
          <w:lang w:eastAsia="es-ES"/>
        </w:rPr>
        <w:t>d</w:t>
      </w:r>
      <w:r w:rsidRPr="00F27192">
        <w:rPr>
          <w:rFonts w:eastAsia="Arial" w:cs="Arial"/>
          <w:i/>
          <w:color w:val="auto"/>
          <w:spacing w:val="1"/>
          <w:sz w:val="20"/>
          <w:szCs w:val="20"/>
          <w:lang w:eastAsia="es-ES"/>
        </w:rPr>
        <w:t xml:space="preserve"> ho</w:t>
      </w:r>
      <w:r w:rsidRPr="00F27192">
        <w:rPr>
          <w:rFonts w:eastAsia="Arial" w:cs="Arial"/>
          <w:i/>
          <w:color w:val="auto"/>
          <w:sz w:val="20"/>
          <w:szCs w:val="20"/>
          <w:lang w:eastAsia="es-ES"/>
        </w:rPr>
        <w:t xml:space="preserve">c </w:t>
      </w:r>
      <w:r w:rsidRPr="00F27192">
        <w:rPr>
          <w:rFonts w:eastAsia="Arial" w:cs="Arial"/>
          <w:i/>
          <w:color w:val="auto"/>
          <w:spacing w:val="1"/>
          <w:sz w:val="20"/>
          <w:szCs w:val="20"/>
          <w:lang w:eastAsia="es-ES"/>
        </w:rPr>
        <w:t>pa</w:t>
      </w:r>
      <w:r w:rsidRPr="00F27192">
        <w:rPr>
          <w:rFonts w:eastAsia="Arial" w:cs="Arial"/>
          <w:i/>
          <w:color w:val="auto"/>
          <w:sz w:val="20"/>
          <w:szCs w:val="20"/>
          <w:lang w:eastAsia="es-ES"/>
        </w:rPr>
        <w:t xml:space="preserve">ra </w:t>
      </w:r>
      <w:r w:rsidRPr="00F27192">
        <w:rPr>
          <w:rFonts w:eastAsia="Arial" w:cs="Arial"/>
          <w:i/>
          <w:color w:val="auto"/>
          <w:spacing w:val="1"/>
          <w:sz w:val="20"/>
          <w:szCs w:val="20"/>
          <w:lang w:eastAsia="es-ES"/>
        </w:rPr>
        <w:t>a</w:t>
      </w:r>
      <w:r w:rsidRPr="00F27192">
        <w:rPr>
          <w:rFonts w:eastAsia="Arial" w:cs="Arial"/>
          <w:i/>
          <w:color w:val="auto"/>
          <w:sz w:val="20"/>
          <w:szCs w:val="20"/>
          <w:lang w:eastAsia="es-ES"/>
        </w:rPr>
        <w:t>t</w:t>
      </w:r>
      <w:r w:rsidRPr="00F27192">
        <w:rPr>
          <w:rFonts w:eastAsia="Arial" w:cs="Arial"/>
          <w:i/>
          <w:color w:val="auto"/>
          <w:spacing w:val="-1"/>
          <w:sz w:val="20"/>
          <w:szCs w:val="20"/>
          <w:lang w:eastAsia="es-ES"/>
        </w:rPr>
        <w:t>e</w:t>
      </w:r>
      <w:r w:rsidRPr="00F27192">
        <w:rPr>
          <w:rFonts w:eastAsia="Arial" w:cs="Arial"/>
          <w:i/>
          <w:color w:val="auto"/>
          <w:spacing w:val="1"/>
          <w:sz w:val="20"/>
          <w:szCs w:val="20"/>
          <w:lang w:eastAsia="es-ES"/>
        </w:rPr>
        <w:t>n</w:t>
      </w:r>
      <w:r w:rsidRPr="00F27192">
        <w:rPr>
          <w:rFonts w:eastAsia="Arial" w:cs="Arial"/>
          <w:i/>
          <w:color w:val="auto"/>
          <w:spacing w:val="-1"/>
          <w:sz w:val="20"/>
          <w:szCs w:val="20"/>
          <w:lang w:eastAsia="es-ES"/>
        </w:rPr>
        <w:t>d</w:t>
      </w:r>
      <w:r w:rsidRPr="00F27192">
        <w:rPr>
          <w:rFonts w:eastAsia="Arial" w:cs="Arial"/>
          <w:i/>
          <w:color w:val="auto"/>
          <w:spacing w:val="1"/>
          <w:sz w:val="20"/>
          <w:szCs w:val="20"/>
          <w:lang w:eastAsia="es-ES"/>
        </w:rPr>
        <w:t>e</w:t>
      </w:r>
      <w:r w:rsidRPr="00F27192">
        <w:rPr>
          <w:rFonts w:eastAsia="Arial" w:cs="Arial"/>
          <w:i/>
          <w:color w:val="auto"/>
          <w:sz w:val="20"/>
          <w:szCs w:val="20"/>
          <w:lang w:eastAsia="es-ES"/>
        </w:rPr>
        <w:t>r l</w:t>
      </w:r>
      <w:r w:rsidRPr="00F27192">
        <w:rPr>
          <w:rFonts w:eastAsia="Arial" w:cs="Arial"/>
          <w:i/>
          <w:color w:val="auto"/>
          <w:spacing w:val="-2"/>
          <w:sz w:val="20"/>
          <w:szCs w:val="20"/>
          <w:lang w:eastAsia="es-ES"/>
        </w:rPr>
        <w:t>a</w:t>
      </w:r>
      <w:r w:rsidRPr="00F27192">
        <w:rPr>
          <w:rFonts w:eastAsia="Arial" w:cs="Arial"/>
          <w:i/>
          <w:color w:val="auto"/>
          <w:sz w:val="20"/>
          <w:szCs w:val="20"/>
          <w:lang w:eastAsia="es-ES"/>
        </w:rPr>
        <w:t>s s</w:t>
      </w:r>
      <w:r w:rsidRPr="00F27192">
        <w:rPr>
          <w:rFonts w:eastAsia="Arial" w:cs="Arial"/>
          <w:i/>
          <w:color w:val="auto"/>
          <w:spacing w:val="1"/>
          <w:sz w:val="20"/>
          <w:szCs w:val="20"/>
          <w:lang w:eastAsia="es-ES"/>
        </w:rPr>
        <w:t>o</w:t>
      </w:r>
      <w:r w:rsidRPr="00F27192">
        <w:rPr>
          <w:rFonts w:eastAsia="Arial" w:cs="Arial"/>
          <w:i/>
          <w:color w:val="auto"/>
          <w:sz w:val="20"/>
          <w:szCs w:val="20"/>
          <w:lang w:eastAsia="es-ES"/>
        </w:rPr>
        <w:t>l</w:t>
      </w:r>
      <w:r w:rsidRPr="00F27192">
        <w:rPr>
          <w:rFonts w:eastAsia="Arial" w:cs="Arial"/>
          <w:i/>
          <w:color w:val="auto"/>
          <w:spacing w:val="-1"/>
          <w:sz w:val="20"/>
          <w:szCs w:val="20"/>
          <w:lang w:eastAsia="es-ES"/>
        </w:rPr>
        <w:t>i</w:t>
      </w:r>
      <w:r w:rsidRPr="00F27192">
        <w:rPr>
          <w:rFonts w:eastAsia="Arial" w:cs="Arial"/>
          <w:i/>
          <w:color w:val="auto"/>
          <w:sz w:val="20"/>
          <w:szCs w:val="20"/>
          <w:lang w:eastAsia="es-ES"/>
        </w:rPr>
        <w:t>cit</w:t>
      </w:r>
      <w:r w:rsidRPr="00F27192">
        <w:rPr>
          <w:rFonts w:eastAsia="Arial" w:cs="Arial"/>
          <w:i/>
          <w:color w:val="auto"/>
          <w:spacing w:val="1"/>
          <w:sz w:val="20"/>
          <w:szCs w:val="20"/>
          <w:lang w:eastAsia="es-ES"/>
        </w:rPr>
        <w:t>ude</w:t>
      </w:r>
      <w:r w:rsidRPr="00F27192">
        <w:rPr>
          <w:rFonts w:eastAsia="Arial" w:cs="Arial"/>
          <w:i/>
          <w:color w:val="auto"/>
          <w:sz w:val="20"/>
          <w:szCs w:val="20"/>
          <w:lang w:eastAsia="es-ES"/>
        </w:rPr>
        <w:t xml:space="preserve">s </w:t>
      </w:r>
      <w:r w:rsidRPr="00F27192">
        <w:rPr>
          <w:rFonts w:eastAsia="Arial" w:cs="Arial"/>
          <w:i/>
          <w:color w:val="auto"/>
          <w:spacing w:val="-1"/>
          <w:sz w:val="20"/>
          <w:szCs w:val="20"/>
          <w:lang w:eastAsia="es-ES"/>
        </w:rPr>
        <w:t>d</w:t>
      </w:r>
      <w:r w:rsidRPr="00F27192">
        <w:rPr>
          <w:rFonts w:eastAsia="Arial" w:cs="Arial"/>
          <w:i/>
          <w:color w:val="auto"/>
          <w:sz w:val="20"/>
          <w:szCs w:val="20"/>
          <w:lang w:eastAsia="es-ES"/>
        </w:rPr>
        <w:t>e i</w:t>
      </w:r>
      <w:r w:rsidRPr="00F27192">
        <w:rPr>
          <w:rFonts w:eastAsia="Arial" w:cs="Arial"/>
          <w:i/>
          <w:color w:val="auto"/>
          <w:spacing w:val="-2"/>
          <w:sz w:val="20"/>
          <w:szCs w:val="20"/>
          <w:lang w:eastAsia="es-ES"/>
        </w:rPr>
        <w:t>n</w:t>
      </w:r>
      <w:r w:rsidRPr="00F27192">
        <w:rPr>
          <w:rFonts w:eastAsia="Arial" w:cs="Arial"/>
          <w:i/>
          <w:color w:val="auto"/>
          <w:sz w:val="20"/>
          <w:szCs w:val="20"/>
          <w:lang w:eastAsia="es-ES"/>
        </w:rPr>
        <w:t>f</w:t>
      </w:r>
      <w:r w:rsidRPr="00F27192">
        <w:rPr>
          <w:rFonts w:eastAsia="Arial" w:cs="Arial"/>
          <w:i/>
          <w:color w:val="auto"/>
          <w:spacing w:val="1"/>
          <w:sz w:val="20"/>
          <w:szCs w:val="20"/>
          <w:lang w:eastAsia="es-ES"/>
        </w:rPr>
        <w:t>o</w:t>
      </w:r>
      <w:r w:rsidRPr="00F27192">
        <w:rPr>
          <w:rFonts w:eastAsia="Arial" w:cs="Arial"/>
          <w:i/>
          <w:color w:val="auto"/>
          <w:sz w:val="20"/>
          <w:szCs w:val="20"/>
          <w:lang w:eastAsia="es-ES"/>
        </w:rPr>
        <w:t>r</w:t>
      </w:r>
      <w:r w:rsidRPr="00F27192">
        <w:rPr>
          <w:rFonts w:eastAsia="Arial" w:cs="Arial"/>
          <w:i/>
          <w:color w:val="auto"/>
          <w:spacing w:val="-1"/>
          <w:sz w:val="20"/>
          <w:szCs w:val="20"/>
          <w:lang w:eastAsia="es-ES"/>
        </w:rPr>
        <w:t>m</w:t>
      </w:r>
      <w:r w:rsidRPr="00F27192">
        <w:rPr>
          <w:rFonts w:eastAsia="Arial" w:cs="Arial"/>
          <w:i/>
          <w:color w:val="auto"/>
          <w:spacing w:val="1"/>
          <w:sz w:val="20"/>
          <w:szCs w:val="20"/>
          <w:lang w:eastAsia="es-ES"/>
        </w:rPr>
        <w:t>a</w:t>
      </w:r>
      <w:r w:rsidRPr="00F27192">
        <w:rPr>
          <w:rFonts w:eastAsia="Arial" w:cs="Arial"/>
          <w:i/>
          <w:color w:val="auto"/>
          <w:sz w:val="20"/>
          <w:szCs w:val="20"/>
          <w:lang w:eastAsia="es-ES"/>
        </w:rPr>
        <w:t>ció</w:t>
      </w:r>
      <w:r w:rsidRPr="00F27192">
        <w:rPr>
          <w:rFonts w:eastAsia="Arial" w:cs="Arial"/>
          <w:i/>
          <w:color w:val="auto"/>
          <w:spacing w:val="1"/>
          <w:sz w:val="20"/>
          <w:szCs w:val="20"/>
          <w:lang w:eastAsia="es-ES"/>
        </w:rPr>
        <w:t>n</w:t>
      </w:r>
      <w:r w:rsidRPr="00F27192">
        <w:rPr>
          <w:rFonts w:eastAsia="Arial" w:cs="Arial"/>
          <w:i/>
          <w:color w:val="auto"/>
          <w:sz w:val="20"/>
          <w:szCs w:val="20"/>
          <w:lang w:eastAsia="es-ES"/>
        </w:rPr>
        <w:t>.”</w:t>
      </w:r>
    </w:p>
    <w:p w:rsidR="004C4ED6" w:rsidP="004C6617" w:rsidRDefault="004C4ED6" w14:paraId="5BBF29A2" w14:textId="77777777">
      <w:pPr>
        <w:spacing w:after="0" w:line="360" w:lineRule="auto"/>
        <w:rPr>
          <w:lang w:val="es-ES"/>
        </w:rPr>
      </w:pPr>
    </w:p>
    <w:p w:rsidR="004C4ED6" w:rsidP="004C6617" w:rsidRDefault="004C4ED6" w14:paraId="4FAD24DC" w14:textId="77777777">
      <w:pPr>
        <w:spacing w:after="0" w:line="360" w:lineRule="auto"/>
        <w:rPr>
          <w:rFonts w:eastAsia="Times New Roman" w:cs="Tahoma"/>
          <w:bCs/>
          <w:iCs/>
          <w:color w:val="auto"/>
          <w:lang w:eastAsia="es-ES"/>
        </w:rPr>
      </w:pPr>
      <w:r w:rsidRPr="002A09C1">
        <w:rPr>
          <w:lang w:val="es-ES"/>
        </w:rPr>
        <w:t xml:space="preserve">De tales circunstancias, se concluye que los sujetos obligados únicamente se encuentran constreñidos a proporcionar los documentos que den cuenta de la información solicitada, como </w:t>
      </w:r>
      <w:r w:rsidRPr="002A09C1">
        <w:rPr>
          <w:lang w:val="es-ES"/>
        </w:rPr>
        <w:lastRenderedPageBreak/>
        <w:t>obren en sus archivos, sin tener que elaborarlos a las necesidades del Recurrente;</w:t>
      </w:r>
      <w:r>
        <w:rPr>
          <w:lang w:val="es-ES"/>
        </w:rPr>
        <w:t xml:space="preserve"> por lo que, si bien, </w:t>
      </w:r>
      <w:r>
        <w:rPr>
          <w:rFonts w:eastAsia="Times New Roman" w:cs="Tahoma"/>
          <w:iCs/>
          <w:color w:val="auto"/>
          <w:lang w:eastAsia="es-ES"/>
        </w:rPr>
        <w:t>el Particular solicitó una relación en formato “</w:t>
      </w:r>
      <w:proofErr w:type="spellStart"/>
      <w:r>
        <w:rPr>
          <w:rFonts w:eastAsia="Times New Roman" w:cs="Tahoma"/>
          <w:iCs/>
          <w:color w:val="auto"/>
          <w:lang w:eastAsia="es-ES"/>
        </w:rPr>
        <w:t>xlsx</w:t>
      </w:r>
      <w:proofErr w:type="spellEnd"/>
      <w:r>
        <w:rPr>
          <w:rFonts w:eastAsia="Times New Roman" w:cs="Tahoma"/>
          <w:iCs/>
          <w:color w:val="auto"/>
          <w:lang w:eastAsia="es-ES"/>
        </w:rPr>
        <w:t>”, lo cierto es que el Sujeto Obligado no está obligado a procesar información, sino únicamente entregar la que obre en sus archivos; por lo que, en el presente caso, deberá entregar en formato “</w:t>
      </w:r>
      <w:proofErr w:type="spellStart"/>
      <w:r>
        <w:rPr>
          <w:rFonts w:eastAsia="Times New Roman" w:cs="Tahoma"/>
          <w:iCs/>
          <w:color w:val="auto"/>
          <w:lang w:eastAsia="es-ES"/>
        </w:rPr>
        <w:t>xlsx</w:t>
      </w:r>
      <w:proofErr w:type="spellEnd"/>
      <w:r>
        <w:rPr>
          <w:rFonts w:eastAsia="Times New Roman" w:cs="Tahoma"/>
          <w:iCs/>
          <w:color w:val="auto"/>
          <w:lang w:eastAsia="es-ES"/>
        </w:rPr>
        <w:t xml:space="preserve">”, o en aquel, en que se haya generado la información, respecto </w:t>
      </w:r>
      <w:r w:rsidRPr="00F949D2">
        <w:rPr>
          <w:rFonts w:eastAsia="Times New Roman" w:cs="Tahoma"/>
          <w:bCs/>
          <w:iCs/>
          <w:color w:val="auto"/>
          <w:lang w:eastAsia="es-ES"/>
        </w:rPr>
        <w:t>a las autorizaciones de funcionamiento, emitidas al primero de septiembre de dos mil veintiuno, relacionadas con las actividades señaladas en la solicitud de información o sus homólogas</w:t>
      </w:r>
      <w:r>
        <w:rPr>
          <w:rFonts w:eastAsia="Times New Roman" w:cs="Tahoma"/>
          <w:bCs/>
          <w:iCs/>
          <w:color w:val="auto"/>
          <w:lang w:eastAsia="es-ES"/>
        </w:rPr>
        <w:t>, e</w:t>
      </w:r>
      <w:r w:rsidRPr="00C16D0D">
        <w:rPr>
          <w:rFonts w:eastAsia="Times New Roman" w:cs="Tahoma"/>
          <w:bCs/>
          <w:iCs/>
          <w:color w:val="auto"/>
          <w:lang w:eastAsia="es-ES"/>
        </w:rPr>
        <w:t>l Registro Municipal de Unidades Econ</w:t>
      </w:r>
      <w:r>
        <w:rPr>
          <w:rFonts w:eastAsia="Times New Roman" w:cs="Tahoma"/>
          <w:bCs/>
          <w:iCs/>
          <w:color w:val="auto"/>
          <w:lang w:eastAsia="es-ES"/>
        </w:rPr>
        <w:t>ómicas, con el mayor grado de desagregación posible.</w:t>
      </w:r>
    </w:p>
    <w:p w:rsidR="004C4ED6" w:rsidP="004C6617" w:rsidRDefault="004C4ED6" w14:paraId="406BF32C" w14:textId="77777777">
      <w:pPr>
        <w:spacing w:after="0" w:line="360" w:lineRule="auto"/>
        <w:rPr>
          <w:rFonts w:eastAsia="Times New Roman" w:cs="Tahoma"/>
          <w:bCs/>
          <w:iCs/>
          <w:color w:val="auto"/>
          <w:lang w:eastAsia="es-ES"/>
        </w:rPr>
      </w:pPr>
    </w:p>
    <w:p w:rsidR="004C4ED6" w:rsidP="004C6617" w:rsidRDefault="004C4ED6" w14:paraId="085CC45E" w14:textId="77777777">
      <w:pPr>
        <w:spacing w:after="0" w:line="360" w:lineRule="auto"/>
        <w:rPr>
          <w:rFonts w:eastAsia="Times New Roman" w:cs="Tahoma"/>
          <w:iCs/>
          <w:color w:val="auto"/>
          <w:lang w:eastAsia="es-ES"/>
        </w:rPr>
      </w:pPr>
      <w:r>
        <w:rPr>
          <w:rFonts w:eastAsia="Times New Roman" w:cs="Tahoma"/>
          <w:bCs/>
          <w:iCs/>
          <w:color w:val="auto"/>
          <w:lang w:eastAsia="es-ES"/>
        </w:rPr>
        <w:t>Ahora bien</w:t>
      </w:r>
      <w:r w:rsidRPr="00EF66AC">
        <w:rPr>
          <w:rFonts w:eastAsia="Times New Roman" w:cs="Tahoma"/>
          <w:bCs/>
          <w:iCs/>
          <w:color w:val="auto"/>
          <w:lang w:eastAsia="es-ES"/>
        </w:rPr>
        <w:t xml:space="preserve">, es de señalar que dicho registró puede tener todos los datos peticionados o no, pues únicamente está obligado a contar con la Clave Única y dirección del establecimiento y nombre del titular (persona física o moral); por lo que, en caso de que dicho registro no cuente con el </w:t>
      </w:r>
      <w:r w:rsidRPr="00EF66AC">
        <w:rPr>
          <w:rFonts w:eastAsia="Times New Roman" w:cs="Tahoma"/>
          <w:bCs/>
          <w:iCs/>
          <w:color w:val="auto"/>
          <w:lang w:val="es-ES" w:eastAsia="es-ES"/>
        </w:rPr>
        <w:t>número de identificación SCIAN, número de licenc</w:t>
      </w:r>
      <w:r>
        <w:rPr>
          <w:rFonts w:eastAsia="Times New Roman" w:cs="Tahoma"/>
          <w:bCs/>
          <w:iCs/>
          <w:color w:val="auto"/>
          <w:lang w:val="es-ES" w:eastAsia="es-ES"/>
        </w:rPr>
        <w:t>ia ambiental, nombre comercial o,</w:t>
      </w:r>
      <w:r w:rsidRPr="00EF66AC">
        <w:rPr>
          <w:rFonts w:eastAsia="Times New Roman" w:cs="Tahoma"/>
          <w:bCs/>
          <w:iCs/>
          <w:color w:val="auto"/>
          <w:lang w:val="es-ES" w:eastAsia="es-ES"/>
        </w:rPr>
        <w:t xml:space="preserve"> el teléfono o medio de contacto, </w:t>
      </w:r>
      <w:r w:rsidRPr="00DD3744">
        <w:rPr>
          <w:rFonts w:eastAsia="Times New Roman" w:cs="Tahoma"/>
          <w:iCs/>
          <w:color w:val="auto"/>
          <w:lang w:eastAsia="es-ES"/>
        </w:rPr>
        <w:t>al no existir obligación normativa</w:t>
      </w:r>
      <w:r>
        <w:rPr>
          <w:rFonts w:eastAsia="Times New Roman" w:cs="Tahoma"/>
          <w:iCs/>
          <w:color w:val="auto"/>
          <w:lang w:eastAsia="es-ES"/>
        </w:rPr>
        <w:t xml:space="preserve">, conforme al artículo </w:t>
      </w:r>
      <w:r w:rsidRPr="00EF66AC">
        <w:rPr>
          <w:rFonts w:eastAsia="Times New Roman" w:cs="Tahoma"/>
          <w:bCs/>
          <w:iCs/>
          <w:color w:val="auto"/>
          <w:lang w:eastAsia="es-ES"/>
        </w:rPr>
        <w:t>11, de la Ley de Competitividad y Ordenamiento Comercial del Estado de México</w:t>
      </w:r>
      <w:r>
        <w:rPr>
          <w:rFonts w:eastAsia="Times New Roman" w:cs="Tahoma"/>
          <w:iCs/>
          <w:color w:val="auto"/>
          <w:lang w:eastAsia="es-ES"/>
        </w:rPr>
        <w:t>, deberá hacérselo del conocimiento del ahora Recurrente, en términos del artículo 19, párrafo segundo, de la Ley de Transparencia y Acceso a la Información Pública del Estado de México y Municipios.</w:t>
      </w:r>
    </w:p>
    <w:p w:rsidR="004C4ED6" w:rsidP="004C6617" w:rsidRDefault="004C4ED6" w14:paraId="69E5F468" w14:textId="77777777">
      <w:pPr>
        <w:spacing w:after="0" w:line="360" w:lineRule="auto"/>
        <w:rPr>
          <w:rFonts w:eastAsia="Times New Roman" w:cs="Tahoma"/>
          <w:iCs/>
          <w:color w:val="auto"/>
          <w:lang w:eastAsia="es-ES"/>
        </w:rPr>
      </w:pPr>
    </w:p>
    <w:p w:rsidRPr="009E3E5E" w:rsidR="004C4ED6" w:rsidP="004C6617" w:rsidRDefault="004C4ED6" w14:paraId="35DE24B4" w14:textId="77777777">
      <w:pPr>
        <w:spacing w:after="0" w:line="360" w:lineRule="auto"/>
        <w:rPr>
          <w:rFonts w:cs="Tahoma"/>
          <w:iCs/>
          <w:lang w:val="es-ES"/>
        </w:rPr>
      </w:pPr>
      <w:r w:rsidRPr="009E3E5E">
        <w:rPr>
          <w:rFonts w:cs="Tahoma"/>
          <w:iCs/>
          <w:lang w:val="es-ES"/>
        </w:rPr>
        <w:t>Finalmente, no pasa desapercibido para este Instituto que los documentos que atiendan la solicitud,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4C4ED6" w:rsidP="004C6617" w:rsidRDefault="004C4ED6" w14:paraId="2632EEF3" w14:textId="77777777">
      <w:pPr>
        <w:spacing w:after="0" w:line="360" w:lineRule="auto"/>
        <w:rPr>
          <w:rFonts w:cs="Tahoma"/>
          <w:iCs/>
          <w:lang w:val="es-ES"/>
        </w:rPr>
      </w:pPr>
    </w:p>
    <w:p w:rsidRPr="009E3E5E" w:rsidR="00D511EB" w:rsidP="004C6617" w:rsidRDefault="00D511EB" w14:paraId="4458A759" w14:textId="77777777">
      <w:pPr>
        <w:spacing w:after="0" w:line="360" w:lineRule="auto"/>
        <w:rPr>
          <w:rFonts w:cs="Tahoma"/>
          <w:iCs/>
          <w:lang w:val="es-ES"/>
        </w:rPr>
      </w:pPr>
    </w:p>
    <w:p w:rsidRPr="009E3E5E" w:rsidR="004C4ED6" w:rsidP="004C6617" w:rsidRDefault="004C4ED6" w14:paraId="0B05A6CA" w14:textId="77777777">
      <w:pPr>
        <w:spacing w:after="0" w:line="360" w:lineRule="auto"/>
        <w:rPr>
          <w:rFonts w:eastAsia="Calibri" w:cs="Tahoma"/>
          <w:bCs/>
          <w:color w:val="000000"/>
          <w:lang w:val="es-ES"/>
        </w:rPr>
      </w:pPr>
      <w:r w:rsidRPr="009E3E5E">
        <w:rPr>
          <w:rFonts w:cs="Tahoma"/>
          <w:iCs/>
          <w:lang w:val="es-ES"/>
        </w:rPr>
        <w:t>Para tal situación, el Sujeto Obligado deberá seguir el procedimiento establecido en el artículo 168</w:t>
      </w:r>
      <w:r w:rsidRPr="009E3E5E">
        <w:rPr>
          <w:rFonts w:eastAsia="Calibri" w:cs="Tahoma"/>
          <w:bCs/>
          <w:color w:val="000000"/>
          <w:lang w:val="es-ES"/>
        </w:rPr>
        <w:t xml:space="preserve"> de dicho ordenamiento jurídico; esto es, que el área competente deberá elaborar la versión pública, así como emitir el Acuerdo, por parte del Comité de Transparencia, donde confirme la clasificación de los datos, fundando y motivando la clasificación, con el fin de dar cumplimiento a la normatividad aplicable.</w:t>
      </w:r>
    </w:p>
    <w:p w:rsidR="00605283" w:rsidP="004C6617" w:rsidRDefault="00605283" w14:paraId="07638C42" w14:textId="77777777">
      <w:pPr>
        <w:spacing w:after="0" w:line="360" w:lineRule="auto"/>
        <w:rPr>
          <w:rFonts w:eastAsia="Times New Roman" w:cs="Tahoma"/>
          <w:iCs/>
          <w:color w:val="auto"/>
          <w:lang w:val="es-ES" w:eastAsia="es-ES"/>
        </w:rPr>
      </w:pPr>
    </w:p>
    <w:p w:rsidRPr="003A79F3" w:rsidR="00605283" w:rsidP="004C6617" w:rsidRDefault="00605283" w14:paraId="11087E05" w14:textId="77777777">
      <w:pPr>
        <w:spacing w:after="0" w:line="360" w:lineRule="auto"/>
        <w:rPr>
          <w:rFonts w:eastAsia="Times New Roman" w:cs="Tahoma"/>
          <w:iCs/>
          <w:color w:val="auto"/>
          <w:lang w:eastAsia="es-ES"/>
        </w:rPr>
      </w:pPr>
      <w:r w:rsidRPr="003A79F3">
        <w:rPr>
          <w:rFonts w:eastAsia="Times New Roman" w:cs="Tahoma"/>
          <w:b/>
          <w:iCs/>
          <w:color w:val="auto"/>
          <w:lang w:val="es-ES" w:eastAsia="es-ES"/>
        </w:rPr>
        <w:t>SEXTO. Decisión.</w:t>
      </w:r>
    </w:p>
    <w:p w:rsidRPr="003A79F3" w:rsidR="004C6617" w:rsidP="004C6617" w:rsidRDefault="004C6617" w14:paraId="1BEFA9FB" w14:textId="77777777">
      <w:pPr>
        <w:spacing w:after="0" w:line="360" w:lineRule="auto"/>
        <w:rPr>
          <w:rFonts w:eastAsia="Times New Roman" w:cs="Tahoma"/>
          <w:iCs/>
          <w:color w:val="auto"/>
          <w:lang w:eastAsia="es-ES"/>
        </w:rPr>
      </w:pPr>
      <w:bookmarkStart w:name="_Hlk65244714" w:id="1"/>
    </w:p>
    <w:p w:rsidR="004C6617" w:rsidP="004C6617" w:rsidRDefault="004C6617" w14:paraId="5458BF2D" w14:textId="77777777">
      <w:pPr>
        <w:spacing w:after="0" w:line="360" w:lineRule="auto"/>
        <w:rPr>
          <w:rFonts w:eastAsia="Times New Roman" w:cs="Tahoma"/>
          <w:bCs/>
          <w:iCs/>
          <w:color w:val="auto"/>
          <w:lang w:eastAsia="es-ES"/>
        </w:rPr>
      </w:pPr>
      <w:r w:rsidRPr="005E242C">
        <w:rPr>
          <w:rFonts w:cs="Tahoma"/>
        </w:rPr>
        <w:t xml:space="preserve">Con fundamento en el artículo 186, fracción III, de la Ley de Transparencia y Acceso a la Información Pública del Estado de México y Municipios, este Instituto considera procedente </w:t>
      </w:r>
      <w:r>
        <w:rPr>
          <w:rFonts w:cs="Tahoma"/>
          <w:b/>
        </w:rPr>
        <w:t>REVOCAR</w:t>
      </w:r>
      <w:r w:rsidRPr="005E242C">
        <w:rPr>
          <w:rFonts w:cs="Tahoma"/>
          <w:b/>
        </w:rPr>
        <w:t xml:space="preserve"> </w:t>
      </w:r>
      <w:r w:rsidRPr="005E242C">
        <w:rPr>
          <w:rFonts w:cs="Tahoma"/>
        </w:rPr>
        <w:t>la repuesta otorgada por el Sujeto Obligado, a efecto de que</w:t>
      </w:r>
      <w:r>
        <w:rPr>
          <w:rFonts w:cs="Tahoma"/>
        </w:rPr>
        <w:t>, previa búsqueda exhaustiva y razonable en los archivos de las unidades administrativas competentes, entre las cuales, no podrá omitir al Área de Regulación Comercial de la Dirección de Desarrollo Económico,</w:t>
      </w:r>
      <w:r w:rsidRPr="005E242C">
        <w:rPr>
          <w:rFonts w:cs="Tahoma"/>
        </w:rPr>
        <w:t xml:space="preserve"> entregue, a través del Sistema de Acceso a la Información Mexiquense (SAIMEX)</w:t>
      </w:r>
      <w:r>
        <w:rPr>
          <w:rFonts w:cs="Tahoma"/>
        </w:rPr>
        <w:t xml:space="preserve"> y correo electrónico</w:t>
      </w:r>
      <w:r w:rsidRPr="005E242C">
        <w:rPr>
          <w:rFonts w:cs="Tahoma"/>
        </w:rPr>
        <w:t>,</w:t>
      </w:r>
      <w:r>
        <w:rPr>
          <w:rFonts w:cs="Tahoma"/>
        </w:rPr>
        <w:t xml:space="preserve"> en su caso, en versión pública, </w:t>
      </w:r>
      <w:r>
        <w:rPr>
          <w:rFonts w:eastAsia="Times New Roman" w:cs="Tahoma"/>
          <w:iCs/>
          <w:color w:val="auto"/>
          <w:lang w:eastAsia="es-ES"/>
        </w:rPr>
        <w:t>en formato “</w:t>
      </w:r>
      <w:proofErr w:type="spellStart"/>
      <w:r>
        <w:rPr>
          <w:rFonts w:eastAsia="Times New Roman" w:cs="Tahoma"/>
          <w:iCs/>
          <w:color w:val="auto"/>
          <w:lang w:eastAsia="es-ES"/>
        </w:rPr>
        <w:t>xlsx</w:t>
      </w:r>
      <w:proofErr w:type="spellEnd"/>
      <w:r>
        <w:rPr>
          <w:rFonts w:eastAsia="Times New Roman" w:cs="Tahoma"/>
          <w:iCs/>
          <w:color w:val="auto"/>
          <w:lang w:eastAsia="es-ES"/>
        </w:rPr>
        <w:t xml:space="preserve">”, en datos abiertos o en aquel, en que se haya generado la información, respecto </w:t>
      </w:r>
      <w:r w:rsidRPr="00F949D2">
        <w:rPr>
          <w:rFonts w:eastAsia="Times New Roman" w:cs="Tahoma"/>
          <w:bCs/>
          <w:iCs/>
          <w:color w:val="auto"/>
          <w:lang w:eastAsia="es-ES"/>
        </w:rPr>
        <w:t>a las autorizaciones de funcionamiento, emitidas al primero de septiembre de dos mil veintiuno, relacionadas con las actividades señaladas en la solicitud de información o sus homólogas</w:t>
      </w:r>
      <w:r>
        <w:rPr>
          <w:rFonts w:eastAsia="Times New Roman" w:cs="Tahoma"/>
          <w:bCs/>
          <w:iCs/>
          <w:color w:val="auto"/>
          <w:lang w:eastAsia="es-ES"/>
        </w:rPr>
        <w:t xml:space="preserve">, el </w:t>
      </w:r>
      <w:r w:rsidRPr="00C16D0D">
        <w:rPr>
          <w:rFonts w:eastAsia="Times New Roman" w:cs="Tahoma"/>
          <w:bCs/>
          <w:iCs/>
          <w:color w:val="auto"/>
          <w:lang w:eastAsia="es-ES"/>
        </w:rPr>
        <w:t>Registro Municipal de Unidades Econ</w:t>
      </w:r>
      <w:r>
        <w:rPr>
          <w:rFonts w:eastAsia="Times New Roman" w:cs="Tahoma"/>
          <w:bCs/>
          <w:iCs/>
          <w:color w:val="auto"/>
          <w:lang w:eastAsia="es-ES"/>
        </w:rPr>
        <w:t>ómicas, con el mayor grado de desagregación posible.</w:t>
      </w:r>
    </w:p>
    <w:p w:rsidR="004C6617" w:rsidP="004C6617" w:rsidRDefault="004C6617" w14:paraId="12FB99A8" w14:textId="77777777">
      <w:pPr>
        <w:spacing w:after="0" w:line="360" w:lineRule="auto"/>
        <w:rPr>
          <w:rFonts w:eastAsia="Times New Roman" w:cs="Tahoma"/>
          <w:iCs/>
          <w:color w:val="auto"/>
          <w:lang w:val="es-ES" w:eastAsia="es-ES"/>
        </w:rPr>
      </w:pPr>
    </w:p>
    <w:p w:rsidR="004C6617" w:rsidP="004C6617" w:rsidRDefault="004C6617" w14:paraId="59427488" w14:textId="77777777">
      <w:pPr>
        <w:spacing w:after="0" w:line="360" w:lineRule="auto"/>
        <w:rPr>
          <w:rFonts w:eastAsia="Calibri" w:cs="Tahoma"/>
          <w:bCs/>
          <w:iCs/>
          <w:color w:val="000000"/>
        </w:rPr>
      </w:pPr>
      <w:r w:rsidRPr="00201375">
        <w:rPr>
          <w:rFonts w:eastAsia="Times New Roman" w:cs="Tahoma"/>
          <w:iCs/>
          <w:color w:val="auto"/>
          <w:lang w:val="es-ES" w:eastAsia="es-ES"/>
        </w:rPr>
        <w:t>Además, de ser necesario, deberá proporcionar el Acuerdo de Clasificación donde el Comité de Transparencia, confirme la eliminación de los datos o información clasificada, en la versión pública</w:t>
      </w:r>
      <w:r w:rsidRPr="00C56E27">
        <w:rPr>
          <w:rFonts w:eastAsia="Calibri" w:cs="Tahoma"/>
          <w:bCs/>
          <w:iCs/>
          <w:color w:val="000000"/>
        </w:rPr>
        <w:t>, de conformidad con los artículos 49, fracciones II y VIII y 132, fracción II de la Ley de Transparencia y Acceso a la Información Pública del Estado de México y Municipios.</w:t>
      </w:r>
    </w:p>
    <w:p w:rsidR="004C6617" w:rsidP="004C6617" w:rsidRDefault="004C6617" w14:paraId="657D6F94" w14:textId="77777777">
      <w:pPr>
        <w:spacing w:after="0" w:line="360" w:lineRule="auto"/>
        <w:rPr>
          <w:rFonts w:eastAsia="Times New Roman" w:cs="Tahoma"/>
          <w:iCs/>
          <w:color w:val="auto"/>
          <w:lang w:val="es-ES" w:eastAsia="es-ES"/>
        </w:rPr>
      </w:pPr>
    </w:p>
    <w:p w:rsidR="004C6617" w:rsidP="004C6617" w:rsidRDefault="004C6617" w14:paraId="182E695E" w14:textId="77777777">
      <w:pPr>
        <w:spacing w:after="0" w:line="360" w:lineRule="auto"/>
        <w:rPr>
          <w:rFonts w:eastAsia="Times New Roman" w:cs="Tahoma"/>
          <w:iCs/>
          <w:color w:val="auto"/>
          <w:lang w:val="es-ES" w:eastAsia="es-ES"/>
        </w:rPr>
      </w:pPr>
      <w:r w:rsidRPr="003A79F3">
        <w:rPr>
          <w:rFonts w:eastAsia="Times New Roman" w:cs="Tahoma"/>
          <w:iCs/>
          <w:color w:val="auto"/>
          <w:lang w:eastAsia="es-ES"/>
        </w:rPr>
        <w:lastRenderedPageBreak/>
        <w:t xml:space="preserve">Asimismo, </w:t>
      </w:r>
      <w:r w:rsidRPr="00B44E37">
        <w:rPr>
          <w:rFonts w:eastAsia="Times New Roman" w:cs="Tahoma"/>
          <w:iCs/>
          <w:color w:val="auto"/>
          <w:lang w:eastAsia="es-ES"/>
        </w:rPr>
        <w:t xml:space="preserve">para el caso de que no haya emitido alguna autorización respecto de las actividades señaladas en la solicitud, o </w:t>
      </w:r>
      <w:r>
        <w:rPr>
          <w:rFonts w:eastAsia="Times New Roman" w:cs="Tahoma"/>
          <w:iCs/>
          <w:color w:val="auto"/>
          <w:lang w:eastAsia="es-ES"/>
        </w:rPr>
        <w:t xml:space="preserve">que en el Registro, no se localice </w:t>
      </w:r>
      <w:r w:rsidRPr="002F20DF">
        <w:rPr>
          <w:rFonts w:eastAsia="Times New Roman" w:cs="Tahoma"/>
          <w:bCs/>
          <w:iCs/>
          <w:color w:val="auto"/>
          <w:lang w:eastAsia="es-ES"/>
        </w:rPr>
        <w:t xml:space="preserve">el </w:t>
      </w:r>
      <w:r w:rsidRPr="002F20DF">
        <w:rPr>
          <w:rFonts w:eastAsia="Times New Roman" w:cs="Tahoma"/>
          <w:bCs/>
          <w:iCs/>
          <w:color w:val="auto"/>
          <w:lang w:val="es-ES" w:eastAsia="es-ES"/>
        </w:rPr>
        <w:t>número de identificación SCIAN, número de licencia ambiental, coordenadas geográficas, nombre comercial o teléfono</w:t>
      </w:r>
      <w:r>
        <w:rPr>
          <w:rFonts w:eastAsia="Times New Roman" w:cs="Tahoma"/>
          <w:bCs/>
          <w:iCs/>
          <w:color w:val="auto"/>
          <w:lang w:val="es-ES" w:eastAsia="es-ES"/>
        </w:rPr>
        <w:t xml:space="preserve"> (medio)</w:t>
      </w:r>
      <w:r w:rsidRPr="002F20DF">
        <w:rPr>
          <w:rFonts w:eastAsia="Times New Roman" w:cs="Tahoma"/>
          <w:bCs/>
          <w:iCs/>
          <w:color w:val="auto"/>
          <w:lang w:val="es-ES" w:eastAsia="es-ES"/>
        </w:rPr>
        <w:t xml:space="preserve"> de contacto</w:t>
      </w:r>
      <w:r>
        <w:rPr>
          <w:rFonts w:eastAsia="Times New Roman" w:cs="Tahoma"/>
          <w:iCs/>
          <w:color w:val="auto"/>
          <w:lang w:eastAsia="es-ES"/>
        </w:rPr>
        <w:t xml:space="preserve">, al no existir obligación normativa, conforme a lo establecido en la Ley de Competitividad </w:t>
      </w:r>
      <w:r w:rsidRPr="002F20DF">
        <w:rPr>
          <w:rFonts w:eastAsia="Times New Roman" w:cs="Tahoma"/>
          <w:iCs/>
          <w:color w:val="auto"/>
          <w:lang w:eastAsia="es-ES"/>
        </w:rPr>
        <w:t>y Ordenamiento Comercial del Estado de México</w:t>
      </w:r>
      <w:r>
        <w:rPr>
          <w:rFonts w:eastAsia="Times New Roman" w:cs="Tahoma"/>
          <w:iCs/>
          <w:color w:val="auto"/>
          <w:lang w:eastAsia="es-ES"/>
        </w:rPr>
        <w:t>,</w:t>
      </w:r>
      <w:r w:rsidRPr="00B44E37">
        <w:rPr>
          <w:rFonts w:eastAsia="Times New Roman" w:cs="Tahoma"/>
          <w:iCs/>
          <w:color w:val="auto"/>
          <w:lang w:eastAsia="es-ES"/>
        </w:rPr>
        <w:t xml:space="preserve"> deberá hacérselo del conocimiento del ahora Recurrente</w:t>
      </w:r>
      <w:r>
        <w:rPr>
          <w:rFonts w:eastAsia="Times New Roman" w:cs="Tahoma"/>
          <w:iCs/>
          <w:color w:val="auto"/>
          <w:lang w:eastAsia="es-ES"/>
        </w:rPr>
        <w:t>, de manera clara y precisa.</w:t>
      </w:r>
    </w:p>
    <w:p w:rsidRPr="003A79F3" w:rsidR="00605283" w:rsidP="004C6617" w:rsidRDefault="00605283" w14:paraId="24D7335A" w14:textId="77777777">
      <w:pPr>
        <w:spacing w:after="0" w:line="360" w:lineRule="auto"/>
        <w:rPr>
          <w:rFonts w:eastAsia="Times New Roman" w:cs="Tahoma"/>
          <w:bCs/>
          <w:iCs/>
          <w:color w:val="auto"/>
          <w:lang w:val="es-ES_tradnl" w:eastAsia="es-ES"/>
        </w:rPr>
      </w:pPr>
    </w:p>
    <w:bookmarkEnd w:id="1"/>
    <w:p w:rsidRPr="00E53E3E" w:rsidR="00605283" w:rsidP="004C6617" w:rsidRDefault="00605283" w14:paraId="6ED9D2BE" w14:textId="77777777">
      <w:pPr>
        <w:spacing w:after="0" w:line="360" w:lineRule="auto"/>
        <w:rPr>
          <w:rFonts w:eastAsia="Times New Roman" w:cs="Tahoma"/>
          <w:b/>
          <w:bCs/>
          <w:iCs/>
          <w:color w:val="auto"/>
          <w:lang w:eastAsia="es-ES"/>
        </w:rPr>
      </w:pPr>
      <w:r w:rsidRPr="00E53E3E">
        <w:rPr>
          <w:rFonts w:eastAsia="Times New Roman" w:cs="Tahoma"/>
          <w:b/>
          <w:bCs/>
          <w:iCs/>
          <w:color w:val="auto"/>
          <w:lang w:eastAsia="es-ES"/>
        </w:rPr>
        <w:t>Términos de la Resolución para conocimiento del Particular.</w:t>
      </w:r>
    </w:p>
    <w:p w:rsidRPr="00E53E3E" w:rsidR="00605283" w:rsidP="004C6617" w:rsidRDefault="00605283" w14:paraId="3576B511" w14:textId="77777777">
      <w:pPr>
        <w:spacing w:after="0" w:line="360" w:lineRule="auto"/>
        <w:rPr>
          <w:rFonts w:eastAsia="Times New Roman" w:cs="Tahoma"/>
          <w:b/>
          <w:bCs/>
          <w:iCs/>
          <w:color w:val="auto"/>
          <w:lang w:eastAsia="es-ES"/>
        </w:rPr>
      </w:pPr>
    </w:p>
    <w:p w:rsidRPr="004C6617" w:rsidR="004C6617" w:rsidP="004C6617" w:rsidRDefault="004C6617" w14:paraId="25EA8180" w14:textId="3BD4D26C">
      <w:pPr>
        <w:spacing w:after="0" w:line="360" w:lineRule="auto"/>
        <w:rPr>
          <w:rFonts w:eastAsia="Times New Roman" w:cs="Tahoma"/>
          <w:iCs/>
          <w:color w:val="auto"/>
          <w:lang w:eastAsia="es-ES"/>
        </w:rPr>
      </w:pPr>
      <w:r w:rsidRPr="004C6617">
        <w:rPr>
          <w:rFonts w:eastAsia="Times New Roman" w:cs="Tahoma"/>
          <w:iCs/>
          <w:color w:val="auto"/>
          <w:lang w:eastAsia="es-ES"/>
        </w:rPr>
        <w:t xml:space="preserve">Se le hace del conocimiento al ahora Recurrente que, en el presente caso, se le da la razón, dado que el Sujeto Obligado </w:t>
      </w:r>
      <w:r>
        <w:rPr>
          <w:rFonts w:eastAsia="Times New Roman" w:cs="Tahoma"/>
          <w:iCs/>
          <w:color w:val="auto"/>
          <w:lang w:eastAsia="es-ES"/>
        </w:rPr>
        <w:t>clasificó información de naturaleza pública</w:t>
      </w:r>
      <w:r w:rsidRPr="004C6617">
        <w:rPr>
          <w:rFonts w:eastAsia="Times New Roman" w:cs="Tahoma"/>
          <w:iCs/>
          <w:color w:val="auto"/>
          <w:lang w:eastAsia="es-ES"/>
        </w:rPr>
        <w:t xml:space="preserve"> y</w:t>
      </w:r>
      <w:r>
        <w:rPr>
          <w:rFonts w:eastAsia="Times New Roman" w:cs="Tahoma"/>
          <w:iCs/>
          <w:color w:val="auto"/>
          <w:lang w:eastAsia="es-ES"/>
        </w:rPr>
        <w:t>,</w:t>
      </w:r>
      <w:r w:rsidRPr="004C6617">
        <w:rPr>
          <w:rFonts w:eastAsia="Times New Roman" w:cs="Tahoma"/>
          <w:iCs/>
          <w:color w:val="auto"/>
          <w:lang w:eastAsia="es-ES"/>
        </w:rPr>
        <w:t xml:space="preserve"> por lo tanto, deberá entregarle aquella documentación que dé cuenta de lo peticionado. </w:t>
      </w:r>
    </w:p>
    <w:p w:rsidRPr="004C6617" w:rsidR="004C6617" w:rsidP="004C6617" w:rsidRDefault="004C6617" w14:paraId="3076C3EC" w14:textId="77777777">
      <w:pPr>
        <w:spacing w:after="0" w:line="360" w:lineRule="auto"/>
        <w:rPr>
          <w:rFonts w:eastAsia="Times New Roman" w:cs="Tahoma"/>
          <w:iCs/>
          <w:color w:val="auto"/>
          <w:lang w:eastAsia="es-ES"/>
        </w:rPr>
      </w:pPr>
    </w:p>
    <w:p w:rsidRPr="004C6617" w:rsidR="004C6617" w:rsidP="004C6617" w:rsidRDefault="004C6617" w14:paraId="574705F5" w14:textId="0E03D6EB">
      <w:pPr>
        <w:spacing w:after="0" w:line="360" w:lineRule="auto"/>
        <w:rPr>
          <w:rFonts w:eastAsia="Times New Roman" w:cs="Tahoma"/>
          <w:iCs/>
          <w:color w:val="auto"/>
          <w:lang w:eastAsia="es-ES"/>
        </w:rPr>
      </w:pPr>
      <w:r w:rsidRPr="004C6617">
        <w:rPr>
          <w:rFonts w:eastAsia="Times New Roman" w:cs="Tahoma"/>
          <w:bCs/>
          <w:iCs/>
          <w:color w:val="auto"/>
          <w:lang w:eastAsia="es-ES"/>
        </w:rPr>
        <w:t xml:space="preserve">Finalmente, la labor </w:t>
      </w:r>
      <w:r w:rsidR="00D511EB">
        <w:rPr>
          <w:rFonts w:eastAsia="Times New Roman" w:cs="Tahoma"/>
          <w:bCs/>
          <w:iCs/>
          <w:color w:val="auto"/>
          <w:lang w:eastAsia="es-ES"/>
        </w:rPr>
        <w:t>del Instituto de Transparencia, Acceso a la Información Pública y Protección de Datos Personales del Estado de México y Municipios</w:t>
      </w:r>
      <w:r w:rsidRPr="004C6617">
        <w:rPr>
          <w:rFonts w:eastAsia="Times New Roman" w:cs="Tahoma"/>
          <w:bCs/>
          <w:iCs/>
          <w:color w:val="auto"/>
          <w:lang w:eastAsia="es-ES"/>
        </w:rPr>
        <w:t>, es apoyar a la población a acceder a la información pública y garantizar la protección de los datos personales.</w:t>
      </w:r>
    </w:p>
    <w:p w:rsidR="00605283" w:rsidP="004C6617" w:rsidRDefault="00605283" w14:paraId="24EFA6B7" w14:textId="77777777">
      <w:pPr>
        <w:spacing w:after="0" w:line="360" w:lineRule="auto"/>
        <w:rPr>
          <w:rFonts w:eastAsia="Times New Roman" w:cs="Tahoma"/>
          <w:iCs/>
          <w:color w:val="auto"/>
          <w:lang w:val="es-ES" w:eastAsia="es-ES"/>
        </w:rPr>
      </w:pPr>
    </w:p>
    <w:p w:rsidRPr="00560451" w:rsidR="00605283" w:rsidP="004C6617" w:rsidRDefault="00605283" w14:paraId="18DB9320" w14:textId="77777777">
      <w:pPr>
        <w:spacing w:after="0" w:line="360" w:lineRule="auto"/>
        <w:rPr>
          <w:rFonts w:eastAsia="Times New Roman" w:cs="Tahoma"/>
          <w:bCs/>
          <w:iCs/>
          <w:color w:val="auto"/>
          <w:lang w:eastAsia="es-ES"/>
        </w:rPr>
      </w:pPr>
      <w:r w:rsidRPr="00560451">
        <w:rPr>
          <w:rFonts w:eastAsia="Times New Roman" w:cs="Tahoma"/>
          <w:bCs/>
          <w:iCs/>
          <w:color w:val="auto"/>
          <w:lang w:eastAsia="es-ES"/>
        </w:rPr>
        <w:t>Por lo expuesto y fundado, este Pleno:</w:t>
      </w:r>
    </w:p>
    <w:p w:rsidR="00605283" w:rsidP="004C6617" w:rsidRDefault="00605283" w14:paraId="3AA7E188" w14:textId="77777777">
      <w:pPr>
        <w:spacing w:after="0" w:line="360" w:lineRule="auto"/>
        <w:rPr>
          <w:rFonts w:eastAsia="Times New Roman" w:cs="Tahoma"/>
          <w:iCs/>
          <w:color w:val="auto"/>
          <w:lang w:eastAsia="es-ES"/>
        </w:rPr>
      </w:pPr>
    </w:p>
    <w:p w:rsidRPr="00560451" w:rsidR="00605283" w:rsidP="004C6617" w:rsidRDefault="00605283" w14:paraId="5583ED01" w14:textId="77777777">
      <w:pPr>
        <w:spacing w:after="0" w:line="360" w:lineRule="auto"/>
        <w:jc w:val="center"/>
        <w:rPr>
          <w:rFonts w:eastAsia="Times New Roman" w:cs="Tahoma"/>
          <w:b/>
          <w:bCs/>
          <w:iCs/>
          <w:color w:val="auto"/>
          <w:lang w:eastAsia="es-ES"/>
        </w:rPr>
      </w:pPr>
      <w:r w:rsidRPr="00560451">
        <w:rPr>
          <w:rFonts w:eastAsia="Times New Roman" w:cs="Tahoma"/>
          <w:b/>
          <w:bCs/>
          <w:iCs/>
          <w:color w:val="auto"/>
          <w:lang w:eastAsia="es-ES"/>
        </w:rPr>
        <w:t>R E S U E L V E:</w:t>
      </w:r>
    </w:p>
    <w:p w:rsidRPr="00560451" w:rsidR="00605283" w:rsidP="004C6617" w:rsidRDefault="00605283" w14:paraId="41282DF5" w14:textId="77777777">
      <w:pPr>
        <w:spacing w:after="0" w:line="360" w:lineRule="auto"/>
        <w:rPr>
          <w:rFonts w:eastAsia="Times New Roman" w:cs="Tahoma"/>
          <w:b/>
          <w:iCs/>
          <w:color w:val="auto"/>
          <w:lang w:eastAsia="es-ES"/>
        </w:rPr>
      </w:pPr>
    </w:p>
    <w:p w:rsidRPr="00560451" w:rsidR="00605283" w:rsidP="004C6617" w:rsidRDefault="00605283" w14:paraId="3D77EDBD" w14:textId="2D837016">
      <w:pPr>
        <w:spacing w:after="0" w:line="360" w:lineRule="auto"/>
        <w:rPr>
          <w:rFonts w:eastAsia="Times New Roman" w:cs="Tahoma"/>
          <w:iCs/>
          <w:color w:val="auto"/>
          <w:lang w:eastAsia="es-ES"/>
        </w:rPr>
      </w:pPr>
      <w:r w:rsidRPr="00560451">
        <w:rPr>
          <w:rFonts w:eastAsia="Times New Roman" w:cs="Tahoma"/>
          <w:b/>
          <w:bCs/>
          <w:iCs/>
          <w:color w:val="auto"/>
          <w:lang w:eastAsia="es-ES"/>
        </w:rPr>
        <w:t>PRIMERO.</w:t>
      </w:r>
      <w:r w:rsidRPr="00560451">
        <w:rPr>
          <w:rFonts w:eastAsia="Times New Roman" w:cs="Tahoma"/>
          <w:iCs/>
          <w:color w:val="auto"/>
          <w:lang w:eastAsia="es-ES"/>
        </w:rPr>
        <w:t xml:space="preserve"> Se </w:t>
      </w:r>
      <w:r w:rsidRPr="004C6617" w:rsidR="004C6617">
        <w:rPr>
          <w:rFonts w:eastAsia="Times New Roman" w:cs="Tahoma"/>
          <w:b/>
          <w:bCs/>
          <w:iCs/>
          <w:color w:val="auto"/>
          <w:lang w:eastAsia="es-ES"/>
        </w:rPr>
        <w:t>REVOCA</w:t>
      </w:r>
      <w:r w:rsidR="0067676B">
        <w:rPr>
          <w:rFonts w:eastAsia="Times New Roman" w:cs="Tahoma"/>
          <w:b/>
          <w:bCs/>
          <w:iCs/>
          <w:color w:val="auto"/>
          <w:lang w:eastAsia="es-ES"/>
        </w:rPr>
        <w:t>N</w:t>
      </w:r>
      <w:r w:rsidRPr="00560451">
        <w:rPr>
          <w:rFonts w:eastAsia="Times New Roman" w:cs="Tahoma"/>
          <w:iCs/>
          <w:color w:val="auto"/>
          <w:lang w:eastAsia="es-ES"/>
        </w:rPr>
        <w:t xml:space="preserve"> la</w:t>
      </w:r>
      <w:r w:rsidR="0067676B">
        <w:rPr>
          <w:rFonts w:eastAsia="Times New Roman" w:cs="Tahoma"/>
          <w:iCs/>
          <w:color w:val="auto"/>
          <w:lang w:eastAsia="es-ES"/>
        </w:rPr>
        <w:t>s</w:t>
      </w:r>
      <w:r w:rsidRPr="00560451">
        <w:rPr>
          <w:rFonts w:eastAsia="Times New Roman" w:cs="Tahoma"/>
          <w:iCs/>
          <w:color w:val="auto"/>
          <w:lang w:eastAsia="es-ES"/>
        </w:rPr>
        <w:t xml:space="preserve"> respuesta</w:t>
      </w:r>
      <w:r w:rsidR="0067676B">
        <w:rPr>
          <w:rFonts w:eastAsia="Times New Roman" w:cs="Tahoma"/>
          <w:iCs/>
          <w:color w:val="auto"/>
          <w:lang w:eastAsia="es-ES"/>
        </w:rPr>
        <w:t>s</w:t>
      </w:r>
      <w:r w:rsidRPr="00560451">
        <w:rPr>
          <w:rFonts w:eastAsia="Times New Roman" w:cs="Tahoma"/>
          <w:iCs/>
          <w:color w:val="auto"/>
          <w:lang w:eastAsia="es-ES"/>
        </w:rPr>
        <w:t xml:space="preserve"> otorgada</w:t>
      </w:r>
      <w:r w:rsidR="0067676B">
        <w:rPr>
          <w:rFonts w:eastAsia="Times New Roman" w:cs="Tahoma"/>
          <w:iCs/>
          <w:color w:val="auto"/>
          <w:lang w:eastAsia="es-ES"/>
        </w:rPr>
        <w:t>s</w:t>
      </w:r>
      <w:r w:rsidRPr="00560451">
        <w:rPr>
          <w:rFonts w:eastAsia="Times New Roman" w:cs="Tahoma"/>
          <w:iCs/>
          <w:color w:val="auto"/>
          <w:lang w:eastAsia="es-ES"/>
        </w:rPr>
        <w:t xml:space="preserve"> por el </w:t>
      </w:r>
      <w:r>
        <w:rPr>
          <w:rFonts w:eastAsia="Times New Roman" w:cs="Tahoma"/>
          <w:iCs/>
          <w:color w:val="auto"/>
          <w:lang w:eastAsia="es-ES"/>
        </w:rPr>
        <w:t>Ayuntamiento de Ecatepec de Morelos</w:t>
      </w:r>
      <w:r w:rsidRPr="00560451">
        <w:rPr>
          <w:rFonts w:eastAsia="Times New Roman" w:cs="Tahoma"/>
          <w:iCs/>
          <w:color w:val="auto"/>
          <w:lang w:eastAsia="es-ES"/>
        </w:rPr>
        <w:t>, a la</w:t>
      </w:r>
      <w:r w:rsidR="002A2945">
        <w:rPr>
          <w:rFonts w:eastAsia="Times New Roman" w:cs="Tahoma"/>
          <w:iCs/>
          <w:color w:val="auto"/>
          <w:lang w:eastAsia="es-ES"/>
        </w:rPr>
        <w:t>s</w:t>
      </w:r>
      <w:r w:rsidRPr="00560451">
        <w:rPr>
          <w:rFonts w:eastAsia="Times New Roman" w:cs="Tahoma"/>
          <w:iCs/>
          <w:color w:val="auto"/>
          <w:lang w:eastAsia="es-ES"/>
        </w:rPr>
        <w:t xml:space="preserve"> solicitud</w:t>
      </w:r>
      <w:r w:rsidR="002A2945">
        <w:rPr>
          <w:rFonts w:eastAsia="Times New Roman" w:cs="Tahoma"/>
          <w:iCs/>
          <w:color w:val="auto"/>
          <w:lang w:eastAsia="es-ES"/>
        </w:rPr>
        <w:t>es</w:t>
      </w:r>
      <w:r w:rsidRPr="00560451">
        <w:rPr>
          <w:rFonts w:eastAsia="Times New Roman" w:cs="Tahoma"/>
          <w:iCs/>
          <w:color w:val="auto"/>
          <w:lang w:eastAsia="es-ES"/>
        </w:rPr>
        <w:t xml:space="preserve"> de acceso a la información </w:t>
      </w:r>
      <w:r w:rsidR="002A2945">
        <w:rPr>
          <w:rFonts w:eastAsia="Calibri" w:cs="Tahoma"/>
          <w:color w:val="000000"/>
        </w:rPr>
        <w:t xml:space="preserve">con número </w:t>
      </w:r>
      <w:r w:rsidRPr="002A2945" w:rsidR="002A2945">
        <w:rPr>
          <w:rFonts w:eastAsia="Calibri" w:cs="Tahoma"/>
          <w:color w:val="000000"/>
        </w:rPr>
        <w:t>00630/ECATEPEC/IP/2021 y 00635/ECATEPEC/IP/2021</w:t>
      </w:r>
      <w:r w:rsidRPr="00560451">
        <w:rPr>
          <w:rFonts w:eastAsia="Times New Roman" w:cs="Tahoma"/>
          <w:iCs/>
          <w:color w:val="auto"/>
          <w:lang w:eastAsia="es-ES"/>
        </w:rPr>
        <w:t xml:space="preserve">, por resultar </w:t>
      </w:r>
      <w:r w:rsidRPr="00560451">
        <w:rPr>
          <w:rFonts w:eastAsia="Times New Roman" w:cs="Tahoma"/>
          <w:b/>
          <w:bCs/>
          <w:iCs/>
          <w:color w:val="auto"/>
          <w:lang w:eastAsia="es-ES"/>
        </w:rPr>
        <w:t>FUNDADOS</w:t>
      </w:r>
      <w:r w:rsidRPr="00560451">
        <w:rPr>
          <w:rFonts w:eastAsia="Times New Roman" w:cs="Tahoma"/>
          <w:iCs/>
          <w:color w:val="auto"/>
          <w:lang w:eastAsia="es-ES"/>
        </w:rPr>
        <w:t xml:space="preserve"> los agravios hechos valer por el Recurrente, en términos de los considerandos </w:t>
      </w:r>
      <w:r w:rsidRPr="00560451">
        <w:rPr>
          <w:rFonts w:eastAsia="Times New Roman" w:cs="Tahoma"/>
          <w:b/>
          <w:bCs/>
          <w:iCs/>
          <w:color w:val="auto"/>
          <w:lang w:eastAsia="es-ES"/>
        </w:rPr>
        <w:t>QUINTO</w:t>
      </w:r>
      <w:r w:rsidRPr="00560451">
        <w:rPr>
          <w:rFonts w:eastAsia="Times New Roman" w:cs="Tahoma"/>
          <w:iCs/>
          <w:color w:val="auto"/>
          <w:lang w:eastAsia="es-ES"/>
        </w:rPr>
        <w:t xml:space="preserve"> y </w:t>
      </w:r>
      <w:r w:rsidRPr="00560451">
        <w:rPr>
          <w:rFonts w:eastAsia="Times New Roman" w:cs="Tahoma"/>
          <w:b/>
          <w:bCs/>
          <w:iCs/>
          <w:color w:val="auto"/>
          <w:lang w:eastAsia="es-ES"/>
        </w:rPr>
        <w:t>SEXTO</w:t>
      </w:r>
      <w:r w:rsidRPr="00560451">
        <w:rPr>
          <w:rFonts w:eastAsia="Times New Roman" w:cs="Tahoma"/>
          <w:iCs/>
          <w:color w:val="auto"/>
          <w:lang w:eastAsia="es-ES"/>
        </w:rPr>
        <w:t xml:space="preserve"> de la presente Resolución. </w:t>
      </w:r>
    </w:p>
    <w:p w:rsidR="00605283" w:rsidP="004C6617" w:rsidRDefault="00605283" w14:paraId="3CE84E6B" w14:textId="77777777">
      <w:pPr>
        <w:spacing w:after="0" w:line="360" w:lineRule="auto"/>
        <w:rPr>
          <w:rFonts w:eastAsia="Times New Roman" w:cs="Tahoma"/>
          <w:iCs/>
          <w:color w:val="auto"/>
          <w:lang w:eastAsia="es-ES"/>
        </w:rPr>
      </w:pPr>
      <w:r>
        <w:rPr>
          <w:rFonts w:eastAsia="Times New Roman" w:cs="Tahoma"/>
          <w:iCs/>
          <w:color w:val="auto"/>
          <w:lang w:eastAsia="es-ES"/>
        </w:rPr>
        <w:t xml:space="preserve"> </w:t>
      </w:r>
    </w:p>
    <w:p w:rsidR="00D511EB" w:rsidP="004C6617" w:rsidRDefault="00D511EB" w14:paraId="1818E118" w14:textId="77777777">
      <w:pPr>
        <w:spacing w:after="0" w:line="360" w:lineRule="auto"/>
        <w:rPr>
          <w:rFonts w:eastAsia="Times New Roman" w:cs="Tahoma"/>
          <w:iCs/>
          <w:color w:val="auto"/>
          <w:lang w:eastAsia="es-ES"/>
        </w:rPr>
      </w:pPr>
    </w:p>
    <w:p w:rsidR="004C6617" w:rsidP="004C6617" w:rsidRDefault="004C6617" w14:paraId="1295532D" w14:textId="77777777">
      <w:pPr>
        <w:spacing w:after="0" w:line="360" w:lineRule="auto"/>
        <w:rPr>
          <w:rFonts w:eastAsia="Times New Roman" w:cs="Tahoma"/>
          <w:bCs/>
          <w:iCs/>
          <w:color w:val="auto"/>
          <w:lang w:eastAsia="es-ES"/>
        </w:rPr>
      </w:pPr>
      <w:r w:rsidRPr="00560451">
        <w:rPr>
          <w:rFonts w:eastAsia="Times New Roman" w:cs="Tahoma"/>
          <w:b/>
          <w:bCs/>
          <w:iCs/>
          <w:color w:val="auto"/>
          <w:lang w:eastAsia="es-ES"/>
        </w:rPr>
        <w:lastRenderedPageBreak/>
        <w:t xml:space="preserve">SEGUNDO. </w:t>
      </w:r>
      <w:r w:rsidRPr="00560451">
        <w:rPr>
          <w:rFonts w:eastAsia="Times New Roman" w:cs="Tahoma"/>
          <w:iCs/>
          <w:color w:val="auto"/>
          <w:lang w:eastAsia="es-ES"/>
        </w:rPr>
        <w:t xml:space="preserve">Se </w:t>
      </w:r>
      <w:r w:rsidRPr="00560451">
        <w:rPr>
          <w:rFonts w:eastAsia="Times New Roman" w:cs="Tahoma"/>
          <w:b/>
          <w:iCs/>
          <w:color w:val="auto"/>
          <w:lang w:eastAsia="es-ES"/>
        </w:rPr>
        <w:t xml:space="preserve">ORDENA </w:t>
      </w:r>
      <w:r w:rsidRPr="00560451">
        <w:rPr>
          <w:rFonts w:eastAsia="Times New Roman" w:cs="Tahoma"/>
          <w:iCs/>
          <w:color w:val="auto"/>
          <w:lang w:eastAsia="es-ES"/>
        </w:rPr>
        <w:t xml:space="preserve">al Sujeto Obligado, a efecto de que, previa búsqueda exhaustiva y razonable en los archivos de las áreas competentes, </w:t>
      </w:r>
      <w:r w:rsidRPr="00560451">
        <w:rPr>
          <w:rFonts w:eastAsia="Times New Roman" w:cs="Tahoma"/>
          <w:bCs/>
          <w:iCs/>
          <w:color w:val="auto"/>
          <w:lang w:eastAsia="es-ES"/>
        </w:rPr>
        <w:t>entregue, a través del Sistema de Acceso a la Información Mexiquense (SAIMEX)</w:t>
      </w:r>
      <w:r>
        <w:rPr>
          <w:rFonts w:eastAsia="Times New Roman" w:cs="Tahoma"/>
          <w:bCs/>
          <w:iCs/>
          <w:color w:val="auto"/>
          <w:lang w:eastAsia="es-ES"/>
        </w:rPr>
        <w:t xml:space="preserve"> y correo electrónico</w:t>
      </w:r>
      <w:r w:rsidRPr="00560451">
        <w:rPr>
          <w:rFonts w:eastAsia="Times New Roman" w:cs="Tahoma"/>
          <w:bCs/>
          <w:iCs/>
          <w:color w:val="auto"/>
          <w:lang w:eastAsia="es-ES"/>
        </w:rPr>
        <w:t xml:space="preserve">, </w:t>
      </w:r>
      <w:r w:rsidRPr="006B7B4A">
        <w:rPr>
          <w:rFonts w:eastAsia="Times New Roman" w:cs="Tahoma"/>
          <w:bCs/>
          <w:iCs/>
          <w:color w:val="auto"/>
          <w:lang w:eastAsia="es-ES"/>
        </w:rPr>
        <w:t xml:space="preserve">en su caso, en versión pública, </w:t>
      </w:r>
      <w:r>
        <w:rPr>
          <w:rFonts w:eastAsia="Times New Roman" w:cs="Tahoma"/>
          <w:iCs/>
          <w:color w:val="auto"/>
          <w:lang w:eastAsia="es-ES"/>
        </w:rPr>
        <w:t>en formato “</w:t>
      </w:r>
      <w:proofErr w:type="spellStart"/>
      <w:r>
        <w:rPr>
          <w:rFonts w:eastAsia="Times New Roman" w:cs="Tahoma"/>
          <w:iCs/>
          <w:color w:val="auto"/>
          <w:lang w:eastAsia="es-ES"/>
        </w:rPr>
        <w:t>xlsx</w:t>
      </w:r>
      <w:proofErr w:type="spellEnd"/>
      <w:r>
        <w:rPr>
          <w:rFonts w:eastAsia="Times New Roman" w:cs="Tahoma"/>
          <w:iCs/>
          <w:color w:val="auto"/>
          <w:lang w:eastAsia="es-ES"/>
        </w:rPr>
        <w:t xml:space="preserve">”, en datos abiertos o en aquel, en que se haya generado la información, respecto </w:t>
      </w:r>
      <w:r w:rsidRPr="00F949D2">
        <w:rPr>
          <w:rFonts w:eastAsia="Times New Roman" w:cs="Tahoma"/>
          <w:bCs/>
          <w:iCs/>
          <w:color w:val="auto"/>
          <w:lang w:eastAsia="es-ES"/>
        </w:rPr>
        <w:t>a las autorizaciones de funcionamiento, emitidas al primero de septiembre de dos mil veintiuno, relacionadas con las actividades señaladas en la solicitud de información o sus homólogas</w:t>
      </w:r>
      <w:r>
        <w:rPr>
          <w:rFonts w:eastAsia="Times New Roman" w:cs="Tahoma"/>
          <w:bCs/>
          <w:iCs/>
          <w:color w:val="auto"/>
          <w:lang w:eastAsia="es-ES"/>
        </w:rPr>
        <w:t>, lo siguiente:</w:t>
      </w:r>
    </w:p>
    <w:p w:rsidR="004C6617" w:rsidP="004C6617" w:rsidRDefault="004C6617" w14:paraId="05A4B227" w14:textId="77777777">
      <w:pPr>
        <w:spacing w:after="0" w:line="360" w:lineRule="auto"/>
        <w:rPr>
          <w:rFonts w:eastAsia="Times New Roman" w:cs="Tahoma"/>
          <w:bCs/>
          <w:iCs/>
          <w:color w:val="auto"/>
          <w:lang w:eastAsia="es-ES"/>
        </w:rPr>
      </w:pPr>
    </w:p>
    <w:p w:rsidR="004C6617" w:rsidP="004C6617" w:rsidRDefault="004C6617" w14:paraId="1A533C9D" w14:textId="77777777">
      <w:pPr>
        <w:pStyle w:val="Prrafodelista"/>
        <w:numPr>
          <w:ilvl w:val="0"/>
          <w:numId w:val="19"/>
        </w:numPr>
        <w:spacing w:after="0" w:line="360" w:lineRule="auto"/>
        <w:rPr>
          <w:rFonts w:eastAsia="Times New Roman" w:cs="Tahoma"/>
          <w:bCs/>
          <w:iCs/>
          <w:color w:val="auto"/>
          <w:lang w:eastAsia="es-ES"/>
        </w:rPr>
      </w:pPr>
      <w:r w:rsidRPr="00C16D0D">
        <w:rPr>
          <w:rFonts w:eastAsia="Times New Roman" w:cs="Tahoma"/>
          <w:bCs/>
          <w:iCs/>
          <w:color w:val="auto"/>
          <w:lang w:eastAsia="es-ES"/>
        </w:rPr>
        <w:t>El Registro Municipal de Unidades Econ</w:t>
      </w:r>
      <w:r>
        <w:rPr>
          <w:rFonts w:eastAsia="Times New Roman" w:cs="Tahoma"/>
          <w:bCs/>
          <w:iCs/>
          <w:color w:val="auto"/>
          <w:lang w:eastAsia="es-ES"/>
        </w:rPr>
        <w:t>ómicas, con el mayor grado de desagregación posible.</w:t>
      </w:r>
    </w:p>
    <w:p w:rsidRPr="0043546F" w:rsidR="004C6617" w:rsidP="004C6617" w:rsidRDefault="004C6617" w14:paraId="06492097" w14:textId="77777777">
      <w:pPr>
        <w:spacing w:after="0" w:line="360" w:lineRule="auto"/>
        <w:rPr>
          <w:rFonts w:eastAsia="Times New Roman" w:cs="Tahoma"/>
          <w:bCs/>
          <w:iCs/>
          <w:color w:val="auto"/>
          <w:lang w:eastAsia="es-ES"/>
        </w:rPr>
      </w:pPr>
    </w:p>
    <w:p w:rsidRPr="006B7B4A" w:rsidR="004C6617" w:rsidP="004C6617" w:rsidRDefault="004C6617" w14:paraId="3E73F442" w14:textId="77777777">
      <w:pPr>
        <w:spacing w:after="0" w:line="360" w:lineRule="auto"/>
        <w:rPr>
          <w:rFonts w:eastAsia="Times New Roman" w:cs="Tahoma"/>
          <w:bCs/>
          <w:iCs/>
          <w:color w:val="auto"/>
          <w:lang w:eastAsia="es-ES"/>
        </w:rPr>
      </w:pPr>
      <w:r w:rsidRPr="006B7B4A">
        <w:rPr>
          <w:rFonts w:eastAsia="Times New Roman" w:cs="Tahoma"/>
          <w:bCs/>
          <w:iCs/>
          <w:color w:val="auto"/>
          <w:lang w:val="es-ES" w:eastAsia="es-ES"/>
        </w:rPr>
        <w:t>Además, de ser necesario, deberá proporcionar el Acuerdo de Clasificación donde el Comité de Transparencia, confirme la eliminación de los datos o información clasificada, en la versión pública</w:t>
      </w:r>
      <w:r w:rsidRPr="006B7B4A">
        <w:rPr>
          <w:rFonts w:eastAsia="Times New Roman" w:cs="Tahoma"/>
          <w:bCs/>
          <w:iCs/>
          <w:color w:val="auto"/>
          <w:lang w:eastAsia="es-ES"/>
        </w:rPr>
        <w:t>, de conformidad con los artículos 49, fracciones II y VIII y 132, fracción II</w:t>
      </w:r>
      <w:r>
        <w:rPr>
          <w:rFonts w:eastAsia="Times New Roman" w:cs="Tahoma"/>
          <w:bCs/>
          <w:iCs/>
          <w:color w:val="auto"/>
          <w:lang w:eastAsia="es-ES"/>
        </w:rPr>
        <w:t>,</w:t>
      </w:r>
      <w:r w:rsidRPr="006B7B4A">
        <w:rPr>
          <w:rFonts w:eastAsia="Times New Roman" w:cs="Tahoma"/>
          <w:bCs/>
          <w:iCs/>
          <w:color w:val="auto"/>
          <w:lang w:eastAsia="es-ES"/>
        </w:rPr>
        <w:t xml:space="preserve"> de la Ley de Transparencia y Acceso a la Información Pública del Estado de México y Municipios.</w:t>
      </w:r>
    </w:p>
    <w:p w:rsidRPr="006B7B4A" w:rsidR="004C6617" w:rsidP="004C6617" w:rsidRDefault="004C6617" w14:paraId="016E52AF" w14:textId="77777777">
      <w:pPr>
        <w:spacing w:after="0" w:line="360" w:lineRule="auto"/>
        <w:rPr>
          <w:rFonts w:eastAsia="Times New Roman" w:cs="Tahoma"/>
          <w:bCs/>
          <w:iCs/>
          <w:color w:val="auto"/>
          <w:lang w:val="es-ES" w:eastAsia="es-ES"/>
        </w:rPr>
      </w:pPr>
    </w:p>
    <w:p w:rsidR="004C6617" w:rsidP="004C6617" w:rsidRDefault="004C6617" w14:paraId="0066BABA" w14:textId="77777777">
      <w:pPr>
        <w:spacing w:after="0" w:line="360" w:lineRule="auto"/>
        <w:rPr>
          <w:rFonts w:eastAsia="Times New Roman" w:cs="Tahoma"/>
          <w:bCs/>
          <w:iCs/>
          <w:color w:val="auto"/>
          <w:lang w:eastAsia="es-ES"/>
        </w:rPr>
      </w:pPr>
      <w:r w:rsidRPr="006B7B4A">
        <w:rPr>
          <w:rFonts w:eastAsia="Times New Roman" w:cs="Tahoma"/>
          <w:bCs/>
          <w:iCs/>
          <w:color w:val="auto"/>
          <w:lang w:eastAsia="es-ES"/>
        </w:rPr>
        <w:t xml:space="preserve">Asimismo, para el caso de que no haya emitido alguna autorización respecto de las actividades señaladas en la solicitud, o </w:t>
      </w:r>
      <w:r>
        <w:rPr>
          <w:rFonts w:eastAsia="Times New Roman" w:cs="Tahoma"/>
          <w:bCs/>
          <w:iCs/>
          <w:color w:val="auto"/>
          <w:lang w:eastAsia="es-ES"/>
        </w:rPr>
        <w:t>que en el registro, no obre alguno de los datos señalados en el Considerando Sexto</w:t>
      </w:r>
      <w:r w:rsidRPr="006B7B4A">
        <w:rPr>
          <w:rFonts w:eastAsia="Times New Roman" w:cs="Tahoma"/>
          <w:bCs/>
          <w:iCs/>
          <w:color w:val="auto"/>
          <w:lang w:eastAsia="es-ES"/>
        </w:rPr>
        <w:t>, deberá hacérselo del conocimiento del ahora Recurrente, de manera clara y precisa.</w:t>
      </w:r>
    </w:p>
    <w:p w:rsidR="004C6617" w:rsidP="004C6617" w:rsidRDefault="004C6617" w14:paraId="00161910" w14:textId="77777777">
      <w:pPr>
        <w:spacing w:after="0" w:line="360" w:lineRule="auto"/>
        <w:rPr>
          <w:rFonts w:eastAsia="Times New Roman" w:cs="Tahoma"/>
          <w:b/>
          <w:bCs/>
          <w:iCs/>
          <w:color w:val="auto"/>
          <w:lang w:eastAsia="es-ES"/>
        </w:rPr>
      </w:pPr>
    </w:p>
    <w:p w:rsidRPr="00560451" w:rsidR="00605283" w:rsidP="004C6617" w:rsidRDefault="00605283" w14:paraId="1C7850C1" w14:textId="77777777">
      <w:pPr>
        <w:spacing w:after="0" w:line="360" w:lineRule="auto"/>
        <w:rPr>
          <w:rFonts w:eastAsia="Times New Roman" w:cs="Tahoma"/>
          <w:i/>
          <w:iCs/>
          <w:color w:val="auto"/>
          <w:lang w:eastAsia="es-ES"/>
        </w:rPr>
      </w:pPr>
      <w:r w:rsidRPr="00560451">
        <w:rPr>
          <w:rFonts w:eastAsia="Times New Roman" w:cs="Tahoma"/>
          <w:b/>
          <w:bCs/>
          <w:iCs/>
          <w:color w:val="auto"/>
          <w:lang w:eastAsia="es-ES"/>
        </w:rPr>
        <w:t xml:space="preserve">TERCERO. </w:t>
      </w:r>
      <w:r w:rsidRPr="00560451">
        <w:rPr>
          <w:rFonts w:eastAsia="Times New Roman" w:cs="Tahoma"/>
          <w:b/>
          <w:iCs/>
          <w:color w:val="auto"/>
          <w:lang w:eastAsia="es-ES"/>
        </w:rPr>
        <w:t xml:space="preserve">NOTIFÍQUESE </w:t>
      </w:r>
      <w:r w:rsidRPr="00560451">
        <w:rPr>
          <w:rFonts w:eastAsia="Times New Roman" w:cs="Tahoma"/>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560451" w:rsidR="00605283" w:rsidP="004C6617" w:rsidRDefault="00605283" w14:paraId="4EBEAC11" w14:textId="77777777">
      <w:pPr>
        <w:spacing w:after="0" w:line="360" w:lineRule="auto"/>
        <w:rPr>
          <w:rFonts w:eastAsia="Times New Roman" w:cs="Tahoma"/>
          <w:iCs/>
          <w:color w:val="auto"/>
          <w:lang w:val="es-ES" w:eastAsia="es-ES"/>
        </w:rPr>
      </w:pPr>
    </w:p>
    <w:p w:rsidRPr="00560451" w:rsidR="00605283" w:rsidP="004C6617" w:rsidRDefault="00605283" w14:paraId="03DBEB9C" w14:textId="77777777">
      <w:pPr>
        <w:spacing w:after="0" w:line="360" w:lineRule="auto"/>
        <w:rPr>
          <w:rFonts w:eastAsia="Times New Roman" w:cs="Tahoma"/>
          <w:iCs/>
          <w:color w:val="auto"/>
          <w:lang w:eastAsia="es-ES"/>
        </w:rPr>
      </w:pPr>
      <w:r w:rsidRPr="00560451">
        <w:rPr>
          <w:rFonts w:eastAsia="Times New Roman" w:cs="Tahoma"/>
          <w:iCs/>
          <w:color w:val="auto"/>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560451" w:rsidR="00605283" w:rsidP="004C6617" w:rsidRDefault="00605283" w14:paraId="26EA7493" w14:textId="77777777">
      <w:pPr>
        <w:spacing w:after="0" w:line="360" w:lineRule="auto"/>
        <w:rPr>
          <w:rFonts w:eastAsia="Times New Roman" w:cs="Tahoma"/>
          <w:iCs/>
          <w:color w:val="auto"/>
          <w:lang w:eastAsia="es-ES"/>
        </w:rPr>
      </w:pPr>
    </w:p>
    <w:p w:rsidRPr="00A23B4A" w:rsidR="00605283" w:rsidP="004C6617" w:rsidRDefault="00605283" w14:paraId="0B86E806" w14:textId="77777777">
      <w:pPr>
        <w:spacing w:after="0" w:line="360" w:lineRule="auto"/>
        <w:ind w:right="-28"/>
        <w:rPr>
          <w:rFonts w:eastAsia="Times New Roman" w:cs="Tahoma"/>
          <w:color w:val="000000"/>
          <w:lang w:eastAsia="es-ES"/>
        </w:rPr>
      </w:pPr>
      <w:r w:rsidRPr="00560451">
        <w:rPr>
          <w:rFonts w:eastAsia="Times New Roman" w:cs="Tahoma"/>
          <w:b/>
          <w:bCs/>
          <w:iCs/>
          <w:color w:val="auto"/>
          <w:lang w:eastAsia="es-ES"/>
        </w:rPr>
        <w:t xml:space="preserve">CUARTO. </w:t>
      </w:r>
      <w:r w:rsidRPr="00A23B4A">
        <w:rPr>
          <w:rFonts w:eastAsia="Times New Roman" w:cs="Tahoma"/>
          <w:b/>
          <w:color w:val="000000"/>
          <w:lang w:eastAsia="es-ES"/>
        </w:rPr>
        <w:t xml:space="preserve">NOTIFÍQUESE </w:t>
      </w:r>
      <w:r w:rsidRPr="00A23B4A">
        <w:rPr>
          <w:rFonts w:eastAsia="Times New Roman" w:cs="Tahoma"/>
          <w:color w:val="000000"/>
          <w:lang w:eastAsia="es-ES"/>
        </w:rPr>
        <w:t>la presente Resolución al Recurrente, a través del Sistema de Acceso a la Información Mexiquense (SAIMEX), y correo electrónico señalado para tal efecto</w:t>
      </w:r>
      <w:r w:rsidRPr="00A23B4A">
        <w:rPr>
          <w:rFonts w:eastAsia="Times New Roman" w:cs="Tahoma"/>
          <w:b/>
          <w:color w:val="000000"/>
          <w:lang w:eastAsia="es-ES"/>
        </w:rPr>
        <w:t>,</w:t>
      </w:r>
      <w:r w:rsidRPr="00A23B4A">
        <w:rPr>
          <w:rFonts w:eastAsia="Times New Roman" w:cs="Tahoma"/>
          <w:color w:val="000000"/>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B92F1D" w:rsidR="00605283" w:rsidP="004C6617" w:rsidRDefault="00605283" w14:paraId="517FDFA2" w14:textId="77777777">
      <w:pPr>
        <w:spacing w:after="0" w:line="360" w:lineRule="auto"/>
        <w:ind w:right="-93"/>
        <w:rPr>
          <w:rFonts w:eastAsia="Calibri" w:cs="Tahoma"/>
          <w:bCs/>
          <w:color w:val="auto"/>
          <w:lang w:val="es-ES_tradnl"/>
        </w:rPr>
      </w:pPr>
    </w:p>
    <w:p w:rsidRPr="00C629E0" w:rsidR="0020269C" w:rsidP="0020269C" w:rsidRDefault="0020269C" w14:paraId="47B9FEE0" w14:textId="77777777">
      <w:pPr>
        <w:spacing w:after="0" w:line="360" w:lineRule="auto"/>
        <w:contextualSpacing/>
        <w:rPr>
          <w:rFonts w:eastAsia="Calibri" w:cs="Tahoma"/>
          <w:lang w:val="es-ES" w:eastAsia="es-ES_tradnl"/>
        </w:rPr>
      </w:pPr>
      <w:r w:rsidRPr="00C629E0">
        <w:rPr>
          <w:rFonts w:eastAsia="Calibri" w:cs="Tahoma"/>
          <w:lang w:val="es-ES" w:eastAsia="es-ES_tradnl"/>
        </w:rPr>
        <w:t xml:space="preserve">ASÍ LO RESUELVE, POR </w:t>
      </w:r>
      <w:r w:rsidRPr="00C629E0">
        <w:rPr>
          <w:rFonts w:eastAsia="Calibri" w:cs="Tahoma"/>
          <w:b/>
          <w:lang w:val="es-ES" w:eastAsia="es-ES_tradnl"/>
        </w:rPr>
        <w:t>UNANIMIDAD</w:t>
      </w:r>
      <w:r w:rsidRPr="00C629E0">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CUADRAGÉSIMA QUINTA SESIÓN  ORDINARIA, CELEBRADA EL QUINCE DE DICIEMBRE DE DOS MIL VEINTIUNO, ANTE EL SECRETARIO TÉCNICO DEL PLENO ALEXIS TAPIA RAMÍREZ. </w:t>
      </w:r>
    </w:p>
    <w:p w:rsidR="00605283" w:rsidP="004C6617" w:rsidRDefault="00605283" w14:paraId="3FC096BC" w14:textId="77777777">
      <w:pPr>
        <w:spacing w:after="0"/>
        <w:jc w:val="left"/>
      </w:pPr>
      <w:r>
        <w:br w:type="page"/>
      </w:r>
    </w:p>
    <w:p w:rsidR="00285B9E" w:rsidP="004C6617" w:rsidRDefault="00285B9E" w14:paraId="73AEB015" w14:textId="77777777">
      <w:pPr>
        <w:spacing w:after="0"/>
      </w:pPr>
    </w:p>
    <w:sectPr w:rsidR="00285B9E" w:rsidSect="00BF39FD">
      <w:headerReference w:type="even" r:id="rId12"/>
      <w:headerReference w:type="default" r:id="rId13"/>
      <w:footerReference w:type="even" r:id="rId14"/>
      <w:footerReference w:type="default" r:id="rId15"/>
      <w:headerReference w:type="first" r:id="rId16"/>
      <w:footerReference w:type="first" r:id="rId17"/>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54A" w:rsidP="00605283" w:rsidRDefault="0095754A" w14:paraId="2A0E5C91" w14:textId="77777777">
      <w:pPr>
        <w:spacing w:after="0" w:line="240" w:lineRule="auto"/>
      </w:pPr>
      <w:r>
        <w:separator/>
      </w:r>
    </w:p>
  </w:endnote>
  <w:endnote w:type="continuationSeparator" w:id="0">
    <w:p w:rsidR="0095754A" w:rsidP="00605283" w:rsidRDefault="0095754A" w14:paraId="578DAB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rsidR="00BF39FD" w:rsidRDefault="00BF39FD" w14:paraId="1BDDEE1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BF39FD" w:rsidRDefault="00BF39FD" w14:paraId="2C03A247"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BF39FD" w:rsidRDefault="00BF39FD" w14:paraId="0748BAB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33F9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33F9B">
              <w:rPr>
                <w:b/>
                <w:bCs/>
                <w:noProof/>
              </w:rPr>
              <w:t>31</w:t>
            </w:r>
            <w:r>
              <w:rPr>
                <w:b/>
                <w:bCs/>
                <w:sz w:val="24"/>
                <w:szCs w:val="24"/>
              </w:rPr>
              <w:fldChar w:fldCharType="end"/>
            </w:r>
          </w:p>
        </w:sdtContent>
      </w:sdt>
    </w:sdtContent>
  </w:sdt>
  <w:p w:rsidR="00BF39FD" w:rsidRDefault="00BF39FD" w14:paraId="0C2FA034"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rsidR="00BF39FD" w:rsidRDefault="00BF39FD" w14:paraId="6677218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33F9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33F9B">
              <w:rPr>
                <w:b/>
                <w:bCs/>
                <w:noProof/>
              </w:rPr>
              <w:t>31</w:t>
            </w:r>
            <w:r>
              <w:rPr>
                <w:b/>
                <w:bCs/>
                <w:sz w:val="24"/>
                <w:szCs w:val="24"/>
              </w:rPr>
              <w:fldChar w:fldCharType="end"/>
            </w:r>
          </w:p>
        </w:sdtContent>
      </w:sdt>
    </w:sdtContent>
  </w:sdt>
  <w:p w:rsidR="00BF39FD" w:rsidRDefault="00BF39FD" w14:paraId="034DEF0B"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54A" w:rsidP="00605283" w:rsidRDefault="0095754A" w14:paraId="59477C35" w14:textId="77777777">
      <w:pPr>
        <w:spacing w:after="0" w:line="240" w:lineRule="auto"/>
      </w:pPr>
      <w:r>
        <w:separator/>
      </w:r>
    </w:p>
  </w:footnote>
  <w:footnote w:type="continuationSeparator" w:id="0">
    <w:p w:rsidR="0095754A" w:rsidP="00605283" w:rsidRDefault="0095754A" w14:paraId="6DF0686B"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BF39FD" w:rsidTr="00BF39FD" w14:paraId="1E9EED94" w14:textId="77777777">
      <w:trPr>
        <w:trHeight w:val="141"/>
      </w:trPr>
      <w:tc>
        <w:tcPr>
          <w:tcW w:w="2404" w:type="dxa"/>
        </w:tcPr>
        <w:p w:rsidRPr="001B5FB6" w:rsidR="00BF39FD" w:rsidP="00BF39FD" w:rsidRDefault="00BF39FD" w14:paraId="4F79328A"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BF39FD" w:rsidP="00BF39FD" w:rsidRDefault="00BF39FD" w14:paraId="7794B2DE" w14:textId="77777777">
          <w:pPr>
            <w:tabs>
              <w:tab w:val="right" w:pos="8838"/>
            </w:tabs>
            <w:ind w:left="-28" w:right="683"/>
            <w:rPr>
              <w:rFonts w:eastAsia="Calibri" w:cs="Tahoma"/>
            </w:rPr>
          </w:pPr>
          <w:r w:rsidRPr="00A8173F">
            <w:rPr>
              <w:rFonts w:eastAsia="Calibri" w:cs="Tahoma"/>
              <w:lang w:val="es-MX"/>
            </w:rPr>
            <w:t>04196/INFOEM/IP/RR/2020</w:t>
          </w:r>
        </w:p>
      </w:tc>
    </w:tr>
    <w:tr w:rsidR="00BF39FD" w:rsidTr="00BF39FD" w14:paraId="540BB631" w14:textId="77777777">
      <w:trPr>
        <w:trHeight w:val="276"/>
      </w:trPr>
      <w:tc>
        <w:tcPr>
          <w:tcW w:w="2404" w:type="dxa"/>
        </w:tcPr>
        <w:p w:rsidRPr="001B5FB6" w:rsidR="00BF39FD" w:rsidP="00BF39FD" w:rsidRDefault="00BF39FD" w14:paraId="520D1537"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BF39FD" w:rsidP="00BF39FD" w:rsidRDefault="00BF39FD" w14:paraId="5AF3BFA3" w14:textId="77777777">
          <w:pPr>
            <w:tabs>
              <w:tab w:val="right" w:pos="8838"/>
            </w:tabs>
            <w:ind w:right="116"/>
            <w:rPr>
              <w:rFonts w:eastAsia="Calibri" w:cs="Tahoma"/>
              <w:lang w:val="es-MX"/>
            </w:rPr>
          </w:pPr>
          <w:r w:rsidRPr="00A8173F">
            <w:rPr>
              <w:rFonts w:eastAsia="Calibri" w:cs="Tahoma"/>
              <w:lang w:val="es-MX"/>
            </w:rPr>
            <w:t>Ayuntamiento de Chapultepec</w:t>
          </w:r>
        </w:p>
      </w:tc>
    </w:tr>
    <w:tr w:rsidR="00BF39FD" w:rsidTr="00BF39FD" w14:paraId="7F173EB8" w14:textId="77777777">
      <w:trPr>
        <w:trHeight w:val="276"/>
      </w:trPr>
      <w:tc>
        <w:tcPr>
          <w:tcW w:w="2404" w:type="dxa"/>
        </w:tcPr>
        <w:p w:rsidRPr="001B5FB6" w:rsidR="00BF39FD" w:rsidP="00BF39FD" w:rsidRDefault="00BF39FD" w14:paraId="605957CE"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BF39FD" w:rsidP="00BF39FD" w:rsidRDefault="00BF39FD" w14:paraId="5E8A6A27"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BF39FD" w:rsidRDefault="00733F9B" w14:paraId="39CE0FE8" w14:textId="77777777">
    <w:pPr>
      <w:pStyle w:val="Encabezado"/>
    </w:pPr>
    <w:r>
      <w:rPr>
        <w:noProof/>
      </w:rPr>
      <w:pict w14:anchorId="1FDE2F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662" w:type="dxa"/>
      <w:tblInd w:w="26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4253"/>
    </w:tblGrid>
    <w:tr w:rsidR="00BF39FD" w:rsidTr="002F1619" w14:paraId="790BEA7A" w14:textId="77777777">
      <w:trPr>
        <w:trHeight w:val="141"/>
      </w:trPr>
      <w:tc>
        <w:tcPr>
          <w:tcW w:w="2409" w:type="dxa"/>
        </w:tcPr>
        <w:p w:rsidRPr="00B74320" w:rsidR="00BF39FD" w:rsidP="00BF39FD" w:rsidRDefault="00BF39FD" w14:paraId="3F8C7C81" w14:textId="77777777">
          <w:pPr>
            <w:tabs>
              <w:tab w:val="right" w:pos="8838"/>
            </w:tabs>
            <w:ind w:right="-105"/>
            <w:rPr>
              <w:rFonts w:eastAsia="Calibri" w:cs="Tahoma"/>
              <w:b/>
              <w:sz w:val="12"/>
              <w:szCs w:val="12"/>
              <w:lang w:val="es-MX"/>
            </w:rPr>
          </w:pPr>
        </w:p>
        <w:p w:rsidRPr="001B5FB6" w:rsidR="00BF39FD" w:rsidP="00BF39FD" w:rsidRDefault="00BF39FD" w14:paraId="0B9149FE" w14:textId="77777777">
          <w:pPr>
            <w:tabs>
              <w:tab w:val="right" w:pos="8838"/>
            </w:tabs>
            <w:ind w:right="-105"/>
            <w:rPr>
              <w:rFonts w:eastAsia="Calibri" w:cs="Tahoma"/>
              <w:b/>
              <w:lang w:val="es-MX"/>
            </w:rPr>
          </w:pPr>
          <w:r>
            <w:rPr>
              <w:rFonts w:eastAsia="Calibri" w:cs="Tahoma"/>
              <w:b/>
              <w:lang w:val="es-MX"/>
            </w:rPr>
            <w:t>R</w:t>
          </w:r>
          <w:r w:rsidRPr="001B5FB6">
            <w:rPr>
              <w:rFonts w:eastAsia="Calibri" w:cs="Tahoma"/>
              <w:b/>
              <w:lang w:val="es-MX"/>
            </w:rPr>
            <w:t>ecurso de Revisión:</w:t>
          </w:r>
        </w:p>
      </w:tc>
      <w:tc>
        <w:tcPr>
          <w:tcW w:w="4253" w:type="dxa"/>
        </w:tcPr>
        <w:p w:rsidRPr="00B74320" w:rsidR="00BF39FD" w:rsidP="00F5409D" w:rsidRDefault="00BF39FD" w14:paraId="5FD042AE" w14:textId="77777777">
          <w:pPr>
            <w:tabs>
              <w:tab w:val="right" w:pos="8838"/>
            </w:tabs>
            <w:ind w:left="-28"/>
            <w:rPr>
              <w:rFonts w:eastAsia="Calibri" w:cs="Tahoma"/>
              <w:sz w:val="12"/>
              <w:szCs w:val="12"/>
              <w:lang w:val="es-MX"/>
            </w:rPr>
          </w:pPr>
        </w:p>
        <w:p w:rsidRPr="00A56F15" w:rsidR="00BF39FD" w:rsidP="00F5409D" w:rsidRDefault="00BF39FD" w14:paraId="539AE9E5" w14:textId="5B16FF45">
          <w:pPr>
            <w:tabs>
              <w:tab w:val="left" w:pos="2586"/>
              <w:tab w:val="right" w:pos="8838"/>
            </w:tabs>
            <w:ind w:left="-28"/>
            <w:rPr>
              <w:rFonts w:eastAsia="Calibri" w:cs="Tahoma"/>
            </w:rPr>
          </w:pPr>
          <w:r>
            <w:rPr>
              <w:rFonts w:eastAsia="Calibri" w:cs="Tahoma"/>
              <w:lang w:val="es-MX"/>
            </w:rPr>
            <w:t>0508</w:t>
          </w:r>
          <w:r w:rsidRPr="00A56F15">
            <w:rPr>
              <w:rFonts w:eastAsia="Calibri" w:cs="Tahoma"/>
              <w:lang w:val="es-MX"/>
            </w:rPr>
            <w:t>1/INFOEM/IP/RR/2021</w:t>
          </w:r>
          <w:r>
            <w:rPr>
              <w:rFonts w:eastAsia="Calibri" w:cs="Tahoma"/>
              <w:lang w:val="es-MX"/>
            </w:rPr>
            <w:t xml:space="preserve"> y acumulado</w:t>
          </w:r>
        </w:p>
      </w:tc>
    </w:tr>
    <w:tr w:rsidR="00BF39FD" w:rsidTr="002F1619" w14:paraId="50C40334" w14:textId="77777777">
      <w:trPr>
        <w:trHeight w:val="276"/>
      </w:trPr>
      <w:tc>
        <w:tcPr>
          <w:tcW w:w="2409" w:type="dxa"/>
        </w:tcPr>
        <w:p w:rsidRPr="001B5FB6" w:rsidR="00BF39FD" w:rsidP="00BF39FD" w:rsidRDefault="00BF39FD" w14:paraId="592F46ED" w14:textId="77777777">
          <w:pPr>
            <w:tabs>
              <w:tab w:val="right" w:pos="8838"/>
            </w:tabs>
            <w:ind w:right="-105"/>
            <w:rPr>
              <w:rFonts w:eastAsia="Calibri" w:cs="Tahoma"/>
              <w:b/>
              <w:lang w:val="es-MX"/>
            </w:rPr>
          </w:pPr>
          <w:r w:rsidRPr="001B5FB6">
            <w:rPr>
              <w:rFonts w:eastAsia="Calibri" w:cs="Tahoma"/>
              <w:b/>
              <w:lang w:val="es-MX"/>
            </w:rPr>
            <w:t>Sujeto Obligado:</w:t>
          </w:r>
        </w:p>
      </w:tc>
      <w:tc>
        <w:tcPr>
          <w:tcW w:w="4253" w:type="dxa"/>
        </w:tcPr>
        <w:p w:rsidRPr="00605283" w:rsidR="00BF39FD" w:rsidP="00F5409D" w:rsidRDefault="00BF39FD" w14:paraId="05C0CEA3" w14:textId="603EBE99">
          <w:pPr>
            <w:tabs>
              <w:tab w:val="right" w:pos="8838"/>
            </w:tabs>
            <w:rPr>
              <w:rFonts w:eastAsia="Calibri" w:cs="Tahoma"/>
              <w:lang w:val="es-MX"/>
            </w:rPr>
          </w:pPr>
          <w:r w:rsidRPr="00605283">
            <w:rPr>
              <w:rFonts w:eastAsia="Calibri" w:cs="Tahoma"/>
              <w:lang w:val="es-MX"/>
            </w:rPr>
            <w:t>Ayuntamiento de Ecatepec de Morelos</w:t>
          </w:r>
        </w:p>
      </w:tc>
    </w:tr>
    <w:tr w:rsidR="00BF39FD" w:rsidTr="002F1619" w14:paraId="021E6AD4" w14:textId="77777777">
      <w:trPr>
        <w:trHeight w:val="276"/>
      </w:trPr>
      <w:tc>
        <w:tcPr>
          <w:tcW w:w="2409" w:type="dxa"/>
        </w:tcPr>
        <w:p w:rsidRPr="001B5FB6" w:rsidR="00BF39FD" w:rsidP="00BF39FD" w:rsidRDefault="00BF39FD" w14:paraId="0ABBC061" w14:textId="77777777">
          <w:pPr>
            <w:tabs>
              <w:tab w:val="right" w:pos="8838"/>
            </w:tabs>
            <w:ind w:right="-105"/>
            <w:rPr>
              <w:rFonts w:eastAsia="Calibri" w:cs="Tahoma"/>
              <w:b/>
              <w:lang w:val="es-MX"/>
            </w:rPr>
          </w:pPr>
          <w:r w:rsidRPr="001B5FB6">
            <w:rPr>
              <w:rFonts w:eastAsia="Calibri" w:cs="Tahoma"/>
              <w:b/>
              <w:lang w:val="es-MX"/>
            </w:rPr>
            <w:t>Comisionado Ponente:</w:t>
          </w:r>
        </w:p>
      </w:tc>
      <w:tc>
        <w:tcPr>
          <w:tcW w:w="4253" w:type="dxa"/>
        </w:tcPr>
        <w:p w:rsidR="00BF39FD" w:rsidP="00F5409D" w:rsidRDefault="00BF39FD" w14:paraId="5FCFFE96" w14:textId="77777777">
          <w:pPr>
            <w:tabs>
              <w:tab w:val="right" w:pos="8838"/>
            </w:tabs>
            <w:rPr>
              <w:rFonts w:eastAsia="Calibri" w:cs="Tahoma"/>
              <w:lang w:val="es-MX"/>
            </w:rPr>
          </w:pPr>
          <w:r w:rsidRPr="00A8173F">
            <w:rPr>
              <w:rFonts w:eastAsia="Calibri" w:cs="Tahoma"/>
              <w:lang w:val="es-MX"/>
            </w:rPr>
            <w:t>Luis Gustavo Parra Noriega</w:t>
          </w:r>
        </w:p>
        <w:p w:rsidRPr="00A8173F" w:rsidR="00BF39FD" w:rsidP="00F5409D" w:rsidRDefault="00BF39FD" w14:paraId="4966A6EB" w14:textId="77777777">
          <w:pPr>
            <w:tabs>
              <w:tab w:val="right" w:pos="8838"/>
            </w:tabs>
            <w:rPr>
              <w:rFonts w:eastAsia="Calibri" w:cs="Tahoma"/>
              <w:lang w:val="es-MX"/>
            </w:rPr>
          </w:pPr>
        </w:p>
      </w:tc>
    </w:tr>
  </w:tbl>
  <w:p w:rsidR="00BF39FD" w:rsidRDefault="00733F9B" w14:paraId="63F4F83E" w14:textId="77777777">
    <w:pPr>
      <w:pStyle w:val="Encabezado"/>
    </w:pPr>
    <w:r>
      <w:rPr>
        <w:noProof/>
      </w:rPr>
      <w:pict w14:anchorId="29C04D7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103.85pt;margin-top:-140.2pt;width:663.5pt;height:12in;z-index:-251656192;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5" w:type="dxa"/>
      <w:tblLayout w:type="fixed"/>
      <w:tblLook w:val="04A0" w:firstRow="1" w:lastRow="0" w:firstColumn="1" w:lastColumn="0" w:noHBand="0" w:noVBand="1"/>
    </w:tblPr>
    <w:tblGrid>
      <w:gridCol w:w="2268"/>
      <w:gridCol w:w="7087"/>
    </w:tblGrid>
    <w:tr w:rsidRPr="005C106F" w:rsidR="00BF39FD" w:rsidTr="0DBBC258" w14:paraId="69B9FDCF" w14:textId="77777777">
      <w:trPr>
        <w:trHeight w:val="1546"/>
      </w:trPr>
      <w:tc>
        <w:tcPr>
          <w:tcW w:w="2268" w:type="dxa"/>
          <w:shd w:val="clear" w:color="auto" w:fill="auto"/>
          <w:tcMar/>
        </w:tcPr>
        <w:p w:rsidRPr="005C106F" w:rsidR="00BF39FD" w:rsidP="00BF39FD" w:rsidRDefault="00BF39FD" w14:paraId="15441F27" w14:textId="77777777">
          <w:pPr>
            <w:tabs>
              <w:tab w:val="right" w:pos="4273"/>
            </w:tabs>
            <w:rPr>
              <w:rFonts w:ascii="Garamond" w:hAnsi="Garamond" w:eastAsia="Calibri"/>
              <w:sz w:val="16"/>
              <w:szCs w:val="16"/>
            </w:rPr>
          </w:pPr>
        </w:p>
      </w:tc>
      <w:tc>
        <w:tcPr>
          <w:tcW w:w="7087" w:type="dxa"/>
          <w:shd w:val="clear" w:color="auto" w:fill="auto"/>
          <w:tcMar/>
        </w:tcPr>
        <w:tbl>
          <w:tblPr>
            <w:tblStyle w:val="Tablaconcuadrcula"/>
            <w:tblW w:w="6520"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6"/>
          </w:tblGrid>
          <w:tr w:rsidR="00BF39FD" w:rsidTr="0DBBC258" w14:paraId="5B2B544E" w14:textId="77777777">
            <w:trPr>
              <w:trHeight w:val="141"/>
            </w:trPr>
            <w:tc>
              <w:tcPr>
                <w:tcW w:w="2404" w:type="dxa"/>
                <w:tcMar/>
              </w:tcPr>
              <w:p w:rsidRPr="001B5FB6" w:rsidR="00BF39FD" w:rsidP="00605283" w:rsidRDefault="00BF39FD" w14:paraId="716BDD54" w14:textId="77777777">
                <w:pPr>
                  <w:tabs>
                    <w:tab w:val="right" w:pos="8838"/>
                  </w:tabs>
                  <w:ind w:right="-105"/>
                  <w:jc w:val="left"/>
                  <w:rPr>
                    <w:rFonts w:eastAsia="Calibri" w:cs="Tahoma"/>
                    <w:b/>
                    <w:lang w:val="es-MX"/>
                  </w:rPr>
                </w:pPr>
                <w:r w:rsidRPr="001B5FB6">
                  <w:rPr>
                    <w:rFonts w:eastAsia="Calibri" w:cs="Tahoma"/>
                    <w:b/>
                    <w:lang w:val="es-MX"/>
                  </w:rPr>
                  <w:t>Recurso de Revisión:</w:t>
                </w:r>
              </w:p>
            </w:tc>
            <w:tc>
              <w:tcPr>
                <w:tcW w:w="4116" w:type="dxa"/>
                <w:tcMar/>
              </w:tcPr>
              <w:p w:rsidRPr="00605283" w:rsidR="00BF39FD" w:rsidP="00605283" w:rsidRDefault="00BF39FD" w14:paraId="4F0DB025" w14:textId="4258ABBC">
                <w:pPr>
                  <w:tabs>
                    <w:tab w:val="right" w:pos="8838"/>
                  </w:tabs>
                  <w:ind w:right="-107"/>
                  <w:rPr>
                    <w:rFonts w:eastAsia="Calibri" w:cs="Tahoma"/>
                  </w:rPr>
                </w:pPr>
                <w:r w:rsidRPr="00605283">
                  <w:rPr>
                    <w:rFonts w:eastAsia="Calibri" w:cs="Tahoma"/>
                    <w:lang w:val="es-MX"/>
                  </w:rPr>
                  <w:t xml:space="preserve">05081/INFOEM/IP/RR/2021 y acumulado </w:t>
                </w:r>
              </w:p>
            </w:tc>
          </w:tr>
          <w:tr w:rsidR="00BF39FD" w:rsidTr="0DBBC258" w14:paraId="781E135E" w14:textId="77777777">
            <w:trPr>
              <w:trHeight w:val="141"/>
            </w:trPr>
            <w:tc>
              <w:tcPr>
                <w:tcW w:w="2404" w:type="dxa"/>
                <w:tcMar/>
              </w:tcPr>
              <w:p w:rsidRPr="001B5FB6" w:rsidR="00BF39FD" w:rsidP="00BF39FD" w:rsidRDefault="00BF39FD" w14:paraId="284E1E83" w14:textId="77777777">
                <w:pPr>
                  <w:tabs>
                    <w:tab w:val="right" w:pos="8838"/>
                  </w:tabs>
                  <w:ind w:right="-105"/>
                  <w:rPr>
                    <w:rFonts w:eastAsia="Calibri" w:cs="Tahoma"/>
                    <w:b/>
                    <w:lang w:val="es-MX"/>
                  </w:rPr>
                </w:pPr>
                <w:r w:rsidRPr="001B5FB6">
                  <w:rPr>
                    <w:rFonts w:eastAsia="Calibri" w:cs="Tahoma"/>
                    <w:b/>
                    <w:lang w:val="es-MX"/>
                  </w:rPr>
                  <w:t>Recurrente:</w:t>
                </w:r>
              </w:p>
            </w:tc>
            <w:tc>
              <w:tcPr>
                <w:tcW w:w="4116" w:type="dxa"/>
                <w:tcMar/>
              </w:tcPr>
              <w:p w:rsidRPr="003405AF" w:rsidR="00BF39FD" w:rsidP="0DBBC258" w:rsidRDefault="00BF39FD" w14:paraId="57F549D3" w14:textId="2EC494FF">
                <w:pPr>
                  <w:pStyle w:val="Normal"/>
                  <w:tabs>
                    <w:tab w:val="right" w:leader="none" w:pos="8838"/>
                  </w:tabs>
                  <w:bidi w:val="0"/>
                  <w:spacing w:before="0" w:beforeAutospacing="off" w:after="0" w:afterAutospacing="off" w:line="259" w:lineRule="auto"/>
                  <w:ind w:left="-28" w:right="-107"/>
                  <w:jc w:val="both"/>
                  <w:rPr>
                    <w:rFonts w:ascii="Palatino Linotype" w:hAnsi="Palatino Linotype" w:eastAsia="Calibri" w:cs=""/>
                    <w:color w:val="000000" w:themeColor="text1" w:themeTint="FF" w:themeShade="FF"/>
                    <w:highlight w:val="black"/>
                    <w:lang w:val="es-MX"/>
                  </w:rPr>
                </w:pPr>
                <w:r w:rsidRPr="0DBBC258" w:rsidR="0DBBC258">
                  <w:rPr>
                    <w:rFonts w:eastAsia="Calibri" w:cs="Tahoma"/>
                    <w:highlight w:val="black"/>
                    <w:lang w:val="es-MX"/>
                  </w:rPr>
                  <w:t>XXXXXXXXXXXXXXXXXXXXXXXXXXXXXXXXXXXXXXXXXXXXXXXXXXXXX</w:t>
                </w:r>
              </w:p>
            </w:tc>
          </w:tr>
          <w:tr w:rsidR="00BF39FD" w:rsidTr="0DBBC258" w14:paraId="36B8DA03" w14:textId="77777777">
            <w:trPr>
              <w:trHeight w:val="276"/>
            </w:trPr>
            <w:tc>
              <w:tcPr>
                <w:tcW w:w="2404" w:type="dxa"/>
                <w:tcMar/>
              </w:tcPr>
              <w:p w:rsidRPr="001B5FB6" w:rsidR="00BF39FD" w:rsidP="00BF39FD" w:rsidRDefault="00BF39FD" w14:paraId="34D9F6AF" w14:textId="77777777">
                <w:pPr>
                  <w:tabs>
                    <w:tab w:val="right" w:pos="8838"/>
                  </w:tabs>
                  <w:ind w:right="-105"/>
                  <w:rPr>
                    <w:rFonts w:eastAsia="Calibri" w:cs="Tahoma"/>
                    <w:b/>
                    <w:lang w:val="es-MX"/>
                  </w:rPr>
                </w:pPr>
                <w:r w:rsidRPr="001B5FB6">
                  <w:rPr>
                    <w:rFonts w:eastAsia="Calibri" w:cs="Tahoma"/>
                    <w:b/>
                    <w:lang w:val="es-MX"/>
                  </w:rPr>
                  <w:t>Sujeto Obligado:</w:t>
                </w:r>
              </w:p>
            </w:tc>
            <w:tc>
              <w:tcPr>
                <w:tcW w:w="4116" w:type="dxa"/>
                <w:tcMar/>
              </w:tcPr>
              <w:p w:rsidRPr="00605283" w:rsidR="00BF39FD" w:rsidP="00BF39FD" w:rsidRDefault="00BF39FD" w14:paraId="28D96307" w14:textId="26DC850F">
                <w:pPr>
                  <w:tabs>
                    <w:tab w:val="right" w:pos="8838"/>
                  </w:tabs>
                  <w:ind w:left="-28" w:right="-107"/>
                  <w:rPr>
                    <w:rFonts w:eastAsia="Calibri" w:cs="Tahoma"/>
                    <w:lang w:val="es-MX"/>
                  </w:rPr>
                </w:pPr>
                <w:r w:rsidRPr="00605283">
                  <w:rPr>
                    <w:rFonts w:eastAsia="Calibri" w:cs="Tahoma"/>
                    <w:lang w:val="es-MX"/>
                  </w:rPr>
                  <w:t>Ayuntamiento de Ecatepec de Morelos</w:t>
                </w:r>
              </w:p>
            </w:tc>
          </w:tr>
          <w:tr w:rsidR="00BF39FD" w:rsidTr="0DBBC258" w14:paraId="501A0564" w14:textId="77777777">
            <w:trPr>
              <w:trHeight w:val="276"/>
            </w:trPr>
            <w:tc>
              <w:tcPr>
                <w:tcW w:w="2404" w:type="dxa"/>
                <w:tcMar/>
              </w:tcPr>
              <w:p w:rsidRPr="001B5FB6" w:rsidR="00BF39FD" w:rsidP="00BF39FD" w:rsidRDefault="00BF39FD" w14:paraId="6C907017"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6" w:type="dxa"/>
                <w:tcMar/>
              </w:tcPr>
              <w:p w:rsidRPr="00A8173F" w:rsidR="00BF39FD" w:rsidP="00BF39FD" w:rsidRDefault="00BF39FD" w14:paraId="7C291BBC" w14:textId="77777777">
                <w:pPr>
                  <w:tabs>
                    <w:tab w:val="right" w:pos="8838"/>
                  </w:tabs>
                  <w:ind w:left="-28" w:right="-107"/>
                  <w:rPr>
                    <w:rFonts w:eastAsia="Calibri" w:cs="Tahoma"/>
                    <w:lang w:val="es-MX"/>
                  </w:rPr>
                </w:pPr>
                <w:r w:rsidRPr="00A8173F">
                  <w:rPr>
                    <w:rFonts w:eastAsia="Calibri" w:cs="Tahoma"/>
                    <w:lang w:val="es-MX"/>
                  </w:rPr>
                  <w:t>Luis Gustavo Parra Noriega</w:t>
                </w:r>
              </w:p>
            </w:tc>
          </w:tr>
        </w:tbl>
        <w:p w:rsidRPr="005C106F" w:rsidR="00BF39FD" w:rsidP="00BF39FD" w:rsidRDefault="00BF39FD" w14:paraId="114D9E2E" w14:textId="77777777">
          <w:pPr>
            <w:tabs>
              <w:tab w:val="right" w:pos="8838"/>
            </w:tabs>
            <w:ind w:left="-28"/>
            <w:rPr>
              <w:rFonts w:ascii="Arial" w:hAnsi="Arial" w:eastAsia="Calibri" w:cs="Arial"/>
              <w:b/>
            </w:rPr>
          </w:pPr>
        </w:p>
      </w:tc>
    </w:tr>
  </w:tbl>
  <w:p w:rsidR="00BF39FD" w:rsidRDefault="00733F9B" w14:paraId="1F4AE9C2" w14:textId="77777777">
    <w:pPr>
      <w:pStyle w:val="Encabezado"/>
    </w:pPr>
    <w:r>
      <w:rPr>
        <w:noProof/>
      </w:rPr>
      <w:pict w14:anchorId="51694B4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position-horizontal-relative:margin;mso-position-vertical-relative:margi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6D3F"/>
    <w:multiLevelType w:val="hybridMultilevel"/>
    <w:tmpl w:val="BA7EF5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12296A"/>
    <w:multiLevelType w:val="hybridMultilevel"/>
    <w:tmpl w:val="E17023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nsid w:val="14E71DD4"/>
    <w:multiLevelType w:val="hybridMultilevel"/>
    <w:tmpl w:val="E176EB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nsid w:val="1FAE0096"/>
    <w:multiLevelType w:val="hybridMultilevel"/>
    <w:tmpl w:val="BA7EF5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FD3205A"/>
    <w:multiLevelType w:val="hybridMultilevel"/>
    <w:tmpl w:val="9AE4A5A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nsid w:val="260A0871"/>
    <w:multiLevelType w:val="hybridMultilevel"/>
    <w:tmpl w:val="259C4EB2"/>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27B342FC"/>
    <w:multiLevelType w:val="hybridMultilevel"/>
    <w:tmpl w:val="0E0E857E"/>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6A5B67"/>
    <w:multiLevelType w:val="hybridMultilevel"/>
    <w:tmpl w:val="7D9C3C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nsid w:val="3D715649"/>
    <w:multiLevelType w:val="hybridMultilevel"/>
    <w:tmpl w:val="E3B670B0"/>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nsid w:val="42132754"/>
    <w:multiLevelType w:val="hybridMultilevel"/>
    <w:tmpl w:val="FB34C62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nsid w:val="60FC7811"/>
    <w:multiLevelType w:val="hybridMultilevel"/>
    <w:tmpl w:val="E99EDD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nsid w:val="6C8C7A7E"/>
    <w:multiLevelType w:val="hybridMultilevel"/>
    <w:tmpl w:val="FA9A87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nsid w:val="71923FCE"/>
    <w:multiLevelType w:val="hybridMultilevel"/>
    <w:tmpl w:val="E176EB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2905251"/>
    <w:multiLevelType w:val="hybridMultilevel"/>
    <w:tmpl w:val="6316B2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0"/>
  </w:num>
  <w:num w:numId="5">
    <w:abstractNumId w:val="6"/>
  </w:num>
  <w:num w:numId="6">
    <w:abstractNumId w:val="10"/>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6"/>
  </w:num>
  <w:num w:numId="11">
    <w:abstractNumId w:val="2"/>
  </w:num>
  <w:num w:numId="12">
    <w:abstractNumId w:val="12"/>
  </w:num>
  <w:num w:numId="13">
    <w:abstractNumId w:val="1"/>
  </w:num>
  <w:num w:numId="14">
    <w:abstractNumId w:val="13"/>
  </w:num>
  <w:num w:numId="15">
    <w:abstractNumId w:val="3"/>
  </w:num>
  <w:num w:numId="16">
    <w:abstractNumId w:val="18"/>
  </w:num>
  <w:num w:numId="17">
    <w:abstractNumId w:val="4"/>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83"/>
    <w:rsid w:val="00022D9B"/>
    <w:rsid w:val="00142784"/>
    <w:rsid w:val="00142D09"/>
    <w:rsid w:val="00147E7D"/>
    <w:rsid w:val="001735B5"/>
    <w:rsid w:val="001C2A03"/>
    <w:rsid w:val="001E3EC0"/>
    <w:rsid w:val="0020269C"/>
    <w:rsid w:val="00214A6A"/>
    <w:rsid w:val="00224341"/>
    <w:rsid w:val="00285B9E"/>
    <w:rsid w:val="002A2945"/>
    <w:rsid w:val="002E691E"/>
    <w:rsid w:val="002F1619"/>
    <w:rsid w:val="00326894"/>
    <w:rsid w:val="00336B1C"/>
    <w:rsid w:val="003414AF"/>
    <w:rsid w:val="00385A90"/>
    <w:rsid w:val="00386087"/>
    <w:rsid w:val="003958C0"/>
    <w:rsid w:val="003F6898"/>
    <w:rsid w:val="004C4ED6"/>
    <w:rsid w:val="004C6617"/>
    <w:rsid w:val="004F752C"/>
    <w:rsid w:val="00605283"/>
    <w:rsid w:val="00622E54"/>
    <w:rsid w:val="006425AF"/>
    <w:rsid w:val="006555BF"/>
    <w:rsid w:val="0067676B"/>
    <w:rsid w:val="006911B3"/>
    <w:rsid w:val="006D4B66"/>
    <w:rsid w:val="00733F9B"/>
    <w:rsid w:val="007C1710"/>
    <w:rsid w:val="007C7753"/>
    <w:rsid w:val="007D297C"/>
    <w:rsid w:val="008873C4"/>
    <w:rsid w:val="0095248D"/>
    <w:rsid w:val="0095754A"/>
    <w:rsid w:val="00977CF2"/>
    <w:rsid w:val="009A61B2"/>
    <w:rsid w:val="009A74E3"/>
    <w:rsid w:val="00A80E8D"/>
    <w:rsid w:val="00A97D8B"/>
    <w:rsid w:val="00B46041"/>
    <w:rsid w:val="00B549E0"/>
    <w:rsid w:val="00B9648C"/>
    <w:rsid w:val="00BC08DD"/>
    <w:rsid w:val="00BD0225"/>
    <w:rsid w:val="00BF39FD"/>
    <w:rsid w:val="00C554F3"/>
    <w:rsid w:val="00C56550"/>
    <w:rsid w:val="00CC2EA6"/>
    <w:rsid w:val="00CC3A84"/>
    <w:rsid w:val="00D511EB"/>
    <w:rsid w:val="00D91955"/>
    <w:rsid w:val="00D963CD"/>
    <w:rsid w:val="00DE3474"/>
    <w:rsid w:val="00E56609"/>
    <w:rsid w:val="00E7150B"/>
    <w:rsid w:val="00E81D49"/>
    <w:rsid w:val="00E869D1"/>
    <w:rsid w:val="00EB79F1"/>
    <w:rsid w:val="00F44C04"/>
    <w:rsid w:val="00F5409D"/>
    <w:rsid w:val="00F65B52"/>
    <w:rsid w:val="00F80BB8"/>
    <w:rsid w:val="00FD2BF5"/>
    <w:rsid w:val="0DBBC2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171E9"/>
  <w15:chartTrackingRefBased/>
  <w15:docId w15:val="{FA72A4BC-EDF3-4C75-B751-1F66192C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05283"/>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60528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05283"/>
    <w:rPr>
      <w:rFonts w:ascii="Palatino Linotype" w:hAnsi="Palatino Linotype"/>
      <w:color w:val="000000" w:themeColor="text1"/>
    </w:rPr>
  </w:style>
  <w:style w:type="paragraph" w:styleId="Piedepgina">
    <w:name w:val="footer"/>
    <w:basedOn w:val="Normal"/>
    <w:link w:val="PiedepginaCar"/>
    <w:uiPriority w:val="99"/>
    <w:unhideWhenUsed/>
    <w:rsid w:val="0060528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05283"/>
    <w:rPr>
      <w:rFonts w:ascii="Palatino Linotype" w:hAnsi="Palatino Linotype"/>
      <w:color w:val="000000" w:themeColor="text1"/>
    </w:rPr>
  </w:style>
  <w:style w:type="table" w:styleId="Tablaconcuadrcula">
    <w:name w:val="Table Grid"/>
    <w:basedOn w:val="Tablanormal"/>
    <w:uiPriority w:val="39"/>
    <w:qFormat/>
    <w:rsid w:val="00605283"/>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605283"/>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05283"/>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05283"/>
    <w:rPr>
      <w:rFonts w:ascii="Palatino Linotype" w:hAnsi="Palatino Linotype"/>
      <w:color w:val="000000" w:themeColor="text1"/>
    </w:rPr>
  </w:style>
  <w:style w:type="character" w:styleId="Mencinsinresolver1" w:customStyle="1">
    <w:name w:val="Mención sin resolver1"/>
    <w:basedOn w:val="Fuentedeprrafopredeter"/>
    <w:uiPriority w:val="99"/>
    <w:semiHidden/>
    <w:unhideWhenUsed/>
    <w:rsid w:val="00B4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pdelegacionales.cdmx.gob.mx/servicios/servicio/padron-de-establecimientos-mercantiles" TargetMode="Externa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s://www.ipomex.org.mx/ipo3/lgt/infoExcel/ECATEPEC/art_92_xxxii/3.web"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footer" Target="footer1.xml" Id="rId14" /><Relationship Type="http://schemas.openxmlformats.org/officeDocument/2006/relationships/glossaryDocument" Target="glossary/document.xml" Id="R92e217155d4b41da"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91c9e3e-3186-4dda-ad6f-c63e1b72a001}"/>
      </w:docPartPr>
      <w:docPartBody>
        <w:p w14:paraId="0DBBC25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7</revision>
  <dcterms:created xsi:type="dcterms:W3CDTF">2021-12-09T23:02:00.0000000Z</dcterms:created>
  <dcterms:modified xsi:type="dcterms:W3CDTF">2021-12-17T17:04:19.4595054Z</dcterms:modified>
</coreProperties>
</file>