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4811" w:rsidRDefault="00DD4811">
      <w:pPr>
        <w:widowControl w:val="0"/>
        <w:pBdr>
          <w:top w:val="nil"/>
          <w:left w:val="nil"/>
          <w:bottom w:val="nil"/>
          <w:right w:val="nil"/>
          <w:between w:val="nil"/>
        </w:pBdr>
        <w:spacing w:line="276" w:lineRule="auto"/>
      </w:pPr>
      <w:bookmarkStart w:id="0" w:name="_GoBack"/>
      <w:bookmarkEnd w:id="0"/>
    </w:p>
    <w:p w:rsidR="00DD4811" w:rsidRDefault="00605A3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Resolución del Pleno del Instituto de Transparencia, Acceso a la Información Pública y Protección de Datos Personales del Estado de México y Municipios, con domicilio en Metepec, Estado de México, de fecha veinte de octubre de dos mil veintiuno.</w:t>
      </w:r>
    </w:p>
    <w:p w:rsidR="00DD4811" w:rsidRDefault="00DD4811">
      <w:pPr>
        <w:spacing w:line="360" w:lineRule="auto"/>
        <w:jc w:val="both"/>
        <w:rPr>
          <w:rFonts w:ascii="Palatino Linotype" w:eastAsia="Palatino Linotype" w:hAnsi="Palatino Linotype" w:cs="Palatino Linotype"/>
          <w:color w:val="000000"/>
        </w:rPr>
      </w:pPr>
    </w:p>
    <w:p w:rsidR="00DD4811" w:rsidRDefault="00605A31">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VISTO</w:t>
      </w:r>
      <w:r>
        <w:rPr>
          <w:rFonts w:ascii="Palatino Linotype" w:eastAsia="Palatino Linotype" w:hAnsi="Palatino Linotype" w:cs="Palatino Linotype"/>
          <w:color w:val="000000"/>
        </w:rPr>
        <w:t xml:space="preserve"> el expediente formado con motivo del recurso de revisión </w:t>
      </w:r>
      <w:r>
        <w:rPr>
          <w:rFonts w:ascii="Palatino Linotype" w:eastAsia="Palatino Linotype" w:hAnsi="Palatino Linotype" w:cs="Palatino Linotype"/>
          <w:b/>
          <w:color w:val="000000"/>
        </w:rPr>
        <w:t>04432/INFOEM/IP/RR/2021</w:t>
      </w:r>
      <w:r>
        <w:rPr>
          <w:rFonts w:ascii="Palatino Linotype" w:eastAsia="Palatino Linotype" w:hAnsi="Palatino Linotype" w:cs="Palatino Linotype"/>
          <w:color w:val="000000"/>
        </w:rPr>
        <w:t xml:space="preserve">, promovido por el C. </w:t>
      </w:r>
      <w:r w:rsidR="00C55832">
        <w:rPr>
          <w:rFonts w:ascii="Palatino Linotype" w:eastAsia="Palatino Linotype" w:hAnsi="Palatino Linotype" w:cs="Palatino Linotype"/>
          <w:b/>
          <w:color w:val="000000"/>
        </w:rPr>
        <w:t xml:space="preserve">XXXXX XXXX XXXXXXXX </w:t>
      </w:r>
      <w:proofErr w:type="spellStart"/>
      <w:r w:rsidR="00C55832">
        <w:rPr>
          <w:rFonts w:ascii="Palatino Linotype" w:eastAsia="Palatino Linotype" w:hAnsi="Palatino Linotype" w:cs="Palatino Linotype"/>
          <w:b/>
          <w:color w:val="000000"/>
        </w:rPr>
        <w:t>XXXXXXXX</w:t>
      </w:r>
      <w:proofErr w:type="spellEnd"/>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en lo sucesivo se denominará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en contra de la respuesta emitida por el </w:t>
      </w:r>
      <w:r>
        <w:rPr>
          <w:rFonts w:ascii="Palatino Linotype" w:eastAsia="Palatino Linotype" w:hAnsi="Palatino Linotype" w:cs="Palatino Linotype"/>
          <w:b/>
          <w:color w:val="000000"/>
        </w:rPr>
        <w:t xml:space="preserve">Ayuntamiento de </w:t>
      </w:r>
      <w:proofErr w:type="spellStart"/>
      <w:r>
        <w:rPr>
          <w:rFonts w:ascii="Palatino Linotype" w:eastAsia="Palatino Linotype" w:hAnsi="Palatino Linotype" w:cs="Palatino Linotype"/>
          <w:b/>
          <w:color w:val="000000"/>
        </w:rPr>
        <w:t>Nextlalpan</w:t>
      </w:r>
      <w:proofErr w:type="spellEnd"/>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en lo suce</w:t>
      </w:r>
      <w:r>
        <w:rPr>
          <w:rFonts w:ascii="Palatino Linotype" w:eastAsia="Palatino Linotype" w:hAnsi="Palatino Linotype" w:cs="Palatino Linotype"/>
          <w:color w:val="000000"/>
        </w:rPr>
        <w:t xml:space="preserve">sivo se denominará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se procede a dictar la presente resolución con base en lo siguiente: </w:t>
      </w:r>
    </w:p>
    <w:p w:rsidR="00DD4811" w:rsidRDefault="00DD4811">
      <w:pPr>
        <w:jc w:val="center"/>
        <w:rPr>
          <w:rFonts w:ascii="Palatino Linotype" w:eastAsia="Palatino Linotype" w:hAnsi="Palatino Linotype" w:cs="Palatino Linotype"/>
          <w:color w:val="000000"/>
        </w:rPr>
      </w:pPr>
    </w:p>
    <w:p w:rsidR="00DD4811" w:rsidRDefault="00605A31">
      <w:pPr>
        <w:jc w:val="center"/>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RESULTANDO</w:t>
      </w:r>
    </w:p>
    <w:p w:rsidR="00DD4811" w:rsidRDefault="00DD4811">
      <w:pPr>
        <w:jc w:val="center"/>
        <w:rPr>
          <w:rFonts w:ascii="Palatino Linotype" w:eastAsia="Palatino Linotype" w:hAnsi="Palatino Linotype" w:cs="Palatino Linotype"/>
          <w:b/>
          <w:color w:val="000000"/>
        </w:rPr>
      </w:pPr>
    </w:p>
    <w:p w:rsidR="00DD4811" w:rsidRDefault="00605A31">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00"/>
          <w:sz w:val="28"/>
          <w:szCs w:val="28"/>
        </w:rPr>
        <w:t xml:space="preserve">I. </w:t>
      </w:r>
      <w:r>
        <w:rPr>
          <w:rFonts w:ascii="Palatino Linotype" w:eastAsia="Palatino Linotype" w:hAnsi="Palatino Linotype" w:cs="Palatino Linotype"/>
        </w:rPr>
        <w:t xml:space="preserve">En fecha cinco de agosto de dos mil veintiuno,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presentó a través del Sistema de Acceso a la Información Mexiquense, e</w:t>
      </w:r>
      <w:r>
        <w:rPr>
          <w:rFonts w:ascii="Palatino Linotype" w:eastAsia="Palatino Linotype" w:hAnsi="Palatino Linotype" w:cs="Palatino Linotype"/>
        </w:rPr>
        <w:t xml:space="preserve">n lo subsecuente </w:t>
      </w:r>
      <w:r>
        <w:rPr>
          <w:rFonts w:ascii="Palatino Linotype" w:eastAsia="Palatino Linotype" w:hAnsi="Palatino Linotype" w:cs="Palatino Linotype"/>
          <w:b/>
        </w:rPr>
        <w:t>EL SAIMEX</w:t>
      </w:r>
      <w:r>
        <w:rPr>
          <w:rFonts w:ascii="Palatino Linotype" w:eastAsia="Palatino Linotype" w:hAnsi="Palatino Linotype" w:cs="Palatino Linotype"/>
        </w:rPr>
        <w:t xml:space="preserve"> ante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la solicitud de acceso a la información pública, a la que se le asignó el número de expediente </w:t>
      </w:r>
      <w:r>
        <w:rPr>
          <w:rFonts w:ascii="Palatino Linotype" w:eastAsia="Palatino Linotype" w:hAnsi="Palatino Linotype" w:cs="Palatino Linotype"/>
          <w:b/>
        </w:rPr>
        <w:t>00140/NEXTLAL/IP/2021</w:t>
      </w:r>
      <w:r>
        <w:rPr>
          <w:rFonts w:ascii="Palatino Linotype" w:eastAsia="Palatino Linotype" w:hAnsi="Palatino Linotype" w:cs="Palatino Linotype"/>
        </w:rPr>
        <w:t>, por medio de la cual requirió:</w:t>
      </w:r>
    </w:p>
    <w:p w:rsidR="00DD4811" w:rsidRDefault="00DD4811">
      <w:pPr>
        <w:tabs>
          <w:tab w:val="left" w:pos="851"/>
        </w:tabs>
        <w:ind w:left="851" w:right="901"/>
        <w:jc w:val="both"/>
        <w:rPr>
          <w:rFonts w:ascii="Palatino Linotype" w:eastAsia="Palatino Linotype" w:hAnsi="Palatino Linotype" w:cs="Palatino Linotype"/>
          <w:i/>
          <w:color w:val="000000"/>
          <w:sz w:val="22"/>
          <w:szCs w:val="22"/>
        </w:rPr>
      </w:pPr>
    </w:p>
    <w:p w:rsidR="00DD4811" w:rsidRDefault="00605A31">
      <w:pPr>
        <w:tabs>
          <w:tab w:val="left" w:pos="851"/>
        </w:tabs>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color w:val="000000"/>
          <w:sz w:val="22"/>
          <w:szCs w:val="22"/>
        </w:rPr>
        <w:t xml:space="preserve">“Su estructura orgánica completa, en un formato que permita vincular cada parte de la estructura, las atribuciones y responsabilidades que le corresponden a cada servidor público, prestador de servicios profesionales o miembro del Ayuntamiento de </w:t>
      </w:r>
      <w:proofErr w:type="spellStart"/>
      <w:r>
        <w:rPr>
          <w:rFonts w:ascii="Palatino Linotype" w:eastAsia="Palatino Linotype" w:hAnsi="Palatino Linotype" w:cs="Palatino Linotype"/>
          <w:i/>
          <w:color w:val="000000"/>
          <w:sz w:val="22"/>
          <w:szCs w:val="22"/>
        </w:rPr>
        <w:t>Nextlalpa</w:t>
      </w:r>
      <w:r>
        <w:rPr>
          <w:rFonts w:ascii="Palatino Linotype" w:eastAsia="Palatino Linotype" w:hAnsi="Palatino Linotype" w:cs="Palatino Linotype"/>
          <w:i/>
          <w:color w:val="000000"/>
          <w:sz w:val="22"/>
          <w:szCs w:val="22"/>
        </w:rPr>
        <w:t>n</w:t>
      </w:r>
      <w:proofErr w:type="spellEnd"/>
      <w:r>
        <w:rPr>
          <w:rFonts w:ascii="Palatino Linotype" w:eastAsia="Palatino Linotype" w:hAnsi="Palatino Linotype" w:cs="Palatino Linotype"/>
          <w:i/>
          <w:color w:val="000000"/>
          <w:sz w:val="22"/>
          <w:szCs w:val="22"/>
        </w:rPr>
        <w:t xml:space="preserve"> de Felipe </w:t>
      </w:r>
      <w:proofErr w:type="spellStart"/>
      <w:r>
        <w:rPr>
          <w:rFonts w:ascii="Palatino Linotype" w:eastAsia="Palatino Linotype" w:hAnsi="Palatino Linotype" w:cs="Palatino Linotype"/>
          <w:i/>
          <w:color w:val="000000"/>
          <w:sz w:val="22"/>
          <w:szCs w:val="22"/>
        </w:rPr>
        <w:t>Sanchez</w:t>
      </w:r>
      <w:proofErr w:type="spellEnd"/>
      <w:r>
        <w:rPr>
          <w:rFonts w:ascii="Palatino Linotype" w:eastAsia="Palatino Linotype" w:hAnsi="Palatino Linotype" w:cs="Palatino Linotype"/>
          <w:i/>
          <w:color w:val="000000"/>
          <w:sz w:val="22"/>
          <w:szCs w:val="22"/>
        </w:rPr>
        <w:t xml:space="preserve"> </w:t>
      </w:r>
      <w:proofErr w:type="spellStart"/>
      <w:r>
        <w:rPr>
          <w:rFonts w:ascii="Palatino Linotype" w:eastAsia="Palatino Linotype" w:hAnsi="Palatino Linotype" w:cs="Palatino Linotype"/>
          <w:i/>
          <w:color w:val="000000"/>
          <w:sz w:val="22"/>
          <w:szCs w:val="22"/>
        </w:rPr>
        <w:t>Solis</w:t>
      </w:r>
      <w:proofErr w:type="spellEnd"/>
      <w:r>
        <w:rPr>
          <w:rFonts w:ascii="Palatino Linotype" w:eastAsia="Palatino Linotype" w:hAnsi="Palatino Linotype" w:cs="Palatino Linotype"/>
          <w:i/>
          <w:color w:val="000000"/>
          <w:sz w:val="22"/>
          <w:szCs w:val="22"/>
        </w:rPr>
        <w:t xml:space="preserve"> , de conformidad con las disposiciones </w:t>
      </w:r>
      <w:proofErr w:type="spellStart"/>
      <w:r>
        <w:rPr>
          <w:rFonts w:ascii="Palatino Linotype" w:eastAsia="Palatino Linotype" w:hAnsi="Palatino Linotype" w:cs="Palatino Linotype"/>
          <w:i/>
          <w:color w:val="000000"/>
          <w:sz w:val="22"/>
          <w:szCs w:val="22"/>
        </w:rPr>
        <w:t>aplicables.TODA</w:t>
      </w:r>
      <w:proofErr w:type="spellEnd"/>
      <w:r>
        <w:rPr>
          <w:rFonts w:ascii="Palatino Linotype" w:eastAsia="Palatino Linotype" w:hAnsi="Palatino Linotype" w:cs="Palatino Linotype"/>
          <w:i/>
          <w:color w:val="000000"/>
          <w:sz w:val="22"/>
          <w:szCs w:val="22"/>
        </w:rPr>
        <w:t xml:space="preserve"> ESTA INFORMACION SE SOLICITA RESPECTO AL AÑO 2015” (Sic)</w:t>
      </w:r>
    </w:p>
    <w:p w:rsidR="00DD4811" w:rsidRDefault="00DD4811">
      <w:pPr>
        <w:tabs>
          <w:tab w:val="left" w:pos="851"/>
        </w:tabs>
        <w:ind w:left="851" w:right="901"/>
        <w:jc w:val="both"/>
        <w:rPr>
          <w:rFonts w:ascii="Palatino Linotype" w:eastAsia="Palatino Linotype" w:hAnsi="Palatino Linotype" w:cs="Palatino Linotype"/>
          <w:i/>
          <w:sz w:val="22"/>
          <w:szCs w:val="22"/>
        </w:rPr>
      </w:pPr>
    </w:p>
    <w:p w:rsidR="00DD4811" w:rsidRDefault="00605A31">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00"/>
        </w:rPr>
        <w:t>MODALIDAD DE ENTREGA: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p>
    <w:p w:rsidR="00DD4811" w:rsidRDefault="00DD4811">
      <w:pPr>
        <w:spacing w:line="360" w:lineRule="auto"/>
        <w:jc w:val="both"/>
        <w:rPr>
          <w:rFonts w:ascii="Palatino Linotype" w:eastAsia="Palatino Linotype" w:hAnsi="Palatino Linotype" w:cs="Palatino Linotype"/>
          <w:color w:val="000000"/>
        </w:rPr>
      </w:pPr>
    </w:p>
    <w:p w:rsidR="00DD4811" w:rsidRDefault="00605A31">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sz w:val="28"/>
          <w:szCs w:val="28"/>
        </w:rPr>
        <w:t>II.</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De las constancias que obran en </w:t>
      </w:r>
      <w:r>
        <w:rPr>
          <w:rFonts w:ascii="Palatino Linotype" w:eastAsia="Palatino Linotype" w:hAnsi="Palatino Linotype" w:cs="Palatino Linotype"/>
          <w:b/>
        </w:rPr>
        <w:t>EL SAIMEX,</w:t>
      </w:r>
      <w:r>
        <w:rPr>
          <w:rFonts w:ascii="Palatino Linotype" w:eastAsia="Palatino Linotype" w:hAnsi="Palatino Linotype" w:cs="Palatino Linotype"/>
        </w:rPr>
        <w:t xml:space="preserve"> se advierte que el veintiséis de ag</w:t>
      </w:r>
      <w:r>
        <w:rPr>
          <w:rFonts w:ascii="Palatino Linotype" w:eastAsia="Palatino Linotype" w:hAnsi="Palatino Linotype" w:cs="Palatino Linotype"/>
        </w:rPr>
        <w:t>osto de dos mil veintiuno, el Responsable de la Unidad de Transparencia del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dio respuesta a la solicitud de información, en los siguientes términos:</w:t>
      </w:r>
    </w:p>
    <w:p w:rsidR="00DD4811" w:rsidRDefault="00DD4811">
      <w:pPr>
        <w:ind w:left="851" w:right="901"/>
        <w:jc w:val="both"/>
        <w:rPr>
          <w:rFonts w:ascii="Palatino Linotype" w:eastAsia="Palatino Linotype" w:hAnsi="Palatino Linotype" w:cs="Palatino Linotype"/>
          <w:i/>
        </w:rPr>
      </w:pPr>
    </w:p>
    <w:p w:rsidR="00DD4811" w:rsidRDefault="00605A31">
      <w:pPr>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“POR MEDIO DEL PRESENTE ME PERMITO REMITIRLE A USTED LA INFORMACIÓN SOLICITADA EN TIEMPO Y</w:t>
      </w:r>
      <w:r>
        <w:rPr>
          <w:rFonts w:ascii="Palatino Linotype" w:eastAsia="Palatino Linotype" w:hAnsi="Palatino Linotype" w:cs="Palatino Linotype"/>
          <w:i/>
        </w:rPr>
        <w:t xml:space="preserve"> FORMA ANEXO FORMATO PDF</w:t>
      </w:r>
    </w:p>
    <w:p w:rsidR="00DD4811" w:rsidRDefault="00DD4811">
      <w:pPr>
        <w:ind w:left="851" w:right="901"/>
        <w:jc w:val="both"/>
        <w:rPr>
          <w:rFonts w:ascii="Palatino Linotype" w:eastAsia="Palatino Linotype" w:hAnsi="Palatino Linotype" w:cs="Palatino Linotype"/>
          <w:i/>
        </w:rPr>
      </w:pPr>
    </w:p>
    <w:p w:rsidR="00DD4811" w:rsidRDefault="00605A31">
      <w:pPr>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rsidR="00DD4811" w:rsidRDefault="00DD4811">
      <w:pPr>
        <w:ind w:left="851" w:right="901"/>
        <w:jc w:val="both"/>
        <w:rPr>
          <w:rFonts w:ascii="Palatino Linotype" w:eastAsia="Palatino Linotype" w:hAnsi="Palatino Linotype" w:cs="Palatino Linotype"/>
          <w:i/>
        </w:rPr>
      </w:pPr>
    </w:p>
    <w:p w:rsidR="00DD4811" w:rsidRDefault="00605A31">
      <w:pPr>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 xml:space="preserve">C. MARGARITO ZÚÑIGA RODRÍGUEZ” (sic) </w:t>
      </w:r>
    </w:p>
    <w:p w:rsidR="00DD4811" w:rsidRDefault="00DD4811">
      <w:pPr>
        <w:ind w:left="851" w:right="901"/>
        <w:jc w:val="both"/>
        <w:rPr>
          <w:rFonts w:ascii="Palatino Linotype" w:eastAsia="Palatino Linotype" w:hAnsi="Palatino Linotype" w:cs="Palatino Linotype"/>
          <w:i/>
        </w:rPr>
      </w:pPr>
    </w:p>
    <w:p w:rsidR="00DD4811" w:rsidRDefault="00605A3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Advirtiendo de dicha respuesta,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acompañó el archivo electrónico denominado </w:t>
      </w:r>
      <w:hyperlink r:id="rId8">
        <w:r>
          <w:rPr>
            <w:rFonts w:ascii="Palatino Linotype" w:eastAsia="Palatino Linotype" w:hAnsi="Palatino Linotype" w:cs="Palatino Linotype"/>
          </w:rPr>
          <w:t>S</w:t>
        </w:r>
      </w:hyperlink>
      <w:hyperlink r:id="rId9">
        <w:r>
          <w:rPr>
            <w:rFonts w:ascii="Palatino Linotype" w:eastAsia="Palatino Linotype" w:hAnsi="Palatino Linotype" w:cs="Palatino Linotype"/>
            <w:b/>
          </w:rPr>
          <w:t>OL 140.pdf</w:t>
        </w:r>
      </w:hyperlink>
      <w:r>
        <w:rPr>
          <w:rFonts w:ascii="Palatino Linotype" w:eastAsia="Palatino Linotype" w:hAnsi="Palatino Linotype" w:cs="Palatino Linotype"/>
          <w:b/>
        </w:rPr>
        <w:t xml:space="preserve">, </w:t>
      </w:r>
      <w:r>
        <w:rPr>
          <w:rFonts w:ascii="Palatino Linotype" w:eastAsia="Palatino Linotype" w:hAnsi="Palatino Linotype" w:cs="Palatino Linotype"/>
        </w:rPr>
        <w:t>el cual de su contenido se advierte el oficio número NEXTUTUA/055</w:t>
      </w:r>
      <w:r>
        <w:rPr>
          <w:rFonts w:ascii="Palatino Linotype" w:eastAsia="Palatino Linotype" w:hAnsi="Palatino Linotype" w:cs="Palatino Linotype"/>
        </w:rPr>
        <w:t>3/2021, por medio del cual el Titular de la Unidad de Transparencia refiere adjuntar oficio ADM/052/2021 que contiene la respuesta. Asimismo, de su contenido se advierte dicho oficio, por medio del cual el Director de Administración informa medularmente qu</w:t>
      </w:r>
      <w:r>
        <w:rPr>
          <w:rFonts w:ascii="Palatino Linotype" w:eastAsia="Palatino Linotype" w:hAnsi="Palatino Linotype" w:cs="Palatino Linotype"/>
        </w:rPr>
        <w:t>e no es posible otorgar lo solicitado por el particular, por tratarse de información clasificada como reservada o confidencial.</w:t>
      </w:r>
    </w:p>
    <w:p w:rsidR="00DD4811" w:rsidRDefault="00DD4811">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rsidR="00DD4811" w:rsidRDefault="00605A31">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8"/>
          <w:szCs w:val="28"/>
        </w:rPr>
        <w:t xml:space="preserve">III. </w:t>
      </w:r>
      <w:r>
        <w:rPr>
          <w:rFonts w:ascii="Palatino Linotype" w:eastAsia="Palatino Linotype" w:hAnsi="Palatino Linotype" w:cs="Palatino Linotype"/>
          <w:color w:val="000000"/>
        </w:rPr>
        <w:t xml:space="preserve">Inconforme con la respuesta, el dos de septiembre de dos mil veintiuno,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interpuso el recurso de revisión obj</w:t>
      </w:r>
      <w:r>
        <w:rPr>
          <w:rFonts w:ascii="Palatino Linotype" w:eastAsia="Palatino Linotype" w:hAnsi="Palatino Linotype" w:cs="Palatino Linotype"/>
          <w:color w:val="000000"/>
        </w:rPr>
        <w:t xml:space="preserve">eto del presente estudio, el cual fue registrado en </w:t>
      </w:r>
      <w:r>
        <w:rPr>
          <w:rFonts w:ascii="Palatino Linotype" w:eastAsia="Palatino Linotype" w:hAnsi="Palatino Linotype" w:cs="Palatino Linotype"/>
          <w:b/>
          <w:color w:val="000000"/>
        </w:rPr>
        <w:t xml:space="preserve">EL SAIMEX </w:t>
      </w:r>
      <w:r>
        <w:rPr>
          <w:rFonts w:ascii="Palatino Linotype" w:eastAsia="Palatino Linotype" w:hAnsi="Palatino Linotype" w:cs="Palatino Linotype"/>
          <w:color w:val="000000"/>
        </w:rPr>
        <w:t xml:space="preserve">y se le asignó el número de </w:t>
      </w:r>
      <w:r>
        <w:rPr>
          <w:rFonts w:ascii="Palatino Linotype" w:eastAsia="Palatino Linotype" w:hAnsi="Palatino Linotype" w:cs="Palatino Linotype"/>
          <w:b/>
          <w:color w:val="000000"/>
        </w:rPr>
        <w:t>04432/INFOEM/IP/RR/2021</w:t>
      </w:r>
      <w:r>
        <w:rPr>
          <w:rFonts w:ascii="Palatino Linotype" w:eastAsia="Palatino Linotype" w:hAnsi="Palatino Linotype" w:cs="Palatino Linotype"/>
          <w:color w:val="000000"/>
        </w:rPr>
        <w:t xml:space="preserve">, en el que señaló como acto impugnado: </w:t>
      </w:r>
    </w:p>
    <w:p w:rsidR="00DD4811" w:rsidRDefault="00DD4811">
      <w:pPr>
        <w:ind w:left="851" w:right="899"/>
        <w:jc w:val="both"/>
        <w:rPr>
          <w:rFonts w:ascii="Palatino Linotype" w:eastAsia="Palatino Linotype" w:hAnsi="Palatino Linotype" w:cs="Palatino Linotype"/>
          <w:i/>
          <w:color w:val="000000"/>
          <w:sz w:val="22"/>
          <w:szCs w:val="22"/>
        </w:rPr>
      </w:pPr>
    </w:p>
    <w:p w:rsidR="00DD4811" w:rsidRDefault="00605A31">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“negativa de la información clasificación de la información "(sic)</w:t>
      </w:r>
    </w:p>
    <w:p w:rsidR="00DD4811" w:rsidRDefault="00DD4811">
      <w:pPr>
        <w:ind w:right="899"/>
        <w:jc w:val="both"/>
        <w:rPr>
          <w:rFonts w:ascii="Palatino Linotype" w:eastAsia="Palatino Linotype" w:hAnsi="Palatino Linotype" w:cs="Palatino Linotype"/>
          <w:i/>
          <w:color w:val="000000"/>
          <w:sz w:val="22"/>
          <w:szCs w:val="22"/>
        </w:rPr>
      </w:pPr>
    </w:p>
    <w:p w:rsidR="00DD4811" w:rsidRDefault="00605A31">
      <w:pPr>
        <w:spacing w:line="360" w:lineRule="auto"/>
        <w:ind w:right="89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como, razones o motivos de in</w:t>
      </w:r>
      <w:r>
        <w:rPr>
          <w:rFonts w:ascii="Palatino Linotype" w:eastAsia="Palatino Linotype" w:hAnsi="Palatino Linotype" w:cs="Palatino Linotype"/>
          <w:color w:val="000000"/>
        </w:rPr>
        <w:t>conformidad lo siguiente:</w:t>
      </w:r>
    </w:p>
    <w:p w:rsidR="00DD4811" w:rsidRDefault="00DD4811">
      <w:pPr>
        <w:ind w:right="899"/>
        <w:jc w:val="both"/>
        <w:rPr>
          <w:rFonts w:ascii="Palatino Linotype" w:eastAsia="Palatino Linotype" w:hAnsi="Palatino Linotype" w:cs="Palatino Linotype"/>
          <w:color w:val="000000"/>
        </w:rPr>
      </w:pPr>
    </w:p>
    <w:p w:rsidR="00DD4811" w:rsidRDefault="00605A31">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solicitud de información se </w:t>
      </w:r>
      <w:proofErr w:type="spellStart"/>
      <w:r>
        <w:rPr>
          <w:rFonts w:ascii="Palatino Linotype" w:eastAsia="Palatino Linotype" w:hAnsi="Palatino Linotype" w:cs="Palatino Linotype"/>
          <w:i/>
          <w:color w:val="000000"/>
          <w:sz w:val="22"/>
          <w:szCs w:val="22"/>
        </w:rPr>
        <w:t>realizo</w:t>
      </w:r>
      <w:proofErr w:type="spellEnd"/>
      <w:r>
        <w:rPr>
          <w:rFonts w:ascii="Palatino Linotype" w:eastAsia="Palatino Linotype" w:hAnsi="Palatino Linotype" w:cs="Palatino Linotype"/>
          <w:i/>
          <w:color w:val="000000"/>
          <w:sz w:val="22"/>
          <w:szCs w:val="22"/>
        </w:rPr>
        <w:t xml:space="preserve"> de acuerdo a normatividad aplicable, la respuesta afirma que no se entregara la información, también que es información clasificada pero no integra la acta correspondiente al comité de tran</w:t>
      </w:r>
      <w:r>
        <w:rPr>
          <w:rFonts w:ascii="Palatino Linotype" w:eastAsia="Palatino Linotype" w:hAnsi="Palatino Linotype" w:cs="Palatino Linotype"/>
          <w:i/>
          <w:color w:val="000000"/>
          <w:sz w:val="22"/>
          <w:szCs w:val="22"/>
        </w:rPr>
        <w:t>sparencia, además de que habla de datos que no son de carácter clasificado y adicionalmente la información solicitada es de 2015 por lo cual esta información no entra dentro de la temporalidad mencionada, además de que la respuesta debería estar acompañada</w:t>
      </w:r>
      <w:r>
        <w:rPr>
          <w:rFonts w:ascii="Palatino Linotype" w:eastAsia="Palatino Linotype" w:hAnsi="Palatino Linotype" w:cs="Palatino Linotype"/>
          <w:i/>
          <w:color w:val="000000"/>
          <w:sz w:val="22"/>
          <w:szCs w:val="22"/>
        </w:rPr>
        <w:t xml:space="preserve"> de la versión publica lo cual no se hizo en la respuesta” (sic) </w:t>
      </w:r>
    </w:p>
    <w:p w:rsidR="00DD4811" w:rsidRDefault="00DD4811">
      <w:pPr>
        <w:ind w:right="899"/>
        <w:jc w:val="both"/>
        <w:rPr>
          <w:rFonts w:ascii="Palatino Linotype" w:eastAsia="Palatino Linotype" w:hAnsi="Palatino Linotype" w:cs="Palatino Linotype"/>
          <w:i/>
          <w:color w:val="000000"/>
          <w:sz w:val="22"/>
          <w:szCs w:val="22"/>
        </w:rPr>
      </w:pPr>
    </w:p>
    <w:p w:rsidR="00DD4811" w:rsidRDefault="00605A31">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 xml:space="preserve">IV. </w:t>
      </w:r>
      <w:r>
        <w:rPr>
          <w:rFonts w:ascii="Palatino Linotype" w:eastAsia="Palatino Linotype" w:hAnsi="Palatino Linotype" w:cs="Palatino Linotype"/>
          <w:color w:val="000000"/>
        </w:rPr>
        <w:t xml:space="preserve">En fecha </w:t>
      </w:r>
      <w:r>
        <w:rPr>
          <w:rFonts w:ascii="Palatino Linotype" w:eastAsia="Palatino Linotype" w:hAnsi="Palatino Linotype" w:cs="Palatino Linotype"/>
          <w:b/>
          <w:color w:val="000000"/>
        </w:rPr>
        <w:t>dos de septiembre de dos mil veintiuno</w:t>
      </w:r>
      <w:r>
        <w:rPr>
          <w:rFonts w:ascii="Palatino Linotype" w:eastAsia="Palatino Linotype" w:hAnsi="Palatino Linotype" w:cs="Palatino Linotype"/>
          <w:color w:val="000000"/>
        </w:rPr>
        <w:t>, el recurso en estudio, se envió electrónicamente al Instituto de Transparencia, Acceso a la Información Pública y Protección de Datos Personales del Estado de México y Municipios; y con fundamento en el artículo 185, fracción I de la Ley de Transparencia</w:t>
      </w:r>
      <w:r>
        <w:rPr>
          <w:rFonts w:ascii="Palatino Linotype" w:eastAsia="Palatino Linotype" w:hAnsi="Palatino Linotype" w:cs="Palatino Linotype"/>
          <w:color w:val="000000"/>
        </w:rPr>
        <w:t xml:space="preserve"> y Acceso a la Información Pública del Estado de México y Municipios, se turnó a través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a la Comisionada </w:t>
      </w:r>
      <w:r>
        <w:rPr>
          <w:rFonts w:ascii="Palatino Linotype" w:eastAsia="Palatino Linotype" w:hAnsi="Palatino Linotype" w:cs="Palatino Linotype"/>
          <w:b/>
          <w:color w:val="000000"/>
        </w:rPr>
        <w:t>Sharon Cristina Morales Martínez</w:t>
      </w:r>
      <w:r>
        <w:rPr>
          <w:rFonts w:ascii="Palatino Linotype" w:eastAsia="Palatino Linotype" w:hAnsi="Palatino Linotype" w:cs="Palatino Linotype"/>
          <w:color w:val="000000"/>
        </w:rPr>
        <w:t xml:space="preserve">, a efecto de decretar su admisión o </w:t>
      </w:r>
      <w:proofErr w:type="spellStart"/>
      <w:r>
        <w:rPr>
          <w:rFonts w:ascii="Palatino Linotype" w:eastAsia="Palatino Linotype" w:hAnsi="Palatino Linotype" w:cs="Palatino Linotype"/>
          <w:color w:val="000000"/>
        </w:rPr>
        <w:t>desechamiento</w:t>
      </w:r>
      <w:proofErr w:type="spellEnd"/>
      <w:r>
        <w:rPr>
          <w:rFonts w:ascii="Palatino Linotype" w:eastAsia="Palatino Linotype" w:hAnsi="Palatino Linotype" w:cs="Palatino Linotype"/>
          <w:color w:val="000000"/>
        </w:rPr>
        <w:t>.</w:t>
      </w:r>
    </w:p>
    <w:p w:rsidR="00DD4811" w:rsidRDefault="00DD4811">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8"/>
          <w:szCs w:val="28"/>
        </w:rPr>
      </w:pPr>
    </w:p>
    <w:p w:rsidR="00DD4811" w:rsidRDefault="00605A31">
      <w:pPr>
        <w:pBdr>
          <w:top w:val="nil"/>
          <w:left w:val="nil"/>
          <w:bottom w:val="nil"/>
          <w:right w:val="nil"/>
          <w:between w:val="nil"/>
        </w:pBdr>
        <w:tabs>
          <w:tab w:val="center" w:pos="4252"/>
          <w:tab w:val="right" w:pos="8504"/>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 xml:space="preserve">V. </w:t>
      </w:r>
      <w:r>
        <w:rPr>
          <w:rFonts w:ascii="Palatino Linotype" w:eastAsia="Palatino Linotype" w:hAnsi="Palatino Linotype" w:cs="Palatino Linotype"/>
          <w:color w:val="000000"/>
        </w:rPr>
        <w:t>De las constancias del expediente electrónico del</w:t>
      </w:r>
      <w:r>
        <w:rPr>
          <w:rFonts w:ascii="Palatino Linotype" w:eastAsia="Palatino Linotype" w:hAnsi="Palatino Linotype" w:cs="Palatino Linotype"/>
          <w:b/>
          <w:color w:val="000000"/>
        </w:rPr>
        <w:t xml:space="preserve"> S</w:t>
      </w:r>
      <w:r>
        <w:rPr>
          <w:rFonts w:ascii="Palatino Linotype" w:eastAsia="Palatino Linotype" w:hAnsi="Palatino Linotype" w:cs="Palatino Linotype"/>
          <w:b/>
          <w:color w:val="000000"/>
        </w:rPr>
        <w:t>AIMEX</w:t>
      </w:r>
      <w:r>
        <w:rPr>
          <w:rFonts w:ascii="Palatino Linotype" w:eastAsia="Palatino Linotype" w:hAnsi="Palatino Linotype" w:cs="Palatino Linotype"/>
          <w:color w:val="000000"/>
        </w:rPr>
        <w:t xml:space="preserve">, se advierte que en fecha </w:t>
      </w:r>
      <w:r>
        <w:rPr>
          <w:rFonts w:ascii="Palatino Linotype" w:eastAsia="Palatino Linotype" w:hAnsi="Palatino Linotype" w:cs="Palatino Linotype"/>
          <w:b/>
          <w:color w:val="000000"/>
        </w:rPr>
        <w:t>siete de septiembre de dos mil veintiuno</w:t>
      </w:r>
      <w:r>
        <w:rPr>
          <w:rFonts w:ascii="Palatino Linotype" w:eastAsia="Palatino Linotype" w:hAnsi="Palatino Linotype" w:cs="Palatino Linotype"/>
          <w:color w:val="000000"/>
        </w:rPr>
        <w:t>, se acordó la admisión a trámite del recurso de revisión que nos ocupa, así como la integración del expediente respectivo, mismo que se puso a disposición de las partes, para que en u</w:t>
      </w:r>
      <w:r>
        <w:rPr>
          <w:rFonts w:ascii="Palatino Linotype" w:eastAsia="Palatino Linotype" w:hAnsi="Palatino Linotype" w:cs="Palatino Linotype"/>
          <w:color w:val="000000"/>
        </w:rPr>
        <w:t>n plazo máximo de siete días hábiles conforme a lo dispuesto por el artículo 185 de la Ley de Transparencia y Acceso a la Información Pública del Estado de México y Municipios, manifestaran lo que a su derecho conviniera, a efecto de presentar pruebas y al</w:t>
      </w:r>
      <w:r>
        <w:rPr>
          <w:rFonts w:ascii="Palatino Linotype" w:eastAsia="Palatino Linotype" w:hAnsi="Palatino Linotype" w:cs="Palatino Linotype"/>
          <w:color w:val="000000"/>
        </w:rPr>
        <w:t xml:space="preserve">egatos; así como para que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rindiera su</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Informe Justificado.</w:t>
      </w:r>
    </w:p>
    <w:p w:rsidR="00DD4811" w:rsidRDefault="00DD4811">
      <w:pPr>
        <w:spacing w:line="360" w:lineRule="auto"/>
        <w:jc w:val="both"/>
        <w:rPr>
          <w:rFonts w:ascii="Palatino Linotype" w:eastAsia="Palatino Linotype" w:hAnsi="Palatino Linotype" w:cs="Palatino Linotype"/>
          <w:color w:val="000000"/>
        </w:rPr>
      </w:pPr>
    </w:p>
    <w:p w:rsidR="00DD4811" w:rsidRDefault="00605A3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 xml:space="preserve">VI. </w:t>
      </w:r>
      <w:r>
        <w:rPr>
          <w:rFonts w:ascii="Palatino Linotype" w:eastAsia="Palatino Linotype" w:hAnsi="Palatino Linotype" w:cs="Palatino Linotype"/>
        </w:rPr>
        <w:t>En cumplimiento a lo anterior, de las constancias del expediente electrónico del</w:t>
      </w:r>
      <w:r>
        <w:rPr>
          <w:rFonts w:ascii="Palatino Linotype" w:eastAsia="Palatino Linotype" w:hAnsi="Palatino Linotype" w:cs="Palatino Linotype"/>
          <w:b/>
        </w:rPr>
        <w:t xml:space="preserve"> SAIMEX</w:t>
      </w:r>
      <w:r>
        <w:rPr>
          <w:rFonts w:ascii="Palatino Linotype" w:eastAsia="Palatino Linotype" w:hAnsi="Palatino Linotype" w:cs="Palatino Linotype"/>
        </w:rPr>
        <w:t xml:space="preserve">, se advierte que el quince de septiembre de dos mil veinte,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envió el Informe Justificado, como se desprende a continuación: </w:t>
      </w:r>
    </w:p>
    <w:p w:rsidR="00DD4811" w:rsidRDefault="00605A3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5791835" cy="2378710"/>
            <wp:effectExtent l="0" t="0" r="0" b="0"/>
            <wp:docPr id="5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791835" cy="2378710"/>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simplePos x="0" y="0"/>
                <wp:positionH relativeFrom="column">
                  <wp:posOffset>139700</wp:posOffset>
                </wp:positionH>
                <wp:positionV relativeFrom="paragraph">
                  <wp:posOffset>965200</wp:posOffset>
                </wp:positionV>
                <wp:extent cx="5545455" cy="757918"/>
                <wp:effectExtent l="0" t="0" r="0" b="0"/>
                <wp:wrapNone/>
                <wp:docPr id="52" name="Rectángulo redondeado 52"/>
                <wp:cNvGraphicFramePr/>
                <a:graphic xmlns:a="http://schemas.openxmlformats.org/drawingml/2006/main">
                  <a:graphicData uri="http://schemas.microsoft.com/office/word/2010/wordprocessingShape">
                    <wps:wsp>
                      <wps:cNvSpPr/>
                      <wps:spPr>
                        <a:xfrm>
                          <a:off x="2587560" y="3415329"/>
                          <a:ext cx="5516880" cy="729343"/>
                        </a:xfrm>
                        <a:prstGeom prst="roundRect">
                          <a:avLst>
                            <a:gd name="adj" fmla="val 4604"/>
                          </a:avLst>
                        </a:prstGeom>
                        <a:noFill/>
                        <a:ln w="28575" cap="flat" cmpd="sng">
                          <a:solidFill>
                            <a:srgbClr val="FF0000"/>
                          </a:solidFill>
                          <a:prstDash val="solid"/>
                          <a:round/>
                          <a:headEnd type="none" w="sm" len="sm"/>
                          <a:tailEnd type="none" w="sm" len="sm"/>
                        </a:ln>
                        <a:effectLst>
                          <a:outerShdw blurRad="40000" dist="23000" dir="5400000" rotWithShape="0">
                            <a:srgbClr val="000000">
                              <a:alpha val="34901"/>
                            </a:srgbClr>
                          </a:outerShdw>
                        </a:effectLst>
                      </wps:spPr>
                      <wps:txbx>
                        <w:txbxContent>
                          <w:p w:rsidR="00DD4811" w:rsidRDefault="00DD4811">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139700</wp:posOffset>
                </wp:positionH>
                <wp:positionV relativeFrom="paragraph">
                  <wp:posOffset>965200</wp:posOffset>
                </wp:positionV>
                <wp:extent cx="5545455" cy="757918"/>
                <wp:effectExtent b="0" l="0" r="0" t="0"/>
                <wp:wrapNone/>
                <wp:docPr id="52"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5545455" cy="757918"/>
                        </a:xfrm>
                        <a:prstGeom prst="rect"/>
                        <a:ln/>
                      </pic:spPr>
                    </pic:pic>
                  </a:graphicData>
                </a:graphic>
              </wp:anchor>
            </w:drawing>
          </mc:Fallback>
        </mc:AlternateContent>
      </w:r>
    </w:p>
    <w:p w:rsidR="00DD4811" w:rsidRDefault="00DD4811">
      <w:pPr>
        <w:spacing w:line="360" w:lineRule="auto"/>
        <w:jc w:val="both"/>
        <w:rPr>
          <w:rFonts w:ascii="Palatino Linotype" w:eastAsia="Palatino Linotype" w:hAnsi="Palatino Linotype" w:cs="Palatino Linotype"/>
        </w:rPr>
      </w:pPr>
    </w:p>
    <w:p w:rsidR="00DD4811" w:rsidRDefault="00605A3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Advirtiendo de dicho informe,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anexó el archivo electrónico denominado </w:t>
      </w:r>
      <w:hyperlink r:id="rId12">
        <w:r>
          <w:rPr>
            <w:rFonts w:ascii="Palatino Linotype" w:eastAsia="Palatino Linotype" w:hAnsi="Palatino Linotype" w:cs="Palatino Linotype"/>
            <w:b/>
          </w:rPr>
          <w:t>RR 04432.pdf</w:t>
        </w:r>
      </w:hyperlink>
      <w:r>
        <w:rPr>
          <w:rFonts w:ascii="Palatino Linotype" w:eastAsia="Palatino Linotype" w:hAnsi="Palatino Linotype" w:cs="Palatino Linotype"/>
        </w:rPr>
        <w:t>, mismo que no se inserta, en razón de que fueron puestos a disposición del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el día veintiuno de septiembre de dos mil veintiuno, por actualizar lo previsto en el artículo 185, fracción III de la Ley de la materia.</w:t>
      </w:r>
    </w:p>
    <w:p w:rsidR="00DD4811" w:rsidRDefault="00DD4811">
      <w:pPr>
        <w:spacing w:line="360" w:lineRule="auto"/>
        <w:jc w:val="both"/>
        <w:rPr>
          <w:rFonts w:ascii="Palatino Linotype" w:eastAsia="Palatino Linotype" w:hAnsi="Palatino Linotype" w:cs="Palatino Linotype"/>
        </w:rPr>
      </w:pPr>
    </w:p>
    <w:p w:rsidR="00DD4811" w:rsidRDefault="00605A31">
      <w:pPr>
        <w:tabs>
          <w:tab w:val="center" w:pos="4252"/>
          <w:tab w:val="right" w:pos="850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el p</w:t>
      </w:r>
      <w:r>
        <w:rPr>
          <w:rFonts w:ascii="Palatino Linotype" w:eastAsia="Palatino Linotype" w:hAnsi="Palatino Linotype" w:cs="Palatino Linotype"/>
        </w:rPr>
        <w:t xml:space="preserve">articular no realizó </w:t>
      </w:r>
      <w:proofErr w:type="spellStart"/>
      <w:r>
        <w:rPr>
          <w:rFonts w:ascii="Palatino Linotype" w:eastAsia="Palatino Linotype" w:hAnsi="Palatino Linotype" w:cs="Palatino Linotype"/>
        </w:rPr>
        <w:t>manifiestación</w:t>
      </w:r>
      <w:proofErr w:type="spellEnd"/>
      <w:r>
        <w:rPr>
          <w:rFonts w:ascii="Palatino Linotype" w:eastAsia="Palatino Linotype" w:hAnsi="Palatino Linotype" w:cs="Palatino Linotype"/>
        </w:rPr>
        <w:t xml:space="preserve"> alguna, ni presentó pruebas o alegatos.</w:t>
      </w:r>
    </w:p>
    <w:p w:rsidR="00DD4811" w:rsidRDefault="00DD4811">
      <w:pPr>
        <w:spacing w:line="360" w:lineRule="auto"/>
        <w:jc w:val="both"/>
        <w:rPr>
          <w:rFonts w:ascii="Palatino Linotype" w:eastAsia="Palatino Linotype" w:hAnsi="Palatino Linotype" w:cs="Palatino Linotype"/>
        </w:rPr>
      </w:pPr>
    </w:p>
    <w:p w:rsidR="00DD4811" w:rsidRDefault="00605A3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sz w:val="28"/>
          <w:szCs w:val="28"/>
        </w:rPr>
        <w:lastRenderedPageBreak/>
        <w:t xml:space="preserve">VII.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veintisiete de septiembre de dos mil veintiuno</w:t>
      </w:r>
      <w:r>
        <w:rPr>
          <w:rFonts w:ascii="Palatino Linotype" w:eastAsia="Palatino Linotype" w:hAnsi="Palatino Linotype" w:cs="Palatino Linotype"/>
        </w:rPr>
        <w:t>, se notificó a las partes el Acuerdo de Cierre de Instrucción.</w:t>
      </w:r>
    </w:p>
    <w:p w:rsidR="00DD4811" w:rsidRDefault="00DD4811">
      <w:pPr>
        <w:spacing w:line="360" w:lineRule="auto"/>
        <w:jc w:val="both"/>
        <w:rPr>
          <w:rFonts w:ascii="Palatino Linotype" w:eastAsia="Palatino Linotype" w:hAnsi="Palatino Linotype" w:cs="Palatino Linotype"/>
        </w:rPr>
      </w:pPr>
    </w:p>
    <w:p w:rsidR="00DD4811" w:rsidRDefault="00605A3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 xml:space="preserve">VIII. </w:t>
      </w:r>
      <w:r>
        <w:rPr>
          <w:rFonts w:ascii="Palatino Linotype" w:eastAsia="Palatino Linotype" w:hAnsi="Palatino Linotype" w:cs="Palatino Linotype"/>
        </w:rPr>
        <w:t xml:space="preserve">Con fundamento en el artículo 185, fracción VIII de la Ley de Transparencia y Acceso a la Información Pública del Estado de México y Municipios, se remitió el expediente a efecto de que la Comisionada </w:t>
      </w:r>
      <w:r>
        <w:rPr>
          <w:rFonts w:ascii="Palatino Linotype" w:eastAsia="Palatino Linotype" w:hAnsi="Palatino Linotype" w:cs="Palatino Linotype"/>
          <w:b/>
          <w:sz w:val="22"/>
          <w:szCs w:val="22"/>
        </w:rPr>
        <w:t xml:space="preserve">Sharon Cristina Morales Martínez </w:t>
      </w:r>
      <w:r>
        <w:rPr>
          <w:rFonts w:ascii="Palatino Linotype" w:eastAsia="Palatino Linotype" w:hAnsi="Palatino Linotype" w:cs="Palatino Linotype"/>
        </w:rPr>
        <w:t xml:space="preserve">formule y presente al </w:t>
      </w:r>
      <w:r>
        <w:rPr>
          <w:rFonts w:ascii="Palatino Linotype" w:eastAsia="Palatino Linotype" w:hAnsi="Palatino Linotype" w:cs="Palatino Linotype"/>
        </w:rPr>
        <w:t>Pleno el proyecto de resolución correspondiente</w:t>
      </w:r>
      <w:r>
        <w:rPr>
          <w:rFonts w:ascii="Palatino Linotype" w:eastAsia="Palatino Linotype" w:hAnsi="Palatino Linotype" w:cs="Palatino Linotype"/>
          <w:color w:val="000000"/>
        </w:rPr>
        <w:t>; y</w:t>
      </w:r>
    </w:p>
    <w:p w:rsidR="00DD4811" w:rsidRDefault="00DD4811">
      <w:pPr>
        <w:jc w:val="both"/>
        <w:rPr>
          <w:rFonts w:ascii="Palatino Linotype" w:eastAsia="Palatino Linotype" w:hAnsi="Palatino Linotype" w:cs="Palatino Linotype"/>
          <w:b/>
          <w:sz w:val="28"/>
          <w:szCs w:val="28"/>
        </w:rPr>
      </w:pPr>
    </w:p>
    <w:p w:rsidR="00DD4811" w:rsidRDefault="00605A31">
      <w:pPr>
        <w:jc w:val="center"/>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CONSIDERANDO</w:t>
      </w:r>
    </w:p>
    <w:p w:rsidR="00DD4811" w:rsidRDefault="00DD4811">
      <w:pPr>
        <w:jc w:val="center"/>
        <w:rPr>
          <w:rFonts w:ascii="Palatino Linotype" w:eastAsia="Palatino Linotype" w:hAnsi="Palatino Linotype" w:cs="Palatino Linotype"/>
          <w:b/>
          <w:color w:val="000000"/>
          <w:sz w:val="28"/>
          <w:szCs w:val="28"/>
        </w:rPr>
      </w:pPr>
    </w:p>
    <w:p w:rsidR="00DD4811" w:rsidRDefault="00605A31">
      <w:pPr>
        <w:spacing w:line="360" w:lineRule="auto"/>
        <w:ind w:right="5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PRIMERO</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Competencia</w:t>
      </w:r>
      <w:r>
        <w:rPr>
          <w:rFonts w:ascii="Palatino Linotype" w:eastAsia="Palatino Linotype" w:hAnsi="Palatino Linotype" w:cs="Palatino Linotype"/>
          <w:color w:val="000000"/>
        </w:rPr>
        <w:t>.</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los artículos 6, Apartado</w:t>
      </w:r>
      <w:r>
        <w:rPr>
          <w:rFonts w:ascii="Palatino Linotype" w:eastAsia="Palatino Linotype" w:hAnsi="Palatino Linotype" w:cs="Palatino Linotype"/>
          <w:color w:val="000000"/>
        </w:rPr>
        <w:t xml:space="preserve"> A de la Constitución Política de los Estados Unidos Mexicanos; 5, párrafos vigésimo noveno, trigésimo y trigésimo primero, fracciones IV y V de la Constitución Política del Estado Libre y Soberano de México; 2 fracción II, 13, 29, 36, fracciones I y II, 1</w:t>
      </w:r>
      <w:r>
        <w:rPr>
          <w:rFonts w:ascii="Palatino Linotype" w:eastAsia="Palatino Linotype" w:hAnsi="Palatino Linotype" w:cs="Palatino Linotype"/>
          <w:color w:val="000000"/>
        </w:rPr>
        <w:t xml:space="preserve">76, 178, 179, 181 párrafo tercero y 185 de la Ley de Transparencia y Acceso a la Información Pública del Estado de México y Municipios; y 9, fracciones I y XXIV y 11 del Reglamento Interior del Instituto de Transparencia, Acceso a la Información Pública y </w:t>
      </w:r>
      <w:r>
        <w:rPr>
          <w:rFonts w:ascii="Palatino Linotype" w:eastAsia="Palatino Linotype" w:hAnsi="Palatino Linotype" w:cs="Palatino Linotype"/>
          <w:color w:val="000000"/>
        </w:rPr>
        <w:t>Protección de Datos Personales del Estado de México y Municipios.</w:t>
      </w:r>
    </w:p>
    <w:p w:rsidR="00DD4811" w:rsidRDefault="00DD4811">
      <w:pPr>
        <w:spacing w:line="360" w:lineRule="auto"/>
        <w:ind w:right="50"/>
        <w:jc w:val="both"/>
        <w:rPr>
          <w:rFonts w:ascii="Palatino Linotype" w:eastAsia="Palatino Linotype" w:hAnsi="Palatino Linotype" w:cs="Palatino Linotype"/>
          <w:color w:val="000000"/>
        </w:rPr>
      </w:pPr>
    </w:p>
    <w:p w:rsidR="00DD4811" w:rsidRDefault="00605A31">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Aunado a lo anterior, este Órgano Garante estima pertinente realizar un pronunciamiento respecto de la situación que se vive en la actualidad a fin de otorgarle </w:t>
      </w:r>
      <w:r>
        <w:rPr>
          <w:rFonts w:ascii="Palatino Linotype" w:eastAsia="Palatino Linotype" w:hAnsi="Palatino Linotype" w:cs="Palatino Linotype"/>
          <w:color w:val="000000"/>
        </w:rPr>
        <w:lastRenderedPageBreak/>
        <w:t>a los ciudadanos herramienta</w:t>
      </w:r>
      <w:r>
        <w:rPr>
          <w:rFonts w:ascii="Palatino Linotype" w:eastAsia="Palatino Linotype" w:hAnsi="Palatino Linotype" w:cs="Palatino Linotype"/>
          <w:color w:val="000000"/>
        </w:rPr>
        <w:t xml:space="preserve">s ágiles y accesibles para el ejercicio de los derechos humanos que se tutelan, se considera que a pesar de las condiciones a las que nos enfrentamos, se cuentan con las herramientas técnicas y tecnológicas necesarias que eviten mermar el ejercicio de los </w:t>
      </w:r>
      <w:r>
        <w:rPr>
          <w:rFonts w:ascii="Palatino Linotype" w:eastAsia="Palatino Linotype" w:hAnsi="Palatino Linotype" w:cs="Palatino Linotype"/>
          <w:color w:val="000000"/>
        </w:rPr>
        <w:t>derechos correspondientes, sin que ello implique el poner en riesgo el diverso derecho a la salud de todos los partícipes en los procesos que conllevan.</w:t>
      </w:r>
    </w:p>
    <w:p w:rsidR="00DD4811" w:rsidRDefault="00DD4811">
      <w:pPr>
        <w:spacing w:line="360" w:lineRule="auto"/>
        <w:ind w:right="50"/>
        <w:jc w:val="both"/>
        <w:rPr>
          <w:rFonts w:ascii="Palatino Linotype" w:eastAsia="Palatino Linotype" w:hAnsi="Palatino Linotype" w:cs="Palatino Linotype"/>
          <w:color w:val="000000"/>
        </w:rPr>
      </w:pPr>
    </w:p>
    <w:p w:rsidR="00DD4811" w:rsidRDefault="00605A31">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8"/>
          <w:szCs w:val="28"/>
        </w:rPr>
        <w:t>SEGUNDO</w:t>
      </w:r>
      <w:r>
        <w:rPr>
          <w:rFonts w:ascii="Palatino Linotype" w:eastAsia="Palatino Linotype" w:hAnsi="Palatino Linotype" w:cs="Palatino Linotype"/>
          <w:b/>
          <w:color w:val="000000"/>
        </w:rPr>
        <w:t xml:space="preserve">. Interés. </w:t>
      </w:r>
      <w:r>
        <w:rPr>
          <w:rFonts w:ascii="Palatino Linotype" w:eastAsia="Palatino Linotype" w:hAnsi="Palatino Linotype" w:cs="Palatino Linotype"/>
          <w:color w:val="000000"/>
        </w:rPr>
        <w:t>El recurso de revisión fue interpuesto por parte legítima, en atención a que se pres</w:t>
      </w:r>
      <w:r>
        <w:rPr>
          <w:rFonts w:ascii="Palatino Linotype" w:eastAsia="Palatino Linotype" w:hAnsi="Palatino Linotype" w:cs="Palatino Linotype"/>
          <w:color w:val="000000"/>
        </w:rPr>
        <w:t xml:space="preserve">entó por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quien es la misma persona que formuló la solicitud de acceso a la información pública al </w:t>
      </w:r>
      <w:r>
        <w:rPr>
          <w:rFonts w:ascii="Palatino Linotype" w:eastAsia="Palatino Linotype" w:hAnsi="Palatino Linotype" w:cs="Palatino Linotype"/>
          <w:b/>
          <w:color w:val="000000"/>
        </w:rPr>
        <w:t>SUJETO OBLIGADO.</w:t>
      </w:r>
    </w:p>
    <w:p w:rsidR="00DD4811" w:rsidRDefault="00DD4811">
      <w:pPr>
        <w:spacing w:line="360" w:lineRule="auto"/>
        <w:jc w:val="both"/>
        <w:rPr>
          <w:rFonts w:ascii="Palatino Linotype" w:eastAsia="Palatino Linotype" w:hAnsi="Palatino Linotype" w:cs="Palatino Linotype"/>
          <w:b/>
          <w:color w:val="000000"/>
        </w:rPr>
      </w:pPr>
    </w:p>
    <w:p w:rsidR="00DD4811" w:rsidRDefault="00605A31">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 xml:space="preserve">TERCERO. </w:t>
      </w:r>
      <w:r>
        <w:rPr>
          <w:rFonts w:ascii="Palatino Linotype" w:eastAsia="Palatino Linotype" w:hAnsi="Palatino Linotype" w:cs="Palatino Linotype"/>
          <w:b/>
          <w:color w:val="000000"/>
        </w:rPr>
        <w:t xml:space="preserve">Oportunidad. </w:t>
      </w:r>
      <w:r>
        <w:rPr>
          <w:rFonts w:ascii="Palatino Linotype" w:eastAsia="Palatino Linotype" w:hAnsi="Palatino Linotype" w:cs="Palatino Linotype"/>
          <w:color w:val="000000"/>
        </w:rPr>
        <w:t xml:space="preserve">El recurso de revisión fue interpuesto dentro del plazo de quince días hábiles contados a partir del día siguiente al en que </w:t>
      </w:r>
      <w:r>
        <w:rPr>
          <w:rFonts w:ascii="Palatino Linotype" w:eastAsia="Palatino Linotype" w:hAnsi="Palatino Linotype" w:cs="Palatino Linotype"/>
          <w:b/>
          <w:color w:val="000000"/>
        </w:rPr>
        <w:t xml:space="preserve">EL RECURRENTE </w:t>
      </w:r>
      <w:r>
        <w:rPr>
          <w:rFonts w:ascii="Palatino Linotype" w:eastAsia="Palatino Linotype" w:hAnsi="Palatino Linotype" w:cs="Palatino Linotype"/>
          <w:color w:val="000000"/>
        </w:rPr>
        <w:t xml:space="preserve">tuvo conocimiento de la respuesta impugnada, tal y como lo prevé el artículo 178 de la Ley de Transparencia y Acceso </w:t>
      </w:r>
      <w:r>
        <w:rPr>
          <w:rFonts w:ascii="Palatino Linotype" w:eastAsia="Palatino Linotype" w:hAnsi="Palatino Linotype" w:cs="Palatino Linotype"/>
          <w:color w:val="000000"/>
        </w:rPr>
        <w:t xml:space="preserve">a la Información Pública del Estado de México y Municipios, que establece: </w:t>
      </w:r>
    </w:p>
    <w:p w:rsidR="00DD4811" w:rsidRDefault="00DD4811">
      <w:pPr>
        <w:ind w:left="851" w:right="902"/>
        <w:jc w:val="both"/>
        <w:rPr>
          <w:rFonts w:ascii="Palatino Linotype" w:eastAsia="Palatino Linotype" w:hAnsi="Palatino Linotype" w:cs="Palatino Linotype"/>
          <w:color w:val="000000"/>
        </w:rPr>
      </w:pPr>
    </w:p>
    <w:p w:rsidR="00DD4811" w:rsidRDefault="00605A31">
      <w:pPr>
        <w:tabs>
          <w:tab w:val="left" w:pos="851"/>
        </w:tabs>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178.</w:t>
      </w:r>
      <w:r>
        <w:rPr>
          <w:rFonts w:ascii="Palatino Linotype" w:eastAsia="Palatino Linotype" w:hAnsi="Palatino Linotype" w:cs="Palatino Linotype"/>
          <w:i/>
          <w:color w:val="000000"/>
          <w:sz w:val="22"/>
          <w:szCs w:val="22"/>
        </w:rPr>
        <w:t xml:space="preserve"> El solicitante podrá interponer, por sí mismo o a través de su representante, de manera directa o por medios electrónicos, recurso de revisión ante el Instituto o a</w:t>
      </w:r>
      <w:r>
        <w:rPr>
          <w:rFonts w:ascii="Palatino Linotype" w:eastAsia="Palatino Linotype" w:hAnsi="Palatino Linotype" w:cs="Palatino Linotype"/>
          <w:i/>
          <w:color w:val="000000"/>
          <w:sz w:val="22"/>
          <w:szCs w:val="22"/>
        </w:rPr>
        <w:t>nte la Unidad de Transparencia que haya conocido de la solicitud dentro de los quince días hábiles, siguientes a la fecha de la notificación de la respuesta.</w:t>
      </w:r>
    </w:p>
    <w:p w:rsidR="00DD4811" w:rsidRDefault="00605A31">
      <w:pPr>
        <w:tabs>
          <w:tab w:val="left" w:pos="851"/>
        </w:tabs>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 falta de respuesta del sujeto obligado, dentro de los plazos establecidos en esta Ley, a una sol</w:t>
      </w:r>
      <w:r>
        <w:rPr>
          <w:rFonts w:ascii="Palatino Linotype" w:eastAsia="Palatino Linotype" w:hAnsi="Palatino Linotype" w:cs="Palatino Linotype"/>
          <w:i/>
          <w:color w:val="000000"/>
          <w:sz w:val="22"/>
          <w:szCs w:val="22"/>
        </w:rPr>
        <w:t>icitud de acceso a la información pública, el recurso podrá ser interpuesto en cualquier momento, acompañado con el documento que pruebe la fecha en que presentó la solicitud.</w:t>
      </w:r>
    </w:p>
    <w:p w:rsidR="00DD4811" w:rsidRDefault="00605A31">
      <w:pPr>
        <w:tabs>
          <w:tab w:val="left" w:pos="851"/>
        </w:tabs>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el caso de que se interponga ante la Unidad de Transparencia, ésta deberá rem</w:t>
      </w:r>
      <w:r>
        <w:rPr>
          <w:rFonts w:ascii="Palatino Linotype" w:eastAsia="Palatino Linotype" w:hAnsi="Palatino Linotype" w:cs="Palatino Linotype"/>
          <w:i/>
          <w:color w:val="000000"/>
          <w:sz w:val="22"/>
          <w:szCs w:val="22"/>
        </w:rPr>
        <w:t>itir el recurso de revisión al Instituto a más tardar al día siguiente de haberlo recibido.</w:t>
      </w:r>
      <w:r>
        <w:rPr>
          <w:rFonts w:ascii="Palatino Linotype" w:eastAsia="Palatino Linotype" w:hAnsi="Palatino Linotype" w:cs="Palatino Linotype"/>
          <w:b/>
          <w:i/>
          <w:color w:val="000000"/>
          <w:sz w:val="22"/>
          <w:szCs w:val="22"/>
        </w:rPr>
        <w:t>”</w:t>
      </w:r>
    </w:p>
    <w:p w:rsidR="00DD4811" w:rsidRDefault="00DD4811">
      <w:pPr>
        <w:ind w:left="851" w:right="902"/>
        <w:jc w:val="both"/>
        <w:rPr>
          <w:rFonts w:ascii="Palatino Linotype" w:eastAsia="Palatino Linotype" w:hAnsi="Palatino Linotype" w:cs="Palatino Linotype"/>
          <w:color w:val="000000"/>
        </w:rPr>
      </w:pPr>
    </w:p>
    <w:p w:rsidR="00DD4811" w:rsidRDefault="00605A3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En efecto, atendiendo a que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notificó la respuesta a la solicitud de información pública el </w:t>
      </w:r>
      <w:r>
        <w:rPr>
          <w:rFonts w:ascii="Palatino Linotype" w:eastAsia="Palatino Linotype" w:hAnsi="Palatino Linotype" w:cs="Palatino Linotype"/>
          <w:b/>
          <w:color w:val="000000"/>
        </w:rPr>
        <w:t xml:space="preserve">veintiséis de agosto de dos mil veintiuno, </w:t>
      </w:r>
      <w:r>
        <w:rPr>
          <w:rFonts w:ascii="Palatino Linotype" w:eastAsia="Palatino Linotype" w:hAnsi="Palatino Linotype" w:cs="Palatino Linotype"/>
          <w:color w:val="000000"/>
        </w:rPr>
        <w:t>en consec</w:t>
      </w:r>
      <w:r>
        <w:rPr>
          <w:rFonts w:ascii="Palatino Linotype" w:eastAsia="Palatino Linotype" w:hAnsi="Palatino Linotype" w:cs="Palatino Linotype"/>
          <w:color w:val="000000"/>
        </w:rPr>
        <w:t xml:space="preserve">uencia, el plazo de quince días hábiles que el artículo 178 de la ley de la materia otorga al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para presentar el recurso de revisión, transcurrió del</w:t>
      </w:r>
      <w:r>
        <w:rPr>
          <w:rFonts w:ascii="Palatino Linotype" w:eastAsia="Palatino Linotype" w:hAnsi="Palatino Linotype" w:cs="Palatino Linotype"/>
          <w:b/>
          <w:color w:val="000000"/>
        </w:rPr>
        <w:t xml:space="preserve"> veintisiete de agosto al diecisiete de septiembre de dos mil veintiuno</w:t>
      </w:r>
      <w:r>
        <w:rPr>
          <w:rFonts w:ascii="Palatino Linotype" w:eastAsia="Palatino Linotype" w:hAnsi="Palatino Linotype" w:cs="Palatino Linotype"/>
          <w:color w:val="000000"/>
        </w:rPr>
        <w:t>, sin contemplar en el cóm</w:t>
      </w:r>
      <w:r>
        <w:rPr>
          <w:rFonts w:ascii="Palatino Linotype" w:eastAsia="Palatino Linotype" w:hAnsi="Palatino Linotype" w:cs="Palatino Linotype"/>
          <w:color w:val="000000"/>
        </w:rPr>
        <w:t>puto los días veintiocho y veintinueve de agosto; así como, cuatro, cinco, once y doce de septiembre de dos mil veintiuno, por corresponder a sábados y domingos, considerados como días inhábiles, en términos del artículo 3, fracción X de la Ley de Transpar</w:t>
      </w:r>
      <w:r>
        <w:rPr>
          <w:rFonts w:ascii="Palatino Linotype" w:eastAsia="Palatino Linotype" w:hAnsi="Palatino Linotype" w:cs="Palatino Linotype"/>
          <w:color w:val="000000"/>
        </w:rPr>
        <w:t>encia y Acceso a la Información Pública del Estado de México y Municipios</w:t>
      </w:r>
      <w:r>
        <w:rPr>
          <w:rFonts w:ascii="Palatino Linotype" w:eastAsia="Palatino Linotype" w:hAnsi="Palatino Linotype" w:cs="Palatino Linotype"/>
        </w:rPr>
        <w:t xml:space="preserve">; así como, dieciséis de septiembre </w:t>
      </w:r>
      <w:r>
        <w:rPr>
          <w:rFonts w:ascii="Palatino Linotype" w:eastAsia="Palatino Linotype" w:hAnsi="Palatino Linotype" w:cs="Palatino Linotype"/>
          <w:color w:val="000000"/>
        </w:rPr>
        <w:t xml:space="preserve">de dos mil veintiuno, por ser considerado como días inhábiles por suspensión de labores, </w:t>
      </w:r>
      <w:r>
        <w:rPr>
          <w:rFonts w:ascii="Palatino Linotype" w:eastAsia="Palatino Linotype" w:hAnsi="Palatino Linotype" w:cs="Palatino Linotype"/>
        </w:rPr>
        <w:t>en términos del Calendario Oficial en Materia de Transparencia, Acceso a la Información Pública y Protección de Datos Personales del Estado de México y Municipios; así como de labores del Instituto para el año dos mil veintiuno y enero de dos mil veintidós</w:t>
      </w:r>
      <w:r>
        <w:rPr>
          <w:rFonts w:ascii="Palatino Linotype" w:eastAsia="Palatino Linotype" w:hAnsi="Palatino Linotype" w:cs="Palatino Linotype"/>
        </w:rPr>
        <w:t>, publicado en el Periódico Oficial “Gaceta del Gobierno”, el ocho de enero de dos mil veintiuno.</w:t>
      </w:r>
    </w:p>
    <w:p w:rsidR="00DD4811" w:rsidRDefault="00DD4811">
      <w:pPr>
        <w:spacing w:line="360" w:lineRule="auto"/>
        <w:jc w:val="both"/>
        <w:rPr>
          <w:rFonts w:ascii="Palatino Linotype" w:eastAsia="Palatino Linotype" w:hAnsi="Palatino Linotype" w:cs="Palatino Linotype"/>
        </w:rPr>
      </w:pPr>
    </w:p>
    <w:p w:rsidR="00DD4811" w:rsidRDefault="00605A3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tenor, si el recurso de revisión que nos ocupa, se tuvo por interpuso el</w:t>
      </w:r>
      <w:r>
        <w:rPr>
          <w:rFonts w:ascii="Palatino Linotype" w:eastAsia="Palatino Linotype" w:hAnsi="Palatino Linotype" w:cs="Palatino Linotype"/>
          <w:b/>
          <w:color w:val="000000"/>
        </w:rPr>
        <w:t xml:space="preserve"> dos de septiembre de dos mil veintiuno,</w:t>
      </w:r>
      <w:r>
        <w:rPr>
          <w:rFonts w:ascii="Palatino Linotype" w:eastAsia="Palatino Linotype" w:hAnsi="Palatino Linotype" w:cs="Palatino Linotype"/>
          <w:color w:val="000000"/>
        </w:rPr>
        <w:t xml:space="preserve"> éste se encuentra dentro de los márge</w:t>
      </w:r>
      <w:r>
        <w:rPr>
          <w:rFonts w:ascii="Palatino Linotype" w:eastAsia="Palatino Linotype" w:hAnsi="Palatino Linotype" w:cs="Palatino Linotype"/>
          <w:color w:val="000000"/>
        </w:rPr>
        <w:t>nes temporales previstos en el citado precepto legal y, por tanto, se considera oportuno.</w:t>
      </w:r>
    </w:p>
    <w:p w:rsidR="00DD4811" w:rsidRDefault="00DD4811">
      <w:pPr>
        <w:spacing w:line="360" w:lineRule="auto"/>
        <w:jc w:val="both"/>
        <w:rPr>
          <w:rFonts w:ascii="Palatino Linotype" w:eastAsia="Palatino Linotype" w:hAnsi="Palatino Linotype" w:cs="Palatino Linotype"/>
          <w:color w:val="000000"/>
        </w:rPr>
      </w:pPr>
    </w:p>
    <w:p w:rsidR="00DD4811" w:rsidRDefault="00605A31">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CUARTO.</w:t>
      </w:r>
      <w:r>
        <w:rPr>
          <w:rFonts w:ascii="Palatino Linotype" w:eastAsia="Palatino Linotype" w:hAnsi="Palatino Linotype" w:cs="Palatino Linotype"/>
          <w:b/>
        </w:rPr>
        <w:t xml:space="preserve">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w:t>
      </w:r>
      <w:r>
        <w:rPr>
          <w:rFonts w:ascii="Palatino Linotype" w:eastAsia="Palatino Linotype" w:hAnsi="Palatino Linotype" w:cs="Palatino Linotype"/>
        </w:rPr>
        <w:t>Del análisis efectuado se advierte que resulta procedente la interposición de los recursos y se concluye la acreditación plena de todos y cad</w:t>
      </w:r>
      <w:r>
        <w:rPr>
          <w:rFonts w:ascii="Palatino Linotype" w:eastAsia="Palatino Linotype" w:hAnsi="Palatino Linotype" w:cs="Palatino Linotype"/>
        </w:rPr>
        <w:t xml:space="preserve">a uno de los elementos formales exigidos por el artículo 180 de la Ley de Transparencia y </w:t>
      </w:r>
      <w:r>
        <w:rPr>
          <w:rFonts w:ascii="Palatino Linotype" w:eastAsia="Palatino Linotype" w:hAnsi="Palatino Linotype" w:cs="Palatino Linotype"/>
        </w:rPr>
        <w:lastRenderedPageBreak/>
        <w:t xml:space="preserve">Acceso a la Información Pública del Estado de México y Municipios, en atención a que fueron presentados mediante el formato visible en </w:t>
      </w:r>
      <w:r>
        <w:rPr>
          <w:rFonts w:ascii="Palatino Linotype" w:eastAsia="Palatino Linotype" w:hAnsi="Palatino Linotype" w:cs="Palatino Linotype"/>
          <w:b/>
        </w:rPr>
        <w:t>EL SAIMEX.</w:t>
      </w:r>
    </w:p>
    <w:p w:rsidR="00DD4811" w:rsidRDefault="00DD4811">
      <w:pPr>
        <w:spacing w:line="360" w:lineRule="auto"/>
        <w:jc w:val="both"/>
        <w:rPr>
          <w:rFonts w:ascii="Palatino Linotype" w:eastAsia="Palatino Linotype" w:hAnsi="Palatino Linotype" w:cs="Palatino Linotype"/>
          <w:b/>
          <w:color w:val="000000"/>
          <w:sz w:val="28"/>
          <w:szCs w:val="28"/>
        </w:rPr>
      </w:pPr>
    </w:p>
    <w:p w:rsidR="00DD4811" w:rsidRDefault="00605A3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QUINTO</w:t>
      </w:r>
      <w:r>
        <w:rPr>
          <w:rFonts w:ascii="Palatino Linotype" w:eastAsia="Palatino Linotype" w:hAnsi="Palatino Linotype" w:cs="Palatino Linotype"/>
          <w:b/>
          <w:color w:val="000000"/>
        </w:rPr>
        <w:t>. Estudio y r</w:t>
      </w:r>
      <w:r>
        <w:rPr>
          <w:rFonts w:ascii="Palatino Linotype" w:eastAsia="Palatino Linotype" w:hAnsi="Palatino Linotype" w:cs="Palatino Linotype"/>
          <w:b/>
          <w:color w:val="000000"/>
        </w:rPr>
        <w:t xml:space="preserve">esolución del asunto. </w:t>
      </w:r>
      <w:r>
        <w:rPr>
          <w:rFonts w:ascii="Palatino Linotype" w:eastAsia="Palatino Linotype" w:hAnsi="Palatino Linotype" w:cs="Palatino Linotype"/>
          <w:color w:val="000000"/>
        </w:rPr>
        <w:t xml:space="preserve">Una vez determinada la vía sobre la que versará el presente recurso, y previa revisión del expediente electrónico formado en </w:t>
      </w:r>
      <w:r>
        <w:rPr>
          <w:rFonts w:ascii="Palatino Linotype" w:eastAsia="Palatino Linotype" w:hAnsi="Palatino Linotype" w:cs="Palatino Linotype"/>
          <w:b/>
          <w:color w:val="000000"/>
        </w:rPr>
        <w:t>EL SAIMEX</w:t>
      </w:r>
      <w:r>
        <w:rPr>
          <w:rFonts w:ascii="Palatino Linotype" w:eastAsia="Palatino Linotype" w:hAnsi="Palatino Linotype" w:cs="Palatino Linotype"/>
          <w:color w:val="000000"/>
        </w:rPr>
        <w:t xml:space="preserve"> con motivo de la solicitud de información y del recurso a que da origen, es de señalar que el análi</w:t>
      </w:r>
      <w:r>
        <w:rPr>
          <w:rFonts w:ascii="Palatino Linotype" w:eastAsia="Palatino Linotype" w:hAnsi="Palatino Linotype" w:cs="Palatino Linotype"/>
          <w:color w:val="000000"/>
        </w:rPr>
        <w:t xml:space="preserve">sis del presente, se basará en el contenido íntegro de las actuaciones que obran en el expediente electrónico, para así estar en posibilidad esta Ponencia </w:t>
      </w:r>
      <w:proofErr w:type="spellStart"/>
      <w:r>
        <w:rPr>
          <w:rFonts w:ascii="Palatino Linotype" w:eastAsia="Palatino Linotype" w:hAnsi="Palatino Linotype" w:cs="Palatino Linotype"/>
          <w:color w:val="000000"/>
        </w:rPr>
        <w:t>Resolutora</w:t>
      </w:r>
      <w:proofErr w:type="spellEnd"/>
      <w:r>
        <w:rPr>
          <w:rFonts w:ascii="Palatino Linotype" w:eastAsia="Palatino Linotype" w:hAnsi="Palatino Linotype" w:cs="Palatino Linotype"/>
          <w:color w:val="000000"/>
        </w:rPr>
        <w:t xml:space="preserve"> de dictar el fallo correspondiente conforme a derecho, tomando en consideración los elemen</w:t>
      </w:r>
      <w:r>
        <w:rPr>
          <w:rFonts w:ascii="Palatino Linotype" w:eastAsia="Palatino Linotype" w:hAnsi="Palatino Linotype" w:cs="Palatino Linotype"/>
          <w:color w:val="000000"/>
        </w:rPr>
        <w:t xml:space="preserve">tos aportados por las partes y respetando en todo momento al principio de máxima publicidad consagrado en la </w:t>
      </w:r>
      <w:r>
        <w:rPr>
          <w:rFonts w:ascii="Palatino Linotype" w:eastAsia="Palatino Linotype" w:hAnsi="Palatino Linotype" w:cs="Palatino Linotype"/>
        </w:rPr>
        <w:t>Constitución Política de los Estados Unidos Mexicanos, Constitución Política del Estado Libre y Soberano de México</w:t>
      </w:r>
      <w:r>
        <w:rPr>
          <w:rFonts w:ascii="Palatino Linotype" w:eastAsia="Palatino Linotype" w:hAnsi="Palatino Linotype" w:cs="Palatino Linotype"/>
          <w:color w:val="000000"/>
        </w:rPr>
        <w:t xml:space="preserve"> y demás leyes aplicables en la m</w:t>
      </w:r>
      <w:r>
        <w:rPr>
          <w:rFonts w:ascii="Palatino Linotype" w:eastAsia="Palatino Linotype" w:hAnsi="Palatino Linotype" w:cs="Palatino Linotype"/>
          <w:color w:val="000000"/>
        </w:rPr>
        <w:t xml:space="preserve">ateria; así como, en los Tratados Internacionales en los que el Estado Mexicano sea parte, en concordancia con el párrafo tercero del artículo 1 de la </w:t>
      </w:r>
      <w:r>
        <w:rPr>
          <w:rFonts w:ascii="Palatino Linotype" w:eastAsia="Palatino Linotype" w:hAnsi="Palatino Linotype" w:cs="Palatino Linotype"/>
        </w:rPr>
        <w:t>Constitución Política de los Estados Unidos Mexicanos</w:t>
      </w:r>
      <w:r>
        <w:rPr>
          <w:rFonts w:ascii="Palatino Linotype" w:eastAsia="Palatino Linotype" w:hAnsi="Palatino Linotype" w:cs="Palatino Linotype"/>
          <w:color w:val="000000"/>
        </w:rPr>
        <w:t xml:space="preserve"> y los numerales 8 y 9 de la </w:t>
      </w:r>
      <w:r>
        <w:rPr>
          <w:rFonts w:ascii="Palatino Linotype" w:eastAsia="Palatino Linotype" w:hAnsi="Palatino Linotype" w:cs="Palatino Linotype"/>
        </w:rPr>
        <w:t xml:space="preserve">Ley de Transparencia y </w:t>
      </w:r>
      <w:r>
        <w:rPr>
          <w:rFonts w:ascii="Palatino Linotype" w:eastAsia="Palatino Linotype" w:hAnsi="Palatino Linotype" w:cs="Palatino Linotype"/>
        </w:rPr>
        <w:t>Acceso a la Información Pública del Estado de México y Municipios.</w:t>
      </w:r>
    </w:p>
    <w:p w:rsidR="00DD4811" w:rsidRDefault="00DD4811">
      <w:pPr>
        <w:spacing w:line="360" w:lineRule="auto"/>
        <w:jc w:val="both"/>
        <w:rPr>
          <w:rFonts w:ascii="Palatino Linotype" w:eastAsia="Palatino Linotype" w:hAnsi="Palatino Linotype" w:cs="Palatino Linotype"/>
          <w:color w:val="000000"/>
        </w:rPr>
      </w:pPr>
    </w:p>
    <w:p w:rsidR="00DD4811" w:rsidRDefault="00605A31">
      <w:pP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Primeramente, se precisa que se obvia el análisis de la competencia por parte del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para generar, administrar o poseer la información solicitada, dado que éste ha asumido la misma, en razón de que en su respuesta admitió contar con dicha información.</w:t>
      </w:r>
    </w:p>
    <w:p w:rsidR="00DD4811" w:rsidRDefault="00DD4811">
      <w:pPr>
        <w:spacing w:line="360" w:lineRule="auto"/>
        <w:jc w:val="both"/>
        <w:rPr>
          <w:rFonts w:ascii="Palatino Linotype" w:eastAsia="Palatino Linotype" w:hAnsi="Palatino Linotype" w:cs="Palatino Linotype"/>
          <w:color w:val="222222"/>
        </w:rPr>
      </w:pPr>
    </w:p>
    <w:p w:rsidR="00DD4811" w:rsidRDefault="00605A31">
      <w:pP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lastRenderedPageBreak/>
        <w:t xml:space="preserve">En efecto, el hecho de que </w:t>
      </w:r>
      <w:r>
        <w:rPr>
          <w:rFonts w:ascii="Palatino Linotype" w:eastAsia="Palatino Linotype" w:hAnsi="Palatino Linotype" w:cs="Palatino Linotype"/>
          <w:b/>
          <w:color w:val="222222"/>
        </w:rPr>
        <w:t>EL SUJETO OBLIGADO</w:t>
      </w:r>
      <w:r>
        <w:rPr>
          <w:rFonts w:ascii="Palatino Linotype" w:eastAsia="Palatino Linotype" w:hAnsi="Palatino Linotype" w:cs="Palatino Linotype"/>
          <w:color w:val="222222"/>
        </w:rPr>
        <w:t xml:space="preserve"> haya asumido contar con la información p</w:t>
      </w:r>
      <w:r>
        <w:rPr>
          <w:rFonts w:ascii="Palatino Linotype" w:eastAsia="Palatino Linotype" w:hAnsi="Palatino Linotype" w:cs="Palatino Linotype"/>
          <w:color w:val="222222"/>
        </w:rPr>
        <w:t>ública solicitada, acepta que la genera, posee y administra, en ejercicio de sus funciones de derecho público, motivo por el cual se actualiza el supuesto jurídico, previsto en el artículo 12 de la Ley de Transparencia y Acceso a la Información Pública del</w:t>
      </w:r>
      <w:r>
        <w:rPr>
          <w:rFonts w:ascii="Palatino Linotype" w:eastAsia="Palatino Linotype" w:hAnsi="Palatino Linotype" w:cs="Palatino Linotype"/>
          <w:color w:val="222222"/>
        </w:rPr>
        <w:t xml:space="preserve"> Estado de México y Municipios.</w:t>
      </w:r>
    </w:p>
    <w:p w:rsidR="00DD4811" w:rsidRDefault="00DD4811">
      <w:pPr>
        <w:jc w:val="both"/>
        <w:rPr>
          <w:rFonts w:ascii="Palatino Linotype" w:eastAsia="Palatino Linotype" w:hAnsi="Palatino Linotype" w:cs="Palatino Linotype"/>
          <w:color w:val="222222"/>
        </w:rPr>
      </w:pPr>
    </w:p>
    <w:p w:rsidR="00DD4811" w:rsidRDefault="00605A31">
      <w:pPr>
        <w:shd w:val="clear" w:color="auto" w:fill="FFFFFF"/>
        <w:ind w:left="851" w:right="902"/>
        <w:jc w:val="both"/>
        <w:rPr>
          <w:rFonts w:ascii="Palatino Linotype" w:eastAsia="Palatino Linotype" w:hAnsi="Palatino Linotype" w:cs="Palatino Linotype"/>
          <w:color w:val="2222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b/>
          <w:i/>
          <w:color w:val="222222"/>
          <w:sz w:val="22"/>
          <w:szCs w:val="22"/>
        </w:rPr>
        <w:t>Artículo 12.</w:t>
      </w:r>
      <w:r>
        <w:rPr>
          <w:rFonts w:ascii="Palatino Linotype" w:eastAsia="Palatino Linotype" w:hAnsi="Palatino Linotype" w:cs="Palatino Linotype"/>
          <w:i/>
          <w:color w:val="222222"/>
          <w:sz w:val="22"/>
          <w:szCs w:val="22"/>
        </w:rPr>
        <w:t> Quienes generen, recopilen, administren, manejen, procesen, archiven o conserven información pública serán responsables de la misma en los términos de las disposiciones jurídicas aplicables.</w:t>
      </w:r>
    </w:p>
    <w:p w:rsidR="00DD4811" w:rsidRDefault="00605A31">
      <w:pPr>
        <w:shd w:val="clear" w:color="auto" w:fill="FFFFFF"/>
        <w:ind w:left="851" w:right="902"/>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w:t>
      </w:r>
      <w:r>
        <w:rPr>
          <w:rFonts w:ascii="Palatino Linotype" w:eastAsia="Palatino Linotype" w:hAnsi="Palatino Linotype" w:cs="Palatino Linotype"/>
          <w:i/>
          <w:color w:val="222222"/>
          <w:sz w:val="22"/>
          <w:szCs w:val="22"/>
        </w:rPr>
        <w:t>conforme al interés del solicitante; no estarán obligados a generarla, resumirla, efectuar cálculos o practicar investigaciones.”</w:t>
      </w:r>
    </w:p>
    <w:p w:rsidR="00DD4811" w:rsidRDefault="00DD4811">
      <w:pPr>
        <w:shd w:val="clear" w:color="auto" w:fill="FFFFFF"/>
        <w:ind w:left="851" w:right="902"/>
        <w:jc w:val="both"/>
        <w:rPr>
          <w:rFonts w:ascii="Palatino Linotype" w:eastAsia="Palatino Linotype" w:hAnsi="Palatino Linotype" w:cs="Palatino Linotype"/>
          <w:color w:val="222222"/>
        </w:rPr>
      </w:pPr>
    </w:p>
    <w:p w:rsidR="00DD4811" w:rsidRDefault="00605A31">
      <w:pP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Así, el estudio de la naturaleza jurídica de la información pública solicitada, tiene por objeto determinar si ésta la genera</w:t>
      </w:r>
      <w:r>
        <w:rPr>
          <w:rFonts w:ascii="Palatino Linotype" w:eastAsia="Palatino Linotype" w:hAnsi="Palatino Linotype" w:cs="Palatino Linotype"/>
          <w:color w:val="222222"/>
        </w:rPr>
        <w:t>, posee o administra </w:t>
      </w:r>
      <w:r>
        <w:rPr>
          <w:rFonts w:ascii="Palatino Linotype" w:eastAsia="Palatino Linotype" w:hAnsi="Palatino Linotype" w:cs="Palatino Linotype"/>
          <w:b/>
          <w:color w:val="222222"/>
        </w:rPr>
        <w:t>EL SUJETO OBLIGADO</w:t>
      </w:r>
      <w:r>
        <w:rPr>
          <w:rFonts w:ascii="Palatino Linotype" w:eastAsia="Palatino Linotype" w:hAnsi="Palatino Linotype" w:cs="Palatino Linotype"/>
          <w:color w:val="222222"/>
        </w:rPr>
        <w:t>; sin embargo, en aquellos casos en que éste la asume, a nada práctico nos conduciría su estudio, ya que se insiste, dicha información, fue admitida por el mismo; por lo que, la genera, posee y administra, en ejercici</w:t>
      </w:r>
      <w:r>
        <w:rPr>
          <w:rFonts w:ascii="Palatino Linotype" w:eastAsia="Palatino Linotype" w:hAnsi="Palatino Linotype" w:cs="Palatino Linotype"/>
          <w:color w:val="222222"/>
        </w:rPr>
        <w:t>o de sus funciones de derecho público, motivo por el cual, se actualiza el supuesto jurídico, previsto en el artículo 12 de la Ley de la materia, anteriormente referido.</w:t>
      </w:r>
    </w:p>
    <w:p w:rsidR="00DD4811" w:rsidRDefault="00DD4811">
      <w:pPr>
        <w:spacing w:line="360" w:lineRule="auto"/>
        <w:jc w:val="both"/>
        <w:rPr>
          <w:rFonts w:ascii="Palatino Linotype" w:eastAsia="Palatino Linotype" w:hAnsi="Palatino Linotype" w:cs="Palatino Linotype"/>
          <w:color w:val="222222"/>
        </w:rPr>
      </w:pPr>
    </w:p>
    <w:p w:rsidR="00DD4811" w:rsidRDefault="00605A3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Una vez precisado lo anterior, se procede a analizar las documentales que integran el</w:t>
      </w:r>
      <w:r>
        <w:rPr>
          <w:rFonts w:ascii="Palatino Linotype" w:eastAsia="Palatino Linotype" w:hAnsi="Palatino Linotype" w:cs="Palatino Linotype"/>
        </w:rPr>
        <w:t xml:space="preserve"> expediente electrónico, a fin de determinar si con la información remitida por parte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mediante respuesta, se colma el derecho de acceso a la información ejercido por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atento a ello, es conveniente recordar que el particula</w:t>
      </w:r>
      <w:r>
        <w:rPr>
          <w:rFonts w:ascii="Palatino Linotype" w:eastAsia="Palatino Linotype" w:hAnsi="Palatino Linotype" w:cs="Palatino Linotype"/>
        </w:rPr>
        <w:t xml:space="preserve">r solicitó medularmente la estructura orgánica completa que permita </w:t>
      </w:r>
      <w:r>
        <w:rPr>
          <w:rFonts w:ascii="Palatino Linotype" w:eastAsia="Palatino Linotype" w:hAnsi="Palatino Linotype" w:cs="Palatino Linotype"/>
        </w:rPr>
        <w:lastRenderedPageBreak/>
        <w:t>vincular con las atribuciones y responsabilidades que le corresponden a cada servidor público del año dos mil quince.</w:t>
      </w:r>
    </w:p>
    <w:p w:rsidR="00DD4811" w:rsidRDefault="00DD4811">
      <w:pPr>
        <w:spacing w:line="360" w:lineRule="auto"/>
        <w:jc w:val="both"/>
        <w:rPr>
          <w:rFonts w:ascii="Palatino Linotype" w:eastAsia="Palatino Linotype" w:hAnsi="Palatino Linotype" w:cs="Palatino Linotype"/>
        </w:rPr>
      </w:pPr>
    </w:p>
    <w:p w:rsidR="00DD4811" w:rsidRDefault="00605A3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w:t>
      </w:r>
      <w:r>
        <w:rPr>
          <w:rFonts w:ascii="Palatino Linotype" w:eastAsia="Palatino Linotype" w:hAnsi="Palatino Linotype" w:cs="Palatino Linotype"/>
          <w:b/>
        </w:rPr>
        <w:t xml:space="preserve"> EL SUJETO OBLIGADO </w:t>
      </w:r>
      <w:r>
        <w:rPr>
          <w:rFonts w:ascii="Palatino Linotype" w:eastAsia="Palatino Linotype" w:hAnsi="Palatino Linotype" w:cs="Palatino Linotype"/>
        </w:rPr>
        <w:t>mediante respuesta informó medularmen</w:t>
      </w:r>
      <w:r>
        <w:rPr>
          <w:rFonts w:ascii="Palatino Linotype" w:eastAsia="Palatino Linotype" w:hAnsi="Palatino Linotype" w:cs="Palatino Linotype"/>
        </w:rPr>
        <w:t xml:space="preserve">te que no era posible otorgar lo solicitado por el particular, por tratarse de información clasificada como reservada o confidencial; asimismo, mediante un acto posterior como lo es el Informe Justificado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refirió que la información se en</w:t>
      </w:r>
      <w:r>
        <w:rPr>
          <w:rFonts w:ascii="Palatino Linotype" w:eastAsia="Palatino Linotype" w:hAnsi="Palatino Linotype" w:cs="Palatino Linotype"/>
        </w:rPr>
        <w:t xml:space="preserve">contraba disponible en el portal de IPOMEX en la sección de Municipios, artículo 92, fracción II, inciso A, en el hipervínculo </w:t>
      </w:r>
      <w:hyperlink r:id="rId13">
        <w:r>
          <w:rPr>
            <w:rFonts w:ascii="Palatino Linotype" w:eastAsia="Palatino Linotype" w:hAnsi="Palatino Linotype" w:cs="Palatino Linotype"/>
            <w:color w:val="035899"/>
          </w:rPr>
          <w:t>http://www.ipomex.org.mx/ipo3/lgt/indice/nextlalpan.we</w:t>
        </w:r>
        <w:r>
          <w:rPr>
            <w:rFonts w:ascii="Palatino Linotype" w:eastAsia="Palatino Linotype" w:hAnsi="Palatino Linotype" w:cs="Palatino Linotype"/>
            <w:color w:val="035899"/>
          </w:rPr>
          <w:t>b</w:t>
        </w:r>
      </w:hyperlink>
    </w:p>
    <w:p w:rsidR="00DD4811" w:rsidRDefault="00DD4811">
      <w:pPr>
        <w:spacing w:line="360" w:lineRule="auto"/>
        <w:jc w:val="both"/>
        <w:rPr>
          <w:rFonts w:ascii="Palatino Linotype" w:eastAsia="Palatino Linotype" w:hAnsi="Palatino Linotype" w:cs="Palatino Linotype"/>
        </w:rPr>
      </w:pPr>
    </w:p>
    <w:p w:rsidR="00DD4811" w:rsidRDefault="00605A3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222222"/>
        </w:rPr>
        <w:t>Derivado de la respuesta proporcionada, es conveniente referir que e</w:t>
      </w:r>
      <w:r>
        <w:rPr>
          <w:rFonts w:ascii="Palatino Linotype" w:eastAsia="Palatino Linotype" w:hAnsi="Palatino Linotype" w:cs="Palatino Linotype"/>
        </w:rPr>
        <w:t xml:space="preserve">l artículo 161 de la </w:t>
      </w:r>
      <w:r>
        <w:rPr>
          <w:rFonts w:ascii="Palatino Linotype" w:eastAsia="Palatino Linotype" w:hAnsi="Palatino Linotype" w:cs="Palatino Linotype"/>
          <w:color w:val="222222"/>
        </w:rPr>
        <w:t>de Transparencia y Acceso a la Información Pública del Estado de México y Municipios</w:t>
      </w:r>
      <w:r>
        <w:rPr>
          <w:rFonts w:ascii="Palatino Linotype" w:eastAsia="Palatino Linotype" w:hAnsi="Palatino Linotype" w:cs="Palatino Linotype"/>
        </w:rPr>
        <w:t>, dispone que cuando la información pública requerida por el solicitante ya esté disponible al público en formatos electrónicos disponibles en internet se deberá hacer del conocimiento del particular por el medio requerido la fuente, el lugar y la forma en</w:t>
      </w:r>
      <w:r>
        <w:rPr>
          <w:rFonts w:ascii="Palatino Linotype" w:eastAsia="Palatino Linotype" w:hAnsi="Palatino Linotype" w:cs="Palatino Linotype"/>
        </w:rPr>
        <w:t xml:space="preserve"> que se puede consultar la información , dentro de un plazo no mayor a cinco días, como a continuación se observa: </w:t>
      </w:r>
    </w:p>
    <w:p w:rsidR="00DD4811" w:rsidRDefault="00DD4811">
      <w:pPr>
        <w:ind w:left="720"/>
        <w:rPr>
          <w:rFonts w:ascii="Palatino Linotype" w:eastAsia="Palatino Linotype" w:hAnsi="Palatino Linotype" w:cs="Palatino Linotype"/>
          <w:i/>
        </w:rPr>
      </w:pPr>
    </w:p>
    <w:p w:rsidR="00DD4811" w:rsidRDefault="00605A31">
      <w:pPr>
        <w:shd w:val="clear" w:color="auto" w:fill="FFFFFF"/>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161.</w:t>
      </w:r>
      <w:r>
        <w:rPr>
          <w:rFonts w:ascii="Palatino Linotype" w:eastAsia="Palatino Linotype" w:hAnsi="Palatino Linotype" w:cs="Palatino Linotype"/>
          <w:i/>
          <w:sz w:val="22"/>
          <w:szCs w:val="22"/>
        </w:rPr>
        <w:t xml:space="preserve"> Cuando la información requerida por el solicitante ya esté disponible al público en medios impresos, tales como libros, comp</w:t>
      </w:r>
      <w:r>
        <w:rPr>
          <w:rFonts w:ascii="Palatino Linotype" w:eastAsia="Palatino Linotype" w:hAnsi="Palatino Linotype" w:cs="Palatino Linotype"/>
          <w:i/>
          <w:sz w:val="22"/>
          <w:szCs w:val="22"/>
        </w:rPr>
        <w:t xml:space="preserve">endios, trípticos, registros públicos, en formatos electrónicos disponibles en Internet o en cualquier otro medio, se le hará saber por el medio requerido por el solicitante la fuente, el lugar y </w:t>
      </w:r>
      <w:r>
        <w:rPr>
          <w:rFonts w:ascii="Palatino Linotype" w:eastAsia="Palatino Linotype" w:hAnsi="Palatino Linotype" w:cs="Palatino Linotype"/>
          <w:b/>
          <w:i/>
          <w:sz w:val="22"/>
          <w:szCs w:val="22"/>
        </w:rPr>
        <w:t>la forma</w:t>
      </w:r>
      <w:r>
        <w:rPr>
          <w:rFonts w:ascii="Palatino Linotype" w:eastAsia="Palatino Linotype" w:hAnsi="Palatino Linotype" w:cs="Palatino Linotype"/>
          <w:i/>
          <w:sz w:val="22"/>
          <w:szCs w:val="22"/>
        </w:rPr>
        <w:t xml:space="preserve"> en que puede consultar, reproducir o adquirir dicha</w:t>
      </w:r>
      <w:r>
        <w:rPr>
          <w:rFonts w:ascii="Palatino Linotype" w:eastAsia="Palatino Linotype" w:hAnsi="Palatino Linotype" w:cs="Palatino Linotype"/>
          <w:i/>
          <w:sz w:val="22"/>
          <w:szCs w:val="22"/>
        </w:rPr>
        <w:t xml:space="preserve"> información en un plazo no mayor a cinco días hábiles.</w:t>
      </w:r>
      <w:r>
        <w:rPr>
          <w:rFonts w:ascii="Palatino Linotype" w:eastAsia="Palatino Linotype" w:hAnsi="Palatino Linotype" w:cs="Palatino Linotype"/>
          <w:b/>
          <w:i/>
          <w:sz w:val="22"/>
          <w:szCs w:val="22"/>
        </w:rPr>
        <w:t xml:space="preserve"> La fuente deberá ser precisa y </w:t>
      </w:r>
      <w:r>
        <w:rPr>
          <w:rFonts w:ascii="Palatino Linotype" w:eastAsia="Palatino Linotype" w:hAnsi="Palatino Linotype" w:cs="Palatino Linotype"/>
          <w:b/>
          <w:i/>
          <w:color w:val="222222"/>
          <w:sz w:val="22"/>
          <w:szCs w:val="22"/>
        </w:rPr>
        <w:t>concreta</w:t>
      </w:r>
      <w:r>
        <w:rPr>
          <w:rFonts w:ascii="Palatino Linotype" w:eastAsia="Palatino Linotype" w:hAnsi="Palatino Linotype" w:cs="Palatino Linotype"/>
          <w:b/>
          <w:i/>
          <w:sz w:val="22"/>
          <w:szCs w:val="22"/>
        </w:rPr>
        <w:t xml:space="preserve"> y no debe implicar que el solicitante realice una búsqueda en toda la información que se encuentre disponible.</w:t>
      </w:r>
      <w:r>
        <w:rPr>
          <w:rFonts w:ascii="Palatino Linotype" w:eastAsia="Palatino Linotype" w:hAnsi="Palatino Linotype" w:cs="Palatino Linotype"/>
          <w:i/>
          <w:sz w:val="22"/>
          <w:szCs w:val="22"/>
        </w:rPr>
        <w:t>”</w:t>
      </w:r>
    </w:p>
    <w:p w:rsidR="00DD4811" w:rsidRDefault="00DD4811">
      <w:pPr>
        <w:rPr>
          <w:rFonts w:ascii="Palatino Linotype" w:eastAsia="Palatino Linotype" w:hAnsi="Palatino Linotype" w:cs="Palatino Linotype"/>
        </w:rPr>
      </w:pPr>
    </w:p>
    <w:p w:rsidR="00DD4811" w:rsidRDefault="00605A3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las cosas, se procedió a verificar la págin</w:t>
      </w:r>
      <w:r>
        <w:rPr>
          <w:rFonts w:ascii="Palatino Linotype" w:eastAsia="Palatino Linotype" w:hAnsi="Palatino Linotype" w:cs="Palatino Linotype"/>
        </w:rPr>
        <w:t xml:space="preserve">a electrónica, a fin de determinar si la misma colma el derecho ejercido por el particular, para mayor referencia se inserta la siguiente imagen: </w:t>
      </w:r>
    </w:p>
    <w:p w:rsidR="00DD4811" w:rsidRDefault="00605A31">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5238561" cy="361936"/>
            <wp:effectExtent l="0" t="0" r="0" b="0"/>
            <wp:docPr id="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238561" cy="361936"/>
                    </a:xfrm>
                    <a:prstGeom prst="rect">
                      <a:avLst/>
                    </a:prstGeom>
                    <a:ln/>
                  </pic:spPr>
                </pic:pic>
              </a:graphicData>
            </a:graphic>
          </wp:inline>
        </w:drawing>
      </w:r>
      <w:r>
        <w:rPr>
          <w:rFonts w:ascii="Palatino Linotype" w:eastAsia="Palatino Linotype" w:hAnsi="Palatino Linotype" w:cs="Palatino Linotype"/>
          <w:noProof/>
        </w:rPr>
        <w:drawing>
          <wp:inline distT="0" distB="0" distL="0" distR="0">
            <wp:extent cx="5220152" cy="3993226"/>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220152" cy="3993226"/>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simplePos x="0" y="0"/>
                <wp:positionH relativeFrom="column">
                  <wp:posOffset>1689100</wp:posOffset>
                </wp:positionH>
                <wp:positionV relativeFrom="paragraph">
                  <wp:posOffset>1308100</wp:posOffset>
                </wp:positionV>
                <wp:extent cx="1989001" cy="279853"/>
                <wp:effectExtent l="0" t="0" r="0" b="0"/>
                <wp:wrapNone/>
                <wp:docPr id="51" name="Elipse 51"/>
                <wp:cNvGraphicFramePr/>
                <a:graphic xmlns:a="http://schemas.openxmlformats.org/drawingml/2006/main">
                  <a:graphicData uri="http://schemas.microsoft.com/office/word/2010/wordprocessingShape">
                    <wps:wsp>
                      <wps:cNvSpPr/>
                      <wps:spPr>
                        <a:xfrm>
                          <a:off x="4361025" y="3649599"/>
                          <a:ext cx="1969951" cy="260803"/>
                        </a:xfrm>
                        <a:prstGeom prst="ellipse">
                          <a:avLst/>
                        </a:prstGeom>
                        <a:noFill/>
                        <a:ln w="19050" cap="flat" cmpd="sng">
                          <a:solidFill>
                            <a:srgbClr val="FF0000"/>
                          </a:solidFill>
                          <a:prstDash val="solid"/>
                          <a:round/>
                          <a:headEnd type="none" w="sm" len="sm"/>
                          <a:tailEnd type="none" w="sm" len="sm"/>
                        </a:ln>
                      </wps:spPr>
                      <wps:txbx>
                        <w:txbxContent>
                          <w:p w:rsidR="00DD4811" w:rsidRDefault="00DD4811">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1689100</wp:posOffset>
                </wp:positionH>
                <wp:positionV relativeFrom="paragraph">
                  <wp:posOffset>1308100</wp:posOffset>
                </wp:positionV>
                <wp:extent cx="1989001" cy="279853"/>
                <wp:effectExtent b="0" l="0" r="0" t="0"/>
                <wp:wrapNone/>
                <wp:docPr id="51"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1989001" cy="279853"/>
                        </a:xfrm>
                        <a:prstGeom prst="rect"/>
                        <a:ln/>
                      </pic:spPr>
                    </pic:pic>
                  </a:graphicData>
                </a:graphic>
              </wp:anchor>
            </w:drawing>
          </mc:Fallback>
        </mc:AlternateContent>
      </w:r>
    </w:p>
    <w:p w:rsidR="00DD4811" w:rsidRDefault="00DD4811">
      <w:pPr>
        <w:spacing w:line="360" w:lineRule="auto"/>
        <w:rPr>
          <w:rFonts w:ascii="Palatino Linotype" w:eastAsia="Palatino Linotype" w:hAnsi="Palatino Linotype" w:cs="Palatino Linotype"/>
        </w:rPr>
      </w:pPr>
    </w:p>
    <w:p w:rsidR="00DD4811" w:rsidRDefault="00605A3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puede advertir que el link electrónico proporcionado por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nos dir</w:t>
      </w:r>
      <w:r>
        <w:rPr>
          <w:rFonts w:ascii="Palatino Linotype" w:eastAsia="Palatino Linotype" w:hAnsi="Palatino Linotype" w:cs="Palatino Linotype"/>
        </w:rPr>
        <w:t xml:space="preserve">ecciona directamente a información de los ejercicios de 2018 y posteriores, el cual al dar </w:t>
      </w:r>
      <w:proofErr w:type="spellStart"/>
      <w:r>
        <w:rPr>
          <w:rFonts w:ascii="Palatino Linotype" w:eastAsia="Palatino Linotype" w:hAnsi="Palatino Linotype" w:cs="Palatino Linotype"/>
        </w:rPr>
        <w:t>click</w:t>
      </w:r>
      <w:proofErr w:type="spellEnd"/>
      <w:r>
        <w:rPr>
          <w:rFonts w:ascii="Palatino Linotype" w:eastAsia="Palatino Linotype" w:hAnsi="Palatino Linotype" w:cs="Palatino Linotype"/>
        </w:rPr>
        <w:t xml:space="preserve"> en </w:t>
      </w:r>
      <w:r>
        <w:rPr>
          <w:rFonts w:ascii="Palatino Linotype" w:eastAsia="Palatino Linotype" w:hAnsi="Palatino Linotype" w:cs="Palatino Linotype"/>
          <w:i/>
        </w:rPr>
        <w:t xml:space="preserve">Fr. años 2015-2017 </w:t>
      </w:r>
      <w:r>
        <w:rPr>
          <w:rFonts w:ascii="Palatino Linotype" w:eastAsia="Palatino Linotype" w:hAnsi="Palatino Linotype" w:cs="Palatino Linotype"/>
        </w:rPr>
        <w:t xml:space="preserve">se puede consultar la correspondiente al año 2015, para mayor referencia se insertan las siguientes imágenes: </w:t>
      </w:r>
    </w:p>
    <w:p w:rsidR="00DD4811" w:rsidRDefault="00605A31">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extent cx="5390632" cy="1105521"/>
            <wp:effectExtent l="0" t="0" r="0" b="0"/>
            <wp:docPr id="5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b="22830"/>
                    <a:stretch>
                      <a:fillRect/>
                    </a:stretch>
                  </pic:blipFill>
                  <pic:spPr>
                    <a:xfrm>
                      <a:off x="0" y="0"/>
                      <a:ext cx="5390632" cy="1105521"/>
                    </a:xfrm>
                    <a:prstGeom prst="rect">
                      <a:avLst/>
                    </a:prstGeom>
                    <a:ln/>
                  </pic:spPr>
                </pic:pic>
              </a:graphicData>
            </a:graphic>
          </wp:inline>
        </w:drawing>
      </w:r>
      <w:r>
        <w:rPr>
          <w:noProof/>
        </w:rPr>
        <mc:AlternateContent>
          <mc:Choice Requires="wpg">
            <w:drawing>
              <wp:anchor distT="0" distB="0" distL="114300" distR="114300" simplePos="0" relativeHeight="251660288" behindDoc="0" locked="0" layoutInCell="1" hidden="0" allowOverlap="1">
                <wp:simplePos x="0" y="0"/>
                <wp:positionH relativeFrom="column">
                  <wp:posOffset>2095500</wp:posOffset>
                </wp:positionH>
                <wp:positionV relativeFrom="paragraph">
                  <wp:posOffset>165100</wp:posOffset>
                </wp:positionV>
                <wp:extent cx="593021" cy="373865"/>
                <wp:effectExtent l="0" t="0" r="0" b="0"/>
                <wp:wrapNone/>
                <wp:docPr id="50" name="Flecha derecha 50"/>
                <wp:cNvGraphicFramePr/>
                <a:graphic xmlns:a="http://schemas.openxmlformats.org/drawingml/2006/main">
                  <a:graphicData uri="http://schemas.microsoft.com/office/word/2010/wordprocessingShape">
                    <wps:wsp>
                      <wps:cNvSpPr/>
                      <wps:spPr>
                        <a:xfrm rot="1265862">
                          <a:off x="5068414" y="3692914"/>
                          <a:ext cx="555172" cy="174172"/>
                        </a:xfrm>
                        <a:prstGeom prst="rightArrow">
                          <a:avLst>
                            <a:gd name="adj1" fmla="val 50000"/>
                            <a:gd name="adj2" fmla="val 50000"/>
                          </a:avLst>
                        </a:prstGeom>
                        <a:solidFill>
                          <a:srgbClr val="FF0000"/>
                        </a:solidFill>
                        <a:ln w="9525" cap="flat" cmpd="sng">
                          <a:solidFill>
                            <a:srgbClr val="FF0000"/>
                          </a:solidFill>
                          <a:prstDash val="solid"/>
                          <a:round/>
                          <a:headEnd type="none" w="sm" len="sm"/>
                          <a:tailEnd type="none" w="sm" len="sm"/>
                        </a:ln>
                      </wps:spPr>
                      <wps:txbx>
                        <w:txbxContent>
                          <w:p w:rsidR="00DD4811" w:rsidRDefault="00DD4811">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2095500</wp:posOffset>
                </wp:positionH>
                <wp:positionV relativeFrom="paragraph">
                  <wp:posOffset>165100</wp:posOffset>
                </wp:positionV>
                <wp:extent cx="593021" cy="373865"/>
                <wp:effectExtent b="0" l="0" r="0" t="0"/>
                <wp:wrapNone/>
                <wp:docPr id="50" name="image12.png"/>
                <a:graphic>
                  <a:graphicData uri="http://schemas.openxmlformats.org/drawingml/2006/picture">
                    <pic:pic>
                      <pic:nvPicPr>
                        <pic:cNvPr id="0" name="image12.png"/>
                        <pic:cNvPicPr preferRelativeResize="0"/>
                      </pic:nvPicPr>
                      <pic:blipFill>
                        <a:blip r:embed="rId18"/>
                        <a:srcRect/>
                        <a:stretch>
                          <a:fillRect/>
                        </a:stretch>
                      </pic:blipFill>
                      <pic:spPr>
                        <a:xfrm>
                          <a:off x="0" y="0"/>
                          <a:ext cx="593021" cy="373865"/>
                        </a:xfrm>
                        <a:prstGeom prst="rect"/>
                        <a:ln/>
                      </pic:spPr>
                    </pic:pic>
                  </a:graphicData>
                </a:graphic>
              </wp:anchor>
            </w:drawing>
          </mc:Fallback>
        </mc:AlternateContent>
      </w:r>
    </w:p>
    <w:p w:rsidR="00DD4811" w:rsidRDefault="00605A31">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5328576" cy="2860614"/>
            <wp:effectExtent l="0" t="0" r="0" b="0"/>
            <wp:docPr id="5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5328576" cy="2860614"/>
                    </a:xfrm>
                    <a:prstGeom prst="rect">
                      <a:avLst/>
                    </a:prstGeom>
                    <a:ln/>
                  </pic:spPr>
                </pic:pic>
              </a:graphicData>
            </a:graphic>
          </wp:inline>
        </w:drawing>
      </w:r>
      <w:r>
        <w:rPr>
          <w:noProof/>
        </w:rPr>
        <mc:AlternateContent>
          <mc:Choice Requires="wpg">
            <w:drawing>
              <wp:anchor distT="0" distB="0" distL="114300" distR="114300" simplePos="0" relativeHeight="251661312" behindDoc="0" locked="0" layoutInCell="1" hidden="0" allowOverlap="1">
                <wp:simplePos x="0" y="0"/>
                <wp:positionH relativeFrom="column">
                  <wp:posOffset>3289300</wp:posOffset>
                </wp:positionH>
                <wp:positionV relativeFrom="paragraph">
                  <wp:posOffset>800100</wp:posOffset>
                </wp:positionV>
                <wp:extent cx="601156" cy="528974"/>
                <wp:effectExtent l="0" t="0" r="0" b="0"/>
                <wp:wrapNone/>
                <wp:docPr id="49" name="Flecha derecha 49"/>
                <wp:cNvGraphicFramePr/>
                <a:graphic xmlns:a="http://schemas.openxmlformats.org/drawingml/2006/main">
                  <a:graphicData uri="http://schemas.microsoft.com/office/word/2010/wordprocessingShape">
                    <wps:wsp>
                      <wps:cNvSpPr/>
                      <wps:spPr>
                        <a:xfrm rot="6754329">
                          <a:off x="5166386" y="3535072"/>
                          <a:ext cx="359229" cy="489857"/>
                        </a:xfrm>
                        <a:prstGeom prst="rightArrow">
                          <a:avLst>
                            <a:gd name="adj1" fmla="val 50000"/>
                            <a:gd name="adj2" fmla="val 50000"/>
                          </a:avLst>
                        </a:prstGeom>
                        <a:solidFill>
                          <a:srgbClr val="FF0000"/>
                        </a:solidFill>
                        <a:ln w="9525" cap="flat" cmpd="sng">
                          <a:solidFill>
                            <a:srgbClr val="FF0000"/>
                          </a:solidFill>
                          <a:prstDash val="solid"/>
                          <a:round/>
                          <a:headEnd type="none" w="sm" len="sm"/>
                          <a:tailEnd type="none" w="sm" len="sm"/>
                        </a:ln>
                      </wps:spPr>
                      <wps:txbx>
                        <w:txbxContent>
                          <w:p w:rsidR="00DD4811" w:rsidRDefault="00DD4811">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3289300</wp:posOffset>
                </wp:positionH>
                <wp:positionV relativeFrom="paragraph">
                  <wp:posOffset>800100</wp:posOffset>
                </wp:positionV>
                <wp:extent cx="601156" cy="528974"/>
                <wp:effectExtent b="0" l="0" r="0" t="0"/>
                <wp:wrapNone/>
                <wp:docPr id="49" name="image11.png"/>
                <a:graphic>
                  <a:graphicData uri="http://schemas.openxmlformats.org/drawingml/2006/picture">
                    <pic:pic>
                      <pic:nvPicPr>
                        <pic:cNvPr id="0" name="image11.png"/>
                        <pic:cNvPicPr preferRelativeResize="0"/>
                      </pic:nvPicPr>
                      <pic:blipFill>
                        <a:blip r:embed="rId20"/>
                        <a:srcRect/>
                        <a:stretch>
                          <a:fillRect/>
                        </a:stretch>
                      </pic:blipFill>
                      <pic:spPr>
                        <a:xfrm>
                          <a:off x="0" y="0"/>
                          <a:ext cx="601156" cy="528974"/>
                        </a:xfrm>
                        <a:prstGeom prst="rect"/>
                        <a:ln/>
                      </pic:spPr>
                    </pic:pic>
                  </a:graphicData>
                </a:graphic>
              </wp:anchor>
            </w:drawing>
          </mc:Fallback>
        </mc:AlternateContent>
      </w:r>
    </w:p>
    <w:p w:rsidR="00DD4811" w:rsidRDefault="00DD4811">
      <w:pPr>
        <w:spacing w:line="360" w:lineRule="auto"/>
        <w:jc w:val="both"/>
        <w:rPr>
          <w:rFonts w:ascii="Palatino Linotype" w:eastAsia="Palatino Linotype" w:hAnsi="Palatino Linotype" w:cs="Palatino Linotype"/>
        </w:rPr>
      </w:pPr>
    </w:p>
    <w:p w:rsidR="00DD4811" w:rsidRDefault="00605A31">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extent cx="5269914" cy="2897679"/>
            <wp:effectExtent l="0" t="0" r="0" b="0"/>
            <wp:docPr id="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269914" cy="2897679"/>
                    </a:xfrm>
                    <a:prstGeom prst="rect">
                      <a:avLst/>
                    </a:prstGeom>
                    <a:ln/>
                  </pic:spPr>
                </pic:pic>
              </a:graphicData>
            </a:graphic>
          </wp:inline>
        </w:drawing>
      </w:r>
    </w:p>
    <w:p w:rsidR="00DD4811" w:rsidRDefault="00DD4811">
      <w:pPr>
        <w:spacing w:line="360" w:lineRule="auto"/>
        <w:jc w:val="both"/>
        <w:rPr>
          <w:rFonts w:ascii="Palatino Linotype" w:eastAsia="Palatino Linotype" w:hAnsi="Palatino Linotype" w:cs="Palatino Linotype"/>
        </w:rPr>
      </w:pPr>
    </w:p>
    <w:p w:rsidR="00DD4811" w:rsidRDefault="00605A31">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extent cx="5344185" cy="3210408"/>
            <wp:effectExtent l="0" t="0" r="0" b="0"/>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344185" cy="3210408"/>
                    </a:xfrm>
                    <a:prstGeom prst="rect">
                      <a:avLst/>
                    </a:prstGeom>
                    <a:ln/>
                  </pic:spPr>
                </pic:pic>
              </a:graphicData>
            </a:graphic>
          </wp:inline>
        </w:drawing>
      </w:r>
      <w:r>
        <w:rPr>
          <w:rFonts w:ascii="Palatino Linotype" w:eastAsia="Palatino Linotype" w:hAnsi="Palatino Linotype" w:cs="Palatino Linotype"/>
          <w:noProof/>
        </w:rPr>
        <w:drawing>
          <wp:inline distT="0" distB="0" distL="0" distR="0">
            <wp:extent cx="5315499" cy="2118404"/>
            <wp:effectExtent l="0" t="0" r="0" b="0"/>
            <wp:docPr id="6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5315499" cy="2118404"/>
                    </a:xfrm>
                    <a:prstGeom prst="rect">
                      <a:avLst/>
                    </a:prstGeom>
                    <a:ln/>
                  </pic:spPr>
                </pic:pic>
              </a:graphicData>
            </a:graphic>
          </wp:inline>
        </w:drawing>
      </w:r>
    </w:p>
    <w:p w:rsidR="00DD4811" w:rsidRDefault="00DD4811">
      <w:pPr>
        <w:spacing w:line="360" w:lineRule="auto"/>
        <w:jc w:val="both"/>
        <w:rPr>
          <w:rFonts w:ascii="Palatino Linotype" w:eastAsia="Palatino Linotype" w:hAnsi="Palatino Linotype" w:cs="Palatino Linotype"/>
        </w:rPr>
      </w:pPr>
    </w:p>
    <w:p w:rsidR="00DD4811" w:rsidRDefault="00605A3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es importante destacar que de la consulta realizada se puede advertir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atendió parcialmente la solicitud; ello en razón de que únicamente se encuentra disponible información de titulares de áreas, de los cuales en cada uno</w:t>
      </w:r>
      <w:r>
        <w:rPr>
          <w:rFonts w:ascii="Palatino Linotype" w:eastAsia="Palatino Linotype" w:hAnsi="Palatino Linotype" w:cs="Palatino Linotype"/>
        </w:rPr>
        <w:t xml:space="preserve"> de sus apartados contiene las atribuciones, responsabilidades y/o funciones; para mayor referencia se insertan solo algunos a manera de ejemplo: </w:t>
      </w:r>
    </w:p>
    <w:p w:rsidR="00DD4811" w:rsidRDefault="00605A31">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extent cx="5731356" cy="3286546"/>
            <wp:effectExtent l="0" t="0" r="0" b="0"/>
            <wp:docPr id="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5731356" cy="3286546"/>
                    </a:xfrm>
                    <a:prstGeom prst="rect">
                      <a:avLst/>
                    </a:prstGeom>
                    <a:ln/>
                  </pic:spPr>
                </pic:pic>
              </a:graphicData>
            </a:graphic>
          </wp:inline>
        </w:drawing>
      </w:r>
    </w:p>
    <w:p w:rsidR="00DD4811" w:rsidRDefault="00605A31">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5653230" cy="3338063"/>
            <wp:effectExtent l="0" t="0" r="0" b="0"/>
            <wp:docPr id="6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5653230" cy="3338063"/>
                    </a:xfrm>
                    <a:prstGeom prst="rect">
                      <a:avLst/>
                    </a:prstGeom>
                    <a:ln/>
                  </pic:spPr>
                </pic:pic>
              </a:graphicData>
            </a:graphic>
          </wp:inline>
        </w:drawing>
      </w:r>
    </w:p>
    <w:p w:rsidR="00DD4811" w:rsidRDefault="00605A31">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extent cx="5645818" cy="3555572"/>
            <wp:effectExtent l="0" t="0" r="0" b="0"/>
            <wp:docPr id="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5645818" cy="3555572"/>
                    </a:xfrm>
                    <a:prstGeom prst="rect">
                      <a:avLst/>
                    </a:prstGeom>
                    <a:ln/>
                  </pic:spPr>
                </pic:pic>
              </a:graphicData>
            </a:graphic>
          </wp:inline>
        </w:drawing>
      </w:r>
      <w:r>
        <w:rPr>
          <w:rFonts w:ascii="Palatino Linotype" w:eastAsia="Palatino Linotype" w:hAnsi="Palatino Linotype" w:cs="Palatino Linotype"/>
          <w:noProof/>
        </w:rPr>
        <w:drawing>
          <wp:inline distT="0" distB="0" distL="0" distR="0">
            <wp:extent cx="5682280" cy="3370478"/>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5682280" cy="3370478"/>
                    </a:xfrm>
                    <a:prstGeom prst="rect">
                      <a:avLst/>
                    </a:prstGeom>
                    <a:ln/>
                  </pic:spPr>
                </pic:pic>
              </a:graphicData>
            </a:graphic>
          </wp:inline>
        </w:drawing>
      </w:r>
    </w:p>
    <w:p w:rsidR="00DD4811" w:rsidRDefault="00DD4811">
      <w:pPr>
        <w:spacing w:line="360" w:lineRule="auto"/>
        <w:ind w:right="49"/>
        <w:jc w:val="both"/>
        <w:rPr>
          <w:rFonts w:ascii="Palatino Linotype" w:eastAsia="Palatino Linotype" w:hAnsi="Palatino Linotype" w:cs="Palatino Linotype"/>
        </w:rPr>
      </w:pPr>
    </w:p>
    <w:p w:rsidR="00DD4811" w:rsidRDefault="00605A31">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Por lo anterior, es necesario traer a contexto el artículo 92, fracción II de la Ley de Transparencia</w:t>
      </w:r>
      <w:r>
        <w:rPr>
          <w:rFonts w:ascii="Palatino Linotype" w:eastAsia="Palatino Linotype" w:hAnsi="Palatino Linotype" w:cs="Palatino Linotype"/>
        </w:rPr>
        <w:t xml:space="preserve"> y Acceso a la Información Pública del Estado de México y Municipios, el cual establece la obligación de mantener a disposición del público en general la información relativa a su </w:t>
      </w:r>
      <w:r>
        <w:rPr>
          <w:rFonts w:ascii="Palatino Linotype" w:eastAsia="Palatino Linotype" w:hAnsi="Palatino Linotype" w:cs="Palatino Linotype"/>
          <w:b/>
        </w:rPr>
        <w:t>estructura orgánica</w:t>
      </w:r>
      <w:r>
        <w:rPr>
          <w:rFonts w:ascii="Palatino Linotype" w:eastAsia="Palatino Linotype" w:hAnsi="Palatino Linotype" w:cs="Palatino Linotype"/>
        </w:rPr>
        <w:t>, refiriendo que ello debe ser en un formato que permita,</w:t>
      </w:r>
      <w:r>
        <w:rPr>
          <w:rFonts w:ascii="Palatino Linotype" w:eastAsia="Palatino Linotype" w:hAnsi="Palatino Linotype" w:cs="Palatino Linotype"/>
        </w:rPr>
        <w:t xml:space="preserve"> vincular cada parte de la estructura, las atribuciones y responsabilidades que le corresponden a cada servidor público, tal y como se muestra enseguida:</w:t>
      </w:r>
    </w:p>
    <w:p w:rsidR="00DD4811" w:rsidRDefault="00DD4811">
      <w:pPr>
        <w:ind w:right="49"/>
        <w:jc w:val="both"/>
        <w:rPr>
          <w:rFonts w:ascii="Palatino Linotype" w:eastAsia="Palatino Linotype" w:hAnsi="Palatino Linotype" w:cs="Palatino Linotype"/>
        </w:rPr>
      </w:pPr>
    </w:p>
    <w:p w:rsidR="00DD4811" w:rsidRDefault="00605A3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92</w:t>
      </w:r>
      <w:r>
        <w:rPr>
          <w:rFonts w:ascii="Palatino Linotype" w:eastAsia="Palatino Linotype" w:hAnsi="Palatino Linotype" w:cs="Palatino Linotype"/>
          <w:i/>
          <w:sz w:val="22"/>
          <w:szCs w:val="22"/>
        </w:rPr>
        <w:t>. Los sujetos obligados deberán poner a disposición del público de manera permanente y ac</w:t>
      </w:r>
      <w:r>
        <w:rPr>
          <w:rFonts w:ascii="Palatino Linotype" w:eastAsia="Palatino Linotype" w:hAnsi="Palatino Linotype" w:cs="Palatino Linotype"/>
          <w:i/>
          <w:sz w:val="22"/>
          <w:szCs w:val="22"/>
        </w:rPr>
        <w:t>tualizada de forma sencilla, precisa y entendible, en los respectivos medios electrónicos, de acuerdo con sus facultades, atribuciones, funciones u objeto social, según corresponda, la información, por lo menos, de los temas, documentos y políticas que a c</w:t>
      </w:r>
      <w:r>
        <w:rPr>
          <w:rFonts w:ascii="Palatino Linotype" w:eastAsia="Palatino Linotype" w:hAnsi="Palatino Linotype" w:cs="Palatino Linotype"/>
          <w:i/>
          <w:sz w:val="22"/>
          <w:szCs w:val="22"/>
        </w:rPr>
        <w:t>ontinuación se señalan:</w:t>
      </w:r>
    </w:p>
    <w:p w:rsidR="00DD4811" w:rsidRDefault="00605A3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i/>
          <w:color w:val="222222"/>
          <w:sz w:val="22"/>
          <w:szCs w:val="22"/>
        </w:rPr>
        <w:br/>
      </w: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Su estructura orgánica completa, en un formato que permita vincular cada parte de la estructura, las atribuciones y responsabilidades que le corresponden a cada servidor público, prestador de servicios profesionales o miembr</w:t>
      </w:r>
      <w:r>
        <w:rPr>
          <w:rFonts w:ascii="Palatino Linotype" w:eastAsia="Palatino Linotype" w:hAnsi="Palatino Linotype" w:cs="Palatino Linotype"/>
          <w:b/>
          <w:i/>
          <w:sz w:val="22"/>
          <w:szCs w:val="22"/>
        </w:rPr>
        <w:t>o de los sujetos obligados, de conformidad con las disposiciones jurídicas aplicables…”</w:t>
      </w:r>
      <w:r>
        <w:rPr>
          <w:rFonts w:ascii="Palatino Linotype" w:eastAsia="Palatino Linotype" w:hAnsi="Palatino Linotype" w:cs="Palatino Linotype"/>
          <w:i/>
          <w:sz w:val="22"/>
          <w:szCs w:val="22"/>
        </w:rPr>
        <w:t xml:space="preserve"> (Sic)</w:t>
      </w:r>
    </w:p>
    <w:p w:rsidR="00DD4811" w:rsidRDefault="00605A31">
      <w:pPr>
        <w:ind w:left="851" w:right="902"/>
        <w:jc w:val="both"/>
        <w:rPr>
          <w:rFonts w:ascii="Palatino Linotype" w:eastAsia="Palatino Linotype" w:hAnsi="Palatino Linotype" w:cs="Palatino Linotype"/>
          <w:b/>
          <w:i/>
          <w:color w:val="222222"/>
          <w:sz w:val="22"/>
          <w:szCs w:val="22"/>
        </w:rPr>
      </w:pPr>
      <w:r>
        <w:rPr>
          <w:rFonts w:ascii="Palatino Linotype" w:eastAsia="Palatino Linotype" w:hAnsi="Palatino Linotype" w:cs="Palatino Linotype"/>
          <w:b/>
          <w:i/>
          <w:color w:val="222222"/>
          <w:sz w:val="22"/>
          <w:szCs w:val="22"/>
        </w:rPr>
        <w:t>(Énfasis añadido).</w:t>
      </w:r>
    </w:p>
    <w:p w:rsidR="00DD4811" w:rsidRDefault="00DD4811">
      <w:pPr>
        <w:ind w:left="851" w:right="902"/>
        <w:jc w:val="both"/>
        <w:rPr>
          <w:rFonts w:ascii="Palatino Linotype" w:eastAsia="Palatino Linotype" w:hAnsi="Palatino Linotype" w:cs="Palatino Linotype"/>
          <w:b/>
          <w:i/>
          <w:sz w:val="22"/>
          <w:szCs w:val="22"/>
        </w:rPr>
      </w:pPr>
    </w:p>
    <w:p w:rsidR="00DD4811" w:rsidRDefault="00605A31">
      <w:pPr>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rPr>
        <w:t xml:space="preserve">Dicha disposición, se encuentra homologada de lo establecido por la Ley General de Transparencia y Acceso a la Información Pública en su artículo 70, fracción II que refiere en los mismos términos </w:t>
      </w:r>
      <w:r>
        <w:rPr>
          <w:rFonts w:ascii="Palatino Linotype" w:eastAsia="Palatino Linotype" w:hAnsi="Palatino Linotype" w:cs="Palatino Linotype"/>
          <w:b/>
        </w:rPr>
        <w:t>la obligación de transparentar la estructura orgánica de pa</w:t>
      </w:r>
      <w:r>
        <w:rPr>
          <w:rFonts w:ascii="Palatino Linotype" w:eastAsia="Palatino Linotype" w:hAnsi="Palatino Linotype" w:cs="Palatino Linotype"/>
          <w:b/>
        </w:rPr>
        <w:t>rte de cada uno de los Sujetos Obligados</w:t>
      </w:r>
      <w:r>
        <w:rPr>
          <w:rFonts w:ascii="Palatino Linotype" w:eastAsia="Palatino Linotype" w:hAnsi="Palatino Linotype" w:cs="Palatino Linotype"/>
        </w:rPr>
        <w:t xml:space="preserve">; por lo que, resulta aplicable en la entidad lo dispuesto por los </w:t>
      </w:r>
      <w:r>
        <w:rPr>
          <w:rFonts w:ascii="Palatino Linotype" w:eastAsia="Palatino Linotype" w:hAnsi="Palatino Linotype" w:cs="Palatino Linotype"/>
          <w:i/>
          <w:highlight w:val="white"/>
        </w:rPr>
        <w:t>Lineamientos Técnicos Generales para la Publicación, Homologación y Estandarización de la Información de las Obligaciones Establecidas en el Título Q</w:t>
      </w:r>
      <w:r>
        <w:rPr>
          <w:rFonts w:ascii="Palatino Linotype" w:eastAsia="Palatino Linotype" w:hAnsi="Palatino Linotype" w:cs="Palatino Linotype"/>
          <w:i/>
          <w:highlight w:val="white"/>
        </w:rPr>
        <w:t xml:space="preserve">uinto y en la fracción IV del artículo 31 de la Ley General de Transparencia y Acceso a la Información Pública, que deben de difundir los Sujetos Obligados en los Portales de Internet y </w:t>
      </w:r>
      <w:r>
        <w:rPr>
          <w:rFonts w:ascii="Palatino Linotype" w:eastAsia="Palatino Linotype" w:hAnsi="Palatino Linotype" w:cs="Palatino Linotype"/>
          <w:i/>
          <w:highlight w:val="white"/>
        </w:rPr>
        <w:lastRenderedPageBreak/>
        <w:t>en la Plataforma Nacional de Transparencia</w:t>
      </w:r>
      <w:r>
        <w:rPr>
          <w:rFonts w:ascii="Palatino Linotype" w:eastAsia="Palatino Linotype" w:hAnsi="Palatino Linotype" w:cs="Palatino Linotype"/>
          <w:i/>
          <w:highlight w:val="white"/>
          <w:vertAlign w:val="superscript"/>
        </w:rPr>
        <w:footnoteReference w:id="1"/>
      </w:r>
      <w:r>
        <w:rPr>
          <w:rFonts w:ascii="Palatino Linotype" w:eastAsia="Palatino Linotype" w:hAnsi="Palatino Linotype" w:cs="Palatino Linotype"/>
          <w:highlight w:val="white"/>
        </w:rPr>
        <w:t xml:space="preserve">, </w:t>
      </w:r>
      <w:r>
        <w:rPr>
          <w:rFonts w:ascii="Palatino Linotype" w:eastAsia="Palatino Linotype" w:hAnsi="Palatino Linotype" w:cs="Palatino Linotype"/>
        </w:rPr>
        <w:t>publicados en el Diario O</w:t>
      </w:r>
      <w:r>
        <w:rPr>
          <w:rFonts w:ascii="Palatino Linotype" w:eastAsia="Palatino Linotype" w:hAnsi="Palatino Linotype" w:cs="Palatino Linotype"/>
        </w:rPr>
        <w:t xml:space="preserve">ficial de la Federación, el día cuatro de mayo de dos mil dieciséis; de los cuales, se desprende </w:t>
      </w:r>
      <w:r>
        <w:rPr>
          <w:rFonts w:ascii="Palatino Linotype" w:eastAsia="Palatino Linotype" w:hAnsi="Palatino Linotype" w:cs="Palatino Linotype"/>
          <w:highlight w:val="white"/>
        </w:rPr>
        <w:t>la estructura orgánica que se encuentran constreñidos a publicar los Sujetos Obligados, en los que se debe permitir la visualización de los niveles jerárquicos</w:t>
      </w:r>
      <w:r>
        <w:rPr>
          <w:rFonts w:ascii="Palatino Linotype" w:eastAsia="Palatino Linotype" w:hAnsi="Palatino Linotype" w:cs="Palatino Linotype"/>
          <w:highlight w:val="white"/>
        </w:rPr>
        <w:t xml:space="preserve"> y sus relaciones de dependencia, de acuerdo con el estatuto orgánico u ordenamiento que les aplique, debiendo ser vigente, o sea la que esté en operación y haya sido aprobada o dictaminada por la autoridad competente.</w:t>
      </w:r>
    </w:p>
    <w:p w:rsidR="00DD4811" w:rsidRDefault="00DD4811">
      <w:pPr>
        <w:spacing w:line="360" w:lineRule="auto"/>
        <w:jc w:val="both"/>
        <w:rPr>
          <w:rFonts w:ascii="Palatino Linotype" w:eastAsia="Palatino Linotype" w:hAnsi="Palatino Linotype" w:cs="Palatino Linotype"/>
          <w:highlight w:val="white"/>
        </w:rPr>
      </w:pPr>
    </w:p>
    <w:p w:rsidR="00DD4811" w:rsidRDefault="00605A3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highlight w:val="white"/>
        </w:rPr>
        <w:t>Asimismo, dichos Lineamientos Técnic</w:t>
      </w:r>
      <w:r>
        <w:rPr>
          <w:rFonts w:ascii="Palatino Linotype" w:eastAsia="Palatino Linotype" w:hAnsi="Palatino Linotype" w:cs="Palatino Linotype"/>
          <w:highlight w:val="white"/>
        </w:rPr>
        <w:t xml:space="preserve">os Generales indican que la estructura orgánica debe incluir al titular del Sujeto Obligado y todos los servidores públicos, adscritos a las Unidades Administrativas, Áreas, Institutos o las que correspondan, incluyendo </w:t>
      </w:r>
      <w:r>
        <w:rPr>
          <w:rFonts w:ascii="Palatino Linotype" w:eastAsia="Palatino Linotype" w:hAnsi="Palatino Linotype" w:cs="Palatino Linotype"/>
        </w:rPr>
        <w:t xml:space="preserve">el personal de gabinete de apoyo </w:t>
      </w:r>
      <w:proofErr w:type="spellStart"/>
      <w:r>
        <w:rPr>
          <w:rFonts w:ascii="Palatino Linotype" w:eastAsia="Palatino Linotype" w:hAnsi="Palatino Linotype" w:cs="Palatino Linotype"/>
        </w:rPr>
        <w:t>u</w:t>
      </w:r>
      <w:proofErr w:type="spellEnd"/>
      <w:r>
        <w:rPr>
          <w:rFonts w:ascii="Palatino Linotype" w:eastAsia="Palatino Linotype" w:hAnsi="Palatino Linotype" w:cs="Palatino Linotype"/>
        </w:rPr>
        <w:t xml:space="preserve"> h</w:t>
      </w:r>
      <w:r>
        <w:rPr>
          <w:rFonts w:ascii="Palatino Linotype" w:eastAsia="Palatino Linotype" w:hAnsi="Palatino Linotype" w:cs="Palatino Linotype"/>
        </w:rPr>
        <w:t xml:space="preserve">omólogo, prestadores de servicios profesionales, miembros de los Sujetos Obligados; así como, los respectivos niveles de adjunto, homólogo o cualquier otro equivalente, según la denominación que se le dé. </w:t>
      </w:r>
    </w:p>
    <w:p w:rsidR="00DD4811" w:rsidRDefault="00DD4811">
      <w:pPr>
        <w:spacing w:line="360" w:lineRule="auto"/>
        <w:jc w:val="both"/>
        <w:rPr>
          <w:rFonts w:ascii="Palatino Linotype" w:eastAsia="Palatino Linotype" w:hAnsi="Palatino Linotype" w:cs="Palatino Linotype"/>
        </w:rPr>
      </w:pPr>
    </w:p>
    <w:p w:rsidR="00DD4811" w:rsidRDefault="00605A3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refieren que cada nivel de la estruct</w:t>
      </w:r>
      <w:r>
        <w:rPr>
          <w:rFonts w:ascii="Palatino Linotype" w:eastAsia="Palatino Linotype" w:hAnsi="Palatino Linotype" w:cs="Palatino Linotype"/>
        </w:rPr>
        <w:t>ura deberá desplegar un listado de las áreas que le están subordinadas jerárquicamente; así como, las atribuciones, responsabilidades y/o funciones conferidas por las disposiciones aplicables a los servidores públicos y/o toda persona que desempeñe un empl</w:t>
      </w:r>
      <w:r>
        <w:rPr>
          <w:rFonts w:ascii="Palatino Linotype" w:eastAsia="Palatino Linotype" w:hAnsi="Palatino Linotype" w:cs="Palatino Linotype"/>
        </w:rPr>
        <w:t>eo, cargo o comisión y/o ejerza actos de autoridad, además de los prestadores de servicios profesionales contratados en cada una de esas áreas.</w:t>
      </w:r>
    </w:p>
    <w:p w:rsidR="00DD4811" w:rsidRDefault="00DD4811">
      <w:pPr>
        <w:spacing w:line="360" w:lineRule="auto"/>
        <w:jc w:val="both"/>
        <w:rPr>
          <w:rFonts w:ascii="Palatino Linotype" w:eastAsia="Palatino Linotype" w:hAnsi="Palatino Linotype" w:cs="Palatino Linotype"/>
        </w:rPr>
      </w:pPr>
    </w:p>
    <w:p w:rsidR="00DD4811" w:rsidRDefault="00605A3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lo que, establecen los siguientes criterios de contenido para la publicación de dicha información, a saber:</w:t>
      </w:r>
    </w:p>
    <w:p w:rsidR="00DD4811" w:rsidRDefault="00DD4811">
      <w:pPr>
        <w:jc w:val="both"/>
        <w:rPr>
          <w:rFonts w:ascii="Palatino Linotype" w:eastAsia="Palatino Linotype" w:hAnsi="Palatino Linotype" w:cs="Palatino Linotype"/>
        </w:rPr>
      </w:pPr>
    </w:p>
    <w:p w:rsidR="00DD4811" w:rsidRDefault="00605A3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Criterios sustantivos de contenido</w:t>
      </w:r>
      <w:r>
        <w:rPr>
          <w:rFonts w:ascii="Palatino Linotype" w:eastAsia="Palatino Linotype" w:hAnsi="Palatino Linotype" w:cs="Palatino Linotype"/>
          <w:i/>
          <w:sz w:val="22"/>
          <w:szCs w:val="22"/>
        </w:rPr>
        <w:t xml:space="preserve"> </w:t>
      </w:r>
    </w:p>
    <w:p w:rsidR="00DD4811" w:rsidRDefault="00605A31">
      <w:pPr>
        <w:ind w:left="1843" w:right="902" w:hanging="99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Criterio 1</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Denominación del Área</w:t>
      </w:r>
      <w:r>
        <w:rPr>
          <w:rFonts w:ascii="Palatino Linotype" w:eastAsia="Palatino Linotype" w:hAnsi="Palatino Linotype" w:cs="Palatino Linotype"/>
          <w:i/>
          <w:sz w:val="22"/>
          <w:szCs w:val="22"/>
        </w:rPr>
        <w:t xml:space="preserve"> (de acuerdo con el catálogo que en su caso regule la actividad del sujeto obligado) </w:t>
      </w:r>
    </w:p>
    <w:p w:rsidR="00DD4811" w:rsidRDefault="00605A31">
      <w:pPr>
        <w:ind w:left="1843" w:right="902" w:hanging="99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Criterio 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Denominación del puesto</w:t>
      </w:r>
      <w:r>
        <w:rPr>
          <w:rFonts w:ascii="Palatino Linotype" w:eastAsia="Palatino Linotype" w:hAnsi="Palatino Linotype" w:cs="Palatino Linotype"/>
          <w:i/>
          <w:sz w:val="22"/>
          <w:szCs w:val="22"/>
        </w:rPr>
        <w:t xml:space="preserve"> (de acuerdo con el catálogo que en su caso regule la actividad del sujeto obligado). La información deberá estar ordenada de tal forma que sea posible visualizar los niveles de jerarquía y sus relaciones de dependencia </w:t>
      </w:r>
    </w:p>
    <w:p w:rsidR="00DD4811" w:rsidRDefault="00605A31">
      <w:pPr>
        <w:ind w:left="1843" w:right="902" w:hanging="99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Criterio 3</w:t>
      </w:r>
      <w:r>
        <w:rPr>
          <w:rFonts w:ascii="Palatino Linotype" w:eastAsia="Palatino Linotype" w:hAnsi="Palatino Linotype" w:cs="Palatino Linotype"/>
          <w:i/>
          <w:sz w:val="22"/>
          <w:szCs w:val="22"/>
        </w:rPr>
        <w:t xml:space="preserve"> Denominación del cargo (</w:t>
      </w:r>
      <w:r>
        <w:rPr>
          <w:rFonts w:ascii="Palatino Linotype" w:eastAsia="Palatino Linotype" w:hAnsi="Palatino Linotype" w:cs="Palatino Linotype"/>
          <w:i/>
          <w:sz w:val="22"/>
          <w:szCs w:val="22"/>
        </w:rPr>
        <w:t xml:space="preserve">de conformidad con nombramiento otorgado) </w:t>
      </w:r>
    </w:p>
    <w:p w:rsidR="00DD4811" w:rsidRDefault="00605A31">
      <w:pPr>
        <w:ind w:left="1843" w:right="902" w:hanging="99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Criterio 4</w:t>
      </w:r>
      <w:r>
        <w:rPr>
          <w:rFonts w:ascii="Palatino Linotype" w:eastAsia="Palatino Linotype" w:hAnsi="Palatino Linotype" w:cs="Palatino Linotype"/>
          <w:i/>
          <w:sz w:val="22"/>
          <w:szCs w:val="22"/>
        </w:rPr>
        <w:t xml:space="preserve"> Clave o nivel del puesto (en su caso) de acuerdo con el catálogo que regule la actividad del sujeto obligado] </w:t>
      </w:r>
    </w:p>
    <w:p w:rsidR="00DD4811" w:rsidRDefault="00605A31">
      <w:pPr>
        <w:ind w:left="1843" w:right="902" w:hanging="99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Criterio 5</w:t>
      </w:r>
      <w:r>
        <w:rPr>
          <w:rFonts w:ascii="Palatino Linotype" w:eastAsia="Palatino Linotype" w:hAnsi="Palatino Linotype" w:cs="Palatino Linotype"/>
          <w:i/>
          <w:sz w:val="22"/>
          <w:szCs w:val="22"/>
        </w:rPr>
        <w:t xml:space="preserve"> Tipo de integrante del sujeto obligado (funcionario / servidor público / emplead</w:t>
      </w:r>
      <w:r>
        <w:rPr>
          <w:rFonts w:ascii="Palatino Linotype" w:eastAsia="Palatino Linotype" w:hAnsi="Palatino Linotype" w:cs="Palatino Linotype"/>
          <w:i/>
          <w:sz w:val="22"/>
          <w:szCs w:val="22"/>
        </w:rPr>
        <w:t xml:space="preserve">o / representante popular / miembro del poder judicial / miembro de órgano autónomo [especificar denominación] / personal de confianza / prestador de servicios profesionales / otro [especificar denominación]) </w:t>
      </w:r>
    </w:p>
    <w:p w:rsidR="00DD4811" w:rsidRDefault="00605A31">
      <w:pPr>
        <w:ind w:left="1843" w:right="902" w:hanging="99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Criterio 6</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Área de adscripción</w:t>
      </w:r>
      <w:r>
        <w:rPr>
          <w:rFonts w:ascii="Palatino Linotype" w:eastAsia="Palatino Linotype" w:hAnsi="Palatino Linotype" w:cs="Palatino Linotype"/>
          <w:i/>
          <w:sz w:val="22"/>
          <w:szCs w:val="22"/>
        </w:rPr>
        <w:t xml:space="preserve"> (Área inmediata</w:t>
      </w:r>
      <w:r>
        <w:rPr>
          <w:rFonts w:ascii="Palatino Linotype" w:eastAsia="Palatino Linotype" w:hAnsi="Palatino Linotype" w:cs="Palatino Linotype"/>
          <w:i/>
          <w:sz w:val="22"/>
          <w:szCs w:val="22"/>
        </w:rPr>
        <w:t xml:space="preserve"> superior) </w:t>
      </w:r>
    </w:p>
    <w:p w:rsidR="00DD4811" w:rsidRDefault="00605A31">
      <w:pPr>
        <w:ind w:left="1843" w:right="902" w:hanging="99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Criterio 7</w:t>
      </w:r>
      <w:r>
        <w:rPr>
          <w:rFonts w:ascii="Palatino Linotype" w:eastAsia="Palatino Linotype" w:hAnsi="Palatino Linotype" w:cs="Palatino Linotype"/>
          <w:i/>
          <w:sz w:val="22"/>
          <w:szCs w:val="22"/>
        </w:rPr>
        <w:t xml:space="preserve"> Por cada puesto y/o cargo de la estructura se deberá especificar la denominación de la norma que establece sus atribuciones, responsabilidades y/o funciones, según sea el caso </w:t>
      </w:r>
    </w:p>
    <w:p w:rsidR="00DD4811" w:rsidRDefault="00605A31">
      <w:pPr>
        <w:ind w:left="1843" w:right="902" w:hanging="99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Criterio 8</w:t>
      </w:r>
      <w:r>
        <w:rPr>
          <w:rFonts w:ascii="Palatino Linotype" w:eastAsia="Palatino Linotype" w:hAnsi="Palatino Linotype" w:cs="Palatino Linotype"/>
          <w:i/>
          <w:sz w:val="22"/>
          <w:szCs w:val="22"/>
        </w:rPr>
        <w:t xml:space="preserve"> Fundamento legal (artículo y/o fracción) que </w:t>
      </w:r>
      <w:r>
        <w:rPr>
          <w:rFonts w:ascii="Palatino Linotype" w:eastAsia="Palatino Linotype" w:hAnsi="Palatino Linotype" w:cs="Palatino Linotype"/>
          <w:i/>
          <w:sz w:val="22"/>
          <w:szCs w:val="22"/>
        </w:rPr>
        <w:t xml:space="preserve">sustenta el puesto </w:t>
      </w:r>
    </w:p>
    <w:p w:rsidR="00DD4811" w:rsidRDefault="00605A31">
      <w:pPr>
        <w:ind w:left="1843" w:right="902" w:hanging="99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Criterio 9</w:t>
      </w:r>
      <w:r>
        <w:rPr>
          <w:rFonts w:ascii="Palatino Linotype" w:eastAsia="Palatino Linotype" w:hAnsi="Palatino Linotype" w:cs="Palatino Linotype"/>
          <w:i/>
          <w:sz w:val="22"/>
          <w:szCs w:val="22"/>
        </w:rPr>
        <w:t xml:space="preserve"> Por cada puesto o cargo deben desplegarse las atribuciones, responsabilidades y/o funciones, según sea el caso </w:t>
      </w:r>
    </w:p>
    <w:p w:rsidR="00DD4811" w:rsidRDefault="00605A31">
      <w:pPr>
        <w:ind w:left="1843" w:right="902" w:hanging="99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Criterio 10</w:t>
      </w:r>
      <w:r>
        <w:rPr>
          <w:rFonts w:ascii="Palatino Linotype" w:eastAsia="Palatino Linotype" w:hAnsi="Palatino Linotype" w:cs="Palatino Linotype"/>
          <w:i/>
          <w:sz w:val="22"/>
          <w:szCs w:val="22"/>
        </w:rPr>
        <w:t xml:space="preserve"> Hipervínculo al perfil y/o requerimientos del puesto o cargo, en caso de existir de acuerdo con la no</w:t>
      </w:r>
      <w:r>
        <w:rPr>
          <w:rFonts w:ascii="Palatino Linotype" w:eastAsia="Palatino Linotype" w:hAnsi="Palatino Linotype" w:cs="Palatino Linotype"/>
          <w:i/>
          <w:sz w:val="22"/>
          <w:szCs w:val="22"/>
        </w:rPr>
        <w:t xml:space="preserve">rmatividad que aplique </w:t>
      </w:r>
    </w:p>
    <w:p w:rsidR="00DD4811" w:rsidRDefault="00605A31">
      <w:pPr>
        <w:ind w:left="1843" w:right="902" w:hanging="99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Criterio 11</w:t>
      </w:r>
      <w:r>
        <w:rPr>
          <w:rFonts w:ascii="Palatino Linotype" w:eastAsia="Palatino Linotype" w:hAnsi="Palatino Linotype" w:cs="Palatino Linotype"/>
          <w:i/>
          <w:sz w:val="22"/>
          <w:szCs w:val="22"/>
        </w:rPr>
        <w:t xml:space="preserve"> En cada nivel de estructura se deben incluir, en su caso, a los prestadores de servicios profesionales o los miembros que se integren al sujeto obligado de conformidad con las disposiciones aplicables (por ejemplo, en pu</w:t>
      </w:r>
      <w:r>
        <w:rPr>
          <w:rFonts w:ascii="Palatino Linotype" w:eastAsia="Palatino Linotype" w:hAnsi="Palatino Linotype" w:cs="Palatino Linotype"/>
          <w:i/>
          <w:sz w:val="22"/>
          <w:szCs w:val="22"/>
        </w:rPr>
        <w:t xml:space="preserve">estos honoríficos) </w:t>
      </w:r>
    </w:p>
    <w:p w:rsidR="00DD4811" w:rsidRDefault="00605A31">
      <w:pPr>
        <w:ind w:left="1843" w:right="902" w:hanging="99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Criterio 12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Hipervínculo al organigrama completo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(forma gráfica)</w:t>
      </w:r>
      <w:r>
        <w:rPr>
          <w:rFonts w:ascii="Palatino Linotype" w:eastAsia="Palatino Linotype" w:hAnsi="Palatino Linotype" w:cs="Palatino Linotype"/>
          <w:i/>
          <w:sz w:val="22"/>
          <w:szCs w:val="22"/>
        </w:rPr>
        <w:t xml:space="preserve"> acorde a su normatividad, el cual deberá contener el número de dictamen o similar </w:t>
      </w:r>
    </w:p>
    <w:p w:rsidR="00DD4811" w:rsidRDefault="00605A31">
      <w:pPr>
        <w:ind w:left="1843" w:right="902" w:hanging="99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Criterio 13</w:t>
      </w:r>
      <w:r>
        <w:rPr>
          <w:rFonts w:ascii="Palatino Linotype" w:eastAsia="Palatino Linotype" w:hAnsi="Palatino Linotype" w:cs="Palatino Linotype"/>
          <w:i/>
          <w:sz w:val="22"/>
          <w:szCs w:val="22"/>
        </w:rPr>
        <w:t xml:space="preserve"> Respecto de los prestadores de servicios profesionales reportados se incluir</w:t>
      </w:r>
      <w:r>
        <w:rPr>
          <w:rFonts w:ascii="Palatino Linotype" w:eastAsia="Palatino Linotype" w:hAnsi="Palatino Linotype" w:cs="Palatino Linotype"/>
          <w:i/>
          <w:sz w:val="22"/>
          <w:szCs w:val="22"/>
        </w:rPr>
        <w:t>á una leyenda que especifique que éstos no forman parte de la estructura orgánica del sujeto obligado, toda vez que fungen como apoyo para el desarrollo de las actividades de los puestos que sí conforman la estructura.” (Sic)</w:t>
      </w:r>
    </w:p>
    <w:p w:rsidR="00DD4811" w:rsidRDefault="00605A31">
      <w:pPr>
        <w:ind w:left="1843" w:right="902" w:hanging="992"/>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(Énfasis añadido)</w:t>
      </w:r>
    </w:p>
    <w:p w:rsidR="00DD4811" w:rsidRDefault="00DD4811">
      <w:pPr>
        <w:ind w:left="1843" w:right="902" w:hanging="992"/>
        <w:rPr>
          <w:rFonts w:ascii="Palatino Linotype" w:eastAsia="Palatino Linotype" w:hAnsi="Palatino Linotype" w:cs="Palatino Linotype"/>
          <w:sz w:val="22"/>
          <w:szCs w:val="22"/>
        </w:rPr>
      </w:pPr>
    </w:p>
    <w:p w:rsidR="00DD4811" w:rsidRDefault="00605A3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expuesto, se colige que cada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deberá publicar su estructura orgánica vigente, conforme a criterios de jerarquía y especialización, ordenados y codificados, cuando así corresponda, mediante los catálogos de Áreas y de clave o nivel del puesto; cada nivel de estructura deberá desplegar u</w:t>
      </w:r>
      <w:r>
        <w:rPr>
          <w:rFonts w:ascii="Palatino Linotype" w:eastAsia="Palatino Linotype" w:hAnsi="Palatino Linotype" w:cs="Palatino Linotype"/>
        </w:rPr>
        <w:t xml:space="preserve">n listado de las áreas que le están subordinadas jerárquicamente; así como, las atribuciones, responsabilidades y/o funciones conferidas por las disposiciones aplicables a los(as) servidores(as) públicos(as) y/o toda persona que desempeñe un empleo, cargo </w:t>
      </w:r>
      <w:r>
        <w:rPr>
          <w:rFonts w:ascii="Palatino Linotype" w:eastAsia="Palatino Linotype" w:hAnsi="Palatino Linotype" w:cs="Palatino Linotype"/>
        </w:rPr>
        <w:t>o comisión y/o ejerza actos de autoridad, además de los(as) prestadores(as) de servicios profesionales contratados en cada una de esas áreas; asimismo, un hipervínculo al organigrama completo, con el objetivo de visualizar la representación gráfica de la e</w:t>
      </w:r>
      <w:r>
        <w:rPr>
          <w:rFonts w:ascii="Palatino Linotype" w:eastAsia="Palatino Linotype" w:hAnsi="Palatino Linotype" w:cs="Palatino Linotype"/>
        </w:rPr>
        <w:t xml:space="preserve">structura orgánica, desde el puesto del titular del Sujeto Obligado hasta el nivel de jefatura de departamento </w:t>
      </w:r>
      <w:proofErr w:type="spellStart"/>
      <w:r>
        <w:rPr>
          <w:rFonts w:ascii="Palatino Linotype" w:eastAsia="Palatino Linotype" w:hAnsi="Palatino Linotype" w:cs="Palatino Linotype"/>
        </w:rPr>
        <w:t>u</w:t>
      </w:r>
      <w:proofErr w:type="spellEnd"/>
      <w:r>
        <w:rPr>
          <w:rFonts w:ascii="Palatino Linotype" w:eastAsia="Palatino Linotype" w:hAnsi="Palatino Linotype" w:cs="Palatino Linotype"/>
        </w:rPr>
        <w:t xml:space="preserve"> homólogo y, en su caso, los prestadores de servicios profesionales y/o cualquier otro tipo de personal adscrito.</w:t>
      </w:r>
    </w:p>
    <w:p w:rsidR="00DD4811" w:rsidRDefault="00DD4811">
      <w:pPr>
        <w:spacing w:line="360" w:lineRule="auto"/>
        <w:jc w:val="both"/>
        <w:rPr>
          <w:rFonts w:ascii="Palatino Linotype" w:eastAsia="Palatino Linotype" w:hAnsi="Palatino Linotype" w:cs="Palatino Linotype"/>
        </w:rPr>
      </w:pPr>
    </w:p>
    <w:p w:rsidR="00DD4811" w:rsidRDefault="00605A31">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Derivado de lo anterior, es d</w:t>
      </w:r>
      <w:r>
        <w:rPr>
          <w:rFonts w:ascii="Palatino Linotype" w:eastAsia="Palatino Linotype" w:hAnsi="Palatino Linotype" w:cs="Palatino Linotype"/>
        </w:rPr>
        <w:t xml:space="preserve">e señalar que del análisis realizado al link electrónico proporcionado por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en Informe Justificado, se advierte que se encuentra disponible parte de la información requerida por el particular; ello en razón de que únicamente se encuentra </w:t>
      </w:r>
      <w:r>
        <w:rPr>
          <w:rFonts w:ascii="Palatino Linotype" w:eastAsia="Palatino Linotype" w:hAnsi="Palatino Linotype" w:cs="Palatino Linotype"/>
        </w:rPr>
        <w:t xml:space="preserve">disponible la correspondiente a los Titulares de la Unidades Administrativas, sin encontrarse desplegadas las áreas que le están subordinadas jerárquicamente; así como, en su caso personal de gabinete de apoyo </w:t>
      </w:r>
      <w:proofErr w:type="spellStart"/>
      <w:r>
        <w:rPr>
          <w:rFonts w:ascii="Palatino Linotype" w:eastAsia="Palatino Linotype" w:hAnsi="Palatino Linotype" w:cs="Palatino Linotype"/>
        </w:rPr>
        <w:t>u</w:t>
      </w:r>
      <w:proofErr w:type="spellEnd"/>
      <w:r>
        <w:rPr>
          <w:rFonts w:ascii="Palatino Linotype" w:eastAsia="Palatino Linotype" w:hAnsi="Palatino Linotype" w:cs="Palatino Linotype"/>
        </w:rPr>
        <w:t xml:space="preserve"> homólogo, prestadores de servicios profesion</w:t>
      </w:r>
      <w:r>
        <w:rPr>
          <w:rFonts w:ascii="Palatino Linotype" w:eastAsia="Palatino Linotype" w:hAnsi="Palatino Linotype" w:cs="Palatino Linotype"/>
        </w:rPr>
        <w:t xml:space="preserve">ales. </w:t>
      </w:r>
    </w:p>
    <w:p w:rsidR="00DD4811" w:rsidRDefault="00DD4811">
      <w:pPr>
        <w:spacing w:line="360" w:lineRule="auto"/>
        <w:ind w:right="49"/>
        <w:jc w:val="both"/>
        <w:rPr>
          <w:rFonts w:ascii="Palatino Linotype" w:eastAsia="Palatino Linotype" w:hAnsi="Palatino Linotype" w:cs="Palatino Linotype"/>
        </w:rPr>
      </w:pPr>
    </w:p>
    <w:p w:rsidR="00DD4811" w:rsidRDefault="00605A31">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así que, derivado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se encontraba obligado a generar la información como fue solicitada el particular; al corresponder a una de las obligaciones de transparencia que en su momento debió publicar en el año 2015; este Órgano G</w:t>
      </w:r>
      <w:r>
        <w:rPr>
          <w:rFonts w:ascii="Palatino Linotype" w:eastAsia="Palatino Linotype" w:hAnsi="Palatino Linotype" w:cs="Palatino Linotype"/>
        </w:rPr>
        <w:t xml:space="preserve">arante determina ordenar la entrega de la información faltante. </w:t>
      </w:r>
    </w:p>
    <w:p w:rsidR="00DD4811" w:rsidRDefault="00DD4811">
      <w:pPr>
        <w:spacing w:line="360" w:lineRule="auto"/>
        <w:ind w:right="49"/>
        <w:jc w:val="both"/>
        <w:rPr>
          <w:rFonts w:ascii="Palatino Linotype" w:eastAsia="Palatino Linotype" w:hAnsi="Palatino Linotype" w:cs="Palatino Linotype"/>
        </w:rPr>
      </w:pPr>
    </w:p>
    <w:p w:rsidR="00DD4811" w:rsidRDefault="00605A31">
      <w:pPr>
        <w:spacing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Ahora bien, es importante señalar que </w:t>
      </w:r>
      <w:r>
        <w:rPr>
          <w:rFonts w:ascii="Palatino Linotype" w:eastAsia="Palatino Linotype" w:hAnsi="Palatino Linotype" w:cs="Palatino Linotype"/>
        </w:rPr>
        <w:t xml:space="preserve">para el caso de que no sea localizada la información de la cual se ordena su entrega,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deberá emitir el Acuerdo de Inexistencia confor</w:t>
      </w:r>
      <w:r>
        <w:rPr>
          <w:rFonts w:ascii="Palatino Linotype" w:eastAsia="Palatino Linotype" w:hAnsi="Palatino Linotype" w:cs="Palatino Linotype"/>
        </w:rPr>
        <w:t>me a lo establecido en los artículos 19, 49, fracciones II y XIII, 169 y 170 de la Ley de Transparencia y Acceso a la Información Pública del Estado de México y Municipios, que literalmente establecen:</w:t>
      </w:r>
    </w:p>
    <w:p w:rsidR="00DD4811" w:rsidRDefault="00DD4811">
      <w:pPr>
        <w:tabs>
          <w:tab w:val="left" w:pos="709"/>
        </w:tabs>
        <w:jc w:val="both"/>
        <w:rPr>
          <w:rFonts w:ascii="Palatino Linotype" w:eastAsia="Palatino Linotype" w:hAnsi="Palatino Linotype" w:cs="Palatino Linotype"/>
        </w:rPr>
      </w:pPr>
    </w:p>
    <w:p w:rsidR="00DD4811" w:rsidRDefault="00605A31">
      <w:pPr>
        <w:tabs>
          <w:tab w:val="left" w:pos="709"/>
        </w:tabs>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19. </w:t>
      </w:r>
      <w:r>
        <w:rPr>
          <w:rFonts w:ascii="Palatino Linotype" w:eastAsia="Palatino Linotype" w:hAnsi="Palatino Linotype" w:cs="Palatino Linotype"/>
          <w:i/>
          <w:u w:val="single"/>
        </w:rPr>
        <w:t>Se presume que la información debe exis</w:t>
      </w:r>
      <w:r>
        <w:rPr>
          <w:rFonts w:ascii="Palatino Linotype" w:eastAsia="Palatino Linotype" w:hAnsi="Palatino Linotype" w:cs="Palatino Linotype"/>
          <w:i/>
          <w:u w:val="single"/>
        </w:rPr>
        <w:t>tir si se refiere a las facultades, competencias y funciones que los ordenamientos jurídicos aplicables otorgan a los sujetos obligados. </w:t>
      </w:r>
    </w:p>
    <w:p w:rsidR="00DD4811" w:rsidRDefault="00605A31">
      <w:pPr>
        <w:tabs>
          <w:tab w:val="left" w:pos="709"/>
        </w:tabs>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DD4811" w:rsidRDefault="00605A31">
      <w:pPr>
        <w:tabs>
          <w:tab w:val="left" w:pos="709"/>
        </w:tabs>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Si el sujeto obligado, en el ejercicio de sus atribuciones, debía generar, poseer o administrar la información, pero</w:t>
      </w:r>
      <w:r>
        <w:rPr>
          <w:rFonts w:ascii="Palatino Linotype" w:eastAsia="Palatino Linotype" w:hAnsi="Palatino Linotype" w:cs="Palatino Linotype"/>
          <w:i/>
        </w:rPr>
        <w:t xml:space="preserve"> ésta no se encuentra, </w:t>
      </w:r>
      <w:r>
        <w:rPr>
          <w:rFonts w:ascii="Palatino Linotype" w:eastAsia="Palatino Linotype" w:hAnsi="Palatino Linotype" w:cs="Palatino Linotype"/>
          <w:i/>
          <w:u w:val="single"/>
        </w:rPr>
        <w:t>el Comité de transparencia deberá emitir un acuerdo de inexistencia, debidamente fundado y motivado, en el que detalle las razones del por qué no obra en sus archivos.</w:t>
      </w:r>
    </w:p>
    <w:p w:rsidR="00DD4811" w:rsidRDefault="00605A31">
      <w:pPr>
        <w:tabs>
          <w:tab w:val="left" w:pos="709"/>
        </w:tabs>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49.</w:t>
      </w:r>
      <w:r>
        <w:rPr>
          <w:rFonts w:ascii="Palatino Linotype" w:eastAsia="Palatino Linotype" w:hAnsi="Palatino Linotype" w:cs="Palatino Linotype"/>
          <w:i/>
        </w:rPr>
        <w:t xml:space="preserve"> Los </w:t>
      </w:r>
      <w:r>
        <w:rPr>
          <w:rFonts w:ascii="Palatino Linotype" w:eastAsia="Palatino Linotype" w:hAnsi="Palatino Linotype" w:cs="Palatino Linotype"/>
          <w:i/>
          <w:u w:val="single"/>
        </w:rPr>
        <w:t xml:space="preserve">Comités de Transparencia </w:t>
      </w:r>
      <w:r>
        <w:rPr>
          <w:rFonts w:ascii="Palatino Linotype" w:eastAsia="Palatino Linotype" w:hAnsi="Palatino Linotype" w:cs="Palatino Linotype"/>
          <w:i/>
        </w:rPr>
        <w:t xml:space="preserve">tendrán las siguientes </w:t>
      </w:r>
      <w:r>
        <w:rPr>
          <w:rFonts w:ascii="Palatino Linotype" w:eastAsia="Palatino Linotype" w:hAnsi="Palatino Linotype" w:cs="Palatino Linotype"/>
          <w:i/>
        </w:rPr>
        <w:t>atribuciones:</w:t>
      </w:r>
    </w:p>
    <w:p w:rsidR="00DD4811" w:rsidRDefault="00605A31">
      <w:pPr>
        <w:tabs>
          <w:tab w:val="left" w:pos="709"/>
        </w:tabs>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II. Confirmar, modificar o revocar las determinaciones que en materia de ampliación del plazo de respuesta, clasificación de la información</w:t>
      </w:r>
      <w:r>
        <w:rPr>
          <w:rFonts w:ascii="Palatino Linotype" w:eastAsia="Palatino Linotype" w:hAnsi="Palatino Linotype" w:cs="Palatino Linotype"/>
          <w:i/>
          <w:u w:val="single"/>
        </w:rPr>
        <w:t xml:space="preserve"> y declaración de inexistencia </w:t>
      </w:r>
      <w:r>
        <w:rPr>
          <w:rFonts w:ascii="Palatino Linotype" w:eastAsia="Palatino Linotype" w:hAnsi="Palatino Linotype" w:cs="Palatino Linotype"/>
          <w:i/>
        </w:rPr>
        <w:t>o de incompetencia realicen los titulares de las áreas de los sujetos ob</w:t>
      </w:r>
      <w:r>
        <w:rPr>
          <w:rFonts w:ascii="Palatino Linotype" w:eastAsia="Palatino Linotype" w:hAnsi="Palatino Linotype" w:cs="Palatino Linotype"/>
          <w:i/>
        </w:rPr>
        <w:t>ligados;</w:t>
      </w:r>
    </w:p>
    <w:p w:rsidR="00DD4811" w:rsidRDefault="00605A31">
      <w:pPr>
        <w:tabs>
          <w:tab w:val="left" w:pos="709"/>
        </w:tabs>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XIII. </w:t>
      </w:r>
      <w:r>
        <w:rPr>
          <w:rFonts w:ascii="Palatino Linotype" w:eastAsia="Palatino Linotype" w:hAnsi="Palatino Linotype" w:cs="Palatino Linotype"/>
          <w:i/>
          <w:u w:val="single"/>
        </w:rPr>
        <w:t>Dictaminar las declaratorias de inexistencia de la información que les remitan las unidades administrativas y resolver en consecuencia</w:t>
      </w:r>
      <w:r>
        <w:rPr>
          <w:rFonts w:ascii="Palatino Linotype" w:eastAsia="Palatino Linotype" w:hAnsi="Palatino Linotype" w:cs="Palatino Linotype"/>
          <w:i/>
        </w:rPr>
        <w:t>;</w:t>
      </w:r>
    </w:p>
    <w:p w:rsidR="00DD4811" w:rsidRDefault="00605A31">
      <w:pPr>
        <w:tabs>
          <w:tab w:val="left" w:pos="709"/>
        </w:tabs>
        <w:ind w:left="851" w:right="851"/>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I. </w:t>
      </w:r>
      <w:r>
        <w:rPr>
          <w:rFonts w:ascii="Palatino Linotype" w:eastAsia="Palatino Linotype" w:hAnsi="Palatino Linotype" w:cs="Palatino Linotype"/>
          <w:i/>
          <w:u w:val="single"/>
        </w:rPr>
        <w:t>Analizará el caso y tomará las medidas necesarias para localizar la información;</w:t>
      </w:r>
    </w:p>
    <w:p w:rsidR="00DD4811" w:rsidRDefault="00605A31">
      <w:pPr>
        <w:tabs>
          <w:tab w:val="left" w:pos="709"/>
        </w:tabs>
        <w:ind w:left="851" w:right="851"/>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II. </w:t>
      </w:r>
      <w:r>
        <w:rPr>
          <w:rFonts w:ascii="Palatino Linotype" w:eastAsia="Palatino Linotype" w:hAnsi="Palatino Linotype" w:cs="Palatino Linotype"/>
          <w:i/>
          <w:u w:val="single"/>
        </w:rPr>
        <w:t>Expedirá una reso</w:t>
      </w:r>
      <w:r>
        <w:rPr>
          <w:rFonts w:ascii="Palatino Linotype" w:eastAsia="Palatino Linotype" w:hAnsi="Palatino Linotype" w:cs="Palatino Linotype"/>
          <w:i/>
          <w:u w:val="single"/>
        </w:rPr>
        <w:t>lución que confirme la inexistencia del documento;</w:t>
      </w:r>
    </w:p>
    <w:p w:rsidR="00DD4811" w:rsidRDefault="00605A31">
      <w:pPr>
        <w:tabs>
          <w:tab w:val="left" w:pos="709"/>
        </w:tabs>
        <w:ind w:left="851" w:right="851"/>
        <w:jc w:val="both"/>
        <w:rPr>
          <w:rFonts w:ascii="Palatino Linotype" w:eastAsia="Palatino Linotype" w:hAnsi="Palatino Linotype" w:cs="Palatino Linotype"/>
          <w:b/>
          <w:i/>
        </w:rPr>
      </w:pPr>
      <w:r>
        <w:rPr>
          <w:rFonts w:ascii="Palatino Linotype" w:eastAsia="Palatino Linotype" w:hAnsi="Palatino Linotype" w:cs="Palatino Linotype"/>
          <w:b/>
          <w:i/>
        </w:rPr>
        <w:lastRenderedPageBreak/>
        <w:t xml:space="preserve">III. </w:t>
      </w:r>
      <w:r>
        <w:rPr>
          <w:rFonts w:ascii="Palatino Linotype" w:eastAsia="Palatino Linotype" w:hAnsi="Palatino Linotype" w:cs="Palatino Linotype"/>
          <w:i/>
          <w:u w:val="single"/>
        </w:rPr>
        <w:t>Ordenará, siempre que sea materialmente posible, que se genere o se reponga la  información en caso de que ésta tuviera que existir en la medida que deriva del ejercicio de sus facultades, competencia</w:t>
      </w:r>
      <w:r>
        <w:rPr>
          <w:rFonts w:ascii="Palatino Linotype" w:eastAsia="Palatino Linotype" w:hAnsi="Palatino Linotype" w:cs="Palatino Linotype"/>
          <w:i/>
          <w:u w:val="single"/>
        </w:rPr>
        <w:t>s o funciones, o que previa acreditación de la imposibilidad de su generación, exponga de forma fundada y motivada, las razones por las cuales en el caso particular no ejerció dichas facultades, competencias o funciones, lo cual notificará al solicitante a</w:t>
      </w:r>
      <w:r>
        <w:rPr>
          <w:rFonts w:ascii="Palatino Linotype" w:eastAsia="Palatino Linotype" w:hAnsi="Palatino Linotype" w:cs="Palatino Linotype"/>
          <w:i/>
          <w:u w:val="single"/>
        </w:rPr>
        <w:t xml:space="preserve"> través de la Unidad de Transparencia; y</w:t>
      </w:r>
    </w:p>
    <w:p w:rsidR="00DD4811" w:rsidRDefault="00605A31">
      <w:pPr>
        <w:tabs>
          <w:tab w:val="left" w:pos="709"/>
        </w:tabs>
        <w:ind w:left="851" w:right="851"/>
        <w:jc w:val="both"/>
        <w:rPr>
          <w:rFonts w:ascii="Palatino Linotype" w:eastAsia="Palatino Linotype" w:hAnsi="Palatino Linotype" w:cs="Palatino Linotype"/>
          <w:i/>
          <w:u w:val="single"/>
        </w:rPr>
      </w:pPr>
      <w:r>
        <w:rPr>
          <w:rFonts w:ascii="Palatino Linotype" w:eastAsia="Palatino Linotype" w:hAnsi="Palatino Linotype" w:cs="Palatino Linotype"/>
          <w:b/>
          <w:i/>
        </w:rPr>
        <w:t xml:space="preserve">IV. </w:t>
      </w:r>
      <w:r>
        <w:rPr>
          <w:rFonts w:ascii="Palatino Linotype" w:eastAsia="Palatino Linotype" w:hAnsi="Palatino Linotype" w:cs="Palatino Linotype"/>
          <w:i/>
          <w:u w:val="single"/>
        </w:rPr>
        <w:t>Notificará al órgano interno de control o equivalente del sujeto obligado quien, en su caso, deberá iniciar el procedimiento de responsabilidad administrativa que corresponda.</w:t>
      </w:r>
    </w:p>
    <w:p w:rsidR="00DD4811" w:rsidRDefault="00605A31">
      <w:pPr>
        <w:tabs>
          <w:tab w:val="left" w:pos="709"/>
        </w:tabs>
        <w:ind w:left="851" w:right="851"/>
        <w:jc w:val="both"/>
        <w:rPr>
          <w:rFonts w:ascii="Palatino Linotype" w:eastAsia="Palatino Linotype" w:hAnsi="Palatino Linotype" w:cs="Palatino Linotype"/>
          <w:i/>
          <w:u w:val="single"/>
        </w:rPr>
      </w:pPr>
      <w:r>
        <w:rPr>
          <w:rFonts w:ascii="Palatino Linotype" w:eastAsia="Palatino Linotype" w:hAnsi="Palatino Linotype" w:cs="Palatino Linotype"/>
          <w:i/>
          <w:u w:val="single"/>
        </w:rPr>
        <w:t>La Unidad de Transparencia deberá notificarlo al solicitante por escrito, en un plazo que no exceda de quince días hábiles contados a partir del día siguiente a la presentación de la solicitud.</w:t>
      </w:r>
    </w:p>
    <w:p w:rsidR="00DD4811" w:rsidRDefault="00605A31">
      <w:pPr>
        <w:tabs>
          <w:tab w:val="left" w:pos="709"/>
        </w:tabs>
        <w:ind w:left="851" w:right="851"/>
        <w:jc w:val="both"/>
        <w:rPr>
          <w:rFonts w:ascii="Palatino Linotype" w:eastAsia="Palatino Linotype" w:hAnsi="Palatino Linotype" w:cs="Palatino Linotype"/>
          <w:i/>
          <w:u w:val="single"/>
        </w:rPr>
      </w:pPr>
      <w:r>
        <w:rPr>
          <w:rFonts w:ascii="Palatino Linotype" w:eastAsia="Palatino Linotype" w:hAnsi="Palatino Linotype" w:cs="Palatino Linotype"/>
          <w:i/>
          <w:u w:val="single"/>
        </w:rPr>
        <w:t>Este plazo podrá ampliarse hasta por otros siete días hábiles,</w:t>
      </w:r>
      <w:r>
        <w:rPr>
          <w:rFonts w:ascii="Palatino Linotype" w:eastAsia="Palatino Linotype" w:hAnsi="Palatino Linotype" w:cs="Palatino Linotype"/>
          <w:i/>
          <w:u w:val="single"/>
        </w:rPr>
        <w:t xml:space="preserve"> siempre que existan razones para ello, debiendo notificarse por escrito al solicitante.</w:t>
      </w:r>
    </w:p>
    <w:p w:rsidR="00DD4811" w:rsidRDefault="00605A31">
      <w:pPr>
        <w:tabs>
          <w:tab w:val="left" w:pos="709"/>
        </w:tabs>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169.</w:t>
      </w:r>
      <w:r>
        <w:rPr>
          <w:rFonts w:ascii="Palatino Linotype" w:eastAsia="Palatino Linotype" w:hAnsi="Palatino Linotype" w:cs="Palatino Linotype"/>
          <w:i/>
        </w:rPr>
        <w:t xml:space="preserve"> Cuando la información no se encuentre en los archivos del sujeto obligado, el Comité de Transparencia:</w:t>
      </w:r>
    </w:p>
    <w:p w:rsidR="00DD4811" w:rsidRDefault="00605A31">
      <w:pPr>
        <w:tabs>
          <w:tab w:val="left" w:pos="709"/>
        </w:tabs>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Analizará el caso y tomará las medidas necesarias para localizar la información;</w:t>
      </w:r>
    </w:p>
    <w:p w:rsidR="00DD4811" w:rsidRDefault="00605A31">
      <w:pPr>
        <w:tabs>
          <w:tab w:val="left" w:pos="709"/>
        </w:tabs>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Expedirá una resolución que confirme la inexistencia del documento;</w:t>
      </w:r>
    </w:p>
    <w:p w:rsidR="00DD4811" w:rsidRDefault="00605A31">
      <w:pPr>
        <w:tabs>
          <w:tab w:val="left" w:pos="709"/>
        </w:tabs>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Ordenará, siempre que sea materialmente posible, que se genere o se reponga la información en cas</w:t>
      </w:r>
      <w:r>
        <w:rPr>
          <w:rFonts w:ascii="Palatino Linotype" w:eastAsia="Palatino Linotype" w:hAnsi="Palatino Linotype" w:cs="Palatino Linotype"/>
          <w:i/>
        </w:rPr>
        <w:t xml:space="preserve">o de que ésta tuviera que existir en la medida que deriva del ejercicio de sus facultades, competencias o funciones, o que previa acreditación de la imposibilidad de su generación, exponga de forma fundada y motivada, las razones por las cuales en el caso </w:t>
      </w:r>
      <w:r>
        <w:rPr>
          <w:rFonts w:ascii="Palatino Linotype" w:eastAsia="Palatino Linotype" w:hAnsi="Palatino Linotype" w:cs="Palatino Linotype"/>
          <w:i/>
        </w:rPr>
        <w:t>particular no ejerció dichas facultades, competencias o funciones, lo cual notificará al solicitante a través de la Unidad de Transparencia; y</w:t>
      </w:r>
    </w:p>
    <w:p w:rsidR="00DD4811" w:rsidRDefault="00605A31">
      <w:pPr>
        <w:tabs>
          <w:tab w:val="left" w:pos="709"/>
        </w:tabs>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IV.</w:t>
      </w:r>
      <w:r>
        <w:rPr>
          <w:rFonts w:ascii="Palatino Linotype" w:eastAsia="Palatino Linotype" w:hAnsi="Palatino Linotype" w:cs="Palatino Linotype"/>
          <w:i/>
        </w:rPr>
        <w:t xml:space="preserve"> Notificará al órgano interno de control o equivalente del sujeto obligado quien, en su caso, deberá iniciar e</w:t>
      </w:r>
      <w:r>
        <w:rPr>
          <w:rFonts w:ascii="Palatino Linotype" w:eastAsia="Palatino Linotype" w:hAnsi="Palatino Linotype" w:cs="Palatino Linotype"/>
          <w:i/>
        </w:rPr>
        <w:t>l procedimiento de responsabilidad administrativa que corresponda.</w:t>
      </w:r>
    </w:p>
    <w:p w:rsidR="00DD4811" w:rsidRDefault="00605A31">
      <w:pPr>
        <w:tabs>
          <w:tab w:val="left" w:pos="709"/>
        </w:tabs>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La Unidad de Transparencia deberá notificarlo al solicitante por escrito, en un plazo que no exceda de quince días hábiles contados a partir del día siguiente a la presentación de la solici</w:t>
      </w:r>
      <w:r>
        <w:rPr>
          <w:rFonts w:ascii="Palatino Linotype" w:eastAsia="Palatino Linotype" w:hAnsi="Palatino Linotype" w:cs="Palatino Linotype"/>
          <w:i/>
        </w:rPr>
        <w:t>tud.</w:t>
      </w:r>
    </w:p>
    <w:p w:rsidR="00DD4811" w:rsidRDefault="00605A31">
      <w:pPr>
        <w:tabs>
          <w:tab w:val="left" w:pos="709"/>
        </w:tabs>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Este plazo podrá ampliarse hasta por otros siete días hábiles, siempre que existan razones para ello, debiendo notificarse por escrito al solicitante.</w:t>
      </w:r>
    </w:p>
    <w:p w:rsidR="00DD4811" w:rsidRDefault="00605A31">
      <w:pPr>
        <w:tabs>
          <w:tab w:val="left" w:pos="709"/>
        </w:tabs>
        <w:ind w:left="851" w:right="851"/>
        <w:jc w:val="both"/>
        <w:rPr>
          <w:rFonts w:ascii="Palatino Linotype" w:eastAsia="Palatino Linotype" w:hAnsi="Palatino Linotype" w:cs="Palatino Linotype"/>
          <w:b/>
          <w:i/>
        </w:rPr>
      </w:pPr>
      <w:r>
        <w:rPr>
          <w:rFonts w:ascii="Palatino Linotype" w:eastAsia="Palatino Linotype" w:hAnsi="Palatino Linotype" w:cs="Palatino Linotype"/>
          <w:b/>
          <w:i/>
        </w:rPr>
        <w:lastRenderedPageBreak/>
        <w:t>Artículo 170.</w:t>
      </w:r>
      <w:r>
        <w:rPr>
          <w:rFonts w:ascii="Palatino Linotype" w:eastAsia="Palatino Linotype" w:hAnsi="Palatino Linotype" w:cs="Palatino Linotype"/>
          <w:i/>
        </w:rPr>
        <w:t xml:space="preserve"> </w:t>
      </w:r>
      <w:r>
        <w:rPr>
          <w:rFonts w:ascii="Palatino Linotype" w:eastAsia="Palatino Linotype" w:hAnsi="Palatino Linotype" w:cs="Palatino Linotype"/>
          <w:i/>
          <w:u w:val="single"/>
        </w:rPr>
        <w:t>La resolución del Comité de Transparencia que confirme la inexistencia de la informaci</w:t>
      </w:r>
      <w:r>
        <w:rPr>
          <w:rFonts w:ascii="Palatino Linotype" w:eastAsia="Palatino Linotype" w:hAnsi="Palatino Linotype" w:cs="Palatino Linotype"/>
          <w:i/>
          <w:u w:val="single"/>
        </w:rPr>
        <w:t>ón solicitada contendrá los elementos mínimos que permitan al solicitante tener la certeza de que se utilizó un criterio de búsqueda exhaustivo, además de señalar las circunstancias de tiempo, modo y lugar que generaron la existencia en cuestión y señalará</w:t>
      </w:r>
      <w:r>
        <w:rPr>
          <w:rFonts w:ascii="Palatino Linotype" w:eastAsia="Palatino Linotype" w:hAnsi="Palatino Linotype" w:cs="Palatino Linotype"/>
          <w:i/>
          <w:u w:val="single"/>
        </w:rPr>
        <w:t xml:space="preserve"> al servidor público responsable de contar con la misma.</w:t>
      </w:r>
      <w:r>
        <w:rPr>
          <w:rFonts w:ascii="Palatino Linotype" w:eastAsia="Palatino Linotype" w:hAnsi="Palatino Linotype" w:cs="Palatino Linotype"/>
          <w:i/>
        </w:rPr>
        <w:t xml:space="preserve">” </w:t>
      </w:r>
      <w:r>
        <w:rPr>
          <w:rFonts w:ascii="Palatino Linotype" w:eastAsia="Palatino Linotype" w:hAnsi="Palatino Linotype" w:cs="Palatino Linotype"/>
          <w:b/>
          <w:i/>
        </w:rPr>
        <w:t>[Sic]</w:t>
      </w:r>
    </w:p>
    <w:p w:rsidR="00DD4811" w:rsidRDefault="00DD4811">
      <w:pPr>
        <w:tabs>
          <w:tab w:val="left" w:pos="709"/>
        </w:tabs>
        <w:ind w:left="851" w:right="851"/>
        <w:jc w:val="both"/>
        <w:rPr>
          <w:rFonts w:ascii="Palatino Linotype" w:eastAsia="Palatino Linotype" w:hAnsi="Palatino Linotype" w:cs="Palatino Linotype"/>
          <w:b/>
          <w:i/>
        </w:rPr>
      </w:pPr>
    </w:p>
    <w:p w:rsidR="00DD4811" w:rsidRDefault="00605A3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legales señalados, se advierte que en los casos en que la información solicitada no se encuentre en los archivos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 al Comité de Transparencia al que le </w:t>
      </w:r>
      <w:r>
        <w:rPr>
          <w:rFonts w:ascii="Palatino Linotype" w:eastAsia="Palatino Linotype" w:hAnsi="Palatino Linotype" w:cs="Palatino Linotype"/>
        </w:rPr>
        <w:t xml:space="preserve">corresponde analizar el caso y tomar las medidas necesarias para localización de la información requerida y en su caso </w:t>
      </w:r>
      <w:r>
        <w:rPr>
          <w:rFonts w:ascii="Palatino Linotype" w:eastAsia="Palatino Linotype" w:hAnsi="Palatino Linotype" w:cs="Palatino Linotype"/>
          <w:b/>
        </w:rPr>
        <w:t>ordenará</w:t>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siempre que sea materialmente posible, que se genere o se reponga la información en caso de que ésta tuviera que existir en la </w:t>
      </w:r>
      <w:r>
        <w:rPr>
          <w:rFonts w:ascii="Palatino Linotype" w:eastAsia="Palatino Linotype" w:hAnsi="Palatino Linotype" w:cs="Palatino Linotype"/>
        </w:rPr>
        <w:t xml:space="preserve">medida que deriva del ejercicio de sus facultades, competencias o funciones; asimismo, debe notificar al órgano de control interno del </w:t>
      </w:r>
      <w:r>
        <w:rPr>
          <w:rFonts w:ascii="Palatino Linotype" w:eastAsia="Palatino Linotype" w:hAnsi="Palatino Linotype" w:cs="Palatino Linotype"/>
          <w:b/>
        </w:rPr>
        <w:t>SUJETO OBLIGADO</w:t>
      </w:r>
      <w:r>
        <w:rPr>
          <w:rFonts w:ascii="Palatino Linotype" w:eastAsia="Palatino Linotype" w:hAnsi="Palatino Linotype" w:cs="Palatino Linotype"/>
        </w:rPr>
        <w:t>, a fin de que inicie el procedimiento de responsabilidad administrativa correspondiente.</w:t>
      </w:r>
    </w:p>
    <w:p w:rsidR="00DD4811" w:rsidRDefault="00DD4811">
      <w:pPr>
        <w:spacing w:line="360" w:lineRule="auto"/>
        <w:ind w:right="-91"/>
        <w:jc w:val="both"/>
        <w:rPr>
          <w:rFonts w:ascii="Palatino Linotype" w:eastAsia="Palatino Linotype" w:hAnsi="Palatino Linotype" w:cs="Palatino Linotype"/>
        </w:rPr>
      </w:pPr>
    </w:p>
    <w:p w:rsidR="00DD4811" w:rsidRDefault="00605A31">
      <w:pPr>
        <w:spacing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 xml:space="preserve">Asimismo, </w:t>
      </w:r>
      <w:r>
        <w:rPr>
          <w:rFonts w:ascii="Palatino Linotype" w:eastAsia="Palatino Linotype" w:hAnsi="Palatino Linotype" w:cs="Palatino Linotype"/>
          <w:color w:val="000000"/>
        </w:rPr>
        <w:t>se es</w:t>
      </w:r>
      <w:r>
        <w:rPr>
          <w:rFonts w:ascii="Palatino Linotype" w:eastAsia="Palatino Linotype" w:hAnsi="Palatino Linotype" w:cs="Palatino Linotype"/>
          <w:color w:val="000000"/>
        </w:rPr>
        <w:t xml:space="preserve">tablecerá de manera fundada y motivada </w:t>
      </w:r>
      <w:r>
        <w:rPr>
          <w:rFonts w:ascii="Palatino Linotype" w:eastAsia="Palatino Linotype" w:hAnsi="Palatino Linotype" w:cs="Palatino Linotype"/>
        </w:rPr>
        <w:t>las razones del por qué no obra en sus archivos; así como los criterios y los métodos de búsqueda de la información utilizados; así como todas aquéllas circunstancias de modo, tiempo y lugar que se tomaron en cuenta p</w:t>
      </w:r>
      <w:r>
        <w:rPr>
          <w:rFonts w:ascii="Palatino Linotype" w:eastAsia="Palatino Linotype" w:hAnsi="Palatino Linotype" w:cs="Palatino Linotype"/>
        </w:rPr>
        <w:t>ara llegar a determinar que no obra en los archivos la información requerida.</w:t>
      </w:r>
    </w:p>
    <w:p w:rsidR="00DD4811" w:rsidRDefault="00DD4811">
      <w:pPr>
        <w:spacing w:line="360" w:lineRule="auto"/>
        <w:jc w:val="both"/>
        <w:rPr>
          <w:rFonts w:ascii="Palatino Linotype" w:eastAsia="Palatino Linotype" w:hAnsi="Palatino Linotype" w:cs="Palatino Linotype"/>
        </w:rPr>
      </w:pPr>
    </w:p>
    <w:p w:rsidR="00DD4811" w:rsidRDefault="00605A31">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igual forma, en observancia a lo anterior tiene aplicación lo establecido en los Lineamientos para la Recepción, Trámite y Resolución de las solicitudes de Acceso a la Inform</w:t>
      </w:r>
      <w:r>
        <w:rPr>
          <w:rFonts w:ascii="Palatino Linotype" w:eastAsia="Palatino Linotype" w:hAnsi="Palatino Linotype" w:cs="Palatino Linotype"/>
        </w:rPr>
        <w:t xml:space="preserve">ación Pública, Acceso, Modificación, Sustitución, Rectificación o Supresión </w:t>
      </w:r>
      <w:r>
        <w:rPr>
          <w:rFonts w:ascii="Palatino Linotype" w:eastAsia="Palatino Linotype" w:hAnsi="Palatino Linotype" w:cs="Palatino Linotype"/>
        </w:rPr>
        <w:lastRenderedPageBreak/>
        <w:t>Parcial o Total de Datos Personales, así como de los recursos de revisión que deberán observar los Sujetos Obligados por la Ley de Transparencia y Acceso a la Información Pública d</w:t>
      </w:r>
      <w:r>
        <w:rPr>
          <w:rFonts w:ascii="Palatino Linotype" w:eastAsia="Palatino Linotype" w:hAnsi="Palatino Linotype" w:cs="Palatino Linotype"/>
        </w:rPr>
        <w:t>el Estado de México y Municipios, en sus numerales CUARENTA Y CUATRO y CUARENTA Y CINCO.</w:t>
      </w:r>
    </w:p>
    <w:p w:rsidR="00DD4811" w:rsidRDefault="00DD4811">
      <w:pPr>
        <w:spacing w:line="360" w:lineRule="auto"/>
        <w:jc w:val="both"/>
        <w:rPr>
          <w:rFonts w:ascii="Palatino Linotype" w:eastAsia="Palatino Linotype" w:hAnsi="Palatino Linotype" w:cs="Palatino Linotype"/>
          <w:color w:val="000000"/>
        </w:rPr>
      </w:pPr>
    </w:p>
    <w:p w:rsidR="00DD4811" w:rsidRDefault="00605A31">
      <w:pPr>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ello, como se prevé en los criterios anteriores, es necesario que los </w:t>
      </w:r>
      <w:r>
        <w:rPr>
          <w:rFonts w:ascii="Palatino Linotype" w:eastAsia="Palatino Linotype" w:hAnsi="Palatino Linotype" w:cs="Palatino Linotype"/>
          <w:b/>
          <w:color w:val="000000"/>
        </w:rPr>
        <w:t>SUJETOS OBLIGADOS</w:t>
      </w:r>
      <w:r>
        <w:rPr>
          <w:rFonts w:ascii="Palatino Linotype" w:eastAsia="Palatino Linotype" w:hAnsi="Palatino Linotype" w:cs="Palatino Linotype"/>
          <w:color w:val="000000"/>
        </w:rPr>
        <w:t xml:space="preserve">, realicen previo a una declaratoria de inexistencia, una búsqueda exhaustiva y razonable, con la cual se busca garantizar y hacer fehaciente el hecho de que la información ahora requerida por el solicitante fue buscada minuciosamente dentro del ámbito de </w:t>
      </w:r>
      <w:r>
        <w:rPr>
          <w:rFonts w:ascii="Palatino Linotype" w:eastAsia="Palatino Linotype" w:hAnsi="Palatino Linotype" w:cs="Palatino Linotype"/>
          <w:color w:val="000000"/>
        </w:rPr>
        <w:t xml:space="preserve">sus competencias. </w:t>
      </w:r>
    </w:p>
    <w:p w:rsidR="00DD4811" w:rsidRDefault="00DD4811">
      <w:pPr>
        <w:spacing w:line="360" w:lineRule="auto"/>
        <w:ind w:right="51"/>
        <w:jc w:val="both"/>
        <w:rPr>
          <w:rFonts w:ascii="Palatino Linotype" w:eastAsia="Palatino Linotype" w:hAnsi="Palatino Linotype" w:cs="Palatino Linotype"/>
          <w:color w:val="000000"/>
        </w:rPr>
      </w:pPr>
    </w:p>
    <w:p w:rsidR="00DD4811" w:rsidRDefault="00605A3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es así, pues no debe perderse de vista que, la fundamentación y motivación consiste en la obligación que tiene todo ente público de expresar los preceptos jurídicos aplicables al asunto origen del acto y las razones o argume</w:t>
      </w:r>
      <w:r>
        <w:rPr>
          <w:rFonts w:ascii="Palatino Linotype" w:eastAsia="Palatino Linotype" w:hAnsi="Palatino Linotype" w:cs="Palatino Linotype"/>
        </w:rPr>
        <w:t>ntos de su actuar, es así que al respecto, el máximo tribunal del país ha establecido jurisprudencia en relación a qué debe entenderse por fundamentación y motivación, en los siguientes términos:</w:t>
      </w:r>
    </w:p>
    <w:p w:rsidR="00DD4811" w:rsidRDefault="00DD4811">
      <w:pPr>
        <w:jc w:val="both"/>
        <w:rPr>
          <w:rFonts w:ascii="Palatino Linotype" w:eastAsia="Palatino Linotype" w:hAnsi="Palatino Linotype" w:cs="Palatino Linotype"/>
        </w:rPr>
      </w:pPr>
    </w:p>
    <w:p w:rsidR="00DD4811" w:rsidRDefault="00605A31">
      <w:pPr>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FUNDAMENTACIÓN Y MOTIVACIÓN. </w:t>
      </w:r>
      <w:r>
        <w:rPr>
          <w:rFonts w:ascii="Palatino Linotype" w:eastAsia="Palatino Linotype" w:hAnsi="Palatino Linotype" w:cs="Palatino Linotype"/>
          <w:i/>
        </w:rPr>
        <w:t>La debida fundamentación y mo</w:t>
      </w:r>
      <w:r>
        <w:rPr>
          <w:rFonts w:ascii="Palatino Linotype" w:eastAsia="Palatino Linotype" w:hAnsi="Palatino Linotype" w:cs="Palatino Linotype"/>
          <w:i/>
        </w:rPr>
        <w:t>tivación legal, deben entenderse, por lo primero, la cita del precepto legal aplicable al caso, y por lo segundo, las razones, motivos o circunstancias especiales que llevaron a la autoridad a concluir que el caso particular encuadra en el supuesto previst</w:t>
      </w:r>
      <w:r>
        <w:rPr>
          <w:rFonts w:ascii="Palatino Linotype" w:eastAsia="Palatino Linotype" w:hAnsi="Palatino Linotype" w:cs="Palatino Linotype"/>
          <w:i/>
        </w:rPr>
        <w:t>o por la norma legal invocada como fundamento.”(Sic)</w:t>
      </w:r>
    </w:p>
    <w:p w:rsidR="00DD4811" w:rsidRDefault="00DD4811">
      <w:pPr>
        <w:ind w:left="851" w:right="902"/>
        <w:jc w:val="both"/>
        <w:rPr>
          <w:rFonts w:ascii="Palatino Linotype" w:eastAsia="Palatino Linotype" w:hAnsi="Palatino Linotype" w:cs="Palatino Linotype"/>
          <w:i/>
        </w:rPr>
      </w:pPr>
    </w:p>
    <w:p w:rsidR="00DD4811" w:rsidRDefault="00605A3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en un acto de autoridad se surte la debida fundamentación cuando se cita el precepto legal aplicable al caso concreto y la debida motivación cuando se expresan </w:t>
      </w:r>
      <w:r>
        <w:rPr>
          <w:rFonts w:ascii="Palatino Linotype" w:eastAsia="Palatino Linotype" w:hAnsi="Palatino Linotype" w:cs="Palatino Linotype"/>
        </w:rPr>
        <w:lastRenderedPageBreak/>
        <w:t>las razones, motivos o circunstancias que tomó en cuenta la autoridad para adecuar e</w:t>
      </w:r>
      <w:r>
        <w:rPr>
          <w:rFonts w:ascii="Palatino Linotype" w:eastAsia="Palatino Linotype" w:hAnsi="Palatino Linotype" w:cs="Palatino Linotype"/>
        </w:rPr>
        <w:t>l hecho a los fundamentos de derecho.</w:t>
      </w:r>
    </w:p>
    <w:p w:rsidR="00DD4811" w:rsidRDefault="00DD4811">
      <w:pPr>
        <w:spacing w:line="360" w:lineRule="auto"/>
        <w:jc w:val="both"/>
        <w:rPr>
          <w:rFonts w:ascii="Palatino Linotype" w:eastAsia="Palatino Linotype" w:hAnsi="Palatino Linotype" w:cs="Palatino Linotype"/>
        </w:rPr>
      </w:pPr>
    </w:p>
    <w:p w:rsidR="00DD4811" w:rsidRDefault="00605A3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Más aún, a través de diversa jurisprudencia dictada por el Poder Judicial de la Federación se sostiene que la finalidad de la fundamentación o motivación es la de explicar, justificar, posibilitar la defensa y comunic</w:t>
      </w:r>
      <w:r>
        <w:rPr>
          <w:rFonts w:ascii="Palatino Linotype" w:eastAsia="Palatino Linotype" w:hAnsi="Palatino Linotype" w:cs="Palatino Linotype"/>
        </w:rPr>
        <w:t>ar la decisión de la autoridad, sirviendo de sustento lo siguiente:</w:t>
      </w:r>
    </w:p>
    <w:p w:rsidR="00DD4811" w:rsidRDefault="00DD4811">
      <w:pPr>
        <w:jc w:val="both"/>
        <w:rPr>
          <w:rFonts w:ascii="Palatino Linotype" w:eastAsia="Palatino Linotype" w:hAnsi="Palatino Linotype" w:cs="Palatino Linotype"/>
        </w:rPr>
      </w:pPr>
    </w:p>
    <w:p w:rsidR="00DD4811" w:rsidRDefault="00605A31">
      <w:pPr>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“FUNDAMENTACIÓN Y MOTIVACIÓN. EL ASPECTO FORMAL DE LA GARANTÍA Y SU FINALIDAD SE TRADUCEN EN EXPLICAR, JUSTIFICAR, POSIBILITAR LA DEFENSA Y COMUNICAR LA DECISIÓN</w:t>
      </w:r>
      <w:r>
        <w:rPr>
          <w:rFonts w:ascii="Palatino Linotype" w:eastAsia="Palatino Linotype" w:hAnsi="Palatino Linotype" w:cs="Palatino Linotype"/>
          <w:i/>
        </w:rPr>
        <w:t>. El contenido formal de l</w:t>
      </w:r>
      <w:r>
        <w:rPr>
          <w:rFonts w:ascii="Palatino Linotype" w:eastAsia="Palatino Linotype" w:hAnsi="Palatino Linotype" w:cs="Palatino Linotype"/>
          <w:i/>
        </w:rPr>
        <w:t xml:space="preserve">a garantía de legalidad prevista en el artículo 16 constitucional relativa a la </w:t>
      </w:r>
      <w:r>
        <w:rPr>
          <w:rFonts w:ascii="Palatino Linotype" w:eastAsia="Palatino Linotype" w:hAnsi="Palatino Linotype" w:cs="Palatino Linotype"/>
          <w:b/>
          <w:i/>
        </w:rPr>
        <w:t>fundamentación y motivación tiene como propósito primordial y ratio que el justiciable conozca el "para qué" de la conducta de la autoridad, lo que se traduce en darle a conoce</w:t>
      </w:r>
      <w:r>
        <w:rPr>
          <w:rFonts w:ascii="Palatino Linotype" w:eastAsia="Palatino Linotype" w:hAnsi="Palatino Linotype" w:cs="Palatino Linotype"/>
          <w:b/>
          <w:i/>
        </w:rPr>
        <w:t>r en detalle y de manera completa la esencia de todas las circunstancias y condiciones que determinaron el acto de voluntad, de manera que sea evidente y muy claro para el afectado poder cuestionar y controvertir el mérito de la decisión, permitiéndole una</w:t>
      </w:r>
      <w:r>
        <w:rPr>
          <w:rFonts w:ascii="Palatino Linotype" w:eastAsia="Palatino Linotype" w:hAnsi="Palatino Linotype" w:cs="Palatino Linotype"/>
          <w:b/>
          <w:i/>
        </w:rPr>
        <w:t xml:space="preserve"> real y auténtica defensa</w:t>
      </w:r>
      <w:r>
        <w:rPr>
          <w:rFonts w:ascii="Palatino Linotype" w:eastAsia="Palatino Linotype" w:hAnsi="Palatino Linotype" w:cs="Palatino Linotype"/>
          <w:i/>
        </w:rPr>
        <w:t xml:space="preserve">. Por tanto, </w:t>
      </w:r>
      <w:r>
        <w:rPr>
          <w:rFonts w:ascii="Palatino Linotype" w:eastAsia="Palatino Linotype" w:hAnsi="Palatino Linotype" w:cs="Palatino Linotype"/>
          <w:b/>
          <w:i/>
        </w:rPr>
        <w:t>no basta que el acto de autoridad apenas observe una motivación pro forma pero de una manera incongruente, insuficiente o imprecisa</w:t>
      </w:r>
      <w:r>
        <w:rPr>
          <w:rFonts w:ascii="Palatino Linotype" w:eastAsia="Palatino Linotype" w:hAnsi="Palatino Linotype" w:cs="Palatino Linotype"/>
          <w:i/>
        </w:rPr>
        <w:t>, que impida la finalidad del conocimiento, comprobación y defensa pertinente</w:t>
      </w:r>
      <w:r>
        <w:rPr>
          <w:rFonts w:ascii="Palatino Linotype" w:eastAsia="Palatino Linotype" w:hAnsi="Palatino Linotype" w:cs="Palatino Linotype"/>
          <w:b/>
          <w:i/>
        </w:rPr>
        <w:t>, ni es vá</w:t>
      </w:r>
      <w:r>
        <w:rPr>
          <w:rFonts w:ascii="Palatino Linotype" w:eastAsia="Palatino Linotype" w:hAnsi="Palatino Linotype" w:cs="Palatino Linotype"/>
          <w:b/>
          <w:i/>
        </w:rPr>
        <w:t>lido exigirle una amplitud o abundancia superflua, pues es suficiente la expresión de lo estrictamente necesario para explicar, justificar y posibilitar la defensa, así como para comunicar la decisión a efecto de que se considere debidamente fundado y moti</w:t>
      </w:r>
      <w:r>
        <w:rPr>
          <w:rFonts w:ascii="Palatino Linotype" w:eastAsia="Palatino Linotype" w:hAnsi="Palatino Linotype" w:cs="Palatino Linotype"/>
          <w:b/>
          <w:i/>
        </w:rPr>
        <w:t>vado, exponiendo los hechos relevantes para decidir, citando la norma habilitante y un argumento mínimo pero suficiente para acreditar el razonamiento del que se deduzca la relación de pertenencia lógica de los hechos al derecho invocado, que es la subsunc</w:t>
      </w:r>
      <w:r>
        <w:rPr>
          <w:rFonts w:ascii="Palatino Linotype" w:eastAsia="Palatino Linotype" w:hAnsi="Palatino Linotype" w:cs="Palatino Linotype"/>
          <w:b/>
          <w:i/>
        </w:rPr>
        <w:t>ión</w:t>
      </w:r>
      <w:r>
        <w:rPr>
          <w:rFonts w:ascii="Palatino Linotype" w:eastAsia="Palatino Linotype" w:hAnsi="Palatino Linotype" w:cs="Palatino Linotype"/>
          <w:i/>
        </w:rPr>
        <w:t>.” (Sic)</w:t>
      </w:r>
    </w:p>
    <w:p w:rsidR="00DD4811" w:rsidRDefault="00605A31">
      <w:pPr>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(Énfasis añadido)</w:t>
      </w:r>
    </w:p>
    <w:p w:rsidR="00DD4811" w:rsidRDefault="00DD4811">
      <w:pPr>
        <w:ind w:left="851" w:right="902"/>
        <w:jc w:val="both"/>
        <w:rPr>
          <w:rFonts w:ascii="Palatino Linotype" w:eastAsia="Palatino Linotype" w:hAnsi="Palatino Linotype" w:cs="Palatino Linotype"/>
          <w:i/>
        </w:rPr>
      </w:pPr>
    </w:p>
    <w:p w:rsidR="00DD4811" w:rsidRDefault="00605A3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consecuencia, la fundamentación y motivación implica que en el acto de autoridad, además de contenerse los supuestos jurídicos aplicables se expliquen claramente, por qué, a través de la utilización de la norma se emitió e</w:t>
      </w:r>
      <w:r>
        <w:rPr>
          <w:rFonts w:ascii="Palatino Linotype" w:eastAsia="Palatino Linotype" w:hAnsi="Palatino Linotype" w:cs="Palatino Linotype"/>
        </w:rPr>
        <w:t>l acto. De este modo, la persona que se siente afectada podrá impugnar la decisión, permitiéndole una real y auténtica defensa.</w:t>
      </w:r>
    </w:p>
    <w:p w:rsidR="00DD4811" w:rsidRDefault="00DD4811">
      <w:pPr>
        <w:spacing w:line="360" w:lineRule="auto"/>
        <w:jc w:val="both"/>
        <w:rPr>
          <w:rFonts w:ascii="Palatino Linotype" w:eastAsia="Palatino Linotype" w:hAnsi="Palatino Linotype" w:cs="Palatino Linotype"/>
        </w:rPr>
      </w:pPr>
    </w:p>
    <w:p w:rsidR="00DD4811" w:rsidRDefault="00605A31">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Resulta aplicable el criterio reiterado número </w:t>
      </w:r>
      <w:r>
        <w:rPr>
          <w:rFonts w:ascii="Palatino Linotype" w:eastAsia="Palatino Linotype" w:hAnsi="Palatino Linotype" w:cs="Palatino Linotype"/>
          <w:b/>
        </w:rPr>
        <w:t>08/19</w:t>
      </w:r>
      <w:r>
        <w:rPr>
          <w:rFonts w:ascii="Palatino Linotype" w:eastAsia="Palatino Linotype" w:hAnsi="Palatino Linotype" w:cs="Palatino Linotype"/>
        </w:rPr>
        <w:t xml:space="preserve">, emitidos por Acuerdo del Pleno del Instituto de Transparencia y Acceso a </w:t>
      </w:r>
      <w:r>
        <w:rPr>
          <w:rFonts w:ascii="Palatino Linotype" w:eastAsia="Palatino Linotype" w:hAnsi="Palatino Linotype" w:cs="Palatino Linotype"/>
        </w:rPr>
        <w:t>la Información Pública del Estado de México y Municipios, que a la letra dice:</w:t>
      </w:r>
    </w:p>
    <w:p w:rsidR="00DD4811" w:rsidRDefault="00DD4811">
      <w:pPr>
        <w:shd w:val="clear" w:color="auto" w:fill="FFFFFF"/>
        <w:ind w:left="851" w:right="902"/>
        <w:jc w:val="center"/>
        <w:rPr>
          <w:rFonts w:ascii="Palatino Linotype" w:eastAsia="Palatino Linotype" w:hAnsi="Palatino Linotype" w:cs="Palatino Linotype"/>
          <w:b/>
          <w:i/>
        </w:rPr>
      </w:pPr>
    </w:p>
    <w:p w:rsidR="00DD4811" w:rsidRDefault="00605A31">
      <w:pPr>
        <w:shd w:val="clear" w:color="auto" w:fill="FFFFFF"/>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rPr>
        <w:t>“INEXISTENCIA DE LA INFORMACIÓN. SUPUESTOS PARA EMITIR LA RESOLUCIÓN DE LA</w:t>
      </w:r>
      <w:r>
        <w:rPr>
          <w:rFonts w:ascii="Palatino Linotype" w:eastAsia="Palatino Linotype" w:hAnsi="Palatino Linotype" w:cs="Palatino Linotype"/>
          <w:i/>
        </w:rPr>
        <w:t xml:space="preserve">. De conformidad con los artículos 19, párrafo tercero y 170 de la Ley de Transparencia y Acceso a la </w:t>
      </w:r>
      <w:r>
        <w:rPr>
          <w:rFonts w:ascii="Palatino Linotype" w:eastAsia="Palatino Linotype" w:hAnsi="Palatino Linotype" w:cs="Palatino Linotype"/>
          <w:i/>
        </w:rPr>
        <w:t>Información Pública del Estado de México y Municipios, el Comité de Transparencia deberá emitir un acuerdo de inexistencia de información debidamente fundado y motivado, para justificar por qué no obra en los archivos del Sujeto Obligado la información que</w:t>
      </w:r>
      <w:r>
        <w:rPr>
          <w:rFonts w:ascii="Palatino Linotype" w:eastAsia="Palatino Linotype" w:hAnsi="Palatino Linotype" w:cs="Palatino Linotype"/>
          <w:i/>
        </w:rPr>
        <w:t xml:space="preserve"> deriva de las facultades, competencias y atribuciones que los ordenamientos jurídicos aplicables le otorgan, la cual debió generar, poseer y administrar. Por tanto, en términos de los numerales previamente citados, el referido acuerdo de inexistencia proc</w:t>
      </w:r>
      <w:r>
        <w:rPr>
          <w:rFonts w:ascii="Palatino Linotype" w:eastAsia="Palatino Linotype" w:hAnsi="Palatino Linotype" w:cs="Palatino Linotype"/>
          <w:i/>
        </w:rPr>
        <w:t xml:space="preserve">ede en los siguientes momentos: a) cuando no se generó, poseyó o administró el documento teniendo la obligación conforme a la presunción legal que deriva de las facultades, competencias y atribuciones que los ordenamientos jurídicos aplicables le otorgan; </w:t>
      </w:r>
      <w:r>
        <w:rPr>
          <w:rFonts w:ascii="Palatino Linotype" w:eastAsia="Palatino Linotype" w:hAnsi="Palatino Linotype" w:cs="Palatino Linotype"/>
          <w:i/>
        </w:rPr>
        <w:t>b) que habiendo sido generada, poseída o administrada, por algún motivo ya no se cuenta con la información solicitada; o bien, c) cuando el Sujeto Obligado fue omiso en ejercer una facultad, competencia o atribución inexcusable. Supuestos que, de actualiza</w:t>
      </w:r>
      <w:r>
        <w:rPr>
          <w:rFonts w:ascii="Palatino Linotype" w:eastAsia="Palatino Linotype" w:hAnsi="Palatino Linotype" w:cs="Palatino Linotype"/>
          <w:i/>
        </w:rPr>
        <w:t xml:space="preserve">rse, deberán acreditarse con las exigencias legales contempladas en los numerales 49, fracción II, 169 y 170 de la Ley de Transparencia de la entidad, a través de una resolución del Comité de </w:t>
      </w:r>
      <w:r>
        <w:rPr>
          <w:rFonts w:ascii="Palatino Linotype" w:eastAsia="Palatino Linotype" w:hAnsi="Palatino Linotype" w:cs="Palatino Linotype"/>
          <w:i/>
        </w:rPr>
        <w:lastRenderedPageBreak/>
        <w:t>Transparencia del Sujeto Obligado que confirme la inexistencia d</w:t>
      </w:r>
      <w:r>
        <w:rPr>
          <w:rFonts w:ascii="Palatino Linotype" w:eastAsia="Palatino Linotype" w:hAnsi="Palatino Linotype" w:cs="Palatino Linotype"/>
          <w:i/>
        </w:rPr>
        <w:t>e la información, acto jurídico que genera certeza jurídica al particular de que se realizó un criterio de búsqueda exhaustivo y razonable con la debida justificación de la falta de información y en su caso, las consecuencias de ello.</w:t>
      </w:r>
    </w:p>
    <w:p w:rsidR="00DD4811" w:rsidRDefault="00605A31">
      <w:pPr>
        <w:shd w:val="clear" w:color="auto" w:fill="FFFFFF"/>
        <w:ind w:right="902" w:firstLine="851"/>
        <w:jc w:val="both"/>
        <w:rPr>
          <w:rFonts w:ascii="Palatino Linotype" w:eastAsia="Palatino Linotype" w:hAnsi="Palatino Linotype" w:cs="Palatino Linotype"/>
        </w:rPr>
      </w:pPr>
      <w:r>
        <w:rPr>
          <w:rFonts w:ascii="Palatino Linotype" w:eastAsia="Palatino Linotype" w:hAnsi="Palatino Linotype" w:cs="Palatino Linotype"/>
        </w:rPr>
        <w:t>(Énfasis añadido)</w:t>
      </w:r>
    </w:p>
    <w:p w:rsidR="00DD4811" w:rsidRDefault="00DD4811">
      <w:pPr>
        <w:ind w:right="49"/>
        <w:jc w:val="both"/>
        <w:rPr>
          <w:rFonts w:ascii="Palatino Linotype" w:eastAsia="Palatino Linotype" w:hAnsi="Palatino Linotype" w:cs="Palatino Linotype"/>
        </w:rPr>
      </w:pPr>
    </w:p>
    <w:p w:rsidR="00DD4811" w:rsidRDefault="00605A31">
      <w:pPr>
        <w:widowControl w:val="0"/>
        <w:tabs>
          <w:tab w:val="left" w:pos="1701"/>
          <w:tab w:val="left" w:pos="1843"/>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razón de lo anteriormente expuesto, este Instituto estima que las razones o motivos de inconformidad hechos valer por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devienen </w:t>
      </w:r>
      <w:r>
        <w:rPr>
          <w:rFonts w:ascii="Palatino Linotype" w:eastAsia="Palatino Linotype" w:hAnsi="Palatino Linotype" w:cs="Palatino Linotype"/>
          <w:b/>
          <w:color w:val="000000"/>
        </w:rPr>
        <w:t>fundadas</w:t>
      </w:r>
      <w:r>
        <w:rPr>
          <w:rFonts w:ascii="Palatino Linotype" w:eastAsia="Palatino Linotype" w:hAnsi="Palatino Linotype" w:cs="Palatino Linotype"/>
          <w:color w:val="000000"/>
        </w:rPr>
        <w:t xml:space="preserve"> y suficientes para </w:t>
      </w:r>
      <w:r>
        <w:rPr>
          <w:rFonts w:ascii="Palatino Linotype" w:eastAsia="Palatino Linotype" w:hAnsi="Palatino Linotype" w:cs="Palatino Linotype"/>
          <w:b/>
          <w:color w:val="000000"/>
        </w:rPr>
        <w:t>REVOCAR</w:t>
      </w:r>
      <w:r>
        <w:rPr>
          <w:rFonts w:ascii="Palatino Linotype" w:eastAsia="Palatino Linotype" w:hAnsi="Palatino Linotype" w:cs="Palatino Linotype"/>
          <w:color w:val="000000"/>
        </w:rPr>
        <w:t xml:space="preserve">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y ordenarle haga entrega de la información </w:t>
      </w:r>
      <w:r>
        <w:rPr>
          <w:rFonts w:ascii="Palatino Linotype" w:eastAsia="Palatino Linotype" w:hAnsi="Palatino Linotype" w:cs="Palatino Linotype"/>
          <w:color w:val="000000"/>
        </w:rPr>
        <w:t>descrita en el presente Considerando.</w:t>
      </w:r>
    </w:p>
    <w:p w:rsidR="00DD4811" w:rsidRDefault="00DD4811">
      <w:pPr>
        <w:spacing w:line="360" w:lineRule="auto"/>
        <w:jc w:val="both"/>
        <w:rPr>
          <w:rFonts w:ascii="Palatino Linotype" w:eastAsia="Palatino Linotype" w:hAnsi="Palatino Linotype" w:cs="Palatino Linotype"/>
          <w:color w:val="000000"/>
        </w:rPr>
      </w:pPr>
    </w:p>
    <w:p w:rsidR="00DD4811" w:rsidRDefault="00605A31">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con fundamento en lo prescrito en los artículos 5, párrafos trigésimo, trigésimo primero y trigésimo segundo, fracciones IV y V, de la Constitución Política del Estado Libre y Soberano de México, y los artículos </w:t>
      </w:r>
      <w:r>
        <w:rPr>
          <w:rFonts w:ascii="Palatino Linotype" w:eastAsia="Palatino Linotype" w:hAnsi="Palatino Linotype" w:cs="Palatino Linotype"/>
          <w:color w:val="000000"/>
        </w:rPr>
        <w:t>2, fracción II, 9, 29, 36, fracciones I y II, 176, 178, 179, 181, 185, fracción I, 186 y 188, de la Ley de Transparencia y Acceso a la Información Pública del Estado de México y Municipios, este Pleno:</w:t>
      </w:r>
    </w:p>
    <w:p w:rsidR="00DD4811" w:rsidRDefault="00DD4811">
      <w:pPr>
        <w:jc w:val="center"/>
        <w:rPr>
          <w:rFonts w:ascii="Palatino Linotype" w:eastAsia="Palatino Linotype" w:hAnsi="Palatino Linotype" w:cs="Palatino Linotype"/>
          <w:b/>
          <w:color w:val="000000"/>
          <w:sz w:val="28"/>
          <w:szCs w:val="28"/>
        </w:rPr>
      </w:pPr>
    </w:p>
    <w:p w:rsidR="00DD4811" w:rsidRDefault="00605A31">
      <w:pPr>
        <w:jc w:val="center"/>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RESUELVE</w:t>
      </w:r>
    </w:p>
    <w:p w:rsidR="00DD4811" w:rsidRDefault="00DD4811">
      <w:pPr>
        <w:rPr>
          <w:rFonts w:ascii="Palatino Linotype" w:eastAsia="Palatino Linotype" w:hAnsi="Palatino Linotype" w:cs="Palatino Linotype"/>
        </w:rPr>
      </w:pPr>
    </w:p>
    <w:p w:rsidR="00DD4811" w:rsidRDefault="00605A3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PRIMERO</w:t>
      </w:r>
      <w:r>
        <w:rPr>
          <w:rFonts w:ascii="Palatino Linotype" w:eastAsia="Palatino Linotype" w:hAnsi="Palatino Linotype" w:cs="Palatino Linotype"/>
          <w:color w:val="000000"/>
          <w:sz w:val="28"/>
          <w:szCs w:val="28"/>
        </w:rPr>
        <w:t>.</w:t>
      </w:r>
      <w:r>
        <w:rPr>
          <w:rFonts w:ascii="Palatino Linotype" w:eastAsia="Palatino Linotype" w:hAnsi="Palatino Linotype" w:cs="Palatino Linotype"/>
          <w:color w:val="000000"/>
        </w:rPr>
        <w:t xml:space="preserve"> Resultan </w:t>
      </w:r>
      <w:r>
        <w:rPr>
          <w:rFonts w:ascii="Palatino Linotype" w:eastAsia="Palatino Linotype" w:hAnsi="Palatino Linotype" w:cs="Palatino Linotype"/>
          <w:b/>
          <w:color w:val="000000"/>
        </w:rPr>
        <w:t>fundadas</w:t>
      </w:r>
      <w:r>
        <w:rPr>
          <w:rFonts w:ascii="Palatino Linotype" w:eastAsia="Palatino Linotype" w:hAnsi="Palatino Linotype" w:cs="Palatino Linotype"/>
          <w:color w:val="000000"/>
        </w:rPr>
        <w:t xml:space="preserve"> las razones o mo</w:t>
      </w:r>
      <w:r>
        <w:rPr>
          <w:rFonts w:ascii="Palatino Linotype" w:eastAsia="Palatino Linotype" w:hAnsi="Palatino Linotype" w:cs="Palatino Linotype"/>
          <w:color w:val="000000"/>
        </w:rPr>
        <w:t xml:space="preserve">tivos de inconformidad planteadas por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en términos del Considerando </w:t>
      </w:r>
      <w:r>
        <w:rPr>
          <w:rFonts w:ascii="Palatino Linotype" w:eastAsia="Palatino Linotype" w:hAnsi="Palatino Linotype" w:cs="Palatino Linotype"/>
          <w:b/>
          <w:color w:val="000000"/>
        </w:rPr>
        <w:t>QUINTO</w:t>
      </w:r>
      <w:r>
        <w:rPr>
          <w:rFonts w:ascii="Palatino Linotype" w:eastAsia="Palatino Linotype" w:hAnsi="Palatino Linotype" w:cs="Palatino Linotype"/>
          <w:color w:val="000000"/>
        </w:rPr>
        <w:t xml:space="preserve"> de la presente resolución.</w:t>
      </w:r>
    </w:p>
    <w:p w:rsidR="00DD4811" w:rsidRDefault="00DD4811">
      <w:pPr>
        <w:spacing w:line="360" w:lineRule="auto"/>
        <w:jc w:val="both"/>
        <w:rPr>
          <w:rFonts w:ascii="Palatino Linotype" w:eastAsia="Palatino Linotype" w:hAnsi="Palatino Linotype" w:cs="Palatino Linotype"/>
          <w:color w:val="000000"/>
        </w:rPr>
      </w:pPr>
    </w:p>
    <w:p w:rsidR="00DD4811" w:rsidRDefault="00605A31">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00"/>
          <w:sz w:val="28"/>
          <w:szCs w:val="28"/>
        </w:rPr>
        <w:t>SEGUNDO</w:t>
      </w:r>
      <w:r>
        <w:rPr>
          <w:rFonts w:ascii="Palatino Linotype" w:eastAsia="Palatino Linotype" w:hAnsi="Palatino Linotype" w:cs="Palatino Linotype"/>
          <w:color w:val="000000"/>
          <w:sz w:val="28"/>
          <w:szCs w:val="28"/>
        </w:rPr>
        <w:t>.</w:t>
      </w:r>
      <w:r>
        <w:rPr>
          <w:rFonts w:ascii="Palatino Linotype" w:eastAsia="Palatino Linotype" w:hAnsi="Palatino Linotype" w:cs="Palatino Linotype"/>
          <w:color w:val="000000"/>
        </w:rPr>
        <w:t xml:space="preserve"> Se </w:t>
      </w:r>
      <w:r>
        <w:rPr>
          <w:rFonts w:ascii="Palatino Linotype" w:eastAsia="Palatino Linotype" w:hAnsi="Palatino Linotype" w:cs="Palatino Linotype"/>
          <w:b/>
          <w:color w:val="000000"/>
        </w:rPr>
        <w:t xml:space="preserve">REVOCA </w:t>
      </w:r>
      <w:r>
        <w:rPr>
          <w:rFonts w:ascii="Palatino Linotype" w:eastAsia="Palatino Linotype" w:hAnsi="Palatino Linotype" w:cs="Palatino Linotype"/>
          <w:color w:val="000000"/>
        </w:rPr>
        <w:t xml:space="preserve">la respuesta proporcionada por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 xml:space="preserve">y se </w:t>
      </w:r>
      <w:r>
        <w:rPr>
          <w:rFonts w:ascii="Palatino Linotype" w:eastAsia="Palatino Linotype" w:hAnsi="Palatino Linotype" w:cs="Palatino Linotype"/>
          <w:b/>
          <w:color w:val="000000"/>
        </w:rPr>
        <w:t xml:space="preserve">ordena </w:t>
      </w:r>
      <w:r>
        <w:rPr>
          <w:rFonts w:ascii="Palatino Linotype" w:eastAsia="Palatino Linotype" w:hAnsi="Palatino Linotype" w:cs="Palatino Linotype"/>
          <w:color w:val="000000"/>
        </w:rPr>
        <w:t>atienda la solicitud de información que dio origen al recu</w:t>
      </w:r>
      <w:r>
        <w:rPr>
          <w:rFonts w:ascii="Palatino Linotype" w:eastAsia="Palatino Linotype" w:hAnsi="Palatino Linotype" w:cs="Palatino Linotype"/>
          <w:color w:val="000000"/>
        </w:rPr>
        <w:t xml:space="preserve">rso de revisión </w:t>
      </w:r>
      <w:r>
        <w:rPr>
          <w:rFonts w:ascii="Palatino Linotype" w:eastAsia="Palatino Linotype" w:hAnsi="Palatino Linotype" w:cs="Palatino Linotype"/>
          <w:b/>
          <w:color w:val="000000"/>
        </w:rPr>
        <w:lastRenderedPageBreak/>
        <w:t>04432/INFOEM/IP/RR/2021</w:t>
      </w:r>
      <w:r>
        <w:rPr>
          <w:rFonts w:ascii="Palatino Linotype" w:eastAsia="Palatino Linotype" w:hAnsi="Palatino Linotype" w:cs="Palatino Linotype"/>
          <w:color w:val="000000"/>
        </w:rPr>
        <w:t xml:space="preserve">, en términos del Considerando </w:t>
      </w:r>
      <w:r>
        <w:rPr>
          <w:rFonts w:ascii="Palatino Linotype" w:eastAsia="Palatino Linotype" w:hAnsi="Palatino Linotype" w:cs="Palatino Linotype"/>
          <w:b/>
          <w:color w:val="000000"/>
        </w:rPr>
        <w:t>QUINTO</w:t>
      </w:r>
      <w:r>
        <w:rPr>
          <w:rFonts w:ascii="Palatino Linotype" w:eastAsia="Palatino Linotype" w:hAnsi="Palatino Linotype" w:cs="Palatino Linotype"/>
          <w:color w:val="000000"/>
        </w:rPr>
        <w:t xml:space="preserve"> de la presente resolución, y haga entrega al</w:t>
      </w:r>
      <w:r>
        <w:rPr>
          <w:rFonts w:ascii="Palatino Linotype" w:eastAsia="Palatino Linotype" w:hAnsi="Palatino Linotype" w:cs="Palatino Linotype"/>
          <w:b/>
          <w:color w:val="000000"/>
        </w:rPr>
        <w:t xml:space="preserve"> RECURRENTE</w:t>
      </w:r>
      <w:r>
        <w:rPr>
          <w:rFonts w:ascii="Palatino Linotype" w:eastAsia="Palatino Linotype" w:hAnsi="Palatino Linotype" w:cs="Palatino Linotype"/>
          <w:color w:val="000000"/>
        </w:rPr>
        <w:t xml:space="preserve">, vía </w:t>
      </w:r>
      <w:proofErr w:type="gramStart"/>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 xml:space="preserve"> lo</w:t>
      </w:r>
      <w:proofErr w:type="gramEnd"/>
      <w:r>
        <w:rPr>
          <w:rFonts w:ascii="Palatino Linotype" w:eastAsia="Palatino Linotype" w:hAnsi="Palatino Linotype" w:cs="Palatino Linotype"/>
          <w:color w:val="000000"/>
        </w:rPr>
        <w:t xml:space="preserve"> siguiente:</w:t>
      </w:r>
      <w:r>
        <w:rPr>
          <w:rFonts w:ascii="Palatino Linotype" w:eastAsia="Palatino Linotype" w:hAnsi="Palatino Linotype" w:cs="Palatino Linotype"/>
          <w:b/>
        </w:rPr>
        <w:t xml:space="preserve"> </w:t>
      </w:r>
    </w:p>
    <w:p w:rsidR="00DD4811" w:rsidRDefault="00DD4811">
      <w:pPr>
        <w:spacing w:line="276" w:lineRule="auto"/>
        <w:jc w:val="both"/>
        <w:rPr>
          <w:rFonts w:ascii="Palatino Linotype" w:eastAsia="Palatino Linotype" w:hAnsi="Palatino Linotype" w:cs="Palatino Linotype"/>
          <w:b/>
          <w:sz w:val="22"/>
          <w:szCs w:val="22"/>
        </w:rPr>
      </w:pPr>
    </w:p>
    <w:p w:rsidR="00DD4811" w:rsidRDefault="00605A31">
      <w:pPr>
        <w:spacing w:line="276" w:lineRule="auto"/>
        <w:ind w:left="851" w:right="899" w:hanging="14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estructura orgánica faltante, en formato que permita vincular cada parte de la estructura, las atribuciones y responsabilidades, correspondiente al año 2015.</w:t>
      </w:r>
    </w:p>
    <w:p w:rsidR="00DD4811" w:rsidRDefault="00DD4811">
      <w:pPr>
        <w:spacing w:line="276" w:lineRule="auto"/>
        <w:ind w:left="851" w:right="899" w:hanging="142"/>
        <w:jc w:val="both"/>
        <w:rPr>
          <w:rFonts w:ascii="Palatino Linotype" w:eastAsia="Palatino Linotype" w:hAnsi="Palatino Linotype" w:cs="Palatino Linotype"/>
          <w:i/>
          <w:color w:val="000000"/>
          <w:sz w:val="22"/>
          <w:szCs w:val="22"/>
        </w:rPr>
      </w:pPr>
    </w:p>
    <w:p w:rsidR="00DD4811" w:rsidRDefault="00605A31">
      <w:pPr>
        <w:spacing w:line="276" w:lineRule="auto"/>
        <w:ind w:left="851" w:right="89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xml:space="preserve">Para el caso de que la información de la que se ordena su entrega, no obre en sus archivos, </w:t>
      </w:r>
      <w:r>
        <w:rPr>
          <w:rFonts w:ascii="Palatino Linotype" w:eastAsia="Palatino Linotype" w:hAnsi="Palatino Linotype" w:cs="Palatino Linotype"/>
          <w:b/>
          <w:i/>
          <w:sz w:val="22"/>
          <w:szCs w:val="22"/>
        </w:rPr>
        <w:t>E</w:t>
      </w:r>
      <w:r>
        <w:rPr>
          <w:rFonts w:ascii="Palatino Linotype" w:eastAsia="Palatino Linotype" w:hAnsi="Palatino Linotype" w:cs="Palatino Linotype"/>
          <w:b/>
          <w:i/>
          <w:sz w:val="22"/>
          <w:szCs w:val="22"/>
        </w:rPr>
        <w:t>L SUJETO OBLIGADO</w:t>
      </w:r>
      <w:r>
        <w:rPr>
          <w:rFonts w:ascii="Palatino Linotype" w:eastAsia="Palatino Linotype" w:hAnsi="Palatino Linotype" w:cs="Palatino Linotype"/>
          <w:i/>
          <w:sz w:val="22"/>
          <w:szCs w:val="22"/>
        </w:rPr>
        <w:t xml:space="preserve"> deberá emitir el Acuerdo de Inexistencia en términos de los artículos 49, fracciones II y XIII, 169 y 170 de la Ley de Transparencia y Acceso a la Información Pública del Estado de México y Municipios.</w:t>
      </w:r>
      <w:r>
        <w:rPr>
          <w:rFonts w:ascii="Palatino Linotype" w:eastAsia="Palatino Linotype" w:hAnsi="Palatino Linotype" w:cs="Palatino Linotype"/>
          <w:i/>
          <w:sz w:val="22"/>
          <w:szCs w:val="22"/>
          <w:highlight w:val="white"/>
        </w:rPr>
        <w:t>”</w:t>
      </w:r>
    </w:p>
    <w:p w:rsidR="00DD4811" w:rsidRDefault="00DD4811">
      <w:pPr>
        <w:spacing w:line="276" w:lineRule="auto"/>
        <w:ind w:left="851" w:right="899" w:hanging="142"/>
        <w:jc w:val="both"/>
        <w:rPr>
          <w:rFonts w:ascii="Palatino Linotype" w:eastAsia="Palatino Linotype" w:hAnsi="Palatino Linotype" w:cs="Palatino Linotype"/>
          <w:i/>
          <w:color w:val="000000"/>
          <w:sz w:val="22"/>
          <w:szCs w:val="22"/>
        </w:rPr>
      </w:pPr>
    </w:p>
    <w:p w:rsidR="00DD4811" w:rsidRDefault="00605A31">
      <w:pPr>
        <w:spacing w:line="360" w:lineRule="auto"/>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b/>
          <w:color w:val="000000"/>
          <w:sz w:val="28"/>
          <w:szCs w:val="28"/>
          <w:highlight w:val="white"/>
        </w:rPr>
        <w:t>TERCERO.</w:t>
      </w:r>
      <w:r>
        <w:rPr>
          <w:rFonts w:ascii="Palatino Linotype" w:eastAsia="Palatino Linotype" w:hAnsi="Palatino Linotype" w:cs="Palatino Linotype"/>
          <w:b/>
          <w:color w:val="000000"/>
          <w:highlight w:val="white"/>
        </w:rPr>
        <w:t> </w:t>
      </w:r>
      <w:r>
        <w:rPr>
          <w:rFonts w:ascii="Palatino Linotype" w:eastAsia="Palatino Linotype" w:hAnsi="Palatino Linotype" w:cs="Palatino Linotype"/>
          <w:b/>
          <w:color w:val="000000"/>
        </w:rPr>
        <w:t>Notifíquese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highlight w:val="white"/>
        </w:rPr>
        <w:t>al Titular de la Unidad de Transparencia del</w:t>
      </w:r>
      <w:r>
        <w:rPr>
          <w:rFonts w:ascii="Palatino Linotype" w:eastAsia="Palatino Linotype" w:hAnsi="Palatino Linotype" w:cs="Palatino Linotype"/>
          <w:b/>
          <w:color w:val="000000"/>
          <w:highlight w:val="white"/>
        </w:rPr>
        <w:t> SUJETO OBLIGADO</w:t>
      </w:r>
      <w:r>
        <w:rPr>
          <w:rFonts w:ascii="Palatino Linotype" w:eastAsia="Palatino Linotype" w:hAnsi="Palatino Linotype" w:cs="Palatino Linotype"/>
          <w:color w:val="000000"/>
          <w:highlight w:val="white"/>
        </w:rPr>
        <w:t xml:space="preserve">, para que conforme a los artículos 186, último párrafo y 189, párrafo segundo de la Ley de </w:t>
      </w:r>
      <w:r>
        <w:rPr>
          <w:rFonts w:ascii="Palatino Linotype" w:eastAsia="Palatino Linotype" w:hAnsi="Palatino Linotype" w:cs="Palatino Linotype"/>
          <w:color w:val="000000"/>
        </w:rPr>
        <w:t>Transparencia</w:t>
      </w:r>
      <w:r>
        <w:rPr>
          <w:rFonts w:ascii="Palatino Linotype" w:eastAsia="Palatino Linotype" w:hAnsi="Palatino Linotype" w:cs="Palatino Linotype"/>
          <w:color w:val="000000"/>
          <w:highlight w:val="white"/>
        </w:rPr>
        <w:t xml:space="preserve"> y Acceso a la Información Pública del Estado de México y Municipios, dé </w:t>
      </w:r>
      <w:r>
        <w:rPr>
          <w:rFonts w:ascii="Palatino Linotype" w:eastAsia="Palatino Linotype" w:hAnsi="Palatino Linotype" w:cs="Palatino Linotype"/>
          <w:color w:val="000000"/>
        </w:rPr>
        <w:t>cumplimiento</w:t>
      </w:r>
      <w:r>
        <w:rPr>
          <w:rFonts w:ascii="Palatino Linotype" w:eastAsia="Palatino Linotype" w:hAnsi="Palatino Linotype" w:cs="Palatino Linotype"/>
          <w:color w:val="000000"/>
          <w:highlight w:val="white"/>
        </w:rPr>
        <w:t xml:space="preserve"> a lo </w:t>
      </w:r>
      <w:r>
        <w:rPr>
          <w:rFonts w:ascii="Palatino Linotype" w:eastAsia="Palatino Linotype" w:hAnsi="Palatino Linotype" w:cs="Palatino Linotype"/>
          <w:color w:val="000000"/>
          <w:highlight w:val="white"/>
        </w:rPr>
        <w:t xml:space="preserve">ordenado dentro del plazo de diez días hábiles, debiendo </w:t>
      </w:r>
      <w:r>
        <w:rPr>
          <w:rFonts w:ascii="Palatino Linotype" w:eastAsia="Palatino Linotype" w:hAnsi="Palatino Linotype" w:cs="Palatino Linotype"/>
          <w:color w:val="000000"/>
        </w:rPr>
        <w:t>informar</w:t>
      </w:r>
      <w:r>
        <w:rPr>
          <w:rFonts w:ascii="Palatino Linotype" w:eastAsia="Palatino Linotype" w:hAnsi="Palatino Linotype" w:cs="Palatino Linotype"/>
          <w:color w:val="000000"/>
          <w:highlight w:val="white"/>
        </w:rPr>
        <w:t xml:space="preserve"> a este Instituto en un plazo </w:t>
      </w:r>
      <w:r>
        <w:rPr>
          <w:rFonts w:ascii="Palatino Linotype" w:eastAsia="Palatino Linotype" w:hAnsi="Palatino Linotype" w:cs="Palatino Linotype"/>
          <w:color w:val="000000"/>
        </w:rPr>
        <w:t>de</w:t>
      </w:r>
      <w:r>
        <w:rPr>
          <w:rFonts w:ascii="Palatino Linotype" w:eastAsia="Palatino Linotype" w:hAnsi="Palatino Linotype" w:cs="Palatino Linotype"/>
          <w:color w:val="000000"/>
          <w:highlight w:val="white"/>
        </w:rPr>
        <w:t xml:space="preserve"> tres días hábiles siguientes sobre el cumplimiento dado a la presente resolución.</w:t>
      </w:r>
    </w:p>
    <w:p w:rsidR="00DD4811" w:rsidRDefault="00DD4811">
      <w:pPr>
        <w:spacing w:line="360" w:lineRule="auto"/>
        <w:ind w:right="49"/>
        <w:jc w:val="both"/>
        <w:rPr>
          <w:rFonts w:ascii="Palatino Linotype" w:eastAsia="Palatino Linotype" w:hAnsi="Palatino Linotype" w:cs="Palatino Linotype"/>
          <w:b/>
          <w:color w:val="000000"/>
          <w:highlight w:val="white"/>
        </w:rPr>
      </w:pPr>
    </w:p>
    <w:p w:rsidR="00DD4811" w:rsidRDefault="00605A31">
      <w:pPr>
        <w:spacing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8"/>
          <w:szCs w:val="28"/>
        </w:rPr>
        <w:t xml:space="preserve">CUARTO. </w:t>
      </w:r>
      <w:r>
        <w:rPr>
          <w:rFonts w:ascii="Palatino Linotype" w:eastAsia="Palatino Linotype" w:hAnsi="Palatino Linotype" w:cs="Palatino Linotype"/>
          <w:b/>
          <w:color w:val="000000"/>
        </w:rPr>
        <w:t>Notifíquese</w:t>
      </w:r>
      <w:r>
        <w:rPr>
          <w:rFonts w:ascii="Palatino Linotype" w:eastAsia="Palatino Linotype" w:hAnsi="Palatino Linotype" w:cs="Palatino Linotype"/>
          <w:color w:val="000000"/>
        </w:rPr>
        <w:t xml:space="preserve"> al</w:t>
      </w:r>
      <w:r>
        <w:rPr>
          <w:rFonts w:ascii="Palatino Linotype" w:eastAsia="Palatino Linotype" w:hAnsi="Palatino Linotype" w:cs="Palatino Linotype"/>
          <w:b/>
          <w:color w:val="000000"/>
        </w:rPr>
        <w:t xml:space="preserve"> RECURRENTE</w:t>
      </w:r>
      <w:r>
        <w:rPr>
          <w:rFonts w:ascii="Palatino Linotype" w:eastAsia="Palatino Linotype" w:hAnsi="Palatino Linotype" w:cs="Palatino Linotype"/>
          <w:color w:val="000000"/>
        </w:rPr>
        <w:t xml:space="preserve"> la presente resolución; así como, el Info</w:t>
      </w:r>
      <w:r>
        <w:rPr>
          <w:rFonts w:ascii="Palatino Linotype" w:eastAsia="Palatino Linotype" w:hAnsi="Palatino Linotype" w:cs="Palatino Linotype"/>
          <w:color w:val="000000"/>
        </w:rPr>
        <w:t>rme Justificado.</w:t>
      </w:r>
    </w:p>
    <w:p w:rsidR="00DD4811" w:rsidRDefault="00DD4811">
      <w:pPr>
        <w:widowControl w:val="0"/>
        <w:spacing w:line="360" w:lineRule="auto"/>
        <w:jc w:val="both"/>
        <w:rPr>
          <w:rFonts w:ascii="Palatino Linotype" w:eastAsia="Palatino Linotype" w:hAnsi="Palatino Linotype" w:cs="Palatino Linotype"/>
          <w:color w:val="000000"/>
        </w:rPr>
      </w:pPr>
    </w:p>
    <w:p w:rsidR="00DD4811" w:rsidRDefault="00605A31">
      <w:pP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QUINTO.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Hágase del conocimiento</w:t>
      </w:r>
      <w:r>
        <w:rPr>
          <w:rFonts w:ascii="Palatino Linotype" w:eastAsia="Palatino Linotype" w:hAnsi="Palatino Linotype" w:cs="Palatino Linotype"/>
          <w:color w:val="000000"/>
        </w:rPr>
        <w:t xml:space="preserve"> al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DD4811" w:rsidRDefault="00DD4811">
      <w:pPr>
        <w:spacing w:line="360" w:lineRule="auto"/>
        <w:ind w:right="49"/>
        <w:jc w:val="both"/>
        <w:rPr>
          <w:rFonts w:ascii="Palatino Linotype" w:eastAsia="Palatino Linotype" w:hAnsi="Palatino Linotype" w:cs="Palatino Linotype"/>
          <w:b/>
          <w:color w:val="000000"/>
          <w:sz w:val="28"/>
          <w:szCs w:val="28"/>
        </w:rPr>
      </w:pPr>
    </w:p>
    <w:p w:rsidR="00DD4811" w:rsidRDefault="00605A31">
      <w:pP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SEXTO</w:t>
      </w:r>
      <w:r>
        <w:rPr>
          <w:rFonts w:ascii="Palatino Linotype" w:eastAsia="Palatino Linotype" w:hAnsi="Palatino Linotype" w:cs="Palatino Linotype"/>
          <w:color w:val="000000"/>
        </w:rPr>
        <w:t xml:space="preserve">. De conformidad </w:t>
      </w:r>
      <w:r>
        <w:rPr>
          <w:rFonts w:ascii="Palatino Linotype" w:eastAsia="Palatino Linotype" w:hAnsi="Palatino Linotype" w:cs="Palatino Linotype"/>
          <w:color w:val="000000"/>
        </w:rPr>
        <w:t>con el artículo 198 de la Ley de Transparencia y Acceso a la Información Pública del Estado de México y Municipios, de considerarlo procedente, el Sujeto Obligado de manera fundada y motivada, podrá solicitar una ampliación de plazo para el cumplimiento de</w:t>
      </w:r>
      <w:r>
        <w:rPr>
          <w:rFonts w:ascii="Palatino Linotype" w:eastAsia="Palatino Linotype" w:hAnsi="Palatino Linotype" w:cs="Palatino Linotype"/>
          <w:color w:val="000000"/>
        </w:rPr>
        <w:t xml:space="preserve"> la presente resolución.</w:t>
      </w:r>
    </w:p>
    <w:p w:rsidR="00DD4811" w:rsidRDefault="00DD4811">
      <w:pPr>
        <w:spacing w:line="360" w:lineRule="auto"/>
        <w:ind w:right="49"/>
        <w:jc w:val="both"/>
        <w:rPr>
          <w:rFonts w:ascii="Palatino Linotype" w:eastAsia="Palatino Linotype" w:hAnsi="Palatino Linotype" w:cs="Palatino Linotype"/>
          <w:color w:val="000000"/>
        </w:rPr>
      </w:pPr>
    </w:p>
    <w:p w:rsidR="00DD4811" w:rsidRDefault="00605A3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w:t>
      </w:r>
      <w:r>
        <w:rPr>
          <w:rFonts w:ascii="Palatino Linotype" w:eastAsia="Palatino Linotype" w:hAnsi="Palatino Linotype" w:cs="Palatino Linotype"/>
        </w:rPr>
        <w:t>EJÍA AYALA; SHARON CRISTINA MORALES MARTÍNEZ; LUIS GUSTAVO PARRA NORIEGA Y GUADALUPE RAMÍREZ PEÑA; EN LA TRIGÉSIMA SÉPTIMA SESIÓN ORDINARIA CELEBRADA EL VEINTE DE OCTUBRE DE DOS MIL VEINTIUNO, ANTE EL SECRETARIO TÉCNICO DEL PLENO, ALEXIS TAPIA RAMÍREZ.</w:t>
      </w:r>
    </w:p>
    <w:p w:rsidR="00DD4811" w:rsidRDefault="00605A31">
      <w:pPr>
        <w:spacing w:line="360" w:lineRule="auto"/>
        <w:jc w:val="both"/>
        <w:rPr>
          <w:rFonts w:ascii="Palatino Linotype" w:eastAsia="Palatino Linotype" w:hAnsi="Palatino Linotype" w:cs="Palatino Linotype"/>
          <w:sz w:val="20"/>
          <w:szCs w:val="20"/>
        </w:rPr>
      </w:pPr>
      <w:bookmarkStart w:id="1" w:name="_heading=h.gjdgxs" w:colFirst="0" w:colLast="0"/>
      <w:bookmarkEnd w:id="1"/>
      <w:r>
        <w:rPr>
          <w:rFonts w:ascii="Palatino Linotype" w:eastAsia="Palatino Linotype" w:hAnsi="Palatino Linotype" w:cs="Palatino Linotype"/>
          <w:sz w:val="20"/>
          <w:szCs w:val="20"/>
        </w:rPr>
        <w:t>SCM</w:t>
      </w:r>
      <w:r>
        <w:rPr>
          <w:rFonts w:ascii="Palatino Linotype" w:eastAsia="Palatino Linotype" w:hAnsi="Palatino Linotype" w:cs="Palatino Linotype"/>
          <w:sz w:val="20"/>
          <w:szCs w:val="20"/>
        </w:rPr>
        <w:t>M/BLA/DEMF/RPG</w:t>
      </w:r>
    </w:p>
    <w:p w:rsidR="00DD4811" w:rsidRDefault="00605A31">
      <w:pPr>
        <w:spacing w:line="360" w:lineRule="auto"/>
        <w:rPr>
          <w:rFonts w:ascii="Palatino Linotype" w:eastAsia="Palatino Linotype" w:hAnsi="Palatino Linotype" w:cs="Palatino Linotype"/>
          <w:color w:val="000000"/>
          <w:sz w:val="20"/>
          <w:szCs w:val="20"/>
        </w:rPr>
      </w:pPr>
      <w:r>
        <w:br w:type="page"/>
      </w:r>
    </w:p>
    <w:p w:rsidR="00DD4811" w:rsidRDefault="00DD4811">
      <w:pPr>
        <w:spacing w:line="360" w:lineRule="auto"/>
        <w:jc w:val="both"/>
        <w:rPr>
          <w:rFonts w:ascii="Palatino Linotype" w:eastAsia="Palatino Linotype" w:hAnsi="Palatino Linotype" w:cs="Palatino Linotype"/>
          <w:color w:val="000000"/>
        </w:rPr>
      </w:pPr>
    </w:p>
    <w:sectPr w:rsidR="00DD4811">
      <w:headerReference w:type="even" r:id="rId28"/>
      <w:headerReference w:type="default" r:id="rId29"/>
      <w:footerReference w:type="default" r:id="rId30"/>
      <w:headerReference w:type="first" r:id="rId31"/>
      <w:footerReference w:type="first" r:id="rId32"/>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A31" w:rsidRDefault="00605A31">
      <w:r>
        <w:separator/>
      </w:r>
    </w:p>
  </w:endnote>
  <w:endnote w:type="continuationSeparator" w:id="0">
    <w:p w:rsidR="00605A31" w:rsidRDefault="00605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Georgia">
    <w:panose1 w:val="02040502050405020303"/>
    <w:charset w:val="00"/>
    <w:family w:val="auto"/>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811" w:rsidRDefault="00605A3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sidR="00C55832">
      <w:rPr>
        <w:rFonts w:ascii="Palatino Linotype" w:eastAsia="Palatino Linotype" w:hAnsi="Palatino Linotype" w:cs="Palatino Linotype"/>
        <w:color w:val="000000"/>
        <w:sz w:val="22"/>
        <w:szCs w:val="22"/>
      </w:rPr>
      <w:fldChar w:fldCharType="separate"/>
    </w:r>
    <w:r w:rsidR="00C55832">
      <w:rPr>
        <w:rFonts w:ascii="Palatino Linotype" w:eastAsia="Palatino Linotype" w:hAnsi="Palatino Linotype" w:cs="Palatino Linotype"/>
        <w:noProof/>
        <w:color w:val="000000"/>
        <w:sz w:val="22"/>
        <w:szCs w:val="22"/>
      </w:rPr>
      <w:t>21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sidR="00C55832">
      <w:rPr>
        <w:rFonts w:ascii="Palatino Linotype" w:eastAsia="Palatino Linotype" w:hAnsi="Palatino Linotype" w:cs="Palatino Linotype"/>
        <w:color w:val="000000"/>
        <w:sz w:val="22"/>
        <w:szCs w:val="22"/>
      </w:rPr>
      <w:fldChar w:fldCharType="separate"/>
    </w:r>
    <w:r w:rsidR="00C55832">
      <w:rPr>
        <w:rFonts w:ascii="Palatino Linotype" w:eastAsia="Palatino Linotype" w:hAnsi="Palatino Linotype" w:cs="Palatino Linotype"/>
        <w:noProof/>
        <w:color w:val="000000"/>
        <w:sz w:val="22"/>
        <w:szCs w:val="22"/>
      </w:rPr>
      <w:t>30</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811" w:rsidRDefault="00605A31">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sidR="00C55832">
      <w:rPr>
        <w:rFonts w:ascii="Palatino Linotype" w:eastAsia="Palatino Linotype" w:hAnsi="Palatino Linotype" w:cs="Palatino Linotype"/>
        <w:color w:val="000000"/>
        <w:sz w:val="22"/>
        <w:szCs w:val="22"/>
      </w:rPr>
      <w:fldChar w:fldCharType="separate"/>
    </w:r>
    <w:r w:rsidR="00C55832">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sidR="00C55832">
      <w:rPr>
        <w:rFonts w:ascii="Palatino Linotype" w:eastAsia="Palatino Linotype" w:hAnsi="Palatino Linotype" w:cs="Palatino Linotype"/>
        <w:color w:val="000000"/>
        <w:sz w:val="22"/>
        <w:szCs w:val="22"/>
      </w:rPr>
      <w:fldChar w:fldCharType="separate"/>
    </w:r>
    <w:r w:rsidR="00C55832">
      <w:rPr>
        <w:rFonts w:ascii="Palatino Linotype" w:eastAsia="Palatino Linotype" w:hAnsi="Palatino Linotype" w:cs="Palatino Linotype"/>
        <w:noProof/>
        <w:color w:val="000000"/>
        <w:sz w:val="22"/>
        <w:szCs w:val="22"/>
      </w:rPr>
      <w:t>30</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A31" w:rsidRDefault="00605A31">
      <w:r>
        <w:separator/>
      </w:r>
    </w:p>
  </w:footnote>
  <w:footnote w:type="continuationSeparator" w:id="0">
    <w:p w:rsidR="00605A31" w:rsidRDefault="00605A31">
      <w:r>
        <w:continuationSeparator/>
      </w:r>
    </w:p>
  </w:footnote>
  <w:footnote w:id="1">
    <w:p w:rsidR="00DD4811" w:rsidRDefault="00605A31">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8"/>
          <w:szCs w:val="18"/>
        </w:rPr>
        <w:t>https://www.dof.gob.mx/nota_detalle.php?codigo=5436072&amp;fecha=04/05/2016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811" w:rsidRDefault="00605A31">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40pt;height:10in;z-index:-251657728;mso-position-horizontal:center;mso-position-horizontal-relative:margin;mso-position-vertical:center;mso-position-vertical-relative:margin">
          <v:imagedata r:id="rId1" o:title="image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811" w:rsidRDefault="00605A31">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540pt;height:10in;z-index:-251659776;mso-position-horizontal:center;mso-position-horizontal-relative:margin;mso-position-vertical:center;mso-position-vertical-relative:margin">
          <v:imagedata r:id="rId1" o:title="image7"/>
          <w10:wrap anchorx="margin" anchory="margin"/>
        </v:shape>
      </w:pict>
    </w:r>
  </w:p>
  <w:tbl>
    <w:tblPr>
      <w:tblStyle w:val="a"/>
      <w:tblW w:w="9534" w:type="dxa"/>
      <w:tblInd w:w="-142" w:type="dxa"/>
      <w:tblLayout w:type="fixed"/>
      <w:tblLook w:val="0400" w:firstRow="0" w:lastRow="0" w:firstColumn="0" w:lastColumn="0" w:noHBand="0" w:noVBand="1"/>
    </w:tblPr>
    <w:tblGrid>
      <w:gridCol w:w="3261"/>
      <w:gridCol w:w="2551"/>
      <w:gridCol w:w="3722"/>
    </w:tblGrid>
    <w:tr w:rsidR="00DD4811">
      <w:tc>
        <w:tcPr>
          <w:tcW w:w="3261" w:type="dxa"/>
          <w:vMerge w:val="restart"/>
        </w:tcPr>
        <w:p w:rsidR="00DD4811" w:rsidRDefault="00605A31">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extent cx="1692162" cy="852673"/>
                <wp:effectExtent l="0" t="0" r="0" b="0"/>
                <wp:docPr id="6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rsidR="00DD4811" w:rsidRDefault="00605A3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722" w:type="dxa"/>
          <w:shd w:val="clear" w:color="auto" w:fill="auto"/>
          <w:vAlign w:val="center"/>
        </w:tcPr>
        <w:p w:rsidR="00DD4811" w:rsidRDefault="00605A3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04432/INFOEM/IP/RR/2021</w:t>
          </w:r>
        </w:p>
      </w:tc>
    </w:tr>
    <w:tr w:rsidR="00DD4811">
      <w:tc>
        <w:tcPr>
          <w:tcW w:w="3261" w:type="dxa"/>
          <w:vMerge/>
        </w:tcPr>
        <w:p w:rsidR="00DD4811" w:rsidRDefault="00DD4811">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rsidR="00DD4811" w:rsidRDefault="00605A3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722" w:type="dxa"/>
          <w:shd w:val="clear" w:color="auto" w:fill="auto"/>
          <w:vAlign w:val="center"/>
        </w:tcPr>
        <w:p w:rsidR="00DD4811" w:rsidRDefault="00605A3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Nextlalpan</w:t>
          </w:r>
          <w:proofErr w:type="spellEnd"/>
        </w:p>
      </w:tc>
    </w:tr>
    <w:tr w:rsidR="00DD4811">
      <w:trPr>
        <w:trHeight w:val="228"/>
      </w:trPr>
      <w:tc>
        <w:tcPr>
          <w:tcW w:w="3261" w:type="dxa"/>
          <w:vMerge/>
        </w:tcPr>
        <w:p w:rsidR="00DD4811" w:rsidRDefault="00DD4811">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rsidR="00DD4811" w:rsidRDefault="00605A3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722" w:type="dxa"/>
          <w:shd w:val="clear" w:color="auto" w:fill="auto"/>
        </w:tcPr>
        <w:p w:rsidR="00DD4811" w:rsidRDefault="00605A3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Sharon Cristina Morales Martínez </w:t>
          </w:r>
        </w:p>
      </w:tc>
    </w:tr>
  </w:tbl>
  <w:p w:rsidR="00DD4811" w:rsidRDefault="00DD4811">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811" w:rsidRDefault="00DD4811">
    <w:pPr>
      <w:rPr>
        <w:rFonts w:ascii="Palatino Linotype" w:eastAsia="Palatino Linotype" w:hAnsi="Palatino Linotype" w:cs="Palatino Linotype"/>
        <w:sz w:val="28"/>
        <w:szCs w:val="28"/>
      </w:rPr>
    </w:pPr>
  </w:p>
  <w:tbl>
    <w:tblPr>
      <w:tblStyle w:val="a0"/>
      <w:tblW w:w="10490" w:type="dxa"/>
      <w:tblInd w:w="-1276" w:type="dxa"/>
      <w:tblLayout w:type="fixed"/>
      <w:tblLook w:val="0400" w:firstRow="0" w:lastRow="0" w:firstColumn="0" w:lastColumn="0" w:noHBand="0" w:noVBand="1"/>
    </w:tblPr>
    <w:tblGrid>
      <w:gridCol w:w="4253"/>
      <w:gridCol w:w="2552"/>
      <w:gridCol w:w="3685"/>
    </w:tblGrid>
    <w:tr w:rsidR="00DD4811">
      <w:tc>
        <w:tcPr>
          <w:tcW w:w="4253" w:type="dxa"/>
          <w:vMerge w:val="restart"/>
          <w:shd w:val="clear" w:color="auto" w:fill="auto"/>
        </w:tcPr>
        <w:p w:rsidR="00DD4811" w:rsidRDefault="00605A31">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extent cx="1692162" cy="852673"/>
                <wp:effectExtent l="0" t="0" r="0" b="0"/>
                <wp:docPr id="6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rsidR="00DD4811" w:rsidRDefault="00605A3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shd w:val="clear" w:color="auto" w:fill="auto"/>
          <w:vAlign w:val="center"/>
        </w:tcPr>
        <w:p w:rsidR="00DD4811" w:rsidRDefault="00605A3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04432/INFOEM/IP/RR/2021</w:t>
          </w:r>
        </w:p>
      </w:tc>
    </w:tr>
    <w:tr w:rsidR="00DD4811">
      <w:tc>
        <w:tcPr>
          <w:tcW w:w="4253" w:type="dxa"/>
          <w:vMerge/>
          <w:shd w:val="clear" w:color="auto" w:fill="auto"/>
        </w:tcPr>
        <w:p w:rsidR="00DD4811" w:rsidRDefault="00DD4811">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rsidR="00DD4811" w:rsidRDefault="00605A3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5" w:type="dxa"/>
          <w:shd w:val="clear" w:color="auto" w:fill="auto"/>
          <w:vAlign w:val="center"/>
        </w:tcPr>
        <w:p w:rsidR="00DD4811" w:rsidRDefault="00C55832">
          <w:pPr>
            <w:jc w:val="both"/>
            <w:rPr>
              <w:rFonts w:ascii="Palatino Linotype" w:eastAsia="Palatino Linotype" w:hAnsi="Palatino Linotype" w:cs="Palatino Linotype"/>
              <w:b/>
              <w:sz w:val="22"/>
              <w:szCs w:val="22"/>
            </w:rPr>
          </w:pPr>
          <w:r w:rsidRPr="00C55832">
            <w:rPr>
              <w:rFonts w:ascii="Palatino Linotype" w:eastAsia="Palatino Linotype" w:hAnsi="Palatino Linotype" w:cs="Palatino Linotype"/>
              <w:b/>
              <w:sz w:val="22"/>
              <w:szCs w:val="22"/>
            </w:rPr>
            <w:t xml:space="preserve">XXXXX XXXX XXXXXXXX </w:t>
          </w:r>
          <w:proofErr w:type="spellStart"/>
          <w:r w:rsidRPr="00C55832">
            <w:rPr>
              <w:rFonts w:ascii="Palatino Linotype" w:eastAsia="Palatino Linotype" w:hAnsi="Palatino Linotype" w:cs="Palatino Linotype"/>
              <w:b/>
              <w:sz w:val="22"/>
              <w:szCs w:val="22"/>
            </w:rPr>
            <w:t>XXXXXXXX</w:t>
          </w:r>
          <w:proofErr w:type="spellEnd"/>
        </w:p>
      </w:tc>
    </w:tr>
    <w:tr w:rsidR="00DD4811">
      <w:trPr>
        <w:trHeight w:val="228"/>
      </w:trPr>
      <w:tc>
        <w:tcPr>
          <w:tcW w:w="4253" w:type="dxa"/>
          <w:vMerge/>
          <w:shd w:val="clear" w:color="auto" w:fill="auto"/>
        </w:tcPr>
        <w:p w:rsidR="00DD4811" w:rsidRDefault="00DD4811">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rsidR="00DD4811" w:rsidRDefault="00605A3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shd w:val="clear" w:color="auto" w:fill="auto"/>
          <w:vAlign w:val="center"/>
        </w:tcPr>
        <w:p w:rsidR="00DD4811" w:rsidRDefault="00605A3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Nextlalpan</w:t>
          </w:r>
          <w:proofErr w:type="spellEnd"/>
        </w:p>
      </w:tc>
    </w:tr>
    <w:tr w:rsidR="00DD4811">
      <w:tc>
        <w:tcPr>
          <w:tcW w:w="4253" w:type="dxa"/>
          <w:vMerge/>
          <w:shd w:val="clear" w:color="auto" w:fill="auto"/>
        </w:tcPr>
        <w:p w:rsidR="00DD4811" w:rsidRDefault="00DD4811">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rsidR="00DD4811" w:rsidRDefault="00605A3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shd w:val="clear" w:color="auto" w:fill="auto"/>
        </w:tcPr>
        <w:p w:rsidR="00DD4811" w:rsidRDefault="00605A3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rsidR="00DD4811" w:rsidRDefault="00605A31">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19.4pt;margin-top:13.2pt;width:540pt;height:10in;z-index:-251658752;mso-position-horizontal:absolute;mso-position-horizontal-relative:margin;mso-position-vertical:absolute;mso-position-vertical-relative:margin">
          <v:imagedata r:id="rId2" o:title="image7"/>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E22BCD"/>
    <w:multiLevelType w:val="multilevel"/>
    <w:tmpl w:val="39EEF2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811"/>
    <w:rsid w:val="00605A31"/>
    <w:rsid w:val="00C55832"/>
    <w:rsid w:val="00DD48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B591E5D-AA64-4502-B8FA-F13D3969F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B71"/>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51347"/>
  </w:style>
  <w:style w:type="paragraph" w:customStyle="1" w:styleId="xmsonormal">
    <w:name w:val="x_msonormal"/>
    <w:basedOn w:val="Normal"/>
    <w:rsid w:val="00D91B7B"/>
    <w:pPr>
      <w:spacing w:before="100" w:beforeAutospacing="1" w:after="100" w:afterAutospacing="1"/>
    </w:pPr>
  </w:style>
  <w:style w:type="table" w:customStyle="1" w:styleId="Tablaconcuadrcula111">
    <w:name w:val="Tabla con cuadrícula111"/>
    <w:basedOn w:val="Tablanormal"/>
    <w:next w:val="Tablaconcuadrcula"/>
    <w:uiPriority w:val="39"/>
    <w:rsid w:val="00D91B7B"/>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D91B7B"/>
  </w:style>
  <w:style w:type="paragraph" w:styleId="Textoindependiente3">
    <w:name w:val="Body Text 3"/>
    <w:basedOn w:val="Normal"/>
    <w:link w:val="Textoindependiente3Car"/>
    <w:uiPriority w:val="99"/>
    <w:semiHidden/>
    <w:unhideWhenUsed/>
    <w:rsid w:val="00D91B7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91B7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D91B7B"/>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D91B7B"/>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D91B7B"/>
  </w:style>
  <w:style w:type="numbering" w:customStyle="1" w:styleId="Sinlista2">
    <w:name w:val="Sin lista2"/>
    <w:next w:val="Sinlista"/>
    <w:uiPriority w:val="99"/>
    <w:semiHidden/>
    <w:unhideWhenUsed/>
    <w:rsid w:val="00D91B7B"/>
  </w:style>
  <w:style w:type="numbering" w:customStyle="1" w:styleId="Sinlista3">
    <w:name w:val="Sin lista3"/>
    <w:next w:val="Sinlista"/>
    <w:uiPriority w:val="99"/>
    <w:semiHidden/>
    <w:unhideWhenUsed/>
    <w:rsid w:val="00D91B7B"/>
  </w:style>
  <w:style w:type="table" w:customStyle="1" w:styleId="Tablaconcuadrcula3">
    <w:name w:val="Tabla con cuadrícula3"/>
    <w:basedOn w:val="Tablanormal"/>
    <w:next w:val="Tablaconcuadrcula"/>
    <w:uiPriority w:val="39"/>
    <w:rsid w:val="00D91B7B"/>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D91B7B"/>
  </w:style>
  <w:style w:type="table" w:customStyle="1" w:styleId="Tablaconcuadrcula4">
    <w:name w:val="Tabla con cuadrícula4"/>
    <w:basedOn w:val="Tablanormal"/>
    <w:next w:val="Tablaconcuadrcula"/>
    <w:uiPriority w:val="39"/>
    <w:rsid w:val="00D91B7B"/>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D91B7B"/>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D91B7B"/>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D91B7B"/>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D91B7B"/>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D91B7B"/>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D91B7B"/>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www.ipomex.org.mx/ipo3/lgt/indice/nextlalpan.web" TargetMode="External"/><Relationship Id="rId18" Type="http://schemas.openxmlformats.org/officeDocument/2006/relationships/image" Target="media/image12.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imex.org.mx/saimex/solicitud/downloadAttach/1216904.page"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4.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7.png"/><Relationship Id="rId24" Type="http://schemas.openxmlformats.org/officeDocument/2006/relationships/image" Target="media/image9.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saimex.org.mx/saimex/solicitud/downloadAttach/1201880.page"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5.png"/><Relationship Id="rId30" Type="http://schemas.openxmlformats.org/officeDocument/2006/relationships/footer" Target="footer1.xml"/><Relationship Id="rId8" Type="http://schemas.openxmlformats.org/officeDocument/2006/relationships/hyperlink" Target="https://www.saimex.org.mx/saimex/solicitud/downloadAttach/1201880.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3MoekwXiWmpspTFSYA3reDBQ3A==">AMUW2mViKu3hKICAZt7YkFlb1TGaxknqkHWYNpLdInO1jQv5E1eoQXlYrfFAEQzuzO/Mtvwvmi90tLwy+vHvCDFzRb8/w0ydDrb+3zvFaRG+I5RH6dsiLQ/KoLGr0uM77dPNSybFNep8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30</Pages>
  <Words>6008</Words>
  <Characters>33047</Characters>
  <Application>Microsoft Office Word</Application>
  <DocSecurity>0</DocSecurity>
  <Lines>275</Lines>
  <Paragraphs>77</Paragraphs>
  <ScaleCrop>false</ScaleCrop>
  <Company>INFOEM</Company>
  <LinksUpToDate>false</LinksUpToDate>
  <CharactersWithSpaces>38978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PONENCIA EAY</cp:lastModifiedBy>
  <cp:revision>2</cp:revision>
  <dcterms:created xsi:type="dcterms:W3CDTF">2021-10-15T00:58:00Z</dcterms:created>
  <dcterms:modified xsi:type="dcterms:W3CDTF">2021-10-27T18:50:00Z</dcterms:modified>
</cp:coreProperties>
</file>