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28B09B" w14:textId="52DB1A83" w:rsidR="00C43B1E" w:rsidRPr="00A35D00" w:rsidRDefault="00C43B1E" w:rsidP="00C43B1E">
      <w:pPr>
        <w:spacing w:before="100" w:beforeAutospacing="1" w:after="100" w:afterAutospacing="1" w:line="360" w:lineRule="auto"/>
        <w:jc w:val="both"/>
        <w:rPr>
          <w:rFonts w:ascii="Palatino Linotype" w:hAnsi="Palatino Linotype"/>
        </w:rPr>
      </w:pPr>
      <w:r w:rsidRPr="00A35D00">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2D322E" w:rsidRPr="00A35D00">
        <w:rPr>
          <w:rFonts w:ascii="Palatino Linotype" w:hAnsi="Palatino Linotype"/>
        </w:rPr>
        <w:t xml:space="preserve">de fecha </w:t>
      </w:r>
      <w:r w:rsidR="00EF0253" w:rsidRPr="00A35D00">
        <w:rPr>
          <w:rFonts w:ascii="Palatino Linotype" w:hAnsi="Palatino Linotype"/>
        </w:rPr>
        <w:t>die</w:t>
      </w:r>
      <w:r w:rsidR="00F36D35" w:rsidRPr="00A35D00">
        <w:rPr>
          <w:rFonts w:ascii="Palatino Linotype" w:hAnsi="Palatino Linotype"/>
        </w:rPr>
        <w:t xml:space="preserve">ciocho de </w:t>
      </w:r>
      <w:r w:rsidR="00EF0253" w:rsidRPr="00A35D00">
        <w:rPr>
          <w:rFonts w:ascii="Palatino Linotype" w:hAnsi="Palatino Linotype"/>
        </w:rPr>
        <w:t>noviembre</w:t>
      </w:r>
      <w:r w:rsidR="00F36D35" w:rsidRPr="00A35D00">
        <w:rPr>
          <w:rFonts w:ascii="Palatino Linotype" w:hAnsi="Palatino Linotype"/>
        </w:rPr>
        <w:t xml:space="preserve"> </w:t>
      </w:r>
      <w:r w:rsidRPr="00A35D00">
        <w:rPr>
          <w:rFonts w:ascii="Palatino Linotype" w:hAnsi="Palatino Linotype"/>
        </w:rPr>
        <w:t>de dos mil veintiuno.</w:t>
      </w:r>
    </w:p>
    <w:p w14:paraId="1D0C1635" w14:textId="4BBC0D37" w:rsidR="00C43B1E" w:rsidRPr="00A35D00" w:rsidRDefault="00C43B1E" w:rsidP="00C43B1E">
      <w:pPr>
        <w:spacing w:before="100" w:beforeAutospacing="1" w:after="100" w:afterAutospacing="1" w:line="360" w:lineRule="auto"/>
        <w:jc w:val="both"/>
        <w:rPr>
          <w:rFonts w:ascii="Palatino Linotype" w:hAnsi="Palatino Linotype"/>
        </w:rPr>
      </w:pPr>
      <w:r w:rsidRPr="00A35D00">
        <w:rPr>
          <w:rFonts w:ascii="Palatino Linotype" w:hAnsi="Palatino Linotype"/>
          <w:b/>
        </w:rPr>
        <w:t>VISTO</w:t>
      </w:r>
      <w:r w:rsidRPr="00A35D00">
        <w:rPr>
          <w:rFonts w:ascii="Palatino Linotype" w:hAnsi="Palatino Linotype"/>
        </w:rPr>
        <w:t xml:space="preserve"> el expediente formado con motivo del recurso de revisión </w:t>
      </w:r>
      <w:r w:rsidR="008370EF" w:rsidRPr="00A35D00">
        <w:rPr>
          <w:rFonts w:ascii="Palatino Linotype" w:hAnsi="Palatino Linotype"/>
          <w:b/>
          <w:lang w:val="es-419"/>
        </w:rPr>
        <w:t>04992</w:t>
      </w:r>
      <w:r w:rsidRPr="00A35D00">
        <w:rPr>
          <w:rFonts w:ascii="Palatino Linotype" w:hAnsi="Palatino Linotype"/>
          <w:b/>
        </w:rPr>
        <w:t>/INFOEM/IP/RR/2021</w:t>
      </w:r>
      <w:r w:rsidRPr="00A35D00">
        <w:rPr>
          <w:rFonts w:ascii="Palatino Linotype" w:hAnsi="Palatino Linotype"/>
        </w:rPr>
        <w:t>, promovido por</w:t>
      </w:r>
      <w:r w:rsidR="00EF0253" w:rsidRPr="00A35D00">
        <w:rPr>
          <w:rFonts w:ascii="Palatino Linotype" w:hAnsi="Palatino Linotype"/>
        </w:rPr>
        <w:t xml:space="preserve"> el C</w:t>
      </w:r>
      <w:r w:rsidR="00EF0253" w:rsidRPr="00A35D00">
        <w:rPr>
          <w:rFonts w:ascii="Palatino Linotype" w:hAnsi="Palatino Linotype"/>
          <w:b/>
        </w:rPr>
        <w:t xml:space="preserve">. </w:t>
      </w:r>
      <w:r w:rsidR="00D93FA0">
        <w:rPr>
          <w:rFonts w:ascii="Palatino Linotype" w:hAnsi="Palatino Linotype"/>
          <w:b/>
        </w:rPr>
        <w:t xml:space="preserve">XXXX XXXXX XXXX </w:t>
      </w:r>
      <w:proofErr w:type="spellStart"/>
      <w:r w:rsidR="00D93FA0">
        <w:rPr>
          <w:rFonts w:ascii="Palatino Linotype" w:hAnsi="Palatino Linotype"/>
          <w:b/>
        </w:rPr>
        <w:t>XXXX</w:t>
      </w:r>
      <w:proofErr w:type="spellEnd"/>
      <w:r w:rsidR="0082556B" w:rsidRPr="00A35D00">
        <w:rPr>
          <w:rFonts w:ascii="Palatino Linotype" w:hAnsi="Palatino Linotype"/>
        </w:rPr>
        <w:t xml:space="preserve">, </w:t>
      </w:r>
      <w:r w:rsidRPr="00A35D00">
        <w:rPr>
          <w:rFonts w:ascii="Palatino Linotype" w:hAnsi="Palatino Linotype"/>
        </w:rPr>
        <w:t xml:space="preserve">a quien en lo sucesivo se le denominará </w:t>
      </w:r>
      <w:r w:rsidR="00DD11AE" w:rsidRPr="00A35D00">
        <w:rPr>
          <w:rFonts w:ascii="Palatino Linotype" w:hAnsi="Palatino Linotype"/>
          <w:b/>
        </w:rPr>
        <w:t>EL</w:t>
      </w:r>
      <w:r w:rsidRPr="00A35D00">
        <w:rPr>
          <w:rFonts w:ascii="Palatino Linotype" w:hAnsi="Palatino Linotype"/>
        </w:rPr>
        <w:t xml:space="preserve"> </w:t>
      </w:r>
      <w:r w:rsidRPr="00A35D00">
        <w:rPr>
          <w:rFonts w:ascii="Palatino Linotype" w:hAnsi="Palatino Linotype" w:cs="Arial"/>
          <w:b/>
        </w:rPr>
        <w:t>RECURRENTE</w:t>
      </w:r>
      <w:r w:rsidRPr="00A35D00">
        <w:rPr>
          <w:rFonts w:ascii="Palatino Linotype" w:hAnsi="Palatino Linotype"/>
        </w:rPr>
        <w:t xml:space="preserve">, en contra de la respuesta emitida por </w:t>
      </w:r>
      <w:r w:rsidR="008370EF" w:rsidRPr="00A35D00">
        <w:rPr>
          <w:rFonts w:ascii="Palatino Linotype" w:hAnsi="Palatino Linotype"/>
          <w:lang w:val="es-419"/>
        </w:rPr>
        <w:t>la</w:t>
      </w:r>
      <w:r w:rsidR="00DD11AE" w:rsidRPr="00A35D00">
        <w:rPr>
          <w:rFonts w:ascii="Palatino Linotype" w:hAnsi="Palatino Linotype"/>
          <w:b/>
        </w:rPr>
        <w:t xml:space="preserve"> </w:t>
      </w:r>
      <w:r w:rsidR="008370EF" w:rsidRPr="00A35D00">
        <w:rPr>
          <w:rFonts w:ascii="Palatino Linotype" w:hAnsi="Palatino Linotype"/>
          <w:b/>
        </w:rPr>
        <w:t>Secretaría General de Gobierno</w:t>
      </w:r>
      <w:r w:rsidRPr="00A35D00">
        <w:rPr>
          <w:rFonts w:ascii="Palatino Linotype" w:hAnsi="Palatino Linotype"/>
        </w:rPr>
        <w:t>,</w:t>
      </w:r>
      <w:r w:rsidR="008370EF" w:rsidRPr="00A35D00">
        <w:rPr>
          <w:rFonts w:ascii="Palatino Linotype" w:hAnsi="Palatino Linotype"/>
          <w:lang w:val="es-419"/>
        </w:rPr>
        <w:t xml:space="preserve"> a quien</w:t>
      </w:r>
      <w:r w:rsidRPr="00A35D00">
        <w:rPr>
          <w:rFonts w:ascii="Palatino Linotype" w:hAnsi="Palatino Linotype" w:cs="Arial"/>
          <w:b/>
        </w:rPr>
        <w:t xml:space="preserve"> </w:t>
      </w:r>
      <w:r w:rsidRPr="00A35D00">
        <w:rPr>
          <w:rFonts w:ascii="Palatino Linotype" w:hAnsi="Palatino Linotype"/>
        </w:rPr>
        <w:t>en lo subsecuente</w:t>
      </w:r>
      <w:r w:rsidR="0082556B" w:rsidRPr="00A35D00">
        <w:rPr>
          <w:rFonts w:ascii="Palatino Linotype" w:hAnsi="Palatino Linotype"/>
        </w:rPr>
        <w:t xml:space="preserve"> se le </w:t>
      </w:r>
      <w:r w:rsidR="00F7337F" w:rsidRPr="00A35D00">
        <w:rPr>
          <w:rFonts w:ascii="Palatino Linotype" w:hAnsi="Palatino Linotype"/>
          <w:lang w:val="es-419"/>
        </w:rPr>
        <w:t xml:space="preserve">denominará </w:t>
      </w:r>
      <w:r w:rsidRPr="00A35D00">
        <w:rPr>
          <w:rFonts w:ascii="Palatino Linotype" w:hAnsi="Palatino Linotype"/>
          <w:b/>
        </w:rPr>
        <w:t>EL SUJETO OBLIGADO</w:t>
      </w:r>
      <w:r w:rsidRPr="00A35D00">
        <w:rPr>
          <w:rFonts w:ascii="Palatino Linotype" w:hAnsi="Palatino Linotype"/>
        </w:rPr>
        <w:t>, se procede a dictar la presente resolución con base en lo siguiente:</w:t>
      </w:r>
    </w:p>
    <w:p w14:paraId="73BCB84E" w14:textId="77777777" w:rsidR="00C43B1E" w:rsidRPr="00A35D00" w:rsidRDefault="00C43B1E" w:rsidP="00C43B1E">
      <w:pPr>
        <w:spacing w:before="100" w:beforeAutospacing="1" w:after="100" w:afterAutospacing="1" w:line="360" w:lineRule="auto"/>
        <w:jc w:val="center"/>
        <w:rPr>
          <w:rFonts w:ascii="Palatino Linotype" w:hAnsi="Palatino Linotype"/>
          <w:b/>
          <w:bCs/>
          <w:spacing w:val="60"/>
          <w:sz w:val="28"/>
        </w:rPr>
      </w:pPr>
      <w:r w:rsidRPr="00A35D00">
        <w:rPr>
          <w:rFonts w:ascii="Palatino Linotype" w:hAnsi="Palatino Linotype"/>
          <w:b/>
          <w:bCs/>
          <w:spacing w:val="60"/>
          <w:sz w:val="28"/>
        </w:rPr>
        <w:t>RESULTANDO</w:t>
      </w:r>
    </w:p>
    <w:p w14:paraId="29F78C5C" w14:textId="52D32D5B" w:rsidR="00C43B1E" w:rsidRPr="00A35D00" w:rsidRDefault="00C43B1E" w:rsidP="00C43B1E">
      <w:pPr>
        <w:pStyle w:val="Prrafodelista"/>
        <w:tabs>
          <w:tab w:val="left" w:pos="709"/>
        </w:tabs>
        <w:spacing w:before="100" w:beforeAutospacing="1" w:after="100" w:afterAutospacing="1" w:line="360" w:lineRule="auto"/>
        <w:ind w:left="0"/>
        <w:jc w:val="both"/>
        <w:rPr>
          <w:rFonts w:ascii="Palatino Linotype" w:hAnsi="Palatino Linotype"/>
          <w:b/>
        </w:rPr>
      </w:pPr>
      <w:r w:rsidRPr="00A35D00">
        <w:rPr>
          <w:rFonts w:ascii="Palatino Linotype" w:hAnsi="Palatino Linotype"/>
          <w:b/>
          <w:sz w:val="28"/>
          <w:szCs w:val="28"/>
        </w:rPr>
        <w:t>I.</w:t>
      </w:r>
      <w:r w:rsidRPr="00A35D00">
        <w:rPr>
          <w:rFonts w:ascii="Palatino Linotype" w:hAnsi="Palatino Linotype"/>
        </w:rPr>
        <w:t xml:space="preserve"> En </w:t>
      </w:r>
      <w:r w:rsidR="00EF0253" w:rsidRPr="00A35D00">
        <w:rPr>
          <w:rFonts w:ascii="Palatino Linotype" w:hAnsi="Palatino Linotype" w:cs="Arial"/>
        </w:rPr>
        <w:t xml:space="preserve">fecha </w:t>
      </w:r>
      <w:r w:rsidR="008370EF" w:rsidRPr="00A35D00">
        <w:rPr>
          <w:rFonts w:ascii="Palatino Linotype" w:hAnsi="Palatino Linotype" w:cs="Arial"/>
          <w:lang w:val="es-419"/>
        </w:rPr>
        <w:t>cuatro</w:t>
      </w:r>
      <w:r w:rsidR="00DD11AE" w:rsidRPr="00A35D00">
        <w:rPr>
          <w:rFonts w:ascii="Palatino Linotype" w:hAnsi="Palatino Linotype" w:cs="Arial"/>
        </w:rPr>
        <w:t xml:space="preserve"> </w:t>
      </w:r>
      <w:r w:rsidR="00B76384" w:rsidRPr="00A35D00">
        <w:rPr>
          <w:rFonts w:ascii="Palatino Linotype" w:hAnsi="Palatino Linotype" w:cs="Arial"/>
        </w:rPr>
        <w:t>de</w:t>
      </w:r>
      <w:r w:rsidR="006726C4" w:rsidRPr="00A35D00">
        <w:rPr>
          <w:rFonts w:ascii="Palatino Linotype" w:hAnsi="Palatino Linotype" w:cs="Arial"/>
        </w:rPr>
        <w:t xml:space="preserve"> </w:t>
      </w:r>
      <w:r w:rsidR="008370EF" w:rsidRPr="00A35D00">
        <w:rPr>
          <w:rFonts w:ascii="Palatino Linotype" w:hAnsi="Palatino Linotype" w:cs="Arial"/>
          <w:lang w:val="es-419"/>
        </w:rPr>
        <w:t>octubre</w:t>
      </w:r>
      <w:r w:rsidRPr="00A35D00">
        <w:rPr>
          <w:rFonts w:ascii="Palatino Linotype" w:hAnsi="Palatino Linotype" w:cs="Arial"/>
        </w:rPr>
        <w:t xml:space="preserve"> </w:t>
      </w:r>
      <w:r w:rsidRPr="00A35D00">
        <w:rPr>
          <w:rFonts w:ascii="Palatino Linotype" w:hAnsi="Palatino Linotype"/>
        </w:rPr>
        <w:t xml:space="preserve">de dos mil veintiuno, </w:t>
      </w:r>
      <w:r w:rsidR="006726C4" w:rsidRPr="00A35D00">
        <w:rPr>
          <w:rFonts w:ascii="Palatino Linotype" w:hAnsi="Palatino Linotype" w:cs="Arial"/>
        </w:rPr>
        <w:t xml:space="preserve">se presentó en el </w:t>
      </w:r>
      <w:r w:rsidR="00DD11AE" w:rsidRPr="00A35D00">
        <w:rPr>
          <w:rFonts w:ascii="Palatino Linotype" w:hAnsi="Palatino Linotype" w:cs="Arial"/>
        </w:rPr>
        <w:t xml:space="preserve"> </w:t>
      </w:r>
      <w:r w:rsidRPr="00A35D00">
        <w:rPr>
          <w:rFonts w:ascii="Palatino Linotype" w:hAnsi="Palatino Linotype" w:cs="Arial"/>
        </w:rPr>
        <w:t xml:space="preserve">Sistema de Acceso a la Información Mexiquense, en lo subsecuente </w:t>
      </w:r>
      <w:r w:rsidRPr="00A35D00">
        <w:rPr>
          <w:rFonts w:ascii="Palatino Linotype" w:hAnsi="Palatino Linotype" w:cs="Arial"/>
          <w:b/>
        </w:rPr>
        <w:t>EL SAIMEX,</w:t>
      </w:r>
      <w:r w:rsidRPr="00A35D00">
        <w:rPr>
          <w:rFonts w:ascii="Palatino Linotype" w:hAnsi="Palatino Linotype"/>
        </w:rPr>
        <w:t xml:space="preserve"> ante </w:t>
      </w:r>
      <w:r w:rsidRPr="00A35D00">
        <w:rPr>
          <w:rFonts w:ascii="Palatino Linotype" w:hAnsi="Palatino Linotype"/>
          <w:b/>
        </w:rPr>
        <w:t>EL SUJETO OBLIGADO</w:t>
      </w:r>
      <w:r w:rsidRPr="00A35D00">
        <w:rPr>
          <w:rFonts w:ascii="Palatino Linotype" w:hAnsi="Palatino Linotype"/>
        </w:rPr>
        <w:t xml:space="preserve">, la solicitud de acceso a la información pública, a la que se le asignó el número </w:t>
      </w:r>
      <w:r w:rsidR="008370EF" w:rsidRPr="00A35D00">
        <w:rPr>
          <w:rFonts w:ascii="Palatino Linotype" w:hAnsi="Palatino Linotype"/>
          <w:b/>
        </w:rPr>
        <w:t>00280/SEGEGOB/IP/2021</w:t>
      </w:r>
      <w:r w:rsidRPr="00A35D00">
        <w:rPr>
          <w:rFonts w:ascii="Palatino Linotype" w:hAnsi="Palatino Linotype"/>
          <w:b/>
        </w:rPr>
        <w:t>,</w:t>
      </w:r>
      <w:r w:rsidRPr="00A35D00">
        <w:rPr>
          <w:rFonts w:ascii="Palatino Linotype" w:hAnsi="Palatino Linotype"/>
        </w:rPr>
        <w:t xml:space="preserve"> mediante la cual requirió, lo siguiente:</w:t>
      </w:r>
    </w:p>
    <w:p w14:paraId="18D0815D" w14:textId="3806D68C" w:rsidR="00C43B1E" w:rsidRPr="00A35D00" w:rsidRDefault="00C43B1E" w:rsidP="00B76384">
      <w:pPr>
        <w:ind w:left="851" w:right="616"/>
        <w:jc w:val="both"/>
        <w:rPr>
          <w:rFonts w:ascii="Palatino Linotype" w:hAnsi="Palatino Linotype"/>
          <w:i/>
          <w:sz w:val="22"/>
          <w:szCs w:val="22"/>
        </w:rPr>
      </w:pPr>
      <w:r w:rsidRPr="00A35D00">
        <w:rPr>
          <w:rFonts w:ascii="Palatino Linotype" w:hAnsi="Palatino Linotype"/>
          <w:i/>
          <w:sz w:val="22"/>
          <w:szCs w:val="22"/>
        </w:rPr>
        <w:t>“</w:t>
      </w:r>
      <w:r w:rsidR="008370EF" w:rsidRPr="00A35D00">
        <w:rPr>
          <w:rFonts w:ascii="Palatino Linotype" w:hAnsi="Palatino Linotype"/>
          <w:i/>
          <w:sz w:val="22"/>
          <w:szCs w:val="22"/>
        </w:rPr>
        <w:t>1.-El expediente completo donde se autoriza al H. Ayuntamiento de Tlalnepantla de Baz, Estado de México a desincorporar del patrimonio del municipio el inmueble identificado como “Antiguo Tiradero Municipal”. 2.-Todos y cada uno de los documentos considerados como anexos.</w:t>
      </w:r>
      <w:r w:rsidRPr="00A35D00">
        <w:rPr>
          <w:rFonts w:ascii="Palatino Linotype" w:hAnsi="Palatino Linotype"/>
          <w:i/>
          <w:sz w:val="22"/>
          <w:szCs w:val="22"/>
        </w:rPr>
        <w:t>” (Sic)</w:t>
      </w:r>
    </w:p>
    <w:p w14:paraId="11FF7B65" w14:textId="77777777" w:rsidR="00C43B1E" w:rsidRPr="00A35D00" w:rsidRDefault="00C43B1E" w:rsidP="00C43B1E">
      <w:pPr>
        <w:spacing w:before="100" w:beforeAutospacing="1" w:after="100" w:afterAutospacing="1"/>
        <w:ind w:right="709"/>
        <w:jc w:val="both"/>
        <w:rPr>
          <w:rFonts w:ascii="Palatino Linotype" w:hAnsi="Palatino Linotype"/>
          <w:b/>
        </w:rPr>
      </w:pPr>
      <w:r w:rsidRPr="00A35D00">
        <w:rPr>
          <w:rFonts w:ascii="Palatino Linotype" w:hAnsi="Palatino Linotype"/>
          <w:b/>
        </w:rPr>
        <w:t xml:space="preserve">Modalidad de entrega: </w:t>
      </w:r>
      <w:r w:rsidRPr="00A35D00">
        <w:rPr>
          <w:rFonts w:ascii="Palatino Linotype" w:hAnsi="Palatino Linotype"/>
        </w:rPr>
        <w:t xml:space="preserve">vía </w:t>
      </w:r>
      <w:r w:rsidRPr="00A35D00">
        <w:rPr>
          <w:rFonts w:ascii="Palatino Linotype" w:hAnsi="Palatino Linotype"/>
          <w:b/>
        </w:rPr>
        <w:t>SAIMEX</w:t>
      </w:r>
    </w:p>
    <w:p w14:paraId="2CD74941" w14:textId="66C78079" w:rsidR="003D5950" w:rsidRPr="00A35D00" w:rsidRDefault="00EF0253" w:rsidP="00933FFC">
      <w:pPr>
        <w:widowControl w:val="0"/>
        <w:autoSpaceDE w:val="0"/>
        <w:autoSpaceDN w:val="0"/>
        <w:adjustRightInd w:val="0"/>
        <w:spacing w:line="360" w:lineRule="auto"/>
        <w:jc w:val="both"/>
        <w:rPr>
          <w:rFonts w:ascii="Palatino Linotype" w:hAnsi="Palatino Linotype"/>
          <w:color w:val="000000"/>
          <w:lang w:val="es-419"/>
        </w:rPr>
      </w:pPr>
      <w:r w:rsidRPr="00A35D00">
        <w:rPr>
          <w:rFonts w:ascii="Palatino Linotype" w:hAnsi="Palatino Linotype" w:cs="Arial"/>
          <w:b/>
          <w:sz w:val="28"/>
          <w:szCs w:val="28"/>
        </w:rPr>
        <w:t>II</w:t>
      </w:r>
      <w:r w:rsidRPr="00A35D00">
        <w:rPr>
          <w:rFonts w:ascii="Palatino Linotype" w:hAnsi="Palatino Linotype"/>
          <w:b/>
          <w:bCs/>
          <w:color w:val="000000"/>
        </w:rPr>
        <w:t>.</w:t>
      </w:r>
      <w:r w:rsidRPr="00A35D00">
        <w:rPr>
          <w:rFonts w:ascii="Palatino Linotype" w:hAnsi="Palatino Linotype"/>
          <w:color w:val="000000"/>
        </w:rPr>
        <w:t xml:space="preserve"> Con base en el </w:t>
      </w:r>
      <w:r w:rsidR="004F0DE7" w:rsidRPr="00A35D00">
        <w:rPr>
          <w:rFonts w:ascii="Palatino Linotype" w:hAnsi="Palatino Linotype"/>
          <w:color w:val="000000"/>
        </w:rPr>
        <w:t xml:space="preserve">detalle de seguimiento </w:t>
      </w:r>
      <w:r w:rsidR="00F7337F" w:rsidRPr="00A35D00">
        <w:rPr>
          <w:rFonts w:ascii="Palatino Linotype" w:hAnsi="Palatino Linotype"/>
          <w:color w:val="000000"/>
        </w:rPr>
        <w:t xml:space="preserve">del expediente electrónico </w:t>
      </w:r>
      <w:r w:rsidR="004F0DE7" w:rsidRPr="00A35D00">
        <w:rPr>
          <w:rFonts w:ascii="Palatino Linotype" w:hAnsi="Palatino Linotype"/>
          <w:color w:val="000000"/>
        </w:rPr>
        <w:t>que obra</w:t>
      </w:r>
      <w:r w:rsidRPr="00A35D00">
        <w:rPr>
          <w:rFonts w:ascii="Palatino Linotype" w:hAnsi="Palatino Linotype"/>
          <w:color w:val="000000"/>
        </w:rPr>
        <w:t xml:space="preserve"> en </w:t>
      </w:r>
      <w:r w:rsidRPr="00A35D00">
        <w:rPr>
          <w:rFonts w:ascii="Palatino Linotype" w:hAnsi="Palatino Linotype"/>
          <w:b/>
          <w:bCs/>
          <w:color w:val="000000"/>
        </w:rPr>
        <w:t>EL SAIMEX</w:t>
      </w:r>
      <w:r w:rsidRPr="00A35D00">
        <w:rPr>
          <w:rFonts w:ascii="Palatino Linotype" w:hAnsi="Palatino Linotype"/>
          <w:color w:val="000000"/>
        </w:rPr>
        <w:t xml:space="preserve">, se advierte que </w:t>
      </w:r>
      <w:r w:rsidRPr="00A35D00">
        <w:rPr>
          <w:rFonts w:ascii="Palatino Linotype" w:hAnsi="Palatino Linotype"/>
          <w:b/>
          <w:bCs/>
          <w:color w:val="000000"/>
        </w:rPr>
        <w:t>EL SUJETO OBLIGADO</w:t>
      </w:r>
      <w:r w:rsidRPr="00A35D00">
        <w:rPr>
          <w:rFonts w:ascii="Palatino Linotype" w:hAnsi="Palatino Linotype"/>
          <w:color w:val="000000"/>
        </w:rPr>
        <w:t xml:space="preserve"> </w:t>
      </w:r>
      <w:r w:rsidR="004F0DE7" w:rsidRPr="00A35D00">
        <w:rPr>
          <w:rFonts w:ascii="Palatino Linotype" w:hAnsi="Palatino Linotype"/>
          <w:color w:val="000000"/>
          <w:lang w:val="es-419"/>
        </w:rPr>
        <w:t xml:space="preserve">notificó en fecha seis de octubre </w:t>
      </w:r>
      <w:r w:rsidR="004F0DE7" w:rsidRPr="00A35D00">
        <w:rPr>
          <w:rFonts w:ascii="Palatino Linotype" w:hAnsi="Palatino Linotype"/>
          <w:color w:val="000000"/>
          <w:lang w:val="es-419"/>
        </w:rPr>
        <w:lastRenderedPageBreak/>
        <w:t xml:space="preserve">de dos mil </w:t>
      </w:r>
      <w:r w:rsidR="00F36D35" w:rsidRPr="00A35D00">
        <w:rPr>
          <w:rFonts w:ascii="Palatino Linotype" w:hAnsi="Palatino Linotype"/>
          <w:color w:val="000000"/>
          <w:lang w:val="es-419"/>
        </w:rPr>
        <w:t xml:space="preserve">veintiuno </w:t>
      </w:r>
      <w:r w:rsidR="00F36D35" w:rsidRPr="00A35D00">
        <w:rPr>
          <w:rFonts w:ascii="Palatino Linotype" w:hAnsi="Palatino Linotype"/>
          <w:color w:val="000000"/>
        </w:rPr>
        <w:t>la</w:t>
      </w:r>
      <w:r w:rsidR="004F0DE7" w:rsidRPr="00A35D00">
        <w:rPr>
          <w:rFonts w:ascii="Palatino Linotype" w:hAnsi="Palatino Linotype"/>
          <w:color w:val="000000"/>
          <w:lang w:val="es-419"/>
        </w:rPr>
        <w:t xml:space="preserve"> declaratoria de incompetencia misma que prevé la Ley de Transparencia y Acceso a la Información Pública del Estado de México y Municipios, en el artículo 167 primer p</w:t>
      </w:r>
      <w:r w:rsidR="003D5950" w:rsidRPr="00A35D00">
        <w:rPr>
          <w:rFonts w:ascii="Palatino Linotype" w:hAnsi="Palatino Linotype"/>
          <w:color w:val="000000"/>
          <w:lang w:val="es-419"/>
        </w:rPr>
        <w:t xml:space="preserve">árrafo, el cual señala lo siguiente:  </w:t>
      </w:r>
    </w:p>
    <w:p w14:paraId="28D2FA9A" w14:textId="2C58A674" w:rsidR="003D5950" w:rsidRPr="00A35D00" w:rsidRDefault="00764355" w:rsidP="00764355">
      <w:pPr>
        <w:widowControl w:val="0"/>
        <w:autoSpaceDE w:val="0"/>
        <w:autoSpaceDN w:val="0"/>
        <w:adjustRightInd w:val="0"/>
        <w:ind w:left="851" w:right="616"/>
        <w:contextualSpacing/>
        <w:jc w:val="both"/>
        <w:rPr>
          <w:rFonts w:ascii="Palatino Linotype" w:hAnsi="Palatino Linotype"/>
          <w:i/>
          <w:color w:val="000000"/>
          <w:sz w:val="22"/>
          <w:lang w:val="es-419"/>
        </w:rPr>
      </w:pPr>
      <w:r w:rsidRPr="00A35D00">
        <w:rPr>
          <w:rFonts w:ascii="Palatino Linotype" w:hAnsi="Palatino Linotype"/>
          <w:b/>
          <w:i/>
          <w:color w:val="000000"/>
          <w:sz w:val="22"/>
          <w:lang w:val="es-419"/>
        </w:rPr>
        <w:t>Artículo 167</w:t>
      </w:r>
      <w:r w:rsidRPr="00A35D00">
        <w:rPr>
          <w:rFonts w:ascii="Palatino Linotype" w:hAnsi="Palatino Linotype"/>
          <w:i/>
          <w:color w:val="000000"/>
          <w:sz w:val="22"/>
          <w:lang w:val="es-419"/>
        </w:rPr>
        <w:t xml:space="preserve">. </w:t>
      </w:r>
      <w:r w:rsidRPr="00A35D00">
        <w:rPr>
          <w:rFonts w:ascii="Palatino Linotype" w:hAnsi="Palatino Linotype"/>
          <w:b/>
          <w:i/>
          <w:color w:val="000000"/>
          <w:sz w:val="22"/>
          <w:lang w:val="es-419"/>
        </w:rPr>
        <w:t>Cuando las unidades de transparencia determinen la notoria incompetencia por parte de los sujetos obligados</w:t>
      </w:r>
      <w:r w:rsidRPr="00A35D00">
        <w:rPr>
          <w:rFonts w:ascii="Palatino Linotype" w:hAnsi="Palatino Linotype"/>
          <w:i/>
          <w:color w:val="000000"/>
          <w:sz w:val="22"/>
          <w:lang w:val="es-419"/>
        </w:rPr>
        <w:t xml:space="preserve">, dentro del ámbito de aplicación, para atender la solicitud de acceso a la información, </w:t>
      </w:r>
      <w:r w:rsidRPr="00A35D00">
        <w:rPr>
          <w:rFonts w:ascii="Palatino Linotype" w:hAnsi="Palatino Linotype"/>
          <w:b/>
          <w:i/>
          <w:color w:val="000000"/>
          <w:sz w:val="22"/>
          <w:lang w:val="es-419"/>
        </w:rPr>
        <w:t>deberán comunicarlo al solicitante</w:t>
      </w:r>
      <w:r w:rsidRPr="00A35D00">
        <w:rPr>
          <w:rFonts w:ascii="Palatino Linotype" w:hAnsi="Palatino Linotype"/>
          <w:i/>
          <w:color w:val="000000"/>
          <w:sz w:val="22"/>
          <w:lang w:val="es-419"/>
        </w:rPr>
        <w:t>, dentro de los tres días hábiles posteriores a la recepción de la solicitud y, en su caso orientar al solicitante, el o los sujetos obligados competentes.</w:t>
      </w:r>
    </w:p>
    <w:p w14:paraId="5FF67872" w14:textId="4BE9B60E" w:rsidR="00764355" w:rsidRPr="00A35D00" w:rsidRDefault="00764355" w:rsidP="00764355">
      <w:pPr>
        <w:widowControl w:val="0"/>
        <w:autoSpaceDE w:val="0"/>
        <w:autoSpaceDN w:val="0"/>
        <w:adjustRightInd w:val="0"/>
        <w:ind w:left="851" w:right="616"/>
        <w:contextualSpacing/>
        <w:jc w:val="both"/>
        <w:rPr>
          <w:rFonts w:ascii="Palatino Linotype" w:hAnsi="Palatino Linotype"/>
          <w:b/>
          <w:i/>
          <w:color w:val="000000"/>
          <w:sz w:val="22"/>
          <w:lang w:val="es-419"/>
        </w:rPr>
      </w:pPr>
      <w:r w:rsidRPr="00A35D00">
        <w:rPr>
          <w:rFonts w:ascii="Palatino Linotype" w:hAnsi="Palatino Linotype"/>
          <w:b/>
          <w:i/>
          <w:color w:val="000000"/>
          <w:sz w:val="22"/>
          <w:lang w:val="es-419"/>
        </w:rPr>
        <w:t>(Énfasis añadido)</w:t>
      </w:r>
    </w:p>
    <w:p w14:paraId="180EDE45" w14:textId="77777777" w:rsidR="00764355" w:rsidRPr="00A35D00" w:rsidRDefault="00764355" w:rsidP="00764355">
      <w:pPr>
        <w:widowControl w:val="0"/>
        <w:autoSpaceDE w:val="0"/>
        <w:autoSpaceDN w:val="0"/>
        <w:adjustRightInd w:val="0"/>
        <w:ind w:right="616"/>
        <w:contextualSpacing/>
        <w:jc w:val="both"/>
        <w:rPr>
          <w:rFonts w:ascii="Palatino Linotype" w:hAnsi="Palatino Linotype"/>
          <w:color w:val="000000"/>
          <w:sz w:val="12"/>
          <w:lang w:val="es-419"/>
        </w:rPr>
      </w:pPr>
    </w:p>
    <w:p w14:paraId="3F2D6789" w14:textId="28A34599" w:rsidR="00764355" w:rsidRPr="00A35D00" w:rsidRDefault="00764355" w:rsidP="006F1429">
      <w:pPr>
        <w:widowControl w:val="0"/>
        <w:autoSpaceDE w:val="0"/>
        <w:autoSpaceDN w:val="0"/>
        <w:adjustRightInd w:val="0"/>
        <w:spacing w:before="100" w:beforeAutospacing="1" w:after="100" w:afterAutospacing="1" w:line="360" w:lineRule="auto"/>
        <w:ind w:right="49"/>
        <w:jc w:val="both"/>
        <w:rPr>
          <w:rFonts w:ascii="Palatino Linotype" w:hAnsi="Palatino Linotype"/>
          <w:b/>
          <w:color w:val="000000"/>
          <w:lang w:val="es-419"/>
        </w:rPr>
      </w:pPr>
      <w:r w:rsidRPr="00A35D00">
        <w:rPr>
          <w:rFonts w:ascii="Palatino Linotype" w:hAnsi="Palatino Linotype"/>
          <w:color w:val="000000"/>
          <w:lang w:val="es-419"/>
        </w:rPr>
        <w:t xml:space="preserve">Señalando, que para tal efecto, la solicitud materia del presente </w:t>
      </w:r>
      <w:r w:rsidR="006F1429" w:rsidRPr="00A35D00">
        <w:rPr>
          <w:rFonts w:ascii="Palatino Linotype" w:hAnsi="Palatino Linotype"/>
          <w:color w:val="000000"/>
          <w:lang w:val="es-419"/>
        </w:rPr>
        <w:t xml:space="preserve">estudio </w:t>
      </w:r>
      <w:r w:rsidRPr="00A35D00">
        <w:rPr>
          <w:rFonts w:ascii="Palatino Linotype" w:hAnsi="Palatino Linotype"/>
          <w:color w:val="000000"/>
          <w:lang w:val="es-419"/>
        </w:rPr>
        <w:t xml:space="preserve">realizada por el </w:t>
      </w:r>
      <w:r w:rsidRPr="00A35D00">
        <w:rPr>
          <w:rFonts w:ascii="Palatino Linotype" w:hAnsi="Palatino Linotype"/>
          <w:b/>
          <w:color w:val="000000"/>
          <w:lang w:val="es-419"/>
        </w:rPr>
        <w:t xml:space="preserve">RECURRENTE, </w:t>
      </w:r>
      <w:r w:rsidRPr="00A35D00">
        <w:rPr>
          <w:rFonts w:ascii="Palatino Linotype" w:hAnsi="Palatino Linotype"/>
          <w:color w:val="000000"/>
          <w:lang w:val="es-419"/>
        </w:rPr>
        <w:t xml:space="preserve"> fue notificada en el </w:t>
      </w:r>
      <w:r w:rsidRPr="00A35D00">
        <w:rPr>
          <w:rFonts w:ascii="Palatino Linotype" w:hAnsi="Palatino Linotype"/>
          <w:b/>
          <w:color w:val="000000"/>
          <w:lang w:val="es-419"/>
        </w:rPr>
        <w:t>SAIMEX</w:t>
      </w:r>
      <w:r w:rsidRPr="00A35D00">
        <w:rPr>
          <w:rFonts w:ascii="Palatino Linotype" w:hAnsi="Palatino Linotype"/>
          <w:color w:val="000000"/>
          <w:lang w:val="es-419"/>
        </w:rPr>
        <w:t xml:space="preserve"> en fecha cuatro de octubre de dos mil veintiuno, por su parte, </w:t>
      </w:r>
      <w:r w:rsidRPr="00A35D00">
        <w:rPr>
          <w:rFonts w:ascii="Palatino Linotype" w:hAnsi="Palatino Linotype"/>
          <w:b/>
          <w:color w:val="000000"/>
          <w:lang w:val="es-419"/>
        </w:rPr>
        <w:t>EL</w:t>
      </w:r>
      <w:r w:rsidRPr="00A35D00">
        <w:rPr>
          <w:rFonts w:ascii="Palatino Linotype" w:hAnsi="Palatino Linotype"/>
          <w:color w:val="000000"/>
          <w:lang w:val="es-419"/>
        </w:rPr>
        <w:t xml:space="preserve"> </w:t>
      </w:r>
      <w:r w:rsidRPr="00A35D00">
        <w:rPr>
          <w:rFonts w:ascii="Palatino Linotype" w:hAnsi="Palatino Linotype"/>
          <w:b/>
          <w:color w:val="000000"/>
          <w:lang w:val="es-419"/>
        </w:rPr>
        <w:t xml:space="preserve">SUJETO OBLIGADO </w:t>
      </w:r>
      <w:r w:rsidRPr="00A35D00">
        <w:rPr>
          <w:rFonts w:ascii="Palatino Linotype" w:hAnsi="Palatino Linotype"/>
          <w:color w:val="000000"/>
          <w:lang w:val="es-419"/>
        </w:rPr>
        <w:t>emitió</w:t>
      </w:r>
      <w:r w:rsidRPr="00A35D00">
        <w:rPr>
          <w:rFonts w:ascii="Palatino Linotype" w:hAnsi="Palatino Linotype"/>
          <w:b/>
          <w:color w:val="000000"/>
          <w:lang w:val="es-419"/>
        </w:rPr>
        <w:t xml:space="preserve"> </w:t>
      </w:r>
      <w:r w:rsidRPr="00A35D00">
        <w:rPr>
          <w:rFonts w:ascii="Palatino Linotype" w:hAnsi="Palatino Linotype"/>
          <w:color w:val="000000"/>
          <w:lang w:val="es-419"/>
        </w:rPr>
        <w:t xml:space="preserve">la declaratoria de incompetencia en fecha seis de octubre de dos mil veintiuno, </w:t>
      </w:r>
      <w:r w:rsidR="00B055AD" w:rsidRPr="00A35D00">
        <w:rPr>
          <w:rFonts w:ascii="Palatino Linotype" w:hAnsi="Palatino Linotype"/>
          <w:color w:val="000000"/>
          <w:lang w:val="es-419"/>
        </w:rPr>
        <w:t>encontrándose</w:t>
      </w:r>
      <w:r w:rsidRPr="00A35D00">
        <w:rPr>
          <w:rFonts w:ascii="Palatino Linotype" w:hAnsi="Palatino Linotype"/>
          <w:color w:val="000000"/>
          <w:lang w:val="es-419"/>
        </w:rPr>
        <w:t xml:space="preserve"> en tiempo y notificando en forma</w:t>
      </w:r>
      <w:r w:rsidR="00B055AD" w:rsidRPr="00A35D00">
        <w:rPr>
          <w:rFonts w:ascii="Palatino Linotype" w:hAnsi="Palatino Linotype"/>
          <w:color w:val="000000"/>
          <w:lang w:val="es-419"/>
        </w:rPr>
        <w:t>,</w:t>
      </w:r>
      <w:r w:rsidRPr="00A35D00">
        <w:rPr>
          <w:rFonts w:ascii="Palatino Linotype" w:hAnsi="Palatino Linotype"/>
          <w:color w:val="000000"/>
          <w:lang w:val="es-419"/>
        </w:rPr>
        <w:t xml:space="preserve"> con lo establecido en la normativa señalada en párrafo anterior, de esta manera esta Ponencia Resolutora advierte procede</w:t>
      </w:r>
      <w:r w:rsidR="00AC7775" w:rsidRPr="00A35D00">
        <w:rPr>
          <w:rFonts w:ascii="Palatino Linotype" w:hAnsi="Palatino Linotype"/>
          <w:color w:val="000000"/>
          <w:lang w:val="es-419"/>
        </w:rPr>
        <w:t xml:space="preserve">nte la declaratoria de incompetencia del </w:t>
      </w:r>
      <w:r w:rsidR="00AC7775" w:rsidRPr="00A35D00">
        <w:rPr>
          <w:rFonts w:ascii="Palatino Linotype" w:hAnsi="Palatino Linotype"/>
          <w:b/>
          <w:color w:val="000000"/>
          <w:lang w:val="es-419"/>
        </w:rPr>
        <w:t>SUJETO OBLIGADO.</w:t>
      </w:r>
    </w:p>
    <w:p w14:paraId="00BD4A69" w14:textId="7675A299" w:rsidR="00465EB9" w:rsidRPr="00A35D00" w:rsidRDefault="00764355" w:rsidP="006F1429">
      <w:pPr>
        <w:widowControl w:val="0"/>
        <w:autoSpaceDE w:val="0"/>
        <w:autoSpaceDN w:val="0"/>
        <w:adjustRightInd w:val="0"/>
        <w:spacing w:before="100" w:beforeAutospacing="1" w:after="100" w:afterAutospacing="1" w:line="360" w:lineRule="auto"/>
        <w:ind w:right="49"/>
        <w:jc w:val="both"/>
        <w:rPr>
          <w:rFonts w:ascii="Palatino Linotype" w:hAnsi="Palatino Linotype"/>
          <w:color w:val="000000"/>
        </w:rPr>
      </w:pPr>
      <w:r w:rsidRPr="00A35D00">
        <w:rPr>
          <w:rFonts w:ascii="Palatino Linotype" w:hAnsi="Palatino Linotype"/>
          <w:color w:val="000000"/>
          <w:lang w:val="es-419"/>
        </w:rPr>
        <w:t xml:space="preserve">Así mismo, </w:t>
      </w:r>
      <w:r w:rsidRPr="00A35D00">
        <w:rPr>
          <w:rFonts w:ascii="Palatino Linotype" w:hAnsi="Palatino Linotype"/>
          <w:b/>
          <w:color w:val="000000"/>
          <w:lang w:val="es-419"/>
        </w:rPr>
        <w:t>EL SUJETO OBLIGADO</w:t>
      </w:r>
      <w:r w:rsidR="00AC7775" w:rsidRPr="00A35D00">
        <w:rPr>
          <w:rFonts w:ascii="Palatino Linotype" w:hAnsi="Palatino Linotype"/>
          <w:color w:val="000000"/>
          <w:lang w:val="es-419"/>
        </w:rPr>
        <w:t xml:space="preserve">, adjuntó un archivo denominado “Rpta. 00280-2021.pdf” en el apartado de </w:t>
      </w:r>
      <w:r w:rsidR="00A01C2E" w:rsidRPr="00A35D00">
        <w:rPr>
          <w:rFonts w:ascii="Palatino Linotype" w:hAnsi="Palatino Linotype"/>
          <w:color w:val="000000"/>
          <w:lang w:val="es-419"/>
        </w:rPr>
        <w:t>“</w:t>
      </w:r>
      <w:r w:rsidR="00AC7775" w:rsidRPr="00A35D00">
        <w:rPr>
          <w:rFonts w:ascii="Palatino Linotype" w:hAnsi="Palatino Linotype"/>
          <w:color w:val="000000"/>
          <w:lang w:val="es-419"/>
        </w:rPr>
        <w:t>incompetencia</w:t>
      </w:r>
      <w:r w:rsidR="00A01C2E" w:rsidRPr="00A35D00">
        <w:rPr>
          <w:rFonts w:ascii="Palatino Linotype" w:hAnsi="Palatino Linotype"/>
          <w:color w:val="000000"/>
          <w:lang w:val="es-419"/>
        </w:rPr>
        <w:t xml:space="preserve"> de sujeto obligado”</w:t>
      </w:r>
      <w:r w:rsidR="00AC7775" w:rsidRPr="00A35D00">
        <w:rPr>
          <w:rFonts w:ascii="Palatino Linotype" w:hAnsi="Palatino Linotype"/>
          <w:color w:val="000000"/>
          <w:lang w:val="es-419"/>
        </w:rPr>
        <w:t xml:space="preserve">, mismo que se omite </w:t>
      </w:r>
      <w:r w:rsidR="00A01C2E" w:rsidRPr="00A35D00">
        <w:rPr>
          <w:rFonts w:ascii="Palatino Linotype" w:hAnsi="Palatino Linotype"/>
          <w:color w:val="000000"/>
          <w:lang w:val="es-419"/>
        </w:rPr>
        <w:t>el</w:t>
      </w:r>
      <w:r w:rsidR="00AC7775" w:rsidRPr="00A35D00">
        <w:rPr>
          <w:rFonts w:ascii="Palatino Linotype" w:hAnsi="Palatino Linotype"/>
          <w:color w:val="000000"/>
          <w:lang w:val="es-419"/>
        </w:rPr>
        <w:t xml:space="preserve"> contenido por ser de conocimiento de las partes, aunado que será materia del presente estudio, </w:t>
      </w:r>
      <w:r w:rsidR="00EF0253" w:rsidRPr="00A35D00">
        <w:rPr>
          <w:rFonts w:ascii="Palatino Linotype" w:hAnsi="Palatino Linotype"/>
          <w:color w:val="000000"/>
        </w:rPr>
        <w:t>como puede apreciarse en la</w:t>
      </w:r>
      <w:r w:rsidR="00AC7775" w:rsidRPr="00A35D00">
        <w:rPr>
          <w:rFonts w:ascii="Palatino Linotype" w:hAnsi="Palatino Linotype"/>
          <w:color w:val="000000"/>
          <w:lang w:val="es-419"/>
        </w:rPr>
        <w:t>s</w:t>
      </w:r>
      <w:r w:rsidR="00EF0253" w:rsidRPr="00A35D00">
        <w:rPr>
          <w:rFonts w:ascii="Palatino Linotype" w:hAnsi="Palatino Linotype"/>
          <w:color w:val="000000"/>
        </w:rPr>
        <w:t xml:space="preserve"> </w:t>
      </w:r>
      <w:r w:rsidR="00AC7775" w:rsidRPr="00A35D00">
        <w:rPr>
          <w:rFonts w:ascii="Palatino Linotype" w:hAnsi="Palatino Linotype"/>
          <w:color w:val="000000"/>
        </w:rPr>
        <w:t>siguiente</w:t>
      </w:r>
      <w:r w:rsidR="00AC7775" w:rsidRPr="00A35D00">
        <w:rPr>
          <w:rFonts w:ascii="Palatino Linotype" w:hAnsi="Palatino Linotype"/>
          <w:color w:val="000000"/>
          <w:lang w:val="es-419"/>
        </w:rPr>
        <w:t>s</w:t>
      </w:r>
      <w:r w:rsidR="00EF0253" w:rsidRPr="00A35D00">
        <w:rPr>
          <w:rFonts w:ascii="Palatino Linotype" w:hAnsi="Palatino Linotype"/>
          <w:color w:val="000000"/>
        </w:rPr>
        <w:t xml:space="preserve"> imagen</w:t>
      </w:r>
      <w:r w:rsidR="00AC7775" w:rsidRPr="00A35D00">
        <w:rPr>
          <w:rFonts w:ascii="Palatino Linotype" w:hAnsi="Palatino Linotype"/>
          <w:color w:val="000000"/>
          <w:lang w:val="es-419"/>
        </w:rPr>
        <w:t>es</w:t>
      </w:r>
      <w:r w:rsidR="00EF0253" w:rsidRPr="00A35D00">
        <w:rPr>
          <w:rFonts w:ascii="Palatino Linotype" w:hAnsi="Palatino Linotype"/>
          <w:color w:val="000000"/>
        </w:rPr>
        <w:t xml:space="preserve">: </w:t>
      </w:r>
    </w:p>
    <w:p w14:paraId="5DB92192" w14:textId="3316B418" w:rsidR="00933FFC" w:rsidRPr="00A35D00" w:rsidRDefault="00AC7775" w:rsidP="00933FFC">
      <w:pPr>
        <w:widowControl w:val="0"/>
        <w:autoSpaceDE w:val="0"/>
        <w:autoSpaceDN w:val="0"/>
        <w:adjustRightInd w:val="0"/>
        <w:spacing w:line="360" w:lineRule="auto"/>
        <w:jc w:val="both"/>
        <w:rPr>
          <w:rFonts w:ascii="Palatino Linotype" w:hAnsi="Palatino Linotype"/>
          <w:bCs/>
          <w:color w:val="000000" w:themeColor="text1"/>
        </w:rPr>
      </w:pPr>
      <w:r w:rsidRPr="00A35D00">
        <w:rPr>
          <w:noProof/>
          <w:lang w:eastAsia="es-MX"/>
        </w:rPr>
        <w:drawing>
          <wp:inline distT="0" distB="0" distL="0" distR="0" wp14:anchorId="0907CCF8" wp14:editId="58025336">
            <wp:extent cx="5612130" cy="241935"/>
            <wp:effectExtent l="0" t="0" r="762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41935"/>
                    </a:xfrm>
                    <a:prstGeom prst="rect">
                      <a:avLst/>
                    </a:prstGeom>
                  </pic:spPr>
                </pic:pic>
              </a:graphicData>
            </a:graphic>
          </wp:inline>
        </w:drawing>
      </w:r>
    </w:p>
    <w:p w14:paraId="28E0BAC1" w14:textId="5D2CA1BC" w:rsidR="00AC7775" w:rsidRPr="00A35D00" w:rsidRDefault="00AC7775" w:rsidP="00933FFC">
      <w:pPr>
        <w:widowControl w:val="0"/>
        <w:autoSpaceDE w:val="0"/>
        <w:autoSpaceDN w:val="0"/>
        <w:adjustRightInd w:val="0"/>
        <w:spacing w:line="360" w:lineRule="auto"/>
        <w:jc w:val="both"/>
        <w:rPr>
          <w:rFonts w:ascii="Palatino Linotype" w:hAnsi="Palatino Linotype"/>
          <w:bCs/>
          <w:color w:val="000000" w:themeColor="text1"/>
        </w:rPr>
      </w:pPr>
      <w:r w:rsidRPr="00A35D00">
        <w:rPr>
          <w:noProof/>
          <w:lang w:eastAsia="es-MX"/>
        </w:rPr>
        <w:drawing>
          <wp:inline distT="0" distB="0" distL="0" distR="0" wp14:anchorId="14458A7B" wp14:editId="6C49E56E">
            <wp:extent cx="5612130" cy="581025"/>
            <wp:effectExtent l="0" t="0" r="762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581025"/>
                    </a:xfrm>
                    <a:prstGeom prst="rect">
                      <a:avLst/>
                    </a:prstGeom>
                  </pic:spPr>
                </pic:pic>
              </a:graphicData>
            </a:graphic>
          </wp:inline>
        </w:drawing>
      </w:r>
    </w:p>
    <w:p w14:paraId="2A52FB3A" w14:textId="6B37D180" w:rsidR="00233845" w:rsidRPr="00A35D00" w:rsidRDefault="00EF0253" w:rsidP="00233845">
      <w:pPr>
        <w:pStyle w:val="Prrafodelista"/>
        <w:tabs>
          <w:tab w:val="left" w:pos="709"/>
        </w:tabs>
        <w:spacing w:before="100" w:beforeAutospacing="1" w:after="100" w:afterAutospacing="1" w:line="360" w:lineRule="auto"/>
        <w:ind w:left="0"/>
        <w:jc w:val="both"/>
        <w:rPr>
          <w:rFonts w:ascii="Palatino Linotype" w:hAnsi="Palatino Linotype" w:cs="Arial"/>
        </w:rPr>
      </w:pPr>
      <w:r w:rsidRPr="00A35D00">
        <w:rPr>
          <w:rFonts w:ascii="Palatino Linotype" w:hAnsi="Palatino Linotype" w:cs="Arial"/>
          <w:b/>
          <w:sz w:val="28"/>
          <w:szCs w:val="28"/>
        </w:rPr>
        <w:lastRenderedPageBreak/>
        <w:t>II</w:t>
      </w:r>
      <w:r w:rsidRPr="00A35D00">
        <w:rPr>
          <w:rFonts w:ascii="Palatino Linotype" w:hAnsi="Palatino Linotype"/>
          <w:b/>
          <w:bCs/>
          <w:color w:val="000000"/>
        </w:rPr>
        <w:t xml:space="preserve">.  </w:t>
      </w:r>
      <w:r w:rsidRPr="00A35D00">
        <w:rPr>
          <w:rFonts w:ascii="Palatino Linotype" w:hAnsi="Palatino Linotype"/>
          <w:color w:val="000000"/>
        </w:rPr>
        <w:t>Inconforme por la respuesta del</w:t>
      </w:r>
      <w:r w:rsidRPr="00A35D00">
        <w:rPr>
          <w:rFonts w:ascii="Palatino Linotype" w:hAnsi="Palatino Linotype"/>
          <w:b/>
          <w:bCs/>
          <w:color w:val="000000"/>
        </w:rPr>
        <w:t xml:space="preserve"> SUJETO OBLIGADO</w:t>
      </w:r>
      <w:r w:rsidRPr="00A35D00">
        <w:rPr>
          <w:rFonts w:ascii="Palatino Linotype" w:hAnsi="Palatino Linotype"/>
          <w:color w:val="000000"/>
        </w:rPr>
        <w:t xml:space="preserve">, el </w:t>
      </w:r>
      <w:r w:rsidR="00AC7775" w:rsidRPr="00A35D00">
        <w:rPr>
          <w:rFonts w:ascii="Palatino Linotype" w:hAnsi="Palatino Linotype"/>
          <w:color w:val="000000"/>
          <w:lang w:val="es-419"/>
        </w:rPr>
        <w:t>ocho</w:t>
      </w:r>
      <w:r w:rsidRPr="00A35D00">
        <w:rPr>
          <w:rFonts w:ascii="Palatino Linotype" w:hAnsi="Palatino Linotype"/>
          <w:color w:val="000000"/>
        </w:rPr>
        <w:t xml:space="preserve"> de octubre de dos mil veintiuno, </w:t>
      </w:r>
      <w:r w:rsidRPr="00A35D00">
        <w:rPr>
          <w:rFonts w:ascii="Palatino Linotype" w:hAnsi="Palatino Linotype"/>
          <w:b/>
          <w:bCs/>
          <w:color w:val="000000"/>
        </w:rPr>
        <w:t>EL RECURRENTE</w:t>
      </w:r>
      <w:r w:rsidRPr="00A35D00">
        <w:rPr>
          <w:rFonts w:ascii="Palatino Linotype" w:hAnsi="Palatino Linotype"/>
          <w:color w:val="000000"/>
        </w:rPr>
        <w:t xml:space="preserve"> interpuso el recurso de revisión sujeto del presente estudio, el cual fue registrado en </w:t>
      </w:r>
      <w:r w:rsidRPr="00A35D00">
        <w:rPr>
          <w:rFonts w:ascii="Palatino Linotype" w:hAnsi="Palatino Linotype"/>
          <w:b/>
          <w:bCs/>
          <w:color w:val="000000"/>
        </w:rPr>
        <w:t>EL SAIMEX</w:t>
      </w:r>
      <w:r w:rsidRPr="00A35D00">
        <w:rPr>
          <w:rFonts w:ascii="Palatino Linotype" w:hAnsi="Palatino Linotype"/>
          <w:color w:val="000000"/>
        </w:rPr>
        <w:t xml:space="preserve"> y se le asignó el número de expediente al rubro citado, en el que señaló como acto impugnado:</w:t>
      </w:r>
    </w:p>
    <w:p w14:paraId="66F4327E" w14:textId="05C530B4" w:rsidR="00233845" w:rsidRPr="00A35D00" w:rsidRDefault="00233845" w:rsidP="00DA2919">
      <w:pPr>
        <w:tabs>
          <w:tab w:val="left" w:pos="7936"/>
        </w:tabs>
        <w:ind w:left="851" w:right="902"/>
        <w:jc w:val="both"/>
        <w:rPr>
          <w:rFonts w:ascii="Palatino Linotype" w:hAnsi="Palatino Linotype" w:cs="Arial"/>
          <w:i/>
          <w:sz w:val="22"/>
          <w:szCs w:val="22"/>
          <w:lang w:val="es-419" w:eastAsia="es-MX"/>
        </w:rPr>
      </w:pPr>
      <w:r w:rsidRPr="00A35D00">
        <w:rPr>
          <w:rFonts w:ascii="Palatino Linotype" w:hAnsi="Palatino Linotype" w:cs="Arial"/>
          <w:i/>
          <w:sz w:val="22"/>
          <w:szCs w:val="22"/>
          <w:lang w:eastAsia="es-MX"/>
        </w:rPr>
        <w:t>“</w:t>
      </w:r>
      <w:r w:rsidR="00AC7775" w:rsidRPr="00A35D00">
        <w:rPr>
          <w:rFonts w:ascii="Palatino Linotype" w:hAnsi="Palatino Linotype" w:cs="Arial"/>
          <w:i/>
          <w:sz w:val="22"/>
          <w:szCs w:val="22"/>
          <w:lang w:eastAsia="es-MX"/>
        </w:rPr>
        <w:t>La respuesta del sujeto obligado</w:t>
      </w:r>
      <w:r w:rsidR="002326A5" w:rsidRPr="00A35D00">
        <w:rPr>
          <w:rFonts w:ascii="Palatino Linotype" w:hAnsi="Palatino Linotype" w:cs="Arial"/>
          <w:i/>
          <w:sz w:val="22"/>
          <w:szCs w:val="22"/>
          <w:lang w:eastAsia="es-MX"/>
        </w:rPr>
        <w:t xml:space="preserve">” </w:t>
      </w:r>
      <w:r w:rsidRPr="00A35D00">
        <w:rPr>
          <w:rFonts w:ascii="Palatino Linotype" w:hAnsi="Palatino Linotype" w:cs="Arial"/>
          <w:sz w:val="22"/>
          <w:szCs w:val="22"/>
          <w:lang w:eastAsia="es-MX"/>
        </w:rPr>
        <w:t>(Sic)</w:t>
      </w:r>
      <w:r w:rsidR="00AC7775" w:rsidRPr="00A35D00">
        <w:rPr>
          <w:rFonts w:ascii="Palatino Linotype" w:hAnsi="Palatino Linotype" w:cs="Arial"/>
          <w:sz w:val="22"/>
          <w:szCs w:val="22"/>
          <w:lang w:val="es-419" w:eastAsia="es-MX"/>
        </w:rPr>
        <w:t>.</w:t>
      </w:r>
    </w:p>
    <w:p w14:paraId="4141FDBD" w14:textId="77777777" w:rsidR="00233845" w:rsidRPr="00A35D00" w:rsidRDefault="00233845" w:rsidP="00233845">
      <w:pPr>
        <w:pStyle w:val="Prrafodelista"/>
        <w:spacing w:before="100" w:beforeAutospacing="1" w:after="100" w:afterAutospacing="1" w:line="360" w:lineRule="auto"/>
        <w:ind w:left="0"/>
        <w:jc w:val="both"/>
        <w:rPr>
          <w:rFonts w:ascii="Palatino Linotype" w:hAnsi="Palatino Linotype"/>
        </w:rPr>
      </w:pPr>
      <w:r w:rsidRPr="00A35D00">
        <w:rPr>
          <w:rFonts w:ascii="Palatino Linotype" w:hAnsi="Palatino Linotype" w:cs="Arial"/>
        </w:rPr>
        <w:t>Asimismo</w:t>
      </w:r>
      <w:r w:rsidRPr="00A35D00">
        <w:rPr>
          <w:rFonts w:ascii="Palatino Linotype" w:hAnsi="Palatino Linotype"/>
        </w:rPr>
        <w:t>, indicó como razones o motivos de inconformidad:</w:t>
      </w:r>
    </w:p>
    <w:p w14:paraId="7DF2C6B9" w14:textId="490F2B82" w:rsidR="00DA2919" w:rsidRPr="00A35D00" w:rsidRDefault="00233845" w:rsidP="00952193">
      <w:pPr>
        <w:ind w:left="851" w:right="616"/>
        <w:jc w:val="both"/>
        <w:rPr>
          <w:rFonts w:ascii="Palatino Linotype" w:hAnsi="Palatino Linotype" w:cs="Arial"/>
          <w:i/>
          <w:sz w:val="22"/>
          <w:szCs w:val="22"/>
          <w:lang w:eastAsia="es-MX"/>
        </w:rPr>
      </w:pPr>
      <w:r w:rsidRPr="00A35D00">
        <w:rPr>
          <w:rFonts w:ascii="Palatino Linotype" w:hAnsi="Palatino Linotype" w:cs="Arial"/>
          <w:i/>
          <w:sz w:val="22"/>
          <w:szCs w:val="22"/>
          <w:lang w:eastAsia="es-MX"/>
        </w:rPr>
        <w:t>“</w:t>
      </w:r>
      <w:r w:rsidR="00AC7775" w:rsidRPr="00A35D00">
        <w:rPr>
          <w:rFonts w:ascii="Palatino Linotype" w:hAnsi="Palatino Linotype" w:cs="Arial"/>
          <w:i/>
          <w:sz w:val="22"/>
          <w:szCs w:val="22"/>
          <w:lang w:eastAsia="es-MX"/>
        </w:rPr>
        <w:t>Es obvio que el secretario general de gobierno firmo el documento denominado DECRETO NÚMERO 325 de fecha doce días del mes de agosto del año dos mil veintiuno. Por lo tanto debe de tener un expediente. De lo contrario anda de firmon, firmando a diestra y siniestra documentos. Anexo decreto.</w:t>
      </w:r>
      <w:r w:rsidR="00B40E76" w:rsidRPr="00A35D00">
        <w:rPr>
          <w:rFonts w:ascii="Palatino Linotype" w:hAnsi="Palatino Linotype" w:cs="Arial"/>
          <w:i/>
          <w:sz w:val="22"/>
          <w:szCs w:val="22"/>
          <w:lang w:eastAsia="es-MX"/>
        </w:rPr>
        <w:t>”</w:t>
      </w:r>
      <w:r w:rsidR="00AC7775" w:rsidRPr="00A35D00">
        <w:rPr>
          <w:rFonts w:ascii="Palatino Linotype" w:hAnsi="Palatino Linotype" w:cs="Arial"/>
          <w:i/>
          <w:sz w:val="22"/>
          <w:szCs w:val="22"/>
          <w:lang w:eastAsia="es-MX"/>
        </w:rPr>
        <w:t xml:space="preserve"> </w:t>
      </w:r>
      <w:r w:rsidR="00AC7775" w:rsidRPr="00A35D00">
        <w:rPr>
          <w:rFonts w:ascii="Palatino Linotype" w:hAnsi="Palatino Linotype" w:cs="Arial"/>
          <w:sz w:val="22"/>
          <w:szCs w:val="22"/>
          <w:lang w:eastAsia="es-MX"/>
        </w:rPr>
        <w:t>(Sic)</w:t>
      </w:r>
      <w:r w:rsidR="00AC7775" w:rsidRPr="00A35D00">
        <w:rPr>
          <w:rFonts w:ascii="Palatino Linotype" w:hAnsi="Palatino Linotype" w:cs="Arial"/>
          <w:sz w:val="22"/>
          <w:szCs w:val="22"/>
          <w:lang w:val="es-419" w:eastAsia="es-MX"/>
        </w:rPr>
        <w:t>.</w:t>
      </w:r>
      <w:r w:rsidR="00AC7775" w:rsidRPr="00A35D00">
        <w:rPr>
          <w:rFonts w:ascii="Palatino Linotype" w:hAnsi="Palatino Linotype" w:cs="Arial"/>
          <w:i/>
          <w:sz w:val="22"/>
          <w:szCs w:val="22"/>
          <w:lang w:eastAsia="es-MX"/>
        </w:rPr>
        <w:t xml:space="preserve"> </w:t>
      </w:r>
    </w:p>
    <w:p w14:paraId="3264C90F" w14:textId="561C4687" w:rsidR="00233845" w:rsidRPr="00A35D00" w:rsidRDefault="00233845" w:rsidP="00233845">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A35D00">
        <w:rPr>
          <w:rFonts w:ascii="Palatino Linotype" w:hAnsi="Palatino Linotype" w:cs="Arial"/>
          <w:b/>
          <w:sz w:val="28"/>
          <w:szCs w:val="28"/>
        </w:rPr>
        <w:t xml:space="preserve">V. </w:t>
      </w:r>
      <w:r w:rsidRPr="00A35D00">
        <w:rPr>
          <w:rFonts w:ascii="Palatino Linotype" w:hAnsi="Palatino Linotype" w:cs="Arial"/>
        </w:rPr>
        <w:t>En fecha</w:t>
      </w:r>
      <w:r w:rsidR="007E52FF" w:rsidRPr="00A35D00">
        <w:rPr>
          <w:rFonts w:ascii="Palatino Linotype" w:hAnsi="Palatino Linotype" w:cs="Arial"/>
        </w:rPr>
        <w:t xml:space="preserve"> </w:t>
      </w:r>
      <w:r w:rsidR="00A01C2E" w:rsidRPr="00A35D00">
        <w:rPr>
          <w:rFonts w:ascii="Palatino Linotype" w:hAnsi="Palatino Linotype" w:cs="Arial"/>
          <w:lang w:val="es-419"/>
        </w:rPr>
        <w:t xml:space="preserve">ocho </w:t>
      </w:r>
      <w:r w:rsidR="00E5700A" w:rsidRPr="00A35D00">
        <w:rPr>
          <w:rFonts w:ascii="Palatino Linotype" w:hAnsi="Palatino Linotype" w:cs="Arial"/>
        </w:rPr>
        <w:t xml:space="preserve">de </w:t>
      </w:r>
      <w:r w:rsidR="007E52FF" w:rsidRPr="00A35D00">
        <w:rPr>
          <w:rFonts w:ascii="Palatino Linotype" w:hAnsi="Palatino Linotype" w:cs="Arial"/>
        </w:rPr>
        <w:t xml:space="preserve">octubre </w:t>
      </w:r>
      <w:r w:rsidRPr="00A35D00">
        <w:rPr>
          <w:rFonts w:ascii="Palatino Linotype" w:hAnsi="Palatino Linotype"/>
        </w:rPr>
        <w:t>de dos mil veintiuno</w:t>
      </w:r>
      <w:r w:rsidRPr="00A35D00">
        <w:rPr>
          <w:rFonts w:ascii="Palatino Linotype" w:hAnsi="Palatino Linotype" w:cs="Arial"/>
        </w:rPr>
        <w:t>, el recurso de que se trata se envió electrónicamente al Instituto de Transparencia, Acceso a la Información Pública</w:t>
      </w:r>
      <w:r w:rsidRPr="00A35D00">
        <w:rPr>
          <w:rFonts w:ascii="Palatino Linotype" w:hAnsi="Palatino Linotype" w:cs="Arial"/>
          <w:lang w:val="es-ES_tradnl"/>
        </w:rPr>
        <w:t xml:space="preserve"> y </w:t>
      </w:r>
      <w:r w:rsidRPr="00A35D00">
        <w:rPr>
          <w:rFonts w:ascii="Palatino Linotype" w:hAnsi="Palatino Linotype" w:cs="Arial"/>
        </w:rPr>
        <w:t>Protección</w:t>
      </w:r>
      <w:r w:rsidRPr="00A35D00">
        <w:rPr>
          <w:rFonts w:ascii="Palatino Linotype" w:hAnsi="Palatino Linotype" w:cs="Arial"/>
          <w:lang w:val="es-ES_tradnl"/>
        </w:rPr>
        <w:t xml:space="preserve"> </w:t>
      </w:r>
      <w:r w:rsidRPr="00A35D00">
        <w:rPr>
          <w:rFonts w:ascii="Palatino Linotype" w:hAnsi="Palatino Linotype" w:cs="Arial"/>
        </w:rPr>
        <w:t>de</w:t>
      </w:r>
      <w:r w:rsidRPr="00A35D00">
        <w:rPr>
          <w:rFonts w:ascii="Palatino Linotype" w:hAnsi="Palatino Linotype" w:cs="Arial"/>
          <w:lang w:val="es-ES_tradnl"/>
        </w:rPr>
        <w:t xml:space="preserve"> </w:t>
      </w:r>
      <w:r w:rsidRPr="00A35D00">
        <w:rPr>
          <w:rFonts w:ascii="Palatino Linotype" w:hAnsi="Palatino Linotype"/>
        </w:rPr>
        <w:t>Datos</w:t>
      </w:r>
      <w:r w:rsidRPr="00A35D00">
        <w:rPr>
          <w:rFonts w:ascii="Palatino Linotype" w:hAnsi="Palatino Linotype" w:cs="Arial"/>
          <w:lang w:val="es-ES_tradnl"/>
        </w:rPr>
        <w:t xml:space="preserve"> </w:t>
      </w:r>
      <w:r w:rsidRPr="00A35D00">
        <w:rPr>
          <w:rFonts w:ascii="Palatino Linotype" w:hAnsi="Palatino Linotype" w:cs="Arial"/>
        </w:rPr>
        <w:t>Personales</w:t>
      </w:r>
      <w:r w:rsidRPr="00A35D00">
        <w:rPr>
          <w:rFonts w:ascii="Palatino Linotype" w:hAnsi="Palatino Linotype" w:cs="Arial"/>
          <w:lang w:val="es-ES_tradnl"/>
        </w:rPr>
        <w:t xml:space="preserve"> </w:t>
      </w:r>
      <w:r w:rsidRPr="00A35D00">
        <w:rPr>
          <w:rFonts w:ascii="Palatino Linotype" w:hAnsi="Palatino Linotype" w:cs="Arial"/>
        </w:rPr>
        <w:t>del</w:t>
      </w:r>
      <w:r w:rsidRPr="00A35D00">
        <w:rPr>
          <w:rFonts w:ascii="Palatino Linotype" w:hAnsi="Palatino Linotype" w:cs="Arial"/>
          <w:lang w:val="es-ES_tradnl"/>
        </w:rPr>
        <w:t xml:space="preserve"> </w:t>
      </w:r>
      <w:r w:rsidRPr="00A35D00">
        <w:rPr>
          <w:rFonts w:ascii="Palatino Linotype" w:hAnsi="Palatino Linotype"/>
        </w:rPr>
        <w:t>Estado</w:t>
      </w:r>
      <w:r w:rsidRPr="00A35D00">
        <w:rPr>
          <w:rFonts w:ascii="Palatino Linotype" w:hAnsi="Palatino Linotype" w:cs="Arial"/>
          <w:lang w:val="es-ES_tradnl"/>
        </w:rPr>
        <w:t xml:space="preserve"> de México y Municipios y con fundamento en el </w:t>
      </w:r>
      <w:r w:rsidRPr="00A35D00">
        <w:rPr>
          <w:rFonts w:ascii="Palatino Linotype" w:hAnsi="Palatino Linotype" w:cs="Arial"/>
        </w:rPr>
        <w:t>artículo</w:t>
      </w:r>
      <w:r w:rsidRPr="00A35D00">
        <w:rPr>
          <w:rFonts w:ascii="Palatino Linotype" w:hAnsi="Palatino Linotype" w:cs="Arial"/>
          <w:lang w:val="es-ES_tradnl"/>
        </w:rPr>
        <w:t xml:space="preserve"> 185, </w:t>
      </w:r>
      <w:r w:rsidRPr="00A35D00">
        <w:rPr>
          <w:rFonts w:ascii="Palatino Linotype" w:hAnsi="Palatino Linotype" w:cs="Arial"/>
        </w:rPr>
        <w:t>fracción</w:t>
      </w:r>
      <w:r w:rsidRPr="00A35D00">
        <w:rPr>
          <w:rFonts w:ascii="Palatino Linotype" w:hAnsi="Palatino Linotype" w:cs="Arial"/>
          <w:lang w:val="es-ES_tradnl"/>
        </w:rPr>
        <w:t xml:space="preserve"> I de la </w:t>
      </w:r>
      <w:r w:rsidRPr="00A35D00">
        <w:rPr>
          <w:rFonts w:ascii="Palatino Linotype" w:hAnsi="Palatino Linotype"/>
        </w:rPr>
        <w:t>Ley de Transparencia y Acceso a la Información Pública del Estado de México y Municipios</w:t>
      </w:r>
      <w:r w:rsidRPr="00A35D00">
        <w:rPr>
          <w:rFonts w:ascii="Palatino Linotype" w:hAnsi="Palatino Linotype" w:cs="Arial"/>
          <w:lang w:val="es-ES_tradnl"/>
        </w:rPr>
        <w:t>, se turnó, a través del</w:t>
      </w:r>
      <w:r w:rsidRPr="00A35D00">
        <w:rPr>
          <w:rFonts w:ascii="Palatino Linotype" w:eastAsia="Arial Unicode MS" w:hAnsi="Palatino Linotype" w:cs="Arial"/>
          <w:lang w:val="es-ES_tradnl"/>
        </w:rPr>
        <w:t xml:space="preserve"> </w:t>
      </w:r>
      <w:r w:rsidRPr="00A35D00">
        <w:rPr>
          <w:rFonts w:ascii="Palatino Linotype" w:eastAsia="Arial Unicode MS" w:hAnsi="Palatino Linotype" w:cs="Arial"/>
          <w:b/>
          <w:lang w:val="es-ES_tradnl"/>
        </w:rPr>
        <w:t>SAIMEX</w:t>
      </w:r>
      <w:r w:rsidRPr="00A35D00">
        <w:rPr>
          <w:rFonts w:ascii="Palatino Linotype" w:hAnsi="Palatino Linotype"/>
        </w:rPr>
        <w:t>, a la</w:t>
      </w:r>
      <w:r w:rsidR="004E44D1" w:rsidRPr="00A35D00">
        <w:rPr>
          <w:rFonts w:ascii="Palatino Linotype" w:hAnsi="Palatino Linotype"/>
        </w:rPr>
        <w:t xml:space="preserve"> Comisionada </w:t>
      </w:r>
      <w:r w:rsidR="00F150F4" w:rsidRPr="00A35D00">
        <w:rPr>
          <w:rFonts w:ascii="Palatino Linotype" w:hAnsi="Palatino Linotype"/>
          <w:b/>
        </w:rPr>
        <w:t>Sharon Cristina Morales Martínez</w:t>
      </w:r>
      <w:r w:rsidRPr="00A35D00">
        <w:rPr>
          <w:rFonts w:ascii="Palatino Linotype" w:hAnsi="Palatino Linotype" w:cs="Arial"/>
          <w:b/>
          <w:lang w:val="es-ES_tradnl"/>
        </w:rPr>
        <w:t>,</w:t>
      </w:r>
      <w:r w:rsidRPr="00A35D00">
        <w:rPr>
          <w:rFonts w:ascii="Palatino Linotype" w:hAnsi="Palatino Linotype" w:cs="Arial"/>
          <w:lang w:val="es-ES_tradnl"/>
        </w:rPr>
        <w:t xml:space="preserve"> a efecto de que decretara su admisión o desechamiento.</w:t>
      </w:r>
    </w:p>
    <w:p w14:paraId="3A6656CD" w14:textId="3198E41B" w:rsidR="00BF649F" w:rsidRPr="00A35D00" w:rsidRDefault="00BF649F" w:rsidP="008E0F96">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A35D00">
        <w:rPr>
          <w:rFonts w:ascii="Palatino Linotype" w:hAnsi="Palatino Linotype" w:cs="Arial"/>
          <w:b/>
          <w:sz w:val="28"/>
          <w:szCs w:val="28"/>
        </w:rPr>
        <w:t>V</w:t>
      </w:r>
      <w:r w:rsidR="004E44D1" w:rsidRPr="00A35D00">
        <w:rPr>
          <w:rFonts w:ascii="Palatino Linotype" w:hAnsi="Palatino Linotype" w:cs="Arial"/>
          <w:b/>
          <w:sz w:val="28"/>
          <w:szCs w:val="28"/>
        </w:rPr>
        <w:t>I</w:t>
      </w:r>
      <w:r w:rsidRPr="00A35D00">
        <w:rPr>
          <w:rFonts w:ascii="Palatino Linotype" w:hAnsi="Palatino Linotype" w:cs="Arial"/>
          <w:b/>
          <w:sz w:val="28"/>
          <w:szCs w:val="28"/>
        </w:rPr>
        <w:t>.</w:t>
      </w:r>
      <w:r w:rsidR="0047609F" w:rsidRPr="00A35D00">
        <w:rPr>
          <w:rFonts w:ascii="Palatino Linotype" w:hAnsi="Palatino Linotype" w:cs="Arial"/>
          <w:b/>
          <w:sz w:val="28"/>
          <w:szCs w:val="28"/>
        </w:rPr>
        <w:t xml:space="preserve"> </w:t>
      </w:r>
      <w:r w:rsidR="00F7337F" w:rsidRPr="00A35D00">
        <w:rPr>
          <w:rFonts w:ascii="Palatino Linotype" w:hAnsi="Palatino Linotype" w:cs="Arial"/>
        </w:rPr>
        <w:t xml:space="preserve">En atención a lo dispuesto en el artículo 185, fracciones I, II y IV, de la </w:t>
      </w:r>
      <w:r w:rsidR="00F7337F" w:rsidRPr="00A35D00">
        <w:rPr>
          <w:rFonts w:ascii="Palatino Linotype" w:hAnsi="Palatino Linotype"/>
        </w:rPr>
        <w:t xml:space="preserve">Ley de Transparencia y Acceso a la Información Pública del </w:t>
      </w:r>
      <w:r w:rsidR="00F7337F" w:rsidRPr="00A35D00">
        <w:rPr>
          <w:rFonts w:ascii="Palatino Linotype" w:hAnsi="Palatino Linotype" w:cs="Arial"/>
        </w:rPr>
        <w:t>Estado</w:t>
      </w:r>
      <w:r w:rsidR="00F7337F" w:rsidRPr="00A35D00">
        <w:rPr>
          <w:rFonts w:ascii="Palatino Linotype" w:hAnsi="Palatino Linotype"/>
        </w:rPr>
        <w:t xml:space="preserve"> de México y </w:t>
      </w:r>
      <w:r w:rsidR="00F7337F" w:rsidRPr="00A35D00">
        <w:rPr>
          <w:rFonts w:ascii="Palatino Linotype" w:hAnsi="Palatino Linotype" w:cs="Arial"/>
          <w:lang w:val="es-ES_tradnl"/>
        </w:rPr>
        <w:t>Municipios</w:t>
      </w:r>
      <w:r w:rsidR="00F7337F" w:rsidRPr="00A35D00">
        <w:rPr>
          <w:rFonts w:ascii="Palatino Linotype" w:hAnsi="Palatino Linotype"/>
        </w:rPr>
        <w:t xml:space="preserve">, en fecha </w:t>
      </w:r>
      <w:r w:rsidR="00AB2EB8" w:rsidRPr="00A35D00">
        <w:rPr>
          <w:rFonts w:ascii="Palatino Linotype" w:hAnsi="Palatino Linotype" w:cs="Arial"/>
          <w:lang w:val="es-419"/>
        </w:rPr>
        <w:t>trece</w:t>
      </w:r>
      <w:r w:rsidR="007E52FF" w:rsidRPr="00A35D00">
        <w:rPr>
          <w:rFonts w:ascii="Palatino Linotype" w:hAnsi="Palatino Linotype" w:cs="Arial"/>
        </w:rPr>
        <w:t xml:space="preserve"> de octubre</w:t>
      </w:r>
      <w:r w:rsidRPr="00A35D00">
        <w:rPr>
          <w:rFonts w:ascii="Palatino Linotype" w:hAnsi="Palatino Linotype" w:cs="Arial"/>
        </w:rPr>
        <w:t xml:space="preserve"> de dos mil veintiuno, </w:t>
      </w:r>
      <w:r w:rsidRPr="00A35D00">
        <w:rPr>
          <w:rFonts w:ascii="Palatino Linotype" w:hAnsi="Palatino Linotype"/>
        </w:rPr>
        <w:t>se a</w:t>
      </w:r>
      <w:r w:rsidRPr="00A35D00">
        <w:rPr>
          <w:rFonts w:ascii="Palatino Linotype" w:hAnsi="Palatino Linotype" w:cs="Arial"/>
        </w:rPr>
        <w:t xml:space="preserve">cordó la admisión a trámite del referido recurso de </w:t>
      </w:r>
      <w:r w:rsidRPr="00A35D00">
        <w:rPr>
          <w:rFonts w:ascii="Palatino Linotype" w:hAnsi="Palatino Linotype" w:cs="Arial"/>
          <w:lang w:val="es-ES_tradnl"/>
        </w:rPr>
        <w:t>revisión;</w:t>
      </w:r>
      <w:r w:rsidRPr="00A35D00">
        <w:rPr>
          <w:rFonts w:ascii="Palatino Linotype" w:hAnsi="Palatino Linotype" w:cs="Arial"/>
        </w:rPr>
        <w:t xml:space="preserve"> así como, la </w:t>
      </w:r>
      <w:r w:rsidRPr="00A35D00">
        <w:rPr>
          <w:rFonts w:ascii="Palatino Linotype" w:hAnsi="Palatino Linotype" w:cs="Arial"/>
          <w:lang w:val="es-ES_tradnl"/>
        </w:rPr>
        <w:t>integración</w:t>
      </w:r>
      <w:r w:rsidRPr="00A35D00">
        <w:rPr>
          <w:rFonts w:ascii="Palatino Linotype" w:hAnsi="Palatino Linotype" w:cs="Arial"/>
        </w:rPr>
        <w:t xml:space="preserve"> del expediente respectivo, mismo que se puso a disposición de las partes, para que en el plaz</w:t>
      </w:r>
      <w:r w:rsidR="00F635D1" w:rsidRPr="00A35D00">
        <w:rPr>
          <w:rFonts w:ascii="Palatino Linotype" w:hAnsi="Palatino Linotype" w:cs="Arial"/>
        </w:rPr>
        <w:t>o máximo de siete días hábiles,</w:t>
      </w:r>
      <w:r w:rsidR="002D322E" w:rsidRPr="00A35D00">
        <w:rPr>
          <w:rFonts w:ascii="Palatino Linotype" w:hAnsi="Palatino Linotype" w:cs="Arial"/>
          <w:b/>
        </w:rPr>
        <w:t xml:space="preserve"> </w:t>
      </w:r>
      <w:r w:rsidR="00F635D1" w:rsidRPr="00A35D00">
        <w:rPr>
          <w:rFonts w:ascii="Palatino Linotype" w:hAnsi="Palatino Linotype" w:cs="Arial"/>
          <w:b/>
        </w:rPr>
        <w:t xml:space="preserve">EL </w:t>
      </w:r>
      <w:r w:rsidR="00F36D35" w:rsidRPr="00A35D00">
        <w:rPr>
          <w:rFonts w:ascii="Palatino Linotype" w:hAnsi="Palatino Linotype" w:cs="Arial"/>
          <w:b/>
        </w:rPr>
        <w:t>RECURRENTE</w:t>
      </w:r>
      <w:r w:rsidR="002D322E" w:rsidRPr="00A35D00">
        <w:rPr>
          <w:rFonts w:ascii="Palatino Linotype" w:hAnsi="Palatino Linotype" w:cs="Arial"/>
          <w:b/>
        </w:rPr>
        <w:t xml:space="preserve"> </w:t>
      </w:r>
      <w:r w:rsidRPr="00A35D00">
        <w:rPr>
          <w:rFonts w:ascii="Palatino Linotype" w:hAnsi="Palatino Linotype" w:cs="Arial"/>
        </w:rPr>
        <w:t xml:space="preserve"> realizara manifestaciones, alegatos y ofreciera las </w:t>
      </w:r>
      <w:r w:rsidRPr="00A35D00">
        <w:rPr>
          <w:rFonts w:ascii="Palatino Linotype" w:hAnsi="Palatino Linotype" w:cs="Arial"/>
        </w:rPr>
        <w:lastRenderedPageBreak/>
        <w:t xml:space="preserve">pruebas que a su derecho </w:t>
      </w:r>
      <w:r w:rsidRPr="00A35D00">
        <w:rPr>
          <w:rFonts w:ascii="Palatino Linotype" w:hAnsi="Palatino Linotype" w:cs="Arial"/>
          <w:lang w:val="es-ES_tradnl"/>
        </w:rPr>
        <w:t>conviniera</w:t>
      </w:r>
      <w:r w:rsidRPr="00A35D00">
        <w:rPr>
          <w:rFonts w:ascii="Palatino Linotype" w:hAnsi="Palatino Linotype" w:cs="Arial"/>
        </w:rPr>
        <w:t xml:space="preserve"> y, en el caso del</w:t>
      </w:r>
      <w:r w:rsidRPr="00A35D00">
        <w:rPr>
          <w:rFonts w:ascii="Palatino Linotype" w:hAnsi="Palatino Linotype" w:cs="Arial"/>
          <w:b/>
        </w:rPr>
        <w:t xml:space="preserve"> SUJETO OBLIGADO</w:t>
      </w:r>
      <w:r w:rsidRPr="00A35D00">
        <w:rPr>
          <w:rFonts w:ascii="Palatino Linotype" w:hAnsi="Palatino Linotype" w:cs="Arial"/>
        </w:rPr>
        <w:t>, para que exhibiera el Informe Justificado correspondiente.</w:t>
      </w:r>
    </w:p>
    <w:p w14:paraId="45658295" w14:textId="061524EB" w:rsidR="0039637D" w:rsidRPr="00A35D00" w:rsidRDefault="00952193" w:rsidP="00F150F4">
      <w:pPr>
        <w:pStyle w:val="Prrafodelista"/>
        <w:spacing w:before="240" w:after="240" w:line="360" w:lineRule="auto"/>
        <w:ind w:left="0"/>
        <w:jc w:val="both"/>
        <w:rPr>
          <w:rFonts w:ascii="Palatino Linotype" w:hAnsi="Palatino Linotype" w:cs="Arial"/>
          <w:lang w:val="es-419"/>
        </w:rPr>
      </w:pPr>
      <w:r w:rsidRPr="00A35D00">
        <w:rPr>
          <w:rFonts w:ascii="Palatino Linotype" w:hAnsi="Palatino Linotype" w:cs="Arial"/>
          <w:b/>
          <w:sz w:val="28"/>
          <w:szCs w:val="28"/>
        </w:rPr>
        <w:t>V</w:t>
      </w:r>
      <w:r w:rsidR="00BF649F" w:rsidRPr="00A35D00">
        <w:rPr>
          <w:rFonts w:ascii="Palatino Linotype" w:hAnsi="Palatino Linotype" w:cs="Arial"/>
          <w:b/>
          <w:sz w:val="28"/>
          <w:szCs w:val="28"/>
        </w:rPr>
        <w:t>I</w:t>
      </w:r>
      <w:r w:rsidR="004E44D1" w:rsidRPr="00A35D00">
        <w:rPr>
          <w:rFonts w:ascii="Palatino Linotype" w:hAnsi="Palatino Linotype" w:cs="Arial"/>
          <w:b/>
          <w:sz w:val="28"/>
          <w:szCs w:val="28"/>
        </w:rPr>
        <w:t>I</w:t>
      </w:r>
      <w:r w:rsidRPr="00A35D00">
        <w:rPr>
          <w:rFonts w:ascii="Palatino Linotype" w:hAnsi="Palatino Linotype" w:cs="Arial"/>
          <w:b/>
          <w:sz w:val="28"/>
          <w:szCs w:val="28"/>
        </w:rPr>
        <w:t>.</w:t>
      </w:r>
      <w:r w:rsidRPr="00A35D00">
        <w:rPr>
          <w:rFonts w:ascii="Palatino Linotype" w:hAnsi="Palatino Linotype" w:cs="Arial"/>
        </w:rPr>
        <w:t xml:space="preserve"> De las constancias que obran en el </w:t>
      </w:r>
      <w:r w:rsidRPr="00A35D00">
        <w:rPr>
          <w:rFonts w:ascii="Palatino Linotype" w:hAnsi="Palatino Linotype" w:cs="Arial"/>
          <w:b/>
        </w:rPr>
        <w:t>SAIMEX</w:t>
      </w:r>
      <w:r w:rsidRPr="00A35D00">
        <w:rPr>
          <w:rFonts w:ascii="Palatino Linotype" w:hAnsi="Palatino Linotype" w:cs="Arial"/>
        </w:rPr>
        <w:t>, se desprende que</w:t>
      </w:r>
      <w:r w:rsidR="00E5700A" w:rsidRPr="00A35D00">
        <w:rPr>
          <w:rFonts w:ascii="Palatino Linotype" w:hAnsi="Palatino Linotype" w:cs="Arial"/>
        </w:rPr>
        <w:t xml:space="preserve"> </w:t>
      </w:r>
      <w:r w:rsidRPr="00A35D00">
        <w:rPr>
          <w:rFonts w:ascii="Palatino Linotype" w:hAnsi="Palatino Linotype" w:cs="Arial"/>
          <w:b/>
        </w:rPr>
        <w:t xml:space="preserve">EL SUJETO OBLIGADO </w:t>
      </w:r>
      <w:r w:rsidR="007E52FF" w:rsidRPr="00A35D00">
        <w:rPr>
          <w:rFonts w:ascii="Palatino Linotype" w:hAnsi="Palatino Linotype" w:cs="Arial"/>
        </w:rPr>
        <w:t xml:space="preserve">rindió </w:t>
      </w:r>
      <w:r w:rsidR="0039637D" w:rsidRPr="00A35D00">
        <w:rPr>
          <w:rFonts w:ascii="Palatino Linotype" w:hAnsi="Palatino Linotype" w:cs="Arial"/>
          <w:lang w:val="es-419"/>
        </w:rPr>
        <w:t>su</w:t>
      </w:r>
      <w:r w:rsidR="007E52FF" w:rsidRPr="00A35D00">
        <w:rPr>
          <w:rFonts w:ascii="Palatino Linotype" w:hAnsi="Palatino Linotype" w:cs="Arial"/>
        </w:rPr>
        <w:t xml:space="preserve"> Informe </w:t>
      </w:r>
      <w:r w:rsidR="0039637D" w:rsidRPr="00A35D00">
        <w:rPr>
          <w:rFonts w:ascii="Palatino Linotype" w:hAnsi="Palatino Linotype" w:cs="Arial"/>
        </w:rPr>
        <w:t xml:space="preserve">Justificado </w:t>
      </w:r>
      <w:r w:rsidR="007E52FF" w:rsidRPr="00A35D00">
        <w:rPr>
          <w:rFonts w:ascii="Palatino Linotype" w:hAnsi="Palatino Linotype" w:cs="Arial"/>
        </w:rPr>
        <w:t xml:space="preserve">en fecha </w:t>
      </w:r>
      <w:r w:rsidR="00B055AD" w:rsidRPr="00A35D00">
        <w:rPr>
          <w:rFonts w:ascii="Palatino Linotype" w:hAnsi="Palatino Linotype" w:cs="Arial"/>
          <w:lang w:val="es-419"/>
        </w:rPr>
        <w:t>veintidós</w:t>
      </w:r>
      <w:r w:rsidR="007E52FF" w:rsidRPr="00A35D00">
        <w:rPr>
          <w:rFonts w:ascii="Palatino Linotype" w:hAnsi="Palatino Linotype" w:cs="Arial"/>
        </w:rPr>
        <w:t xml:space="preserve"> de octubre</w:t>
      </w:r>
      <w:r w:rsidR="00A55ACE" w:rsidRPr="00A35D00">
        <w:rPr>
          <w:rFonts w:ascii="Palatino Linotype" w:hAnsi="Palatino Linotype" w:cs="Arial"/>
        </w:rPr>
        <w:t xml:space="preserve"> del presente año</w:t>
      </w:r>
      <w:r w:rsidR="007E52FF" w:rsidRPr="00A35D00">
        <w:rPr>
          <w:rFonts w:ascii="Palatino Linotype" w:hAnsi="Palatino Linotype" w:cs="Arial"/>
        </w:rPr>
        <w:t xml:space="preserve">, mismo que </w:t>
      </w:r>
      <w:r w:rsidR="0039637D" w:rsidRPr="00A35D00">
        <w:rPr>
          <w:rFonts w:ascii="Palatino Linotype" w:hAnsi="Palatino Linotype" w:cs="Arial"/>
          <w:lang w:val="es-419"/>
        </w:rPr>
        <w:t xml:space="preserve">no </w:t>
      </w:r>
      <w:r w:rsidR="007E52FF" w:rsidRPr="00A35D00">
        <w:rPr>
          <w:rFonts w:ascii="Palatino Linotype" w:hAnsi="Palatino Linotype" w:cs="Arial"/>
        </w:rPr>
        <w:t xml:space="preserve">fue puesto a la vista </w:t>
      </w:r>
      <w:r w:rsidR="00F150F4" w:rsidRPr="00A35D00">
        <w:rPr>
          <w:rFonts w:ascii="Palatino Linotype" w:hAnsi="Palatino Linotype" w:cs="Arial"/>
        </w:rPr>
        <w:t xml:space="preserve">del solicitante al no </w:t>
      </w:r>
      <w:r w:rsidR="0039637D" w:rsidRPr="00A35D00">
        <w:rPr>
          <w:rFonts w:ascii="Palatino Linotype" w:hAnsi="Palatino Linotype" w:cs="Arial"/>
          <w:lang w:val="es-419"/>
        </w:rPr>
        <w:t>actualiza</w:t>
      </w:r>
      <w:r w:rsidR="00F150F4" w:rsidRPr="00A35D00">
        <w:rPr>
          <w:rFonts w:ascii="Palatino Linotype" w:hAnsi="Palatino Linotype" w:cs="Arial"/>
          <w:lang w:val="es-419"/>
        </w:rPr>
        <w:t>r</w:t>
      </w:r>
      <w:r w:rsidR="0039637D" w:rsidRPr="00A35D00">
        <w:rPr>
          <w:rFonts w:ascii="Palatino Linotype" w:hAnsi="Palatino Linotype" w:cs="Arial"/>
          <w:lang w:val="es-419"/>
        </w:rPr>
        <w:t xml:space="preserve"> lo previsto en la fracción III del artículo 185 de la Ley de Transparencia y Acceso a la Información Pública del Estado de México y Municipios</w:t>
      </w:r>
      <w:r w:rsidR="0039637D" w:rsidRPr="00A35D00">
        <w:rPr>
          <w:rStyle w:val="Refdenotaalpie"/>
          <w:rFonts w:ascii="Palatino Linotype" w:hAnsi="Palatino Linotype" w:cs="Arial"/>
          <w:lang w:val="es-419"/>
        </w:rPr>
        <w:footnoteReference w:id="1"/>
      </w:r>
      <w:r w:rsidR="0039637D" w:rsidRPr="00A35D00">
        <w:rPr>
          <w:rFonts w:ascii="Palatino Linotype" w:hAnsi="Palatino Linotype" w:cs="Arial"/>
          <w:lang w:val="es-419"/>
        </w:rPr>
        <w:t xml:space="preserve">; </w:t>
      </w:r>
      <w:r w:rsidR="00F150F4" w:rsidRPr="00A35D00">
        <w:rPr>
          <w:rFonts w:ascii="Palatino Linotype" w:hAnsi="Palatino Linotype" w:cs="Arial"/>
          <w:lang w:val="es-419"/>
        </w:rPr>
        <w:t>sin embargo, en aras de explicar a las partes su contenido se realiza el análisis siguiente:</w:t>
      </w:r>
    </w:p>
    <w:p w14:paraId="7435F807" w14:textId="71616659" w:rsidR="00F150F4" w:rsidRPr="00A35D00" w:rsidRDefault="00F150F4" w:rsidP="00F150F4">
      <w:pPr>
        <w:pStyle w:val="Prrafodelista"/>
        <w:numPr>
          <w:ilvl w:val="0"/>
          <w:numId w:val="14"/>
        </w:numPr>
        <w:spacing w:before="240" w:after="240" w:line="360" w:lineRule="auto"/>
        <w:jc w:val="both"/>
        <w:rPr>
          <w:rFonts w:ascii="Palatino Linotype" w:hAnsi="Palatino Linotype" w:cs="Arial"/>
          <w:lang w:val="es-419"/>
        </w:rPr>
      </w:pPr>
      <w:r w:rsidRPr="00A35D00">
        <w:rPr>
          <w:rFonts w:ascii="Palatino Linotype" w:hAnsi="Palatino Linotype" w:cs="Arial"/>
          <w:b/>
          <w:lang w:val="es-419"/>
        </w:rPr>
        <w:t>Antecedentes:</w:t>
      </w:r>
      <w:r w:rsidRPr="00A35D00">
        <w:rPr>
          <w:rFonts w:ascii="Palatino Linotype" w:hAnsi="Palatino Linotype" w:cs="Arial"/>
          <w:lang w:val="es-419"/>
        </w:rPr>
        <w:t xml:space="preserve"> en este apartado </w:t>
      </w:r>
      <w:r w:rsidRPr="00A35D00">
        <w:rPr>
          <w:rFonts w:ascii="Palatino Linotype" w:hAnsi="Palatino Linotype" w:cs="Arial"/>
          <w:b/>
          <w:lang w:val="es-419"/>
        </w:rPr>
        <w:t xml:space="preserve">EL SUJETO OBLIGADO </w:t>
      </w:r>
      <w:r w:rsidRPr="00A35D00">
        <w:rPr>
          <w:rFonts w:ascii="Palatino Linotype" w:hAnsi="Palatino Linotype" w:cs="Arial"/>
          <w:lang w:val="es-419"/>
        </w:rPr>
        <w:t>se remitió a las constancias que obran en el expediente electrónico del SAIMEX y realizó una remembranza del contenido de la solicitud de información; así como, de la respuesta otorgada.</w:t>
      </w:r>
    </w:p>
    <w:p w14:paraId="086E1860" w14:textId="40CB71C9" w:rsidR="00F150F4" w:rsidRPr="00A35D00" w:rsidRDefault="00F150F4" w:rsidP="00F150F4">
      <w:pPr>
        <w:pStyle w:val="Prrafodelista"/>
        <w:numPr>
          <w:ilvl w:val="0"/>
          <w:numId w:val="14"/>
        </w:numPr>
        <w:spacing w:before="240" w:after="240" w:line="360" w:lineRule="auto"/>
        <w:jc w:val="both"/>
        <w:rPr>
          <w:rFonts w:ascii="Palatino Linotype" w:hAnsi="Palatino Linotype" w:cs="Arial"/>
          <w:lang w:val="es-419"/>
        </w:rPr>
      </w:pPr>
      <w:r w:rsidRPr="00A35D00">
        <w:rPr>
          <w:rFonts w:ascii="Palatino Linotype" w:hAnsi="Palatino Linotype" w:cs="Arial"/>
          <w:b/>
          <w:lang w:val="es-419"/>
        </w:rPr>
        <w:t>Acto impugnado y razones o motivos de la inconformidad:</w:t>
      </w:r>
      <w:r w:rsidRPr="00A35D00">
        <w:rPr>
          <w:rFonts w:ascii="Palatino Linotype" w:hAnsi="Palatino Linotype" w:cs="Arial"/>
          <w:lang w:val="es-419"/>
        </w:rPr>
        <w:t xml:space="preserve"> </w:t>
      </w:r>
      <w:r w:rsidRPr="00A35D00">
        <w:rPr>
          <w:rFonts w:ascii="Palatino Linotype" w:hAnsi="Palatino Linotype" w:cs="Arial"/>
          <w:b/>
          <w:lang w:val="es-419"/>
        </w:rPr>
        <w:t xml:space="preserve">EL SUJETO OBLIGADO </w:t>
      </w:r>
      <w:r w:rsidRPr="00A35D00">
        <w:rPr>
          <w:rFonts w:ascii="Palatino Linotype" w:hAnsi="Palatino Linotype" w:cs="Arial"/>
          <w:lang w:val="es-419"/>
        </w:rPr>
        <w:t>señaló la fecha de presentación del recurso de revisión, así como, las manifestaciones expuestas por el solicitante, mismas que serian refutadas en el siguiente apartado.</w:t>
      </w:r>
    </w:p>
    <w:p w14:paraId="57D8FA3E" w14:textId="51218AFC" w:rsidR="00F150F4" w:rsidRPr="00A35D00" w:rsidRDefault="00F150F4" w:rsidP="00F150F4">
      <w:pPr>
        <w:pStyle w:val="Prrafodelista"/>
        <w:numPr>
          <w:ilvl w:val="0"/>
          <w:numId w:val="14"/>
        </w:numPr>
        <w:spacing w:before="240" w:after="240" w:line="360" w:lineRule="auto"/>
        <w:jc w:val="both"/>
        <w:rPr>
          <w:rFonts w:ascii="Palatino Linotype" w:hAnsi="Palatino Linotype" w:cs="Arial"/>
          <w:lang w:val="es-419"/>
        </w:rPr>
      </w:pPr>
      <w:r w:rsidRPr="00A35D00">
        <w:rPr>
          <w:rFonts w:ascii="Palatino Linotype" w:hAnsi="Palatino Linotype" w:cs="Arial"/>
          <w:b/>
          <w:lang w:val="es-419"/>
        </w:rPr>
        <w:t xml:space="preserve">Objeción al Acto </w:t>
      </w:r>
      <w:r w:rsidR="003658CF" w:rsidRPr="00A35D00">
        <w:rPr>
          <w:rFonts w:ascii="Palatino Linotype" w:hAnsi="Palatino Linotype" w:cs="Arial"/>
          <w:b/>
          <w:lang w:val="es-419"/>
        </w:rPr>
        <w:t>Impugnado</w:t>
      </w:r>
      <w:r w:rsidRPr="00A35D00">
        <w:rPr>
          <w:rFonts w:ascii="Palatino Linotype" w:hAnsi="Palatino Linotype" w:cs="Arial"/>
          <w:b/>
          <w:lang w:val="es-419"/>
        </w:rPr>
        <w:t>:</w:t>
      </w:r>
      <w:r w:rsidRPr="00A35D00">
        <w:rPr>
          <w:rFonts w:ascii="Palatino Linotype" w:hAnsi="Palatino Linotype" w:cs="Arial"/>
          <w:lang w:val="es-419"/>
        </w:rPr>
        <w:t xml:space="preserve"> </w:t>
      </w:r>
      <w:r w:rsidR="003658CF" w:rsidRPr="00A35D00">
        <w:rPr>
          <w:rFonts w:ascii="Palatino Linotype" w:hAnsi="Palatino Linotype" w:cs="Arial"/>
          <w:lang w:val="es-419"/>
        </w:rPr>
        <w:t xml:space="preserve">precisando que declaro su incompetencia en términos de lo establecido en el artículo 167 de la Ley de Transparencia y Acceso a la Información Pública del Estado de México y Municipios; </w:t>
      </w:r>
      <w:r w:rsidR="003658CF" w:rsidRPr="00A35D00">
        <w:rPr>
          <w:rFonts w:ascii="Palatino Linotype" w:hAnsi="Palatino Linotype" w:cs="Arial"/>
          <w:lang w:val="es-419"/>
        </w:rPr>
        <w:lastRenderedPageBreak/>
        <w:t>agregando que, si bien el particular al momento de interponer el recurso de revisión adjuntó el Decreto número 325 de fecha 12 de agosto del presente año, en el que se publicó la Desincorporación del patrimonio del Municipio de Tlalnepantla de Baz un bien inmueble, documento que fue emitido y rubricado por el Gobernador del Estado y refrendado por el Secretario General de Gobierno, lo cierto era que de acuerdo a lo establecido en la Constitución Política del Estado Libre y Soberano de México y la Ley Orgánica del Estado de México es una atribución de la Legislatura el conocer del tema de desincorporación de bienes inmuebles propiedad de los Municipios de la Entidad.</w:t>
      </w:r>
    </w:p>
    <w:p w14:paraId="0EDDB3A0" w14:textId="50AC83C7" w:rsidR="003658CF" w:rsidRPr="00A35D00" w:rsidRDefault="003658CF" w:rsidP="00F150F4">
      <w:pPr>
        <w:pStyle w:val="Prrafodelista"/>
        <w:numPr>
          <w:ilvl w:val="0"/>
          <w:numId w:val="14"/>
        </w:numPr>
        <w:spacing w:before="240" w:after="240" w:line="360" w:lineRule="auto"/>
        <w:jc w:val="both"/>
        <w:rPr>
          <w:rFonts w:ascii="Palatino Linotype" w:hAnsi="Palatino Linotype" w:cs="Arial"/>
          <w:lang w:val="es-419"/>
        </w:rPr>
      </w:pPr>
      <w:r w:rsidRPr="00A35D00">
        <w:rPr>
          <w:rFonts w:ascii="Palatino Linotype" w:hAnsi="Palatino Linotype" w:cs="Arial"/>
          <w:lang w:val="es-419"/>
        </w:rPr>
        <w:t xml:space="preserve">De modo que, de acuerdo a las atribuciones conferidas al </w:t>
      </w:r>
      <w:r w:rsidRPr="00A35D00">
        <w:rPr>
          <w:rFonts w:ascii="Palatino Linotype" w:hAnsi="Palatino Linotype" w:cs="Arial"/>
          <w:b/>
          <w:lang w:val="es-419"/>
        </w:rPr>
        <w:t xml:space="preserve">SUJETO OBLIGADO </w:t>
      </w:r>
      <w:r w:rsidRPr="00A35D00">
        <w:rPr>
          <w:rFonts w:ascii="Palatino Linotype" w:hAnsi="Palatino Linotype" w:cs="Arial"/>
          <w:lang w:val="es-419"/>
        </w:rPr>
        <w:t xml:space="preserve">en la Ley Orgánica de </w:t>
      </w:r>
      <w:r w:rsidR="007221F8" w:rsidRPr="00A35D00">
        <w:rPr>
          <w:rFonts w:ascii="Palatino Linotype" w:hAnsi="Palatino Linotype" w:cs="Arial"/>
          <w:lang w:val="es-419"/>
        </w:rPr>
        <w:t>la Administración Pública del Estado de México y del Reglamento Interior de la Secretaría General de Gobierno no se encuentra constreñido a generar, poseer o administrar los expedientes derivados de la totalidad de asuntos que el Secretario General rubrica; sobre todo en casos como este, en el que como ya se dijo corresponde a la Legislatura local y a los Ayuntamientos el conocer de los bienes inmuebles que se pretendan desincorporar del dominio público.</w:t>
      </w:r>
    </w:p>
    <w:p w14:paraId="054843A9" w14:textId="05A4AD33" w:rsidR="007221F8" w:rsidRPr="00A35D00" w:rsidRDefault="007221F8" w:rsidP="00F150F4">
      <w:pPr>
        <w:pStyle w:val="Prrafodelista"/>
        <w:numPr>
          <w:ilvl w:val="0"/>
          <w:numId w:val="14"/>
        </w:numPr>
        <w:spacing w:before="240" w:after="240" w:line="360" w:lineRule="auto"/>
        <w:jc w:val="both"/>
        <w:rPr>
          <w:rFonts w:ascii="Palatino Linotype" w:hAnsi="Palatino Linotype" w:cs="Arial"/>
          <w:lang w:val="es-419"/>
        </w:rPr>
      </w:pPr>
      <w:r w:rsidRPr="00A35D00">
        <w:rPr>
          <w:rFonts w:ascii="Palatino Linotype" w:hAnsi="Palatino Linotype" w:cs="Arial"/>
          <w:lang w:val="es-419"/>
        </w:rPr>
        <w:t>Así, la Dirección General de Control y Seguimiento de la Gestión señaló que después de haber realizado una búsqueda exhaustiva y razonable en sus archivos, no localizó ningún documento toda vez que el hecho de que el Secretario General de Gobierno refrende una Ley o Decreto, no implica que se deba generar un expediente por asunto y mucho menos en aquellos casos que escapan de su competencia como en el presente asunto.</w:t>
      </w:r>
    </w:p>
    <w:p w14:paraId="498E95C8" w14:textId="1D0DEE21" w:rsidR="007221F8" w:rsidRPr="00A35D00" w:rsidRDefault="007221F8" w:rsidP="007221F8">
      <w:pPr>
        <w:pStyle w:val="Prrafodelista"/>
        <w:numPr>
          <w:ilvl w:val="0"/>
          <w:numId w:val="14"/>
        </w:numPr>
        <w:spacing w:before="240" w:after="240" w:line="360" w:lineRule="auto"/>
        <w:jc w:val="both"/>
        <w:rPr>
          <w:rFonts w:ascii="Palatino Linotype" w:hAnsi="Palatino Linotype" w:cs="Arial"/>
          <w:lang w:val="es-419"/>
        </w:rPr>
      </w:pPr>
      <w:r w:rsidRPr="00A35D00">
        <w:rPr>
          <w:rFonts w:ascii="Palatino Linotype" w:hAnsi="Palatino Linotype" w:cs="Arial"/>
          <w:lang w:val="es-419"/>
        </w:rPr>
        <w:lastRenderedPageBreak/>
        <w:t xml:space="preserve">Señalando que por cuanto hacia a la expresión del </w:t>
      </w:r>
      <w:r w:rsidRPr="00A35D00">
        <w:rPr>
          <w:rFonts w:ascii="Palatino Linotype" w:hAnsi="Palatino Linotype" w:cs="Arial"/>
          <w:b/>
          <w:lang w:val="es-419"/>
        </w:rPr>
        <w:t xml:space="preserve">RECURRENTE </w:t>
      </w:r>
      <w:r w:rsidRPr="00A35D00">
        <w:rPr>
          <w:rFonts w:ascii="Palatino Linotype" w:hAnsi="Palatino Linotype" w:cs="Arial"/>
          <w:lang w:val="es-419"/>
        </w:rPr>
        <w:t xml:space="preserve">consistente en </w:t>
      </w:r>
      <w:r w:rsidRPr="00A35D00">
        <w:rPr>
          <w:rFonts w:ascii="Palatino Linotype" w:hAnsi="Palatino Linotype" w:cs="Arial"/>
          <w:i/>
          <w:lang w:val="es-419"/>
        </w:rPr>
        <w:t>“…</w:t>
      </w:r>
      <w:r w:rsidRPr="00A35D00">
        <w:rPr>
          <w:rFonts w:ascii="Palatino Linotype" w:hAnsi="Palatino Linotype" w:cs="Arial"/>
          <w:i/>
          <w:lang w:eastAsia="es-MX"/>
        </w:rPr>
        <w:t xml:space="preserve">De lo contrario anda de firmon, firmando a diestra y siniestra documentos…” </w:t>
      </w:r>
      <w:r w:rsidRPr="00A35D00">
        <w:rPr>
          <w:rFonts w:ascii="Palatino Linotype" w:hAnsi="Palatino Linotype" w:cs="Arial"/>
          <w:lang w:eastAsia="es-MX"/>
        </w:rPr>
        <w:t xml:space="preserve">(Sic) se tomaron como manifestaciones subjetivas. Por lo que en atención a que existe la notoria incompetencia del </w:t>
      </w:r>
      <w:r w:rsidRPr="00A35D00">
        <w:rPr>
          <w:rFonts w:ascii="Palatino Linotype" w:hAnsi="Palatino Linotype" w:cs="Arial"/>
          <w:b/>
          <w:lang w:eastAsia="es-MX"/>
        </w:rPr>
        <w:t xml:space="preserve">SUJETO OBLIGADO </w:t>
      </w:r>
      <w:r w:rsidRPr="00A35D00">
        <w:rPr>
          <w:rFonts w:ascii="Palatino Linotype" w:hAnsi="Palatino Linotype" w:cs="Arial"/>
          <w:lang w:eastAsia="es-MX"/>
        </w:rPr>
        <w:t xml:space="preserve">para conocer de la información solicitada, </w:t>
      </w:r>
      <w:r w:rsidR="00F34FAE" w:rsidRPr="00A35D00">
        <w:rPr>
          <w:rFonts w:ascii="Palatino Linotype" w:hAnsi="Palatino Linotype" w:cs="Arial"/>
          <w:lang w:eastAsia="es-MX"/>
        </w:rPr>
        <w:t>al final de su Informe Justificado solicitó a la Ponente, tener a bien el Confirmar su respuesta en atención a que no se actualiza alguno de los supuestos previstos en el artículo 179 de la Ley de la materia.</w:t>
      </w:r>
    </w:p>
    <w:p w14:paraId="0D0C03F7" w14:textId="4DEF4DB3" w:rsidR="00E5700A" w:rsidRPr="00A35D00" w:rsidRDefault="00EA3177" w:rsidP="00542307">
      <w:pPr>
        <w:pStyle w:val="Prrafodelista"/>
        <w:spacing w:before="240" w:after="240" w:line="360" w:lineRule="auto"/>
        <w:ind w:left="0"/>
        <w:jc w:val="both"/>
        <w:rPr>
          <w:rFonts w:ascii="Palatino Linotype" w:hAnsi="Palatino Linotype" w:cs="Arial"/>
          <w:noProof/>
          <w:lang w:eastAsia="es-MX"/>
        </w:rPr>
      </w:pPr>
      <w:r w:rsidRPr="00A35D00">
        <w:rPr>
          <w:rFonts w:ascii="Palatino Linotype" w:hAnsi="Palatino Linotype" w:cs="Arial"/>
          <w:b/>
          <w:sz w:val="28"/>
          <w:szCs w:val="28"/>
        </w:rPr>
        <w:t>V</w:t>
      </w:r>
      <w:r w:rsidR="00542307" w:rsidRPr="00A35D00">
        <w:rPr>
          <w:rFonts w:ascii="Palatino Linotype" w:hAnsi="Palatino Linotype" w:cs="Arial"/>
          <w:b/>
          <w:sz w:val="28"/>
          <w:szCs w:val="28"/>
        </w:rPr>
        <w:t>I</w:t>
      </w:r>
      <w:r w:rsidRPr="00A35D00">
        <w:rPr>
          <w:rFonts w:ascii="Palatino Linotype" w:hAnsi="Palatino Linotype" w:cs="Arial"/>
          <w:b/>
          <w:sz w:val="28"/>
          <w:szCs w:val="28"/>
        </w:rPr>
        <w:t>I</w:t>
      </w:r>
      <w:r w:rsidR="00BE222C" w:rsidRPr="00A35D00">
        <w:rPr>
          <w:rFonts w:ascii="Palatino Linotype" w:hAnsi="Palatino Linotype" w:cs="Arial"/>
          <w:b/>
          <w:sz w:val="28"/>
          <w:szCs w:val="28"/>
        </w:rPr>
        <w:t>I</w:t>
      </w:r>
      <w:r w:rsidRPr="00A35D00">
        <w:rPr>
          <w:rFonts w:ascii="Palatino Linotype" w:hAnsi="Palatino Linotype" w:cs="Arial"/>
          <w:b/>
          <w:sz w:val="28"/>
          <w:szCs w:val="28"/>
        </w:rPr>
        <w:t>.</w:t>
      </w:r>
      <w:r w:rsidRPr="00A35D00">
        <w:rPr>
          <w:rFonts w:ascii="Palatino Linotype" w:hAnsi="Palatino Linotype" w:cs="Arial"/>
        </w:rPr>
        <w:t xml:space="preserve"> </w:t>
      </w:r>
      <w:r w:rsidR="00F34FAE" w:rsidRPr="00A35D00">
        <w:rPr>
          <w:rFonts w:ascii="Palatino Linotype" w:hAnsi="Palatino Linotype" w:cs="Arial"/>
        </w:rPr>
        <w:t xml:space="preserve">Así, de las constancias que obran en el expediente electrónico del SAIMEX, se pudo advertir que en la misma fecha de entrega del Informe Justificado (22 de octubre de 2021), </w:t>
      </w:r>
      <w:r w:rsidR="00E5700A" w:rsidRPr="00A35D00">
        <w:rPr>
          <w:rFonts w:ascii="Palatino Linotype" w:hAnsi="Palatino Linotype"/>
          <w:b/>
          <w:bCs/>
          <w:color w:val="000000"/>
        </w:rPr>
        <w:t>EL</w:t>
      </w:r>
      <w:r w:rsidR="00E5700A" w:rsidRPr="00A35D00">
        <w:rPr>
          <w:rFonts w:ascii="Palatino Linotype" w:hAnsi="Palatino Linotype"/>
          <w:color w:val="000000"/>
        </w:rPr>
        <w:t xml:space="preserve"> </w:t>
      </w:r>
      <w:r w:rsidR="00E5700A" w:rsidRPr="00A35D00">
        <w:rPr>
          <w:rFonts w:ascii="Palatino Linotype" w:hAnsi="Palatino Linotype"/>
          <w:b/>
          <w:bCs/>
          <w:color w:val="000000"/>
        </w:rPr>
        <w:t>RECURRENTE</w:t>
      </w:r>
      <w:r w:rsidR="00E5700A" w:rsidRPr="00A35D00">
        <w:rPr>
          <w:rFonts w:ascii="Palatino Linotype" w:hAnsi="Palatino Linotype"/>
          <w:color w:val="000000"/>
        </w:rPr>
        <w:t xml:space="preserve"> presentó su desistimiento respecto del presente recurso, tal y como muestra a continuación:</w:t>
      </w:r>
      <w:r w:rsidR="007E52FF" w:rsidRPr="00A35D00">
        <w:rPr>
          <w:rFonts w:ascii="Palatino Linotype" w:hAnsi="Palatino Linotype" w:cs="Arial"/>
          <w:noProof/>
          <w:lang w:eastAsia="es-MX"/>
        </w:rPr>
        <w:t xml:space="preserve"> </w:t>
      </w:r>
    </w:p>
    <w:p w14:paraId="70849C7F" w14:textId="5698EE61" w:rsidR="00F34FAE" w:rsidRPr="00A35D00" w:rsidRDefault="00291A9D" w:rsidP="00F34FAE">
      <w:pPr>
        <w:pStyle w:val="Prrafodelista"/>
        <w:spacing w:before="240" w:after="240" w:line="360" w:lineRule="auto"/>
        <w:ind w:left="0"/>
        <w:jc w:val="center"/>
        <w:rPr>
          <w:rFonts w:ascii="Palatino Linotype" w:hAnsi="Palatino Linotype" w:cs="Arial"/>
          <w:noProof/>
          <w:lang w:eastAsia="es-MX"/>
        </w:rPr>
      </w:pPr>
      <w:bookmarkStart w:id="0" w:name="_GoBack"/>
      <w:r>
        <w:rPr>
          <w:noProof/>
          <w:lang w:eastAsia="es-MX"/>
        </w:rPr>
        <w:drawing>
          <wp:inline distT="0" distB="0" distL="0" distR="0" wp14:anchorId="43FDD4CE" wp14:editId="3338DDDF">
            <wp:extent cx="5612130" cy="3599078"/>
            <wp:effectExtent l="0" t="0" r="762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5116" cy="3607406"/>
                    </a:xfrm>
                    <a:prstGeom prst="rect">
                      <a:avLst/>
                    </a:prstGeom>
                  </pic:spPr>
                </pic:pic>
              </a:graphicData>
            </a:graphic>
          </wp:inline>
        </w:drawing>
      </w:r>
      <w:bookmarkEnd w:id="0"/>
    </w:p>
    <w:p w14:paraId="5EF59F48" w14:textId="1F556493" w:rsidR="00F34FAE" w:rsidRPr="00A35D00" w:rsidRDefault="00F34FAE" w:rsidP="00F34FAE">
      <w:pPr>
        <w:pStyle w:val="Prrafodelista"/>
        <w:spacing w:before="240" w:after="240" w:line="360" w:lineRule="auto"/>
        <w:ind w:left="0"/>
        <w:jc w:val="center"/>
        <w:rPr>
          <w:rFonts w:ascii="Palatino Linotype" w:hAnsi="Palatino Linotype" w:cs="Arial"/>
        </w:rPr>
      </w:pPr>
    </w:p>
    <w:p w14:paraId="0EA41D26" w14:textId="4DDD4BE3" w:rsidR="00A31AF6" w:rsidRPr="00A35D00" w:rsidRDefault="00E5700A" w:rsidP="00542307">
      <w:pPr>
        <w:pStyle w:val="Prrafodelista"/>
        <w:spacing w:before="240" w:after="240" w:line="360" w:lineRule="auto"/>
        <w:ind w:left="0"/>
        <w:jc w:val="both"/>
        <w:rPr>
          <w:rFonts w:ascii="Palatino Linotype" w:hAnsi="Palatino Linotype"/>
        </w:rPr>
      </w:pPr>
      <w:r w:rsidRPr="00A35D00">
        <w:rPr>
          <w:rFonts w:ascii="Palatino Linotype" w:hAnsi="Palatino Linotype" w:cs="Arial"/>
          <w:b/>
          <w:sz w:val="28"/>
          <w:szCs w:val="28"/>
        </w:rPr>
        <w:t>IX.</w:t>
      </w:r>
      <w:r w:rsidRPr="00A35D00">
        <w:rPr>
          <w:rFonts w:ascii="Palatino Linotype" w:hAnsi="Palatino Linotype" w:cs="Arial"/>
        </w:rPr>
        <w:t xml:space="preserve"> </w:t>
      </w:r>
      <w:r w:rsidR="00EA3177" w:rsidRPr="00A35D00">
        <w:rPr>
          <w:rFonts w:ascii="Palatino Linotype" w:hAnsi="Palatino Linotype" w:cs="Arial"/>
        </w:rPr>
        <w:t xml:space="preserve">Una vez </w:t>
      </w:r>
      <w:r w:rsidR="00EA3177" w:rsidRPr="00A35D00">
        <w:rPr>
          <w:rFonts w:ascii="Palatino Linotype" w:hAnsi="Palatino Linotype" w:cs="Arial"/>
          <w:color w:val="000000" w:themeColor="text1"/>
        </w:rPr>
        <w:t>analizado</w:t>
      </w:r>
      <w:r w:rsidR="00EA3177" w:rsidRPr="00A35D00">
        <w:rPr>
          <w:rFonts w:ascii="Palatino Linotype" w:hAnsi="Palatino Linotype" w:cs="Arial"/>
        </w:rPr>
        <w:t xml:space="preserve"> el estado pro</w:t>
      </w:r>
      <w:r w:rsidR="000624D8" w:rsidRPr="00A35D00">
        <w:rPr>
          <w:rFonts w:ascii="Palatino Linotype" w:hAnsi="Palatino Linotype" w:cs="Arial"/>
        </w:rPr>
        <w:t>cesal que guarda</w:t>
      </w:r>
      <w:r w:rsidR="00EA3177" w:rsidRPr="00A35D00">
        <w:rPr>
          <w:rFonts w:ascii="Palatino Linotype" w:hAnsi="Palatino Linotype" w:cs="Arial"/>
        </w:rPr>
        <w:t xml:space="preserve"> el expediente, </w:t>
      </w:r>
      <w:r w:rsidR="00BE222C" w:rsidRPr="00A35D00">
        <w:rPr>
          <w:rFonts w:ascii="Palatino Linotype" w:hAnsi="Palatino Linotype" w:cs="Arial"/>
        </w:rPr>
        <w:t xml:space="preserve">el </w:t>
      </w:r>
      <w:r w:rsidR="007E52FF" w:rsidRPr="00A35D00">
        <w:rPr>
          <w:rFonts w:ascii="Palatino Linotype" w:hAnsi="Palatino Linotype" w:cs="Arial"/>
        </w:rPr>
        <w:t xml:space="preserve">tres </w:t>
      </w:r>
      <w:r w:rsidR="002A4368" w:rsidRPr="00A35D00">
        <w:rPr>
          <w:rFonts w:ascii="Palatino Linotype" w:hAnsi="Palatino Linotype" w:cs="Arial"/>
        </w:rPr>
        <w:t xml:space="preserve">de </w:t>
      </w:r>
      <w:r w:rsidR="007E52FF" w:rsidRPr="00A35D00">
        <w:rPr>
          <w:rFonts w:ascii="Palatino Linotype" w:hAnsi="Palatino Linotype" w:cs="Arial"/>
        </w:rPr>
        <w:t xml:space="preserve">noviembre </w:t>
      </w:r>
      <w:r w:rsidR="00EA3177" w:rsidRPr="00A35D00">
        <w:rPr>
          <w:rFonts w:ascii="Palatino Linotype" w:hAnsi="Palatino Linotype" w:cs="Arial"/>
        </w:rPr>
        <w:t>de dos mil veintiuno, la Comisionada</w:t>
      </w:r>
      <w:r w:rsidR="00F34FAE" w:rsidRPr="00A35D00">
        <w:rPr>
          <w:rFonts w:ascii="Palatino Linotype" w:hAnsi="Palatino Linotype" w:cs="Arial"/>
        </w:rPr>
        <w:t xml:space="preserve"> Ponente </w:t>
      </w:r>
      <w:r w:rsidR="00EA3177" w:rsidRPr="00A35D00">
        <w:rPr>
          <w:rFonts w:ascii="Palatino Linotype" w:hAnsi="Palatino Linotype" w:cs="Arial"/>
        </w:rPr>
        <w:t xml:space="preserve">acordó el cierre de instrucción; así </w:t>
      </w:r>
      <w:r w:rsidR="00EA3177" w:rsidRPr="00A35D00">
        <w:rPr>
          <w:rFonts w:ascii="Palatino Linotype" w:hAnsi="Palatino Linotype" w:cs="Arial"/>
          <w:lang w:val="es-ES_tradnl"/>
        </w:rPr>
        <w:t>como,</w:t>
      </w:r>
      <w:r w:rsidR="00EA3177" w:rsidRPr="00A35D00">
        <w:rPr>
          <w:rFonts w:ascii="Palatino Linotype" w:hAnsi="Palatino Linotype" w:cs="Arial"/>
        </w:rPr>
        <w:t xml:space="preserve"> la remisión del mismo a efecto </w:t>
      </w:r>
      <w:r w:rsidR="00EA3177" w:rsidRPr="00A35D00">
        <w:rPr>
          <w:rFonts w:ascii="Palatino Linotype" w:hAnsi="Palatino Linotype" w:cs="Arial"/>
          <w:lang w:val="es-ES_tradnl"/>
        </w:rPr>
        <w:t>de</w:t>
      </w:r>
      <w:r w:rsidR="00EA3177" w:rsidRPr="00A35D00">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002A4368" w:rsidRPr="00A35D00">
        <w:rPr>
          <w:rFonts w:ascii="Palatino Linotype" w:hAnsi="Palatino Linotype"/>
        </w:rPr>
        <w:t xml:space="preserve">; y, </w:t>
      </w:r>
    </w:p>
    <w:p w14:paraId="61F714E9" w14:textId="64CF0DAE" w:rsidR="00EA3177" w:rsidRPr="00A35D00" w:rsidRDefault="00EA3177" w:rsidP="00542307">
      <w:pPr>
        <w:pStyle w:val="Prrafodelista"/>
        <w:spacing w:before="240" w:after="240" w:line="360" w:lineRule="auto"/>
        <w:ind w:left="0"/>
        <w:jc w:val="center"/>
        <w:rPr>
          <w:rFonts w:ascii="Palatino Linotype" w:hAnsi="Palatino Linotype"/>
        </w:rPr>
      </w:pPr>
      <w:r w:rsidRPr="00A35D00">
        <w:rPr>
          <w:rFonts w:ascii="Palatino Linotype" w:hAnsi="Palatino Linotype"/>
          <w:b/>
          <w:bCs/>
          <w:spacing w:val="60"/>
          <w:sz w:val="28"/>
        </w:rPr>
        <w:t>CONSIDERANDO</w:t>
      </w:r>
    </w:p>
    <w:p w14:paraId="28DC2220" w14:textId="77777777" w:rsidR="00DC362D" w:rsidRPr="00A35D00" w:rsidRDefault="00EA3177" w:rsidP="00EA3177">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A35D00">
        <w:rPr>
          <w:rFonts w:ascii="Palatino Linotype" w:hAnsi="Palatino Linotype"/>
          <w:b/>
          <w:sz w:val="28"/>
          <w:szCs w:val="28"/>
        </w:rPr>
        <w:t>PRIMERO</w:t>
      </w:r>
      <w:r w:rsidRPr="00A35D00">
        <w:rPr>
          <w:rFonts w:ascii="Palatino Linotype" w:hAnsi="Palatino Linotype"/>
          <w:b/>
        </w:rPr>
        <w:t>. Competencia</w:t>
      </w:r>
      <w:r w:rsidRPr="00A35D00">
        <w:rPr>
          <w:rFonts w:ascii="Palatino Linotype" w:hAnsi="Palatino Linotype"/>
        </w:rPr>
        <w:t>.</w:t>
      </w:r>
      <w:r w:rsidRPr="00A35D00">
        <w:rPr>
          <w:rFonts w:ascii="Palatino Linotype" w:hAnsi="Palatino Linotype"/>
          <w:b/>
        </w:rPr>
        <w:t xml:space="preserve"> </w:t>
      </w:r>
    </w:p>
    <w:p w14:paraId="5EEA210F" w14:textId="2015F580" w:rsidR="00EA3177" w:rsidRPr="00A35D00" w:rsidRDefault="00EA3177" w:rsidP="00EA3177">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A35D00">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0577FB1B" w14:textId="77777777" w:rsidR="00DC362D" w:rsidRPr="00A35D00" w:rsidRDefault="00EA3177" w:rsidP="00EA3177">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A35D00">
        <w:rPr>
          <w:rFonts w:ascii="Palatino Linotype" w:hAnsi="Palatino Linotype" w:cs="Arial"/>
          <w:b/>
          <w:sz w:val="28"/>
          <w:szCs w:val="28"/>
        </w:rPr>
        <w:t>SEGUNDO</w:t>
      </w:r>
      <w:r w:rsidRPr="00A35D00">
        <w:rPr>
          <w:rFonts w:ascii="Palatino Linotype" w:hAnsi="Palatino Linotype" w:cs="Arial"/>
          <w:b/>
        </w:rPr>
        <w:t>. Interés.</w:t>
      </w:r>
      <w:r w:rsidRPr="00A35D00">
        <w:rPr>
          <w:rFonts w:ascii="Palatino Linotype" w:hAnsi="Palatino Linotype" w:cs="Arial"/>
        </w:rPr>
        <w:t xml:space="preserve"> </w:t>
      </w:r>
    </w:p>
    <w:p w14:paraId="2E946E5F" w14:textId="66E8F8D9" w:rsidR="00EA3177" w:rsidRPr="00A35D00" w:rsidRDefault="00EA3177" w:rsidP="00EA3177">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snapToGrid w:val="0"/>
        </w:rPr>
      </w:pPr>
      <w:r w:rsidRPr="00A35D00">
        <w:rPr>
          <w:rFonts w:ascii="Palatino Linotype" w:hAnsi="Palatino Linotype" w:cs="Arial"/>
        </w:rPr>
        <w:t xml:space="preserve">El </w:t>
      </w:r>
      <w:r w:rsidRPr="00A35D00">
        <w:rPr>
          <w:rFonts w:ascii="Palatino Linotype" w:hAnsi="Palatino Linotype"/>
        </w:rPr>
        <w:t>recurso</w:t>
      </w:r>
      <w:r w:rsidRPr="00A35D00">
        <w:rPr>
          <w:rFonts w:ascii="Palatino Linotype" w:hAnsi="Palatino Linotype" w:cs="Arial"/>
        </w:rPr>
        <w:t xml:space="preserve"> de revisión fue </w:t>
      </w:r>
      <w:r w:rsidRPr="00A35D00">
        <w:rPr>
          <w:rFonts w:ascii="Palatino Linotype" w:hAnsi="Palatino Linotype"/>
        </w:rPr>
        <w:t>interpuesto</w:t>
      </w:r>
      <w:r w:rsidRPr="00A35D00">
        <w:rPr>
          <w:rFonts w:ascii="Palatino Linotype" w:hAnsi="Palatino Linotype" w:cs="Arial"/>
        </w:rPr>
        <w:t xml:space="preserve"> por parte legítima en atención a que fue </w:t>
      </w:r>
      <w:r w:rsidRPr="00A35D00">
        <w:rPr>
          <w:rFonts w:ascii="Palatino Linotype" w:hAnsi="Palatino Linotype"/>
        </w:rPr>
        <w:lastRenderedPageBreak/>
        <w:t>presentado</w:t>
      </w:r>
      <w:r w:rsidRPr="00A35D00">
        <w:rPr>
          <w:rFonts w:ascii="Palatino Linotype" w:hAnsi="Palatino Linotype" w:cs="Arial"/>
        </w:rPr>
        <w:t xml:space="preserve"> por </w:t>
      </w:r>
      <w:r w:rsidR="00C9153D" w:rsidRPr="00A35D00">
        <w:rPr>
          <w:rFonts w:ascii="Palatino Linotype" w:hAnsi="Palatino Linotype" w:cs="Arial"/>
          <w:b/>
        </w:rPr>
        <w:t>EL</w:t>
      </w:r>
      <w:r w:rsidRPr="00A35D00">
        <w:rPr>
          <w:rFonts w:ascii="Palatino Linotype" w:hAnsi="Palatino Linotype" w:cs="Arial"/>
          <w:b/>
        </w:rPr>
        <w:t xml:space="preserve"> RECURRENTE</w:t>
      </w:r>
      <w:r w:rsidRPr="00A35D00">
        <w:rPr>
          <w:rFonts w:ascii="Palatino Linotype" w:hAnsi="Palatino Linotype" w:cs="Arial"/>
          <w:snapToGrid w:val="0"/>
        </w:rPr>
        <w:t xml:space="preserve">, </w:t>
      </w:r>
      <w:r w:rsidRPr="00A35D00">
        <w:rPr>
          <w:rFonts w:ascii="Palatino Linotype" w:hAnsi="Palatino Linotype" w:cs="Arial"/>
        </w:rPr>
        <w:t>quien</w:t>
      </w:r>
      <w:r w:rsidRPr="00A35D00">
        <w:rPr>
          <w:rFonts w:ascii="Palatino Linotype" w:hAnsi="Palatino Linotype" w:cs="Arial"/>
          <w:snapToGrid w:val="0"/>
        </w:rPr>
        <w:t xml:space="preserve"> </w:t>
      </w:r>
      <w:r w:rsidRPr="00A35D00">
        <w:rPr>
          <w:rFonts w:ascii="Palatino Linotype" w:hAnsi="Palatino Linotype"/>
        </w:rPr>
        <w:t>formuló</w:t>
      </w:r>
      <w:r w:rsidRPr="00A35D00">
        <w:rPr>
          <w:rFonts w:ascii="Palatino Linotype" w:hAnsi="Palatino Linotype" w:cs="Arial"/>
          <w:snapToGrid w:val="0"/>
        </w:rPr>
        <w:t xml:space="preserve"> la </w:t>
      </w:r>
      <w:r w:rsidRPr="00A35D00">
        <w:rPr>
          <w:rFonts w:ascii="Palatino Linotype" w:hAnsi="Palatino Linotype" w:cs="Arial"/>
        </w:rPr>
        <w:t>solicitud</w:t>
      </w:r>
      <w:r w:rsidRPr="00A35D00">
        <w:rPr>
          <w:rFonts w:ascii="Palatino Linotype" w:hAnsi="Palatino Linotype" w:cs="Arial"/>
          <w:snapToGrid w:val="0"/>
        </w:rPr>
        <w:t xml:space="preserve"> de información pública.</w:t>
      </w:r>
    </w:p>
    <w:p w14:paraId="129F85F6" w14:textId="77777777" w:rsidR="00DC362D" w:rsidRPr="00A35D00" w:rsidRDefault="00EA3177" w:rsidP="00DC362D">
      <w:pPr>
        <w:pStyle w:val="NormalWeb"/>
        <w:spacing w:before="0" w:beforeAutospacing="0" w:after="0" w:afterAutospacing="0" w:line="360" w:lineRule="auto"/>
        <w:ind w:left="-57"/>
        <w:jc w:val="both"/>
        <w:rPr>
          <w:rFonts w:ascii="Palatino Linotype" w:hAnsi="Palatino Linotype" w:cs="Arial"/>
          <w:b/>
        </w:rPr>
      </w:pPr>
      <w:r w:rsidRPr="00A35D00">
        <w:rPr>
          <w:rFonts w:ascii="Palatino Linotype" w:hAnsi="Palatino Linotype" w:cs="Arial"/>
          <w:b/>
          <w:sz w:val="28"/>
          <w:szCs w:val="28"/>
        </w:rPr>
        <w:t>TERCERO</w:t>
      </w:r>
      <w:r w:rsidRPr="00A35D00">
        <w:rPr>
          <w:rFonts w:ascii="Palatino Linotype" w:hAnsi="Palatino Linotype" w:cs="Arial"/>
          <w:b/>
        </w:rPr>
        <w:t>. Oportunidad.</w:t>
      </w:r>
    </w:p>
    <w:p w14:paraId="08CF6ED7" w14:textId="77777777" w:rsidR="00F34FAE" w:rsidRPr="00A35D00" w:rsidRDefault="00F34FAE" w:rsidP="00F34FA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b/>
        </w:rPr>
      </w:pPr>
      <w:r w:rsidRPr="00A35D00">
        <w:rPr>
          <w:rFonts w:ascii="Palatino Linotype" w:hAnsi="Palatino Linotype" w:cs="Arial"/>
        </w:rPr>
        <w:t xml:space="preserve">El recurso de revisión fue interpuesto dentro del plazo de quince días hábiles contados a partir del día siguiente a aquel en que </w:t>
      </w:r>
      <w:r w:rsidRPr="00A35D00">
        <w:rPr>
          <w:rFonts w:ascii="Palatino Linotype" w:hAnsi="Palatino Linotype" w:cs="Arial"/>
          <w:b/>
        </w:rPr>
        <w:t xml:space="preserve">EL RECURRENTE </w:t>
      </w:r>
      <w:r w:rsidRPr="00A35D00">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8DBEB2D" w14:textId="77777777" w:rsidR="00F34FAE" w:rsidRPr="00A35D00" w:rsidRDefault="00F34FAE" w:rsidP="00F34FAE">
      <w:pPr>
        <w:ind w:left="709" w:right="757"/>
        <w:jc w:val="both"/>
        <w:rPr>
          <w:rFonts w:ascii="Palatino Linotype" w:hAnsi="Palatino Linotype" w:cs="Arial"/>
          <w:i/>
          <w:sz w:val="22"/>
        </w:rPr>
      </w:pPr>
      <w:r w:rsidRPr="00A35D00">
        <w:rPr>
          <w:rFonts w:ascii="Palatino Linotype" w:hAnsi="Palatino Linotype" w:cs="Arial"/>
          <w:i/>
          <w:sz w:val="22"/>
        </w:rPr>
        <w:t>“</w:t>
      </w:r>
      <w:r w:rsidRPr="00A35D00">
        <w:rPr>
          <w:rFonts w:ascii="Palatino Linotype" w:hAnsi="Palatino Linotype" w:cs="Arial"/>
          <w:b/>
          <w:i/>
          <w:sz w:val="22"/>
        </w:rPr>
        <w:t>Artículo 178.</w:t>
      </w:r>
      <w:r w:rsidRPr="00A35D00">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7D9D23F" w14:textId="77777777" w:rsidR="00F34FAE" w:rsidRPr="00A35D00" w:rsidRDefault="00F34FAE" w:rsidP="00F34FAE">
      <w:pPr>
        <w:ind w:left="709" w:right="757"/>
        <w:jc w:val="both"/>
        <w:rPr>
          <w:rFonts w:ascii="Palatino Linotype" w:hAnsi="Palatino Linotype" w:cs="Arial"/>
          <w:i/>
          <w:sz w:val="22"/>
        </w:rPr>
      </w:pPr>
      <w:r w:rsidRPr="00A35D00">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A639DDF" w14:textId="77777777" w:rsidR="00F34FAE" w:rsidRPr="00A35D00" w:rsidRDefault="00F34FAE" w:rsidP="00F34FAE">
      <w:pPr>
        <w:ind w:left="709" w:right="757"/>
        <w:jc w:val="both"/>
        <w:rPr>
          <w:rFonts w:ascii="Palatino Linotype" w:hAnsi="Palatino Linotype" w:cs="Arial"/>
          <w:i/>
          <w:sz w:val="22"/>
        </w:rPr>
      </w:pPr>
      <w:r w:rsidRPr="00A35D00">
        <w:rPr>
          <w:rFonts w:ascii="Palatino Linotype" w:hAnsi="Palatino Linotype" w:cs="Arial"/>
          <w:i/>
          <w:sz w:val="22"/>
        </w:rPr>
        <w:t xml:space="preserve">En el caso de que se interponga ante la Unidad de Transparencia, ésta deberá remitir el recurso de revisión al Instituto a más tardar al día </w:t>
      </w:r>
      <w:r w:rsidRPr="00A35D00">
        <w:rPr>
          <w:rFonts w:ascii="Palatino Linotype" w:hAnsi="Palatino Linotype" w:cs="Arial"/>
          <w:i/>
          <w:sz w:val="22"/>
          <w:lang w:eastAsia="es-MX"/>
        </w:rPr>
        <w:t>siguiente</w:t>
      </w:r>
      <w:r w:rsidRPr="00A35D00">
        <w:rPr>
          <w:rFonts w:ascii="Palatino Linotype" w:hAnsi="Palatino Linotype" w:cs="Arial"/>
          <w:i/>
          <w:sz w:val="22"/>
        </w:rPr>
        <w:t xml:space="preserve"> de haberlo recibido.”</w:t>
      </w:r>
    </w:p>
    <w:p w14:paraId="2AAC2577" w14:textId="77777777" w:rsidR="00F34FAE" w:rsidRPr="00A35D00" w:rsidRDefault="00F34FAE" w:rsidP="00F34FAE">
      <w:pPr>
        <w:spacing w:line="360" w:lineRule="auto"/>
        <w:ind w:left="709" w:right="709"/>
        <w:jc w:val="both"/>
        <w:rPr>
          <w:rFonts w:ascii="Palatino Linotype" w:hAnsi="Palatino Linotype" w:cs="Arial"/>
          <w:i/>
        </w:rPr>
      </w:pPr>
    </w:p>
    <w:p w14:paraId="29261B93" w14:textId="0333858F" w:rsidR="00F34FAE" w:rsidRPr="00A35D00" w:rsidRDefault="00F34FAE" w:rsidP="00F34FAE">
      <w:pPr>
        <w:spacing w:line="360" w:lineRule="auto"/>
        <w:jc w:val="both"/>
        <w:rPr>
          <w:rFonts w:ascii="Palatino Linotype" w:hAnsi="Palatino Linotype" w:cs="Arial"/>
        </w:rPr>
      </w:pPr>
      <w:r w:rsidRPr="00A35D00">
        <w:rPr>
          <w:rFonts w:ascii="Palatino Linotype" w:hAnsi="Palatino Linotype" w:cs="Arial"/>
        </w:rPr>
        <w:t xml:space="preserve">En esa tesitura, atendiendo a que </w:t>
      </w:r>
      <w:r w:rsidRPr="00A35D00">
        <w:rPr>
          <w:rFonts w:ascii="Palatino Linotype" w:hAnsi="Palatino Linotype" w:cs="Arial"/>
          <w:b/>
        </w:rPr>
        <w:t>EL SUJETO OBLIGADO</w:t>
      </w:r>
      <w:r w:rsidRPr="00A35D00">
        <w:rPr>
          <w:rFonts w:ascii="Palatino Linotype" w:hAnsi="Palatino Linotype" w:cs="Arial"/>
        </w:rPr>
        <w:t xml:space="preserve"> notificó la respuesta a la solicitud de información pública el día</w:t>
      </w:r>
      <w:r w:rsidRPr="00A35D00">
        <w:rPr>
          <w:rFonts w:ascii="Palatino Linotype" w:hAnsi="Palatino Linotype" w:cs="Arial"/>
          <w:b/>
        </w:rPr>
        <w:t xml:space="preserve"> seis de octubre de dos mil veintiuno</w:t>
      </w:r>
      <w:r w:rsidRPr="00A35D00">
        <w:rPr>
          <w:rFonts w:ascii="Palatino Linotype" w:hAnsi="Palatino Linotype" w:cs="Arial"/>
        </w:rPr>
        <w:t xml:space="preserve">; por lo que, el plazo que prevé el artículo 178 de la Ley de Transparencia y Acceso a la Información Pública del Estado de México y Municipios es de quince días hábiles para que </w:t>
      </w:r>
      <w:r w:rsidRPr="00A35D00">
        <w:rPr>
          <w:rFonts w:ascii="Palatino Linotype" w:hAnsi="Palatino Linotype" w:cs="Arial"/>
          <w:b/>
        </w:rPr>
        <w:t xml:space="preserve">EL RECURRENTE </w:t>
      </w:r>
      <w:r w:rsidRPr="00A35D00">
        <w:rPr>
          <w:rFonts w:ascii="Palatino Linotype" w:hAnsi="Palatino Linotype" w:cs="Arial"/>
        </w:rPr>
        <w:t xml:space="preserve">presente el recurso de revisión, plazo que transcurrió del </w:t>
      </w:r>
      <w:r w:rsidR="002332FD" w:rsidRPr="00A35D00">
        <w:rPr>
          <w:rFonts w:ascii="Palatino Linotype" w:hAnsi="Palatino Linotype" w:cs="Arial"/>
          <w:b/>
        </w:rPr>
        <w:t xml:space="preserve">siete al veintisiete de octubre de </w:t>
      </w:r>
      <w:r w:rsidRPr="00A35D00">
        <w:rPr>
          <w:rFonts w:ascii="Palatino Linotype" w:hAnsi="Palatino Linotype" w:cs="Arial"/>
          <w:b/>
        </w:rPr>
        <w:t>dos mil veintiuno</w:t>
      </w:r>
      <w:r w:rsidRPr="00A35D00">
        <w:rPr>
          <w:rFonts w:ascii="Palatino Linotype" w:hAnsi="Palatino Linotype" w:cs="Arial"/>
        </w:rPr>
        <w:t xml:space="preserve">, sin contemplar en el cómputo los días </w:t>
      </w:r>
      <w:r w:rsidR="002332FD" w:rsidRPr="00A35D00">
        <w:rPr>
          <w:rFonts w:ascii="Palatino Linotype" w:hAnsi="Palatino Linotype" w:cs="Arial"/>
        </w:rPr>
        <w:t xml:space="preserve">nueve, diez, dieciséis, diecisiete, veintitrés y veinticuatro de </w:t>
      </w:r>
      <w:r w:rsidR="002332FD" w:rsidRPr="00A35D00">
        <w:rPr>
          <w:rFonts w:ascii="Palatino Linotype" w:hAnsi="Palatino Linotype" w:cs="Arial"/>
        </w:rPr>
        <w:lastRenderedPageBreak/>
        <w:t xml:space="preserve">octubre </w:t>
      </w:r>
      <w:r w:rsidRPr="00A35D00">
        <w:rPr>
          <w:rFonts w:ascii="Palatino Linotype" w:hAnsi="Palatino Linotype" w:cs="Arial"/>
        </w:rPr>
        <w:t>de la anualidad, por corresponder a sábados y domingos, considerados como días inhábiles, en términos del artículo 3, fracción X de la Ley de Transparencia y Acceso a la Información Pública del Estado de México y Municipios; así como, de conformidad con el Calendario Oficial en Materia de Transparencia, Acceso a la Información Pública y Protección de Datos Personales para el año dos mil veintiuno y enero de dos mil veintidós, aprobado por el Pleno de este Instituto, el dieciséis de diciembre de dos mil veinte.</w:t>
      </w:r>
    </w:p>
    <w:p w14:paraId="35FCABF9" w14:textId="232BAF12" w:rsidR="00F34FAE" w:rsidRPr="00A35D00" w:rsidRDefault="00F34FAE" w:rsidP="00F34FAE">
      <w:pPr>
        <w:spacing w:before="240" w:after="100" w:afterAutospacing="1" w:line="360" w:lineRule="auto"/>
        <w:jc w:val="both"/>
        <w:rPr>
          <w:rFonts w:ascii="Palatino Linotype" w:hAnsi="Palatino Linotype" w:cs="Arial"/>
        </w:rPr>
      </w:pPr>
      <w:r w:rsidRPr="00A35D00">
        <w:rPr>
          <w:rFonts w:ascii="Palatino Linotype" w:hAnsi="Palatino Linotype" w:cs="Arial"/>
        </w:rPr>
        <w:t>En ese tenor, si el recurso de revisión que nos ocupa, se interpuso el día</w:t>
      </w:r>
      <w:r w:rsidRPr="00A35D00">
        <w:rPr>
          <w:rFonts w:ascii="Palatino Linotype" w:hAnsi="Palatino Linotype" w:cs="Arial"/>
          <w:b/>
        </w:rPr>
        <w:t xml:space="preserve"> </w:t>
      </w:r>
      <w:r w:rsidR="002332FD" w:rsidRPr="00A35D00">
        <w:rPr>
          <w:rFonts w:ascii="Palatino Linotype" w:hAnsi="Palatino Linotype" w:cs="Arial"/>
          <w:b/>
          <w:u w:val="single"/>
        </w:rPr>
        <w:t xml:space="preserve">ocho de octubre </w:t>
      </w:r>
      <w:r w:rsidRPr="00A35D00">
        <w:rPr>
          <w:rFonts w:ascii="Palatino Linotype" w:hAnsi="Palatino Linotype" w:cs="Arial"/>
          <w:b/>
          <w:u w:val="single"/>
        </w:rPr>
        <w:t>de dos mil veintiuno</w:t>
      </w:r>
      <w:r w:rsidRPr="00A35D00">
        <w:rPr>
          <w:rFonts w:ascii="Palatino Linotype" w:hAnsi="Palatino Linotype" w:cs="Arial"/>
        </w:rPr>
        <w:t>, de acuerdo al análisis señalado éste se encuentra dentro de los márgenes temporales previstos en el artículo 178 de la Ley de la materia y, por tanto, su interposición se considera oportuna.</w:t>
      </w:r>
    </w:p>
    <w:p w14:paraId="395E3391" w14:textId="77777777" w:rsidR="00F34FAE" w:rsidRPr="00A35D00" w:rsidRDefault="00F34FAE" w:rsidP="00F34FAE">
      <w:pPr>
        <w:widowControl w:val="0"/>
        <w:autoSpaceDE w:val="0"/>
        <w:autoSpaceDN w:val="0"/>
        <w:adjustRightInd w:val="0"/>
        <w:spacing w:before="100" w:beforeAutospacing="1" w:after="100" w:afterAutospacing="1" w:line="360" w:lineRule="auto"/>
        <w:jc w:val="both"/>
        <w:rPr>
          <w:rFonts w:ascii="Palatino Linotype" w:hAnsi="Palatino Linotype"/>
          <w:b/>
        </w:rPr>
      </w:pPr>
      <w:r w:rsidRPr="00A35D00">
        <w:rPr>
          <w:rFonts w:ascii="Palatino Linotype" w:hAnsi="Palatino Linotype" w:cs="Arial"/>
          <w:b/>
          <w:sz w:val="28"/>
          <w:szCs w:val="28"/>
        </w:rPr>
        <w:t>CUARTO</w:t>
      </w:r>
      <w:r w:rsidRPr="00A35D00">
        <w:rPr>
          <w:rFonts w:ascii="Palatino Linotype" w:hAnsi="Palatino Linotype"/>
          <w:b/>
          <w:sz w:val="28"/>
          <w:szCs w:val="28"/>
        </w:rPr>
        <w:t>.</w:t>
      </w:r>
      <w:r w:rsidRPr="00A35D00">
        <w:rPr>
          <w:rFonts w:ascii="Palatino Linotype" w:hAnsi="Palatino Linotype"/>
          <w:b/>
        </w:rPr>
        <w:t xml:space="preserve"> Procedibilidad. </w:t>
      </w:r>
    </w:p>
    <w:p w14:paraId="6DED1FC9" w14:textId="77777777" w:rsidR="00F34FAE" w:rsidRPr="00A35D00" w:rsidRDefault="00F34FAE" w:rsidP="00F34FAE">
      <w:pPr>
        <w:widowControl w:val="0"/>
        <w:autoSpaceDE w:val="0"/>
        <w:autoSpaceDN w:val="0"/>
        <w:adjustRightInd w:val="0"/>
        <w:spacing w:before="100" w:beforeAutospacing="1" w:after="100" w:afterAutospacing="1" w:line="360" w:lineRule="auto"/>
        <w:jc w:val="both"/>
        <w:rPr>
          <w:rFonts w:ascii="Palatino Linotype" w:hAnsi="Palatino Linotype"/>
        </w:rPr>
      </w:pPr>
      <w:r w:rsidRPr="00A35D00">
        <w:rPr>
          <w:rFonts w:ascii="Palatino Linotype" w:hAnsi="Palatino Linotype" w:cs="Arial"/>
        </w:rPr>
        <w:t xml:space="preserve">De las constancias que obran en el expediente electrónico del SAIMEX, se advierte que resulta procedente la interposición del recurso y se concluye la acreditación </w:t>
      </w:r>
      <w:r w:rsidRPr="00A35D00">
        <w:rPr>
          <w:rFonts w:ascii="Palatino Linotype" w:hAnsi="Palatino Linotype" w:cs="Arial"/>
          <w:snapToGrid w:val="0"/>
        </w:rPr>
        <w:t>plena</w:t>
      </w:r>
      <w:r w:rsidRPr="00A35D00">
        <w:rPr>
          <w:rFonts w:ascii="Palatino Linotype" w:hAnsi="Palatino Linotype" w:cs="Arial"/>
        </w:rPr>
        <w:t xml:space="preserve"> de todos y cada uno de los elementos formales exigidos por el artículo 180 de la Ley de Transparencia y Acceso a la Información</w:t>
      </w:r>
      <w:r w:rsidRPr="00A35D00">
        <w:rPr>
          <w:rFonts w:ascii="Palatino Linotype" w:hAnsi="Palatino Linotype"/>
        </w:rPr>
        <w:t xml:space="preserve"> Pública del Estado de México y Municipios, en atención a que fue presentado mediante el formato visible en el Sistema de Acceso a la Información Mexiquense.</w:t>
      </w:r>
    </w:p>
    <w:p w14:paraId="2DBF4BED" w14:textId="77777777" w:rsidR="00DC362D" w:rsidRPr="00A35D00" w:rsidRDefault="00247F83" w:rsidP="005E2C8F">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lang w:val="es-ES" w:eastAsia="es-MX"/>
        </w:rPr>
      </w:pPr>
      <w:r w:rsidRPr="00A35D00">
        <w:rPr>
          <w:rFonts w:ascii="Palatino Linotype" w:hAnsi="Palatino Linotype" w:cs="Arial"/>
          <w:b/>
          <w:sz w:val="28"/>
          <w:szCs w:val="28"/>
        </w:rPr>
        <w:t>QUINTO.</w:t>
      </w:r>
      <w:r w:rsidR="00E5700A" w:rsidRPr="00A35D00">
        <w:rPr>
          <w:rFonts w:ascii="Palatino Linotype" w:hAnsi="Palatino Linotype" w:cs="Arial"/>
          <w:b/>
        </w:rPr>
        <w:t xml:space="preserve"> Análisis de la causal de sobreseimiento</w:t>
      </w:r>
      <w:r w:rsidRPr="00A35D00">
        <w:rPr>
          <w:rFonts w:ascii="Palatino Linotype" w:hAnsi="Palatino Linotype"/>
          <w:b/>
        </w:rPr>
        <w:t>.</w:t>
      </w:r>
      <w:r w:rsidR="008A0022" w:rsidRPr="00A35D00">
        <w:rPr>
          <w:rFonts w:ascii="Palatino Linotype" w:hAnsi="Palatino Linotype" w:cs="Arial"/>
          <w:lang w:val="es-ES" w:eastAsia="es-MX"/>
        </w:rPr>
        <w:t xml:space="preserve"> </w:t>
      </w:r>
    </w:p>
    <w:p w14:paraId="7D480E6C" w14:textId="0E701A62" w:rsidR="002332FD" w:rsidRPr="00A35D00" w:rsidRDefault="007B10F1" w:rsidP="005E2C8F">
      <w:pPr>
        <w:tabs>
          <w:tab w:val="left" w:pos="2422"/>
        </w:tabs>
        <w:autoSpaceDE w:val="0"/>
        <w:autoSpaceDN w:val="0"/>
        <w:adjustRightInd w:val="0"/>
        <w:spacing w:before="100" w:beforeAutospacing="1" w:after="100" w:afterAutospacing="1" w:line="360" w:lineRule="auto"/>
        <w:ind w:right="49"/>
        <w:jc w:val="both"/>
        <w:rPr>
          <w:rFonts w:ascii="Palatino Linotype" w:eastAsiaTheme="minorEastAsia" w:hAnsi="Palatino Linotype" w:cs="Arial"/>
          <w:lang w:val="es-ES_tradnl"/>
        </w:rPr>
      </w:pPr>
      <w:r w:rsidRPr="00A35D00">
        <w:rPr>
          <w:rFonts w:ascii="Palatino Linotype" w:hAnsi="Palatino Linotype" w:cs="Arial"/>
          <w:color w:val="000000" w:themeColor="text1"/>
        </w:rPr>
        <w:t xml:space="preserve">Una vez determinada la vía sobre la que versará el </w:t>
      </w:r>
      <w:r w:rsidRPr="00A35D00">
        <w:rPr>
          <w:rFonts w:ascii="Palatino Linotype" w:hAnsi="Palatino Linotype" w:cs="Arial"/>
        </w:rPr>
        <w:t>presente</w:t>
      </w:r>
      <w:r w:rsidRPr="00A35D00">
        <w:rPr>
          <w:rFonts w:ascii="Palatino Linotype" w:hAnsi="Palatino Linotype" w:cs="Arial"/>
          <w:color w:val="000000" w:themeColor="text1"/>
        </w:rPr>
        <w:t xml:space="preserve"> recurso y previa revisión del expediente electrónico, se advierte que </w:t>
      </w:r>
      <w:r w:rsidR="00C9153D" w:rsidRPr="00A35D00">
        <w:rPr>
          <w:rFonts w:ascii="Palatino Linotype" w:hAnsi="Palatino Linotype"/>
          <w:b/>
          <w:color w:val="000000"/>
        </w:rPr>
        <w:t>EL</w:t>
      </w:r>
      <w:r w:rsidR="002D322E" w:rsidRPr="00A35D00">
        <w:rPr>
          <w:rFonts w:ascii="Palatino Linotype" w:hAnsi="Palatino Linotype"/>
          <w:b/>
          <w:color w:val="000000"/>
        </w:rPr>
        <w:t xml:space="preserve"> </w:t>
      </w:r>
      <w:r w:rsidR="00F36D35" w:rsidRPr="00A35D00">
        <w:rPr>
          <w:rFonts w:ascii="Palatino Linotype" w:hAnsi="Palatino Linotype"/>
          <w:b/>
          <w:color w:val="000000"/>
        </w:rPr>
        <w:t>RECURRENTE</w:t>
      </w:r>
      <w:r w:rsidR="002D322E" w:rsidRPr="00A35D00">
        <w:rPr>
          <w:rFonts w:ascii="Palatino Linotype" w:hAnsi="Palatino Linotype"/>
          <w:b/>
          <w:color w:val="000000"/>
        </w:rPr>
        <w:t xml:space="preserve"> </w:t>
      </w:r>
      <w:r w:rsidR="00A55ACE" w:rsidRPr="00A35D00">
        <w:rPr>
          <w:rFonts w:ascii="Palatino Linotype" w:eastAsiaTheme="minorEastAsia" w:hAnsi="Palatino Linotype" w:cs="Arial"/>
          <w:lang w:val="es-ES_tradnl"/>
        </w:rPr>
        <w:t>solicitó</w:t>
      </w:r>
      <w:r w:rsidR="000E67D4" w:rsidRPr="00A35D00">
        <w:rPr>
          <w:rFonts w:ascii="Palatino Linotype" w:eastAsiaTheme="minorEastAsia" w:hAnsi="Palatino Linotype" w:cs="Arial"/>
          <w:lang w:val="es-ES_tradnl"/>
        </w:rPr>
        <w:t xml:space="preserve"> </w:t>
      </w:r>
      <w:r w:rsidR="00F36D35" w:rsidRPr="00A35D00">
        <w:rPr>
          <w:rFonts w:ascii="Palatino Linotype" w:eastAsiaTheme="minorEastAsia" w:hAnsi="Palatino Linotype" w:cs="Arial"/>
          <w:lang w:val="es-ES_tradnl"/>
        </w:rPr>
        <w:t>el expediente completo y anexo</w:t>
      </w:r>
      <w:r w:rsidR="002332FD" w:rsidRPr="00A35D00">
        <w:rPr>
          <w:rFonts w:ascii="Palatino Linotype" w:eastAsiaTheme="minorEastAsia" w:hAnsi="Palatino Linotype" w:cs="Arial"/>
          <w:lang w:val="es-ES_tradnl"/>
        </w:rPr>
        <w:t xml:space="preserve"> en donde se autorizó al Ayuntamiento de Tlalnepantla </w:t>
      </w:r>
      <w:r w:rsidR="002332FD" w:rsidRPr="00A35D00">
        <w:rPr>
          <w:rFonts w:ascii="Palatino Linotype" w:eastAsiaTheme="minorEastAsia" w:hAnsi="Palatino Linotype" w:cs="Arial"/>
          <w:lang w:val="es-ES_tradnl"/>
        </w:rPr>
        <w:lastRenderedPageBreak/>
        <w:t>de Baz a desincorporar del patrimonio municipal el inmueble identificado como “Antiguo Tiradero Municipal”.</w:t>
      </w:r>
    </w:p>
    <w:p w14:paraId="40E27930" w14:textId="1F38EB6C" w:rsidR="002332FD" w:rsidRPr="00A35D00" w:rsidRDefault="00DC362D" w:rsidP="00C9153D">
      <w:pPr>
        <w:pStyle w:val="NormalWeb"/>
        <w:spacing w:before="0" w:beforeAutospacing="0" w:after="0" w:afterAutospacing="0" w:line="360" w:lineRule="auto"/>
        <w:jc w:val="both"/>
        <w:rPr>
          <w:rFonts w:ascii="Palatino Linotype" w:hAnsi="Palatino Linotype"/>
          <w:color w:val="000000"/>
        </w:rPr>
      </w:pPr>
      <w:r w:rsidRPr="00A35D00">
        <w:rPr>
          <w:rFonts w:ascii="Palatino Linotype" w:hAnsi="Palatino Linotype"/>
          <w:color w:val="000000"/>
        </w:rPr>
        <w:t>Por su parte</w:t>
      </w:r>
      <w:r w:rsidR="00C9153D" w:rsidRPr="00A35D00">
        <w:rPr>
          <w:rFonts w:ascii="Palatino Linotype" w:hAnsi="Palatino Linotype"/>
          <w:color w:val="000000"/>
        </w:rPr>
        <w:t xml:space="preserve">, </w:t>
      </w:r>
      <w:r w:rsidR="00C9153D" w:rsidRPr="00A35D00">
        <w:rPr>
          <w:rFonts w:ascii="Palatino Linotype" w:hAnsi="Palatino Linotype"/>
          <w:b/>
          <w:bCs/>
          <w:color w:val="000000"/>
        </w:rPr>
        <w:t>EL SUJETO OBLIGADO</w:t>
      </w:r>
      <w:r w:rsidR="00C9153D" w:rsidRPr="00A35D00">
        <w:rPr>
          <w:rFonts w:ascii="Palatino Linotype" w:hAnsi="Palatino Linotype"/>
          <w:color w:val="000000"/>
        </w:rPr>
        <w:t xml:space="preserve"> </w:t>
      </w:r>
      <w:r w:rsidR="002332FD" w:rsidRPr="00A35D00">
        <w:rPr>
          <w:rFonts w:ascii="Palatino Linotype" w:hAnsi="Palatino Linotype"/>
          <w:color w:val="000000"/>
        </w:rPr>
        <w:t>mediante respuesta le indicó su incompetencia para generar, poseer o administrar la información</w:t>
      </w:r>
      <w:r w:rsidR="00422B14" w:rsidRPr="00A35D00">
        <w:rPr>
          <w:rFonts w:ascii="Palatino Linotype" w:hAnsi="Palatino Linotype"/>
          <w:color w:val="000000"/>
        </w:rPr>
        <w:t xml:space="preserve"> orientándole a solicitar la misma al Poder Legislativo o bien al Ayuntamiento de Tlalnepantla de Baz; desagregando el marco normativo aplicable para que ambos Sujetos Obligados conozcan del tema; tal y como, se aprecia a continuación:</w:t>
      </w:r>
    </w:p>
    <w:p w14:paraId="65AC4382" w14:textId="18123FA7" w:rsidR="00422B14" w:rsidRPr="00A35D00" w:rsidRDefault="00422B14" w:rsidP="00422B14">
      <w:pPr>
        <w:pStyle w:val="NormalWeb"/>
        <w:spacing w:before="0" w:beforeAutospacing="0" w:after="0" w:afterAutospacing="0" w:line="360" w:lineRule="auto"/>
        <w:jc w:val="center"/>
        <w:rPr>
          <w:rFonts w:ascii="Palatino Linotype" w:hAnsi="Palatino Linotype"/>
          <w:color w:val="000000"/>
        </w:rPr>
      </w:pPr>
      <w:r w:rsidRPr="00A35D00">
        <w:rPr>
          <w:rFonts w:ascii="Palatino Linotype" w:hAnsi="Palatino Linotype"/>
          <w:noProof/>
          <w:color w:val="000000"/>
        </w:rPr>
        <w:drawing>
          <wp:inline distT="0" distB="0" distL="0" distR="0" wp14:anchorId="0CD24555" wp14:editId="1243705F">
            <wp:extent cx="4347937" cy="1026597"/>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785" t="46918" r="21021" b="34950"/>
                    <a:stretch/>
                  </pic:blipFill>
                  <pic:spPr bwMode="auto">
                    <a:xfrm>
                      <a:off x="0" y="0"/>
                      <a:ext cx="4431548" cy="1046338"/>
                    </a:xfrm>
                    <a:prstGeom prst="rect">
                      <a:avLst/>
                    </a:prstGeom>
                    <a:ln>
                      <a:noFill/>
                    </a:ln>
                    <a:extLst>
                      <a:ext uri="{53640926-AAD7-44D8-BBD7-CCE9431645EC}">
                        <a14:shadowObscured xmlns:a14="http://schemas.microsoft.com/office/drawing/2010/main"/>
                      </a:ext>
                    </a:extLst>
                  </pic:spPr>
                </pic:pic>
              </a:graphicData>
            </a:graphic>
          </wp:inline>
        </w:drawing>
      </w:r>
    </w:p>
    <w:p w14:paraId="0F20A949" w14:textId="5F5B6F7D" w:rsidR="00422B14" w:rsidRPr="00A35D00" w:rsidRDefault="00422B14" w:rsidP="00422B14">
      <w:pPr>
        <w:pStyle w:val="NormalWeb"/>
        <w:spacing w:before="0" w:beforeAutospacing="0" w:after="0" w:afterAutospacing="0" w:line="360" w:lineRule="auto"/>
        <w:jc w:val="center"/>
        <w:rPr>
          <w:rFonts w:ascii="Palatino Linotype" w:hAnsi="Palatino Linotype"/>
          <w:color w:val="000000"/>
        </w:rPr>
      </w:pPr>
      <w:r w:rsidRPr="00A35D00">
        <w:rPr>
          <w:rFonts w:ascii="Palatino Linotype" w:hAnsi="Palatino Linotype"/>
          <w:noProof/>
          <w:color w:val="000000"/>
        </w:rPr>
        <w:drawing>
          <wp:inline distT="0" distB="0" distL="0" distR="0" wp14:anchorId="5D0FA027" wp14:editId="07D01D3D">
            <wp:extent cx="4485908" cy="3938091"/>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585" t="24525" r="21023" b="7749"/>
                    <a:stretch/>
                  </pic:blipFill>
                  <pic:spPr bwMode="auto">
                    <a:xfrm>
                      <a:off x="0" y="0"/>
                      <a:ext cx="4506714" cy="3956356"/>
                    </a:xfrm>
                    <a:prstGeom prst="rect">
                      <a:avLst/>
                    </a:prstGeom>
                    <a:ln>
                      <a:noFill/>
                    </a:ln>
                    <a:extLst>
                      <a:ext uri="{53640926-AAD7-44D8-BBD7-CCE9431645EC}">
                        <a14:shadowObscured xmlns:a14="http://schemas.microsoft.com/office/drawing/2010/main"/>
                      </a:ext>
                    </a:extLst>
                  </pic:spPr>
                </pic:pic>
              </a:graphicData>
            </a:graphic>
          </wp:inline>
        </w:drawing>
      </w:r>
    </w:p>
    <w:p w14:paraId="51D0EF71" w14:textId="6E00D248" w:rsidR="00422B14" w:rsidRPr="00A35D00" w:rsidRDefault="00422B14" w:rsidP="00422B14">
      <w:pPr>
        <w:pStyle w:val="NormalWeb"/>
        <w:spacing w:before="0" w:beforeAutospacing="0" w:after="0" w:afterAutospacing="0" w:line="360" w:lineRule="auto"/>
        <w:jc w:val="center"/>
        <w:rPr>
          <w:rFonts w:ascii="Palatino Linotype" w:hAnsi="Palatino Linotype"/>
          <w:color w:val="000000"/>
        </w:rPr>
      </w:pPr>
      <w:r w:rsidRPr="00A35D00">
        <w:rPr>
          <w:rFonts w:ascii="Palatino Linotype" w:hAnsi="Palatino Linotype"/>
          <w:noProof/>
          <w:color w:val="000000"/>
        </w:rPr>
        <w:lastRenderedPageBreak/>
        <w:drawing>
          <wp:inline distT="0" distB="0" distL="0" distR="0" wp14:anchorId="0DAB54BB" wp14:editId="642AD8C3">
            <wp:extent cx="3935410" cy="2058802"/>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685" t="27191" r="21129" b="32641"/>
                    <a:stretch/>
                  </pic:blipFill>
                  <pic:spPr bwMode="auto">
                    <a:xfrm>
                      <a:off x="0" y="0"/>
                      <a:ext cx="3948033" cy="2065406"/>
                    </a:xfrm>
                    <a:prstGeom prst="rect">
                      <a:avLst/>
                    </a:prstGeom>
                    <a:ln>
                      <a:noFill/>
                    </a:ln>
                    <a:extLst>
                      <a:ext uri="{53640926-AAD7-44D8-BBD7-CCE9431645EC}">
                        <a14:shadowObscured xmlns:a14="http://schemas.microsoft.com/office/drawing/2010/main"/>
                      </a:ext>
                    </a:extLst>
                  </pic:spPr>
                </pic:pic>
              </a:graphicData>
            </a:graphic>
          </wp:inline>
        </w:drawing>
      </w:r>
    </w:p>
    <w:p w14:paraId="3090176F" w14:textId="0325113C" w:rsidR="00422B14" w:rsidRPr="00A35D00" w:rsidRDefault="00422B14" w:rsidP="00422B14">
      <w:pPr>
        <w:pStyle w:val="NormalWeb"/>
        <w:spacing w:before="0" w:beforeAutospacing="0" w:after="0" w:afterAutospacing="0" w:line="360" w:lineRule="auto"/>
        <w:jc w:val="center"/>
        <w:rPr>
          <w:rFonts w:ascii="Palatino Linotype" w:hAnsi="Palatino Linotype"/>
          <w:color w:val="000000"/>
        </w:rPr>
      </w:pPr>
      <w:r w:rsidRPr="00A35D00">
        <w:rPr>
          <w:rFonts w:ascii="Palatino Linotype" w:hAnsi="Palatino Linotype"/>
          <w:noProof/>
          <w:color w:val="000000"/>
        </w:rPr>
        <w:drawing>
          <wp:inline distT="0" distB="0" distL="0" distR="0" wp14:anchorId="4012CC5D" wp14:editId="6DB00BC9">
            <wp:extent cx="3937765" cy="1245379"/>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0483" t="27902" r="26330" b="53437"/>
                    <a:stretch/>
                  </pic:blipFill>
                  <pic:spPr bwMode="auto">
                    <a:xfrm>
                      <a:off x="0" y="0"/>
                      <a:ext cx="3968584" cy="1255126"/>
                    </a:xfrm>
                    <a:prstGeom prst="rect">
                      <a:avLst/>
                    </a:prstGeom>
                    <a:ln>
                      <a:noFill/>
                    </a:ln>
                    <a:extLst>
                      <a:ext uri="{53640926-AAD7-44D8-BBD7-CCE9431645EC}">
                        <a14:shadowObscured xmlns:a14="http://schemas.microsoft.com/office/drawing/2010/main"/>
                      </a:ext>
                    </a:extLst>
                  </pic:spPr>
                </pic:pic>
              </a:graphicData>
            </a:graphic>
          </wp:inline>
        </w:drawing>
      </w:r>
    </w:p>
    <w:p w14:paraId="32C66F3C" w14:textId="049259FD" w:rsidR="002332FD" w:rsidRPr="00A35D00" w:rsidRDefault="00422B14" w:rsidP="00C9153D">
      <w:pPr>
        <w:pStyle w:val="NormalWeb"/>
        <w:spacing w:before="0" w:beforeAutospacing="0" w:after="0" w:afterAutospacing="0" w:line="360" w:lineRule="auto"/>
        <w:jc w:val="both"/>
        <w:rPr>
          <w:rFonts w:ascii="Palatino Linotype" w:hAnsi="Palatino Linotype"/>
          <w:color w:val="000000"/>
        </w:rPr>
      </w:pPr>
      <w:r w:rsidRPr="00A35D00">
        <w:rPr>
          <w:rFonts w:ascii="Palatino Linotype" w:hAnsi="Palatino Linotype"/>
          <w:color w:val="000000"/>
        </w:rPr>
        <w:t xml:space="preserve">Derivado de dicho marco normativo, </w:t>
      </w:r>
      <w:r w:rsidRPr="00A35D00">
        <w:rPr>
          <w:rFonts w:ascii="Palatino Linotype" w:hAnsi="Palatino Linotype"/>
          <w:b/>
          <w:color w:val="000000"/>
        </w:rPr>
        <w:t xml:space="preserve">EL SUJETO OBLIGADO </w:t>
      </w:r>
      <w:r w:rsidRPr="00A35D00">
        <w:rPr>
          <w:rFonts w:ascii="Palatino Linotype" w:hAnsi="Palatino Linotype"/>
          <w:color w:val="000000"/>
        </w:rPr>
        <w:t>le indicó al particular que podría presentar sus solicitudes a ambos Sujetos Obligados través del SAIMEX o bien de manera directa proporcionando los domicilios de las Unidades de Transparencia de los mismos.</w:t>
      </w:r>
    </w:p>
    <w:p w14:paraId="7D92EC8A" w14:textId="77777777" w:rsidR="00422B14" w:rsidRPr="00A35D00" w:rsidRDefault="00422B14" w:rsidP="00C9153D">
      <w:pPr>
        <w:pStyle w:val="NormalWeb"/>
        <w:spacing w:before="0" w:beforeAutospacing="0" w:after="0" w:afterAutospacing="0" w:line="360" w:lineRule="auto"/>
        <w:jc w:val="both"/>
        <w:rPr>
          <w:rFonts w:ascii="Palatino Linotype" w:hAnsi="Palatino Linotype"/>
          <w:color w:val="000000"/>
        </w:rPr>
      </w:pPr>
    </w:p>
    <w:p w14:paraId="64219A76" w14:textId="597FBFF7" w:rsidR="00422B14" w:rsidRPr="00A35D00" w:rsidRDefault="00DC362D" w:rsidP="00C9153D">
      <w:pPr>
        <w:pStyle w:val="NormalWeb"/>
        <w:spacing w:before="0" w:beforeAutospacing="0" w:after="0" w:afterAutospacing="0" w:line="360" w:lineRule="auto"/>
        <w:jc w:val="both"/>
        <w:rPr>
          <w:rFonts w:ascii="Palatino Linotype" w:hAnsi="Palatino Linotype"/>
          <w:color w:val="000000"/>
        </w:rPr>
      </w:pPr>
      <w:r w:rsidRPr="00A35D00">
        <w:rPr>
          <w:rFonts w:ascii="Palatino Linotype" w:hAnsi="Palatino Linotype"/>
          <w:color w:val="000000"/>
        </w:rPr>
        <w:t>Una vez adm</w:t>
      </w:r>
      <w:r w:rsidR="00934ADE" w:rsidRPr="00A35D00">
        <w:rPr>
          <w:rFonts w:ascii="Palatino Linotype" w:hAnsi="Palatino Linotype"/>
          <w:color w:val="000000"/>
        </w:rPr>
        <w:t>itido el presente recurso de rev</w:t>
      </w:r>
      <w:r w:rsidRPr="00A35D00">
        <w:rPr>
          <w:rFonts w:ascii="Palatino Linotype" w:hAnsi="Palatino Linotype"/>
          <w:color w:val="000000"/>
        </w:rPr>
        <w:t xml:space="preserve">isión, y en el momento procesal oportuno </w:t>
      </w:r>
      <w:r w:rsidRPr="00A35D00">
        <w:rPr>
          <w:rFonts w:ascii="Palatino Linotype" w:hAnsi="Palatino Linotype"/>
          <w:b/>
          <w:color w:val="000000"/>
        </w:rPr>
        <w:t>EL SUJETO OBLIGADO</w:t>
      </w:r>
      <w:r w:rsidRPr="00A35D00">
        <w:rPr>
          <w:rFonts w:ascii="Palatino Linotype" w:hAnsi="Palatino Linotype"/>
          <w:color w:val="000000"/>
        </w:rPr>
        <w:t xml:space="preserve"> rindi</w:t>
      </w:r>
      <w:r w:rsidR="00934ADE" w:rsidRPr="00A35D00">
        <w:rPr>
          <w:rFonts w:ascii="Palatino Linotype" w:hAnsi="Palatino Linotype"/>
          <w:color w:val="000000"/>
        </w:rPr>
        <w:t>ó el Informe J</w:t>
      </w:r>
      <w:r w:rsidRPr="00A35D00">
        <w:rPr>
          <w:rFonts w:ascii="Palatino Linotype" w:hAnsi="Palatino Linotype"/>
          <w:color w:val="000000"/>
        </w:rPr>
        <w:t xml:space="preserve">ustificado </w:t>
      </w:r>
      <w:r w:rsidR="00934ADE" w:rsidRPr="00A35D00">
        <w:rPr>
          <w:rFonts w:ascii="Palatino Linotype" w:hAnsi="Palatino Linotype"/>
          <w:color w:val="000000"/>
        </w:rPr>
        <w:t xml:space="preserve">correspondiente, </w:t>
      </w:r>
      <w:r w:rsidR="00422B14" w:rsidRPr="00A35D00">
        <w:rPr>
          <w:rFonts w:ascii="Palatino Linotype" w:hAnsi="Palatino Linotype"/>
          <w:color w:val="000000"/>
        </w:rPr>
        <w:t>mediante el cual manifestó</w:t>
      </w:r>
      <w:r w:rsidR="0079480F" w:rsidRPr="00A35D00">
        <w:rPr>
          <w:rFonts w:ascii="Palatino Linotype" w:hAnsi="Palatino Linotype"/>
          <w:color w:val="000000"/>
        </w:rPr>
        <w:t xml:space="preserve">: </w:t>
      </w:r>
    </w:p>
    <w:p w14:paraId="76582324" w14:textId="45D6AC3A" w:rsidR="0079480F" w:rsidRPr="00A35D00" w:rsidRDefault="0079480F" w:rsidP="0079480F">
      <w:pPr>
        <w:pStyle w:val="Prrafodelista"/>
        <w:numPr>
          <w:ilvl w:val="0"/>
          <w:numId w:val="14"/>
        </w:numPr>
        <w:spacing w:before="240" w:after="240" w:line="360" w:lineRule="auto"/>
        <w:jc w:val="both"/>
        <w:rPr>
          <w:rFonts w:ascii="Palatino Linotype" w:hAnsi="Palatino Linotype" w:cs="Arial"/>
          <w:lang w:val="es-419"/>
        </w:rPr>
      </w:pPr>
      <w:r w:rsidRPr="00A35D00">
        <w:rPr>
          <w:rFonts w:ascii="Palatino Linotype" w:hAnsi="Palatino Linotype" w:cs="Arial"/>
          <w:lang w:val="es-419"/>
        </w:rPr>
        <w:t xml:space="preserve">De acuerdo a las atribuciones conferidas al </w:t>
      </w:r>
      <w:r w:rsidRPr="00A35D00">
        <w:rPr>
          <w:rFonts w:ascii="Palatino Linotype" w:hAnsi="Palatino Linotype" w:cs="Arial"/>
          <w:b/>
          <w:lang w:val="es-419"/>
        </w:rPr>
        <w:t xml:space="preserve">SUJETO OBLIGADO </w:t>
      </w:r>
      <w:r w:rsidRPr="00A35D00">
        <w:rPr>
          <w:rFonts w:ascii="Palatino Linotype" w:hAnsi="Palatino Linotype" w:cs="Arial"/>
          <w:lang w:val="es-419"/>
        </w:rPr>
        <w:t xml:space="preserve">en la Ley Orgánica de la Administración Pública del Estado de México y del Reglamento Interior de la Secretaría General de Gobierno no se encuentra constreñido a generar, poseer o administrar los expedientes derivados de la totalidad de asuntos que el Secretario General rubrica; sobre todo en casos </w:t>
      </w:r>
      <w:r w:rsidRPr="00A35D00">
        <w:rPr>
          <w:rFonts w:ascii="Palatino Linotype" w:hAnsi="Palatino Linotype" w:cs="Arial"/>
          <w:lang w:val="es-419"/>
        </w:rPr>
        <w:lastRenderedPageBreak/>
        <w:t>como este, en el que como ya se dijo corresponde a la Legislatura local y a los Ayuntamientos el conocer de los bienes inmuebles que se pretendan desincorporar del Municipio.</w:t>
      </w:r>
    </w:p>
    <w:p w14:paraId="2E490B5A" w14:textId="77777777" w:rsidR="0079480F" w:rsidRPr="00A35D00" w:rsidRDefault="0079480F" w:rsidP="0079480F">
      <w:pPr>
        <w:pStyle w:val="Prrafodelista"/>
        <w:numPr>
          <w:ilvl w:val="0"/>
          <w:numId w:val="14"/>
        </w:numPr>
        <w:spacing w:before="240" w:after="240" w:line="360" w:lineRule="auto"/>
        <w:jc w:val="both"/>
        <w:rPr>
          <w:rFonts w:ascii="Palatino Linotype" w:hAnsi="Palatino Linotype" w:cs="Arial"/>
          <w:lang w:val="es-419"/>
        </w:rPr>
      </w:pPr>
      <w:r w:rsidRPr="00A35D00">
        <w:rPr>
          <w:rFonts w:ascii="Palatino Linotype" w:hAnsi="Palatino Linotype" w:cs="Arial"/>
          <w:lang w:val="es-419"/>
        </w:rPr>
        <w:t>Así, la Dirección General de Control y Seguimiento de la Gestión señaló que después de haber realizado una búsqueda exhaustiva y razonable en sus archivos, no localizó ningún documento toda vez que el hecho de que el Secretario General de Gobierno refrende una Ley o Decreto, no implica que se deba generar un expediente por asunto y mucho menos en aquellos casos que escapan de su competencia como en el presente asunto.</w:t>
      </w:r>
    </w:p>
    <w:p w14:paraId="43453C0F" w14:textId="77777777" w:rsidR="0079480F" w:rsidRPr="00A35D00" w:rsidRDefault="0079480F" w:rsidP="0079480F">
      <w:pPr>
        <w:pStyle w:val="Prrafodelista"/>
        <w:numPr>
          <w:ilvl w:val="0"/>
          <w:numId w:val="14"/>
        </w:numPr>
        <w:spacing w:before="240" w:after="240" w:line="360" w:lineRule="auto"/>
        <w:jc w:val="both"/>
        <w:rPr>
          <w:rFonts w:ascii="Palatino Linotype" w:hAnsi="Palatino Linotype" w:cs="Arial"/>
          <w:lang w:val="es-419"/>
        </w:rPr>
      </w:pPr>
      <w:r w:rsidRPr="00A35D00">
        <w:rPr>
          <w:rFonts w:ascii="Palatino Linotype" w:hAnsi="Palatino Linotype" w:cs="Arial"/>
          <w:lang w:val="es-419"/>
        </w:rPr>
        <w:t xml:space="preserve">Señalando que por cuanto hacia a la expresión del </w:t>
      </w:r>
      <w:r w:rsidRPr="00A35D00">
        <w:rPr>
          <w:rFonts w:ascii="Palatino Linotype" w:hAnsi="Palatino Linotype" w:cs="Arial"/>
          <w:b/>
          <w:lang w:val="es-419"/>
        </w:rPr>
        <w:t xml:space="preserve">RECURRENTE </w:t>
      </w:r>
      <w:r w:rsidRPr="00A35D00">
        <w:rPr>
          <w:rFonts w:ascii="Palatino Linotype" w:hAnsi="Palatino Linotype" w:cs="Arial"/>
          <w:lang w:val="es-419"/>
        </w:rPr>
        <w:t xml:space="preserve">consistente en </w:t>
      </w:r>
      <w:r w:rsidRPr="00A35D00">
        <w:rPr>
          <w:rFonts w:ascii="Palatino Linotype" w:hAnsi="Palatino Linotype" w:cs="Arial"/>
          <w:i/>
          <w:lang w:val="es-419"/>
        </w:rPr>
        <w:t>“…</w:t>
      </w:r>
      <w:r w:rsidRPr="00A35D00">
        <w:rPr>
          <w:rFonts w:ascii="Palatino Linotype" w:hAnsi="Palatino Linotype" w:cs="Arial"/>
          <w:i/>
          <w:lang w:eastAsia="es-MX"/>
        </w:rPr>
        <w:t xml:space="preserve">De lo contrario anda de firmon, firmando a diestra y siniestra documentos…” </w:t>
      </w:r>
      <w:r w:rsidRPr="00A35D00">
        <w:rPr>
          <w:rFonts w:ascii="Palatino Linotype" w:hAnsi="Palatino Linotype" w:cs="Arial"/>
          <w:lang w:eastAsia="es-MX"/>
        </w:rPr>
        <w:t xml:space="preserve">(Sic) se tomaron como manifestaciones subjetivas. Por lo que en atención a que existe la notoria incompetencia del </w:t>
      </w:r>
      <w:r w:rsidRPr="00A35D00">
        <w:rPr>
          <w:rFonts w:ascii="Palatino Linotype" w:hAnsi="Palatino Linotype" w:cs="Arial"/>
          <w:b/>
          <w:lang w:eastAsia="es-MX"/>
        </w:rPr>
        <w:t xml:space="preserve">SUJETO OBLIGADO </w:t>
      </w:r>
      <w:r w:rsidRPr="00A35D00">
        <w:rPr>
          <w:rFonts w:ascii="Palatino Linotype" w:hAnsi="Palatino Linotype" w:cs="Arial"/>
          <w:lang w:eastAsia="es-MX"/>
        </w:rPr>
        <w:t>para conocer de la información solicitada, al final de su Informe Justificado solicitó a la Ponente, tener a bien el Confirmar su respuesta en atención a que no se actualiza alguno de los supuestos previstos en el artículo 179 de la Ley de la materia.</w:t>
      </w:r>
    </w:p>
    <w:p w14:paraId="31C96297" w14:textId="31D8F858" w:rsidR="00C9153D" w:rsidRPr="00A35D00" w:rsidRDefault="0079480F" w:rsidP="00BE555C">
      <w:pPr>
        <w:pStyle w:val="NormalWeb"/>
        <w:spacing w:before="0" w:beforeAutospacing="0" w:after="0" w:afterAutospacing="0" w:line="360" w:lineRule="auto"/>
        <w:jc w:val="both"/>
      </w:pPr>
      <w:r w:rsidRPr="00A35D00">
        <w:rPr>
          <w:rFonts w:ascii="Palatino Linotype" w:hAnsi="Palatino Linotype"/>
          <w:color w:val="000000"/>
        </w:rPr>
        <w:t xml:space="preserve">Es importante destacar que, en la misma fecha de presentación del Informe Justificado, </w:t>
      </w:r>
      <w:r w:rsidR="00C9153D" w:rsidRPr="00A35D00">
        <w:rPr>
          <w:rFonts w:ascii="Palatino Linotype" w:hAnsi="Palatino Linotype"/>
          <w:b/>
          <w:bCs/>
          <w:color w:val="000000"/>
        </w:rPr>
        <w:t xml:space="preserve">EL RECURRENTE </w:t>
      </w:r>
      <w:r w:rsidR="00C9153D" w:rsidRPr="00A35D00">
        <w:rPr>
          <w:rFonts w:ascii="Palatino Linotype" w:hAnsi="Palatino Linotype"/>
          <w:color w:val="000000"/>
        </w:rPr>
        <w:t>presentó su desistimiento con respecto a la acción intentada en el presente recurso de revisión, como se aprecia en la siguiente imagen:</w:t>
      </w:r>
    </w:p>
    <w:p w14:paraId="15D7F860" w14:textId="36CA5755" w:rsidR="00C9153D" w:rsidRPr="00A35D00" w:rsidRDefault="0079480F" w:rsidP="0079480F">
      <w:pPr>
        <w:pStyle w:val="NormalWeb"/>
        <w:spacing w:before="0" w:beforeAutospacing="0" w:after="0" w:afterAutospacing="0" w:line="360" w:lineRule="auto"/>
        <w:jc w:val="center"/>
      </w:pPr>
      <w:r w:rsidRPr="00A35D00">
        <w:rPr>
          <w:noProof/>
        </w:rPr>
        <w:drawing>
          <wp:inline distT="0" distB="0" distL="0" distR="0" wp14:anchorId="0B852B0E" wp14:editId="20E0BBB3">
            <wp:extent cx="5470425" cy="1020986"/>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391" t="33957" r="22411" b="47396"/>
                    <a:stretch/>
                  </pic:blipFill>
                  <pic:spPr bwMode="auto">
                    <a:xfrm>
                      <a:off x="0" y="0"/>
                      <a:ext cx="5586240" cy="1042601"/>
                    </a:xfrm>
                    <a:prstGeom prst="rect">
                      <a:avLst/>
                    </a:prstGeom>
                    <a:ln>
                      <a:noFill/>
                    </a:ln>
                    <a:extLst>
                      <a:ext uri="{53640926-AAD7-44D8-BBD7-CCE9431645EC}">
                        <a14:shadowObscured xmlns:a14="http://schemas.microsoft.com/office/drawing/2010/main"/>
                      </a:ext>
                    </a:extLst>
                  </pic:spPr>
                </pic:pic>
              </a:graphicData>
            </a:graphic>
          </wp:inline>
        </w:drawing>
      </w:r>
    </w:p>
    <w:p w14:paraId="52E2F3D5" w14:textId="1913A177" w:rsidR="00C9153D" w:rsidRPr="00A35D00" w:rsidRDefault="00C9153D" w:rsidP="00E520D0">
      <w:pPr>
        <w:pStyle w:val="NormalWeb"/>
        <w:spacing w:before="0" w:beforeAutospacing="0" w:after="0" w:afterAutospacing="0" w:line="360" w:lineRule="auto"/>
        <w:jc w:val="both"/>
      </w:pPr>
      <w:r w:rsidRPr="00A35D00">
        <w:rPr>
          <w:rFonts w:ascii="Palatino Linotype" w:hAnsi="Palatino Linotype"/>
          <w:color w:val="000000"/>
        </w:rPr>
        <w:lastRenderedPageBreak/>
        <w:t>En atención a</w:t>
      </w:r>
      <w:r w:rsidR="008E6446" w:rsidRPr="00A35D00">
        <w:rPr>
          <w:rFonts w:ascii="Palatino Linotype" w:hAnsi="Palatino Linotype"/>
          <w:color w:val="000000"/>
        </w:rPr>
        <w:t xml:space="preserve"> ello</w:t>
      </w:r>
      <w:r w:rsidRPr="00A35D00">
        <w:rPr>
          <w:rFonts w:ascii="Palatino Linotype" w:hAnsi="Palatino Linotype"/>
          <w:color w:val="000000"/>
        </w:rPr>
        <w:t>, esta Ponencia Resolutora advierte que en el presente caso, se actualiza la hipótesis prevista en el artículo 192, fracción I, de la Ley de Transparencia y Acceso a la Información Pública del Estado de México y Municipios, que dispone lo siguiente: </w:t>
      </w:r>
    </w:p>
    <w:p w14:paraId="67B10B2B" w14:textId="77777777" w:rsidR="00C9153D" w:rsidRPr="00A35D00" w:rsidRDefault="00C9153D" w:rsidP="00C9153D"/>
    <w:p w14:paraId="0E066AD5" w14:textId="77777777" w:rsidR="00C9153D" w:rsidRPr="00A35D00" w:rsidRDefault="00C9153D" w:rsidP="00C9153D">
      <w:pPr>
        <w:pStyle w:val="NormalWeb"/>
        <w:spacing w:before="0" w:beforeAutospacing="0" w:after="0" w:afterAutospacing="0"/>
        <w:ind w:left="851" w:right="901"/>
        <w:jc w:val="both"/>
      </w:pPr>
      <w:r w:rsidRPr="00A35D00">
        <w:rPr>
          <w:rFonts w:ascii="Palatino Linotype" w:hAnsi="Palatino Linotype"/>
          <w:i/>
          <w:iCs/>
          <w:color w:val="000000"/>
          <w:sz w:val="22"/>
          <w:szCs w:val="22"/>
        </w:rPr>
        <w:t>“</w:t>
      </w:r>
      <w:r w:rsidRPr="00A35D00">
        <w:rPr>
          <w:rFonts w:ascii="Palatino Linotype" w:hAnsi="Palatino Linotype"/>
          <w:b/>
          <w:bCs/>
          <w:i/>
          <w:iCs/>
          <w:color w:val="000000"/>
          <w:sz w:val="22"/>
          <w:szCs w:val="22"/>
        </w:rPr>
        <w:t>Artículo 192.</w:t>
      </w:r>
      <w:r w:rsidRPr="00A35D00">
        <w:rPr>
          <w:rFonts w:ascii="Palatino Linotype" w:hAnsi="Palatino Linotype"/>
          <w:i/>
          <w:iCs/>
          <w:color w:val="000000"/>
          <w:sz w:val="22"/>
          <w:szCs w:val="22"/>
        </w:rPr>
        <w:t xml:space="preserve"> </w:t>
      </w:r>
      <w:r w:rsidRPr="00A35D00">
        <w:rPr>
          <w:rFonts w:ascii="Palatino Linotype" w:hAnsi="Palatino Linotype"/>
          <w:b/>
          <w:bCs/>
          <w:i/>
          <w:iCs/>
          <w:color w:val="000000"/>
          <w:sz w:val="22"/>
          <w:szCs w:val="22"/>
          <w:u w:val="single"/>
        </w:rPr>
        <w:t>El recurso será sobreseído</w:t>
      </w:r>
      <w:r w:rsidRPr="00A35D00">
        <w:rPr>
          <w:rFonts w:ascii="Palatino Linotype" w:hAnsi="Palatino Linotype"/>
          <w:i/>
          <w:iCs/>
          <w:color w:val="000000"/>
          <w:sz w:val="22"/>
          <w:szCs w:val="22"/>
        </w:rPr>
        <w:t xml:space="preserve">, en todo o en parte, </w:t>
      </w:r>
      <w:r w:rsidRPr="00A35D00">
        <w:rPr>
          <w:rFonts w:ascii="Palatino Linotype" w:hAnsi="Palatino Linotype"/>
          <w:b/>
          <w:bCs/>
          <w:i/>
          <w:iCs/>
          <w:color w:val="000000"/>
          <w:sz w:val="22"/>
          <w:szCs w:val="22"/>
          <w:u w:val="single"/>
        </w:rPr>
        <w:t>cuando una vez admitido</w:t>
      </w:r>
      <w:r w:rsidRPr="00A35D00">
        <w:rPr>
          <w:rFonts w:ascii="Palatino Linotype" w:hAnsi="Palatino Linotype"/>
          <w:i/>
          <w:iCs/>
          <w:color w:val="000000"/>
          <w:sz w:val="22"/>
          <w:szCs w:val="22"/>
        </w:rPr>
        <w:t>, se actualicen alguno de los siguientes supuestos:</w:t>
      </w:r>
    </w:p>
    <w:p w14:paraId="273D2AAC" w14:textId="77777777" w:rsidR="00C9153D" w:rsidRPr="00A35D00" w:rsidRDefault="00C9153D" w:rsidP="00C9153D">
      <w:pPr>
        <w:pStyle w:val="NormalWeb"/>
        <w:spacing w:before="0" w:beforeAutospacing="0" w:after="0" w:afterAutospacing="0"/>
        <w:ind w:left="851" w:right="901"/>
        <w:jc w:val="both"/>
      </w:pPr>
      <w:r w:rsidRPr="00A35D00">
        <w:rPr>
          <w:rFonts w:ascii="Palatino Linotype" w:hAnsi="Palatino Linotype"/>
          <w:b/>
          <w:bCs/>
          <w:i/>
          <w:iCs/>
          <w:color w:val="000000"/>
          <w:sz w:val="22"/>
          <w:szCs w:val="22"/>
        </w:rPr>
        <w:t>I.</w:t>
      </w:r>
      <w:r w:rsidRPr="00A35D00">
        <w:rPr>
          <w:rFonts w:ascii="Palatino Linotype" w:hAnsi="Palatino Linotype"/>
          <w:i/>
          <w:iCs/>
          <w:color w:val="000000"/>
          <w:sz w:val="22"/>
          <w:szCs w:val="22"/>
        </w:rPr>
        <w:t xml:space="preserve"> </w:t>
      </w:r>
      <w:r w:rsidRPr="00A35D00">
        <w:rPr>
          <w:rFonts w:ascii="Palatino Linotype" w:hAnsi="Palatino Linotype"/>
          <w:b/>
          <w:bCs/>
          <w:i/>
          <w:iCs/>
          <w:color w:val="000000"/>
          <w:sz w:val="22"/>
          <w:szCs w:val="22"/>
          <w:u w:val="single"/>
        </w:rPr>
        <w:t>El recurrente se desista expresamente del recurso</w:t>
      </w:r>
      <w:r w:rsidRPr="00A35D00">
        <w:rPr>
          <w:rFonts w:ascii="Palatino Linotype" w:hAnsi="Palatino Linotype"/>
          <w:i/>
          <w:iCs/>
          <w:color w:val="000000"/>
          <w:sz w:val="22"/>
          <w:szCs w:val="22"/>
        </w:rPr>
        <w:t>;”</w:t>
      </w:r>
    </w:p>
    <w:p w14:paraId="709AD249" w14:textId="77777777" w:rsidR="00C9153D" w:rsidRPr="00A35D00" w:rsidRDefault="00C9153D" w:rsidP="00C9153D">
      <w:pPr>
        <w:pStyle w:val="NormalWeb"/>
        <w:spacing w:before="0" w:beforeAutospacing="0" w:after="0" w:afterAutospacing="0"/>
        <w:ind w:left="851" w:right="901"/>
        <w:jc w:val="both"/>
      </w:pPr>
      <w:r w:rsidRPr="00A35D00">
        <w:rPr>
          <w:rFonts w:ascii="Palatino Linotype" w:hAnsi="Palatino Linotype"/>
          <w:color w:val="000000"/>
          <w:sz w:val="22"/>
          <w:szCs w:val="22"/>
        </w:rPr>
        <w:t>(Énfasis añadido)</w:t>
      </w:r>
    </w:p>
    <w:p w14:paraId="7E82377F" w14:textId="77777777" w:rsidR="00C9153D" w:rsidRPr="00A35D00" w:rsidRDefault="00C9153D" w:rsidP="00C9153D"/>
    <w:p w14:paraId="3ED148D9" w14:textId="79B81AB0" w:rsidR="00E23485" w:rsidRPr="00A35D00" w:rsidRDefault="00934ADE" w:rsidP="00E520D0">
      <w:pPr>
        <w:pStyle w:val="NormalWeb"/>
        <w:spacing w:before="0" w:beforeAutospacing="0" w:after="0" w:afterAutospacing="0" w:line="360" w:lineRule="auto"/>
        <w:jc w:val="both"/>
        <w:rPr>
          <w:rFonts w:ascii="Palatino Linotype" w:hAnsi="Palatino Linotype"/>
          <w:color w:val="000000"/>
        </w:rPr>
      </w:pPr>
      <w:r w:rsidRPr="00A35D00">
        <w:rPr>
          <w:rFonts w:ascii="Palatino Linotype" w:hAnsi="Palatino Linotype"/>
          <w:color w:val="000000"/>
        </w:rPr>
        <w:t xml:space="preserve">Dicho precepto contempla como causal de sobreseimiento el desistimiento expreso del </w:t>
      </w:r>
      <w:r w:rsidR="008E6446" w:rsidRPr="00A35D00">
        <w:rPr>
          <w:rFonts w:ascii="Palatino Linotype" w:hAnsi="Palatino Linotype"/>
          <w:b/>
          <w:color w:val="000000"/>
        </w:rPr>
        <w:t xml:space="preserve">RECURRENTE, </w:t>
      </w:r>
      <w:r w:rsidR="008E6446" w:rsidRPr="00A35D00">
        <w:rPr>
          <w:rFonts w:ascii="Palatino Linotype" w:hAnsi="Palatino Linotype"/>
          <w:color w:val="000000"/>
        </w:rPr>
        <w:t xml:space="preserve">fracción que resulta aplicable al caso que nos ocupa pues </w:t>
      </w:r>
      <w:r w:rsidR="008E6446" w:rsidRPr="00A35D00">
        <w:rPr>
          <w:rFonts w:ascii="Palatino Linotype" w:hAnsi="Palatino Linotype"/>
          <w:b/>
          <w:color w:val="000000"/>
        </w:rPr>
        <w:t>EL</w:t>
      </w:r>
      <w:r w:rsidR="008E6446" w:rsidRPr="00A35D00">
        <w:rPr>
          <w:rFonts w:ascii="Palatino Linotype" w:hAnsi="Palatino Linotype"/>
          <w:color w:val="000000"/>
        </w:rPr>
        <w:t xml:space="preserve"> </w:t>
      </w:r>
      <w:r w:rsidR="008E6446" w:rsidRPr="00A35D00">
        <w:rPr>
          <w:rFonts w:ascii="Palatino Linotype" w:hAnsi="Palatino Linotype"/>
          <w:b/>
          <w:color w:val="000000"/>
        </w:rPr>
        <w:t>RECURRENTE</w:t>
      </w:r>
      <w:r w:rsidR="008E6446" w:rsidRPr="00A35D00">
        <w:rPr>
          <w:rFonts w:ascii="Palatino Linotype" w:hAnsi="Palatino Linotype"/>
          <w:color w:val="000000"/>
        </w:rPr>
        <w:t xml:space="preserve"> por medio del </w:t>
      </w:r>
      <w:r w:rsidR="008E6446" w:rsidRPr="00A35D00">
        <w:rPr>
          <w:rFonts w:ascii="Palatino Linotype" w:hAnsi="Palatino Linotype"/>
          <w:b/>
          <w:color w:val="000000"/>
        </w:rPr>
        <w:t>SAIMEX</w:t>
      </w:r>
      <w:r w:rsidR="00A55ACE" w:rsidRPr="00A35D00">
        <w:rPr>
          <w:rFonts w:ascii="Palatino Linotype" w:hAnsi="Palatino Linotype"/>
          <w:color w:val="000000"/>
        </w:rPr>
        <w:t xml:space="preserve"> </w:t>
      </w:r>
      <w:r w:rsidR="00E23485" w:rsidRPr="00A35D00">
        <w:rPr>
          <w:rFonts w:ascii="Palatino Linotype" w:hAnsi="Palatino Linotype"/>
          <w:color w:val="000000"/>
        </w:rPr>
        <w:t>manifestó</w:t>
      </w:r>
      <w:r w:rsidR="008E6446" w:rsidRPr="00A35D00">
        <w:rPr>
          <w:rFonts w:ascii="Palatino Linotype" w:hAnsi="Palatino Linotype"/>
          <w:color w:val="000000"/>
        </w:rPr>
        <w:t xml:space="preserve"> su deseo de no seguir con el proceso</w:t>
      </w:r>
      <w:r w:rsidR="00E23485" w:rsidRPr="00A35D00">
        <w:rPr>
          <w:rFonts w:ascii="Palatino Linotype" w:hAnsi="Palatino Linotype"/>
          <w:color w:val="000000"/>
        </w:rPr>
        <w:t xml:space="preserve">. </w:t>
      </w:r>
    </w:p>
    <w:p w14:paraId="26F05B70" w14:textId="77777777" w:rsidR="00E23485" w:rsidRPr="00A35D00" w:rsidRDefault="00E23485" w:rsidP="008E6446">
      <w:pPr>
        <w:pStyle w:val="NormalWeb"/>
        <w:spacing w:before="0" w:beforeAutospacing="0" w:after="0" w:afterAutospacing="0" w:line="360" w:lineRule="auto"/>
        <w:jc w:val="both"/>
        <w:rPr>
          <w:rFonts w:ascii="Palatino Linotype" w:hAnsi="Palatino Linotype"/>
          <w:color w:val="000000"/>
        </w:rPr>
      </w:pPr>
    </w:p>
    <w:p w14:paraId="47E2AD93" w14:textId="6D3F0D5B" w:rsidR="008E6446" w:rsidRPr="00A35D00" w:rsidRDefault="008E6446" w:rsidP="008E6446">
      <w:pPr>
        <w:pStyle w:val="NormalWeb"/>
        <w:spacing w:before="0" w:beforeAutospacing="0" w:after="0" w:afterAutospacing="0" w:line="360" w:lineRule="auto"/>
        <w:jc w:val="both"/>
      </w:pPr>
      <w:r w:rsidRPr="00A35D00">
        <w:rPr>
          <w:rFonts w:ascii="Palatino Linotype" w:hAnsi="Palatino Linotype"/>
          <w:color w:val="000000"/>
        </w:rPr>
        <w:t xml:space="preserve">Por lo que se refiere a la formalidad que requiere el precepto citado, estableciendo que deberá tratarse de un desistimiento expreso, es pertinente aclarar que el desistimiento sólo pudo ser activado por </w:t>
      </w:r>
      <w:r w:rsidRPr="00A35D00">
        <w:rPr>
          <w:rFonts w:ascii="Palatino Linotype" w:hAnsi="Palatino Linotype"/>
          <w:b/>
          <w:bCs/>
          <w:color w:val="000000"/>
        </w:rPr>
        <w:t>EL</w:t>
      </w:r>
      <w:r w:rsidRPr="00A35D00">
        <w:rPr>
          <w:rFonts w:ascii="Palatino Linotype" w:hAnsi="Palatino Linotype"/>
          <w:color w:val="000000"/>
        </w:rPr>
        <w:t xml:space="preserve"> </w:t>
      </w:r>
      <w:r w:rsidRPr="00A35D00">
        <w:rPr>
          <w:rFonts w:ascii="Palatino Linotype" w:hAnsi="Palatino Linotype"/>
          <w:b/>
          <w:bCs/>
          <w:color w:val="000000"/>
        </w:rPr>
        <w:t>RECURRENTE</w:t>
      </w:r>
      <w:r w:rsidRPr="00A35D00">
        <w:rPr>
          <w:rFonts w:ascii="Palatino Linotype" w:hAnsi="Palatino Linotype"/>
          <w:color w:val="000000"/>
        </w:rPr>
        <w:t xml:space="preserve"> mediante el ingreso al Sistema de Acceso a la Información Mexiquense, con el uso de su clave de usuario y contraseña, por lo que, no existe duda de que se trata de un </w:t>
      </w:r>
      <w:r w:rsidRPr="00A35D00">
        <w:rPr>
          <w:rFonts w:ascii="Palatino Linotype" w:hAnsi="Palatino Linotype"/>
          <w:b/>
          <w:bCs/>
          <w:color w:val="000000"/>
        </w:rPr>
        <w:t>desistimiento expreso</w:t>
      </w:r>
      <w:r w:rsidRPr="00A35D00">
        <w:rPr>
          <w:rFonts w:ascii="Palatino Linotype" w:hAnsi="Palatino Linotype"/>
          <w:color w:val="000000"/>
        </w:rPr>
        <w:t xml:space="preserve">, por parte del </w:t>
      </w:r>
      <w:r w:rsidRPr="00A35D00">
        <w:rPr>
          <w:rFonts w:ascii="Palatino Linotype" w:hAnsi="Palatino Linotype"/>
          <w:b/>
          <w:bCs/>
          <w:color w:val="000000"/>
        </w:rPr>
        <w:t>RECURRENTE</w:t>
      </w:r>
      <w:r w:rsidRPr="00A35D00">
        <w:rPr>
          <w:rFonts w:ascii="Palatino Linotype" w:hAnsi="Palatino Linotype"/>
          <w:color w:val="000000"/>
        </w:rPr>
        <w:t>. </w:t>
      </w:r>
    </w:p>
    <w:p w14:paraId="76386C18" w14:textId="77777777" w:rsidR="008E6446" w:rsidRPr="00A35D00" w:rsidRDefault="008E6446" w:rsidP="00E520D0">
      <w:pPr>
        <w:pStyle w:val="NormalWeb"/>
        <w:spacing w:before="0" w:beforeAutospacing="0" w:after="0" w:afterAutospacing="0" w:line="360" w:lineRule="auto"/>
        <w:jc w:val="both"/>
        <w:rPr>
          <w:rFonts w:ascii="Palatino Linotype" w:hAnsi="Palatino Linotype"/>
          <w:b/>
          <w:color w:val="000000"/>
        </w:rPr>
      </w:pPr>
    </w:p>
    <w:p w14:paraId="7C75C28C" w14:textId="2369E385" w:rsidR="00BF76D4" w:rsidRPr="00A35D00" w:rsidRDefault="008E6446" w:rsidP="00E520D0">
      <w:pPr>
        <w:pStyle w:val="NormalWeb"/>
        <w:spacing w:before="0" w:beforeAutospacing="0" w:after="0" w:afterAutospacing="0" w:line="360" w:lineRule="auto"/>
        <w:jc w:val="both"/>
        <w:rPr>
          <w:rFonts w:ascii="Palatino Linotype" w:hAnsi="Palatino Linotype"/>
          <w:color w:val="000000"/>
        </w:rPr>
      </w:pPr>
      <w:r w:rsidRPr="00A35D00">
        <w:rPr>
          <w:rFonts w:ascii="Palatino Linotype" w:hAnsi="Palatino Linotype"/>
          <w:color w:val="000000"/>
        </w:rPr>
        <w:t xml:space="preserve">Aunado a ello, </w:t>
      </w:r>
      <w:r w:rsidR="00E23485" w:rsidRPr="00A35D00">
        <w:rPr>
          <w:rFonts w:ascii="Palatino Linotype" w:hAnsi="Palatino Linotype"/>
          <w:color w:val="000000"/>
        </w:rPr>
        <w:t>e</w:t>
      </w:r>
      <w:r w:rsidRPr="00A35D00">
        <w:rPr>
          <w:rFonts w:ascii="Palatino Linotype" w:hAnsi="Palatino Linotype"/>
          <w:color w:val="000000"/>
        </w:rPr>
        <w:t xml:space="preserve">n la </w:t>
      </w:r>
      <w:r w:rsidR="004E0D6B" w:rsidRPr="00A35D00">
        <w:rPr>
          <w:rFonts w:ascii="Palatino Linotype" w:hAnsi="Palatino Linotype"/>
          <w:color w:val="000000"/>
        </w:rPr>
        <w:t xml:space="preserve">captura </w:t>
      </w:r>
      <w:r w:rsidR="00F635D1" w:rsidRPr="00A35D00">
        <w:rPr>
          <w:rFonts w:ascii="Palatino Linotype" w:hAnsi="Palatino Linotype"/>
          <w:color w:val="000000"/>
        </w:rPr>
        <w:t xml:space="preserve">arriba </w:t>
      </w:r>
      <w:r w:rsidR="004E0D6B" w:rsidRPr="00A35D00">
        <w:rPr>
          <w:rFonts w:ascii="Palatino Linotype" w:hAnsi="Palatino Linotype"/>
          <w:color w:val="000000"/>
        </w:rPr>
        <w:t xml:space="preserve">insertada se puede verificar que el mismo </w:t>
      </w:r>
      <w:r w:rsidR="004E0D6B" w:rsidRPr="00A35D00">
        <w:rPr>
          <w:rFonts w:ascii="Palatino Linotype" w:hAnsi="Palatino Linotype"/>
          <w:b/>
          <w:color w:val="000000"/>
        </w:rPr>
        <w:t>RECURRENTE</w:t>
      </w:r>
      <w:r w:rsidR="004E0D6B" w:rsidRPr="00A35D00">
        <w:rPr>
          <w:rFonts w:ascii="Palatino Linotype" w:hAnsi="Palatino Linotype"/>
          <w:color w:val="000000"/>
        </w:rPr>
        <w:t xml:space="preserve"> </w:t>
      </w:r>
      <w:r w:rsidR="00BE555C" w:rsidRPr="00A35D00">
        <w:rPr>
          <w:rFonts w:ascii="Palatino Linotype" w:hAnsi="Palatino Linotype"/>
          <w:color w:val="000000"/>
        </w:rPr>
        <w:t xml:space="preserve">manifiesta su intención para desistirse del recurso </w:t>
      </w:r>
      <w:r w:rsidR="00E23485" w:rsidRPr="00A35D00">
        <w:rPr>
          <w:rFonts w:ascii="Palatino Linotype" w:hAnsi="Palatino Linotype"/>
          <w:color w:val="000000"/>
        </w:rPr>
        <w:t>debido a que el Ayuntamiento de Tlalnepantla de Baz en atención a una solicitud de información le hizo entrega de la información solicitada</w:t>
      </w:r>
      <w:r w:rsidRPr="00A35D00">
        <w:rPr>
          <w:rFonts w:ascii="Palatino Linotype" w:hAnsi="Palatino Linotype"/>
          <w:color w:val="000000"/>
        </w:rPr>
        <w:t xml:space="preserve">, quedando sin materia su pretensión. </w:t>
      </w:r>
    </w:p>
    <w:p w14:paraId="63225D32" w14:textId="77777777" w:rsidR="008E6446" w:rsidRPr="00A35D00" w:rsidRDefault="008E6446" w:rsidP="008E6446">
      <w:pPr>
        <w:pStyle w:val="NormalWeb"/>
        <w:spacing w:before="0" w:beforeAutospacing="0" w:after="0" w:afterAutospacing="0" w:line="360" w:lineRule="auto"/>
        <w:jc w:val="both"/>
        <w:rPr>
          <w:rFonts w:ascii="Palatino Linotype" w:hAnsi="Palatino Linotype"/>
          <w:color w:val="000000"/>
        </w:rPr>
      </w:pPr>
    </w:p>
    <w:p w14:paraId="590B28E8" w14:textId="06DC500F" w:rsidR="004E0D6B" w:rsidRPr="00A35D00" w:rsidRDefault="008E6446" w:rsidP="00E520D0">
      <w:pPr>
        <w:pStyle w:val="NormalWeb"/>
        <w:spacing w:before="0" w:beforeAutospacing="0" w:after="0" w:afterAutospacing="0" w:line="360" w:lineRule="auto"/>
        <w:jc w:val="both"/>
        <w:rPr>
          <w:rFonts w:ascii="Palatino Linotype" w:hAnsi="Palatino Linotype"/>
          <w:color w:val="000000"/>
        </w:rPr>
      </w:pPr>
      <w:r w:rsidRPr="00A35D00">
        <w:rPr>
          <w:rFonts w:ascii="Palatino Linotype" w:hAnsi="Palatino Linotype"/>
          <w:color w:val="000000"/>
        </w:rPr>
        <w:lastRenderedPageBreak/>
        <w:t xml:space="preserve">Asimismo, de acuerdo con la Enciclopedia Jurídica Mexicana, del Instituto de Investigaciones Jurídicas de la Universidad Nacional Autónoma de México, el desistimiento se define como el "acto procesal mediante el cual se manifiesta el propósito de abandonar la instancia o de no continuar con el ejercicio de una acción, la reclamación de un derecho o la realización de cualquier otro trámite de un procedimiento iniciado" En ese sentido, se entiende que </w:t>
      </w:r>
      <w:r w:rsidRPr="00A35D00">
        <w:rPr>
          <w:rFonts w:ascii="Palatino Linotype" w:hAnsi="Palatino Linotype"/>
          <w:b/>
          <w:color w:val="000000"/>
        </w:rPr>
        <w:t>EL RECURRENTE</w:t>
      </w:r>
      <w:r w:rsidRPr="00A35D00">
        <w:rPr>
          <w:rFonts w:ascii="Palatino Linotype" w:hAnsi="Palatino Linotype"/>
          <w:color w:val="000000"/>
        </w:rPr>
        <w:t xml:space="preserve"> al expresar su deseo desistirse de la acción, manifiesta también su intención de concluir el procedimiento pues al quedar sin mat</w:t>
      </w:r>
      <w:r w:rsidR="00A55ACE" w:rsidRPr="00A35D00">
        <w:rPr>
          <w:rFonts w:ascii="Palatino Linotype" w:hAnsi="Palatino Linotype"/>
          <w:color w:val="000000"/>
        </w:rPr>
        <w:t>eria su requerimiento gracias al Informe emitido</w:t>
      </w:r>
      <w:r w:rsidRPr="00A35D00">
        <w:rPr>
          <w:rFonts w:ascii="Palatino Linotype" w:hAnsi="Palatino Linotype"/>
          <w:color w:val="000000"/>
        </w:rPr>
        <w:t xml:space="preserve"> por </w:t>
      </w:r>
      <w:r w:rsidRPr="00A35D00">
        <w:rPr>
          <w:rFonts w:ascii="Palatino Linotype" w:hAnsi="Palatino Linotype"/>
          <w:b/>
          <w:color w:val="000000"/>
        </w:rPr>
        <w:t xml:space="preserve">EL </w:t>
      </w:r>
      <w:r w:rsidR="00F36D35" w:rsidRPr="00A35D00">
        <w:rPr>
          <w:rFonts w:ascii="Palatino Linotype" w:hAnsi="Palatino Linotype"/>
          <w:b/>
          <w:color w:val="000000"/>
        </w:rPr>
        <w:t>SUJE</w:t>
      </w:r>
      <w:r w:rsidRPr="00A35D00">
        <w:rPr>
          <w:rFonts w:ascii="Palatino Linotype" w:hAnsi="Palatino Linotype"/>
          <w:b/>
          <w:color w:val="000000"/>
        </w:rPr>
        <w:t>TO OBLIGADO</w:t>
      </w:r>
      <w:r w:rsidR="008869A7" w:rsidRPr="00A35D00">
        <w:rPr>
          <w:rFonts w:ascii="Palatino Linotype" w:hAnsi="Palatino Linotype"/>
          <w:color w:val="000000"/>
        </w:rPr>
        <w:t xml:space="preserve">, </w:t>
      </w:r>
      <w:r w:rsidRPr="00A35D00">
        <w:rPr>
          <w:rFonts w:ascii="Palatino Linotype" w:hAnsi="Palatino Linotype"/>
          <w:color w:val="000000"/>
        </w:rPr>
        <w:t xml:space="preserve"> </w:t>
      </w:r>
      <w:r w:rsidR="008869A7" w:rsidRPr="00A35D00">
        <w:rPr>
          <w:rFonts w:ascii="Palatino Linotype" w:hAnsi="Palatino Linotype"/>
          <w:color w:val="000000"/>
        </w:rPr>
        <w:t xml:space="preserve">y la aceptación </w:t>
      </w:r>
      <w:r w:rsidR="00A55ACE" w:rsidRPr="00A35D00">
        <w:rPr>
          <w:rFonts w:ascii="Palatino Linotype" w:hAnsi="Palatino Linotype"/>
          <w:color w:val="000000"/>
        </w:rPr>
        <w:t xml:space="preserve">de la información contenida en el mismo </w:t>
      </w:r>
      <w:r w:rsidR="008869A7" w:rsidRPr="00A35D00">
        <w:rPr>
          <w:rFonts w:ascii="Palatino Linotype" w:hAnsi="Palatino Linotype"/>
          <w:color w:val="000000"/>
        </w:rPr>
        <w:t xml:space="preserve">por parte del </w:t>
      </w:r>
      <w:r w:rsidR="008869A7" w:rsidRPr="00A35D00">
        <w:rPr>
          <w:rFonts w:ascii="Palatino Linotype" w:hAnsi="Palatino Linotype"/>
          <w:b/>
          <w:color w:val="000000"/>
        </w:rPr>
        <w:t>RECURRENTE</w:t>
      </w:r>
      <w:r w:rsidRPr="00A35D00">
        <w:rPr>
          <w:rFonts w:ascii="Palatino Linotype" w:hAnsi="Palatino Linotype"/>
          <w:color w:val="000000"/>
        </w:rPr>
        <w:t>, no hay</w:t>
      </w:r>
      <w:r w:rsidR="00A55ACE" w:rsidRPr="00A35D00">
        <w:rPr>
          <w:rFonts w:ascii="Palatino Linotype" w:hAnsi="Palatino Linotype"/>
          <w:color w:val="000000"/>
        </w:rPr>
        <w:t xml:space="preserve"> l</w:t>
      </w:r>
      <w:r w:rsidR="00083D1B" w:rsidRPr="00A35D00">
        <w:rPr>
          <w:rFonts w:ascii="Palatino Linotype" w:hAnsi="Palatino Linotype"/>
          <w:color w:val="000000"/>
        </w:rPr>
        <w:t xml:space="preserve">itis sobre la cual pueda versar el recurso de revisión. </w:t>
      </w:r>
      <w:r w:rsidRPr="00A35D00">
        <w:rPr>
          <w:rFonts w:ascii="Palatino Linotype" w:hAnsi="Palatino Linotype"/>
          <w:color w:val="000000"/>
        </w:rPr>
        <w:t xml:space="preserve"> </w:t>
      </w:r>
    </w:p>
    <w:p w14:paraId="30C9B20D" w14:textId="77777777" w:rsidR="008E6446" w:rsidRPr="00A35D00" w:rsidRDefault="008E6446" w:rsidP="00E520D0">
      <w:pPr>
        <w:pStyle w:val="NormalWeb"/>
        <w:spacing w:before="0" w:beforeAutospacing="0" w:after="0" w:afterAutospacing="0" w:line="360" w:lineRule="auto"/>
        <w:jc w:val="both"/>
        <w:rPr>
          <w:rFonts w:ascii="Palatino Linotype" w:hAnsi="Palatino Linotype"/>
          <w:color w:val="000000"/>
        </w:rPr>
      </w:pPr>
    </w:p>
    <w:p w14:paraId="64980270" w14:textId="77777777" w:rsidR="00C9153D" w:rsidRPr="00A35D00" w:rsidRDefault="00C9153D" w:rsidP="00E520D0">
      <w:pPr>
        <w:pStyle w:val="NormalWeb"/>
        <w:spacing w:before="0" w:beforeAutospacing="0" w:after="0" w:afterAutospacing="0" w:line="360" w:lineRule="auto"/>
        <w:jc w:val="both"/>
      </w:pPr>
      <w:r w:rsidRPr="00A35D00">
        <w:rPr>
          <w:rFonts w:ascii="Palatino Linotype" w:hAnsi="Palatino Linotype"/>
          <w:color w:val="000000"/>
        </w:rPr>
        <w:t xml:space="preserve">En consecuencia, se determina </w:t>
      </w:r>
      <w:r w:rsidRPr="00A35D00">
        <w:rPr>
          <w:rFonts w:ascii="Palatino Linotype" w:hAnsi="Palatino Linotype"/>
          <w:b/>
          <w:bCs/>
          <w:color w:val="000000"/>
        </w:rPr>
        <w:t>SOBRESEER</w:t>
      </w:r>
      <w:r w:rsidRPr="00A35D00">
        <w:rPr>
          <w:rFonts w:ascii="Palatino Linotype" w:hAnsi="Palatino Linotype"/>
          <w:color w:val="000000"/>
        </w:rPr>
        <w:t xml:space="preserve"> el presente recurso de revisión, en términos del artículo 186, fracción I, de la Ley de Transparencia y Acceso a la Información Pública del Estado de México y Municipios:</w:t>
      </w:r>
    </w:p>
    <w:p w14:paraId="36A273E8" w14:textId="77777777" w:rsidR="00C9153D" w:rsidRPr="00A35D00" w:rsidRDefault="00C9153D" w:rsidP="00C9153D"/>
    <w:p w14:paraId="1145505E" w14:textId="77777777" w:rsidR="00C9153D" w:rsidRPr="00A35D00" w:rsidRDefault="00C9153D" w:rsidP="00C9153D">
      <w:pPr>
        <w:pStyle w:val="NormalWeb"/>
        <w:spacing w:before="0" w:beforeAutospacing="0" w:after="0" w:afterAutospacing="0"/>
        <w:ind w:left="851" w:right="901"/>
        <w:jc w:val="both"/>
      </w:pPr>
      <w:r w:rsidRPr="00A35D00">
        <w:rPr>
          <w:rFonts w:ascii="Palatino Linotype" w:hAnsi="Palatino Linotype"/>
          <w:i/>
          <w:iCs/>
          <w:color w:val="000000"/>
          <w:sz w:val="22"/>
          <w:szCs w:val="22"/>
        </w:rPr>
        <w:t>“</w:t>
      </w:r>
      <w:r w:rsidRPr="00A35D00">
        <w:rPr>
          <w:rFonts w:ascii="Palatino Linotype" w:hAnsi="Palatino Linotype"/>
          <w:b/>
          <w:bCs/>
          <w:i/>
          <w:iCs/>
          <w:color w:val="000000"/>
          <w:sz w:val="22"/>
          <w:szCs w:val="22"/>
        </w:rPr>
        <w:t xml:space="preserve">Artículo 186. </w:t>
      </w:r>
      <w:r w:rsidRPr="00A35D00">
        <w:rPr>
          <w:rFonts w:ascii="Palatino Linotype" w:hAnsi="Palatino Linotype"/>
          <w:b/>
          <w:bCs/>
          <w:i/>
          <w:iCs/>
          <w:color w:val="000000"/>
          <w:sz w:val="22"/>
          <w:szCs w:val="22"/>
          <w:u w:val="single"/>
        </w:rPr>
        <w:t>Las resoluciones del Instituto podrán</w:t>
      </w:r>
      <w:r w:rsidRPr="00A35D00">
        <w:rPr>
          <w:rFonts w:ascii="Palatino Linotype" w:hAnsi="Palatino Linotype"/>
          <w:i/>
          <w:iCs/>
          <w:color w:val="000000"/>
          <w:sz w:val="22"/>
          <w:szCs w:val="22"/>
        </w:rPr>
        <w:t>: </w:t>
      </w:r>
    </w:p>
    <w:p w14:paraId="2B28EBC2" w14:textId="77777777" w:rsidR="00C9153D" w:rsidRPr="00A35D00" w:rsidRDefault="00C9153D" w:rsidP="00C9153D">
      <w:pPr>
        <w:pStyle w:val="NormalWeb"/>
        <w:spacing w:before="0" w:beforeAutospacing="0" w:after="0" w:afterAutospacing="0"/>
        <w:ind w:left="851" w:right="901"/>
        <w:jc w:val="both"/>
      </w:pPr>
      <w:r w:rsidRPr="00A35D00">
        <w:rPr>
          <w:rFonts w:ascii="Palatino Linotype" w:hAnsi="Palatino Linotype"/>
          <w:b/>
          <w:bCs/>
          <w:i/>
          <w:iCs/>
          <w:color w:val="000000"/>
          <w:sz w:val="22"/>
          <w:szCs w:val="22"/>
        </w:rPr>
        <w:t xml:space="preserve">I. </w:t>
      </w:r>
      <w:r w:rsidRPr="00A35D00">
        <w:rPr>
          <w:rFonts w:ascii="Palatino Linotype" w:hAnsi="Palatino Linotype"/>
          <w:i/>
          <w:iCs/>
          <w:color w:val="000000"/>
          <w:sz w:val="22"/>
          <w:szCs w:val="22"/>
        </w:rPr>
        <w:t xml:space="preserve">Desechar o </w:t>
      </w:r>
      <w:r w:rsidRPr="00A35D00">
        <w:rPr>
          <w:rFonts w:ascii="Palatino Linotype" w:hAnsi="Palatino Linotype"/>
          <w:b/>
          <w:bCs/>
          <w:i/>
          <w:iCs/>
          <w:color w:val="000000"/>
          <w:sz w:val="22"/>
          <w:szCs w:val="22"/>
          <w:u w:val="single"/>
        </w:rPr>
        <w:t>sobreseer el recurso</w:t>
      </w:r>
      <w:r w:rsidRPr="00A35D00">
        <w:rPr>
          <w:rFonts w:ascii="Palatino Linotype" w:hAnsi="Palatino Linotype"/>
          <w:i/>
          <w:iCs/>
          <w:color w:val="000000"/>
          <w:sz w:val="22"/>
          <w:szCs w:val="22"/>
        </w:rPr>
        <w:t>;” </w:t>
      </w:r>
    </w:p>
    <w:p w14:paraId="5BE94180" w14:textId="77777777" w:rsidR="00C9153D" w:rsidRPr="00A35D00" w:rsidRDefault="00C9153D" w:rsidP="00C9153D">
      <w:pPr>
        <w:pStyle w:val="NormalWeb"/>
        <w:spacing w:before="0" w:beforeAutospacing="0" w:after="0" w:afterAutospacing="0"/>
        <w:ind w:left="851" w:right="901"/>
        <w:jc w:val="both"/>
      </w:pPr>
      <w:r w:rsidRPr="00A35D00">
        <w:rPr>
          <w:rFonts w:ascii="Palatino Linotype" w:hAnsi="Palatino Linotype"/>
          <w:color w:val="000000"/>
          <w:sz w:val="22"/>
          <w:szCs w:val="22"/>
        </w:rPr>
        <w:t>(Énfasis añadido)</w:t>
      </w:r>
    </w:p>
    <w:p w14:paraId="1E82A50B" w14:textId="77777777" w:rsidR="00C9153D" w:rsidRPr="00A35D00" w:rsidRDefault="00C9153D" w:rsidP="00C9153D"/>
    <w:p w14:paraId="15024CCC" w14:textId="490AD7CC" w:rsidR="00C9153D" w:rsidRPr="00A35D00" w:rsidRDefault="00C9153D" w:rsidP="00E520D0">
      <w:pPr>
        <w:pStyle w:val="NormalWeb"/>
        <w:spacing w:before="0" w:beforeAutospacing="0" w:after="0" w:afterAutospacing="0" w:line="360" w:lineRule="auto"/>
        <w:jc w:val="both"/>
      </w:pPr>
      <w:r w:rsidRPr="00A35D00">
        <w:rPr>
          <w:rFonts w:ascii="Palatino Linotype" w:hAnsi="Palatino Linotype"/>
          <w:color w:val="000000"/>
        </w:rPr>
        <w:t xml:space="preserve">Derivado de lo anterior, es conveniente referir que este Órgano Garante no se pronuncia de las razones o motivos de inconformidad expuestos por </w:t>
      </w:r>
      <w:r w:rsidRPr="00A35D00">
        <w:rPr>
          <w:rFonts w:ascii="Palatino Linotype" w:hAnsi="Palatino Linotype"/>
          <w:b/>
          <w:bCs/>
          <w:color w:val="000000"/>
        </w:rPr>
        <w:t>EL RECURRENTE</w:t>
      </w:r>
      <w:r w:rsidR="00E23485" w:rsidRPr="00A35D00">
        <w:rPr>
          <w:rFonts w:ascii="Palatino Linotype" w:hAnsi="Palatino Linotype"/>
          <w:color w:val="000000"/>
        </w:rPr>
        <w:t>, ni de las manifestaciones hechas en el desistimiento; toda vez que, resultan inatendibles; s</w:t>
      </w:r>
      <w:r w:rsidRPr="00A35D00">
        <w:rPr>
          <w:rFonts w:ascii="Palatino Linotype" w:hAnsi="Palatino Linotype"/>
          <w:color w:val="000000"/>
        </w:rPr>
        <w:t>iendo aplicable la jurisprudencia de la décima época visible en el Semanario Judicial de la Federación y su Gaceta. Instancia: Segunda Sala. Tesis 2a./J. 82/2016 (10a.) bajo el número de registro 2012059 cuyo rubro y texto esgrime:</w:t>
      </w:r>
    </w:p>
    <w:p w14:paraId="1448F19F" w14:textId="77777777" w:rsidR="00C9153D" w:rsidRPr="00A35D00" w:rsidRDefault="00C9153D" w:rsidP="00E520D0">
      <w:pPr>
        <w:spacing w:line="360" w:lineRule="auto"/>
      </w:pPr>
    </w:p>
    <w:p w14:paraId="4D6A2D7D" w14:textId="77777777" w:rsidR="00C9153D" w:rsidRPr="00A35D00" w:rsidRDefault="00C9153D" w:rsidP="00C9153D">
      <w:pPr>
        <w:pStyle w:val="NormalWeb"/>
        <w:spacing w:before="0" w:beforeAutospacing="0" w:after="0" w:afterAutospacing="0"/>
        <w:ind w:left="851" w:right="901"/>
        <w:jc w:val="both"/>
      </w:pPr>
      <w:r w:rsidRPr="00A35D00">
        <w:rPr>
          <w:rFonts w:ascii="Palatino Linotype" w:hAnsi="Palatino Linotype"/>
          <w:b/>
          <w:bCs/>
          <w:i/>
          <w:iCs/>
          <w:color w:val="000000"/>
          <w:sz w:val="22"/>
          <w:szCs w:val="22"/>
        </w:rPr>
        <w:lastRenderedPageBreak/>
        <w:t>“DESISTIMIENTO DE LA ACCIÓN DE AMPARO. SUS CONSECUENCIAS.</w:t>
      </w:r>
    </w:p>
    <w:p w14:paraId="2E20FE78" w14:textId="1D2D8CA4" w:rsidR="00C9153D" w:rsidRPr="00A35D00" w:rsidRDefault="00C9153D" w:rsidP="00E520D0">
      <w:pPr>
        <w:pStyle w:val="NormalWeb"/>
        <w:spacing w:before="0" w:beforeAutospacing="0" w:after="0" w:afterAutospacing="0"/>
        <w:ind w:left="851" w:right="901"/>
        <w:jc w:val="both"/>
        <w:rPr>
          <w:rFonts w:ascii="Palatino Linotype" w:hAnsi="Palatino Linotype"/>
          <w:i/>
          <w:iCs/>
          <w:color w:val="000000"/>
          <w:sz w:val="22"/>
          <w:szCs w:val="22"/>
        </w:rPr>
      </w:pPr>
      <w:r w:rsidRPr="00A35D00">
        <w:rPr>
          <w:rFonts w:ascii="Palatino Linotype" w:hAnsi="Palatino Linotype"/>
          <w:i/>
          <w:iCs/>
          <w:color w:val="000000"/>
          <w:sz w:val="22"/>
          <w:szCs w:val="22"/>
        </w:rPr>
        <w:t xml:space="preserve">El desistimiento de la acción de amparo consiste en la declaración de voluntad del quejoso de no proseguir con el juicio, el cual, debidamente ratificado, conlleva emitir una resolución con la </w:t>
      </w:r>
      <w:r w:rsidRPr="00A35D00">
        <w:rPr>
          <w:rFonts w:ascii="Palatino Linotype" w:hAnsi="Palatino Linotype"/>
          <w:b/>
          <w:bCs/>
          <w:i/>
          <w:iCs/>
          <w:color w:val="000000"/>
          <w:sz w:val="22"/>
          <w:szCs w:val="22"/>
        </w:rPr>
        <w:t>que finaliza la instancia</w:t>
      </w:r>
      <w:r w:rsidRPr="00A35D00">
        <w:rPr>
          <w:rFonts w:ascii="Palatino Linotype" w:hAnsi="Palatino Linotype"/>
          <w:i/>
          <w:iCs/>
          <w:color w:val="000000"/>
          <w:sz w:val="22"/>
          <w:szCs w:val="22"/>
        </w:rPr>
        <w:t xml:space="preserve"> de amparo, </w:t>
      </w:r>
      <w:r w:rsidRPr="00A35D00">
        <w:rPr>
          <w:rFonts w:ascii="Palatino Linotype" w:hAnsi="Palatino Linotype"/>
          <w:b/>
          <w:bCs/>
          <w:i/>
          <w:iCs/>
          <w:color w:val="000000"/>
          <w:sz w:val="22"/>
          <w:szCs w:val="22"/>
        </w:rPr>
        <w:t>independientemente de la etapa en que se encuentre (desde el inicio del juicio hasta antes de que cause ejecutoria la sentencia que se dicte)</w:t>
      </w:r>
      <w:r w:rsidRPr="00A35D00">
        <w:rPr>
          <w:rFonts w:ascii="Palatino Linotype" w:hAnsi="Palatino Linotype"/>
          <w:i/>
          <w:iCs/>
          <w:color w:val="000000"/>
          <w:sz w:val="22"/>
          <w:szCs w:val="22"/>
        </w:rPr>
        <w:t xml:space="preserve"> y </w:t>
      </w:r>
      <w:r w:rsidRPr="00A35D00">
        <w:rPr>
          <w:rFonts w:ascii="Palatino Linotype" w:hAnsi="Palatino Linotype"/>
          <w:b/>
          <w:bCs/>
          <w:i/>
          <w:iCs/>
          <w:color w:val="000000"/>
          <w:sz w:val="22"/>
          <w:szCs w:val="22"/>
        </w:rPr>
        <w:t>sin necesidad de examinar los conceptos de violación o, en su caso, los agravios.</w:t>
      </w:r>
      <w:r w:rsidR="00E520D0" w:rsidRPr="00A35D00">
        <w:t>”</w:t>
      </w:r>
      <w:r w:rsidR="00E520D0" w:rsidRPr="00A35D00">
        <w:rPr>
          <w:rFonts w:ascii="Palatino Linotype" w:hAnsi="Palatino Linotype"/>
          <w:i/>
          <w:iCs/>
          <w:color w:val="000000"/>
          <w:sz w:val="22"/>
          <w:szCs w:val="22"/>
        </w:rPr>
        <w:t xml:space="preserve"> (S</w:t>
      </w:r>
      <w:r w:rsidRPr="00A35D00">
        <w:rPr>
          <w:rFonts w:ascii="Palatino Linotype" w:hAnsi="Palatino Linotype"/>
          <w:i/>
          <w:iCs/>
          <w:color w:val="000000"/>
          <w:sz w:val="22"/>
          <w:szCs w:val="22"/>
        </w:rPr>
        <w:t>ic)</w:t>
      </w:r>
    </w:p>
    <w:p w14:paraId="77793BC7" w14:textId="2B6A3A66" w:rsidR="00E520D0" w:rsidRPr="00A35D00" w:rsidRDefault="00E520D0" w:rsidP="00E520D0">
      <w:pPr>
        <w:pStyle w:val="NormalWeb"/>
        <w:spacing w:before="0" w:beforeAutospacing="0" w:after="0" w:afterAutospacing="0"/>
        <w:ind w:left="851" w:right="901"/>
        <w:jc w:val="both"/>
      </w:pPr>
      <w:r w:rsidRPr="00A35D00">
        <w:rPr>
          <w:rFonts w:ascii="Palatino Linotype" w:hAnsi="Palatino Linotype"/>
          <w:i/>
          <w:iCs/>
          <w:color w:val="000000"/>
          <w:sz w:val="22"/>
          <w:szCs w:val="22"/>
        </w:rPr>
        <w:t>(Énfasis añadid)</w:t>
      </w:r>
    </w:p>
    <w:p w14:paraId="42CF1AFC" w14:textId="77777777" w:rsidR="00C9153D" w:rsidRPr="00A35D00" w:rsidRDefault="00C9153D" w:rsidP="00C9153D"/>
    <w:p w14:paraId="1E4B03C6" w14:textId="605EEF1E" w:rsidR="00C9153D" w:rsidRPr="00A35D00" w:rsidRDefault="0082556B" w:rsidP="00E520D0">
      <w:pPr>
        <w:pStyle w:val="NormalWeb"/>
        <w:spacing w:before="0" w:beforeAutospacing="0" w:after="0" w:afterAutospacing="0" w:line="360" w:lineRule="auto"/>
        <w:ind w:right="51"/>
        <w:jc w:val="both"/>
        <w:rPr>
          <w:rFonts w:ascii="Palatino Linotype" w:hAnsi="Palatino Linotype"/>
          <w:color w:val="000000"/>
        </w:rPr>
      </w:pPr>
      <w:r w:rsidRPr="00A35D00">
        <w:rPr>
          <w:rFonts w:ascii="Palatino Linotype" w:hAnsi="Palatino Linotype"/>
          <w:color w:val="000000"/>
        </w:rPr>
        <w:t>Por lo que</w:t>
      </w:r>
      <w:r w:rsidR="00C9153D" w:rsidRPr="00A35D00">
        <w:rPr>
          <w:rFonts w:ascii="Palatino Linotype" w:hAnsi="Palatino Linotype"/>
          <w:color w:val="000000"/>
        </w:rPr>
        <w:t>, se concluye que la manifestación de la voluntad de</w:t>
      </w:r>
      <w:r w:rsidRPr="00A35D00">
        <w:rPr>
          <w:rFonts w:ascii="Palatino Linotype" w:hAnsi="Palatino Linotype"/>
          <w:color w:val="000000"/>
        </w:rPr>
        <w:t>l</w:t>
      </w:r>
      <w:r w:rsidR="00C9153D" w:rsidRPr="00A35D00">
        <w:rPr>
          <w:rFonts w:ascii="Palatino Linotype" w:hAnsi="Palatino Linotype"/>
          <w:color w:val="000000"/>
        </w:rPr>
        <w:t xml:space="preserve"> </w:t>
      </w:r>
      <w:r w:rsidRPr="00A35D00">
        <w:rPr>
          <w:rFonts w:ascii="Palatino Linotype" w:hAnsi="Palatino Linotype"/>
          <w:color w:val="000000"/>
        </w:rPr>
        <w:t xml:space="preserve">promovente </w:t>
      </w:r>
      <w:r w:rsidR="00C9153D" w:rsidRPr="00A35D00">
        <w:rPr>
          <w:rFonts w:ascii="Palatino Linotype" w:hAnsi="Palatino Linotype"/>
          <w:color w:val="000000"/>
        </w:rPr>
        <w:t xml:space="preserve">respecto a desistirse de la acción ejercida, se entiende que este acepta de manera expresa que el procedimiento concluya sin </w:t>
      </w:r>
      <w:r w:rsidRPr="00A35D00">
        <w:rPr>
          <w:rFonts w:ascii="Palatino Linotype" w:hAnsi="Palatino Linotype"/>
          <w:color w:val="000000"/>
        </w:rPr>
        <w:t xml:space="preserve">que existan </w:t>
      </w:r>
      <w:r w:rsidR="00C9153D" w:rsidRPr="00A35D00">
        <w:rPr>
          <w:rFonts w:ascii="Palatino Linotype" w:hAnsi="Palatino Linotype"/>
          <w:color w:val="000000"/>
        </w:rPr>
        <w:t>consecuencias de derecho; asimismo, como lo señala la tesis aislada, el desistimiento del recurso por parte del actor gen</w:t>
      </w:r>
      <w:r w:rsidRPr="00A35D00">
        <w:rPr>
          <w:rFonts w:ascii="Palatino Linotype" w:hAnsi="Palatino Linotype"/>
          <w:color w:val="000000"/>
        </w:rPr>
        <w:t>era que el Órgano Resolutor, no entre al análisis de los planteamientos señalados</w:t>
      </w:r>
      <w:r w:rsidR="00C9153D" w:rsidRPr="00A35D00">
        <w:rPr>
          <w:rFonts w:ascii="Palatino Linotype" w:hAnsi="Palatino Linotype"/>
          <w:color w:val="000000"/>
        </w:rPr>
        <w:t xml:space="preserve"> en la Litis y únicamente realizar el análisis respecto a las actuaciones que subsistan, sin necesidad de examinar los agravios planteados.</w:t>
      </w:r>
    </w:p>
    <w:p w14:paraId="1B4D7A1E" w14:textId="77777777" w:rsidR="00A55ACE" w:rsidRPr="00A35D00" w:rsidRDefault="00A55ACE" w:rsidP="00E520D0">
      <w:pPr>
        <w:pStyle w:val="NormalWeb"/>
        <w:spacing w:before="0" w:beforeAutospacing="0" w:after="0" w:afterAutospacing="0" w:line="360" w:lineRule="auto"/>
        <w:ind w:right="51"/>
        <w:jc w:val="both"/>
        <w:rPr>
          <w:rFonts w:ascii="Palatino Linotype" w:hAnsi="Palatino Linotype"/>
          <w:color w:val="000000"/>
        </w:rPr>
      </w:pPr>
    </w:p>
    <w:p w14:paraId="42DF984D" w14:textId="77777777" w:rsidR="00182A80" w:rsidRPr="00A35D00" w:rsidRDefault="00182A80" w:rsidP="00E23485">
      <w:pPr>
        <w:pStyle w:val="NormalWeb"/>
        <w:spacing w:line="360" w:lineRule="auto"/>
        <w:ind w:right="51"/>
        <w:jc w:val="both"/>
        <w:rPr>
          <w:rFonts w:ascii="Palatino Linotype" w:hAnsi="Palatino Linotype"/>
        </w:rPr>
      </w:pPr>
      <w:r w:rsidRPr="00A35D00">
        <w:rPr>
          <w:rFonts w:ascii="Palatino Linotype" w:hAnsi="Palatino Linotype"/>
        </w:rPr>
        <w:t xml:space="preserve">Sirve como apoyo a lo anterior, la jurisprudencia emitida por la Segunda Sala de la Suprema Corte de Justicia de la Nación, que señala lo siguiente: </w:t>
      </w:r>
    </w:p>
    <w:p w14:paraId="06529F81" w14:textId="0D3B6F43" w:rsidR="00A55ACE" w:rsidRPr="00A35D00" w:rsidRDefault="00182A80" w:rsidP="00E23485">
      <w:pPr>
        <w:pStyle w:val="NormalWeb"/>
        <w:spacing w:before="0" w:beforeAutospacing="0" w:after="0" w:afterAutospacing="0"/>
        <w:ind w:left="851" w:right="616"/>
        <w:jc w:val="both"/>
        <w:rPr>
          <w:rFonts w:ascii="Palatino Linotype" w:hAnsi="Palatino Linotype"/>
          <w:i/>
          <w:sz w:val="22"/>
          <w:szCs w:val="22"/>
        </w:rPr>
      </w:pPr>
      <w:r w:rsidRPr="00A35D00">
        <w:rPr>
          <w:rFonts w:ascii="Palatino Linotype" w:hAnsi="Palatino Linotype"/>
          <w:b/>
          <w:i/>
          <w:sz w:val="22"/>
          <w:szCs w:val="22"/>
        </w:rPr>
        <w:t>“SOBRESEIMIENTO. NO PERMITE ENTRAR AL ESTUDIO DE LAS CUESTIONES DE FONDO.</w:t>
      </w:r>
      <w:r w:rsidRPr="00A35D00">
        <w:rPr>
          <w:rFonts w:ascii="Palatino Linotype" w:hAnsi="Palatino Linotype"/>
          <w:i/>
          <w:sz w:val="22"/>
          <w:szCs w:val="22"/>
        </w:rPr>
        <w:t xml:space="preserve"> No causa agravio la sentencia que no se ocupa de los razonamientos tendientes a demostrar la violación de garantías individuales por los actos reclamados de las autoridades responsables, que constituyen el problema de fondo, si se decreta el sobreseimiento del juicio.”(Sic)</w:t>
      </w:r>
    </w:p>
    <w:p w14:paraId="2509B97C" w14:textId="004B711A" w:rsidR="00C9153D" w:rsidRPr="00A35D00" w:rsidRDefault="00182A80" w:rsidP="00E23485">
      <w:pPr>
        <w:widowControl w:val="0"/>
        <w:tabs>
          <w:tab w:val="left" w:pos="1701"/>
          <w:tab w:val="left" w:pos="1843"/>
        </w:tabs>
        <w:autoSpaceDE w:val="0"/>
        <w:autoSpaceDN w:val="0"/>
        <w:adjustRightInd w:val="0"/>
        <w:spacing w:before="100" w:beforeAutospacing="1" w:after="100" w:afterAutospacing="1" w:line="360" w:lineRule="auto"/>
        <w:ind w:right="-516"/>
        <w:jc w:val="both"/>
        <w:rPr>
          <w:rFonts w:ascii="Palatino Linotype" w:eastAsiaTheme="minorEastAsia" w:hAnsi="Palatino Linotype" w:cs="Arial"/>
          <w:lang w:val="es-ES_tradnl"/>
        </w:rPr>
      </w:pPr>
      <w:r w:rsidRPr="00A35D00">
        <w:rPr>
          <w:rFonts w:ascii="Palatino Linotype" w:eastAsiaTheme="minorEastAsia" w:hAnsi="Palatino Linotype" w:cs="Arial"/>
          <w:lang w:val="es-ES_tradnl"/>
        </w:rPr>
        <w:t>Ambas tesis citadas con anterioridad, versan en el m</w:t>
      </w:r>
      <w:r w:rsidR="005676CC" w:rsidRPr="00A35D00">
        <w:rPr>
          <w:rFonts w:ascii="Palatino Linotype" w:eastAsiaTheme="minorEastAsia" w:hAnsi="Palatino Linotype" w:cs="Arial"/>
          <w:lang w:val="es-ES_tradnl"/>
        </w:rPr>
        <w:t xml:space="preserve">ismo sentido, estableciendo que al existir un desistimiento expreso por parte del </w:t>
      </w:r>
      <w:r w:rsidR="005676CC" w:rsidRPr="00A35D00">
        <w:rPr>
          <w:rFonts w:ascii="Palatino Linotype" w:eastAsiaTheme="minorEastAsia" w:hAnsi="Palatino Linotype" w:cs="Arial"/>
          <w:b/>
          <w:lang w:val="es-ES_tradnl"/>
        </w:rPr>
        <w:t xml:space="preserve">RECURRENTE </w:t>
      </w:r>
      <w:r w:rsidR="005676CC" w:rsidRPr="00A35D00">
        <w:rPr>
          <w:rFonts w:ascii="Palatino Linotype" w:eastAsiaTheme="minorEastAsia" w:hAnsi="Palatino Linotype" w:cs="Arial"/>
          <w:lang w:val="es-ES_tradnl"/>
        </w:rPr>
        <w:t xml:space="preserve">y, en </w:t>
      </w:r>
      <w:r w:rsidR="00E23485" w:rsidRPr="00A35D00">
        <w:rPr>
          <w:rFonts w:ascii="Palatino Linotype" w:eastAsiaTheme="minorEastAsia" w:hAnsi="Palatino Linotype" w:cs="Arial"/>
          <w:lang w:val="es-ES_tradnl"/>
        </w:rPr>
        <w:t>consecuencia,</w:t>
      </w:r>
      <w:r w:rsidR="005676CC" w:rsidRPr="00A35D00">
        <w:rPr>
          <w:rFonts w:ascii="Palatino Linotype" w:eastAsiaTheme="minorEastAsia" w:hAnsi="Palatino Linotype" w:cs="Arial"/>
          <w:lang w:val="es-ES_tradnl"/>
        </w:rPr>
        <w:t xml:space="preserve"> un sobreseimiento</w:t>
      </w:r>
      <w:r w:rsidR="0071218A" w:rsidRPr="00A35D00">
        <w:rPr>
          <w:rFonts w:ascii="Palatino Linotype" w:eastAsiaTheme="minorEastAsia" w:hAnsi="Palatino Linotype" w:cs="Arial"/>
          <w:lang w:val="es-ES_tradnl"/>
        </w:rPr>
        <w:t xml:space="preserve">, el procedimiento finaliza independientemente de la etapa en la que se </w:t>
      </w:r>
      <w:r w:rsidR="0071218A" w:rsidRPr="00A35D00">
        <w:rPr>
          <w:rFonts w:ascii="Palatino Linotype" w:eastAsiaTheme="minorEastAsia" w:hAnsi="Palatino Linotype" w:cs="Arial"/>
          <w:lang w:val="es-ES_tradnl"/>
        </w:rPr>
        <w:lastRenderedPageBreak/>
        <w:t xml:space="preserve">encuentra y por lo tanto no es materia de la presente resolución el estudio de las cuestiones de fondo del asunto. </w:t>
      </w:r>
    </w:p>
    <w:p w14:paraId="3C45F712" w14:textId="43EB90BC" w:rsidR="0071218A" w:rsidRPr="00A35D00" w:rsidRDefault="0071218A" w:rsidP="00E520D0">
      <w:pPr>
        <w:widowControl w:val="0"/>
        <w:tabs>
          <w:tab w:val="left" w:pos="1701"/>
          <w:tab w:val="left" w:pos="1843"/>
        </w:tabs>
        <w:autoSpaceDE w:val="0"/>
        <w:autoSpaceDN w:val="0"/>
        <w:adjustRightInd w:val="0"/>
        <w:spacing w:line="360" w:lineRule="auto"/>
        <w:ind w:right="-518"/>
        <w:jc w:val="both"/>
        <w:rPr>
          <w:rFonts w:ascii="Palatino Linotype" w:eastAsiaTheme="minorEastAsia" w:hAnsi="Palatino Linotype" w:cs="Arial"/>
          <w:lang w:val="es-ES_tradnl"/>
        </w:rPr>
      </w:pPr>
      <w:r w:rsidRPr="00A35D00">
        <w:rPr>
          <w:rFonts w:ascii="Palatino Linotype" w:eastAsiaTheme="minorEastAsia" w:hAnsi="Palatino Linotype" w:cs="Arial"/>
          <w:lang w:val="es-ES_tradnl"/>
        </w:rPr>
        <w:t xml:space="preserve">En ese sentido y atendiendo al caso en concreto, </w:t>
      </w:r>
      <w:r w:rsidR="00E23485" w:rsidRPr="00A35D00">
        <w:rPr>
          <w:rFonts w:ascii="Palatino Linotype" w:eastAsiaTheme="minorEastAsia" w:hAnsi="Palatino Linotype" w:cs="Arial"/>
          <w:lang w:val="es-ES_tradnl"/>
        </w:rPr>
        <w:t>d</w:t>
      </w:r>
      <w:r w:rsidRPr="00A35D00">
        <w:rPr>
          <w:rFonts w:ascii="Palatino Linotype" w:eastAsiaTheme="minorEastAsia" w:hAnsi="Palatino Linotype" w:cs="Arial"/>
          <w:lang w:val="es-ES_tradnl"/>
        </w:rPr>
        <w:t xml:space="preserve">icho estudio resulta igualmente innecesario, dado que el mismo </w:t>
      </w:r>
      <w:r w:rsidRPr="00A35D00">
        <w:rPr>
          <w:rFonts w:ascii="Palatino Linotype" w:eastAsiaTheme="minorEastAsia" w:hAnsi="Palatino Linotype" w:cs="Arial"/>
          <w:b/>
          <w:lang w:val="es-ES_tradnl"/>
        </w:rPr>
        <w:t xml:space="preserve">RECURRENTE </w:t>
      </w:r>
      <w:r w:rsidRPr="00A35D00">
        <w:rPr>
          <w:rFonts w:ascii="Palatino Linotype" w:eastAsiaTheme="minorEastAsia" w:hAnsi="Palatino Linotype" w:cs="Arial"/>
          <w:lang w:val="es-ES_tradnl"/>
        </w:rPr>
        <w:t xml:space="preserve">manifiesta su conformidad con la información obtenida </w:t>
      </w:r>
      <w:r w:rsidR="00E23485" w:rsidRPr="00A35D00">
        <w:rPr>
          <w:rFonts w:ascii="Palatino Linotype" w:eastAsiaTheme="minorEastAsia" w:hAnsi="Palatino Linotype" w:cs="Arial"/>
          <w:lang w:val="es-ES_tradnl"/>
        </w:rPr>
        <w:t xml:space="preserve">mediante diversa solicitud a un Sujeto Obligado diverso </w:t>
      </w:r>
      <w:r w:rsidRPr="00A35D00">
        <w:rPr>
          <w:rFonts w:ascii="Palatino Linotype" w:eastAsiaTheme="minorEastAsia" w:hAnsi="Palatino Linotype" w:cs="Arial"/>
          <w:lang w:val="es-ES_tradnl"/>
        </w:rPr>
        <w:t xml:space="preserve">al desistirse de continuar con el procedimiento. </w:t>
      </w:r>
    </w:p>
    <w:p w14:paraId="48BE2555" w14:textId="77777777" w:rsidR="00182A80" w:rsidRPr="00A35D00" w:rsidRDefault="00182A80" w:rsidP="00E520D0">
      <w:pPr>
        <w:widowControl w:val="0"/>
        <w:tabs>
          <w:tab w:val="left" w:pos="1701"/>
          <w:tab w:val="left" w:pos="1843"/>
        </w:tabs>
        <w:autoSpaceDE w:val="0"/>
        <w:autoSpaceDN w:val="0"/>
        <w:adjustRightInd w:val="0"/>
        <w:spacing w:line="360" w:lineRule="auto"/>
        <w:ind w:right="-518"/>
        <w:jc w:val="both"/>
        <w:rPr>
          <w:rFonts w:ascii="Palatino Linotype" w:eastAsiaTheme="minorEastAsia" w:hAnsi="Palatino Linotype" w:cs="Arial"/>
          <w:lang w:val="es-ES_tradnl"/>
        </w:rPr>
      </w:pPr>
    </w:p>
    <w:p w14:paraId="739F9FFA" w14:textId="42AC5EE4" w:rsidR="00083D1B" w:rsidRPr="00A35D00" w:rsidRDefault="001F19BC" w:rsidP="00F635D1">
      <w:pPr>
        <w:widowControl w:val="0"/>
        <w:autoSpaceDE w:val="0"/>
        <w:autoSpaceDN w:val="0"/>
        <w:adjustRightInd w:val="0"/>
        <w:spacing w:line="360" w:lineRule="auto"/>
        <w:jc w:val="both"/>
        <w:rPr>
          <w:rFonts w:ascii="Palatino Linotype" w:eastAsia="Calibri" w:hAnsi="Palatino Linotype" w:cs="Arial"/>
          <w:color w:val="000000" w:themeColor="text1"/>
        </w:rPr>
      </w:pPr>
      <w:r w:rsidRPr="00A35D00">
        <w:rPr>
          <w:rFonts w:ascii="Palatino Linotype" w:eastAsia="Calibri" w:hAnsi="Palatino Linotype" w:cs="Arial"/>
          <w:color w:val="000000" w:themeColor="text1"/>
        </w:rPr>
        <w:t xml:space="preserve">Así, con </w:t>
      </w:r>
      <w:r w:rsidRPr="00A35D00">
        <w:rPr>
          <w:rFonts w:ascii="Palatino Linotype" w:hAnsi="Palatino Linotype" w:cs="Arial"/>
          <w:color w:val="000000" w:themeColor="text1"/>
        </w:rPr>
        <w:t>fundamento</w:t>
      </w:r>
      <w:r w:rsidRPr="00A35D00">
        <w:rPr>
          <w:rFonts w:ascii="Palatino Linotype" w:eastAsia="Calibri" w:hAnsi="Palatino Linotype" w:cs="Arial"/>
          <w:color w:val="000000" w:themeColor="text1"/>
        </w:rPr>
        <w:t xml:space="preserve"> en lo prescrito en los artículos 5, </w:t>
      </w:r>
      <w:r w:rsidRPr="00A35D00">
        <w:rPr>
          <w:rFonts w:ascii="Palatino Linotype" w:eastAsia="Calibri" w:hAnsi="Palatino Linotype" w:cs="Arial"/>
          <w:color w:val="000000" w:themeColor="text1"/>
          <w:lang w:val="es-ES_tradnl"/>
        </w:rPr>
        <w:t xml:space="preserve">párrafos </w:t>
      </w:r>
      <w:bookmarkStart w:id="1" w:name="_Hlk65874252"/>
      <w:r w:rsidRPr="00A35D00">
        <w:rPr>
          <w:rFonts w:ascii="Palatino Linotype" w:eastAsia="Calibri" w:hAnsi="Palatino Linotype" w:cs="Arial"/>
          <w:color w:val="000000" w:themeColor="text1"/>
          <w:lang w:val="es-ES_tradnl"/>
        </w:rPr>
        <w:t>trigésimo, trigésimo primero y trigésimo segundo</w:t>
      </w:r>
      <w:bookmarkEnd w:id="1"/>
      <w:r w:rsidRPr="00A35D00">
        <w:rPr>
          <w:rFonts w:ascii="Palatino Linotype" w:hAnsi="Palatino Linotype" w:cs="Arial"/>
          <w:color w:val="000000" w:themeColor="text1"/>
        </w:rPr>
        <w:t>,</w:t>
      </w:r>
      <w:r w:rsidRPr="00A35D00">
        <w:rPr>
          <w:rFonts w:ascii="Palatino Linotype" w:hAnsi="Palatino Linotype"/>
          <w:color w:val="000000" w:themeColor="text1"/>
        </w:rPr>
        <w:t xml:space="preserve"> fracciones IV y V,</w:t>
      </w:r>
      <w:r w:rsidRPr="00A35D00">
        <w:rPr>
          <w:rFonts w:ascii="Palatino Linotype" w:eastAsia="Calibri" w:hAnsi="Palatino Linotype" w:cs="Arial"/>
          <w:color w:val="000000" w:themeColor="text1"/>
        </w:rPr>
        <w:t xml:space="preserve"> de la Constitución Política del Estado Libre y Soberano de </w:t>
      </w:r>
      <w:r w:rsidRPr="00A35D00">
        <w:rPr>
          <w:rFonts w:ascii="Palatino Linotype" w:hAnsi="Palatino Linotype" w:cs="Arial"/>
          <w:color w:val="000000" w:themeColor="text1"/>
          <w:lang w:val="es-ES_tradnl"/>
        </w:rPr>
        <w:t>México</w:t>
      </w:r>
      <w:r w:rsidRPr="00A35D00">
        <w:rPr>
          <w:rFonts w:ascii="Palatino Linotype" w:eastAsia="Calibri" w:hAnsi="Palatino Linotype" w:cs="Arial"/>
          <w:color w:val="000000" w:themeColor="text1"/>
        </w:rPr>
        <w:t xml:space="preserve">, y los artículos </w:t>
      </w:r>
      <w:r w:rsidRPr="00A35D00">
        <w:rPr>
          <w:rFonts w:ascii="Palatino Linotype" w:hAnsi="Palatino Linotype"/>
          <w:color w:val="000000" w:themeColor="text1"/>
        </w:rPr>
        <w:t xml:space="preserve">2, </w:t>
      </w:r>
      <w:r w:rsidRPr="00A35D00">
        <w:rPr>
          <w:rFonts w:ascii="Palatino Linotype" w:hAnsi="Palatino Linotype" w:cs="Arial"/>
          <w:color w:val="000000" w:themeColor="text1"/>
        </w:rPr>
        <w:t>fracción</w:t>
      </w:r>
      <w:r w:rsidRPr="00A35D00">
        <w:rPr>
          <w:rFonts w:ascii="Palatino Linotype" w:hAnsi="Palatino Linotype"/>
          <w:color w:val="000000" w:themeColor="text1"/>
        </w:rPr>
        <w:t xml:space="preserve"> II, 9, </w:t>
      </w:r>
      <w:r w:rsidRPr="00A35D00">
        <w:rPr>
          <w:rFonts w:ascii="Palatino Linotype" w:hAnsi="Palatino Linotype" w:cs="Arial"/>
          <w:color w:val="000000" w:themeColor="text1"/>
          <w:lang w:val="es-ES_tradnl"/>
        </w:rPr>
        <w:t>29</w:t>
      </w:r>
      <w:r w:rsidRPr="00A35D00">
        <w:rPr>
          <w:rFonts w:ascii="Palatino Linotype" w:hAnsi="Palatino Linotype"/>
          <w:color w:val="000000" w:themeColor="text1"/>
        </w:rPr>
        <w:t>, 36, fracciones I y II, 176, 178, 179, 181, 185, fracción I, 186 y 188,</w:t>
      </w:r>
      <w:r w:rsidRPr="00A35D00">
        <w:rPr>
          <w:rFonts w:ascii="Palatino Linotype" w:eastAsia="Calibri" w:hAnsi="Palatino Linotype" w:cs="Arial"/>
          <w:color w:val="000000" w:themeColor="text1"/>
        </w:rPr>
        <w:t xml:space="preserve"> de la Ley de Transparencia y Acceso a la Información Pública del Estado de México y </w:t>
      </w:r>
      <w:r w:rsidRPr="00A35D00">
        <w:rPr>
          <w:rFonts w:ascii="Palatino Linotype" w:hAnsi="Palatino Linotype" w:cs="Arial"/>
          <w:color w:val="000000" w:themeColor="text1"/>
        </w:rPr>
        <w:t>Municipios</w:t>
      </w:r>
      <w:r w:rsidRPr="00A35D00">
        <w:rPr>
          <w:rFonts w:ascii="Palatino Linotype" w:eastAsia="Calibri" w:hAnsi="Palatino Linotype" w:cs="Arial"/>
          <w:color w:val="000000" w:themeColor="text1"/>
        </w:rPr>
        <w:t xml:space="preserve">, </w:t>
      </w:r>
      <w:r w:rsidRPr="00A35D00">
        <w:rPr>
          <w:rFonts w:ascii="Palatino Linotype" w:hAnsi="Palatino Linotype"/>
          <w:color w:val="000000" w:themeColor="text1"/>
        </w:rPr>
        <w:t>este</w:t>
      </w:r>
      <w:r w:rsidR="00A31AF6" w:rsidRPr="00A35D00">
        <w:rPr>
          <w:rFonts w:ascii="Palatino Linotype" w:eastAsia="Calibri" w:hAnsi="Palatino Linotype" w:cs="Arial"/>
          <w:color w:val="000000" w:themeColor="text1"/>
        </w:rPr>
        <w:t xml:space="preserve"> Pleno:</w:t>
      </w:r>
    </w:p>
    <w:p w14:paraId="56082038" w14:textId="6A9E3BA7" w:rsidR="00E520D0" w:rsidRPr="00A35D00" w:rsidRDefault="00AE360E" w:rsidP="00F635D1">
      <w:pPr>
        <w:spacing w:before="100" w:beforeAutospacing="1" w:after="100" w:afterAutospacing="1" w:line="360" w:lineRule="auto"/>
        <w:jc w:val="center"/>
        <w:rPr>
          <w:rFonts w:ascii="Palatino Linotype" w:eastAsia="Calibri" w:hAnsi="Palatino Linotype" w:cs="Arial"/>
          <w:b/>
          <w:sz w:val="28"/>
          <w:lang w:val="pt-BR"/>
        </w:rPr>
      </w:pPr>
      <w:r w:rsidRPr="00A35D00">
        <w:rPr>
          <w:rFonts w:ascii="Palatino Linotype" w:eastAsia="Calibri" w:hAnsi="Palatino Linotype" w:cs="Arial"/>
          <w:b/>
          <w:sz w:val="28"/>
          <w:lang w:val="pt-BR"/>
        </w:rPr>
        <w:t>R E S U E L V E</w:t>
      </w:r>
    </w:p>
    <w:p w14:paraId="68D6F0FE" w14:textId="6FE21AD9" w:rsidR="00AE360E" w:rsidRPr="00A35D00" w:rsidRDefault="00AE360E" w:rsidP="00AE360E">
      <w:pPr>
        <w:spacing w:before="100" w:beforeAutospacing="1" w:after="100" w:afterAutospacing="1" w:line="360" w:lineRule="auto"/>
        <w:jc w:val="both"/>
        <w:rPr>
          <w:rFonts w:ascii="Palatino Linotype" w:eastAsia="Calibri" w:hAnsi="Palatino Linotype" w:cs="Arial"/>
        </w:rPr>
      </w:pPr>
      <w:r w:rsidRPr="00A35D00">
        <w:rPr>
          <w:rFonts w:ascii="Palatino Linotype" w:eastAsia="Calibri" w:hAnsi="Palatino Linotype" w:cs="Arial"/>
          <w:b/>
          <w:sz w:val="28"/>
          <w:lang w:val="pt-BR"/>
        </w:rPr>
        <w:t>PRIMERO</w:t>
      </w:r>
      <w:r w:rsidRPr="00A35D00">
        <w:rPr>
          <w:rFonts w:ascii="Palatino Linotype" w:eastAsia="Calibri" w:hAnsi="Palatino Linotype" w:cs="Arial"/>
          <w:lang w:val="pt-BR"/>
        </w:rPr>
        <w:t xml:space="preserve">. </w:t>
      </w:r>
      <w:r w:rsidR="00E520D0" w:rsidRPr="00A35D00">
        <w:rPr>
          <w:rFonts w:ascii="Palatino Linotype" w:eastAsia="Calibri" w:hAnsi="Palatino Linotype" w:cs="Arial"/>
        </w:rPr>
        <w:t xml:space="preserve">Se </w:t>
      </w:r>
      <w:r w:rsidR="00E520D0" w:rsidRPr="00A35D00">
        <w:rPr>
          <w:rFonts w:ascii="Palatino Linotype" w:eastAsia="Calibri" w:hAnsi="Palatino Linotype" w:cs="Arial"/>
          <w:b/>
        </w:rPr>
        <w:t>SOBRESEE</w:t>
      </w:r>
      <w:r w:rsidR="00E520D0" w:rsidRPr="00A35D00">
        <w:rPr>
          <w:rFonts w:ascii="Palatino Linotype" w:eastAsia="Calibri" w:hAnsi="Palatino Linotype" w:cs="Arial"/>
        </w:rPr>
        <w:t xml:space="preserve"> el recurso de revisión número </w:t>
      </w:r>
      <w:r w:rsidR="00E23485" w:rsidRPr="00A35D00">
        <w:rPr>
          <w:rFonts w:ascii="Palatino Linotype" w:eastAsia="Calibri" w:hAnsi="Palatino Linotype" w:cs="Arial"/>
          <w:b/>
        </w:rPr>
        <w:t>04992</w:t>
      </w:r>
      <w:r w:rsidR="00E520D0" w:rsidRPr="00A35D00">
        <w:rPr>
          <w:rFonts w:ascii="Palatino Linotype" w:eastAsia="Calibri" w:hAnsi="Palatino Linotype" w:cs="Arial"/>
          <w:b/>
        </w:rPr>
        <w:t>/INFOEM/IP/RR</w:t>
      </w:r>
      <w:r w:rsidR="00F36D35" w:rsidRPr="00A35D00">
        <w:rPr>
          <w:rFonts w:ascii="Palatino Linotype" w:eastAsia="Calibri" w:hAnsi="Palatino Linotype" w:cs="Arial"/>
          <w:b/>
        </w:rPr>
        <w:t>/</w:t>
      </w:r>
      <w:r w:rsidR="00E520D0" w:rsidRPr="00A35D00">
        <w:rPr>
          <w:rFonts w:ascii="Palatino Linotype" w:eastAsia="Calibri" w:hAnsi="Palatino Linotype" w:cs="Arial"/>
          <w:b/>
        </w:rPr>
        <w:t>2021</w:t>
      </w:r>
      <w:r w:rsidR="00E520D0" w:rsidRPr="00A35D00">
        <w:rPr>
          <w:rFonts w:ascii="Palatino Linotype" w:eastAsia="Calibri" w:hAnsi="Palatino Linotype" w:cs="Arial"/>
        </w:rPr>
        <w:t xml:space="preserve">, por haberse desistido expresamente </w:t>
      </w:r>
      <w:r w:rsidR="00E520D0" w:rsidRPr="00A35D00">
        <w:rPr>
          <w:rFonts w:ascii="Palatino Linotype" w:eastAsia="Calibri" w:hAnsi="Palatino Linotype" w:cs="Arial"/>
          <w:b/>
        </w:rPr>
        <w:t>EL RECURRENTE</w:t>
      </w:r>
      <w:r w:rsidR="00E520D0" w:rsidRPr="00A35D00">
        <w:rPr>
          <w:rFonts w:ascii="Palatino Linotype" w:eastAsia="Calibri" w:hAnsi="Palatino Linotype" w:cs="Arial"/>
        </w:rPr>
        <w:t xml:space="preserve"> en términos del Considerando </w:t>
      </w:r>
      <w:r w:rsidR="00E520D0" w:rsidRPr="00A35D00">
        <w:rPr>
          <w:rFonts w:ascii="Palatino Linotype" w:eastAsia="Calibri" w:hAnsi="Palatino Linotype" w:cs="Arial"/>
          <w:b/>
        </w:rPr>
        <w:t>QUINTO</w:t>
      </w:r>
      <w:r w:rsidR="00E520D0" w:rsidRPr="00A35D00">
        <w:rPr>
          <w:rFonts w:ascii="Palatino Linotype" w:eastAsia="Calibri" w:hAnsi="Palatino Linotype" w:cs="Arial"/>
        </w:rPr>
        <w:t xml:space="preserve"> de la presente resolución </w:t>
      </w:r>
    </w:p>
    <w:p w14:paraId="48F770BB" w14:textId="5E344DE5" w:rsidR="00AE360E" w:rsidRPr="00A35D00" w:rsidRDefault="00AE360E" w:rsidP="00AE360E">
      <w:pPr>
        <w:spacing w:line="360" w:lineRule="auto"/>
        <w:jc w:val="both"/>
        <w:rPr>
          <w:rFonts w:ascii="Palatino Linotype" w:eastAsia="Calibri" w:hAnsi="Palatino Linotype" w:cs="Arial"/>
          <w:i/>
        </w:rPr>
      </w:pPr>
      <w:r w:rsidRPr="00A35D00">
        <w:rPr>
          <w:rFonts w:ascii="Palatino Linotype" w:eastAsia="Calibri" w:hAnsi="Palatino Linotype" w:cs="Arial"/>
          <w:b/>
          <w:sz w:val="28"/>
        </w:rPr>
        <w:t>SEGUNDO</w:t>
      </w:r>
      <w:r w:rsidRPr="00A35D00">
        <w:rPr>
          <w:rFonts w:ascii="Palatino Linotype" w:eastAsia="Calibri" w:hAnsi="Palatino Linotype" w:cs="Arial"/>
        </w:rPr>
        <w:t xml:space="preserve">. </w:t>
      </w:r>
      <w:r w:rsidRPr="00A35D00">
        <w:rPr>
          <w:rFonts w:ascii="Palatino Linotype" w:eastAsia="Calibri" w:hAnsi="Palatino Linotype" w:cs="Arial"/>
          <w:b/>
        </w:rPr>
        <w:t>Notifíquese</w:t>
      </w:r>
      <w:r w:rsidRPr="00A35D00">
        <w:rPr>
          <w:rFonts w:ascii="Palatino Linotype" w:eastAsia="Calibri" w:hAnsi="Palatino Linotype" w:cs="Arial"/>
        </w:rPr>
        <w:t xml:space="preserve"> a la Titular de la Unidad de Transparencia del </w:t>
      </w:r>
      <w:r w:rsidRPr="00A35D00">
        <w:rPr>
          <w:rFonts w:ascii="Palatino Linotype" w:eastAsia="Calibri" w:hAnsi="Palatino Linotype" w:cs="Arial"/>
          <w:b/>
        </w:rPr>
        <w:t>SUJETO OBLIGADO</w:t>
      </w:r>
      <w:r w:rsidRPr="00A35D00">
        <w:rPr>
          <w:rFonts w:ascii="Palatino Linotype" w:eastAsia="Calibri" w:hAnsi="Palatino Linotype" w:cs="Arial"/>
        </w:rPr>
        <w:t>, para</w:t>
      </w:r>
      <w:r w:rsidR="00E520D0" w:rsidRPr="00A35D00">
        <w:rPr>
          <w:rFonts w:ascii="Palatino Linotype" w:eastAsia="Calibri" w:hAnsi="Palatino Linotype" w:cs="Arial"/>
        </w:rPr>
        <w:t xml:space="preserve"> su conocimiento</w:t>
      </w:r>
      <w:r w:rsidRPr="00A35D00">
        <w:rPr>
          <w:rFonts w:ascii="Palatino Linotype" w:eastAsia="Calibri" w:hAnsi="Palatino Linotype" w:cs="Arial"/>
        </w:rPr>
        <w:t>.</w:t>
      </w:r>
    </w:p>
    <w:p w14:paraId="57AC8D60" w14:textId="14699E62" w:rsidR="00AE360E" w:rsidRPr="00A35D00" w:rsidRDefault="00E520D0" w:rsidP="00AE360E">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A35D00">
        <w:rPr>
          <w:rFonts w:ascii="Palatino Linotype" w:eastAsia="Calibri" w:hAnsi="Palatino Linotype" w:cs="Arial"/>
          <w:b/>
          <w:sz w:val="28"/>
        </w:rPr>
        <w:t>TERCERO</w:t>
      </w:r>
      <w:r w:rsidR="00AE360E" w:rsidRPr="00A35D00">
        <w:rPr>
          <w:rFonts w:ascii="Palatino Linotype" w:eastAsia="Calibri" w:hAnsi="Palatino Linotype" w:cs="Arial"/>
        </w:rPr>
        <w:t xml:space="preserve">. </w:t>
      </w:r>
      <w:r w:rsidR="00AE360E" w:rsidRPr="00A35D00">
        <w:rPr>
          <w:rFonts w:ascii="Palatino Linotype" w:hAnsi="Palatino Linotype"/>
          <w:b/>
          <w:szCs w:val="17"/>
          <w:lang w:eastAsia="es-ES_tradnl"/>
        </w:rPr>
        <w:t>Notifíquese</w:t>
      </w:r>
      <w:r w:rsidR="00AE360E" w:rsidRPr="00A35D00">
        <w:rPr>
          <w:rFonts w:ascii="Palatino Linotype" w:hAnsi="Palatino Linotype"/>
          <w:szCs w:val="17"/>
          <w:lang w:eastAsia="es-ES_tradnl"/>
        </w:rPr>
        <w:t xml:space="preserve"> al</w:t>
      </w:r>
      <w:r w:rsidR="00AE360E" w:rsidRPr="00A35D00">
        <w:rPr>
          <w:rFonts w:ascii="Palatino Linotype" w:hAnsi="Palatino Linotype" w:cs="Arial"/>
          <w:b/>
        </w:rPr>
        <w:t xml:space="preserve"> RECURRENTE</w:t>
      </w:r>
      <w:r w:rsidR="00AE360E" w:rsidRPr="00A35D00">
        <w:rPr>
          <w:rFonts w:ascii="Palatino Linotype" w:hAnsi="Palatino Linotype"/>
          <w:szCs w:val="17"/>
          <w:lang w:eastAsia="es-ES_tradnl"/>
        </w:rPr>
        <w:t xml:space="preserve"> </w:t>
      </w:r>
      <w:r w:rsidRPr="00A35D00">
        <w:rPr>
          <w:rFonts w:ascii="Palatino Linotype" w:hAnsi="Palatino Linotype"/>
          <w:szCs w:val="17"/>
          <w:lang w:eastAsia="es-ES_tradnl"/>
        </w:rPr>
        <w:t xml:space="preserve">vía </w:t>
      </w:r>
      <w:r w:rsidRPr="00A35D00">
        <w:rPr>
          <w:rFonts w:ascii="Palatino Linotype" w:hAnsi="Palatino Linotype"/>
          <w:b/>
          <w:szCs w:val="17"/>
          <w:lang w:eastAsia="es-ES_tradnl"/>
        </w:rPr>
        <w:t>SAIMEX</w:t>
      </w:r>
      <w:r w:rsidRPr="00A35D00">
        <w:rPr>
          <w:rFonts w:ascii="Palatino Linotype" w:hAnsi="Palatino Linotype"/>
          <w:szCs w:val="17"/>
          <w:lang w:eastAsia="es-ES_tradnl"/>
        </w:rPr>
        <w:t xml:space="preserve"> </w:t>
      </w:r>
      <w:r w:rsidR="00AE360E" w:rsidRPr="00A35D00">
        <w:rPr>
          <w:rFonts w:ascii="Palatino Linotype" w:hAnsi="Palatino Linotype"/>
          <w:szCs w:val="17"/>
          <w:lang w:eastAsia="es-ES_tradnl"/>
        </w:rPr>
        <w:t>la presente resolución.</w:t>
      </w:r>
    </w:p>
    <w:p w14:paraId="11B874BE" w14:textId="29979EE4" w:rsidR="00AE360E" w:rsidRPr="00A35D00" w:rsidRDefault="00E520D0" w:rsidP="00AE360E">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A35D00">
        <w:rPr>
          <w:rFonts w:ascii="Palatino Linotype" w:eastAsia="Calibri" w:hAnsi="Palatino Linotype" w:cs="Arial"/>
          <w:b/>
          <w:sz w:val="28"/>
        </w:rPr>
        <w:t>CUARTO</w:t>
      </w:r>
      <w:r w:rsidR="00AE360E" w:rsidRPr="00A35D00">
        <w:rPr>
          <w:rFonts w:ascii="Palatino Linotype" w:eastAsia="Calibri" w:hAnsi="Palatino Linotype" w:cs="Arial"/>
        </w:rPr>
        <w:t xml:space="preserve">. </w:t>
      </w:r>
      <w:r w:rsidR="00AE360E" w:rsidRPr="00A35D00">
        <w:rPr>
          <w:rFonts w:ascii="Palatino Linotype" w:hAnsi="Palatino Linotype"/>
          <w:b/>
          <w:szCs w:val="17"/>
          <w:lang w:eastAsia="es-ES_tradnl"/>
        </w:rPr>
        <w:t>Hágase</w:t>
      </w:r>
      <w:r w:rsidR="00AE360E" w:rsidRPr="00A35D00">
        <w:rPr>
          <w:rFonts w:ascii="Palatino Linotype" w:hAnsi="Palatino Linotype"/>
          <w:szCs w:val="17"/>
          <w:lang w:eastAsia="es-ES_tradnl"/>
        </w:rPr>
        <w:t xml:space="preserve"> </w:t>
      </w:r>
      <w:r w:rsidR="00AE360E" w:rsidRPr="00A35D00">
        <w:rPr>
          <w:rFonts w:ascii="Palatino Linotype" w:hAnsi="Palatino Linotype"/>
          <w:b/>
          <w:szCs w:val="17"/>
          <w:lang w:eastAsia="es-ES_tradnl"/>
        </w:rPr>
        <w:t>del conocimiento</w:t>
      </w:r>
      <w:r w:rsidR="00AE360E" w:rsidRPr="00A35D00">
        <w:rPr>
          <w:rFonts w:ascii="Palatino Linotype" w:hAnsi="Palatino Linotype"/>
          <w:szCs w:val="17"/>
          <w:lang w:eastAsia="es-ES_tradnl"/>
        </w:rPr>
        <w:t xml:space="preserve"> </w:t>
      </w:r>
      <w:r w:rsidR="00AE360E" w:rsidRPr="00A35D00">
        <w:rPr>
          <w:rFonts w:ascii="Palatino Linotype" w:hAnsi="Palatino Linotype"/>
        </w:rPr>
        <w:t xml:space="preserve">del </w:t>
      </w:r>
      <w:r w:rsidR="00AE360E" w:rsidRPr="00A35D00">
        <w:rPr>
          <w:rFonts w:ascii="Palatino Linotype" w:hAnsi="Palatino Linotype" w:cs="Arial"/>
          <w:b/>
        </w:rPr>
        <w:t>RECURRENTE</w:t>
      </w:r>
      <w:r w:rsidR="00AE360E" w:rsidRPr="00A35D00">
        <w:rPr>
          <w:rFonts w:ascii="Palatino Linotype" w:hAnsi="Palatino Linotype"/>
        </w:rPr>
        <w:t xml:space="preserve"> </w:t>
      </w:r>
      <w:r w:rsidR="00AE360E" w:rsidRPr="00A35D00">
        <w:rPr>
          <w:rFonts w:ascii="Palatino Linotype" w:hAnsi="Palatino Linotype"/>
          <w:szCs w:val="17"/>
          <w:lang w:eastAsia="es-ES_tradnl"/>
        </w:rPr>
        <w:t xml:space="preserve">que, de conformidad </w:t>
      </w:r>
      <w:r w:rsidR="00AE360E" w:rsidRPr="00A35D00">
        <w:rPr>
          <w:rFonts w:ascii="Palatino Linotype" w:hAnsi="Palatino Linotype" w:cs="Arial"/>
        </w:rPr>
        <w:t>con</w:t>
      </w:r>
      <w:r w:rsidR="00AE360E" w:rsidRPr="00A35D00">
        <w:rPr>
          <w:rFonts w:ascii="Palatino Linotype" w:hAnsi="Palatino Linotype"/>
          <w:szCs w:val="17"/>
          <w:lang w:eastAsia="es-ES_tradnl"/>
        </w:rPr>
        <w:t xml:space="preserve"> lo </w:t>
      </w:r>
      <w:r w:rsidR="00AE360E" w:rsidRPr="00A35D00">
        <w:rPr>
          <w:rFonts w:ascii="Palatino Linotype" w:hAnsi="Palatino Linotype" w:cs="Arial"/>
        </w:rPr>
        <w:t>establecido</w:t>
      </w:r>
      <w:r w:rsidR="00AE360E" w:rsidRPr="00A35D00">
        <w:rPr>
          <w:rFonts w:ascii="Palatino Linotype" w:hAnsi="Palatino Linotype"/>
          <w:szCs w:val="17"/>
          <w:lang w:eastAsia="es-ES_tradnl"/>
        </w:rPr>
        <w:t xml:space="preserve"> en el artículo 196 de la Ley de </w:t>
      </w:r>
      <w:r w:rsidR="00AE360E" w:rsidRPr="00A35D00">
        <w:rPr>
          <w:rFonts w:ascii="Palatino Linotype" w:hAnsi="Palatino Linotype" w:cs="Arial"/>
        </w:rPr>
        <w:t>Transparencia</w:t>
      </w:r>
      <w:r w:rsidR="00AE360E" w:rsidRPr="00A35D00">
        <w:rPr>
          <w:rFonts w:ascii="Palatino Linotype" w:hAnsi="Palatino Linotype"/>
          <w:szCs w:val="17"/>
          <w:lang w:eastAsia="es-ES_tradnl"/>
        </w:rPr>
        <w:t xml:space="preserve"> y </w:t>
      </w:r>
      <w:r w:rsidR="00AE360E" w:rsidRPr="00A35D00">
        <w:rPr>
          <w:rFonts w:ascii="Palatino Linotype" w:hAnsi="Palatino Linotype" w:cs="Arial"/>
        </w:rPr>
        <w:t>Acceso</w:t>
      </w:r>
      <w:r w:rsidR="00AE360E" w:rsidRPr="00A35D00">
        <w:rPr>
          <w:rFonts w:ascii="Palatino Linotype" w:hAnsi="Palatino Linotype"/>
          <w:szCs w:val="17"/>
          <w:lang w:eastAsia="es-ES_tradnl"/>
        </w:rPr>
        <w:t xml:space="preserve"> a la Información </w:t>
      </w:r>
      <w:r w:rsidR="00AE360E" w:rsidRPr="00A35D00">
        <w:rPr>
          <w:rFonts w:ascii="Palatino Linotype" w:hAnsi="Palatino Linotype"/>
          <w:lang w:eastAsia="es-ES_tradnl"/>
        </w:rPr>
        <w:lastRenderedPageBreak/>
        <w:t>Pública</w:t>
      </w:r>
      <w:r w:rsidR="00AE360E" w:rsidRPr="00A35D00">
        <w:rPr>
          <w:rFonts w:ascii="Palatino Linotype" w:hAnsi="Palatino Linotype"/>
          <w:szCs w:val="17"/>
          <w:lang w:eastAsia="es-ES_tradnl"/>
        </w:rPr>
        <w:t xml:space="preserve"> del Estado de México y Municipios, podrá impugnarla vía Juicio de Amparo en los términos de las leyes aplicables.</w:t>
      </w:r>
    </w:p>
    <w:p w14:paraId="61904B69" w14:textId="0B9CEA06" w:rsidR="003505EC" w:rsidRPr="00A35D00" w:rsidRDefault="007C3064" w:rsidP="002F0CE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35D00">
        <w:rPr>
          <w:rFonts w:ascii="Palatino Linotype" w:hAnsi="Palatino Linotype" w:cs="Arial"/>
        </w:rPr>
        <w:t>ASÍ LO RESUELVE, POR UNANIMIDAD DE VOTOS EL PLENO DEL</w:t>
      </w:r>
      <w:r w:rsidRPr="00A35D00">
        <w:rPr>
          <w:rFonts w:ascii="Palatino Linotype" w:eastAsia="Arial Unicode MS" w:hAnsi="Palatino Linotype" w:cs="Arial"/>
        </w:rPr>
        <w:t xml:space="preserve"> INSTITUTO DE </w:t>
      </w:r>
      <w:r w:rsidRPr="00A35D00">
        <w:rPr>
          <w:rFonts w:ascii="Palatino Linotype" w:hAnsi="Palatino Linotype"/>
          <w:lang w:eastAsia="en-US"/>
        </w:rPr>
        <w:t>TRANSPARENCIA</w:t>
      </w:r>
      <w:r w:rsidRPr="00A35D00">
        <w:rPr>
          <w:rFonts w:ascii="Palatino Linotype" w:eastAsia="Arial Unicode MS" w:hAnsi="Palatino Linotype" w:cs="Arial"/>
        </w:rPr>
        <w:t>, ACCESO A LA INFORMACIÓN PÚBLICA Y PROTECCIÓN DE DATOS PERSONALES DEL ESTADO DE MÉXICO Y MUNICIPIOS</w:t>
      </w:r>
      <w:r w:rsidRPr="00A35D00">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sidR="00757CFD" w:rsidRPr="00A35D00">
        <w:rPr>
          <w:rFonts w:ascii="Palatino Linotype" w:hAnsi="Palatino Linotype" w:cs="Arial"/>
        </w:rPr>
        <w:t xml:space="preserve">CUADRAGÉSIMA </w:t>
      </w:r>
      <w:r w:rsidR="00E23485" w:rsidRPr="00A35D00">
        <w:rPr>
          <w:rFonts w:ascii="Palatino Linotype" w:hAnsi="Palatino Linotype" w:cs="Arial"/>
        </w:rPr>
        <w:t xml:space="preserve">PRIMERA </w:t>
      </w:r>
      <w:r w:rsidRPr="00A35D00">
        <w:rPr>
          <w:rFonts w:ascii="Palatino Linotype" w:hAnsi="Palatino Linotype" w:cs="Arial"/>
        </w:rPr>
        <w:t xml:space="preserve">SESIÓN ORDINARIA CELEBRADA EL </w:t>
      </w:r>
      <w:r w:rsidR="00757CFD" w:rsidRPr="00A35D00">
        <w:rPr>
          <w:rFonts w:ascii="Palatino Linotype" w:hAnsi="Palatino Linotype" w:cs="Arial"/>
        </w:rPr>
        <w:t>DIE</w:t>
      </w:r>
      <w:r w:rsidR="00F36D35" w:rsidRPr="00A35D00">
        <w:rPr>
          <w:rFonts w:ascii="Palatino Linotype" w:hAnsi="Palatino Linotype" w:cs="Arial"/>
        </w:rPr>
        <w:t xml:space="preserve">CIOCHO </w:t>
      </w:r>
      <w:r w:rsidR="00E23485" w:rsidRPr="00A35D00">
        <w:rPr>
          <w:rFonts w:ascii="Palatino Linotype" w:hAnsi="Palatino Linotype" w:cs="Arial"/>
        </w:rPr>
        <w:t xml:space="preserve">DE </w:t>
      </w:r>
      <w:r w:rsidR="00757CFD" w:rsidRPr="00A35D00">
        <w:rPr>
          <w:rFonts w:ascii="Palatino Linotype" w:hAnsi="Palatino Linotype" w:cs="Arial"/>
        </w:rPr>
        <w:t xml:space="preserve">NOVIEMBRE </w:t>
      </w:r>
      <w:r w:rsidR="00F36D35" w:rsidRPr="00A35D00">
        <w:rPr>
          <w:rFonts w:ascii="Palatino Linotype" w:hAnsi="Palatino Linotype" w:cs="Arial"/>
        </w:rPr>
        <w:t xml:space="preserve">DE DOS MIL </w:t>
      </w:r>
      <w:r w:rsidRPr="00A35D00">
        <w:rPr>
          <w:rFonts w:ascii="Palatino Linotype" w:hAnsi="Palatino Linotype" w:cs="Arial"/>
        </w:rPr>
        <w:t>VEINTIUNO, ANTE EL SECRETARIO TÉCNICO DEL PLENO, ALEXIS TAPIA RAMÍREZ.</w:t>
      </w:r>
    </w:p>
    <w:p w14:paraId="2854C53B" w14:textId="1DBDB984" w:rsidR="0066320D" w:rsidRDefault="00E23485" w:rsidP="001F19BC">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r w:rsidRPr="00A35D00">
        <w:rPr>
          <w:rFonts w:ascii="Palatino Linotype" w:hAnsi="Palatino Linotype" w:cs="Arial"/>
          <w:sz w:val="20"/>
        </w:rPr>
        <w:t>SCMM/BLA/DEMF/AMV</w:t>
      </w:r>
      <w:r w:rsidR="0066320D">
        <w:rPr>
          <w:rFonts w:ascii="Palatino Linotype" w:hAnsi="Palatino Linotype" w:cs="Arial"/>
          <w:sz w:val="20"/>
        </w:rPr>
        <w:br w:type="page"/>
      </w:r>
    </w:p>
    <w:p w14:paraId="7DD5CDD1" w14:textId="77777777" w:rsidR="0066320D" w:rsidRPr="0066320D" w:rsidRDefault="0066320D" w:rsidP="002F0CEC">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p>
    <w:p w14:paraId="127E0D5B" w14:textId="77777777" w:rsidR="0066320D" w:rsidRPr="002F0CEC" w:rsidRDefault="0066320D" w:rsidP="002F0CEC">
      <w:pPr>
        <w:widowControl w:val="0"/>
        <w:autoSpaceDE w:val="0"/>
        <w:autoSpaceDN w:val="0"/>
        <w:adjustRightInd w:val="0"/>
        <w:spacing w:before="100" w:beforeAutospacing="1" w:after="100" w:afterAutospacing="1" w:line="360" w:lineRule="auto"/>
        <w:jc w:val="both"/>
        <w:rPr>
          <w:rFonts w:ascii="Palatino Linotype" w:hAnsi="Palatino Linotype" w:cs="Arial"/>
        </w:rPr>
      </w:pPr>
    </w:p>
    <w:sectPr w:rsidR="0066320D" w:rsidRPr="002F0CEC" w:rsidSect="00580276">
      <w:headerReference w:type="default" r:id="rId16"/>
      <w:footerReference w:type="default" r:id="rId17"/>
      <w:headerReference w:type="first" r:id="rId18"/>
      <w:footerReference w:type="first" r:id="rId1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58F3EE" w14:textId="77777777" w:rsidR="00DB02C9" w:rsidRDefault="00DB02C9" w:rsidP="00C43B1E">
      <w:r>
        <w:separator/>
      </w:r>
    </w:p>
  </w:endnote>
  <w:endnote w:type="continuationSeparator" w:id="0">
    <w:p w14:paraId="2F756C62" w14:textId="77777777" w:rsidR="00DB02C9" w:rsidRDefault="00DB02C9" w:rsidP="00C43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E2099" w14:textId="4659D084" w:rsidR="00990133" w:rsidRPr="0010196A" w:rsidRDefault="00990133" w:rsidP="00990133">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91A9D">
      <w:rPr>
        <w:rFonts w:ascii="Palatino Linotype" w:hAnsi="Palatino Linotype" w:cs="Arial"/>
        <w:bCs/>
        <w:noProof/>
        <w:sz w:val="22"/>
        <w:szCs w:val="22"/>
      </w:rPr>
      <w:t>18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91A9D">
      <w:rPr>
        <w:rFonts w:ascii="Palatino Linotype" w:hAnsi="Palatino Linotype" w:cs="Arial"/>
        <w:bCs/>
        <w:noProof/>
        <w:sz w:val="22"/>
        <w:szCs w:val="22"/>
      </w:rPr>
      <w:t>18</w:t>
    </w:r>
    <w:r w:rsidRPr="0010196A">
      <w:rPr>
        <w:rFonts w:ascii="Palatino Linotype" w:hAnsi="Palatino Linotype" w:cs="Arial"/>
        <w:bCs/>
        <w:sz w:val="22"/>
        <w:szCs w:val="22"/>
      </w:rPr>
      <w:fldChar w:fldCharType="end"/>
    </w:r>
  </w:p>
  <w:p w14:paraId="14F4C9F1" w14:textId="77777777" w:rsidR="00990133" w:rsidRDefault="0099013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032A5" w14:textId="4A5FE14A" w:rsidR="00AC6088" w:rsidRPr="0010196A" w:rsidRDefault="00AC6088" w:rsidP="00AC6088">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91A9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91A9D">
      <w:rPr>
        <w:rFonts w:ascii="Palatino Linotype" w:hAnsi="Palatino Linotype" w:cs="Arial"/>
        <w:bCs/>
        <w:noProof/>
        <w:sz w:val="22"/>
        <w:szCs w:val="22"/>
      </w:rPr>
      <w:t>18</w:t>
    </w:r>
    <w:r w:rsidRPr="0010196A">
      <w:rPr>
        <w:rFonts w:ascii="Palatino Linotype" w:hAnsi="Palatino Linotype" w:cs="Arial"/>
        <w:bCs/>
        <w:sz w:val="22"/>
        <w:szCs w:val="22"/>
      </w:rPr>
      <w:fldChar w:fldCharType="end"/>
    </w:r>
  </w:p>
  <w:p w14:paraId="291CA067" w14:textId="77777777" w:rsidR="00AC6088" w:rsidRDefault="00AC60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2DF753" w14:textId="77777777" w:rsidR="00DB02C9" w:rsidRDefault="00DB02C9" w:rsidP="00C43B1E">
      <w:r>
        <w:separator/>
      </w:r>
    </w:p>
  </w:footnote>
  <w:footnote w:type="continuationSeparator" w:id="0">
    <w:p w14:paraId="08830850" w14:textId="77777777" w:rsidR="00DB02C9" w:rsidRDefault="00DB02C9" w:rsidP="00C43B1E">
      <w:r>
        <w:continuationSeparator/>
      </w:r>
    </w:p>
  </w:footnote>
  <w:footnote w:id="1">
    <w:p w14:paraId="1DD3764E" w14:textId="195D7386" w:rsidR="0039637D" w:rsidRPr="0039637D" w:rsidRDefault="0039637D" w:rsidP="0039637D">
      <w:pPr>
        <w:pStyle w:val="Textonotapie"/>
        <w:jc w:val="both"/>
        <w:rPr>
          <w:rFonts w:ascii="Palatino Linotype" w:eastAsia="Times New Roman" w:hAnsi="Palatino Linotype" w:cs="Arial"/>
          <w:sz w:val="16"/>
          <w:szCs w:val="24"/>
          <w:lang w:val="es-419" w:eastAsia="es-ES"/>
        </w:rPr>
      </w:pPr>
      <w:r w:rsidRPr="0039637D">
        <w:rPr>
          <w:rFonts w:ascii="Palatino Linotype" w:eastAsia="Times New Roman" w:hAnsi="Palatino Linotype" w:cs="Arial"/>
          <w:sz w:val="24"/>
          <w:szCs w:val="24"/>
          <w:lang w:val="es-419" w:eastAsia="es-ES"/>
        </w:rPr>
        <w:footnoteRef/>
      </w:r>
      <w:r w:rsidRPr="0039637D">
        <w:rPr>
          <w:rFonts w:ascii="Palatino Linotype" w:eastAsia="Times New Roman" w:hAnsi="Palatino Linotype" w:cs="Arial"/>
          <w:sz w:val="24"/>
          <w:szCs w:val="24"/>
          <w:lang w:val="es-419" w:eastAsia="es-ES"/>
        </w:rPr>
        <w:t xml:space="preserve">  </w:t>
      </w:r>
      <w:r w:rsidRPr="0039637D">
        <w:rPr>
          <w:rFonts w:ascii="Palatino Linotype" w:eastAsia="Times New Roman" w:hAnsi="Palatino Linotype" w:cs="Arial"/>
          <w:b/>
          <w:sz w:val="16"/>
          <w:szCs w:val="24"/>
          <w:lang w:val="es-419" w:eastAsia="es-ES"/>
        </w:rPr>
        <w:t>Artículo 185.</w:t>
      </w:r>
      <w:r w:rsidRPr="0039637D">
        <w:rPr>
          <w:rFonts w:ascii="Palatino Linotype" w:eastAsia="Times New Roman" w:hAnsi="Palatino Linotype" w:cs="Arial"/>
          <w:sz w:val="16"/>
          <w:szCs w:val="24"/>
          <w:lang w:val="es-419" w:eastAsia="es-ES"/>
        </w:rPr>
        <w:t xml:space="preserve"> El Instituto resolverá el recurso de revisión conforme a lo siguiente:</w:t>
      </w:r>
    </w:p>
    <w:p w14:paraId="27B528AD" w14:textId="3305F9DF" w:rsidR="0039637D" w:rsidRPr="0039637D" w:rsidRDefault="0039637D" w:rsidP="0039637D">
      <w:pPr>
        <w:pStyle w:val="Textonotapie"/>
        <w:jc w:val="both"/>
        <w:rPr>
          <w:rFonts w:ascii="Palatino Linotype" w:eastAsia="Times New Roman" w:hAnsi="Palatino Linotype" w:cs="Arial"/>
          <w:sz w:val="16"/>
          <w:szCs w:val="24"/>
          <w:lang w:val="es-419" w:eastAsia="es-ES"/>
        </w:rPr>
      </w:pPr>
      <w:r w:rsidRPr="0039637D">
        <w:rPr>
          <w:rFonts w:ascii="Palatino Linotype" w:eastAsia="Times New Roman" w:hAnsi="Palatino Linotype" w:cs="Arial"/>
          <w:sz w:val="16"/>
          <w:szCs w:val="24"/>
          <w:lang w:val="es-419" w:eastAsia="es-ES"/>
        </w:rPr>
        <w:t>[…]</w:t>
      </w:r>
    </w:p>
    <w:p w14:paraId="798618AE" w14:textId="726BAC12" w:rsidR="0039637D" w:rsidRPr="0039637D" w:rsidRDefault="0039637D" w:rsidP="0039637D">
      <w:pPr>
        <w:pStyle w:val="Textonotapie"/>
        <w:jc w:val="both"/>
        <w:rPr>
          <w:rFonts w:ascii="Palatino Linotype" w:eastAsia="Times New Roman" w:hAnsi="Palatino Linotype" w:cs="Arial"/>
          <w:sz w:val="16"/>
          <w:szCs w:val="24"/>
          <w:lang w:val="es-419" w:eastAsia="es-ES"/>
        </w:rPr>
      </w:pPr>
      <w:r w:rsidRPr="0039637D">
        <w:rPr>
          <w:rFonts w:ascii="Palatino Linotype" w:eastAsia="Times New Roman" w:hAnsi="Palatino Linotype" w:cs="Arial"/>
          <w:sz w:val="16"/>
          <w:szCs w:val="24"/>
          <w:lang w:val="es-419" w:eastAsia="es-ES"/>
        </w:rPr>
        <w:t>III. Recibido el informe justificado, cuando se modifique la respuesta, este se pondrá a disposición del recurrente para que en un plazo de tres días hábiles, manifieste lo que a su derecho convenga;</w:t>
      </w:r>
    </w:p>
    <w:p w14:paraId="074FBC67" w14:textId="25CE5A39" w:rsidR="0039637D" w:rsidRPr="0039637D" w:rsidRDefault="0039637D" w:rsidP="0039637D">
      <w:pPr>
        <w:pStyle w:val="Textonotapie"/>
        <w:jc w:val="both"/>
        <w:rPr>
          <w:lang w:val="es-419"/>
        </w:rPr>
      </w:pPr>
      <w:r w:rsidRPr="0039637D">
        <w:rPr>
          <w:rFonts w:ascii="Palatino Linotype" w:eastAsia="Times New Roman" w:hAnsi="Palatino Linotype" w:cs="Arial"/>
          <w:sz w:val="16"/>
          <w:szCs w:val="24"/>
          <w:lang w:val="es-419" w:eastAsia="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552"/>
      <w:gridCol w:w="3401"/>
    </w:tblGrid>
    <w:tr w:rsidR="00C43B1E" w:rsidRPr="008F2CCC" w14:paraId="7D081D9C" w14:textId="77777777" w:rsidTr="00D409FF">
      <w:tc>
        <w:tcPr>
          <w:tcW w:w="3403" w:type="dxa"/>
          <w:vMerge w:val="restart"/>
          <w:shd w:val="clear" w:color="auto" w:fill="auto"/>
        </w:tcPr>
        <w:p w14:paraId="21595BF8" w14:textId="77777777" w:rsidR="00C43B1E" w:rsidRPr="008F2CCC" w:rsidRDefault="00C43B1E" w:rsidP="00C43B1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0892B24" wp14:editId="6948C830">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7C2A0ECF" w14:textId="77777777" w:rsidR="00C43B1E" w:rsidRPr="008F2CCC" w:rsidRDefault="00C43B1E" w:rsidP="00C43B1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7487139B" w14:textId="1734F847" w:rsidR="00C43B1E" w:rsidRPr="00B335A1" w:rsidRDefault="006F1429" w:rsidP="00C43B1E">
          <w:pPr>
            <w:jc w:val="both"/>
            <w:rPr>
              <w:rFonts w:ascii="Palatino Linotype" w:hAnsi="Palatino Linotype"/>
              <w:b/>
              <w:sz w:val="22"/>
              <w:szCs w:val="22"/>
              <w:lang w:val="es-ES_tradnl"/>
            </w:rPr>
          </w:pPr>
          <w:r>
            <w:rPr>
              <w:rFonts w:ascii="Palatino Linotype" w:hAnsi="Palatino Linotype"/>
              <w:b/>
              <w:sz w:val="22"/>
              <w:szCs w:val="22"/>
              <w:lang w:val="es-ES_tradnl"/>
            </w:rPr>
            <w:t>04992</w:t>
          </w:r>
          <w:r w:rsidR="00C43B1E" w:rsidRPr="00B335A1">
            <w:rPr>
              <w:rFonts w:ascii="Palatino Linotype" w:hAnsi="Palatino Linotype"/>
              <w:b/>
              <w:sz w:val="22"/>
              <w:szCs w:val="22"/>
              <w:lang w:val="es-ES_tradnl"/>
            </w:rPr>
            <w:t>/INFOEM/IP/RR/2021</w:t>
          </w:r>
        </w:p>
      </w:tc>
    </w:tr>
    <w:tr w:rsidR="00C43B1E" w:rsidRPr="008F2CCC" w14:paraId="4341FF46" w14:textId="77777777" w:rsidTr="00D409FF">
      <w:trPr>
        <w:trHeight w:val="228"/>
      </w:trPr>
      <w:tc>
        <w:tcPr>
          <w:tcW w:w="3403" w:type="dxa"/>
          <w:vMerge/>
          <w:shd w:val="clear" w:color="auto" w:fill="auto"/>
        </w:tcPr>
        <w:p w14:paraId="75B0BFB7" w14:textId="77777777" w:rsidR="00C43B1E" w:rsidRPr="008F2CCC" w:rsidRDefault="00C43B1E" w:rsidP="00C43B1E">
          <w:pPr>
            <w:rPr>
              <w:rFonts w:ascii="Palatino Linotype" w:hAnsi="Palatino Linotype"/>
              <w:b/>
              <w:sz w:val="22"/>
              <w:szCs w:val="22"/>
              <w:lang w:val="es-ES_tradnl"/>
            </w:rPr>
          </w:pPr>
        </w:p>
      </w:tc>
      <w:tc>
        <w:tcPr>
          <w:tcW w:w="2552" w:type="dxa"/>
          <w:shd w:val="clear" w:color="auto" w:fill="auto"/>
        </w:tcPr>
        <w:p w14:paraId="18B7D049" w14:textId="77777777" w:rsidR="00C43B1E" w:rsidRPr="008F2CCC" w:rsidRDefault="00C43B1E" w:rsidP="00C43B1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5EBE3D49" w14:textId="791E8F3B" w:rsidR="00C43B1E" w:rsidRPr="00B335A1" w:rsidRDefault="006F1429" w:rsidP="00EF0253">
          <w:pPr>
            <w:jc w:val="both"/>
            <w:rPr>
              <w:rFonts w:ascii="Palatino Linotype" w:hAnsi="Palatino Linotype"/>
              <w:b/>
              <w:sz w:val="22"/>
              <w:szCs w:val="22"/>
              <w:lang w:val="es-ES_tradnl"/>
            </w:rPr>
          </w:pPr>
          <w:r w:rsidRPr="008370EF">
            <w:rPr>
              <w:rFonts w:ascii="Palatino Linotype" w:hAnsi="Palatino Linotype"/>
              <w:b/>
              <w:sz w:val="22"/>
              <w:szCs w:val="22"/>
              <w:lang w:val="es-ES_tradnl"/>
            </w:rPr>
            <w:t>Secretaría General de Gobierno</w:t>
          </w:r>
        </w:p>
      </w:tc>
    </w:tr>
    <w:tr w:rsidR="00C43B1E" w:rsidRPr="008F2CCC" w14:paraId="697BC47A" w14:textId="77777777" w:rsidTr="00D409FF">
      <w:tc>
        <w:tcPr>
          <w:tcW w:w="3403" w:type="dxa"/>
          <w:vMerge/>
          <w:shd w:val="clear" w:color="auto" w:fill="auto"/>
        </w:tcPr>
        <w:p w14:paraId="55EAED88" w14:textId="77777777" w:rsidR="00C43B1E" w:rsidRPr="008F2CCC" w:rsidRDefault="00C43B1E" w:rsidP="00C43B1E">
          <w:pPr>
            <w:rPr>
              <w:rFonts w:ascii="Palatino Linotype" w:hAnsi="Palatino Linotype"/>
              <w:b/>
              <w:sz w:val="22"/>
              <w:szCs w:val="22"/>
              <w:lang w:val="es-ES_tradnl"/>
            </w:rPr>
          </w:pPr>
        </w:p>
      </w:tc>
      <w:tc>
        <w:tcPr>
          <w:tcW w:w="2552" w:type="dxa"/>
          <w:shd w:val="clear" w:color="auto" w:fill="auto"/>
        </w:tcPr>
        <w:p w14:paraId="30A750BA" w14:textId="77777777" w:rsidR="00C43B1E" w:rsidRPr="008F2CCC" w:rsidRDefault="00C43B1E" w:rsidP="00C43B1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1DD0ACA4" w14:textId="77777777" w:rsidR="00C43B1E" w:rsidRPr="008F2CCC" w:rsidRDefault="00C43B1E" w:rsidP="00C43B1E">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4C2D5F4D" w14:textId="77777777" w:rsidR="00C43B1E" w:rsidRDefault="00C43B1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552"/>
      <w:gridCol w:w="3401"/>
    </w:tblGrid>
    <w:tr w:rsidR="00580276" w:rsidRPr="008F2CCC" w14:paraId="346BE54B" w14:textId="77777777" w:rsidTr="007522F9">
      <w:tc>
        <w:tcPr>
          <w:tcW w:w="3403" w:type="dxa"/>
          <w:vMerge w:val="restart"/>
          <w:shd w:val="clear" w:color="auto" w:fill="auto"/>
        </w:tcPr>
        <w:p w14:paraId="75D927DA" w14:textId="77777777" w:rsidR="00580276" w:rsidRPr="008F2CCC" w:rsidRDefault="00580276" w:rsidP="0058027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6FE5FCEE" wp14:editId="65252521">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26DADFC4" w14:textId="77777777" w:rsidR="00580276" w:rsidRPr="008F2CCC" w:rsidRDefault="00580276" w:rsidP="0058027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35C72890" w14:textId="2EB89DF0" w:rsidR="00580276" w:rsidRPr="00B335A1" w:rsidRDefault="008370EF" w:rsidP="00580276">
          <w:pPr>
            <w:jc w:val="both"/>
            <w:rPr>
              <w:rFonts w:ascii="Palatino Linotype" w:hAnsi="Palatino Linotype"/>
              <w:b/>
              <w:sz w:val="22"/>
              <w:szCs w:val="22"/>
              <w:lang w:val="es-ES_tradnl"/>
            </w:rPr>
          </w:pPr>
          <w:r>
            <w:rPr>
              <w:rFonts w:ascii="Palatino Linotype" w:hAnsi="Palatino Linotype"/>
              <w:b/>
              <w:sz w:val="22"/>
              <w:szCs w:val="22"/>
              <w:lang w:val="es-419"/>
            </w:rPr>
            <w:t>04992</w:t>
          </w:r>
          <w:r w:rsidR="00580276" w:rsidRPr="00B335A1">
            <w:rPr>
              <w:rFonts w:ascii="Palatino Linotype" w:hAnsi="Palatino Linotype"/>
              <w:b/>
              <w:sz w:val="22"/>
              <w:szCs w:val="22"/>
              <w:lang w:val="es-ES_tradnl"/>
            </w:rPr>
            <w:t>/INFOEM/IP/RR/2021</w:t>
          </w:r>
        </w:p>
      </w:tc>
    </w:tr>
    <w:tr w:rsidR="00580276" w:rsidRPr="008F2CCC" w14:paraId="0984AB84" w14:textId="77777777" w:rsidTr="007522F9">
      <w:tc>
        <w:tcPr>
          <w:tcW w:w="3403" w:type="dxa"/>
          <w:vMerge/>
          <w:shd w:val="clear" w:color="auto" w:fill="auto"/>
        </w:tcPr>
        <w:p w14:paraId="2A4844F1" w14:textId="77777777" w:rsidR="00580276" w:rsidRPr="008F2CCC" w:rsidRDefault="00580276" w:rsidP="00580276">
          <w:pPr>
            <w:rPr>
              <w:rFonts w:ascii="Palatino Linotype" w:hAnsi="Palatino Linotype"/>
              <w:b/>
              <w:sz w:val="22"/>
              <w:szCs w:val="22"/>
              <w:lang w:val="es-ES_tradnl"/>
            </w:rPr>
          </w:pPr>
        </w:p>
      </w:tc>
      <w:tc>
        <w:tcPr>
          <w:tcW w:w="2552" w:type="dxa"/>
          <w:shd w:val="clear" w:color="auto" w:fill="auto"/>
        </w:tcPr>
        <w:p w14:paraId="31898B19" w14:textId="77777777" w:rsidR="00580276" w:rsidRPr="008F2CCC" w:rsidRDefault="00580276" w:rsidP="0058027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04AA04BE" w14:textId="008332F1" w:rsidR="00580276" w:rsidRPr="00B335A1" w:rsidRDefault="00D93FA0" w:rsidP="002D322E">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 XXXXX XXXX </w:t>
          </w:r>
          <w:proofErr w:type="spellStart"/>
          <w:r>
            <w:rPr>
              <w:rFonts w:ascii="Palatino Linotype" w:hAnsi="Palatino Linotype"/>
              <w:b/>
              <w:sz w:val="22"/>
              <w:szCs w:val="22"/>
              <w:lang w:val="es-ES_tradnl"/>
            </w:rPr>
            <w:t>XXXX</w:t>
          </w:r>
          <w:proofErr w:type="spellEnd"/>
        </w:p>
      </w:tc>
    </w:tr>
    <w:tr w:rsidR="00580276" w:rsidRPr="008F2CCC" w14:paraId="608A8270" w14:textId="77777777" w:rsidTr="007522F9">
      <w:trPr>
        <w:trHeight w:val="228"/>
      </w:trPr>
      <w:tc>
        <w:tcPr>
          <w:tcW w:w="3403" w:type="dxa"/>
          <w:vMerge/>
          <w:shd w:val="clear" w:color="auto" w:fill="auto"/>
        </w:tcPr>
        <w:p w14:paraId="41B4AD29" w14:textId="77777777" w:rsidR="00580276" w:rsidRPr="008F2CCC" w:rsidRDefault="00580276" w:rsidP="00580276">
          <w:pPr>
            <w:rPr>
              <w:rFonts w:ascii="Palatino Linotype" w:hAnsi="Palatino Linotype"/>
              <w:b/>
              <w:sz w:val="22"/>
              <w:szCs w:val="22"/>
              <w:lang w:val="es-ES_tradnl"/>
            </w:rPr>
          </w:pPr>
        </w:p>
      </w:tc>
      <w:tc>
        <w:tcPr>
          <w:tcW w:w="2552" w:type="dxa"/>
          <w:shd w:val="clear" w:color="auto" w:fill="auto"/>
        </w:tcPr>
        <w:p w14:paraId="4B63DF4D" w14:textId="77777777" w:rsidR="00580276" w:rsidRPr="008F2CCC" w:rsidRDefault="00580276" w:rsidP="0058027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517A6BE8" w14:textId="3CFE16D0" w:rsidR="00580276" w:rsidRPr="00B335A1" w:rsidRDefault="008370EF" w:rsidP="00EF0253">
          <w:pPr>
            <w:jc w:val="both"/>
            <w:rPr>
              <w:rFonts w:ascii="Palatino Linotype" w:hAnsi="Palatino Linotype"/>
              <w:b/>
              <w:sz w:val="22"/>
              <w:szCs w:val="22"/>
              <w:lang w:val="es-ES_tradnl"/>
            </w:rPr>
          </w:pPr>
          <w:r w:rsidRPr="008370EF">
            <w:rPr>
              <w:rFonts w:ascii="Palatino Linotype" w:hAnsi="Palatino Linotype"/>
              <w:b/>
              <w:sz w:val="22"/>
              <w:szCs w:val="22"/>
              <w:lang w:val="es-ES_tradnl"/>
            </w:rPr>
            <w:t>Secretaría General de Gobierno</w:t>
          </w:r>
        </w:p>
      </w:tc>
    </w:tr>
    <w:tr w:rsidR="00580276" w:rsidRPr="008F2CCC" w14:paraId="1BB7A948" w14:textId="77777777" w:rsidTr="007522F9">
      <w:tc>
        <w:tcPr>
          <w:tcW w:w="3403" w:type="dxa"/>
          <w:vMerge/>
          <w:shd w:val="clear" w:color="auto" w:fill="auto"/>
        </w:tcPr>
        <w:p w14:paraId="3CBAF6C0" w14:textId="77777777" w:rsidR="00580276" w:rsidRPr="008F2CCC" w:rsidRDefault="00580276" w:rsidP="00580276">
          <w:pPr>
            <w:rPr>
              <w:rFonts w:ascii="Palatino Linotype" w:hAnsi="Palatino Linotype"/>
              <w:b/>
              <w:sz w:val="22"/>
              <w:szCs w:val="22"/>
              <w:lang w:val="es-ES_tradnl"/>
            </w:rPr>
          </w:pPr>
        </w:p>
      </w:tc>
      <w:tc>
        <w:tcPr>
          <w:tcW w:w="2552" w:type="dxa"/>
          <w:shd w:val="clear" w:color="auto" w:fill="auto"/>
        </w:tcPr>
        <w:p w14:paraId="6B990B73" w14:textId="77777777" w:rsidR="00580276" w:rsidRPr="008F2CCC" w:rsidRDefault="00580276" w:rsidP="00580276">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6959239A" w14:textId="13AC8CE4" w:rsidR="00580276" w:rsidRPr="008F2CCC" w:rsidRDefault="00580276" w:rsidP="00580276">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2CF3657D" w14:textId="77777777" w:rsidR="00580276" w:rsidRDefault="0058027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933B3"/>
    <w:multiLevelType w:val="hybridMultilevel"/>
    <w:tmpl w:val="3410B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26074F"/>
    <w:multiLevelType w:val="hybridMultilevel"/>
    <w:tmpl w:val="01FC6C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427AE2"/>
    <w:multiLevelType w:val="multilevel"/>
    <w:tmpl w:val="FA006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5F2805"/>
    <w:multiLevelType w:val="hybridMultilevel"/>
    <w:tmpl w:val="F2D803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2F31B4"/>
    <w:multiLevelType w:val="multilevel"/>
    <w:tmpl w:val="17CAF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005031"/>
    <w:multiLevelType w:val="hybridMultilevel"/>
    <w:tmpl w:val="6B726D42"/>
    <w:lvl w:ilvl="0" w:tplc="080A0015">
      <w:start w:val="1"/>
      <w:numFmt w:val="upperLetter"/>
      <w:lvlText w:val="%1."/>
      <w:lvlJc w:val="left"/>
      <w:pPr>
        <w:ind w:left="1429"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15:restartNumberingAfterBreak="0">
    <w:nsid w:val="2190453D"/>
    <w:multiLevelType w:val="multilevel"/>
    <w:tmpl w:val="E7E84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3F3ACC"/>
    <w:multiLevelType w:val="hybridMultilevel"/>
    <w:tmpl w:val="B884449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3E7028C"/>
    <w:multiLevelType w:val="hybridMultilevel"/>
    <w:tmpl w:val="DA62A0A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61D5098"/>
    <w:multiLevelType w:val="hybridMultilevel"/>
    <w:tmpl w:val="55D43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7F63D70"/>
    <w:multiLevelType w:val="hybridMultilevel"/>
    <w:tmpl w:val="2CDC81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CD566C9"/>
    <w:multiLevelType w:val="hybridMultilevel"/>
    <w:tmpl w:val="B9DE2A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1F51836"/>
    <w:multiLevelType w:val="hybridMultilevel"/>
    <w:tmpl w:val="2BCCAC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B653547"/>
    <w:multiLevelType w:val="hybridMultilevel"/>
    <w:tmpl w:val="21BEFFBC"/>
    <w:lvl w:ilvl="0" w:tplc="080A0001">
      <w:start w:val="1"/>
      <w:numFmt w:val="bullet"/>
      <w:lvlText w:val=""/>
      <w:lvlJc w:val="left"/>
      <w:pPr>
        <w:ind w:left="781" w:hanging="360"/>
      </w:pPr>
      <w:rPr>
        <w:rFonts w:ascii="Symbol" w:hAnsi="Symbol" w:hint="default"/>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num w:numId="1">
    <w:abstractNumId w:val="9"/>
  </w:num>
  <w:num w:numId="2">
    <w:abstractNumId w:val="1"/>
  </w:num>
  <w:num w:numId="3">
    <w:abstractNumId w:val="8"/>
  </w:num>
  <w:num w:numId="4">
    <w:abstractNumId w:val="13"/>
  </w:num>
  <w:num w:numId="5">
    <w:abstractNumId w:val="10"/>
  </w:num>
  <w:num w:numId="6">
    <w:abstractNumId w:val="7"/>
  </w:num>
  <w:num w:numId="7">
    <w:abstractNumId w:val="5"/>
  </w:num>
  <w:num w:numId="8">
    <w:abstractNumId w:val="3"/>
  </w:num>
  <w:num w:numId="9">
    <w:abstractNumId w:val="0"/>
  </w:num>
  <w:num w:numId="10">
    <w:abstractNumId w:val="11"/>
  </w:num>
  <w:num w:numId="11">
    <w:abstractNumId w:val="4"/>
  </w:num>
  <w:num w:numId="12">
    <w:abstractNumId w:val="6"/>
  </w:num>
  <w:num w:numId="13">
    <w:abstractNumId w:val="2"/>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MX" w:vendorID="64" w:dllVersion="131078" w:nlCheck="1" w:checkStyle="0"/>
  <w:activeWritingStyle w:appName="MSWord" w:lang="es-ES" w:vendorID="64" w:dllVersion="131078" w:nlCheck="1" w:checkStyle="1"/>
  <w:activeWritingStyle w:appName="MSWord" w:lang="es-ES_tradnl" w:vendorID="64" w:dllVersion="131078" w:nlCheck="1" w:checkStyle="0"/>
  <w:activeWritingStyle w:appName="MSWord" w:lang="es-419"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B1E"/>
    <w:rsid w:val="000256F1"/>
    <w:rsid w:val="0004025A"/>
    <w:rsid w:val="00041978"/>
    <w:rsid w:val="00045659"/>
    <w:rsid w:val="000624D8"/>
    <w:rsid w:val="00066D3B"/>
    <w:rsid w:val="00070044"/>
    <w:rsid w:val="00083D1B"/>
    <w:rsid w:val="000867C9"/>
    <w:rsid w:val="0009273C"/>
    <w:rsid w:val="000C3450"/>
    <w:rsid w:val="000E67D4"/>
    <w:rsid w:val="000F22FF"/>
    <w:rsid w:val="00125FCE"/>
    <w:rsid w:val="00167586"/>
    <w:rsid w:val="0017092F"/>
    <w:rsid w:val="001744A5"/>
    <w:rsid w:val="00174780"/>
    <w:rsid w:val="00182A80"/>
    <w:rsid w:val="001B132A"/>
    <w:rsid w:val="001B5A83"/>
    <w:rsid w:val="001F064A"/>
    <w:rsid w:val="001F19BC"/>
    <w:rsid w:val="00207B7E"/>
    <w:rsid w:val="002105B3"/>
    <w:rsid w:val="00210BA2"/>
    <w:rsid w:val="00222F3B"/>
    <w:rsid w:val="002326A5"/>
    <w:rsid w:val="002332FD"/>
    <w:rsid w:val="00233845"/>
    <w:rsid w:val="00247F83"/>
    <w:rsid w:val="002618A6"/>
    <w:rsid w:val="00266D40"/>
    <w:rsid w:val="00291A9D"/>
    <w:rsid w:val="0029629F"/>
    <w:rsid w:val="002A19C2"/>
    <w:rsid w:val="002A4368"/>
    <w:rsid w:val="002B2BA7"/>
    <w:rsid w:val="002D25F5"/>
    <w:rsid w:val="002D322E"/>
    <w:rsid w:val="002F039D"/>
    <w:rsid w:val="002F0CEC"/>
    <w:rsid w:val="0030563E"/>
    <w:rsid w:val="0032378D"/>
    <w:rsid w:val="00325A8E"/>
    <w:rsid w:val="00325DCE"/>
    <w:rsid w:val="003331D1"/>
    <w:rsid w:val="0035047F"/>
    <w:rsid w:val="003505EC"/>
    <w:rsid w:val="003547B4"/>
    <w:rsid w:val="003576B0"/>
    <w:rsid w:val="003658CF"/>
    <w:rsid w:val="00365D29"/>
    <w:rsid w:val="0038462C"/>
    <w:rsid w:val="00395D79"/>
    <w:rsid w:val="00396041"/>
    <w:rsid w:val="0039637D"/>
    <w:rsid w:val="003A154E"/>
    <w:rsid w:val="003C5706"/>
    <w:rsid w:val="003D11A8"/>
    <w:rsid w:val="003D5367"/>
    <w:rsid w:val="003D5950"/>
    <w:rsid w:val="003D770B"/>
    <w:rsid w:val="003D7B24"/>
    <w:rsid w:val="00403898"/>
    <w:rsid w:val="0040750B"/>
    <w:rsid w:val="0041460B"/>
    <w:rsid w:val="00422B14"/>
    <w:rsid w:val="004324D0"/>
    <w:rsid w:val="00465EB9"/>
    <w:rsid w:val="00471353"/>
    <w:rsid w:val="0047609F"/>
    <w:rsid w:val="00483C7B"/>
    <w:rsid w:val="00493069"/>
    <w:rsid w:val="00493C69"/>
    <w:rsid w:val="004A1318"/>
    <w:rsid w:val="004A7989"/>
    <w:rsid w:val="004D6A78"/>
    <w:rsid w:val="004E0D6B"/>
    <w:rsid w:val="004E44D1"/>
    <w:rsid w:val="004F0DE7"/>
    <w:rsid w:val="00536DC7"/>
    <w:rsid w:val="00540882"/>
    <w:rsid w:val="00542307"/>
    <w:rsid w:val="00546C02"/>
    <w:rsid w:val="00563245"/>
    <w:rsid w:val="005676CC"/>
    <w:rsid w:val="0057110F"/>
    <w:rsid w:val="00572754"/>
    <w:rsid w:val="00580276"/>
    <w:rsid w:val="0058552F"/>
    <w:rsid w:val="00595897"/>
    <w:rsid w:val="005A71F6"/>
    <w:rsid w:val="005E0F64"/>
    <w:rsid w:val="005E2B8A"/>
    <w:rsid w:val="005E2C8F"/>
    <w:rsid w:val="005F4443"/>
    <w:rsid w:val="0063196F"/>
    <w:rsid w:val="0066320D"/>
    <w:rsid w:val="006726C4"/>
    <w:rsid w:val="00672D80"/>
    <w:rsid w:val="006B0652"/>
    <w:rsid w:val="006B4898"/>
    <w:rsid w:val="006F0CCC"/>
    <w:rsid w:val="006F1429"/>
    <w:rsid w:val="0071218A"/>
    <w:rsid w:val="007221F8"/>
    <w:rsid w:val="00740D1F"/>
    <w:rsid w:val="00753F3B"/>
    <w:rsid w:val="00757CFD"/>
    <w:rsid w:val="00760803"/>
    <w:rsid w:val="00764355"/>
    <w:rsid w:val="007938EF"/>
    <w:rsid w:val="0079480F"/>
    <w:rsid w:val="007A2186"/>
    <w:rsid w:val="007B0F64"/>
    <w:rsid w:val="007B10F1"/>
    <w:rsid w:val="007C0158"/>
    <w:rsid w:val="007C3064"/>
    <w:rsid w:val="007E52FF"/>
    <w:rsid w:val="007F1FD7"/>
    <w:rsid w:val="007F23A3"/>
    <w:rsid w:val="00804909"/>
    <w:rsid w:val="0081088F"/>
    <w:rsid w:val="0081109C"/>
    <w:rsid w:val="008149C6"/>
    <w:rsid w:val="008250B5"/>
    <w:rsid w:val="0082556B"/>
    <w:rsid w:val="008370EF"/>
    <w:rsid w:val="00844CEC"/>
    <w:rsid w:val="00850D7E"/>
    <w:rsid w:val="00867F3D"/>
    <w:rsid w:val="00880F1C"/>
    <w:rsid w:val="00884BCE"/>
    <w:rsid w:val="008869A7"/>
    <w:rsid w:val="00891729"/>
    <w:rsid w:val="00892ED1"/>
    <w:rsid w:val="00896F4F"/>
    <w:rsid w:val="008A0022"/>
    <w:rsid w:val="008A47EE"/>
    <w:rsid w:val="008A5EB8"/>
    <w:rsid w:val="008B496C"/>
    <w:rsid w:val="008E0F96"/>
    <w:rsid w:val="008E1AB6"/>
    <w:rsid w:val="008E29EA"/>
    <w:rsid w:val="008E6446"/>
    <w:rsid w:val="008E7AD9"/>
    <w:rsid w:val="008E7C80"/>
    <w:rsid w:val="00912B8F"/>
    <w:rsid w:val="009253A8"/>
    <w:rsid w:val="00933FFC"/>
    <w:rsid w:val="00934ADE"/>
    <w:rsid w:val="00943227"/>
    <w:rsid w:val="009459E1"/>
    <w:rsid w:val="00946832"/>
    <w:rsid w:val="00952193"/>
    <w:rsid w:val="0097734B"/>
    <w:rsid w:val="00983C1E"/>
    <w:rsid w:val="00990133"/>
    <w:rsid w:val="009F44C4"/>
    <w:rsid w:val="00A0109C"/>
    <w:rsid w:val="00A01C2E"/>
    <w:rsid w:val="00A16B7A"/>
    <w:rsid w:val="00A31AF6"/>
    <w:rsid w:val="00A35D00"/>
    <w:rsid w:val="00A55ACE"/>
    <w:rsid w:val="00A86CA4"/>
    <w:rsid w:val="00A927A1"/>
    <w:rsid w:val="00AA7C79"/>
    <w:rsid w:val="00AB2162"/>
    <w:rsid w:val="00AB2EB8"/>
    <w:rsid w:val="00AB5732"/>
    <w:rsid w:val="00AC1D7B"/>
    <w:rsid w:val="00AC6088"/>
    <w:rsid w:val="00AC7775"/>
    <w:rsid w:val="00AD2E00"/>
    <w:rsid w:val="00AD5DB5"/>
    <w:rsid w:val="00AE360E"/>
    <w:rsid w:val="00B04CE2"/>
    <w:rsid w:val="00B055AD"/>
    <w:rsid w:val="00B3033A"/>
    <w:rsid w:val="00B40E76"/>
    <w:rsid w:val="00B432A7"/>
    <w:rsid w:val="00B472A6"/>
    <w:rsid w:val="00B50169"/>
    <w:rsid w:val="00B62AE2"/>
    <w:rsid w:val="00B71504"/>
    <w:rsid w:val="00B76384"/>
    <w:rsid w:val="00B97DD8"/>
    <w:rsid w:val="00BA1B0E"/>
    <w:rsid w:val="00BE058B"/>
    <w:rsid w:val="00BE222C"/>
    <w:rsid w:val="00BE555C"/>
    <w:rsid w:val="00BF649F"/>
    <w:rsid w:val="00BF76D4"/>
    <w:rsid w:val="00C012CA"/>
    <w:rsid w:val="00C1373F"/>
    <w:rsid w:val="00C1498B"/>
    <w:rsid w:val="00C43B1E"/>
    <w:rsid w:val="00C44DC5"/>
    <w:rsid w:val="00C83D4F"/>
    <w:rsid w:val="00C9153D"/>
    <w:rsid w:val="00CA4A0A"/>
    <w:rsid w:val="00CA7014"/>
    <w:rsid w:val="00CB1552"/>
    <w:rsid w:val="00CB371E"/>
    <w:rsid w:val="00CD5530"/>
    <w:rsid w:val="00CE1E94"/>
    <w:rsid w:val="00CE7F4B"/>
    <w:rsid w:val="00D01046"/>
    <w:rsid w:val="00D019ED"/>
    <w:rsid w:val="00D06096"/>
    <w:rsid w:val="00D06113"/>
    <w:rsid w:val="00D23A60"/>
    <w:rsid w:val="00D5690F"/>
    <w:rsid w:val="00D84E1E"/>
    <w:rsid w:val="00D93BA7"/>
    <w:rsid w:val="00D93FA0"/>
    <w:rsid w:val="00DA24BA"/>
    <w:rsid w:val="00DA2919"/>
    <w:rsid w:val="00DB02C9"/>
    <w:rsid w:val="00DC362D"/>
    <w:rsid w:val="00DC78FE"/>
    <w:rsid w:val="00DD11AE"/>
    <w:rsid w:val="00DE334E"/>
    <w:rsid w:val="00DE6F14"/>
    <w:rsid w:val="00DF5C8B"/>
    <w:rsid w:val="00DF7B84"/>
    <w:rsid w:val="00E06329"/>
    <w:rsid w:val="00E23485"/>
    <w:rsid w:val="00E4247A"/>
    <w:rsid w:val="00E457B6"/>
    <w:rsid w:val="00E46CF7"/>
    <w:rsid w:val="00E520D0"/>
    <w:rsid w:val="00E5700A"/>
    <w:rsid w:val="00E82AD5"/>
    <w:rsid w:val="00E90349"/>
    <w:rsid w:val="00E9408E"/>
    <w:rsid w:val="00EA3177"/>
    <w:rsid w:val="00EB0E00"/>
    <w:rsid w:val="00EB733A"/>
    <w:rsid w:val="00EC09F5"/>
    <w:rsid w:val="00EC2E4A"/>
    <w:rsid w:val="00ED0287"/>
    <w:rsid w:val="00EE32E7"/>
    <w:rsid w:val="00EF0253"/>
    <w:rsid w:val="00EF3AB1"/>
    <w:rsid w:val="00EF6E28"/>
    <w:rsid w:val="00F06BCF"/>
    <w:rsid w:val="00F150F4"/>
    <w:rsid w:val="00F16A52"/>
    <w:rsid w:val="00F34FAE"/>
    <w:rsid w:val="00F36D35"/>
    <w:rsid w:val="00F422C4"/>
    <w:rsid w:val="00F467C4"/>
    <w:rsid w:val="00F61304"/>
    <w:rsid w:val="00F635D1"/>
    <w:rsid w:val="00F7337F"/>
    <w:rsid w:val="00F94CF8"/>
    <w:rsid w:val="00FB4757"/>
    <w:rsid w:val="00FD060B"/>
    <w:rsid w:val="00FD27F6"/>
    <w:rsid w:val="00FF26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725519"/>
  <w15:chartTrackingRefBased/>
  <w15:docId w15:val="{52A7A44B-9F5C-4099-B3EA-8115BA134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B1E"/>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3B1E"/>
    <w:pPr>
      <w:tabs>
        <w:tab w:val="center" w:pos="4419"/>
        <w:tab w:val="right" w:pos="8838"/>
      </w:tabs>
    </w:pPr>
  </w:style>
  <w:style w:type="character" w:customStyle="1" w:styleId="EncabezadoCar">
    <w:name w:val="Encabezado Car"/>
    <w:basedOn w:val="Fuentedeprrafopredeter"/>
    <w:link w:val="Encabezado"/>
    <w:uiPriority w:val="99"/>
    <w:rsid w:val="00C43B1E"/>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C43B1E"/>
    <w:pPr>
      <w:tabs>
        <w:tab w:val="center" w:pos="4419"/>
        <w:tab w:val="right" w:pos="8838"/>
      </w:tabs>
    </w:pPr>
  </w:style>
  <w:style w:type="character" w:customStyle="1" w:styleId="PiedepginaCar">
    <w:name w:val="Pie de página Car"/>
    <w:basedOn w:val="Fuentedeprrafopredeter"/>
    <w:link w:val="Piedepgina"/>
    <w:uiPriority w:val="99"/>
    <w:rsid w:val="00C43B1E"/>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B1E"/>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43B1E"/>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30563E"/>
    <w:rPr>
      <w:sz w:val="16"/>
      <w:szCs w:val="16"/>
    </w:rPr>
  </w:style>
  <w:style w:type="paragraph" w:styleId="Textocomentario">
    <w:name w:val="annotation text"/>
    <w:basedOn w:val="Normal"/>
    <w:link w:val="TextocomentarioCar"/>
    <w:uiPriority w:val="99"/>
    <w:semiHidden/>
    <w:unhideWhenUsed/>
    <w:rsid w:val="0030563E"/>
    <w:rPr>
      <w:sz w:val="20"/>
      <w:szCs w:val="20"/>
    </w:rPr>
  </w:style>
  <w:style w:type="character" w:customStyle="1" w:styleId="TextocomentarioCar">
    <w:name w:val="Texto comentario Car"/>
    <w:basedOn w:val="Fuentedeprrafopredeter"/>
    <w:link w:val="Textocomentario"/>
    <w:uiPriority w:val="99"/>
    <w:semiHidden/>
    <w:rsid w:val="0030563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0563E"/>
    <w:rPr>
      <w:b/>
      <w:bCs/>
    </w:rPr>
  </w:style>
  <w:style w:type="character" w:customStyle="1" w:styleId="AsuntodelcomentarioCar">
    <w:name w:val="Asunto del comentario Car"/>
    <w:basedOn w:val="TextocomentarioCar"/>
    <w:link w:val="Asuntodelcomentario"/>
    <w:uiPriority w:val="99"/>
    <w:semiHidden/>
    <w:rsid w:val="0030563E"/>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30563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0563E"/>
    <w:rPr>
      <w:rFonts w:ascii="Segoe UI" w:eastAsia="Times New Roman" w:hAnsi="Segoe UI" w:cs="Segoe UI"/>
      <w:sz w:val="18"/>
      <w:szCs w:val="18"/>
      <w:lang w:eastAsia="es-ES"/>
    </w:rPr>
  </w:style>
  <w:style w:type="character" w:styleId="Hipervnculo">
    <w:name w:val="Hyperlink"/>
    <w:basedOn w:val="Fuentedeprrafopredeter"/>
    <w:uiPriority w:val="99"/>
    <w:unhideWhenUsed/>
    <w:rsid w:val="00884BCE"/>
    <w:rPr>
      <w:color w:val="0563C1" w:themeColor="hyperlink"/>
      <w:u w:val="single"/>
    </w:rPr>
  </w:style>
  <w:style w:type="paragraph" w:styleId="Textonotapie">
    <w:name w:val="footnote text"/>
    <w:basedOn w:val="Normal"/>
    <w:link w:val="TextonotapieCar"/>
    <w:uiPriority w:val="99"/>
    <w:semiHidden/>
    <w:unhideWhenUsed/>
    <w:rsid w:val="00247F83"/>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247F83"/>
    <w:rPr>
      <w:sz w:val="20"/>
      <w:szCs w:val="20"/>
    </w:rPr>
  </w:style>
  <w:style w:type="character" w:styleId="Refdenotaalpie">
    <w:name w:val="footnote reference"/>
    <w:basedOn w:val="Fuentedeprrafopredeter"/>
    <w:uiPriority w:val="99"/>
    <w:semiHidden/>
    <w:unhideWhenUsed/>
    <w:rsid w:val="00247F83"/>
    <w:rPr>
      <w:vertAlign w:val="superscript"/>
    </w:rPr>
  </w:style>
  <w:style w:type="paragraph" w:styleId="Textonotaalfinal">
    <w:name w:val="endnote text"/>
    <w:basedOn w:val="Normal"/>
    <w:link w:val="TextonotaalfinalCar"/>
    <w:uiPriority w:val="99"/>
    <w:semiHidden/>
    <w:unhideWhenUsed/>
    <w:rsid w:val="00850D7E"/>
    <w:rPr>
      <w:sz w:val="20"/>
      <w:szCs w:val="20"/>
    </w:rPr>
  </w:style>
  <w:style w:type="character" w:customStyle="1" w:styleId="TextonotaalfinalCar">
    <w:name w:val="Texto nota al final Car"/>
    <w:basedOn w:val="Fuentedeprrafopredeter"/>
    <w:link w:val="Textonotaalfinal"/>
    <w:uiPriority w:val="99"/>
    <w:semiHidden/>
    <w:rsid w:val="00850D7E"/>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850D7E"/>
    <w:rPr>
      <w:vertAlign w:val="superscript"/>
    </w:rPr>
  </w:style>
  <w:style w:type="paragraph" w:styleId="NormalWeb">
    <w:name w:val="Normal (Web)"/>
    <w:basedOn w:val="Normal"/>
    <w:uiPriority w:val="99"/>
    <w:unhideWhenUsed/>
    <w:rsid w:val="004A1318"/>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172413">
      <w:bodyDiv w:val="1"/>
      <w:marLeft w:val="0"/>
      <w:marRight w:val="0"/>
      <w:marTop w:val="0"/>
      <w:marBottom w:val="0"/>
      <w:divBdr>
        <w:top w:val="none" w:sz="0" w:space="0" w:color="auto"/>
        <w:left w:val="none" w:sz="0" w:space="0" w:color="auto"/>
        <w:bottom w:val="none" w:sz="0" w:space="0" w:color="auto"/>
        <w:right w:val="none" w:sz="0" w:space="0" w:color="auto"/>
      </w:divBdr>
    </w:div>
    <w:div w:id="199901076">
      <w:bodyDiv w:val="1"/>
      <w:marLeft w:val="0"/>
      <w:marRight w:val="0"/>
      <w:marTop w:val="0"/>
      <w:marBottom w:val="0"/>
      <w:divBdr>
        <w:top w:val="none" w:sz="0" w:space="0" w:color="auto"/>
        <w:left w:val="none" w:sz="0" w:space="0" w:color="auto"/>
        <w:bottom w:val="none" w:sz="0" w:space="0" w:color="auto"/>
        <w:right w:val="none" w:sz="0" w:space="0" w:color="auto"/>
      </w:divBdr>
    </w:div>
    <w:div w:id="258637135">
      <w:bodyDiv w:val="1"/>
      <w:marLeft w:val="0"/>
      <w:marRight w:val="0"/>
      <w:marTop w:val="0"/>
      <w:marBottom w:val="0"/>
      <w:divBdr>
        <w:top w:val="none" w:sz="0" w:space="0" w:color="auto"/>
        <w:left w:val="none" w:sz="0" w:space="0" w:color="auto"/>
        <w:bottom w:val="none" w:sz="0" w:space="0" w:color="auto"/>
        <w:right w:val="none" w:sz="0" w:space="0" w:color="auto"/>
      </w:divBdr>
    </w:div>
    <w:div w:id="455219813">
      <w:bodyDiv w:val="1"/>
      <w:marLeft w:val="0"/>
      <w:marRight w:val="0"/>
      <w:marTop w:val="0"/>
      <w:marBottom w:val="0"/>
      <w:divBdr>
        <w:top w:val="none" w:sz="0" w:space="0" w:color="auto"/>
        <w:left w:val="none" w:sz="0" w:space="0" w:color="auto"/>
        <w:bottom w:val="none" w:sz="0" w:space="0" w:color="auto"/>
        <w:right w:val="none" w:sz="0" w:space="0" w:color="auto"/>
      </w:divBdr>
    </w:div>
    <w:div w:id="607276543">
      <w:bodyDiv w:val="1"/>
      <w:marLeft w:val="0"/>
      <w:marRight w:val="0"/>
      <w:marTop w:val="0"/>
      <w:marBottom w:val="0"/>
      <w:divBdr>
        <w:top w:val="none" w:sz="0" w:space="0" w:color="auto"/>
        <w:left w:val="none" w:sz="0" w:space="0" w:color="auto"/>
        <w:bottom w:val="none" w:sz="0" w:space="0" w:color="auto"/>
        <w:right w:val="none" w:sz="0" w:space="0" w:color="auto"/>
      </w:divBdr>
    </w:div>
    <w:div w:id="1175144219">
      <w:bodyDiv w:val="1"/>
      <w:marLeft w:val="0"/>
      <w:marRight w:val="0"/>
      <w:marTop w:val="0"/>
      <w:marBottom w:val="0"/>
      <w:divBdr>
        <w:top w:val="none" w:sz="0" w:space="0" w:color="auto"/>
        <w:left w:val="none" w:sz="0" w:space="0" w:color="auto"/>
        <w:bottom w:val="none" w:sz="0" w:space="0" w:color="auto"/>
        <w:right w:val="none" w:sz="0" w:space="0" w:color="auto"/>
      </w:divBdr>
    </w:div>
    <w:div w:id="1505052962">
      <w:bodyDiv w:val="1"/>
      <w:marLeft w:val="0"/>
      <w:marRight w:val="0"/>
      <w:marTop w:val="0"/>
      <w:marBottom w:val="0"/>
      <w:divBdr>
        <w:top w:val="none" w:sz="0" w:space="0" w:color="auto"/>
        <w:left w:val="none" w:sz="0" w:space="0" w:color="auto"/>
        <w:bottom w:val="none" w:sz="0" w:space="0" w:color="auto"/>
        <w:right w:val="none" w:sz="0" w:space="0" w:color="auto"/>
      </w:divBdr>
    </w:div>
    <w:div w:id="1590038250">
      <w:bodyDiv w:val="1"/>
      <w:marLeft w:val="0"/>
      <w:marRight w:val="0"/>
      <w:marTop w:val="0"/>
      <w:marBottom w:val="0"/>
      <w:divBdr>
        <w:top w:val="none" w:sz="0" w:space="0" w:color="auto"/>
        <w:left w:val="none" w:sz="0" w:space="0" w:color="auto"/>
        <w:bottom w:val="none" w:sz="0" w:space="0" w:color="auto"/>
        <w:right w:val="none" w:sz="0" w:space="0" w:color="auto"/>
      </w:divBdr>
    </w:div>
    <w:div w:id="1731265076">
      <w:bodyDiv w:val="1"/>
      <w:marLeft w:val="0"/>
      <w:marRight w:val="0"/>
      <w:marTop w:val="0"/>
      <w:marBottom w:val="0"/>
      <w:divBdr>
        <w:top w:val="none" w:sz="0" w:space="0" w:color="auto"/>
        <w:left w:val="none" w:sz="0" w:space="0" w:color="auto"/>
        <w:bottom w:val="none" w:sz="0" w:space="0" w:color="auto"/>
        <w:right w:val="none" w:sz="0" w:space="0" w:color="auto"/>
      </w:divBdr>
    </w:div>
    <w:div w:id="1895190334">
      <w:bodyDiv w:val="1"/>
      <w:marLeft w:val="0"/>
      <w:marRight w:val="0"/>
      <w:marTop w:val="0"/>
      <w:marBottom w:val="0"/>
      <w:divBdr>
        <w:top w:val="none" w:sz="0" w:space="0" w:color="auto"/>
        <w:left w:val="none" w:sz="0" w:space="0" w:color="auto"/>
        <w:bottom w:val="none" w:sz="0" w:space="0" w:color="auto"/>
        <w:right w:val="none" w:sz="0" w:space="0" w:color="auto"/>
      </w:divBdr>
    </w:div>
    <w:div w:id="1942301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FE35F-F4F4-4380-8235-213A1D551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18</Pages>
  <Words>3507</Words>
  <Characters>19294</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22756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2021-11-08T22:02:00Z</cp:lastPrinted>
  <dcterms:created xsi:type="dcterms:W3CDTF">2021-11-12T00:47:00Z</dcterms:created>
  <dcterms:modified xsi:type="dcterms:W3CDTF">2021-12-07T01:13:00Z</dcterms:modified>
</cp:coreProperties>
</file>