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veinte de octubre de dos mil veintiuno.</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b/>
        </w:rPr>
        <w:t>VISTO</w:t>
      </w:r>
      <w:r w:rsidRPr="00233536">
        <w:rPr>
          <w:rFonts w:ascii="Palatino Linotype" w:hAnsi="Palatino Linotype"/>
        </w:rPr>
        <w:t xml:space="preserve"> el expediente formado con motivo del recurso de revisión </w:t>
      </w:r>
      <w:r w:rsidRPr="00233536">
        <w:rPr>
          <w:rFonts w:ascii="Palatino Linotype" w:hAnsi="Palatino Linotype"/>
          <w:b/>
        </w:rPr>
        <w:t>04307/INFOEM/IP/RR/2021</w:t>
      </w:r>
      <w:r w:rsidRPr="00233536">
        <w:rPr>
          <w:rFonts w:ascii="Palatino Linotype" w:hAnsi="Palatino Linotype"/>
        </w:rPr>
        <w:t xml:space="preserve">, promovido por el </w:t>
      </w:r>
      <w:r w:rsidRPr="00233536">
        <w:rPr>
          <w:rFonts w:ascii="Palatino Linotype" w:hAnsi="Palatino Linotype"/>
          <w:b/>
        </w:rPr>
        <w:t xml:space="preserve">C. </w:t>
      </w:r>
      <w:r w:rsidR="00CB42BF">
        <w:rPr>
          <w:rFonts w:ascii="Palatino Linotype" w:hAnsi="Palatino Linotype"/>
          <w:b/>
        </w:rPr>
        <w:t xml:space="preserve">XXXX XXXXX XXXX </w:t>
      </w:r>
      <w:proofErr w:type="spellStart"/>
      <w:r w:rsidR="00CB42BF">
        <w:rPr>
          <w:rFonts w:ascii="Palatino Linotype" w:hAnsi="Palatino Linotype"/>
          <w:b/>
        </w:rPr>
        <w:t>XXXX</w:t>
      </w:r>
      <w:proofErr w:type="spellEnd"/>
      <w:r w:rsidRPr="00233536">
        <w:rPr>
          <w:rFonts w:ascii="Palatino Linotype" w:hAnsi="Palatino Linotype"/>
          <w:b/>
        </w:rPr>
        <w:t xml:space="preserve">, </w:t>
      </w:r>
      <w:r w:rsidRPr="00233536">
        <w:rPr>
          <w:rFonts w:ascii="Palatino Linotype" w:hAnsi="Palatino Linotype"/>
        </w:rPr>
        <w:t>a quien en lo</w:t>
      </w:r>
      <w:r w:rsidRPr="00233536">
        <w:rPr>
          <w:rFonts w:ascii="Palatino Linotype" w:hAnsi="Palatino Linotype" w:cs="Arial"/>
        </w:rPr>
        <w:t xml:space="preserve"> sucesivo se le denominar</w:t>
      </w:r>
      <w:r w:rsidRPr="00233536">
        <w:rPr>
          <w:rFonts w:ascii="Palatino Linotype" w:hAnsi="Palatino Linotype" w:cs="Arial"/>
          <w:b/>
        </w:rPr>
        <w:t xml:space="preserve"> EL RECURRENTE</w:t>
      </w:r>
      <w:r w:rsidRPr="00233536">
        <w:rPr>
          <w:rFonts w:ascii="Palatino Linotype" w:hAnsi="Palatino Linotype"/>
        </w:rPr>
        <w:t xml:space="preserve">, en contra de la falta de respuesta por parte del </w:t>
      </w:r>
      <w:r w:rsidRPr="00233536">
        <w:rPr>
          <w:rFonts w:ascii="Palatino Linotype" w:hAnsi="Palatino Linotype" w:cs="Arial"/>
          <w:b/>
        </w:rPr>
        <w:t xml:space="preserve">Ayuntamiento de Teoloyucan, </w:t>
      </w:r>
      <w:r w:rsidRPr="00233536">
        <w:rPr>
          <w:rFonts w:ascii="Palatino Linotype" w:hAnsi="Palatino Linotype"/>
        </w:rPr>
        <w:t xml:space="preserve">en lo sucesivo </w:t>
      </w:r>
      <w:r w:rsidRPr="00233536">
        <w:rPr>
          <w:rFonts w:ascii="Palatino Linotype" w:hAnsi="Palatino Linotype"/>
          <w:b/>
        </w:rPr>
        <w:t>EL SUJETO OBLIGADO</w:t>
      </w:r>
      <w:r w:rsidRPr="00233536">
        <w:rPr>
          <w:rFonts w:ascii="Palatino Linotype" w:hAnsi="Palatino Linotype"/>
        </w:rPr>
        <w:t xml:space="preserve">, se procede a dictar la presente resolución con base en lo siguiente: </w:t>
      </w:r>
    </w:p>
    <w:p w:rsidR="00260F1F" w:rsidRPr="00233536" w:rsidRDefault="00260F1F" w:rsidP="00260F1F">
      <w:pPr>
        <w:spacing w:before="100" w:beforeAutospacing="1" w:after="100" w:afterAutospacing="1" w:line="360" w:lineRule="auto"/>
        <w:jc w:val="center"/>
        <w:rPr>
          <w:rFonts w:ascii="Palatino Linotype" w:hAnsi="Palatino Linotype"/>
          <w:b/>
          <w:bCs/>
          <w:spacing w:val="60"/>
          <w:sz w:val="28"/>
        </w:rPr>
      </w:pPr>
      <w:r w:rsidRPr="00233536">
        <w:rPr>
          <w:rFonts w:ascii="Palatino Linotype" w:hAnsi="Palatino Linotype"/>
          <w:b/>
          <w:bCs/>
          <w:spacing w:val="60"/>
          <w:sz w:val="28"/>
        </w:rPr>
        <w:t>RESULTANDO</w:t>
      </w:r>
    </w:p>
    <w:p w:rsidR="00260F1F" w:rsidRPr="00233536" w:rsidRDefault="00260F1F" w:rsidP="00260F1F">
      <w:pPr>
        <w:pStyle w:val="Prrafodelista"/>
        <w:tabs>
          <w:tab w:val="left" w:pos="709"/>
        </w:tabs>
        <w:spacing w:before="100" w:beforeAutospacing="1" w:after="100" w:afterAutospacing="1" w:line="360" w:lineRule="auto"/>
        <w:ind w:left="0"/>
        <w:jc w:val="both"/>
        <w:rPr>
          <w:rFonts w:ascii="Palatino Linotype" w:hAnsi="Palatino Linotype"/>
          <w:b/>
        </w:rPr>
      </w:pPr>
      <w:r w:rsidRPr="00233536">
        <w:rPr>
          <w:rFonts w:ascii="Palatino Linotype" w:hAnsi="Palatino Linotype"/>
          <w:b/>
          <w:sz w:val="28"/>
          <w:szCs w:val="28"/>
        </w:rPr>
        <w:t>I.</w:t>
      </w:r>
      <w:r w:rsidRPr="00233536">
        <w:rPr>
          <w:rFonts w:ascii="Palatino Linotype" w:hAnsi="Palatino Linotype"/>
        </w:rPr>
        <w:t xml:space="preserve"> En </w:t>
      </w:r>
      <w:r w:rsidRPr="00233536">
        <w:rPr>
          <w:rFonts w:ascii="Palatino Linotype" w:hAnsi="Palatino Linotype" w:cs="Arial"/>
        </w:rPr>
        <w:t>fecha</w:t>
      </w:r>
      <w:r w:rsidRPr="00233536">
        <w:rPr>
          <w:rFonts w:ascii="Palatino Linotype" w:hAnsi="Palatino Linotype"/>
        </w:rPr>
        <w:t xml:space="preserve"> cinco de agosto de dos mil veintiuno, </w:t>
      </w:r>
      <w:r w:rsidRPr="00233536">
        <w:rPr>
          <w:rFonts w:ascii="Palatino Linotype" w:hAnsi="Palatino Linotype" w:cs="Arial"/>
          <w:b/>
        </w:rPr>
        <w:t>EL RECURRENTE</w:t>
      </w:r>
      <w:r w:rsidRPr="00233536">
        <w:rPr>
          <w:rFonts w:ascii="Palatino Linotype" w:hAnsi="Palatino Linotype"/>
        </w:rPr>
        <w:t xml:space="preserve"> presentó </w:t>
      </w:r>
      <w:r w:rsidRPr="00233536">
        <w:rPr>
          <w:rFonts w:ascii="Palatino Linotype" w:hAnsi="Palatino Linotype" w:cs="Arial"/>
        </w:rPr>
        <w:t xml:space="preserve">a través del Sistema de Acceso a la Información Mexiquense, en lo subsecuente </w:t>
      </w:r>
      <w:r w:rsidRPr="00233536">
        <w:rPr>
          <w:rFonts w:ascii="Palatino Linotype" w:hAnsi="Palatino Linotype" w:cs="Arial"/>
          <w:b/>
        </w:rPr>
        <w:t>EL SAIMEX,</w:t>
      </w:r>
      <w:r w:rsidRPr="00233536">
        <w:rPr>
          <w:rFonts w:ascii="Palatino Linotype" w:hAnsi="Palatino Linotype"/>
        </w:rPr>
        <w:t xml:space="preserve"> ante </w:t>
      </w:r>
      <w:r w:rsidRPr="00233536">
        <w:rPr>
          <w:rFonts w:ascii="Palatino Linotype" w:hAnsi="Palatino Linotype"/>
          <w:b/>
        </w:rPr>
        <w:t>EL SUJETO OBLIGADO</w:t>
      </w:r>
      <w:r w:rsidRPr="00233536">
        <w:rPr>
          <w:rFonts w:ascii="Palatino Linotype" w:hAnsi="Palatino Linotype"/>
        </w:rPr>
        <w:t>, la solicitud de acceso a la información pública, a la que se le asignó el número</w:t>
      </w:r>
      <w:r w:rsidRPr="00233536">
        <w:rPr>
          <w:rFonts w:ascii="Palatino Linotype" w:hAnsi="Palatino Linotype"/>
          <w:b/>
        </w:rPr>
        <w:t xml:space="preserve"> 00390/TEOLOYU/IP/2021,</w:t>
      </w:r>
      <w:r w:rsidRPr="00233536">
        <w:rPr>
          <w:rFonts w:ascii="Palatino Linotype" w:hAnsi="Palatino Linotype"/>
        </w:rPr>
        <w:t xml:space="preserve"> mediante la cual requirió, lo siguiente:</w:t>
      </w:r>
    </w:p>
    <w:p w:rsidR="00260F1F" w:rsidRPr="00233536" w:rsidRDefault="00260F1F" w:rsidP="00260F1F">
      <w:pPr>
        <w:spacing w:before="100" w:beforeAutospacing="1" w:after="100" w:afterAutospacing="1"/>
        <w:ind w:left="709" w:right="709"/>
        <w:jc w:val="both"/>
        <w:rPr>
          <w:rFonts w:ascii="Palatino Linotype" w:hAnsi="Palatino Linotype"/>
          <w:i/>
          <w:sz w:val="22"/>
          <w:szCs w:val="22"/>
        </w:rPr>
      </w:pPr>
      <w:r w:rsidRPr="00233536">
        <w:rPr>
          <w:rFonts w:ascii="Palatino Linotype" w:hAnsi="Palatino Linotype"/>
          <w:i/>
          <w:sz w:val="22"/>
          <w:szCs w:val="22"/>
        </w:rPr>
        <w:t xml:space="preserve">“1.-Plan Anual de Obra Pública del Ayuntamiento de Teoloyucan para el Ejercicio Fiscal 2021. 2.-El expediente </w:t>
      </w:r>
      <w:proofErr w:type="spellStart"/>
      <w:r w:rsidRPr="00233536">
        <w:rPr>
          <w:rFonts w:ascii="Palatino Linotype" w:hAnsi="Palatino Linotype"/>
          <w:i/>
          <w:sz w:val="22"/>
          <w:szCs w:val="22"/>
        </w:rPr>
        <w:t>tecnico</w:t>
      </w:r>
      <w:proofErr w:type="spellEnd"/>
      <w:r w:rsidRPr="00233536">
        <w:rPr>
          <w:rFonts w:ascii="Palatino Linotype" w:hAnsi="Palatino Linotype"/>
          <w:i/>
          <w:sz w:val="22"/>
          <w:szCs w:val="22"/>
        </w:rPr>
        <w:t xml:space="preserve"> del Plan anual de obra pública. 3.-Todos y cada uno de los documentos considerados como anexos</w:t>
      </w:r>
      <w:proofErr w:type="gramStart"/>
      <w:r w:rsidRPr="00233536">
        <w:rPr>
          <w:rFonts w:ascii="Palatino Linotype" w:hAnsi="Palatino Linotype"/>
          <w:i/>
          <w:sz w:val="22"/>
          <w:szCs w:val="22"/>
        </w:rPr>
        <w:t>..”</w:t>
      </w:r>
      <w:proofErr w:type="gramEnd"/>
      <w:r w:rsidRPr="00233536">
        <w:rPr>
          <w:rFonts w:ascii="Palatino Linotype" w:hAnsi="Palatino Linotype"/>
          <w:i/>
          <w:sz w:val="22"/>
          <w:szCs w:val="22"/>
        </w:rPr>
        <w:t xml:space="preserve"> (Sic)</w:t>
      </w:r>
      <w:bookmarkStart w:id="0" w:name="_Ref516764469"/>
      <w:bookmarkStart w:id="1" w:name="_Ref531692384"/>
    </w:p>
    <w:p w:rsidR="00260F1F" w:rsidRPr="00233536" w:rsidRDefault="00260F1F" w:rsidP="00260F1F">
      <w:pPr>
        <w:spacing w:before="100" w:beforeAutospacing="1" w:after="100" w:afterAutospacing="1"/>
        <w:ind w:right="709"/>
        <w:jc w:val="both"/>
        <w:rPr>
          <w:rFonts w:ascii="Palatino Linotype" w:hAnsi="Palatino Linotype"/>
          <w:sz w:val="22"/>
          <w:szCs w:val="22"/>
        </w:rPr>
      </w:pPr>
      <w:r w:rsidRPr="00233536">
        <w:rPr>
          <w:rFonts w:ascii="Palatino Linotype" w:hAnsi="Palatino Linotype"/>
          <w:b/>
          <w:sz w:val="22"/>
          <w:szCs w:val="22"/>
        </w:rPr>
        <w:t xml:space="preserve">Modalidad de entrega: </w:t>
      </w:r>
      <w:r w:rsidRPr="00233536">
        <w:rPr>
          <w:rFonts w:ascii="Palatino Linotype" w:hAnsi="Palatino Linotype"/>
          <w:sz w:val="22"/>
          <w:szCs w:val="22"/>
        </w:rPr>
        <w:t xml:space="preserve">vía </w:t>
      </w:r>
      <w:r w:rsidRPr="00233536">
        <w:rPr>
          <w:rFonts w:ascii="Palatino Linotype" w:hAnsi="Palatino Linotype"/>
          <w:b/>
          <w:sz w:val="22"/>
          <w:szCs w:val="22"/>
        </w:rPr>
        <w:t>SAIMEX.</w:t>
      </w:r>
    </w:p>
    <w:p w:rsidR="00260F1F" w:rsidRPr="00233536" w:rsidRDefault="00260F1F" w:rsidP="00260F1F">
      <w:pPr>
        <w:spacing w:before="100" w:beforeAutospacing="1" w:after="100" w:afterAutospacing="1" w:line="360" w:lineRule="auto"/>
        <w:jc w:val="both"/>
        <w:rPr>
          <w:rFonts w:ascii="Palatino Linotype" w:hAnsi="Palatino Linotype" w:cs="Arial"/>
          <w:color w:val="000000" w:themeColor="text1"/>
        </w:rPr>
      </w:pPr>
      <w:r w:rsidRPr="00233536">
        <w:rPr>
          <w:rFonts w:ascii="Palatino Linotype" w:hAnsi="Palatino Linotype" w:cs="Arial"/>
          <w:b/>
          <w:sz w:val="28"/>
          <w:szCs w:val="28"/>
        </w:rPr>
        <w:t>II.</w:t>
      </w:r>
      <w:r w:rsidRPr="00233536">
        <w:rPr>
          <w:rFonts w:ascii="Palatino Linotype" w:hAnsi="Palatino Linotype" w:cs="Arial"/>
        </w:rPr>
        <w:t xml:space="preserve"> </w:t>
      </w:r>
      <w:r w:rsidRPr="00233536">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seis de agosto </w:t>
      </w:r>
      <w:r w:rsidRPr="00233536">
        <w:rPr>
          <w:rFonts w:ascii="Palatino Linotype" w:hAnsi="Palatino Linotype" w:cs="Arial"/>
          <w:color w:val="000000" w:themeColor="text1"/>
        </w:rPr>
        <w:lastRenderedPageBreak/>
        <w:t xml:space="preserve">de dos mil veintiuno, la Titular de la Unidad de Transparencia del </w:t>
      </w:r>
      <w:r w:rsidRPr="00233536">
        <w:rPr>
          <w:rFonts w:ascii="Palatino Linotype" w:hAnsi="Palatino Linotype" w:cs="Arial"/>
          <w:b/>
          <w:color w:val="000000" w:themeColor="text1"/>
        </w:rPr>
        <w:t>SUJETO OBLIGADO</w:t>
      </w:r>
      <w:r w:rsidRPr="00233536">
        <w:rPr>
          <w:rFonts w:ascii="Palatino Linotype" w:hAnsi="Palatino Linotype" w:cs="Arial"/>
          <w:color w:val="000000" w:themeColor="text1"/>
        </w:rPr>
        <w:t xml:space="preserve">, </w:t>
      </w:r>
      <w:r w:rsidRPr="00233536">
        <w:rPr>
          <w:rFonts w:ascii="Palatino Linotype" w:hAnsi="Palatino Linotype"/>
          <w:bCs/>
          <w:color w:val="000000" w:themeColor="text1"/>
        </w:rPr>
        <w:t xml:space="preserve">turnó el requerimiento de información a la Servidora Pública Habilitada que estimó competente, </w:t>
      </w:r>
      <w:r w:rsidRPr="00233536">
        <w:rPr>
          <w:rFonts w:ascii="Palatino Linotype" w:hAnsi="Palatino Linotype" w:cs="Arial"/>
          <w:color w:val="000000" w:themeColor="text1"/>
        </w:rPr>
        <w:t xml:space="preserve">a efecto de que realizara la búsqueda y localización de la información; mismo que, fue atendido en los términos siguientes: </w:t>
      </w:r>
    </w:p>
    <w:p w:rsidR="00260F1F" w:rsidRPr="00233536" w:rsidRDefault="00260F1F" w:rsidP="00260F1F">
      <w:pPr>
        <w:spacing w:before="100" w:beforeAutospacing="1" w:after="100" w:afterAutospacing="1" w:line="360" w:lineRule="auto"/>
        <w:jc w:val="center"/>
        <w:rPr>
          <w:rFonts w:ascii="Palatino Linotype" w:hAnsi="Palatino Linotype"/>
        </w:rPr>
      </w:pPr>
      <w:r w:rsidRPr="00233536">
        <w:rPr>
          <w:noProof/>
          <w:lang w:eastAsia="es-MX"/>
        </w:rPr>
        <w:drawing>
          <wp:inline distT="0" distB="0" distL="0" distR="0" wp14:anchorId="60B43E66" wp14:editId="7DCAC43D">
            <wp:extent cx="5547518" cy="4992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717" t="40636" r="8572" b="48269"/>
                    <a:stretch/>
                  </pic:blipFill>
                  <pic:spPr bwMode="auto">
                    <a:xfrm>
                      <a:off x="0" y="0"/>
                      <a:ext cx="5655310" cy="508975"/>
                    </a:xfrm>
                    <a:prstGeom prst="rect">
                      <a:avLst/>
                    </a:prstGeom>
                    <a:ln>
                      <a:noFill/>
                    </a:ln>
                    <a:extLst>
                      <a:ext uri="{53640926-AAD7-44D8-BBD7-CCE9431645EC}">
                        <a14:shadowObscured xmlns:a14="http://schemas.microsoft.com/office/drawing/2010/main"/>
                      </a:ext>
                    </a:extLst>
                  </pic:spPr>
                </pic:pic>
              </a:graphicData>
            </a:graphic>
          </wp:inline>
        </w:drawing>
      </w:r>
    </w:p>
    <w:p w:rsidR="00260F1F" w:rsidRPr="00233536" w:rsidRDefault="00260F1F" w:rsidP="00260F1F">
      <w:pPr>
        <w:spacing w:before="100" w:beforeAutospacing="1" w:after="100" w:afterAutospacing="1" w:line="360" w:lineRule="auto"/>
        <w:jc w:val="center"/>
        <w:rPr>
          <w:rFonts w:ascii="Palatino Linotype" w:hAnsi="Palatino Linotype"/>
        </w:rPr>
      </w:pPr>
      <w:r w:rsidRPr="00233536">
        <w:rPr>
          <w:noProof/>
          <w:lang w:eastAsia="es-MX"/>
        </w:rPr>
        <w:drawing>
          <wp:inline distT="0" distB="0" distL="0" distR="0" wp14:anchorId="66D75BA8" wp14:editId="6EE433D7">
            <wp:extent cx="2928324" cy="2128035"/>
            <wp:effectExtent l="0" t="0" r="571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939" t="32541" r="26869" b="27164"/>
                    <a:stretch/>
                  </pic:blipFill>
                  <pic:spPr bwMode="auto">
                    <a:xfrm>
                      <a:off x="0" y="0"/>
                      <a:ext cx="2957520" cy="2149252"/>
                    </a:xfrm>
                    <a:prstGeom prst="rect">
                      <a:avLst/>
                    </a:prstGeom>
                    <a:ln>
                      <a:noFill/>
                    </a:ln>
                    <a:extLst>
                      <a:ext uri="{53640926-AAD7-44D8-BBD7-CCE9431645EC}">
                        <a14:shadowObscured xmlns:a14="http://schemas.microsoft.com/office/drawing/2010/main"/>
                      </a:ext>
                    </a:extLst>
                  </pic:spPr>
                </pic:pic>
              </a:graphicData>
            </a:graphic>
          </wp:inline>
        </w:drawing>
      </w:r>
    </w:p>
    <w:p w:rsidR="00260F1F" w:rsidRPr="00233536" w:rsidRDefault="00260F1F" w:rsidP="00260F1F">
      <w:pPr>
        <w:spacing w:before="100" w:beforeAutospacing="1" w:after="100" w:afterAutospacing="1" w:line="360" w:lineRule="auto"/>
        <w:jc w:val="center"/>
        <w:rPr>
          <w:rFonts w:ascii="Palatino Linotype" w:hAnsi="Palatino Linotype"/>
        </w:rPr>
      </w:pPr>
      <w:r w:rsidRPr="00233536">
        <w:rPr>
          <w:noProof/>
          <w:lang w:eastAsia="es-MX"/>
        </w:rPr>
        <w:drawing>
          <wp:inline distT="0" distB="0" distL="0" distR="0" wp14:anchorId="43A5A9F4" wp14:editId="4575D061">
            <wp:extent cx="3076863" cy="27095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259" t="19977" r="22698" b="18905"/>
                    <a:stretch/>
                  </pic:blipFill>
                  <pic:spPr bwMode="auto">
                    <a:xfrm>
                      <a:off x="0" y="0"/>
                      <a:ext cx="3097352" cy="2727584"/>
                    </a:xfrm>
                    <a:prstGeom prst="rect">
                      <a:avLst/>
                    </a:prstGeom>
                    <a:ln>
                      <a:noFill/>
                    </a:ln>
                    <a:extLst>
                      <a:ext uri="{53640926-AAD7-44D8-BBD7-CCE9431645EC}">
                        <a14:shadowObscured xmlns:a14="http://schemas.microsoft.com/office/drawing/2010/main"/>
                      </a:ext>
                    </a:extLst>
                  </pic:spPr>
                </pic:pic>
              </a:graphicData>
            </a:graphic>
          </wp:inline>
        </w:drawing>
      </w:r>
    </w:p>
    <w:p w:rsidR="00260F1F" w:rsidRPr="00233536" w:rsidRDefault="00260F1F" w:rsidP="00260F1F">
      <w:pPr>
        <w:spacing w:before="100" w:beforeAutospacing="1" w:after="100" w:afterAutospacing="1" w:line="360" w:lineRule="auto"/>
        <w:jc w:val="center"/>
        <w:rPr>
          <w:rFonts w:ascii="Palatino Linotype" w:hAnsi="Palatino Linotype"/>
        </w:rPr>
      </w:pPr>
      <w:r w:rsidRPr="00233536">
        <w:rPr>
          <w:noProof/>
          <w:lang w:eastAsia="es-MX"/>
        </w:rPr>
        <w:lastRenderedPageBreak/>
        <w:drawing>
          <wp:inline distT="0" distB="0" distL="0" distR="0" wp14:anchorId="53C7F1CD" wp14:editId="38943A23">
            <wp:extent cx="5053389" cy="20812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35" t="26689" r="8365" b="24243"/>
                    <a:stretch/>
                  </pic:blipFill>
                  <pic:spPr bwMode="auto">
                    <a:xfrm>
                      <a:off x="0" y="0"/>
                      <a:ext cx="5128045" cy="2111988"/>
                    </a:xfrm>
                    <a:prstGeom prst="rect">
                      <a:avLst/>
                    </a:prstGeom>
                    <a:ln>
                      <a:noFill/>
                    </a:ln>
                    <a:extLst>
                      <a:ext uri="{53640926-AAD7-44D8-BBD7-CCE9431645EC}">
                        <a14:shadowObscured xmlns:a14="http://schemas.microsoft.com/office/drawing/2010/main"/>
                      </a:ext>
                    </a:extLst>
                  </pic:spPr>
                </pic:pic>
              </a:graphicData>
            </a:graphic>
          </wp:inline>
        </w:drawing>
      </w:r>
    </w:p>
    <w:p w:rsidR="00260F1F" w:rsidRPr="00233536" w:rsidRDefault="00260F1F" w:rsidP="00260F1F">
      <w:pPr>
        <w:spacing w:before="100" w:beforeAutospacing="1" w:after="100" w:afterAutospacing="1" w:line="360" w:lineRule="auto"/>
        <w:jc w:val="center"/>
        <w:rPr>
          <w:rFonts w:ascii="Palatino Linotype" w:hAnsi="Palatino Linotype"/>
        </w:rPr>
      </w:pPr>
      <w:r w:rsidRPr="00233536">
        <w:rPr>
          <w:noProof/>
          <w:lang w:eastAsia="es-MX"/>
        </w:rPr>
        <w:drawing>
          <wp:inline distT="0" distB="0" distL="0" distR="0" wp14:anchorId="29872370" wp14:editId="4067478B">
            <wp:extent cx="3519349" cy="167733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154" t="43048" r="2850" b="24414"/>
                    <a:stretch/>
                  </pic:blipFill>
                  <pic:spPr bwMode="auto">
                    <a:xfrm>
                      <a:off x="0" y="0"/>
                      <a:ext cx="3610743" cy="1720894"/>
                    </a:xfrm>
                    <a:prstGeom prst="rect">
                      <a:avLst/>
                    </a:prstGeom>
                    <a:ln>
                      <a:noFill/>
                    </a:ln>
                    <a:extLst>
                      <a:ext uri="{53640926-AAD7-44D8-BBD7-CCE9431645EC}">
                        <a14:shadowObscured xmlns:a14="http://schemas.microsoft.com/office/drawing/2010/main"/>
                      </a:ext>
                    </a:extLst>
                  </pic:spPr>
                </pic:pic>
              </a:graphicData>
            </a:graphic>
          </wp:inline>
        </w:drawing>
      </w:r>
    </w:p>
    <w:p w:rsidR="00260F1F" w:rsidRDefault="00260F1F" w:rsidP="00260F1F">
      <w:pPr>
        <w:pStyle w:val="Prrafodelista"/>
        <w:tabs>
          <w:tab w:val="left" w:pos="709"/>
        </w:tabs>
        <w:spacing w:before="100" w:beforeAutospacing="1" w:after="100" w:afterAutospacing="1" w:line="360" w:lineRule="auto"/>
        <w:ind w:left="0"/>
        <w:jc w:val="both"/>
        <w:rPr>
          <w:rFonts w:ascii="Palatino Linotype" w:hAnsi="Palatino Linotype" w:cs="Arial"/>
        </w:rPr>
      </w:pPr>
      <w:r w:rsidRPr="00233536">
        <w:rPr>
          <w:rFonts w:ascii="Palatino Linotype" w:hAnsi="Palatino Linotype" w:cs="Arial"/>
          <w:b/>
          <w:sz w:val="28"/>
          <w:szCs w:val="28"/>
        </w:rPr>
        <w:t>III.</w:t>
      </w:r>
      <w:r w:rsidRPr="00233536">
        <w:rPr>
          <w:rFonts w:ascii="Palatino Linotype" w:hAnsi="Palatino Linotype" w:cs="Arial"/>
        </w:rPr>
        <w:t xml:space="preserve"> Así, de las constancias que obran en el expediente electrónico del recurso de revisión, se pudo advertir que </w:t>
      </w:r>
      <w:r w:rsidRPr="00233536">
        <w:rPr>
          <w:rFonts w:ascii="Palatino Linotype" w:hAnsi="Palatino Linotype" w:cs="Arial"/>
          <w:b/>
        </w:rPr>
        <w:t xml:space="preserve">EL SUJETO OBLIGADO </w:t>
      </w:r>
      <w:r w:rsidRPr="00233536">
        <w:rPr>
          <w:rFonts w:ascii="Palatino Linotype" w:hAnsi="Palatino Linotype" w:cs="Arial"/>
        </w:rPr>
        <w:t>fue omiso en dar respuesta al requerimiento que le fuera planteado por la solicitante, sirviendo de sustento al presente la impresión de pantalla del detalle de seguimiento del recurso de revisión en el SAIMEX, que se inserta a continuación:</w:t>
      </w:r>
    </w:p>
    <w:p w:rsidR="00852A55" w:rsidRPr="00233536" w:rsidRDefault="00852A55" w:rsidP="00260F1F">
      <w:pPr>
        <w:pStyle w:val="Prrafodelista"/>
        <w:tabs>
          <w:tab w:val="left" w:pos="709"/>
        </w:tabs>
        <w:spacing w:before="100" w:beforeAutospacing="1" w:after="100" w:afterAutospacing="1" w:line="360" w:lineRule="auto"/>
        <w:ind w:left="0"/>
        <w:jc w:val="both"/>
        <w:rPr>
          <w:rFonts w:ascii="Palatino Linotype" w:hAnsi="Palatino Linotype" w:cs="Arial"/>
        </w:rPr>
      </w:pPr>
      <w:bookmarkStart w:id="2" w:name="_GoBack"/>
      <w:r>
        <w:rPr>
          <w:rFonts w:ascii="Palatino Linotype" w:hAnsi="Palatino Linotype" w:cs="Arial"/>
          <w:noProof/>
          <w:lang w:eastAsia="es-MX"/>
        </w:rPr>
        <w:drawing>
          <wp:inline distT="0" distB="0" distL="0" distR="0">
            <wp:extent cx="5791835" cy="1035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2">
                      <a:extLst>
                        <a:ext uri="{28A0092B-C50C-407E-A947-70E740481C1C}">
                          <a14:useLocalDpi xmlns:a14="http://schemas.microsoft.com/office/drawing/2010/main" val="0"/>
                        </a:ext>
                      </a:extLst>
                    </a:blip>
                    <a:stretch>
                      <a:fillRect/>
                    </a:stretch>
                  </pic:blipFill>
                  <pic:spPr>
                    <a:xfrm>
                      <a:off x="0" y="0"/>
                      <a:ext cx="5794487" cy="1035644"/>
                    </a:xfrm>
                    <a:prstGeom prst="rect">
                      <a:avLst/>
                    </a:prstGeom>
                  </pic:spPr>
                </pic:pic>
              </a:graphicData>
            </a:graphic>
          </wp:inline>
        </w:drawing>
      </w:r>
      <w:bookmarkEnd w:id="2"/>
    </w:p>
    <w:p w:rsidR="00260F1F" w:rsidRPr="00233536" w:rsidRDefault="00260F1F" w:rsidP="00260F1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233536">
        <w:rPr>
          <w:rFonts w:ascii="Palatino Linotype" w:hAnsi="Palatino Linotype" w:cs="Arial"/>
          <w:b/>
          <w:sz w:val="28"/>
          <w:szCs w:val="28"/>
        </w:rPr>
        <w:lastRenderedPageBreak/>
        <w:t>IV.</w:t>
      </w:r>
      <w:r w:rsidRPr="00233536">
        <w:rPr>
          <w:rFonts w:ascii="Palatino Linotype" w:hAnsi="Palatino Linotype" w:cs="Arial"/>
        </w:rPr>
        <w:t xml:space="preserve"> </w:t>
      </w:r>
      <w:r w:rsidRPr="00233536">
        <w:rPr>
          <w:rFonts w:ascii="Palatino Linotype" w:hAnsi="Palatino Linotype"/>
        </w:rPr>
        <w:t xml:space="preserve">Inconforme con la falta de respuesta del </w:t>
      </w:r>
      <w:r w:rsidRPr="00233536">
        <w:rPr>
          <w:rFonts w:ascii="Palatino Linotype" w:hAnsi="Palatino Linotype"/>
          <w:b/>
        </w:rPr>
        <w:t>SUJETO OBLIGADO</w:t>
      </w:r>
      <w:r w:rsidRPr="00233536">
        <w:rPr>
          <w:rFonts w:ascii="Palatino Linotype" w:hAnsi="Palatino Linotype"/>
        </w:rPr>
        <w:t xml:space="preserve">, en fecha veintisiete de agosto de dos mil veintiuno, </w:t>
      </w:r>
      <w:r w:rsidRPr="00233536">
        <w:rPr>
          <w:rFonts w:ascii="Palatino Linotype" w:hAnsi="Palatino Linotype" w:cs="Arial"/>
          <w:b/>
        </w:rPr>
        <w:t>EL RECURRENTE</w:t>
      </w:r>
      <w:r w:rsidRPr="00233536">
        <w:rPr>
          <w:rFonts w:ascii="Palatino Linotype" w:hAnsi="Palatino Linotype"/>
        </w:rPr>
        <w:t>, a través del</w:t>
      </w:r>
      <w:r w:rsidRPr="00233536">
        <w:rPr>
          <w:rFonts w:ascii="Palatino Linotype" w:hAnsi="Palatino Linotype"/>
          <w:b/>
        </w:rPr>
        <w:t xml:space="preserve"> SAIMEX, </w:t>
      </w:r>
      <w:r w:rsidRPr="00233536">
        <w:rPr>
          <w:rFonts w:ascii="Palatino Linotype" w:hAnsi="Palatino Linotype"/>
        </w:rPr>
        <w:t xml:space="preserve">interpuso el recurso de revisión objeto del </w:t>
      </w:r>
      <w:r w:rsidRPr="00233536">
        <w:rPr>
          <w:rFonts w:ascii="Palatino Linotype" w:hAnsi="Palatino Linotype" w:cs="Arial"/>
        </w:rPr>
        <w:t>presente</w:t>
      </w:r>
      <w:r w:rsidRPr="00233536">
        <w:rPr>
          <w:rFonts w:ascii="Palatino Linotype" w:hAnsi="Palatino Linotype"/>
        </w:rPr>
        <w:t xml:space="preserve"> estudio, al que se le asignó el </w:t>
      </w:r>
      <w:r w:rsidRPr="00233536">
        <w:rPr>
          <w:rFonts w:ascii="Palatino Linotype" w:hAnsi="Palatino Linotype" w:cs="Arial"/>
        </w:rPr>
        <w:t>número al rubro citado, en el que señaló como acto impugnado:</w:t>
      </w:r>
    </w:p>
    <w:p w:rsidR="00260F1F" w:rsidRPr="00233536" w:rsidRDefault="00260F1F" w:rsidP="00260F1F">
      <w:pPr>
        <w:spacing w:before="100" w:beforeAutospacing="1" w:after="100" w:afterAutospacing="1"/>
        <w:ind w:left="709" w:right="709"/>
        <w:jc w:val="both"/>
        <w:rPr>
          <w:rFonts w:ascii="Palatino Linotype" w:hAnsi="Palatino Linotype" w:cs="Arial"/>
          <w:i/>
          <w:sz w:val="22"/>
          <w:szCs w:val="22"/>
          <w:lang w:eastAsia="es-MX"/>
        </w:rPr>
      </w:pPr>
      <w:r w:rsidRPr="00233536">
        <w:rPr>
          <w:rFonts w:ascii="Palatino Linotype" w:hAnsi="Palatino Linotype" w:cs="Arial"/>
          <w:i/>
          <w:sz w:val="22"/>
          <w:szCs w:val="22"/>
          <w:lang w:eastAsia="es-MX"/>
        </w:rPr>
        <w:t xml:space="preserve">“La falta de respuesta a una solicitud de acceso a la </w:t>
      </w:r>
      <w:proofErr w:type="spellStart"/>
      <w:r w:rsidRPr="00233536">
        <w:rPr>
          <w:rFonts w:ascii="Palatino Linotype" w:hAnsi="Palatino Linotype" w:cs="Arial"/>
          <w:i/>
          <w:sz w:val="22"/>
          <w:szCs w:val="22"/>
          <w:lang w:eastAsia="es-MX"/>
        </w:rPr>
        <w:t>informacion</w:t>
      </w:r>
      <w:proofErr w:type="spellEnd"/>
      <w:r w:rsidRPr="00233536">
        <w:rPr>
          <w:rFonts w:ascii="Palatino Linotype" w:hAnsi="Palatino Linotype" w:cs="Arial"/>
          <w:i/>
          <w:sz w:val="22"/>
          <w:szCs w:val="22"/>
          <w:lang w:eastAsia="es-MX"/>
        </w:rPr>
        <w:t xml:space="preserve"> pública</w:t>
      </w:r>
      <w:proofErr w:type="gramStart"/>
      <w:r w:rsidRPr="00233536">
        <w:rPr>
          <w:rFonts w:ascii="Palatino Linotype" w:hAnsi="Palatino Linotype" w:cs="Arial"/>
          <w:i/>
          <w:sz w:val="22"/>
          <w:szCs w:val="22"/>
          <w:lang w:eastAsia="es-MX"/>
        </w:rPr>
        <w:t>..”</w:t>
      </w:r>
      <w:proofErr w:type="gramEnd"/>
      <w:r w:rsidRPr="00233536">
        <w:rPr>
          <w:rFonts w:ascii="Palatino Linotype" w:hAnsi="Palatino Linotype" w:cs="Arial"/>
          <w:i/>
          <w:sz w:val="22"/>
          <w:szCs w:val="22"/>
          <w:lang w:eastAsia="es-MX"/>
        </w:rPr>
        <w:t xml:space="preserve"> (Sic)</w:t>
      </w:r>
    </w:p>
    <w:p w:rsidR="00260F1F" w:rsidRPr="00233536" w:rsidRDefault="00260F1F" w:rsidP="00260F1F">
      <w:pPr>
        <w:pStyle w:val="Prrafodelista"/>
        <w:spacing w:before="100" w:beforeAutospacing="1" w:after="100" w:afterAutospacing="1" w:line="360" w:lineRule="auto"/>
        <w:ind w:left="0"/>
        <w:jc w:val="both"/>
        <w:rPr>
          <w:rFonts w:ascii="Palatino Linotype" w:hAnsi="Palatino Linotype"/>
        </w:rPr>
      </w:pPr>
      <w:r w:rsidRPr="00233536">
        <w:rPr>
          <w:rFonts w:ascii="Palatino Linotype" w:hAnsi="Palatino Linotype" w:cs="Arial"/>
        </w:rPr>
        <w:t>Asimismo</w:t>
      </w:r>
      <w:r w:rsidRPr="00233536">
        <w:rPr>
          <w:rFonts w:ascii="Palatino Linotype" w:hAnsi="Palatino Linotype"/>
        </w:rPr>
        <w:t>, indicó como razones o motivos de inconformidad:</w:t>
      </w:r>
    </w:p>
    <w:p w:rsidR="00260F1F" w:rsidRPr="00233536" w:rsidRDefault="00260F1F" w:rsidP="00260F1F">
      <w:pPr>
        <w:spacing w:before="100" w:beforeAutospacing="1" w:after="100" w:afterAutospacing="1"/>
        <w:ind w:left="709" w:right="709"/>
        <w:jc w:val="both"/>
        <w:rPr>
          <w:rFonts w:ascii="Palatino Linotype" w:hAnsi="Palatino Linotype" w:cs="Arial"/>
          <w:i/>
          <w:sz w:val="22"/>
          <w:szCs w:val="22"/>
          <w:lang w:eastAsia="es-MX"/>
        </w:rPr>
      </w:pPr>
      <w:r w:rsidRPr="00233536">
        <w:rPr>
          <w:rFonts w:ascii="Palatino Linotype" w:hAnsi="Palatino Linotype" w:cs="Arial"/>
          <w:i/>
          <w:sz w:val="22"/>
          <w:szCs w:val="22"/>
          <w:lang w:eastAsia="es-MX"/>
        </w:rPr>
        <w:t xml:space="preserve">“El sujeto obligado no dio </w:t>
      </w:r>
      <w:proofErr w:type="spellStart"/>
      <w:r w:rsidRPr="00233536">
        <w:rPr>
          <w:rFonts w:ascii="Palatino Linotype" w:hAnsi="Palatino Linotype" w:cs="Arial"/>
          <w:i/>
          <w:sz w:val="22"/>
          <w:szCs w:val="22"/>
          <w:lang w:eastAsia="es-MX"/>
        </w:rPr>
        <w:t>contestacion</w:t>
      </w:r>
      <w:proofErr w:type="spellEnd"/>
      <w:r w:rsidRPr="00233536">
        <w:rPr>
          <w:rFonts w:ascii="Palatino Linotype" w:hAnsi="Palatino Linotype" w:cs="Arial"/>
          <w:i/>
          <w:sz w:val="22"/>
          <w:szCs w:val="22"/>
          <w:lang w:eastAsia="es-MX"/>
        </w:rPr>
        <w:t xml:space="preserve"> a mi solicitud de acceso a la </w:t>
      </w:r>
      <w:proofErr w:type="spellStart"/>
      <w:r w:rsidRPr="00233536">
        <w:rPr>
          <w:rFonts w:ascii="Palatino Linotype" w:hAnsi="Palatino Linotype" w:cs="Arial"/>
          <w:i/>
          <w:sz w:val="22"/>
          <w:szCs w:val="22"/>
          <w:lang w:eastAsia="es-MX"/>
        </w:rPr>
        <w:t>informacion</w:t>
      </w:r>
      <w:proofErr w:type="spellEnd"/>
      <w:r w:rsidRPr="00233536">
        <w:rPr>
          <w:rFonts w:ascii="Palatino Linotype" w:hAnsi="Palatino Linotype" w:cs="Arial"/>
          <w:i/>
          <w:sz w:val="22"/>
          <w:szCs w:val="22"/>
          <w:lang w:eastAsia="es-MX"/>
        </w:rPr>
        <w:t xml:space="preserve"> </w:t>
      </w:r>
      <w:proofErr w:type="spellStart"/>
      <w:r w:rsidRPr="00233536">
        <w:rPr>
          <w:rFonts w:ascii="Palatino Linotype" w:hAnsi="Palatino Linotype" w:cs="Arial"/>
          <w:i/>
          <w:sz w:val="22"/>
          <w:szCs w:val="22"/>
          <w:lang w:eastAsia="es-MX"/>
        </w:rPr>
        <w:t>pública.Tampoco</w:t>
      </w:r>
      <w:proofErr w:type="spellEnd"/>
      <w:r w:rsidRPr="00233536">
        <w:rPr>
          <w:rFonts w:ascii="Palatino Linotype" w:hAnsi="Palatino Linotype" w:cs="Arial"/>
          <w:i/>
          <w:sz w:val="22"/>
          <w:szCs w:val="22"/>
          <w:lang w:eastAsia="es-MX"/>
        </w:rPr>
        <w:t xml:space="preserve"> fui notificado de una </w:t>
      </w:r>
      <w:proofErr w:type="spellStart"/>
      <w:r w:rsidRPr="00233536">
        <w:rPr>
          <w:rFonts w:ascii="Palatino Linotype" w:hAnsi="Palatino Linotype" w:cs="Arial"/>
          <w:i/>
          <w:sz w:val="22"/>
          <w:szCs w:val="22"/>
          <w:lang w:eastAsia="es-MX"/>
        </w:rPr>
        <w:t>aclaracion</w:t>
      </w:r>
      <w:proofErr w:type="spellEnd"/>
      <w:r w:rsidRPr="00233536">
        <w:rPr>
          <w:rFonts w:ascii="Palatino Linotype" w:hAnsi="Palatino Linotype" w:cs="Arial"/>
          <w:i/>
          <w:sz w:val="22"/>
          <w:szCs w:val="22"/>
          <w:lang w:eastAsia="es-MX"/>
        </w:rPr>
        <w:t xml:space="preserve"> o </w:t>
      </w:r>
      <w:proofErr w:type="spellStart"/>
      <w:r w:rsidRPr="00233536">
        <w:rPr>
          <w:rFonts w:ascii="Palatino Linotype" w:hAnsi="Palatino Linotype" w:cs="Arial"/>
          <w:i/>
          <w:sz w:val="22"/>
          <w:szCs w:val="22"/>
          <w:lang w:eastAsia="es-MX"/>
        </w:rPr>
        <w:t>ampliacion</w:t>
      </w:r>
      <w:proofErr w:type="spellEnd"/>
      <w:r w:rsidRPr="00233536">
        <w:rPr>
          <w:rFonts w:ascii="Palatino Linotype" w:hAnsi="Palatino Linotype" w:cs="Arial"/>
          <w:i/>
          <w:sz w:val="22"/>
          <w:szCs w:val="22"/>
          <w:lang w:eastAsia="es-MX"/>
        </w:rPr>
        <w:t xml:space="preserve"> del plazo para dar </w:t>
      </w:r>
      <w:proofErr w:type="spellStart"/>
      <w:r w:rsidRPr="00233536">
        <w:rPr>
          <w:rFonts w:ascii="Palatino Linotype" w:hAnsi="Palatino Linotype" w:cs="Arial"/>
          <w:i/>
          <w:sz w:val="22"/>
          <w:szCs w:val="22"/>
          <w:lang w:eastAsia="es-MX"/>
        </w:rPr>
        <w:t>contestacion</w:t>
      </w:r>
      <w:proofErr w:type="spellEnd"/>
      <w:r w:rsidRPr="00233536">
        <w:rPr>
          <w:rFonts w:ascii="Palatino Linotype" w:hAnsi="Palatino Linotype" w:cs="Arial"/>
          <w:i/>
          <w:sz w:val="22"/>
          <w:szCs w:val="22"/>
          <w:lang w:eastAsia="es-MX"/>
        </w:rPr>
        <w:t xml:space="preserve"> a mi solicitud</w:t>
      </w:r>
      <w:proofErr w:type="gramStart"/>
      <w:r w:rsidRPr="00233536">
        <w:rPr>
          <w:rFonts w:ascii="Palatino Linotype" w:hAnsi="Palatino Linotype" w:cs="Arial"/>
          <w:i/>
          <w:sz w:val="22"/>
          <w:szCs w:val="22"/>
          <w:lang w:eastAsia="es-MX"/>
        </w:rPr>
        <w:t>..”</w:t>
      </w:r>
      <w:proofErr w:type="gramEnd"/>
      <w:r w:rsidRPr="00233536">
        <w:rPr>
          <w:rFonts w:ascii="Palatino Linotype" w:hAnsi="Palatino Linotype" w:cs="Arial"/>
          <w:i/>
          <w:sz w:val="22"/>
          <w:szCs w:val="22"/>
          <w:lang w:eastAsia="es-MX"/>
        </w:rPr>
        <w:t xml:space="preserve"> (Sic)</w:t>
      </w:r>
    </w:p>
    <w:p w:rsidR="00260F1F" w:rsidRPr="00233536" w:rsidRDefault="00260F1F" w:rsidP="00260F1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233536">
        <w:rPr>
          <w:rFonts w:ascii="Palatino Linotype" w:hAnsi="Palatino Linotype" w:cs="Arial"/>
          <w:b/>
          <w:sz w:val="28"/>
          <w:szCs w:val="28"/>
        </w:rPr>
        <w:t xml:space="preserve">V. </w:t>
      </w:r>
      <w:r w:rsidRPr="00233536">
        <w:rPr>
          <w:rFonts w:ascii="Palatino Linotype" w:hAnsi="Palatino Linotype" w:cs="Arial"/>
        </w:rPr>
        <w:t>En fecha veintisiete de agosto de dos mil veintiuno, el recurso de que se trata se envió electrónicamente al Instituto de Transparencia, Acceso a la Información Pública</w:t>
      </w:r>
      <w:r w:rsidRPr="00233536">
        <w:rPr>
          <w:rFonts w:ascii="Palatino Linotype" w:hAnsi="Palatino Linotype" w:cs="Arial"/>
          <w:lang w:val="es-ES_tradnl"/>
        </w:rPr>
        <w:t xml:space="preserve"> y </w:t>
      </w:r>
      <w:r w:rsidRPr="00233536">
        <w:rPr>
          <w:rFonts w:ascii="Palatino Linotype" w:hAnsi="Palatino Linotype" w:cs="Arial"/>
        </w:rPr>
        <w:t>Protección</w:t>
      </w:r>
      <w:r w:rsidRPr="00233536">
        <w:rPr>
          <w:rFonts w:ascii="Palatino Linotype" w:hAnsi="Palatino Linotype" w:cs="Arial"/>
          <w:lang w:val="es-ES_tradnl"/>
        </w:rPr>
        <w:t xml:space="preserve"> </w:t>
      </w:r>
      <w:r w:rsidRPr="00233536">
        <w:rPr>
          <w:rFonts w:ascii="Palatino Linotype" w:hAnsi="Palatino Linotype" w:cs="Arial"/>
        </w:rPr>
        <w:t>de</w:t>
      </w:r>
      <w:r w:rsidRPr="00233536">
        <w:rPr>
          <w:rFonts w:ascii="Palatino Linotype" w:hAnsi="Palatino Linotype" w:cs="Arial"/>
          <w:lang w:val="es-ES_tradnl"/>
        </w:rPr>
        <w:t xml:space="preserve"> </w:t>
      </w:r>
      <w:r w:rsidRPr="00233536">
        <w:rPr>
          <w:rFonts w:ascii="Palatino Linotype" w:hAnsi="Palatino Linotype"/>
        </w:rPr>
        <w:t>Datos</w:t>
      </w:r>
      <w:r w:rsidRPr="00233536">
        <w:rPr>
          <w:rFonts w:ascii="Palatino Linotype" w:hAnsi="Palatino Linotype" w:cs="Arial"/>
          <w:lang w:val="es-ES_tradnl"/>
        </w:rPr>
        <w:t xml:space="preserve"> </w:t>
      </w:r>
      <w:r w:rsidRPr="00233536">
        <w:rPr>
          <w:rFonts w:ascii="Palatino Linotype" w:hAnsi="Palatino Linotype" w:cs="Arial"/>
        </w:rPr>
        <w:t>Personales</w:t>
      </w:r>
      <w:r w:rsidRPr="00233536">
        <w:rPr>
          <w:rFonts w:ascii="Palatino Linotype" w:hAnsi="Palatino Linotype" w:cs="Arial"/>
          <w:lang w:val="es-ES_tradnl"/>
        </w:rPr>
        <w:t xml:space="preserve"> </w:t>
      </w:r>
      <w:r w:rsidRPr="00233536">
        <w:rPr>
          <w:rFonts w:ascii="Palatino Linotype" w:hAnsi="Palatino Linotype" w:cs="Arial"/>
        </w:rPr>
        <w:t>del</w:t>
      </w:r>
      <w:r w:rsidRPr="00233536">
        <w:rPr>
          <w:rFonts w:ascii="Palatino Linotype" w:hAnsi="Palatino Linotype" w:cs="Arial"/>
          <w:lang w:val="es-ES_tradnl"/>
        </w:rPr>
        <w:t xml:space="preserve"> </w:t>
      </w:r>
      <w:r w:rsidRPr="00233536">
        <w:rPr>
          <w:rFonts w:ascii="Palatino Linotype" w:hAnsi="Palatino Linotype"/>
        </w:rPr>
        <w:t>Estado</w:t>
      </w:r>
      <w:r w:rsidRPr="00233536">
        <w:rPr>
          <w:rFonts w:ascii="Palatino Linotype" w:hAnsi="Palatino Linotype" w:cs="Arial"/>
          <w:lang w:val="es-ES_tradnl"/>
        </w:rPr>
        <w:t xml:space="preserve"> de México y Municipios y con fundamento en el </w:t>
      </w:r>
      <w:r w:rsidRPr="00233536">
        <w:rPr>
          <w:rFonts w:ascii="Palatino Linotype" w:hAnsi="Palatino Linotype" w:cs="Arial"/>
        </w:rPr>
        <w:t>artículo</w:t>
      </w:r>
      <w:r w:rsidRPr="00233536">
        <w:rPr>
          <w:rFonts w:ascii="Palatino Linotype" w:hAnsi="Palatino Linotype" w:cs="Arial"/>
          <w:lang w:val="es-ES_tradnl"/>
        </w:rPr>
        <w:t xml:space="preserve"> 185, </w:t>
      </w:r>
      <w:r w:rsidRPr="00233536">
        <w:rPr>
          <w:rFonts w:ascii="Palatino Linotype" w:hAnsi="Palatino Linotype" w:cs="Arial"/>
        </w:rPr>
        <w:t>fracción</w:t>
      </w:r>
      <w:r w:rsidRPr="00233536">
        <w:rPr>
          <w:rFonts w:ascii="Palatino Linotype" w:hAnsi="Palatino Linotype" w:cs="Arial"/>
          <w:lang w:val="es-ES_tradnl"/>
        </w:rPr>
        <w:t xml:space="preserve"> I de la </w:t>
      </w:r>
      <w:r w:rsidRPr="00233536">
        <w:rPr>
          <w:rFonts w:ascii="Palatino Linotype" w:hAnsi="Palatino Linotype"/>
        </w:rPr>
        <w:t>Ley de Transparencia y Acceso a la Información Pública del Estado de México y Municipios</w:t>
      </w:r>
      <w:r w:rsidRPr="00233536">
        <w:rPr>
          <w:rFonts w:ascii="Palatino Linotype" w:hAnsi="Palatino Linotype" w:cs="Arial"/>
          <w:lang w:val="es-ES_tradnl"/>
        </w:rPr>
        <w:t>, se turnó, a través del</w:t>
      </w:r>
      <w:r w:rsidRPr="00233536">
        <w:rPr>
          <w:rFonts w:ascii="Palatino Linotype" w:eastAsia="Arial Unicode MS" w:hAnsi="Palatino Linotype" w:cs="Arial"/>
          <w:lang w:val="es-ES_tradnl"/>
        </w:rPr>
        <w:t xml:space="preserve"> </w:t>
      </w:r>
      <w:r w:rsidRPr="00233536">
        <w:rPr>
          <w:rFonts w:ascii="Palatino Linotype" w:eastAsia="Arial Unicode MS" w:hAnsi="Palatino Linotype" w:cs="Arial"/>
          <w:b/>
          <w:lang w:val="es-ES_tradnl"/>
        </w:rPr>
        <w:t>SAIMEX</w:t>
      </w:r>
      <w:r w:rsidRPr="00233536">
        <w:rPr>
          <w:rFonts w:ascii="Palatino Linotype" w:hAnsi="Palatino Linotype"/>
        </w:rPr>
        <w:t xml:space="preserve">, a la </w:t>
      </w:r>
      <w:r w:rsidRPr="00233536">
        <w:rPr>
          <w:rFonts w:ascii="Palatino Linotype" w:hAnsi="Palatino Linotype" w:cs="Arial"/>
          <w:lang w:val="es-ES_tradnl"/>
        </w:rPr>
        <w:t xml:space="preserve">Comisionada </w:t>
      </w:r>
      <w:r w:rsidRPr="00233536">
        <w:rPr>
          <w:rFonts w:ascii="Palatino Linotype" w:hAnsi="Palatino Linotype" w:cs="Arial"/>
          <w:b/>
          <w:lang w:val="es-ES_tradnl"/>
        </w:rPr>
        <w:t>Sharon Cristina Morales Martínez</w:t>
      </w:r>
      <w:r w:rsidRPr="00233536">
        <w:rPr>
          <w:rFonts w:ascii="Palatino Linotype" w:hAnsi="Palatino Linotype" w:cs="Arial"/>
          <w:lang w:val="es-ES_tradnl"/>
        </w:rPr>
        <w:t xml:space="preserve">, a efecto de que decretara su admisión o </w:t>
      </w:r>
      <w:proofErr w:type="spellStart"/>
      <w:r w:rsidRPr="00233536">
        <w:rPr>
          <w:rFonts w:ascii="Palatino Linotype" w:hAnsi="Palatino Linotype" w:cs="Arial"/>
          <w:lang w:val="es-ES_tradnl"/>
        </w:rPr>
        <w:t>desechamiento</w:t>
      </w:r>
      <w:proofErr w:type="spellEnd"/>
      <w:r w:rsidRPr="00233536">
        <w:rPr>
          <w:rFonts w:ascii="Palatino Linotype" w:hAnsi="Palatino Linotype" w:cs="Arial"/>
          <w:lang w:val="es-ES_tradnl"/>
        </w:rPr>
        <w:t>.</w:t>
      </w:r>
    </w:p>
    <w:p w:rsidR="00260F1F" w:rsidRPr="00233536" w:rsidRDefault="00260F1F" w:rsidP="00260F1F">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233536">
        <w:rPr>
          <w:rFonts w:ascii="Palatino Linotype" w:hAnsi="Palatino Linotype" w:cs="Arial"/>
          <w:b/>
          <w:color w:val="000000" w:themeColor="text1"/>
          <w:sz w:val="28"/>
          <w:szCs w:val="28"/>
        </w:rPr>
        <w:t>VI.</w:t>
      </w:r>
      <w:r w:rsidRPr="00233536">
        <w:rPr>
          <w:rFonts w:ascii="Palatino Linotype" w:hAnsi="Palatino Linotype" w:cs="Arial"/>
          <w:color w:val="000000" w:themeColor="text1"/>
        </w:rPr>
        <w:t xml:space="preserve"> </w:t>
      </w:r>
      <w:r w:rsidRPr="00233536">
        <w:rPr>
          <w:rFonts w:ascii="Palatino Linotype" w:hAnsi="Palatino Linotype" w:cs="Arial"/>
        </w:rPr>
        <w:t xml:space="preserve">En fecha dos de septiembre de dos mil veintiuno, atento a lo dispuesto en el artículo 185, fracciones I, II y IV, de la </w:t>
      </w:r>
      <w:r w:rsidRPr="00233536">
        <w:rPr>
          <w:rFonts w:ascii="Palatino Linotype" w:hAnsi="Palatino Linotype"/>
        </w:rPr>
        <w:t xml:space="preserve">Ley de Transparencia y Acceso a la Información Pública del </w:t>
      </w:r>
      <w:r w:rsidRPr="00233536">
        <w:rPr>
          <w:rFonts w:ascii="Palatino Linotype" w:hAnsi="Palatino Linotype" w:cs="Arial"/>
        </w:rPr>
        <w:t>Estado</w:t>
      </w:r>
      <w:r w:rsidRPr="00233536">
        <w:rPr>
          <w:rFonts w:ascii="Palatino Linotype" w:hAnsi="Palatino Linotype"/>
        </w:rPr>
        <w:t xml:space="preserve"> de México y </w:t>
      </w:r>
      <w:r w:rsidRPr="00233536">
        <w:rPr>
          <w:rFonts w:ascii="Palatino Linotype" w:hAnsi="Palatino Linotype" w:cs="Arial"/>
          <w:lang w:val="es-ES_tradnl"/>
        </w:rPr>
        <w:t>Municipios</w:t>
      </w:r>
      <w:r w:rsidRPr="00233536">
        <w:rPr>
          <w:rFonts w:ascii="Palatino Linotype" w:hAnsi="Palatino Linotype"/>
        </w:rPr>
        <w:t>, la Comisionada Ponente a</w:t>
      </w:r>
      <w:r w:rsidRPr="00233536">
        <w:rPr>
          <w:rFonts w:ascii="Palatino Linotype" w:hAnsi="Palatino Linotype" w:cs="Arial"/>
        </w:rPr>
        <w:t xml:space="preserve">cordó la admisión a trámite del referido recurso de </w:t>
      </w:r>
      <w:r w:rsidRPr="00233536">
        <w:rPr>
          <w:rFonts w:ascii="Palatino Linotype" w:hAnsi="Palatino Linotype" w:cs="Arial"/>
          <w:lang w:val="es-ES_tradnl"/>
        </w:rPr>
        <w:t>revisión;</w:t>
      </w:r>
      <w:r w:rsidRPr="00233536">
        <w:rPr>
          <w:rFonts w:ascii="Palatino Linotype" w:hAnsi="Palatino Linotype" w:cs="Arial"/>
        </w:rPr>
        <w:t xml:space="preserve"> así como, la </w:t>
      </w:r>
      <w:r w:rsidRPr="00233536">
        <w:rPr>
          <w:rFonts w:ascii="Palatino Linotype" w:hAnsi="Palatino Linotype" w:cs="Arial"/>
          <w:lang w:val="es-ES_tradnl"/>
        </w:rPr>
        <w:t>integración</w:t>
      </w:r>
      <w:r w:rsidRPr="00233536">
        <w:rPr>
          <w:rFonts w:ascii="Palatino Linotype" w:hAnsi="Palatino Linotype" w:cs="Arial"/>
        </w:rPr>
        <w:t xml:space="preserve"> del expediente respectivo, mismo que se puso a disposición de las partes, para que en el plazo máximo de siete días hábiles, </w:t>
      </w:r>
      <w:r w:rsidRPr="00233536">
        <w:rPr>
          <w:rFonts w:ascii="Palatino Linotype" w:hAnsi="Palatino Linotype" w:cs="Arial"/>
          <w:b/>
        </w:rPr>
        <w:t>EL RECURRENTE</w:t>
      </w:r>
      <w:r w:rsidRPr="00233536">
        <w:rPr>
          <w:rFonts w:ascii="Palatino Linotype" w:hAnsi="Palatino Linotype" w:cs="Arial"/>
        </w:rPr>
        <w:t xml:space="preserve"> realizara manifestaciones, </w:t>
      </w:r>
      <w:r w:rsidRPr="00233536">
        <w:rPr>
          <w:rFonts w:ascii="Palatino Linotype" w:hAnsi="Palatino Linotype" w:cs="Arial"/>
        </w:rPr>
        <w:lastRenderedPageBreak/>
        <w:t xml:space="preserve">alegatos y ofreciera las pruebas que a su derecho </w:t>
      </w:r>
      <w:r w:rsidRPr="00233536">
        <w:rPr>
          <w:rFonts w:ascii="Palatino Linotype" w:hAnsi="Palatino Linotype" w:cs="Arial"/>
          <w:lang w:val="es-ES_tradnl"/>
        </w:rPr>
        <w:t>conviniera</w:t>
      </w:r>
      <w:r w:rsidRPr="00233536">
        <w:rPr>
          <w:rFonts w:ascii="Palatino Linotype" w:hAnsi="Palatino Linotype" w:cs="Arial"/>
        </w:rPr>
        <w:t xml:space="preserve"> y, en el caso del</w:t>
      </w:r>
      <w:r w:rsidRPr="00233536">
        <w:rPr>
          <w:rFonts w:ascii="Palatino Linotype" w:hAnsi="Palatino Linotype" w:cs="Arial"/>
          <w:b/>
        </w:rPr>
        <w:t xml:space="preserve"> SUJETO OBLIGADO</w:t>
      </w:r>
      <w:r w:rsidRPr="00233536">
        <w:rPr>
          <w:rFonts w:ascii="Palatino Linotype" w:hAnsi="Palatino Linotype" w:cs="Arial"/>
        </w:rPr>
        <w:t>, para que exhibiera el Informe Justificado correspondiente.</w:t>
      </w:r>
    </w:p>
    <w:p w:rsidR="00260F1F" w:rsidRPr="00233536" w:rsidRDefault="00260F1F" w:rsidP="00260F1F">
      <w:pPr>
        <w:pStyle w:val="Prrafodelista"/>
        <w:spacing w:before="240" w:after="240" w:line="360" w:lineRule="auto"/>
        <w:ind w:left="0"/>
        <w:jc w:val="both"/>
        <w:rPr>
          <w:rFonts w:ascii="Palatino Linotype" w:hAnsi="Palatino Linotype" w:cs="Arial"/>
        </w:rPr>
      </w:pPr>
      <w:r w:rsidRPr="00233536">
        <w:rPr>
          <w:rFonts w:ascii="Palatino Linotype" w:hAnsi="Palatino Linotype" w:cs="Arial"/>
          <w:b/>
          <w:color w:val="000000" w:themeColor="text1"/>
          <w:sz w:val="28"/>
          <w:szCs w:val="28"/>
        </w:rPr>
        <w:t>VII.</w:t>
      </w:r>
      <w:r w:rsidRPr="00233536">
        <w:rPr>
          <w:rFonts w:ascii="Palatino Linotype" w:hAnsi="Palatino Linotype" w:cs="Arial"/>
          <w:color w:val="000000" w:themeColor="text1"/>
        </w:rPr>
        <w:t xml:space="preserve"> </w:t>
      </w:r>
      <w:r w:rsidRPr="00233536">
        <w:rPr>
          <w:rFonts w:ascii="Palatino Linotype" w:hAnsi="Palatino Linotype" w:cs="Arial"/>
        </w:rPr>
        <w:t xml:space="preserve">De las constancias que obran en el </w:t>
      </w:r>
      <w:r w:rsidRPr="00233536">
        <w:rPr>
          <w:rFonts w:ascii="Palatino Linotype" w:hAnsi="Palatino Linotype" w:cs="Arial"/>
          <w:b/>
        </w:rPr>
        <w:t>SAIMEX</w:t>
      </w:r>
      <w:r w:rsidRPr="00233536">
        <w:rPr>
          <w:rFonts w:ascii="Palatino Linotype" w:hAnsi="Palatino Linotype" w:cs="Arial"/>
        </w:rPr>
        <w:t xml:space="preserve">, se desprende que </w:t>
      </w:r>
      <w:r w:rsidRPr="00233536">
        <w:rPr>
          <w:rFonts w:ascii="Palatino Linotype" w:hAnsi="Palatino Linotype" w:cs="Arial"/>
          <w:b/>
        </w:rPr>
        <w:t xml:space="preserve">EL SUJETO OBLIGADO </w:t>
      </w:r>
      <w:r w:rsidRPr="00233536">
        <w:rPr>
          <w:rFonts w:ascii="Palatino Linotype" w:hAnsi="Palatino Linotype" w:cs="Arial"/>
        </w:rPr>
        <w:t>en fecha siete de septiembre de dos mil veintiuno, rindió el Informe Justificado correspondiente; mismo que al modificar el hecho de que no se hubiera dado respuesta actualizó el supuesto previsto en el artículo 185, fracción III de la Ley de Transparencia y Acceso a la Información Pública del Estado de México y Municipios por lo que fue puesto a disposición del solicitante en fecha quince de septiembre de dos mil veintiuno; tal y como se aprecia en la impresión de pantalla siguiente:</w:t>
      </w:r>
    </w:p>
    <w:p w:rsidR="00260F1F" w:rsidRPr="00233536" w:rsidRDefault="00260F1F" w:rsidP="00260F1F">
      <w:pPr>
        <w:pStyle w:val="Prrafodelista"/>
        <w:spacing w:before="240" w:after="240" w:line="360" w:lineRule="auto"/>
        <w:ind w:left="0"/>
        <w:jc w:val="center"/>
        <w:rPr>
          <w:rFonts w:ascii="Palatino Linotype" w:hAnsi="Palatino Linotype" w:cs="Arial"/>
        </w:rPr>
      </w:pPr>
      <w:r w:rsidRPr="00233536">
        <w:rPr>
          <w:noProof/>
          <w:lang w:eastAsia="es-MX"/>
        </w:rPr>
        <w:drawing>
          <wp:inline distT="0" distB="0" distL="0" distR="0" wp14:anchorId="5CDD4292" wp14:editId="2F4FCE5B">
            <wp:extent cx="5497111" cy="2131730"/>
            <wp:effectExtent l="0" t="0" r="889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20" t="8611" r="16101" b="41632"/>
                    <a:stretch/>
                  </pic:blipFill>
                  <pic:spPr bwMode="auto">
                    <a:xfrm>
                      <a:off x="0" y="0"/>
                      <a:ext cx="5589892" cy="2167710"/>
                    </a:xfrm>
                    <a:prstGeom prst="rect">
                      <a:avLst/>
                    </a:prstGeom>
                    <a:ln>
                      <a:noFill/>
                    </a:ln>
                    <a:extLst>
                      <a:ext uri="{53640926-AAD7-44D8-BBD7-CCE9431645EC}">
                        <a14:shadowObscured xmlns:a14="http://schemas.microsoft.com/office/drawing/2010/main"/>
                      </a:ext>
                    </a:extLst>
                  </pic:spPr>
                </pic:pic>
              </a:graphicData>
            </a:graphic>
          </wp:inline>
        </w:drawing>
      </w:r>
    </w:p>
    <w:p w:rsidR="00260F1F" w:rsidRPr="00233536" w:rsidRDefault="00260F1F" w:rsidP="00260F1F">
      <w:pPr>
        <w:pStyle w:val="Prrafodelista"/>
        <w:spacing w:before="240" w:after="240" w:line="360" w:lineRule="auto"/>
        <w:ind w:left="0"/>
        <w:jc w:val="both"/>
        <w:rPr>
          <w:rFonts w:ascii="Palatino Linotype" w:hAnsi="Palatino Linotype" w:cs="Arial"/>
        </w:rPr>
      </w:pPr>
      <w:r w:rsidRPr="00233536">
        <w:rPr>
          <w:rFonts w:ascii="Palatino Linotype" w:hAnsi="Palatino Linotype" w:cs="Arial"/>
        </w:rPr>
        <w:t xml:space="preserve">De la misma imagen se advierte que </w:t>
      </w:r>
      <w:r w:rsidRPr="00233536">
        <w:rPr>
          <w:rFonts w:ascii="Palatino Linotype" w:hAnsi="Palatino Linotype" w:cs="Arial"/>
          <w:b/>
        </w:rPr>
        <w:t xml:space="preserve">EL RECURRENTE </w:t>
      </w:r>
      <w:r w:rsidRPr="00233536">
        <w:rPr>
          <w:rFonts w:ascii="Palatino Linotype" w:hAnsi="Palatino Linotype" w:cs="Arial"/>
        </w:rPr>
        <w:t>fue omiso tanto en realizar manifestaciones previas a la vista del informe justificado como de manera posterior a ello.</w:t>
      </w:r>
    </w:p>
    <w:p w:rsidR="00260F1F" w:rsidRPr="00233536" w:rsidRDefault="00260F1F" w:rsidP="00260F1F">
      <w:pPr>
        <w:pStyle w:val="Prrafodelista"/>
        <w:spacing w:before="240" w:after="240" w:line="360" w:lineRule="auto"/>
        <w:ind w:left="0"/>
        <w:jc w:val="both"/>
        <w:rPr>
          <w:rFonts w:ascii="Palatino Linotype" w:hAnsi="Palatino Linotype"/>
        </w:rPr>
      </w:pPr>
      <w:r w:rsidRPr="00233536">
        <w:rPr>
          <w:rFonts w:ascii="Palatino Linotype" w:hAnsi="Palatino Linotype" w:cs="Arial"/>
          <w:b/>
          <w:sz w:val="28"/>
          <w:szCs w:val="28"/>
        </w:rPr>
        <w:t>VIII.</w:t>
      </w:r>
      <w:r w:rsidRPr="00233536">
        <w:rPr>
          <w:rFonts w:ascii="Palatino Linotype" w:hAnsi="Palatino Linotype" w:cs="Arial"/>
        </w:rPr>
        <w:t xml:space="preserve"> Una vez </w:t>
      </w:r>
      <w:r w:rsidRPr="00233536">
        <w:rPr>
          <w:rFonts w:ascii="Palatino Linotype" w:hAnsi="Palatino Linotype" w:cs="Arial"/>
          <w:color w:val="000000" w:themeColor="text1"/>
        </w:rPr>
        <w:t>analizado</w:t>
      </w:r>
      <w:r w:rsidRPr="00233536">
        <w:rPr>
          <w:rFonts w:ascii="Palatino Linotype" w:hAnsi="Palatino Linotype" w:cs="Arial"/>
        </w:rPr>
        <w:t xml:space="preserve"> el estado procesal que guardaba el expediente, en fecha veintiuno de septiembre de dos mil veintiuno, la Comisionada Ponente, acordó el cierre </w:t>
      </w:r>
      <w:r w:rsidRPr="00233536">
        <w:rPr>
          <w:rFonts w:ascii="Palatino Linotype" w:hAnsi="Palatino Linotype" w:cs="Arial"/>
        </w:rPr>
        <w:lastRenderedPageBreak/>
        <w:t xml:space="preserve">de instrucción; así </w:t>
      </w:r>
      <w:r w:rsidRPr="00233536">
        <w:rPr>
          <w:rFonts w:ascii="Palatino Linotype" w:hAnsi="Palatino Linotype" w:cs="Arial"/>
          <w:lang w:val="es-ES_tradnl"/>
        </w:rPr>
        <w:t>como,</w:t>
      </w:r>
      <w:r w:rsidRPr="00233536">
        <w:rPr>
          <w:rFonts w:ascii="Palatino Linotype" w:hAnsi="Palatino Linotype" w:cs="Arial"/>
        </w:rPr>
        <w:t xml:space="preserve"> la remisión del mismo a efecto </w:t>
      </w:r>
      <w:r w:rsidRPr="00233536">
        <w:rPr>
          <w:rFonts w:ascii="Palatino Linotype" w:hAnsi="Palatino Linotype" w:cs="Arial"/>
          <w:lang w:val="es-ES_tradnl"/>
        </w:rPr>
        <w:t>de</w:t>
      </w:r>
      <w:r w:rsidRPr="0023353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233536">
        <w:rPr>
          <w:rFonts w:ascii="Palatino Linotype" w:hAnsi="Palatino Linotype"/>
        </w:rPr>
        <w:t>.</w:t>
      </w:r>
    </w:p>
    <w:p w:rsidR="00260F1F" w:rsidRPr="00233536" w:rsidRDefault="00260F1F" w:rsidP="00260F1F">
      <w:pPr>
        <w:pStyle w:val="Prrafodelista"/>
        <w:spacing w:before="240" w:after="240" w:line="360" w:lineRule="auto"/>
        <w:ind w:left="0"/>
        <w:jc w:val="both"/>
        <w:rPr>
          <w:rFonts w:ascii="Palatino Linotype" w:hAnsi="Palatino Linotype"/>
        </w:rPr>
      </w:pPr>
      <w:r w:rsidRPr="00233536">
        <w:rPr>
          <w:rFonts w:ascii="Palatino Linotype" w:hAnsi="Palatino Linotype" w:cs="Arial"/>
          <w:b/>
          <w:sz w:val="28"/>
          <w:szCs w:val="28"/>
        </w:rPr>
        <w:t>IX.</w:t>
      </w:r>
      <w:r w:rsidRPr="00233536">
        <w:rPr>
          <w:rFonts w:ascii="Palatino Linotype" w:hAnsi="Palatino Linotype" w:cs="Arial"/>
        </w:rPr>
        <w:t xml:space="preserve"> </w:t>
      </w:r>
      <w:r w:rsidRPr="00233536">
        <w:rPr>
          <w:rFonts w:ascii="Palatino Linotype" w:hAnsi="Palatino Linotype"/>
        </w:rPr>
        <w:t>En fecha quince de octubre de dos mil veintiuno,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bookmarkEnd w:id="0"/>
    <w:bookmarkEnd w:id="1"/>
    <w:p w:rsidR="00260F1F" w:rsidRPr="00233536" w:rsidRDefault="00260F1F" w:rsidP="00260F1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233536">
        <w:rPr>
          <w:rFonts w:ascii="Palatino Linotype" w:hAnsi="Palatino Linotype"/>
          <w:b/>
          <w:bCs/>
          <w:spacing w:val="60"/>
          <w:sz w:val="28"/>
        </w:rPr>
        <w:t>CONSIDERANDO</w:t>
      </w:r>
    </w:p>
    <w:p w:rsidR="00260F1F" w:rsidRPr="00233536" w:rsidRDefault="00260F1F" w:rsidP="00260F1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233536">
        <w:rPr>
          <w:rFonts w:ascii="Palatino Linotype" w:hAnsi="Palatino Linotype"/>
          <w:b/>
          <w:sz w:val="28"/>
          <w:szCs w:val="28"/>
        </w:rPr>
        <w:t>PRIMERO</w:t>
      </w:r>
      <w:r w:rsidRPr="00233536">
        <w:rPr>
          <w:rFonts w:ascii="Palatino Linotype" w:hAnsi="Palatino Linotype"/>
          <w:b/>
        </w:rPr>
        <w:t>. Competencia</w:t>
      </w:r>
      <w:r w:rsidRPr="00233536">
        <w:rPr>
          <w:rFonts w:ascii="Palatino Linotype" w:hAnsi="Palatino Linotype"/>
        </w:rPr>
        <w:t>.</w:t>
      </w:r>
      <w:r w:rsidRPr="00233536">
        <w:rPr>
          <w:rFonts w:ascii="Palatino Linotype" w:hAnsi="Palatino Linotype"/>
          <w:b/>
        </w:rPr>
        <w:t xml:space="preserve"> </w:t>
      </w:r>
      <w:r w:rsidRPr="0023353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60F1F" w:rsidRPr="00233536" w:rsidRDefault="00260F1F" w:rsidP="00260F1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233536">
        <w:rPr>
          <w:rFonts w:ascii="Palatino Linotype" w:hAnsi="Palatino Linotype" w:cs="Arial"/>
          <w:b/>
          <w:sz w:val="28"/>
          <w:szCs w:val="28"/>
        </w:rPr>
        <w:t>SEGUNDO</w:t>
      </w:r>
      <w:r w:rsidRPr="00233536">
        <w:rPr>
          <w:rFonts w:ascii="Palatino Linotype" w:hAnsi="Palatino Linotype" w:cs="Arial"/>
          <w:b/>
        </w:rPr>
        <w:t>. Interés.</w:t>
      </w:r>
      <w:r w:rsidRPr="00233536">
        <w:rPr>
          <w:rFonts w:ascii="Palatino Linotype" w:hAnsi="Palatino Linotype" w:cs="Arial"/>
        </w:rPr>
        <w:t xml:space="preserve"> El </w:t>
      </w:r>
      <w:r w:rsidRPr="00233536">
        <w:rPr>
          <w:rFonts w:ascii="Palatino Linotype" w:hAnsi="Palatino Linotype"/>
        </w:rPr>
        <w:t>recurso</w:t>
      </w:r>
      <w:r w:rsidRPr="00233536">
        <w:rPr>
          <w:rFonts w:ascii="Palatino Linotype" w:hAnsi="Palatino Linotype" w:cs="Arial"/>
        </w:rPr>
        <w:t xml:space="preserve"> de revisión fue </w:t>
      </w:r>
      <w:r w:rsidRPr="00233536">
        <w:rPr>
          <w:rFonts w:ascii="Palatino Linotype" w:hAnsi="Palatino Linotype"/>
        </w:rPr>
        <w:t>interpuesto</w:t>
      </w:r>
      <w:r w:rsidRPr="00233536">
        <w:rPr>
          <w:rFonts w:ascii="Palatino Linotype" w:hAnsi="Palatino Linotype" w:cs="Arial"/>
        </w:rPr>
        <w:t xml:space="preserve"> por parte legítima en atención a que fue </w:t>
      </w:r>
      <w:r w:rsidRPr="00233536">
        <w:rPr>
          <w:rFonts w:ascii="Palatino Linotype" w:hAnsi="Palatino Linotype"/>
        </w:rPr>
        <w:t>presentado</w:t>
      </w:r>
      <w:r w:rsidRPr="00233536">
        <w:rPr>
          <w:rFonts w:ascii="Palatino Linotype" w:hAnsi="Palatino Linotype" w:cs="Arial"/>
        </w:rPr>
        <w:t xml:space="preserve"> por </w:t>
      </w:r>
      <w:r w:rsidRPr="00233536">
        <w:rPr>
          <w:rFonts w:ascii="Palatino Linotype" w:hAnsi="Palatino Linotype" w:cs="Arial"/>
          <w:b/>
        </w:rPr>
        <w:t>EL RECURRENTE</w:t>
      </w:r>
      <w:r w:rsidRPr="00233536">
        <w:rPr>
          <w:rFonts w:ascii="Palatino Linotype" w:hAnsi="Palatino Linotype" w:cs="Arial"/>
          <w:snapToGrid w:val="0"/>
        </w:rPr>
        <w:t xml:space="preserve">, </w:t>
      </w:r>
      <w:r w:rsidRPr="00233536">
        <w:rPr>
          <w:rFonts w:ascii="Palatino Linotype" w:hAnsi="Palatino Linotype" w:cs="Arial"/>
        </w:rPr>
        <w:t>quien</w:t>
      </w:r>
      <w:r w:rsidRPr="00233536">
        <w:rPr>
          <w:rFonts w:ascii="Palatino Linotype" w:hAnsi="Palatino Linotype" w:cs="Arial"/>
          <w:snapToGrid w:val="0"/>
        </w:rPr>
        <w:t xml:space="preserve"> </w:t>
      </w:r>
      <w:r w:rsidRPr="00233536">
        <w:rPr>
          <w:rFonts w:ascii="Palatino Linotype" w:hAnsi="Palatino Linotype"/>
        </w:rPr>
        <w:t>formuló</w:t>
      </w:r>
      <w:r w:rsidRPr="00233536">
        <w:rPr>
          <w:rFonts w:ascii="Palatino Linotype" w:hAnsi="Palatino Linotype" w:cs="Arial"/>
          <w:snapToGrid w:val="0"/>
        </w:rPr>
        <w:t xml:space="preserve"> la </w:t>
      </w:r>
      <w:r w:rsidRPr="00233536">
        <w:rPr>
          <w:rFonts w:ascii="Palatino Linotype" w:hAnsi="Palatino Linotype" w:cs="Arial"/>
        </w:rPr>
        <w:t>solicitud</w:t>
      </w:r>
      <w:r w:rsidRPr="00233536">
        <w:rPr>
          <w:rFonts w:ascii="Palatino Linotype" w:hAnsi="Palatino Linotype" w:cs="Arial"/>
          <w:snapToGrid w:val="0"/>
        </w:rPr>
        <w:t xml:space="preserve"> de </w:t>
      </w:r>
      <w:r w:rsidRPr="00233536">
        <w:rPr>
          <w:rFonts w:ascii="Palatino Linotype" w:hAnsi="Palatino Linotype" w:cs="Arial"/>
          <w:snapToGrid w:val="0"/>
        </w:rPr>
        <w:lastRenderedPageBreak/>
        <w:t>información pública.</w:t>
      </w:r>
    </w:p>
    <w:p w:rsidR="00260F1F" w:rsidRPr="00233536" w:rsidRDefault="00260F1F" w:rsidP="00260F1F">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color w:val="000000"/>
          <w:lang w:val="es-ES" w:eastAsia="es-MX"/>
        </w:rPr>
      </w:pPr>
      <w:r w:rsidRPr="00233536">
        <w:rPr>
          <w:rFonts w:ascii="Palatino Linotype" w:eastAsia="Palatino Linotype" w:hAnsi="Palatino Linotype" w:cs="Palatino Linotype"/>
          <w:b/>
          <w:color w:val="000000"/>
          <w:sz w:val="28"/>
          <w:szCs w:val="28"/>
          <w:lang w:eastAsia="es-MX"/>
        </w:rPr>
        <w:t>TERCERO</w:t>
      </w:r>
      <w:r w:rsidRPr="00233536">
        <w:rPr>
          <w:rFonts w:ascii="Palatino Linotype" w:eastAsia="Palatino Linotype" w:hAnsi="Palatino Linotype" w:cs="Palatino Linotype"/>
          <w:b/>
          <w:color w:val="000000"/>
          <w:lang w:eastAsia="es-MX"/>
        </w:rPr>
        <w:t xml:space="preserve">. Oportunidad. </w:t>
      </w:r>
      <w:r w:rsidRPr="00233536">
        <w:rPr>
          <w:rFonts w:ascii="Palatino Linotype" w:eastAsia="Palatino Linotype" w:hAnsi="Palatino Linotype" w:cs="Palatino Linotype"/>
          <w:color w:val="000000"/>
          <w:lang w:val="es-ES" w:eastAsia="es-MX"/>
        </w:rPr>
        <w:t>Es de precisar que la Ley de Transparencia y Acceso a la Información Pública del Estado de México y Municipios, describe el mecanismo de procedencia de los recursos de revisión, como se puede apreciar en el siguiente artículo:</w:t>
      </w:r>
    </w:p>
    <w:p w:rsidR="00260F1F" w:rsidRPr="00233536" w:rsidRDefault="00260F1F" w:rsidP="00260F1F">
      <w:pPr>
        <w:ind w:left="851" w:right="902"/>
        <w:jc w:val="both"/>
        <w:rPr>
          <w:rFonts w:ascii="Palatino Linotype" w:eastAsia="Palatino Linotype" w:hAnsi="Palatino Linotype" w:cs="Palatino Linotype"/>
          <w:i/>
          <w:color w:val="000000"/>
          <w:sz w:val="22"/>
          <w:szCs w:val="22"/>
          <w:lang w:val="es-ES" w:eastAsia="es-MX"/>
        </w:rPr>
      </w:pPr>
      <w:r w:rsidRPr="00233536">
        <w:rPr>
          <w:rFonts w:ascii="Palatino Linotype" w:eastAsia="Palatino Linotype" w:hAnsi="Palatino Linotype" w:cs="Palatino Linotype"/>
          <w:b/>
          <w:i/>
          <w:color w:val="000000"/>
          <w:sz w:val="22"/>
          <w:szCs w:val="22"/>
          <w:lang w:val="es-ES" w:eastAsia="es-MX"/>
        </w:rPr>
        <w:t>“Artículo 163.</w:t>
      </w:r>
      <w:r w:rsidRPr="00233536">
        <w:rPr>
          <w:rFonts w:ascii="Palatino Linotype" w:eastAsia="Palatino Linotype" w:hAnsi="Palatino Linotype" w:cs="Palatino Linotype"/>
          <w:i/>
          <w:color w:val="000000"/>
          <w:sz w:val="22"/>
          <w:szCs w:val="22"/>
          <w:lang w:val="es-ES" w:eastAsia="es-MX"/>
        </w:rPr>
        <w:t xml:space="preserve"> La Unidad </w:t>
      </w:r>
      <w:r w:rsidRPr="00233536">
        <w:rPr>
          <w:rFonts w:ascii="Palatino Linotype" w:eastAsia="Palatino Linotype" w:hAnsi="Palatino Linotype" w:cs="Palatino Linotype"/>
          <w:i/>
          <w:sz w:val="22"/>
          <w:szCs w:val="22"/>
          <w:lang w:val="es-ES" w:eastAsia="es-MX"/>
        </w:rPr>
        <w:t>de</w:t>
      </w:r>
      <w:r w:rsidRPr="00233536">
        <w:rPr>
          <w:rFonts w:ascii="Palatino Linotype" w:eastAsia="Palatino Linotype" w:hAnsi="Palatino Linotype" w:cs="Palatino Linotype"/>
          <w:i/>
          <w:color w:val="000000"/>
          <w:sz w:val="22"/>
          <w:szCs w:val="22"/>
          <w:lang w:val="es-ES" w:eastAsia="es-MX"/>
        </w:rPr>
        <w:t xml:space="preserve"> Transparencia deberá notificar la respuesta a la solicitud al interesado en el </w:t>
      </w:r>
      <w:r w:rsidRPr="00233536">
        <w:rPr>
          <w:rFonts w:ascii="Palatino Linotype" w:eastAsia="Palatino Linotype" w:hAnsi="Palatino Linotype" w:cs="Palatino Linotype"/>
          <w:i/>
          <w:sz w:val="22"/>
          <w:szCs w:val="22"/>
          <w:lang w:val="es-ES" w:eastAsia="es-MX"/>
        </w:rPr>
        <w:t>menor</w:t>
      </w:r>
      <w:r w:rsidRPr="00233536">
        <w:rPr>
          <w:rFonts w:ascii="Palatino Linotype" w:eastAsia="Palatino Linotype" w:hAnsi="Palatino Linotype" w:cs="Palatino Linotype"/>
          <w:i/>
          <w:color w:val="000000"/>
          <w:sz w:val="22"/>
          <w:szCs w:val="22"/>
          <w:lang w:val="es-ES" w:eastAsia="es-MX"/>
        </w:rPr>
        <w:t xml:space="preserve"> tiempo posible, que no podrá exceder de quince días hábiles, contados a partir del día siguiente a la presentación de aquélla.</w:t>
      </w:r>
    </w:p>
    <w:p w:rsidR="00260F1F" w:rsidRPr="00233536" w:rsidRDefault="00260F1F" w:rsidP="00260F1F">
      <w:pPr>
        <w:ind w:left="851" w:right="902"/>
        <w:jc w:val="both"/>
        <w:rPr>
          <w:rFonts w:ascii="Palatino Linotype" w:eastAsia="Palatino Linotype" w:hAnsi="Palatino Linotype" w:cs="Palatino Linotype"/>
          <w:i/>
          <w:color w:val="000000"/>
          <w:sz w:val="22"/>
          <w:szCs w:val="22"/>
          <w:lang w:val="es-ES" w:eastAsia="es-MX"/>
        </w:rPr>
      </w:pPr>
    </w:p>
    <w:p w:rsidR="00260F1F" w:rsidRPr="00233536" w:rsidRDefault="00260F1F" w:rsidP="00260F1F">
      <w:pPr>
        <w:ind w:left="851" w:right="902"/>
        <w:jc w:val="both"/>
        <w:rPr>
          <w:rFonts w:ascii="Palatino Linotype" w:eastAsia="Palatino Linotype" w:hAnsi="Palatino Linotype" w:cs="Palatino Linotype"/>
          <w:i/>
          <w:color w:val="000000"/>
          <w:sz w:val="22"/>
          <w:szCs w:val="22"/>
          <w:lang w:val="es-ES" w:eastAsia="es-MX"/>
        </w:rPr>
      </w:pPr>
      <w:r w:rsidRPr="00233536">
        <w:rPr>
          <w:rFonts w:ascii="Palatino Linotype" w:eastAsia="Palatino Linotype" w:hAnsi="Palatino Linotype" w:cs="Palatino Linotype"/>
          <w:i/>
          <w:color w:val="000000"/>
          <w:sz w:val="22"/>
          <w:szCs w:val="22"/>
          <w:lang w:val="es-ES" w:eastAsia="es-MX"/>
        </w:rPr>
        <w:t xml:space="preserve">Excepcionalmente, el plazo referido en el párrafo anterior podrá ampliarse hasta por siete días hábiles más, siempre y </w:t>
      </w:r>
      <w:r w:rsidRPr="00233536">
        <w:rPr>
          <w:rFonts w:ascii="Palatino Linotype" w:eastAsia="Palatino Linotype" w:hAnsi="Palatino Linotype" w:cs="Palatino Linotype"/>
          <w:i/>
          <w:sz w:val="22"/>
          <w:szCs w:val="22"/>
          <w:lang w:val="es-ES" w:eastAsia="es-MX"/>
        </w:rPr>
        <w:t>cuando</w:t>
      </w:r>
      <w:r w:rsidRPr="00233536">
        <w:rPr>
          <w:rFonts w:ascii="Palatino Linotype" w:eastAsia="Palatino Linotype" w:hAnsi="Palatino Linotype" w:cs="Palatino Linotype"/>
          <w:i/>
          <w:color w:val="000000"/>
          <w:sz w:val="22"/>
          <w:szCs w:val="22"/>
          <w:lang w:val="es-ES" w:eastAsia="es-MX"/>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260F1F" w:rsidRPr="00233536" w:rsidRDefault="00260F1F" w:rsidP="00260F1F">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233536">
        <w:rPr>
          <w:rFonts w:ascii="Palatino Linotype" w:eastAsia="Palatino Linotype" w:hAnsi="Palatino Linotype" w:cs="Palatino Linotype"/>
          <w:color w:val="000000"/>
          <w:lang w:val="es-ES" w:eastAsia="es-MX"/>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solicitante le asiste el derecho para poder presentar el recurso de revisión correspondiente.  </w:t>
      </w:r>
    </w:p>
    <w:p w:rsidR="00260F1F" w:rsidRPr="00233536" w:rsidRDefault="00260F1F" w:rsidP="00260F1F">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233536">
        <w:rPr>
          <w:rFonts w:ascii="Palatino Linotype" w:eastAsia="Palatino Linotype" w:hAnsi="Palatino Linotype" w:cs="Palatino Linotype"/>
          <w:color w:val="000000"/>
          <w:lang w:val="es-ES" w:eastAsia="es-MX"/>
        </w:rPr>
        <w:t xml:space="preserve">Derivado de lo anterior, se constituye la figura jurídica de la </w:t>
      </w:r>
      <w:r w:rsidRPr="00233536">
        <w:rPr>
          <w:rFonts w:ascii="Palatino Linotype" w:eastAsia="Palatino Linotype" w:hAnsi="Palatino Linotype" w:cs="Palatino Linotype"/>
          <w:b/>
          <w:color w:val="000000"/>
          <w:lang w:val="es-ES" w:eastAsia="es-MX"/>
        </w:rPr>
        <w:t>NEGATIVA FICTA</w:t>
      </w:r>
      <w:r w:rsidRPr="00233536">
        <w:rPr>
          <w:rFonts w:ascii="Palatino Linotype" w:eastAsia="Palatino Linotype" w:hAnsi="Palatino Linotype" w:cs="Palatino Linotype"/>
          <w:color w:val="000000"/>
          <w:lang w:val="es-ES" w:eastAsia="es-MX"/>
        </w:rPr>
        <w:t>, cuya esencia consiste en atribuir un efecto negativo al silencio de la autoridad administrativa frente a las instancias y solicitudes que hagan los particulares.</w:t>
      </w:r>
    </w:p>
    <w:p w:rsidR="00260F1F" w:rsidRPr="00233536" w:rsidRDefault="00260F1F" w:rsidP="00260F1F">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233536">
        <w:rPr>
          <w:rFonts w:ascii="Palatino Linotype" w:eastAsia="Palatino Linotype" w:hAnsi="Palatino Linotype" w:cs="Palatino Linotype"/>
          <w:color w:val="000000"/>
          <w:lang w:val="es-ES" w:eastAsia="es-MX"/>
        </w:rPr>
        <w:lastRenderedPageBreak/>
        <w:t>Por su parte, el artículo 178 de la Ley de Transparencia y Acceso a la Información Pública del Estado de México y Municipios, establece:</w:t>
      </w:r>
    </w:p>
    <w:p w:rsidR="00260F1F" w:rsidRPr="00233536" w:rsidRDefault="00260F1F" w:rsidP="00260F1F">
      <w:pPr>
        <w:ind w:left="851" w:right="901"/>
        <w:jc w:val="both"/>
        <w:rPr>
          <w:rFonts w:ascii="Palatino Linotype" w:eastAsia="Palatino Linotype" w:hAnsi="Palatino Linotype" w:cs="Palatino Linotype"/>
          <w:i/>
          <w:color w:val="000000"/>
          <w:sz w:val="22"/>
          <w:szCs w:val="22"/>
          <w:lang w:val="es-ES" w:eastAsia="es-MX"/>
        </w:rPr>
      </w:pPr>
      <w:r w:rsidRPr="00233536">
        <w:rPr>
          <w:rFonts w:ascii="Palatino Linotype" w:eastAsia="Palatino Linotype" w:hAnsi="Palatino Linotype" w:cs="Palatino Linotype"/>
          <w:b/>
          <w:i/>
          <w:color w:val="000000"/>
          <w:sz w:val="22"/>
          <w:szCs w:val="22"/>
          <w:lang w:val="es-ES" w:eastAsia="es-MX"/>
        </w:rPr>
        <w:t xml:space="preserve">“Artículo 178. </w:t>
      </w:r>
      <w:r w:rsidRPr="00233536">
        <w:rPr>
          <w:rFonts w:ascii="Palatino Linotype" w:eastAsia="Palatino Linotype" w:hAnsi="Palatino Linotype" w:cs="Palatino Linotype"/>
          <w:i/>
          <w:color w:val="000000"/>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1669F" w:rsidRPr="00233536" w:rsidRDefault="0071669F" w:rsidP="00260F1F">
      <w:pPr>
        <w:ind w:left="851" w:right="901"/>
        <w:jc w:val="both"/>
        <w:rPr>
          <w:rFonts w:ascii="Palatino Linotype" w:eastAsia="Palatino Linotype" w:hAnsi="Palatino Linotype" w:cs="Palatino Linotype"/>
          <w:i/>
          <w:color w:val="000000"/>
          <w:sz w:val="22"/>
          <w:szCs w:val="22"/>
          <w:lang w:val="es-ES" w:eastAsia="es-MX"/>
        </w:rPr>
      </w:pPr>
    </w:p>
    <w:p w:rsidR="00260F1F" w:rsidRPr="00233536" w:rsidRDefault="00260F1F" w:rsidP="00260F1F">
      <w:pPr>
        <w:ind w:left="851" w:right="901"/>
        <w:jc w:val="both"/>
        <w:rPr>
          <w:rFonts w:ascii="Palatino Linotype" w:eastAsia="Palatino Linotype" w:hAnsi="Palatino Linotype" w:cs="Palatino Linotype"/>
          <w:i/>
          <w:color w:val="000000"/>
          <w:sz w:val="22"/>
          <w:szCs w:val="22"/>
          <w:lang w:val="es-ES" w:eastAsia="es-MX"/>
        </w:rPr>
      </w:pPr>
      <w:r w:rsidRPr="00233536">
        <w:rPr>
          <w:rFonts w:ascii="Palatino Linotype" w:eastAsia="Palatino Linotype" w:hAnsi="Palatino Linotype" w:cs="Palatino Linotype"/>
          <w:b/>
          <w:i/>
          <w:color w:val="000000"/>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233536">
        <w:rPr>
          <w:rFonts w:ascii="Palatino Linotype" w:eastAsia="Palatino Linotype" w:hAnsi="Palatino Linotype" w:cs="Palatino Linotype"/>
          <w:i/>
          <w:color w:val="000000"/>
          <w:sz w:val="22"/>
          <w:szCs w:val="22"/>
          <w:lang w:val="es-ES" w:eastAsia="es-MX"/>
        </w:rPr>
        <w:t>, acompañado con el documento que pruebe la fecha en que presentó la solicitud.</w:t>
      </w:r>
    </w:p>
    <w:p w:rsidR="0071669F" w:rsidRPr="00233536" w:rsidRDefault="0071669F" w:rsidP="00260F1F">
      <w:pPr>
        <w:ind w:left="851" w:right="901"/>
        <w:jc w:val="both"/>
        <w:rPr>
          <w:rFonts w:ascii="Palatino Linotype" w:eastAsia="Palatino Linotype" w:hAnsi="Palatino Linotype" w:cs="Palatino Linotype"/>
          <w:i/>
          <w:color w:val="000000"/>
          <w:sz w:val="22"/>
          <w:szCs w:val="22"/>
          <w:lang w:val="es-ES" w:eastAsia="es-MX"/>
        </w:rPr>
      </w:pPr>
    </w:p>
    <w:p w:rsidR="00260F1F" w:rsidRPr="00233536" w:rsidRDefault="00260F1F" w:rsidP="00260F1F">
      <w:pPr>
        <w:ind w:left="851" w:right="901"/>
        <w:jc w:val="both"/>
        <w:rPr>
          <w:rFonts w:ascii="Palatino Linotype" w:eastAsia="Palatino Linotype" w:hAnsi="Palatino Linotype" w:cs="Palatino Linotype"/>
          <w:i/>
          <w:color w:val="000000"/>
          <w:sz w:val="22"/>
          <w:szCs w:val="22"/>
          <w:lang w:val="es-ES" w:eastAsia="es-MX"/>
        </w:rPr>
      </w:pPr>
      <w:r w:rsidRPr="00233536">
        <w:rPr>
          <w:rFonts w:ascii="Palatino Linotype" w:eastAsia="Palatino Linotype" w:hAnsi="Palatino Linotype" w:cs="Palatino Linotype"/>
          <w:i/>
          <w:color w:val="000000"/>
          <w:sz w:val="22"/>
          <w:szCs w:val="22"/>
          <w:lang w:val="es-ES" w:eastAsia="es-MX"/>
        </w:rPr>
        <w:t>En el caso de que se interponga ante la Unidad de Transparencia, ésta deberá remitir el recurso de revisión al Instituto a más tardar al día siguiente de haberlo recibido.”</w:t>
      </w:r>
    </w:p>
    <w:p w:rsidR="00260F1F" w:rsidRPr="00233536" w:rsidRDefault="00260F1F" w:rsidP="00260F1F">
      <w:pPr>
        <w:ind w:left="851" w:right="901"/>
        <w:jc w:val="both"/>
        <w:rPr>
          <w:rFonts w:ascii="Palatino Linotype" w:eastAsia="Palatino Linotype" w:hAnsi="Palatino Linotype" w:cs="Palatino Linotype"/>
          <w:i/>
          <w:color w:val="000000"/>
          <w:sz w:val="22"/>
          <w:szCs w:val="22"/>
          <w:lang w:val="es-ES" w:eastAsia="es-MX"/>
        </w:rPr>
      </w:pPr>
      <w:r w:rsidRPr="00233536">
        <w:rPr>
          <w:rFonts w:ascii="Palatino Linotype" w:eastAsia="Palatino Linotype" w:hAnsi="Palatino Linotype" w:cs="Palatino Linotype"/>
          <w:i/>
          <w:color w:val="000000"/>
          <w:sz w:val="22"/>
          <w:szCs w:val="22"/>
          <w:lang w:val="es-ES" w:eastAsia="es-MX"/>
        </w:rPr>
        <w:t xml:space="preserve">(Énfasis añadido) </w:t>
      </w:r>
    </w:p>
    <w:p w:rsidR="00260F1F" w:rsidRPr="00233536" w:rsidRDefault="00260F1F" w:rsidP="00260F1F">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233536">
        <w:rPr>
          <w:rFonts w:ascii="Palatino Linotype" w:eastAsia="Palatino Linotype" w:hAnsi="Palatino Linotype" w:cs="Palatino Linotype"/>
          <w:color w:val="000000"/>
          <w:lang w:val="es-ES" w:eastAsia="es-MX"/>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233536">
        <w:rPr>
          <w:rFonts w:ascii="Palatino Linotype" w:eastAsia="Palatino Linotype" w:hAnsi="Palatino Linotype" w:cs="Palatino Linotype"/>
          <w:b/>
          <w:color w:val="000000"/>
          <w:lang w:val="es-ES" w:eastAsia="es-MX"/>
        </w:rPr>
        <w:t>SUJETO OBLIGADO</w:t>
      </w:r>
      <w:r w:rsidRPr="00233536">
        <w:rPr>
          <w:rFonts w:ascii="Palatino Linotype" w:eastAsia="Palatino Linotype" w:hAnsi="Palatino Linotype" w:cs="Palatino Linotype"/>
          <w:color w:val="000000"/>
          <w:lang w:val="es-ES" w:eastAsia="es-MX"/>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233536">
        <w:rPr>
          <w:rFonts w:ascii="Palatino Linotype" w:eastAsia="Palatino Linotype" w:hAnsi="Palatino Linotype" w:cs="Palatino Linotype"/>
          <w:b/>
          <w:color w:val="000000"/>
          <w:lang w:val="es-ES" w:eastAsia="es-MX"/>
        </w:rPr>
        <w:t xml:space="preserve">LA RECURRENTE </w:t>
      </w:r>
      <w:r w:rsidRPr="00233536">
        <w:rPr>
          <w:rFonts w:ascii="Palatino Linotype" w:eastAsia="Palatino Linotype" w:hAnsi="Palatino Linotype" w:cs="Palatino Linotype"/>
          <w:color w:val="000000"/>
          <w:lang w:val="es-ES" w:eastAsia="es-MX"/>
        </w:rPr>
        <w:t>está en la total libertad de presentar el medio de impugnación en cualquier momento, consecuentemente se tiene que dicho recurso se presentó oportunamente.</w:t>
      </w:r>
    </w:p>
    <w:p w:rsidR="00260F1F" w:rsidRPr="00233536" w:rsidRDefault="00260F1F" w:rsidP="00260F1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b/>
          <w:szCs w:val="28"/>
        </w:rPr>
      </w:pPr>
      <w:r w:rsidRPr="00233536">
        <w:rPr>
          <w:rFonts w:ascii="Palatino Linotype" w:eastAsia="Palatino Linotype" w:hAnsi="Palatino Linotype" w:cs="Palatino Linotype"/>
          <w:b/>
          <w:color w:val="000000"/>
          <w:sz w:val="28"/>
          <w:szCs w:val="28"/>
          <w:lang w:val="es-ES" w:eastAsia="es-MX"/>
        </w:rPr>
        <w:t>CUARTO</w:t>
      </w:r>
      <w:r w:rsidRPr="00233536">
        <w:rPr>
          <w:rFonts w:ascii="Palatino Linotype" w:eastAsia="Palatino Linotype" w:hAnsi="Palatino Linotype" w:cs="Palatino Linotype"/>
          <w:b/>
          <w:color w:val="000000"/>
          <w:lang w:val="es-ES" w:eastAsia="es-MX"/>
        </w:rPr>
        <w:t xml:space="preserve">. </w:t>
      </w:r>
      <w:proofErr w:type="spellStart"/>
      <w:r w:rsidRPr="00233536">
        <w:rPr>
          <w:rFonts w:ascii="Palatino Linotype" w:eastAsia="Palatino Linotype" w:hAnsi="Palatino Linotype" w:cs="Palatino Linotype"/>
          <w:b/>
          <w:color w:val="000000"/>
          <w:lang w:val="es-ES" w:eastAsia="es-MX"/>
        </w:rPr>
        <w:t>Procedibilidad</w:t>
      </w:r>
      <w:proofErr w:type="spellEnd"/>
      <w:r w:rsidRPr="00233536">
        <w:rPr>
          <w:rFonts w:ascii="Palatino Linotype" w:eastAsia="Palatino Linotype" w:hAnsi="Palatino Linotype" w:cs="Palatino Linotype"/>
          <w:b/>
          <w:color w:val="000000"/>
          <w:lang w:val="es-ES" w:eastAsia="es-MX"/>
        </w:rPr>
        <w:t>.</w:t>
      </w:r>
      <w:r w:rsidRPr="00233536">
        <w:rPr>
          <w:rFonts w:ascii="Palatino Linotype" w:eastAsia="Palatino Linotype" w:hAnsi="Palatino Linotype" w:cs="Palatino Linotype"/>
          <w:color w:val="000000"/>
          <w:lang w:val="es-ES" w:eastAsia="es-MX"/>
        </w:rPr>
        <w:t xml:space="preserve"> </w:t>
      </w:r>
      <w:r w:rsidRPr="00233536">
        <w:rPr>
          <w:rFonts w:ascii="Palatino Linotype" w:hAnsi="Palatino Linotype" w:cs="Arial"/>
          <w:szCs w:val="28"/>
        </w:rPr>
        <w:t xml:space="preserve">Del análisis efectuado, se advierte la </w:t>
      </w:r>
      <w:proofErr w:type="spellStart"/>
      <w:r w:rsidRPr="00233536">
        <w:rPr>
          <w:rFonts w:ascii="Palatino Linotype" w:hAnsi="Palatino Linotype" w:cs="Arial"/>
          <w:szCs w:val="28"/>
        </w:rPr>
        <w:t>procedibilidad</w:t>
      </w:r>
      <w:proofErr w:type="spellEnd"/>
      <w:r w:rsidRPr="00233536">
        <w:rPr>
          <w:rFonts w:ascii="Palatino Linotype" w:hAnsi="Palatino Linotype" w:cs="Arial"/>
          <w:szCs w:val="28"/>
        </w:rPr>
        <w:t xml:space="preserve"> del </w:t>
      </w:r>
      <w:r w:rsidRPr="00233536">
        <w:rPr>
          <w:rFonts w:ascii="Palatino Linotype" w:hAnsi="Palatino Linotype" w:cs="Arial"/>
          <w:szCs w:val="28"/>
        </w:rPr>
        <w:lastRenderedPageBreak/>
        <w:t xml:space="preserve">presente recurso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233536">
        <w:rPr>
          <w:rFonts w:ascii="Palatino Linotype" w:hAnsi="Palatino Linotype" w:cs="Arial"/>
          <w:b/>
          <w:szCs w:val="28"/>
        </w:rPr>
        <w:t>SAIMEX.</w:t>
      </w:r>
    </w:p>
    <w:p w:rsidR="00260F1F" w:rsidRPr="00233536" w:rsidRDefault="00260F1F" w:rsidP="00260F1F">
      <w:pPr>
        <w:widowControl w:val="0"/>
        <w:autoSpaceDE w:val="0"/>
        <w:autoSpaceDN w:val="0"/>
        <w:adjustRightInd w:val="0"/>
        <w:spacing w:before="100" w:beforeAutospacing="1" w:after="100" w:afterAutospacing="1" w:line="360" w:lineRule="auto"/>
        <w:jc w:val="both"/>
        <w:rPr>
          <w:rFonts w:ascii="Palatino Linotype" w:hAnsi="Palatino Linotype" w:cs="Arial"/>
          <w:lang w:val="es-ES" w:eastAsia="es-MX"/>
        </w:rPr>
      </w:pPr>
      <w:r w:rsidRPr="00233536">
        <w:rPr>
          <w:rFonts w:ascii="Palatino Linotype" w:hAnsi="Palatino Linotype"/>
          <w:b/>
          <w:color w:val="000000" w:themeColor="text1"/>
          <w:sz w:val="28"/>
          <w:szCs w:val="28"/>
          <w:lang w:eastAsia="es-MX"/>
        </w:rPr>
        <w:t>QUINTO</w:t>
      </w:r>
      <w:r w:rsidRPr="00233536">
        <w:rPr>
          <w:rFonts w:ascii="Palatino Linotype" w:hAnsi="Palatino Linotype" w:cs="Arial"/>
          <w:b/>
          <w:color w:val="000000" w:themeColor="text1"/>
          <w:lang w:eastAsia="es-MX"/>
        </w:rPr>
        <w:t xml:space="preserve">. </w:t>
      </w:r>
      <w:r w:rsidRPr="00233536">
        <w:rPr>
          <w:rFonts w:ascii="Palatino Linotype" w:hAnsi="Palatino Linotype" w:cs="Arial"/>
          <w:b/>
          <w:color w:val="000000" w:themeColor="text1"/>
          <w:lang w:val="es-ES" w:eastAsia="es-MX"/>
        </w:rPr>
        <w:t>Estudio y resolución del asunto.</w:t>
      </w:r>
      <w:r w:rsidRPr="00233536">
        <w:rPr>
          <w:rFonts w:ascii="Palatino Linotype" w:hAnsi="Palatino Linotype" w:cs="Arial"/>
          <w:color w:val="000000" w:themeColor="text1"/>
          <w:lang w:val="es-ES" w:eastAsia="es-MX"/>
        </w:rPr>
        <w:t xml:space="preserve"> </w:t>
      </w:r>
      <w:r w:rsidRPr="00233536">
        <w:rPr>
          <w:rFonts w:ascii="Palatino Linotype" w:hAnsi="Palatino Linotype" w:cs="Arial"/>
          <w:lang w:val="es-ES" w:eastAsia="es-MX"/>
        </w:rPr>
        <w:t>Del análisis efectuado, se advierte que el presente recurso de revisión es procedente, pues se actualiza la hipótesis prevista en la fracción VII del artículo 179 de la ley de la materia, que la letra dice:</w:t>
      </w:r>
    </w:p>
    <w:p w:rsidR="00260F1F" w:rsidRPr="00233536" w:rsidRDefault="00260F1F" w:rsidP="00260F1F">
      <w:pPr>
        <w:ind w:left="851" w:right="901"/>
        <w:jc w:val="both"/>
        <w:rPr>
          <w:rFonts w:ascii="Palatino Linotype" w:hAnsi="Palatino Linotype" w:cs="Arial"/>
          <w:i/>
          <w:sz w:val="22"/>
          <w:szCs w:val="22"/>
          <w:lang w:val="es-ES"/>
        </w:rPr>
      </w:pPr>
      <w:r w:rsidRPr="00233536">
        <w:rPr>
          <w:rFonts w:ascii="Palatino Linotype" w:hAnsi="Palatino Linotype" w:cs="Arial"/>
          <w:i/>
          <w:sz w:val="22"/>
          <w:szCs w:val="22"/>
          <w:lang w:val="es-ES"/>
        </w:rPr>
        <w:t>“</w:t>
      </w:r>
      <w:r w:rsidRPr="00233536">
        <w:rPr>
          <w:rFonts w:ascii="Palatino Linotype" w:hAnsi="Palatino Linotype" w:cs="Arial"/>
          <w:b/>
          <w:i/>
          <w:sz w:val="22"/>
          <w:szCs w:val="22"/>
          <w:lang w:val="es-ES"/>
        </w:rPr>
        <w:t>Artículo 179.</w:t>
      </w:r>
      <w:r w:rsidRPr="00233536">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260F1F" w:rsidRPr="00233536" w:rsidRDefault="00260F1F" w:rsidP="00260F1F">
      <w:pPr>
        <w:ind w:left="851" w:right="901"/>
        <w:jc w:val="both"/>
        <w:rPr>
          <w:rFonts w:ascii="Palatino Linotype" w:hAnsi="Palatino Linotype" w:cs="Arial"/>
          <w:i/>
          <w:sz w:val="22"/>
          <w:szCs w:val="22"/>
          <w:lang w:val="es-ES"/>
        </w:rPr>
      </w:pPr>
      <w:r w:rsidRPr="00233536">
        <w:rPr>
          <w:rFonts w:ascii="Palatino Linotype" w:hAnsi="Palatino Linotype" w:cs="Arial"/>
          <w:i/>
          <w:sz w:val="22"/>
          <w:szCs w:val="22"/>
          <w:lang w:val="es-ES"/>
        </w:rPr>
        <w:t>…</w:t>
      </w:r>
    </w:p>
    <w:p w:rsidR="00260F1F" w:rsidRPr="00233536" w:rsidRDefault="00260F1F" w:rsidP="00260F1F">
      <w:pPr>
        <w:ind w:left="851" w:right="901"/>
        <w:jc w:val="both"/>
        <w:rPr>
          <w:rFonts w:ascii="Palatino Linotype" w:hAnsi="Palatino Linotype" w:cs="Arial"/>
          <w:i/>
          <w:sz w:val="22"/>
          <w:szCs w:val="22"/>
          <w:lang w:val="es-ES"/>
        </w:rPr>
      </w:pPr>
      <w:r w:rsidRPr="00233536">
        <w:rPr>
          <w:rFonts w:ascii="Palatino Linotype" w:hAnsi="Palatino Linotype" w:cs="Arial"/>
          <w:b/>
          <w:i/>
          <w:sz w:val="22"/>
          <w:szCs w:val="22"/>
          <w:lang w:val="es-ES"/>
        </w:rPr>
        <w:t>VII. La falta de respuesta a una solicitud de acceso a la información</w:t>
      </w:r>
      <w:r w:rsidRPr="00233536">
        <w:rPr>
          <w:rFonts w:ascii="Palatino Linotype" w:hAnsi="Palatino Linotype" w:cs="Arial"/>
          <w:i/>
          <w:sz w:val="22"/>
          <w:szCs w:val="22"/>
          <w:lang w:val="es-ES"/>
        </w:rPr>
        <w:t xml:space="preserve">; </w:t>
      </w:r>
    </w:p>
    <w:p w:rsidR="00260F1F" w:rsidRPr="00233536" w:rsidRDefault="00260F1F" w:rsidP="00260F1F">
      <w:pPr>
        <w:ind w:left="851" w:right="901"/>
        <w:jc w:val="both"/>
        <w:rPr>
          <w:rFonts w:ascii="Palatino Linotype" w:hAnsi="Palatino Linotype" w:cs="Arial"/>
          <w:i/>
          <w:sz w:val="22"/>
          <w:szCs w:val="22"/>
          <w:lang w:val="es-ES"/>
        </w:rPr>
      </w:pPr>
      <w:r w:rsidRPr="00233536">
        <w:rPr>
          <w:rFonts w:ascii="Palatino Linotype" w:hAnsi="Palatino Linotype" w:cs="Arial"/>
          <w:i/>
          <w:sz w:val="22"/>
          <w:szCs w:val="22"/>
          <w:lang w:val="es-ES"/>
        </w:rPr>
        <w:t>…”</w:t>
      </w:r>
    </w:p>
    <w:p w:rsidR="00260F1F" w:rsidRPr="00233536" w:rsidRDefault="00260F1F" w:rsidP="00260F1F">
      <w:pPr>
        <w:ind w:left="851" w:right="901"/>
        <w:jc w:val="both"/>
        <w:rPr>
          <w:rFonts w:ascii="Palatino Linotype" w:hAnsi="Palatino Linotype" w:cs="Arial"/>
          <w:i/>
          <w:sz w:val="22"/>
          <w:szCs w:val="22"/>
          <w:lang w:val="es-ES"/>
        </w:rPr>
      </w:pPr>
      <w:r w:rsidRPr="00233536">
        <w:rPr>
          <w:rFonts w:ascii="Palatino Linotype" w:hAnsi="Palatino Linotype" w:cs="Arial"/>
          <w:i/>
          <w:sz w:val="22"/>
          <w:szCs w:val="22"/>
          <w:lang w:val="es-ES"/>
        </w:rPr>
        <w:t>(Énfasis añadido)</w:t>
      </w:r>
    </w:p>
    <w:p w:rsidR="00260F1F" w:rsidRPr="00233536" w:rsidRDefault="00260F1F" w:rsidP="00260F1F">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233536">
        <w:rPr>
          <w:rFonts w:ascii="Palatino Linotype" w:hAnsi="Palatino Linotype" w:cs="Arial"/>
          <w:lang w:val="es-ES"/>
        </w:rPr>
        <w:t xml:space="preserve">El precepto legal citado, establece como supuesto de procedencia del recurso de revisión, en aquellos casos en que no se dé respuesta a lo solicitado; por lo que, en el presente caso, </w:t>
      </w:r>
      <w:r w:rsidRPr="00233536">
        <w:rPr>
          <w:rFonts w:ascii="Palatino Linotype" w:hAnsi="Palatino Linotype" w:cs="Arial"/>
          <w:b/>
          <w:lang w:val="es-ES"/>
        </w:rPr>
        <w:t>EL SUJETO OBLIGADO</w:t>
      </w:r>
      <w:r w:rsidRPr="00233536">
        <w:rPr>
          <w:rFonts w:ascii="Palatino Linotype" w:hAnsi="Palatino Linotype" w:cs="Arial"/>
          <w:lang w:val="es-ES"/>
        </w:rPr>
        <w:t xml:space="preserve"> omitió dar respuesta a lo requerido por </w:t>
      </w:r>
      <w:r w:rsidRPr="00233536">
        <w:rPr>
          <w:rFonts w:ascii="Palatino Linotype" w:hAnsi="Palatino Linotype" w:cs="Arial"/>
          <w:b/>
          <w:lang w:val="es-ES"/>
        </w:rPr>
        <w:t xml:space="preserve">EL RECURRENTE </w:t>
      </w:r>
      <w:r w:rsidRPr="00233536">
        <w:rPr>
          <w:rFonts w:ascii="Palatino Linotype" w:hAnsi="Palatino Linotype" w:cs="Arial"/>
          <w:lang w:val="es-ES"/>
        </w:rPr>
        <w:t xml:space="preserve">en su solicitud de información pública; atento a ello, </w:t>
      </w:r>
      <w:r w:rsidRPr="00233536">
        <w:rPr>
          <w:rFonts w:ascii="Palatino Linotype" w:hAnsi="Palatino Linotype"/>
          <w:lang w:val="es-ES"/>
        </w:rPr>
        <w:t xml:space="preserve">este Órgano Garante </w:t>
      </w:r>
      <w:r w:rsidRPr="00233536">
        <w:rPr>
          <w:rFonts w:ascii="Palatino Linotype" w:hAnsi="Palatino Linotype" w:cs="Arial"/>
          <w:lang w:val="es-ES"/>
        </w:rPr>
        <w:t xml:space="preserve">considera que las razones o motivos de inconformidad son </w:t>
      </w:r>
      <w:r w:rsidRPr="00233536">
        <w:rPr>
          <w:rFonts w:ascii="Palatino Linotype" w:hAnsi="Palatino Linotype" w:cs="Arial"/>
          <w:b/>
          <w:lang w:val="es-ES"/>
        </w:rPr>
        <w:t>fundados</w:t>
      </w:r>
      <w:r w:rsidRPr="00233536">
        <w:rPr>
          <w:rFonts w:ascii="Palatino Linotype" w:hAnsi="Palatino Linotype" w:cs="Arial"/>
          <w:lang w:val="es-ES"/>
        </w:rPr>
        <w:t>.</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Primeramente, conviene recordar en que consistieron los requerimientos del solicitante:</w:t>
      </w:r>
    </w:p>
    <w:p w:rsidR="00260F1F" w:rsidRPr="00233536" w:rsidRDefault="00260F1F" w:rsidP="00260F1F">
      <w:pPr>
        <w:pStyle w:val="Prrafodelista"/>
        <w:numPr>
          <w:ilvl w:val="0"/>
          <w:numId w:val="1"/>
        </w:numPr>
        <w:spacing w:before="100" w:beforeAutospacing="1" w:after="100" w:afterAutospacing="1" w:line="360" w:lineRule="auto"/>
        <w:jc w:val="both"/>
        <w:rPr>
          <w:rFonts w:ascii="Palatino Linotype" w:hAnsi="Palatino Linotype"/>
        </w:rPr>
      </w:pPr>
      <w:r w:rsidRPr="00233536">
        <w:rPr>
          <w:rFonts w:ascii="Palatino Linotype" w:hAnsi="Palatino Linotype"/>
        </w:rPr>
        <w:t>Plan Anual de Obra Pública del ejercicio fiscal de 2021,</w:t>
      </w:r>
    </w:p>
    <w:p w:rsidR="00260F1F" w:rsidRPr="00233536" w:rsidRDefault="00260F1F" w:rsidP="00260F1F">
      <w:pPr>
        <w:pStyle w:val="Prrafodelista"/>
        <w:numPr>
          <w:ilvl w:val="0"/>
          <w:numId w:val="1"/>
        </w:numPr>
        <w:spacing w:before="100" w:beforeAutospacing="1" w:after="100" w:afterAutospacing="1" w:line="360" w:lineRule="auto"/>
        <w:jc w:val="both"/>
        <w:rPr>
          <w:rFonts w:ascii="Palatino Linotype" w:hAnsi="Palatino Linotype"/>
        </w:rPr>
      </w:pPr>
      <w:r w:rsidRPr="00233536">
        <w:rPr>
          <w:rFonts w:ascii="Palatino Linotype" w:hAnsi="Palatino Linotype"/>
        </w:rPr>
        <w:t>El expediente técnico del plan anual de obra pública con sus anexos</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lastRenderedPageBreak/>
        <w:t>Derivado de la presentación de la solicitud de información la Titular de la Unidad de Transparencia realizó el turno de la misma a la Directora de Obras Públicas del Municipio; tal y como se pudo advertir en el Resultando II de la presente resolución misma que en atención a dicho requerimiento hizo entrega de la certificación que llevo a cabo el Secretario del Ayuntamiento respecto del extracto del Acta de Cabildo número Septuagésima Novena Sesión Extraordinaria de Cabildo celebrada el día veinticuatro de febrero de la anualidad donde en el punto cinco del Orden del día se aprobó y expidió por Unanimidad de votos el Programa Anual de Obras y Programa de Reparaciones y Mantenimientos para el ejercicio fiscal de 2021.</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Adjuntando a dicha certificación el formato correspondiente al Programa Anual de Obras del 1 de enero al 31 de diciembre de 2021; sirviendo de sustento a esto las imágenes insertas en el Resultando a que se ha hecho referencia en el párrafo anterior.</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 xml:space="preserve">Inconforme con la falta de respuesta del </w:t>
      </w:r>
      <w:r w:rsidRPr="00233536">
        <w:rPr>
          <w:rFonts w:ascii="Palatino Linotype" w:hAnsi="Palatino Linotype"/>
          <w:b/>
        </w:rPr>
        <w:t xml:space="preserve">SUJETO OBLIGADO </w:t>
      </w:r>
      <w:r w:rsidRPr="00233536">
        <w:rPr>
          <w:rFonts w:ascii="Palatino Linotype" w:hAnsi="Palatino Linotype"/>
        </w:rPr>
        <w:t>el particular presentó el recurso de revisión de mérito doliéndose precisamente de la negativa para atender la solicitud de información.</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 xml:space="preserve">Así, mediante Informe Justificado la Directora de Obras Públicas le indicó a la Titular de la Unidad de Transparencia que ya había dado atención al requerimiento de información planteado; por lo que, no tenía más que añadir. Adjuntando el Acta de Cabildo correspondiente a la Septuagésima Novena Sesión Extraordinaria de Cabildo, mediante la cual se aprobó el Programa Anual de Obra del ejercicio 2021 y de nueva </w:t>
      </w:r>
      <w:r w:rsidRPr="00233536">
        <w:rPr>
          <w:rFonts w:ascii="Palatino Linotype" w:hAnsi="Palatino Linotype"/>
        </w:rPr>
        <w:lastRenderedPageBreak/>
        <w:t>cuenta el formato</w:t>
      </w:r>
      <w:r w:rsidRPr="00233536">
        <w:rPr>
          <w:rStyle w:val="Refdenotaalpie"/>
          <w:rFonts w:ascii="Palatino Linotype" w:hAnsi="Palatino Linotype"/>
        </w:rPr>
        <w:footnoteReference w:id="1"/>
      </w:r>
      <w:r w:rsidRPr="00233536">
        <w:rPr>
          <w:rFonts w:ascii="Palatino Linotype" w:hAnsi="Palatino Linotype"/>
        </w:rPr>
        <w:t xml:space="preserve"> correspondiente al programa que había sido uno de los requerimientos del particular.</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 xml:space="preserve">Derivado de lo hasta aquí expuesto, es que se tiene por colmado el requerimiento de información identificado en el presente estudio con el inciso a) y consistente en la entrega del Plan Anual de Obra Pública del ejercicio fiscal de 2021, por lo que, </w:t>
      </w:r>
      <w:r w:rsidRPr="00233536">
        <w:rPr>
          <w:rFonts w:ascii="Palatino Linotype" w:hAnsi="Palatino Linotype" w:cs="Arial"/>
        </w:rPr>
        <w:t xml:space="preserve">al haber existido un pronunciamiento por parte del </w:t>
      </w:r>
      <w:r w:rsidRPr="00233536">
        <w:rPr>
          <w:rFonts w:ascii="Palatino Linotype" w:hAnsi="Palatino Linotype" w:cs="Arial"/>
          <w:b/>
        </w:rPr>
        <w:t>SUJETO OBLIGADO</w:t>
      </w:r>
      <w:r w:rsidRPr="00233536">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260F1F" w:rsidRPr="00233536" w:rsidRDefault="00260F1F" w:rsidP="00260F1F">
      <w:pPr>
        <w:spacing w:before="100" w:beforeAutospacing="1" w:after="100" w:afterAutospacing="1" w:line="360" w:lineRule="auto"/>
        <w:jc w:val="both"/>
        <w:rPr>
          <w:rFonts w:ascii="Palatino Linotype" w:eastAsiaTheme="minorEastAsia" w:hAnsi="Palatino Linotype" w:cs="Arial"/>
          <w:lang w:val="es-ES_tradnl"/>
        </w:rPr>
      </w:pPr>
      <w:r w:rsidRPr="00233536">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260F1F" w:rsidRPr="00233536" w:rsidRDefault="00260F1F" w:rsidP="00260F1F">
      <w:pPr>
        <w:ind w:left="851" w:right="1041"/>
        <w:jc w:val="both"/>
        <w:rPr>
          <w:rFonts w:ascii="Palatino Linotype" w:eastAsiaTheme="minorEastAsia" w:hAnsi="Palatino Linotype" w:cs="Arial"/>
          <w:b/>
          <w:i/>
          <w:sz w:val="22"/>
          <w:szCs w:val="20"/>
          <w:lang w:val="es-ES_tradnl"/>
        </w:rPr>
      </w:pPr>
      <w:r w:rsidRPr="00233536">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233536">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w:t>
      </w:r>
      <w:r w:rsidRPr="00233536">
        <w:rPr>
          <w:rFonts w:ascii="Palatino Linotype" w:eastAsiaTheme="minorEastAsia" w:hAnsi="Palatino Linotype" w:cs="Arial"/>
          <w:i/>
          <w:sz w:val="22"/>
          <w:szCs w:val="20"/>
          <w:lang w:val="es-ES_tradnl"/>
        </w:rPr>
        <w:lastRenderedPageBreak/>
        <w:t>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33536">
        <w:rPr>
          <w:rFonts w:ascii="Palatino Linotype" w:eastAsiaTheme="minorEastAsia" w:hAnsi="Palatino Linotype" w:cs="Arial"/>
          <w:b/>
          <w:i/>
          <w:sz w:val="22"/>
          <w:szCs w:val="20"/>
          <w:lang w:val="es-ES_tradnl"/>
        </w:rPr>
        <w:t>”</w:t>
      </w:r>
      <w:r w:rsidRPr="00233536">
        <w:rPr>
          <w:rFonts w:ascii="Palatino Linotype" w:eastAsiaTheme="minorEastAsia" w:hAnsi="Palatino Linotype" w:cs="Arial"/>
          <w:i/>
          <w:sz w:val="22"/>
          <w:szCs w:val="20"/>
          <w:lang w:val="es-ES_tradnl"/>
        </w:rPr>
        <w:t xml:space="preserve"> (</w:t>
      </w:r>
      <w:proofErr w:type="gramStart"/>
      <w:r w:rsidRPr="00233536">
        <w:rPr>
          <w:rFonts w:ascii="Palatino Linotype" w:eastAsiaTheme="minorEastAsia" w:hAnsi="Palatino Linotype" w:cs="Arial"/>
          <w:i/>
          <w:sz w:val="22"/>
          <w:szCs w:val="20"/>
          <w:lang w:val="es-ES_tradnl"/>
        </w:rPr>
        <w:t>sic</w:t>
      </w:r>
      <w:proofErr w:type="gramEnd"/>
      <w:r w:rsidRPr="00233536">
        <w:rPr>
          <w:rFonts w:ascii="Palatino Linotype" w:eastAsiaTheme="minorEastAsia" w:hAnsi="Palatino Linotype" w:cs="Arial"/>
          <w:i/>
          <w:sz w:val="22"/>
          <w:szCs w:val="20"/>
          <w:lang w:val="es-ES_tradnl"/>
        </w:rPr>
        <w:t>)</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Ahora bien, es importante señalar que en cuanto al requerimiento marcado en el presente estudio con el inciso b) donde el particular solicitó el expediente técnico del Plan Anual de Obra Pública y todos los documentos considerados como anexos, es preciso que esta Ponencia en primer lugar les indique a las partes que los particulares no son expertos en la materia y que si bien las solicitudes parecieran incongruentes lo cierto es que la Ley de Transparencia y Acceso a la Información Pública del Estado de México y Municipios prevé en su numeral 159 que los Sujetos Obligados requieran a los particulares con la finalidad de modificar, ampliar o precisar en sus solicitudes de información los datos que consideren insuficientes.</w:t>
      </w:r>
    </w:p>
    <w:p w:rsidR="00260F1F" w:rsidRPr="00233536" w:rsidRDefault="00260F1F" w:rsidP="00260F1F">
      <w:pPr>
        <w:spacing w:before="100" w:beforeAutospacing="1" w:after="100" w:afterAutospacing="1" w:line="360" w:lineRule="auto"/>
        <w:jc w:val="both"/>
        <w:rPr>
          <w:rFonts w:ascii="Palatino Linotype" w:hAnsi="Palatino Linotype"/>
          <w:b/>
        </w:rPr>
      </w:pPr>
      <w:r w:rsidRPr="00233536">
        <w:rPr>
          <w:rFonts w:ascii="Palatino Linotype" w:hAnsi="Palatino Linotype"/>
        </w:rPr>
        <w:t xml:space="preserve">Situación que como se pudo advertir de las constancias que obran en el expediente electrónicos del SAIMEX no sucedió, por lo que, en ese tenor esta Ponencia </w:t>
      </w:r>
      <w:proofErr w:type="spellStart"/>
      <w:r w:rsidRPr="00233536">
        <w:rPr>
          <w:rFonts w:ascii="Palatino Linotype" w:hAnsi="Palatino Linotype"/>
        </w:rPr>
        <w:t>Resolutora</w:t>
      </w:r>
      <w:proofErr w:type="spellEnd"/>
      <w:r w:rsidRPr="00233536">
        <w:rPr>
          <w:rFonts w:ascii="Palatino Linotype" w:hAnsi="Palatino Linotype"/>
        </w:rPr>
        <w:t xml:space="preserve"> en términos de lo establecido en los artículos 13 y 181, párrafo cuarto de la Ley en cita, relativos a la suplencia de la solicitud de información en favor de los solicitantes, es que se realiza lo propio y se determina que lo solicitado por el particular consistió en conocer </w:t>
      </w:r>
      <w:r w:rsidRPr="00233536">
        <w:rPr>
          <w:rFonts w:ascii="Palatino Linotype" w:hAnsi="Palatino Linotype"/>
          <w:b/>
        </w:rPr>
        <w:t>los expedientes técnicos de obra pública y sus anexos en relación a las obras que se encuentren concluidas del periodo del 1 de enero al 5 de agosto de 2021.</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 xml:space="preserve">Bajo ese tenor, conviene señalar que de conformidad con lo dispuesto en la Ley Orgánica Municipal del Estado de México en su numeral 31 en donde se establecen las </w:t>
      </w:r>
      <w:r w:rsidRPr="00233536">
        <w:rPr>
          <w:rFonts w:ascii="Palatino Linotype" w:hAnsi="Palatino Linotype"/>
        </w:rPr>
        <w:lastRenderedPageBreak/>
        <w:t>atribuciones de los Ayuntamientos precisamente en la fracción VII</w:t>
      </w:r>
      <w:r w:rsidRPr="00233536">
        <w:rPr>
          <w:rStyle w:val="Refdenotaalpie"/>
          <w:rFonts w:ascii="Palatino Linotype" w:hAnsi="Palatino Linotype"/>
        </w:rPr>
        <w:footnoteReference w:id="2"/>
      </w:r>
      <w:r w:rsidRPr="00233536">
        <w:rPr>
          <w:rFonts w:ascii="Palatino Linotype" w:hAnsi="Palatino Linotype"/>
        </w:rPr>
        <w:t>, se encuentra la de contratar, convenir y/o concesionar en términos de ley la ejecución de obras y la prestación de servicios públicos ya sea con el Estado, con otros Municipios de la Entidad o con particulares.</w:t>
      </w:r>
    </w:p>
    <w:p w:rsidR="00260F1F" w:rsidRPr="00233536" w:rsidRDefault="00260F1F" w:rsidP="00260F1F">
      <w:pPr>
        <w:spacing w:before="100" w:beforeAutospacing="1" w:after="100" w:afterAutospacing="1" w:line="360" w:lineRule="auto"/>
        <w:jc w:val="both"/>
        <w:rPr>
          <w:rFonts w:ascii="Palatino Linotype" w:hAnsi="Palatino Linotype"/>
        </w:rPr>
      </w:pPr>
      <w:r w:rsidRPr="00233536">
        <w:rPr>
          <w:rFonts w:ascii="Palatino Linotype" w:hAnsi="Palatino Linotype"/>
        </w:rPr>
        <w:t xml:space="preserve">En ese tenor como ya quedo expuesto en párrafos que anteceden </w:t>
      </w:r>
      <w:r w:rsidRPr="00233536">
        <w:rPr>
          <w:rFonts w:ascii="Palatino Linotype" w:hAnsi="Palatino Linotype"/>
          <w:b/>
        </w:rPr>
        <w:t xml:space="preserve">EL SUJETO OBLIGADO </w:t>
      </w:r>
      <w:r w:rsidRPr="00233536">
        <w:rPr>
          <w:rFonts w:ascii="Palatino Linotype" w:hAnsi="Palatino Linotype"/>
        </w:rPr>
        <w:t>a través de la Dirección de Obras Públicas es que lleva a cabo la planeación, programación, coordinación y realización de los proyectos necesarios para la ejecución de las obras y servicios que tengan por objeto mantener y aumentar la infraestructura municipal; sirve de sustento a lo manifestado el artículo 156 del Bando Municipal de Teoloyucan 2021, que a la letra dice:</w:t>
      </w:r>
    </w:p>
    <w:p w:rsidR="00260F1F" w:rsidRPr="00233536" w:rsidRDefault="00260F1F" w:rsidP="00260F1F">
      <w:pPr>
        <w:ind w:left="851" w:right="899"/>
        <w:jc w:val="both"/>
        <w:rPr>
          <w:rFonts w:ascii="Palatino Linotype" w:hAnsi="Palatino Linotype"/>
          <w:i/>
          <w:sz w:val="22"/>
          <w:szCs w:val="22"/>
        </w:rPr>
      </w:pPr>
      <w:r w:rsidRPr="00233536">
        <w:rPr>
          <w:rFonts w:ascii="Palatino Linotype" w:hAnsi="Palatino Linotype"/>
          <w:i/>
          <w:sz w:val="22"/>
          <w:szCs w:val="22"/>
        </w:rPr>
        <w:t>“</w:t>
      </w:r>
      <w:r w:rsidRPr="00233536">
        <w:rPr>
          <w:rFonts w:ascii="Palatino Linotype" w:hAnsi="Palatino Linotype"/>
          <w:b/>
          <w:i/>
          <w:sz w:val="22"/>
          <w:szCs w:val="22"/>
        </w:rPr>
        <w:t>ARTÍCULO 156</w:t>
      </w:r>
      <w:r w:rsidRPr="00233536">
        <w:rPr>
          <w:rFonts w:ascii="Palatino Linotype" w:hAnsi="Palatino Linotype"/>
          <w:i/>
          <w:sz w:val="22"/>
          <w:szCs w:val="22"/>
        </w:rPr>
        <w:t>. La dirección de obras públicas, planeará, programará, coordinará y realizará los proyectos necesarios para la ejecución de las obras y servicios públicos, que tengan por objeto mantener y aumentar la infraestructura municipal, que cumplan con las disposiciones legales aplicables en las diferentes modalidades de licitación y en congruencia con el plan de desarrollo municipal y con lo autorizado por el ayuntamiento.” (Sic)</w:t>
      </w:r>
    </w:p>
    <w:p w:rsidR="00260F1F" w:rsidRPr="00233536" w:rsidRDefault="00260F1F" w:rsidP="00260F1F">
      <w:pPr>
        <w:tabs>
          <w:tab w:val="left" w:pos="8647"/>
        </w:tabs>
        <w:spacing w:before="100" w:beforeAutospacing="1" w:after="100" w:afterAutospacing="1" w:line="360" w:lineRule="auto"/>
        <w:ind w:right="51"/>
        <w:jc w:val="both"/>
        <w:rPr>
          <w:rFonts w:ascii="Palatino Linotype" w:hAnsi="Palatino Linotype"/>
        </w:rPr>
      </w:pPr>
      <w:r w:rsidRPr="00233536">
        <w:rPr>
          <w:rFonts w:ascii="Palatino Linotype" w:eastAsia="Calibri" w:hAnsi="Palatino Linotype" w:cs="Arial"/>
          <w:lang w:val="es-ES"/>
        </w:rPr>
        <w:t>Ahora bien, en virtud de que la información versa en sobre obras públicas concluidas, es de mencionar lo que dispone la legislación en materia de obra pública, que para el presente caso es lo dispuesto en el Libro Décimo Segundo del Código Administrativo del Estado de México, en lo que nos interesa lo siguiente:</w:t>
      </w: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lastRenderedPageBreak/>
        <w:t>“Artículo 12.8.-</w:t>
      </w:r>
      <w:r w:rsidRPr="00233536">
        <w:rPr>
          <w:rFonts w:ascii="Palatino Linotype" w:eastAsia="Calibri" w:hAnsi="Palatino Linotype"/>
          <w:i/>
          <w:sz w:val="22"/>
          <w:szCs w:val="22"/>
          <w:lang w:val="es-ES"/>
        </w:rPr>
        <w:t xml:space="preserve"> Corresponde a la Secretaría del Ramo y a los </w:t>
      </w:r>
      <w:r w:rsidRPr="00233536">
        <w:rPr>
          <w:rFonts w:ascii="Palatino Linotype" w:eastAsia="Calibri" w:hAnsi="Palatino Linotype"/>
          <w:b/>
          <w:i/>
          <w:sz w:val="22"/>
          <w:szCs w:val="22"/>
          <w:lang w:val="es-ES"/>
        </w:rPr>
        <w:t xml:space="preserve">ayuntamientos, en el ámbito de sus respectivas competencias, ejecutar la obra pública, mediante contrato con terceros o por administración directa. </w:t>
      </w:r>
    </w:p>
    <w:p w:rsidR="00260F1F" w:rsidRPr="00233536" w:rsidRDefault="00260F1F" w:rsidP="00260F1F">
      <w:pPr>
        <w:ind w:left="851" w:right="901"/>
        <w:jc w:val="both"/>
        <w:rPr>
          <w:rFonts w:ascii="Palatino Linotype" w:eastAsia="Calibri" w:hAnsi="Palatino Linotype"/>
          <w:i/>
          <w:sz w:val="22"/>
          <w:szCs w:val="22"/>
          <w:lang w:val="es-ES"/>
        </w:rPr>
      </w:pP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260F1F" w:rsidRPr="00233536" w:rsidRDefault="00260F1F" w:rsidP="00260F1F">
      <w:pPr>
        <w:tabs>
          <w:tab w:val="left" w:pos="8647"/>
        </w:tabs>
        <w:ind w:left="567" w:right="851"/>
        <w:jc w:val="both"/>
        <w:rPr>
          <w:rFonts w:ascii="Palatino Linotype" w:eastAsia="Calibri" w:hAnsi="Palatino Linotype"/>
          <w:i/>
          <w:sz w:val="22"/>
          <w:szCs w:val="22"/>
          <w:lang w:val="es-ES"/>
        </w:rPr>
      </w:pP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b/>
          <w:i/>
          <w:sz w:val="22"/>
          <w:szCs w:val="22"/>
          <w:lang w:val="es-ES"/>
        </w:rPr>
        <w:t>Lo dispuesto en el párrafo anterior será aplicable a los ayuntamientos, tratándose de la realización de obras con cargo a fondos estatales total o parcialmente</w:t>
      </w:r>
      <w:r w:rsidRPr="00233536">
        <w:rPr>
          <w:rFonts w:ascii="Palatino Linotype" w:eastAsia="Calibri" w:hAnsi="Palatino Linotype"/>
          <w:i/>
          <w:sz w:val="22"/>
          <w:szCs w:val="22"/>
          <w:lang w:val="es-ES"/>
        </w:rPr>
        <w:t xml:space="preserve">. </w:t>
      </w:r>
    </w:p>
    <w:p w:rsidR="00260F1F" w:rsidRPr="00233536" w:rsidRDefault="00260F1F" w:rsidP="00260F1F">
      <w:pPr>
        <w:tabs>
          <w:tab w:val="left" w:pos="8647"/>
        </w:tabs>
        <w:ind w:left="567" w:right="851"/>
        <w:jc w:val="both"/>
        <w:rPr>
          <w:rFonts w:ascii="Palatino Linotype" w:eastAsia="Calibri" w:hAnsi="Palatino Linotype"/>
          <w:i/>
          <w:sz w:val="22"/>
          <w:szCs w:val="22"/>
          <w:lang w:val="es-ES"/>
        </w:rPr>
      </w:pP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260F1F" w:rsidRPr="00233536" w:rsidRDefault="00260F1F" w:rsidP="00260F1F">
      <w:pPr>
        <w:tabs>
          <w:tab w:val="left" w:pos="8647"/>
        </w:tabs>
        <w:ind w:left="567" w:right="851"/>
        <w:jc w:val="both"/>
        <w:rPr>
          <w:rFonts w:ascii="Palatino Linotype" w:eastAsia="Calibri" w:hAnsi="Palatino Linotype"/>
          <w:i/>
          <w:sz w:val="22"/>
          <w:szCs w:val="22"/>
          <w:lang w:val="es-ES"/>
        </w:rPr>
      </w:pP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b/>
          <w:i/>
          <w:sz w:val="22"/>
          <w:szCs w:val="22"/>
          <w:lang w:val="es-ES"/>
        </w:rPr>
        <w:t>Artículo 12.15</w:t>
      </w:r>
      <w:r w:rsidRPr="00233536">
        <w:rPr>
          <w:rFonts w:ascii="Palatino Linotype" w:eastAsia="Calibri" w:hAnsi="Palatino Linotype"/>
          <w:i/>
          <w:sz w:val="22"/>
          <w:szCs w:val="22"/>
          <w:lang w:val="es-ES"/>
        </w:rPr>
        <w:t xml:space="preserve">.- Las dependencias, entidades y </w:t>
      </w:r>
      <w:r w:rsidRPr="00233536">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233536">
        <w:rPr>
          <w:rFonts w:ascii="Palatino Linotype" w:eastAsia="Calibri" w:hAnsi="Palatino Linotype"/>
          <w:i/>
          <w:sz w:val="22"/>
          <w:szCs w:val="22"/>
          <w:lang w:val="es-ES"/>
        </w:rPr>
        <w:t>…</w:t>
      </w: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i/>
          <w:sz w:val="22"/>
          <w:szCs w:val="22"/>
          <w:lang w:val="es-ES"/>
        </w:rPr>
        <w:t>…</w:t>
      </w: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b/>
          <w:i/>
          <w:sz w:val="22"/>
          <w:szCs w:val="22"/>
          <w:lang w:val="es-ES"/>
        </w:rPr>
        <w:t>Artículo 12.20.-</w:t>
      </w:r>
      <w:r w:rsidRPr="00233536">
        <w:rPr>
          <w:rFonts w:ascii="Palatino Linotype" w:eastAsia="Calibri" w:hAnsi="Palatino Linotype"/>
          <w:i/>
          <w:sz w:val="22"/>
          <w:szCs w:val="22"/>
          <w:lang w:val="es-ES"/>
        </w:rPr>
        <w:t xml:space="preserve"> </w:t>
      </w:r>
      <w:r w:rsidRPr="00233536">
        <w:rPr>
          <w:rFonts w:ascii="Palatino Linotype" w:eastAsia="Calibri" w:hAnsi="Palatino Linotype"/>
          <w:b/>
          <w:i/>
          <w:sz w:val="22"/>
          <w:szCs w:val="22"/>
          <w:lang w:val="es-ES"/>
        </w:rPr>
        <w:t>Los contratos a que se refiere este Libro, se adjudicarán a través de licitaciones públicas, mediante convocatoria pública</w:t>
      </w:r>
      <w:r w:rsidRPr="00233536">
        <w:rPr>
          <w:rFonts w:ascii="Palatino Linotype" w:eastAsia="Calibri" w:hAnsi="Palatino Linotype"/>
          <w:i/>
          <w:sz w:val="22"/>
          <w:szCs w:val="22"/>
          <w:lang w:val="es-ES"/>
        </w:rPr>
        <w:t xml:space="preserve">. </w:t>
      </w:r>
    </w:p>
    <w:p w:rsidR="00260F1F" w:rsidRPr="00233536" w:rsidRDefault="00260F1F" w:rsidP="00260F1F">
      <w:pPr>
        <w:ind w:left="851" w:right="901"/>
        <w:jc w:val="both"/>
        <w:rPr>
          <w:rFonts w:ascii="Palatino Linotype" w:eastAsia="Calibri" w:hAnsi="Palatino Linotype"/>
          <w:i/>
          <w:sz w:val="22"/>
          <w:szCs w:val="22"/>
          <w:lang w:val="es-ES"/>
        </w:rPr>
      </w:pP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Artículo 12.21.-</w:t>
      </w:r>
      <w:r w:rsidRPr="00233536">
        <w:rPr>
          <w:rFonts w:ascii="Palatino Linotype" w:eastAsia="Calibri" w:hAnsi="Palatino Linotype"/>
          <w:i/>
          <w:sz w:val="22"/>
          <w:szCs w:val="22"/>
          <w:lang w:val="es-ES"/>
        </w:rPr>
        <w:t xml:space="preserve"> Las dependencias, entidades y </w:t>
      </w:r>
      <w:r w:rsidRPr="00233536">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260F1F" w:rsidRPr="00233536" w:rsidRDefault="00260F1F" w:rsidP="00260F1F">
      <w:pPr>
        <w:ind w:left="851" w:right="901"/>
        <w:jc w:val="both"/>
        <w:rPr>
          <w:rFonts w:ascii="Palatino Linotype" w:eastAsia="Calibri" w:hAnsi="Palatino Linotype"/>
          <w:b/>
          <w:i/>
          <w:sz w:val="22"/>
          <w:szCs w:val="22"/>
          <w:lang w:val="es-ES"/>
        </w:rPr>
      </w:pP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 xml:space="preserve">I. Invitación restringida; </w:t>
      </w:r>
    </w:p>
    <w:p w:rsidR="00260F1F" w:rsidRPr="00233536" w:rsidRDefault="00260F1F" w:rsidP="00260F1F">
      <w:pPr>
        <w:ind w:left="851" w:right="901"/>
        <w:jc w:val="both"/>
        <w:rPr>
          <w:rFonts w:ascii="Palatino Linotype" w:eastAsia="Calibri" w:hAnsi="Palatino Linotype" w:cs="Arial"/>
          <w:b/>
          <w:i/>
          <w:sz w:val="22"/>
          <w:szCs w:val="22"/>
          <w:lang w:val="es-ES"/>
        </w:rPr>
      </w:pPr>
      <w:r w:rsidRPr="00233536">
        <w:rPr>
          <w:rFonts w:ascii="Palatino Linotype" w:eastAsia="Calibri" w:hAnsi="Palatino Linotype"/>
          <w:b/>
          <w:i/>
          <w:sz w:val="22"/>
          <w:szCs w:val="22"/>
          <w:lang w:val="es-ES"/>
        </w:rPr>
        <w:t>II. Adjudicación directa.</w:t>
      </w:r>
    </w:p>
    <w:p w:rsidR="00260F1F" w:rsidRPr="00233536" w:rsidRDefault="00260F1F" w:rsidP="00260F1F">
      <w:pPr>
        <w:ind w:left="851" w:right="901"/>
        <w:jc w:val="both"/>
        <w:rPr>
          <w:rFonts w:ascii="Palatino Linotype" w:eastAsia="Calibri" w:hAnsi="Palatino Linotype" w:cs="Arial"/>
          <w:i/>
          <w:sz w:val="22"/>
          <w:szCs w:val="22"/>
          <w:lang w:val="es-ES"/>
        </w:rPr>
      </w:pPr>
      <w:r w:rsidRPr="00233536">
        <w:rPr>
          <w:rFonts w:ascii="Palatino Linotype" w:eastAsia="Calibri" w:hAnsi="Palatino Linotype" w:cs="Arial"/>
          <w:i/>
          <w:sz w:val="22"/>
          <w:szCs w:val="22"/>
          <w:lang w:val="es-ES"/>
        </w:rPr>
        <w:t>…</w:t>
      </w: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b/>
          <w:i/>
          <w:sz w:val="22"/>
          <w:szCs w:val="22"/>
          <w:lang w:val="es-ES"/>
        </w:rPr>
        <w:t>Artículo 12.38.-</w:t>
      </w:r>
      <w:r w:rsidRPr="00233536">
        <w:rPr>
          <w:rFonts w:ascii="Palatino Linotype" w:eastAsia="Calibri" w:hAnsi="Palatino Linotype"/>
          <w:i/>
          <w:sz w:val="22"/>
          <w:szCs w:val="22"/>
          <w:lang w:val="es-ES"/>
        </w:rPr>
        <w:t xml:space="preserve"> </w:t>
      </w:r>
      <w:r w:rsidRPr="00233536">
        <w:rPr>
          <w:rFonts w:ascii="Palatino Linotype" w:eastAsia="Calibri" w:hAnsi="Palatino Linotype"/>
          <w:b/>
          <w:i/>
          <w:sz w:val="22"/>
          <w:szCs w:val="22"/>
          <w:lang w:val="es-ES"/>
        </w:rPr>
        <w:t>La adjudicación de la obra o servicios relacionados con la misma</w:t>
      </w:r>
      <w:r w:rsidRPr="00233536">
        <w:rPr>
          <w:rFonts w:ascii="Palatino Linotype" w:eastAsia="Calibri" w:hAnsi="Palatino Linotype"/>
          <w:i/>
          <w:sz w:val="22"/>
          <w:szCs w:val="22"/>
          <w:lang w:val="es-ES"/>
        </w:rPr>
        <w:t xml:space="preserve"> </w:t>
      </w:r>
      <w:r w:rsidRPr="00233536">
        <w:rPr>
          <w:rFonts w:ascii="Palatino Linotype" w:eastAsia="Calibri" w:hAnsi="Palatino Linotype"/>
          <w:b/>
          <w:i/>
          <w:sz w:val="22"/>
          <w:szCs w:val="22"/>
          <w:lang w:val="es-ES"/>
        </w:rPr>
        <w:t>obligará</w:t>
      </w:r>
      <w:r w:rsidRPr="00233536">
        <w:rPr>
          <w:rFonts w:ascii="Palatino Linotype" w:eastAsia="Calibri" w:hAnsi="Palatino Linotype"/>
          <w:i/>
          <w:sz w:val="22"/>
          <w:szCs w:val="22"/>
          <w:lang w:val="es-ES"/>
        </w:rPr>
        <w:t xml:space="preserve"> a la dependencia, entidad o </w:t>
      </w:r>
      <w:r w:rsidRPr="00233536">
        <w:rPr>
          <w:rFonts w:ascii="Palatino Linotype" w:eastAsia="Calibri" w:hAnsi="Palatino Linotype"/>
          <w:b/>
          <w:i/>
          <w:sz w:val="22"/>
          <w:szCs w:val="22"/>
          <w:lang w:val="es-ES"/>
        </w:rPr>
        <w:t xml:space="preserve">ayuntamiento y a la persona en que </w:t>
      </w:r>
      <w:r w:rsidRPr="00233536">
        <w:rPr>
          <w:rFonts w:ascii="Palatino Linotype" w:eastAsia="Calibri" w:hAnsi="Palatino Linotype"/>
          <w:b/>
          <w:i/>
          <w:sz w:val="22"/>
          <w:szCs w:val="22"/>
          <w:lang w:val="es-ES"/>
        </w:rPr>
        <w:lastRenderedPageBreak/>
        <w:t>hubiere recaído, a suscribir el contrato respectivo</w:t>
      </w:r>
      <w:r w:rsidRPr="00233536">
        <w:rPr>
          <w:rFonts w:ascii="Palatino Linotype" w:eastAsia="Calibri" w:hAnsi="Palatino Linotype"/>
          <w:i/>
          <w:sz w:val="22"/>
          <w:szCs w:val="22"/>
          <w:lang w:val="es-ES"/>
        </w:rPr>
        <w:t xml:space="preserve"> dentro de los diez días hábiles siguientes al de la notificación del fallo.</w:t>
      </w: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i/>
          <w:sz w:val="22"/>
          <w:szCs w:val="22"/>
          <w:lang w:val="es-ES"/>
        </w:rPr>
        <w:t>…</w:t>
      </w: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Artículo 12.60.-</w:t>
      </w:r>
      <w:r w:rsidRPr="00233536">
        <w:rPr>
          <w:rFonts w:ascii="Palatino Linotype" w:eastAsia="Calibri" w:hAnsi="Palatino Linotype"/>
          <w:i/>
          <w:sz w:val="22"/>
          <w:szCs w:val="22"/>
          <w:lang w:val="es-ES"/>
        </w:rPr>
        <w:t xml:space="preserve"> Las dependencias, entidades y </w:t>
      </w:r>
      <w:r w:rsidRPr="00233536">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 xml:space="preserve">I. Utilizar mano de obra local complementaria, la que necesariamente deberá contratarse por obra determinada; </w:t>
      </w: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 xml:space="preserve">II. Alquilar equipo y maquinaria de construcción complementaria; </w:t>
      </w: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 xml:space="preserve">III. Utilizar preferentemente los materiales de la región; </w:t>
      </w: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260F1F" w:rsidRPr="00233536" w:rsidRDefault="00260F1F" w:rsidP="00260F1F">
      <w:pPr>
        <w:ind w:left="851" w:right="901"/>
        <w:jc w:val="both"/>
        <w:rPr>
          <w:rFonts w:ascii="Palatino Linotype" w:eastAsia="Calibri" w:hAnsi="Palatino Linotype"/>
          <w:b/>
          <w:i/>
          <w:sz w:val="22"/>
          <w:szCs w:val="22"/>
          <w:lang w:val="es-ES"/>
        </w:rPr>
      </w:pPr>
      <w:r w:rsidRPr="00233536">
        <w:rPr>
          <w:rFonts w:ascii="Palatino Linotype" w:eastAsia="Calibri" w:hAnsi="Palatino Linotype"/>
          <w:b/>
          <w:i/>
          <w:sz w:val="22"/>
          <w:szCs w:val="22"/>
          <w:lang w:val="es-ES"/>
        </w:rPr>
        <w:t>V. Utilizar servicios de fletes y acarreos complementarios.</w:t>
      </w:r>
    </w:p>
    <w:p w:rsidR="00260F1F" w:rsidRPr="00233536" w:rsidRDefault="00260F1F" w:rsidP="00260F1F">
      <w:pPr>
        <w:tabs>
          <w:tab w:val="left" w:pos="8647"/>
        </w:tabs>
        <w:ind w:left="567" w:right="851"/>
        <w:jc w:val="both"/>
        <w:rPr>
          <w:rFonts w:ascii="Palatino Linotype" w:eastAsia="Calibri" w:hAnsi="Palatino Linotype"/>
          <w:i/>
          <w:sz w:val="22"/>
          <w:szCs w:val="22"/>
          <w:lang w:val="es-ES"/>
        </w:rPr>
      </w:pP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b/>
          <w:i/>
          <w:sz w:val="22"/>
          <w:szCs w:val="22"/>
          <w:lang w:val="es-ES"/>
        </w:rPr>
        <w:t>Artículo 12.61.-</w:t>
      </w:r>
      <w:r w:rsidRPr="00233536">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260F1F" w:rsidRPr="00233536" w:rsidRDefault="00260F1F" w:rsidP="00260F1F">
      <w:pPr>
        <w:tabs>
          <w:tab w:val="left" w:pos="8647"/>
        </w:tabs>
        <w:ind w:left="567" w:right="851"/>
        <w:jc w:val="both"/>
        <w:rPr>
          <w:rFonts w:ascii="Palatino Linotype" w:eastAsia="Calibri" w:hAnsi="Palatino Linotype"/>
          <w:i/>
          <w:sz w:val="22"/>
          <w:szCs w:val="22"/>
          <w:lang w:val="es-ES"/>
        </w:rPr>
      </w:pPr>
    </w:p>
    <w:p w:rsidR="00260F1F" w:rsidRPr="00233536" w:rsidRDefault="00260F1F"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b/>
          <w:i/>
          <w:sz w:val="22"/>
          <w:szCs w:val="22"/>
          <w:lang w:val="es-ES"/>
        </w:rPr>
        <w:t>Artículo 12.62.-</w:t>
      </w:r>
      <w:r w:rsidRPr="00233536">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r w:rsidR="00F06FD3" w:rsidRPr="00233536">
        <w:rPr>
          <w:rFonts w:ascii="Palatino Linotype" w:eastAsia="Calibri" w:hAnsi="Palatino Linotype"/>
          <w:i/>
          <w:sz w:val="22"/>
          <w:szCs w:val="22"/>
          <w:lang w:val="es-ES"/>
        </w:rPr>
        <w:t>”</w:t>
      </w:r>
    </w:p>
    <w:p w:rsidR="00F06FD3" w:rsidRPr="00233536" w:rsidRDefault="00F06FD3" w:rsidP="00260F1F">
      <w:pPr>
        <w:ind w:left="851" w:right="901"/>
        <w:jc w:val="both"/>
        <w:rPr>
          <w:rFonts w:ascii="Palatino Linotype" w:eastAsia="Calibri" w:hAnsi="Palatino Linotype"/>
          <w:i/>
          <w:sz w:val="22"/>
          <w:szCs w:val="22"/>
          <w:lang w:val="es-ES"/>
        </w:rPr>
      </w:pPr>
      <w:r w:rsidRPr="00233536">
        <w:rPr>
          <w:rFonts w:ascii="Palatino Linotype" w:eastAsia="Calibri" w:hAnsi="Palatino Linotype"/>
          <w:i/>
          <w:sz w:val="22"/>
          <w:szCs w:val="22"/>
          <w:lang w:val="es-ES"/>
        </w:rPr>
        <w:t>(Énfasis añadido)</w:t>
      </w:r>
    </w:p>
    <w:p w:rsidR="00260F1F" w:rsidRPr="00233536" w:rsidRDefault="00260F1F" w:rsidP="00260F1F">
      <w:pPr>
        <w:ind w:left="851" w:right="901"/>
        <w:jc w:val="both"/>
        <w:rPr>
          <w:rFonts w:ascii="Palatino Linotype" w:eastAsia="Calibri" w:hAnsi="Palatino Linotype" w:cs="Arial"/>
          <w:i/>
          <w:sz w:val="22"/>
          <w:szCs w:val="22"/>
          <w:lang w:val="es-ES"/>
        </w:rPr>
      </w:pPr>
    </w:p>
    <w:p w:rsidR="00260F1F" w:rsidRPr="00233536" w:rsidRDefault="00260F1F" w:rsidP="00260F1F">
      <w:pPr>
        <w:spacing w:before="120" w:after="120" w:line="360" w:lineRule="auto"/>
        <w:jc w:val="both"/>
        <w:rPr>
          <w:rFonts w:ascii="Palatino Linotype" w:hAnsi="Palatino Linotype" w:cs="Arial"/>
        </w:rPr>
      </w:pPr>
      <w:r w:rsidRPr="00233536">
        <w:rPr>
          <w:rFonts w:ascii="Palatino Linotype" w:hAnsi="Palatino Linotype" w:cs="Arial"/>
        </w:rPr>
        <w:t xml:space="preserve">Es de esta forma, la normativa en estudio establece los términos de cómo llevar a cabo la obra pública por parte del </w:t>
      </w:r>
      <w:r w:rsidRPr="00233536">
        <w:rPr>
          <w:rFonts w:ascii="Palatino Linotype" w:hAnsi="Palatino Linotype" w:cs="Arial"/>
          <w:b/>
        </w:rPr>
        <w:t>SUJETO OBLIGADO</w:t>
      </w:r>
      <w:r w:rsidRPr="00233536">
        <w:rPr>
          <w:rFonts w:ascii="Palatino Linotype" w:hAnsi="Palatino Linotype" w:cs="Arial"/>
        </w:rPr>
        <w:t xml:space="preserve">, en virtud de que, se considera obra pública todo trabajo que tenga por objeto principal construir, instalar, ampliar, adecuar, </w:t>
      </w:r>
      <w:r w:rsidRPr="00233536">
        <w:rPr>
          <w:rFonts w:ascii="Palatino Linotype" w:hAnsi="Palatino Linotype" w:cs="Arial"/>
          <w:b/>
        </w:rPr>
        <w:t>remodelar,</w:t>
      </w:r>
      <w:r w:rsidRPr="00233536">
        <w:rPr>
          <w:rFonts w:ascii="Palatino Linotype" w:hAnsi="Palatino Linotype" w:cs="Arial"/>
        </w:rPr>
        <w:t xml:space="preserve"> restaurar, conservar, </w:t>
      </w:r>
      <w:r w:rsidRPr="00233536">
        <w:rPr>
          <w:rFonts w:ascii="Palatino Linotype" w:hAnsi="Palatino Linotype" w:cs="Arial"/>
          <w:b/>
        </w:rPr>
        <w:t>mantener,</w:t>
      </w:r>
      <w:r w:rsidRPr="00233536">
        <w:rPr>
          <w:rFonts w:ascii="Palatino Linotype" w:hAnsi="Palatino Linotype" w:cs="Arial"/>
        </w:rPr>
        <w:t xml:space="preserve"> modificar o demoler bienes inmuebles propiedad de los </w:t>
      </w:r>
      <w:r w:rsidR="00F06FD3" w:rsidRPr="00233536">
        <w:rPr>
          <w:rFonts w:ascii="Palatino Linotype" w:hAnsi="Palatino Linotype" w:cs="Arial"/>
        </w:rPr>
        <w:t>Municipios</w:t>
      </w:r>
      <w:r w:rsidRPr="00233536">
        <w:rPr>
          <w:rFonts w:ascii="Palatino Linotype" w:hAnsi="Palatino Linotype" w:cs="Arial"/>
        </w:rPr>
        <w:t>; asimismo, advierte las formas en que podrá adjudicarse una obra a un contratista, ya sea por licitación pública, invitación directa o adjudicación directa.</w:t>
      </w:r>
    </w:p>
    <w:p w:rsidR="00260F1F" w:rsidRPr="00233536" w:rsidRDefault="00F06FD3" w:rsidP="00260F1F">
      <w:pPr>
        <w:spacing w:before="120" w:after="120" w:line="360" w:lineRule="auto"/>
        <w:jc w:val="both"/>
        <w:rPr>
          <w:rFonts w:ascii="Palatino Linotype" w:hAnsi="Palatino Linotype" w:cs="Arial"/>
        </w:rPr>
      </w:pPr>
      <w:r w:rsidRPr="00233536">
        <w:rPr>
          <w:rFonts w:ascii="Palatino Linotype" w:hAnsi="Palatino Linotype" w:cs="Arial"/>
        </w:rPr>
        <w:lastRenderedPageBreak/>
        <w:t>En ese tenor, conviene resaltar que la Ley</w:t>
      </w:r>
      <w:r w:rsidR="00260F1F" w:rsidRPr="00233536">
        <w:rPr>
          <w:rFonts w:ascii="Palatino Linotype" w:hAnsi="Palatino Linotype" w:cs="Arial"/>
        </w:rPr>
        <w:t xml:space="preserve"> de Transparencia y Acceso a la Información Pública del Estado de México y Municipios en su artículo 92</w:t>
      </w:r>
      <w:r w:rsidRPr="00233536">
        <w:rPr>
          <w:rFonts w:ascii="Palatino Linotype" w:hAnsi="Palatino Linotype" w:cs="Arial"/>
        </w:rPr>
        <w:t xml:space="preserve">, fracción XXIX, relativo a las obligaciones de transparencia comunes, establecen en cuanto a la obra pública lo que a continuación se transcribe: </w:t>
      </w:r>
    </w:p>
    <w:p w:rsidR="00260F1F" w:rsidRPr="00233536" w:rsidRDefault="00260F1F" w:rsidP="00260F1F">
      <w:pPr>
        <w:spacing w:before="120" w:after="120" w:line="360" w:lineRule="auto"/>
        <w:jc w:val="both"/>
        <w:rPr>
          <w:rFonts w:ascii="Palatino Linotype" w:hAnsi="Palatino Linotype" w:cs="Arial"/>
          <w:sz w:val="2"/>
        </w:rPr>
      </w:pP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b/>
          <w:bCs/>
          <w:i/>
          <w:sz w:val="22"/>
          <w:szCs w:val="22"/>
        </w:rPr>
        <w:t xml:space="preserve">“Artículo 92. </w:t>
      </w:r>
      <w:r w:rsidRPr="00233536">
        <w:rPr>
          <w:rFonts w:ascii="Palatino Linotype" w:hAnsi="Palatino Linotype" w:cs="Arial"/>
          <w:i/>
          <w:sz w:val="22"/>
          <w:szCs w:val="22"/>
        </w:rPr>
        <w:t xml:space="preserve">Los sujetos obligados deberán </w:t>
      </w:r>
      <w:r w:rsidRPr="00233536">
        <w:rPr>
          <w:rFonts w:ascii="Palatino Linotype" w:hAnsi="Palatino Linotype" w:cs="Arial"/>
          <w:b/>
          <w:i/>
          <w:sz w:val="22"/>
          <w:szCs w:val="22"/>
        </w:rPr>
        <w:t>poner a disposición del público de manera permanente y actualizada de forma sencilla</w:t>
      </w:r>
      <w:r w:rsidRPr="00233536">
        <w:rPr>
          <w:rFonts w:ascii="Palatino Linotype" w:hAnsi="Palatino Linotype" w:cs="Arial"/>
          <w:i/>
          <w:sz w:val="22"/>
          <w:szCs w:val="22"/>
        </w:rPr>
        <w:t xml:space="preserve">, precisa y entendible, en los respectivos </w:t>
      </w:r>
      <w:r w:rsidRPr="00233536">
        <w:rPr>
          <w:rFonts w:ascii="Palatino Linotype" w:hAnsi="Palatino Linotype" w:cs="Arial"/>
          <w:b/>
          <w:i/>
          <w:sz w:val="22"/>
          <w:szCs w:val="22"/>
        </w:rPr>
        <w:t>medios electrónicos, de acuerdo con sus facultades, atribuciones, funciones u objeto social</w:t>
      </w:r>
      <w:r w:rsidRPr="00233536">
        <w:rPr>
          <w:rFonts w:ascii="Palatino Linotype" w:hAnsi="Palatino Linotype" w:cs="Arial"/>
          <w:i/>
          <w:sz w:val="22"/>
          <w:szCs w:val="22"/>
        </w:rPr>
        <w:t>, según corresponda, la información, por lo menos, de los temas, documentos y políticas que a continuación se señalan:</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b/>
          <w:bCs/>
          <w:i/>
          <w:sz w:val="22"/>
          <w:szCs w:val="22"/>
        </w:rPr>
        <w:t>.</w:t>
      </w:r>
      <w:r w:rsidRPr="00233536">
        <w:rPr>
          <w:rFonts w:ascii="Palatino Linotype" w:hAnsi="Palatino Linotype" w:cs="Arial"/>
          <w:i/>
          <w:sz w:val="22"/>
          <w:szCs w:val="22"/>
        </w:rPr>
        <w:t xml:space="preserve"> . .</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b/>
          <w:bCs/>
          <w:i/>
          <w:sz w:val="22"/>
          <w:szCs w:val="22"/>
        </w:rPr>
        <w:t xml:space="preserve">XXIX. </w:t>
      </w:r>
      <w:r w:rsidRPr="00233536">
        <w:rPr>
          <w:rFonts w:ascii="Palatino Linotype" w:hAnsi="Palatino Linotype" w:cs="Arial"/>
          <w:i/>
          <w:sz w:val="22"/>
          <w:szCs w:val="22"/>
        </w:rPr>
        <w:t xml:space="preserve">La información sobre los </w:t>
      </w:r>
      <w:r w:rsidRPr="00233536">
        <w:rPr>
          <w:rFonts w:ascii="Palatino Linotype" w:hAnsi="Palatino Linotype" w:cs="Arial"/>
          <w:b/>
          <w:i/>
          <w:sz w:val="22"/>
          <w:szCs w:val="22"/>
        </w:rPr>
        <w:t xml:space="preserve">procesos y resultados sobre procedimientos de adjudicación directa, invitación restringida y licitación de cualquier naturaleza, </w:t>
      </w:r>
      <w:r w:rsidRPr="00233536">
        <w:rPr>
          <w:rFonts w:ascii="Palatino Linotype" w:hAnsi="Palatino Linotype" w:cs="Arial"/>
          <w:b/>
          <w:i/>
          <w:sz w:val="22"/>
          <w:szCs w:val="22"/>
          <w:u w:val="single"/>
        </w:rPr>
        <w:t>incluyendo la versión pública del expediente respectivo</w:t>
      </w:r>
      <w:r w:rsidRPr="00233536">
        <w:rPr>
          <w:rFonts w:ascii="Palatino Linotype" w:hAnsi="Palatino Linotype" w:cs="Arial"/>
          <w:b/>
          <w:i/>
          <w:sz w:val="22"/>
          <w:szCs w:val="22"/>
        </w:rPr>
        <w:t xml:space="preserve"> </w:t>
      </w:r>
      <w:r w:rsidRPr="00233536">
        <w:rPr>
          <w:rFonts w:ascii="Palatino Linotype" w:hAnsi="Palatino Linotype" w:cs="Arial"/>
          <w:b/>
          <w:i/>
          <w:sz w:val="22"/>
          <w:szCs w:val="22"/>
          <w:u w:val="single"/>
        </w:rPr>
        <w:t>y de los contratos celebrados</w:t>
      </w:r>
      <w:r w:rsidRPr="00233536">
        <w:rPr>
          <w:rFonts w:ascii="Palatino Linotype" w:hAnsi="Palatino Linotype" w:cs="Arial"/>
          <w:i/>
          <w:sz w:val="22"/>
          <w:szCs w:val="22"/>
        </w:rPr>
        <w:t>, que deberán contener, por los menos, lo siguiente:</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b/>
          <w:i/>
          <w:sz w:val="22"/>
          <w:szCs w:val="22"/>
          <w:u w:val="single"/>
        </w:rPr>
      </w:pPr>
      <w:r w:rsidRPr="00233536">
        <w:rPr>
          <w:rFonts w:ascii="Palatino Linotype" w:hAnsi="Palatino Linotype" w:cs="Arial"/>
          <w:b/>
          <w:i/>
          <w:sz w:val="22"/>
          <w:szCs w:val="22"/>
        </w:rPr>
        <w:t>a)</w:t>
      </w:r>
      <w:r w:rsidRPr="00233536">
        <w:rPr>
          <w:rFonts w:ascii="Palatino Linotype" w:hAnsi="Palatino Linotype" w:cs="Arial"/>
          <w:i/>
          <w:sz w:val="22"/>
          <w:szCs w:val="22"/>
        </w:rPr>
        <w:t xml:space="preserve"> </w:t>
      </w:r>
      <w:r w:rsidRPr="00233536">
        <w:rPr>
          <w:rFonts w:ascii="Palatino Linotype" w:hAnsi="Palatino Linotype" w:cs="Arial"/>
          <w:b/>
          <w:i/>
          <w:sz w:val="22"/>
          <w:szCs w:val="22"/>
          <w:u w:val="single"/>
        </w:rPr>
        <w:t>De licitaciones públicas o procedimientos de invitación restringida:</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 La convocatoria o invitación emitida, así como los fundamentos legales aplicados para llevarla a cabo;</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2) Los nombres de los participantes o invitados;</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3) El nombre del ganador y las razones que lo justifican;</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4) El área solicitante y la responsable de su ejecución;</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5) Las convocatorias e invitaciones emitidas;</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6) Los dictámenes y fallo de adjudicación;</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7) El contrato y, en su caso, sus anexos;</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8) Los mecanismos de vigilancia y supervisión, incluyendo en su caso, los estudios de impacto urbano y ambiental, según corresponda;</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9) La partida presupuestal, de conformidad con el clasificador por objeto del gasto, en el caso de ser aplicable;</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10) Origen de los recursos especificando si son federales, estatales o municipales, así como el tipo de fondo de participación o aportación respectiva;</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lastRenderedPageBreak/>
        <w:t>11) Los convenios modificatorios que, en su caso, sean firmados, precisando el objeto y la fecha de celebración;</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12) Los informes de avance físico y financiero sobre las obras o servicios contratados;</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13) El convenio de terminación; y</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14) El finiquito.</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b/>
          <w:i/>
          <w:sz w:val="22"/>
          <w:szCs w:val="22"/>
          <w:u w:val="single"/>
        </w:rPr>
      </w:pPr>
      <w:r w:rsidRPr="00233536">
        <w:rPr>
          <w:rFonts w:ascii="Palatino Linotype" w:hAnsi="Palatino Linotype" w:cs="Arial"/>
          <w:b/>
          <w:i/>
          <w:sz w:val="22"/>
          <w:szCs w:val="22"/>
        </w:rPr>
        <w:t>b)</w:t>
      </w:r>
      <w:r w:rsidRPr="00233536">
        <w:rPr>
          <w:rFonts w:ascii="Palatino Linotype" w:hAnsi="Palatino Linotype" w:cs="Arial"/>
          <w:i/>
          <w:sz w:val="22"/>
          <w:szCs w:val="22"/>
        </w:rPr>
        <w:t xml:space="preserve"> </w:t>
      </w:r>
      <w:r w:rsidRPr="00233536">
        <w:rPr>
          <w:rFonts w:ascii="Palatino Linotype" w:hAnsi="Palatino Linotype" w:cs="Arial"/>
          <w:b/>
          <w:i/>
          <w:sz w:val="22"/>
          <w:szCs w:val="22"/>
          <w:u w:val="single"/>
        </w:rPr>
        <w:t>De las adjudicaciones directas:</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 La propuesta enviada por el participante;</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2) Los motivos y fundamentos legales aplicados para llevarla a cabo;</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3) La autorización del ejercicio de la opción;</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4) En su caso, las cotizaciones consideradas, especificando los nombres de los proveedores y sus montos;</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5) El nombre de la persona física o jurídica colectiva adjudicada;</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6) La unidad administrativa solicitante y la responsable de su ejecución;</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7) El número, fecha, el monto del contrato y el plazo de entrega o de ejecución de los servicios u obra;</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8) Los mecanismos de vigilancia y supervisión, incluyendo, en su caso, los estudios de impacto urbano y ambiental, según corresponda;</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9) Los informes de avance sobre las obras o servicios contratados;</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10) El convenio de terminación; y</w:t>
      </w:r>
    </w:p>
    <w:p w:rsidR="00260F1F" w:rsidRPr="00233536" w:rsidRDefault="00260F1F" w:rsidP="00260F1F">
      <w:pPr>
        <w:autoSpaceDE w:val="0"/>
        <w:autoSpaceDN w:val="0"/>
        <w:adjustRightInd w:val="0"/>
        <w:spacing w:line="276" w:lineRule="auto"/>
        <w:ind w:left="851" w:right="958"/>
        <w:jc w:val="both"/>
        <w:rPr>
          <w:rFonts w:ascii="Palatino Linotype" w:hAnsi="Palatino Linotype" w:cs="Arial"/>
          <w:i/>
          <w:sz w:val="22"/>
          <w:szCs w:val="22"/>
        </w:rPr>
      </w:pPr>
      <w:r w:rsidRPr="00233536">
        <w:rPr>
          <w:rFonts w:ascii="Palatino Linotype" w:hAnsi="Palatino Linotype" w:cs="Arial"/>
          <w:i/>
          <w:sz w:val="22"/>
          <w:szCs w:val="22"/>
        </w:rPr>
        <w:t>11) El finiquito” (Sic)</w:t>
      </w:r>
    </w:p>
    <w:p w:rsidR="00C11280" w:rsidRPr="00233536" w:rsidRDefault="00260F1F" w:rsidP="00C11280">
      <w:pPr>
        <w:spacing w:before="100" w:beforeAutospacing="1" w:after="100" w:afterAutospacing="1" w:line="360" w:lineRule="auto"/>
        <w:jc w:val="both"/>
        <w:rPr>
          <w:rFonts w:ascii="Palatino Linotype" w:hAnsi="Palatino Linotype"/>
        </w:rPr>
      </w:pPr>
      <w:r w:rsidRPr="00233536">
        <w:rPr>
          <w:rFonts w:ascii="Palatino Linotype" w:hAnsi="Palatino Linotype" w:cs="Arial"/>
        </w:rPr>
        <w:t>Es en éste contexto que, los Sujetos Obligados en términos de la Ley de la materia, tienen la obligación de generar, poseer o administrar y poner a disposición de los particulares como parte de sus obligaciones de transparencia común, todo lo r</w:t>
      </w:r>
      <w:r w:rsidR="00F06FD3" w:rsidRPr="00233536">
        <w:rPr>
          <w:rFonts w:ascii="Palatino Linotype" w:hAnsi="Palatino Linotype" w:cs="Arial"/>
        </w:rPr>
        <w:t xml:space="preserve">elacionado a obras que ejecuten; motivo por el cual, esta Ponencia </w:t>
      </w:r>
      <w:proofErr w:type="spellStart"/>
      <w:r w:rsidR="00F06FD3" w:rsidRPr="00233536">
        <w:rPr>
          <w:rFonts w:ascii="Palatino Linotype" w:hAnsi="Palatino Linotype" w:cs="Arial"/>
        </w:rPr>
        <w:t>Resolutora</w:t>
      </w:r>
      <w:proofErr w:type="spellEnd"/>
      <w:r w:rsidR="00F06FD3" w:rsidRPr="00233536">
        <w:rPr>
          <w:rFonts w:ascii="Palatino Linotype" w:hAnsi="Palatino Linotype" w:cs="Arial"/>
        </w:rPr>
        <w:t xml:space="preserve"> considera que existe </w:t>
      </w:r>
      <w:r w:rsidR="001B3685" w:rsidRPr="00233536">
        <w:rPr>
          <w:rFonts w:ascii="Palatino Linotype" w:hAnsi="Palatino Linotype" w:cs="Arial"/>
        </w:rPr>
        <w:t xml:space="preserve">fuente obligacional que constriñe al </w:t>
      </w:r>
      <w:r w:rsidR="001B3685" w:rsidRPr="00233536">
        <w:rPr>
          <w:rFonts w:ascii="Palatino Linotype" w:hAnsi="Palatino Linotype" w:cs="Arial"/>
          <w:b/>
        </w:rPr>
        <w:t xml:space="preserve">SUJETO OBLIGADO </w:t>
      </w:r>
      <w:r w:rsidR="001B3685" w:rsidRPr="00233536">
        <w:rPr>
          <w:rFonts w:ascii="Palatino Linotype" w:hAnsi="Palatino Linotype" w:cs="Arial"/>
        </w:rPr>
        <w:t xml:space="preserve">para contar con la información solicitada; </w:t>
      </w:r>
      <w:r w:rsidR="00F06FD3" w:rsidRPr="00233536">
        <w:rPr>
          <w:rFonts w:ascii="Palatino Linotype" w:eastAsia="Calibri" w:hAnsi="Palatino Linotype"/>
          <w:lang w:val="es-ES"/>
        </w:rPr>
        <w:t>por lo que</w:t>
      </w:r>
      <w:r w:rsidR="001B3685" w:rsidRPr="00233536">
        <w:rPr>
          <w:rFonts w:ascii="Palatino Linotype" w:eastAsia="Calibri" w:hAnsi="Palatino Linotype"/>
          <w:lang w:val="es-ES"/>
        </w:rPr>
        <w:t>,</w:t>
      </w:r>
      <w:r w:rsidR="00F06FD3" w:rsidRPr="00233536">
        <w:rPr>
          <w:rFonts w:ascii="Palatino Linotype" w:eastAsia="Calibri" w:hAnsi="Palatino Linotype"/>
          <w:lang w:val="es-ES"/>
        </w:rPr>
        <w:t xml:space="preserve"> al momento de dar cumplimiento a la resolución en comento, deberá hacer </w:t>
      </w:r>
      <w:r w:rsidR="00C11280" w:rsidRPr="00233536">
        <w:rPr>
          <w:rFonts w:ascii="Palatino Linotype" w:eastAsia="Calibri" w:hAnsi="Palatino Linotype"/>
          <w:lang w:val="es-ES"/>
        </w:rPr>
        <w:t xml:space="preserve">entrega de los </w:t>
      </w:r>
      <w:r w:rsidR="00C11280" w:rsidRPr="00233536">
        <w:rPr>
          <w:rFonts w:ascii="Palatino Linotype" w:hAnsi="Palatino Linotype"/>
        </w:rPr>
        <w:t>expedientes técnicos de obra pública y sus anexos en relación a las obras que se encuentren concluidas del periodo del 1 de enero al 5 de agosto de 2021, en versión pública.</w:t>
      </w:r>
    </w:p>
    <w:p w:rsidR="00C11280" w:rsidRPr="00233536" w:rsidRDefault="00C11280" w:rsidP="00C11280">
      <w:pPr>
        <w:spacing w:line="360" w:lineRule="auto"/>
        <w:jc w:val="both"/>
        <w:rPr>
          <w:rFonts w:ascii="Palatino Linotype" w:hAnsi="Palatino Linotype" w:cs="Arial"/>
          <w:bCs/>
        </w:rPr>
      </w:pPr>
      <w:r w:rsidRPr="00233536">
        <w:rPr>
          <w:rFonts w:ascii="Palatino Linotype" w:hAnsi="Palatino Linotype"/>
        </w:rPr>
        <w:lastRenderedPageBreak/>
        <w:t xml:space="preserve">Por lo anterior, no </w:t>
      </w:r>
      <w:r w:rsidRPr="00233536">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233536">
        <w:rPr>
          <w:rFonts w:ascii="Palatino Linotype" w:hAnsi="Palatino Linotype" w:cs="Arial"/>
          <w:b/>
        </w:rPr>
        <w:t>versión pública</w:t>
      </w:r>
      <w:r w:rsidRPr="00233536">
        <w:rPr>
          <w:rFonts w:ascii="Palatino Linotype" w:hAnsi="Palatino Linotype" w:cs="Arial"/>
        </w:rPr>
        <w:t>; pues, el</w:t>
      </w:r>
      <w:r w:rsidRPr="0023353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11280" w:rsidRPr="00233536" w:rsidRDefault="00C11280" w:rsidP="00C11280">
      <w:pPr>
        <w:spacing w:line="360" w:lineRule="auto"/>
        <w:jc w:val="both"/>
        <w:rPr>
          <w:rFonts w:ascii="Palatino Linotype" w:eastAsia="Calibri" w:hAnsi="Palatino Linotype" w:cs="Arial"/>
          <w:bCs/>
          <w:lang w:eastAsia="en-US"/>
        </w:rPr>
      </w:pPr>
    </w:p>
    <w:p w:rsidR="00C11280" w:rsidRPr="00233536" w:rsidRDefault="00C11280" w:rsidP="00C11280">
      <w:pPr>
        <w:spacing w:line="360" w:lineRule="auto"/>
        <w:jc w:val="both"/>
        <w:rPr>
          <w:rFonts w:ascii="Palatino Linotype" w:hAnsi="Palatino Linotype" w:cs="Arial"/>
          <w:bCs/>
        </w:rPr>
      </w:pPr>
      <w:r w:rsidRPr="00233536">
        <w:rPr>
          <w:rFonts w:ascii="Palatino Linotype" w:hAnsi="Palatino Linotype" w:cs="Arial"/>
          <w:bCs/>
        </w:rPr>
        <w:t>A este respecto, los artículos 3, fracciones IX, XX, XXI y XLV; 51 y 52 de la Ley de Transparencia y Acceso a la Información Pública del Estado de México y Municipios establecen:</w:t>
      </w:r>
    </w:p>
    <w:p w:rsidR="00C11280" w:rsidRPr="00233536" w:rsidRDefault="00C11280" w:rsidP="00C11280">
      <w:pPr>
        <w:autoSpaceDE w:val="0"/>
        <w:autoSpaceDN w:val="0"/>
        <w:adjustRightInd w:val="0"/>
        <w:ind w:right="899"/>
        <w:jc w:val="both"/>
        <w:rPr>
          <w:rFonts w:ascii="Palatino Linotype" w:hAnsi="Palatino Linotype" w:cs="Arial"/>
        </w:rPr>
      </w:pPr>
    </w:p>
    <w:p w:rsidR="00C11280" w:rsidRPr="00233536" w:rsidRDefault="00C11280" w:rsidP="00C11280">
      <w:pPr>
        <w:ind w:left="851" w:right="901"/>
        <w:jc w:val="both"/>
        <w:rPr>
          <w:rFonts w:ascii="Palatino Linotype" w:hAnsi="Palatino Linotype"/>
          <w:i/>
          <w:sz w:val="22"/>
          <w:szCs w:val="22"/>
        </w:rPr>
      </w:pPr>
      <w:r w:rsidRPr="00233536">
        <w:rPr>
          <w:rFonts w:ascii="Palatino Linotype" w:hAnsi="Palatino Linotype" w:cs="Arial"/>
          <w:b/>
          <w:bCs/>
          <w:i/>
          <w:noProof/>
          <w:sz w:val="22"/>
          <w:szCs w:val="22"/>
        </w:rPr>
        <w:t>“</w:t>
      </w:r>
      <w:r w:rsidRPr="00233536">
        <w:rPr>
          <w:rFonts w:ascii="Palatino Linotype" w:hAnsi="Palatino Linotype" w:cs="Arial"/>
          <w:b/>
          <w:bCs/>
          <w:i/>
          <w:sz w:val="22"/>
          <w:szCs w:val="22"/>
        </w:rPr>
        <w:t xml:space="preserve">Artículo 3. </w:t>
      </w:r>
      <w:r w:rsidRPr="00233536">
        <w:rPr>
          <w:rFonts w:ascii="Palatino Linotype" w:hAnsi="Palatino Linotype"/>
          <w:i/>
          <w:sz w:val="22"/>
          <w:szCs w:val="22"/>
        </w:rPr>
        <w:t xml:space="preserve">Para los efectos de la presente Ley se entenderá por: </w:t>
      </w:r>
    </w:p>
    <w:p w:rsidR="0071669F" w:rsidRPr="00233536" w:rsidRDefault="0071669F" w:rsidP="00C11280">
      <w:pPr>
        <w:ind w:left="851" w:right="899"/>
        <w:jc w:val="both"/>
        <w:rPr>
          <w:rFonts w:ascii="Palatino Linotype" w:hAnsi="Palatino Linotype" w:cs="Arial"/>
          <w:b/>
          <w:i/>
          <w:sz w:val="22"/>
          <w:szCs w:val="22"/>
        </w:rPr>
      </w:pPr>
      <w:r w:rsidRPr="00233536">
        <w:rPr>
          <w:rFonts w:ascii="Palatino Linotype" w:hAnsi="Palatino Linotype" w:cs="Arial"/>
          <w:b/>
          <w:i/>
          <w:sz w:val="22"/>
          <w:szCs w:val="22"/>
        </w:rPr>
        <w:t>…</w:t>
      </w:r>
    </w:p>
    <w:p w:rsidR="00C11280" w:rsidRPr="00233536" w:rsidRDefault="00C11280" w:rsidP="00C11280">
      <w:pPr>
        <w:ind w:left="851" w:right="899"/>
        <w:jc w:val="both"/>
        <w:rPr>
          <w:rFonts w:ascii="Palatino Linotype" w:hAnsi="Palatino Linotype" w:cs="Arial"/>
          <w:i/>
          <w:sz w:val="22"/>
          <w:szCs w:val="22"/>
        </w:rPr>
      </w:pPr>
      <w:r w:rsidRPr="00233536">
        <w:rPr>
          <w:rFonts w:ascii="Palatino Linotype" w:hAnsi="Palatino Linotype" w:cs="Arial"/>
          <w:b/>
          <w:i/>
          <w:sz w:val="22"/>
          <w:szCs w:val="22"/>
        </w:rPr>
        <w:t>IX.</w:t>
      </w:r>
      <w:r w:rsidRPr="00233536">
        <w:rPr>
          <w:rFonts w:ascii="Palatino Linotype" w:hAnsi="Palatino Linotype" w:cs="Arial"/>
          <w:i/>
          <w:sz w:val="22"/>
          <w:szCs w:val="22"/>
        </w:rPr>
        <w:t xml:space="preserve"> </w:t>
      </w:r>
      <w:r w:rsidRPr="00233536">
        <w:rPr>
          <w:rFonts w:ascii="Palatino Linotype" w:hAnsi="Palatino Linotype" w:cs="Arial"/>
          <w:b/>
          <w:i/>
          <w:sz w:val="22"/>
          <w:szCs w:val="22"/>
        </w:rPr>
        <w:t xml:space="preserve">Datos personales: </w:t>
      </w:r>
      <w:r w:rsidRPr="00233536">
        <w:rPr>
          <w:rFonts w:ascii="Palatino Linotype" w:hAnsi="Palatino Linotype" w:cs="Arial"/>
          <w:i/>
          <w:sz w:val="22"/>
          <w:szCs w:val="22"/>
        </w:rPr>
        <w:t xml:space="preserve">La información concerniente a una persona, identificada o identificable según lo dispuesto por la Ley de </w:t>
      </w:r>
      <w:r w:rsidRPr="00233536">
        <w:rPr>
          <w:rFonts w:ascii="Palatino Linotype" w:hAnsi="Palatino Linotype"/>
          <w:i/>
          <w:sz w:val="22"/>
          <w:szCs w:val="22"/>
        </w:rPr>
        <w:t>Protección</w:t>
      </w:r>
      <w:r w:rsidRPr="00233536">
        <w:rPr>
          <w:rFonts w:ascii="Palatino Linotype" w:hAnsi="Palatino Linotype" w:cs="Arial"/>
          <w:i/>
          <w:sz w:val="22"/>
          <w:szCs w:val="22"/>
        </w:rPr>
        <w:t xml:space="preserve"> de Datos Personales del Estado de México; </w:t>
      </w:r>
    </w:p>
    <w:p w:rsidR="0071669F" w:rsidRPr="00233536" w:rsidRDefault="0071669F" w:rsidP="00C11280">
      <w:pPr>
        <w:ind w:left="851" w:right="899"/>
        <w:jc w:val="both"/>
        <w:rPr>
          <w:rFonts w:ascii="Palatino Linotype" w:hAnsi="Palatino Linotype" w:cs="Arial"/>
          <w:i/>
          <w:sz w:val="22"/>
          <w:szCs w:val="22"/>
        </w:rPr>
      </w:pPr>
      <w:r w:rsidRPr="00233536">
        <w:rPr>
          <w:rFonts w:ascii="Palatino Linotype" w:hAnsi="Palatino Linotype" w:cs="Arial"/>
          <w:b/>
          <w:i/>
          <w:sz w:val="22"/>
          <w:szCs w:val="22"/>
        </w:rPr>
        <w:t>…</w:t>
      </w:r>
    </w:p>
    <w:p w:rsidR="00C11280" w:rsidRPr="00233536" w:rsidRDefault="00C11280" w:rsidP="00C11280">
      <w:pPr>
        <w:ind w:left="851" w:right="899"/>
        <w:jc w:val="both"/>
        <w:rPr>
          <w:rFonts w:ascii="Palatino Linotype" w:hAnsi="Palatino Linotype" w:cs="Arial"/>
          <w:i/>
          <w:sz w:val="22"/>
          <w:szCs w:val="22"/>
        </w:rPr>
      </w:pPr>
      <w:r w:rsidRPr="00233536">
        <w:rPr>
          <w:rFonts w:ascii="Palatino Linotype" w:hAnsi="Palatino Linotype" w:cs="Arial"/>
          <w:b/>
          <w:i/>
          <w:sz w:val="22"/>
          <w:szCs w:val="22"/>
        </w:rPr>
        <w:t>XX.</w:t>
      </w:r>
      <w:r w:rsidRPr="00233536">
        <w:rPr>
          <w:rFonts w:ascii="Palatino Linotype" w:hAnsi="Palatino Linotype" w:cs="Arial"/>
          <w:i/>
          <w:sz w:val="22"/>
          <w:szCs w:val="22"/>
        </w:rPr>
        <w:t xml:space="preserve"> </w:t>
      </w:r>
      <w:r w:rsidRPr="00233536">
        <w:rPr>
          <w:rFonts w:ascii="Palatino Linotype" w:hAnsi="Palatino Linotype" w:cs="Arial"/>
          <w:b/>
          <w:i/>
          <w:sz w:val="22"/>
          <w:szCs w:val="22"/>
        </w:rPr>
        <w:t>Información clasificada:</w:t>
      </w:r>
      <w:r w:rsidRPr="00233536">
        <w:rPr>
          <w:rFonts w:ascii="Palatino Linotype" w:hAnsi="Palatino Linotype" w:cs="Arial"/>
          <w:i/>
          <w:sz w:val="22"/>
          <w:szCs w:val="22"/>
        </w:rPr>
        <w:t xml:space="preserve"> Aquella considerada por la presente Ley como reservada o confidencial; </w:t>
      </w:r>
    </w:p>
    <w:p w:rsidR="0071669F" w:rsidRPr="00233536" w:rsidRDefault="0071669F" w:rsidP="00C11280">
      <w:pPr>
        <w:ind w:left="851" w:right="899"/>
        <w:jc w:val="both"/>
        <w:rPr>
          <w:rFonts w:ascii="Palatino Linotype" w:hAnsi="Palatino Linotype" w:cs="Arial"/>
          <w:i/>
          <w:sz w:val="22"/>
          <w:szCs w:val="22"/>
        </w:rPr>
      </w:pPr>
    </w:p>
    <w:p w:rsidR="00C11280" w:rsidRPr="00233536" w:rsidRDefault="00C11280" w:rsidP="00C11280">
      <w:pPr>
        <w:ind w:left="851" w:right="899"/>
        <w:jc w:val="both"/>
        <w:rPr>
          <w:rFonts w:ascii="Palatino Linotype" w:hAnsi="Palatino Linotype" w:cs="Arial"/>
          <w:i/>
          <w:sz w:val="22"/>
          <w:szCs w:val="22"/>
        </w:rPr>
      </w:pPr>
      <w:r w:rsidRPr="00233536">
        <w:rPr>
          <w:rFonts w:ascii="Palatino Linotype" w:hAnsi="Palatino Linotype" w:cs="Arial"/>
          <w:b/>
          <w:i/>
          <w:sz w:val="22"/>
          <w:szCs w:val="22"/>
        </w:rPr>
        <w:t>XXI.</w:t>
      </w:r>
      <w:r w:rsidRPr="00233536">
        <w:rPr>
          <w:rFonts w:ascii="Palatino Linotype" w:hAnsi="Palatino Linotype" w:cs="Arial"/>
          <w:i/>
          <w:sz w:val="22"/>
          <w:szCs w:val="22"/>
        </w:rPr>
        <w:t xml:space="preserve"> </w:t>
      </w:r>
      <w:r w:rsidRPr="00233536">
        <w:rPr>
          <w:rFonts w:ascii="Palatino Linotype" w:hAnsi="Palatino Linotype" w:cs="Arial"/>
          <w:b/>
          <w:i/>
          <w:sz w:val="22"/>
          <w:szCs w:val="22"/>
        </w:rPr>
        <w:t>Información confidencial</w:t>
      </w:r>
      <w:r w:rsidRPr="0023353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1669F" w:rsidRPr="00233536" w:rsidRDefault="0071669F" w:rsidP="00C11280">
      <w:pPr>
        <w:ind w:left="851" w:right="899"/>
        <w:jc w:val="both"/>
        <w:rPr>
          <w:rFonts w:ascii="Palatino Linotype" w:hAnsi="Palatino Linotype" w:cs="Arial"/>
          <w:i/>
          <w:sz w:val="22"/>
          <w:szCs w:val="22"/>
        </w:rPr>
      </w:pPr>
      <w:r w:rsidRPr="00233536">
        <w:rPr>
          <w:rFonts w:ascii="Palatino Linotype" w:hAnsi="Palatino Linotype" w:cs="Arial"/>
          <w:i/>
          <w:sz w:val="22"/>
          <w:szCs w:val="22"/>
        </w:rPr>
        <w:lastRenderedPageBreak/>
        <w:t>…</w:t>
      </w:r>
    </w:p>
    <w:p w:rsidR="00C11280" w:rsidRPr="00233536" w:rsidRDefault="00C11280" w:rsidP="00C11280">
      <w:pPr>
        <w:ind w:left="851" w:right="899"/>
        <w:jc w:val="both"/>
        <w:rPr>
          <w:rFonts w:ascii="Palatino Linotype" w:hAnsi="Palatino Linotype" w:cs="Arial"/>
          <w:i/>
          <w:sz w:val="22"/>
          <w:szCs w:val="22"/>
        </w:rPr>
      </w:pPr>
      <w:r w:rsidRPr="00233536">
        <w:rPr>
          <w:rFonts w:ascii="Palatino Linotype" w:hAnsi="Palatino Linotype" w:cs="Arial"/>
          <w:b/>
          <w:i/>
          <w:sz w:val="22"/>
          <w:szCs w:val="22"/>
        </w:rPr>
        <w:t>XLV. Versión pública:</w:t>
      </w:r>
      <w:r w:rsidRPr="00233536">
        <w:rPr>
          <w:rFonts w:ascii="Palatino Linotype" w:hAnsi="Palatino Linotype" w:cs="Arial"/>
          <w:i/>
          <w:sz w:val="22"/>
          <w:szCs w:val="22"/>
        </w:rPr>
        <w:t xml:space="preserve"> Documento en el que se elimine, suprime o borra la información clasificada como reservada o confidencial para permitir su acceso. </w:t>
      </w:r>
    </w:p>
    <w:p w:rsidR="0071669F" w:rsidRPr="00233536" w:rsidRDefault="0071669F" w:rsidP="00C11280">
      <w:pPr>
        <w:ind w:left="851" w:right="899"/>
        <w:jc w:val="both"/>
        <w:rPr>
          <w:rFonts w:ascii="Palatino Linotype" w:hAnsi="Palatino Linotype" w:cs="Arial"/>
          <w:b/>
          <w:i/>
          <w:sz w:val="22"/>
          <w:szCs w:val="22"/>
        </w:rPr>
      </w:pPr>
    </w:p>
    <w:p w:rsidR="00C11280" w:rsidRPr="00233536" w:rsidRDefault="00C11280" w:rsidP="00C11280">
      <w:pPr>
        <w:ind w:left="851" w:right="899"/>
        <w:jc w:val="both"/>
        <w:rPr>
          <w:rFonts w:ascii="Palatino Linotype" w:hAnsi="Palatino Linotype" w:cs="Arial"/>
          <w:i/>
          <w:sz w:val="22"/>
          <w:szCs w:val="22"/>
        </w:rPr>
      </w:pPr>
      <w:r w:rsidRPr="00233536">
        <w:rPr>
          <w:rFonts w:ascii="Palatino Linotype" w:hAnsi="Palatino Linotype" w:cs="Arial"/>
          <w:b/>
          <w:i/>
          <w:sz w:val="22"/>
          <w:szCs w:val="22"/>
        </w:rPr>
        <w:t>Artículo 51.</w:t>
      </w:r>
      <w:r w:rsidRPr="00233536">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33536">
        <w:rPr>
          <w:rFonts w:ascii="Palatino Linotype" w:hAnsi="Palatino Linotype" w:cs="Arial"/>
          <w:b/>
          <w:i/>
          <w:sz w:val="22"/>
          <w:szCs w:val="22"/>
        </w:rPr>
        <w:t xml:space="preserve">y tendrá la responsabilidad de verificar en cada caso que la misma no sea confidencial o reservada. </w:t>
      </w:r>
      <w:r w:rsidRPr="0023353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E80979" w:rsidRPr="00233536" w:rsidRDefault="00E80979" w:rsidP="00C11280">
      <w:pPr>
        <w:ind w:left="851" w:right="899"/>
        <w:jc w:val="both"/>
        <w:rPr>
          <w:rFonts w:ascii="Palatino Linotype" w:hAnsi="Palatino Linotype" w:cs="Arial"/>
          <w:i/>
          <w:sz w:val="22"/>
          <w:szCs w:val="22"/>
        </w:rPr>
      </w:pPr>
    </w:p>
    <w:p w:rsidR="00C11280" w:rsidRPr="00233536" w:rsidRDefault="00C11280" w:rsidP="00C11280">
      <w:pPr>
        <w:ind w:left="851" w:right="899"/>
        <w:jc w:val="both"/>
        <w:rPr>
          <w:rFonts w:ascii="Palatino Linotype" w:hAnsi="Palatino Linotype" w:cs="Arial"/>
          <w:i/>
          <w:sz w:val="22"/>
          <w:szCs w:val="22"/>
        </w:rPr>
      </w:pPr>
      <w:r w:rsidRPr="00233536">
        <w:rPr>
          <w:rFonts w:ascii="Palatino Linotype" w:hAnsi="Palatino Linotype" w:cs="Arial"/>
          <w:b/>
          <w:i/>
          <w:sz w:val="22"/>
          <w:szCs w:val="22"/>
        </w:rPr>
        <w:t>Artículo 52.</w:t>
      </w:r>
      <w:r w:rsidRPr="00233536">
        <w:rPr>
          <w:rFonts w:ascii="Palatino Linotype" w:hAnsi="Palatino Linotype" w:cs="Arial"/>
          <w:i/>
          <w:sz w:val="22"/>
          <w:szCs w:val="22"/>
        </w:rPr>
        <w:t xml:space="preserve"> Las solicitudes de acceso a la información y las respuestas que se les dé, incluyendo, en su caso, </w:t>
      </w:r>
      <w:r w:rsidRPr="00233536">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33536">
        <w:rPr>
          <w:rFonts w:ascii="Palatino Linotype" w:hAnsi="Palatino Linotype" w:cs="Arial"/>
          <w:i/>
          <w:sz w:val="22"/>
          <w:szCs w:val="22"/>
        </w:rPr>
        <w:t>, siempre y cuando la resolución de referencia se someta a un proceso de disociación, es decir, no haga identificable al titular de tales datos personales.</w:t>
      </w:r>
      <w:r w:rsidRPr="00233536">
        <w:rPr>
          <w:rFonts w:ascii="Palatino Linotype" w:hAnsi="Palatino Linotype" w:cs="Arial"/>
          <w:bCs/>
          <w:i/>
          <w:noProof/>
          <w:sz w:val="22"/>
          <w:szCs w:val="22"/>
        </w:rPr>
        <w:t>”</w:t>
      </w:r>
    </w:p>
    <w:p w:rsidR="0071669F" w:rsidRPr="00233536" w:rsidRDefault="0071669F" w:rsidP="00C11280">
      <w:pPr>
        <w:ind w:right="899" w:firstLine="708"/>
        <w:jc w:val="both"/>
        <w:rPr>
          <w:rFonts w:ascii="Palatino Linotype" w:hAnsi="Palatino Linotype" w:cs="Arial"/>
          <w:sz w:val="22"/>
          <w:szCs w:val="22"/>
        </w:rPr>
      </w:pPr>
    </w:p>
    <w:p w:rsidR="00C11280" w:rsidRPr="00233536" w:rsidRDefault="00C11280" w:rsidP="00C11280">
      <w:pPr>
        <w:ind w:right="899" w:firstLine="708"/>
        <w:jc w:val="both"/>
        <w:rPr>
          <w:rFonts w:ascii="Palatino Linotype" w:hAnsi="Palatino Linotype" w:cs="Arial"/>
          <w:sz w:val="22"/>
          <w:szCs w:val="22"/>
        </w:rPr>
      </w:pPr>
      <w:r w:rsidRPr="00233536">
        <w:rPr>
          <w:rFonts w:ascii="Palatino Linotype" w:hAnsi="Palatino Linotype" w:cs="Arial"/>
          <w:sz w:val="22"/>
          <w:szCs w:val="22"/>
        </w:rPr>
        <w:t>(Énfasis añadido)</w:t>
      </w:r>
    </w:p>
    <w:p w:rsidR="00C11280" w:rsidRPr="00233536" w:rsidRDefault="00C11280" w:rsidP="00C11280">
      <w:pPr>
        <w:ind w:right="899" w:firstLine="708"/>
        <w:jc w:val="both"/>
        <w:rPr>
          <w:rFonts w:ascii="Palatino Linotype" w:hAnsi="Palatino Linotype" w:cs="Arial"/>
        </w:rPr>
      </w:pPr>
    </w:p>
    <w:p w:rsidR="00C11280" w:rsidRPr="00233536" w:rsidRDefault="00C11280" w:rsidP="00C11280">
      <w:pPr>
        <w:spacing w:line="360" w:lineRule="auto"/>
        <w:jc w:val="both"/>
        <w:rPr>
          <w:rFonts w:ascii="Palatino Linotype" w:hAnsi="Palatino Linotype" w:cs="Arial"/>
        </w:rPr>
      </w:pPr>
      <w:r w:rsidRPr="00233536">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C11280" w:rsidRPr="00233536" w:rsidRDefault="00C11280" w:rsidP="00C11280">
      <w:pPr>
        <w:jc w:val="both"/>
        <w:rPr>
          <w:rFonts w:ascii="Palatino Linotype" w:hAnsi="Palatino Linotype" w:cs="Arial"/>
        </w:rPr>
      </w:pPr>
    </w:p>
    <w:p w:rsidR="00C11280" w:rsidRPr="00233536" w:rsidRDefault="00C11280" w:rsidP="00C11280">
      <w:pPr>
        <w:ind w:left="851" w:right="902"/>
        <w:jc w:val="both"/>
        <w:rPr>
          <w:rFonts w:ascii="Palatino Linotype" w:eastAsia="Arial Unicode MS" w:hAnsi="Palatino Linotype" w:cs="Arial"/>
          <w:i/>
          <w:sz w:val="22"/>
          <w:szCs w:val="22"/>
        </w:rPr>
      </w:pPr>
      <w:r w:rsidRPr="00233536">
        <w:rPr>
          <w:rFonts w:ascii="Palatino Linotype" w:eastAsia="Arial Unicode MS" w:hAnsi="Palatino Linotype" w:cs="Arial"/>
          <w:b/>
          <w:i/>
          <w:sz w:val="22"/>
          <w:szCs w:val="22"/>
        </w:rPr>
        <w:t>“Artículo 22.</w:t>
      </w:r>
      <w:r w:rsidRPr="0023353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E80979" w:rsidRPr="00233536" w:rsidRDefault="00E80979" w:rsidP="00C11280">
      <w:pPr>
        <w:ind w:left="851" w:right="902"/>
        <w:jc w:val="both"/>
        <w:rPr>
          <w:rFonts w:ascii="Palatino Linotype" w:eastAsia="Arial Unicode MS" w:hAnsi="Palatino Linotype" w:cs="Arial"/>
          <w:i/>
          <w:sz w:val="22"/>
          <w:szCs w:val="22"/>
        </w:rPr>
      </w:pPr>
    </w:p>
    <w:p w:rsidR="00C11280" w:rsidRPr="00233536" w:rsidRDefault="00C11280" w:rsidP="00C11280">
      <w:pPr>
        <w:ind w:left="851" w:right="902"/>
        <w:jc w:val="both"/>
        <w:rPr>
          <w:rFonts w:ascii="Palatino Linotype" w:eastAsia="Arial Unicode MS" w:hAnsi="Palatino Linotype" w:cs="Arial"/>
          <w:i/>
          <w:sz w:val="22"/>
          <w:szCs w:val="22"/>
        </w:rPr>
      </w:pPr>
      <w:r w:rsidRPr="00233536">
        <w:rPr>
          <w:rFonts w:ascii="Palatino Linotype" w:eastAsia="Arial Unicode MS" w:hAnsi="Palatino Linotype" w:cs="Arial"/>
          <w:b/>
          <w:i/>
          <w:sz w:val="22"/>
          <w:szCs w:val="22"/>
        </w:rPr>
        <w:t>Artículo 38.</w:t>
      </w:r>
      <w:r w:rsidRPr="0023353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33536">
        <w:rPr>
          <w:rFonts w:ascii="Palatino Linotype" w:eastAsia="Arial Unicode MS" w:hAnsi="Palatino Linotype" w:cs="Arial"/>
          <w:b/>
          <w:i/>
          <w:sz w:val="22"/>
          <w:szCs w:val="22"/>
        </w:rPr>
        <w:t>”</w:t>
      </w:r>
      <w:r w:rsidRPr="00233536">
        <w:rPr>
          <w:rFonts w:ascii="Palatino Linotype" w:eastAsia="Arial Unicode MS" w:hAnsi="Palatino Linotype" w:cs="Arial"/>
          <w:i/>
          <w:sz w:val="22"/>
          <w:szCs w:val="22"/>
        </w:rPr>
        <w:t xml:space="preserve"> </w:t>
      </w:r>
    </w:p>
    <w:p w:rsidR="00C11280" w:rsidRPr="00233536" w:rsidRDefault="00C11280" w:rsidP="00E80979">
      <w:pPr>
        <w:spacing w:before="100" w:beforeAutospacing="1" w:after="100" w:afterAutospacing="1" w:line="360" w:lineRule="auto"/>
        <w:jc w:val="both"/>
        <w:rPr>
          <w:rFonts w:ascii="Palatino Linotype" w:hAnsi="Palatino Linotype" w:cs="Arial"/>
        </w:rPr>
      </w:pPr>
      <w:r w:rsidRPr="0023353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C11280" w:rsidRPr="00233536" w:rsidRDefault="00C11280" w:rsidP="00E80979">
      <w:pPr>
        <w:spacing w:before="100" w:beforeAutospacing="1" w:after="100" w:afterAutospacing="1" w:line="360" w:lineRule="auto"/>
        <w:jc w:val="both"/>
        <w:rPr>
          <w:rFonts w:ascii="Palatino Linotype" w:hAnsi="Palatino Linotype" w:cs="Arial"/>
        </w:rPr>
      </w:pPr>
      <w:r w:rsidRPr="00233536">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33536">
        <w:rPr>
          <w:rFonts w:ascii="Palatino Linotype" w:eastAsia="Arial Unicode MS" w:hAnsi="Palatino Linotype" w:cs="Arial"/>
        </w:rPr>
        <w:t xml:space="preserve"> que debe ser protegida por </w:t>
      </w:r>
      <w:r w:rsidRPr="00233536">
        <w:rPr>
          <w:rFonts w:ascii="Palatino Linotype" w:eastAsia="Arial Unicode MS" w:hAnsi="Palatino Linotype" w:cs="Arial"/>
          <w:b/>
        </w:rPr>
        <w:t>EL SUJETO OBLIGADO,</w:t>
      </w:r>
      <w:r w:rsidRPr="00233536">
        <w:rPr>
          <w:rFonts w:ascii="Palatino Linotype" w:eastAsia="Arial Unicode MS" w:hAnsi="Palatino Linotype" w:cs="Arial"/>
        </w:rPr>
        <w:t xml:space="preserve"> por lo </w:t>
      </w:r>
      <w:r w:rsidRPr="00233536">
        <w:rPr>
          <w:rFonts w:ascii="Palatino Linotype" w:hAnsi="Palatino Linotype" w:cs="Arial"/>
        </w:rPr>
        <w:t>que, todo dato personal susceptible de clasificación debe ser protegido.</w:t>
      </w:r>
    </w:p>
    <w:p w:rsidR="00C11280" w:rsidRPr="00233536" w:rsidRDefault="00C11280" w:rsidP="00E80979">
      <w:pPr>
        <w:spacing w:before="100" w:beforeAutospacing="1" w:after="100" w:afterAutospacing="1" w:line="360" w:lineRule="auto"/>
        <w:jc w:val="both"/>
        <w:rPr>
          <w:rFonts w:ascii="Palatino Linotype" w:hAnsi="Palatino Linotype" w:cs="Arial"/>
        </w:rPr>
      </w:pPr>
      <w:r w:rsidRPr="00233536">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233536">
        <w:rPr>
          <w:rFonts w:ascii="Palatino Linotype" w:hAnsi="Palatino Linotype" w:cs="Arial"/>
        </w:rPr>
        <w:lastRenderedPageBreak/>
        <w:t>en otras palabras, la protección de datos personales, entre ellos el del patrimonio y su confidencialidad, es una derivación del derecho a la intimidad.</w:t>
      </w:r>
    </w:p>
    <w:p w:rsidR="00C11280" w:rsidRPr="00233536" w:rsidRDefault="00C11280" w:rsidP="00E80979">
      <w:pPr>
        <w:spacing w:before="100" w:beforeAutospacing="1" w:after="100" w:afterAutospacing="1" w:line="360" w:lineRule="auto"/>
        <w:jc w:val="both"/>
        <w:rPr>
          <w:rFonts w:ascii="Palatino Linotype" w:hAnsi="Palatino Linotype" w:cs="Arial"/>
        </w:rPr>
      </w:pPr>
      <w:r w:rsidRPr="00233536">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 xml:space="preserve">“Artículo 49. </w:t>
      </w:r>
      <w:r w:rsidRPr="00233536">
        <w:rPr>
          <w:rFonts w:ascii="Palatino Linotype" w:hAnsi="Palatino Linotype" w:cs="Arial"/>
          <w:i/>
          <w:sz w:val="22"/>
          <w:szCs w:val="22"/>
        </w:rPr>
        <w:t>Los Comités de Transparencia tendrán las siguientes atribuciones:</w:t>
      </w:r>
    </w:p>
    <w:p w:rsidR="0071669F" w:rsidRPr="00233536" w:rsidRDefault="0071669F" w:rsidP="00C11280">
      <w:pPr>
        <w:ind w:left="851" w:right="902"/>
        <w:jc w:val="both"/>
        <w:rPr>
          <w:rFonts w:ascii="Palatino Linotype" w:hAnsi="Palatino Linotype" w:cs="Arial"/>
          <w:b/>
          <w:i/>
          <w:sz w:val="22"/>
          <w:szCs w:val="22"/>
        </w:rPr>
      </w:pPr>
      <w:r w:rsidRPr="00233536">
        <w:rPr>
          <w:rFonts w:ascii="Palatino Linotype" w:hAnsi="Palatino Linotype" w:cs="Arial"/>
          <w:b/>
          <w:i/>
          <w:sz w:val="22"/>
          <w:szCs w:val="22"/>
        </w:rPr>
        <w:t>…</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VIII.</w:t>
      </w:r>
      <w:r w:rsidRPr="00233536">
        <w:rPr>
          <w:rFonts w:ascii="Palatino Linotype" w:hAnsi="Palatino Linotype" w:cs="Arial"/>
          <w:i/>
          <w:sz w:val="22"/>
          <w:szCs w:val="22"/>
        </w:rPr>
        <w:t xml:space="preserve"> Aprobar, modificar o revocar la clasificación de la información;</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Artículo 132.</w:t>
      </w:r>
      <w:r w:rsidRPr="00233536">
        <w:rPr>
          <w:rFonts w:ascii="Palatino Linotype" w:hAnsi="Palatino Linotype" w:cs="Arial"/>
          <w:i/>
          <w:sz w:val="22"/>
          <w:szCs w:val="22"/>
        </w:rPr>
        <w:t xml:space="preserve"> La clasificación de la información se llevará a cabo en el momento en que:</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I.</w:t>
      </w:r>
      <w:r w:rsidRPr="00233536">
        <w:rPr>
          <w:rFonts w:ascii="Palatino Linotype" w:hAnsi="Palatino Linotype" w:cs="Arial"/>
          <w:i/>
          <w:sz w:val="22"/>
          <w:szCs w:val="22"/>
        </w:rPr>
        <w:t xml:space="preserve"> Se reciba una solicitud de acceso a la información;</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II.</w:t>
      </w:r>
      <w:r w:rsidRPr="00233536">
        <w:rPr>
          <w:rFonts w:ascii="Palatino Linotype" w:hAnsi="Palatino Linotype" w:cs="Arial"/>
          <w:i/>
          <w:sz w:val="22"/>
          <w:szCs w:val="22"/>
        </w:rPr>
        <w:t xml:space="preserve"> Se determine mediante resolución de autoridad competente; o</w:t>
      </w:r>
    </w:p>
    <w:p w:rsidR="00C11280" w:rsidRPr="00233536" w:rsidRDefault="00C11280" w:rsidP="00C11280">
      <w:pPr>
        <w:ind w:left="851" w:right="902"/>
        <w:jc w:val="both"/>
        <w:rPr>
          <w:rFonts w:ascii="Palatino Linotype" w:hAnsi="Palatino Linotype" w:cs="Arial"/>
          <w:b/>
          <w:i/>
          <w:sz w:val="22"/>
          <w:szCs w:val="22"/>
        </w:rPr>
      </w:pPr>
      <w:r w:rsidRPr="00233536">
        <w:rPr>
          <w:rFonts w:ascii="Palatino Linotype" w:hAnsi="Palatino Linotype" w:cs="Arial"/>
          <w:i/>
          <w:sz w:val="22"/>
          <w:szCs w:val="22"/>
        </w:rPr>
        <w:t>III. Se generen versiones públicas para dar cumplimiento a las obligaciones de transparencia previstas en esta Ley.</w:t>
      </w:r>
      <w:r w:rsidRPr="00233536">
        <w:rPr>
          <w:rFonts w:ascii="Palatino Linotype" w:hAnsi="Palatino Linotype" w:cs="Arial"/>
          <w:b/>
          <w:i/>
          <w:sz w:val="22"/>
          <w:szCs w:val="22"/>
        </w:rPr>
        <w:t>”</w:t>
      </w:r>
    </w:p>
    <w:p w:rsidR="0071669F" w:rsidRPr="00233536" w:rsidRDefault="0071669F" w:rsidP="00C11280">
      <w:pPr>
        <w:ind w:left="851" w:right="902"/>
        <w:jc w:val="both"/>
        <w:rPr>
          <w:rFonts w:ascii="Palatino Linotype" w:hAnsi="Palatino Linotype" w:cs="Arial"/>
          <w:b/>
          <w:i/>
          <w:sz w:val="22"/>
          <w:szCs w:val="22"/>
        </w:rPr>
      </w:pP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“Segundo.-</w:t>
      </w:r>
      <w:r w:rsidRPr="00233536">
        <w:rPr>
          <w:rFonts w:ascii="Palatino Linotype" w:hAnsi="Palatino Linotype" w:cs="Arial"/>
          <w:i/>
          <w:sz w:val="22"/>
          <w:szCs w:val="22"/>
        </w:rPr>
        <w:t xml:space="preserve"> Para efectos de los presentes Lineamientos Generales, se entenderá por:</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XVIII.</w:t>
      </w:r>
      <w:r w:rsidRPr="00233536">
        <w:rPr>
          <w:rFonts w:ascii="Palatino Linotype" w:hAnsi="Palatino Linotype" w:cs="Arial"/>
          <w:i/>
          <w:sz w:val="22"/>
          <w:szCs w:val="22"/>
        </w:rPr>
        <w:t xml:space="preserve">  </w:t>
      </w:r>
      <w:r w:rsidRPr="00233536">
        <w:rPr>
          <w:rFonts w:ascii="Palatino Linotype" w:hAnsi="Palatino Linotype" w:cs="Arial"/>
          <w:b/>
          <w:i/>
          <w:sz w:val="22"/>
          <w:szCs w:val="22"/>
        </w:rPr>
        <w:t>Versión pública:</w:t>
      </w:r>
      <w:r w:rsidRPr="0023353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Cuarto.</w:t>
      </w:r>
      <w:r w:rsidRPr="0023353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233536">
        <w:rPr>
          <w:rFonts w:ascii="Palatino Linotype" w:hAnsi="Palatino Linotype" w:cs="Arial"/>
          <w:i/>
          <w:sz w:val="22"/>
          <w:szCs w:val="22"/>
        </w:rPr>
        <w:lastRenderedPageBreak/>
        <w:t>materia en el ámbito de sus respectivas competencias, en tanto estas últimas no contravengan lo dispuesto en la Ley General.</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Quinto.</w:t>
      </w:r>
      <w:r w:rsidRPr="0023353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Sexto.</w:t>
      </w:r>
      <w:r w:rsidRPr="0023353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t>La clasificación de información se realizará conforme a un análisis caso por caso, mediante la aplicación de la prueba de daño y de interés público.</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Séptimo.</w:t>
      </w:r>
      <w:r w:rsidRPr="00233536">
        <w:rPr>
          <w:rFonts w:ascii="Palatino Linotype" w:hAnsi="Palatino Linotype" w:cs="Arial"/>
          <w:i/>
          <w:sz w:val="22"/>
          <w:szCs w:val="22"/>
        </w:rPr>
        <w:t xml:space="preserve"> La clasificación de la información se llevará a cabo en el momento en que:</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I.</w:t>
      </w:r>
      <w:r w:rsidRPr="00233536">
        <w:rPr>
          <w:rFonts w:ascii="Palatino Linotype" w:hAnsi="Palatino Linotype" w:cs="Arial"/>
          <w:i/>
          <w:sz w:val="22"/>
          <w:szCs w:val="22"/>
        </w:rPr>
        <w:t xml:space="preserve">        Se reciba una solicitud de acceso a la información;</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II.</w:t>
      </w:r>
      <w:r w:rsidRPr="00233536">
        <w:rPr>
          <w:rFonts w:ascii="Palatino Linotype" w:hAnsi="Palatino Linotype" w:cs="Arial"/>
          <w:i/>
          <w:sz w:val="22"/>
          <w:szCs w:val="22"/>
        </w:rPr>
        <w:t xml:space="preserve">       Se determine mediante resolución de autoridad competente, o</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III.</w:t>
      </w:r>
      <w:r w:rsidRPr="0023353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Octavo.</w:t>
      </w:r>
      <w:r w:rsidRPr="0023353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Noveno.</w:t>
      </w:r>
      <w:r w:rsidRPr="0023353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b/>
          <w:i/>
          <w:sz w:val="22"/>
          <w:szCs w:val="22"/>
        </w:rPr>
        <w:t>Décimo.</w:t>
      </w:r>
      <w:r w:rsidRPr="0023353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11280" w:rsidRPr="00233536" w:rsidRDefault="00C11280" w:rsidP="00C11280">
      <w:pPr>
        <w:ind w:left="851" w:right="902"/>
        <w:jc w:val="both"/>
        <w:rPr>
          <w:rFonts w:ascii="Palatino Linotype" w:hAnsi="Palatino Linotype" w:cs="Arial"/>
          <w:i/>
          <w:sz w:val="22"/>
          <w:szCs w:val="22"/>
        </w:rPr>
      </w:pPr>
      <w:r w:rsidRPr="0023353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C11280" w:rsidRPr="00233536" w:rsidRDefault="00C11280" w:rsidP="00C11280">
      <w:pPr>
        <w:ind w:left="851" w:right="899"/>
        <w:jc w:val="both"/>
        <w:rPr>
          <w:rFonts w:ascii="Palatino Linotype" w:hAnsi="Palatino Linotype" w:cs="Arial"/>
          <w:b/>
          <w:i/>
          <w:sz w:val="22"/>
          <w:szCs w:val="22"/>
        </w:rPr>
      </w:pPr>
      <w:r w:rsidRPr="00233536">
        <w:rPr>
          <w:rFonts w:ascii="Palatino Linotype" w:hAnsi="Palatino Linotype" w:cs="Arial"/>
          <w:b/>
          <w:i/>
          <w:sz w:val="22"/>
          <w:szCs w:val="22"/>
        </w:rPr>
        <w:t>Décimo primero.</w:t>
      </w:r>
      <w:r w:rsidRPr="0023353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3536">
        <w:rPr>
          <w:rFonts w:ascii="Palatino Linotype" w:hAnsi="Palatino Linotype" w:cs="Arial"/>
          <w:b/>
          <w:i/>
          <w:sz w:val="22"/>
          <w:szCs w:val="22"/>
        </w:rPr>
        <w:t>”</w:t>
      </w:r>
    </w:p>
    <w:p w:rsidR="00C11280" w:rsidRPr="00233536" w:rsidRDefault="00C11280" w:rsidP="00C11280">
      <w:pPr>
        <w:ind w:left="851" w:right="899"/>
        <w:jc w:val="both"/>
        <w:rPr>
          <w:rFonts w:ascii="Palatino Linotype" w:hAnsi="Palatino Linotype" w:cs="Arial"/>
          <w:b/>
          <w:bCs/>
          <w:i/>
          <w:noProof/>
        </w:rPr>
      </w:pPr>
    </w:p>
    <w:p w:rsidR="00C11280" w:rsidRPr="00233536" w:rsidRDefault="00C11280" w:rsidP="00C11280">
      <w:pPr>
        <w:spacing w:line="360" w:lineRule="auto"/>
        <w:jc w:val="both"/>
        <w:rPr>
          <w:rFonts w:ascii="Palatino Linotype" w:hAnsi="Palatino Linotype" w:cs="Arial"/>
        </w:rPr>
      </w:pPr>
      <w:r w:rsidRPr="0023353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11280" w:rsidRPr="00233536" w:rsidRDefault="00C11280" w:rsidP="00C11280">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233536">
        <w:rPr>
          <w:rFonts w:ascii="Palatino Linotype" w:hAnsi="Palatino Linotype" w:cs="Arial"/>
        </w:rPr>
        <w:t xml:space="preserve">Consecuentemente, se destaca que la versión pública que elabore </w:t>
      </w:r>
      <w:r w:rsidRPr="00233536">
        <w:rPr>
          <w:rFonts w:ascii="Palatino Linotype" w:hAnsi="Palatino Linotype" w:cs="Arial"/>
          <w:b/>
        </w:rPr>
        <w:t>EL SUJETO OBLIGADO</w:t>
      </w:r>
      <w:r w:rsidRPr="00233536">
        <w:rPr>
          <w:rFonts w:ascii="Palatino Linotype" w:hAnsi="Palatino Linotype" w:cs="Arial"/>
        </w:rPr>
        <w:t xml:space="preserve"> debe cumplir con las formalidades exigidas en la Ley, por lo que para tal efecto emitirá el </w:t>
      </w:r>
      <w:r w:rsidRPr="00233536">
        <w:rPr>
          <w:rFonts w:ascii="Palatino Linotype" w:hAnsi="Palatino Linotype" w:cs="Arial"/>
          <w:b/>
        </w:rPr>
        <w:t>Acuerdo del Comité de Transparencia</w:t>
      </w:r>
      <w:r w:rsidRPr="0023353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33536">
        <w:rPr>
          <w:rFonts w:ascii="Palatino Linotype" w:hAnsi="Palatino Linotype" w:cs="Arial"/>
          <w:lang w:eastAsia="es-CO"/>
        </w:rPr>
        <w:t xml:space="preserve">, ya que no hacerlo implica que lo </w:t>
      </w:r>
      <w:r w:rsidRPr="00233536">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775C2" w:rsidRPr="00233536" w:rsidRDefault="003775C2" w:rsidP="003775C2">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233536">
        <w:rPr>
          <w:rFonts w:ascii="Palatino Linotype" w:hAnsi="Palatino Linotype" w:cs="Arial"/>
          <w:lang w:eastAsia="es-CO"/>
        </w:rPr>
        <w:t xml:space="preserve">No se omite señalar a las partes que de la respuesta otorgada por </w:t>
      </w:r>
      <w:r w:rsidRPr="00233536">
        <w:rPr>
          <w:rFonts w:ascii="Palatino Linotype" w:hAnsi="Palatino Linotype" w:cs="Arial"/>
          <w:b/>
          <w:lang w:eastAsia="es-CO"/>
        </w:rPr>
        <w:t xml:space="preserve">EL SUJETO OBLIGADO </w:t>
      </w:r>
      <w:r w:rsidRPr="00233536">
        <w:rPr>
          <w:rFonts w:ascii="Palatino Linotype" w:hAnsi="Palatino Linotype" w:cs="Arial"/>
          <w:lang w:eastAsia="es-CO"/>
        </w:rPr>
        <w:t xml:space="preserve">en cumplimiento a la presente resolución; </w:t>
      </w:r>
      <w:r w:rsidRPr="00233536">
        <w:rPr>
          <w:rFonts w:ascii="Palatino Linotype" w:hAnsi="Palatino Linotype" w:cs="Arial"/>
          <w:b/>
          <w:lang w:eastAsia="es-CO"/>
        </w:rPr>
        <w:t xml:space="preserve">EL RECURRENTE </w:t>
      </w:r>
      <w:r w:rsidRPr="00233536">
        <w:rPr>
          <w:rFonts w:ascii="Palatino Linotype" w:hAnsi="Palatino Linotype" w:cs="Arial"/>
          <w:lang w:eastAsia="es-CO"/>
        </w:rPr>
        <w:t xml:space="preserve">podrá impugnarla nuevamente </w:t>
      </w:r>
      <w:r w:rsidRPr="00233536">
        <w:rPr>
          <w:rFonts w:ascii="Palatino Linotype" w:hAnsi="Palatino Linotype"/>
          <w:color w:val="222222"/>
          <w:szCs w:val="17"/>
          <w:lang w:eastAsia="es-ES_tradnl"/>
        </w:rPr>
        <w:t xml:space="preserve">mediante recurso de revisión, ante éste Instituto, en términos del artículo 179, último párrafo de la Ley </w:t>
      </w:r>
      <w:r w:rsidRPr="00233536">
        <w:rPr>
          <w:rFonts w:ascii="Palatino Linotype" w:hAnsi="Palatino Linotype"/>
          <w:color w:val="222222"/>
          <w:lang w:eastAsia="es-MX"/>
        </w:rPr>
        <w:t>de Transparencia y Acceso a la Información Pública del Estado de México y Municipios.</w:t>
      </w:r>
    </w:p>
    <w:p w:rsidR="00C11280" w:rsidRPr="00233536" w:rsidRDefault="00C11280" w:rsidP="00C11280">
      <w:pPr>
        <w:spacing w:before="100" w:beforeAutospacing="1" w:after="100" w:afterAutospacing="1" w:line="360" w:lineRule="auto"/>
        <w:jc w:val="both"/>
        <w:rPr>
          <w:rFonts w:ascii="Palatino Linotype" w:hAnsi="Palatino Linotype" w:cs="Arial"/>
        </w:rPr>
      </w:pPr>
      <w:r w:rsidRPr="00233536">
        <w:rPr>
          <w:rFonts w:ascii="Palatino Linotype" w:hAnsi="Palatino Linotype" w:cs="Arial"/>
        </w:rPr>
        <w:t xml:space="preserve">Finalmente, es de señalar que, en razón de que </w:t>
      </w:r>
      <w:r w:rsidRPr="00233536">
        <w:rPr>
          <w:rFonts w:ascii="Palatino Linotype" w:hAnsi="Palatino Linotype" w:cs="Arial"/>
          <w:b/>
        </w:rPr>
        <w:t xml:space="preserve">EL SUJETO OBLIGADO </w:t>
      </w:r>
      <w:r w:rsidRPr="00233536">
        <w:rPr>
          <w:rFonts w:ascii="Palatino Linotype" w:hAnsi="Palatino Linotype" w:cs="Arial"/>
        </w:rPr>
        <w:t xml:space="preserve">fue omiso en entregar la respuesta a la solicitud de información pública y dado que el recurso de revisión materia del presente asunto, </w:t>
      </w:r>
      <w:r w:rsidRPr="00233536">
        <w:rPr>
          <w:rFonts w:ascii="Palatino Linotype" w:hAnsi="Palatino Linotype"/>
        </w:rPr>
        <w:t xml:space="preserve">no es el medio para investigar y en su caso, sancionar a servidores públicos </w:t>
      </w:r>
      <w:r w:rsidRPr="00233536">
        <w:rPr>
          <w:rFonts w:ascii="Palatino Linotype" w:hAnsi="Palatino Linotype"/>
          <w:b/>
        </w:rPr>
        <w:t>por la omisión de la entrega de información pública</w:t>
      </w:r>
      <w:r w:rsidRPr="00233536">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233536">
        <w:rPr>
          <w:rFonts w:ascii="Palatino Linotype" w:hAnsi="Palatino Linotype" w:cs="Arial"/>
        </w:rPr>
        <w:t xml:space="preserve">el conocimiento al Contralor de este Instituto a fin de que en términos del ordinal 190 de la Ley de la materia determine lo conducente. </w:t>
      </w:r>
    </w:p>
    <w:p w:rsidR="00260F1F" w:rsidRPr="00233536" w:rsidRDefault="00260F1F" w:rsidP="00260F1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33536">
        <w:rPr>
          <w:rFonts w:ascii="Palatino Linotype" w:eastAsia="Calibri" w:hAnsi="Palatino Linotype" w:cs="Arial"/>
        </w:rPr>
        <w:t xml:space="preserve">Así, con </w:t>
      </w:r>
      <w:r w:rsidRPr="00233536">
        <w:rPr>
          <w:rFonts w:ascii="Palatino Linotype" w:hAnsi="Palatino Linotype" w:cs="Arial"/>
        </w:rPr>
        <w:t>fundamento</w:t>
      </w:r>
      <w:r w:rsidRPr="00233536">
        <w:rPr>
          <w:rFonts w:ascii="Palatino Linotype" w:eastAsia="Calibri" w:hAnsi="Palatino Linotype" w:cs="Arial"/>
        </w:rPr>
        <w:t xml:space="preserve"> en lo prescrito en los artículos 5 </w:t>
      </w:r>
      <w:r w:rsidRPr="00233536">
        <w:rPr>
          <w:rFonts w:ascii="Palatino Linotype" w:hAnsi="Palatino Linotype"/>
        </w:rPr>
        <w:t xml:space="preserve">párrafos, trigésimo, trigésimo primero y trigésimo segundo, </w:t>
      </w:r>
      <w:r w:rsidRPr="00233536">
        <w:rPr>
          <w:rFonts w:ascii="Palatino Linotype" w:hAnsi="Palatino Linotype" w:cs="Arial"/>
        </w:rPr>
        <w:t>fracciones</w:t>
      </w:r>
      <w:r w:rsidRPr="00233536">
        <w:rPr>
          <w:rFonts w:ascii="Palatino Linotype" w:hAnsi="Palatino Linotype"/>
        </w:rPr>
        <w:t xml:space="preserve"> IV y V,</w:t>
      </w:r>
      <w:r w:rsidRPr="00233536">
        <w:rPr>
          <w:rFonts w:ascii="Palatino Linotype" w:eastAsia="Calibri" w:hAnsi="Palatino Linotype" w:cs="Arial"/>
        </w:rPr>
        <w:t xml:space="preserve"> de la Constitución Política del Estado </w:t>
      </w:r>
      <w:r w:rsidRPr="00233536">
        <w:rPr>
          <w:rFonts w:ascii="Palatino Linotype" w:eastAsia="Calibri" w:hAnsi="Palatino Linotype" w:cs="Arial"/>
        </w:rPr>
        <w:lastRenderedPageBreak/>
        <w:t xml:space="preserve">Libre y Soberano de México, y los artículos </w:t>
      </w:r>
      <w:r w:rsidRPr="00233536">
        <w:rPr>
          <w:rFonts w:ascii="Palatino Linotype" w:hAnsi="Palatino Linotype"/>
        </w:rPr>
        <w:t xml:space="preserve">2, </w:t>
      </w:r>
      <w:r w:rsidRPr="00233536">
        <w:rPr>
          <w:rFonts w:ascii="Palatino Linotype" w:hAnsi="Palatino Linotype" w:cs="Arial"/>
        </w:rPr>
        <w:t>fracción</w:t>
      </w:r>
      <w:r w:rsidRPr="00233536">
        <w:rPr>
          <w:rFonts w:ascii="Palatino Linotype" w:hAnsi="Palatino Linotype"/>
        </w:rPr>
        <w:t xml:space="preserve"> II, 9, </w:t>
      </w:r>
      <w:r w:rsidRPr="00233536">
        <w:rPr>
          <w:rFonts w:ascii="Palatino Linotype" w:hAnsi="Palatino Linotype" w:cs="Arial"/>
          <w:lang w:val="es-ES_tradnl"/>
        </w:rPr>
        <w:t>29</w:t>
      </w:r>
      <w:r w:rsidRPr="00233536">
        <w:rPr>
          <w:rFonts w:ascii="Palatino Linotype" w:hAnsi="Palatino Linotype"/>
        </w:rPr>
        <w:t>, 36, fracciones I y II, 176, 178, 179, 181, 185, fracción I, 186, 188 y 192, fracción III</w:t>
      </w:r>
      <w:r w:rsidRPr="00233536">
        <w:rPr>
          <w:rFonts w:ascii="Palatino Linotype" w:eastAsia="Calibri" w:hAnsi="Palatino Linotype" w:cs="Arial"/>
        </w:rPr>
        <w:t xml:space="preserve"> de la Ley de Transparencia y Acceso a la Información Pública del Estado de México y </w:t>
      </w:r>
      <w:r w:rsidRPr="00233536">
        <w:rPr>
          <w:rFonts w:ascii="Palatino Linotype" w:hAnsi="Palatino Linotype" w:cs="Arial"/>
        </w:rPr>
        <w:t>Municipios</w:t>
      </w:r>
      <w:r w:rsidRPr="00233536">
        <w:rPr>
          <w:rFonts w:ascii="Palatino Linotype" w:eastAsia="Calibri" w:hAnsi="Palatino Linotype" w:cs="Arial"/>
        </w:rPr>
        <w:t xml:space="preserve">, </w:t>
      </w:r>
      <w:r w:rsidRPr="00233536">
        <w:rPr>
          <w:rFonts w:ascii="Palatino Linotype" w:hAnsi="Palatino Linotype"/>
        </w:rPr>
        <w:t>este</w:t>
      </w:r>
      <w:r w:rsidRPr="00233536">
        <w:rPr>
          <w:rFonts w:ascii="Palatino Linotype" w:eastAsia="Calibri" w:hAnsi="Palatino Linotype" w:cs="Arial"/>
        </w:rPr>
        <w:t xml:space="preserve"> Pleno:</w:t>
      </w:r>
    </w:p>
    <w:p w:rsidR="00260F1F" w:rsidRPr="00233536" w:rsidRDefault="00260F1F" w:rsidP="00260F1F">
      <w:pPr>
        <w:spacing w:before="240" w:after="100" w:afterAutospacing="1" w:line="360" w:lineRule="auto"/>
        <w:jc w:val="center"/>
        <w:rPr>
          <w:rFonts w:ascii="Palatino Linotype" w:hAnsi="Palatino Linotype"/>
          <w:b/>
          <w:bCs/>
          <w:spacing w:val="60"/>
          <w:sz w:val="28"/>
        </w:rPr>
      </w:pPr>
      <w:r w:rsidRPr="00233536">
        <w:rPr>
          <w:rFonts w:ascii="Palatino Linotype" w:hAnsi="Palatino Linotype"/>
          <w:b/>
          <w:bCs/>
          <w:spacing w:val="60"/>
          <w:sz w:val="28"/>
        </w:rPr>
        <w:t>RESUELVE</w:t>
      </w:r>
    </w:p>
    <w:p w:rsidR="00260F1F" w:rsidRPr="00233536" w:rsidRDefault="00260F1F" w:rsidP="00260F1F">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233536">
        <w:rPr>
          <w:rFonts w:ascii="Palatino Linotype" w:hAnsi="Palatino Linotype" w:cs="Arial"/>
          <w:b/>
          <w:sz w:val="28"/>
          <w:szCs w:val="28"/>
        </w:rPr>
        <w:t>PRIMERO</w:t>
      </w:r>
      <w:r w:rsidRPr="00233536">
        <w:rPr>
          <w:rFonts w:ascii="Palatino Linotype" w:hAnsi="Palatino Linotype" w:cs="Arial"/>
          <w:b/>
        </w:rPr>
        <w:t xml:space="preserve">. </w:t>
      </w:r>
      <w:r w:rsidRPr="00233536">
        <w:rPr>
          <w:rFonts w:ascii="Palatino Linotype" w:hAnsi="Palatino Linotype" w:cs="Arial"/>
        </w:rPr>
        <w:t xml:space="preserve">Resultan </w:t>
      </w:r>
      <w:r w:rsidRPr="00233536">
        <w:rPr>
          <w:rFonts w:ascii="Palatino Linotype" w:hAnsi="Palatino Linotype" w:cs="Arial"/>
          <w:b/>
        </w:rPr>
        <w:t>fundadas</w:t>
      </w:r>
      <w:r w:rsidRPr="00233536">
        <w:rPr>
          <w:rFonts w:ascii="Palatino Linotype" w:hAnsi="Palatino Linotype" w:cs="Arial"/>
        </w:rPr>
        <w:t xml:space="preserve"> las razones o motivos de inconformidad hechas valer por </w:t>
      </w:r>
      <w:r w:rsidR="00C11280" w:rsidRPr="00233536">
        <w:rPr>
          <w:rFonts w:ascii="Palatino Linotype" w:eastAsia="Calibri" w:hAnsi="Palatino Linotype"/>
          <w:b/>
          <w:szCs w:val="22"/>
          <w:lang w:eastAsia="en-US"/>
        </w:rPr>
        <w:t>EL</w:t>
      </w:r>
      <w:r w:rsidRPr="00233536">
        <w:rPr>
          <w:rFonts w:ascii="Palatino Linotype" w:eastAsia="Calibri" w:hAnsi="Palatino Linotype"/>
          <w:b/>
          <w:szCs w:val="22"/>
          <w:lang w:eastAsia="en-US"/>
        </w:rPr>
        <w:t xml:space="preserve"> RECURRENTE</w:t>
      </w:r>
      <w:r w:rsidRPr="00233536">
        <w:rPr>
          <w:rFonts w:ascii="Palatino Linotype" w:hAnsi="Palatino Linotype" w:cs="Arial"/>
          <w:b/>
        </w:rPr>
        <w:t>,</w:t>
      </w:r>
      <w:r w:rsidRPr="00233536">
        <w:rPr>
          <w:rFonts w:ascii="Palatino Linotype" w:hAnsi="Palatino Linotype" w:cs="Arial"/>
        </w:rPr>
        <w:t xml:space="preserve"> en términos del Considerando </w:t>
      </w:r>
      <w:r w:rsidRPr="00233536">
        <w:rPr>
          <w:rFonts w:ascii="Palatino Linotype" w:hAnsi="Palatino Linotype" w:cs="Arial"/>
          <w:b/>
        </w:rPr>
        <w:t>QUINTO</w:t>
      </w:r>
      <w:r w:rsidRPr="00233536">
        <w:rPr>
          <w:rFonts w:ascii="Palatino Linotype" w:hAnsi="Palatino Linotype" w:cs="Arial"/>
        </w:rPr>
        <w:t xml:space="preserve"> de la presente resolución.</w:t>
      </w:r>
    </w:p>
    <w:p w:rsidR="00C11280" w:rsidRPr="00233536" w:rsidRDefault="00260F1F" w:rsidP="00C11280">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b/>
          <w:bCs/>
          <w:color w:val="222222"/>
          <w:lang w:eastAsia="es-MX"/>
        </w:rPr>
      </w:pPr>
      <w:r w:rsidRPr="00233536">
        <w:rPr>
          <w:rFonts w:ascii="Palatino Linotype" w:hAnsi="Palatino Linotype"/>
          <w:b/>
          <w:color w:val="222222"/>
          <w:sz w:val="28"/>
          <w:szCs w:val="28"/>
          <w:lang w:eastAsia="es-MX"/>
        </w:rPr>
        <w:t>SEGUNDO</w:t>
      </w:r>
      <w:r w:rsidRPr="00233536">
        <w:rPr>
          <w:rFonts w:ascii="Palatino Linotype" w:hAnsi="Palatino Linotype"/>
          <w:b/>
          <w:color w:val="222222"/>
          <w:lang w:eastAsia="es-MX"/>
        </w:rPr>
        <w:t xml:space="preserve">. </w:t>
      </w:r>
      <w:r w:rsidRPr="00233536">
        <w:rPr>
          <w:rFonts w:ascii="Palatino Linotype" w:hAnsi="Palatino Linotype"/>
          <w:color w:val="222222"/>
          <w:lang w:eastAsia="es-MX"/>
        </w:rPr>
        <w:t>Se</w:t>
      </w:r>
      <w:r w:rsidRPr="00233536">
        <w:rPr>
          <w:rFonts w:ascii="Palatino Linotype" w:hAnsi="Palatino Linotype"/>
          <w:b/>
          <w:bCs/>
          <w:color w:val="222222"/>
          <w:lang w:eastAsia="es-MX"/>
        </w:rPr>
        <w:t xml:space="preserve"> ORDENA </w:t>
      </w:r>
      <w:r w:rsidRPr="00233536">
        <w:rPr>
          <w:rFonts w:ascii="Palatino Linotype" w:hAnsi="Palatino Linotype"/>
          <w:color w:val="222222"/>
          <w:lang w:eastAsia="es-MX"/>
        </w:rPr>
        <w:t xml:space="preserve">al </w:t>
      </w:r>
      <w:r w:rsidR="00C11280" w:rsidRPr="00233536">
        <w:rPr>
          <w:rFonts w:ascii="Palatino Linotype" w:hAnsi="Palatino Linotype"/>
          <w:b/>
          <w:bCs/>
          <w:color w:val="222222"/>
          <w:lang w:eastAsia="es-MX"/>
        </w:rPr>
        <w:t xml:space="preserve">SUJETO OBLIGADO </w:t>
      </w:r>
      <w:r w:rsidR="00C11280" w:rsidRPr="00233536">
        <w:rPr>
          <w:rFonts w:ascii="Palatino Linotype" w:hAnsi="Palatino Linotype" w:cs="Arial"/>
        </w:rPr>
        <w:t xml:space="preserve">atienda la solicitud de información que dio origen al recurso de revisión </w:t>
      </w:r>
      <w:r w:rsidR="00C11280" w:rsidRPr="00233536">
        <w:rPr>
          <w:rFonts w:ascii="Palatino Linotype" w:hAnsi="Palatino Linotype"/>
          <w:b/>
          <w:bCs/>
          <w:color w:val="222222"/>
          <w:lang w:eastAsia="es-MX"/>
        </w:rPr>
        <w:t xml:space="preserve">04307/INFOEM/IP/RR/2021 </w:t>
      </w:r>
      <w:r w:rsidR="00C11280" w:rsidRPr="00233536">
        <w:rPr>
          <w:rFonts w:ascii="Palatino Linotype" w:hAnsi="Palatino Linotype" w:cs="Arial"/>
        </w:rPr>
        <w:t xml:space="preserve">y haga entrega al </w:t>
      </w:r>
      <w:r w:rsidR="00C11280" w:rsidRPr="00233536">
        <w:rPr>
          <w:rFonts w:ascii="Palatino Linotype" w:hAnsi="Palatino Linotype" w:cs="Arial"/>
          <w:b/>
        </w:rPr>
        <w:t>RECURRENTE</w:t>
      </w:r>
      <w:r w:rsidR="00C11280" w:rsidRPr="00233536">
        <w:rPr>
          <w:rFonts w:ascii="Palatino Linotype" w:hAnsi="Palatino Linotype" w:cs="Arial"/>
        </w:rPr>
        <w:t xml:space="preserve">, vía </w:t>
      </w:r>
      <w:r w:rsidR="00C11280" w:rsidRPr="00233536">
        <w:rPr>
          <w:rFonts w:ascii="Palatino Linotype" w:hAnsi="Palatino Linotype" w:cs="Arial"/>
          <w:b/>
        </w:rPr>
        <w:t>EL</w:t>
      </w:r>
      <w:r w:rsidR="00C11280" w:rsidRPr="00233536">
        <w:rPr>
          <w:rFonts w:ascii="Palatino Linotype" w:hAnsi="Palatino Linotype" w:cs="Arial"/>
        </w:rPr>
        <w:t xml:space="preserve"> </w:t>
      </w:r>
      <w:r w:rsidR="00C11280" w:rsidRPr="00233536">
        <w:rPr>
          <w:rFonts w:ascii="Palatino Linotype" w:hAnsi="Palatino Linotype" w:cs="Arial"/>
          <w:b/>
        </w:rPr>
        <w:t>SAIMEX</w:t>
      </w:r>
      <w:r w:rsidR="00C11280" w:rsidRPr="00233536">
        <w:rPr>
          <w:rFonts w:ascii="Palatino Linotype" w:hAnsi="Palatino Linotype" w:cs="Arial"/>
        </w:rPr>
        <w:t xml:space="preserve">, en </w:t>
      </w:r>
      <w:r w:rsidR="00C11280" w:rsidRPr="00233536">
        <w:rPr>
          <w:rFonts w:ascii="Palatino Linotype" w:hAnsi="Palatino Linotype"/>
          <w:szCs w:val="17"/>
          <w:lang w:eastAsia="es-ES_tradnl"/>
        </w:rPr>
        <w:t>términos</w:t>
      </w:r>
      <w:r w:rsidR="00C11280" w:rsidRPr="00233536">
        <w:rPr>
          <w:rFonts w:ascii="Palatino Linotype" w:hAnsi="Palatino Linotype" w:cs="Arial"/>
        </w:rPr>
        <w:t xml:space="preserve"> del Considerando </w:t>
      </w:r>
      <w:r w:rsidR="00C11280" w:rsidRPr="00233536">
        <w:rPr>
          <w:rFonts w:ascii="Palatino Linotype" w:hAnsi="Palatino Linotype" w:cs="Arial"/>
          <w:b/>
        </w:rPr>
        <w:t>QUINTO</w:t>
      </w:r>
      <w:r w:rsidR="00C11280" w:rsidRPr="00233536">
        <w:rPr>
          <w:rFonts w:ascii="Palatino Linotype" w:hAnsi="Palatino Linotype" w:cs="Arial"/>
        </w:rPr>
        <w:t xml:space="preserve"> </w:t>
      </w:r>
      <w:r w:rsidR="00C11280" w:rsidRPr="00233536">
        <w:rPr>
          <w:rFonts w:ascii="Palatino Linotype" w:hAnsi="Palatino Linotype"/>
        </w:rPr>
        <w:t xml:space="preserve">de la presente resolución, en </w:t>
      </w:r>
      <w:r w:rsidR="00C11280" w:rsidRPr="00233536">
        <w:rPr>
          <w:rFonts w:ascii="Palatino Linotype" w:hAnsi="Palatino Linotype"/>
          <w:b/>
        </w:rPr>
        <w:t>versión pública</w:t>
      </w:r>
      <w:r w:rsidR="00C11280" w:rsidRPr="00233536">
        <w:rPr>
          <w:rFonts w:ascii="Palatino Linotype" w:hAnsi="Palatino Linotype"/>
        </w:rPr>
        <w:t xml:space="preserve">, de lo siguiente: </w:t>
      </w:r>
    </w:p>
    <w:p w:rsidR="00C11280" w:rsidRPr="00233536" w:rsidRDefault="00C11280" w:rsidP="00C11280">
      <w:pPr>
        <w:spacing w:before="100" w:beforeAutospacing="1" w:after="100" w:afterAutospacing="1"/>
        <w:ind w:left="851" w:right="902"/>
        <w:jc w:val="both"/>
        <w:rPr>
          <w:rFonts w:ascii="Palatino Linotype" w:hAnsi="Palatino Linotype" w:cs="Arial"/>
          <w:i/>
          <w:sz w:val="22"/>
          <w:szCs w:val="22"/>
        </w:rPr>
      </w:pPr>
      <w:r w:rsidRPr="00233536">
        <w:rPr>
          <w:rFonts w:ascii="Palatino Linotype" w:hAnsi="Palatino Linotype"/>
          <w:i/>
          <w:iCs/>
          <w:color w:val="222222"/>
          <w:sz w:val="22"/>
          <w:szCs w:val="22"/>
          <w:lang w:eastAsia="es-MX"/>
        </w:rPr>
        <w:t>“</w:t>
      </w:r>
      <w:r w:rsidRPr="00233536">
        <w:rPr>
          <w:rFonts w:ascii="Palatino Linotype" w:hAnsi="Palatino Linotype" w:cs="Arial"/>
          <w:i/>
          <w:sz w:val="22"/>
          <w:szCs w:val="22"/>
        </w:rPr>
        <w:t>Los Expedientes técnicos de obra pública y sus anexos en relación a las obras que se encuentren concluidas del periodo del 1 de enero al 5 de agosto de 2021.</w:t>
      </w:r>
    </w:p>
    <w:p w:rsidR="00C11280" w:rsidRPr="00233536" w:rsidRDefault="00C11280" w:rsidP="00C11280">
      <w:pPr>
        <w:spacing w:before="100" w:beforeAutospacing="1" w:after="100" w:afterAutospacing="1"/>
        <w:ind w:left="851" w:right="902"/>
        <w:jc w:val="both"/>
        <w:rPr>
          <w:rFonts w:ascii="Palatino Linotype" w:hAnsi="Palatino Linotype"/>
          <w:b/>
          <w:i/>
          <w:iCs/>
          <w:color w:val="222222"/>
          <w:sz w:val="22"/>
          <w:szCs w:val="22"/>
          <w:lang w:eastAsia="es-MX"/>
        </w:rPr>
      </w:pPr>
      <w:r w:rsidRPr="00233536">
        <w:rPr>
          <w:rFonts w:ascii="Palatino Linotype" w:hAnsi="Palatino Linotype"/>
          <w:i/>
          <w:iCs/>
          <w:color w:val="222222"/>
          <w:sz w:val="22"/>
          <w:szCs w:val="22"/>
          <w:lang w:eastAsia="es-MX"/>
        </w:rPr>
        <w:t xml:space="preserve">Debiendo notificar al </w:t>
      </w:r>
      <w:r w:rsidRPr="00233536">
        <w:rPr>
          <w:rFonts w:ascii="Palatino Linotype" w:hAnsi="Palatino Linotype"/>
          <w:b/>
          <w:i/>
          <w:iCs/>
          <w:color w:val="222222"/>
          <w:sz w:val="22"/>
          <w:szCs w:val="22"/>
          <w:lang w:eastAsia="es-MX"/>
        </w:rPr>
        <w:t>RECURRENTE</w:t>
      </w:r>
      <w:r w:rsidRPr="00233536">
        <w:rPr>
          <w:rFonts w:ascii="Palatino Linotype" w:hAnsi="Palatino Linotype"/>
          <w:i/>
          <w:iCs/>
          <w:color w:val="222222"/>
          <w:sz w:val="22"/>
          <w:szCs w:val="22"/>
          <w:lang w:eastAsia="es-MX"/>
        </w:rPr>
        <w:t xml:space="preserve"> el Acuerdo de Clasificación que emita el Comité de Transparencia, con motivo de la versión pública.”</w:t>
      </w:r>
    </w:p>
    <w:p w:rsidR="00260F1F" w:rsidRPr="00233536" w:rsidRDefault="00260F1F" w:rsidP="00260F1F">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olor w:val="222222"/>
          <w:lang w:eastAsia="es-MX"/>
        </w:rPr>
      </w:pPr>
      <w:r w:rsidRPr="00233536">
        <w:rPr>
          <w:rFonts w:ascii="Palatino Linotype" w:hAnsi="Palatino Linotype"/>
          <w:b/>
          <w:sz w:val="28"/>
          <w:szCs w:val="28"/>
          <w:lang w:eastAsia="es-ES_tradnl"/>
        </w:rPr>
        <w:t>TERCERO</w:t>
      </w:r>
      <w:r w:rsidRPr="00233536">
        <w:rPr>
          <w:rFonts w:ascii="Palatino Linotype" w:hAnsi="Palatino Linotype"/>
          <w:b/>
          <w:szCs w:val="17"/>
          <w:lang w:eastAsia="es-ES_tradnl"/>
        </w:rPr>
        <w:t>. Notifíquese</w:t>
      </w:r>
      <w:r w:rsidRPr="00233536">
        <w:rPr>
          <w:rFonts w:ascii="Palatino Linotype" w:hAnsi="Palatino Linotype"/>
          <w:szCs w:val="17"/>
          <w:lang w:eastAsia="es-ES_tradnl"/>
        </w:rPr>
        <w:t xml:space="preserve"> </w:t>
      </w:r>
      <w:r w:rsidRPr="00233536">
        <w:rPr>
          <w:rFonts w:ascii="Palatino Linotype" w:hAnsi="Palatino Linotype"/>
          <w:color w:val="222222"/>
          <w:lang w:eastAsia="es-MX"/>
        </w:rPr>
        <w:t>al Titular de la Unidad de Transparencia del</w:t>
      </w:r>
      <w:r w:rsidRPr="00233536">
        <w:rPr>
          <w:color w:val="222222"/>
          <w:lang w:eastAsia="es-MX"/>
        </w:rPr>
        <w:t xml:space="preserve"> </w:t>
      </w:r>
      <w:r w:rsidRPr="00233536">
        <w:rPr>
          <w:rFonts w:ascii="Palatino Linotype" w:hAnsi="Palatino Linotype"/>
          <w:b/>
          <w:color w:val="222222"/>
          <w:lang w:eastAsia="es-MX"/>
        </w:rPr>
        <w:t>SUJETO OBLIGADO</w:t>
      </w:r>
      <w:r w:rsidRPr="00233536">
        <w:rPr>
          <w:rFonts w:ascii="Palatino Linotype" w:hAnsi="Palatino Linotype"/>
          <w:color w:val="222222"/>
          <w:lang w:eastAsia="es-MX"/>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260F1F" w:rsidRPr="00233536" w:rsidRDefault="00260F1F" w:rsidP="00260F1F">
      <w:pPr>
        <w:pStyle w:val="Prrafodelista"/>
        <w:spacing w:line="360" w:lineRule="auto"/>
        <w:ind w:left="0"/>
        <w:jc w:val="both"/>
        <w:rPr>
          <w:rFonts w:ascii="Palatino Linotype" w:hAnsi="Palatino Linotype"/>
          <w:shd w:val="clear" w:color="auto" w:fill="FFFFFF"/>
        </w:rPr>
      </w:pPr>
      <w:r w:rsidRPr="00233536">
        <w:rPr>
          <w:rFonts w:ascii="Palatino Linotype" w:hAnsi="Palatino Linotype"/>
          <w:b/>
          <w:color w:val="222222"/>
          <w:sz w:val="28"/>
          <w:szCs w:val="28"/>
          <w:shd w:val="clear" w:color="auto" w:fill="FFFFFF"/>
        </w:rPr>
        <w:lastRenderedPageBreak/>
        <w:t>CUARTO</w:t>
      </w:r>
      <w:r w:rsidRPr="00233536">
        <w:rPr>
          <w:rFonts w:ascii="Palatino Linotype" w:hAnsi="Palatino Linotype"/>
          <w:color w:val="222222"/>
          <w:shd w:val="clear" w:color="auto" w:fill="FFFFFF"/>
        </w:rPr>
        <w:t xml:space="preserve">. </w:t>
      </w:r>
      <w:r w:rsidRPr="00233536">
        <w:rPr>
          <w:rFonts w:ascii="Palatino Linotype" w:hAnsi="Palatino Linotype"/>
          <w:color w:val="222222"/>
          <w:lang w:eastAsia="es-MX"/>
        </w:rPr>
        <w:t xml:space="preserve">Con fundamento en el artículo 198 de la Ley de Transparencia y Acceso a la Información Pública del Estado de México y Municipios, se apercibe al </w:t>
      </w:r>
      <w:r w:rsidRPr="00233536">
        <w:rPr>
          <w:rFonts w:ascii="Palatino Linotype" w:hAnsi="Palatino Linotype"/>
          <w:b/>
          <w:color w:val="222222"/>
          <w:lang w:eastAsia="es-MX"/>
        </w:rPr>
        <w:t>SUJETO OBLIGADO</w:t>
      </w:r>
      <w:r w:rsidRPr="00233536">
        <w:rPr>
          <w:rFonts w:ascii="Palatino Linotype" w:hAnsi="Palatino Linotype"/>
          <w:color w:val="222222"/>
          <w:lang w:eastAsia="es-MX"/>
        </w:rPr>
        <w:t xml:space="preserve"> que, en caso de negarse a cumplir la presente resolución o hacerlo de manera parcial se actuará de conformidad con lo previsto en los artículos 213, 214, 216 y 217 de dicha Ley.</w:t>
      </w:r>
    </w:p>
    <w:p w:rsidR="00260F1F" w:rsidRPr="00233536" w:rsidRDefault="00260F1F" w:rsidP="00260F1F">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233536">
        <w:rPr>
          <w:rFonts w:ascii="Palatino Linotype" w:hAnsi="Palatino Linotype"/>
          <w:b/>
          <w:sz w:val="28"/>
          <w:szCs w:val="28"/>
          <w:lang w:eastAsia="es-ES_tradnl"/>
        </w:rPr>
        <w:t>QUINTO</w:t>
      </w:r>
      <w:r w:rsidRPr="00233536">
        <w:rPr>
          <w:rFonts w:ascii="Palatino Linotype" w:hAnsi="Palatino Linotype"/>
          <w:b/>
          <w:szCs w:val="17"/>
          <w:lang w:eastAsia="es-ES_tradnl"/>
        </w:rPr>
        <w:t>. Notifíquese</w:t>
      </w:r>
      <w:r w:rsidRPr="00233536">
        <w:rPr>
          <w:rFonts w:ascii="Palatino Linotype" w:hAnsi="Palatino Linotype"/>
          <w:szCs w:val="17"/>
          <w:lang w:eastAsia="es-ES_tradnl"/>
        </w:rPr>
        <w:t xml:space="preserve"> a</w:t>
      </w:r>
      <w:r w:rsidR="00C11280" w:rsidRPr="00233536">
        <w:rPr>
          <w:rFonts w:ascii="Palatino Linotype" w:hAnsi="Palatino Linotype"/>
          <w:szCs w:val="17"/>
          <w:lang w:eastAsia="es-ES_tradnl"/>
        </w:rPr>
        <w:t>l</w:t>
      </w:r>
      <w:r w:rsidRPr="00233536">
        <w:rPr>
          <w:rFonts w:ascii="Palatino Linotype" w:hAnsi="Palatino Linotype"/>
          <w:b/>
        </w:rPr>
        <w:t xml:space="preserve"> RECURRENTE</w:t>
      </w:r>
      <w:r w:rsidRPr="00233536">
        <w:rPr>
          <w:rFonts w:ascii="Palatino Linotype" w:hAnsi="Palatino Linotype"/>
          <w:szCs w:val="17"/>
          <w:lang w:eastAsia="es-ES_tradnl"/>
        </w:rPr>
        <w:t xml:space="preserve"> la </w:t>
      </w:r>
      <w:r w:rsidRPr="00233536">
        <w:rPr>
          <w:rFonts w:ascii="Palatino Linotype" w:hAnsi="Palatino Linotype"/>
          <w:color w:val="222222"/>
          <w:lang w:eastAsia="es-MX"/>
        </w:rPr>
        <w:t xml:space="preserve">presente resolución vía </w:t>
      </w:r>
      <w:r w:rsidRPr="00233536">
        <w:rPr>
          <w:rFonts w:ascii="Palatino Linotype" w:hAnsi="Palatino Linotype"/>
          <w:b/>
          <w:color w:val="222222"/>
          <w:lang w:eastAsia="es-MX"/>
        </w:rPr>
        <w:t>SAIMEX</w:t>
      </w:r>
      <w:r w:rsidRPr="00233536">
        <w:rPr>
          <w:rFonts w:ascii="Palatino Linotype" w:hAnsi="Palatino Linotype"/>
          <w:color w:val="222222"/>
          <w:lang w:eastAsia="es-MX"/>
        </w:rPr>
        <w:t>.</w:t>
      </w:r>
    </w:p>
    <w:p w:rsidR="00260F1F" w:rsidRPr="00233536" w:rsidRDefault="00260F1F" w:rsidP="00260F1F">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233536">
        <w:rPr>
          <w:rFonts w:ascii="Palatino Linotype" w:hAnsi="Palatino Linotype"/>
          <w:b/>
          <w:sz w:val="28"/>
          <w:szCs w:val="28"/>
          <w:lang w:eastAsia="es-ES_tradnl"/>
        </w:rPr>
        <w:t>SEXTO</w:t>
      </w:r>
      <w:r w:rsidRPr="00233536">
        <w:rPr>
          <w:rFonts w:ascii="Palatino Linotype" w:hAnsi="Palatino Linotype"/>
          <w:b/>
          <w:szCs w:val="17"/>
          <w:lang w:eastAsia="es-ES_tradnl"/>
        </w:rPr>
        <w:t>. Hágase</w:t>
      </w:r>
      <w:r w:rsidRPr="00233536">
        <w:rPr>
          <w:rFonts w:ascii="Palatino Linotype" w:hAnsi="Palatino Linotype"/>
          <w:szCs w:val="17"/>
          <w:lang w:eastAsia="es-ES_tradnl"/>
        </w:rPr>
        <w:t xml:space="preserve"> </w:t>
      </w:r>
      <w:r w:rsidRPr="00233536">
        <w:rPr>
          <w:rFonts w:ascii="Palatino Linotype" w:hAnsi="Palatino Linotype"/>
          <w:b/>
          <w:szCs w:val="17"/>
          <w:lang w:eastAsia="es-ES_tradnl"/>
        </w:rPr>
        <w:t>del conocimiento</w:t>
      </w:r>
      <w:r w:rsidRPr="00233536">
        <w:rPr>
          <w:rFonts w:ascii="Palatino Linotype" w:hAnsi="Palatino Linotype"/>
          <w:szCs w:val="17"/>
          <w:lang w:eastAsia="es-ES_tradnl"/>
        </w:rPr>
        <w:t xml:space="preserve"> </w:t>
      </w:r>
      <w:r w:rsidRPr="00233536">
        <w:rPr>
          <w:rFonts w:ascii="Palatino Linotype" w:hAnsi="Palatino Linotype"/>
        </w:rPr>
        <w:t>de</w:t>
      </w:r>
      <w:r w:rsidR="00C11280" w:rsidRPr="00233536">
        <w:rPr>
          <w:rFonts w:ascii="Palatino Linotype" w:hAnsi="Palatino Linotype"/>
        </w:rPr>
        <w:t>l</w:t>
      </w:r>
      <w:r w:rsidRPr="00233536">
        <w:rPr>
          <w:rFonts w:ascii="Palatino Linotype" w:hAnsi="Palatino Linotype"/>
          <w:b/>
        </w:rPr>
        <w:t xml:space="preserve"> RECURRENTE</w:t>
      </w:r>
      <w:r w:rsidRPr="00233536">
        <w:rPr>
          <w:rFonts w:ascii="Palatino Linotype" w:hAnsi="Palatino Linotype"/>
        </w:rPr>
        <w:t xml:space="preserve"> </w:t>
      </w:r>
      <w:r w:rsidRPr="00233536">
        <w:rPr>
          <w:rFonts w:ascii="Palatino Linotype" w:hAnsi="Palatino Linotype"/>
          <w:szCs w:val="17"/>
          <w:lang w:eastAsia="es-ES_tradnl"/>
        </w:rPr>
        <w:t xml:space="preserve">que, de conformidad </w:t>
      </w:r>
      <w:r w:rsidRPr="00233536">
        <w:rPr>
          <w:rFonts w:ascii="Palatino Linotype" w:hAnsi="Palatino Linotype" w:cs="Arial"/>
        </w:rPr>
        <w:t>con</w:t>
      </w:r>
      <w:r w:rsidRPr="00233536">
        <w:rPr>
          <w:rFonts w:ascii="Palatino Linotype" w:hAnsi="Palatino Linotype"/>
          <w:szCs w:val="17"/>
          <w:lang w:eastAsia="es-ES_tradnl"/>
        </w:rPr>
        <w:t xml:space="preserve"> lo </w:t>
      </w:r>
      <w:r w:rsidRPr="00233536">
        <w:rPr>
          <w:rFonts w:ascii="Palatino Linotype" w:hAnsi="Palatino Linotype" w:cs="Arial"/>
        </w:rPr>
        <w:t>establecido</w:t>
      </w:r>
      <w:r w:rsidRPr="00233536">
        <w:rPr>
          <w:rFonts w:ascii="Palatino Linotype" w:hAnsi="Palatino Linotype"/>
          <w:szCs w:val="17"/>
          <w:lang w:eastAsia="es-ES_tradnl"/>
        </w:rPr>
        <w:t xml:space="preserve"> en el artículo 196 de la Ley de </w:t>
      </w:r>
      <w:r w:rsidRPr="00233536">
        <w:rPr>
          <w:rFonts w:ascii="Palatino Linotype" w:hAnsi="Palatino Linotype" w:cs="Arial"/>
        </w:rPr>
        <w:t>Transparencia</w:t>
      </w:r>
      <w:r w:rsidRPr="00233536">
        <w:rPr>
          <w:rFonts w:ascii="Palatino Linotype" w:hAnsi="Palatino Linotype"/>
          <w:szCs w:val="17"/>
          <w:lang w:eastAsia="es-ES_tradnl"/>
        </w:rPr>
        <w:t xml:space="preserve"> y </w:t>
      </w:r>
      <w:r w:rsidRPr="00233536">
        <w:rPr>
          <w:rFonts w:ascii="Palatino Linotype" w:hAnsi="Palatino Linotype" w:cs="Arial"/>
        </w:rPr>
        <w:t>Acceso</w:t>
      </w:r>
      <w:r w:rsidRPr="00233536">
        <w:rPr>
          <w:rFonts w:ascii="Palatino Linotype" w:hAnsi="Palatino Linotype"/>
          <w:szCs w:val="17"/>
          <w:lang w:eastAsia="es-ES_tradnl"/>
        </w:rPr>
        <w:t xml:space="preserve"> a la Información </w:t>
      </w:r>
      <w:r w:rsidRPr="00233536">
        <w:rPr>
          <w:rFonts w:ascii="Palatino Linotype" w:hAnsi="Palatino Linotype"/>
          <w:lang w:eastAsia="es-ES_tradnl"/>
        </w:rPr>
        <w:t>Pública</w:t>
      </w:r>
      <w:r w:rsidRPr="00233536">
        <w:rPr>
          <w:rFonts w:ascii="Palatino Linotype" w:hAnsi="Palatino Linotype"/>
          <w:szCs w:val="17"/>
          <w:lang w:eastAsia="es-ES_tradnl"/>
        </w:rPr>
        <w:t xml:space="preserve"> del Estado de México y Municipios, podrá impugnarla vía Juicio de Amparo en los términos de las leyes aplicables.</w:t>
      </w:r>
    </w:p>
    <w:p w:rsidR="00260F1F" w:rsidRPr="00233536" w:rsidRDefault="00260F1F" w:rsidP="00260F1F">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233536">
        <w:rPr>
          <w:rFonts w:ascii="Palatino Linotype" w:hAnsi="Palatino Linotype"/>
          <w:b/>
          <w:color w:val="222222"/>
          <w:sz w:val="28"/>
          <w:szCs w:val="28"/>
          <w:lang w:eastAsia="es-ES_tradnl"/>
        </w:rPr>
        <w:t>SÉPTIMO</w:t>
      </w:r>
      <w:r w:rsidRPr="00233536">
        <w:rPr>
          <w:rFonts w:ascii="Palatino Linotype" w:hAnsi="Palatino Linotype"/>
          <w:b/>
          <w:color w:val="222222"/>
          <w:szCs w:val="17"/>
          <w:lang w:eastAsia="es-ES_tradnl"/>
        </w:rPr>
        <w:t xml:space="preserve">. Gírese oficio </w:t>
      </w:r>
      <w:r w:rsidRPr="00233536">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233536">
        <w:rPr>
          <w:rFonts w:ascii="Palatino Linotype" w:hAnsi="Palatino Linotype"/>
          <w:b/>
          <w:color w:val="222222"/>
          <w:szCs w:val="17"/>
          <w:lang w:eastAsia="es-ES_tradnl"/>
        </w:rPr>
        <w:t>QUINTO</w:t>
      </w:r>
      <w:r w:rsidRPr="00233536">
        <w:rPr>
          <w:rFonts w:ascii="Palatino Linotype" w:hAnsi="Palatino Linotype"/>
          <w:color w:val="222222"/>
          <w:szCs w:val="17"/>
          <w:lang w:eastAsia="es-ES_tradnl"/>
        </w:rPr>
        <w:t xml:space="preserve"> de la presente resolución.</w:t>
      </w:r>
    </w:p>
    <w:p w:rsidR="00C11280" w:rsidRPr="00233536" w:rsidRDefault="00C11280" w:rsidP="00C1128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33536">
        <w:rPr>
          <w:rFonts w:ascii="Palatino Linotype" w:hAnsi="Palatino Linotype" w:cs="Arial"/>
        </w:rPr>
        <w:t>ASÍ LO RESUELVE, POR UNANIMIDAD DE VOTOS EL PLENO DEL</w:t>
      </w:r>
      <w:r w:rsidRPr="00233536">
        <w:rPr>
          <w:rFonts w:ascii="Palatino Linotype" w:eastAsia="Arial Unicode MS" w:hAnsi="Palatino Linotype" w:cs="Arial"/>
        </w:rPr>
        <w:t xml:space="preserve"> INSTITUTO DE </w:t>
      </w:r>
      <w:r w:rsidRPr="00233536">
        <w:rPr>
          <w:rFonts w:ascii="Palatino Linotype" w:hAnsi="Palatino Linotype"/>
          <w:lang w:eastAsia="en-US"/>
        </w:rPr>
        <w:t>TRANSPARENCIA</w:t>
      </w:r>
      <w:r w:rsidRPr="00233536">
        <w:rPr>
          <w:rFonts w:ascii="Palatino Linotype" w:eastAsia="Arial Unicode MS" w:hAnsi="Palatino Linotype" w:cs="Arial"/>
        </w:rPr>
        <w:t>, ACCESO A LA INFORMACIÓN PÚBLICA Y PROTECCIÓN DE DATOS PERSONALES DEL ESTADO DE MÉXICO Y MUNICIPIOS</w:t>
      </w:r>
      <w:r w:rsidRPr="00233536">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Pr="00233536">
        <w:rPr>
          <w:rFonts w:ascii="Palatino Linotype" w:hAnsi="Palatino Linotype" w:cs="Arial"/>
        </w:rPr>
        <w:lastRenderedPageBreak/>
        <w:t>TRIGÉSIMA S</w:t>
      </w:r>
      <w:r w:rsidR="00E80979" w:rsidRPr="00233536">
        <w:rPr>
          <w:rFonts w:ascii="Palatino Linotype" w:hAnsi="Palatino Linotype" w:cs="Arial"/>
        </w:rPr>
        <w:t>ÉPTIMA SESIÓN ORDINARIA CELEBRADA EL VEINTE</w:t>
      </w:r>
      <w:r w:rsidRPr="00233536">
        <w:rPr>
          <w:rFonts w:ascii="Palatino Linotype" w:hAnsi="Palatino Linotype" w:cs="Arial"/>
        </w:rPr>
        <w:t xml:space="preserve"> DE OCTUBRE DE DOS MIL VEINTIUNO, ANTE EL SECRETARIO TÉCNICO DEL PLENO, ALEXIS TAPIA RAMÍREZ.</w:t>
      </w:r>
    </w:p>
    <w:p w:rsidR="00260F1F" w:rsidRDefault="00E80979" w:rsidP="00C11280">
      <w:pPr>
        <w:jc w:val="both"/>
        <w:rPr>
          <w:rFonts w:ascii="Palatino Linotype" w:hAnsi="Palatino Linotype" w:cs="Arial"/>
          <w:sz w:val="16"/>
          <w:szCs w:val="16"/>
          <w:lang w:val="es-ES"/>
        </w:rPr>
      </w:pPr>
      <w:r w:rsidRPr="00233536">
        <w:rPr>
          <w:rFonts w:ascii="Palatino Linotype" w:hAnsi="Palatino Linotype" w:cs="Arial"/>
          <w:sz w:val="16"/>
          <w:szCs w:val="16"/>
          <w:lang w:val="es-ES"/>
        </w:rPr>
        <w:t>SCMM/BLA/DEMF/AMV</w:t>
      </w:r>
    </w:p>
    <w:p w:rsidR="00260F1F" w:rsidRDefault="00260F1F" w:rsidP="00260F1F">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rsidR="00260F1F" w:rsidRDefault="00260F1F" w:rsidP="00260F1F"/>
    <w:p w:rsidR="00B64F24" w:rsidRDefault="00B64F24"/>
    <w:sectPr w:rsidR="00B64F24" w:rsidSect="00F86F6D">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8F4" w:rsidRDefault="009B48F4" w:rsidP="00260F1F">
      <w:r>
        <w:separator/>
      </w:r>
    </w:p>
  </w:endnote>
  <w:endnote w:type="continuationSeparator" w:id="0">
    <w:p w:rsidR="009B48F4" w:rsidRDefault="009B48F4" w:rsidP="00260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F6D" w:rsidRPr="0010196A" w:rsidRDefault="00C01DA1" w:rsidP="00F86F6D">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2A55">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2A55">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F6D" w:rsidRPr="0010196A" w:rsidRDefault="00C01DA1" w:rsidP="00F86F6D">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2A5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2A55">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8F4" w:rsidRDefault="009B48F4" w:rsidP="00260F1F">
      <w:r>
        <w:separator/>
      </w:r>
    </w:p>
  </w:footnote>
  <w:footnote w:type="continuationSeparator" w:id="0">
    <w:p w:rsidR="009B48F4" w:rsidRDefault="009B48F4" w:rsidP="00260F1F">
      <w:r>
        <w:continuationSeparator/>
      </w:r>
    </w:p>
  </w:footnote>
  <w:footnote w:id="1">
    <w:p w:rsidR="00260F1F" w:rsidRPr="00C555BD" w:rsidRDefault="00260F1F" w:rsidP="00260F1F">
      <w:pPr>
        <w:pStyle w:val="Textonotapie"/>
        <w:jc w:val="both"/>
        <w:rPr>
          <w:rFonts w:ascii="Palatino Linotype" w:hAnsi="Palatino Linotype"/>
          <w:sz w:val="16"/>
          <w:szCs w:val="16"/>
        </w:rPr>
      </w:pPr>
      <w:r>
        <w:rPr>
          <w:rStyle w:val="Refdenotaalpie"/>
        </w:rPr>
        <w:footnoteRef/>
      </w:r>
      <w:r>
        <w:t xml:space="preserve"> </w:t>
      </w:r>
      <w:r w:rsidRPr="00C555BD">
        <w:rPr>
          <w:rFonts w:ascii="Palatino Linotype" w:hAnsi="Palatino Linotype"/>
          <w:sz w:val="16"/>
          <w:szCs w:val="16"/>
        </w:rPr>
        <w:t>Formato PbRM-07ª, mismo que forma parte del paquete presupuestal que deben entregar los Municipios al Órgano Superior de Fiscalización del Estado de México, de acuerdo con lo establecido en los Lineamientos emitidos para el ejercicio fiscal 2021, consultables en: https://www.osfem.gob.mx/04_Iconografia/Ent_Fisc/Doc_Apoy/doc/2021/03_Instructivo_Mpal.pdf</w:t>
      </w:r>
    </w:p>
  </w:footnote>
  <w:footnote w:id="2">
    <w:p w:rsidR="00260F1F" w:rsidRPr="00E80979" w:rsidRDefault="00260F1F" w:rsidP="00260F1F">
      <w:pPr>
        <w:ind w:right="49"/>
        <w:jc w:val="both"/>
        <w:rPr>
          <w:rFonts w:ascii="Palatino Linotype" w:hAnsi="Palatino Linotype" w:cs="Arial"/>
          <w:i/>
          <w:sz w:val="16"/>
          <w:szCs w:val="16"/>
        </w:rPr>
      </w:pPr>
      <w:r>
        <w:rPr>
          <w:rStyle w:val="Refdenotaalpie"/>
        </w:rPr>
        <w:footnoteRef/>
      </w:r>
      <w:r>
        <w:t xml:space="preserve"> </w:t>
      </w:r>
      <w:r w:rsidRPr="00E80979">
        <w:rPr>
          <w:rFonts w:ascii="Palatino Linotype" w:hAnsi="Palatino Linotype" w:cs="Arial"/>
          <w:b/>
          <w:i/>
          <w:sz w:val="16"/>
          <w:szCs w:val="16"/>
        </w:rPr>
        <w:t>Artículo 31.-</w:t>
      </w:r>
      <w:r w:rsidRPr="00E80979">
        <w:rPr>
          <w:rFonts w:ascii="Palatino Linotype" w:hAnsi="Palatino Linotype" w:cs="Arial"/>
          <w:i/>
          <w:sz w:val="16"/>
          <w:szCs w:val="16"/>
        </w:rPr>
        <w:t xml:space="preserve"> Son atribuciones de los ayuntamientos:</w:t>
      </w:r>
    </w:p>
    <w:p w:rsidR="00260F1F" w:rsidRPr="00E80979" w:rsidRDefault="00260F1F" w:rsidP="00260F1F">
      <w:pPr>
        <w:ind w:right="49"/>
        <w:jc w:val="both"/>
        <w:rPr>
          <w:rFonts w:ascii="Palatino Linotype" w:hAnsi="Palatino Linotype" w:cs="Arial"/>
          <w:i/>
          <w:sz w:val="16"/>
          <w:szCs w:val="16"/>
        </w:rPr>
      </w:pPr>
      <w:r w:rsidRPr="00E80979">
        <w:rPr>
          <w:rFonts w:ascii="Palatino Linotype" w:hAnsi="Palatino Linotype" w:cs="Arial"/>
          <w:i/>
          <w:sz w:val="16"/>
          <w:szCs w:val="16"/>
        </w:rPr>
        <w:t>…</w:t>
      </w:r>
    </w:p>
    <w:p w:rsidR="00260F1F" w:rsidRPr="00E80979" w:rsidRDefault="00260F1F" w:rsidP="00260F1F">
      <w:pPr>
        <w:ind w:right="49"/>
        <w:jc w:val="both"/>
        <w:rPr>
          <w:rFonts w:ascii="Palatino Linotype" w:hAnsi="Palatino Linotype" w:cs="Arial"/>
          <w:i/>
          <w:sz w:val="16"/>
          <w:szCs w:val="16"/>
        </w:rPr>
      </w:pPr>
      <w:r w:rsidRPr="00E80979">
        <w:rPr>
          <w:rFonts w:ascii="Palatino Linotype" w:hAnsi="Palatino Linotype" w:cs="Arial"/>
          <w:b/>
          <w:i/>
          <w:sz w:val="16"/>
          <w:szCs w:val="16"/>
        </w:rPr>
        <w:t xml:space="preserve">VII. </w:t>
      </w:r>
      <w:r w:rsidRPr="00E80979">
        <w:rPr>
          <w:rFonts w:ascii="Palatino Linotype" w:hAnsi="Palatino Linotype" w:cs="Arial"/>
          <w:i/>
          <w:sz w:val="16"/>
          <w:szCs w:val="16"/>
        </w:rPr>
        <w:t>Convenir,</w:t>
      </w:r>
      <w:r w:rsidRPr="00E80979">
        <w:rPr>
          <w:rFonts w:ascii="Palatino Linotype" w:hAnsi="Palatino Linotype" w:cs="Arial"/>
          <w:b/>
          <w:i/>
          <w:sz w:val="16"/>
          <w:szCs w:val="16"/>
        </w:rPr>
        <w:t xml:space="preserve"> contratar o </w:t>
      </w:r>
      <w:r w:rsidRPr="00E80979">
        <w:rPr>
          <w:rFonts w:ascii="Palatino Linotype" w:hAnsi="Palatino Linotype" w:cs="Arial"/>
          <w:i/>
          <w:sz w:val="16"/>
          <w:szCs w:val="16"/>
        </w:rPr>
        <w:t xml:space="preserve">concesionar, </w:t>
      </w:r>
      <w:r w:rsidRPr="00E80979">
        <w:rPr>
          <w:rFonts w:ascii="Palatino Linotype" w:hAnsi="Palatino Linotype" w:cs="Arial"/>
          <w:b/>
          <w:i/>
          <w:sz w:val="16"/>
          <w:szCs w:val="16"/>
        </w:rPr>
        <w:t xml:space="preserve">en términos de ley, la ejecución de obras </w:t>
      </w:r>
      <w:r w:rsidRPr="00E80979">
        <w:rPr>
          <w:rFonts w:ascii="Palatino Linotype" w:hAnsi="Palatino Linotype" w:cs="Arial"/>
          <w:i/>
          <w:sz w:val="16"/>
          <w:szCs w:val="16"/>
        </w:rPr>
        <w:t xml:space="preserve">y la prestación de servicios públicos, con el Estado, con otros municipios de la entidad o con particulares, recabando, cuando proceda, la autorización de la Legislatura del Estado;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F6D" w:rsidRDefault="00852A5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F6D" w:rsidRPr="0010196A" w:rsidRDefault="00852A55" w:rsidP="00F86F6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F86F6D" w:rsidRPr="008F2CCC" w:rsidTr="00F86F6D">
      <w:tc>
        <w:tcPr>
          <w:tcW w:w="3828" w:type="dxa"/>
          <w:vMerge w:val="restart"/>
        </w:tcPr>
        <w:p w:rsidR="00F86F6D" w:rsidRPr="008F2CCC" w:rsidRDefault="00C01DA1" w:rsidP="00F86F6D">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A7FA118" wp14:editId="7D53D33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F86F6D" w:rsidRPr="00664658" w:rsidRDefault="00C01DA1" w:rsidP="00F86F6D">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F86F6D" w:rsidRPr="00664658" w:rsidRDefault="00C01DA1" w:rsidP="00F86F6D">
          <w:pPr>
            <w:jc w:val="both"/>
            <w:rPr>
              <w:rFonts w:ascii="Palatino Linotype" w:hAnsi="Palatino Linotype"/>
              <w:b/>
              <w:sz w:val="22"/>
              <w:szCs w:val="22"/>
              <w:lang w:val="es-ES_tradnl"/>
            </w:rPr>
          </w:pPr>
          <w:r>
            <w:rPr>
              <w:rFonts w:ascii="Palatino Linotype" w:hAnsi="Palatino Linotype"/>
              <w:b/>
              <w:sz w:val="22"/>
              <w:szCs w:val="22"/>
              <w:lang w:val="es-ES_tradnl"/>
            </w:rPr>
            <w:t>04307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F86F6D" w:rsidRPr="008F2CCC" w:rsidTr="00F86F6D">
      <w:tc>
        <w:tcPr>
          <w:tcW w:w="3828" w:type="dxa"/>
          <w:vMerge/>
        </w:tcPr>
        <w:p w:rsidR="00F86F6D" w:rsidRPr="008F2CCC" w:rsidRDefault="00852A55" w:rsidP="00F86F6D">
          <w:pPr>
            <w:rPr>
              <w:rFonts w:ascii="Palatino Linotype" w:hAnsi="Palatino Linotype"/>
              <w:b/>
              <w:sz w:val="22"/>
              <w:szCs w:val="22"/>
              <w:lang w:val="es-ES_tradnl"/>
            </w:rPr>
          </w:pPr>
        </w:p>
      </w:tc>
      <w:tc>
        <w:tcPr>
          <w:tcW w:w="2551" w:type="dxa"/>
          <w:shd w:val="clear" w:color="auto" w:fill="auto"/>
        </w:tcPr>
        <w:p w:rsidR="00F86F6D" w:rsidRPr="00664658" w:rsidRDefault="00C01DA1" w:rsidP="00F86F6D">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F86F6D" w:rsidRPr="00D41D47" w:rsidRDefault="00C01DA1" w:rsidP="00F86F6D">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F86F6D" w:rsidRPr="008F2CCC" w:rsidTr="00F86F6D">
      <w:trPr>
        <w:trHeight w:val="228"/>
      </w:trPr>
      <w:tc>
        <w:tcPr>
          <w:tcW w:w="3828" w:type="dxa"/>
          <w:vMerge/>
        </w:tcPr>
        <w:p w:rsidR="00F86F6D" w:rsidRPr="008F2CCC" w:rsidRDefault="00852A55" w:rsidP="00F86F6D">
          <w:pPr>
            <w:rPr>
              <w:rFonts w:ascii="Palatino Linotype" w:hAnsi="Palatino Linotype"/>
              <w:b/>
              <w:sz w:val="22"/>
              <w:szCs w:val="22"/>
              <w:lang w:val="es-ES_tradnl"/>
            </w:rPr>
          </w:pPr>
        </w:p>
      </w:tc>
      <w:tc>
        <w:tcPr>
          <w:tcW w:w="2551" w:type="dxa"/>
          <w:shd w:val="clear" w:color="auto" w:fill="auto"/>
        </w:tcPr>
        <w:p w:rsidR="00F86F6D" w:rsidRPr="00664658" w:rsidRDefault="00C01DA1" w:rsidP="00F86F6D">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F86F6D" w:rsidRPr="00664658" w:rsidRDefault="00C01DA1" w:rsidP="00F86F6D">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F86F6D" w:rsidRPr="0010196A" w:rsidRDefault="00852A55" w:rsidP="00F86F6D">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F6D" w:rsidRPr="0010196A" w:rsidRDefault="00852A55">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F86F6D" w:rsidRPr="008F2CCC" w:rsidTr="00F86F6D">
      <w:tc>
        <w:tcPr>
          <w:tcW w:w="3828" w:type="dxa"/>
          <w:vMerge w:val="restart"/>
          <w:shd w:val="clear" w:color="auto" w:fill="auto"/>
        </w:tcPr>
        <w:p w:rsidR="00F86F6D" w:rsidRPr="008F2CCC" w:rsidRDefault="00C01DA1" w:rsidP="00F86F6D">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3DB8382" wp14:editId="6750DC7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F86F6D" w:rsidRPr="008F2CCC" w:rsidRDefault="00C01DA1" w:rsidP="00F86F6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rsidR="00F86F6D" w:rsidRPr="008F2CCC" w:rsidRDefault="00C01DA1" w:rsidP="00F86F6D">
          <w:pPr>
            <w:jc w:val="both"/>
            <w:rPr>
              <w:rFonts w:ascii="Palatino Linotype" w:hAnsi="Palatino Linotype"/>
              <w:b/>
              <w:sz w:val="22"/>
              <w:szCs w:val="22"/>
              <w:lang w:val="es-ES_tradnl"/>
            </w:rPr>
          </w:pPr>
          <w:r>
            <w:rPr>
              <w:rFonts w:ascii="Palatino Linotype" w:hAnsi="Palatino Linotype"/>
              <w:b/>
              <w:sz w:val="22"/>
              <w:szCs w:val="22"/>
              <w:lang w:val="es-ES_tradnl"/>
            </w:rPr>
            <w:t>04307/INFOEM/IP/RR/2021</w:t>
          </w:r>
        </w:p>
      </w:tc>
    </w:tr>
    <w:tr w:rsidR="00F86F6D" w:rsidRPr="008F2CCC" w:rsidTr="00F86F6D">
      <w:tc>
        <w:tcPr>
          <w:tcW w:w="3828" w:type="dxa"/>
          <w:vMerge/>
          <w:shd w:val="clear" w:color="auto" w:fill="auto"/>
        </w:tcPr>
        <w:p w:rsidR="00F86F6D" w:rsidRPr="008F2CCC" w:rsidRDefault="00852A55" w:rsidP="00F86F6D">
          <w:pPr>
            <w:rPr>
              <w:rFonts w:ascii="Palatino Linotype" w:hAnsi="Palatino Linotype"/>
              <w:b/>
              <w:sz w:val="22"/>
              <w:szCs w:val="22"/>
              <w:lang w:val="es-ES_tradnl"/>
            </w:rPr>
          </w:pPr>
        </w:p>
      </w:tc>
      <w:tc>
        <w:tcPr>
          <w:tcW w:w="2552" w:type="dxa"/>
          <w:shd w:val="clear" w:color="auto" w:fill="auto"/>
        </w:tcPr>
        <w:p w:rsidR="00F86F6D" w:rsidRPr="008F2CCC" w:rsidRDefault="00C01DA1" w:rsidP="00F86F6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rsidR="00F86F6D" w:rsidRPr="008F2CCC" w:rsidRDefault="00CB42BF" w:rsidP="00230ACE">
          <w:pPr>
            <w:jc w:val="both"/>
            <w:rPr>
              <w:rFonts w:ascii="Palatino Linotype" w:hAnsi="Palatino Linotype"/>
              <w:b/>
              <w:sz w:val="22"/>
              <w:szCs w:val="22"/>
              <w:lang w:val="es-ES_tradnl"/>
            </w:rPr>
          </w:pPr>
          <w:r w:rsidRPr="00CB42BF">
            <w:rPr>
              <w:rFonts w:ascii="Palatino Linotype" w:hAnsi="Palatino Linotype"/>
              <w:b/>
              <w:sz w:val="22"/>
              <w:szCs w:val="22"/>
              <w:lang w:val="es-ES_tradnl"/>
            </w:rPr>
            <w:t xml:space="preserve">XXXX XXXXX XXXX </w:t>
          </w:r>
          <w:proofErr w:type="spellStart"/>
          <w:r w:rsidRPr="00CB42BF">
            <w:rPr>
              <w:rFonts w:ascii="Palatino Linotype" w:hAnsi="Palatino Linotype"/>
              <w:b/>
              <w:sz w:val="22"/>
              <w:szCs w:val="22"/>
              <w:lang w:val="es-ES_tradnl"/>
            </w:rPr>
            <w:t>XXXX</w:t>
          </w:r>
          <w:proofErr w:type="spellEnd"/>
        </w:p>
      </w:tc>
    </w:tr>
    <w:tr w:rsidR="00F86F6D" w:rsidRPr="008F2CCC" w:rsidTr="00F86F6D">
      <w:trPr>
        <w:trHeight w:val="228"/>
      </w:trPr>
      <w:tc>
        <w:tcPr>
          <w:tcW w:w="3828" w:type="dxa"/>
          <w:vMerge/>
          <w:shd w:val="clear" w:color="auto" w:fill="auto"/>
        </w:tcPr>
        <w:p w:rsidR="00F86F6D" w:rsidRPr="008F2CCC" w:rsidRDefault="00852A55" w:rsidP="00F86F6D">
          <w:pPr>
            <w:rPr>
              <w:rFonts w:ascii="Palatino Linotype" w:hAnsi="Palatino Linotype"/>
              <w:b/>
              <w:sz w:val="22"/>
              <w:szCs w:val="22"/>
              <w:lang w:val="es-ES_tradnl"/>
            </w:rPr>
          </w:pPr>
        </w:p>
      </w:tc>
      <w:tc>
        <w:tcPr>
          <w:tcW w:w="2552" w:type="dxa"/>
          <w:shd w:val="clear" w:color="auto" w:fill="auto"/>
        </w:tcPr>
        <w:p w:rsidR="00F86F6D" w:rsidRPr="008F2CCC" w:rsidRDefault="00C01DA1" w:rsidP="00F86F6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rsidR="00F86F6D" w:rsidRPr="00D907B3" w:rsidRDefault="00C01DA1" w:rsidP="00230ACE">
          <w:pPr>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F86F6D" w:rsidRPr="008F2CCC" w:rsidTr="00F86F6D">
      <w:tc>
        <w:tcPr>
          <w:tcW w:w="3828" w:type="dxa"/>
          <w:vMerge/>
          <w:shd w:val="clear" w:color="auto" w:fill="auto"/>
        </w:tcPr>
        <w:p w:rsidR="00F86F6D" w:rsidRPr="008F2CCC" w:rsidRDefault="00852A55" w:rsidP="00F86F6D">
          <w:pPr>
            <w:rPr>
              <w:rFonts w:ascii="Palatino Linotype" w:hAnsi="Palatino Linotype"/>
              <w:b/>
              <w:sz w:val="22"/>
              <w:szCs w:val="22"/>
              <w:lang w:val="es-ES_tradnl"/>
            </w:rPr>
          </w:pPr>
        </w:p>
      </w:tc>
      <w:tc>
        <w:tcPr>
          <w:tcW w:w="2552" w:type="dxa"/>
          <w:shd w:val="clear" w:color="auto" w:fill="auto"/>
        </w:tcPr>
        <w:p w:rsidR="00F86F6D" w:rsidRPr="008F2CCC" w:rsidRDefault="00C01DA1" w:rsidP="00F86F6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rsidR="00F86F6D" w:rsidRPr="008F2CCC" w:rsidRDefault="00C01DA1" w:rsidP="00F86F6D">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F86F6D" w:rsidRPr="0010196A" w:rsidRDefault="00852A55" w:rsidP="00F86F6D">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93A1B"/>
    <w:multiLevelType w:val="hybridMultilevel"/>
    <w:tmpl w:val="E73687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F1F"/>
    <w:rsid w:val="001B3685"/>
    <w:rsid w:val="00233536"/>
    <w:rsid w:val="00260F1F"/>
    <w:rsid w:val="003775C2"/>
    <w:rsid w:val="006206FE"/>
    <w:rsid w:val="006502EA"/>
    <w:rsid w:val="0068132A"/>
    <w:rsid w:val="0071669F"/>
    <w:rsid w:val="00852A55"/>
    <w:rsid w:val="00896813"/>
    <w:rsid w:val="00917A66"/>
    <w:rsid w:val="00994CAA"/>
    <w:rsid w:val="009B48F4"/>
    <w:rsid w:val="00B160CE"/>
    <w:rsid w:val="00B64F24"/>
    <w:rsid w:val="00C01DA1"/>
    <w:rsid w:val="00C11280"/>
    <w:rsid w:val="00CB42BF"/>
    <w:rsid w:val="00E80979"/>
    <w:rsid w:val="00F06FD3"/>
    <w:rsid w:val="00FC455B"/>
    <w:rsid w:val="00FD11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EA6F525-6680-4020-B3C6-9F264113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F1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F1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60F1F"/>
    <w:rPr>
      <w:rFonts w:eastAsiaTheme="minorEastAsia"/>
      <w:sz w:val="24"/>
      <w:szCs w:val="24"/>
      <w:lang w:val="es-ES_tradnl" w:eastAsia="es-ES"/>
    </w:rPr>
  </w:style>
  <w:style w:type="paragraph" w:styleId="Piedepgina">
    <w:name w:val="footer"/>
    <w:basedOn w:val="Normal"/>
    <w:link w:val="PiedepginaCar"/>
    <w:uiPriority w:val="99"/>
    <w:unhideWhenUsed/>
    <w:rsid w:val="00260F1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60F1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60F1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60F1F"/>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60F1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60F1F"/>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60F1F"/>
    <w:rPr>
      <w:vertAlign w:val="superscript"/>
    </w:rPr>
  </w:style>
  <w:style w:type="paragraph" w:styleId="Textodeglobo">
    <w:name w:val="Balloon Text"/>
    <w:basedOn w:val="Normal"/>
    <w:link w:val="TextodegloboCar"/>
    <w:uiPriority w:val="99"/>
    <w:semiHidden/>
    <w:unhideWhenUsed/>
    <w:rsid w:val="007166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69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05506">
      <w:bodyDiv w:val="1"/>
      <w:marLeft w:val="0"/>
      <w:marRight w:val="0"/>
      <w:marTop w:val="0"/>
      <w:marBottom w:val="0"/>
      <w:divBdr>
        <w:top w:val="none" w:sz="0" w:space="0" w:color="auto"/>
        <w:left w:val="none" w:sz="0" w:space="0" w:color="auto"/>
        <w:bottom w:val="none" w:sz="0" w:space="0" w:color="auto"/>
        <w:right w:val="none" w:sz="0" w:space="0" w:color="auto"/>
      </w:divBdr>
    </w:div>
    <w:div w:id="1242988483">
      <w:bodyDiv w:val="1"/>
      <w:marLeft w:val="0"/>
      <w:marRight w:val="0"/>
      <w:marTop w:val="0"/>
      <w:marBottom w:val="0"/>
      <w:divBdr>
        <w:top w:val="none" w:sz="0" w:space="0" w:color="auto"/>
        <w:left w:val="none" w:sz="0" w:space="0" w:color="auto"/>
        <w:bottom w:val="none" w:sz="0" w:space="0" w:color="auto"/>
        <w:right w:val="none" w:sz="0" w:space="0" w:color="auto"/>
      </w:divBdr>
    </w:div>
    <w:div w:id="1534267205">
      <w:bodyDiv w:val="1"/>
      <w:marLeft w:val="0"/>
      <w:marRight w:val="0"/>
      <w:marTop w:val="0"/>
      <w:marBottom w:val="0"/>
      <w:divBdr>
        <w:top w:val="none" w:sz="0" w:space="0" w:color="auto"/>
        <w:left w:val="none" w:sz="0" w:space="0" w:color="auto"/>
        <w:bottom w:val="none" w:sz="0" w:space="0" w:color="auto"/>
        <w:right w:val="none" w:sz="0" w:space="0" w:color="auto"/>
      </w:divBdr>
    </w:div>
    <w:div w:id="1701005613">
      <w:bodyDiv w:val="1"/>
      <w:marLeft w:val="0"/>
      <w:marRight w:val="0"/>
      <w:marTop w:val="0"/>
      <w:marBottom w:val="0"/>
      <w:divBdr>
        <w:top w:val="none" w:sz="0" w:space="0" w:color="auto"/>
        <w:left w:val="none" w:sz="0" w:space="0" w:color="auto"/>
        <w:bottom w:val="none" w:sz="0" w:space="0" w:color="auto"/>
        <w:right w:val="none" w:sz="0" w:space="0" w:color="auto"/>
      </w:divBdr>
    </w:div>
    <w:div w:id="2051999716">
      <w:bodyDiv w:val="1"/>
      <w:marLeft w:val="0"/>
      <w:marRight w:val="0"/>
      <w:marTop w:val="0"/>
      <w:marBottom w:val="0"/>
      <w:divBdr>
        <w:top w:val="none" w:sz="0" w:space="0" w:color="auto"/>
        <w:left w:val="none" w:sz="0" w:space="0" w:color="auto"/>
        <w:bottom w:val="none" w:sz="0" w:space="0" w:color="auto"/>
        <w:right w:val="none" w:sz="0" w:space="0" w:color="auto"/>
      </w:divBdr>
    </w:div>
    <w:div w:id="206551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28</Pages>
  <Words>6599</Words>
  <Characters>36295</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9</cp:revision>
  <cp:lastPrinted>2021-10-14T21:55:00Z</cp:lastPrinted>
  <dcterms:created xsi:type="dcterms:W3CDTF">2021-10-14T22:39:00Z</dcterms:created>
  <dcterms:modified xsi:type="dcterms:W3CDTF">2021-11-09T03:02:00Z</dcterms:modified>
</cp:coreProperties>
</file>