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E2996" w14:textId="77777777" w:rsidR="0082431B" w:rsidRPr="007C3AE4" w:rsidRDefault="0082431B" w:rsidP="0082431B">
      <w:pPr>
        <w:tabs>
          <w:tab w:val="left" w:pos="7938"/>
        </w:tabs>
        <w:spacing w:before="240" w:after="240" w:line="360" w:lineRule="auto"/>
        <w:ind w:right="615"/>
        <w:jc w:val="both"/>
        <w:rPr>
          <w:rFonts w:ascii="Palatino Linotype" w:eastAsia="Calibri" w:hAnsi="Palatino Linotype" w:cs="Arial"/>
          <w:sz w:val="24"/>
          <w:szCs w:val="24"/>
          <w:lang w:eastAsia="es-ES"/>
        </w:rPr>
      </w:pPr>
      <w:bookmarkStart w:id="0" w:name="_GoBack"/>
      <w:bookmarkEnd w:id="0"/>
      <w:r w:rsidRPr="007C3AE4">
        <w:rPr>
          <w:rFonts w:ascii="Palatino Linotype" w:eastAsia="MS Mincho" w:hAnsi="Palatino Linotype" w:cs="Times New Roman"/>
          <w:b/>
          <w:sz w:val="24"/>
          <w:szCs w:val="24"/>
          <w:lang w:val="es-ES_tradnl" w:eastAsia="es-ES"/>
        </w:rPr>
        <w:t xml:space="preserve">Tema: </w:t>
      </w:r>
      <w:r w:rsidRPr="007C3AE4">
        <w:rPr>
          <w:rFonts w:ascii="Palatino Linotype" w:eastAsia="MS Mincho" w:hAnsi="Palatino Linotype" w:cs="Times New Roman"/>
          <w:sz w:val="24"/>
          <w:szCs w:val="24"/>
          <w:lang w:val="es-ES_tradnl" w:eastAsia="es-ES"/>
        </w:rPr>
        <w:t xml:space="preserve">Licitaciones para la adquisición de medicamentos, así como el programa anual de </w:t>
      </w:r>
      <w:r w:rsidRPr="007C3AE4">
        <w:rPr>
          <w:rFonts w:ascii="Palatino Linotype" w:eastAsia="Calibri" w:hAnsi="Palatino Linotype" w:cs="Arial"/>
          <w:sz w:val="24"/>
          <w:szCs w:val="24"/>
          <w:lang w:eastAsia="es-ES"/>
        </w:rPr>
        <w:t xml:space="preserve">arrendamientos y prestaciones de servicios y la documentación presentada ante el comité de adquisiciones para su autorización. </w:t>
      </w:r>
    </w:p>
    <w:p w14:paraId="136E24BB" w14:textId="77777777" w:rsidR="002313B0" w:rsidRPr="007C3AE4" w:rsidRDefault="0082431B" w:rsidP="0082431B">
      <w:pPr>
        <w:spacing w:before="240" w:after="240" w:line="360" w:lineRule="auto"/>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b/>
          <w:sz w:val="24"/>
          <w:szCs w:val="24"/>
          <w:lang w:val="es-ES_tradnl" w:eastAsia="es-ES"/>
        </w:rPr>
        <w:t xml:space="preserve">El caso: </w:t>
      </w:r>
      <w:r w:rsidRPr="007C3AE4">
        <w:rPr>
          <w:rFonts w:ascii="Palatino Linotype" w:eastAsia="MS Mincho" w:hAnsi="Palatino Linotype" w:cs="Times New Roman"/>
          <w:sz w:val="24"/>
          <w:szCs w:val="24"/>
          <w:lang w:val="es-ES_tradnl" w:eastAsia="es-ES"/>
        </w:rPr>
        <w:t>En respuesta</w:t>
      </w:r>
      <w:r w:rsidRPr="007C3AE4">
        <w:rPr>
          <w:rFonts w:ascii="Palatino Linotype" w:eastAsia="MS Mincho" w:hAnsi="Palatino Linotype" w:cs="Times New Roman"/>
          <w:b/>
          <w:sz w:val="24"/>
          <w:szCs w:val="24"/>
          <w:lang w:val="es-ES_tradnl" w:eastAsia="es-ES"/>
        </w:rPr>
        <w:t xml:space="preserve"> </w:t>
      </w:r>
      <w:r w:rsidRPr="007C3AE4">
        <w:rPr>
          <w:rFonts w:ascii="Palatino Linotype" w:eastAsia="MS Mincho" w:hAnsi="Palatino Linotype" w:cs="Times New Roman"/>
          <w:sz w:val="24"/>
          <w:szCs w:val="24"/>
          <w:lang w:val="es-ES_tradnl" w:eastAsia="es-ES"/>
        </w:rPr>
        <w:t>se invocó la declinación de competencia de la información en razón de que no es administrada por unidades administrativas u órganos desconcentrados pertenecientes a esta Secretaría de Salud del Estado de México.</w:t>
      </w:r>
    </w:p>
    <w:p w14:paraId="0383C71F" w14:textId="77777777" w:rsidR="0082431B" w:rsidRPr="007C3AE4" w:rsidRDefault="0082431B" w:rsidP="00396661">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MS Mincho" w:hAnsi="Palatino Linotype" w:cs="Times New Roman"/>
          <w:b/>
          <w:sz w:val="24"/>
          <w:szCs w:val="24"/>
          <w:lang w:val="es-ES_tradnl" w:eastAsia="es-ES"/>
        </w:rPr>
        <w:t>Propuesta:</w:t>
      </w:r>
      <w:r w:rsidR="00396661" w:rsidRPr="007C3AE4">
        <w:rPr>
          <w:rFonts w:ascii="Palatino Linotype" w:eastAsia="MS Mincho" w:hAnsi="Palatino Linotype" w:cs="Times New Roman"/>
          <w:b/>
          <w:sz w:val="24"/>
          <w:szCs w:val="24"/>
          <w:lang w:val="es-ES_tradnl" w:eastAsia="es-ES"/>
        </w:rPr>
        <w:t xml:space="preserve"> </w:t>
      </w:r>
      <w:r w:rsidR="00396661" w:rsidRPr="007C3AE4">
        <w:rPr>
          <w:rFonts w:ascii="Palatino Linotype" w:eastAsia="MS Mincho" w:hAnsi="Palatino Linotype" w:cs="Times New Roman"/>
          <w:sz w:val="24"/>
          <w:szCs w:val="24"/>
          <w:lang w:val="es-ES_tradnl" w:eastAsia="es-ES"/>
        </w:rPr>
        <w:t xml:space="preserve">De la información requerida, fue necesario allegarse de diversas normatividades que refiere que el Sujeto Obligado en conjunto con la el Instituto de la Salud de Estado mexica, son la encargadas del suministro de medicamentos, pero como no se tiene la certeza de quien es el encargado de poseer la información, se propone la emisión del acuerdo de </w:t>
      </w:r>
      <w:r w:rsidR="00396661" w:rsidRPr="007C3AE4">
        <w:rPr>
          <w:rFonts w:ascii="Palatino Linotype" w:eastAsia="Calibri" w:hAnsi="Palatino Linotype" w:cs="Arial"/>
          <w:sz w:val="24"/>
          <w:szCs w:val="24"/>
        </w:rPr>
        <w:t xml:space="preserve">mediante el cual se sustente la declinación de competencia y ponerlo a disposición del particular, parar brindar mayor seguridad, sobre lo dicho por el Sujeto Obligado, además, </w:t>
      </w:r>
      <w:proofErr w:type="gramStart"/>
      <w:r w:rsidR="00396661" w:rsidRPr="007C3AE4">
        <w:rPr>
          <w:rFonts w:ascii="Palatino Linotype" w:eastAsia="Calibri" w:hAnsi="Palatino Linotype" w:cs="Arial"/>
          <w:sz w:val="24"/>
          <w:szCs w:val="24"/>
        </w:rPr>
        <w:t>que</w:t>
      </w:r>
      <w:proofErr w:type="gramEnd"/>
      <w:r w:rsidR="00396661" w:rsidRPr="007C3AE4">
        <w:rPr>
          <w:rFonts w:ascii="Palatino Linotype" w:eastAsia="Calibri" w:hAnsi="Palatino Linotype" w:cs="Arial"/>
          <w:sz w:val="24"/>
          <w:szCs w:val="24"/>
        </w:rPr>
        <w:t xml:space="preserve"> si en actos futuros se demuestra lo contrario, podría ser utilizado como medio probatorio, dejando a salvo sus derechos del solicitante para presentar su solicitud ante el Sujeto Obligado competente.</w:t>
      </w:r>
    </w:p>
    <w:p w14:paraId="717A91AD" w14:textId="77777777" w:rsidR="009C0CC5" w:rsidRPr="007C3AE4" w:rsidRDefault="00396661" w:rsidP="00396661">
      <w:pPr>
        <w:spacing w:before="100" w:beforeAutospacing="1" w:after="100" w:afterAutospacing="1" w:line="360" w:lineRule="auto"/>
        <w:ind w:left="360"/>
        <w:contextualSpacing/>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sz w:val="24"/>
          <w:szCs w:val="24"/>
          <w:lang w:val="es-ES_tradnl" w:eastAsia="es-ES"/>
        </w:rPr>
        <w:t xml:space="preserve">Asimismo, se determinó ordenar la entrega de la información </w:t>
      </w:r>
      <w:r w:rsidR="009C0CC5" w:rsidRPr="007C3AE4">
        <w:rPr>
          <w:rFonts w:ascii="Palatino Linotype" w:eastAsia="MS Mincho" w:hAnsi="Palatino Linotype" w:cs="Times New Roman"/>
          <w:sz w:val="24"/>
          <w:szCs w:val="24"/>
          <w:lang w:val="es-ES_tradnl" w:eastAsia="es-ES"/>
        </w:rPr>
        <w:t xml:space="preserve">correspondiente a las adquisiciones de bines o servicios, toda vez </w:t>
      </w:r>
      <w:proofErr w:type="gramStart"/>
      <w:r w:rsidR="009C0CC5" w:rsidRPr="007C3AE4">
        <w:rPr>
          <w:rFonts w:ascii="Palatino Linotype" w:eastAsia="MS Mincho" w:hAnsi="Palatino Linotype" w:cs="Times New Roman"/>
          <w:sz w:val="24"/>
          <w:szCs w:val="24"/>
          <w:lang w:val="es-ES_tradnl" w:eastAsia="es-ES"/>
        </w:rPr>
        <w:t>que</w:t>
      </w:r>
      <w:proofErr w:type="gramEnd"/>
      <w:r w:rsidR="009C0CC5" w:rsidRPr="007C3AE4">
        <w:rPr>
          <w:rFonts w:ascii="Palatino Linotype" w:eastAsia="MS Mincho" w:hAnsi="Palatino Linotype" w:cs="Times New Roman"/>
          <w:sz w:val="24"/>
          <w:szCs w:val="24"/>
          <w:lang w:val="es-ES_tradnl" w:eastAsia="es-ES"/>
        </w:rPr>
        <w:t xml:space="preserve"> si bien el Sujeto Obligado NO adquiere medicamentos, este realizar adquisiciones de otra índole.</w:t>
      </w:r>
    </w:p>
    <w:p w14:paraId="06339A81" w14:textId="77777777" w:rsidR="009C0CC5" w:rsidRPr="007C3AE4" w:rsidRDefault="009C0CC5" w:rsidP="00396661">
      <w:pPr>
        <w:spacing w:before="100" w:beforeAutospacing="1" w:after="100" w:afterAutospacing="1" w:line="360" w:lineRule="auto"/>
        <w:ind w:left="360"/>
        <w:contextualSpacing/>
        <w:jc w:val="both"/>
        <w:rPr>
          <w:rFonts w:ascii="Palatino Linotype" w:eastAsia="MS Mincho" w:hAnsi="Palatino Linotype" w:cs="Times New Roman"/>
          <w:sz w:val="24"/>
          <w:szCs w:val="24"/>
          <w:lang w:val="es-ES_tradnl" w:eastAsia="es-ES"/>
        </w:rPr>
      </w:pPr>
    </w:p>
    <w:p w14:paraId="04BAF5B3" w14:textId="77777777" w:rsidR="0082431B" w:rsidRPr="007C3AE4" w:rsidRDefault="0082431B" w:rsidP="00970D88">
      <w:pPr>
        <w:spacing w:before="240" w:after="240" w:line="360" w:lineRule="auto"/>
        <w:rPr>
          <w:rFonts w:ascii="Palatino Linotype" w:eastAsia="MS Mincho" w:hAnsi="Palatino Linotype" w:cs="Times New Roman"/>
          <w:b/>
          <w:sz w:val="24"/>
          <w:szCs w:val="24"/>
          <w:lang w:val="es-ES_tradnl" w:eastAsia="es-ES"/>
        </w:rPr>
      </w:pPr>
      <w:r w:rsidRPr="007C3AE4">
        <w:rPr>
          <w:rFonts w:ascii="Palatino Linotype" w:eastAsia="MS Mincho" w:hAnsi="Palatino Linotype" w:cs="Times New Roman"/>
          <w:b/>
          <w:sz w:val="24"/>
          <w:szCs w:val="24"/>
          <w:lang w:val="es-ES_tradnl" w:eastAsia="es-ES"/>
        </w:rPr>
        <w:t>Resolutivos:</w:t>
      </w:r>
    </w:p>
    <w:p w14:paraId="1370754C" w14:textId="77777777" w:rsidR="009C0CC5" w:rsidRPr="007C3AE4" w:rsidRDefault="009C0CC5" w:rsidP="009C0CC5">
      <w:pPr>
        <w:spacing w:before="240" w:after="360" w:line="360" w:lineRule="auto"/>
        <w:jc w:val="both"/>
        <w:rPr>
          <w:rFonts w:ascii="Palatino Linotype" w:eastAsia="Calibri" w:hAnsi="Palatino Linotype" w:cs="Arial"/>
          <w:bCs/>
          <w:i/>
          <w:sz w:val="24"/>
          <w:szCs w:val="24"/>
          <w:lang w:val="es-ES" w:eastAsia="es-ES"/>
        </w:rPr>
      </w:pPr>
      <w:r w:rsidRPr="007C3AE4">
        <w:rPr>
          <w:rFonts w:ascii="Palatino Linotype" w:hAnsi="Palatino Linotype" w:cs="Arial"/>
          <w:i/>
          <w:sz w:val="24"/>
          <w:szCs w:val="24"/>
        </w:rPr>
        <w:lastRenderedPageBreak/>
        <w:t>PRIMERO</w:t>
      </w:r>
      <w:r w:rsidRPr="007C3AE4">
        <w:rPr>
          <w:rFonts w:ascii="Palatino Linotype" w:eastAsia="Times New Roman" w:hAnsi="Palatino Linotype" w:cs="Arial"/>
          <w:i/>
          <w:sz w:val="24"/>
          <w:szCs w:val="24"/>
          <w:lang w:val="es-ES_tradnl" w:eastAsia="es-ES"/>
        </w:rPr>
        <w:t xml:space="preserve">. </w:t>
      </w:r>
      <w:r w:rsidRPr="007C3AE4">
        <w:rPr>
          <w:rFonts w:ascii="Palatino Linotype" w:eastAsia="Times New Roman" w:hAnsi="Palatino Linotype" w:cs="Arial"/>
          <w:i/>
          <w:sz w:val="24"/>
          <w:szCs w:val="24"/>
          <w:lang w:val="es-ES" w:eastAsia="es-ES"/>
        </w:rPr>
        <w:t xml:space="preserve">Resultan fundadas las razones y motivos hechos valer </w:t>
      </w:r>
      <w:r w:rsidRPr="007C3AE4">
        <w:rPr>
          <w:rFonts w:ascii="Palatino Linotype" w:eastAsia="Calibri" w:hAnsi="Palatino Linotype" w:cs="Arial"/>
          <w:i/>
          <w:sz w:val="24"/>
          <w:szCs w:val="24"/>
          <w:lang w:val="es-ES" w:eastAsia="es-ES"/>
        </w:rPr>
        <w:t xml:space="preserve">en los recursos de revisión </w:t>
      </w:r>
      <w:r w:rsidRPr="007C3AE4">
        <w:rPr>
          <w:rFonts w:ascii="Palatino Linotype" w:eastAsia="Times New Roman" w:hAnsi="Palatino Linotype" w:cs="Times New Roman"/>
          <w:i/>
          <w:sz w:val="24"/>
          <w:szCs w:val="24"/>
          <w:lang w:val="es-ES_tradnl" w:eastAsia="es-ES"/>
        </w:rPr>
        <w:t>00083/INFOEM/IP/RR/2021 y 00126/INFOEM/IP/RR/2021 en términos de los considerandos QUINTO y SEXTO de la presente resolución.</w:t>
      </w:r>
    </w:p>
    <w:p w14:paraId="5C50B0F6" w14:textId="77777777" w:rsidR="009C0CC5" w:rsidRPr="007C3AE4" w:rsidRDefault="009C0CC5" w:rsidP="009C0CC5">
      <w:pPr>
        <w:spacing w:before="240" w:after="240" w:line="360" w:lineRule="auto"/>
        <w:jc w:val="both"/>
        <w:rPr>
          <w:rFonts w:ascii="Palatino Linotype" w:eastAsia="Calibri" w:hAnsi="Palatino Linotype" w:cs="Arial"/>
          <w:i/>
          <w:sz w:val="24"/>
          <w:szCs w:val="24"/>
          <w:lang w:eastAsia="es-ES"/>
        </w:rPr>
      </w:pPr>
      <w:r w:rsidRPr="007C3AE4">
        <w:rPr>
          <w:rFonts w:ascii="Palatino Linotype" w:eastAsia="Calibri" w:hAnsi="Palatino Linotype" w:cs="Arial"/>
          <w:bCs/>
          <w:i/>
          <w:sz w:val="24"/>
          <w:szCs w:val="24"/>
          <w:lang w:val="es-ES" w:eastAsia="es-ES"/>
        </w:rPr>
        <w:t xml:space="preserve">SEGUNDO. </w:t>
      </w:r>
      <w:r w:rsidRPr="007C3AE4">
        <w:rPr>
          <w:rFonts w:ascii="Palatino Linotype" w:eastAsia="Calibri" w:hAnsi="Palatino Linotype" w:cs="Arial"/>
          <w:i/>
          <w:sz w:val="24"/>
          <w:szCs w:val="24"/>
          <w:lang w:val="es-ES" w:eastAsia="es-ES"/>
        </w:rPr>
        <w:t xml:space="preserve">Se MODIFICAN las respuestas emitidas por la Secretaría de Salud </w:t>
      </w:r>
      <w:r w:rsidRPr="007C3AE4">
        <w:rPr>
          <w:rFonts w:ascii="Palatino Linotype" w:eastAsia="MS Gothic" w:hAnsi="Palatino Linotype" w:cs="Times New Roman"/>
          <w:i/>
          <w:sz w:val="24"/>
          <w:szCs w:val="24"/>
        </w:rPr>
        <w:t>y se ORDENA</w:t>
      </w:r>
      <w:r w:rsidRPr="007C3AE4">
        <w:rPr>
          <w:rFonts w:ascii="Palatino Linotype" w:eastAsia="Calibri" w:hAnsi="Palatino Linotype" w:cs="Arial"/>
          <w:i/>
          <w:sz w:val="24"/>
          <w:szCs w:val="24"/>
          <w:lang w:val="es-ES" w:eastAsia="es-ES"/>
        </w:rPr>
        <w:t xml:space="preserve"> entregar la información vía Sistema de Acceso a la Información Mexiquense (SAIMEX) y correo electrónico señalado en </w:t>
      </w:r>
      <w:proofErr w:type="gramStart"/>
      <w:r w:rsidRPr="007C3AE4">
        <w:rPr>
          <w:rFonts w:ascii="Palatino Linotype" w:eastAsia="Calibri" w:hAnsi="Palatino Linotype" w:cs="Arial"/>
          <w:i/>
          <w:sz w:val="24"/>
          <w:szCs w:val="24"/>
          <w:lang w:val="es-ES" w:eastAsia="es-ES"/>
        </w:rPr>
        <w:t>la solicitudes</w:t>
      </w:r>
      <w:proofErr w:type="gramEnd"/>
      <w:r w:rsidRPr="007C3AE4">
        <w:rPr>
          <w:rFonts w:ascii="Palatino Linotype" w:eastAsia="Calibri" w:hAnsi="Palatino Linotype" w:cs="Arial"/>
          <w:i/>
          <w:sz w:val="24"/>
          <w:szCs w:val="24"/>
          <w:lang w:val="es-ES" w:eastAsia="es-ES"/>
        </w:rPr>
        <w:t>, previa búsqueda exhaustiva, en versión pública de ser el caso, del periodo comprendido del siete de diciembre de dos mil diecinueve al siete de diciembre de dos mil veinte, de lo siguiente</w:t>
      </w:r>
      <w:r w:rsidRPr="007C3AE4">
        <w:rPr>
          <w:rFonts w:ascii="Palatino Linotype" w:eastAsia="Calibri" w:hAnsi="Palatino Linotype" w:cs="Arial"/>
          <w:i/>
          <w:sz w:val="24"/>
          <w:szCs w:val="24"/>
          <w:lang w:eastAsia="es-ES"/>
        </w:rPr>
        <w:t>:</w:t>
      </w:r>
    </w:p>
    <w:p w14:paraId="1EA1AABB" w14:textId="77777777" w:rsidR="009C0CC5" w:rsidRPr="007C3AE4" w:rsidRDefault="009C0CC5" w:rsidP="009C0CC5">
      <w:pPr>
        <w:spacing w:after="0" w:line="360" w:lineRule="auto"/>
        <w:ind w:right="567"/>
        <w:contextualSpacing/>
        <w:jc w:val="both"/>
        <w:rPr>
          <w:rFonts w:ascii="Palatino Linotype" w:hAnsi="Palatino Linotype"/>
          <w:i/>
          <w:sz w:val="24"/>
          <w:szCs w:val="24"/>
        </w:rPr>
      </w:pPr>
      <w:r w:rsidRPr="007C3AE4">
        <w:rPr>
          <w:rFonts w:ascii="Palatino Linotype" w:eastAsia="MS Mincho" w:hAnsi="Palatino Linotype" w:cstheme="majorBidi"/>
          <w:i/>
          <w:sz w:val="24"/>
          <w:szCs w:val="24"/>
          <w:lang w:val="es-ES_tradnl" w:eastAsia="es-ES"/>
        </w:rPr>
        <w:t xml:space="preserve">         </w:t>
      </w:r>
    </w:p>
    <w:p w14:paraId="3B1F87D9" w14:textId="77777777" w:rsidR="009C0CC5" w:rsidRPr="007C3AE4" w:rsidRDefault="009C0CC5" w:rsidP="009C0CC5">
      <w:pPr>
        <w:pStyle w:val="Prrafodelista"/>
        <w:numPr>
          <w:ilvl w:val="0"/>
          <w:numId w:val="4"/>
        </w:numPr>
        <w:spacing w:after="0" w:line="360" w:lineRule="auto"/>
        <w:ind w:right="615"/>
        <w:jc w:val="both"/>
        <w:rPr>
          <w:rFonts w:ascii="Palatino Linotype" w:eastAsia="Times New Roman" w:hAnsi="Palatino Linotype" w:cs="Arial"/>
          <w:i/>
          <w:sz w:val="24"/>
          <w:szCs w:val="24"/>
          <w:lang w:val="es-ES_tradnl" w:eastAsia="es-ES"/>
        </w:rPr>
      </w:pPr>
      <w:r w:rsidRPr="007C3AE4">
        <w:rPr>
          <w:rFonts w:ascii="Palatino Linotype" w:eastAsia="Calibri" w:hAnsi="Palatino Linotype" w:cs="Arial"/>
          <w:i/>
          <w:sz w:val="24"/>
          <w:szCs w:val="24"/>
          <w:lang w:val="es-ES_tradnl" w:eastAsia="es-ES"/>
        </w:rPr>
        <w:t>El Acuerdo que emita el Comité de Transparencia en el que confirme la declaración de incompetencia del SUJETO OBLIGADO respecto de la información correspondiente a la adquisición de medicamentos.</w:t>
      </w:r>
    </w:p>
    <w:p w14:paraId="43AB6759" w14:textId="77777777" w:rsidR="009C0CC5" w:rsidRPr="007C3AE4" w:rsidRDefault="009C0CC5" w:rsidP="009C0CC5">
      <w:pPr>
        <w:numPr>
          <w:ilvl w:val="0"/>
          <w:numId w:val="4"/>
        </w:numPr>
        <w:spacing w:after="0" w:line="360" w:lineRule="auto"/>
        <w:ind w:right="567"/>
        <w:contextualSpacing/>
        <w:jc w:val="both"/>
        <w:rPr>
          <w:rFonts w:ascii="Palatino Linotype" w:eastAsia="MS Mincho" w:hAnsi="Palatino Linotype" w:cstheme="majorBidi"/>
          <w:i/>
          <w:sz w:val="24"/>
          <w:szCs w:val="24"/>
          <w:lang w:eastAsia="es-ES"/>
        </w:rPr>
      </w:pPr>
      <w:r w:rsidRPr="007C3AE4">
        <w:rPr>
          <w:rFonts w:ascii="Palatino Linotype" w:eastAsiaTheme="minorEastAsia" w:hAnsi="Palatino Linotype"/>
          <w:i/>
          <w:sz w:val="24"/>
          <w:szCs w:val="24"/>
          <w:lang w:val="es-ES_tradnl" w:eastAsia="es-ES"/>
        </w:rPr>
        <w:t xml:space="preserve">Soporte documental donde conste las adquisiciones, arrendamientos y prestaciones de servicios, realizadas en cualquier modalidad. </w:t>
      </w:r>
    </w:p>
    <w:p w14:paraId="21A8A12B" w14:textId="77777777" w:rsidR="009C0CC5" w:rsidRPr="007C3AE4" w:rsidRDefault="009C0CC5" w:rsidP="009C0CC5">
      <w:pPr>
        <w:numPr>
          <w:ilvl w:val="0"/>
          <w:numId w:val="4"/>
        </w:numPr>
        <w:spacing w:after="0" w:line="360" w:lineRule="auto"/>
        <w:ind w:right="567"/>
        <w:contextualSpacing/>
        <w:jc w:val="both"/>
        <w:rPr>
          <w:rFonts w:ascii="Palatino Linotype" w:eastAsia="MS Mincho" w:hAnsi="Palatino Linotype" w:cstheme="majorBidi"/>
          <w:i/>
          <w:sz w:val="24"/>
          <w:szCs w:val="24"/>
          <w:lang w:eastAsia="es-ES"/>
        </w:rPr>
      </w:pPr>
      <w:r w:rsidRPr="007C3AE4">
        <w:rPr>
          <w:rFonts w:ascii="Palatino Linotype" w:eastAsiaTheme="minorEastAsia" w:hAnsi="Palatino Linotype"/>
          <w:i/>
          <w:sz w:val="24"/>
          <w:szCs w:val="24"/>
          <w:lang w:val="es-ES_tradnl" w:eastAsia="es-ES"/>
        </w:rPr>
        <w:t>Soporte documental que dé cuenta de la autorización del Comité de Adquisiciones, para la ejecución de las adquisiciones, arrendamientos y prestaciones de servicios.</w:t>
      </w:r>
    </w:p>
    <w:p w14:paraId="5D3BAE4F" w14:textId="77777777" w:rsidR="009C0CC5" w:rsidRPr="007C3AE4" w:rsidRDefault="009C0CC5" w:rsidP="00970D88">
      <w:pPr>
        <w:spacing w:before="240" w:after="240" w:line="360" w:lineRule="auto"/>
        <w:rPr>
          <w:rFonts w:ascii="Palatino Linotype" w:eastAsia="MS Mincho" w:hAnsi="Palatino Linotype" w:cs="Times New Roman"/>
          <w:b/>
          <w:sz w:val="24"/>
          <w:szCs w:val="24"/>
          <w:lang w:val="es-ES_tradnl" w:eastAsia="es-ES"/>
        </w:rPr>
      </w:pPr>
    </w:p>
    <w:p w14:paraId="559AF5AC" w14:textId="77777777" w:rsidR="009C0CC5" w:rsidRPr="007C3AE4" w:rsidRDefault="009C0CC5" w:rsidP="00970D88">
      <w:pPr>
        <w:spacing w:before="240" w:after="240" w:line="360" w:lineRule="auto"/>
        <w:rPr>
          <w:rFonts w:ascii="Palatino Linotype" w:eastAsia="MS Mincho" w:hAnsi="Palatino Linotype" w:cs="Times New Roman"/>
          <w:b/>
          <w:sz w:val="24"/>
          <w:szCs w:val="24"/>
          <w:lang w:val="es-ES_tradnl" w:eastAsia="es-ES"/>
        </w:rPr>
      </w:pPr>
    </w:p>
    <w:p w14:paraId="34CFB3AF" w14:textId="77777777" w:rsidR="0082431B" w:rsidRPr="007C3AE4" w:rsidRDefault="0082431B" w:rsidP="00970D88">
      <w:pPr>
        <w:spacing w:before="240" w:after="240" w:line="360" w:lineRule="auto"/>
        <w:rPr>
          <w:rFonts w:ascii="Palatino Linotype" w:eastAsia="MS Mincho" w:hAnsi="Palatino Linotype" w:cs="Times New Roman"/>
          <w:b/>
          <w:sz w:val="24"/>
          <w:szCs w:val="24"/>
          <w:lang w:val="es-ES_tradnl" w:eastAsia="es-ES"/>
        </w:rPr>
      </w:pPr>
    </w:p>
    <w:p w14:paraId="1F2CFF24" w14:textId="77777777" w:rsidR="0082431B" w:rsidRPr="007C3AE4" w:rsidRDefault="0082431B" w:rsidP="00970D88">
      <w:pPr>
        <w:spacing w:before="240" w:after="240" w:line="360" w:lineRule="auto"/>
        <w:rPr>
          <w:rFonts w:ascii="Palatino Linotype" w:eastAsia="MS Mincho" w:hAnsi="Palatino Linotype" w:cs="Times New Roman"/>
          <w:b/>
          <w:sz w:val="24"/>
          <w:szCs w:val="24"/>
          <w:lang w:val="es-ES_tradnl" w:eastAsia="es-ES"/>
        </w:rPr>
      </w:pPr>
    </w:p>
    <w:p w14:paraId="1C44D542" w14:textId="77777777" w:rsidR="002313B0" w:rsidRPr="007C3AE4" w:rsidRDefault="002313B0" w:rsidP="00970D88">
      <w:pPr>
        <w:spacing w:before="240" w:after="240" w:line="360" w:lineRule="auto"/>
        <w:rPr>
          <w:rFonts w:ascii="Palatino Linotype" w:eastAsia="MS Mincho" w:hAnsi="Palatino Linotype" w:cs="Times New Roman"/>
          <w:b/>
          <w:sz w:val="24"/>
          <w:szCs w:val="24"/>
          <w:lang w:val="es-ES_tradnl" w:eastAsia="es-ES"/>
        </w:rPr>
      </w:pPr>
    </w:p>
    <w:p w14:paraId="17B5FBE7" w14:textId="77777777" w:rsidR="00970D88" w:rsidRPr="007C3AE4" w:rsidRDefault="00970D88" w:rsidP="00970D88">
      <w:pPr>
        <w:spacing w:before="240" w:after="240" w:line="360" w:lineRule="auto"/>
        <w:rPr>
          <w:rFonts w:ascii="Palatino Linotype" w:eastAsia="MS Mincho" w:hAnsi="Palatino Linotype" w:cs="Times New Roman"/>
          <w:b/>
          <w:sz w:val="24"/>
          <w:szCs w:val="24"/>
          <w:lang w:val="es-ES_tradnl" w:eastAsia="es-ES"/>
        </w:rPr>
      </w:pPr>
      <w:r w:rsidRPr="007C3AE4">
        <w:rPr>
          <w:rFonts w:ascii="Palatino Linotype" w:eastAsia="MS Mincho" w:hAnsi="Palatino Linotype" w:cs="Times New Roman"/>
          <w:b/>
          <w:sz w:val="24"/>
          <w:szCs w:val="24"/>
          <w:lang w:val="es-ES_tradnl" w:eastAsia="es-ES"/>
        </w:rPr>
        <w:t>LÍNEAS ARGUMENTATIVAS.</w:t>
      </w:r>
    </w:p>
    <w:p w14:paraId="3B8D85DD" w14:textId="77777777" w:rsidR="00970D88" w:rsidRPr="007C3AE4" w:rsidRDefault="00970D88" w:rsidP="00970D88">
      <w:pPr>
        <w:spacing w:before="240" w:after="240" w:line="360" w:lineRule="auto"/>
        <w:jc w:val="both"/>
        <w:rPr>
          <w:rFonts w:ascii="Palatino Linotype" w:eastAsia="Times New Roman" w:hAnsi="Palatino Linotype"/>
          <w:sz w:val="24"/>
          <w:szCs w:val="24"/>
          <w:lang w:val="es-ES_tradnl" w:eastAsia="es-ES"/>
        </w:rPr>
      </w:pPr>
      <w:r w:rsidRPr="007C3AE4">
        <w:rPr>
          <w:rFonts w:ascii="Palatino Linotype" w:eastAsia="Times New Roman" w:hAnsi="Palatino Linotype"/>
          <w:b/>
          <w:sz w:val="24"/>
          <w:szCs w:val="24"/>
          <w:lang w:eastAsia="es-ES"/>
        </w:rPr>
        <w:t xml:space="preserve">DE LAS RESPUESTAS INCOMPLETAS Y DEFICIENTES. </w:t>
      </w:r>
      <w:r w:rsidRPr="007C3AE4">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7C3AE4">
        <w:rPr>
          <w:rFonts w:ascii="Palatino Linotype" w:eastAsia="Times New Roman" w:hAnsi="Palatino Linotype"/>
          <w:sz w:val="24"/>
          <w:szCs w:val="24"/>
          <w:lang w:eastAsia="es-ES"/>
        </w:rPr>
        <w:t>trae</w:t>
      </w:r>
      <w:proofErr w:type="gramEnd"/>
      <w:r w:rsidRPr="007C3AE4">
        <w:rPr>
          <w:rFonts w:ascii="Palatino Linotype" w:eastAsia="Times New Roman" w:hAnsi="Palatino Linotype"/>
          <w:sz w:val="24"/>
          <w:szCs w:val="24"/>
          <w:lang w:eastAsia="es-ES"/>
        </w:rPr>
        <w:t xml:space="preserve"> como consecuencia que se retrase el </w:t>
      </w:r>
      <w:r w:rsidRPr="007C3AE4">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3F554AEC" w14:textId="77777777" w:rsidR="003C6489" w:rsidRPr="007C3AE4" w:rsidRDefault="003C6489" w:rsidP="003C6489">
      <w:pPr>
        <w:spacing w:before="240" w:after="240" w:line="360" w:lineRule="auto"/>
        <w:jc w:val="both"/>
        <w:rPr>
          <w:rFonts w:ascii="Palatino Linotype" w:eastAsia="Arial Unicode MS" w:hAnsi="Palatino Linotype" w:cs="Arial"/>
          <w:sz w:val="24"/>
          <w:szCs w:val="24"/>
          <w:lang w:val="es-ES_tradnl" w:eastAsia="es-ES"/>
        </w:rPr>
      </w:pPr>
      <w:r w:rsidRPr="007C3AE4">
        <w:rPr>
          <w:rFonts w:ascii="Palatino Linotype" w:eastAsia="Arial Unicode MS" w:hAnsi="Palatino Linotype" w:cs="Arial"/>
          <w:b/>
          <w:sz w:val="24"/>
          <w:szCs w:val="24"/>
          <w:lang w:val="es-ES_tradnl" w:eastAsia="es-ES"/>
        </w:rPr>
        <w:t xml:space="preserve">NO ES UNA INVESTIGACIÓN, LA </w:t>
      </w:r>
      <w:r w:rsidR="007C3AE4" w:rsidRPr="007C3AE4">
        <w:rPr>
          <w:rFonts w:ascii="Palatino Linotype" w:eastAsia="Arial Unicode MS" w:hAnsi="Palatino Linotype" w:cs="Arial"/>
          <w:b/>
          <w:sz w:val="24"/>
          <w:szCs w:val="24"/>
          <w:lang w:val="es-ES_tradnl" w:eastAsia="es-ES"/>
        </w:rPr>
        <w:t>BÚSQUEDA</w:t>
      </w:r>
      <w:r w:rsidRPr="007C3AE4">
        <w:rPr>
          <w:rFonts w:ascii="Palatino Linotype" w:eastAsia="Arial Unicode MS" w:hAnsi="Palatino Linotype" w:cs="Arial"/>
          <w:b/>
          <w:sz w:val="24"/>
          <w:szCs w:val="24"/>
          <w:lang w:val="es-ES_tradnl" w:eastAsia="es-ES"/>
        </w:rPr>
        <w:t xml:space="preserve"> QUE PERMITA LOCALIZAR LOS DOCUMENTOS PARA ATENDER UNA SOLICITUD DE ACCESO A LA INFORMACIÓN. </w:t>
      </w:r>
      <w:r w:rsidRPr="007C3AE4">
        <w:rPr>
          <w:rFonts w:ascii="Palatino Linotype" w:eastAsia="Arial Unicode MS" w:hAnsi="Palatino Linotype" w:cs="Arial"/>
          <w:sz w:val="24"/>
          <w:szCs w:val="24"/>
          <w:lang w:val="es-ES_tradnl" w:eastAsia="es-ES"/>
        </w:rPr>
        <w:t xml:space="preserve">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w:t>
      </w:r>
      <w:r w:rsidRPr="007C3AE4">
        <w:rPr>
          <w:rFonts w:ascii="Palatino Linotype" w:eastAsia="Arial Unicode MS" w:hAnsi="Palatino Linotype" w:cs="Arial"/>
          <w:sz w:val="24"/>
          <w:szCs w:val="24"/>
          <w:lang w:val="es-ES_tradnl" w:eastAsia="es-ES"/>
        </w:rPr>
        <w:lastRenderedPageBreak/>
        <w:t>cuales se hacen constar en un nuevo documento que se genera como consecuencia de la investigación practicada.</w:t>
      </w:r>
    </w:p>
    <w:p w14:paraId="46281F31" w14:textId="77777777" w:rsidR="00970D88" w:rsidRPr="007C3AE4" w:rsidRDefault="00970D88" w:rsidP="00970D88">
      <w:pPr>
        <w:spacing w:before="240" w:after="240" w:line="360" w:lineRule="auto"/>
        <w:jc w:val="both"/>
        <w:rPr>
          <w:rFonts w:ascii="Palatino Linotype" w:eastAsia="Arial Unicode MS" w:hAnsi="Palatino Linotype" w:cs="Arial"/>
          <w:sz w:val="24"/>
          <w:szCs w:val="24"/>
          <w:lang w:eastAsia="es-ES"/>
        </w:rPr>
      </w:pPr>
      <w:r w:rsidRPr="007C3AE4">
        <w:rPr>
          <w:rFonts w:ascii="Palatino Linotype" w:eastAsia="Arial Unicode MS" w:hAnsi="Palatino Linotype" w:cs="Arial"/>
          <w:b/>
          <w:sz w:val="24"/>
          <w:szCs w:val="24"/>
          <w:lang w:eastAsia="es-ES"/>
        </w:rPr>
        <w:t>DE LA ELABORACIÓN DE LAS VERSIONES PÚBLICAS</w:t>
      </w:r>
      <w:r w:rsidRPr="007C3AE4">
        <w:rPr>
          <w:rFonts w:ascii="Palatino Linotype" w:eastAsia="Arial Unicode MS" w:hAnsi="Palatino Linotype" w:cs="Arial"/>
          <w:sz w:val="24"/>
          <w:szCs w:val="24"/>
          <w:lang w:eastAsia="es-ES"/>
        </w:rPr>
        <w:t xml:space="preserve">. Los Sujetos </w:t>
      </w:r>
      <w:proofErr w:type="gramStart"/>
      <w:r w:rsidRPr="007C3AE4">
        <w:rPr>
          <w:rFonts w:ascii="Palatino Linotype" w:eastAsia="Arial Unicode MS" w:hAnsi="Palatino Linotype" w:cs="Arial"/>
          <w:sz w:val="24"/>
          <w:szCs w:val="24"/>
          <w:lang w:eastAsia="es-ES"/>
        </w:rPr>
        <w:t>Obligados  deberán</w:t>
      </w:r>
      <w:proofErr w:type="gramEnd"/>
      <w:r w:rsidRPr="007C3AE4">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C418461" w14:textId="77777777" w:rsidR="00970D88" w:rsidRPr="007C3AE4" w:rsidRDefault="00970D88" w:rsidP="00970D88">
      <w:pPr>
        <w:spacing w:before="240" w:after="240" w:line="360" w:lineRule="auto"/>
        <w:jc w:val="both"/>
        <w:rPr>
          <w:rFonts w:ascii="Palatino Linotype" w:eastAsia="Arial Unicode MS" w:hAnsi="Palatino Linotype" w:cs="Arial"/>
          <w:b/>
          <w:sz w:val="24"/>
          <w:szCs w:val="24"/>
          <w:lang w:val="es-ES_tradnl" w:eastAsia="es-ES"/>
        </w:rPr>
      </w:pPr>
      <w:r w:rsidRPr="007C3AE4">
        <w:rPr>
          <w:rFonts w:ascii="Palatino Linotype" w:eastAsia="Arial Unicode MS" w:hAnsi="Palatino Linotype" w:cs="Arial"/>
          <w:b/>
          <w:sz w:val="24"/>
          <w:szCs w:val="24"/>
          <w:lang w:val="es-ES_tradnl" w:eastAsia="es-ES"/>
        </w:rPr>
        <w:t xml:space="preserve">INFORMACIÓN CONFIDENCIAL, CLASIFICACIÓN DE LA. </w:t>
      </w:r>
      <w:r w:rsidRPr="007C3AE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8802E17" w14:textId="77777777" w:rsidR="00970D88" w:rsidRPr="007C3AE4" w:rsidRDefault="00970D88" w:rsidP="00970D88">
      <w:pPr>
        <w:spacing w:before="240" w:after="240" w:line="360" w:lineRule="auto"/>
        <w:jc w:val="both"/>
        <w:rPr>
          <w:rFonts w:ascii="Palatino Linotype" w:eastAsia="MS Mincho" w:hAnsi="Palatino Linotype" w:cs="Arial"/>
          <w:sz w:val="24"/>
          <w:szCs w:val="24"/>
          <w:lang w:val="es-ES_tradnl" w:eastAsia="es-ES"/>
        </w:rPr>
      </w:pPr>
    </w:p>
    <w:p w14:paraId="787512AD" w14:textId="77777777" w:rsidR="00970D88" w:rsidRPr="007C3AE4" w:rsidRDefault="00970D88" w:rsidP="00970D88">
      <w:pPr>
        <w:spacing w:before="240" w:after="240" w:line="360" w:lineRule="auto"/>
        <w:jc w:val="both"/>
        <w:rPr>
          <w:rFonts w:ascii="Palatino Linotype" w:eastAsia="MS Mincho" w:hAnsi="Palatino Linotype" w:cs="Arial"/>
          <w:sz w:val="24"/>
          <w:szCs w:val="24"/>
          <w:lang w:val="es-ES_tradnl" w:eastAsia="es-ES"/>
        </w:rPr>
      </w:pPr>
    </w:p>
    <w:p w14:paraId="3E5A6D62" w14:textId="77777777" w:rsidR="003C6489" w:rsidRPr="007C3AE4" w:rsidRDefault="003C6489" w:rsidP="00970D88">
      <w:pPr>
        <w:spacing w:before="240" w:after="240" w:line="360" w:lineRule="auto"/>
        <w:jc w:val="both"/>
        <w:rPr>
          <w:rFonts w:ascii="Palatino Linotype" w:eastAsia="MS Mincho" w:hAnsi="Palatino Linotype" w:cs="Arial"/>
          <w:sz w:val="24"/>
          <w:szCs w:val="24"/>
          <w:lang w:val="es-ES_tradnl" w:eastAsia="es-ES"/>
        </w:rPr>
      </w:pPr>
    </w:p>
    <w:p w14:paraId="2E23303B" w14:textId="77777777" w:rsidR="002313B0" w:rsidRPr="007C3AE4" w:rsidRDefault="002313B0" w:rsidP="00970D88">
      <w:pPr>
        <w:spacing w:before="240" w:after="240" w:line="360" w:lineRule="auto"/>
        <w:jc w:val="both"/>
        <w:rPr>
          <w:rFonts w:ascii="Palatino Linotype" w:eastAsia="MS Mincho" w:hAnsi="Palatino Linotype" w:cs="Arial"/>
          <w:sz w:val="24"/>
          <w:szCs w:val="24"/>
          <w:lang w:val="es-ES_tradnl" w:eastAsia="es-ES"/>
        </w:rPr>
      </w:pPr>
    </w:p>
    <w:p w14:paraId="16FE02EE" w14:textId="77777777" w:rsidR="002313B0" w:rsidRPr="007C3AE4" w:rsidRDefault="002313B0" w:rsidP="00970D88">
      <w:pPr>
        <w:spacing w:before="240" w:after="240" w:line="360" w:lineRule="auto"/>
        <w:jc w:val="both"/>
        <w:rPr>
          <w:rFonts w:ascii="Palatino Linotype" w:eastAsia="MS Mincho" w:hAnsi="Palatino Linotype" w:cs="Arial"/>
          <w:sz w:val="24"/>
          <w:szCs w:val="24"/>
          <w:lang w:val="es-ES_tradnl" w:eastAsia="es-ES"/>
        </w:rPr>
      </w:pPr>
    </w:p>
    <w:p w14:paraId="29C3207B" w14:textId="77777777" w:rsidR="003C6489" w:rsidRPr="007C3AE4" w:rsidRDefault="003C6489" w:rsidP="00970D88">
      <w:pPr>
        <w:spacing w:before="240" w:after="240" w:line="360" w:lineRule="auto"/>
        <w:jc w:val="both"/>
        <w:rPr>
          <w:rFonts w:ascii="Palatino Linotype" w:eastAsia="MS Mincho" w:hAnsi="Palatino Linotype" w:cs="Arial"/>
          <w:sz w:val="24"/>
          <w:szCs w:val="24"/>
          <w:lang w:val="es-ES_tradnl" w:eastAsia="es-ES"/>
        </w:rPr>
      </w:pPr>
    </w:p>
    <w:p w14:paraId="3DC1D51E" w14:textId="77777777" w:rsidR="00970D88" w:rsidRPr="007C3AE4" w:rsidRDefault="00970D88" w:rsidP="00970D88">
      <w:pPr>
        <w:spacing w:before="240" w:after="240" w:line="360" w:lineRule="auto"/>
        <w:jc w:val="center"/>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b/>
          <w:sz w:val="24"/>
          <w:szCs w:val="24"/>
          <w:lang w:val="es-ES_tradnl" w:eastAsia="es-ES"/>
        </w:rPr>
        <w:t>Índice</w:t>
      </w:r>
      <w:r w:rsidRPr="007C3AE4">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5019AFD9" w14:textId="77777777" w:rsidR="00970D88" w:rsidRPr="007C3AE4" w:rsidRDefault="00970D88" w:rsidP="00970D88">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047BEA68" w14:textId="77777777" w:rsidR="002313B0" w:rsidRPr="007C3AE4" w:rsidRDefault="00970D88">
          <w:pPr>
            <w:pStyle w:val="TDC1"/>
            <w:tabs>
              <w:tab w:val="right" w:leader="dot" w:pos="8827"/>
            </w:tabs>
            <w:rPr>
              <w:rFonts w:eastAsiaTheme="minorEastAsia"/>
              <w:noProof/>
              <w:lang w:eastAsia="es-MX"/>
            </w:rPr>
          </w:pPr>
          <w:r w:rsidRPr="007C3AE4">
            <w:fldChar w:fldCharType="begin"/>
          </w:r>
          <w:r w:rsidRPr="007C3AE4">
            <w:instrText xml:space="preserve"> TOC \o "1-3" \h \z \u </w:instrText>
          </w:r>
          <w:r w:rsidRPr="007C3AE4">
            <w:fldChar w:fldCharType="separate"/>
          </w:r>
          <w:hyperlink w:anchor="_Toc66352317" w:history="1">
            <w:r w:rsidR="002313B0" w:rsidRPr="007C3AE4">
              <w:rPr>
                <w:rStyle w:val="Hipervnculo"/>
                <w:rFonts w:ascii="Palatino Linotype" w:eastAsia="MS Gothic" w:hAnsi="Palatino Linotype" w:cs="Times New Roman"/>
                <w:b/>
                <w:noProof/>
              </w:rPr>
              <w:t>A N T E C E D E N T E S</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_Toc66352317 \h </w:instrText>
            </w:r>
            <w:r w:rsidR="002313B0" w:rsidRPr="007C3AE4">
              <w:rPr>
                <w:noProof/>
                <w:webHidden/>
              </w:rPr>
            </w:r>
            <w:r w:rsidR="002313B0" w:rsidRPr="007C3AE4">
              <w:rPr>
                <w:noProof/>
                <w:webHidden/>
              </w:rPr>
              <w:fldChar w:fldCharType="separate"/>
            </w:r>
            <w:r w:rsidR="002313B0" w:rsidRPr="007C3AE4">
              <w:rPr>
                <w:noProof/>
                <w:webHidden/>
              </w:rPr>
              <w:t>5</w:t>
            </w:r>
            <w:r w:rsidR="002313B0" w:rsidRPr="007C3AE4">
              <w:rPr>
                <w:noProof/>
                <w:webHidden/>
              </w:rPr>
              <w:fldChar w:fldCharType="end"/>
            </w:r>
          </w:hyperlink>
        </w:p>
        <w:p w14:paraId="20DC51B4" w14:textId="77777777" w:rsidR="002313B0" w:rsidRPr="007C3AE4" w:rsidRDefault="006468E4">
          <w:pPr>
            <w:pStyle w:val="TDC1"/>
            <w:tabs>
              <w:tab w:val="right" w:leader="dot" w:pos="8827"/>
            </w:tabs>
            <w:rPr>
              <w:rFonts w:eastAsiaTheme="minorEastAsia"/>
              <w:noProof/>
              <w:lang w:eastAsia="es-MX"/>
            </w:rPr>
          </w:pPr>
          <w:hyperlink w:anchor="_Toc66352318" w:history="1">
            <w:r w:rsidR="002313B0" w:rsidRPr="007C3AE4">
              <w:rPr>
                <w:rStyle w:val="Hipervnculo"/>
                <w:rFonts w:ascii="Palatino Linotype" w:eastAsia="MS Mincho" w:hAnsi="Palatino Linotype" w:cs="Times New Roman"/>
                <w:b/>
                <w:noProof/>
                <w:lang w:val="es-ES_tradnl" w:eastAsia="es-ES"/>
              </w:rPr>
              <w:t>C O N S I D E R A N D O</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_Toc66352318 \h </w:instrText>
            </w:r>
            <w:r w:rsidR="002313B0" w:rsidRPr="007C3AE4">
              <w:rPr>
                <w:noProof/>
                <w:webHidden/>
              </w:rPr>
            </w:r>
            <w:r w:rsidR="002313B0" w:rsidRPr="007C3AE4">
              <w:rPr>
                <w:noProof/>
                <w:webHidden/>
              </w:rPr>
              <w:fldChar w:fldCharType="separate"/>
            </w:r>
            <w:r w:rsidR="002313B0" w:rsidRPr="007C3AE4">
              <w:rPr>
                <w:noProof/>
                <w:webHidden/>
              </w:rPr>
              <w:t>11</w:t>
            </w:r>
            <w:r w:rsidR="002313B0" w:rsidRPr="007C3AE4">
              <w:rPr>
                <w:noProof/>
                <w:webHidden/>
              </w:rPr>
              <w:fldChar w:fldCharType="end"/>
            </w:r>
          </w:hyperlink>
        </w:p>
        <w:p w14:paraId="3F372987" w14:textId="77777777" w:rsidR="002313B0" w:rsidRPr="007C3AE4" w:rsidRDefault="006468E4">
          <w:pPr>
            <w:pStyle w:val="TDC1"/>
            <w:tabs>
              <w:tab w:val="right" w:leader="dot" w:pos="8827"/>
            </w:tabs>
            <w:rPr>
              <w:rFonts w:eastAsiaTheme="minorEastAsia"/>
              <w:noProof/>
              <w:lang w:eastAsia="es-MX"/>
            </w:rPr>
          </w:pPr>
          <w:hyperlink w:anchor="_Toc66352319" w:history="1">
            <w:r w:rsidR="002313B0" w:rsidRPr="007C3AE4">
              <w:rPr>
                <w:rStyle w:val="Hipervnculo"/>
                <w:rFonts w:ascii="Palatino Linotype" w:eastAsia="MS Gothic" w:hAnsi="Palatino Linotype" w:cs="Times New Roman"/>
                <w:b/>
                <w:noProof/>
              </w:rPr>
              <w:t>PRIMERO. De la competencia.</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_Toc66352319 \h </w:instrText>
            </w:r>
            <w:r w:rsidR="002313B0" w:rsidRPr="007C3AE4">
              <w:rPr>
                <w:noProof/>
                <w:webHidden/>
              </w:rPr>
            </w:r>
            <w:r w:rsidR="002313B0" w:rsidRPr="007C3AE4">
              <w:rPr>
                <w:noProof/>
                <w:webHidden/>
              </w:rPr>
              <w:fldChar w:fldCharType="separate"/>
            </w:r>
            <w:r w:rsidR="002313B0" w:rsidRPr="007C3AE4">
              <w:rPr>
                <w:noProof/>
                <w:webHidden/>
              </w:rPr>
              <w:t>11</w:t>
            </w:r>
            <w:r w:rsidR="002313B0" w:rsidRPr="007C3AE4">
              <w:rPr>
                <w:noProof/>
                <w:webHidden/>
              </w:rPr>
              <w:fldChar w:fldCharType="end"/>
            </w:r>
          </w:hyperlink>
        </w:p>
        <w:p w14:paraId="4240F04B" w14:textId="77777777" w:rsidR="002313B0" w:rsidRPr="007C3AE4" w:rsidRDefault="006468E4">
          <w:pPr>
            <w:pStyle w:val="TDC1"/>
            <w:tabs>
              <w:tab w:val="right" w:leader="dot" w:pos="8827"/>
            </w:tabs>
            <w:rPr>
              <w:rFonts w:eastAsiaTheme="minorEastAsia"/>
              <w:noProof/>
              <w:lang w:eastAsia="es-MX"/>
            </w:rPr>
          </w:pPr>
          <w:hyperlink w:anchor="_Toc66352320" w:history="1">
            <w:r w:rsidR="002313B0" w:rsidRPr="007C3AE4">
              <w:rPr>
                <w:rStyle w:val="Hipervnculo"/>
                <w:rFonts w:ascii="Palatino Linotype" w:eastAsia="MS Gothic" w:hAnsi="Palatino Linotype" w:cs="Times New Roman"/>
                <w:b/>
                <w:noProof/>
              </w:rPr>
              <w:t>SEGUNDO. De la oportunidad y procedencia.</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_Toc66352320 \h </w:instrText>
            </w:r>
            <w:r w:rsidR="002313B0" w:rsidRPr="007C3AE4">
              <w:rPr>
                <w:noProof/>
                <w:webHidden/>
              </w:rPr>
            </w:r>
            <w:r w:rsidR="002313B0" w:rsidRPr="007C3AE4">
              <w:rPr>
                <w:noProof/>
                <w:webHidden/>
              </w:rPr>
              <w:fldChar w:fldCharType="separate"/>
            </w:r>
            <w:r w:rsidR="002313B0" w:rsidRPr="007C3AE4">
              <w:rPr>
                <w:noProof/>
                <w:webHidden/>
              </w:rPr>
              <w:t>12</w:t>
            </w:r>
            <w:r w:rsidR="002313B0" w:rsidRPr="007C3AE4">
              <w:rPr>
                <w:noProof/>
                <w:webHidden/>
              </w:rPr>
              <w:fldChar w:fldCharType="end"/>
            </w:r>
          </w:hyperlink>
        </w:p>
        <w:p w14:paraId="504F3554" w14:textId="77777777" w:rsidR="002313B0" w:rsidRPr="007C3AE4" w:rsidRDefault="006468E4">
          <w:pPr>
            <w:pStyle w:val="TDC1"/>
            <w:tabs>
              <w:tab w:val="right" w:leader="dot" w:pos="8827"/>
            </w:tabs>
            <w:rPr>
              <w:rFonts w:eastAsiaTheme="minorEastAsia"/>
              <w:noProof/>
              <w:lang w:eastAsia="es-MX"/>
            </w:rPr>
          </w:pPr>
          <w:hyperlink w:anchor="_Toc66352321" w:history="1">
            <w:r w:rsidR="002313B0" w:rsidRPr="007C3AE4">
              <w:rPr>
                <w:rStyle w:val="Hipervnculo"/>
                <w:rFonts w:ascii="Palatino Linotype" w:eastAsia="MS Mincho" w:hAnsi="Palatino Linotype" w:cstheme="majorBidi"/>
                <w:b/>
                <w:noProof/>
                <w:lang w:val="es-ES_tradnl" w:eastAsia="es-ES"/>
              </w:rPr>
              <w:t>TERCERO. Previo especial pronunciamiento.</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_Toc66352321 \h </w:instrText>
            </w:r>
            <w:r w:rsidR="002313B0" w:rsidRPr="007C3AE4">
              <w:rPr>
                <w:noProof/>
                <w:webHidden/>
              </w:rPr>
            </w:r>
            <w:r w:rsidR="002313B0" w:rsidRPr="007C3AE4">
              <w:rPr>
                <w:noProof/>
                <w:webHidden/>
              </w:rPr>
              <w:fldChar w:fldCharType="separate"/>
            </w:r>
            <w:r w:rsidR="002313B0" w:rsidRPr="007C3AE4">
              <w:rPr>
                <w:noProof/>
                <w:webHidden/>
              </w:rPr>
              <w:t>13</w:t>
            </w:r>
            <w:r w:rsidR="002313B0" w:rsidRPr="007C3AE4">
              <w:rPr>
                <w:noProof/>
                <w:webHidden/>
              </w:rPr>
              <w:fldChar w:fldCharType="end"/>
            </w:r>
          </w:hyperlink>
        </w:p>
        <w:p w14:paraId="09BDA751" w14:textId="77777777" w:rsidR="002313B0" w:rsidRPr="007C3AE4" w:rsidRDefault="006468E4">
          <w:pPr>
            <w:pStyle w:val="TDC1"/>
            <w:tabs>
              <w:tab w:val="left" w:pos="440"/>
              <w:tab w:val="right" w:leader="dot" w:pos="8827"/>
            </w:tabs>
            <w:rPr>
              <w:rFonts w:eastAsiaTheme="minorEastAsia"/>
              <w:noProof/>
              <w:lang w:eastAsia="es-MX"/>
            </w:rPr>
          </w:pPr>
          <w:hyperlink w:anchor="_Toc66352322" w:history="1">
            <w:r w:rsidR="002313B0" w:rsidRPr="007C3AE4">
              <w:rPr>
                <w:rStyle w:val="Hipervnculo"/>
                <w:rFonts w:ascii="Palatino Linotype" w:eastAsia="MS Mincho" w:hAnsi="Palatino Linotype" w:cs="Times New Roman"/>
                <w:b/>
                <w:i/>
                <w:noProof/>
                <w:lang w:eastAsia="es-ES"/>
              </w:rPr>
              <w:t>A.</w:t>
            </w:r>
            <w:r w:rsidR="002313B0" w:rsidRPr="007C3AE4">
              <w:rPr>
                <w:rFonts w:eastAsiaTheme="minorEastAsia"/>
                <w:noProof/>
                <w:lang w:eastAsia="es-MX"/>
              </w:rPr>
              <w:tab/>
            </w:r>
            <w:r w:rsidR="002313B0" w:rsidRPr="007C3AE4">
              <w:rPr>
                <w:rStyle w:val="Hipervnculo"/>
                <w:rFonts w:ascii="Palatino Linotype" w:eastAsia="MS Mincho" w:hAnsi="Palatino Linotype" w:cs="Times New Roman"/>
                <w:b/>
                <w:i/>
                <w:noProof/>
                <w:lang w:val="es-ES" w:eastAsia="es-ES"/>
              </w:rPr>
              <w:t>De la suspensión de plazos derivado del SARS-Cov-2-COVID-19</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_Toc66352322 \h </w:instrText>
            </w:r>
            <w:r w:rsidR="002313B0" w:rsidRPr="007C3AE4">
              <w:rPr>
                <w:noProof/>
                <w:webHidden/>
              </w:rPr>
            </w:r>
            <w:r w:rsidR="002313B0" w:rsidRPr="007C3AE4">
              <w:rPr>
                <w:noProof/>
                <w:webHidden/>
              </w:rPr>
              <w:fldChar w:fldCharType="separate"/>
            </w:r>
            <w:r w:rsidR="002313B0" w:rsidRPr="007C3AE4">
              <w:rPr>
                <w:noProof/>
                <w:webHidden/>
              </w:rPr>
              <w:t>13</w:t>
            </w:r>
            <w:r w:rsidR="002313B0" w:rsidRPr="007C3AE4">
              <w:rPr>
                <w:noProof/>
                <w:webHidden/>
              </w:rPr>
              <w:fldChar w:fldCharType="end"/>
            </w:r>
          </w:hyperlink>
        </w:p>
        <w:p w14:paraId="4BC8930F" w14:textId="77777777" w:rsidR="002313B0" w:rsidRPr="007C3AE4" w:rsidRDefault="006468E4" w:rsidP="002313B0">
          <w:pPr>
            <w:pStyle w:val="TDC2"/>
            <w:tabs>
              <w:tab w:val="left" w:pos="660"/>
              <w:tab w:val="right" w:leader="dot" w:pos="8827"/>
            </w:tabs>
            <w:ind w:left="0"/>
            <w:rPr>
              <w:rFonts w:eastAsiaTheme="minorEastAsia"/>
              <w:noProof/>
              <w:lang w:eastAsia="es-MX"/>
            </w:rPr>
          </w:pPr>
          <w:hyperlink w:anchor="_Toc66352323" w:history="1">
            <w:r w:rsidR="002313B0" w:rsidRPr="007C3AE4">
              <w:rPr>
                <w:rStyle w:val="Hipervnculo"/>
                <w:rFonts w:ascii="Palatino Linotype" w:eastAsia="Calibri" w:hAnsi="Palatino Linotype" w:cs="Arial"/>
                <w:b/>
                <w:i/>
                <w:noProof/>
                <w:lang w:eastAsia="es-ES"/>
              </w:rPr>
              <w:t>B.</w:t>
            </w:r>
            <w:r w:rsidR="002313B0" w:rsidRPr="007C3AE4">
              <w:rPr>
                <w:rFonts w:eastAsiaTheme="minorEastAsia"/>
                <w:noProof/>
                <w:lang w:eastAsia="es-MX"/>
              </w:rPr>
              <w:tab/>
            </w:r>
            <w:r w:rsidR="002313B0" w:rsidRPr="007C3AE4">
              <w:rPr>
                <w:rStyle w:val="Hipervnculo"/>
                <w:rFonts w:ascii="Palatino Linotype" w:eastAsia="Calibri" w:hAnsi="Palatino Linotype" w:cs="Arial"/>
                <w:b/>
                <w:i/>
                <w:noProof/>
                <w:lang w:eastAsia="es-ES"/>
              </w:rPr>
              <w:t>De la falta de presentación del informe justificado.</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_Toc66352323 \h </w:instrText>
            </w:r>
            <w:r w:rsidR="002313B0" w:rsidRPr="007C3AE4">
              <w:rPr>
                <w:noProof/>
                <w:webHidden/>
              </w:rPr>
            </w:r>
            <w:r w:rsidR="002313B0" w:rsidRPr="007C3AE4">
              <w:rPr>
                <w:noProof/>
                <w:webHidden/>
              </w:rPr>
              <w:fldChar w:fldCharType="separate"/>
            </w:r>
            <w:r w:rsidR="002313B0" w:rsidRPr="007C3AE4">
              <w:rPr>
                <w:noProof/>
                <w:webHidden/>
              </w:rPr>
              <w:t>18</w:t>
            </w:r>
            <w:r w:rsidR="002313B0" w:rsidRPr="007C3AE4">
              <w:rPr>
                <w:noProof/>
                <w:webHidden/>
              </w:rPr>
              <w:fldChar w:fldCharType="end"/>
            </w:r>
          </w:hyperlink>
        </w:p>
        <w:p w14:paraId="68BE8EF9" w14:textId="77777777" w:rsidR="002313B0" w:rsidRPr="007C3AE4" w:rsidRDefault="006468E4">
          <w:pPr>
            <w:pStyle w:val="TDC1"/>
            <w:tabs>
              <w:tab w:val="right" w:leader="dot" w:pos="8827"/>
            </w:tabs>
            <w:rPr>
              <w:rFonts w:eastAsiaTheme="minorEastAsia"/>
              <w:noProof/>
              <w:lang w:eastAsia="es-MX"/>
            </w:rPr>
          </w:pPr>
          <w:hyperlink w:anchor="_Toc66352324" w:history="1">
            <w:r w:rsidR="002313B0" w:rsidRPr="007C3AE4">
              <w:rPr>
                <w:rStyle w:val="Hipervnculo"/>
                <w:rFonts w:ascii="Palatino Linotype" w:eastAsia="Calibri" w:hAnsi="Palatino Linotype" w:cs="Arial"/>
                <w:b/>
                <w:noProof/>
                <w:lang w:eastAsia="es-ES"/>
              </w:rPr>
              <w:t xml:space="preserve">CUARTO. </w:t>
            </w:r>
            <w:r w:rsidR="002313B0" w:rsidRPr="007C3AE4">
              <w:rPr>
                <w:rStyle w:val="Hipervnculo"/>
                <w:rFonts w:ascii="Palatino Linotype" w:eastAsia="Calibri" w:hAnsi="Palatino Linotype" w:cs="Arial"/>
                <w:b/>
                <w:noProof/>
                <w:lang w:val="es-ES_tradnl" w:eastAsia="es-ES"/>
              </w:rPr>
              <w:t>Del planteamiento de la Litis</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_Toc66352324 \h </w:instrText>
            </w:r>
            <w:r w:rsidR="002313B0" w:rsidRPr="007C3AE4">
              <w:rPr>
                <w:noProof/>
                <w:webHidden/>
              </w:rPr>
            </w:r>
            <w:r w:rsidR="002313B0" w:rsidRPr="007C3AE4">
              <w:rPr>
                <w:noProof/>
                <w:webHidden/>
              </w:rPr>
              <w:fldChar w:fldCharType="separate"/>
            </w:r>
            <w:r w:rsidR="002313B0" w:rsidRPr="007C3AE4">
              <w:rPr>
                <w:noProof/>
                <w:webHidden/>
              </w:rPr>
              <w:t>19</w:t>
            </w:r>
            <w:r w:rsidR="002313B0" w:rsidRPr="007C3AE4">
              <w:rPr>
                <w:noProof/>
                <w:webHidden/>
              </w:rPr>
              <w:fldChar w:fldCharType="end"/>
            </w:r>
          </w:hyperlink>
        </w:p>
        <w:p w14:paraId="717FCF34" w14:textId="77777777" w:rsidR="002313B0" w:rsidRPr="007C3AE4" w:rsidRDefault="006468E4">
          <w:pPr>
            <w:pStyle w:val="TDC1"/>
            <w:tabs>
              <w:tab w:val="right" w:leader="dot" w:pos="8827"/>
            </w:tabs>
            <w:rPr>
              <w:rFonts w:eastAsiaTheme="minorEastAsia"/>
              <w:noProof/>
              <w:lang w:eastAsia="es-MX"/>
            </w:rPr>
          </w:pPr>
          <w:hyperlink w:anchor="_Toc66352325" w:history="1">
            <w:r w:rsidR="002313B0" w:rsidRPr="007C3AE4">
              <w:rPr>
                <w:rStyle w:val="Hipervnculo"/>
                <w:rFonts w:ascii="Palatino Linotype" w:eastAsiaTheme="majorEastAsia" w:hAnsi="Palatino Linotype" w:cstheme="majorBidi"/>
                <w:b/>
                <w:noProof/>
              </w:rPr>
              <w:t>QUINTO. Del estudio de resolución del asunto.</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_Toc66352325 \h </w:instrText>
            </w:r>
            <w:r w:rsidR="002313B0" w:rsidRPr="007C3AE4">
              <w:rPr>
                <w:noProof/>
                <w:webHidden/>
              </w:rPr>
            </w:r>
            <w:r w:rsidR="002313B0" w:rsidRPr="007C3AE4">
              <w:rPr>
                <w:noProof/>
                <w:webHidden/>
              </w:rPr>
              <w:fldChar w:fldCharType="separate"/>
            </w:r>
            <w:r w:rsidR="002313B0" w:rsidRPr="007C3AE4">
              <w:rPr>
                <w:noProof/>
                <w:webHidden/>
              </w:rPr>
              <w:t>20</w:t>
            </w:r>
            <w:r w:rsidR="002313B0" w:rsidRPr="007C3AE4">
              <w:rPr>
                <w:noProof/>
                <w:webHidden/>
              </w:rPr>
              <w:fldChar w:fldCharType="end"/>
            </w:r>
          </w:hyperlink>
        </w:p>
        <w:p w14:paraId="4F3CFB8B" w14:textId="77777777" w:rsidR="002313B0" w:rsidRPr="007C3AE4" w:rsidRDefault="006468E4" w:rsidP="002313B0">
          <w:pPr>
            <w:pStyle w:val="TDC2"/>
            <w:tabs>
              <w:tab w:val="left" w:pos="660"/>
              <w:tab w:val="right" w:leader="dot" w:pos="8827"/>
            </w:tabs>
            <w:ind w:left="0"/>
            <w:rPr>
              <w:rFonts w:eastAsiaTheme="minorEastAsia"/>
              <w:noProof/>
              <w:lang w:eastAsia="es-MX"/>
            </w:rPr>
          </w:pPr>
          <w:hyperlink w:anchor="_Toc66352326" w:history="1">
            <w:r w:rsidR="002313B0" w:rsidRPr="007C3AE4">
              <w:rPr>
                <w:rStyle w:val="Hipervnculo"/>
                <w:rFonts w:ascii="Palatino Linotype" w:eastAsia="MS Mincho" w:hAnsi="Palatino Linotype" w:cstheme="majorBidi"/>
                <w:b/>
                <w:noProof/>
                <w:lang w:eastAsia="es-ES"/>
              </w:rPr>
              <w:t>I.</w:t>
            </w:r>
            <w:r w:rsidR="002313B0" w:rsidRPr="007C3AE4">
              <w:rPr>
                <w:rFonts w:eastAsiaTheme="minorEastAsia"/>
                <w:noProof/>
                <w:lang w:eastAsia="es-MX"/>
              </w:rPr>
              <w:tab/>
            </w:r>
            <w:r w:rsidR="002313B0" w:rsidRPr="007C3AE4">
              <w:rPr>
                <w:rStyle w:val="Hipervnculo"/>
                <w:rFonts w:ascii="Palatino Linotype" w:eastAsia="MS Mincho" w:hAnsi="Palatino Linotype" w:cstheme="majorBidi"/>
                <w:b/>
                <w:noProof/>
                <w:lang w:eastAsia="es-ES"/>
              </w:rPr>
              <w:t>De la respuesta del Sujeto Obligado.</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_Toc66352326 \h </w:instrText>
            </w:r>
            <w:r w:rsidR="002313B0" w:rsidRPr="007C3AE4">
              <w:rPr>
                <w:noProof/>
                <w:webHidden/>
              </w:rPr>
            </w:r>
            <w:r w:rsidR="002313B0" w:rsidRPr="007C3AE4">
              <w:rPr>
                <w:noProof/>
                <w:webHidden/>
              </w:rPr>
              <w:fldChar w:fldCharType="separate"/>
            </w:r>
            <w:r w:rsidR="002313B0" w:rsidRPr="007C3AE4">
              <w:rPr>
                <w:noProof/>
                <w:webHidden/>
              </w:rPr>
              <w:t>22</w:t>
            </w:r>
            <w:r w:rsidR="002313B0" w:rsidRPr="007C3AE4">
              <w:rPr>
                <w:noProof/>
                <w:webHidden/>
              </w:rPr>
              <w:fldChar w:fldCharType="end"/>
            </w:r>
          </w:hyperlink>
        </w:p>
        <w:p w14:paraId="718AF4DC" w14:textId="77777777" w:rsidR="002313B0" w:rsidRPr="007C3AE4" w:rsidRDefault="006468E4">
          <w:pPr>
            <w:pStyle w:val="TDC1"/>
            <w:tabs>
              <w:tab w:val="left" w:pos="660"/>
              <w:tab w:val="right" w:leader="dot" w:pos="8827"/>
            </w:tabs>
            <w:rPr>
              <w:rFonts w:eastAsiaTheme="minorEastAsia"/>
              <w:noProof/>
              <w:lang w:eastAsia="es-MX"/>
            </w:rPr>
          </w:pPr>
          <w:hyperlink w:anchor="_Toc66352327" w:history="1">
            <w:r w:rsidR="002313B0" w:rsidRPr="007C3AE4">
              <w:rPr>
                <w:rStyle w:val="Hipervnculo"/>
                <w:rFonts w:ascii="Palatino Linotype" w:eastAsia="MS Mincho" w:hAnsi="Palatino Linotype"/>
                <w:b/>
                <w:i/>
                <w:noProof/>
                <w:lang w:val="es-ES_tradnl" w:eastAsia="es-ES"/>
              </w:rPr>
              <w:t>A)</w:t>
            </w:r>
            <w:r w:rsidR="002313B0" w:rsidRPr="007C3AE4">
              <w:rPr>
                <w:rFonts w:eastAsiaTheme="minorEastAsia"/>
                <w:noProof/>
                <w:lang w:eastAsia="es-MX"/>
              </w:rPr>
              <w:tab/>
            </w:r>
            <w:r w:rsidR="002313B0" w:rsidRPr="007C3AE4">
              <w:rPr>
                <w:rStyle w:val="Hipervnculo"/>
                <w:rFonts w:ascii="Palatino Linotype" w:eastAsia="MS Mincho" w:hAnsi="Palatino Linotype"/>
                <w:b/>
                <w:i/>
                <w:noProof/>
                <w:lang w:val="es-ES_tradnl" w:eastAsia="es-ES"/>
              </w:rPr>
              <w:t>De los documentos ad hoc</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_Toc66352327 \h </w:instrText>
            </w:r>
            <w:r w:rsidR="002313B0" w:rsidRPr="007C3AE4">
              <w:rPr>
                <w:noProof/>
                <w:webHidden/>
              </w:rPr>
            </w:r>
            <w:r w:rsidR="002313B0" w:rsidRPr="007C3AE4">
              <w:rPr>
                <w:noProof/>
                <w:webHidden/>
              </w:rPr>
              <w:fldChar w:fldCharType="separate"/>
            </w:r>
            <w:r w:rsidR="002313B0" w:rsidRPr="007C3AE4">
              <w:rPr>
                <w:noProof/>
                <w:webHidden/>
              </w:rPr>
              <w:t>24</w:t>
            </w:r>
            <w:r w:rsidR="002313B0" w:rsidRPr="007C3AE4">
              <w:rPr>
                <w:noProof/>
                <w:webHidden/>
              </w:rPr>
              <w:fldChar w:fldCharType="end"/>
            </w:r>
          </w:hyperlink>
        </w:p>
        <w:p w14:paraId="7AE0954D" w14:textId="77777777" w:rsidR="002313B0" w:rsidRPr="007C3AE4" w:rsidRDefault="006468E4">
          <w:pPr>
            <w:pStyle w:val="TDC1"/>
            <w:tabs>
              <w:tab w:val="left" w:pos="660"/>
              <w:tab w:val="right" w:leader="dot" w:pos="8827"/>
            </w:tabs>
            <w:rPr>
              <w:rFonts w:eastAsiaTheme="minorEastAsia"/>
              <w:noProof/>
              <w:lang w:eastAsia="es-MX"/>
            </w:rPr>
          </w:pPr>
          <w:hyperlink w:anchor="_Toc66352328" w:history="1">
            <w:r w:rsidR="002313B0" w:rsidRPr="007C3AE4">
              <w:rPr>
                <w:rStyle w:val="Hipervnculo"/>
                <w:rFonts w:ascii="Palatino Linotype" w:eastAsia="MS Mincho" w:hAnsi="Palatino Linotype" w:cstheme="majorBidi"/>
                <w:b/>
                <w:noProof/>
                <w:lang w:val="es-ES_tradnl" w:eastAsia="es-ES"/>
              </w:rPr>
              <w:t>II.</w:t>
            </w:r>
            <w:r w:rsidR="002313B0" w:rsidRPr="007C3AE4">
              <w:rPr>
                <w:rFonts w:eastAsiaTheme="minorEastAsia"/>
                <w:noProof/>
                <w:lang w:eastAsia="es-MX"/>
              </w:rPr>
              <w:tab/>
            </w:r>
            <w:r w:rsidR="002313B0" w:rsidRPr="007C3AE4">
              <w:rPr>
                <w:rStyle w:val="Hipervnculo"/>
                <w:rFonts w:ascii="Palatino Linotype" w:eastAsia="MS Mincho" w:hAnsi="Palatino Linotype" w:cstheme="majorBidi"/>
                <w:b/>
                <w:noProof/>
                <w:lang w:val="es-ES_tradnl" w:eastAsia="es-ES"/>
              </w:rPr>
              <w:t>De la fuente obligacional del Sujeto Obligado</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_Toc66352328 \h </w:instrText>
            </w:r>
            <w:r w:rsidR="002313B0" w:rsidRPr="007C3AE4">
              <w:rPr>
                <w:noProof/>
                <w:webHidden/>
              </w:rPr>
            </w:r>
            <w:r w:rsidR="002313B0" w:rsidRPr="007C3AE4">
              <w:rPr>
                <w:noProof/>
                <w:webHidden/>
              </w:rPr>
              <w:fldChar w:fldCharType="separate"/>
            </w:r>
            <w:r w:rsidR="002313B0" w:rsidRPr="007C3AE4">
              <w:rPr>
                <w:noProof/>
                <w:webHidden/>
              </w:rPr>
              <w:t>25</w:t>
            </w:r>
            <w:r w:rsidR="002313B0" w:rsidRPr="007C3AE4">
              <w:rPr>
                <w:noProof/>
                <w:webHidden/>
              </w:rPr>
              <w:fldChar w:fldCharType="end"/>
            </w:r>
          </w:hyperlink>
        </w:p>
        <w:p w14:paraId="14CCB512" w14:textId="77777777" w:rsidR="002313B0" w:rsidRPr="007C3AE4" w:rsidRDefault="006468E4">
          <w:pPr>
            <w:pStyle w:val="TDC1"/>
            <w:tabs>
              <w:tab w:val="left" w:pos="660"/>
              <w:tab w:val="right" w:leader="dot" w:pos="8827"/>
            </w:tabs>
            <w:rPr>
              <w:rFonts w:eastAsiaTheme="minorEastAsia"/>
              <w:noProof/>
              <w:lang w:eastAsia="es-MX"/>
            </w:rPr>
          </w:pPr>
          <w:hyperlink w:anchor="_Toc66352329" w:history="1">
            <w:r w:rsidR="002313B0" w:rsidRPr="007C3AE4">
              <w:rPr>
                <w:rStyle w:val="Hipervnculo"/>
                <w:rFonts w:ascii="Palatino Linotype" w:eastAsia="MS Mincho" w:hAnsi="Palatino Linotype" w:cstheme="majorBidi"/>
                <w:b/>
                <w:noProof/>
                <w:lang w:val="es-ES_tradnl" w:eastAsia="es-ES"/>
              </w:rPr>
              <w:t>A.</w:t>
            </w:r>
            <w:r w:rsidR="002313B0" w:rsidRPr="007C3AE4">
              <w:rPr>
                <w:rFonts w:eastAsiaTheme="minorEastAsia"/>
                <w:noProof/>
                <w:lang w:eastAsia="es-MX"/>
              </w:rPr>
              <w:tab/>
            </w:r>
            <w:r w:rsidR="002313B0" w:rsidRPr="007C3AE4">
              <w:rPr>
                <w:rStyle w:val="Hipervnculo"/>
                <w:rFonts w:ascii="Palatino Linotype" w:eastAsia="MS Mincho" w:hAnsi="Palatino Linotype" w:cstheme="majorBidi"/>
                <w:b/>
                <w:noProof/>
                <w:lang w:val="es-ES_tradnl" w:eastAsia="es-ES"/>
              </w:rPr>
              <w:t>Atribuciones para generar, posee y administrar la información.</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_Toc66352329 \h </w:instrText>
            </w:r>
            <w:r w:rsidR="002313B0" w:rsidRPr="007C3AE4">
              <w:rPr>
                <w:noProof/>
                <w:webHidden/>
              </w:rPr>
            </w:r>
            <w:r w:rsidR="002313B0" w:rsidRPr="007C3AE4">
              <w:rPr>
                <w:noProof/>
                <w:webHidden/>
              </w:rPr>
              <w:fldChar w:fldCharType="separate"/>
            </w:r>
            <w:r w:rsidR="002313B0" w:rsidRPr="007C3AE4">
              <w:rPr>
                <w:noProof/>
                <w:webHidden/>
              </w:rPr>
              <w:t>25</w:t>
            </w:r>
            <w:r w:rsidR="002313B0" w:rsidRPr="007C3AE4">
              <w:rPr>
                <w:noProof/>
                <w:webHidden/>
              </w:rPr>
              <w:fldChar w:fldCharType="end"/>
            </w:r>
          </w:hyperlink>
        </w:p>
        <w:p w14:paraId="0C4B1E07" w14:textId="77777777" w:rsidR="002313B0" w:rsidRPr="007C3AE4" w:rsidRDefault="006468E4">
          <w:pPr>
            <w:pStyle w:val="TDC1"/>
            <w:tabs>
              <w:tab w:val="left" w:pos="440"/>
              <w:tab w:val="right" w:leader="dot" w:pos="8827"/>
            </w:tabs>
            <w:rPr>
              <w:rFonts w:eastAsiaTheme="minorEastAsia"/>
              <w:noProof/>
              <w:lang w:eastAsia="es-MX"/>
            </w:rPr>
          </w:pPr>
          <w:hyperlink w:anchor="_Toc66352330" w:history="1">
            <w:r w:rsidR="002313B0" w:rsidRPr="007C3AE4">
              <w:rPr>
                <w:rStyle w:val="Hipervnculo"/>
                <w:rFonts w:ascii="Palatino Linotype" w:eastAsia="MS Mincho" w:hAnsi="Palatino Linotype"/>
                <w:b/>
                <w:i/>
                <w:noProof/>
                <w:lang w:val="es-ES_tradnl" w:eastAsia="es-ES"/>
              </w:rPr>
              <w:t>B.</w:t>
            </w:r>
            <w:r w:rsidR="002313B0" w:rsidRPr="007C3AE4">
              <w:rPr>
                <w:rFonts w:eastAsiaTheme="minorEastAsia"/>
                <w:noProof/>
                <w:lang w:eastAsia="es-MX"/>
              </w:rPr>
              <w:tab/>
            </w:r>
            <w:r w:rsidR="002313B0" w:rsidRPr="007C3AE4">
              <w:rPr>
                <w:rStyle w:val="Hipervnculo"/>
                <w:rFonts w:ascii="Palatino Linotype" w:eastAsia="MS Mincho" w:hAnsi="Palatino Linotype"/>
                <w:b/>
                <w:i/>
                <w:noProof/>
                <w:lang w:val="es-ES_tradnl" w:eastAsia="es-ES"/>
              </w:rPr>
              <w:t>De la declinación de la incompetencia.</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_Toc66352330 \h </w:instrText>
            </w:r>
            <w:r w:rsidR="002313B0" w:rsidRPr="007C3AE4">
              <w:rPr>
                <w:noProof/>
                <w:webHidden/>
              </w:rPr>
            </w:r>
            <w:r w:rsidR="002313B0" w:rsidRPr="007C3AE4">
              <w:rPr>
                <w:noProof/>
                <w:webHidden/>
              </w:rPr>
              <w:fldChar w:fldCharType="separate"/>
            </w:r>
            <w:r w:rsidR="002313B0" w:rsidRPr="007C3AE4">
              <w:rPr>
                <w:noProof/>
                <w:webHidden/>
              </w:rPr>
              <w:t>30</w:t>
            </w:r>
            <w:r w:rsidR="002313B0" w:rsidRPr="007C3AE4">
              <w:rPr>
                <w:noProof/>
                <w:webHidden/>
              </w:rPr>
              <w:fldChar w:fldCharType="end"/>
            </w:r>
          </w:hyperlink>
        </w:p>
        <w:p w14:paraId="38CBA5A5" w14:textId="77777777" w:rsidR="002313B0" w:rsidRPr="007C3AE4" w:rsidRDefault="006468E4">
          <w:pPr>
            <w:pStyle w:val="TDC1"/>
            <w:tabs>
              <w:tab w:val="left" w:pos="440"/>
              <w:tab w:val="right" w:leader="dot" w:pos="8827"/>
            </w:tabs>
            <w:rPr>
              <w:rFonts w:eastAsiaTheme="minorEastAsia"/>
              <w:noProof/>
              <w:lang w:eastAsia="es-MX"/>
            </w:rPr>
          </w:pPr>
          <w:hyperlink w:anchor="_Toc66352331" w:history="1">
            <w:r w:rsidR="002313B0" w:rsidRPr="007C3AE4">
              <w:rPr>
                <w:rStyle w:val="Hipervnculo"/>
                <w:rFonts w:ascii="Palatino Linotype" w:eastAsia="Calibri" w:hAnsi="Palatino Linotype" w:cs="Arial"/>
                <w:b/>
                <w:i/>
                <w:noProof/>
              </w:rPr>
              <w:t>C.</w:t>
            </w:r>
            <w:r w:rsidR="002313B0" w:rsidRPr="007C3AE4">
              <w:rPr>
                <w:rFonts w:eastAsiaTheme="minorEastAsia"/>
                <w:noProof/>
                <w:lang w:eastAsia="es-MX"/>
              </w:rPr>
              <w:tab/>
            </w:r>
            <w:r w:rsidR="002313B0" w:rsidRPr="007C3AE4">
              <w:rPr>
                <w:rStyle w:val="Hipervnculo"/>
                <w:rFonts w:ascii="Palatino Linotype" w:eastAsia="Calibri" w:hAnsi="Palatino Linotype" w:cs="Arial"/>
                <w:b/>
                <w:i/>
                <w:noProof/>
              </w:rPr>
              <w:t>De los procedimientos de adquisición.</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_Toc66352331 \h </w:instrText>
            </w:r>
            <w:r w:rsidR="002313B0" w:rsidRPr="007C3AE4">
              <w:rPr>
                <w:noProof/>
                <w:webHidden/>
              </w:rPr>
            </w:r>
            <w:r w:rsidR="002313B0" w:rsidRPr="007C3AE4">
              <w:rPr>
                <w:noProof/>
                <w:webHidden/>
              </w:rPr>
              <w:fldChar w:fldCharType="separate"/>
            </w:r>
            <w:r w:rsidR="002313B0" w:rsidRPr="007C3AE4">
              <w:rPr>
                <w:noProof/>
                <w:webHidden/>
              </w:rPr>
              <w:t>34</w:t>
            </w:r>
            <w:r w:rsidR="002313B0" w:rsidRPr="007C3AE4">
              <w:rPr>
                <w:noProof/>
                <w:webHidden/>
              </w:rPr>
              <w:fldChar w:fldCharType="end"/>
            </w:r>
          </w:hyperlink>
        </w:p>
        <w:p w14:paraId="779E8022" w14:textId="77777777" w:rsidR="002313B0" w:rsidRPr="007C3AE4" w:rsidRDefault="006468E4">
          <w:pPr>
            <w:pStyle w:val="TDC1"/>
            <w:tabs>
              <w:tab w:val="left" w:pos="660"/>
              <w:tab w:val="right" w:leader="dot" w:pos="8827"/>
            </w:tabs>
            <w:rPr>
              <w:rFonts w:eastAsiaTheme="minorEastAsia"/>
              <w:noProof/>
              <w:lang w:eastAsia="es-MX"/>
            </w:rPr>
          </w:pPr>
          <w:hyperlink w:anchor="_Toc66352332" w:history="1">
            <w:r w:rsidR="002313B0" w:rsidRPr="007C3AE4">
              <w:rPr>
                <w:rStyle w:val="Hipervnculo"/>
                <w:rFonts w:ascii="Palatino Linotype" w:hAnsi="Palatino Linotype"/>
                <w:b/>
                <w:i/>
                <w:noProof/>
                <w:lang w:eastAsia="es-ES"/>
              </w:rPr>
              <w:t>D.</w:t>
            </w:r>
            <w:r w:rsidR="002313B0" w:rsidRPr="007C3AE4">
              <w:rPr>
                <w:rFonts w:eastAsiaTheme="minorEastAsia"/>
                <w:noProof/>
                <w:lang w:eastAsia="es-MX"/>
              </w:rPr>
              <w:tab/>
            </w:r>
            <w:r w:rsidR="002313B0" w:rsidRPr="007C3AE4">
              <w:rPr>
                <w:rStyle w:val="Hipervnculo"/>
                <w:rFonts w:ascii="Palatino Linotype" w:hAnsi="Palatino Linotype"/>
                <w:b/>
                <w:i/>
                <w:noProof/>
                <w:lang w:eastAsia="es-ES"/>
              </w:rPr>
              <w:t>De la temporalidad de la información</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_Toc66352332 \h </w:instrText>
            </w:r>
            <w:r w:rsidR="002313B0" w:rsidRPr="007C3AE4">
              <w:rPr>
                <w:noProof/>
                <w:webHidden/>
              </w:rPr>
            </w:r>
            <w:r w:rsidR="002313B0" w:rsidRPr="007C3AE4">
              <w:rPr>
                <w:noProof/>
                <w:webHidden/>
              </w:rPr>
              <w:fldChar w:fldCharType="separate"/>
            </w:r>
            <w:r w:rsidR="002313B0" w:rsidRPr="007C3AE4">
              <w:rPr>
                <w:noProof/>
                <w:webHidden/>
              </w:rPr>
              <w:t>38</w:t>
            </w:r>
            <w:r w:rsidR="002313B0" w:rsidRPr="007C3AE4">
              <w:rPr>
                <w:noProof/>
                <w:webHidden/>
              </w:rPr>
              <w:fldChar w:fldCharType="end"/>
            </w:r>
          </w:hyperlink>
        </w:p>
        <w:p w14:paraId="16A68659" w14:textId="77777777" w:rsidR="002313B0" w:rsidRPr="007C3AE4" w:rsidRDefault="006468E4">
          <w:pPr>
            <w:pStyle w:val="TDC1"/>
            <w:tabs>
              <w:tab w:val="right" w:leader="dot" w:pos="8827"/>
            </w:tabs>
            <w:rPr>
              <w:rFonts w:eastAsiaTheme="minorEastAsia"/>
              <w:noProof/>
              <w:lang w:eastAsia="es-MX"/>
            </w:rPr>
          </w:pPr>
          <w:hyperlink w:anchor="_Toc66352333" w:history="1">
            <w:r w:rsidR="002313B0" w:rsidRPr="007C3AE4">
              <w:rPr>
                <w:rStyle w:val="Hipervnculo"/>
                <w:rFonts w:ascii="Palatino Linotype" w:eastAsia="MS Mincho" w:hAnsi="Palatino Linotype" w:cstheme="majorBidi"/>
                <w:b/>
                <w:noProof/>
                <w:lang w:val="es-ES_tradnl" w:eastAsia="es-ES"/>
              </w:rPr>
              <w:t>SEXTO. De la versión pública.</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_Toc66352333 \h </w:instrText>
            </w:r>
            <w:r w:rsidR="002313B0" w:rsidRPr="007C3AE4">
              <w:rPr>
                <w:noProof/>
                <w:webHidden/>
              </w:rPr>
            </w:r>
            <w:r w:rsidR="002313B0" w:rsidRPr="007C3AE4">
              <w:rPr>
                <w:noProof/>
                <w:webHidden/>
              </w:rPr>
              <w:fldChar w:fldCharType="separate"/>
            </w:r>
            <w:r w:rsidR="002313B0" w:rsidRPr="007C3AE4">
              <w:rPr>
                <w:noProof/>
                <w:webHidden/>
              </w:rPr>
              <w:t>40</w:t>
            </w:r>
            <w:r w:rsidR="002313B0" w:rsidRPr="007C3AE4">
              <w:rPr>
                <w:noProof/>
                <w:webHidden/>
              </w:rPr>
              <w:fldChar w:fldCharType="end"/>
            </w:r>
          </w:hyperlink>
        </w:p>
        <w:p w14:paraId="0D7CD0B0" w14:textId="77777777" w:rsidR="002313B0" w:rsidRPr="007C3AE4" w:rsidRDefault="006468E4">
          <w:pPr>
            <w:pStyle w:val="TDC1"/>
            <w:tabs>
              <w:tab w:val="right" w:leader="dot" w:pos="8827"/>
            </w:tabs>
            <w:rPr>
              <w:rFonts w:eastAsiaTheme="minorEastAsia"/>
              <w:noProof/>
              <w:lang w:eastAsia="es-MX"/>
            </w:rPr>
          </w:pPr>
          <w:hyperlink w:anchor="_Toc66352334" w:history="1">
            <w:r w:rsidR="002313B0" w:rsidRPr="007C3AE4">
              <w:rPr>
                <w:rStyle w:val="Hipervnculo"/>
                <w:rFonts w:ascii="Palatino Linotype" w:eastAsia="MS Mincho" w:hAnsi="Palatino Linotype" w:cstheme="majorBidi"/>
                <w:b/>
                <w:noProof/>
                <w:lang w:val="es-ES_tradnl" w:eastAsia="es-ES"/>
              </w:rPr>
              <w:t xml:space="preserve">SÉPTIMO. </w:t>
            </w:r>
            <w:r w:rsidR="002313B0" w:rsidRPr="007C3AE4">
              <w:rPr>
                <w:rStyle w:val="Hipervnculo"/>
                <w:rFonts w:ascii="Palatino Linotype" w:eastAsia="MS Mincho" w:hAnsi="Palatino Linotype" w:cstheme="majorBidi"/>
                <w:noProof/>
                <w:lang w:val="es-ES_tradnl" w:eastAsia="es-ES"/>
              </w:rPr>
              <w:t>Vista</w:t>
            </w:r>
            <w:r w:rsidR="002313B0" w:rsidRPr="007C3AE4">
              <w:rPr>
                <w:rStyle w:val="Hipervnculo"/>
                <w:rFonts w:ascii="Palatino Linotype" w:eastAsia="MS Gothic" w:hAnsi="Palatino Linotype" w:cstheme="majorBidi"/>
                <w:b/>
                <w:noProof/>
              </w:rPr>
              <w:t xml:space="preserve"> a la Dirección Jurídica y de Verificación.</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_Toc66352334 \h </w:instrText>
            </w:r>
            <w:r w:rsidR="002313B0" w:rsidRPr="007C3AE4">
              <w:rPr>
                <w:noProof/>
                <w:webHidden/>
              </w:rPr>
            </w:r>
            <w:r w:rsidR="002313B0" w:rsidRPr="007C3AE4">
              <w:rPr>
                <w:noProof/>
                <w:webHidden/>
              </w:rPr>
              <w:fldChar w:fldCharType="separate"/>
            </w:r>
            <w:r w:rsidR="002313B0" w:rsidRPr="007C3AE4">
              <w:rPr>
                <w:noProof/>
                <w:webHidden/>
              </w:rPr>
              <w:t>51</w:t>
            </w:r>
            <w:r w:rsidR="002313B0" w:rsidRPr="007C3AE4">
              <w:rPr>
                <w:noProof/>
                <w:webHidden/>
              </w:rPr>
              <w:fldChar w:fldCharType="end"/>
            </w:r>
          </w:hyperlink>
        </w:p>
        <w:p w14:paraId="085EA6F0" w14:textId="77777777" w:rsidR="002313B0" w:rsidRPr="007C3AE4" w:rsidRDefault="006468E4">
          <w:pPr>
            <w:pStyle w:val="TDC1"/>
            <w:tabs>
              <w:tab w:val="right" w:leader="dot" w:pos="8827"/>
            </w:tabs>
            <w:rPr>
              <w:rFonts w:eastAsiaTheme="minorEastAsia"/>
              <w:noProof/>
              <w:lang w:eastAsia="es-MX"/>
            </w:rPr>
          </w:pPr>
          <w:hyperlink w:anchor="_Toc66352335" w:history="1">
            <w:r w:rsidR="002313B0" w:rsidRPr="007C3AE4">
              <w:rPr>
                <w:rStyle w:val="Hipervnculo"/>
                <w:rFonts w:ascii="Palatino Linotype" w:eastAsia="Calibri" w:hAnsi="Palatino Linotype" w:cs="Times New Roman"/>
                <w:b/>
                <w:noProof/>
                <w:lang w:val="es-ES" w:eastAsia="es-ES"/>
              </w:rPr>
              <w:t>R E S O L U T I V O S</w:t>
            </w:r>
            <w:r w:rsidR="002313B0" w:rsidRPr="007C3AE4">
              <w:rPr>
                <w:noProof/>
                <w:webHidden/>
              </w:rPr>
              <w:tab/>
            </w:r>
            <w:r w:rsidR="002313B0" w:rsidRPr="007C3AE4">
              <w:rPr>
                <w:noProof/>
                <w:webHidden/>
              </w:rPr>
              <w:fldChar w:fldCharType="begin"/>
            </w:r>
            <w:r w:rsidR="002313B0" w:rsidRPr="007C3AE4">
              <w:rPr>
                <w:noProof/>
                <w:webHidden/>
              </w:rPr>
              <w:instrText xml:space="preserve"> PAGEREF _Toc66352335 \h </w:instrText>
            </w:r>
            <w:r w:rsidR="002313B0" w:rsidRPr="007C3AE4">
              <w:rPr>
                <w:noProof/>
                <w:webHidden/>
              </w:rPr>
            </w:r>
            <w:r w:rsidR="002313B0" w:rsidRPr="007C3AE4">
              <w:rPr>
                <w:noProof/>
                <w:webHidden/>
              </w:rPr>
              <w:fldChar w:fldCharType="separate"/>
            </w:r>
            <w:r w:rsidR="002313B0" w:rsidRPr="007C3AE4">
              <w:rPr>
                <w:noProof/>
                <w:webHidden/>
              </w:rPr>
              <w:t>53</w:t>
            </w:r>
            <w:r w:rsidR="002313B0" w:rsidRPr="007C3AE4">
              <w:rPr>
                <w:noProof/>
                <w:webHidden/>
              </w:rPr>
              <w:fldChar w:fldCharType="end"/>
            </w:r>
          </w:hyperlink>
        </w:p>
        <w:p w14:paraId="3237051A" w14:textId="77777777" w:rsidR="007859ED" w:rsidRPr="007C3AE4" w:rsidRDefault="00970D88" w:rsidP="007C3AE4">
          <w:pPr>
            <w:spacing w:line="360" w:lineRule="auto"/>
            <w:jc w:val="both"/>
          </w:pPr>
          <w:r w:rsidRPr="007C3AE4">
            <w:rPr>
              <w:b/>
              <w:bCs/>
              <w:lang w:val="es-ES"/>
            </w:rPr>
            <w:fldChar w:fldCharType="end"/>
          </w:r>
        </w:p>
      </w:sdtContent>
    </w:sdt>
    <w:p w14:paraId="03CB8DF7" w14:textId="77777777" w:rsidR="00970D88" w:rsidRPr="007C3AE4" w:rsidRDefault="00970D88" w:rsidP="00970D88">
      <w:pPr>
        <w:spacing w:before="240" w:after="240" w:line="360" w:lineRule="auto"/>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dieciocho (18) de marzo de dos mil veintiuno.</w:t>
      </w:r>
    </w:p>
    <w:p w14:paraId="3311F634" w14:textId="24A10D1A" w:rsidR="00970D88" w:rsidRPr="007C3AE4" w:rsidRDefault="00970D88" w:rsidP="00970D88">
      <w:pPr>
        <w:spacing w:before="240" w:after="360" w:line="360" w:lineRule="auto"/>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b/>
          <w:sz w:val="24"/>
          <w:szCs w:val="24"/>
          <w:lang w:val="es-ES_tradnl" w:eastAsia="es-ES"/>
        </w:rPr>
        <w:t>VISTOS</w:t>
      </w:r>
      <w:r w:rsidRPr="007C3AE4">
        <w:rPr>
          <w:rFonts w:ascii="Palatino Linotype" w:eastAsia="MS Mincho" w:hAnsi="Palatino Linotype" w:cs="Times New Roman"/>
          <w:sz w:val="24"/>
          <w:szCs w:val="24"/>
          <w:lang w:val="es-ES_tradnl" w:eastAsia="es-ES"/>
        </w:rPr>
        <w:t xml:space="preserve"> los expedientes electrónicos formados con motivo de los recursos de revisión</w:t>
      </w:r>
      <w:r w:rsidRPr="007C3AE4">
        <w:rPr>
          <w:rFonts w:ascii="Palatino Linotype" w:eastAsia="MS Mincho" w:hAnsi="Palatino Linotype" w:cs="Arial"/>
          <w:b/>
          <w:bCs/>
          <w:sz w:val="24"/>
          <w:szCs w:val="24"/>
          <w:lang w:val="es-ES_tradnl" w:eastAsia="es-ES"/>
        </w:rPr>
        <w:t xml:space="preserve">, 00083/INFOEM/IP/RR/2021 y 00126/INFOEM/IP/RR/2021 </w:t>
      </w:r>
      <w:r w:rsidRPr="007C3AE4">
        <w:rPr>
          <w:rFonts w:ascii="Palatino Linotype" w:eastAsia="MS Mincho" w:hAnsi="Palatino Linotype" w:cs="Times New Roman"/>
          <w:sz w:val="24"/>
          <w:szCs w:val="24"/>
          <w:lang w:val="es-ES_tradnl" w:eastAsia="es-ES"/>
        </w:rPr>
        <w:t>promovidos por</w:t>
      </w:r>
      <w:r w:rsidRPr="007C3AE4">
        <w:rPr>
          <w:rFonts w:ascii="Palatino Linotype" w:eastAsia="MS Mincho" w:hAnsi="Palatino Linotype" w:cs="Times New Roman"/>
          <w:b/>
          <w:sz w:val="24"/>
          <w:szCs w:val="24"/>
          <w:lang w:val="es-ES_tradnl" w:eastAsia="es-ES"/>
        </w:rPr>
        <w:t xml:space="preserve"> </w:t>
      </w:r>
      <w:r w:rsidR="002A0CE3" w:rsidRPr="002A0CE3">
        <w:rPr>
          <w:rFonts w:ascii="Palatino Linotype" w:eastAsia="MS Mincho" w:hAnsi="Palatino Linotype" w:cs="Times New Roman"/>
          <w:b/>
          <w:sz w:val="24"/>
          <w:szCs w:val="24"/>
          <w:highlight w:val="black"/>
          <w:lang w:val="es-ES_tradnl" w:eastAsia="es-ES"/>
        </w:rPr>
        <w:t>---------------------------------------</w:t>
      </w:r>
      <w:r w:rsidRPr="007C3AE4">
        <w:rPr>
          <w:rFonts w:ascii="Palatino Linotype" w:eastAsia="MS Mincho" w:hAnsi="Palatino Linotype" w:cs="Times New Roman"/>
          <w:b/>
          <w:sz w:val="24"/>
          <w:szCs w:val="24"/>
          <w:lang w:eastAsia="es-ES"/>
        </w:rPr>
        <w:t xml:space="preserve">, </w:t>
      </w:r>
      <w:r w:rsidRPr="007C3AE4">
        <w:rPr>
          <w:rFonts w:ascii="Palatino Linotype" w:eastAsia="MS Mincho" w:hAnsi="Palatino Linotype" w:cs="Times New Roman"/>
          <w:sz w:val="24"/>
          <w:szCs w:val="24"/>
          <w:lang w:eastAsia="es-ES"/>
        </w:rPr>
        <w:t>por lo que en lo sucesivo será identificado en su calidad</w:t>
      </w:r>
      <w:r w:rsidRPr="007C3AE4">
        <w:rPr>
          <w:rFonts w:ascii="Palatino Linotype" w:eastAsia="MS Mincho" w:hAnsi="Palatino Linotype" w:cs="Times New Roman"/>
          <w:sz w:val="24"/>
          <w:szCs w:val="24"/>
          <w:lang w:val="es-ES_tradnl" w:eastAsia="es-ES"/>
        </w:rPr>
        <w:t xml:space="preserve"> </w:t>
      </w:r>
      <w:r w:rsidRPr="007C3AE4">
        <w:rPr>
          <w:rFonts w:ascii="Palatino Linotype" w:eastAsia="MS Mincho" w:hAnsi="Palatino Linotype" w:cs="Times New Roman"/>
          <w:sz w:val="24"/>
          <w:szCs w:val="24"/>
          <w:lang w:eastAsia="es-ES"/>
        </w:rPr>
        <w:t xml:space="preserve">de </w:t>
      </w:r>
      <w:r w:rsidRPr="007C3AE4">
        <w:rPr>
          <w:rFonts w:ascii="Palatino Linotype" w:eastAsia="MS Mincho" w:hAnsi="Palatino Linotype" w:cs="Times New Roman"/>
          <w:b/>
          <w:sz w:val="24"/>
          <w:szCs w:val="24"/>
          <w:lang w:eastAsia="es-ES"/>
        </w:rPr>
        <w:t>RECURRENTE</w:t>
      </w:r>
      <w:r w:rsidRPr="007C3AE4">
        <w:rPr>
          <w:rFonts w:ascii="Palatino Linotype" w:eastAsia="MS Mincho" w:hAnsi="Palatino Linotype" w:cs="Arial"/>
          <w:sz w:val="24"/>
          <w:szCs w:val="24"/>
          <w:lang w:val="es-ES_tradnl" w:eastAsia="es-ES"/>
        </w:rPr>
        <w:t>, en contra de las respuestas de</w:t>
      </w:r>
      <w:r w:rsidR="004B3F34" w:rsidRPr="007C3AE4">
        <w:rPr>
          <w:rFonts w:ascii="Palatino Linotype" w:eastAsia="MS Mincho" w:hAnsi="Palatino Linotype" w:cs="Arial"/>
          <w:b/>
          <w:sz w:val="24"/>
          <w:szCs w:val="24"/>
          <w:lang w:val="es-ES_tradnl" w:eastAsia="es-ES"/>
        </w:rPr>
        <w:t xml:space="preserve"> la Secretaría de Salud</w:t>
      </w:r>
      <w:r w:rsidRPr="007C3AE4">
        <w:rPr>
          <w:rFonts w:ascii="Palatino Linotype" w:eastAsia="MS Mincho" w:hAnsi="Palatino Linotype" w:cs="Arial"/>
          <w:b/>
          <w:bCs/>
          <w:sz w:val="24"/>
          <w:szCs w:val="24"/>
          <w:lang w:eastAsia="es-ES"/>
        </w:rPr>
        <w:t>,</w:t>
      </w:r>
      <w:r w:rsidRPr="007C3AE4">
        <w:rPr>
          <w:rFonts w:ascii="Palatino Linotype" w:eastAsia="MS Mincho" w:hAnsi="Palatino Linotype" w:cs="Arial"/>
          <w:sz w:val="24"/>
          <w:szCs w:val="24"/>
          <w:lang w:val="es-ES_tradnl" w:eastAsia="es-ES"/>
        </w:rPr>
        <w:t xml:space="preserve"> </w:t>
      </w:r>
      <w:r w:rsidRPr="007C3AE4">
        <w:rPr>
          <w:rFonts w:ascii="Palatino Linotype" w:eastAsia="MS Mincho" w:hAnsi="Palatino Linotype" w:cs="Times New Roman"/>
          <w:sz w:val="24"/>
          <w:szCs w:val="24"/>
          <w:lang w:val="es-ES_tradnl" w:eastAsia="es-ES"/>
        </w:rPr>
        <w:t>en lo sucesivo el</w:t>
      </w:r>
      <w:r w:rsidRPr="007C3AE4">
        <w:rPr>
          <w:rFonts w:ascii="Palatino Linotype" w:eastAsia="MS Mincho" w:hAnsi="Palatino Linotype" w:cs="Times New Roman"/>
          <w:b/>
          <w:sz w:val="24"/>
          <w:szCs w:val="24"/>
          <w:lang w:val="es-ES_tradnl" w:eastAsia="es-ES"/>
        </w:rPr>
        <w:t xml:space="preserve"> SUJETO OBLIGADO, </w:t>
      </w:r>
      <w:r w:rsidRPr="007C3AE4">
        <w:rPr>
          <w:rFonts w:ascii="Palatino Linotype" w:eastAsia="MS Mincho" w:hAnsi="Palatino Linotype" w:cs="Times New Roman"/>
          <w:sz w:val="24"/>
          <w:szCs w:val="24"/>
          <w:lang w:val="es-ES_tradnl" w:eastAsia="es-ES"/>
        </w:rPr>
        <w:t>se procede a dictar la presente resolución, con base en los siguientes:</w:t>
      </w:r>
    </w:p>
    <w:p w14:paraId="531EE894" w14:textId="77777777" w:rsidR="00970D88" w:rsidRPr="007C3AE4" w:rsidRDefault="00970D88" w:rsidP="00970D88">
      <w:pPr>
        <w:keepNext/>
        <w:keepLines/>
        <w:spacing w:before="240" w:after="0" w:line="360" w:lineRule="auto"/>
        <w:jc w:val="center"/>
        <w:outlineLvl w:val="0"/>
        <w:rPr>
          <w:rFonts w:ascii="Palatino Linotype" w:eastAsia="MS Gothic" w:hAnsi="Palatino Linotype" w:cs="Times New Roman"/>
          <w:b/>
          <w:sz w:val="24"/>
          <w:szCs w:val="32"/>
        </w:rPr>
      </w:pPr>
      <w:r w:rsidRPr="007C3AE4">
        <w:rPr>
          <w:rFonts w:ascii="Palatino Linotype" w:eastAsia="MS Gothic" w:hAnsi="Palatino Linotype" w:cs="Times New Roman"/>
          <w:b/>
          <w:sz w:val="24"/>
          <w:szCs w:val="32"/>
        </w:rPr>
        <w:t xml:space="preserve"> </w:t>
      </w:r>
      <w:bookmarkStart w:id="1" w:name="_Toc66352317"/>
      <w:r w:rsidRPr="007C3AE4">
        <w:rPr>
          <w:rFonts w:ascii="Palatino Linotype" w:eastAsia="MS Gothic" w:hAnsi="Palatino Linotype" w:cs="Times New Roman"/>
          <w:b/>
          <w:sz w:val="24"/>
          <w:szCs w:val="32"/>
        </w:rPr>
        <w:t>A N T E C E D E N T E S</w:t>
      </w:r>
      <w:bookmarkEnd w:id="1"/>
    </w:p>
    <w:p w14:paraId="63CD5EBD" w14:textId="77777777" w:rsidR="00970D88" w:rsidRPr="007C3AE4" w:rsidRDefault="00970D88" w:rsidP="00970D88">
      <w:pPr>
        <w:spacing w:before="240" w:after="240" w:line="360" w:lineRule="auto"/>
        <w:contextualSpacing/>
        <w:jc w:val="both"/>
        <w:rPr>
          <w:rFonts w:ascii="Palatino Linotype" w:eastAsia="Calibri" w:hAnsi="Palatino Linotype" w:cs="Arial"/>
          <w:sz w:val="24"/>
          <w:szCs w:val="24"/>
          <w:lang w:val="es-ES" w:eastAsia="es-ES"/>
        </w:rPr>
      </w:pPr>
    </w:p>
    <w:p w14:paraId="58B864DB" w14:textId="77777777" w:rsidR="00970D88" w:rsidRPr="007C3AE4" w:rsidRDefault="00970D88" w:rsidP="00970D8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C3AE4">
        <w:rPr>
          <w:rFonts w:ascii="Palatino Linotype" w:eastAsia="Calibri" w:hAnsi="Palatino Linotype" w:cs="Arial"/>
          <w:sz w:val="24"/>
          <w:szCs w:val="24"/>
          <w:lang w:val="es-ES" w:eastAsia="es-ES"/>
        </w:rPr>
        <w:t xml:space="preserve">El día </w:t>
      </w:r>
      <w:r w:rsidR="004B3F34" w:rsidRPr="007C3AE4">
        <w:rPr>
          <w:rFonts w:ascii="Palatino Linotype" w:eastAsia="Calibri" w:hAnsi="Palatino Linotype" w:cs="Arial"/>
          <w:b/>
          <w:sz w:val="24"/>
          <w:szCs w:val="24"/>
          <w:lang w:val="es-ES" w:eastAsia="es-ES"/>
        </w:rPr>
        <w:t>siete</w:t>
      </w:r>
      <w:r w:rsidR="004A5E43" w:rsidRPr="007C3AE4">
        <w:rPr>
          <w:rFonts w:ascii="Palatino Linotype" w:eastAsia="Calibri" w:hAnsi="Palatino Linotype" w:cs="Arial"/>
          <w:b/>
          <w:sz w:val="24"/>
          <w:szCs w:val="24"/>
          <w:lang w:val="es-ES" w:eastAsia="es-ES"/>
        </w:rPr>
        <w:t xml:space="preserve"> (07)</w:t>
      </w:r>
      <w:r w:rsidR="004B3F34" w:rsidRPr="007C3AE4">
        <w:rPr>
          <w:rFonts w:ascii="Palatino Linotype" w:eastAsia="Calibri" w:hAnsi="Palatino Linotype" w:cs="Arial"/>
          <w:b/>
          <w:sz w:val="24"/>
          <w:szCs w:val="24"/>
          <w:lang w:val="es-ES" w:eastAsia="es-ES"/>
        </w:rPr>
        <w:t xml:space="preserve"> y diecisiete (17</w:t>
      </w:r>
      <w:r w:rsidRPr="007C3AE4">
        <w:rPr>
          <w:rFonts w:ascii="Palatino Linotype" w:eastAsia="Calibri" w:hAnsi="Palatino Linotype" w:cs="Arial"/>
          <w:b/>
          <w:sz w:val="24"/>
          <w:szCs w:val="24"/>
          <w:lang w:val="es-ES" w:eastAsia="es-ES"/>
        </w:rPr>
        <w:t xml:space="preserve">) </w:t>
      </w:r>
      <w:r w:rsidR="004B3F34" w:rsidRPr="007C3AE4">
        <w:rPr>
          <w:rFonts w:ascii="Palatino Linotype" w:eastAsia="Times New Roman" w:hAnsi="Palatino Linotype" w:cs="Arial"/>
          <w:b/>
          <w:sz w:val="24"/>
          <w:szCs w:val="24"/>
          <w:lang w:val="es-ES" w:eastAsia="es-ES"/>
        </w:rPr>
        <w:t xml:space="preserve">de diciembre </w:t>
      </w:r>
      <w:r w:rsidRPr="007C3AE4">
        <w:rPr>
          <w:rFonts w:ascii="Palatino Linotype" w:eastAsia="Times New Roman" w:hAnsi="Palatino Linotype" w:cs="Arial"/>
          <w:b/>
          <w:sz w:val="24"/>
          <w:szCs w:val="24"/>
          <w:lang w:val="es-ES" w:eastAsia="es-ES"/>
        </w:rPr>
        <w:t>de dos</w:t>
      </w:r>
      <w:r w:rsidRPr="007C3AE4">
        <w:rPr>
          <w:rFonts w:ascii="Palatino Linotype" w:eastAsia="Calibri" w:hAnsi="Palatino Linotype" w:cs="Arial"/>
          <w:sz w:val="24"/>
          <w:szCs w:val="24"/>
          <w:lang w:val="es-ES" w:eastAsia="es-ES"/>
        </w:rPr>
        <w:t xml:space="preserve"> mil veinte,</w:t>
      </w:r>
      <w:r w:rsidRPr="007C3AE4">
        <w:rPr>
          <w:rFonts w:ascii="Palatino Linotype" w:eastAsia="Calibri" w:hAnsi="Palatino Linotype" w:cs="Times New Roman"/>
          <w:sz w:val="24"/>
          <w:szCs w:val="24"/>
          <w:lang w:val="es-ES" w:eastAsia="es-ES"/>
        </w:rPr>
        <w:t xml:space="preserve"> se presentó </w:t>
      </w:r>
      <w:r w:rsidRPr="007C3AE4">
        <w:rPr>
          <w:rFonts w:ascii="Palatino Linotype" w:eastAsia="Calibri" w:hAnsi="Palatino Linotype" w:cs="Arial"/>
          <w:sz w:val="24"/>
          <w:szCs w:val="24"/>
          <w:lang w:val="es-ES" w:eastAsia="es-ES"/>
        </w:rPr>
        <w:t xml:space="preserve">ante el </w:t>
      </w:r>
      <w:r w:rsidRPr="007C3AE4">
        <w:rPr>
          <w:rFonts w:ascii="Palatino Linotype" w:eastAsia="Calibri" w:hAnsi="Palatino Linotype" w:cs="Arial"/>
          <w:b/>
          <w:sz w:val="24"/>
          <w:szCs w:val="24"/>
          <w:lang w:val="es-ES" w:eastAsia="es-ES"/>
        </w:rPr>
        <w:t>SUJETO OBLIGADO</w:t>
      </w:r>
      <w:r w:rsidRPr="007C3AE4">
        <w:rPr>
          <w:rFonts w:ascii="Palatino Linotype" w:eastAsia="Calibri" w:hAnsi="Palatino Linotype" w:cs="Arial"/>
          <w:sz w:val="24"/>
          <w:szCs w:val="24"/>
          <w:lang w:val="es-ES_tradnl" w:eastAsia="es-ES"/>
        </w:rPr>
        <w:t xml:space="preserve"> vía </w:t>
      </w:r>
      <w:r w:rsidRPr="007C3AE4">
        <w:rPr>
          <w:rFonts w:ascii="Palatino Linotype" w:eastAsia="Calibri" w:hAnsi="Palatino Linotype" w:cs="Arial"/>
          <w:sz w:val="24"/>
          <w:szCs w:val="24"/>
          <w:lang w:val="es-ES" w:eastAsia="es-ES"/>
        </w:rPr>
        <w:t xml:space="preserve">Sistema de Acceso a la Información Mexiquense </w:t>
      </w:r>
      <w:r w:rsidRPr="007C3AE4">
        <w:rPr>
          <w:rFonts w:ascii="Palatino Linotype" w:eastAsia="Calibri" w:hAnsi="Palatino Linotype" w:cs="Arial"/>
          <w:b/>
          <w:sz w:val="24"/>
          <w:szCs w:val="24"/>
          <w:lang w:val="es-ES" w:eastAsia="es-ES"/>
        </w:rPr>
        <w:t>(SAIMEX)</w:t>
      </w:r>
      <w:r w:rsidRPr="007C3AE4">
        <w:rPr>
          <w:rFonts w:ascii="Palatino Linotype" w:eastAsia="Calibri" w:hAnsi="Palatino Linotype" w:cs="Arial"/>
          <w:sz w:val="24"/>
          <w:szCs w:val="24"/>
          <w:lang w:val="es-ES" w:eastAsia="es-ES"/>
        </w:rPr>
        <w:t xml:space="preserve">, la solicitud de información pública, registrada con el número </w:t>
      </w:r>
      <w:hyperlink r:id="rId8" w:history="1">
        <w:r w:rsidR="004B3F34" w:rsidRPr="007C3AE4">
          <w:rPr>
            <w:rFonts w:ascii="Palatino Linotype" w:eastAsia="Calibri" w:hAnsi="Palatino Linotype" w:cs="Arial"/>
            <w:b/>
            <w:bCs/>
            <w:sz w:val="24"/>
            <w:szCs w:val="24"/>
            <w:lang w:eastAsia="es-ES"/>
          </w:rPr>
          <w:t>00530</w:t>
        </w:r>
        <w:r w:rsidRPr="007C3AE4">
          <w:rPr>
            <w:rFonts w:ascii="Palatino Linotype" w:eastAsia="Calibri" w:hAnsi="Palatino Linotype" w:cs="Arial"/>
            <w:b/>
            <w:bCs/>
            <w:sz w:val="24"/>
            <w:szCs w:val="24"/>
            <w:lang w:eastAsia="es-ES"/>
          </w:rPr>
          <w:t>/</w:t>
        </w:r>
        <w:r w:rsidR="004B3F34" w:rsidRPr="007C3AE4">
          <w:rPr>
            <w:rFonts w:ascii="Palatino Linotype" w:eastAsia="Calibri" w:hAnsi="Palatino Linotype" w:cs="Arial"/>
            <w:b/>
            <w:bCs/>
            <w:sz w:val="24"/>
            <w:szCs w:val="24"/>
            <w:lang w:eastAsia="es-ES"/>
          </w:rPr>
          <w:t>SSALUD</w:t>
        </w:r>
        <w:r w:rsidRPr="007C3AE4">
          <w:rPr>
            <w:rFonts w:ascii="Palatino Linotype" w:eastAsia="Calibri" w:hAnsi="Palatino Linotype" w:cs="Arial"/>
            <w:b/>
            <w:bCs/>
            <w:sz w:val="24"/>
            <w:szCs w:val="24"/>
            <w:lang w:eastAsia="es-ES"/>
          </w:rPr>
          <w:t>/IP/2020</w:t>
        </w:r>
      </w:hyperlink>
      <w:r w:rsidR="004B3F34" w:rsidRPr="007C3AE4">
        <w:rPr>
          <w:rFonts w:ascii="Palatino Linotype" w:eastAsia="Calibri" w:hAnsi="Palatino Linotype" w:cs="Arial"/>
          <w:b/>
          <w:bCs/>
          <w:sz w:val="24"/>
          <w:szCs w:val="24"/>
          <w:lang w:eastAsia="es-ES"/>
        </w:rPr>
        <w:t xml:space="preserve"> </w:t>
      </w:r>
      <w:r w:rsidRPr="007C3AE4">
        <w:rPr>
          <w:rFonts w:ascii="Palatino Linotype" w:eastAsia="Times New Roman" w:hAnsi="Palatino Linotype" w:cs="Arial"/>
          <w:b/>
          <w:bCs/>
          <w:sz w:val="24"/>
          <w:szCs w:val="24"/>
          <w:lang w:eastAsia="es-ES"/>
        </w:rPr>
        <w:t>y</w:t>
      </w:r>
      <w:r w:rsidR="00303AD2" w:rsidRPr="007C3AE4">
        <w:t xml:space="preserve"> </w:t>
      </w:r>
      <w:hyperlink r:id="rId9" w:history="1">
        <w:r w:rsidR="004B3F34" w:rsidRPr="007C3AE4">
          <w:rPr>
            <w:rFonts w:ascii="Palatino Linotype" w:eastAsia="Calibri" w:hAnsi="Palatino Linotype" w:cs="Arial"/>
            <w:b/>
            <w:bCs/>
            <w:sz w:val="24"/>
            <w:szCs w:val="24"/>
            <w:lang w:eastAsia="es-ES"/>
          </w:rPr>
          <w:t>00508</w:t>
        </w:r>
        <w:r w:rsidRPr="007C3AE4">
          <w:rPr>
            <w:rFonts w:ascii="Palatino Linotype" w:eastAsia="Calibri" w:hAnsi="Palatino Linotype" w:cs="Arial"/>
            <w:b/>
            <w:bCs/>
            <w:sz w:val="24"/>
            <w:szCs w:val="24"/>
            <w:lang w:eastAsia="es-ES"/>
          </w:rPr>
          <w:t>/</w:t>
        </w:r>
        <w:r w:rsidR="004B3F34" w:rsidRPr="007C3AE4">
          <w:rPr>
            <w:rFonts w:ascii="Palatino Linotype" w:eastAsia="Calibri" w:hAnsi="Palatino Linotype" w:cs="Arial"/>
            <w:b/>
            <w:bCs/>
            <w:sz w:val="24"/>
            <w:szCs w:val="24"/>
            <w:lang w:eastAsia="es-ES"/>
          </w:rPr>
          <w:t>SSALUD/</w:t>
        </w:r>
        <w:r w:rsidRPr="007C3AE4">
          <w:rPr>
            <w:rFonts w:ascii="Palatino Linotype" w:eastAsia="Calibri" w:hAnsi="Palatino Linotype" w:cs="Arial"/>
            <w:b/>
            <w:bCs/>
            <w:sz w:val="24"/>
            <w:szCs w:val="24"/>
            <w:lang w:eastAsia="es-ES"/>
          </w:rPr>
          <w:t>IP/2020</w:t>
        </w:r>
      </w:hyperlink>
      <w:r w:rsidRPr="007C3AE4">
        <w:rPr>
          <w:rFonts w:ascii="Palatino Linotype" w:eastAsia="Times New Roman" w:hAnsi="Palatino Linotype" w:cs="Arial"/>
          <w:b/>
          <w:bCs/>
          <w:sz w:val="24"/>
          <w:szCs w:val="24"/>
          <w:lang w:eastAsia="es-ES"/>
        </w:rPr>
        <w:t xml:space="preserve"> </w:t>
      </w:r>
      <w:r w:rsidRPr="007C3AE4">
        <w:rPr>
          <w:rFonts w:ascii="Palatino Linotype" w:eastAsia="Calibri" w:hAnsi="Palatino Linotype" w:cs="Arial"/>
          <w:sz w:val="24"/>
          <w:szCs w:val="24"/>
          <w:lang w:val="es-ES" w:eastAsia="es-ES"/>
        </w:rPr>
        <w:t>mediante las cuales se requirió:</w:t>
      </w:r>
    </w:p>
    <w:p w14:paraId="35020A7D" w14:textId="77777777" w:rsidR="00970D88" w:rsidRPr="007C3AE4" w:rsidRDefault="00970D88" w:rsidP="00970D88">
      <w:pPr>
        <w:spacing w:before="240" w:after="240" w:line="360" w:lineRule="auto"/>
        <w:contextualSpacing/>
        <w:jc w:val="both"/>
        <w:rPr>
          <w:rFonts w:ascii="Palatino Linotype" w:eastAsia="Calibri" w:hAnsi="Palatino Linotype" w:cs="Arial"/>
          <w:sz w:val="24"/>
          <w:szCs w:val="24"/>
          <w:lang w:val="es-ES" w:eastAsia="es-ES"/>
        </w:rPr>
      </w:pPr>
    </w:p>
    <w:p w14:paraId="2A592A97" w14:textId="77777777" w:rsidR="00970D88" w:rsidRPr="007C3AE4" w:rsidRDefault="004B3F34" w:rsidP="00970D88">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7C3AE4">
        <w:rPr>
          <w:rFonts w:ascii="Palatino Linotype" w:eastAsia="Calibri" w:hAnsi="Palatino Linotype" w:cs="Arial"/>
          <w:i/>
          <w:sz w:val="24"/>
          <w:szCs w:val="24"/>
          <w:lang w:eastAsia="es-ES"/>
        </w:rPr>
        <w:t xml:space="preserve"> </w:t>
      </w:r>
      <w:r w:rsidR="00970D88" w:rsidRPr="007C3AE4">
        <w:rPr>
          <w:rFonts w:ascii="Palatino Linotype" w:eastAsia="Calibri" w:hAnsi="Palatino Linotype" w:cs="Arial"/>
          <w:i/>
          <w:sz w:val="24"/>
          <w:szCs w:val="24"/>
          <w:lang w:eastAsia="es-ES"/>
        </w:rPr>
        <w:t>“</w:t>
      </w:r>
      <w:r w:rsidRPr="007C3AE4">
        <w:rPr>
          <w:rFonts w:ascii="Palatino Linotype" w:eastAsia="Calibri" w:hAnsi="Palatino Linotype" w:cs="Arial"/>
          <w:i/>
          <w:sz w:val="24"/>
          <w:szCs w:val="24"/>
          <w:lang w:eastAsia="es-ES"/>
        </w:rPr>
        <w:t xml:space="preserve">Solicito de la siguiente documentación </w:t>
      </w:r>
      <w:r w:rsidRPr="007C3AE4">
        <w:rPr>
          <w:rFonts w:ascii="Palatino Linotype" w:eastAsia="Calibri" w:hAnsi="Palatino Linotype" w:cs="Arial"/>
          <w:b/>
          <w:i/>
          <w:sz w:val="24"/>
          <w:szCs w:val="24"/>
          <w:lang w:eastAsia="es-ES"/>
        </w:rPr>
        <w:t>Plan anual de adquisiciones de medicamentos,</w:t>
      </w:r>
      <w:r w:rsidRPr="007C3AE4">
        <w:rPr>
          <w:rFonts w:ascii="Palatino Linotype" w:eastAsia="Calibri" w:hAnsi="Palatino Linotype" w:cs="Arial"/>
          <w:i/>
          <w:sz w:val="24"/>
          <w:szCs w:val="24"/>
          <w:lang w:eastAsia="es-ES"/>
        </w:rPr>
        <w:t xml:space="preserve"> Los </w:t>
      </w:r>
      <w:proofErr w:type="gramStart"/>
      <w:r w:rsidRPr="007C3AE4">
        <w:rPr>
          <w:rFonts w:ascii="Palatino Linotype" w:eastAsia="Calibri" w:hAnsi="Palatino Linotype" w:cs="Arial"/>
          <w:b/>
          <w:i/>
          <w:sz w:val="24"/>
          <w:szCs w:val="24"/>
          <w:lang w:eastAsia="es-ES"/>
        </w:rPr>
        <w:t>programas anual</w:t>
      </w:r>
      <w:proofErr w:type="gramEnd"/>
      <w:r w:rsidRPr="007C3AE4">
        <w:rPr>
          <w:rFonts w:ascii="Palatino Linotype" w:eastAsia="Calibri" w:hAnsi="Palatino Linotype" w:cs="Arial"/>
          <w:b/>
          <w:i/>
          <w:sz w:val="24"/>
          <w:szCs w:val="24"/>
          <w:lang w:eastAsia="es-ES"/>
        </w:rPr>
        <w:t xml:space="preserve"> de adquisiciones, arrendamientos y prestaciones de servicios.</w:t>
      </w:r>
      <w:r w:rsidRPr="007C3AE4">
        <w:rPr>
          <w:rFonts w:ascii="Palatino Linotype" w:eastAsia="Calibri" w:hAnsi="Palatino Linotype" w:cs="Arial"/>
          <w:i/>
          <w:sz w:val="24"/>
          <w:szCs w:val="24"/>
          <w:lang w:eastAsia="es-ES"/>
        </w:rPr>
        <w:t xml:space="preserve"> </w:t>
      </w:r>
      <w:r w:rsidRPr="007C3AE4">
        <w:rPr>
          <w:rFonts w:ascii="Palatino Linotype" w:eastAsia="Calibri" w:hAnsi="Palatino Linotype" w:cs="Arial"/>
          <w:b/>
          <w:i/>
          <w:sz w:val="24"/>
          <w:szCs w:val="24"/>
          <w:lang w:eastAsia="es-ES"/>
        </w:rPr>
        <w:t>Documentación presentada ante el comité de adquisiciones para su autorización.</w:t>
      </w:r>
      <w:r w:rsidRPr="007C3AE4">
        <w:rPr>
          <w:rFonts w:ascii="Palatino Linotype" w:eastAsia="Calibri" w:hAnsi="Palatino Linotype" w:cs="Arial"/>
          <w:i/>
          <w:sz w:val="24"/>
          <w:szCs w:val="24"/>
          <w:lang w:eastAsia="es-ES"/>
        </w:rPr>
        <w:t xml:space="preserve"> Para la adquisición de medicamentos </w:t>
      </w:r>
      <w:r w:rsidRPr="007C3AE4">
        <w:rPr>
          <w:rFonts w:ascii="Palatino Linotype" w:eastAsia="Calibri" w:hAnsi="Palatino Linotype" w:cs="Arial"/>
          <w:b/>
          <w:i/>
          <w:sz w:val="24"/>
          <w:szCs w:val="24"/>
          <w:lang w:eastAsia="es-ES"/>
        </w:rPr>
        <w:t>Estimaciones de pago a los proveedores de medicamentos</w:t>
      </w:r>
      <w:r w:rsidRPr="007C3AE4">
        <w:rPr>
          <w:rFonts w:ascii="Palatino Linotype" w:eastAsia="Calibri" w:hAnsi="Palatino Linotype" w:cs="Arial"/>
          <w:i/>
          <w:sz w:val="24"/>
          <w:szCs w:val="24"/>
          <w:lang w:eastAsia="es-ES"/>
        </w:rPr>
        <w:t xml:space="preserve">. </w:t>
      </w:r>
      <w:r w:rsidRPr="007C3AE4">
        <w:rPr>
          <w:rFonts w:ascii="Palatino Linotype" w:eastAsia="Calibri" w:hAnsi="Palatino Linotype" w:cs="Arial"/>
          <w:b/>
          <w:i/>
          <w:sz w:val="24"/>
          <w:szCs w:val="24"/>
          <w:lang w:eastAsia="es-ES"/>
        </w:rPr>
        <w:t xml:space="preserve">Convenios </w:t>
      </w:r>
      <w:r w:rsidRPr="007C3AE4">
        <w:rPr>
          <w:rFonts w:ascii="Palatino Linotype" w:eastAsia="Calibri" w:hAnsi="Palatino Linotype" w:cs="Arial"/>
          <w:b/>
          <w:i/>
          <w:sz w:val="24"/>
          <w:szCs w:val="24"/>
          <w:lang w:eastAsia="es-ES"/>
        </w:rPr>
        <w:lastRenderedPageBreak/>
        <w:t>modificados si existieron o hubiesen existido</w:t>
      </w:r>
      <w:r w:rsidRPr="007C3AE4">
        <w:rPr>
          <w:rFonts w:ascii="Palatino Linotype" w:eastAsia="Calibri" w:hAnsi="Palatino Linotype" w:cs="Arial"/>
          <w:i/>
          <w:sz w:val="24"/>
          <w:szCs w:val="24"/>
          <w:lang w:eastAsia="es-ES"/>
        </w:rPr>
        <w:t xml:space="preserve">. Para la adquisición de medicamentos El </w:t>
      </w:r>
      <w:r w:rsidRPr="007C3AE4">
        <w:rPr>
          <w:rFonts w:ascii="Palatino Linotype" w:eastAsia="Calibri" w:hAnsi="Palatino Linotype" w:cs="Arial"/>
          <w:b/>
          <w:i/>
          <w:sz w:val="24"/>
          <w:szCs w:val="24"/>
          <w:lang w:eastAsia="es-ES"/>
        </w:rPr>
        <w:t xml:space="preserve">acta entrega de </w:t>
      </w:r>
      <w:proofErr w:type="spellStart"/>
      <w:r w:rsidRPr="007C3AE4">
        <w:rPr>
          <w:rFonts w:ascii="Palatino Linotype" w:eastAsia="Calibri" w:hAnsi="Palatino Linotype" w:cs="Arial"/>
          <w:b/>
          <w:i/>
          <w:sz w:val="24"/>
          <w:szCs w:val="24"/>
          <w:lang w:eastAsia="es-ES"/>
        </w:rPr>
        <w:t>recepccion</w:t>
      </w:r>
      <w:proofErr w:type="spellEnd"/>
      <w:r w:rsidRPr="007C3AE4">
        <w:rPr>
          <w:rFonts w:ascii="Palatino Linotype" w:eastAsia="Calibri" w:hAnsi="Palatino Linotype" w:cs="Arial"/>
          <w:b/>
          <w:i/>
          <w:sz w:val="24"/>
          <w:szCs w:val="24"/>
          <w:lang w:eastAsia="es-ES"/>
        </w:rPr>
        <w:t xml:space="preserve"> de los bienes o servicios contratados</w:t>
      </w:r>
      <w:r w:rsidRPr="007C3AE4">
        <w:rPr>
          <w:rFonts w:ascii="Palatino Linotype" w:eastAsia="Calibri" w:hAnsi="Palatino Linotype" w:cs="Arial"/>
          <w:i/>
          <w:sz w:val="24"/>
          <w:szCs w:val="24"/>
          <w:lang w:eastAsia="es-ES"/>
        </w:rPr>
        <w:t xml:space="preserve">. </w:t>
      </w:r>
      <w:r w:rsidRPr="007C3AE4">
        <w:rPr>
          <w:rFonts w:ascii="Palatino Linotype" w:eastAsia="Calibri" w:hAnsi="Palatino Linotype" w:cs="Arial"/>
          <w:b/>
          <w:i/>
          <w:sz w:val="24"/>
          <w:szCs w:val="24"/>
          <w:lang w:eastAsia="es-ES"/>
        </w:rPr>
        <w:t xml:space="preserve">Cuentas por liquidar certificadas y/o afectaciones </w:t>
      </w:r>
      <w:proofErr w:type="gramStart"/>
      <w:r w:rsidRPr="007C3AE4">
        <w:rPr>
          <w:rFonts w:ascii="Palatino Linotype" w:eastAsia="Calibri" w:hAnsi="Palatino Linotype" w:cs="Arial"/>
          <w:b/>
          <w:i/>
          <w:sz w:val="24"/>
          <w:szCs w:val="24"/>
          <w:lang w:eastAsia="es-ES"/>
        </w:rPr>
        <w:t>presupuestales</w:t>
      </w:r>
      <w:r w:rsidRPr="007C3AE4">
        <w:rPr>
          <w:rFonts w:ascii="Palatino Linotype" w:eastAsia="Calibri" w:hAnsi="Palatino Linotype" w:cs="Arial"/>
          <w:i/>
          <w:sz w:val="24"/>
          <w:szCs w:val="24"/>
          <w:lang w:eastAsia="es-ES"/>
        </w:rPr>
        <w:t xml:space="preserve"> .Y</w:t>
      </w:r>
      <w:proofErr w:type="gramEnd"/>
      <w:r w:rsidRPr="007C3AE4">
        <w:rPr>
          <w:rFonts w:ascii="Palatino Linotype" w:eastAsia="Calibri" w:hAnsi="Palatino Linotype" w:cs="Arial"/>
          <w:i/>
          <w:sz w:val="24"/>
          <w:szCs w:val="24"/>
          <w:lang w:eastAsia="es-ES"/>
        </w:rPr>
        <w:t xml:space="preserve"> en su caso la </w:t>
      </w:r>
      <w:r w:rsidRPr="007C3AE4">
        <w:rPr>
          <w:rFonts w:ascii="Palatino Linotype" w:eastAsia="Calibri" w:hAnsi="Palatino Linotype" w:cs="Arial"/>
          <w:b/>
          <w:i/>
          <w:sz w:val="24"/>
          <w:szCs w:val="24"/>
          <w:lang w:eastAsia="es-ES"/>
        </w:rPr>
        <w:t>ejecución de garantías.</w:t>
      </w:r>
      <w:r w:rsidRPr="007C3AE4">
        <w:rPr>
          <w:rFonts w:ascii="Palatino Linotype" w:eastAsia="Calibri" w:hAnsi="Palatino Linotype" w:cs="Arial"/>
          <w:i/>
          <w:sz w:val="24"/>
          <w:szCs w:val="24"/>
          <w:lang w:eastAsia="es-ES"/>
        </w:rPr>
        <w:t xml:space="preserve"> Para la </w:t>
      </w:r>
      <w:proofErr w:type="spellStart"/>
      <w:r w:rsidRPr="007C3AE4">
        <w:rPr>
          <w:rFonts w:ascii="Palatino Linotype" w:eastAsia="Calibri" w:hAnsi="Palatino Linotype" w:cs="Arial"/>
          <w:i/>
          <w:sz w:val="24"/>
          <w:szCs w:val="24"/>
          <w:lang w:eastAsia="es-ES"/>
        </w:rPr>
        <w:t>obtenciónde</w:t>
      </w:r>
      <w:proofErr w:type="spellEnd"/>
      <w:r w:rsidRPr="007C3AE4">
        <w:rPr>
          <w:rFonts w:ascii="Palatino Linotype" w:eastAsia="Calibri" w:hAnsi="Palatino Linotype" w:cs="Arial"/>
          <w:i/>
          <w:sz w:val="24"/>
          <w:szCs w:val="24"/>
          <w:lang w:eastAsia="es-ES"/>
        </w:rPr>
        <w:t xml:space="preserve"> medicamentos</w:t>
      </w:r>
      <w:r w:rsidR="00970D88" w:rsidRPr="007C3AE4">
        <w:rPr>
          <w:rFonts w:ascii="Palatino Linotype" w:eastAsia="Calibri" w:hAnsi="Palatino Linotype" w:cs="Arial"/>
          <w:i/>
          <w:sz w:val="24"/>
          <w:szCs w:val="24"/>
          <w:lang w:eastAsia="es-ES"/>
        </w:rPr>
        <w:t>”</w:t>
      </w:r>
      <w:r w:rsidRPr="007C3AE4">
        <w:rPr>
          <w:rFonts w:ascii="Palatino Linotype" w:eastAsia="Calibri" w:hAnsi="Palatino Linotype" w:cs="Arial"/>
          <w:i/>
          <w:sz w:val="24"/>
          <w:szCs w:val="24"/>
          <w:lang w:eastAsia="es-ES"/>
        </w:rPr>
        <w:t xml:space="preserve"> </w:t>
      </w:r>
      <w:r w:rsidR="00970D88" w:rsidRPr="007C3AE4">
        <w:rPr>
          <w:rFonts w:ascii="Palatino Linotype" w:eastAsia="Calibri" w:hAnsi="Palatino Linotype" w:cs="Arial"/>
          <w:i/>
          <w:sz w:val="24"/>
          <w:szCs w:val="24"/>
          <w:lang w:eastAsia="es-ES"/>
        </w:rPr>
        <w:t>(Sic)</w:t>
      </w:r>
    </w:p>
    <w:p w14:paraId="39C399C7" w14:textId="77777777" w:rsidR="00970D88" w:rsidRPr="007C3AE4" w:rsidRDefault="00970D88" w:rsidP="00970D88">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14:paraId="1FEF469B" w14:textId="77777777" w:rsidR="00970D88" w:rsidRPr="007C3AE4" w:rsidRDefault="004B3F34" w:rsidP="00970D88">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7C3AE4">
        <w:rPr>
          <w:rFonts w:ascii="Palatino Linotype" w:eastAsia="Calibri" w:hAnsi="Palatino Linotype" w:cs="Arial"/>
          <w:i/>
          <w:sz w:val="24"/>
          <w:szCs w:val="24"/>
          <w:lang w:eastAsia="es-ES"/>
        </w:rPr>
        <w:t xml:space="preserve"> </w:t>
      </w:r>
      <w:r w:rsidR="00970D88" w:rsidRPr="007C3AE4">
        <w:rPr>
          <w:rFonts w:ascii="Palatino Linotype" w:eastAsia="Calibri" w:hAnsi="Palatino Linotype" w:cs="Arial"/>
          <w:i/>
          <w:sz w:val="24"/>
          <w:szCs w:val="24"/>
          <w:lang w:eastAsia="es-ES"/>
        </w:rPr>
        <w:t>“</w:t>
      </w:r>
      <w:r w:rsidRPr="007C3AE4">
        <w:rPr>
          <w:rFonts w:ascii="Palatino Linotype" w:eastAsia="Calibri" w:hAnsi="Palatino Linotype" w:cs="Arial"/>
          <w:i/>
          <w:sz w:val="24"/>
          <w:szCs w:val="24"/>
          <w:lang w:eastAsia="es-ES"/>
        </w:rPr>
        <w:t>Solicito información sobre los contratos de adquisición de medicamentos que se recetan para las siguientes enfermedades: d</w:t>
      </w:r>
      <w:r w:rsidRPr="007C3AE4">
        <w:rPr>
          <w:rFonts w:ascii="Palatino Linotype" w:eastAsia="Calibri" w:hAnsi="Palatino Linotype" w:cs="Arial"/>
          <w:b/>
          <w:i/>
          <w:sz w:val="24"/>
          <w:szCs w:val="24"/>
          <w:lang w:eastAsia="es-ES"/>
        </w:rPr>
        <w:t>iabetes, VIH, problemas renales, cáncer (pulmón y mama), hipertensión, falla renal, entre otros</w:t>
      </w:r>
      <w:r w:rsidRPr="007C3AE4">
        <w:rPr>
          <w:rFonts w:ascii="Palatino Linotype" w:eastAsia="Calibri" w:hAnsi="Palatino Linotype" w:cs="Arial"/>
          <w:i/>
          <w:sz w:val="24"/>
          <w:szCs w:val="24"/>
          <w:lang w:eastAsia="es-ES"/>
        </w:rPr>
        <w:t xml:space="preserve">. Así como </w:t>
      </w:r>
      <w:r w:rsidRPr="007C3AE4">
        <w:rPr>
          <w:rFonts w:ascii="Palatino Linotype" w:eastAsia="Calibri" w:hAnsi="Palatino Linotype" w:cs="Arial"/>
          <w:b/>
          <w:i/>
          <w:sz w:val="24"/>
          <w:szCs w:val="24"/>
          <w:lang w:eastAsia="es-ES"/>
        </w:rPr>
        <w:t>las verificaciones de los órganos de control interno del sector salud</w:t>
      </w:r>
      <w:r w:rsidRPr="007C3AE4">
        <w:rPr>
          <w:rFonts w:ascii="Palatino Linotype" w:eastAsia="Calibri" w:hAnsi="Palatino Linotype" w:cs="Arial"/>
          <w:i/>
          <w:sz w:val="24"/>
          <w:szCs w:val="24"/>
          <w:lang w:eastAsia="es-ES"/>
        </w:rPr>
        <w:t xml:space="preserve">. Toda la información solicitada será </w:t>
      </w:r>
      <w:r w:rsidRPr="007C3AE4">
        <w:rPr>
          <w:rFonts w:ascii="Palatino Linotype" w:eastAsia="Calibri" w:hAnsi="Palatino Linotype" w:cs="Arial"/>
          <w:b/>
          <w:i/>
          <w:sz w:val="24"/>
          <w:szCs w:val="24"/>
          <w:lang w:eastAsia="es-ES"/>
        </w:rPr>
        <w:t>del periodo 2017 al 2019</w:t>
      </w:r>
      <w:r w:rsidRPr="007C3AE4">
        <w:rPr>
          <w:rFonts w:ascii="Palatino Linotype" w:eastAsia="Calibri" w:hAnsi="Palatino Linotype" w:cs="Arial"/>
          <w:i/>
          <w:sz w:val="24"/>
          <w:szCs w:val="24"/>
          <w:lang w:eastAsia="es-ES"/>
        </w:rPr>
        <w:t xml:space="preserve"> (Estado de México)</w:t>
      </w:r>
      <w:r w:rsidR="00970D88" w:rsidRPr="007C3AE4">
        <w:rPr>
          <w:rFonts w:ascii="Palatino Linotype" w:eastAsia="Calibri" w:hAnsi="Palatino Linotype" w:cs="Arial"/>
          <w:i/>
          <w:sz w:val="24"/>
          <w:szCs w:val="24"/>
          <w:lang w:eastAsia="es-ES"/>
        </w:rPr>
        <w:t>.</w:t>
      </w:r>
      <w:r w:rsidR="00970D88" w:rsidRPr="007C3AE4">
        <w:rPr>
          <w:rFonts w:ascii="Palatino Linotype" w:eastAsia="Calibri" w:hAnsi="Palatino Linotype" w:cs="Arial"/>
          <w:i/>
          <w:sz w:val="24"/>
          <w:szCs w:val="24"/>
          <w:lang w:val="es-ES" w:eastAsia="es-ES"/>
        </w:rPr>
        <w:t>” (Sic)</w:t>
      </w:r>
    </w:p>
    <w:p w14:paraId="39745D95" w14:textId="77777777" w:rsidR="00970D88" w:rsidRPr="007C3AE4" w:rsidRDefault="00970D88" w:rsidP="00970D88">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p>
    <w:p w14:paraId="4036FC96" w14:textId="77777777" w:rsidR="00970D88" w:rsidRPr="007C3AE4" w:rsidRDefault="008C26A0" w:rsidP="007051AF">
      <w:pPr>
        <w:pStyle w:val="Prrafodelista"/>
        <w:numPr>
          <w:ilvl w:val="0"/>
          <w:numId w:val="2"/>
        </w:numPr>
        <w:spacing w:after="0" w:line="360" w:lineRule="auto"/>
        <w:jc w:val="both"/>
        <w:rPr>
          <w:rFonts w:ascii="Palatino Linotype" w:eastAsia="Times New Roman" w:hAnsi="Palatino Linotype" w:cs="Arial"/>
          <w:sz w:val="24"/>
          <w:szCs w:val="24"/>
          <w:lang w:val="es-ES" w:eastAsia="es-ES"/>
        </w:rPr>
      </w:pPr>
      <w:r w:rsidRPr="007C3AE4">
        <w:rPr>
          <w:rFonts w:ascii="Palatino Linotype" w:eastAsia="Times New Roman" w:hAnsi="Palatino Linotype" w:cs="Arial"/>
          <w:sz w:val="24"/>
          <w:szCs w:val="24"/>
          <w:lang w:val="es-ES" w:eastAsia="es-ES"/>
        </w:rPr>
        <w:t>Resulta necesario precisar que las solicitudes de información fueron presentadas</w:t>
      </w:r>
      <w:r w:rsidR="007051AF" w:rsidRPr="007C3AE4">
        <w:rPr>
          <w:rFonts w:ascii="Palatino Linotype" w:eastAsia="Times New Roman" w:hAnsi="Palatino Linotype" w:cs="Arial"/>
          <w:sz w:val="24"/>
          <w:szCs w:val="24"/>
          <w:lang w:val="es-ES" w:eastAsia="es-ES"/>
        </w:rPr>
        <w:t xml:space="preserve"> </w:t>
      </w:r>
      <w:r w:rsidRPr="007C3AE4">
        <w:rPr>
          <w:rFonts w:ascii="Palatino Linotype" w:eastAsia="Times New Roman" w:hAnsi="Palatino Linotype" w:cs="Arial"/>
          <w:sz w:val="24"/>
          <w:szCs w:val="24"/>
          <w:lang w:val="es-ES" w:eastAsia="es-ES"/>
        </w:rPr>
        <w:t xml:space="preserve">por medio de la Plataforma Nacional de Transparencia, </w:t>
      </w:r>
      <w:r w:rsidR="007051AF" w:rsidRPr="007C3AE4">
        <w:rPr>
          <w:rFonts w:ascii="Palatino Linotype" w:eastAsia="Times New Roman" w:hAnsi="Palatino Linotype" w:cs="Arial"/>
          <w:sz w:val="24"/>
          <w:szCs w:val="24"/>
          <w:lang w:val="es-ES" w:eastAsia="es-ES"/>
        </w:rPr>
        <w:t xml:space="preserve">no obstante, lo anterior la modalidad entrega de la será a través del correo electrónico proporcionado, como </w:t>
      </w:r>
      <w:r w:rsidR="007051AF" w:rsidRPr="007C3AE4">
        <w:rPr>
          <w:rFonts w:ascii="Palatino Linotype" w:eastAsia="Times New Roman" w:hAnsi="Palatino Linotype" w:cs="Arial"/>
          <w:b/>
          <w:sz w:val="24"/>
          <w:szCs w:val="24"/>
          <w:lang w:val="es-ES" w:eastAsia="es-ES"/>
        </w:rPr>
        <w:t>a través de SAIMEX.</w:t>
      </w:r>
    </w:p>
    <w:p w14:paraId="1884F012" w14:textId="77777777" w:rsidR="00970D88" w:rsidRPr="007C3AE4" w:rsidRDefault="00970D88" w:rsidP="00970D88">
      <w:pPr>
        <w:spacing w:after="0" w:line="360" w:lineRule="auto"/>
        <w:contextualSpacing/>
        <w:jc w:val="both"/>
        <w:rPr>
          <w:rFonts w:ascii="Palatino Linotype" w:eastAsia="Times New Roman" w:hAnsi="Palatino Linotype" w:cs="Arial"/>
          <w:sz w:val="24"/>
          <w:szCs w:val="24"/>
          <w:lang w:val="es-ES" w:eastAsia="es-ES"/>
        </w:rPr>
      </w:pPr>
    </w:p>
    <w:p w14:paraId="3EFA9365" w14:textId="77777777" w:rsidR="00970D88" w:rsidRPr="007C3AE4" w:rsidRDefault="00970D88" w:rsidP="00970D88">
      <w:pPr>
        <w:numPr>
          <w:ilvl w:val="0"/>
          <w:numId w:val="2"/>
        </w:numPr>
        <w:spacing w:before="240" w:after="240" w:line="360" w:lineRule="auto"/>
        <w:contextualSpacing/>
        <w:jc w:val="both"/>
        <w:rPr>
          <w:rFonts w:ascii="Palatino Linotype" w:hAnsi="Palatino Linotype"/>
          <w:sz w:val="24"/>
          <w:szCs w:val="24"/>
          <w:lang w:val="es-ES" w:eastAsia="es-ES"/>
        </w:rPr>
      </w:pPr>
      <w:r w:rsidRPr="007C3AE4">
        <w:rPr>
          <w:rFonts w:ascii="Palatino Linotype" w:hAnsi="Palatino Linotype"/>
          <w:sz w:val="24"/>
          <w:szCs w:val="24"/>
          <w:lang w:val="es-ES" w:eastAsia="es-ES"/>
        </w:rPr>
        <w:t xml:space="preserve">El día </w:t>
      </w:r>
      <w:r w:rsidR="00922910" w:rsidRPr="007C3AE4">
        <w:rPr>
          <w:rFonts w:ascii="Palatino Linotype" w:hAnsi="Palatino Linotype"/>
          <w:b/>
          <w:sz w:val="24"/>
          <w:szCs w:val="24"/>
          <w:lang w:val="es-ES" w:eastAsia="es-ES"/>
        </w:rPr>
        <w:t>veintiocho (28) de dic</w:t>
      </w:r>
      <w:r w:rsidRPr="007C3AE4">
        <w:rPr>
          <w:rFonts w:ascii="Palatino Linotype" w:hAnsi="Palatino Linotype"/>
          <w:b/>
          <w:sz w:val="24"/>
          <w:szCs w:val="24"/>
          <w:lang w:val="es-ES" w:eastAsia="es-ES"/>
        </w:rPr>
        <w:t xml:space="preserve">iembre </w:t>
      </w:r>
      <w:r w:rsidRPr="007C3AE4">
        <w:rPr>
          <w:rFonts w:ascii="Palatino Linotype" w:hAnsi="Palatino Linotype"/>
          <w:sz w:val="24"/>
          <w:szCs w:val="24"/>
          <w:lang w:val="es-ES" w:eastAsia="es-ES"/>
        </w:rPr>
        <w:t>de dos mil veinte</w:t>
      </w:r>
      <w:r w:rsidR="00922910" w:rsidRPr="007C3AE4">
        <w:rPr>
          <w:rFonts w:ascii="Palatino Linotype" w:hAnsi="Palatino Linotype"/>
          <w:sz w:val="24"/>
          <w:szCs w:val="24"/>
          <w:lang w:val="es-ES" w:eastAsia="es-ES"/>
        </w:rPr>
        <w:t xml:space="preserve"> y </w:t>
      </w:r>
      <w:r w:rsidR="00922910" w:rsidRPr="007C3AE4">
        <w:rPr>
          <w:rFonts w:ascii="Palatino Linotype" w:hAnsi="Palatino Linotype"/>
          <w:b/>
          <w:sz w:val="24"/>
          <w:szCs w:val="24"/>
          <w:lang w:val="es-ES" w:eastAsia="es-ES"/>
        </w:rPr>
        <w:t>veinte (20)</w:t>
      </w:r>
      <w:r w:rsidR="00922910" w:rsidRPr="007C3AE4">
        <w:rPr>
          <w:rFonts w:ascii="Palatino Linotype" w:hAnsi="Palatino Linotype"/>
          <w:sz w:val="24"/>
          <w:szCs w:val="24"/>
          <w:lang w:val="es-ES" w:eastAsia="es-ES"/>
        </w:rPr>
        <w:t xml:space="preserve"> de enero de dos mil veintiuno,</w:t>
      </w:r>
      <w:r w:rsidRPr="007C3AE4">
        <w:rPr>
          <w:rFonts w:ascii="Palatino Linotype" w:hAnsi="Palatino Linotype"/>
          <w:sz w:val="24"/>
          <w:szCs w:val="24"/>
          <w:lang w:val="es-ES" w:eastAsia="es-ES"/>
        </w:rPr>
        <w:t xml:space="preserve"> el </w:t>
      </w:r>
      <w:r w:rsidRPr="007C3AE4">
        <w:rPr>
          <w:rFonts w:ascii="Palatino Linotype" w:hAnsi="Palatino Linotype"/>
          <w:b/>
          <w:sz w:val="24"/>
          <w:szCs w:val="24"/>
          <w:lang w:val="es-ES" w:eastAsia="es-ES"/>
        </w:rPr>
        <w:t>SUJETO OBLIGADO</w:t>
      </w:r>
      <w:r w:rsidRPr="007C3AE4">
        <w:rPr>
          <w:rFonts w:ascii="Palatino Linotype" w:hAnsi="Palatino Linotype"/>
          <w:sz w:val="24"/>
          <w:szCs w:val="24"/>
          <w:lang w:val="es-ES" w:eastAsia="es-ES"/>
        </w:rPr>
        <w:t xml:space="preserve"> emitió sus respectivas respuestas,</w:t>
      </w:r>
      <w:r w:rsidR="00922910" w:rsidRPr="007C3AE4">
        <w:rPr>
          <w:rFonts w:ascii="Palatino Linotype" w:hAnsi="Palatino Linotype"/>
          <w:sz w:val="24"/>
          <w:szCs w:val="24"/>
          <w:lang w:val="es-ES" w:eastAsia="es-ES"/>
        </w:rPr>
        <w:t xml:space="preserve"> para lo cual adjunto los archivos </w:t>
      </w:r>
      <w:r w:rsidR="00922910" w:rsidRPr="007C3AE4">
        <w:rPr>
          <w:rFonts w:ascii="Palatino Linotype" w:hAnsi="Palatino Linotype"/>
          <w:b/>
          <w:sz w:val="24"/>
          <w:szCs w:val="24"/>
          <w:lang w:val="es-ES" w:eastAsia="es-ES"/>
        </w:rPr>
        <w:t>SAIMEX 00530 2020 SS.docx y SAIMEX 00508 IP 2020.docx,</w:t>
      </w:r>
      <w:r w:rsidRPr="007C3AE4">
        <w:rPr>
          <w:rFonts w:ascii="Palatino Linotype" w:hAnsi="Palatino Linotype"/>
          <w:sz w:val="24"/>
          <w:szCs w:val="24"/>
          <w:lang w:val="es-ES" w:eastAsia="es-ES"/>
        </w:rPr>
        <w:t xml:space="preserve"> mismos que hacen referencia a lo siguiente:</w:t>
      </w:r>
    </w:p>
    <w:p w14:paraId="2DF54DA7" w14:textId="77777777" w:rsidR="00970D88" w:rsidRPr="007C3AE4" w:rsidRDefault="00970D88" w:rsidP="00970D88">
      <w:pPr>
        <w:spacing w:before="240" w:after="240" w:line="360" w:lineRule="auto"/>
        <w:ind w:left="360"/>
        <w:contextualSpacing/>
        <w:jc w:val="both"/>
        <w:rPr>
          <w:rFonts w:ascii="Palatino Linotype" w:hAnsi="Palatino Linotype"/>
          <w:sz w:val="24"/>
          <w:szCs w:val="24"/>
          <w:lang w:val="es-ES" w:eastAsia="es-ES"/>
        </w:rPr>
      </w:pPr>
    </w:p>
    <w:p w14:paraId="36B0CFD8" w14:textId="77777777" w:rsidR="00303AD2" w:rsidRPr="007C3AE4" w:rsidRDefault="00922910" w:rsidP="00303AD2">
      <w:pPr>
        <w:tabs>
          <w:tab w:val="left" w:pos="851"/>
        </w:tabs>
        <w:ind w:left="426"/>
        <w:jc w:val="both"/>
        <w:rPr>
          <w:rFonts w:ascii="Palatino Linotype" w:hAnsi="Palatino Linotype"/>
          <w:lang w:val="es-ES" w:eastAsia="es-ES"/>
        </w:rPr>
      </w:pPr>
      <w:r w:rsidRPr="007C3AE4">
        <w:rPr>
          <w:rFonts w:ascii="Palatino Linotype" w:hAnsi="Palatino Linotype"/>
          <w:b/>
          <w:lang w:val="es-ES" w:eastAsia="es-ES"/>
        </w:rPr>
        <w:lastRenderedPageBreak/>
        <w:t xml:space="preserve">SAIMEX 00530 2020 SS.docx: </w:t>
      </w:r>
      <w:r w:rsidRPr="007C3AE4">
        <w:rPr>
          <w:rFonts w:ascii="Palatino Linotype" w:hAnsi="Palatino Linotype"/>
          <w:lang w:val="es-ES" w:eastAsia="es-ES"/>
        </w:rPr>
        <w:t xml:space="preserve">documento ah </w:t>
      </w:r>
      <w:proofErr w:type="spellStart"/>
      <w:r w:rsidRPr="007C3AE4">
        <w:rPr>
          <w:rFonts w:ascii="Palatino Linotype" w:hAnsi="Palatino Linotype"/>
          <w:lang w:val="es-ES" w:eastAsia="es-ES"/>
        </w:rPr>
        <w:t>doc</w:t>
      </w:r>
      <w:proofErr w:type="spellEnd"/>
      <w:r w:rsidRPr="007C3AE4">
        <w:rPr>
          <w:rFonts w:ascii="Palatino Linotype" w:hAnsi="Palatino Linotype"/>
          <w:lang w:val="es-ES" w:eastAsia="es-ES"/>
        </w:rPr>
        <w:t xml:space="preserve">, mediante el cual </w:t>
      </w:r>
      <w:r w:rsidR="00303AD2" w:rsidRPr="007C3AE4">
        <w:rPr>
          <w:rFonts w:ascii="Palatino Linotype" w:hAnsi="Palatino Linotype"/>
          <w:lang w:val="es-ES" w:eastAsia="es-ES"/>
        </w:rPr>
        <w:t xml:space="preserve">se informa que derivado del análisis realizado, se identificó que la información que describe, no es administrada por unidades administrativas u órganos desconcentrados pertenecientes a esta Secretaría de Salud del Estado de México, una vez cotejado con las atribuciones establecidas en el marco jurídico de actuación de la Secretaría de Salud, en particular en el Código Administrativo del Estado de México, así como su Reglamento Interior de la Secretaria de Salud del Estado de México y las funciones descritas en el Manual General de Organización de la Secretaría de Salud. </w:t>
      </w:r>
    </w:p>
    <w:p w14:paraId="38225295" w14:textId="77777777" w:rsidR="00303AD2" w:rsidRPr="007C3AE4" w:rsidRDefault="00303AD2" w:rsidP="00303AD2">
      <w:pPr>
        <w:tabs>
          <w:tab w:val="left" w:pos="851"/>
        </w:tabs>
        <w:ind w:left="426"/>
        <w:jc w:val="both"/>
        <w:rPr>
          <w:rFonts w:ascii="Palatino Linotype" w:hAnsi="Palatino Linotype"/>
          <w:b/>
          <w:lang w:val="es-ES" w:eastAsia="es-ES"/>
        </w:rPr>
      </w:pPr>
      <w:r w:rsidRPr="007C3AE4">
        <w:rPr>
          <w:rFonts w:ascii="Palatino Linotype" w:hAnsi="Palatino Linotype"/>
          <w:lang w:val="es-ES" w:eastAsia="es-ES"/>
        </w:rPr>
        <w:t xml:space="preserve">Por tal razón, en los </w:t>
      </w:r>
      <w:r w:rsidRPr="007C3AE4">
        <w:rPr>
          <w:rFonts w:ascii="Palatino Linotype" w:hAnsi="Palatino Linotype"/>
          <w:b/>
          <w:lang w:val="es-ES" w:eastAsia="es-ES"/>
        </w:rPr>
        <w:t>archivos que obran en poder de este sujeto obligado no se encuentra información alguna que permita atender en forma positiva su solicitud; por lo que queda fuera del ámbito de competencia de este sujeto obligado el conocimiento de la información que se genere o posea en ese sentido en la Ciudad de México.</w:t>
      </w:r>
    </w:p>
    <w:p w14:paraId="17C6F20D" w14:textId="77777777" w:rsidR="00303AD2" w:rsidRPr="007C3AE4" w:rsidRDefault="00922910" w:rsidP="00303AD2">
      <w:pPr>
        <w:tabs>
          <w:tab w:val="left" w:pos="851"/>
        </w:tabs>
        <w:ind w:left="426"/>
        <w:jc w:val="both"/>
        <w:rPr>
          <w:rFonts w:ascii="Palatino Linotype" w:hAnsi="Palatino Linotype"/>
          <w:lang w:val="es-ES" w:eastAsia="es-ES"/>
        </w:rPr>
      </w:pPr>
      <w:r w:rsidRPr="007C3AE4">
        <w:rPr>
          <w:rFonts w:ascii="Palatino Linotype" w:hAnsi="Palatino Linotype"/>
          <w:b/>
          <w:sz w:val="24"/>
          <w:szCs w:val="24"/>
          <w:lang w:val="es-ES" w:eastAsia="es-ES"/>
        </w:rPr>
        <w:t>SAIMEX 00508 IP 2020.docx</w:t>
      </w:r>
      <w:r w:rsidR="00303AD2" w:rsidRPr="007C3AE4">
        <w:rPr>
          <w:rFonts w:ascii="Palatino Linotype" w:hAnsi="Palatino Linotype"/>
          <w:b/>
          <w:sz w:val="24"/>
          <w:szCs w:val="24"/>
          <w:lang w:val="es-ES" w:eastAsia="es-ES"/>
        </w:rPr>
        <w:t>:</w:t>
      </w:r>
      <w:r w:rsidR="00303AD2" w:rsidRPr="007C3AE4">
        <w:rPr>
          <w:rFonts w:ascii="Palatino Linotype" w:hAnsi="Palatino Linotype"/>
          <w:lang w:val="es-ES" w:eastAsia="es-ES"/>
        </w:rPr>
        <w:t xml:space="preserve"> documento ah </w:t>
      </w:r>
      <w:proofErr w:type="spellStart"/>
      <w:r w:rsidR="00303AD2" w:rsidRPr="007C3AE4">
        <w:rPr>
          <w:rFonts w:ascii="Palatino Linotype" w:hAnsi="Palatino Linotype"/>
          <w:lang w:val="es-ES" w:eastAsia="es-ES"/>
        </w:rPr>
        <w:t>doc</w:t>
      </w:r>
      <w:proofErr w:type="spellEnd"/>
      <w:r w:rsidR="00303AD2" w:rsidRPr="007C3AE4">
        <w:rPr>
          <w:rFonts w:ascii="Palatino Linotype" w:hAnsi="Palatino Linotype"/>
          <w:lang w:val="es-ES" w:eastAsia="es-ES"/>
        </w:rPr>
        <w:t xml:space="preserve">, mediante el cual se informa que </w:t>
      </w:r>
      <w:r w:rsidR="005E39B9" w:rsidRPr="007C3AE4">
        <w:rPr>
          <w:rFonts w:ascii="Palatino Linotype" w:hAnsi="Palatino Linotype"/>
          <w:lang w:val="es-ES" w:eastAsia="es-ES"/>
        </w:rPr>
        <w:t>c</w:t>
      </w:r>
      <w:r w:rsidR="00303AD2" w:rsidRPr="007C3AE4">
        <w:rPr>
          <w:rFonts w:ascii="Palatino Linotype" w:hAnsi="Palatino Linotype"/>
          <w:lang w:val="es-ES" w:eastAsia="es-ES"/>
        </w:rPr>
        <w:t xml:space="preserve">on fundamento en el artículo 163 de la Ley de Transparencia y Acceso a la Información Pública del Estado de México y Municipios; la Coordinación Administrativa de la Secretaría de Salud del Estado de México, de conformidad a lo expuesto en el Manual General de Organización de la Secretaría de Salud del Estado de México es la unidad administrativa encargada de “Planear, organizar y dirigir el suministro y administración de recursos financieros, materiales, humanos y de servicios generales que requieran las unidades administrativas de la Secretaria de Salud, así como vigilar su manejo y aprovechamiento con apego a la normatividad vigente y a las políticas de racionalidad, austeridad y disciplina presupuestal”, atiende su solicitud, en el sentido de: “Al respecto, me permito informar a usted que en cumplimiento a lo dispuesto en el numeral 217020000 del Manual General de Organización de la Secretaría de Salud, </w:t>
      </w:r>
      <w:r w:rsidR="00303AD2" w:rsidRPr="007C3AE4">
        <w:rPr>
          <w:rFonts w:ascii="Palatino Linotype" w:hAnsi="Palatino Linotype"/>
          <w:b/>
          <w:lang w:val="es-ES" w:eastAsia="es-ES"/>
        </w:rPr>
        <w:t>se determina que derivado del marco normativo vigente y aplicable, la información que solicita, no es del ámbito de competencia de esta Coordinación Administrativa</w:t>
      </w:r>
      <w:r w:rsidR="00303AD2" w:rsidRPr="007C3AE4">
        <w:rPr>
          <w:rFonts w:ascii="Palatino Linotype" w:hAnsi="Palatino Linotype"/>
          <w:lang w:val="es-ES" w:eastAsia="es-ES"/>
        </w:rPr>
        <w:t>”.</w:t>
      </w:r>
    </w:p>
    <w:p w14:paraId="4640A0FB" w14:textId="77777777" w:rsidR="00303AD2" w:rsidRPr="007C3AE4" w:rsidRDefault="00303AD2" w:rsidP="00303AD2">
      <w:pPr>
        <w:tabs>
          <w:tab w:val="left" w:pos="851"/>
        </w:tabs>
        <w:spacing w:after="0" w:line="240" w:lineRule="auto"/>
        <w:jc w:val="both"/>
        <w:rPr>
          <w:rFonts w:ascii="Palatino Linotype" w:hAnsi="Palatino Linotype"/>
          <w:lang w:val="es-ES" w:eastAsia="es-ES"/>
        </w:rPr>
      </w:pPr>
    </w:p>
    <w:p w14:paraId="386CA93B" w14:textId="77777777" w:rsidR="00970D88" w:rsidRPr="007C3AE4" w:rsidRDefault="00970D88" w:rsidP="00970D8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C3AE4">
        <w:rPr>
          <w:rFonts w:ascii="Palatino Linotype" w:eastAsia="Times New Roman" w:hAnsi="Palatino Linotype" w:cs="Arial"/>
          <w:sz w:val="24"/>
          <w:szCs w:val="24"/>
          <w:lang w:val="es-ES" w:eastAsia="es-ES"/>
        </w:rPr>
        <w:t xml:space="preserve">El día </w:t>
      </w:r>
      <w:r w:rsidR="005E39B9" w:rsidRPr="007C3AE4">
        <w:rPr>
          <w:rFonts w:ascii="Palatino Linotype" w:eastAsia="Times New Roman" w:hAnsi="Palatino Linotype" w:cs="Arial"/>
          <w:b/>
          <w:sz w:val="24"/>
          <w:szCs w:val="24"/>
          <w:lang w:val="es-ES" w:eastAsia="es-ES"/>
        </w:rPr>
        <w:t>once (11</w:t>
      </w:r>
      <w:r w:rsidRPr="007C3AE4">
        <w:rPr>
          <w:rFonts w:ascii="Palatino Linotype" w:eastAsia="Times New Roman" w:hAnsi="Palatino Linotype" w:cs="Arial"/>
          <w:b/>
          <w:sz w:val="24"/>
          <w:szCs w:val="24"/>
          <w:lang w:val="es-ES" w:eastAsia="es-ES"/>
        </w:rPr>
        <w:t>)</w:t>
      </w:r>
      <w:r w:rsidR="005E39B9" w:rsidRPr="007C3AE4">
        <w:rPr>
          <w:rFonts w:ascii="Palatino Linotype" w:eastAsia="Times New Roman" w:hAnsi="Palatino Linotype" w:cs="Arial"/>
          <w:b/>
          <w:sz w:val="24"/>
          <w:szCs w:val="24"/>
          <w:lang w:val="es-ES" w:eastAsia="es-ES"/>
        </w:rPr>
        <w:t xml:space="preserve"> y veinte (20)</w:t>
      </w:r>
      <w:r w:rsidRPr="007C3AE4">
        <w:rPr>
          <w:rFonts w:ascii="Palatino Linotype" w:eastAsia="Times New Roman" w:hAnsi="Palatino Linotype" w:cs="Arial"/>
          <w:b/>
          <w:sz w:val="24"/>
          <w:szCs w:val="24"/>
          <w:lang w:val="es-ES" w:eastAsia="es-ES"/>
        </w:rPr>
        <w:t xml:space="preserve"> de e</w:t>
      </w:r>
      <w:r w:rsidR="005E39B9" w:rsidRPr="007C3AE4">
        <w:rPr>
          <w:rFonts w:ascii="Palatino Linotype" w:eastAsia="Times New Roman" w:hAnsi="Palatino Linotype" w:cs="Arial"/>
          <w:b/>
          <w:sz w:val="24"/>
          <w:szCs w:val="24"/>
          <w:lang w:val="es-ES" w:eastAsia="es-ES"/>
        </w:rPr>
        <w:t>nero</w:t>
      </w:r>
      <w:r w:rsidRPr="007C3AE4">
        <w:rPr>
          <w:rFonts w:ascii="Palatino Linotype" w:eastAsia="Times New Roman" w:hAnsi="Palatino Linotype" w:cs="Arial"/>
          <w:b/>
          <w:sz w:val="24"/>
          <w:szCs w:val="24"/>
          <w:lang w:val="es-ES" w:eastAsia="es-ES"/>
        </w:rPr>
        <w:t xml:space="preserve"> </w:t>
      </w:r>
      <w:r w:rsidR="005E39B9" w:rsidRPr="007C3AE4">
        <w:rPr>
          <w:rFonts w:ascii="Palatino Linotype" w:eastAsia="Times New Roman" w:hAnsi="Palatino Linotype" w:cs="Arial"/>
          <w:sz w:val="24"/>
          <w:szCs w:val="24"/>
          <w:lang w:val="es-ES" w:eastAsia="es-ES"/>
        </w:rPr>
        <w:t xml:space="preserve">de dos mil </w:t>
      </w:r>
      <w:r w:rsidR="004D1F33" w:rsidRPr="007C3AE4">
        <w:rPr>
          <w:rFonts w:ascii="Palatino Linotype" w:eastAsia="Times New Roman" w:hAnsi="Palatino Linotype" w:cs="Arial"/>
          <w:sz w:val="24"/>
          <w:szCs w:val="24"/>
          <w:lang w:val="es-ES" w:eastAsia="es-ES"/>
        </w:rPr>
        <w:t>veintiuno</w:t>
      </w:r>
      <w:r w:rsidRPr="007C3AE4">
        <w:rPr>
          <w:rFonts w:ascii="Palatino Linotype" w:eastAsia="Times New Roman" w:hAnsi="Palatino Linotype" w:cs="Arial"/>
          <w:sz w:val="24"/>
          <w:szCs w:val="24"/>
          <w:lang w:val="es-ES" w:eastAsia="es-ES"/>
        </w:rPr>
        <w:t xml:space="preserve">, estando en tiempo y forma, se </w:t>
      </w:r>
      <w:r w:rsidRPr="007C3AE4">
        <w:rPr>
          <w:rFonts w:ascii="Palatino Linotype" w:eastAsia="MS Mincho" w:hAnsi="Palatino Linotype"/>
          <w:sz w:val="24"/>
          <w:szCs w:val="24"/>
          <w:lang w:val="es-ES_tradnl" w:eastAsia="es-ES"/>
        </w:rPr>
        <w:t xml:space="preserve">interpusieron los recursos de revisión en contra de las respuestas, señalando lo siguiente: </w:t>
      </w:r>
    </w:p>
    <w:p w14:paraId="3BA5136D" w14:textId="77777777" w:rsidR="00970D88" w:rsidRPr="007C3AE4" w:rsidRDefault="00970D88" w:rsidP="00970D88">
      <w:pPr>
        <w:spacing w:before="240" w:after="240" w:line="360" w:lineRule="auto"/>
        <w:contextualSpacing/>
        <w:jc w:val="both"/>
        <w:rPr>
          <w:rFonts w:ascii="Palatino Linotype" w:eastAsia="Calibri" w:hAnsi="Palatino Linotype" w:cs="Arial"/>
          <w:sz w:val="24"/>
          <w:szCs w:val="24"/>
          <w:lang w:val="es-ES" w:eastAsia="es-ES"/>
        </w:rPr>
      </w:pPr>
    </w:p>
    <w:p w14:paraId="46E71204" w14:textId="77777777" w:rsidR="00970D88" w:rsidRPr="007C3AE4" w:rsidRDefault="00970D88" w:rsidP="00970D88">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7C3AE4">
        <w:rPr>
          <w:rFonts w:ascii="Palatino Linotype" w:eastAsia="MS Gothic" w:hAnsi="Palatino Linotype" w:cs="Times New Roman"/>
          <w:b/>
          <w:sz w:val="24"/>
          <w:szCs w:val="26"/>
          <w:lang w:val="es-ES"/>
        </w:rPr>
        <w:t>Acto impugnado</w:t>
      </w:r>
      <w:r w:rsidRPr="007C3AE4">
        <w:rPr>
          <w:rFonts w:ascii="Palatino Linotype" w:eastAsia="MS Mincho" w:hAnsi="Palatino Linotype" w:cs="Times New Roman"/>
          <w:i/>
          <w:lang w:val="es-ES_tradnl" w:eastAsia="es-ES"/>
        </w:rPr>
        <w:t xml:space="preserve">: </w:t>
      </w:r>
    </w:p>
    <w:p w14:paraId="29AAFFFE" w14:textId="77777777" w:rsidR="00970D88" w:rsidRPr="007C3AE4" w:rsidRDefault="00970D88" w:rsidP="00970D88">
      <w:pPr>
        <w:spacing w:after="0" w:line="360" w:lineRule="auto"/>
        <w:ind w:left="709" w:right="567"/>
        <w:contextualSpacing/>
        <w:jc w:val="both"/>
        <w:rPr>
          <w:rFonts w:ascii="Palatino Linotype" w:eastAsia="MS Mincho" w:hAnsi="Palatino Linotype" w:cs="Times New Roman"/>
          <w:i/>
          <w:lang w:val="es-ES_tradnl" w:eastAsia="es-ES"/>
        </w:rPr>
      </w:pPr>
      <w:r w:rsidRPr="007C3AE4">
        <w:rPr>
          <w:rFonts w:ascii="Palatino Linotype" w:eastAsia="MS Mincho" w:hAnsi="Palatino Linotype" w:cs="Times New Roman"/>
          <w:i/>
          <w:lang w:val="es-ES_tradnl" w:eastAsia="es-ES"/>
        </w:rPr>
        <w:lastRenderedPageBreak/>
        <w:t>“</w:t>
      </w:r>
      <w:r w:rsidR="004D1F33" w:rsidRPr="007C3AE4">
        <w:rPr>
          <w:rFonts w:ascii="Palatino Linotype" w:eastAsia="MS Mincho" w:hAnsi="Palatino Linotype" w:cs="Times New Roman"/>
          <w:i/>
          <w:lang w:eastAsia="es-ES"/>
        </w:rPr>
        <w:t>No sé me ha dado la información en tiempo y forma como se establece en la ley</w:t>
      </w:r>
      <w:r w:rsidRPr="007C3AE4">
        <w:rPr>
          <w:rFonts w:ascii="Palatino Linotype" w:eastAsia="MS Mincho" w:hAnsi="Palatino Linotype" w:cs="Times New Roman"/>
          <w:i/>
          <w:lang w:eastAsia="es-ES"/>
        </w:rPr>
        <w:t>.</w:t>
      </w:r>
      <w:r w:rsidRPr="007C3AE4">
        <w:rPr>
          <w:rFonts w:ascii="Palatino Linotype" w:eastAsia="MS Mincho" w:hAnsi="Palatino Linotype" w:cs="Times New Roman"/>
          <w:i/>
          <w:lang w:val="es-ES_tradnl" w:eastAsia="es-ES"/>
        </w:rPr>
        <w:t xml:space="preserve">” (sic); </w:t>
      </w:r>
    </w:p>
    <w:p w14:paraId="202B7344" w14:textId="77777777" w:rsidR="00970D88" w:rsidRPr="007C3AE4" w:rsidRDefault="00970D88" w:rsidP="00970D88">
      <w:pPr>
        <w:spacing w:after="0" w:line="360" w:lineRule="auto"/>
        <w:ind w:left="709" w:right="567"/>
        <w:contextualSpacing/>
        <w:jc w:val="both"/>
        <w:rPr>
          <w:rFonts w:ascii="Palatino Linotype" w:eastAsia="MS Mincho" w:hAnsi="Palatino Linotype" w:cs="Times New Roman"/>
          <w:i/>
          <w:lang w:val="es-ES_tradnl" w:eastAsia="es-ES"/>
        </w:rPr>
      </w:pPr>
    </w:p>
    <w:p w14:paraId="3DF1AFD3" w14:textId="77777777" w:rsidR="00970D88" w:rsidRPr="007C3AE4" w:rsidRDefault="00970D88" w:rsidP="00970D88">
      <w:pPr>
        <w:spacing w:after="0" w:line="360" w:lineRule="auto"/>
        <w:ind w:left="709" w:right="567"/>
        <w:contextualSpacing/>
        <w:jc w:val="both"/>
        <w:rPr>
          <w:rFonts w:ascii="Palatino Linotype" w:eastAsia="MS Mincho" w:hAnsi="Palatino Linotype" w:cs="Times New Roman"/>
          <w:i/>
          <w:lang w:val="es-ES_tradnl" w:eastAsia="es-ES"/>
        </w:rPr>
      </w:pPr>
      <w:r w:rsidRPr="007C3AE4">
        <w:rPr>
          <w:rFonts w:ascii="Palatino Linotype" w:eastAsia="MS Mincho" w:hAnsi="Palatino Linotype" w:cs="Times New Roman"/>
          <w:i/>
          <w:lang w:val="es-ES_tradnl" w:eastAsia="es-ES"/>
        </w:rPr>
        <w:t>“</w:t>
      </w:r>
      <w:r w:rsidR="004D1F33" w:rsidRPr="007C3AE4">
        <w:rPr>
          <w:rFonts w:ascii="Palatino Linotype" w:eastAsia="MS Mincho" w:hAnsi="Palatino Linotype" w:cs="Times New Roman"/>
          <w:i/>
          <w:lang w:eastAsia="es-ES"/>
        </w:rPr>
        <w:t xml:space="preserve">Interponga recurso de revisión, ya que la secretaria no me brindo ninguna información solicitada, </w:t>
      </w:r>
      <w:proofErr w:type="spellStart"/>
      <w:r w:rsidR="004D1F33" w:rsidRPr="007C3AE4">
        <w:rPr>
          <w:rFonts w:ascii="Palatino Linotype" w:eastAsia="MS Mincho" w:hAnsi="Palatino Linotype" w:cs="Times New Roman"/>
          <w:i/>
          <w:lang w:eastAsia="es-ES"/>
        </w:rPr>
        <w:t>respaldandose</w:t>
      </w:r>
      <w:proofErr w:type="spellEnd"/>
      <w:r w:rsidR="004D1F33" w:rsidRPr="007C3AE4">
        <w:rPr>
          <w:rFonts w:ascii="Palatino Linotype" w:eastAsia="MS Mincho" w:hAnsi="Palatino Linotype" w:cs="Times New Roman"/>
          <w:i/>
          <w:lang w:eastAsia="es-ES"/>
        </w:rPr>
        <w:t xml:space="preserve"> que no está en su anoto dar dicha información solicitada</w:t>
      </w:r>
      <w:r w:rsidRPr="007C3AE4">
        <w:rPr>
          <w:rFonts w:ascii="Palatino Linotype" w:eastAsia="MS Mincho" w:hAnsi="Palatino Linotype" w:cs="Times New Roman"/>
          <w:i/>
          <w:lang w:val="es-ES_tradnl" w:eastAsia="es-ES"/>
        </w:rPr>
        <w:t xml:space="preserve">” (sic); </w:t>
      </w:r>
      <w:r w:rsidRPr="007C3AE4">
        <w:rPr>
          <w:rFonts w:ascii="Palatino Linotype" w:eastAsia="MS Mincho" w:hAnsi="Palatino Linotype" w:cs="Times New Roman"/>
          <w:b/>
          <w:sz w:val="24"/>
          <w:szCs w:val="24"/>
          <w:lang w:val="es-ES_tradnl" w:eastAsia="es-ES"/>
        </w:rPr>
        <w:t>y como</w:t>
      </w:r>
    </w:p>
    <w:p w14:paraId="7BF30D5C" w14:textId="77777777" w:rsidR="00970D88" w:rsidRPr="007C3AE4" w:rsidRDefault="00970D88" w:rsidP="00970D88">
      <w:pPr>
        <w:spacing w:after="0" w:line="360" w:lineRule="auto"/>
        <w:contextualSpacing/>
        <w:jc w:val="both"/>
        <w:rPr>
          <w:rFonts w:ascii="Palatino Linotype" w:eastAsia="MS Mincho" w:hAnsi="Palatino Linotype" w:cs="Times New Roman"/>
          <w:i/>
          <w:lang w:val="es-ES_tradnl" w:eastAsia="es-ES"/>
        </w:rPr>
      </w:pPr>
    </w:p>
    <w:p w14:paraId="36548F37" w14:textId="77777777" w:rsidR="00970D88" w:rsidRPr="007C3AE4" w:rsidRDefault="00970D88" w:rsidP="00970D88">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7C3AE4">
        <w:rPr>
          <w:rFonts w:ascii="Palatino Linotype" w:eastAsia="MS Gothic" w:hAnsi="Palatino Linotype" w:cs="Times New Roman"/>
          <w:b/>
          <w:sz w:val="24"/>
          <w:szCs w:val="26"/>
          <w:lang w:val="es-ES"/>
        </w:rPr>
        <w:t>Razones o Motivos de inconformidad</w:t>
      </w:r>
      <w:r w:rsidRPr="007C3AE4">
        <w:rPr>
          <w:rFonts w:ascii="Palatino Linotype" w:eastAsia="MS Mincho" w:hAnsi="Palatino Linotype" w:cs="Times New Roman"/>
          <w:i/>
          <w:lang w:val="es-ES_tradnl" w:eastAsia="es-ES"/>
        </w:rPr>
        <w:t xml:space="preserve">: </w:t>
      </w:r>
    </w:p>
    <w:p w14:paraId="6506F025" w14:textId="77777777" w:rsidR="00970D88" w:rsidRPr="007C3AE4" w:rsidRDefault="00970D88" w:rsidP="00970D88">
      <w:pPr>
        <w:spacing w:after="0" w:line="360" w:lineRule="auto"/>
        <w:ind w:left="1080" w:right="567"/>
        <w:contextualSpacing/>
        <w:jc w:val="both"/>
        <w:rPr>
          <w:rFonts w:ascii="Palatino Linotype" w:eastAsia="MS Mincho" w:hAnsi="Palatino Linotype" w:cs="Times New Roman"/>
          <w:i/>
          <w:lang w:val="es-ES_tradnl" w:eastAsia="es-ES"/>
        </w:rPr>
      </w:pPr>
    </w:p>
    <w:p w14:paraId="56379A00" w14:textId="77777777" w:rsidR="00970D88" w:rsidRPr="007C3AE4" w:rsidRDefault="00970D88" w:rsidP="00970D88">
      <w:pPr>
        <w:spacing w:after="0" w:line="360" w:lineRule="auto"/>
        <w:ind w:left="709" w:right="567"/>
        <w:contextualSpacing/>
        <w:jc w:val="both"/>
        <w:rPr>
          <w:rFonts w:ascii="Palatino Linotype" w:eastAsia="MS Mincho" w:hAnsi="Palatino Linotype" w:cs="Times New Roman"/>
          <w:i/>
          <w:lang w:eastAsia="es-ES"/>
        </w:rPr>
      </w:pPr>
      <w:r w:rsidRPr="007C3AE4">
        <w:rPr>
          <w:rFonts w:ascii="Palatino Linotype" w:eastAsia="MS Mincho" w:hAnsi="Palatino Linotype" w:cs="Times New Roman"/>
          <w:i/>
          <w:lang w:eastAsia="es-ES"/>
        </w:rPr>
        <w:t xml:space="preserve"> ” </w:t>
      </w:r>
      <w:r w:rsidR="004D1F33" w:rsidRPr="007C3AE4">
        <w:rPr>
          <w:rFonts w:ascii="Palatino Linotype" w:eastAsia="MS Mincho" w:hAnsi="Palatino Linotype" w:cs="Times New Roman"/>
          <w:i/>
          <w:lang w:eastAsia="es-ES"/>
        </w:rPr>
        <w:t>No sé me ha dado la información en tiempo y forma como se establece en la ley</w:t>
      </w:r>
      <w:r w:rsidRPr="007C3AE4">
        <w:rPr>
          <w:rFonts w:ascii="Palatino Linotype" w:eastAsia="MS Mincho" w:hAnsi="Palatino Linotype" w:cs="Times New Roman"/>
          <w:i/>
          <w:lang w:eastAsia="es-ES"/>
        </w:rPr>
        <w:t>.” (Sic)</w:t>
      </w:r>
    </w:p>
    <w:p w14:paraId="2E1BD4AF" w14:textId="77777777" w:rsidR="00970D88" w:rsidRPr="007C3AE4" w:rsidRDefault="00970D88" w:rsidP="00970D88">
      <w:pPr>
        <w:spacing w:after="0" w:line="360" w:lineRule="auto"/>
        <w:ind w:left="709" w:right="567"/>
        <w:contextualSpacing/>
        <w:jc w:val="both"/>
        <w:rPr>
          <w:rFonts w:ascii="Palatino Linotype" w:eastAsia="MS Mincho" w:hAnsi="Palatino Linotype" w:cs="Times New Roman"/>
          <w:i/>
          <w:lang w:eastAsia="es-ES"/>
        </w:rPr>
      </w:pPr>
      <w:proofErr w:type="gramStart"/>
      <w:r w:rsidRPr="007C3AE4">
        <w:rPr>
          <w:rFonts w:ascii="Palatino Linotype" w:eastAsia="MS Mincho" w:hAnsi="Palatino Linotype" w:cs="Times New Roman"/>
          <w:i/>
          <w:lang w:eastAsia="es-ES"/>
        </w:rPr>
        <w:t>”</w:t>
      </w:r>
      <w:r w:rsidR="004D1F33" w:rsidRPr="007C3AE4">
        <w:rPr>
          <w:rFonts w:ascii="Palatino Linotype" w:eastAsia="MS Mincho" w:hAnsi="Palatino Linotype" w:cs="Times New Roman"/>
          <w:i/>
          <w:lang w:eastAsia="es-ES"/>
        </w:rPr>
        <w:t>Interponga</w:t>
      </w:r>
      <w:proofErr w:type="gramEnd"/>
      <w:r w:rsidR="004D1F33" w:rsidRPr="007C3AE4">
        <w:rPr>
          <w:rFonts w:ascii="Palatino Linotype" w:eastAsia="MS Mincho" w:hAnsi="Palatino Linotype" w:cs="Times New Roman"/>
          <w:i/>
          <w:lang w:eastAsia="es-ES"/>
        </w:rPr>
        <w:t xml:space="preserve"> recurso de revisión, ya que la secretaria no me brindo ninguna información solicitada, </w:t>
      </w:r>
      <w:proofErr w:type="spellStart"/>
      <w:r w:rsidR="004D1F33" w:rsidRPr="007C3AE4">
        <w:rPr>
          <w:rFonts w:ascii="Palatino Linotype" w:eastAsia="MS Mincho" w:hAnsi="Palatino Linotype" w:cs="Times New Roman"/>
          <w:i/>
          <w:lang w:eastAsia="es-ES"/>
        </w:rPr>
        <w:t>respaldandose</w:t>
      </w:r>
      <w:proofErr w:type="spellEnd"/>
      <w:r w:rsidR="004D1F33" w:rsidRPr="007C3AE4">
        <w:rPr>
          <w:rFonts w:ascii="Palatino Linotype" w:eastAsia="MS Mincho" w:hAnsi="Palatino Linotype" w:cs="Times New Roman"/>
          <w:i/>
          <w:lang w:eastAsia="es-ES"/>
        </w:rPr>
        <w:t xml:space="preserve"> que no está en su anoto dar dicha información solicitada</w:t>
      </w:r>
      <w:r w:rsidRPr="007C3AE4">
        <w:rPr>
          <w:rFonts w:ascii="Palatino Linotype" w:eastAsia="MS Mincho" w:hAnsi="Palatino Linotype" w:cs="Times New Roman"/>
          <w:i/>
          <w:lang w:eastAsia="es-ES"/>
        </w:rPr>
        <w:t>” (Sic)</w:t>
      </w:r>
    </w:p>
    <w:p w14:paraId="7CBAF983" w14:textId="77777777" w:rsidR="00970D88" w:rsidRPr="007C3AE4" w:rsidRDefault="00970D88" w:rsidP="00970D88">
      <w:pPr>
        <w:spacing w:after="0" w:line="360" w:lineRule="auto"/>
        <w:ind w:left="709" w:right="567"/>
        <w:contextualSpacing/>
        <w:jc w:val="both"/>
        <w:rPr>
          <w:rFonts w:ascii="Palatino Linotype" w:eastAsia="MS Mincho" w:hAnsi="Palatino Linotype" w:cs="Times New Roman"/>
          <w:i/>
          <w:lang w:val="es-ES_tradnl" w:eastAsia="es-ES"/>
        </w:rPr>
      </w:pPr>
    </w:p>
    <w:p w14:paraId="2C0322C8" w14:textId="77777777" w:rsidR="00970D88" w:rsidRPr="007C3AE4" w:rsidRDefault="00970D88" w:rsidP="00970D88">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7C3AE4">
        <w:rPr>
          <w:rFonts w:ascii="Palatino Linotype" w:eastAsiaTheme="minorEastAsia" w:hAnsi="Palatino Linotype" w:cs="Arial"/>
          <w:bCs/>
          <w:sz w:val="24"/>
          <w:szCs w:val="24"/>
          <w:lang w:val="es-ES_tradnl" w:eastAsia="es-ES"/>
        </w:rPr>
        <w:t xml:space="preserve">Con fundamento en lo dispuesto por el </w:t>
      </w:r>
      <w:r w:rsidRPr="007C3AE4">
        <w:rPr>
          <w:rFonts w:ascii="Palatino Linotype" w:eastAsia="Calibri" w:hAnsi="Palatino Linotype" w:cs="Arial"/>
          <w:sz w:val="24"/>
          <w:szCs w:val="24"/>
          <w:lang w:val="es-ES" w:eastAsia="es-ES"/>
        </w:rPr>
        <w:t xml:space="preserve">artículo 185 fracción I de la </w:t>
      </w:r>
      <w:r w:rsidRPr="007C3AE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C3AE4">
        <w:rPr>
          <w:rFonts w:ascii="Palatino Linotype" w:eastAsia="Times New Roman" w:hAnsi="Palatino Linotype" w:cs="Arial"/>
          <w:sz w:val="24"/>
          <w:szCs w:val="24"/>
          <w:lang w:val="es-ES" w:eastAsia="es-ES"/>
        </w:rPr>
        <w:t xml:space="preserve">se turnó al </w:t>
      </w:r>
      <w:r w:rsidRPr="007C3AE4">
        <w:rPr>
          <w:rFonts w:ascii="Palatino Linotype" w:eastAsia="Times New Roman" w:hAnsi="Palatino Linotype" w:cs="Arial"/>
          <w:b/>
          <w:sz w:val="24"/>
          <w:szCs w:val="24"/>
          <w:lang w:val="es-ES" w:eastAsia="es-ES"/>
        </w:rPr>
        <w:t xml:space="preserve">Comisionado José Guadalupe Luna Hernández </w:t>
      </w:r>
      <w:r w:rsidRPr="007C3AE4">
        <w:rPr>
          <w:rFonts w:ascii="Palatino Linotype" w:eastAsia="Times New Roman" w:hAnsi="Palatino Linotype" w:cs="Arial"/>
          <w:sz w:val="24"/>
          <w:szCs w:val="24"/>
          <w:lang w:val="es-ES" w:eastAsia="es-ES"/>
        </w:rPr>
        <w:t xml:space="preserve">con el objeto de </w:t>
      </w:r>
      <w:r w:rsidRPr="007C3AE4">
        <w:rPr>
          <w:rFonts w:ascii="Palatino Linotype" w:eastAsia="Times New Roman" w:hAnsi="Palatino Linotype" w:cs="Arial"/>
          <w:sz w:val="24"/>
          <w:szCs w:val="24"/>
          <w:lang w:eastAsia="es-ES"/>
        </w:rPr>
        <w:t>su análisis.</w:t>
      </w:r>
    </w:p>
    <w:p w14:paraId="0F5A26CE" w14:textId="77777777" w:rsidR="00970D88" w:rsidRPr="007C3AE4" w:rsidRDefault="00970D88" w:rsidP="00970D88">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108F5FA4" w14:textId="77777777" w:rsidR="00970D88" w:rsidRPr="007C3AE4" w:rsidRDefault="00970D88" w:rsidP="00970D88">
      <w:pPr>
        <w:numPr>
          <w:ilvl w:val="0"/>
          <w:numId w:val="2"/>
        </w:numPr>
        <w:spacing w:before="240" w:after="0" w:line="360" w:lineRule="auto"/>
        <w:contextualSpacing/>
        <w:jc w:val="both"/>
        <w:rPr>
          <w:rFonts w:ascii="Palatino Linotype" w:eastAsia="Calibri" w:hAnsi="Palatino Linotype" w:cs="Arial"/>
          <w:color w:val="000000" w:themeColor="text1"/>
          <w:sz w:val="24"/>
          <w:szCs w:val="24"/>
          <w:lang w:val="es-ES" w:eastAsia="es-ES"/>
        </w:rPr>
      </w:pPr>
      <w:r w:rsidRPr="007C3AE4">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4D1F33" w:rsidRPr="007C3AE4">
        <w:rPr>
          <w:rFonts w:ascii="Palatino Linotype" w:eastAsia="Calibri" w:hAnsi="Palatino Linotype" w:cs="Arial"/>
          <w:color w:val="000000" w:themeColor="text1"/>
          <w:sz w:val="24"/>
          <w:szCs w:val="24"/>
          <w:lang w:val="es-ES" w:eastAsia="es-ES"/>
        </w:rPr>
        <w:t>veintidó</w:t>
      </w:r>
      <w:r w:rsidRPr="007C3AE4">
        <w:rPr>
          <w:rFonts w:ascii="Palatino Linotype" w:eastAsia="Calibri" w:hAnsi="Palatino Linotype" w:cs="Arial"/>
          <w:color w:val="000000" w:themeColor="text1"/>
          <w:sz w:val="24"/>
          <w:szCs w:val="24"/>
          <w:lang w:val="es-ES" w:eastAsia="es-ES"/>
        </w:rPr>
        <w:t>s</w:t>
      </w:r>
      <w:r w:rsidR="004D1F33" w:rsidRPr="007C3AE4">
        <w:rPr>
          <w:rFonts w:ascii="Palatino Linotype" w:eastAsia="Calibri" w:hAnsi="Palatino Linotype" w:cs="Arial"/>
          <w:b/>
          <w:color w:val="000000" w:themeColor="text1"/>
          <w:sz w:val="24"/>
          <w:szCs w:val="24"/>
          <w:lang w:val="es-ES" w:eastAsia="es-ES"/>
        </w:rPr>
        <w:t xml:space="preserve"> (22) y veintiséis (26) de </w:t>
      </w:r>
      <w:r w:rsidRPr="007C3AE4">
        <w:rPr>
          <w:rFonts w:ascii="Palatino Linotype" w:eastAsia="Calibri" w:hAnsi="Palatino Linotype" w:cs="Arial"/>
          <w:b/>
          <w:color w:val="000000" w:themeColor="text1"/>
          <w:sz w:val="24"/>
          <w:szCs w:val="24"/>
          <w:lang w:val="es-ES" w:eastAsia="es-ES"/>
        </w:rPr>
        <w:t>e</w:t>
      </w:r>
      <w:r w:rsidR="004D1F33" w:rsidRPr="007C3AE4">
        <w:rPr>
          <w:rFonts w:ascii="Palatino Linotype" w:eastAsia="Calibri" w:hAnsi="Palatino Linotype" w:cs="Arial"/>
          <w:b/>
          <w:color w:val="000000" w:themeColor="text1"/>
          <w:sz w:val="24"/>
          <w:szCs w:val="24"/>
          <w:lang w:val="es-ES" w:eastAsia="es-ES"/>
        </w:rPr>
        <w:t>nero</w:t>
      </w:r>
      <w:r w:rsidRPr="007C3AE4">
        <w:rPr>
          <w:rFonts w:ascii="Palatino Linotype" w:eastAsia="Calibri" w:hAnsi="Palatino Linotype" w:cs="Arial"/>
          <w:b/>
          <w:color w:val="000000" w:themeColor="text1"/>
          <w:sz w:val="24"/>
          <w:szCs w:val="24"/>
          <w:lang w:val="es-ES" w:eastAsia="es-ES"/>
        </w:rPr>
        <w:t xml:space="preserve"> </w:t>
      </w:r>
      <w:r w:rsidR="004D1F33" w:rsidRPr="007C3AE4">
        <w:rPr>
          <w:rFonts w:ascii="Palatino Linotype" w:eastAsia="Calibri" w:hAnsi="Palatino Linotype" w:cs="Arial"/>
          <w:color w:val="000000" w:themeColor="text1"/>
          <w:sz w:val="24"/>
          <w:szCs w:val="24"/>
          <w:lang w:val="es-ES" w:eastAsia="es-ES"/>
        </w:rPr>
        <w:t>de dos mil veintiuno</w:t>
      </w:r>
      <w:r w:rsidRPr="007C3AE4">
        <w:rPr>
          <w:rFonts w:ascii="Palatino Linotype" w:eastAsia="Calibri" w:hAnsi="Palatino Linotype" w:cs="Arial"/>
          <w:color w:val="000000" w:themeColor="text1"/>
          <w:sz w:val="24"/>
          <w:szCs w:val="24"/>
          <w:lang w:val="es-ES" w:eastAsia="es-ES"/>
        </w:rPr>
        <w:t xml:space="preserve">, se puso a disposición de las partes el expediente electrónico </w:t>
      </w:r>
      <w:r w:rsidRPr="007C3AE4">
        <w:rPr>
          <w:rFonts w:ascii="Palatino Linotype" w:eastAsia="Calibri" w:hAnsi="Palatino Linotype" w:cs="Arial"/>
          <w:color w:val="000000" w:themeColor="text1"/>
          <w:sz w:val="24"/>
          <w:szCs w:val="24"/>
          <w:lang w:val="es-ES_tradnl" w:eastAsia="es-ES"/>
        </w:rPr>
        <w:t xml:space="preserve">vía </w:t>
      </w:r>
      <w:r w:rsidRPr="007C3AE4">
        <w:rPr>
          <w:rFonts w:ascii="Palatino Linotype" w:eastAsia="Calibri" w:hAnsi="Palatino Linotype" w:cs="Arial"/>
          <w:color w:val="000000" w:themeColor="text1"/>
          <w:sz w:val="24"/>
          <w:szCs w:val="24"/>
          <w:lang w:val="es-ES" w:eastAsia="es-ES"/>
        </w:rPr>
        <w:t>Sistema de Acceso a la Información Mexiquense (</w:t>
      </w:r>
      <w:r w:rsidRPr="007C3AE4">
        <w:rPr>
          <w:rFonts w:ascii="Palatino Linotype" w:eastAsia="Calibri" w:hAnsi="Palatino Linotype" w:cs="Arial"/>
          <w:b/>
          <w:color w:val="000000" w:themeColor="text1"/>
          <w:sz w:val="24"/>
          <w:szCs w:val="24"/>
          <w:lang w:val="es-ES" w:eastAsia="es-ES"/>
        </w:rPr>
        <w:t xml:space="preserve">SAIMEX) </w:t>
      </w:r>
      <w:r w:rsidRPr="007C3AE4">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w:t>
      </w:r>
      <w:r w:rsidRPr="007C3AE4">
        <w:rPr>
          <w:rFonts w:ascii="Palatino Linotype" w:eastAsia="Calibri" w:hAnsi="Palatino Linotype" w:cs="Arial"/>
          <w:color w:val="000000" w:themeColor="text1"/>
          <w:sz w:val="24"/>
          <w:szCs w:val="24"/>
          <w:lang w:val="es-ES" w:eastAsia="es-ES"/>
        </w:rPr>
        <w:lastRenderedPageBreak/>
        <w:t xml:space="preserve">según corresponda al caso concreto, de esta forma para que el </w:t>
      </w:r>
      <w:r w:rsidRPr="007C3AE4">
        <w:rPr>
          <w:rFonts w:ascii="Palatino Linotype" w:eastAsia="Calibri" w:hAnsi="Palatino Linotype" w:cs="Arial"/>
          <w:b/>
          <w:color w:val="000000" w:themeColor="text1"/>
          <w:sz w:val="24"/>
          <w:szCs w:val="24"/>
          <w:lang w:val="es-ES" w:eastAsia="es-ES"/>
        </w:rPr>
        <w:t>SUJETO OBLIGADO</w:t>
      </w:r>
      <w:r w:rsidRPr="007C3AE4">
        <w:rPr>
          <w:rFonts w:ascii="Palatino Linotype" w:eastAsia="Calibri" w:hAnsi="Palatino Linotype" w:cs="Arial"/>
          <w:color w:val="000000" w:themeColor="text1"/>
          <w:sz w:val="24"/>
          <w:szCs w:val="24"/>
          <w:lang w:val="es-ES" w:eastAsia="es-ES"/>
        </w:rPr>
        <w:t xml:space="preserve"> presentará su Informe Justificado procedente, situación que no ocurrió en el presente caso.</w:t>
      </w:r>
    </w:p>
    <w:p w14:paraId="6754CFE5" w14:textId="77777777" w:rsidR="007859ED" w:rsidRPr="007C3AE4" w:rsidRDefault="007859ED" w:rsidP="007859ED">
      <w:pPr>
        <w:tabs>
          <w:tab w:val="left" w:pos="426"/>
        </w:tabs>
        <w:spacing w:before="240" w:after="240" w:line="360" w:lineRule="auto"/>
        <w:ind w:left="426" w:right="-142"/>
        <w:contextualSpacing/>
        <w:jc w:val="both"/>
        <w:rPr>
          <w:rFonts w:ascii="Palatino Linotype" w:eastAsia="MS Mincho" w:hAnsi="Palatino Linotype" w:cs="Times New Roman"/>
          <w:i/>
          <w:sz w:val="24"/>
          <w:szCs w:val="24"/>
          <w:lang w:val="es-ES_tradnl" w:eastAsia="es-ES"/>
        </w:rPr>
      </w:pPr>
    </w:p>
    <w:p w14:paraId="3BB882AC" w14:textId="77777777" w:rsidR="007859ED" w:rsidRPr="007C3AE4" w:rsidRDefault="007859ED" w:rsidP="007859ED">
      <w:pPr>
        <w:numPr>
          <w:ilvl w:val="0"/>
          <w:numId w:val="2"/>
        </w:numPr>
        <w:tabs>
          <w:tab w:val="left" w:pos="426"/>
        </w:tabs>
        <w:spacing w:before="240" w:after="240" w:line="360" w:lineRule="auto"/>
        <w:ind w:left="426" w:right="-142" w:hanging="426"/>
        <w:contextualSpacing/>
        <w:jc w:val="both"/>
        <w:rPr>
          <w:rFonts w:ascii="Palatino Linotype" w:eastAsia="MS Mincho" w:hAnsi="Palatino Linotype" w:cs="Times New Roman"/>
          <w:i/>
          <w:sz w:val="24"/>
          <w:szCs w:val="24"/>
          <w:lang w:val="es-ES_tradnl" w:eastAsia="es-ES"/>
        </w:rPr>
      </w:pPr>
      <w:r w:rsidRPr="007C3AE4">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7C3AE4">
        <w:rPr>
          <w:rFonts w:ascii="Palatino Linotype" w:eastAsia="MS Mincho" w:hAnsi="Palatino Linotype" w:cs="Arial"/>
          <w:sz w:val="24"/>
          <w:szCs w:val="20"/>
          <w:lang w:val="es-ES_tradnl" w:eastAsia="es-ES"/>
        </w:rPr>
        <w:t xml:space="preserve"> recurso de revisión número </w:t>
      </w:r>
      <w:r w:rsidRPr="007C3AE4">
        <w:rPr>
          <w:rFonts w:ascii="Palatino Linotype" w:eastAsia="MS Mincho" w:hAnsi="Palatino Linotype" w:cs="Arial"/>
          <w:b/>
          <w:sz w:val="24"/>
          <w:szCs w:val="20"/>
          <w:lang w:val="es-ES_tradnl" w:eastAsia="es-ES"/>
        </w:rPr>
        <w:t>00083/INFOEM/IP/RR/2021</w:t>
      </w:r>
      <w:r w:rsidRPr="007C3AE4">
        <w:rPr>
          <w:rFonts w:ascii="Palatino Linotype" w:eastAsia="MS Mincho" w:hAnsi="Palatino Linotype" w:cs="Times New Roman"/>
          <w:b/>
          <w:bCs/>
          <w:sz w:val="24"/>
          <w:szCs w:val="24"/>
          <w:lang w:val="es-ES_tradnl" w:eastAsia="es-ES"/>
        </w:rPr>
        <w:t xml:space="preserve"> </w:t>
      </w:r>
      <w:r w:rsidRPr="007C3AE4">
        <w:rPr>
          <w:rFonts w:ascii="Palatino Linotype" w:eastAsia="MS Mincho" w:hAnsi="Palatino Linotype" w:cs="Arial"/>
          <w:bCs/>
          <w:sz w:val="24"/>
          <w:szCs w:val="24"/>
          <w:lang w:val="es-ES_tradnl" w:eastAsia="es-MX"/>
        </w:rPr>
        <w:t>fue</w:t>
      </w:r>
      <w:r w:rsidRPr="007C3AE4">
        <w:rPr>
          <w:rFonts w:ascii="Palatino Linotype" w:eastAsia="MS Mincho" w:hAnsi="Palatino Linotype" w:cs="Arial"/>
          <w:b/>
          <w:bCs/>
          <w:sz w:val="24"/>
          <w:szCs w:val="24"/>
          <w:lang w:val="es-ES_tradnl" w:eastAsia="es-MX"/>
        </w:rPr>
        <w:t xml:space="preserve"> </w:t>
      </w:r>
      <w:r w:rsidRPr="007C3AE4">
        <w:rPr>
          <w:rFonts w:ascii="Palatino Linotype" w:eastAsia="MS Mincho" w:hAnsi="Palatino Linotype" w:cs="Times New Roman"/>
          <w:sz w:val="24"/>
          <w:szCs w:val="24"/>
          <w:lang w:val="es-ES_tradnl" w:eastAsia="es-ES"/>
        </w:rPr>
        <w:t>turnado al Comisionado</w:t>
      </w:r>
      <w:r w:rsidRPr="007C3AE4">
        <w:rPr>
          <w:rFonts w:ascii="Palatino Linotype" w:eastAsia="MS Mincho" w:hAnsi="Palatino Linotype" w:cs="Times New Roman"/>
          <w:b/>
          <w:sz w:val="24"/>
          <w:szCs w:val="24"/>
          <w:lang w:val="es-ES_tradnl" w:eastAsia="es-ES"/>
        </w:rPr>
        <w:t xml:space="preserve"> José Guadalupe Luna Hernández </w:t>
      </w:r>
      <w:r w:rsidRPr="007C3AE4">
        <w:rPr>
          <w:rFonts w:ascii="Palatino Linotype" w:eastAsia="MS Mincho" w:hAnsi="Palatino Linotype" w:cs="Times New Roman"/>
          <w:sz w:val="24"/>
          <w:szCs w:val="24"/>
          <w:lang w:val="es-ES_tradnl" w:eastAsia="es-ES"/>
        </w:rPr>
        <w:t xml:space="preserve">a efecto de presentar al Pleno el proyecto de resolución correspondiente; sin embargo, con fecha posterior se turnó el recurso número </w:t>
      </w:r>
      <w:r w:rsidRPr="007C3AE4">
        <w:rPr>
          <w:rFonts w:ascii="Palatino Linotype" w:eastAsia="MS Mincho" w:hAnsi="Palatino Linotype" w:cs="Times New Roman"/>
          <w:b/>
          <w:sz w:val="24"/>
          <w:szCs w:val="24"/>
          <w:lang w:val="es-ES_tradnl" w:eastAsia="es-ES"/>
        </w:rPr>
        <w:t xml:space="preserve">00126/INFOEM/IP/RR/2021, </w:t>
      </w:r>
      <w:r w:rsidRPr="007C3AE4">
        <w:rPr>
          <w:rFonts w:ascii="Palatino Linotype" w:eastAsia="MS Mincho" w:hAnsi="Palatino Linotype" w:cs="Times New Roman"/>
          <w:sz w:val="24"/>
          <w:szCs w:val="24"/>
          <w:lang w:val="es-ES_tradnl" w:eastAsia="es-ES"/>
        </w:rPr>
        <w:t>por lo que se realizó la acumulación de los mismos</w:t>
      </w:r>
      <w:r w:rsidRPr="007C3AE4">
        <w:rPr>
          <w:rFonts w:ascii="Palatino Linotype" w:eastAsia="MS Mincho" w:hAnsi="Palatino Linotype" w:cs="Times New Roman"/>
          <w:i/>
          <w:sz w:val="24"/>
          <w:szCs w:val="24"/>
          <w:lang w:val="es-ES_tradnl" w:eastAsia="es-ES"/>
        </w:rPr>
        <w:t xml:space="preserve">. </w:t>
      </w:r>
      <w:r w:rsidRPr="007C3AE4">
        <w:rPr>
          <w:rFonts w:ascii="Palatino Linotype" w:eastAsia="MS Mincho" w:hAnsi="Palatino Linotype" w:cs="Times New Roman"/>
          <w:sz w:val="24"/>
          <w:szCs w:val="24"/>
          <w:lang w:val="es-ES_tradnl" w:eastAsia="es-ES"/>
        </w:rPr>
        <w:t xml:space="preserve">Lo anterior, a efecto de que </w:t>
      </w:r>
      <w:proofErr w:type="gramStart"/>
      <w:r w:rsidRPr="007C3AE4">
        <w:rPr>
          <w:rFonts w:ascii="Palatino Linotype" w:eastAsia="MS Mincho" w:hAnsi="Palatino Linotype" w:cs="Times New Roman"/>
          <w:sz w:val="24"/>
          <w:szCs w:val="24"/>
          <w:lang w:val="es-ES_tradnl" w:eastAsia="es-ES"/>
        </w:rPr>
        <w:t>ésta</w:t>
      </w:r>
      <w:proofErr w:type="gramEnd"/>
      <w:r w:rsidRPr="007C3AE4">
        <w:rPr>
          <w:rFonts w:ascii="Palatino Linotype" w:eastAsia="MS Mincho" w:hAnsi="Palatino Linotype" w:cs="Times New Roman"/>
          <w:sz w:val="24"/>
          <w:szCs w:val="24"/>
          <w:lang w:val="es-ES_tradnl" w:eastAsia="es-ES"/>
        </w:rPr>
        <w:t xml:space="preserve">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7C3AE4">
        <w:rPr>
          <w:rFonts w:ascii="Palatino Linotype" w:eastAsia="MS Mincho" w:hAnsi="Palatino Linotype" w:cs="Times New Roman"/>
          <w:sz w:val="24"/>
          <w:szCs w:val="24"/>
          <w:vertAlign w:val="superscript"/>
          <w:lang w:val="es-ES_tradnl" w:eastAsia="es-ES"/>
        </w:rPr>
        <w:footnoteReference w:id="1"/>
      </w:r>
      <w:r w:rsidRPr="007C3AE4">
        <w:rPr>
          <w:rFonts w:ascii="Palatino Linotype" w:eastAsia="MS Mincho" w:hAnsi="Palatino Linotype" w:cs="Times New Roman"/>
          <w:sz w:val="24"/>
          <w:szCs w:val="24"/>
          <w:lang w:val="es-ES_tradnl" w:eastAsia="es-ES"/>
        </w:rPr>
        <w:t>, que señala:</w:t>
      </w:r>
    </w:p>
    <w:p w14:paraId="3079CB57" w14:textId="77777777" w:rsidR="007859ED" w:rsidRPr="007C3AE4" w:rsidRDefault="007859ED" w:rsidP="007859ED">
      <w:pPr>
        <w:tabs>
          <w:tab w:val="left" w:pos="426"/>
        </w:tabs>
        <w:spacing w:before="240" w:after="240" w:line="360" w:lineRule="auto"/>
        <w:ind w:left="426" w:right="-142" w:hanging="426"/>
        <w:contextualSpacing/>
        <w:jc w:val="both"/>
        <w:rPr>
          <w:rFonts w:ascii="Palatino Linotype" w:eastAsia="MS Mincho" w:hAnsi="Palatino Linotype" w:cs="Times New Roman"/>
          <w:b/>
          <w:i/>
          <w:sz w:val="24"/>
          <w:szCs w:val="24"/>
          <w:lang w:val="es-ES_tradnl" w:eastAsia="es-ES"/>
        </w:rPr>
      </w:pPr>
    </w:p>
    <w:p w14:paraId="4B7A8DB0"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b/>
          <w:i/>
          <w:lang w:val="es-ES_tradnl" w:eastAsia="es-ES"/>
        </w:rPr>
      </w:pPr>
      <w:r w:rsidRPr="007C3AE4">
        <w:rPr>
          <w:rFonts w:ascii="Palatino Linotype" w:eastAsia="MS Mincho" w:hAnsi="Palatino Linotype" w:cs="Times New Roman"/>
          <w:b/>
          <w:i/>
          <w:lang w:val="es-ES_tradnl" w:eastAsia="es-ES"/>
        </w:rPr>
        <w:t>ONCE. El Instituto, para mejor resolver y evitar la emisión de resoluciones contradictorias, podrá acordar la acumulación de los expedientes de recursos de revisión, de oficio o a petición de parte cuando:</w:t>
      </w:r>
    </w:p>
    <w:p w14:paraId="379A84E9"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b/>
          <w:i/>
          <w:lang w:val="es-ES_tradnl" w:eastAsia="es-ES"/>
        </w:rPr>
      </w:pPr>
      <w:r w:rsidRPr="007C3AE4">
        <w:rPr>
          <w:rFonts w:ascii="Palatino Linotype" w:eastAsia="MS Mincho" w:hAnsi="Palatino Linotype" w:cs="Times New Roman"/>
          <w:b/>
          <w:i/>
          <w:lang w:val="es-ES_tradnl" w:eastAsia="es-ES"/>
        </w:rPr>
        <w:t>…</w:t>
      </w:r>
    </w:p>
    <w:p w14:paraId="3DE9AEAB"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b/>
          <w:i/>
          <w:lang w:val="es-ES_tradnl" w:eastAsia="es-ES"/>
        </w:rPr>
      </w:pPr>
      <w:r w:rsidRPr="007C3AE4">
        <w:rPr>
          <w:rFonts w:ascii="Palatino Linotype" w:eastAsia="MS Mincho" w:hAnsi="Palatino Linotype" w:cs="Times New Roman"/>
          <w:b/>
          <w:i/>
          <w:lang w:val="es-ES_tradnl" w:eastAsia="es-ES"/>
        </w:rPr>
        <w:t>c) Cuando se trate del mismo solicitante, el mismo SUJETO OBLIGADO, aunque se trate de solicitudes diversas;</w:t>
      </w:r>
    </w:p>
    <w:p w14:paraId="48DEAFA9" w14:textId="77777777" w:rsidR="007859ED" w:rsidRPr="007C3AE4" w:rsidRDefault="007859ED" w:rsidP="007859ED">
      <w:pPr>
        <w:tabs>
          <w:tab w:val="left" w:pos="426"/>
        </w:tabs>
        <w:spacing w:before="240" w:after="240" w:line="360" w:lineRule="auto"/>
        <w:ind w:left="426" w:right="-142" w:hanging="426"/>
        <w:contextualSpacing/>
        <w:jc w:val="both"/>
        <w:rPr>
          <w:rFonts w:ascii="Palatino Linotype" w:eastAsia="MS Mincho" w:hAnsi="Palatino Linotype" w:cs="Times New Roman"/>
          <w:b/>
          <w:i/>
          <w:sz w:val="24"/>
          <w:szCs w:val="24"/>
          <w:lang w:val="es-ES_tradnl" w:eastAsia="es-ES"/>
        </w:rPr>
      </w:pPr>
    </w:p>
    <w:p w14:paraId="2205C28F" w14:textId="77777777" w:rsidR="007859ED" w:rsidRPr="007C3AE4" w:rsidRDefault="007859ED" w:rsidP="007859ED">
      <w:pPr>
        <w:numPr>
          <w:ilvl w:val="0"/>
          <w:numId w:val="2"/>
        </w:numPr>
        <w:tabs>
          <w:tab w:val="left" w:pos="426"/>
        </w:tabs>
        <w:spacing w:before="240" w:after="240" w:line="360" w:lineRule="auto"/>
        <w:ind w:left="426" w:right="-142" w:hanging="426"/>
        <w:contextualSpacing/>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sz w:val="24"/>
          <w:szCs w:val="24"/>
          <w:lang w:val="es-ES_tradnl"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05AB75" w14:textId="77777777" w:rsidR="007859ED" w:rsidRPr="007C3AE4" w:rsidRDefault="007859ED" w:rsidP="007859ED">
      <w:pPr>
        <w:tabs>
          <w:tab w:val="left" w:pos="426"/>
        </w:tabs>
        <w:spacing w:after="0" w:line="276" w:lineRule="auto"/>
        <w:ind w:left="426" w:right="-142" w:hanging="426"/>
        <w:contextualSpacing/>
        <w:jc w:val="both"/>
        <w:rPr>
          <w:rFonts w:ascii="Palatino Linotype" w:eastAsia="MS Mincho" w:hAnsi="Palatino Linotype" w:cs="Times New Roman"/>
          <w:b/>
          <w:sz w:val="24"/>
          <w:szCs w:val="24"/>
          <w:lang w:val="es-ES_tradnl" w:eastAsia="es-ES"/>
        </w:rPr>
      </w:pPr>
    </w:p>
    <w:p w14:paraId="3E8F9A98"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r w:rsidRPr="007C3AE4">
        <w:rPr>
          <w:rFonts w:ascii="Palatino Linotype" w:eastAsia="MS Mincho" w:hAnsi="Palatino Linotype" w:cs="Times New Roman"/>
          <w:b/>
          <w:i/>
          <w:lang w:val="es-ES_tradnl" w:eastAsia="es-ES"/>
        </w:rPr>
        <w:t xml:space="preserve">Código </w:t>
      </w:r>
      <w:r w:rsidRPr="007C3AE4">
        <w:rPr>
          <w:rFonts w:ascii="Palatino Linotype" w:eastAsia="MS Mincho" w:hAnsi="Palatino Linotype" w:cs="Times New Roman"/>
          <w:i/>
          <w:lang w:val="es-ES_tradnl" w:eastAsia="es-ES"/>
        </w:rPr>
        <w:t>de Procedimientos Administrativos del Estado de México.</w:t>
      </w:r>
    </w:p>
    <w:p w14:paraId="262A930F"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p>
    <w:p w14:paraId="4A58781F"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r w:rsidRPr="007C3AE4">
        <w:rPr>
          <w:rFonts w:ascii="Palatino Linotype" w:eastAsia="MS Mincho" w:hAnsi="Palatino Linotype" w:cs="Times New Roman"/>
          <w:i/>
          <w:lang w:val="es-ES_tradnl" w:eastAsia="es-ES"/>
        </w:rPr>
        <w:t xml:space="preserve">“Artículo 18.- La autoridad administrativa o el Tribunal </w:t>
      </w:r>
      <w:r w:rsidRPr="007C3AE4">
        <w:rPr>
          <w:rFonts w:ascii="Palatino Linotype" w:eastAsia="MS Mincho" w:hAnsi="Palatino Linotype" w:cs="Times New Roman"/>
          <w:i/>
          <w:u w:val="single"/>
          <w:lang w:val="es-ES_tradnl" w:eastAsia="es-ES"/>
        </w:rPr>
        <w:t>acordarán la acumulación de los expedientes</w:t>
      </w:r>
      <w:r w:rsidRPr="007C3AE4">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7C3AE4">
        <w:rPr>
          <w:rFonts w:ascii="Palatino Linotype" w:eastAsia="MS Mincho" w:hAnsi="Palatino Linotype" w:cs="Times New Roman"/>
          <w:i/>
          <w:u w:val="single"/>
          <w:lang w:val="es-ES_tradnl" w:eastAsia="es-ES"/>
        </w:rPr>
        <w:t>cuando las partes</w:t>
      </w:r>
      <w:r w:rsidRPr="007C3AE4">
        <w:rPr>
          <w:rFonts w:ascii="Palatino Linotype" w:eastAsia="MS Mincho" w:hAnsi="Palatino Linotype" w:cs="Times New Roman"/>
          <w:i/>
          <w:lang w:val="es-ES_tradnl" w:eastAsia="es-ES"/>
        </w:rPr>
        <w:t xml:space="preserve"> o los actos administrativos </w:t>
      </w:r>
      <w:r w:rsidRPr="007C3AE4">
        <w:rPr>
          <w:rFonts w:ascii="Palatino Linotype" w:eastAsia="MS Mincho" w:hAnsi="Palatino Linotype" w:cs="Times New Roman"/>
          <w:i/>
          <w:u w:val="single"/>
          <w:lang w:val="es-ES_tradnl" w:eastAsia="es-ES"/>
        </w:rPr>
        <w:t>sean iguales</w:t>
      </w:r>
      <w:r w:rsidRPr="007C3AE4">
        <w:rPr>
          <w:rFonts w:ascii="Palatino Linotype" w:eastAsia="MS Mincho" w:hAnsi="Palatino Linotype" w:cs="Times New Roman"/>
          <w:i/>
          <w:lang w:val="es-ES_tradnl" w:eastAsia="es-ES"/>
        </w:rPr>
        <w:t xml:space="preserve">, se trate de actos conexos o </w:t>
      </w:r>
      <w:r w:rsidRPr="007C3AE4">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7C3AE4">
        <w:rPr>
          <w:rFonts w:ascii="Palatino Linotype" w:eastAsia="MS Mincho" w:hAnsi="Palatino Linotype" w:cs="Times New Roman"/>
          <w:i/>
          <w:lang w:val="es-ES_tradnl" w:eastAsia="es-ES"/>
        </w:rPr>
        <w:t>. La misma regla se aplicará, en lo conducente, para la separación de los expedientes.”</w:t>
      </w:r>
    </w:p>
    <w:p w14:paraId="3F0516A7"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p>
    <w:p w14:paraId="4142D2E5"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r w:rsidRPr="007C3AE4">
        <w:rPr>
          <w:rFonts w:ascii="Palatino Linotype" w:eastAsia="MS Mincho" w:hAnsi="Palatino Linotype" w:cs="Times New Roman"/>
          <w:i/>
          <w:lang w:val="es-ES_tradnl" w:eastAsia="es-ES"/>
        </w:rPr>
        <w:t>Ley de Transparencia y Acceso a la Información Pública del Estado de México y Municipios.</w:t>
      </w:r>
    </w:p>
    <w:p w14:paraId="3BA166F2"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p>
    <w:p w14:paraId="39F71DE4"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i/>
          <w:lang w:val="es-ES_tradnl" w:eastAsia="es-ES"/>
        </w:rPr>
      </w:pPr>
      <w:r w:rsidRPr="007C3AE4">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14:paraId="584294B6" w14:textId="77777777" w:rsidR="007859ED" w:rsidRPr="007C3AE4" w:rsidRDefault="007859ED" w:rsidP="007859ED">
      <w:pPr>
        <w:tabs>
          <w:tab w:val="left" w:pos="426"/>
        </w:tabs>
        <w:spacing w:after="0" w:line="276" w:lineRule="auto"/>
        <w:ind w:left="426" w:right="567"/>
        <w:contextualSpacing/>
        <w:jc w:val="both"/>
        <w:rPr>
          <w:rFonts w:ascii="Palatino Linotype" w:eastAsia="MS Mincho" w:hAnsi="Palatino Linotype" w:cs="Times New Roman"/>
          <w:b/>
          <w:i/>
          <w:lang w:val="es-ES_tradnl" w:eastAsia="es-ES"/>
        </w:rPr>
      </w:pPr>
      <w:r w:rsidRPr="007C3AE4">
        <w:rPr>
          <w:rFonts w:ascii="Palatino Linotype" w:eastAsia="MS Mincho" w:hAnsi="Palatino Linotype" w:cs="Times New Roman"/>
          <w:i/>
          <w:lang w:val="es-ES_tradnl" w:eastAsia="es-ES"/>
        </w:rPr>
        <w:t>(Énfasis añadido</w:t>
      </w:r>
      <w:r w:rsidRPr="007C3AE4">
        <w:rPr>
          <w:rFonts w:ascii="Palatino Linotype" w:eastAsia="MS Mincho" w:hAnsi="Palatino Linotype" w:cs="Times New Roman"/>
          <w:b/>
          <w:i/>
          <w:lang w:val="es-ES_tradnl" w:eastAsia="es-ES"/>
        </w:rPr>
        <w:t>)</w:t>
      </w:r>
    </w:p>
    <w:p w14:paraId="0D4FDEA4" w14:textId="77777777" w:rsidR="007859ED" w:rsidRPr="007C3AE4" w:rsidRDefault="007859ED" w:rsidP="007859ED">
      <w:pPr>
        <w:tabs>
          <w:tab w:val="left" w:pos="426"/>
        </w:tabs>
        <w:ind w:left="426" w:hanging="426"/>
        <w:rPr>
          <w:rFonts w:ascii="Palatino Linotype" w:hAnsi="Palatino Linotype"/>
          <w:color w:val="000000"/>
          <w:sz w:val="24"/>
          <w:szCs w:val="24"/>
        </w:rPr>
      </w:pPr>
    </w:p>
    <w:p w14:paraId="4C1CE8DC" w14:textId="77777777" w:rsidR="006D13CA" w:rsidRPr="007C3AE4" w:rsidRDefault="00970D88" w:rsidP="00970D88">
      <w:pPr>
        <w:numPr>
          <w:ilvl w:val="0"/>
          <w:numId w:val="2"/>
        </w:numPr>
        <w:spacing w:before="240" w:after="240" w:line="360" w:lineRule="auto"/>
        <w:contextualSpacing/>
        <w:jc w:val="both"/>
        <w:rPr>
          <w:rFonts w:ascii="Palatino Linotype" w:hAnsi="Palatino Linotype"/>
          <w:sz w:val="24"/>
          <w:szCs w:val="24"/>
        </w:rPr>
      </w:pPr>
      <w:r w:rsidRPr="007C3AE4">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7C3AE4">
        <w:rPr>
          <w:rFonts w:ascii="Palatino Linotype" w:eastAsia="MS Mincho" w:hAnsi="Palatino Linotype" w:cs="Times New Roman"/>
          <w:sz w:val="24"/>
          <w:szCs w:val="24"/>
          <w:lang w:val="es-ES_tradnl" w:eastAsia="es-ES"/>
        </w:rPr>
        <w:t xml:space="preserve">fecha </w:t>
      </w:r>
      <w:r w:rsidR="004D1F33" w:rsidRPr="007C3AE4">
        <w:rPr>
          <w:rFonts w:ascii="Palatino Linotype" w:eastAsia="MS Mincho" w:hAnsi="Palatino Linotype" w:cs="Times New Roman"/>
          <w:b/>
          <w:sz w:val="24"/>
          <w:szCs w:val="24"/>
          <w:lang w:val="es-ES_tradnl" w:eastAsia="es-ES"/>
        </w:rPr>
        <w:t xml:space="preserve">diez (10) de febrero </w:t>
      </w:r>
      <w:r w:rsidRPr="007C3AE4">
        <w:rPr>
          <w:rFonts w:ascii="Palatino Linotype" w:eastAsia="MS Mincho" w:hAnsi="Palatino Linotype" w:cs="Times New Roman"/>
          <w:b/>
          <w:sz w:val="24"/>
          <w:szCs w:val="24"/>
          <w:lang w:val="es-ES_tradnl" w:eastAsia="es-ES"/>
        </w:rPr>
        <w:t xml:space="preserve">de dos </w:t>
      </w:r>
      <w:r w:rsidRPr="007C3AE4">
        <w:rPr>
          <w:rFonts w:ascii="Palatino Linotype" w:eastAsia="Calibri" w:hAnsi="Palatino Linotype" w:cs="Arial"/>
          <w:b/>
          <w:color w:val="000000" w:themeColor="text1"/>
          <w:sz w:val="24"/>
          <w:szCs w:val="24"/>
          <w:lang w:val="es-ES" w:eastAsia="es-ES"/>
        </w:rPr>
        <w:t>mil veintiuno,</w:t>
      </w:r>
      <w:r w:rsidRPr="007C3AE4">
        <w:rPr>
          <w:rFonts w:ascii="Palatino Linotype" w:eastAsia="Calibri" w:hAnsi="Palatino Linotype" w:cs="Arial"/>
          <w:color w:val="000000" w:themeColor="text1"/>
          <w:sz w:val="24"/>
          <w:szCs w:val="24"/>
          <w:lang w:val="es-ES" w:eastAsia="es-ES"/>
        </w:rPr>
        <w:t xml:space="preserve"> por lo que, ordenó turnar el expediente a resolución,</w:t>
      </w:r>
      <w:r w:rsidRPr="007C3AE4">
        <w:rPr>
          <w:rFonts w:ascii="Palatino Linotype" w:hAnsi="Palatino Linotype"/>
          <w:sz w:val="24"/>
          <w:szCs w:val="24"/>
          <w:lang w:val="es-ES_tradnl"/>
        </w:rPr>
        <w:t xml:space="preserve"> misma que ahora se pronuncia.</w:t>
      </w:r>
    </w:p>
    <w:p w14:paraId="0C1E0B01" w14:textId="77777777" w:rsidR="006D13CA" w:rsidRPr="007C3AE4" w:rsidRDefault="006D13CA" w:rsidP="006D13CA">
      <w:pPr>
        <w:spacing w:before="240" w:after="240" w:line="360" w:lineRule="auto"/>
        <w:ind w:left="360"/>
        <w:contextualSpacing/>
        <w:jc w:val="both"/>
        <w:rPr>
          <w:rFonts w:ascii="Palatino Linotype" w:hAnsi="Palatino Linotype"/>
          <w:sz w:val="24"/>
          <w:szCs w:val="24"/>
        </w:rPr>
      </w:pPr>
    </w:p>
    <w:p w14:paraId="7798D8FC" w14:textId="77777777" w:rsidR="00970D88" w:rsidRPr="007C3AE4" w:rsidRDefault="006D13CA" w:rsidP="00970D88">
      <w:pPr>
        <w:numPr>
          <w:ilvl w:val="0"/>
          <w:numId w:val="2"/>
        </w:numPr>
        <w:spacing w:before="240" w:after="240" w:line="360" w:lineRule="auto"/>
        <w:contextualSpacing/>
        <w:jc w:val="both"/>
        <w:rPr>
          <w:rFonts w:ascii="Palatino Linotype" w:hAnsi="Palatino Linotype"/>
          <w:sz w:val="24"/>
          <w:szCs w:val="24"/>
        </w:rPr>
      </w:pPr>
      <w:r w:rsidRPr="007C3AE4">
        <w:rPr>
          <w:rFonts w:ascii="Palatino Linotype" w:hAnsi="Palatino Linotype" w:cs="Arial"/>
          <w:sz w:val="24"/>
          <w:szCs w:val="24"/>
          <w:lang w:val="es-ES_tradnl"/>
        </w:rPr>
        <w:lastRenderedPageBreak/>
        <w:t xml:space="preserve">El día </w:t>
      </w:r>
      <w:r w:rsidRPr="007C3AE4">
        <w:rPr>
          <w:rFonts w:ascii="Palatino Linotype" w:hAnsi="Palatino Linotype" w:cs="Arial"/>
          <w:b/>
          <w:sz w:val="24"/>
          <w:szCs w:val="24"/>
          <w:lang w:val="es-ES_tradnl"/>
        </w:rPr>
        <w:t xml:space="preserve">nueve (09) de marzo </w:t>
      </w:r>
      <w:r w:rsidRPr="007C3AE4">
        <w:rPr>
          <w:rFonts w:ascii="Palatino Linotype" w:hAnsi="Palatino Linotype" w:cs="Arial"/>
          <w:sz w:val="24"/>
          <w:szCs w:val="24"/>
          <w:lang w:val="es-ES_tradnl"/>
        </w:rPr>
        <w:t>de dos mil veintiuno, con fundamento en el artículo 181 tercer párrafo de la Ley de Transparencia y Acceso a la Información Pública del Estado de México y Municipios, se acordó el</w:t>
      </w:r>
      <w:r w:rsidRPr="007C3AE4">
        <w:rPr>
          <w:rFonts w:ascii="Palatino Linotype" w:hAnsi="Palatino Linotype" w:cs="Arial"/>
          <w:sz w:val="24"/>
          <w:szCs w:val="24"/>
          <w:lang w:val="es-ES_tradnl"/>
        </w:rPr>
        <w:br/>
        <w:t>plazo de treinta (30) días para resolver el recurso de revisión, sería ampliado por un periodo de quince (15) días hábiles adicionales;</w:t>
      </w:r>
      <w:r w:rsidRPr="007C3AE4">
        <w:rPr>
          <w:rFonts w:ascii="Palatino Linotype" w:hAnsi="Palatino Linotype" w:cs="Arial"/>
          <w:sz w:val="24"/>
          <w:szCs w:val="24"/>
        </w:rPr>
        <w:t xml:space="preserve">por lo que no habiendo más que hacer constar, y - </w:t>
      </w:r>
      <w:r w:rsidR="00970D88" w:rsidRPr="007C3AE4">
        <w:rPr>
          <w:rFonts w:ascii="Palatino Linotype" w:hAnsi="Palatino Linotype"/>
          <w:sz w:val="24"/>
          <w:szCs w:val="24"/>
          <w:lang w:val="es-ES_tradnl"/>
        </w:rPr>
        <w:t xml:space="preserve">- - - - - - - - - - - - - - - - - - </w:t>
      </w:r>
      <w:r w:rsidRPr="007C3AE4">
        <w:rPr>
          <w:rFonts w:ascii="Palatino Linotype" w:hAnsi="Palatino Linotype"/>
          <w:sz w:val="24"/>
          <w:szCs w:val="24"/>
          <w:lang w:val="es-ES_tradnl"/>
        </w:rPr>
        <w:t xml:space="preserve">- - - - - - -  - - - - - - - - - - - - - - - - - - - </w:t>
      </w:r>
    </w:p>
    <w:p w14:paraId="3DC94185" w14:textId="77777777" w:rsidR="00970D88" w:rsidRPr="007C3AE4" w:rsidRDefault="00970D88" w:rsidP="00970D88">
      <w:pPr>
        <w:spacing w:before="240" w:after="240" w:line="360" w:lineRule="auto"/>
        <w:contextualSpacing/>
        <w:jc w:val="both"/>
        <w:rPr>
          <w:rFonts w:ascii="Palatino Linotype" w:hAnsi="Palatino Linotype"/>
          <w:sz w:val="24"/>
          <w:szCs w:val="24"/>
        </w:rPr>
      </w:pPr>
    </w:p>
    <w:p w14:paraId="6CE35C76" w14:textId="77777777" w:rsidR="00970D88" w:rsidRPr="007C3AE4" w:rsidRDefault="00970D88" w:rsidP="00970D88">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2" w:name="_Toc66352318"/>
      <w:r w:rsidRPr="007C3AE4">
        <w:rPr>
          <w:rFonts w:ascii="Palatino Linotype" w:eastAsia="MS Mincho" w:hAnsi="Palatino Linotype" w:cs="Times New Roman"/>
          <w:b/>
          <w:sz w:val="24"/>
          <w:szCs w:val="24"/>
          <w:lang w:val="es-ES_tradnl" w:eastAsia="es-ES"/>
        </w:rPr>
        <w:t>C O N S I D E R A N D O</w:t>
      </w:r>
      <w:bookmarkEnd w:id="2"/>
      <w:r w:rsidRPr="007C3AE4">
        <w:rPr>
          <w:rFonts w:ascii="Palatino Linotype" w:eastAsia="MS Mincho" w:hAnsi="Palatino Linotype" w:cs="Times New Roman"/>
          <w:b/>
          <w:sz w:val="24"/>
          <w:szCs w:val="24"/>
          <w:lang w:val="es-ES_tradnl" w:eastAsia="es-ES"/>
        </w:rPr>
        <w:t xml:space="preserve"> </w:t>
      </w:r>
    </w:p>
    <w:p w14:paraId="695F1034" w14:textId="77777777" w:rsidR="00970D88" w:rsidRPr="007C3AE4" w:rsidRDefault="00970D88" w:rsidP="00970D88">
      <w:pPr>
        <w:spacing w:after="0" w:line="360" w:lineRule="auto"/>
        <w:rPr>
          <w:rFonts w:ascii="Palatino Linotype" w:eastAsia="MS Mincho" w:hAnsi="Palatino Linotype" w:cs="Times New Roman"/>
          <w:sz w:val="24"/>
          <w:szCs w:val="24"/>
        </w:rPr>
      </w:pPr>
    </w:p>
    <w:p w14:paraId="7EFD861C" w14:textId="77777777" w:rsidR="00970D88" w:rsidRPr="007C3AE4" w:rsidRDefault="00970D88" w:rsidP="00970D88">
      <w:pPr>
        <w:keepNext/>
        <w:keepLines/>
        <w:spacing w:before="240" w:after="0"/>
        <w:outlineLvl w:val="0"/>
        <w:rPr>
          <w:rFonts w:ascii="Palatino Linotype" w:eastAsia="MS Gothic" w:hAnsi="Palatino Linotype" w:cs="Times New Roman"/>
          <w:b/>
          <w:sz w:val="24"/>
          <w:szCs w:val="26"/>
        </w:rPr>
      </w:pPr>
      <w:bookmarkStart w:id="3" w:name="_Toc66352319"/>
      <w:r w:rsidRPr="007C3AE4">
        <w:rPr>
          <w:rFonts w:ascii="Palatino Linotype" w:eastAsia="MS Gothic" w:hAnsi="Palatino Linotype" w:cs="Times New Roman"/>
          <w:b/>
          <w:sz w:val="24"/>
          <w:szCs w:val="26"/>
        </w:rPr>
        <w:t>PRIMERO. De la competencia.</w:t>
      </w:r>
      <w:bookmarkEnd w:id="3"/>
    </w:p>
    <w:p w14:paraId="5F0EDD9A" w14:textId="77777777" w:rsidR="00970D88" w:rsidRPr="007C3AE4" w:rsidRDefault="00970D88" w:rsidP="00970D88">
      <w:pPr>
        <w:keepNext/>
        <w:keepLines/>
        <w:spacing w:before="40" w:after="0" w:line="360" w:lineRule="auto"/>
        <w:outlineLvl w:val="1"/>
        <w:rPr>
          <w:rFonts w:ascii="Palatino Linotype" w:eastAsia="MS Gothic" w:hAnsi="Palatino Linotype" w:cs="Times New Roman"/>
          <w:b/>
          <w:sz w:val="24"/>
          <w:szCs w:val="26"/>
        </w:rPr>
      </w:pPr>
    </w:p>
    <w:p w14:paraId="5858397B" w14:textId="77777777" w:rsidR="00970D88" w:rsidRPr="007C3AE4" w:rsidRDefault="00970D88" w:rsidP="00970D88">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7C3AE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3AE4">
        <w:rPr>
          <w:rFonts w:ascii="Palatino Linotype" w:eastAsia="Calibri" w:hAnsi="Palatino Linotype" w:cs="Times New Roman"/>
          <w:b/>
          <w:sz w:val="24"/>
          <w:szCs w:val="24"/>
          <w:lang w:val="es-ES" w:eastAsia="es-ES"/>
        </w:rPr>
        <w:t>Constitución Política de los Estados Unidos Mexicanos</w:t>
      </w:r>
      <w:r w:rsidRPr="007C3AE4">
        <w:rPr>
          <w:rFonts w:ascii="Palatino Linotype" w:eastAsia="Calibri" w:hAnsi="Palatino Linotype" w:cs="Times New Roman"/>
          <w:sz w:val="24"/>
          <w:szCs w:val="24"/>
          <w:lang w:val="es-ES" w:eastAsia="es-ES"/>
        </w:rPr>
        <w:t xml:space="preserve">; </w:t>
      </w:r>
      <w:r w:rsidRPr="007C3AE4">
        <w:rPr>
          <w:rFonts w:ascii="Palatino Linotype" w:hAnsi="Palatino Linotype" w:cs="Arial"/>
          <w:bCs/>
          <w:color w:val="222222"/>
          <w:sz w:val="24"/>
          <w:szCs w:val="24"/>
          <w:lang w:val="es-ES"/>
        </w:rPr>
        <w:t>5, párrafos vigésimo segundo, vigésimo tercero y vigésimo cuarto fracciones IV y V </w:t>
      </w:r>
      <w:r w:rsidRPr="007C3AE4">
        <w:rPr>
          <w:rFonts w:ascii="Palatino Linotype" w:eastAsia="Calibri" w:hAnsi="Palatino Linotype" w:cs="Times New Roman"/>
          <w:sz w:val="24"/>
          <w:szCs w:val="24"/>
          <w:lang w:val="es-ES" w:eastAsia="es-ES"/>
        </w:rPr>
        <w:t xml:space="preserve"> de la </w:t>
      </w:r>
      <w:r w:rsidRPr="007C3AE4">
        <w:rPr>
          <w:rFonts w:ascii="Palatino Linotype" w:eastAsia="Calibri" w:hAnsi="Palatino Linotype" w:cs="Times New Roman"/>
          <w:b/>
          <w:sz w:val="24"/>
          <w:szCs w:val="24"/>
          <w:lang w:val="es-ES" w:eastAsia="es-ES"/>
        </w:rPr>
        <w:t>Constitución Política del Estado Libre y Soberano de México</w:t>
      </w:r>
      <w:r w:rsidRPr="007C3AE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C3AE4">
        <w:rPr>
          <w:rFonts w:ascii="Palatino Linotype" w:eastAsia="Calibri" w:hAnsi="Palatino Linotype" w:cs="Arial"/>
          <w:sz w:val="24"/>
          <w:szCs w:val="24"/>
          <w:lang w:val="es-ES" w:eastAsia="es-ES"/>
        </w:rPr>
        <w:t xml:space="preserve">de la </w:t>
      </w:r>
      <w:r w:rsidRPr="007C3AE4">
        <w:rPr>
          <w:rFonts w:ascii="Palatino Linotype" w:eastAsia="Calibri" w:hAnsi="Palatino Linotype" w:cs="Arial"/>
          <w:b/>
          <w:sz w:val="24"/>
          <w:szCs w:val="24"/>
          <w:lang w:val="es-ES" w:eastAsia="es-ES"/>
        </w:rPr>
        <w:t>Ley de Transparencia y Acceso a la Información Pública del Estado de México y Municipios</w:t>
      </w:r>
      <w:r w:rsidRPr="007C3AE4">
        <w:rPr>
          <w:rFonts w:ascii="Palatino Linotype" w:eastAsia="Calibri" w:hAnsi="Palatino Linotype" w:cs="Arial"/>
          <w:sz w:val="24"/>
          <w:szCs w:val="24"/>
          <w:lang w:val="es-ES" w:eastAsia="es-ES"/>
        </w:rPr>
        <w:t xml:space="preserve">; </w:t>
      </w:r>
      <w:r w:rsidRPr="007C3AE4">
        <w:rPr>
          <w:rFonts w:ascii="Palatino Linotype" w:eastAsia="Calibri" w:hAnsi="Palatino Linotype" w:cs="Arial"/>
          <w:b/>
          <w:sz w:val="24"/>
          <w:szCs w:val="24"/>
          <w:lang w:val="es-ES" w:eastAsia="es-ES"/>
        </w:rPr>
        <w:t>7, 9 fracciones I y XXIV, y 11</w:t>
      </w:r>
      <w:r w:rsidRPr="007C3AE4">
        <w:rPr>
          <w:rFonts w:ascii="Palatino Linotype" w:eastAsia="Calibri" w:hAnsi="Palatino Linotype" w:cs="Arial"/>
          <w:sz w:val="24"/>
          <w:szCs w:val="24"/>
          <w:lang w:val="es-ES" w:eastAsia="es-ES"/>
        </w:rPr>
        <w:t xml:space="preserve"> del </w:t>
      </w:r>
      <w:r w:rsidRPr="007C3AE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C3AE4">
        <w:rPr>
          <w:rFonts w:ascii="Palatino Linotype" w:eastAsia="MS Mincho" w:hAnsi="Palatino Linotype" w:cs="Times New Roman"/>
          <w:sz w:val="24"/>
          <w:szCs w:val="24"/>
          <w:lang w:val="es-ES_tradnl" w:eastAsia="es-ES"/>
        </w:rPr>
        <w:t>.</w:t>
      </w:r>
    </w:p>
    <w:p w14:paraId="4BA20A09" w14:textId="77777777" w:rsidR="00970D88" w:rsidRPr="007C3AE4" w:rsidRDefault="00970D88" w:rsidP="00970D88">
      <w:pPr>
        <w:spacing w:before="240" w:after="240" w:line="360" w:lineRule="auto"/>
        <w:contextualSpacing/>
        <w:jc w:val="both"/>
        <w:rPr>
          <w:rFonts w:ascii="Palatino Linotype" w:eastAsia="MS Mincho" w:hAnsi="Palatino Linotype" w:cs="Times New Roman"/>
          <w:sz w:val="24"/>
          <w:szCs w:val="24"/>
          <w:lang w:val="es-ES_tradnl" w:eastAsia="es-ES"/>
        </w:rPr>
      </w:pPr>
    </w:p>
    <w:p w14:paraId="2267D9C2" w14:textId="77777777" w:rsidR="00970D88" w:rsidRPr="007C3AE4" w:rsidRDefault="00970D88" w:rsidP="00970D88">
      <w:pPr>
        <w:keepNext/>
        <w:keepLines/>
        <w:spacing w:before="240" w:after="0"/>
        <w:outlineLvl w:val="0"/>
        <w:rPr>
          <w:rFonts w:ascii="Palatino Linotype" w:eastAsia="MS Gothic" w:hAnsi="Palatino Linotype" w:cs="Times New Roman"/>
          <w:b/>
          <w:sz w:val="24"/>
          <w:szCs w:val="26"/>
        </w:rPr>
      </w:pPr>
      <w:bookmarkStart w:id="4" w:name="_Toc66352320"/>
      <w:r w:rsidRPr="007C3AE4">
        <w:rPr>
          <w:rFonts w:ascii="Palatino Linotype" w:eastAsia="MS Gothic" w:hAnsi="Palatino Linotype" w:cs="Times New Roman"/>
          <w:b/>
          <w:sz w:val="24"/>
          <w:szCs w:val="26"/>
        </w:rPr>
        <w:lastRenderedPageBreak/>
        <w:t>SEGUNDO. De la oportunidad y procedencia.</w:t>
      </w:r>
      <w:bookmarkEnd w:id="4"/>
    </w:p>
    <w:p w14:paraId="05199CD4" w14:textId="77777777" w:rsidR="00970D88" w:rsidRPr="007C3AE4" w:rsidRDefault="00970D88" w:rsidP="00970D88">
      <w:pPr>
        <w:keepNext/>
        <w:keepLines/>
        <w:spacing w:before="40" w:after="0"/>
        <w:outlineLvl w:val="1"/>
        <w:rPr>
          <w:rFonts w:ascii="Palatino Linotype" w:eastAsia="MS Gothic" w:hAnsi="Palatino Linotype" w:cs="Times New Roman"/>
          <w:b/>
          <w:color w:val="2E74B5" w:themeColor="accent1" w:themeShade="BF"/>
          <w:sz w:val="24"/>
          <w:szCs w:val="26"/>
        </w:rPr>
      </w:pPr>
    </w:p>
    <w:p w14:paraId="42A23114" w14:textId="77777777" w:rsidR="00970D88" w:rsidRPr="007C3AE4" w:rsidRDefault="00970D88" w:rsidP="004979D9">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7C3AE4">
        <w:rPr>
          <w:rFonts w:ascii="Palatino Linotype" w:eastAsia="Calibri" w:hAnsi="Palatino Linotype" w:cs="Arial"/>
          <w:sz w:val="24"/>
          <w:szCs w:val="24"/>
        </w:rPr>
        <w:t xml:space="preserve">El medio de impugnación fue presentado a través del </w:t>
      </w:r>
      <w:r w:rsidRPr="007C3AE4">
        <w:rPr>
          <w:rFonts w:ascii="Palatino Linotype" w:eastAsia="Calibri" w:hAnsi="Palatino Linotype" w:cs="Arial"/>
          <w:b/>
          <w:sz w:val="24"/>
          <w:szCs w:val="24"/>
        </w:rPr>
        <w:t>SAIMEX,</w:t>
      </w:r>
      <w:r w:rsidRPr="007C3AE4">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7C3AE4">
        <w:rPr>
          <w:rFonts w:ascii="Palatino Linotype" w:eastAsia="Calibri" w:hAnsi="Palatino Linotype" w:cs="Arial"/>
          <w:b/>
          <w:sz w:val="24"/>
          <w:szCs w:val="24"/>
        </w:rPr>
        <w:t>SUJETO OBLIGADO</w:t>
      </w:r>
      <w:r w:rsidRPr="007C3AE4">
        <w:rPr>
          <w:rFonts w:ascii="Palatino Linotype" w:eastAsia="Calibri" w:hAnsi="Palatino Linotype" w:cs="Arial"/>
          <w:sz w:val="24"/>
          <w:szCs w:val="24"/>
        </w:rPr>
        <w:t xml:space="preserve"> entregó las respuestas el </w:t>
      </w:r>
      <w:r w:rsidR="006D13CA" w:rsidRPr="007C3AE4">
        <w:rPr>
          <w:rFonts w:ascii="Palatino Linotype" w:eastAsia="Calibri" w:hAnsi="Palatino Linotype" w:cs="Arial"/>
          <w:sz w:val="24"/>
          <w:szCs w:val="24"/>
        </w:rPr>
        <w:t>veintiocho (28</w:t>
      </w:r>
      <w:r w:rsidRPr="007C3AE4">
        <w:rPr>
          <w:rFonts w:ascii="Palatino Linotype" w:eastAsia="Calibri" w:hAnsi="Palatino Linotype" w:cs="Arial"/>
          <w:sz w:val="24"/>
          <w:szCs w:val="24"/>
        </w:rPr>
        <w:t xml:space="preserve">) de </w:t>
      </w:r>
      <w:r w:rsidR="006D13CA" w:rsidRPr="007C3AE4">
        <w:rPr>
          <w:rFonts w:ascii="Palatino Linotype" w:eastAsia="Calibri" w:hAnsi="Palatino Linotype" w:cs="Arial"/>
          <w:sz w:val="24"/>
          <w:szCs w:val="24"/>
        </w:rPr>
        <w:t>dic</w:t>
      </w:r>
      <w:r w:rsidRPr="007C3AE4">
        <w:rPr>
          <w:rFonts w:ascii="Palatino Linotype" w:eastAsia="Calibri" w:hAnsi="Palatino Linotype" w:cs="Arial"/>
          <w:sz w:val="24"/>
          <w:szCs w:val="24"/>
        </w:rPr>
        <w:t>iembre</w:t>
      </w:r>
      <w:r w:rsidRPr="007C3AE4">
        <w:rPr>
          <w:rFonts w:ascii="Palatino Linotype" w:eastAsia="Calibri" w:hAnsi="Palatino Linotype" w:cs="Arial"/>
          <w:b/>
          <w:sz w:val="24"/>
          <w:szCs w:val="24"/>
        </w:rPr>
        <w:t xml:space="preserve"> </w:t>
      </w:r>
      <w:r w:rsidR="006D13CA" w:rsidRPr="007C3AE4">
        <w:rPr>
          <w:rFonts w:ascii="Palatino Linotype" w:eastAsia="Calibri" w:hAnsi="Palatino Linotype" w:cs="Arial"/>
          <w:sz w:val="24"/>
          <w:szCs w:val="24"/>
        </w:rPr>
        <w:t>de dos mil veinte y veinte (20) de enero de dos mil veintiuno</w:t>
      </w:r>
      <w:r w:rsidRPr="007C3AE4">
        <w:rPr>
          <w:rFonts w:ascii="Palatino Linotype" w:eastAsia="Calibri" w:hAnsi="Palatino Linotype" w:cs="Arial"/>
          <w:sz w:val="24"/>
          <w:szCs w:val="24"/>
        </w:rPr>
        <w:t xml:space="preserve"> </w:t>
      </w:r>
      <w:r w:rsidRPr="007C3AE4">
        <w:rPr>
          <w:rFonts w:ascii="Palatino Linotype" w:hAnsi="Palatino Linotype" w:cs="Arial"/>
          <w:sz w:val="24"/>
          <w:szCs w:val="24"/>
        </w:rPr>
        <w:t xml:space="preserve">de tal forma que el plazo para interponer el recurso transcurrió del </w:t>
      </w:r>
      <w:r w:rsidR="00183C4E" w:rsidRPr="007C3AE4">
        <w:rPr>
          <w:rFonts w:ascii="Palatino Linotype" w:hAnsi="Palatino Linotype" w:cs="Arial"/>
          <w:sz w:val="24"/>
          <w:szCs w:val="24"/>
        </w:rPr>
        <w:t xml:space="preserve">día dieciocho (18) y veinte (20) de enero de dos mil veinte al </w:t>
      </w:r>
      <w:r w:rsidRPr="007C3AE4">
        <w:rPr>
          <w:rFonts w:ascii="Palatino Linotype" w:hAnsi="Palatino Linotype" w:cs="Arial"/>
          <w:sz w:val="24"/>
          <w:szCs w:val="24"/>
        </w:rPr>
        <w:t xml:space="preserve">día </w:t>
      </w:r>
      <w:r w:rsidR="00183C4E" w:rsidRPr="007C3AE4">
        <w:rPr>
          <w:rFonts w:ascii="Palatino Linotype" w:hAnsi="Palatino Linotype" w:cs="Arial"/>
          <w:sz w:val="24"/>
          <w:szCs w:val="24"/>
        </w:rPr>
        <w:t xml:space="preserve">ocho (08) y once (11) febrero </w:t>
      </w:r>
      <w:r w:rsidRPr="007C3AE4">
        <w:rPr>
          <w:rFonts w:ascii="Palatino Linotype" w:hAnsi="Palatino Linotype" w:cs="Arial"/>
          <w:sz w:val="24"/>
          <w:szCs w:val="24"/>
        </w:rPr>
        <w:t>del mismo mes</w:t>
      </w:r>
      <w:r w:rsidRPr="007C3AE4">
        <w:rPr>
          <w:rFonts w:ascii="Palatino Linotype" w:hAnsi="Palatino Linotype" w:cs="Arial"/>
          <w:b/>
          <w:sz w:val="24"/>
          <w:szCs w:val="24"/>
        </w:rPr>
        <w:t xml:space="preserve"> </w:t>
      </w:r>
      <w:r w:rsidR="00183C4E" w:rsidRPr="007C3AE4">
        <w:rPr>
          <w:rFonts w:ascii="Palatino Linotype" w:hAnsi="Palatino Linotype" w:cs="Arial"/>
          <w:sz w:val="24"/>
          <w:szCs w:val="24"/>
        </w:rPr>
        <w:t>de dos mil veintiuno</w:t>
      </w:r>
      <w:r w:rsidRPr="007C3AE4">
        <w:rPr>
          <w:rFonts w:ascii="Palatino Linotype" w:hAnsi="Palatino Linotype" w:cs="Arial"/>
          <w:sz w:val="24"/>
          <w:szCs w:val="24"/>
        </w:rPr>
        <w:t xml:space="preserve">; en consecuencia, presentó su inconformidad el día </w:t>
      </w:r>
      <w:r w:rsidR="00183C4E" w:rsidRPr="007C3AE4">
        <w:rPr>
          <w:rFonts w:ascii="Palatino Linotype" w:hAnsi="Palatino Linotype" w:cs="Arial"/>
          <w:b/>
          <w:sz w:val="24"/>
          <w:szCs w:val="24"/>
        </w:rPr>
        <w:t>once (11</w:t>
      </w:r>
      <w:r w:rsidRPr="007C3AE4">
        <w:rPr>
          <w:rFonts w:ascii="Palatino Linotype" w:hAnsi="Palatino Linotype" w:cs="Arial"/>
          <w:b/>
          <w:sz w:val="24"/>
          <w:szCs w:val="24"/>
        </w:rPr>
        <w:t>)</w:t>
      </w:r>
      <w:r w:rsidR="00183C4E" w:rsidRPr="007C3AE4">
        <w:rPr>
          <w:rFonts w:ascii="Palatino Linotype" w:hAnsi="Palatino Linotype" w:cs="Arial"/>
          <w:b/>
          <w:sz w:val="24"/>
          <w:szCs w:val="24"/>
        </w:rPr>
        <w:t xml:space="preserve"> y veinte (20) de </w:t>
      </w:r>
      <w:r w:rsidRPr="007C3AE4">
        <w:rPr>
          <w:rFonts w:ascii="Palatino Linotype" w:hAnsi="Palatino Linotype" w:cs="Arial"/>
          <w:b/>
          <w:sz w:val="24"/>
          <w:szCs w:val="24"/>
        </w:rPr>
        <w:t>e</w:t>
      </w:r>
      <w:r w:rsidR="00183C4E" w:rsidRPr="007C3AE4">
        <w:rPr>
          <w:rFonts w:ascii="Palatino Linotype" w:hAnsi="Palatino Linotype" w:cs="Arial"/>
          <w:b/>
          <w:sz w:val="24"/>
          <w:szCs w:val="24"/>
        </w:rPr>
        <w:t>nero</w:t>
      </w:r>
      <w:r w:rsidRPr="007C3AE4">
        <w:rPr>
          <w:rFonts w:ascii="Palatino Linotype" w:hAnsi="Palatino Linotype" w:cs="Arial"/>
          <w:b/>
          <w:sz w:val="24"/>
          <w:szCs w:val="24"/>
        </w:rPr>
        <w:t xml:space="preserve"> </w:t>
      </w:r>
      <w:r w:rsidR="00183C4E" w:rsidRPr="007C3AE4">
        <w:rPr>
          <w:rFonts w:ascii="Palatino Linotype" w:hAnsi="Palatino Linotype" w:cs="Arial"/>
          <w:sz w:val="24"/>
          <w:szCs w:val="24"/>
        </w:rPr>
        <w:t>de dos mil veintiuno</w:t>
      </w:r>
      <w:r w:rsidRPr="007C3AE4">
        <w:rPr>
          <w:rFonts w:ascii="Palatino Linotype" w:hAnsi="Palatino Linotype" w:cs="Arial"/>
          <w:sz w:val="24"/>
          <w:szCs w:val="24"/>
        </w:rPr>
        <w:t xml:space="preserve">, éste se encuentra dentro de los márgenes temporales previstos en el artículo 178 de la </w:t>
      </w:r>
      <w:r w:rsidRPr="007C3AE4">
        <w:rPr>
          <w:rFonts w:ascii="Palatino Linotype" w:hAnsi="Palatino Linotype" w:cs="Arial"/>
          <w:b/>
          <w:sz w:val="24"/>
          <w:szCs w:val="24"/>
        </w:rPr>
        <w:t>Ley de Transparencia y Acceso a la Información Pública del Estado de México y Municipios</w:t>
      </w:r>
      <w:r w:rsidRPr="007C3AE4">
        <w:rPr>
          <w:rFonts w:ascii="Palatino Linotype" w:hAnsi="Palatino Linotype" w:cs="Arial"/>
          <w:sz w:val="24"/>
          <w:szCs w:val="24"/>
        </w:rPr>
        <w:t>.</w:t>
      </w:r>
    </w:p>
    <w:p w14:paraId="6341B1B7" w14:textId="77777777" w:rsidR="00970D88" w:rsidRPr="007C3AE4" w:rsidRDefault="00970D88" w:rsidP="00970D88">
      <w:pPr>
        <w:contextualSpacing/>
        <w:rPr>
          <w:rFonts w:ascii="Palatino Linotype" w:hAnsi="Palatino Linotype" w:cs="Arial"/>
          <w:sz w:val="24"/>
          <w:szCs w:val="24"/>
        </w:rPr>
      </w:pPr>
    </w:p>
    <w:p w14:paraId="6A4BB76F" w14:textId="77777777" w:rsidR="00970D88" w:rsidRPr="007C3AE4" w:rsidRDefault="00970D88" w:rsidP="00970D88">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7C3AE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5C9041F" w14:textId="77777777" w:rsidR="00970D88" w:rsidRPr="007C3AE4" w:rsidRDefault="00970D88" w:rsidP="00970D88">
      <w:pPr>
        <w:keepNext/>
        <w:keepLines/>
        <w:spacing w:before="240" w:after="0"/>
        <w:outlineLvl w:val="0"/>
        <w:rPr>
          <w:rFonts w:ascii="Palatino Linotype" w:eastAsia="MS Mincho" w:hAnsi="Palatino Linotype" w:cs="Times New Roman"/>
          <w:b/>
          <w:sz w:val="24"/>
          <w:szCs w:val="24"/>
          <w:lang w:val="es-ES_tradnl" w:eastAsia="es-ES"/>
        </w:rPr>
      </w:pPr>
      <w:bookmarkStart w:id="5" w:name="_Toc66352321"/>
      <w:r w:rsidRPr="007C3AE4">
        <w:rPr>
          <w:rFonts w:ascii="Palatino Linotype" w:eastAsia="MS Mincho" w:hAnsi="Palatino Linotype" w:cstheme="majorBidi"/>
          <w:b/>
          <w:sz w:val="24"/>
          <w:szCs w:val="24"/>
          <w:lang w:val="es-ES_tradnl" w:eastAsia="es-ES"/>
        </w:rPr>
        <w:t>TERCERO. Previo especial pronunciamiento.</w:t>
      </w:r>
      <w:bookmarkEnd w:id="5"/>
      <w:r w:rsidRPr="007C3AE4">
        <w:rPr>
          <w:rFonts w:ascii="Palatino Linotype" w:eastAsia="MS Mincho" w:hAnsi="Palatino Linotype" w:cstheme="majorBidi"/>
          <w:b/>
          <w:sz w:val="24"/>
          <w:szCs w:val="24"/>
          <w:lang w:val="es-ES_tradnl" w:eastAsia="es-ES"/>
        </w:rPr>
        <w:t xml:space="preserve"> </w:t>
      </w:r>
    </w:p>
    <w:p w14:paraId="3BB0218F" w14:textId="77777777" w:rsidR="00970D88" w:rsidRPr="007C3AE4" w:rsidRDefault="00970D88" w:rsidP="00970D88">
      <w:pPr>
        <w:spacing w:after="0" w:line="360" w:lineRule="auto"/>
        <w:contextualSpacing/>
        <w:jc w:val="both"/>
        <w:rPr>
          <w:rFonts w:ascii="Palatino Linotype" w:eastAsia="MS Mincho" w:hAnsi="Palatino Linotype" w:cs="Times New Roman"/>
          <w:sz w:val="24"/>
          <w:szCs w:val="24"/>
          <w:lang w:val="es-ES_tradnl" w:eastAsia="es-ES"/>
        </w:rPr>
      </w:pPr>
    </w:p>
    <w:p w14:paraId="6F042E02" w14:textId="77777777" w:rsidR="007859ED" w:rsidRPr="007C3AE4" w:rsidRDefault="007859ED" w:rsidP="007859ED">
      <w:pPr>
        <w:pStyle w:val="Ttulo1"/>
        <w:numPr>
          <w:ilvl w:val="0"/>
          <w:numId w:val="11"/>
        </w:numPr>
        <w:rPr>
          <w:rFonts w:ascii="Palatino Linotype" w:eastAsia="MS Mincho" w:hAnsi="Palatino Linotype" w:cs="Times New Roman"/>
          <w:b/>
          <w:i/>
          <w:color w:val="auto"/>
          <w:sz w:val="24"/>
          <w:szCs w:val="24"/>
          <w:lang w:eastAsia="es-ES"/>
        </w:rPr>
      </w:pPr>
      <w:bookmarkStart w:id="6" w:name="_Toc65743794"/>
      <w:bookmarkStart w:id="7" w:name="_Toc65849900"/>
      <w:bookmarkStart w:id="8" w:name="_Toc66352322"/>
      <w:r w:rsidRPr="007C3AE4">
        <w:rPr>
          <w:rFonts w:ascii="Palatino Linotype" w:eastAsia="MS Mincho" w:hAnsi="Palatino Linotype" w:cs="Times New Roman"/>
          <w:b/>
          <w:i/>
          <w:color w:val="auto"/>
          <w:sz w:val="24"/>
          <w:szCs w:val="24"/>
          <w:lang w:val="es-ES" w:eastAsia="es-ES"/>
        </w:rPr>
        <w:t>De la suspensión de plazos derivado del SARS-Cov-2-COVID-19</w:t>
      </w:r>
      <w:bookmarkEnd w:id="6"/>
      <w:bookmarkEnd w:id="7"/>
      <w:bookmarkEnd w:id="8"/>
    </w:p>
    <w:p w14:paraId="0E65F260" w14:textId="77777777" w:rsidR="007859ED" w:rsidRPr="007C3AE4" w:rsidRDefault="007859ED" w:rsidP="00970D88">
      <w:pPr>
        <w:spacing w:after="0" w:line="360" w:lineRule="auto"/>
        <w:contextualSpacing/>
        <w:jc w:val="both"/>
        <w:rPr>
          <w:rFonts w:ascii="Palatino Linotype" w:eastAsia="MS Mincho" w:hAnsi="Palatino Linotype" w:cs="Times New Roman"/>
          <w:sz w:val="24"/>
          <w:szCs w:val="24"/>
          <w:lang w:val="es-ES_tradnl" w:eastAsia="es-ES"/>
        </w:rPr>
      </w:pPr>
    </w:p>
    <w:p w14:paraId="780FF2DC"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 xml:space="preserve">Ahora bien, desde que inició, la crisis generada por el virus </w:t>
      </w:r>
      <w:r w:rsidR="007859ED" w:rsidRPr="007C3AE4">
        <w:rPr>
          <w:rFonts w:ascii="Palatino Linotype" w:hAnsi="Palatino Linotype"/>
          <w:b/>
          <w:sz w:val="24"/>
          <w:szCs w:val="24"/>
          <w:lang w:val="es-ES"/>
        </w:rPr>
        <w:t>SARS-Cov-2</w:t>
      </w:r>
      <w:proofErr w:type="gramStart"/>
      <w:r w:rsidRPr="007C3AE4">
        <w:rPr>
          <w:rFonts w:ascii="Palatino Linotype" w:hAnsi="Palatino Linotype"/>
          <w:b/>
          <w:sz w:val="24"/>
          <w:szCs w:val="24"/>
          <w:lang w:val="es-ES"/>
        </w:rPr>
        <w:t>-  COVID</w:t>
      </w:r>
      <w:proofErr w:type="gramEnd"/>
      <w:r w:rsidRPr="007C3AE4">
        <w:rPr>
          <w:rFonts w:ascii="Palatino Linotype" w:hAnsi="Palatino Linotype"/>
          <w:b/>
          <w:sz w:val="24"/>
          <w:szCs w:val="24"/>
          <w:lang w:val="es-ES"/>
        </w:rPr>
        <w:t>-19</w:t>
      </w:r>
      <w:r w:rsidRPr="007C3AE4">
        <w:rPr>
          <w:rFonts w:ascii="Palatino Linotype" w:hAnsi="Palatino Linotype"/>
          <w:sz w:val="24"/>
          <w:szCs w:val="24"/>
          <w:lang w:val="es-ES"/>
        </w:rPr>
        <w:t xml:space="preserve">, a finales del año 2019, la sociedad y los Estados, se han visto </w:t>
      </w:r>
      <w:r w:rsidRPr="007C3AE4">
        <w:rPr>
          <w:rFonts w:ascii="Palatino Linotype" w:hAnsi="Palatino Linotype"/>
          <w:sz w:val="24"/>
          <w:szCs w:val="24"/>
          <w:lang w:val="es-ES"/>
        </w:rPr>
        <w:lastRenderedPageBreak/>
        <w:t>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6E4E5A6" w14:textId="77777777" w:rsidR="00970D88" w:rsidRPr="007C3AE4" w:rsidRDefault="00970D88" w:rsidP="00970D88">
      <w:pPr>
        <w:ind w:left="360" w:hanging="360"/>
        <w:contextualSpacing/>
        <w:jc w:val="both"/>
        <w:rPr>
          <w:rFonts w:ascii="Palatino Linotype" w:hAnsi="Palatino Linotype"/>
          <w:sz w:val="24"/>
          <w:szCs w:val="24"/>
          <w:lang w:val="es-ES"/>
        </w:rPr>
      </w:pPr>
    </w:p>
    <w:p w14:paraId="664AD15E"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F4EE89A"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713E3389"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A4BF591"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4F18C3F8"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 xml:space="preserve">Luego del periodo de agosto a diciembre, en el que las condiciones de riesgo bajaron para situar a algunos estados en semáforo verde, amarillo y naranja, administrado por las autoridades de salud, el cierre de 2020 y el inicio del </w:t>
      </w:r>
      <w:r w:rsidRPr="007C3AE4">
        <w:rPr>
          <w:rFonts w:ascii="Palatino Linotype" w:hAnsi="Palatino Linotype"/>
          <w:sz w:val="24"/>
          <w:szCs w:val="24"/>
          <w:lang w:val="es-ES"/>
        </w:rPr>
        <w:lastRenderedPageBreak/>
        <w:t>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422EA86"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4A8BB999"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D5BEEC8"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7AE46471"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w:t>
      </w:r>
      <w:r w:rsidRPr="007C3AE4">
        <w:rPr>
          <w:rFonts w:ascii="Palatino Linotype" w:hAnsi="Palatino Linotype"/>
          <w:sz w:val="24"/>
          <w:szCs w:val="24"/>
          <w:lang w:val="es-ES"/>
        </w:rPr>
        <w:lastRenderedPageBreak/>
        <w:t xml:space="preserve">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26EE3192"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1AF084E2"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8269996"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1BDECDE9"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w:t>
      </w:r>
      <w:r w:rsidRPr="007C3AE4">
        <w:rPr>
          <w:rFonts w:ascii="Palatino Linotype" w:hAnsi="Palatino Linotype"/>
          <w:sz w:val="24"/>
          <w:szCs w:val="24"/>
          <w:lang w:val="es-ES"/>
        </w:rPr>
        <w:lastRenderedPageBreak/>
        <w:t>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D8E22E2"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60DD1DA1"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DC6880D"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645E170A" w14:textId="77777777" w:rsidR="00970D88" w:rsidRPr="007C3AE4" w:rsidRDefault="00970D88" w:rsidP="00970D88">
      <w:pPr>
        <w:numPr>
          <w:ilvl w:val="0"/>
          <w:numId w:val="2"/>
        </w:numPr>
        <w:spacing w:line="360" w:lineRule="auto"/>
        <w:contextualSpacing/>
        <w:jc w:val="both"/>
        <w:rPr>
          <w:rFonts w:ascii="Palatino Linotype" w:hAnsi="Palatino Linotype"/>
          <w:sz w:val="24"/>
          <w:szCs w:val="24"/>
          <w:lang w:val="es-ES"/>
        </w:rPr>
      </w:pPr>
      <w:r w:rsidRPr="007C3AE4">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w:t>
      </w:r>
      <w:r w:rsidRPr="007C3AE4">
        <w:rPr>
          <w:rFonts w:ascii="Palatino Linotype" w:hAnsi="Palatino Linotype"/>
          <w:sz w:val="24"/>
          <w:szCs w:val="24"/>
          <w:lang w:val="es-ES"/>
        </w:rPr>
        <w:lastRenderedPageBreak/>
        <w:t xml:space="preserve">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8A6BCF1" w14:textId="77777777" w:rsidR="00970D88" w:rsidRPr="007C3AE4" w:rsidRDefault="00970D88" w:rsidP="00970D88">
      <w:pPr>
        <w:spacing w:line="360" w:lineRule="auto"/>
        <w:ind w:left="360" w:hanging="360"/>
        <w:contextualSpacing/>
        <w:jc w:val="both"/>
        <w:rPr>
          <w:rFonts w:ascii="Palatino Linotype" w:hAnsi="Palatino Linotype"/>
          <w:sz w:val="24"/>
          <w:szCs w:val="24"/>
          <w:lang w:val="es-ES"/>
        </w:rPr>
      </w:pPr>
    </w:p>
    <w:p w14:paraId="7FAB2903" w14:textId="77777777" w:rsidR="00970D88" w:rsidRPr="007C3AE4" w:rsidRDefault="00970D88" w:rsidP="00970D88">
      <w:pPr>
        <w:numPr>
          <w:ilvl w:val="0"/>
          <w:numId w:val="2"/>
        </w:numPr>
        <w:spacing w:after="0" w:line="360" w:lineRule="auto"/>
        <w:contextualSpacing/>
        <w:jc w:val="both"/>
        <w:rPr>
          <w:rFonts w:ascii="Palatino Linotype" w:eastAsia="Calibri" w:hAnsi="Palatino Linotype" w:cs="Arial"/>
          <w:sz w:val="24"/>
          <w:szCs w:val="24"/>
          <w:lang w:eastAsia="es-ES"/>
        </w:rPr>
      </w:pPr>
      <w:r w:rsidRPr="007C3AE4">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4515285" w14:textId="77777777" w:rsidR="007859ED" w:rsidRPr="007C3AE4" w:rsidRDefault="007859ED" w:rsidP="007859ED">
      <w:pPr>
        <w:pStyle w:val="Prrafodelista"/>
        <w:rPr>
          <w:rFonts w:ascii="Palatino Linotype" w:eastAsia="Calibri" w:hAnsi="Palatino Linotype" w:cs="Arial"/>
          <w:sz w:val="24"/>
          <w:szCs w:val="24"/>
          <w:lang w:eastAsia="es-ES"/>
        </w:rPr>
      </w:pPr>
    </w:p>
    <w:p w14:paraId="1ED7B107" w14:textId="77777777" w:rsidR="007859ED" w:rsidRPr="007C3AE4" w:rsidRDefault="007859ED" w:rsidP="007859ED">
      <w:pPr>
        <w:pStyle w:val="Prrafodelista"/>
        <w:numPr>
          <w:ilvl w:val="0"/>
          <w:numId w:val="11"/>
        </w:numPr>
        <w:spacing w:after="0" w:line="360" w:lineRule="auto"/>
        <w:jc w:val="both"/>
        <w:outlineLvl w:val="1"/>
        <w:rPr>
          <w:rFonts w:ascii="Palatino Linotype" w:eastAsia="Calibri" w:hAnsi="Palatino Linotype" w:cs="Arial"/>
          <w:b/>
          <w:i/>
          <w:sz w:val="24"/>
          <w:szCs w:val="24"/>
          <w:lang w:eastAsia="es-ES"/>
        </w:rPr>
      </w:pPr>
      <w:bookmarkStart w:id="9" w:name="_Toc65743795"/>
      <w:bookmarkStart w:id="10" w:name="_Toc65849901"/>
      <w:bookmarkStart w:id="11" w:name="_Toc66352323"/>
      <w:r w:rsidRPr="007C3AE4">
        <w:rPr>
          <w:rFonts w:ascii="Palatino Linotype" w:eastAsia="Calibri" w:hAnsi="Palatino Linotype" w:cs="Arial"/>
          <w:b/>
          <w:i/>
          <w:sz w:val="24"/>
          <w:szCs w:val="24"/>
          <w:lang w:eastAsia="es-ES"/>
        </w:rPr>
        <w:t>De la falta de presentación del informe justificado.</w:t>
      </w:r>
      <w:bookmarkEnd w:id="9"/>
      <w:bookmarkEnd w:id="10"/>
      <w:bookmarkEnd w:id="11"/>
    </w:p>
    <w:p w14:paraId="53AF24EC" w14:textId="77777777" w:rsidR="007859ED" w:rsidRPr="007C3AE4" w:rsidRDefault="007859ED" w:rsidP="007859ED">
      <w:pPr>
        <w:spacing w:after="0" w:line="360" w:lineRule="auto"/>
        <w:ind w:left="360"/>
        <w:contextualSpacing/>
        <w:jc w:val="both"/>
        <w:outlineLvl w:val="1"/>
        <w:rPr>
          <w:rFonts w:ascii="Palatino Linotype" w:eastAsia="Calibri" w:hAnsi="Palatino Linotype" w:cs="Arial"/>
          <w:b/>
          <w:i/>
          <w:sz w:val="24"/>
          <w:szCs w:val="24"/>
          <w:lang w:eastAsia="es-ES"/>
        </w:rPr>
      </w:pPr>
    </w:p>
    <w:p w14:paraId="0128413D" w14:textId="77777777" w:rsidR="007859ED" w:rsidRPr="007C3AE4" w:rsidRDefault="007859ED" w:rsidP="007859ED">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C3AE4">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05B69ED" w14:textId="77777777" w:rsidR="007859ED" w:rsidRPr="007C3AE4" w:rsidRDefault="007859ED" w:rsidP="007859ED">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14:paraId="4DFB5562" w14:textId="77777777" w:rsidR="007859ED" w:rsidRPr="007C3AE4" w:rsidRDefault="007859ED" w:rsidP="007859ED">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7C3AE4">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7C3AE4">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7C3AE4">
        <w:rPr>
          <w:rFonts w:ascii="Palatino Linotype" w:eastAsia="Times New Roman" w:hAnsi="Palatino Linotype" w:cs="Arial"/>
          <w:i/>
          <w:iCs/>
          <w:color w:val="222222"/>
          <w:szCs w:val="24"/>
          <w:lang w:val="es-ES_tradnl" w:eastAsia="es-ES"/>
        </w:rPr>
        <w:t>Abril</w:t>
      </w:r>
      <w:proofErr w:type="gramEnd"/>
      <w:r w:rsidRPr="007C3AE4">
        <w:rPr>
          <w:rFonts w:ascii="Palatino Linotype" w:eastAsia="Times New Roman" w:hAnsi="Palatino Linotype" w:cs="Arial"/>
          <w:i/>
          <w:iCs/>
          <w:color w:val="222222"/>
          <w:szCs w:val="24"/>
          <w:lang w:val="es-ES_tradnl" w:eastAsia="es-ES"/>
        </w:rPr>
        <w:t xml:space="preserve"> de 1996. Página: 207.</w:t>
      </w:r>
      <w:r w:rsidRPr="007C3AE4">
        <w:rPr>
          <w:rFonts w:ascii="Palatino Linotype" w:eastAsia="Times New Roman" w:hAnsi="Palatino Linotype" w:cs="Arial"/>
          <w:i/>
          <w:iCs/>
          <w:color w:val="222222"/>
          <w:sz w:val="24"/>
          <w:szCs w:val="24"/>
          <w:lang w:val="es-ES_tradnl" w:eastAsia="es-ES"/>
        </w:rPr>
        <w:t xml:space="preserve">  </w:t>
      </w:r>
    </w:p>
    <w:p w14:paraId="3E075CFD" w14:textId="77777777" w:rsidR="007859ED" w:rsidRPr="007C3AE4" w:rsidRDefault="007859ED" w:rsidP="007859ED">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14:paraId="3B8735D2" w14:textId="77777777" w:rsidR="007859ED" w:rsidRPr="007C3AE4" w:rsidRDefault="007859ED" w:rsidP="007859ED">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7C3AE4">
        <w:rPr>
          <w:rFonts w:ascii="Palatino Linotype" w:eastAsiaTheme="minorEastAsia" w:hAnsi="Palatino Linotype" w:cs="Arial"/>
          <w:color w:val="222222"/>
          <w:sz w:val="24"/>
          <w:szCs w:val="24"/>
          <w:lang w:val="es-ES_tradnl" w:eastAsia="es-ES"/>
        </w:rPr>
        <w:lastRenderedPageBreak/>
        <w:t>Por lo cual se reitera, que la falta de informe justificado no impide que este Órgano Garante conozca y resuelva el recurso de revisión, solo propicia que el </w:t>
      </w:r>
      <w:r w:rsidRPr="007C3AE4">
        <w:rPr>
          <w:rFonts w:ascii="Palatino Linotype" w:eastAsiaTheme="minorEastAsia" w:hAnsi="Palatino Linotype" w:cs="Arial"/>
          <w:b/>
          <w:bCs/>
          <w:color w:val="222222"/>
          <w:sz w:val="24"/>
          <w:szCs w:val="24"/>
          <w:lang w:val="es-ES_tradnl" w:eastAsia="es-ES"/>
        </w:rPr>
        <w:t>SUJETO OBLIGADO</w:t>
      </w:r>
      <w:r w:rsidRPr="007C3AE4">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14:paraId="4D287FF2" w14:textId="77777777" w:rsidR="007859ED" w:rsidRPr="007C3AE4" w:rsidRDefault="007859ED" w:rsidP="007859ED">
      <w:pPr>
        <w:spacing w:after="0" w:line="360" w:lineRule="auto"/>
        <w:ind w:left="360"/>
        <w:contextualSpacing/>
        <w:jc w:val="both"/>
        <w:rPr>
          <w:rFonts w:ascii="Palatino Linotype" w:eastAsia="Times New Roman" w:hAnsi="Palatino Linotype" w:cs="Arial"/>
          <w:b/>
          <w:sz w:val="24"/>
          <w:szCs w:val="24"/>
          <w:lang w:val="es-ES" w:eastAsia="es-ES"/>
        </w:rPr>
      </w:pPr>
    </w:p>
    <w:p w14:paraId="25C14BC5" w14:textId="77777777" w:rsidR="00970D88" w:rsidRPr="007C3AE4" w:rsidRDefault="00970D88" w:rsidP="00970D88">
      <w:pPr>
        <w:keepNext/>
        <w:keepLines/>
        <w:spacing w:before="240" w:after="0"/>
        <w:outlineLvl w:val="0"/>
        <w:rPr>
          <w:rFonts w:ascii="Palatino Linotype" w:eastAsia="Calibri" w:hAnsi="Palatino Linotype" w:cs="Arial"/>
          <w:b/>
          <w:sz w:val="24"/>
          <w:szCs w:val="24"/>
          <w:lang w:eastAsia="es-ES"/>
        </w:rPr>
      </w:pPr>
      <w:bookmarkStart w:id="12" w:name="_Toc66352324"/>
      <w:r w:rsidRPr="007C3AE4">
        <w:rPr>
          <w:rFonts w:ascii="Palatino Linotype" w:eastAsia="Calibri" w:hAnsi="Palatino Linotype" w:cs="Arial"/>
          <w:b/>
          <w:sz w:val="24"/>
          <w:szCs w:val="24"/>
          <w:lang w:eastAsia="es-ES"/>
        </w:rPr>
        <w:t xml:space="preserve">CUARTO. </w:t>
      </w:r>
      <w:r w:rsidRPr="007C3AE4">
        <w:rPr>
          <w:rFonts w:ascii="Palatino Linotype" w:eastAsia="Calibri" w:hAnsi="Palatino Linotype" w:cs="Arial"/>
          <w:b/>
          <w:sz w:val="24"/>
          <w:szCs w:val="24"/>
          <w:lang w:val="es-ES_tradnl" w:eastAsia="es-ES"/>
        </w:rPr>
        <w:t>Del planteamiento de la Litis</w:t>
      </w:r>
      <w:bookmarkEnd w:id="12"/>
    </w:p>
    <w:p w14:paraId="03848AC7" w14:textId="77777777" w:rsidR="00970D88" w:rsidRPr="007C3AE4" w:rsidRDefault="00970D88" w:rsidP="00970D88">
      <w:pPr>
        <w:spacing w:after="0" w:line="360" w:lineRule="auto"/>
        <w:ind w:left="360"/>
        <w:contextualSpacing/>
        <w:jc w:val="both"/>
        <w:rPr>
          <w:rFonts w:ascii="Palatino Linotype" w:eastAsia="Calibri" w:hAnsi="Palatino Linotype" w:cs="Arial"/>
          <w:sz w:val="24"/>
          <w:szCs w:val="24"/>
          <w:lang w:eastAsia="es-ES"/>
        </w:rPr>
      </w:pPr>
    </w:p>
    <w:p w14:paraId="0ECCAF57" w14:textId="77777777" w:rsidR="007859ED" w:rsidRPr="007C3AE4" w:rsidRDefault="00970D88" w:rsidP="00970D88">
      <w:pPr>
        <w:numPr>
          <w:ilvl w:val="0"/>
          <w:numId w:val="2"/>
        </w:numPr>
        <w:spacing w:after="0" w:line="360" w:lineRule="auto"/>
        <w:contextualSpacing/>
        <w:jc w:val="both"/>
        <w:rPr>
          <w:rFonts w:ascii="Palatino Linotype" w:eastAsia="Calibri" w:hAnsi="Palatino Linotype" w:cs="Arial"/>
          <w:sz w:val="24"/>
          <w:szCs w:val="24"/>
          <w:lang w:eastAsia="es-ES"/>
        </w:rPr>
      </w:pPr>
      <w:r w:rsidRPr="007C3AE4">
        <w:rPr>
          <w:rFonts w:ascii="Palatino Linotype" w:eastAsia="Calibri" w:hAnsi="Palatino Linotype" w:cs="Arial"/>
          <w:sz w:val="24"/>
          <w:szCs w:val="24"/>
          <w:lang w:eastAsia="es-ES"/>
        </w:rPr>
        <w:t xml:space="preserve">De lo inicialmente solicitado se puede observar que el </w:t>
      </w:r>
      <w:r w:rsidRPr="007C3AE4">
        <w:rPr>
          <w:rFonts w:ascii="Palatino Linotype" w:eastAsia="Calibri" w:hAnsi="Palatino Linotype" w:cs="Arial"/>
          <w:b/>
          <w:sz w:val="24"/>
          <w:szCs w:val="24"/>
          <w:lang w:eastAsia="es-ES"/>
        </w:rPr>
        <w:t>SUJETO OBLIGADO</w:t>
      </w:r>
      <w:r w:rsidRPr="007C3AE4">
        <w:rPr>
          <w:rFonts w:ascii="Palatino Linotype" w:eastAsia="Calibri" w:hAnsi="Palatino Linotype" w:cs="Arial"/>
          <w:sz w:val="24"/>
          <w:szCs w:val="24"/>
          <w:lang w:eastAsia="es-ES"/>
        </w:rPr>
        <w:t>, a su consideración entregó</w:t>
      </w:r>
      <w:r w:rsidR="007859ED" w:rsidRPr="007C3AE4">
        <w:rPr>
          <w:rFonts w:ascii="Palatino Linotype" w:eastAsia="Calibri" w:hAnsi="Palatino Linotype" w:cs="Arial"/>
          <w:sz w:val="24"/>
          <w:szCs w:val="24"/>
          <w:lang w:eastAsia="es-ES"/>
        </w:rPr>
        <w:t xml:space="preserve"> sus respuestas; sin embargo, el </w:t>
      </w:r>
      <w:r w:rsidRPr="007C3AE4">
        <w:rPr>
          <w:rFonts w:ascii="Palatino Linotype" w:eastAsia="Calibri" w:hAnsi="Palatino Linotype" w:cs="Arial"/>
          <w:sz w:val="24"/>
          <w:szCs w:val="24"/>
          <w:lang w:eastAsia="es-ES"/>
        </w:rPr>
        <w:t xml:space="preserve">solicitante se inconformó argumentado que </w:t>
      </w:r>
      <w:r w:rsidR="007859ED" w:rsidRPr="007C3AE4">
        <w:rPr>
          <w:rFonts w:ascii="Palatino Linotype" w:eastAsia="Calibri" w:hAnsi="Palatino Linotype" w:cs="Arial"/>
          <w:sz w:val="24"/>
          <w:szCs w:val="24"/>
          <w:lang w:eastAsia="es-ES"/>
        </w:rPr>
        <w:t>n</w:t>
      </w:r>
      <w:r w:rsidR="00DF04AD" w:rsidRPr="007C3AE4">
        <w:rPr>
          <w:rFonts w:ascii="Palatino Linotype" w:eastAsia="Calibri" w:hAnsi="Palatino Linotype" w:cs="Arial"/>
          <w:sz w:val="24"/>
          <w:szCs w:val="24"/>
          <w:lang w:eastAsia="es-ES"/>
        </w:rPr>
        <w:t>o</w:t>
      </w:r>
      <w:r w:rsidR="008314BF" w:rsidRPr="007C3AE4">
        <w:rPr>
          <w:rFonts w:ascii="Palatino Linotype" w:eastAsia="Calibri" w:hAnsi="Palatino Linotype" w:cs="Arial"/>
          <w:sz w:val="24"/>
          <w:szCs w:val="24"/>
          <w:lang w:eastAsia="es-ES"/>
        </w:rPr>
        <w:t xml:space="preserve"> le ha dado la información en tiempo y forma, asimismo que la secretaria no le brindo ninguna información, respaldándose que no está en su anoto dar información solicitada.</w:t>
      </w:r>
    </w:p>
    <w:p w14:paraId="5D6F552D" w14:textId="77777777" w:rsidR="00970D88" w:rsidRPr="007C3AE4" w:rsidRDefault="00970D88" w:rsidP="00970D88">
      <w:pPr>
        <w:spacing w:after="0" w:line="360" w:lineRule="auto"/>
        <w:ind w:left="360"/>
        <w:contextualSpacing/>
        <w:jc w:val="both"/>
        <w:rPr>
          <w:rFonts w:ascii="Palatino Linotype" w:eastAsia="Calibri" w:hAnsi="Palatino Linotype" w:cs="Arial"/>
          <w:sz w:val="24"/>
          <w:szCs w:val="24"/>
          <w:lang w:eastAsia="es-ES"/>
        </w:rPr>
      </w:pPr>
    </w:p>
    <w:p w14:paraId="13237E82" w14:textId="77777777" w:rsidR="00970D88" w:rsidRPr="007C3AE4" w:rsidRDefault="00970D88" w:rsidP="00970D88">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7C3AE4">
        <w:rPr>
          <w:rFonts w:ascii="Palatino Linotype" w:eastAsia="Calibri" w:hAnsi="Palatino Linotype" w:cs="Arial"/>
          <w:sz w:val="24"/>
          <w:szCs w:val="24"/>
          <w:lang w:eastAsia="es-ES"/>
        </w:rPr>
        <w:t xml:space="preserve">En </w:t>
      </w:r>
      <w:r w:rsidRPr="007C3AE4">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se da cumplimiento al Derecho de Acceso a la Información Pública del solicitante, </w:t>
      </w:r>
      <w:proofErr w:type="gramStart"/>
      <w:r w:rsidRPr="007C3AE4">
        <w:rPr>
          <w:rFonts w:ascii="Palatino Linotype" w:eastAsia="MS Mincho" w:hAnsi="Palatino Linotype" w:cs="Times New Roman"/>
          <w:sz w:val="24"/>
          <w:szCs w:val="24"/>
          <w:lang w:val="es-ES_tradnl" w:eastAsia="es-ES"/>
        </w:rPr>
        <w:t>tal  como</w:t>
      </w:r>
      <w:proofErr w:type="gramEnd"/>
      <w:r w:rsidRPr="007C3AE4">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14:paraId="53B90EED" w14:textId="77777777" w:rsidR="00970D88" w:rsidRPr="007C3AE4" w:rsidRDefault="00970D88" w:rsidP="00970D88">
      <w:pPr>
        <w:contextualSpacing/>
        <w:rPr>
          <w:rFonts w:ascii="Palatino Linotype" w:eastAsia="MS Mincho" w:hAnsi="Palatino Linotype" w:cs="Times New Roman"/>
          <w:sz w:val="24"/>
          <w:szCs w:val="24"/>
          <w:lang w:val="es-ES_tradnl" w:eastAsia="es-ES"/>
        </w:rPr>
      </w:pPr>
    </w:p>
    <w:p w14:paraId="7D7E81CC" w14:textId="77777777" w:rsidR="00970D88" w:rsidRPr="007C3AE4" w:rsidRDefault="00970D88" w:rsidP="00970D88">
      <w:pPr>
        <w:numPr>
          <w:ilvl w:val="0"/>
          <w:numId w:val="2"/>
        </w:numPr>
        <w:spacing w:before="240" w:after="240" w:line="360" w:lineRule="auto"/>
        <w:contextualSpacing/>
        <w:jc w:val="both"/>
        <w:rPr>
          <w:rFonts w:ascii="Palatino Linotype" w:hAnsi="Palatino Linotype"/>
          <w:b/>
          <w:i/>
          <w:sz w:val="24"/>
          <w:szCs w:val="24"/>
        </w:rPr>
      </w:pPr>
      <w:r w:rsidRPr="007C3AE4">
        <w:rPr>
          <w:rFonts w:ascii="Palatino Linotype" w:hAnsi="Palatino Linotype" w:cs="Arial"/>
          <w:sz w:val="24"/>
          <w:szCs w:val="24"/>
        </w:rPr>
        <w:t xml:space="preserve">Por lo anterior, el presente recurso de revisión del que se trata se circunscribe en determinar si se </w:t>
      </w:r>
      <w:r w:rsidRPr="007C3AE4">
        <w:rPr>
          <w:rFonts w:ascii="Palatino Linotype" w:eastAsia="Times New Roman" w:hAnsi="Palatino Linotype"/>
          <w:sz w:val="24"/>
          <w:szCs w:val="24"/>
        </w:rPr>
        <w:t xml:space="preserve">actualizan las hipótesis </w:t>
      </w:r>
      <w:r w:rsidRPr="007C3AE4">
        <w:rPr>
          <w:rFonts w:ascii="Palatino Linotype" w:eastAsia="Times New Roman" w:hAnsi="Palatino Linotype" w:cs="Arial"/>
          <w:sz w:val="24"/>
          <w:szCs w:val="24"/>
          <w:lang w:eastAsia="es-MX"/>
        </w:rPr>
        <w:t xml:space="preserve">contenidas en </w:t>
      </w:r>
      <w:r w:rsidRPr="007C3AE4">
        <w:rPr>
          <w:rFonts w:ascii="Palatino Linotype" w:eastAsia="Times New Roman" w:hAnsi="Palatino Linotype" w:cs="Arial"/>
          <w:sz w:val="24"/>
          <w:szCs w:val="24"/>
          <w:lang w:val="es-ES" w:eastAsia="es-MX"/>
        </w:rPr>
        <w:t>el artículo 179 fracción I</w:t>
      </w:r>
      <w:r w:rsidRPr="007C3AE4">
        <w:rPr>
          <w:rFonts w:ascii="Palatino Linotype" w:eastAsia="Times New Roman" w:hAnsi="Palatino Linotype" w:cs="Arial"/>
          <w:b/>
          <w:sz w:val="24"/>
          <w:szCs w:val="24"/>
          <w:lang w:val="es-ES" w:eastAsia="es-MX"/>
        </w:rPr>
        <w:t xml:space="preserve">V </w:t>
      </w:r>
      <w:r w:rsidRPr="007C3AE4">
        <w:rPr>
          <w:rFonts w:ascii="Palatino Linotype" w:eastAsia="Times New Roman" w:hAnsi="Palatino Linotype" w:cs="Arial"/>
          <w:sz w:val="24"/>
          <w:szCs w:val="24"/>
          <w:lang w:val="es-ES" w:eastAsia="es-MX"/>
        </w:rPr>
        <w:t xml:space="preserve">de la </w:t>
      </w:r>
      <w:r w:rsidRPr="007C3AE4">
        <w:rPr>
          <w:rFonts w:ascii="Palatino Linotype" w:eastAsia="Calibri" w:hAnsi="Palatino Linotype" w:cs="Arial"/>
          <w:b/>
          <w:sz w:val="24"/>
          <w:szCs w:val="24"/>
          <w:lang w:val="es-ES"/>
        </w:rPr>
        <w:t>Ley de Transparencia y Acceso a la Información Pública del Estado de México y Municipios</w:t>
      </w:r>
      <w:r w:rsidRPr="007C3AE4">
        <w:rPr>
          <w:rFonts w:ascii="Palatino Linotype" w:eastAsia="Times New Roman" w:hAnsi="Palatino Linotype" w:cs="Arial"/>
          <w:sz w:val="24"/>
          <w:szCs w:val="24"/>
          <w:lang w:val="es-ES" w:eastAsia="es-MX"/>
        </w:rPr>
        <w:t xml:space="preserve">. </w:t>
      </w:r>
    </w:p>
    <w:p w14:paraId="794657EE" w14:textId="77777777" w:rsidR="00970D88" w:rsidRPr="007C3AE4" w:rsidRDefault="00970D88" w:rsidP="00970D88">
      <w:pPr>
        <w:rPr>
          <w:rFonts w:ascii="Palatino Linotype" w:hAnsi="Palatino Linotype"/>
          <w:b/>
          <w:i/>
          <w:sz w:val="24"/>
          <w:szCs w:val="24"/>
        </w:rPr>
      </w:pPr>
    </w:p>
    <w:p w14:paraId="1AA84A29" w14:textId="77777777" w:rsidR="00970D88" w:rsidRPr="007C3AE4" w:rsidRDefault="00970D88" w:rsidP="00970D88">
      <w:pPr>
        <w:rPr>
          <w:rFonts w:ascii="Palatino Linotype" w:hAnsi="Palatino Linotype"/>
          <w:b/>
          <w:i/>
          <w:sz w:val="24"/>
          <w:szCs w:val="24"/>
        </w:rPr>
      </w:pPr>
      <w:r w:rsidRPr="007C3AE4">
        <w:rPr>
          <w:rFonts w:ascii="Palatino Linotype" w:hAnsi="Palatino Linotype"/>
          <w:b/>
          <w:i/>
          <w:sz w:val="24"/>
          <w:szCs w:val="24"/>
        </w:rPr>
        <w:lastRenderedPageBreak/>
        <w:t>Articulo. 179</w:t>
      </w:r>
    </w:p>
    <w:p w14:paraId="4531D4BF" w14:textId="77777777" w:rsidR="00970D88" w:rsidRPr="007C3AE4" w:rsidRDefault="00970D88" w:rsidP="00DF04AD">
      <w:pPr>
        <w:numPr>
          <w:ilvl w:val="0"/>
          <w:numId w:val="6"/>
        </w:numPr>
        <w:ind w:left="851"/>
        <w:contextualSpacing/>
        <w:rPr>
          <w:rFonts w:ascii="Palatino Linotype" w:hAnsi="Palatino Linotype"/>
          <w:b/>
          <w:i/>
          <w:sz w:val="24"/>
          <w:szCs w:val="24"/>
        </w:rPr>
      </w:pPr>
      <w:r w:rsidRPr="007C3AE4">
        <w:rPr>
          <w:rFonts w:ascii="Palatino Linotype" w:hAnsi="Palatino Linotype"/>
          <w:b/>
          <w:i/>
          <w:sz w:val="24"/>
          <w:szCs w:val="24"/>
        </w:rPr>
        <w:t>La negativa a la información solicitada;</w:t>
      </w:r>
    </w:p>
    <w:p w14:paraId="23BB72AA" w14:textId="77777777" w:rsidR="00970D88" w:rsidRPr="007C3AE4" w:rsidRDefault="00970D88" w:rsidP="00DF04AD">
      <w:pPr>
        <w:numPr>
          <w:ilvl w:val="0"/>
          <w:numId w:val="6"/>
        </w:numPr>
        <w:ind w:left="851"/>
        <w:contextualSpacing/>
        <w:rPr>
          <w:rFonts w:ascii="Palatino Linotype" w:hAnsi="Palatino Linotype"/>
          <w:b/>
          <w:i/>
          <w:sz w:val="24"/>
          <w:szCs w:val="24"/>
        </w:rPr>
      </w:pPr>
      <w:r w:rsidRPr="007C3AE4">
        <w:rPr>
          <w:rFonts w:ascii="Palatino Linotype" w:hAnsi="Palatino Linotype"/>
          <w:b/>
          <w:i/>
          <w:sz w:val="24"/>
          <w:szCs w:val="24"/>
        </w:rPr>
        <w:t xml:space="preserve">… a la </w:t>
      </w:r>
      <w:r w:rsidR="00DF04AD" w:rsidRPr="007C3AE4">
        <w:rPr>
          <w:rFonts w:ascii="Palatino Linotype" w:hAnsi="Palatino Linotype"/>
          <w:b/>
          <w:i/>
          <w:sz w:val="24"/>
          <w:szCs w:val="24"/>
        </w:rPr>
        <w:t>III…</w:t>
      </w:r>
    </w:p>
    <w:p w14:paraId="692A9DFA" w14:textId="77777777" w:rsidR="00DF04AD" w:rsidRPr="007C3AE4" w:rsidRDefault="00DF04AD" w:rsidP="00DF04AD">
      <w:pPr>
        <w:pStyle w:val="Prrafodelista"/>
        <w:numPr>
          <w:ilvl w:val="0"/>
          <w:numId w:val="7"/>
        </w:numPr>
        <w:ind w:left="851"/>
        <w:rPr>
          <w:rFonts w:ascii="Palatino Linotype" w:hAnsi="Palatino Linotype"/>
          <w:b/>
          <w:i/>
          <w:sz w:val="24"/>
          <w:szCs w:val="24"/>
        </w:rPr>
      </w:pPr>
      <w:r w:rsidRPr="007C3AE4">
        <w:rPr>
          <w:rFonts w:ascii="Palatino Linotype" w:hAnsi="Palatino Linotype"/>
          <w:b/>
          <w:i/>
          <w:sz w:val="24"/>
          <w:szCs w:val="24"/>
        </w:rPr>
        <w:t>La declaración de incompetencia por el sujeto obligado;</w:t>
      </w:r>
    </w:p>
    <w:p w14:paraId="22FB5ED5" w14:textId="77777777" w:rsidR="00970D88" w:rsidRPr="007C3AE4" w:rsidRDefault="00970D88" w:rsidP="004979D9">
      <w:pPr>
        <w:numPr>
          <w:ilvl w:val="0"/>
          <w:numId w:val="7"/>
        </w:numPr>
        <w:ind w:left="851"/>
        <w:contextualSpacing/>
        <w:rPr>
          <w:rFonts w:ascii="Palatino Linotype" w:hAnsi="Palatino Linotype"/>
          <w:i/>
          <w:sz w:val="24"/>
          <w:szCs w:val="24"/>
        </w:rPr>
      </w:pPr>
      <w:r w:rsidRPr="007C3AE4">
        <w:rPr>
          <w:rFonts w:ascii="Palatino Linotype" w:hAnsi="Palatino Linotype"/>
          <w:i/>
          <w:sz w:val="24"/>
          <w:szCs w:val="24"/>
        </w:rPr>
        <w:t xml:space="preserve">a </w:t>
      </w:r>
      <w:proofErr w:type="gramStart"/>
      <w:r w:rsidRPr="007C3AE4">
        <w:rPr>
          <w:rFonts w:ascii="Palatino Linotype" w:hAnsi="Palatino Linotype"/>
          <w:i/>
          <w:sz w:val="24"/>
          <w:szCs w:val="24"/>
        </w:rPr>
        <w:t>la  XIV</w:t>
      </w:r>
      <w:proofErr w:type="gramEnd"/>
      <w:r w:rsidRPr="007C3AE4">
        <w:rPr>
          <w:rFonts w:ascii="Palatino Linotype" w:hAnsi="Palatino Linotype"/>
          <w:i/>
          <w:sz w:val="24"/>
          <w:szCs w:val="24"/>
        </w:rPr>
        <w:t>…</w:t>
      </w:r>
    </w:p>
    <w:p w14:paraId="2071D125" w14:textId="77777777" w:rsidR="00970D88" w:rsidRPr="007C3AE4" w:rsidRDefault="00970D88" w:rsidP="00970D88">
      <w:pPr>
        <w:spacing w:before="240" w:after="240" w:line="360" w:lineRule="auto"/>
        <w:contextualSpacing/>
        <w:jc w:val="both"/>
        <w:rPr>
          <w:rFonts w:ascii="Palatino Linotype" w:hAnsi="Palatino Linotype"/>
          <w:b/>
          <w:i/>
          <w:sz w:val="24"/>
          <w:szCs w:val="24"/>
        </w:rPr>
      </w:pPr>
    </w:p>
    <w:p w14:paraId="49714205" w14:textId="77777777" w:rsidR="00DF04AD" w:rsidRPr="007C3AE4" w:rsidRDefault="00DF04AD" w:rsidP="00DF04AD">
      <w:pPr>
        <w:numPr>
          <w:ilvl w:val="0"/>
          <w:numId w:val="2"/>
        </w:numPr>
        <w:spacing w:before="240" w:after="240" w:line="360" w:lineRule="auto"/>
        <w:contextualSpacing/>
        <w:jc w:val="both"/>
        <w:rPr>
          <w:rFonts w:ascii="Palatino Linotype" w:hAnsi="Palatino Linotype"/>
          <w:sz w:val="24"/>
          <w:szCs w:val="24"/>
          <w:lang w:val="es-ES_tradnl"/>
        </w:rPr>
      </w:pPr>
      <w:r w:rsidRPr="007C3AE4">
        <w:rPr>
          <w:rFonts w:ascii="Palatino Linotype" w:hAnsi="Palatino Linotype"/>
          <w:sz w:val="24"/>
          <w:szCs w:val="24"/>
          <w:lang w:val="es-ES_tradnl"/>
        </w:rPr>
        <w:t>Es oportuno establecer que el Recurso de Revisión tiene como finalidad reparar cualquier posible afectación al derecho de acceso a la información púbica en términos del Título Octavo de la Ley de Transparencia y Acceso a la Información Pública del Estado de México y Municipios y determinar la confirmación, revocación, o modificación; desecamiento o sobreseimiento; y en su caso ordenar la entrega de la información, respecto a la respuesta o falta de ellas por parte del Sujeto Obligado.</w:t>
      </w:r>
    </w:p>
    <w:p w14:paraId="18FEA1E5" w14:textId="77777777" w:rsidR="00DF04AD" w:rsidRPr="007C3AE4" w:rsidRDefault="00DF04AD" w:rsidP="00DF04AD">
      <w:pPr>
        <w:tabs>
          <w:tab w:val="left" w:pos="2760"/>
        </w:tabs>
        <w:spacing w:before="240" w:after="240" w:line="360" w:lineRule="auto"/>
        <w:contextualSpacing/>
        <w:jc w:val="both"/>
        <w:rPr>
          <w:rFonts w:ascii="Palatino Linotype" w:hAnsi="Palatino Linotype"/>
          <w:b/>
          <w:i/>
          <w:sz w:val="24"/>
          <w:szCs w:val="24"/>
        </w:rPr>
      </w:pPr>
      <w:r w:rsidRPr="007C3AE4">
        <w:rPr>
          <w:rFonts w:ascii="Palatino Linotype" w:hAnsi="Palatino Linotype"/>
          <w:b/>
          <w:i/>
          <w:sz w:val="24"/>
          <w:szCs w:val="24"/>
        </w:rPr>
        <w:tab/>
      </w:r>
    </w:p>
    <w:p w14:paraId="7B958D21" w14:textId="77777777" w:rsidR="00970D88" w:rsidRPr="007C3AE4" w:rsidRDefault="00970D88" w:rsidP="00970D88">
      <w:pPr>
        <w:keepNext/>
        <w:keepLines/>
        <w:spacing w:before="240" w:after="0"/>
        <w:outlineLvl w:val="0"/>
        <w:rPr>
          <w:rFonts w:ascii="Palatino Linotype" w:eastAsiaTheme="majorEastAsia" w:hAnsi="Palatino Linotype" w:cstheme="majorBidi"/>
          <w:b/>
          <w:sz w:val="24"/>
          <w:szCs w:val="24"/>
        </w:rPr>
      </w:pPr>
      <w:bookmarkStart w:id="13" w:name="_Toc477891855"/>
      <w:bookmarkStart w:id="14" w:name="_Toc66352325"/>
      <w:r w:rsidRPr="007C3AE4">
        <w:rPr>
          <w:rFonts w:ascii="Palatino Linotype" w:eastAsiaTheme="majorEastAsia" w:hAnsi="Palatino Linotype" w:cstheme="majorBidi"/>
          <w:b/>
          <w:sz w:val="24"/>
          <w:szCs w:val="24"/>
        </w:rPr>
        <w:t>QUINTO. Del estudio de resolución del asunto</w:t>
      </w:r>
      <w:bookmarkEnd w:id="13"/>
      <w:r w:rsidRPr="007C3AE4">
        <w:rPr>
          <w:rFonts w:ascii="Palatino Linotype" w:eastAsiaTheme="majorEastAsia" w:hAnsi="Palatino Linotype" w:cstheme="majorBidi"/>
          <w:b/>
          <w:sz w:val="24"/>
          <w:szCs w:val="24"/>
        </w:rPr>
        <w:t>.</w:t>
      </w:r>
      <w:bookmarkEnd w:id="14"/>
      <w:r w:rsidRPr="007C3AE4">
        <w:rPr>
          <w:rFonts w:ascii="Palatino Linotype" w:eastAsiaTheme="majorEastAsia" w:hAnsi="Palatino Linotype" w:cstheme="majorBidi"/>
          <w:b/>
          <w:sz w:val="24"/>
          <w:szCs w:val="24"/>
        </w:rPr>
        <w:t xml:space="preserve"> </w:t>
      </w:r>
    </w:p>
    <w:p w14:paraId="33541B02" w14:textId="77777777" w:rsidR="00970D88" w:rsidRPr="007C3AE4" w:rsidRDefault="00970D88" w:rsidP="00970D88">
      <w:pPr>
        <w:spacing w:after="0" w:line="360" w:lineRule="auto"/>
        <w:ind w:right="49"/>
        <w:contextualSpacing/>
        <w:jc w:val="both"/>
        <w:rPr>
          <w:rFonts w:ascii="Palatino Linotype" w:eastAsia="MS Mincho" w:hAnsi="Palatino Linotype" w:cs="Times New Roman"/>
          <w:sz w:val="14"/>
          <w:szCs w:val="24"/>
          <w:lang w:val="es-ES_tradnl" w:eastAsia="es-ES"/>
        </w:rPr>
      </w:pPr>
    </w:p>
    <w:p w14:paraId="3C9CE47C" w14:textId="77777777" w:rsidR="00970D88" w:rsidRPr="007C3AE4" w:rsidRDefault="00970D88" w:rsidP="00970D8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69F62AD5" w14:textId="77777777" w:rsidR="00970D88" w:rsidRPr="007C3AE4" w:rsidRDefault="00970D88" w:rsidP="00970D88">
      <w:pPr>
        <w:spacing w:after="0" w:line="360" w:lineRule="auto"/>
        <w:ind w:right="34"/>
        <w:contextualSpacing/>
        <w:jc w:val="both"/>
        <w:rPr>
          <w:rFonts w:ascii="Palatino Linotype" w:eastAsia="MS Mincho" w:hAnsi="Palatino Linotype" w:cs="Times New Roman"/>
          <w:sz w:val="24"/>
          <w:szCs w:val="24"/>
          <w:lang w:val="es-ES_tradnl" w:eastAsia="es-ES"/>
        </w:rPr>
      </w:pPr>
    </w:p>
    <w:p w14:paraId="23D619A7" w14:textId="77777777" w:rsidR="00970D88" w:rsidRPr="007C3AE4" w:rsidRDefault="00970D88" w:rsidP="00970D8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7C3AE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7A2E133" w14:textId="77777777" w:rsidR="00970D88" w:rsidRPr="007C3AE4" w:rsidRDefault="00970D88" w:rsidP="00970D88">
      <w:pPr>
        <w:spacing w:after="0" w:line="360" w:lineRule="auto"/>
        <w:ind w:right="49"/>
        <w:contextualSpacing/>
        <w:jc w:val="both"/>
        <w:rPr>
          <w:rFonts w:ascii="Palatino Linotype" w:eastAsia="MS Mincho" w:hAnsi="Palatino Linotype" w:cs="Times New Roman"/>
          <w:sz w:val="16"/>
          <w:szCs w:val="24"/>
          <w:lang w:val="es-ES_tradnl" w:eastAsia="es-ES"/>
        </w:rPr>
      </w:pPr>
    </w:p>
    <w:p w14:paraId="6EA650F1" w14:textId="77777777" w:rsidR="00970D88" w:rsidRPr="007C3AE4" w:rsidRDefault="00970D88" w:rsidP="00970D88">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7C3AE4">
        <w:rPr>
          <w:rFonts w:ascii="Palatino Linotype" w:eastAsia="MS Mincho" w:hAnsi="Palatino Linotype" w:cs="Times New Roman"/>
          <w:sz w:val="24"/>
          <w:szCs w:val="24"/>
          <w:lang w:val="es-ES_tradnl" w:eastAsia="es-ES"/>
        </w:rPr>
        <w:t>Derivado</w:t>
      </w:r>
      <w:r w:rsidRPr="007C3AE4">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7C3AE4">
        <w:rPr>
          <w:rFonts w:ascii="Palatino Linotype" w:eastAsia="MS Mincho" w:hAnsi="Palatino Linotype" w:cs="Arial"/>
          <w:b/>
          <w:sz w:val="24"/>
          <w:szCs w:val="24"/>
          <w:lang w:val="es-ES_tradnl" w:eastAsia="es-ES"/>
        </w:rPr>
        <w:t xml:space="preserve">SUJETO OBLIGADO </w:t>
      </w:r>
      <w:r w:rsidRPr="007C3AE4">
        <w:rPr>
          <w:rFonts w:ascii="Palatino Linotype" w:eastAsia="MS Mincho" w:hAnsi="Palatino Linotype" w:cs="Arial"/>
          <w:sz w:val="24"/>
          <w:szCs w:val="24"/>
          <w:lang w:val="es-ES_tradnl" w:eastAsia="es-ES"/>
        </w:rPr>
        <w:t xml:space="preserve">en </w:t>
      </w:r>
      <w:proofErr w:type="gramStart"/>
      <w:r w:rsidRPr="007C3AE4">
        <w:rPr>
          <w:rFonts w:ascii="Palatino Linotype" w:eastAsia="MS Mincho" w:hAnsi="Palatino Linotype" w:cs="Arial"/>
          <w:sz w:val="24"/>
          <w:szCs w:val="24"/>
          <w:lang w:val="es-ES_tradnl" w:eastAsia="es-ES"/>
        </w:rPr>
        <w:t>los formato</w:t>
      </w:r>
      <w:proofErr w:type="gramEnd"/>
      <w:r w:rsidRPr="007C3AE4">
        <w:rPr>
          <w:rFonts w:ascii="Palatino Linotype" w:eastAsia="MS Mincho" w:hAnsi="Palatino Linotype" w:cs="Arial"/>
          <w:sz w:val="24"/>
          <w:szCs w:val="24"/>
          <w:lang w:val="es-ES_tradnl" w:eastAsia="es-ES"/>
        </w:rPr>
        <w:t xml:space="preserve"> preestablecidos.</w:t>
      </w:r>
    </w:p>
    <w:p w14:paraId="7D7C3192" w14:textId="77777777" w:rsidR="00970D88" w:rsidRPr="007C3AE4" w:rsidRDefault="00970D88" w:rsidP="00970D88">
      <w:pPr>
        <w:spacing w:after="0" w:line="360" w:lineRule="auto"/>
        <w:ind w:right="34"/>
        <w:contextualSpacing/>
        <w:jc w:val="both"/>
        <w:rPr>
          <w:rFonts w:ascii="Palatino Linotype" w:eastAsia="MS Mincho" w:hAnsi="Palatino Linotype" w:cs="Arial"/>
          <w:sz w:val="24"/>
          <w:szCs w:val="24"/>
          <w:lang w:val="es-ES_tradnl" w:eastAsia="es-ES"/>
        </w:rPr>
      </w:pPr>
    </w:p>
    <w:p w14:paraId="2086B057" w14:textId="77777777" w:rsidR="00970D88" w:rsidRPr="007C3AE4" w:rsidRDefault="00970D88" w:rsidP="00970D88">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7C3AE4">
        <w:rPr>
          <w:rFonts w:ascii="Palatino Linotype" w:eastAsia="MS Mincho" w:hAnsi="Palatino Linotype" w:cs="Arial"/>
          <w:sz w:val="24"/>
          <w:szCs w:val="24"/>
          <w:lang w:val="es-ES_tradnl" w:eastAsia="es-ES"/>
        </w:rPr>
        <w:t xml:space="preserve">Luego entonces, </w:t>
      </w:r>
      <w:r w:rsidRPr="007C3AE4">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7C3AE4">
        <w:rPr>
          <w:rFonts w:ascii="Palatino Linotype" w:eastAsia="MS Mincho" w:hAnsi="Palatino Linotype" w:cs="Arial"/>
          <w:sz w:val="24"/>
          <w:szCs w:val="24"/>
          <w:lang w:val="es-ES_tradnl" w:eastAsia="es-ES"/>
        </w:rPr>
        <w:t>p</w:t>
      </w:r>
      <w:r w:rsidR="005C45F3" w:rsidRPr="007C3AE4">
        <w:rPr>
          <w:rFonts w:ascii="Palatino Linotype" w:eastAsia="MS Mincho" w:hAnsi="Palatino Linotype" w:cs="Arial"/>
          <w:sz w:val="24"/>
          <w:szCs w:val="24"/>
          <w:lang w:val="es-ES_tradnl" w:eastAsia="es-ES"/>
        </w:rPr>
        <w:t>ara determinar si es verificable</w:t>
      </w:r>
      <w:r w:rsidR="00330F13" w:rsidRPr="007C3AE4">
        <w:rPr>
          <w:rFonts w:ascii="Palatino Linotype" w:eastAsia="MS Mincho" w:hAnsi="Palatino Linotype" w:cs="Arial"/>
          <w:sz w:val="24"/>
          <w:szCs w:val="24"/>
          <w:lang w:val="es-ES_tradnl" w:eastAsia="es-ES"/>
        </w:rPr>
        <w:t>,</w:t>
      </w:r>
      <w:r w:rsidR="005C45F3" w:rsidRPr="007C3AE4">
        <w:rPr>
          <w:rFonts w:ascii="Palatino Linotype" w:eastAsia="MS Mincho" w:hAnsi="Palatino Linotype" w:cs="Arial"/>
          <w:sz w:val="24"/>
          <w:szCs w:val="24"/>
          <w:lang w:val="es-ES_tradnl" w:eastAsia="es-ES"/>
        </w:rPr>
        <w:t xml:space="preserve"> </w:t>
      </w:r>
      <w:r w:rsidRPr="007C3AE4">
        <w:rPr>
          <w:rFonts w:ascii="Palatino Linotype" w:eastAsia="MS Mincho" w:hAnsi="Palatino Linotype" w:cs="Arial"/>
          <w:sz w:val="24"/>
          <w:szCs w:val="24"/>
          <w:lang w:val="es-ES_tradnl" w:eastAsia="es-ES"/>
        </w:rPr>
        <w:t xml:space="preserve">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7C3AE4">
        <w:rPr>
          <w:rFonts w:ascii="Palatino Linotype" w:eastAsia="MS Mincho" w:hAnsi="Palatino Linotype" w:cs="Times New Roman"/>
          <w:sz w:val="24"/>
          <w:szCs w:val="24"/>
          <w:lang w:val="es-ES_tradnl" w:eastAsia="es-ES"/>
        </w:rPr>
        <w:t>conformidad con lo establ</w:t>
      </w:r>
      <w:r w:rsidR="005C45F3" w:rsidRPr="007C3AE4">
        <w:rPr>
          <w:rFonts w:ascii="Palatino Linotype" w:eastAsia="MS Mincho" w:hAnsi="Palatino Linotype" w:cs="Times New Roman"/>
          <w:sz w:val="24"/>
          <w:szCs w:val="24"/>
          <w:lang w:val="es-ES_tradnl" w:eastAsia="es-ES"/>
        </w:rPr>
        <w:t xml:space="preserve">ecido por  el artículo 11 </w:t>
      </w:r>
      <w:r w:rsidRPr="007C3AE4">
        <w:rPr>
          <w:rFonts w:ascii="Palatino Linotype" w:eastAsia="MS Mincho" w:hAnsi="Palatino Linotype" w:cs="Times New Roman"/>
          <w:sz w:val="24"/>
          <w:szCs w:val="24"/>
          <w:lang w:val="es-ES_tradnl" w:eastAsia="es-ES"/>
        </w:rPr>
        <w:t xml:space="preserve"> de la Ley en la materia, que a la letra dice:</w:t>
      </w:r>
    </w:p>
    <w:p w14:paraId="6A27CEA6" w14:textId="77777777" w:rsidR="00970D88" w:rsidRPr="007C3AE4" w:rsidRDefault="00970D88" w:rsidP="00970D88">
      <w:pPr>
        <w:spacing w:after="0" w:line="360" w:lineRule="auto"/>
        <w:ind w:right="49"/>
        <w:contextualSpacing/>
        <w:jc w:val="both"/>
        <w:rPr>
          <w:rFonts w:ascii="Palatino Linotype" w:eastAsia="MS Mincho" w:hAnsi="Palatino Linotype" w:cs="Arial"/>
          <w:sz w:val="24"/>
          <w:szCs w:val="24"/>
          <w:lang w:val="es-ES_tradnl" w:eastAsia="es-ES"/>
        </w:rPr>
      </w:pPr>
    </w:p>
    <w:p w14:paraId="142F965E" w14:textId="77777777" w:rsidR="00970D88" w:rsidRPr="007C3AE4" w:rsidRDefault="00970D88" w:rsidP="00970D88">
      <w:pPr>
        <w:spacing w:after="0" w:line="360" w:lineRule="auto"/>
        <w:ind w:left="567" w:right="615"/>
        <w:contextualSpacing/>
        <w:jc w:val="both"/>
        <w:rPr>
          <w:rFonts w:ascii="Palatino Linotype" w:eastAsia="MS Mincho" w:hAnsi="Palatino Linotype" w:cs="Arial"/>
          <w:i/>
          <w:sz w:val="24"/>
          <w:szCs w:val="24"/>
          <w:lang w:eastAsia="es-ES"/>
        </w:rPr>
      </w:pPr>
      <w:r w:rsidRPr="007C3AE4">
        <w:rPr>
          <w:rFonts w:ascii="Palatino Linotype" w:eastAsia="MS Mincho" w:hAnsi="Palatino Linotype" w:cs="Arial"/>
          <w:i/>
          <w:sz w:val="24"/>
          <w:szCs w:val="24"/>
          <w:lang w:eastAsia="es-ES"/>
        </w:rPr>
        <w:t>“</w:t>
      </w:r>
      <w:r w:rsidRPr="007C3AE4">
        <w:rPr>
          <w:rFonts w:ascii="Palatino Linotype" w:eastAsia="MS Mincho" w:hAnsi="Palatino Linotype" w:cs="Arial"/>
          <w:b/>
          <w:i/>
          <w:sz w:val="24"/>
          <w:szCs w:val="24"/>
          <w:lang w:eastAsia="es-ES"/>
        </w:rPr>
        <w:t>Artículo 11.</w:t>
      </w:r>
      <w:r w:rsidRPr="007C3AE4">
        <w:rPr>
          <w:rFonts w:ascii="Palatino Linotype" w:eastAsia="MS Mincho" w:hAnsi="Palatino Linotype" w:cs="Arial"/>
          <w:i/>
          <w:sz w:val="24"/>
          <w:szCs w:val="24"/>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w:t>
      </w:r>
      <w:r w:rsidRPr="007C3AE4">
        <w:rPr>
          <w:rFonts w:ascii="Palatino Linotype" w:eastAsia="MS Mincho" w:hAnsi="Palatino Linotype" w:cs="Arial"/>
          <w:i/>
          <w:sz w:val="24"/>
          <w:szCs w:val="24"/>
          <w:lang w:eastAsia="es-ES"/>
        </w:rPr>
        <w:lastRenderedPageBreak/>
        <w:t>necesaria en una sociedad democrática, por lo que atenderá las necesidades del derecho de acceso a la información de toda persona.</w:t>
      </w:r>
    </w:p>
    <w:p w14:paraId="00A84262" w14:textId="77777777" w:rsidR="00970D88" w:rsidRPr="007C3AE4" w:rsidRDefault="00970D88" w:rsidP="00970D88">
      <w:pPr>
        <w:spacing w:after="0" w:line="360" w:lineRule="auto"/>
        <w:ind w:left="567" w:right="49"/>
        <w:contextualSpacing/>
        <w:jc w:val="both"/>
        <w:rPr>
          <w:rFonts w:ascii="Palatino Linotype" w:eastAsia="MS Mincho" w:hAnsi="Palatino Linotype" w:cs="Arial"/>
          <w:i/>
          <w:sz w:val="24"/>
          <w:szCs w:val="24"/>
          <w:lang w:eastAsia="es-ES"/>
        </w:rPr>
      </w:pPr>
      <w:r w:rsidRPr="007C3AE4">
        <w:rPr>
          <w:rFonts w:ascii="Palatino Linotype" w:eastAsia="MS Mincho" w:hAnsi="Palatino Linotype" w:cs="Arial"/>
          <w:i/>
          <w:sz w:val="24"/>
          <w:szCs w:val="24"/>
          <w:lang w:eastAsia="es-ES"/>
        </w:rPr>
        <w:t>…”</w:t>
      </w:r>
    </w:p>
    <w:p w14:paraId="52075FD9" w14:textId="77777777" w:rsidR="00970D88" w:rsidRPr="007C3AE4" w:rsidRDefault="00970D88" w:rsidP="00970D88">
      <w:pPr>
        <w:spacing w:after="0" w:line="360" w:lineRule="auto"/>
        <w:ind w:left="567" w:right="49"/>
        <w:contextualSpacing/>
        <w:jc w:val="both"/>
        <w:rPr>
          <w:rFonts w:ascii="Palatino Linotype" w:eastAsia="MS Mincho" w:hAnsi="Palatino Linotype" w:cs="Arial"/>
          <w:i/>
          <w:sz w:val="24"/>
          <w:szCs w:val="24"/>
          <w:lang w:eastAsia="es-ES"/>
        </w:rPr>
      </w:pPr>
    </w:p>
    <w:p w14:paraId="7FF4F526" w14:textId="77777777" w:rsidR="00970D88" w:rsidRPr="007C3AE4" w:rsidRDefault="00970D88" w:rsidP="00970D88">
      <w:pPr>
        <w:spacing w:after="0" w:line="360" w:lineRule="auto"/>
        <w:ind w:right="49"/>
        <w:contextualSpacing/>
        <w:jc w:val="both"/>
        <w:rPr>
          <w:rFonts w:ascii="Palatino Linotype" w:eastAsia="MS Mincho" w:hAnsi="Palatino Linotype" w:cs="Arial"/>
          <w:i/>
          <w:sz w:val="24"/>
          <w:szCs w:val="24"/>
          <w:lang w:eastAsia="es-ES"/>
        </w:rPr>
      </w:pPr>
    </w:p>
    <w:p w14:paraId="736DBEFE" w14:textId="77777777" w:rsidR="00970D88" w:rsidRPr="007C3AE4" w:rsidRDefault="00970D88" w:rsidP="00970D88">
      <w:pPr>
        <w:keepNext/>
        <w:keepLines/>
        <w:numPr>
          <w:ilvl w:val="0"/>
          <w:numId w:val="5"/>
        </w:numPr>
        <w:spacing w:before="40" w:after="0"/>
        <w:contextualSpacing/>
        <w:outlineLvl w:val="1"/>
        <w:rPr>
          <w:rFonts w:ascii="Palatino Linotype" w:eastAsia="MS Mincho" w:hAnsi="Palatino Linotype" w:cstheme="majorBidi"/>
          <w:b/>
          <w:sz w:val="24"/>
          <w:szCs w:val="24"/>
          <w:lang w:eastAsia="es-ES"/>
        </w:rPr>
      </w:pPr>
      <w:bookmarkStart w:id="15" w:name="_Toc66352326"/>
      <w:r w:rsidRPr="007C3AE4">
        <w:rPr>
          <w:rFonts w:ascii="Palatino Linotype" w:eastAsia="MS Mincho" w:hAnsi="Palatino Linotype" w:cstheme="majorBidi"/>
          <w:b/>
          <w:sz w:val="24"/>
          <w:szCs w:val="24"/>
          <w:lang w:eastAsia="es-ES"/>
        </w:rPr>
        <w:t>De la respuesta del Sujeto Obligado.</w:t>
      </w:r>
      <w:bookmarkEnd w:id="15"/>
    </w:p>
    <w:p w14:paraId="544510C8" w14:textId="77777777" w:rsidR="00970D88" w:rsidRPr="007C3AE4" w:rsidRDefault="00970D88" w:rsidP="00970D88">
      <w:pPr>
        <w:rPr>
          <w:lang w:eastAsia="es-ES"/>
        </w:rPr>
      </w:pPr>
    </w:p>
    <w:p w14:paraId="78A1A1E5" w14:textId="77777777" w:rsidR="00970D88" w:rsidRPr="007C3AE4" w:rsidRDefault="00970D88" w:rsidP="00970D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Estando en tiempo y forma el </w:t>
      </w:r>
      <w:r w:rsidRPr="007C3AE4">
        <w:rPr>
          <w:rFonts w:ascii="Palatino Linotype" w:eastAsia="MS Mincho" w:hAnsi="Palatino Linotype" w:cstheme="majorBidi"/>
          <w:b/>
          <w:sz w:val="24"/>
          <w:szCs w:val="24"/>
          <w:lang w:val="es-ES_tradnl" w:eastAsia="es-ES"/>
        </w:rPr>
        <w:t>SUJETO OBLIGADO</w:t>
      </w:r>
      <w:r w:rsidRPr="007C3AE4">
        <w:rPr>
          <w:rFonts w:ascii="Palatino Linotype" w:eastAsia="MS Mincho" w:hAnsi="Palatino Linotype" w:cstheme="majorBidi"/>
          <w:sz w:val="24"/>
          <w:szCs w:val="24"/>
          <w:lang w:val="es-ES_tradnl" w:eastAsia="es-ES"/>
        </w:rPr>
        <w:t xml:space="preserve"> dio respuesta a las solicitudes de información promovidas por el particular, mism</w:t>
      </w:r>
      <w:r w:rsidR="005C45F3" w:rsidRPr="007C3AE4">
        <w:rPr>
          <w:rFonts w:ascii="Palatino Linotype" w:eastAsia="MS Mincho" w:hAnsi="Palatino Linotype" w:cstheme="majorBidi"/>
          <w:sz w:val="24"/>
          <w:szCs w:val="24"/>
          <w:lang w:val="es-ES_tradnl" w:eastAsia="es-ES"/>
        </w:rPr>
        <w:t>as que consiste en la declaratoria de la incompetencia para proporcionar información, argumentado que no genera, posee y administra.</w:t>
      </w:r>
    </w:p>
    <w:p w14:paraId="6BCCB4D7" w14:textId="77777777" w:rsidR="005C45F3" w:rsidRPr="007C3AE4" w:rsidRDefault="005C45F3" w:rsidP="005C45F3">
      <w:pPr>
        <w:spacing w:after="0" w:line="360" w:lineRule="auto"/>
        <w:ind w:left="360"/>
        <w:contextualSpacing/>
        <w:jc w:val="both"/>
        <w:rPr>
          <w:rFonts w:ascii="Palatino Linotype" w:eastAsia="MS Mincho" w:hAnsi="Palatino Linotype" w:cstheme="majorBidi"/>
          <w:sz w:val="24"/>
          <w:szCs w:val="24"/>
          <w:lang w:val="es-ES_tradnl" w:eastAsia="es-ES"/>
        </w:rPr>
      </w:pPr>
    </w:p>
    <w:p w14:paraId="2742969D" w14:textId="77777777" w:rsidR="00330F13" w:rsidRPr="007C3AE4" w:rsidRDefault="00330F13" w:rsidP="0036153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De la información solicitada por el particular se puede observar que tiene interés en acceder a las documentales que den cuenta de:</w:t>
      </w:r>
    </w:p>
    <w:p w14:paraId="4098DE46"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Plan anual de adquisiciones de medicamentos.</w:t>
      </w:r>
    </w:p>
    <w:p w14:paraId="43940A15"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Los</w:t>
      </w:r>
      <w:r w:rsidRPr="007C3AE4">
        <w:rPr>
          <w:rFonts w:ascii="Palatino Linotype" w:eastAsia="Calibri" w:hAnsi="Palatino Linotype" w:cs="Arial"/>
          <w:i/>
          <w:sz w:val="24"/>
          <w:szCs w:val="24"/>
          <w:lang w:eastAsia="es-ES"/>
        </w:rPr>
        <w:t xml:space="preserve"> </w:t>
      </w:r>
      <w:proofErr w:type="gramStart"/>
      <w:r w:rsidRPr="007C3AE4">
        <w:rPr>
          <w:rFonts w:ascii="Palatino Linotype" w:eastAsia="Calibri" w:hAnsi="Palatino Linotype" w:cs="Arial"/>
          <w:b/>
          <w:i/>
          <w:sz w:val="24"/>
          <w:szCs w:val="24"/>
          <w:lang w:eastAsia="es-ES"/>
        </w:rPr>
        <w:t>programas anual</w:t>
      </w:r>
      <w:proofErr w:type="gramEnd"/>
      <w:r w:rsidRPr="007C3AE4">
        <w:rPr>
          <w:rFonts w:ascii="Palatino Linotype" w:eastAsia="Calibri" w:hAnsi="Palatino Linotype" w:cs="Arial"/>
          <w:b/>
          <w:i/>
          <w:sz w:val="24"/>
          <w:szCs w:val="24"/>
          <w:lang w:eastAsia="es-ES"/>
        </w:rPr>
        <w:t xml:space="preserve"> de adquisiciones, arrendamientos y prestaciones de servicios.</w:t>
      </w:r>
      <w:r w:rsidRPr="007C3AE4">
        <w:rPr>
          <w:rFonts w:ascii="Palatino Linotype" w:eastAsia="Calibri" w:hAnsi="Palatino Linotype" w:cs="Arial"/>
          <w:i/>
          <w:sz w:val="24"/>
          <w:szCs w:val="24"/>
          <w:lang w:eastAsia="es-ES"/>
        </w:rPr>
        <w:t xml:space="preserve"> </w:t>
      </w:r>
    </w:p>
    <w:p w14:paraId="21539BA0"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Documentación presentada ante el comité de adquisiciones para su autorización.</w:t>
      </w:r>
      <w:r w:rsidRPr="007C3AE4">
        <w:rPr>
          <w:rFonts w:ascii="Palatino Linotype" w:eastAsia="Calibri" w:hAnsi="Palatino Linotype" w:cs="Arial"/>
          <w:i/>
          <w:sz w:val="24"/>
          <w:szCs w:val="24"/>
          <w:lang w:eastAsia="es-ES"/>
        </w:rPr>
        <w:t xml:space="preserve"> </w:t>
      </w:r>
    </w:p>
    <w:p w14:paraId="1F86145B"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Para la adquisición de medicamentos Estimaciones de pago a los proveedores de medicamentos</w:t>
      </w:r>
      <w:r w:rsidRPr="007C3AE4">
        <w:rPr>
          <w:rFonts w:ascii="Palatino Linotype" w:eastAsia="Calibri" w:hAnsi="Palatino Linotype" w:cs="Arial"/>
          <w:i/>
          <w:sz w:val="24"/>
          <w:szCs w:val="24"/>
          <w:lang w:eastAsia="es-ES"/>
        </w:rPr>
        <w:t xml:space="preserve">. </w:t>
      </w:r>
    </w:p>
    <w:p w14:paraId="75C7A89E"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Convenios modificados si existieron o hubiesen existido</w:t>
      </w:r>
      <w:r w:rsidRPr="007C3AE4">
        <w:rPr>
          <w:rFonts w:ascii="Palatino Linotype" w:eastAsia="Calibri" w:hAnsi="Palatino Linotype" w:cs="Arial"/>
          <w:i/>
          <w:sz w:val="24"/>
          <w:szCs w:val="24"/>
          <w:lang w:eastAsia="es-ES"/>
        </w:rPr>
        <w:t xml:space="preserve">. </w:t>
      </w:r>
    </w:p>
    <w:p w14:paraId="079CB322"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Para la adquisición de medicamentos, el acta entrega de recepción de los bienes o servicios contratados</w:t>
      </w:r>
      <w:r w:rsidRPr="007C3AE4">
        <w:rPr>
          <w:rFonts w:ascii="Palatino Linotype" w:eastAsia="Calibri" w:hAnsi="Palatino Linotype" w:cs="Arial"/>
          <w:i/>
          <w:sz w:val="24"/>
          <w:szCs w:val="24"/>
          <w:lang w:eastAsia="es-ES"/>
        </w:rPr>
        <w:t xml:space="preserve">. </w:t>
      </w:r>
    </w:p>
    <w:p w14:paraId="2190CB09"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lastRenderedPageBreak/>
        <w:t>Cuentas por liquidar certificadas y/o afectaciones presupuestales</w:t>
      </w:r>
      <w:r w:rsidRPr="007C3AE4">
        <w:rPr>
          <w:rFonts w:ascii="Palatino Linotype" w:eastAsia="Calibri" w:hAnsi="Palatino Linotype" w:cs="Arial"/>
          <w:i/>
          <w:sz w:val="24"/>
          <w:szCs w:val="24"/>
          <w:lang w:eastAsia="es-ES"/>
        </w:rPr>
        <w:t>.</w:t>
      </w:r>
    </w:p>
    <w:p w14:paraId="4AC9EE23"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En su caso la ejecución de garantías para la obtención de medicamentos.</w:t>
      </w:r>
    </w:p>
    <w:p w14:paraId="3FC194B3"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i/>
          <w:sz w:val="24"/>
          <w:szCs w:val="24"/>
          <w:lang w:eastAsia="es-ES"/>
        </w:rPr>
        <w:t>Contratos de adquisición de medicamentos que se recetan para las siguientes enfermedades: d</w:t>
      </w:r>
      <w:r w:rsidRPr="007C3AE4">
        <w:rPr>
          <w:rFonts w:ascii="Palatino Linotype" w:eastAsia="Calibri" w:hAnsi="Palatino Linotype" w:cs="Arial"/>
          <w:b/>
          <w:i/>
          <w:sz w:val="24"/>
          <w:szCs w:val="24"/>
          <w:lang w:eastAsia="es-ES"/>
        </w:rPr>
        <w:t>iabetes, VIH, problemas renales, cáncer (pulmón y mama), hipertensión, falla renal, entre otros</w:t>
      </w:r>
      <w:r w:rsidRPr="007C3AE4">
        <w:rPr>
          <w:rFonts w:ascii="Palatino Linotype" w:eastAsia="Calibri" w:hAnsi="Palatino Linotype" w:cs="Arial"/>
          <w:i/>
          <w:sz w:val="24"/>
          <w:szCs w:val="24"/>
          <w:lang w:eastAsia="es-ES"/>
        </w:rPr>
        <w:t xml:space="preserve">. </w:t>
      </w:r>
    </w:p>
    <w:p w14:paraId="007264A8" w14:textId="77777777" w:rsidR="00330F13" w:rsidRPr="007C3AE4" w:rsidRDefault="00330F13" w:rsidP="00330F13">
      <w:pPr>
        <w:pStyle w:val="Prrafodelista"/>
        <w:numPr>
          <w:ilvl w:val="0"/>
          <w:numId w:val="13"/>
        </w:numPr>
        <w:tabs>
          <w:tab w:val="left" w:pos="7938"/>
        </w:tabs>
        <w:spacing w:before="240" w:after="240" w:line="360" w:lineRule="auto"/>
        <w:ind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Las verificaciones de los órganos de control interno del sector salud</w:t>
      </w:r>
      <w:r w:rsidRPr="007C3AE4">
        <w:rPr>
          <w:rFonts w:ascii="Palatino Linotype" w:eastAsia="Calibri" w:hAnsi="Palatino Linotype" w:cs="Arial"/>
          <w:i/>
          <w:sz w:val="24"/>
          <w:szCs w:val="24"/>
          <w:lang w:eastAsia="es-ES"/>
        </w:rPr>
        <w:t xml:space="preserve">. </w:t>
      </w:r>
    </w:p>
    <w:p w14:paraId="3F8C3B67" w14:textId="77777777" w:rsidR="00330F13" w:rsidRPr="007C3AE4" w:rsidRDefault="00330F13" w:rsidP="00330F13">
      <w:pPr>
        <w:pStyle w:val="Prrafodelista"/>
        <w:rPr>
          <w:rFonts w:ascii="Palatino Linotype" w:eastAsia="MS Mincho" w:hAnsi="Palatino Linotype" w:cstheme="majorBidi"/>
          <w:sz w:val="24"/>
          <w:szCs w:val="24"/>
          <w:lang w:val="es-ES_tradnl" w:eastAsia="es-ES"/>
        </w:rPr>
      </w:pPr>
    </w:p>
    <w:p w14:paraId="01CFA501" w14:textId="77777777" w:rsidR="00361530" w:rsidRPr="007C3AE4" w:rsidRDefault="00361530" w:rsidP="0036153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De las repuestas proporcionadas se puede apreciar que el </w:t>
      </w:r>
      <w:r w:rsidRPr="007C3AE4">
        <w:rPr>
          <w:rFonts w:ascii="Palatino Linotype" w:eastAsia="MS Mincho" w:hAnsi="Palatino Linotype" w:cstheme="majorBidi"/>
          <w:b/>
          <w:sz w:val="24"/>
          <w:szCs w:val="24"/>
          <w:lang w:val="es-ES_tradnl" w:eastAsia="es-ES"/>
        </w:rPr>
        <w:t>SUJETO OBLIGADO</w:t>
      </w:r>
      <w:r w:rsidRPr="007C3AE4">
        <w:rPr>
          <w:rFonts w:ascii="Palatino Linotype" w:eastAsia="MS Mincho" w:hAnsi="Palatino Linotype" w:cstheme="majorBidi"/>
          <w:sz w:val="24"/>
          <w:szCs w:val="24"/>
          <w:lang w:val="es-ES_tradnl" w:eastAsia="es-ES"/>
        </w:rPr>
        <w:t xml:space="preserve"> entregó documentos ad hoc en los que refiere la incompetencia para dar atención, con el argumento de que no cuenta con la información, asimismo dejo entrever que la Unidad de Transparencia no realizó los requerimientos necesarios para buscar la información en </w:t>
      </w:r>
      <w:proofErr w:type="gramStart"/>
      <w:r w:rsidRPr="007C3AE4">
        <w:rPr>
          <w:rFonts w:ascii="Palatino Linotype" w:eastAsia="MS Mincho" w:hAnsi="Palatino Linotype" w:cstheme="majorBidi"/>
          <w:sz w:val="24"/>
          <w:szCs w:val="24"/>
          <w:lang w:val="es-ES_tradnl" w:eastAsia="es-ES"/>
        </w:rPr>
        <w:t>las diversas área</w:t>
      </w:r>
      <w:proofErr w:type="gramEnd"/>
      <w:r w:rsidRPr="007C3AE4">
        <w:rPr>
          <w:rFonts w:ascii="Palatino Linotype" w:eastAsia="MS Mincho" w:hAnsi="Palatino Linotype" w:cstheme="majorBidi"/>
          <w:sz w:val="24"/>
          <w:szCs w:val="24"/>
          <w:lang w:val="es-ES_tradnl" w:eastAsia="es-ES"/>
        </w:rPr>
        <w:t xml:space="preserve"> que conforman en su conjunto al Sujeto Obligado.</w:t>
      </w:r>
    </w:p>
    <w:p w14:paraId="15F9DA5A" w14:textId="77777777" w:rsidR="00715BBB" w:rsidRPr="007C3AE4" w:rsidRDefault="00715BBB" w:rsidP="00715BBB">
      <w:pPr>
        <w:pStyle w:val="Ttulo1"/>
        <w:numPr>
          <w:ilvl w:val="0"/>
          <w:numId w:val="18"/>
        </w:numPr>
        <w:rPr>
          <w:rFonts w:ascii="Palatino Linotype" w:eastAsia="MS Mincho" w:hAnsi="Palatino Linotype"/>
          <w:b/>
          <w:i/>
          <w:color w:val="auto"/>
          <w:sz w:val="24"/>
          <w:szCs w:val="24"/>
          <w:lang w:val="es-ES_tradnl" w:eastAsia="es-ES"/>
        </w:rPr>
      </w:pPr>
      <w:bookmarkStart w:id="16" w:name="_Toc66352327"/>
      <w:r w:rsidRPr="007C3AE4">
        <w:rPr>
          <w:rFonts w:ascii="Palatino Linotype" w:eastAsia="MS Mincho" w:hAnsi="Palatino Linotype"/>
          <w:b/>
          <w:i/>
          <w:color w:val="auto"/>
          <w:sz w:val="24"/>
          <w:szCs w:val="24"/>
          <w:lang w:val="es-ES_tradnl" w:eastAsia="es-ES"/>
        </w:rPr>
        <w:t>De los documentos ad hoc</w:t>
      </w:r>
      <w:bookmarkEnd w:id="16"/>
    </w:p>
    <w:p w14:paraId="2D3A7103" w14:textId="77777777" w:rsidR="00715BBB" w:rsidRPr="007C3AE4" w:rsidRDefault="00715BBB" w:rsidP="00715BBB">
      <w:pPr>
        <w:spacing w:after="0" w:line="360" w:lineRule="auto"/>
        <w:ind w:left="360"/>
        <w:contextualSpacing/>
        <w:jc w:val="both"/>
        <w:rPr>
          <w:rFonts w:ascii="Palatino Linotype" w:eastAsia="MS Mincho" w:hAnsi="Palatino Linotype" w:cstheme="majorBidi"/>
          <w:sz w:val="24"/>
          <w:szCs w:val="24"/>
          <w:lang w:val="es-ES_tradnl" w:eastAsia="es-ES"/>
        </w:rPr>
      </w:pPr>
    </w:p>
    <w:p w14:paraId="360E410E" w14:textId="77777777" w:rsidR="00715BBB" w:rsidRPr="007C3AE4" w:rsidRDefault="00715BBB" w:rsidP="00715BBB">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7C3AE4">
        <w:rPr>
          <w:rFonts w:ascii="Palatino Linotype" w:hAnsi="Palatino Linotype"/>
          <w:noProof/>
          <w:sz w:val="24"/>
          <w:szCs w:val="24"/>
          <w:lang w:eastAsia="es-MX"/>
        </w:rPr>
        <w:t xml:space="preserve">No obstante lo anterior, es de rferir </w:t>
      </w:r>
      <w:r w:rsidRPr="007C3AE4">
        <w:rPr>
          <w:rFonts w:ascii="Palatino Linotype" w:eastAsia="MS Mincho" w:hAnsi="Palatino Linotype" w:cs="Arial"/>
          <w:sz w:val="24"/>
          <w:szCs w:val="24"/>
          <w:lang w:val="es-ES_tradnl" w:eastAsia="es-ES"/>
        </w:rPr>
        <w:t xml:space="preserve">que el </w:t>
      </w:r>
      <w:r w:rsidRPr="007C3AE4">
        <w:rPr>
          <w:rFonts w:ascii="Palatino Linotype" w:eastAsia="MS Mincho" w:hAnsi="Palatino Linotype" w:cs="Arial"/>
          <w:b/>
          <w:sz w:val="24"/>
          <w:szCs w:val="24"/>
          <w:lang w:val="es-ES_tradnl" w:eastAsia="es-ES"/>
        </w:rPr>
        <w:t xml:space="preserve">SUJETO OBLIGADO </w:t>
      </w:r>
      <w:r w:rsidRPr="007C3AE4">
        <w:rPr>
          <w:rFonts w:ascii="Palatino Linotype" w:eastAsia="MS Mincho" w:hAnsi="Palatino Linotype" w:cs="Arial"/>
          <w:sz w:val="24"/>
          <w:szCs w:val="24"/>
          <w:lang w:val="es-ES_tradnl" w:eastAsia="es-ES"/>
        </w:rPr>
        <w:t xml:space="preserve">no debió haber generado  documentos </w:t>
      </w:r>
      <w:r w:rsidRPr="007C3AE4">
        <w:rPr>
          <w:rFonts w:ascii="Palatino Linotype" w:eastAsia="MS Mincho" w:hAnsi="Palatino Linotype" w:cs="Arial"/>
          <w:i/>
          <w:sz w:val="24"/>
          <w:szCs w:val="24"/>
          <w:lang w:val="es-ES_tradnl" w:eastAsia="es-ES"/>
        </w:rPr>
        <w:t>ad hoc</w:t>
      </w:r>
      <w:r w:rsidRPr="007C3AE4">
        <w:rPr>
          <w:rFonts w:ascii="Palatino Linotype" w:eastAsia="MS Mincho" w:hAnsi="Palatino Linotype" w:cs="Arial"/>
          <w:sz w:val="24"/>
          <w:szCs w:val="24"/>
          <w:lang w:val="es-ES_tradnl" w:eastAsia="es-ES"/>
        </w:rPr>
        <w:t xml:space="preserve"> para atender los requerimientos del solicitante, si bien es cierto que la Ley no lo prohíbe el generar este tipo de documentos, también lo es que la información que se proporcione deberá ser completa, asimismo la ley establece que es el documento que obre en los archivos del Sujeto Obligado el cual se entregara, es decir que no tiene razón de ser elaborar un documento </w:t>
      </w:r>
      <w:r w:rsidRPr="007C3AE4">
        <w:rPr>
          <w:rFonts w:ascii="Palatino Linotype" w:eastAsia="MS Mincho" w:hAnsi="Palatino Linotype" w:cs="Arial"/>
          <w:b/>
          <w:i/>
          <w:sz w:val="24"/>
          <w:szCs w:val="24"/>
          <w:lang w:val="es-ES_tradnl" w:eastAsia="es-ES"/>
        </w:rPr>
        <w:t>ad hoc</w:t>
      </w:r>
      <w:r w:rsidRPr="007C3AE4">
        <w:rPr>
          <w:rFonts w:ascii="Palatino Linotype" w:eastAsia="MS Mincho" w:hAnsi="Palatino Linotype" w:cs="Arial"/>
          <w:sz w:val="24"/>
          <w:szCs w:val="24"/>
          <w:lang w:val="es-ES_tradnl" w:eastAsia="es-ES"/>
        </w:rPr>
        <w:t xml:space="preserve">, cuando el solicitante requiere un documento específico y que </w:t>
      </w:r>
      <w:r w:rsidRPr="007C3AE4">
        <w:rPr>
          <w:rFonts w:ascii="Palatino Linotype" w:eastAsia="MS Mincho" w:hAnsi="Palatino Linotype" w:cs="Arial"/>
          <w:sz w:val="24"/>
          <w:szCs w:val="24"/>
          <w:lang w:val="es-ES_tradnl" w:eastAsia="es-ES"/>
        </w:rPr>
        <w:lastRenderedPageBreak/>
        <w:t>el mismo esté relacionado con las facultades, competencias y atribuciones que deban de documentarse.</w:t>
      </w:r>
    </w:p>
    <w:p w14:paraId="5BE27C11" w14:textId="77777777" w:rsidR="00715BBB" w:rsidRPr="007C3AE4" w:rsidRDefault="00715BBB" w:rsidP="00715BBB">
      <w:pPr>
        <w:spacing w:after="0" w:line="360" w:lineRule="auto"/>
        <w:ind w:right="34"/>
        <w:contextualSpacing/>
        <w:jc w:val="both"/>
        <w:rPr>
          <w:rFonts w:ascii="Palatino Linotype" w:eastAsia="MS Mincho" w:hAnsi="Palatino Linotype" w:cs="Arial"/>
          <w:sz w:val="24"/>
          <w:szCs w:val="24"/>
          <w:lang w:val="es-ES_tradnl" w:eastAsia="es-ES"/>
        </w:rPr>
      </w:pPr>
    </w:p>
    <w:p w14:paraId="1ABE8B0B" w14:textId="77777777" w:rsidR="00715BBB" w:rsidRPr="007C3AE4" w:rsidRDefault="00715BBB" w:rsidP="00715BBB">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7C3AE4">
        <w:rPr>
          <w:rFonts w:ascii="Palatino Linotype" w:hAnsi="Palatino Linotype" w:cs="Arial"/>
          <w:color w:val="000000"/>
          <w:sz w:val="24"/>
        </w:rPr>
        <w:t xml:space="preserve">Como apoyo a lo anterior, es aplicable el Criterio 03-17, emitido por </w:t>
      </w:r>
      <w:r w:rsidRPr="007C3AE4">
        <w:rPr>
          <w:rFonts w:ascii="Palatino Linotype" w:eastAsia="Arial Unicode MS" w:hAnsi="Palatino Linotype" w:cs="Arial"/>
          <w:color w:val="000000"/>
          <w:sz w:val="24"/>
        </w:rPr>
        <w:t>el Instituto Nacional de Transparencia, Acceso a la Información y Protección de Datos Personales,</w:t>
      </w:r>
      <w:r w:rsidRPr="007C3AE4">
        <w:rPr>
          <w:rFonts w:ascii="Palatino Linotype" w:hAnsi="Palatino Linotype"/>
          <w:bCs/>
          <w:color w:val="000000"/>
          <w:sz w:val="24"/>
        </w:rPr>
        <w:t xml:space="preserve"> que dice:</w:t>
      </w:r>
      <w:r w:rsidRPr="007C3AE4">
        <w:rPr>
          <w:rFonts w:ascii="Palatino Linotype" w:hAnsi="Palatino Linotype"/>
          <w:b/>
          <w:bCs/>
          <w:color w:val="000000"/>
          <w:sz w:val="24"/>
        </w:rPr>
        <w:t xml:space="preserve"> </w:t>
      </w:r>
    </w:p>
    <w:p w14:paraId="1AE8E9EF" w14:textId="77777777" w:rsidR="00715BBB" w:rsidRPr="007C3AE4" w:rsidRDefault="00715BBB" w:rsidP="00715BBB">
      <w:pPr>
        <w:ind w:left="720"/>
        <w:contextualSpacing/>
        <w:rPr>
          <w:rFonts w:ascii="Palatino Linotype" w:eastAsia="MS Mincho" w:hAnsi="Palatino Linotype" w:cs="Arial"/>
          <w:sz w:val="24"/>
          <w:szCs w:val="24"/>
          <w:lang w:val="es-ES_tradnl" w:eastAsia="es-ES"/>
        </w:rPr>
      </w:pPr>
    </w:p>
    <w:p w14:paraId="74632D7E" w14:textId="77777777" w:rsidR="00715BBB" w:rsidRPr="007C3AE4" w:rsidRDefault="00715BBB" w:rsidP="00715BBB">
      <w:pPr>
        <w:numPr>
          <w:ilvl w:val="0"/>
          <w:numId w:val="9"/>
        </w:numPr>
        <w:ind w:right="850"/>
        <w:contextualSpacing/>
        <w:jc w:val="both"/>
        <w:rPr>
          <w:rFonts w:ascii="Palatino Linotype" w:eastAsia="MS Mincho" w:hAnsi="Palatino Linotype" w:cs="Arial"/>
          <w:color w:val="000000"/>
          <w:sz w:val="2"/>
          <w:szCs w:val="24"/>
          <w:lang w:val="es-ES_tradnl" w:eastAsia="es-ES"/>
        </w:rPr>
      </w:pPr>
    </w:p>
    <w:p w14:paraId="1BD53968"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r w:rsidRPr="007C3AE4">
        <w:rPr>
          <w:rFonts w:ascii="Palatino Linotype" w:eastAsia="MS Mincho" w:hAnsi="Palatino Linotype" w:cs="Arial"/>
          <w:i/>
          <w:color w:val="000000"/>
          <w:sz w:val="24"/>
          <w:szCs w:val="24"/>
          <w:lang w:val="es-ES_tradnl" w:eastAsia="es-ES"/>
        </w:rPr>
        <w:t>“</w:t>
      </w:r>
      <w:r w:rsidRPr="007C3AE4">
        <w:rPr>
          <w:rFonts w:ascii="Palatino Linotype" w:eastAsia="MS Mincho" w:hAnsi="Palatino Linotype" w:cs="Arial"/>
          <w:b/>
          <w:i/>
          <w:color w:val="000000"/>
          <w:lang w:val="es-ES_tradnl" w:eastAsia="es-ES"/>
        </w:rPr>
        <w:t>No existe obligación de elaborar documentos ad hoc para atender las solicitudes de acceso a la información.</w:t>
      </w:r>
      <w:r w:rsidRPr="007C3AE4">
        <w:rPr>
          <w:rFonts w:ascii="Palatino Linotype" w:eastAsia="MS Mincho" w:hAnsi="Palatino Linotype" w:cs="Arial"/>
          <w:i/>
          <w:color w:val="000000"/>
          <w:lang w:val="es-ES_tradnl" w:eastAsia="es-ES"/>
        </w:rPr>
        <w:t xml:space="preserve"> Los artículos 129 de la Ley General de Transparencia y Acceso a la Información Pública y 130, párrafo cuarto, de la Ley Federal de Transparencia y Acceso a la Información Pública, señalan que </w:t>
      </w:r>
      <w:r w:rsidRPr="007C3AE4">
        <w:rPr>
          <w:rFonts w:ascii="Palatino Linotype" w:eastAsia="MS Mincho" w:hAnsi="Palatino Linotype" w:cs="Arial"/>
          <w:b/>
          <w:i/>
          <w:color w:val="000000"/>
          <w:u w:val="single"/>
          <w:lang w:val="es-ES_tradnl" w:eastAsia="es-ES"/>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7C3AE4">
        <w:rPr>
          <w:rFonts w:ascii="Palatino Linotype" w:eastAsia="MS Mincho" w:hAnsi="Palatino Linotype" w:cs="Arial"/>
          <w:i/>
          <w:color w:val="000000"/>
          <w:lang w:val="es-ES_tradnl" w:eastAsia="es-ES"/>
        </w:rPr>
        <w:t xml:space="preserv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E07FD5B"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r w:rsidRPr="007C3AE4">
        <w:rPr>
          <w:rFonts w:ascii="Palatino Linotype" w:eastAsia="MS Mincho" w:hAnsi="Palatino Linotype" w:cs="Arial"/>
          <w:i/>
          <w:color w:val="000000"/>
          <w:lang w:val="es-ES_tradnl" w:eastAsia="es-ES"/>
        </w:rPr>
        <w:t xml:space="preserve">Resoluciones: </w:t>
      </w:r>
    </w:p>
    <w:p w14:paraId="738F7D33"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r w:rsidRPr="007C3AE4">
        <w:rPr>
          <w:rFonts w:ascii="Palatino Linotype" w:eastAsia="MS Mincho" w:hAnsi="Palatino Linotype"/>
          <w:lang w:val="es-ES_tradnl" w:eastAsia="es-ES"/>
        </w:rPr>
        <w:sym w:font="Symbol" w:char="F0B7"/>
      </w:r>
      <w:r w:rsidRPr="007C3AE4">
        <w:rPr>
          <w:rFonts w:ascii="Palatino Linotype" w:eastAsia="MS Mincho" w:hAnsi="Palatino Linotype" w:cs="Arial"/>
          <w:i/>
          <w:color w:val="000000"/>
          <w:lang w:val="es-ES_tradnl" w:eastAsia="es-ES"/>
        </w:rPr>
        <w:t xml:space="preserve"> RRA 0050/16. Instituto Nacional para la Evaluación de la Educación. 13 julio de 2016. Por unanimidad. Comisionado Ponente: Francisco Javier Acuña Llamas.</w:t>
      </w:r>
    </w:p>
    <w:p w14:paraId="62C2F201"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r w:rsidRPr="007C3AE4">
        <w:rPr>
          <w:rFonts w:ascii="Palatino Linotype" w:eastAsia="MS Mincho" w:hAnsi="Palatino Linotype"/>
          <w:lang w:val="es-ES_tradnl" w:eastAsia="es-ES"/>
        </w:rPr>
        <w:sym w:font="Symbol" w:char="F0B7"/>
      </w:r>
      <w:r w:rsidRPr="007C3AE4">
        <w:rPr>
          <w:rFonts w:ascii="Palatino Linotype" w:eastAsia="MS Mincho" w:hAnsi="Palatino Linotype" w:cs="Arial"/>
          <w:i/>
          <w:color w:val="000000"/>
          <w:lang w:val="es-ES_tradnl" w:eastAsia="es-ES"/>
        </w:rPr>
        <w:t xml:space="preserve"> RRA 0310/16. Instituto Nacional de Transparencia, Acceso a la Información y Protección de Datos Personales. 10 de agosto de 2016. Por unanimidad. Comisionada Ponente. Areli Cano Guadiana. </w:t>
      </w:r>
    </w:p>
    <w:p w14:paraId="6BCB0087"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r w:rsidRPr="007C3AE4">
        <w:rPr>
          <w:rFonts w:ascii="Palatino Linotype" w:eastAsia="MS Mincho" w:hAnsi="Palatino Linotype"/>
          <w:lang w:val="es-ES_tradnl" w:eastAsia="es-ES"/>
        </w:rPr>
        <w:sym w:font="Symbol" w:char="F0B7"/>
      </w:r>
      <w:r w:rsidRPr="007C3AE4">
        <w:rPr>
          <w:rFonts w:ascii="Palatino Linotype" w:eastAsia="MS Mincho" w:hAnsi="Palatino Linotype" w:cs="Arial"/>
          <w:i/>
          <w:color w:val="000000"/>
          <w:lang w:val="es-ES_tradnl" w:eastAsia="es-ES"/>
        </w:rPr>
        <w:t xml:space="preserve"> RRA 1889/16. Secretaría de Hacienda y Crédito Público. 05 de octubre de 2016. Por unanimidad. Comisionada Ponente. Ximena Puente de la Mora.”</w:t>
      </w:r>
    </w:p>
    <w:p w14:paraId="65E03805"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p>
    <w:p w14:paraId="65D2171E" w14:textId="77777777" w:rsidR="00715BBB" w:rsidRPr="007C3AE4" w:rsidRDefault="00715BBB" w:rsidP="00715BBB">
      <w:pPr>
        <w:spacing w:after="0" w:line="240" w:lineRule="auto"/>
        <w:ind w:left="567" w:right="567"/>
        <w:contextualSpacing/>
        <w:jc w:val="both"/>
        <w:rPr>
          <w:rFonts w:ascii="Palatino Linotype" w:eastAsia="MS Mincho" w:hAnsi="Palatino Linotype" w:cs="Arial"/>
          <w:i/>
          <w:color w:val="000000"/>
          <w:lang w:val="es-ES_tradnl" w:eastAsia="es-ES"/>
        </w:rPr>
      </w:pPr>
    </w:p>
    <w:p w14:paraId="47CDCB0A" w14:textId="77777777" w:rsidR="00970D88" w:rsidRPr="007C3AE4" w:rsidRDefault="00715BBB" w:rsidP="00ED24AB">
      <w:pPr>
        <w:keepNext/>
        <w:keepLines/>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lastRenderedPageBreak/>
        <w:t xml:space="preserve">Por lo anterior expuesto, resulta innecesario entra al fondo del estudio de la naturaleza de la información, toda vez que el </w:t>
      </w:r>
      <w:r w:rsidRPr="007C3AE4">
        <w:rPr>
          <w:rFonts w:ascii="Palatino Linotype" w:eastAsia="MS Mincho" w:hAnsi="Palatino Linotype" w:cstheme="majorBidi"/>
          <w:b/>
          <w:sz w:val="24"/>
          <w:szCs w:val="24"/>
          <w:lang w:val="es-ES_tradnl" w:eastAsia="es-ES"/>
        </w:rPr>
        <w:t>SUJETO OBLIGADO</w:t>
      </w:r>
      <w:r w:rsidR="00ED24AB" w:rsidRPr="007C3AE4">
        <w:rPr>
          <w:rFonts w:ascii="Palatino Linotype" w:eastAsia="MS Mincho" w:hAnsi="Palatino Linotype" w:cstheme="majorBidi"/>
          <w:b/>
          <w:sz w:val="24"/>
          <w:szCs w:val="24"/>
          <w:lang w:val="es-ES_tradnl" w:eastAsia="es-ES"/>
        </w:rPr>
        <w:t xml:space="preserve"> no</w:t>
      </w:r>
      <w:r w:rsidRPr="007C3AE4">
        <w:rPr>
          <w:rFonts w:ascii="Palatino Linotype" w:eastAsia="MS Mincho" w:hAnsi="Palatino Linotype" w:cstheme="majorBidi"/>
          <w:sz w:val="24"/>
          <w:szCs w:val="24"/>
          <w:lang w:val="es-ES_tradnl" w:eastAsia="es-ES"/>
        </w:rPr>
        <w:t xml:space="preserve"> acepta que posee la </w:t>
      </w:r>
      <w:r w:rsidR="00ED24AB" w:rsidRPr="007C3AE4">
        <w:rPr>
          <w:rFonts w:ascii="Palatino Linotype" w:eastAsia="MS Mincho" w:hAnsi="Palatino Linotype" w:cstheme="majorBidi"/>
          <w:sz w:val="24"/>
          <w:szCs w:val="24"/>
          <w:lang w:val="es-ES_tradnl" w:eastAsia="es-ES"/>
        </w:rPr>
        <w:t>información, tal como refiere en su</w:t>
      </w:r>
      <w:r w:rsidRPr="007C3AE4">
        <w:rPr>
          <w:rFonts w:ascii="Palatino Linotype" w:eastAsia="MS Mincho" w:hAnsi="Palatino Linotype" w:cstheme="majorBidi"/>
          <w:sz w:val="24"/>
          <w:szCs w:val="24"/>
          <w:lang w:val="es-ES_tradnl" w:eastAsia="es-ES"/>
        </w:rPr>
        <w:t xml:space="preserve"> documento ad hoc, por lo </w:t>
      </w:r>
      <w:proofErr w:type="gramStart"/>
      <w:r w:rsidRPr="007C3AE4">
        <w:rPr>
          <w:rFonts w:ascii="Palatino Linotype" w:eastAsia="MS Mincho" w:hAnsi="Palatino Linotype" w:cstheme="majorBidi"/>
          <w:sz w:val="24"/>
          <w:szCs w:val="24"/>
          <w:lang w:val="es-ES_tradnl" w:eastAsia="es-ES"/>
        </w:rPr>
        <w:t>tanto</w:t>
      </w:r>
      <w:proofErr w:type="gramEnd"/>
      <w:r w:rsidRPr="007C3AE4">
        <w:rPr>
          <w:rFonts w:ascii="Palatino Linotype" w:eastAsia="MS Mincho" w:hAnsi="Palatino Linotype" w:cstheme="majorBidi"/>
          <w:sz w:val="24"/>
          <w:szCs w:val="24"/>
          <w:lang w:val="es-ES_tradnl" w:eastAsia="es-ES"/>
        </w:rPr>
        <w:t xml:space="preserve"> los motivos de inconformidad</w:t>
      </w:r>
      <w:r w:rsidR="00ED24AB" w:rsidRPr="007C3AE4">
        <w:rPr>
          <w:rFonts w:ascii="Palatino Linotype" w:eastAsia="MS Mincho" w:hAnsi="Palatino Linotype" w:cstheme="majorBidi"/>
          <w:sz w:val="24"/>
          <w:szCs w:val="24"/>
          <w:lang w:val="es-ES_tradnl" w:eastAsia="es-ES"/>
        </w:rPr>
        <w:t xml:space="preserve"> hechos valer resultan fundados, </w:t>
      </w:r>
      <w:r w:rsidR="00970D88" w:rsidRPr="007C3AE4">
        <w:rPr>
          <w:rFonts w:ascii="Palatino Linotype" w:eastAsia="MS Mincho" w:hAnsi="Palatino Linotype" w:cstheme="majorBidi"/>
          <w:sz w:val="24"/>
          <w:szCs w:val="24"/>
          <w:lang w:val="es-ES_tradnl" w:eastAsia="es-ES"/>
        </w:rPr>
        <w:t>por lo siguientes hechos que se analizaran.</w:t>
      </w:r>
    </w:p>
    <w:p w14:paraId="3CF3231D" w14:textId="77777777" w:rsidR="00970D88" w:rsidRPr="007C3AE4" w:rsidRDefault="00970D88" w:rsidP="00970D88">
      <w:pPr>
        <w:ind w:left="720"/>
        <w:contextualSpacing/>
        <w:rPr>
          <w:rFonts w:ascii="Palatino Linotype" w:eastAsia="MS Mincho" w:hAnsi="Palatino Linotype" w:cstheme="majorBidi"/>
          <w:sz w:val="24"/>
          <w:szCs w:val="24"/>
          <w:lang w:val="es-ES_tradnl" w:eastAsia="es-ES"/>
        </w:rPr>
      </w:pPr>
    </w:p>
    <w:p w14:paraId="5696D943" w14:textId="77777777" w:rsidR="00970D88" w:rsidRPr="007C3AE4" w:rsidRDefault="00970D88" w:rsidP="00970D88">
      <w:pPr>
        <w:keepNext/>
        <w:keepLines/>
        <w:numPr>
          <w:ilvl w:val="0"/>
          <w:numId w:val="5"/>
        </w:numPr>
        <w:spacing w:before="240" w:after="0"/>
        <w:outlineLvl w:val="0"/>
        <w:rPr>
          <w:rFonts w:ascii="Palatino Linotype" w:eastAsia="MS Mincho" w:hAnsi="Palatino Linotype" w:cstheme="majorBidi"/>
          <w:b/>
          <w:sz w:val="24"/>
          <w:szCs w:val="24"/>
          <w:lang w:val="es-ES_tradnl" w:eastAsia="es-ES"/>
        </w:rPr>
      </w:pPr>
      <w:bookmarkStart w:id="17" w:name="_Toc66352328"/>
      <w:r w:rsidRPr="007C3AE4">
        <w:rPr>
          <w:rFonts w:ascii="Palatino Linotype" w:eastAsia="MS Mincho" w:hAnsi="Palatino Linotype" w:cstheme="majorBidi"/>
          <w:b/>
          <w:sz w:val="24"/>
          <w:szCs w:val="24"/>
          <w:lang w:val="es-ES_tradnl" w:eastAsia="es-ES"/>
        </w:rPr>
        <w:t>De la fuente obligacional del Sujeto Obligado</w:t>
      </w:r>
      <w:bookmarkEnd w:id="17"/>
      <w:r w:rsidRPr="007C3AE4">
        <w:rPr>
          <w:rFonts w:ascii="Palatino Linotype" w:eastAsia="MS Mincho" w:hAnsi="Palatino Linotype" w:cstheme="majorBidi"/>
          <w:b/>
          <w:sz w:val="24"/>
          <w:szCs w:val="24"/>
          <w:lang w:val="es-ES_tradnl" w:eastAsia="es-ES"/>
        </w:rPr>
        <w:t xml:space="preserve"> </w:t>
      </w:r>
    </w:p>
    <w:p w14:paraId="7419D559" w14:textId="77777777" w:rsidR="00970D88" w:rsidRPr="007C3AE4" w:rsidRDefault="00970D88" w:rsidP="00970D88">
      <w:pPr>
        <w:rPr>
          <w:lang w:val="es-ES_tradnl" w:eastAsia="es-ES"/>
        </w:rPr>
      </w:pPr>
    </w:p>
    <w:p w14:paraId="1E1ABAC2" w14:textId="77777777" w:rsidR="00970D88" w:rsidRPr="007C3AE4" w:rsidRDefault="00361530" w:rsidP="002313B0">
      <w:pPr>
        <w:pStyle w:val="Prrafodelista"/>
        <w:numPr>
          <w:ilvl w:val="0"/>
          <w:numId w:val="19"/>
        </w:numPr>
        <w:spacing w:after="0" w:line="360" w:lineRule="auto"/>
        <w:jc w:val="both"/>
        <w:outlineLvl w:val="0"/>
        <w:rPr>
          <w:rFonts w:ascii="Palatino Linotype" w:eastAsia="MS Mincho" w:hAnsi="Palatino Linotype" w:cstheme="majorBidi"/>
          <w:b/>
          <w:sz w:val="24"/>
          <w:szCs w:val="24"/>
          <w:lang w:val="es-ES_tradnl" w:eastAsia="es-ES"/>
        </w:rPr>
      </w:pPr>
      <w:bookmarkStart w:id="18" w:name="_Toc66352329"/>
      <w:r w:rsidRPr="007C3AE4">
        <w:rPr>
          <w:rFonts w:ascii="Palatino Linotype" w:eastAsia="MS Mincho" w:hAnsi="Palatino Linotype" w:cstheme="majorBidi"/>
          <w:b/>
          <w:sz w:val="24"/>
          <w:szCs w:val="24"/>
          <w:lang w:val="es-ES_tradnl" w:eastAsia="es-ES"/>
        </w:rPr>
        <w:t>Atribuciones para generar, posee y administrar la información</w:t>
      </w:r>
      <w:r w:rsidR="00970D88" w:rsidRPr="007C3AE4">
        <w:rPr>
          <w:rFonts w:ascii="Palatino Linotype" w:eastAsia="MS Mincho" w:hAnsi="Palatino Linotype" w:cstheme="majorBidi"/>
          <w:b/>
          <w:sz w:val="24"/>
          <w:szCs w:val="24"/>
          <w:lang w:val="es-ES_tradnl" w:eastAsia="es-ES"/>
        </w:rPr>
        <w:t>.</w:t>
      </w:r>
      <w:bookmarkEnd w:id="18"/>
    </w:p>
    <w:p w14:paraId="027B6F09" w14:textId="77777777" w:rsidR="00970D88" w:rsidRPr="007C3AE4" w:rsidRDefault="00970D88" w:rsidP="00970D88">
      <w:pPr>
        <w:spacing w:after="0" w:line="360" w:lineRule="auto"/>
        <w:ind w:left="360"/>
        <w:contextualSpacing/>
        <w:jc w:val="both"/>
        <w:rPr>
          <w:rFonts w:ascii="Palatino Linotype" w:eastAsia="MS Mincho" w:hAnsi="Palatino Linotype" w:cstheme="majorBidi"/>
          <w:sz w:val="24"/>
          <w:szCs w:val="24"/>
          <w:lang w:val="es-ES_tradnl" w:eastAsia="es-ES"/>
        </w:rPr>
      </w:pPr>
    </w:p>
    <w:p w14:paraId="545F557B" w14:textId="77777777" w:rsidR="00361530" w:rsidRPr="007C3AE4" w:rsidRDefault="003C6489" w:rsidP="00970D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De acuerdo a lo establecido por Ley Orgánica de la Administración Pública del Estado de México, establece en sus artículo</w:t>
      </w:r>
      <w:r w:rsidR="005E4864" w:rsidRPr="007C3AE4">
        <w:rPr>
          <w:rFonts w:ascii="Palatino Linotype" w:eastAsia="MS Mincho" w:hAnsi="Palatino Linotype" w:cstheme="majorBidi"/>
          <w:sz w:val="24"/>
          <w:szCs w:val="24"/>
          <w:lang w:val="es-ES_tradnl" w:eastAsia="es-ES"/>
        </w:rPr>
        <w:t>s</w:t>
      </w:r>
      <w:r w:rsidRPr="007C3AE4">
        <w:rPr>
          <w:rFonts w:ascii="Palatino Linotype" w:eastAsia="MS Mincho" w:hAnsi="Palatino Linotype" w:cstheme="majorBidi"/>
          <w:sz w:val="24"/>
          <w:szCs w:val="24"/>
          <w:lang w:val="es-ES_tradnl" w:eastAsia="es-ES"/>
        </w:rPr>
        <w:t xml:space="preserve"> 25 </w:t>
      </w:r>
      <w:r w:rsidR="00497200" w:rsidRPr="007C3AE4">
        <w:rPr>
          <w:rFonts w:ascii="Palatino Linotype" w:eastAsia="MS Mincho" w:hAnsi="Palatino Linotype" w:cstheme="majorBidi"/>
          <w:sz w:val="24"/>
          <w:szCs w:val="24"/>
          <w:lang w:val="es-ES_tradnl" w:eastAsia="es-ES"/>
        </w:rPr>
        <w:t>y 26 lo relativo al despacho de los asuntos de su competencia de la Secretaria de Salud.</w:t>
      </w:r>
    </w:p>
    <w:p w14:paraId="685F25C7" w14:textId="77777777" w:rsidR="00052D37" w:rsidRPr="007C3AE4" w:rsidRDefault="00497200" w:rsidP="00052D37">
      <w:pPr>
        <w:spacing w:before="100" w:beforeAutospacing="1" w:after="100" w:afterAutospacing="1" w:line="240" w:lineRule="auto"/>
        <w:ind w:left="567" w:right="615"/>
        <w:jc w:val="both"/>
        <w:rPr>
          <w:rFonts w:ascii="Palatino Linotype" w:eastAsia="Times New Roman" w:hAnsi="Palatino Linotype" w:cs="Times New Roman"/>
          <w:b/>
          <w:bCs/>
          <w:i/>
          <w:lang w:eastAsia="es-MX"/>
        </w:rPr>
      </w:pPr>
      <w:r w:rsidRPr="007C3AE4">
        <w:rPr>
          <w:rFonts w:ascii="Palatino Linotype" w:eastAsia="Times New Roman" w:hAnsi="Palatino Linotype" w:cs="Times New Roman"/>
          <w:b/>
          <w:bCs/>
          <w:i/>
          <w:lang w:eastAsia="es-MX"/>
        </w:rPr>
        <w:t>A</w:t>
      </w:r>
      <w:r w:rsidR="000041F7" w:rsidRPr="007C3AE4">
        <w:rPr>
          <w:rFonts w:ascii="Palatino Linotype" w:eastAsia="Times New Roman" w:hAnsi="Palatino Linotype" w:cs="Times New Roman"/>
          <w:b/>
          <w:bCs/>
          <w:i/>
          <w:lang w:eastAsia="es-MX"/>
        </w:rPr>
        <w:t>rtículo 25.-</w:t>
      </w:r>
      <w:r w:rsidR="000041F7" w:rsidRPr="007C3AE4">
        <w:rPr>
          <w:rFonts w:ascii="Palatino Linotype" w:eastAsia="Times New Roman" w:hAnsi="Palatino Linotype" w:cs="Times New Roman"/>
          <w:i/>
          <w:lang w:eastAsia="es-MX"/>
        </w:rPr>
        <w:t> La Secretaría de Salud es la dependencia encargada de conducir la política estatal en materia de salud en los términos de la legislación aplicable.</w:t>
      </w:r>
      <w:r w:rsidR="000041F7" w:rsidRPr="007C3AE4">
        <w:rPr>
          <w:rFonts w:ascii="Palatino Linotype" w:eastAsia="Times New Roman" w:hAnsi="Palatino Linotype" w:cs="Times New Roman"/>
          <w:i/>
          <w:lang w:eastAsia="es-MX"/>
        </w:rPr>
        <w:br/>
      </w:r>
    </w:p>
    <w:p w14:paraId="253928D3" w14:textId="77777777" w:rsidR="000041F7" w:rsidRPr="007C3AE4" w:rsidRDefault="000041F7" w:rsidP="00052D37">
      <w:pPr>
        <w:spacing w:before="100" w:beforeAutospacing="1" w:after="100" w:afterAutospacing="1" w:line="240" w:lineRule="auto"/>
        <w:ind w:left="567" w:right="615"/>
        <w:jc w:val="both"/>
        <w:rPr>
          <w:rFonts w:ascii="Palatino Linotype" w:eastAsia="Times New Roman" w:hAnsi="Palatino Linotype" w:cs="Times New Roman"/>
          <w:i/>
          <w:lang w:eastAsia="es-MX"/>
        </w:rPr>
      </w:pPr>
      <w:r w:rsidRPr="007C3AE4">
        <w:rPr>
          <w:rFonts w:ascii="Palatino Linotype" w:eastAsia="Times New Roman" w:hAnsi="Palatino Linotype" w:cs="Times New Roman"/>
          <w:b/>
          <w:bCs/>
          <w:i/>
          <w:lang w:eastAsia="es-MX"/>
        </w:rPr>
        <w:t>Artículo 26.- </w:t>
      </w:r>
      <w:r w:rsidRPr="007C3AE4">
        <w:rPr>
          <w:rFonts w:ascii="Palatino Linotype" w:eastAsia="Times New Roman" w:hAnsi="Palatino Linotype" w:cs="Times New Roman"/>
          <w:i/>
          <w:lang w:eastAsia="es-MX"/>
        </w:rPr>
        <w:t>A la Secretaría de Salud corresponde el despacho de los siguientes asuntos:</w:t>
      </w:r>
    </w:p>
    <w:p w14:paraId="1CDFDEDA" w14:textId="77777777" w:rsidR="000041F7" w:rsidRPr="007C3AE4" w:rsidRDefault="000041F7" w:rsidP="00052D37">
      <w:pPr>
        <w:numPr>
          <w:ilvl w:val="0"/>
          <w:numId w:val="12"/>
        </w:numPr>
        <w:tabs>
          <w:tab w:val="clear" w:pos="928"/>
        </w:tabs>
        <w:spacing w:before="100" w:beforeAutospacing="1" w:after="100" w:afterAutospacing="1" w:line="240" w:lineRule="auto"/>
        <w:ind w:left="993" w:right="615" w:hanging="426"/>
        <w:jc w:val="both"/>
        <w:rPr>
          <w:rFonts w:ascii="Palatino Linotype" w:eastAsia="Times New Roman" w:hAnsi="Palatino Linotype" w:cs="Times New Roman"/>
          <w:b/>
          <w:i/>
          <w:lang w:eastAsia="es-MX"/>
        </w:rPr>
      </w:pPr>
      <w:r w:rsidRPr="007C3AE4">
        <w:rPr>
          <w:rFonts w:ascii="Palatino Linotype" w:eastAsia="Times New Roman" w:hAnsi="Palatino Linotype" w:cs="Times New Roman"/>
          <w:b/>
          <w:i/>
          <w:lang w:eastAsia="es-MX"/>
        </w:rPr>
        <w:t>Ejercer las atribuciones que en materia de salud le correspondan al titular del Ejecutivo Estatal, de acuerdo a la Ley General de Salud, la Ley de Salud del Estado de México, sus reglamentos y demás disposiciones aplicables;</w:t>
      </w:r>
    </w:p>
    <w:p w14:paraId="53750D83" w14:textId="77777777" w:rsidR="000041F7" w:rsidRPr="007C3AE4" w:rsidRDefault="000041F7" w:rsidP="00052D37">
      <w:pPr>
        <w:numPr>
          <w:ilvl w:val="0"/>
          <w:numId w:val="12"/>
        </w:numPr>
        <w:tabs>
          <w:tab w:val="clear" w:pos="928"/>
        </w:tabs>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b/>
          <w:i/>
          <w:lang w:eastAsia="es-MX"/>
        </w:rPr>
        <w:t>Conducir la política estatal en materia de salud, en los términos de la Ley de Salud del Estado de México</w:t>
      </w:r>
      <w:r w:rsidRPr="007C3AE4">
        <w:rPr>
          <w:rFonts w:ascii="Palatino Linotype" w:eastAsia="Times New Roman" w:hAnsi="Palatino Linotype" w:cs="Times New Roman"/>
          <w:i/>
          <w:lang w:eastAsia="es-MX"/>
        </w:rPr>
        <w:t xml:space="preserve"> y demás disposiciones aplicables, de conformidad con el Sistema Nacional de Salud;</w:t>
      </w:r>
    </w:p>
    <w:p w14:paraId="4C943CE5"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Elaborar en coordinación con las autoridades competentes los programas de salud y presentados a la aprobación del Gobernador del Estado;</w:t>
      </w:r>
    </w:p>
    <w:p w14:paraId="6DF10304"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Coordinar la participación de todas las instituciones de los sectores público, social y privado en la ejecución de las políticas de salud de la entidad;</w:t>
      </w:r>
    </w:p>
    <w:p w14:paraId="520DAAE3"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b/>
          <w:i/>
          <w:lang w:eastAsia="es-MX"/>
        </w:rPr>
        <w:lastRenderedPageBreak/>
        <w:t>Planear, organizar, dirigir, coordinar y evaluar el Sistema Estatal de Salud</w:t>
      </w:r>
      <w:r w:rsidRPr="007C3AE4">
        <w:rPr>
          <w:rFonts w:ascii="Palatino Linotype" w:eastAsia="Times New Roman" w:hAnsi="Palatino Linotype" w:cs="Times New Roman"/>
          <w:i/>
          <w:lang w:eastAsia="es-MX"/>
        </w:rPr>
        <w:t>, con base en la legislación en la materia;</w:t>
      </w:r>
    </w:p>
    <w:p w14:paraId="716198CF"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b/>
          <w:i/>
          <w:lang w:eastAsia="es-MX"/>
        </w:rPr>
        <w:t>Coordinar la prestación de servicios de atención médica, salud pública y regulación sanitaria en el Estado</w:t>
      </w:r>
      <w:r w:rsidRPr="007C3AE4">
        <w:rPr>
          <w:rFonts w:ascii="Palatino Linotype" w:eastAsia="Times New Roman" w:hAnsi="Palatino Linotype" w:cs="Times New Roman"/>
          <w:i/>
          <w:lang w:eastAsia="es-MX"/>
        </w:rPr>
        <w:t>; y convenir en lo conducente, con cualquier otro sector que promueva acciones en estas materias;</w:t>
      </w:r>
    </w:p>
    <w:p w14:paraId="48302EF1"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Planear, operar, controlar y evaluar el Sistema Estatal de Donación de Órganos Humanos para trasplante;</w:t>
      </w:r>
    </w:p>
    <w:p w14:paraId="7B85A332"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w:t>
      </w:r>
    </w:p>
    <w:p w14:paraId="50D2B896"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Impulsar la descentralización y desconcentración de los servicios de salud a los municipios, mediante los convenios que al efecto se suscriban, en términos de la Ley de Salud del Estado de México y demás disposiciones legales en la materia;</w:t>
      </w:r>
    </w:p>
    <w:p w14:paraId="3F004369"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Proponer al Ejecutivo Estatal, para su aprobación, acuerdos de coordinación con las instituciones del sector salud, tendientes a promover y apoyar los programas de medicina preventiva;</w:t>
      </w:r>
    </w:p>
    <w:p w14:paraId="0826E2B9"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Proponer e implementar la infraestructura sanitaria necesaria que procure niveles de sanidad mínimos entre la población;</w:t>
      </w:r>
    </w:p>
    <w:p w14:paraId="56D482EF"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Dictar las medidas de seguridad sanitaria que sean necesarias para proteger la salud de la población;</w:t>
      </w:r>
    </w:p>
    <w:p w14:paraId="31AFFFB7"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w:t>
      </w:r>
    </w:p>
    <w:p w14:paraId="47F1D0BE"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Coordinar la realización de campañas para prevenir y atacar las epidemias y enfermedades que por su naturaleza requieran de atención y cuidados especiales;</w:t>
      </w:r>
    </w:p>
    <w:p w14:paraId="22E1EAE2"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Realizar, en coordinación con otras instancias públicas, sociales y privadas, campañas de concientización, educación, capacitación sanitaria y de salud, que contribuyan a mejorar las condiciones de vida de la población del Estado;</w:t>
      </w:r>
    </w:p>
    <w:p w14:paraId="4FFC9C1E"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Desarrollar acciones encaminadas a erradicar las enfermedades transmisibles, así como los factores que afecten la salud, o propicien el alcoholismo, las toxicomanías y otros vicios sociales;</w:t>
      </w:r>
    </w:p>
    <w:p w14:paraId="28FE17B2"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Establecer, coordinar y ejecutar, con la participación de otras instituciones asistenciales públicas y privadas, programas para la asistencia, prevención, atención y tratamiento a las personas discapacitadas;</w:t>
      </w:r>
    </w:p>
    <w:p w14:paraId="36DFD79D"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Vigilar que se apliquen las normas oficiales mexicanas, en materia de salud, que emitan las autoridades federales;</w:t>
      </w:r>
    </w:p>
    <w:p w14:paraId="445F749B"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 xml:space="preserve">Coordinar, supervisar e inspeccionar los centros educativos, para proteger la salud del educando y de la comunidad escolar, los servicios de medicina legal de salud en </w:t>
      </w:r>
      <w:r w:rsidRPr="007C3AE4">
        <w:rPr>
          <w:rFonts w:ascii="Palatino Linotype" w:eastAsia="Times New Roman" w:hAnsi="Palatino Linotype" w:cs="Times New Roman"/>
          <w:i/>
          <w:lang w:eastAsia="es-MX"/>
        </w:rPr>
        <w:lastRenderedPageBreak/>
        <w:t>apoyo a la procuración de justicia, así como la atención médica a la población interna en los centros preventivos y de readaptación social;</w:t>
      </w:r>
    </w:p>
    <w:p w14:paraId="1D093E98"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Participar con las dependencias competentes y con las autoridades federales y municipales en la prevención o tratamiento de problemas ambientales;</w:t>
      </w:r>
    </w:p>
    <w:p w14:paraId="06B3105C"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Organizar congresos, talleres, conferencias y demás eventos que coadyuven a la capacitación y actualización de los conocimientos del personal médico en materia de salud;</w:t>
      </w:r>
    </w:p>
    <w:p w14:paraId="1E87434F"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b/>
          <w:i/>
          <w:lang w:eastAsia="es-MX"/>
        </w:rPr>
      </w:pPr>
      <w:r w:rsidRPr="007C3AE4">
        <w:rPr>
          <w:rFonts w:ascii="Palatino Linotype" w:eastAsia="Times New Roman" w:hAnsi="Palatino Linotype" w:cs="Times New Roman"/>
          <w:i/>
          <w:lang w:eastAsia="es-MX"/>
        </w:rPr>
        <w:t xml:space="preserve">Verificar el cumplimiento de las normas establecidas para la prestación de servicios de salud, por parte de los sectores público, social y privado en el Estado, </w:t>
      </w:r>
      <w:r w:rsidRPr="007C3AE4">
        <w:rPr>
          <w:rFonts w:ascii="Palatino Linotype" w:eastAsia="Times New Roman" w:hAnsi="Palatino Linotype" w:cs="Times New Roman"/>
          <w:b/>
          <w:i/>
          <w:lang w:eastAsia="es-MX"/>
        </w:rPr>
        <w:t>vigilando que se aplique el cuadro básico de insumos para la salud;</w:t>
      </w:r>
    </w:p>
    <w:p w14:paraId="462DF5C8"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Vigilar, en coordinación con las autoridades educativas, al ejercicio de los profesionales, técnicos y auxiliares de la salud en la prestación de sus servicios;</w:t>
      </w:r>
    </w:p>
    <w:p w14:paraId="6C3AC974"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Efectuar el control higiénico e inspección sobre preparación, posesión, uso, suministro</w:t>
      </w:r>
      <w:r w:rsidRPr="007C3AE4">
        <w:rPr>
          <w:rFonts w:ascii="Palatino Linotype" w:eastAsia="Times New Roman" w:hAnsi="Palatino Linotype" w:cs="Times New Roman"/>
          <w:b/>
          <w:i/>
          <w:u w:val="single"/>
          <w:lang w:eastAsia="es-MX"/>
        </w:rPr>
        <w:t>,</w:t>
      </w:r>
      <w:r w:rsidRPr="007C3AE4">
        <w:rPr>
          <w:rFonts w:ascii="Palatino Linotype" w:eastAsia="Times New Roman" w:hAnsi="Palatino Linotype" w:cs="Times New Roman"/>
          <w:i/>
          <w:lang w:eastAsia="es-MX"/>
        </w:rPr>
        <w:t xml:space="preserve"> importación, exportación y circulación de comestibles y bebidas;</w:t>
      </w:r>
    </w:p>
    <w:p w14:paraId="264F5224"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Controlar la preparación, posesión, uso, suministro, importación, exportación y distribución de productos medicinales, a excepción de los de uso veterinario;</w:t>
      </w:r>
    </w:p>
    <w:p w14:paraId="4C0EF13D"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Vigilar y supervisar la operación de clínicas, hospitales y consultorios públicos y privados, a fin de que operen conforme a los términos de las leyes en la materia;</w:t>
      </w:r>
    </w:p>
    <w:p w14:paraId="744999E8"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b/>
          <w:i/>
          <w:lang w:eastAsia="es-MX"/>
        </w:rPr>
        <w:t>Adquirir, con sujeción a las bases y procedimientos relativos, el equipo instrumental médico que requieran las unidades aplicativas</w:t>
      </w:r>
      <w:r w:rsidRPr="007C3AE4">
        <w:rPr>
          <w:rFonts w:ascii="Palatino Linotype" w:eastAsia="Times New Roman" w:hAnsi="Palatino Linotype" w:cs="Times New Roman"/>
          <w:i/>
          <w:lang w:eastAsia="es-MX"/>
        </w:rPr>
        <w:t>, así como contratar, en su caso, los servicios para su reparación y mantenimiento, observando las disposiciones en la materia;</w:t>
      </w:r>
    </w:p>
    <w:p w14:paraId="46A256F0"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Participar en el establecimiento y expedición, en coordinación con las dependencias competentes del Ejecutivo Estatal, de las bases y normas a las que deben sujetarse los concursos para la ejecución de obras del sector salud; y</w:t>
      </w:r>
    </w:p>
    <w:p w14:paraId="5CEE0030" w14:textId="77777777" w:rsidR="000041F7" w:rsidRPr="007C3AE4" w:rsidRDefault="000041F7" w:rsidP="00052D37">
      <w:pPr>
        <w:numPr>
          <w:ilvl w:val="0"/>
          <w:numId w:val="12"/>
        </w:numPr>
        <w:spacing w:before="100" w:beforeAutospacing="1" w:after="100" w:afterAutospacing="1" w:line="240" w:lineRule="auto"/>
        <w:ind w:left="993" w:right="615" w:hanging="426"/>
        <w:jc w:val="both"/>
        <w:rPr>
          <w:rFonts w:ascii="Palatino Linotype" w:eastAsia="Times New Roman" w:hAnsi="Palatino Linotype" w:cs="Times New Roman"/>
          <w:i/>
          <w:lang w:eastAsia="es-MX"/>
        </w:rPr>
      </w:pPr>
      <w:r w:rsidRPr="007C3AE4">
        <w:rPr>
          <w:rFonts w:ascii="Palatino Linotype" w:eastAsia="Times New Roman" w:hAnsi="Palatino Linotype" w:cs="Times New Roman"/>
          <w:i/>
          <w:lang w:eastAsia="es-MX"/>
        </w:rPr>
        <w:t>Las demás que señalen las leyes, reglamentos y disposiciones en la materia.</w:t>
      </w:r>
    </w:p>
    <w:p w14:paraId="318A2AD3" w14:textId="77777777" w:rsidR="00361530" w:rsidRPr="007C3AE4" w:rsidRDefault="00361530" w:rsidP="00497200">
      <w:pPr>
        <w:spacing w:after="0" w:line="360" w:lineRule="auto"/>
        <w:ind w:left="360"/>
        <w:contextualSpacing/>
        <w:jc w:val="both"/>
        <w:rPr>
          <w:rFonts w:ascii="Palatino Linotype" w:eastAsia="MS Mincho" w:hAnsi="Palatino Linotype" w:cstheme="majorBidi"/>
          <w:sz w:val="24"/>
          <w:szCs w:val="24"/>
          <w:lang w:val="es-ES_tradnl" w:eastAsia="es-ES"/>
        </w:rPr>
      </w:pPr>
    </w:p>
    <w:p w14:paraId="1C999E05" w14:textId="77777777" w:rsidR="00361530" w:rsidRPr="007C3AE4" w:rsidRDefault="005E4864" w:rsidP="00970D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De lo anteriormente transcrito se puede observar que el </w:t>
      </w:r>
      <w:r w:rsidRPr="007C3AE4">
        <w:rPr>
          <w:rFonts w:ascii="Palatino Linotype" w:eastAsia="MS Mincho" w:hAnsi="Palatino Linotype" w:cstheme="majorBidi"/>
          <w:b/>
          <w:sz w:val="24"/>
          <w:szCs w:val="24"/>
          <w:lang w:val="es-ES_tradnl" w:eastAsia="es-ES"/>
        </w:rPr>
        <w:t xml:space="preserve">SUJETO OBLIGADO </w:t>
      </w:r>
      <w:r w:rsidRPr="007C3AE4">
        <w:rPr>
          <w:rFonts w:ascii="Palatino Linotype" w:eastAsia="MS Mincho" w:hAnsi="Palatino Linotype" w:cstheme="majorBidi"/>
          <w:sz w:val="24"/>
          <w:szCs w:val="24"/>
          <w:lang w:val="es-ES_tradnl" w:eastAsia="es-ES"/>
        </w:rPr>
        <w:t>se rigen por la</w:t>
      </w:r>
      <w:r w:rsidRPr="007C3AE4">
        <w:rPr>
          <w:rFonts w:ascii="Palatino Linotype" w:eastAsia="MS Mincho" w:hAnsi="Palatino Linotype" w:cstheme="majorBidi"/>
          <w:b/>
          <w:sz w:val="24"/>
          <w:szCs w:val="24"/>
          <w:lang w:val="es-ES_tradnl" w:eastAsia="es-ES"/>
        </w:rPr>
        <w:t xml:space="preserve"> </w:t>
      </w:r>
      <w:r w:rsidRPr="007C3AE4">
        <w:rPr>
          <w:rFonts w:ascii="Palatino Linotype" w:eastAsia="MS Mincho" w:hAnsi="Palatino Linotype" w:cstheme="majorBidi"/>
          <w:sz w:val="24"/>
          <w:szCs w:val="24"/>
          <w:lang w:eastAsia="es-ES"/>
        </w:rPr>
        <w:t>Ley General de Salud, la Ley de Salud del Estado de México, sus reglamentos, asimismo</w:t>
      </w:r>
      <w:r w:rsidRPr="007C3AE4">
        <w:rPr>
          <w:rFonts w:ascii="Palatino Linotype" w:eastAsia="MS Mincho" w:hAnsi="Palatino Linotype" w:cstheme="majorBidi"/>
          <w:b/>
          <w:i/>
          <w:sz w:val="24"/>
          <w:szCs w:val="24"/>
          <w:lang w:eastAsia="es-ES"/>
        </w:rPr>
        <w:t xml:space="preserve"> </w:t>
      </w:r>
      <w:r w:rsidRPr="007C3AE4">
        <w:rPr>
          <w:rFonts w:ascii="Palatino Linotype" w:eastAsia="MS Mincho" w:hAnsi="Palatino Linotype" w:cstheme="majorBidi"/>
          <w:sz w:val="24"/>
          <w:szCs w:val="24"/>
          <w:lang w:val="es-ES_tradnl" w:eastAsia="es-ES"/>
        </w:rPr>
        <w:t xml:space="preserve">este deberá de </w:t>
      </w:r>
      <w:r w:rsidRPr="007C3AE4">
        <w:rPr>
          <w:rFonts w:ascii="Palatino Linotype" w:eastAsia="Times New Roman" w:hAnsi="Palatino Linotype" w:cs="Times New Roman"/>
          <w:lang w:eastAsia="es-MX"/>
        </w:rPr>
        <w:t>conducir la política estatal en materia de salud, planear, organizar, dirigir, coordinar y evaluar el Sistema Estatal de Salud, Coordinar la prestación de servicios de atención médica, salud pública, entre otras más atribuciones.</w:t>
      </w:r>
    </w:p>
    <w:p w14:paraId="4C4FF697" w14:textId="77777777" w:rsidR="005E4864" w:rsidRPr="007C3AE4" w:rsidRDefault="005E4864" w:rsidP="005E4864">
      <w:pPr>
        <w:spacing w:after="0" w:line="360" w:lineRule="auto"/>
        <w:ind w:left="360"/>
        <w:contextualSpacing/>
        <w:jc w:val="both"/>
        <w:rPr>
          <w:rFonts w:ascii="Palatino Linotype" w:eastAsia="MS Mincho" w:hAnsi="Palatino Linotype" w:cstheme="majorBidi"/>
          <w:sz w:val="24"/>
          <w:szCs w:val="24"/>
          <w:lang w:val="es-ES_tradnl" w:eastAsia="es-ES"/>
        </w:rPr>
      </w:pPr>
    </w:p>
    <w:p w14:paraId="32B3D15A" w14:textId="77777777" w:rsidR="00361530" w:rsidRPr="007C3AE4" w:rsidRDefault="005E4864" w:rsidP="00970D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lastRenderedPageBreak/>
        <w:t xml:space="preserve">Ahora </w:t>
      </w:r>
      <w:proofErr w:type="gramStart"/>
      <w:r w:rsidRPr="007C3AE4">
        <w:rPr>
          <w:rFonts w:ascii="Palatino Linotype" w:eastAsia="MS Mincho" w:hAnsi="Palatino Linotype" w:cstheme="majorBidi"/>
          <w:sz w:val="24"/>
          <w:szCs w:val="24"/>
          <w:lang w:val="es-ES_tradnl" w:eastAsia="es-ES"/>
        </w:rPr>
        <w:t>bien</w:t>
      </w:r>
      <w:proofErr w:type="gramEnd"/>
      <w:r w:rsidRPr="007C3AE4">
        <w:rPr>
          <w:rFonts w:ascii="Palatino Linotype" w:eastAsia="MS Mincho" w:hAnsi="Palatino Linotype" w:cstheme="majorBidi"/>
          <w:sz w:val="24"/>
          <w:szCs w:val="24"/>
          <w:lang w:val="es-ES_tradnl" w:eastAsia="es-ES"/>
        </w:rPr>
        <w:t xml:space="preserve"> de acuerdo con lo establecido por </w:t>
      </w:r>
      <w:r w:rsidRPr="007C3AE4">
        <w:rPr>
          <w:rFonts w:ascii="Palatino Linotype" w:eastAsia="MS Mincho" w:hAnsi="Palatino Linotype" w:cstheme="majorBidi"/>
          <w:sz w:val="24"/>
          <w:szCs w:val="24"/>
          <w:lang w:eastAsia="es-ES"/>
        </w:rPr>
        <w:t xml:space="preserve">Reglamento de Salud del Estado de México, en sus artículos </w:t>
      </w:r>
      <w:r w:rsidR="00D374E4" w:rsidRPr="007C3AE4">
        <w:rPr>
          <w:rFonts w:ascii="Palatino Linotype" w:eastAsia="MS Mincho" w:hAnsi="Palatino Linotype" w:cstheme="majorBidi"/>
          <w:sz w:val="24"/>
          <w:szCs w:val="24"/>
          <w:lang w:eastAsia="es-ES"/>
        </w:rPr>
        <w:t xml:space="preserve">10, </w:t>
      </w:r>
      <w:r w:rsidRPr="007C3AE4">
        <w:rPr>
          <w:rFonts w:ascii="Palatino Linotype" w:eastAsia="MS Mincho" w:hAnsi="Palatino Linotype" w:cstheme="majorBidi"/>
          <w:sz w:val="24"/>
          <w:szCs w:val="24"/>
          <w:lang w:eastAsia="es-ES"/>
        </w:rPr>
        <w:t>13 y 14 fracción I y II, lo siguiente:</w:t>
      </w:r>
    </w:p>
    <w:p w14:paraId="37734303" w14:textId="77777777" w:rsidR="00D374E4" w:rsidRPr="007C3AE4" w:rsidRDefault="00D374E4" w:rsidP="00D374E4">
      <w:pPr>
        <w:pStyle w:val="Prrafodelista"/>
        <w:rPr>
          <w:rFonts w:ascii="Palatino Linotype" w:eastAsia="MS Mincho" w:hAnsi="Palatino Linotype" w:cstheme="majorBidi"/>
          <w:sz w:val="24"/>
          <w:szCs w:val="24"/>
          <w:lang w:val="es-ES_tradnl" w:eastAsia="es-ES"/>
        </w:rPr>
      </w:pPr>
    </w:p>
    <w:p w14:paraId="5BDE9158" w14:textId="77777777" w:rsidR="00D374E4" w:rsidRPr="007C3AE4" w:rsidRDefault="00D374E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i/>
        </w:rPr>
        <w:t xml:space="preserve">Artículo 10.- </w:t>
      </w:r>
      <w:r w:rsidRPr="007C3AE4">
        <w:rPr>
          <w:rFonts w:ascii="Palatino Linotype" w:hAnsi="Palatino Linotype" w:cs="Arial"/>
          <w:b/>
          <w:i/>
        </w:rPr>
        <w:t>La Secretaría y el Instituto, promoverán la participación, en el Sistema Estatal de Salud, de los prestadores de servicios de salud de los sectores público</w:t>
      </w:r>
      <w:r w:rsidRPr="007C3AE4">
        <w:rPr>
          <w:rFonts w:ascii="Palatino Linotype" w:hAnsi="Palatino Linotype" w:cs="Arial"/>
          <w:i/>
        </w:rPr>
        <w:t xml:space="preserve">, social y privado. Asimismo, </w:t>
      </w:r>
      <w:r w:rsidRPr="007C3AE4">
        <w:rPr>
          <w:rFonts w:ascii="Palatino Linotype" w:hAnsi="Palatino Linotype" w:cs="Arial"/>
          <w:b/>
          <w:i/>
        </w:rPr>
        <w:t>fomentarán la coordinación con los proveedores de insumos para la salud</w:t>
      </w:r>
      <w:r w:rsidRPr="007C3AE4">
        <w:rPr>
          <w:rFonts w:ascii="Palatino Linotype" w:hAnsi="Palatino Linotype" w:cs="Arial"/>
          <w:i/>
        </w:rPr>
        <w:t>, a fin de racionalizar y procurar la disponibilidad de éstos.</w:t>
      </w:r>
    </w:p>
    <w:p w14:paraId="047AD336" w14:textId="77777777" w:rsidR="005E4864" w:rsidRPr="007C3AE4" w:rsidRDefault="005E4864" w:rsidP="005E4864">
      <w:pPr>
        <w:pStyle w:val="Prrafodelista"/>
        <w:rPr>
          <w:rFonts w:ascii="Palatino Linotype" w:eastAsia="MS Mincho" w:hAnsi="Palatino Linotype" w:cstheme="majorBidi"/>
          <w:sz w:val="24"/>
          <w:szCs w:val="24"/>
          <w:lang w:val="es-ES_tradnl" w:eastAsia="es-ES"/>
        </w:rPr>
      </w:pPr>
    </w:p>
    <w:p w14:paraId="770563DB" w14:textId="77777777" w:rsidR="00D374E4" w:rsidRPr="007C3AE4" w:rsidRDefault="00D374E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b/>
          <w:i/>
        </w:rPr>
        <w:t>Artículo 13.-</w:t>
      </w:r>
      <w:r w:rsidRPr="007C3AE4">
        <w:rPr>
          <w:rFonts w:ascii="Palatino Linotype" w:hAnsi="Palatino Linotype" w:cs="Arial"/>
          <w:i/>
        </w:rPr>
        <w:t xml:space="preserve"> Para los efectos del derecho a la protección de la salud, </w:t>
      </w:r>
      <w:r w:rsidRPr="007C3AE4">
        <w:rPr>
          <w:rFonts w:ascii="Palatino Linotype" w:hAnsi="Palatino Linotype" w:cs="Arial"/>
          <w:b/>
          <w:i/>
        </w:rPr>
        <w:t xml:space="preserve">se consideran servicios básicos los referentes </w:t>
      </w:r>
      <w:r w:rsidRPr="007C3AE4">
        <w:rPr>
          <w:rFonts w:ascii="Palatino Linotype" w:hAnsi="Palatino Linotype" w:cs="Arial"/>
          <w:i/>
        </w:rPr>
        <w:t>a:</w:t>
      </w:r>
    </w:p>
    <w:p w14:paraId="24D4ACF7" w14:textId="77777777" w:rsidR="00D374E4" w:rsidRPr="007C3AE4" w:rsidRDefault="00D374E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i/>
        </w:rPr>
        <w:t>I a la VII…</w:t>
      </w:r>
    </w:p>
    <w:p w14:paraId="0DFC427F" w14:textId="77777777" w:rsidR="00D374E4" w:rsidRPr="007C3AE4" w:rsidRDefault="00D374E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b/>
          <w:i/>
        </w:rPr>
        <w:t>VIII. La disponibilidad de medicamentos</w:t>
      </w:r>
      <w:r w:rsidRPr="007C3AE4">
        <w:rPr>
          <w:rFonts w:ascii="Palatino Linotype" w:hAnsi="Palatino Linotype" w:cs="Arial"/>
          <w:i/>
        </w:rPr>
        <w:t xml:space="preserve"> y otros insumos esenciales para la salud.</w:t>
      </w:r>
    </w:p>
    <w:p w14:paraId="218FAF8C" w14:textId="77777777" w:rsidR="00D374E4" w:rsidRPr="007C3AE4" w:rsidRDefault="00D374E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i/>
        </w:rPr>
        <w:t xml:space="preserve">IX a la </w:t>
      </w:r>
      <w:proofErr w:type="gramStart"/>
      <w:r w:rsidRPr="007C3AE4">
        <w:rPr>
          <w:rFonts w:ascii="Palatino Linotype" w:hAnsi="Palatino Linotype" w:cs="Arial"/>
          <w:i/>
        </w:rPr>
        <w:t>XI..</w:t>
      </w:r>
      <w:proofErr w:type="gramEnd"/>
    </w:p>
    <w:p w14:paraId="204E442F" w14:textId="77777777" w:rsidR="00D374E4" w:rsidRPr="007C3AE4" w:rsidRDefault="00D374E4" w:rsidP="00D374E4">
      <w:pPr>
        <w:spacing w:after="0" w:line="360" w:lineRule="auto"/>
        <w:ind w:left="567" w:right="615"/>
        <w:contextualSpacing/>
        <w:jc w:val="both"/>
        <w:rPr>
          <w:rFonts w:ascii="Palatino Linotype" w:hAnsi="Palatino Linotype" w:cs="Arial"/>
          <w:i/>
        </w:rPr>
      </w:pPr>
    </w:p>
    <w:p w14:paraId="759A8CFF" w14:textId="77777777" w:rsidR="00D374E4" w:rsidRPr="007C3AE4" w:rsidRDefault="005E486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b/>
          <w:i/>
        </w:rPr>
        <w:t>Artículo 14</w:t>
      </w:r>
      <w:r w:rsidRPr="007C3AE4">
        <w:rPr>
          <w:rFonts w:ascii="Palatino Linotype" w:hAnsi="Palatino Linotype" w:cs="Arial"/>
          <w:i/>
        </w:rPr>
        <w:t xml:space="preserve">.- </w:t>
      </w:r>
      <w:r w:rsidRPr="007C3AE4">
        <w:rPr>
          <w:rFonts w:ascii="Palatino Linotype" w:hAnsi="Palatino Linotype" w:cs="Arial"/>
          <w:b/>
          <w:i/>
        </w:rPr>
        <w:t>La Secretaría y el Instituto coadyuvarán con las autoridades federales competentes para:</w:t>
      </w:r>
      <w:r w:rsidRPr="007C3AE4">
        <w:rPr>
          <w:rFonts w:ascii="Palatino Linotype" w:hAnsi="Palatino Linotype" w:cs="Arial"/>
          <w:i/>
        </w:rPr>
        <w:t xml:space="preserve"> </w:t>
      </w:r>
    </w:p>
    <w:p w14:paraId="45200F3E" w14:textId="77777777" w:rsidR="00D374E4" w:rsidRPr="007C3AE4" w:rsidRDefault="005E486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i/>
        </w:rPr>
        <w:t xml:space="preserve">I. Que </w:t>
      </w:r>
      <w:r w:rsidRPr="007C3AE4">
        <w:rPr>
          <w:rFonts w:ascii="Palatino Linotype" w:hAnsi="Palatino Linotype" w:cs="Arial"/>
          <w:b/>
          <w:i/>
        </w:rPr>
        <w:t>se garantice a la población del Estado la disponibilidad de medicamentos especiales y básicos.</w:t>
      </w:r>
    </w:p>
    <w:p w14:paraId="79F59A0F" w14:textId="77777777" w:rsidR="005E4864" w:rsidRPr="007C3AE4" w:rsidRDefault="005E4864" w:rsidP="00D374E4">
      <w:pPr>
        <w:spacing w:after="0" w:line="360" w:lineRule="auto"/>
        <w:ind w:left="567" w:right="615"/>
        <w:contextualSpacing/>
        <w:jc w:val="both"/>
        <w:rPr>
          <w:rFonts w:ascii="Palatino Linotype" w:hAnsi="Palatino Linotype" w:cs="Arial"/>
          <w:i/>
        </w:rPr>
      </w:pPr>
      <w:r w:rsidRPr="007C3AE4">
        <w:rPr>
          <w:rFonts w:ascii="Palatino Linotype" w:hAnsi="Palatino Linotype" w:cs="Arial"/>
          <w:i/>
        </w:rPr>
        <w:t>II. Que los establecimientos de los sectores público, social y privado dedicados al expendio de medicamentos y a la provisión de insumos para su elaboración, se ajusten a las disposiciones en la materia.</w:t>
      </w:r>
    </w:p>
    <w:p w14:paraId="5E2417CD" w14:textId="77777777" w:rsidR="00D374E4" w:rsidRPr="007C3AE4" w:rsidRDefault="00D374E4" w:rsidP="00D374E4">
      <w:pPr>
        <w:spacing w:after="0" w:line="360" w:lineRule="auto"/>
        <w:ind w:left="567" w:right="615"/>
        <w:contextualSpacing/>
        <w:jc w:val="both"/>
        <w:rPr>
          <w:rFonts w:ascii="Palatino Linotype" w:eastAsia="MS Mincho" w:hAnsi="Palatino Linotype" w:cs="Arial"/>
          <w:i/>
          <w:sz w:val="24"/>
          <w:szCs w:val="24"/>
          <w:lang w:val="es-ES_tradnl" w:eastAsia="es-ES"/>
        </w:rPr>
      </w:pPr>
      <w:r w:rsidRPr="007C3AE4">
        <w:rPr>
          <w:rFonts w:ascii="Palatino Linotype" w:hAnsi="Palatino Linotype" w:cs="Arial"/>
          <w:i/>
        </w:rPr>
        <w:t>…</w:t>
      </w:r>
    </w:p>
    <w:p w14:paraId="29B1F21C" w14:textId="77777777" w:rsidR="00361530" w:rsidRPr="007C3AE4" w:rsidRDefault="00D374E4" w:rsidP="00970D88">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proofErr w:type="gramStart"/>
      <w:r w:rsidRPr="007C3AE4">
        <w:rPr>
          <w:rFonts w:ascii="Palatino Linotype" w:eastAsia="MS Mincho" w:hAnsi="Palatino Linotype" w:cstheme="majorBidi"/>
          <w:sz w:val="24"/>
          <w:szCs w:val="24"/>
          <w:lang w:val="es-ES_tradnl" w:eastAsia="es-ES"/>
        </w:rPr>
        <w:t>Asimismo</w:t>
      </w:r>
      <w:proofErr w:type="gramEnd"/>
      <w:r w:rsidRPr="007C3AE4">
        <w:rPr>
          <w:rFonts w:ascii="Palatino Linotype" w:eastAsia="MS Mincho" w:hAnsi="Palatino Linotype" w:cstheme="majorBidi"/>
          <w:sz w:val="24"/>
          <w:szCs w:val="24"/>
          <w:lang w:val="es-ES_tradnl" w:eastAsia="es-ES"/>
        </w:rPr>
        <w:t xml:space="preserve"> el </w:t>
      </w:r>
      <w:r w:rsidRPr="007C3AE4">
        <w:rPr>
          <w:rFonts w:ascii="Palatino Linotype" w:eastAsia="MS Mincho" w:hAnsi="Palatino Linotype" w:cstheme="majorBidi"/>
          <w:sz w:val="24"/>
          <w:szCs w:val="24"/>
          <w:lang w:eastAsia="es-ES"/>
        </w:rPr>
        <w:t>Manual General de Organización Instituto de Salud del Estado de México</w:t>
      </w:r>
      <w:r w:rsidR="00052D37" w:rsidRPr="007C3AE4">
        <w:rPr>
          <w:rFonts w:ascii="Palatino Linotype" w:eastAsia="MS Mincho" w:hAnsi="Palatino Linotype" w:cstheme="majorBidi"/>
          <w:sz w:val="24"/>
          <w:szCs w:val="24"/>
          <w:lang w:eastAsia="es-ES"/>
        </w:rPr>
        <w:t>, refiere en sus diversos numerales lo correspondiente a:</w:t>
      </w:r>
    </w:p>
    <w:p w14:paraId="2AA1DF76" w14:textId="77777777" w:rsidR="00052D37" w:rsidRPr="007C3AE4" w:rsidRDefault="00052D37" w:rsidP="00052D37">
      <w:pPr>
        <w:spacing w:after="0" w:line="360" w:lineRule="auto"/>
        <w:ind w:left="360"/>
        <w:contextualSpacing/>
        <w:jc w:val="both"/>
        <w:rPr>
          <w:rFonts w:ascii="Palatino Linotype" w:eastAsia="MS Mincho" w:hAnsi="Palatino Linotype" w:cstheme="majorBidi"/>
          <w:sz w:val="24"/>
          <w:szCs w:val="24"/>
          <w:lang w:val="es-ES_tradnl" w:eastAsia="es-ES"/>
        </w:rPr>
      </w:pPr>
    </w:p>
    <w:p w14:paraId="1F0669B1" w14:textId="77777777" w:rsidR="00052D37" w:rsidRPr="007C3AE4" w:rsidRDefault="00052D37" w:rsidP="00052D37">
      <w:pPr>
        <w:spacing w:after="0" w:line="360" w:lineRule="auto"/>
        <w:ind w:left="567" w:right="615"/>
        <w:contextualSpacing/>
        <w:jc w:val="both"/>
        <w:rPr>
          <w:rFonts w:ascii="Palatino Linotype" w:hAnsi="Palatino Linotype"/>
          <w:b/>
          <w:i/>
        </w:rPr>
      </w:pPr>
      <w:r w:rsidRPr="007C3AE4">
        <w:rPr>
          <w:b/>
          <w:i/>
        </w:rPr>
        <w:lastRenderedPageBreak/>
        <w:t>2I</w:t>
      </w:r>
      <w:r w:rsidRPr="007C3AE4">
        <w:rPr>
          <w:rFonts w:ascii="Palatino Linotype" w:hAnsi="Palatino Linotype"/>
          <w:b/>
          <w:i/>
        </w:rPr>
        <w:t>7B600 0 UNIDAD ESTATAL DE PROTECCIÓN SOCIAL EN SALUD</w:t>
      </w:r>
    </w:p>
    <w:p w14:paraId="54116B24" w14:textId="77777777" w:rsidR="00052D37" w:rsidRPr="007C3AE4" w:rsidRDefault="00052D37" w:rsidP="00052D37">
      <w:pPr>
        <w:spacing w:after="0" w:line="360" w:lineRule="auto"/>
        <w:ind w:left="567" w:right="615"/>
        <w:contextualSpacing/>
        <w:jc w:val="both"/>
        <w:rPr>
          <w:rFonts w:ascii="Palatino Linotype" w:hAnsi="Palatino Linotype"/>
          <w:i/>
        </w:rPr>
      </w:pPr>
      <w:r w:rsidRPr="007C3AE4">
        <w:rPr>
          <w:rFonts w:ascii="Palatino Linotype" w:hAnsi="Palatino Linotype"/>
          <w:b/>
          <w:i/>
        </w:rPr>
        <w:t>OBJETIVO</w:t>
      </w:r>
      <w:r w:rsidRPr="007C3AE4">
        <w:rPr>
          <w:rFonts w:ascii="Palatino Linotype" w:hAnsi="Palatino Linotype"/>
          <w:i/>
        </w:rPr>
        <w:t>:</w:t>
      </w:r>
    </w:p>
    <w:p w14:paraId="3B4814A0" w14:textId="77777777" w:rsidR="00052D37" w:rsidRPr="007C3AE4" w:rsidRDefault="00052D37" w:rsidP="00052D37">
      <w:pPr>
        <w:spacing w:after="0" w:line="360" w:lineRule="auto"/>
        <w:ind w:left="567" w:right="615"/>
        <w:contextualSpacing/>
        <w:jc w:val="both"/>
        <w:rPr>
          <w:rFonts w:ascii="Palatino Linotype" w:hAnsi="Palatino Linotype"/>
          <w:i/>
        </w:rPr>
      </w:pPr>
      <w:r w:rsidRPr="007C3AE4">
        <w:rPr>
          <w:rFonts w:ascii="Palatino Linotype" w:hAnsi="Palatino Linotype"/>
          <w:i/>
        </w:rPr>
        <w:t xml:space="preserve"> Coordina la gestión y administrar Los recursos financieros, humanos y materiales provenientes de los programas de la Secretaría de Salud Federal y de la aportación solidaria destinados al financiamiento del Sistema de Protección Social en Salud, para coadyuvar en la provisión de los servicios de salud, contemplados en el Catálogo de Servicios Esenciales de Salud, bajo la coordinación de los servicios estatales de salud para las familias beneficiarias, así como coordinar y supervisar el proceso de promoción y afiliación de familias al sistema, vigencia de derechos de los beneficiarios, la administración de los recursos financieros y la rendición de cuentas.</w:t>
      </w:r>
    </w:p>
    <w:p w14:paraId="574C2214" w14:textId="77777777" w:rsidR="00052D37" w:rsidRPr="007C3AE4" w:rsidRDefault="00052D37" w:rsidP="00052D37">
      <w:pPr>
        <w:spacing w:after="0" w:line="360" w:lineRule="auto"/>
        <w:ind w:left="567" w:right="615"/>
        <w:contextualSpacing/>
        <w:jc w:val="both"/>
        <w:rPr>
          <w:rFonts w:ascii="Palatino Linotype" w:hAnsi="Palatino Linotype"/>
          <w:i/>
        </w:rPr>
      </w:pPr>
      <w:r w:rsidRPr="007C3AE4">
        <w:rPr>
          <w:rFonts w:ascii="Palatino Linotype" w:hAnsi="Palatino Linotype"/>
          <w:i/>
        </w:rPr>
        <w:t>FUNCIONES:</w:t>
      </w:r>
    </w:p>
    <w:p w14:paraId="1EC43EF2" w14:textId="77777777" w:rsidR="00052D37" w:rsidRPr="007C3AE4" w:rsidRDefault="00052D37" w:rsidP="00052D37">
      <w:pPr>
        <w:spacing w:after="0" w:line="360" w:lineRule="auto"/>
        <w:ind w:left="360"/>
        <w:contextualSpacing/>
        <w:jc w:val="both"/>
      </w:pPr>
      <w:r w:rsidRPr="007C3AE4">
        <w:t>…</w:t>
      </w:r>
    </w:p>
    <w:p w14:paraId="69AF900B"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eastAsia="es-ES"/>
        </w:rPr>
      </w:pPr>
      <w:r w:rsidRPr="007C3AE4">
        <w:rPr>
          <w:rFonts w:ascii="Palatino Linotype" w:eastAsia="MS Mincho" w:hAnsi="Palatino Linotype" w:cstheme="majorBidi"/>
          <w:i/>
          <w:lang w:eastAsia="es-ES"/>
        </w:rPr>
        <w:t xml:space="preserve">- </w:t>
      </w:r>
      <w:r w:rsidRPr="007C3AE4">
        <w:rPr>
          <w:rFonts w:ascii="Palatino Linotype" w:eastAsia="MS Mincho" w:hAnsi="Palatino Linotype" w:cstheme="majorBidi"/>
          <w:b/>
          <w:i/>
          <w:lang w:eastAsia="es-ES"/>
        </w:rPr>
        <w:t>Programar los recursos que sean necesarios para la adquisición de medicamentos</w:t>
      </w:r>
      <w:r w:rsidRPr="007C3AE4">
        <w:rPr>
          <w:rFonts w:ascii="Palatino Linotype" w:eastAsia="MS Mincho" w:hAnsi="Palatino Linotype" w:cstheme="majorBidi"/>
          <w:i/>
          <w:lang w:eastAsia="es-ES"/>
        </w:rPr>
        <w:t xml:space="preserve">, material de curación y para la contratación de recursos humanos </w:t>
      </w:r>
      <w:r w:rsidRPr="007C3AE4">
        <w:rPr>
          <w:rFonts w:ascii="Palatino Linotype" w:eastAsia="MS Mincho" w:hAnsi="Palatino Linotype" w:cstheme="majorBidi"/>
          <w:b/>
          <w:i/>
          <w:lang w:eastAsia="es-ES"/>
        </w:rPr>
        <w:t>de las unidades médicas de primer y segundo nivel de atención</w:t>
      </w:r>
      <w:r w:rsidRPr="007C3AE4">
        <w:rPr>
          <w:rFonts w:ascii="Palatino Linotype" w:eastAsia="MS Mincho" w:hAnsi="Palatino Linotype" w:cstheme="majorBidi"/>
          <w:i/>
          <w:lang w:eastAsia="es-ES"/>
        </w:rPr>
        <w:t xml:space="preserve"> en donde opere el sistema.</w:t>
      </w:r>
    </w:p>
    <w:p w14:paraId="0F35F6CD"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eastAsia="es-ES"/>
        </w:rPr>
      </w:pPr>
      <w:r w:rsidRPr="007C3AE4">
        <w:rPr>
          <w:rFonts w:ascii="Palatino Linotype" w:eastAsia="MS Mincho" w:hAnsi="Palatino Linotype" w:cstheme="majorBidi"/>
          <w:i/>
          <w:lang w:eastAsia="es-ES"/>
        </w:rPr>
        <w:t>…</w:t>
      </w:r>
    </w:p>
    <w:p w14:paraId="2449D32B"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b/>
          <w:i/>
          <w:lang w:eastAsia="es-ES"/>
        </w:rPr>
      </w:pPr>
      <w:r w:rsidRPr="007C3AE4">
        <w:rPr>
          <w:rFonts w:ascii="Palatino Linotype" w:eastAsia="MS Mincho" w:hAnsi="Palatino Linotype" w:cstheme="majorBidi"/>
          <w:b/>
          <w:i/>
          <w:lang w:eastAsia="es-ES"/>
        </w:rPr>
        <w:t xml:space="preserve">217B20000f COORDINACIÓN DE SALUD </w:t>
      </w:r>
    </w:p>
    <w:p w14:paraId="3F36D10B"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eastAsia="es-ES"/>
        </w:rPr>
      </w:pPr>
      <w:r w:rsidRPr="007C3AE4">
        <w:rPr>
          <w:rFonts w:ascii="Palatino Linotype" w:eastAsia="MS Mincho" w:hAnsi="Palatino Linotype" w:cstheme="majorBidi"/>
          <w:i/>
          <w:lang w:eastAsia="es-ES"/>
        </w:rPr>
        <w:t xml:space="preserve">OBJETIVO </w:t>
      </w:r>
    </w:p>
    <w:p w14:paraId="34FE6438"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eastAsia="es-ES"/>
        </w:rPr>
      </w:pPr>
      <w:r w:rsidRPr="007C3AE4">
        <w:rPr>
          <w:rFonts w:ascii="Palatino Linotype" w:eastAsia="MS Mincho" w:hAnsi="Palatino Linotype" w:cstheme="majorBidi"/>
          <w:i/>
          <w:lang w:eastAsia="es-ES"/>
        </w:rPr>
        <w:t xml:space="preserve">Planear, coordinar y controlar la prestación de los servicios de salud a la población en la entidad y generar mecanismos para elevar su calidad, oportunidad eficiencia, promoviendo la participación de la comunidad y la coordinación entre los diferentes niveles de gobierno, organismos privados y sociales, con un mecanismo eficaz para el desarrollo armónico de los programas de salud, preventivos y curativos, fortalecidos a través de la enseñanza e investigación. </w:t>
      </w:r>
    </w:p>
    <w:p w14:paraId="1E578E4A"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eastAsia="es-ES"/>
        </w:rPr>
      </w:pPr>
      <w:r w:rsidRPr="007C3AE4">
        <w:rPr>
          <w:rFonts w:ascii="Palatino Linotype" w:eastAsia="MS Mincho" w:hAnsi="Palatino Linotype" w:cstheme="majorBidi"/>
          <w:b/>
          <w:i/>
          <w:lang w:eastAsia="es-ES"/>
        </w:rPr>
        <w:lastRenderedPageBreak/>
        <w:t>FUNCIONES:</w:t>
      </w:r>
      <w:r w:rsidRPr="007C3AE4">
        <w:rPr>
          <w:rFonts w:ascii="Palatino Linotype" w:eastAsia="MS Mincho" w:hAnsi="Palatino Linotype" w:cstheme="majorBidi"/>
          <w:i/>
          <w:lang w:eastAsia="es-ES"/>
        </w:rPr>
        <w:t xml:space="preserve"> - Promover la coordinación y funcionamiento del Instituto de Salud del Estado de México, coadyuvando al cumplimiento del derecho a la protección de la salud y a elevar las condiciones de salud de la población.</w:t>
      </w:r>
    </w:p>
    <w:p w14:paraId="1FFA6D79"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val="es-ES_tradnl" w:eastAsia="es-ES"/>
        </w:rPr>
      </w:pPr>
      <w:r w:rsidRPr="007C3AE4">
        <w:rPr>
          <w:rFonts w:ascii="Palatino Linotype" w:eastAsia="MS Mincho" w:hAnsi="Palatino Linotype" w:cstheme="majorBidi"/>
          <w:b/>
          <w:i/>
          <w:lang w:eastAsia="es-ES"/>
        </w:rPr>
        <w:t>…</w:t>
      </w:r>
    </w:p>
    <w:p w14:paraId="65468476" w14:textId="77777777" w:rsidR="00052D37" w:rsidRPr="007C3AE4" w:rsidRDefault="00052D37" w:rsidP="00052D37">
      <w:pPr>
        <w:spacing w:after="0" w:line="360" w:lineRule="auto"/>
        <w:ind w:left="567" w:right="615"/>
        <w:contextualSpacing/>
        <w:jc w:val="both"/>
        <w:rPr>
          <w:rFonts w:ascii="Palatino Linotype" w:eastAsia="MS Mincho" w:hAnsi="Palatino Linotype" w:cstheme="majorBidi"/>
          <w:i/>
          <w:lang w:val="es-ES_tradnl" w:eastAsia="es-ES"/>
        </w:rPr>
      </w:pPr>
      <w:r w:rsidRPr="007C3AE4">
        <w:rPr>
          <w:rFonts w:ascii="Palatino Linotype" w:eastAsia="MS Mincho" w:hAnsi="Palatino Linotype" w:cstheme="majorBidi"/>
          <w:b/>
          <w:i/>
          <w:lang w:eastAsia="es-ES"/>
        </w:rPr>
        <w:t>Fortalecer los nexos de coordinación y comunicación con la Secretaría de Salud Estatal</w:t>
      </w:r>
      <w:r w:rsidRPr="007C3AE4">
        <w:rPr>
          <w:rFonts w:ascii="Palatino Linotype" w:eastAsia="MS Mincho" w:hAnsi="Palatino Linotype" w:cstheme="majorBidi"/>
          <w:i/>
          <w:lang w:eastAsia="es-ES"/>
        </w:rPr>
        <w:t xml:space="preserve">, a fin de </w:t>
      </w:r>
      <w:r w:rsidRPr="007C3AE4">
        <w:rPr>
          <w:rFonts w:ascii="Palatino Linotype" w:eastAsia="MS Mincho" w:hAnsi="Palatino Linotype" w:cstheme="majorBidi"/>
          <w:b/>
          <w:i/>
          <w:lang w:eastAsia="es-ES"/>
        </w:rPr>
        <w:t>aprovechar adecuadamente sus mecanismos de adquisición de insumos y medicamentos básicos y especiales</w:t>
      </w:r>
      <w:r w:rsidRPr="007C3AE4">
        <w:rPr>
          <w:rFonts w:ascii="Palatino Linotype" w:eastAsia="MS Mincho" w:hAnsi="Palatino Linotype" w:cstheme="majorBidi"/>
          <w:i/>
          <w:lang w:eastAsia="es-ES"/>
        </w:rPr>
        <w:t>.</w:t>
      </w:r>
    </w:p>
    <w:p w14:paraId="5D5483F9" w14:textId="77777777" w:rsidR="00361530" w:rsidRPr="007C3AE4" w:rsidRDefault="00361530" w:rsidP="00DD7D20">
      <w:pPr>
        <w:spacing w:after="0" w:line="360" w:lineRule="auto"/>
        <w:ind w:left="360"/>
        <w:contextualSpacing/>
        <w:jc w:val="both"/>
        <w:rPr>
          <w:rFonts w:ascii="Palatino Linotype" w:eastAsia="MS Mincho" w:hAnsi="Palatino Linotype" w:cstheme="majorBidi"/>
          <w:sz w:val="24"/>
          <w:szCs w:val="24"/>
          <w:lang w:val="es-ES_tradnl" w:eastAsia="es-ES"/>
        </w:rPr>
      </w:pPr>
    </w:p>
    <w:p w14:paraId="0E57D0E2" w14:textId="77777777" w:rsidR="00361530" w:rsidRPr="007C3AE4" w:rsidRDefault="00DD7D20" w:rsidP="005C03A3">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En ese contexto, se puede apreciar que efectivamente el </w:t>
      </w:r>
      <w:r w:rsidRPr="007C3AE4">
        <w:rPr>
          <w:rFonts w:ascii="Palatino Linotype" w:eastAsia="MS Mincho" w:hAnsi="Palatino Linotype" w:cstheme="majorBidi"/>
          <w:b/>
          <w:sz w:val="24"/>
          <w:szCs w:val="24"/>
          <w:lang w:val="es-ES_tradnl" w:eastAsia="es-ES"/>
        </w:rPr>
        <w:t>SUJETO OBLIGADO</w:t>
      </w:r>
      <w:r w:rsidRPr="007C3AE4">
        <w:rPr>
          <w:rFonts w:ascii="Palatino Linotype" w:eastAsia="MS Mincho" w:hAnsi="Palatino Linotype" w:cstheme="majorBidi"/>
          <w:sz w:val="24"/>
          <w:szCs w:val="24"/>
          <w:lang w:val="es-ES_tradnl" w:eastAsia="es-ES"/>
        </w:rPr>
        <w:t xml:space="preserve"> no posee, genera y administra, la información relativa al adquisición de medicamentos, sino más es el Instituto de la Salud del Estado de México.</w:t>
      </w:r>
    </w:p>
    <w:p w14:paraId="59F53761" w14:textId="77777777" w:rsidR="00DD7D20" w:rsidRPr="007C3AE4" w:rsidRDefault="00DD7D20" w:rsidP="005C03A3">
      <w:pPr>
        <w:spacing w:after="0" w:line="360" w:lineRule="auto"/>
        <w:ind w:left="360" w:hanging="360"/>
        <w:contextualSpacing/>
        <w:jc w:val="both"/>
        <w:rPr>
          <w:rFonts w:ascii="Palatino Linotype" w:eastAsia="MS Mincho" w:hAnsi="Palatino Linotype" w:cstheme="majorBidi"/>
          <w:sz w:val="24"/>
          <w:szCs w:val="24"/>
          <w:lang w:val="es-ES_tradnl" w:eastAsia="es-ES"/>
        </w:rPr>
      </w:pPr>
    </w:p>
    <w:p w14:paraId="2F5A76CE" w14:textId="77777777" w:rsidR="00DD7D20" w:rsidRPr="007C3AE4" w:rsidRDefault="00DD7D20" w:rsidP="00121444">
      <w:pPr>
        <w:pStyle w:val="Ttulo1"/>
        <w:numPr>
          <w:ilvl w:val="0"/>
          <w:numId w:val="16"/>
        </w:numPr>
        <w:rPr>
          <w:rFonts w:ascii="Palatino Linotype" w:eastAsia="MS Mincho" w:hAnsi="Palatino Linotype"/>
          <w:b/>
          <w:i/>
          <w:color w:val="auto"/>
          <w:sz w:val="24"/>
          <w:szCs w:val="24"/>
          <w:lang w:val="es-ES_tradnl" w:eastAsia="es-ES"/>
        </w:rPr>
      </w:pPr>
      <w:bookmarkStart w:id="19" w:name="_Toc66352330"/>
      <w:r w:rsidRPr="007C3AE4">
        <w:rPr>
          <w:rFonts w:ascii="Palatino Linotype" w:eastAsia="MS Mincho" w:hAnsi="Palatino Linotype"/>
          <w:b/>
          <w:i/>
          <w:color w:val="auto"/>
          <w:sz w:val="24"/>
          <w:szCs w:val="24"/>
          <w:lang w:val="es-ES_tradnl" w:eastAsia="es-ES"/>
        </w:rPr>
        <w:t xml:space="preserve">De la declinación de la </w:t>
      </w:r>
      <w:r w:rsidR="005C03A3" w:rsidRPr="007C3AE4">
        <w:rPr>
          <w:rFonts w:ascii="Palatino Linotype" w:eastAsia="MS Mincho" w:hAnsi="Palatino Linotype"/>
          <w:b/>
          <w:i/>
          <w:color w:val="auto"/>
          <w:sz w:val="24"/>
          <w:szCs w:val="24"/>
          <w:lang w:val="es-ES_tradnl" w:eastAsia="es-ES"/>
        </w:rPr>
        <w:t>incompetencia.</w:t>
      </w:r>
      <w:bookmarkEnd w:id="19"/>
    </w:p>
    <w:p w14:paraId="3C8C8C43" w14:textId="77777777" w:rsidR="005C03A3" w:rsidRPr="007C3AE4" w:rsidRDefault="005C03A3" w:rsidP="005C03A3">
      <w:pPr>
        <w:spacing w:after="0" w:line="360" w:lineRule="auto"/>
        <w:ind w:left="360" w:hanging="360"/>
        <w:contextualSpacing/>
        <w:jc w:val="both"/>
        <w:rPr>
          <w:rFonts w:ascii="Palatino Linotype" w:eastAsia="MS Mincho" w:hAnsi="Palatino Linotype" w:cstheme="majorBidi"/>
          <w:sz w:val="24"/>
          <w:szCs w:val="24"/>
          <w:lang w:val="es-ES_tradnl" w:eastAsia="es-ES"/>
        </w:rPr>
      </w:pPr>
    </w:p>
    <w:p w14:paraId="76EDAE7E" w14:textId="77777777" w:rsidR="005C03A3" w:rsidRPr="007C3AE4" w:rsidRDefault="005C03A3" w:rsidP="00121444">
      <w:pPr>
        <w:pStyle w:val="Prrafodelista"/>
        <w:numPr>
          <w:ilvl w:val="0"/>
          <w:numId w:val="2"/>
        </w:numPr>
        <w:spacing w:after="0" w:line="360" w:lineRule="auto"/>
        <w:jc w:val="both"/>
        <w:rPr>
          <w:rFonts w:ascii="Palatino Linotype" w:eastAsia="Calibri" w:hAnsi="Palatino Linotype" w:cs="Arial"/>
          <w:sz w:val="24"/>
          <w:szCs w:val="24"/>
        </w:rPr>
      </w:pPr>
      <w:r w:rsidRPr="007C3AE4">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7C3AE4">
        <w:rPr>
          <w:rFonts w:ascii="Palatino Linotype" w:hAnsi="Palatino Linotype"/>
          <w:i/>
          <w:sz w:val="24"/>
          <w:szCs w:val="24"/>
        </w:rPr>
        <w:t>realizar, con efectividad, los trámites internos necesarios para la atención de las solicitudes de información</w:t>
      </w:r>
      <w:r w:rsidRPr="007C3AE4">
        <w:rPr>
          <w:vertAlign w:val="superscript"/>
        </w:rPr>
        <w:footnoteReference w:id="2"/>
      </w:r>
      <w:r w:rsidRPr="007C3AE4">
        <w:rPr>
          <w:rFonts w:ascii="Palatino Linotype" w:hAnsi="Palatino Linotype"/>
          <w:sz w:val="24"/>
          <w:szCs w:val="24"/>
        </w:rPr>
        <w:t>, es decir, deben otorgar respuestas concisas, contundentes y certeras, además de estar en estricto apego a lo que la normatividad en la materia establece.</w:t>
      </w:r>
    </w:p>
    <w:p w14:paraId="174C14E8" w14:textId="77777777" w:rsidR="005C03A3" w:rsidRPr="007C3AE4" w:rsidRDefault="005C03A3" w:rsidP="005C03A3">
      <w:pPr>
        <w:spacing w:after="0" w:line="360" w:lineRule="auto"/>
        <w:ind w:left="360"/>
        <w:contextualSpacing/>
        <w:jc w:val="both"/>
        <w:rPr>
          <w:rFonts w:ascii="Palatino Linotype" w:eastAsia="Calibri" w:hAnsi="Palatino Linotype" w:cs="Arial"/>
          <w:sz w:val="24"/>
          <w:szCs w:val="24"/>
        </w:rPr>
      </w:pPr>
    </w:p>
    <w:p w14:paraId="5CCAC8F1" w14:textId="77777777" w:rsidR="005C03A3" w:rsidRPr="007C3AE4" w:rsidRDefault="005C03A3" w:rsidP="00121444">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hAnsi="Palatino Linotype" w:cs="Arial"/>
          <w:sz w:val="24"/>
          <w:szCs w:val="24"/>
        </w:rPr>
        <w:lastRenderedPageBreak/>
        <w:t xml:space="preserve">Es así, </w:t>
      </w:r>
      <w:proofErr w:type="gramStart"/>
      <w:r w:rsidRPr="007C3AE4">
        <w:rPr>
          <w:rFonts w:ascii="Palatino Linotype" w:hAnsi="Palatino Linotype" w:cs="Arial"/>
          <w:sz w:val="24"/>
          <w:szCs w:val="24"/>
        </w:rPr>
        <w:t>que</w:t>
      </w:r>
      <w:proofErr w:type="gramEnd"/>
      <w:r w:rsidRPr="007C3AE4">
        <w:rPr>
          <w:rFonts w:ascii="Palatino Linotype" w:hAnsi="Palatino Linotype" w:cs="Arial"/>
          <w:sz w:val="24"/>
          <w:szCs w:val="24"/>
        </w:rPr>
        <w:t xml:space="preserve"> en el presente caso en particular, el particular requiere información relativa a la adquisición de medicamentos, El Sujeto Obligado manifestó que no los posee.</w:t>
      </w:r>
      <w:r w:rsidRPr="007C3AE4">
        <w:rPr>
          <w:rFonts w:ascii="Palatino Linotype" w:eastAsia="MS Mincho" w:hAnsi="Palatino Linotype" w:cstheme="majorBidi"/>
          <w:sz w:val="24"/>
          <w:szCs w:val="24"/>
          <w:lang w:val="es-ES_tradnl" w:eastAsia="es-ES"/>
        </w:rPr>
        <w:t xml:space="preserve"> </w:t>
      </w:r>
      <w:r w:rsidRPr="007C3AE4">
        <w:rPr>
          <w:rFonts w:ascii="Palatino Linotype" w:hAnsi="Palatino Linotype"/>
          <w:color w:val="000000"/>
          <w:sz w:val="24"/>
          <w:szCs w:val="24"/>
        </w:rPr>
        <w:t>Por lo anterior, se entiende que se declinó la competencia sobre la información requerida, en razón de que corresponde a otro sujeto obligado, es de referir que las solicitudes de acceso a la información se presentó el día siete (07) y diecisiete (17) de diciembre  de dos mil veinte, y de acuerdo al artículo 167 primer párrafo antes citado, el plazo de tres días para declinar competencia feneció el día diez (10) de diciembre</w:t>
      </w:r>
      <w:r w:rsidR="00AD5DE6" w:rsidRPr="007C3AE4">
        <w:rPr>
          <w:rFonts w:ascii="Palatino Linotype" w:hAnsi="Palatino Linotype"/>
          <w:color w:val="000000"/>
          <w:sz w:val="24"/>
          <w:szCs w:val="24"/>
        </w:rPr>
        <w:t xml:space="preserve"> y diecinueve (19) enero</w:t>
      </w:r>
      <w:r w:rsidRPr="007C3AE4">
        <w:rPr>
          <w:rFonts w:ascii="Palatino Linotype" w:hAnsi="Palatino Linotype"/>
          <w:color w:val="000000"/>
          <w:sz w:val="24"/>
          <w:szCs w:val="24"/>
        </w:rPr>
        <w:t xml:space="preserve">, esto derivado del periodo vacacional del mes de diciembre y de las suspensiones laborales que se originaron derivado de </w:t>
      </w:r>
      <w:r w:rsidR="00AD5DE6" w:rsidRPr="007C3AE4">
        <w:rPr>
          <w:rFonts w:ascii="Palatino Linotype" w:hAnsi="Palatino Linotype"/>
          <w:color w:val="000000"/>
          <w:sz w:val="24"/>
          <w:szCs w:val="24"/>
        </w:rPr>
        <w:t>la pandemia</w:t>
      </w:r>
      <w:r w:rsidR="00AD5DE6" w:rsidRPr="007C3AE4">
        <w:rPr>
          <w:rFonts w:ascii="Palatino Linotype" w:eastAsia="MS Mincho" w:hAnsi="Palatino Linotype" w:cs="Times New Roman"/>
          <w:b/>
          <w:i/>
          <w:sz w:val="24"/>
          <w:szCs w:val="24"/>
          <w:lang w:val="es-ES" w:eastAsia="es-ES"/>
        </w:rPr>
        <w:t xml:space="preserve"> </w:t>
      </w:r>
      <w:r w:rsidR="00AD5DE6" w:rsidRPr="007C3AE4">
        <w:rPr>
          <w:rFonts w:ascii="Palatino Linotype" w:hAnsi="Palatino Linotype"/>
          <w:color w:val="000000"/>
          <w:sz w:val="24"/>
          <w:szCs w:val="24"/>
          <w:lang w:val="es-ES"/>
        </w:rPr>
        <w:t>del SARS-Cov-2-COVID-19</w:t>
      </w:r>
      <w:r w:rsidR="00AD5DE6" w:rsidRPr="007C3AE4">
        <w:rPr>
          <w:rFonts w:ascii="Palatino Linotype" w:hAnsi="Palatino Linotype"/>
          <w:color w:val="000000"/>
          <w:sz w:val="24"/>
          <w:szCs w:val="24"/>
        </w:rPr>
        <w:t xml:space="preserve">, </w:t>
      </w:r>
      <w:r w:rsidRPr="007C3AE4">
        <w:rPr>
          <w:rFonts w:ascii="Palatino Linotype" w:hAnsi="Palatino Linotype"/>
          <w:color w:val="000000"/>
          <w:sz w:val="24"/>
          <w:szCs w:val="24"/>
        </w:rPr>
        <w:t>mientras que el Sujeto Obligado en cuestión declinó competencia el día diez (</w:t>
      </w:r>
      <w:r w:rsidR="00AD5DE6" w:rsidRPr="007C3AE4">
        <w:rPr>
          <w:rFonts w:ascii="Palatino Linotype" w:hAnsi="Palatino Linotype"/>
          <w:color w:val="000000"/>
          <w:sz w:val="24"/>
          <w:szCs w:val="24"/>
        </w:rPr>
        <w:t>28</w:t>
      </w:r>
      <w:r w:rsidRPr="007C3AE4">
        <w:rPr>
          <w:rFonts w:ascii="Palatino Linotype" w:hAnsi="Palatino Linotype"/>
          <w:color w:val="000000"/>
          <w:sz w:val="24"/>
          <w:szCs w:val="24"/>
        </w:rPr>
        <w:t>)</w:t>
      </w:r>
      <w:r w:rsidR="00AD5DE6" w:rsidRPr="007C3AE4">
        <w:rPr>
          <w:rFonts w:ascii="Palatino Linotype" w:hAnsi="Palatino Linotype"/>
          <w:color w:val="000000"/>
          <w:sz w:val="24"/>
          <w:szCs w:val="24"/>
        </w:rPr>
        <w:t xml:space="preserve"> de diciembre y veinte (20) de enero de dos mil veinte</w:t>
      </w:r>
      <w:r w:rsidRPr="007C3AE4">
        <w:rPr>
          <w:rFonts w:ascii="Palatino Linotype" w:hAnsi="Palatino Linotype"/>
          <w:color w:val="000000"/>
          <w:sz w:val="24"/>
          <w:szCs w:val="24"/>
        </w:rPr>
        <w:t xml:space="preserve">, por lo que </w:t>
      </w:r>
      <w:r w:rsidR="00AD5DE6" w:rsidRPr="007C3AE4">
        <w:rPr>
          <w:rFonts w:ascii="Palatino Linotype" w:hAnsi="Palatino Linotype"/>
          <w:color w:val="000000"/>
          <w:sz w:val="24"/>
          <w:szCs w:val="24"/>
        </w:rPr>
        <w:t xml:space="preserve">es </w:t>
      </w:r>
      <w:r w:rsidRPr="007C3AE4">
        <w:rPr>
          <w:rFonts w:ascii="Palatino Linotype" w:hAnsi="Palatino Linotype"/>
          <w:color w:val="000000"/>
          <w:sz w:val="24"/>
          <w:szCs w:val="24"/>
        </w:rPr>
        <w:t xml:space="preserve">evidentemente </w:t>
      </w:r>
      <w:r w:rsidR="00AD5DE6" w:rsidRPr="007C3AE4">
        <w:rPr>
          <w:rFonts w:ascii="Palatino Linotype" w:hAnsi="Palatino Linotype"/>
          <w:color w:val="000000"/>
          <w:sz w:val="24"/>
          <w:szCs w:val="24"/>
        </w:rPr>
        <w:t xml:space="preserve">que no </w:t>
      </w:r>
      <w:r w:rsidRPr="007C3AE4">
        <w:rPr>
          <w:rFonts w:ascii="Palatino Linotype" w:hAnsi="Palatino Linotype"/>
          <w:color w:val="000000"/>
          <w:sz w:val="24"/>
          <w:szCs w:val="24"/>
        </w:rPr>
        <w:t xml:space="preserve">se encuentra dentro del plazo </w:t>
      </w:r>
      <w:proofErr w:type="spellStart"/>
      <w:r w:rsidRPr="007C3AE4">
        <w:rPr>
          <w:rFonts w:ascii="Palatino Linotype" w:hAnsi="Palatino Linotype"/>
          <w:color w:val="000000"/>
          <w:sz w:val="24"/>
          <w:szCs w:val="24"/>
        </w:rPr>
        <w:t>y</w:t>
      </w:r>
      <w:proofErr w:type="spellEnd"/>
      <w:r w:rsidRPr="007C3AE4">
        <w:rPr>
          <w:rFonts w:ascii="Palatino Linotype" w:hAnsi="Palatino Linotype"/>
          <w:color w:val="000000"/>
          <w:sz w:val="24"/>
          <w:szCs w:val="24"/>
        </w:rPr>
        <w:t xml:space="preserve"> </w:t>
      </w:r>
      <w:r w:rsidR="00AD5DE6" w:rsidRPr="007C3AE4">
        <w:rPr>
          <w:rFonts w:ascii="Palatino Linotype" w:hAnsi="Palatino Linotype"/>
          <w:color w:val="000000"/>
          <w:sz w:val="24"/>
          <w:szCs w:val="24"/>
        </w:rPr>
        <w:t>incumpliendo con la normatividad</w:t>
      </w:r>
      <w:r w:rsidRPr="007C3AE4">
        <w:rPr>
          <w:rFonts w:ascii="Palatino Linotype" w:hAnsi="Palatino Linotype"/>
          <w:color w:val="000000"/>
          <w:sz w:val="24"/>
          <w:szCs w:val="24"/>
        </w:rPr>
        <w:t xml:space="preserve">, éste deberá de proporcionar el acuerdo correspondiente a </w:t>
      </w:r>
      <w:r w:rsidR="00AD5DE6" w:rsidRPr="007C3AE4">
        <w:rPr>
          <w:rFonts w:ascii="Palatino Linotype" w:hAnsi="Palatino Linotype"/>
          <w:color w:val="000000"/>
          <w:sz w:val="24"/>
          <w:szCs w:val="24"/>
        </w:rPr>
        <w:t>la declinación de incompetencia.</w:t>
      </w:r>
    </w:p>
    <w:p w14:paraId="6A8BBC63" w14:textId="77777777" w:rsidR="00AD5DE6" w:rsidRPr="007C3AE4" w:rsidRDefault="00AD5DE6" w:rsidP="00AD5DE6">
      <w:pPr>
        <w:spacing w:after="0" w:line="360" w:lineRule="auto"/>
        <w:ind w:left="360"/>
        <w:contextualSpacing/>
        <w:jc w:val="both"/>
        <w:rPr>
          <w:rFonts w:ascii="Palatino Linotype" w:eastAsia="MS Mincho" w:hAnsi="Palatino Linotype" w:cstheme="majorBidi"/>
          <w:sz w:val="24"/>
          <w:szCs w:val="24"/>
          <w:lang w:val="es-ES_tradnl" w:eastAsia="es-ES"/>
        </w:rPr>
      </w:pPr>
    </w:p>
    <w:p w14:paraId="0DC6FEF4" w14:textId="77777777" w:rsidR="005C03A3" w:rsidRPr="007C3AE4" w:rsidRDefault="005C03A3" w:rsidP="00121444">
      <w:pPr>
        <w:numPr>
          <w:ilvl w:val="0"/>
          <w:numId w:val="2"/>
        </w:numPr>
        <w:spacing w:after="0"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t xml:space="preserve">Debemos reiterar que la incompetencia que arguyó el Sujeto Obligado es procedente, pero al </w:t>
      </w:r>
      <w:r w:rsidR="00AD5DE6" w:rsidRPr="007C3AE4">
        <w:rPr>
          <w:rFonts w:ascii="Palatino Linotype" w:eastAsia="Calibri" w:hAnsi="Palatino Linotype" w:cs="Arial"/>
          <w:sz w:val="24"/>
          <w:szCs w:val="24"/>
        </w:rPr>
        <w:t xml:space="preserve">no </w:t>
      </w:r>
      <w:r w:rsidRPr="007C3AE4">
        <w:rPr>
          <w:rFonts w:ascii="Palatino Linotype" w:eastAsia="Calibri" w:hAnsi="Palatino Linotype" w:cs="Arial"/>
          <w:sz w:val="24"/>
          <w:szCs w:val="24"/>
        </w:rPr>
        <w:t xml:space="preserve">haber </w:t>
      </w:r>
      <w:r w:rsidR="00AD5DE6" w:rsidRPr="007C3AE4">
        <w:rPr>
          <w:rFonts w:ascii="Palatino Linotype" w:eastAsia="Calibri" w:hAnsi="Palatino Linotype" w:cs="Arial"/>
          <w:sz w:val="24"/>
          <w:szCs w:val="24"/>
        </w:rPr>
        <w:t xml:space="preserve">declinado en tiempo, </w:t>
      </w:r>
      <w:r w:rsidRPr="007C3AE4">
        <w:rPr>
          <w:rFonts w:ascii="Palatino Linotype" w:eastAsia="Calibri" w:hAnsi="Palatino Linotype" w:cs="Arial"/>
          <w:sz w:val="24"/>
          <w:szCs w:val="24"/>
        </w:rPr>
        <w:t xml:space="preserve">no cumple con las formalidades necesarias, como es la de </w:t>
      </w:r>
      <w:r w:rsidRPr="007C3AE4">
        <w:rPr>
          <w:rFonts w:ascii="Palatino Linotype" w:hAnsi="Palatino Linotype" w:cs="Arial"/>
          <w:sz w:val="24"/>
          <w:szCs w:val="24"/>
        </w:rPr>
        <w:t>brindar certeza</w:t>
      </w:r>
      <w:r w:rsidRPr="007C3AE4">
        <w:rPr>
          <w:rFonts w:ascii="Palatino Linotype" w:hAnsi="Palatino Linotype" w:cs="Arial"/>
          <w:sz w:val="24"/>
          <w:szCs w:val="24"/>
          <w:vertAlign w:val="superscript"/>
        </w:rPr>
        <w:footnoteReference w:id="3"/>
      </w:r>
      <w:r w:rsidRPr="007C3AE4">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14:paraId="262F9A14" w14:textId="77777777" w:rsidR="005C03A3" w:rsidRPr="007C3AE4" w:rsidRDefault="005C03A3" w:rsidP="005C03A3">
      <w:pPr>
        <w:ind w:left="360" w:hanging="360"/>
        <w:contextualSpacing/>
        <w:rPr>
          <w:rFonts w:ascii="Palatino Linotype" w:hAnsi="Palatino Linotype" w:cs="Arial"/>
        </w:rPr>
      </w:pPr>
    </w:p>
    <w:p w14:paraId="0B36B707" w14:textId="77777777" w:rsidR="005C03A3" w:rsidRPr="007C3AE4" w:rsidRDefault="005C03A3" w:rsidP="00AD5DE6">
      <w:pPr>
        <w:spacing w:line="360" w:lineRule="auto"/>
        <w:ind w:left="851" w:right="615" w:hanging="360"/>
        <w:rPr>
          <w:rFonts w:ascii="Palatino Linotype" w:eastAsia="Calibri" w:hAnsi="Palatino Linotype" w:cs="Arial"/>
          <w:i/>
        </w:rPr>
      </w:pPr>
      <w:r w:rsidRPr="007C3AE4">
        <w:rPr>
          <w:rFonts w:ascii="Palatino Linotype" w:eastAsia="Calibri" w:hAnsi="Palatino Linotype" w:cs="Arial"/>
          <w:b/>
          <w:i/>
        </w:rPr>
        <w:t>Artículo 49</w:t>
      </w:r>
      <w:r w:rsidRPr="007C3AE4">
        <w:rPr>
          <w:rFonts w:ascii="Palatino Linotype" w:eastAsia="Calibri" w:hAnsi="Palatino Linotype" w:cs="Arial"/>
          <w:i/>
        </w:rPr>
        <w:t>. Los Comités de Transparencia tendrán las siguientes atribuciones:</w:t>
      </w:r>
    </w:p>
    <w:p w14:paraId="4D183F24" w14:textId="77777777" w:rsidR="005C03A3" w:rsidRPr="007C3AE4" w:rsidRDefault="005C03A3" w:rsidP="00AD5DE6">
      <w:pPr>
        <w:spacing w:line="360" w:lineRule="auto"/>
        <w:ind w:left="851" w:right="615" w:hanging="360"/>
        <w:jc w:val="both"/>
        <w:rPr>
          <w:rFonts w:ascii="Palatino Linotype" w:eastAsia="Calibri" w:hAnsi="Palatino Linotype" w:cs="Arial"/>
          <w:i/>
        </w:rPr>
      </w:pPr>
      <w:r w:rsidRPr="007C3AE4">
        <w:rPr>
          <w:rFonts w:ascii="Palatino Linotype" w:eastAsia="Calibri" w:hAnsi="Palatino Linotype" w:cs="Arial"/>
          <w:b/>
          <w:i/>
        </w:rPr>
        <w:t>I</w:t>
      </w:r>
      <w:r w:rsidRPr="007C3AE4">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14:paraId="363B1960" w14:textId="77777777" w:rsidR="005C03A3" w:rsidRPr="007C3AE4" w:rsidRDefault="005C03A3" w:rsidP="00AD5DE6">
      <w:pPr>
        <w:spacing w:line="360" w:lineRule="auto"/>
        <w:ind w:left="851" w:right="615" w:hanging="360"/>
        <w:jc w:val="both"/>
        <w:rPr>
          <w:rFonts w:ascii="Palatino Linotype" w:eastAsia="Calibri" w:hAnsi="Palatino Linotype" w:cs="Arial"/>
          <w:i/>
        </w:rPr>
      </w:pPr>
      <w:r w:rsidRPr="007C3AE4">
        <w:rPr>
          <w:rFonts w:ascii="Palatino Linotype" w:eastAsia="Calibri" w:hAnsi="Palatino Linotype" w:cs="Arial"/>
          <w:b/>
          <w:i/>
        </w:rPr>
        <w:t>II</w:t>
      </w:r>
      <w:r w:rsidRPr="007C3AE4">
        <w:rPr>
          <w:rFonts w:ascii="Palatino Linotype" w:eastAsia="Calibri" w:hAnsi="Palatino Linotype" w:cs="Arial"/>
          <w:i/>
        </w:rPr>
        <w:t xml:space="preserve">. Confirmar, modificar o revocar las determinaciones </w:t>
      </w:r>
      <w:proofErr w:type="gramStart"/>
      <w:r w:rsidRPr="007C3AE4">
        <w:rPr>
          <w:rFonts w:ascii="Palatino Linotype" w:eastAsia="Calibri" w:hAnsi="Palatino Linotype" w:cs="Arial"/>
          <w:i/>
        </w:rPr>
        <w:t>que</w:t>
      </w:r>
      <w:proofErr w:type="gramEnd"/>
      <w:r w:rsidRPr="007C3AE4">
        <w:rPr>
          <w:rFonts w:ascii="Palatino Linotype" w:eastAsia="Calibri" w:hAnsi="Palatino Linotype" w:cs="Arial"/>
          <w:i/>
        </w:rPr>
        <w:t xml:space="preserve"> en materia de ampliación del plazo de respuesta, clasificación de la información y declaración de inexistencia o de incompetencia realicen los titulares de las áreas de los sujetos obligados;</w:t>
      </w:r>
    </w:p>
    <w:p w14:paraId="144954CA" w14:textId="77777777" w:rsidR="005C03A3" w:rsidRPr="007C3AE4" w:rsidRDefault="005C03A3" w:rsidP="00AD5DE6">
      <w:pPr>
        <w:spacing w:line="360" w:lineRule="auto"/>
        <w:ind w:left="851" w:right="615" w:hanging="360"/>
        <w:rPr>
          <w:rFonts w:ascii="Palatino Linotype" w:eastAsia="Calibri" w:hAnsi="Palatino Linotype" w:cs="Arial"/>
          <w:i/>
        </w:rPr>
      </w:pPr>
      <w:r w:rsidRPr="007C3AE4">
        <w:rPr>
          <w:rFonts w:ascii="Palatino Linotype" w:eastAsia="Calibri" w:hAnsi="Palatino Linotype" w:cs="Arial"/>
          <w:i/>
        </w:rPr>
        <w:t>…</w:t>
      </w:r>
    </w:p>
    <w:p w14:paraId="5C4685D9" w14:textId="77777777" w:rsidR="005C03A3" w:rsidRPr="007C3AE4" w:rsidRDefault="005C03A3" w:rsidP="00121444">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t>En efecto, si bien el</w:t>
      </w:r>
      <w:r w:rsidRPr="007C3AE4">
        <w:rPr>
          <w:rFonts w:ascii="Palatino Linotype" w:eastAsia="Calibri" w:hAnsi="Palatino Linotype" w:cs="Arial"/>
          <w:b/>
          <w:sz w:val="24"/>
          <w:szCs w:val="24"/>
        </w:rPr>
        <w:t xml:space="preserve"> </w:t>
      </w:r>
      <w:r w:rsidRPr="007C3AE4">
        <w:rPr>
          <w:rFonts w:ascii="Palatino Linotype" w:eastAsia="Calibri" w:hAnsi="Palatino Linotype" w:cs="Arial"/>
          <w:sz w:val="24"/>
          <w:szCs w:val="24"/>
        </w:rPr>
        <w:t>Sujeto Obligado</w:t>
      </w:r>
      <w:r w:rsidRPr="007C3AE4">
        <w:rPr>
          <w:rFonts w:ascii="Palatino Linotype" w:eastAsia="Calibri" w:hAnsi="Palatino Linotype" w:cs="Arial"/>
          <w:b/>
          <w:sz w:val="24"/>
          <w:szCs w:val="24"/>
        </w:rPr>
        <w:t xml:space="preserve"> </w:t>
      </w:r>
      <w:r w:rsidRPr="007C3AE4">
        <w:rPr>
          <w:rFonts w:ascii="Palatino Linotype" w:eastAsia="Calibri" w:hAnsi="Palatino Linotype" w:cs="Arial"/>
          <w:sz w:val="24"/>
          <w:szCs w:val="24"/>
        </w:rPr>
        <w:t>no tiene competencia para administrar, generar o poseer la información solicitada en el presente asunto, en virtud de poseerla otro diverso Sujeto Obligado, denominado</w:t>
      </w:r>
      <w:r w:rsidR="004979D9" w:rsidRPr="007C3AE4">
        <w:rPr>
          <w:rFonts w:ascii="Palatino Linotype" w:hAnsi="Palatino Linotype" w:cs="Arial"/>
          <w:sz w:val="24"/>
          <w:szCs w:val="24"/>
        </w:rPr>
        <w:t xml:space="preserve"> Instituto de la Salud del Estado de México</w:t>
      </w:r>
      <w:r w:rsidRPr="007C3AE4">
        <w:rPr>
          <w:rFonts w:ascii="Palatino Linotype" w:hAnsi="Palatino Linotype" w:cs="Arial"/>
          <w:sz w:val="24"/>
          <w:szCs w:val="24"/>
          <w:lang w:eastAsia="es-MX"/>
        </w:rPr>
        <w:t xml:space="preserve">, </w:t>
      </w:r>
      <w:r w:rsidRPr="007C3AE4">
        <w:rPr>
          <w:rFonts w:ascii="Palatino Linotype" w:eastAsia="Calibri" w:hAnsi="Palatino Linotype" w:cs="Arial"/>
          <w:sz w:val="24"/>
          <w:szCs w:val="24"/>
        </w:rPr>
        <w:t>también lo es que, dicha incompetencia debió haber sido confirmada, modificada o revocada por el Comité de Transparencia en términos del precepto legal referido.</w:t>
      </w:r>
    </w:p>
    <w:p w14:paraId="1889C614" w14:textId="77777777" w:rsidR="005C03A3" w:rsidRPr="007C3AE4" w:rsidRDefault="005C03A3" w:rsidP="005C03A3">
      <w:pPr>
        <w:spacing w:before="100" w:beforeAutospacing="1" w:after="100" w:afterAutospacing="1" w:line="360" w:lineRule="auto"/>
        <w:ind w:left="360" w:hanging="360"/>
        <w:contextualSpacing/>
        <w:jc w:val="both"/>
        <w:rPr>
          <w:rFonts w:ascii="Palatino Linotype" w:eastAsia="Calibri" w:hAnsi="Palatino Linotype" w:cs="Arial"/>
          <w:sz w:val="24"/>
          <w:szCs w:val="24"/>
        </w:rPr>
      </w:pPr>
    </w:p>
    <w:p w14:paraId="7880A47C" w14:textId="77777777" w:rsidR="005C03A3" w:rsidRPr="007C3AE4" w:rsidRDefault="005C03A3" w:rsidP="00121444">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t xml:space="preserve">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w:t>
      </w:r>
      <w:r w:rsidR="004979D9" w:rsidRPr="007C3AE4">
        <w:rPr>
          <w:rFonts w:ascii="Palatino Linotype" w:eastAsia="Calibri" w:hAnsi="Palatino Linotype" w:cs="Arial"/>
          <w:sz w:val="24"/>
          <w:szCs w:val="24"/>
        </w:rPr>
        <w:t xml:space="preserve">no se encuentra en sus archivos, toda vez </w:t>
      </w:r>
      <w:r w:rsidRPr="007C3AE4">
        <w:rPr>
          <w:rFonts w:ascii="Palatino Linotype" w:eastAsia="Calibri" w:hAnsi="Palatino Linotype" w:cs="Arial"/>
          <w:sz w:val="24"/>
          <w:szCs w:val="24"/>
        </w:rPr>
        <w:t>que no se cuenta con normatividad que lo disponga.</w:t>
      </w:r>
    </w:p>
    <w:p w14:paraId="7A33243A" w14:textId="77777777" w:rsidR="005C03A3" w:rsidRPr="007C3AE4" w:rsidRDefault="005C03A3" w:rsidP="005C03A3">
      <w:pPr>
        <w:ind w:left="360" w:hanging="360"/>
        <w:contextualSpacing/>
        <w:rPr>
          <w:rFonts w:ascii="Palatino Linotype" w:eastAsia="Calibri" w:hAnsi="Palatino Linotype" w:cs="Arial"/>
          <w:sz w:val="24"/>
          <w:szCs w:val="24"/>
        </w:rPr>
      </w:pPr>
    </w:p>
    <w:p w14:paraId="1701B697" w14:textId="77777777" w:rsidR="005C03A3" w:rsidRPr="007C3AE4" w:rsidRDefault="005C03A3" w:rsidP="00121444">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lastRenderedPageBreak/>
        <w:t xml:space="preserve">Para robustecer lo anterior, el artículo 195 de la Ley de Transparencia y Acceso a la Información Pública del Estado de México y Municipios refiere que </w:t>
      </w:r>
      <w:r w:rsidRPr="007C3AE4">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7C3AE4">
        <w:rPr>
          <w:rFonts w:ascii="Palatino Linotype" w:eastAsia="Calibri" w:hAnsi="Palatino Linotype" w:cs="Arial"/>
          <w:sz w:val="24"/>
          <w:szCs w:val="24"/>
        </w:rPr>
        <w:t>luego entonces, en razón de que derivado de las manifestaciones vertidas por el Sujeto Obligado, se ordenará la entrega de un acuerdo emitido por el Comité de Transparencia mediante el cual se exponga la incompetencia relativa a la información que le fue requerida.</w:t>
      </w:r>
    </w:p>
    <w:p w14:paraId="37C67986" w14:textId="77777777" w:rsidR="005C03A3" w:rsidRPr="007C3AE4" w:rsidRDefault="005C03A3" w:rsidP="005C03A3">
      <w:pPr>
        <w:spacing w:before="100" w:beforeAutospacing="1" w:after="100" w:afterAutospacing="1" w:line="360" w:lineRule="auto"/>
        <w:ind w:left="360" w:hanging="360"/>
        <w:contextualSpacing/>
        <w:jc w:val="both"/>
        <w:rPr>
          <w:rFonts w:ascii="Palatino Linotype" w:eastAsia="Calibri" w:hAnsi="Palatino Linotype" w:cs="Arial"/>
          <w:sz w:val="24"/>
          <w:szCs w:val="24"/>
        </w:rPr>
      </w:pPr>
    </w:p>
    <w:p w14:paraId="5430EC22" w14:textId="77777777" w:rsidR="005C03A3" w:rsidRPr="007C3AE4" w:rsidRDefault="005C03A3" w:rsidP="00121444">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t>Lo anterior se constituirá como</w:t>
      </w:r>
      <w:r w:rsidRPr="007C3AE4">
        <w:rPr>
          <w:rFonts w:ascii="Palatino Linotype" w:hAnsi="Palatino Linotype" w:cs="Arial"/>
          <w:b/>
          <w:color w:val="263238"/>
          <w:sz w:val="24"/>
          <w:szCs w:val="24"/>
        </w:rPr>
        <w:t xml:space="preserve"> una confesión expresa</w:t>
      </w:r>
      <w:r w:rsidRPr="007C3AE4">
        <w:rPr>
          <w:rFonts w:ascii="Palatino Linotype" w:hAnsi="Palatino Linotype" w:cs="Arial"/>
          <w:color w:val="263238"/>
          <w:sz w:val="24"/>
          <w:szCs w:val="24"/>
        </w:rPr>
        <w:t xml:space="preserve"> en </w:t>
      </w:r>
      <w:r w:rsidRPr="007C3AE4">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73DFC81D" w14:textId="77777777" w:rsidR="005C03A3" w:rsidRPr="007C3AE4" w:rsidRDefault="005C03A3" w:rsidP="005C03A3">
      <w:pPr>
        <w:ind w:left="360" w:hanging="360"/>
        <w:contextualSpacing/>
        <w:rPr>
          <w:rFonts w:ascii="Palatino Linotype" w:eastAsia="Calibri" w:hAnsi="Palatino Linotype" w:cs="Arial"/>
          <w:sz w:val="24"/>
          <w:szCs w:val="24"/>
        </w:rPr>
      </w:pPr>
    </w:p>
    <w:p w14:paraId="6B0CF2B9" w14:textId="77777777" w:rsidR="005C03A3" w:rsidRPr="007C3AE4" w:rsidRDefault="005C03A3" w:rsidP="00121444">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w:t>
      </w:r>
      <w:proofErr w:type="gramStart"/>
      <w:r w:rsidRPr="007C3AE4">
        <w:rPr>
          <w:rFonts w:ascii="Palatino Linotype" w:eastAsia="Calibri" w:hAnsi="Palatino Linotype" w:cs="Arial"/>
          <w:sz w:val="24"/>
          <w:szCs w:val="24"/>
        </w:rPr>
        <w:t>que</w:t>
      </w:r>
      <w:proofErr w:type="gramEnd"/>
      <w:r w:rsidRPr="007C3AE4">
        <w:rPr>
          <w:rFonts w:ascii="Palatino Linotype" w:eastAsia="Calibri" w:hAnsi="Palatino Linotype" w:cs="Arial"/>
          <w:sz w:val="24"/>
          <w:szCs w:val="24"/>
        </w:rPr>
        <w:t xml:space="preserve"> si en actos futuros se demuestra lo contrario, podría ser utilizado como medio probatorio. </w:t>
      </w:r>
    </w:p>
    <w:p w14:paraId="6AC89C83" w14:textId="77777777" w:rsidR="005C03A3" w:rsidRPr="007C3AE4" w:rsidRDefault="005C03A3" w:rsidP="005C03A3">
      <w:pPr>
        <w:ind w:left="360" w:hanging="360"/>
        <w:contextualSpacing/>
        <w:rPr>
          <w:rFonts w:ascii="Palatino Linotype" w:eastAsia="Calibri" w:hAnsi="Palatino Linotype" w:cs="Arial"/>
          <w:sz w:val="24"/>
          <w:szCs w:val="24"/>
        </w:rPr>
      </w:pPr>
    </w:p>
    <w:p w14:paraId="2D2950CA" w14:textId="77777777" w:rsidR="005C03A3" w:rsidRPr="007C3AE4" w:rsidRDefault="005C03A3" w:rsidP="00121444">
      <w:pPr>
        <w:numPr>
          <w:ilvl w:val="0"/>
          <w:numId w:val="2"/>
        </w:numPr>
        <w:spacing w:before="100" w:beforeAutospacing="1" w:after="100" w:afterAutospacing="1" w:line="360" w:lineRule="auto"/>
        <w:contextualSpacing/>
        <w:jc w:val="both"/>
        <w:rPr>
          <w:rFonts w:ascii="Palatino Linotype" w:eastAsia="Calibri" w:hAnsi="Palatino Linotype" w:cs="Arial"/>
          <w:sz w:val="24"/>
          <w:szCs w:val="24"/>
        </w:rPr>
      </w:pPr>
      <w:r w:rsidRPr="007C3AE4">
        <w:rPr>
          <w:rFonts w:ascii="Palatino Linotype" w:eastAsia="Calibri" w:hAnsi="Palatino Linotype" w:cs="Arial"/>
          <w:sz w:val="24"/>
          <w:szCs w:val="24"/>
        </w:rPr>
        <w:t xml:space="preserve">Sin embargo, con la finalidad de brindar certeza al particular, como se ha dicho anteriormente, el Comité de Transparencia del Sujeto Obligado deberá emitir un </w:t>
      </w:r>
      <w:r w:rsidRPr="007C3AE4">
        <w:rPr>
          <w:rFonts w:ascii="Palatino Linotype" w:eastAsia="Calibri" w:hAnsi="Palatino Linotype" w:cs="Arial"/>
          <w:sz w:val="24"/>
          <w:szCs w:val="24"/>
        </w:rPr>
        <w:lastRenderedPageBreak/>
        <w:t>acuerdo mediante el cual se sustente la declinación de competencia y ponerlo a disposición del particular, a quien se le dejan a salvo sus derechos para presentar su solicitud ante el Sujeto Obligado competente.</w:t>
      </w:r>
    </w:p>
    <w:p w14:paraId="250D3152" w14:textId="77777777" w:rsidR="004979D9" w:rsidRPr="007C3AE4" w:rsidRDefault="00121444" w:rsidP="00121444">
      <w:pPr>
        <w:pStyle w:val="Ttulo1"/>
        <w:numPr>
          <w:ilvl w:val="0"/>
          <w:numId w:val="16"/>
        </w:numPr>
        <w:rPr>
          <w:rFonts w:ascii="Palatino Linotype" w:eastAsia="Calibri" w:hAnsi="Palatino Linotype" w:cs="Arial"/>
          <w:b/>
          <w:i/>
          <w:color w:val="auto"/>
          <w:sz w:val="24"/>
          <w:szCs w:val="24"/>
        </w:rPr>
      </w:pPr>
      <w:bookmarkStart w:id="20" w:name="_Toc66352331"/>
      <w:r w:rsidRPr="007C3AE4">
        <w:rPr>
          <w:rFonts w:ascii="Palatino Linotype" w:eastAsia="Calibri" w:hAnsi="Palatino Linotype" w:cs="Arial"/>
          <w:b/>
          <w:i/>
          <w:color w:val="auto"/>
          <w:sz w:val="24"/>
          <w:szCs w:val="24"/>
        </w:rPr>
        <w:t>De los procedimientos de adquisición.</w:t>
      </w:r>
      <w:bookmarkEnd w:id="20"/>
    </w:p>
    <w:p w14:paraId="0629EBC3" w14:textId="77777777" w:rsidR="004979D9" w:rsidRPr="007C3AE4" w:rsidRDefault="004979D9" w:rsidP="00121444">
      <w:pPr>
        <w:pStyle w:val="Prrafodelista"/>
        <w:numPr>
          <w:ilvl w:val="0"/>
          <w:numId w:val="2"/>
        </w:numPr>
        <w:spacing w:before="100" w:beforeAutospacing="1" w:after="100" w:afterAutospacing="1" w:line="360" w:lineRule="auto"/>
        <w:jc w:val="both"/>
        <w:rPr>
          <w:rFonts w:ascii="Palatino Linotype" w:eastAsia="Calibri" w:hAnsi="Palatino Linotype" w:cs="Arial"/>
          <w:sz w:val="24"/>
          <w:szCs w:val="24"/>
        </w:rPr>
      </w:pPr>
      <w:r w:rsidRPr="007C3AE4">
        <w:rPr>
          <w:rFonts w:ascii="Palatino Linotype" w:eastAsia="Calibri" w:hAnsi="Palatino Linotype" w:cs="Arial"/>
          <w:sz w:val="24"/>
          <w:szCs w:val="24"/>
        </w:rPr>
        <w:t xml:space="preserve">En ese contexto, es de referir </w:t>
      </w:r>
      <w:proofErr w:type="gramStart"/>
      <w:r w:rsidRPr="007C3AE4">
        <w:rPr>
          <w:rFonts w:ascii="Palatino Linotype" w:eastAsia="Calibri" w:hAnsi="Palatino Linotype" w:cs="Arial"/>
          <w:sz w:val="24"/>
          <w:szCs w:val="24"/>
        </w:rPr>
        <w:t>que</w:t>
      </w:r>
      <w:proofErr w:type="gramEnd"/>
      <w:r w:rsidRPr="007C3AE4">
        <w:rPr>
          <w:rFonts w:ascii="Palatino Linotype" w:eastAsia="Calibri" w:hAnsi="Palatino Linotype" w:cs="Arial"/>
          <w:sz w:val="24"/>
          <w:szCs w:val="24"/>
        </w:rPr>
        <w:t xml:space="preserve"> de la información requerida por el particular, no toda esta relacionada con la adquisición de medicamentos, tal es caso de los inciso</w:t>
      </w:r>
      <w:r w:rsidR="00121444" w:rsidRPr="007C3AE4">
        <w:rPr>
          <w:rFonts w:ascii="Palatino Linotype" w:eastAsia="Calibri" w:hAnsi="Palatino Linotype" w:cs="Arial"/>
          <w:sz w:val="24"/>
          <w:szCs w:val="24"/>
        </w:rPr>
        <w:t>s b) y c)</w:t>
      </w:r>
      <w:r w:rsidRPr="007C3AE4">
        <w:rPr>
          <w:rFonts w:ascii="Palatino Linotype" w:eastAsia="Calibri" w:hAnsi="Palatino Linotype" w:cs="Arial"/>
          <w:sz w:val="24"/>
          <w:szCs w:val="24"/>
        </w:rPr>
        <w:t xml:space="preserve"> los cuales corresponde a: </w:t>
      </w:r>
    </w:p>
    <w:p w14:paraId="11464A92" w14:textId="77777777" w:rsidR="00121444" w:rsidRPr="007C3AE4" w:rsidRDefault="00121444" w:rsidP="00121444">
      <w:pPr>
        <w:pStyle w:val="Prrafodelista"/>
        <w:spacing w:before="100" w:beforeAutospacing="1" w:after="100" w:afterAutospacing="1" w:line="360" w:lineRule="auto"/>
        <w:ind w:left="360"/>
        <w:jc w:val="both"/>
        <w:rPr>
          <w:rFonts w:ascii="Palatino Linotype" w:eastAsia="Calibri" w:hAnsi="Palatino Linotype" w:cs="Arial"/>
          <w:sz w:val="24"/>
          <w:szCs w:val="24"/>
        </w:rPr>
      </w:pPr>
    </w:p>
    <w:p w14:paraId="50A77564" w14:textId="77777777" w:rsidR="00121444" w:rsidRPr="007C3AE4" w:rsidRDefault="00121444" w:rsidP="00121444">
      <w:pPr>
        <w:pStyle w:val="Prrafodelista"/>
        <w:numPr>
          <w:ilvl w:val="1"/>
          <w:numId w:val="11"/>
        </w:numPr>
        <w:tabs>
          <w:tab w:val="left" w:pos="7938"/>
        </w:tabs>
        <w:spacing w:before="240" w:after="240" w:line="360" w:lineRule="auto"/>
        <w:ind w:left="426"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Los</w:t>
      </w:r>
      <w:r w:rsidRPr="007C3AE4">
        <w:rPr>
          <w:rFonts w:ascii="Palatino Linotype" w:eastAsia="Calibri" w:hAnsi="Palatino Linotype" w:cs="Arial"/>
          <w:i/>
          <w:sz w:val="24"/>
          <w:szCs w:val="24"/>
          <w:lang w:eastAsia="es-ES"/>
        </w:rPr>
        <w:t xml:space="preserve"> </w:t>
      </w:r>
      <w:proofErr w:type="gramStart"/>
      <w:r w:rsidRPr="007C3AE4">
        <w:rPr>
          <w:rFonts w:ascii="Palatino Linotype" w:eastAsia="Calibri" w:hAnsi="Palatino Linotype" w:cs="Arial"/>
          <w:b/>
          <w:i/>
          <w:sz w:val="24"/>
          <w:szCs w:val="24"/>
          <w:lang w:eastAsia="es-ES"/>
        </w:rPr>
        <w:t>programas anual</w:t>
      </w:r>
      <w:proofErr w:type="gramEnd"/>
      <w:r w:rsidRPr="007C3AE4">
        <w:rPr>
          <w:rFonts w:ascii="Palatino Linotype" w:eastAsia="Calibri" w:hAnsi="Palatino Linotype" w:cs="Arial"/>
          <w:b/>
          <w:i/>
          <w:sz w:val="24"/>
          <w:szCs w:val="24"/>
          <w:lang w:eastAsia="es-ES"/>
        </w:rPr>
        <w:t xml:space="preserve"> de adquisiciones, arrendamientos y prestaciones de servicios.</w:t>
      </w:r>
      <w:r w:rsidRPr="007C3AE4">
        <w:rPr>
          <w:rFonts w:ascii="Palatino Linotype" w:eastAsia="Calibri" w:hAnsi="Palatino Linotype" w:cs="Arial"/>
          <w:i/>
          <w:sz w:val="24"/>
          <w:szCs w:val="24"/>
          <w:lang w:eastAsia="es-ES"/>
        </w:rPr>
        <w:t xml:space="preserve"> </w:t>
      </w:r>
    </w:p>
    <w:p w14:paraId="434F5991" w14:textId="77777777" w:rsidR="00121444" w:rsidRPr="007C3AE4" w:rsidRDefault="00121444" w:rsidP="00121444">
      <w:pPr>
        <w:pStyle w:val="Prrafodelista"/>
        <w:numPr>
          <w:ilvl w:val="1"/>
          <w:numId w:val="11"/>
        </w:numPr>
        <w:tabs>
          <w:tab w:val="left" w:pos="7938"/>
        </w:tabs>
        <w:spacing w:before="240" w:after="240" w:line="360" w:lineRule="auto"/>
        <w:ind w:left="426" w:right="615"/>
        <w:jc w:val="both"/>
        <w:rPr>
          <w:rFonts w:ascii="Palatino Linotype" w:eastAsia="Calibri" w:hAnsi="Palatino Linotype" w:cs="Arial"/>
          <w:i/>
          <w:sz w:val="24"/>
          <w:szCs w:val="24"/>
          <w:lang w:eastAsia="es-ES"/>
        </w:rPr>
      </w:pPr>
      <w:r w:rsidRPr="007C3AE4">
        <w:rPr>
          <w:rFonts w:ascii="Palatino Linotype" w:eastAsia="Calibri" w:hAnsi="Palatino Linotype" w:cs="Arial"/>
          <w:b/>
          <w:i/>
          <w:sz w:val="24"/>
          <w:szCs w:val="24"/>
          <w:lang w:eastAsia="es-ES"/>
        </w:rPr>
        <w:t>Documentación presentada ante el comité de adquisiciones para su autorización.</w:t>
      </w:r>
      <w:r w:rsidRPr="007C3AE4">
        <w:rPr>
          <w:rFonts w:ascii="Palatino Linotype" w:eastAsia="Calibri" w:hAnsi="Palatino Linotype" w:cs="Arial"/>
          <w:i/>
          <w:sz w:val="24"/>
          <w:szCs w:val="24"/>
          <w:lang w:eastAsia="es-ES"/>
        </w:rPr>
        <w:t xml:space="preserve"> </w:t>
      </w:r>
    </w:p>
    <w:p w14:paraId="562BDA27" w14:textId="77777777" w:rsidR="004979D9" w:rsidRPr="007C3AE4" w:rsidRDefault="004979D9" w:rsidP="004979D9">
      <w:pPr>
        <w:pStyle w:val="Prrafodelista"/>
        <w:rPr>
          <w:rFonts w:ascii="Palatino Linotype" w:eastAsia="Calibri" w:hAnsi="Palatino Linotype" w:cs="Arial"/>
          <w:sz w:val="24"/>
          <w:szCs w:val="24"/>
        </w:rPr>
      </w:pPr>
    </w:p>
    <w:p w14:paraId="6B5CF922" w14:textId="77777777" w:rsidR="004979D9" w:rsidRPr="007C3AE4" w:rsidRDefault="00121444" w:rsidP="00121444">
      <w:pPr>
        <w:pStyle w:val="Prrafodelista"/>
        <w:numPr>
          <w:ilvl w:val="0"/>
          <w:numId w:val="2"/>
        </w:numPr>
        <w:spacing w:before="100" w:beforeAutospacing="1" w:after="100" w:afterAutospacing="1" w:line="360" w:lineRule="auto"/>
        <w:jc w:val="both"/>
        <w:rPr>
          <w:rFonts w:ascii="Palatino Linotype" w:eastAsia="Calibri" w:hAnsi="Palatino Linotype" w:cs="Arial"/>
          <w:sz w:val="24"/>
          <w:szCs w:val="24"/>
        </w:rPr>
      </w:pPr>
      <w:r w:rsidRPr="007C3AE4">
        <w:rPr>
          <w:rFonts w:ascii="Palatino Linotype" w:eastAsia="Calibri" w:hAnsi="Palatino Linotype" w:cs="Arial"/>
          <w:sz w:val="24"/>
          <w:szCs w:val="24"/>
        </w:rPr>
        <w:t>Ahora bien, es de precisar que la información está relacionada con información contenida en el catálogo de obligaciones de transparencia común, establecidas en el artículo 92 fracción XXIX, el cual dice:</w:t>
      </w:r>
    </w:p>
    <w:p w14:paraId="68CE8DED" w14:textId="77777777" w:rsidR="00121444" w:rsidRPr="007C3AE4" w:rsidRDefault="00121444" w:rsidP="00910532">
      <w:pPr>
        <w:pStyle w:val="Prrafodelista"/>
        <w:spacing w:before="100" w:beforeAutospacing="1" w:after="100" w:afterAutospacing="1" w:line="360" w:lineRule="auto"/>
        <w:ind w:left="360" w:right="615"/>
        <w:jc w:val="both"/>
        <w:rPr>
          <w:rFonts w:ascii="Palatino Linotype" w:eastAsia="Calibri" w:hAnsi="Palatino Linotype" w:cs="Arial"/>
          <w:i/>
          <w:sz w:val="24"/>
          <w:szCs w:val="24"/>
        </w:rPr>
      </w:pPr>
    </w:p>
    <w:p w14:paraId="5727B19C" w14:textId="77777777" w:rsidR="00910532" w:rsidRPr="007C3AE4" w:rsidRDefault="00121444" w:rsidP="00910532">
      <w:pPr>
        <w:pStyle w:val="Prrafodelista"/>
        <w:numPr>
          <w:ilvl w:val="2"/>
          <w:numId w:val="11"/>
        </w:numPr>
        <w:spacing w:before="100" w:beforeAutospacing="1" w:after="100" w:afterAutospacing="1" w:line="360" w:lineRule="auto"/>
        <w:ind w:left="709" w:right="615" w:hanging="425"/>
        <w:jc w:val="both"/>
        <w:rPr>
          <w:rFonts w:ascii="Palatino Linotype" w:eastAsia="Calibri" w:hAnsi="Palatino Linotype" w:cs="Arial"/>
          <w:sz w:val="24"/>
          <w:szCs w:val="24"/>
        </w:rPr>
      </w:pPr>
      <w:r w:rsidRPr="007C3AE4">
        <w:rPr>
          <w:rFonts w:ascii="Palatino Linotype" w:eastAsia="Calibri" w:hAnsi="Palatino Linotype" w:cs="Arial"/>
          <w:b/>
          <w:i/>
          <w:sz w:val="24"/>
          <w:szCs w:val="24"/>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Pr="007C3AE4">
        <w:rPr>
          <w:rFonts w:ascii="Palatino Linotype" w:eastAsia="Calibri" w:hAnsi="Palatino Linotype" w:cs="Arial"/>
          <w:i/>
          <w:sz w:val="24"/>
          <w:szCs w:val="24"/>
        </w:rPr>
        <w:t xml:space="preserve">: </w:t>
      </w:r>
    </w:p>
    <w:p w14:paraId="28D598D2"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a) De licitaciones públicas o procedimientos de invitación restringida:</w:t>
      </w:r>
    </w:p>
    <w:p w14:paraId="25548064"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lastRenderedPageBreak/>
        <w:t xml:space="preserve">1) La convocatoria o invitación emitida, así como los fundamentos legales aplicados para llevarla a cabo; </w:t>
      </w:r>
    </w:p>
    <w:p w14:paraId="35CE3679"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2) Los nombres de los participantes o invitados;</w:t>
      </w:r>
    </w:p>
    <w:p w14:paraId="430C97FF"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3) El nombre del ganador y las razones que lo justifican; </w:t>
      </w:r>
    </w:p>
    <w:p w14:paraId="552FFBE2"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4) El área solicitante y la responsable de su ejecución;</w:t>
      </w:r>
    </w:p>
    <w:p w14:paraId="2CDEFCAC"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5) Las convocatorias e invitaciones emitidas; </w:t>
      </w:r>
    </w:p>
    <w:p w14:paraId="019017B9"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6) Los dictámenes y fallo de adjudicación; </w:t>
      </w:r>
    </w:p>
    <w:p w14:paraId="0FEAC164"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7) El contrato y, en su caso, sus anexos; </w:t>
      </w:r>
    </w:p>
    <w:p w14:paraId="3C09E11C"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8) Los mecanismos de vigilancia y supervisión, incluyendo en su caso, los estudios de impacto urbano y ambiental, según corresponda; </w:t>
      </w:r>
    </w:p>
    <w:p w14:paraId="620DD4F6"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9) La partida presupuestal, de conformidad con el clasificador por objeto del gasto, en el caso de ser aplicable; </w:t>
      </w:r>
    </w:p>
    <w:p w14:paraId="47AFC52C"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10) Origen de los recursos especificando si son federales, estatales o municipales, así como el tipo de fondo de participación o aportación respectiva; </w:t>
      </w:r>
    </w:p>
    <w:p w14:paraId="3D2C00BA"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11) Los convenios modificatorios que, en su caso, sean firmados, precisando el objeto y la fecha de celebración; </w:t>
      </w:r>
    </w:p>
    <w:p w14:paraId="5C24ADF2"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12) Los informes de avance físico y financiero sobre las obras o servicios contratados; </w:t>
      </w:r>
    </w:p>
    <w:p w14:paraId="0631F69B"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13) El convenio de terminación; y </w:t>
      </w:r>
    </w:p>
    <w:p w14:paraId="45CE5C0B"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14) El finiquito.</w:t>
      </w:r>
    </w:p>
    <w:p w14:paraId="18ADF3A1" w14:textId="77777777" w:rsidR="00910532" w:rsidRPr="007C3AE4" w:rsidRDefault="00910532"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p>
    <w:p w14:paraId="646834F6"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 b) De las adjudicaciones directas: </w:t>
      </w:r>
    </w:p>
    <w:p w14:paraId="0CC4BA88"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1) La propuesta enviada por el participante; </w:t>
      </w:r>
    </w:p>
    <w:p w14:paraId="72349BDD"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2) Los motivos y fundamentos legales aplicados para llevarla a cabo; </w:t>
      </w:r>
    </w:p>
    <w:p w14:paraId="674C70C8"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lastRenderedPageBreak/>
        <w:t xml:space="preserve">3) La autorización del ejercicio de la opción; </w:t>
      </w:r>
    </w:p>
    <w:p w14:paraId="7A8FA077"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4) En su caso, las cotizaciones consideradas, especificando los nombres de los proveedores y sus montos; </w:t>
      </w:r>
    </w:p>
    <w:p w14:paraId="730BE013"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5) El nombre de la persona física o jurídica colectiva adjudicada; </w:t>
      </w:r>
    </w:p>
    <w:p w14:paraId="29A03A01"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6) La unidad administrativa solicitante y la responsable de su ejecución; </w:t>
      </w:r>
    </w:p>
    <w:p w14:paraId="02DE1102"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7) El número, fecha, el monto del contrato y el plazo de entrega o de ejecución de los servicios u obra; </w:t>
      </w:r>
    </w:p>
    <w:p w14:paraId="1C3F28A2"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8) Los mecanismos de vigilancia y supervisión, incluyendo, en su caso, los estudios de impacto urbano y ambiental, según corresponda; </w:t>
      </w:r>
    </w:p>
    <w:p w14:paraId="3E069D74"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9) Los informes de avance sobre las obras o servicios contratados; </w:t>
      </w:r>
    </w:p>
    <w:p w14:paraId="1ED34A60" w14:textId="77777777" w:rsidR="00910532"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i/>
          <w:sz w:val="24"/>
          <w:szCs w:val="24"/>
        </w:rPr>
      </w:pPr>
      <w:r w:rsidRPr="007C3AE4">
        <w:rPr>
          <w:rFonts w:ascii="Palatino Linotype" w:eastAsia="Calibri" w:hAnsi="Palatino Linotype" w:cs="Arial"/>
          <w:i/>
          <w:sz w:val="24"/>
          <w:szCs w:val="24"/>
        </w:rPr>
        <w:t xml:space="preserve">10) El convenio de terminación; y </w:t>
      </w:r>
    </w:p>
    <w:p w14:paraId="2AD9198C" w14:textId="77777777" w:rsidR="00121444" w:rsidRPr="007C3AE4" w:rsidRDefault="00121444" w:rsidP="00910532">
      <w:pPr>
        <w:pStyle w:val="Prrafodelista"/>
        <w:spacing w:before="100" w:beforeAutospacing="1" w:after="100" w:afterAutospacing="1" w:line="360" w:lineRule="auto"/>
        <w:ind w:left="709" w:right="615"/>
        <w:jc w:val="both"/>
        <w:rPr>
          <w:rFonts w:ascii="Palatino Linotype" w:eastAsia="Calibri" w:hAnsi="Palatino Linotype" w:cs="Arial"/>
          <w:sz w:val="24"/>
          <w:szCs w:val="24"/>
        </w:rPr>
      </w:pPr>
      <w:r w:rsidRPr="007C3AE4">
        <w:rPr>
          <w:rFonts w:ascii="Palatino Linotype" w:eastAsia="Calibri" w:hAnsi="Palatino Linotype" w:cs="Arial"/>
          <w:i/>
          <w:sz w:val="24"/>
          <w:szCs w:val="24"/>
        </w:rPr>
        <w:t>11) El finiquito.</w:t>
      </w:r>
    </w:p>
    <w:p w14:paraId="65B5CD13" w14:textId="77777777" w:rsidR="00305353" w:rsidRPr="007C3AE4" w:rsidRDefault="00910532" w:rsidP="00305353">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De la información solicitada por el particular, se puede observar que la misma está vinculada con las obligaciones de transparencia común, por lo </w:t>
      </w:r>
      <w:proofErr w:type="gramStart"/>
      <w:r w:rsidRPr="007C3AE4">
        <w:rPr>
          <w:rFonts w:ascii="Palatino Linotype" w:eastAsia="MS Mincho" w:hAnsi="Palatino Linotype" w:cstheme="majorBidi"/>
          <w:sz w:val="24"/>
          <w:szCs w:val="24"/>
          <w:lang w:val="es-ES_tradnl" w:eastAsia="es-ES"/>
        </w:rPr>
        <w:t>tanto</w:t>
      </w:r>
      <w:proofErr w:type="gramEnd"/>
      <w:r w:rsidRPr="007C3AE4">
        <w:rPr>
          <w:rFonts w:ascii="Palatino Linotype" w:eastAsia="MS Mincho" w:hAnsi="Palatino Linotype" w:cstheme="majorBidi"/>
          <w:sz w:val="24"/>
          <w:szCs w:val="24"/>
          <w:lang w:val="es-ES_tradnl" w:eastAsia="es-ES"/>
        </w:rPr>
        <w:t xml:space="preserve"> el </w:t>
      </w:r>
      <w:r w:rsidRPr="007C3AE4">
        <w:rPr>
          <w:rFonts w:ascii="Palatino Linotype" w:eastAsia="MS Mincho" w:hAnsi="Palatino Linotype" w:cstheme="majorBidi"/>
          <w:b/>
          <w:sz w:val="24"/>
          <w:szCs w:val="24"/>
          <w:lang w:val="es-ES_tradnl" w:eastAsia="es-ES"/>
        </w:rPr>
        <w:t xml:space="preserve">SUJETO OBLIGADO </w:t>
      </w:r>
      <w:r w:rsidRPr="007C3AE4">
        <w:rPr>
          <w:rFonts w:ascii="Palatino Linotype" w:eastAsia="MS Mincho" w:hAnsi="Palatino Linotype" w:cstheme="majorBidi"/>
          <w:sz w:val="24"/>
          <w:szCs w:val="24"/>
          <w:lang w:val="es-ES_tradnl" w:eastAsia="es-ES"/>
        </w:rPr>
        <w:t>deberá de hacer entrega de documento que dé cuenta de las adquisiciones, arrendamientos y prestaciones de servicios, en cualquier modalidad, es decir, licitación p</w:t>
      </w:r>
      <w:r w:rsidR="00305353" w:rsidRPr="007C3AE4">
        <w:rPr>
          <w:rFonts w:ascii="Palatino Linotype" w:eastAsia="MS Mincho" w:hAnsi="Palatino Linotype" w:cstheme="majorBidi"/>
          <w:sz w:val="24"/>
          <w:szCs w:val="24"/>
          <w:lang w:val="es-ES_tradnl" w:eastAsia="es-ES"/>
        </w:rPr>
        <w:t xml:space="preserve">ública, por </w:t>
      </w:r>
      <w:r w:rsidR="004C7F98" w:rsidRPr="007C3AE4">
        <w:rPr>
          <w:rFonts w:ascii="Palatino Linotype" w:eastAsia="MS Mincho" w:hAnsi="Palatino Linotype" w:cstheme="majorBidi"/>
          <w:sz w:val="24"/>
          <w:szCs w:val="24"/>
          <w:lang w:val="es-ES_tradnl" w:eastAsia="es-ES"/>
        </w:rPr>
        <w:t>inv</w:t>
      </w:r>
      <w:r w:rsidR="00305353" w:rsidRPr="007C3AE4">
        <w:rPr>
          <w:rFonts w:ascii="Palatino Linotype" w:eastAsia="MS Mincho" w:hAnsi="Palatino Linotype" w:cstheme="majorBidi"/>
          <w:sz w:val="24"/>
          <w:szCs w:val="24"/>
          <w:lang w:val="es-ES_tradnl" w:eastAsia="es-ES"/>
        </w:rPr>
        <w:t>itación restringida o adjudicación directa. Así como las documentales presentadas ante el Comité de Adquisiciones para su autorización, en versión publica de ser el caso.</w:t>
      </w:r>
    </w:p>
    <w:p w14:paraId="0A893B1B" w14:textId="77777777" w:rsidR="00715BBB" w:rsidRPr="007C3AE4" w:rsidRDefault="00715BBB" w:rsidP="00715BBB">
      <w:pPr>
        <w:spacing w:after="0" w:line="360" w:lineRule="auto"/>
        <w:ind w:left="360"/>
        <w:contextualSpacing/>
        <w:jc w:val="both"/>
        <w:rPr>
          <w:rFonts w:ascii="Palatino Linotype" w:eastAsia="MS Mincho" w:hAnsi="Palatino Linotype" w:cstheme="majorBidi"/>
          <w:sz w:val="24"/>
          <w:szCs w:val="24"/>
          <w:lang w:val="es-ES_tradnl" w:eastAsia="es-ES"/>
        </w:rPr>
      </w:pPr>
    </w:p>
    <w:p w14:paraId="4DAD2F2F" w14:textId="77777777" w:rsidR="00715BBB" w:rsidRPr="007C3AE4" w:rsidRDefault="00715BBB" w:rsidP="00715BBB">
      <w:pPr>
        <w:pStyle w:val="Prrafodelista"/>
        <w:numPr>
          <w:ilvl w:val="0"/>
          <w:numId w:val="2"/>
        </w:numPr>
        <w:spacing w:after="0" w:line="360" w:lineRule="auto"/>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Es de precisar que los Sujeto Obligado cuenta con el deber de documentar cada uno de sus actos de autoridad que estos realizar, información que permitirá un clara rendición de cuentas, es decir, que dan plasmada cada una de sus actividades que realizaron durante la gestión del encargo público al cual fueron </w:t>
      </w:r>
      <w:r w:rsidRPr="007C3AE4">
        <w:rPr>
          <w:rFonts w:ascii="Palatino Linotype" w:eastAsia="MS Mincho" w:hAnsi="Palatino Linotype" w:cstheme="majorBidi"/>
          <w:sz w:val="24"/>
          <w:szCs w:val="24"/>
          <w:lang w:val="es-ES_tradnl" w:eastAsia="es-ES"/>
        </w:rPr>
        <w:lastRenderedPageBreak/>
        <w:t>designados, por lo dichas documentales darán constancia de sus deberes y obligaciones, información que está sujeta al escrutinio de la sociedad quienes se formarán una opinión propia sobre aquellos Sujetos Obligados de su interés.</w:t>
      </w:r>
    </w:p>
    <w:p w14:paraId="07F7F6A5" w14:textId="77777777" w:rsidR="00715BBB" w:rsidRPr="007C3AE4" w:rsidRDefault="00715BBB" w:rsidP="00715BBB">
      <w:pPr>
        <w:pStyle w:val="Prrafodelista"/>
        <w:spacing w:after="0" w:line="360" w:lineRule="auto"/>
        <w:ind w:left="360"/>
        <w:jc w:val="both"/>
        <w:rPr>
          <w:rFonts w:ascii="Palatino Linotype" w:eastAsia="MS Mincho" w:hAnsi="Palatino Linotype" w:cstheme="majorBidi"/>
          <w:sz w:val="24"/>
          <w:szCs w:val="24"/>
          <w:lang w:val="es-ES_tradnl" w:eastAsia="es-ES"/>
        </w:rPr>
      </w:pPr>
    </w:p>
    <w:p w14:paraId="4EBDBFE1" w14:textId="77777777" w:rsidR="00715BBB" w:rsidRPr="007C3AE4" w:rsidRDefault="00715BBB" w:rsidP="00715BB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Ahora bien, dicha obligación de documentar se encuentra establecida en el artículo 18 de la Ley de Transparencia y Acceso a la Información Pública del Estado de México y Municipios, que a la letra dice:</w:t>
      </w:r>
    </w:p>
    <w:p w14:paraId="6076ED75" w14:textId="77777777" w:rsidR="00715BBB" w:rsidRPr="007C3AE4" w:rsidRDefault="00715BBB" w:rsidP="00715BBB">
      <w:pPr>
        <w:spacing w:after="0" w:line="360" w:lineRule="auto"/>
        <w:ind w:left="567" w:right="615"/>
        <w:contextualSpacing/>
        <w:jc w:val="both"/>
        <w:rPr>
          <w:rFonts w:ascii="Palatino Linotype" w:eastAsia="MS Mincho" w:hAnsi="Palatino Linotype" w:cstheme="majorBidi"/>
          <w:i/>
          <w:lang w:val="es-ES_tradnl" w:eastAsia="es-ES"/>
        </w:rPr>
      </w:pPr>
    </w:p>
    <w:p w14:paraId="4D808FB9" w14:textId="77777777" w:rsidR="00715BBB" w:rsidRPr="007C3AE4" w:rsidRDefault="00715BBB" w:rsidP="00715BBB">
      <w:pPr>
        <w:spacing w:after="0" w:line="360" w:lineRule="auto"/>
        <w:ind w:left="567" w:right="615"/>
        <w:contextualSpacing/>
        <w:jc w:val="both"/>
        <w:rPr>
          <w:rFonts w:ascii="Palatino Linotype" w:eastAsia="MS Mincho" w:hAnsi="Palatino Linotype" w:cstheme="majorBidi"/>
          <w:i/>
          <w:lang w:val="es-ES_tradnl" w:eastAsia="es-ES"/>
        </w:rPr>
      </w:pPr>
      <w:r w:rsidRPr="007C3AE4">
        <w:rPr>
          <w:rFonts w:ascii="Palatino Linotype" w:eastAsia="MS Mincho" w:hAnsi="Palatino Linotype" w:cstheme="majorBidi"/>
          <w:b/>
          <w:i/>
          <w:lang w:val="es-ES_tradnl" w:eastAsia="es-ES"/>
        </w:rPr>
        <w:t>Articulo. 18</w:t>
      </w:r>
      <w:r w:rsidRPr="007C3AE4">
        <w:rPr>
          <w:rFonts w:ascii="Palatino Linotype" w:eastAsia="MS Mincho" w:hAnsi="Palatino Linotype" w:cstheme="majorBidi"/>
          <w:i/>
          <w:lang w:val="es-ES_tradnl" w:eastAsia="es-ES"/>
        </w:rPr>
        <w:t xml:space="preserve"> </w:t>
      </w:r>
      <w:proofErr w:type="gramStart"/>
      <w:r w:rsidRPr="007C3AE4">
        <w:rPr>
          <w:rFonts w:ascii="Palatino Linotype" w:eastAsia="MS Mincho" w:hAnsi="Palatino Linotype" w:cstheme="majorBidi"/>
          <w:i/>
          <w:lang w:val="es-ES_tradnl" w:eastAsia="es-ES"/>
        </w:rPr>
        <w:t>Los</w:t>
      </w:r>
      <w:proofErr w:type="gramEnd"/>
      <w:r w:rsidRPr="007C3AE4">
        <w:rPr>
          <w:rFonts w:ascii="Palatino Linotype" w:eastAsia="MS Mincho" w:hAnsi="Palatino Linotype" w:cstheme="majorBidi"/>
          <w:i/>
          <w:lang w:val="es-ES_tradnl" w:eastAsia="es-ES"/>
        </w:rPr>
        <w:t xml:space="preserve"> sujetos obligados deberán documentar todo acto que derive del ejercicio de sus facultades, competencias o funciones, considerando desde su origen la eventual publicidad y reutilización de la información que generen.</w:t>
      </w:r>
    </w:p>
    <w:p w14:paraId="58168D76" w14:textId="77777777" w:rsidR="00715BBB" w:rsidRPr="007C3AE4" w:rsidRDefault="00715BBB" w:rsidP="00715BBB">
      <w:pPr>
        <w:spacing w:after="0" w:line="360" w:lineRule="auto"/>
        <w:ind w:left="360"/>
        <w:contextualSpacing/>
        <w:jc w:val="both"/>
        <w:rPr>
          <w:rFonts w:ascii="Palatino Linotype" w:eastAsia="MS Mincho" w:hAnsi="Palatino Linotype" w:cstheme="majorBidi"/>
          <w:sz w:val="24"/>
          <w:szCs w:val="24"/>
          <w:lang w:val="es-ES_tradnl" w:eastAsia="es-ES"/>
        </w:rPr>
      </w:pPr>
    </w:p>
    <w:p w14:paraId="743DDF3A" w14:textId="77777777" w:rsidR="00715BBB" w:rsidRPr="007C3AE4" w:rsidRDefault="00715BBB" w:rsidP="00715BB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En ese contexto, se tiene que no puede existir derecho de acceso a la información, sin una adecuada documentación de las deberes y obligaciones de los sujetos obligados, quien tienes el deber de dar a conocer toda aquella información que este en su posesión derivado de funciones, competencia y atribuciones, con sus debidas restricciones si el caso lo amerita, de manera fundada y motivada, para brindar certeza jurídica a los solicitantes.</w:t>
      </w:r>
    </w:p>
    <w:p w14:paraId="04A99B7A" w14:textId="77777777" w:rsidR="00910532" w:rsidRPr="007C3AE4" w:rsidRDefault="00910532" w:rsidP="00910532">
      <w:pPr>
        <w:ind w:left="720"/>
        <w:contextualSpacing/>
        <w:rPr>
          <w:rFonts w:ascii="Palatino Linotype" w:eastAsiaTheme="minorEastAsia" w:hAnsi="Palatino Linotype"/>
          <w:sz w:val="24"/>
          <w:szCs w:val="24"/>
          <w:lang w:eastAsia="es-ES"/>
        </w:rPr>
      </w:pPr>
    </w:p>
    <w:p w14:paraId="79BE3DE8" w14:textId="77777777" w:rsidR="00910532" w:rsidRPr="007C3AE4" w:rsidRDefault="00910532" w:rsidP="00715BBB">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7C3AE4">
        <w:rPr>
          <w:rFonts w:ascii="Palatino Linotype" w:eastAsiaTheme="minorEastAsia" w:hAnsi="Palatino Linotype"/>
          <w:sz w:val="24"/>
          <w:szCs w:val="24"/>
          <w:lang w:eastAsia="es-ES"/>
        </w:rPr>
        <w:t xml:space="preserve">De lo anteriormente expuesto, el </w:t>
      </w:r>
      <w:r w:rsidRPr="007C3AE4">
        <w:rPr>
          <w:rFonts w:ascii="Palatino Linotype" w:eastAsiaTheme="minorEastAsia" w:hAnsi="Palatino Linotype"/>
          <w:b/>
          <w:sz w:val="24"/>
          <w:szCs w:val="24"/>
          <w:lang w:eastAsia="es-ES"/>
        </w:rPr>
        <w:t>SUJETO OBLIGADO</w:t>
      </w:r>
      <w:r w:rsidRPr="007C3AE4">
        <w:rPr>
          <w:rFonts w:ascii="Palatino Linotype" w:eastAsiaTheme="minorEastAsia" w:hAnsi="Palatino Linotype"/>
          <w:sz w:val="24"/>
          <w:szCs w:val="24"/>
          <w:lang w:eastAsia="es-ES"/>
        </w:rPr>
        <w:t xml:space="preserve"> deberá de realizar una búsqueda exhaustiva de la información y hacer entrega de las respectiva documentales en versión pública de ser el caso, que den cuenta </w:t>
      </w:r>
      <w:r w:rsidR="00715BBB" w:rsidRPr="007C3AE4">
        <w:rPr>
          <w:rFonts w:ascii="Palatino Linotype" w:eastAsia="MS Mincho" w:hAnsi="Palatino Linotype" w:cstheme="majorBidi"/>
          <w:sz w:val="24"/>
          <w:szCs w:val="24"/>
          <w:lang w:val="es-ES_tradnl" w:eastAsia="es-ES"/>
        </w:rPr>
        <w:t xml:space="preserve">de las adquisiciones, arrendamientos y prestaciones de servicios, en cualquier modalidad, es decir, licitación pública, por invitación restringida o adjudicación directa. Así como las documentales presentadas ante el Comité de Adquisiciones </w:t>
      </w:r>
      <w:r w:rsidR="00715BBB" w:rsidRPr="007C3AE4">
        <w:rPr>
          <w:rFonts w:ascii="Palatino Linotype" w:eastAsia="MS Mincho" w:hAnsi="Palatino Linotype" w:cstheme="majorBidi"/>
          <w:sz w:val="24"/>
          <w:szCs w:val="24"/>
          <w:lang w:val="es-ES_tradnl" w:eastAsia="es-ES"/>
        </w:rPr>
        <w:lastRenderedPageBreak/>
        <w:t>para su autorización</w:t>
      </w:r>
      <w:r w:rsidRPr="007C3AE4">
        <w:rPr>
          <w:rFonts w:ascii="Palatino Linotype" w:eastAsiaTheme="minorEastAsia" w:hAnsi="Palatino Linotype"/>
          <w:sz w:val="24"/>
          <w:szCs w:val="24"/>
          <w:lang w:eastAsia="es-ES"/>
        </w:rPr>
        <w:t>, lo anterior para poder dejar colmado el derecho del particular.</w:t>
      </w:r>
    </w:p>
    <w:p w14:paraId="1259DC07" w14:textId="77777777" w:rsidR="00305353" w:rsidRPr="007C3AE4" w:rsidRDefault="00305353" w:rsidP="00305353">
      <w:pPr>
        <w:pStyle w:val="Prrafodelista"/>
        <w:ind w:left="360" w:hanging="360"/>
        <w:rPr>
          <w:rFonts w:ascii="Palatino Linotype" w:eastAsiaTheme="minorEastAsia" w:hAnsi="Palatino Linotype"/>
          <w:sz w:val="24"/>
          <w:szCs w:val="24"/>
          <w:lang w:eastAsia="es-ES"/>
        </w:rPr>
      </w:pPr>
    </w:p>
    <w:p w14:paraId="1C5ABE01" w14:textId="77777777" w:rsidR="00305353" w:rsidRPr="007C3AE4" w:rsidRDefault="00305353" w:rsidP="00305353">
      <w:pPr>
        <w:pStyle w:val="Ttulo1"/>
        <w:numPr>
          <w:ilvl w:val="0"/>
          <w:numId w:val="16"/>
        </w:numPr>
        <w:rPr>
          <w:rFonts w:ascii="Palatino Linotype" w:eastAsiaTheme="minorEastAsia" w:hAnsi="Palatino Linotype"/>
          <w:b/>
          <w:i/>
          <w:color w:val="auto"/>
          <w:sz w:val="24"/>
          <w:szCs w:val="24"/>
          <w:lang w:eastAsia="es-ES"/>
        </w:rPr>
      </w:pPr>
      <w:bookmarkStart w:id="21" w:name="_Toc66352332"/>
      <w:r w:rsidRPr="007C3AE4">
        <w:rPr>
          <w:rFonts w:ascii="Palatino Linotype" w:eastAsiaTheme="minorEastAsia" w:hAnsi="Palatino Linotype"/>
          <w:b/>
          <w:i/>
          <w:color w:val="auto"/>
          <w:sz w:val="24"/>
          <w:szCs w:val="24"/>
          <w:lang w:eastAsia="es-ES"/>
        </w:rPr>
        <w:t>De la temporalidad de la información</w:t>
      </w:r>
      <w:bookmarkEnd w:id="21"/>
      <w:r w:rsidRPr="007C3AE4">
        <w:rPr>
          <w:rFonts w:ascii="Palatino Linotype" w:eastAsiaTheme="minorEastAsia" w:hAnsi="Palatino Linotype"/>
          <w:b/>
          <w:i/>
          <w:color w:val="auto"/>
          <w:sz w:val="24"/>
          <w:szCs w:val="24"/>
          <w:lang w:eastAsia="es-ES"/>
        </w:rPr>
        <w:t xml:space="preserve"> </w:t>
      </w:r>
    </w:p>
    <w:p w14:paraId="6037EE73" w14:textId="77777777" w:rsidR="00910532" w:rsidRPr="007C3AE4" w:rsidRDefault="00910532" w:rsidP="00305353">
      <w:pPr>
        <w:keepNext/>
        <w:keepLines/>
        <w:spacing w:before="240" w:after="0"/>
        <w:ind w:left="360" w:hanging="360"/>
        <w:outlineLvl w:val="0"/>
        <w:rPr>
          <w:rFonts w:ascii="Palatino Linotype" w:eastAsia="MS Mincho" w:hAnsi="Palatino Linotype" w:cstheme="majorBidi"/>
          <w:b/>
          <w:sz w:val="24"/>
          <w:szCs w:val="24"/>
          <w:lang w:val="es-ES_tradnl" w:eastAsia="es-ES"/>
        </w:rPr>
      </w:pPr>
    </w:p>
    <w:p w14:paraId="5CC3938F" w14:textId="77777777" w:rsidR="00305353" w:rsidRPr="007C3AE4" w:rsidRDefault="00305353" w:rsidP="00715BBB">
      <w:pPr>
        <w:numPr>
          <w:ilvl w:val="0"/>
          <w:numId w:val="2"/>
        </w:numPr>
        <w:spacing w:after="0" w:line="360" w:lineRule="auto"/>
        <w:ind w:right="141"/>
        <w:contextualSpacing/>
        <w:jc w:val="both"/>
        <w:rPr>
          <w:rFonts w:ascii="Palatino Linotype" w:eastAsiaTheme="minorEastAsia" w:hAnsi="Palatino Linotype" w:cs="ArialMT"/>
          <w:sz w:val="24"/>
          <w:szCs w:val="24"/>
          <w:lang w:val="es-ES_tradnl" w:eastAsia="es-ES"/>
        </w:rPr>
      </w:pPr>
      <w:r w:rsidRPr="007C3AE4">
        <w:rPr>
          <w:rFonts w:ascii="Palatino Linotype" w:eastAsiaTheme="minorEastAsia" w:hAnsi="Palatino Linotype" w:cs="ArialMT"/>
          <w:sz w:val="24"/>
          <w:szCs w:val="24"/>
          <w:lang w:val="es-ES_tradnl" w:eastAsia="es-ES"/>
        </w:rPr>
        <w:t>Ahora bien, es preciso señalar que en la solicitud de información el particular no estableció la periodicidad de la información solicitada, en este sentido es necesario tomar en consideración el criterio 3/19 emitido por el Instituto Nacional de Transparencia, Acceso a la Información y Protección de Datos personales, que a la letra dice:</w:t>
      </w:r>
    </w:p>
    <w:p w14:paraId="5600B05C" w14:textId="77777777" w:rsidR="00305353" w:rsidRPr="007C3AE4" w:rsidRDefault="00305353" w:rsidP="00715BBB">
      <w:pPr>
        <w:spacing w:after="0" w:line="360" w:lineRule="auto"/>
        <w:ind w:left="360" w:right="141" w:hanging="360"/>
        <w:contextualSpacing/>
        <w:jc w:val="both"/>
        <w:rPr>
          <w:rFonts w:ascii="Palatino Linotype" w:eastAsiaTheme="minorEastAsia" w:hAnsi="Palatino Linotype" w:cs="ArialMT"/>
          <w:sz w:val="24"/>
          <w:szCs w:val="24"/>
          <w:lang w:val="es-ES_tradnl" w:eastAsia="es-ES"/>
        </w:rPr>
      </w:pPr>
    </w:p>
    <w:p w14:paraId="737AAA56" w14:textId="77777777" w:rsidR="00305353" w:rsidRPr="007C3AE4" w:rsidRDefault="00305353" w:rsidP="00715BBB">
      <w:pPr>
        <w:spacing w:before="1" w:after="200" w:line="360" w:lineRule="auto"/>
        <w:ind w:left="567" w:right="567"/>
        <w:jc w:val="both"/>
        <w:rPr>
          <w:rFonts w:ascii="Palatino Linotype" w:eastAsia="Arial" w:hAnsi="Palatino Linotype" w:cs="Arial"/>
          <w:i/>
        </w:rPr>
      </w:pPr>
      <w:r w:rsidRPr="007C3AE4">
        <w:rPr>
          <w:rFonts w:ascii="Palatino Linotype" w:eastAsia="Arial" w:hAnsi="Palatino Linotype" w:cs="Arial"/>
          <w:b/>
          <w:i/>
        </w:rPr>
        <w:t xml:space="preserve">Periodo de búsqueda de la información. </w:t>
      </w:r>
      <w:r w:rsidRPr="007C3AE4">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3E59B2E" w14:textId="77777777" w:rsidR="00305353" w:rsidRPr="007C3AE4" w:rsidRDefault="00305353" w:rsidP="00715BBB">
      <w:pPr>
        <w:spacing w:after="200" w:line="276" w:lineRule="auto"/>
        <w:ind w:left="567" w:right="567"/>
        <w:jc w:val="both"/>
        <w:rPr>
          <w:rFonts w:ascii="Palatino Linotype" w:hAnsi="Palatino Linotype" w:cs="Arial"/>
          <w:i/>
        </w:rPr>
      </w:pPr>
      <w:r w:rsidRPr="007C3AE4">
        <w:rPr>
          <w:rFonts w:ascii="Palatino Linotype" w:eastAsia="Arial" w:hAnsi="Palatino Linotype" w:cs="Arial"/>
          <w:b/>
          <w:i/>
          <w:spacing w:val="-1"/>
        </w:rPr>
        <w:t>R</w:t>
      </w:r>
      <w:r w:rsidRPr="007C3AE4">
        <w:rPr>
          <w:rFonts w:ascii="Palatino Linotype" w:eastAsia="Arial" w:hAnsi="Palatino Linotype" w:cs="Arial"/>
          <w:b/>
          <w:i/>
        </w:rPr>
        <w:t>e</w:t>
      </w:r>
      <w:r w:rsidRPr="007C3AE4">
        <w:rPr>
          <w:rFonts w:ascii="Palatino Linotype" w:eastAsia="Arial" w:hAnsi="Palatino Linotype" w:cs="Arial"/>
          <w:b/>
          <w:i/>
          <w:spacing w:val="-1"/>
        </w:rPr>
        <w:t>s</w:t>
      </w:r>
      <w:r w:rsidRPr="007C3AE4">
        <w:rPr>
          <w:rFonts w:ascii="Palatino Linotype" w:eastAsia="Arial" w:hAnsi="Palatino Linotype" w:cs="Arial"/>
          <w:b/>
          <w:i/>
        </w:rPr>
        <w:t>olucion</w:t>
      </w:r>
      <w:r w:rsidRPr="007C3AE4">
        <w:rPr>
          <w:rFonts w:ascii="Palatino Linotype" w:eastAsia="Arial" w:hAnsi="Palatino Linotype" w:cs="Arial"/>
          <w:b/>
          <w:i/>
          <w:spacing w:val="-1"/>
        </w:rPr>
        <w:t>es</w:t>
      </w:r>
    </w:p>
    <w:p w14:paraId="5A7F09F4" w14:textId="77777777" w:rsidR="00305353" w:rsidRPr="007C3AE4" w:rsidRDefault="00305353" w:rsidP="00715BBB">
      <w:pPr>
        <w:numPr>
          <w:ilvl w:val="0"/>
          <w:numId w:val="17"/>
        </w:numPr>
        <w:spacing w:after="0" w:line="276" w:lineRule="auto"/>
        <w:ind w:left="567" w:right="567" w:firstLine="0"/>
        <w:contextualSpacing/>
        <w:jc w:val="both"/>
        <w:rPr>
          <w:rFonts w:ascii="Palatino Linotype" w:eastAsia="Symbol" w:hAnsi="Palatino Linotype" w:cs="Arial"/>
          <w:i/>
        </w:rPr>
      </w:pPr>
      <w:r w:rsidRPr="007C3AE4">
        <w:rPr>
          <w:rFonts w:ascii="Palatino Linotype" w:eastAsia="Arial" w:hAnsi="Palatino Linotype" w:cs="Arial"/>
          <w:b/>
          <w:i/>
          <w:spacing w:val="-1"/>
        </w:rPr>
        <w:t>R</w:t>
      </w:r>
      <w:r w:rsidRPr="007C3AE4">
        <w:rPr>
          <w:rFonts w:ascii="Palatino Linotype" w:eastAsia="Arial" w:hAnsi="Palatino Linotype" w:cs="Arial"/>
          <w:b/>
          <w:i/>
          <w:spacing w:val="3"/>
        </w:rPr>
        <w:t>R</w:t>
      </w:r>
      <w:r w:rsidRPr="007C3AE4">
        <w:rPr>
          <w:rFonts w:ascii="Palatino Linotype" w:eastAsia="Arial" w:hAnsi="Palatino Linotype" w:cs="Arial"/>
          <w:b/>
          <w:i/>
        </w:rPr>
        <w:t>A</w:t>
      </w:r>
      <w:r w:rsidRPr="007C3AE4">
        <w:rPr>
          <w:rFonts w:ascii="Palatino Linotype" w:eastAsia="Arial" w:hAnsi="Palatino Linotype" w:cs="Arial"/>
          <w:b/>
          <w:i/>
          <w:spacing w:val="5"/>
        </w:rPr>
        <w:t xml:space="preserve"> 0022</w:t>
      </w:r>
      <w:r w:rsidRPr="007C3AE4">
        <w:rPr>
          <w:rFonts w:ascii="Palatino Linotype" w:eastAsia="Arial" w:hAnsi="Palatino Linotype" w:cs="Arial"/>
          <w:b/>
          <w:i/>
          <w:spacing w:val="-1"/>
        </w:rPr>
        <w:t>/17</w:t>
      </w:r>
      <w:r w:rsidRPr="007C3AE4">
        <w:rPr>
          <w:rFonts w:ascii="Palatino Linotype" w:eastAsia="Arial" w:hAnsi="Palatino Linotype" w:cs="Arial"/>
          <w:b/>
          <w:i/>
        </w:rPr>
        <w:t>.</w:t>
      </w:r>
      <w:r w:rsidRPr="007C3AE4">
        <w:rPr>
          <w:rFonts w:ascii="Palatino Linotype" w:eastAsia="Arial" w:hAnsi="Palatino Linotype" w:cs="Arial"/>
          <w:b/>
          <w:i/>
          <w:spacing w:val="15"/>
        </w:rPr>
        <w:t xml:space="preserve"> </w:t>
      </w:r>
      <w:r w:rsidRPr="007C3AE4">
        <w:rPr>
          <w:rFonts w:ascii="Palatino Linotype" w:eastAsia="Arial" w:hAnsi="Palatino Linotype" w:cs="Arial"/>
          <w:i/>
          <w:spacing w:val="-1"/>
        </w:rPr>
        <w:t>Instituto Mexicano de la Propiedad Industrial</w:t>
      </w:r>
      <w:r w:rsidRPr="007C3AE4">
        <w:rPr>
          <w:rFonts w:ascii="Palatino Linotype" w:eastAsia="Arial" w:hAnsi="Palatino Linotype" w:cs="Arial"/>
          <w:i/>
        </w:rPr>
        <w:t>.</w:t>
      </w:r>
      <w:r w:rsidRPr="007C3AE4">
        <w:rPr>
          <w:rFonts w:ascii="Palatino Linotype" w:eastAsia="Arial" w:hAnsi="Palatino Linotype" w:cs="Arial"/>
          <w:i/>
          <w:spacing w:val="4"/>
        </w:rPr>
        <w:t xml:space="preserve"> 16 de febrero de 2017. Por unanimidad. </w:t>
      </w:r>
      <w:r w:rsidRPr="007C3AE4">
        <w:rPr>
          <w:rFonts w:ascii="Palatino Linotype" w:eastAsia="Arial" w:hAnsi="Palatino Linotype" w:cs="Arial"/>
          <w:i/>
          <w:spacing w:val="-1"/>
        </w:rPr>
        <w:t>C</w:t>
      </w:r>
      <w:r w:rsidRPr="007C3AE4">
        <w:rPr>
          <w:rFonts w:ascii="Palatino Linotype" w:eastAsia="Arial" w:hAnsi="Palatino Linotype" w:cs="Arial"/>
          <w:i/>
        </w:rPr>
        <w:t>omis</w:t>
      </w:r>
      <w:r w:rsidRPr="007C3AE4">
        <w:rPr>
          <w:rFonts w:ascii="Palatino Linotype" w:eastAsia="Arial" w:hAnsi="Palatino Linotype" w:cs="Arial"/>
          <w:i/>
          <w:spacing w:val="-2"/>
        </w:rPr>
        <w:t>i</w:t>
      </w:r>
      <w:r w:rsidRPr="007C3AE4">
        <w:rPr>
          <w:rFonts w:ascii="Palatino Linotype" w:eastAsia="Arial" w:hAnsi="Palatino Linotype" w:cs="Arial"/>
          <w:i/>
        </w:rPr>
        <w:t>o</w:t>
      </w:r>
      <w:r w:rsidRPr="007C3AE4">
        <w:rPr>
          <w:rFonts w:ascii="Palatino Linotype" w:eastAsia="Arial" w:hAnsi="Palatino Linotype" w:cs="Arial"/>
          <w:i/>
          <w:spacing w:val="1"/>
        </w:rPr>
        <w:t>n</w:t>
      </w:r>
      <w:r w:rsidRPr="007C3AE4">
        <w:rPr>
          <w:rFonts w:ascii="Palatino Linotype" w:eastAsia="Arial" w:hAnsi="Palatino Linotype" w:cs="Arial"/>
          <w:i/>
        </w:rPr>
        <w:t>a</w:t>
      </w:r>
      <w:r w:rsidRPr="007C3AE4">
        <w:rPr>
          <w:rFonts w:ascii="Palatino Linotype" w:eastAsia="Arial" w:hAnsi="Palatino Linotype" w:cs="Arial"/>
          <w:i/>
          <w:spacing w:val="-1"/>
        </w:rPr>
        <w:t>d</w:t>
      </w:r>
      <w:r w:rsidRPr="007C3AE4">
        <w:rPr>
          <w:rFonts w:ascii="Palatino Linotype" w:eastAsia="Arial" w:hAnsi="Palatino Linotype" w:cs="Arial"/>
          <w:i/>
        </w:rPr>
        <w:t>o</w:t>
      </w:r>
      <w:r w:rsidRPr="007C3AE4">
        <w:rPr>
          <w:rFonts w:ascii="Palatino Linotype" w:eastAsia="Arial" w:hAnsi="Palatino Linotype" w:cs="Arial"/>
          <w:i/>
          <w:spacing w:val="3"/>
        </w:rPr>
        <w:t xml:space="preserve"> </w:t>
      </w:r>
      <w:r w:rsidRPr="007C3AE4">
        <w:rPr>
          <w:rFonts w:ascii="Palatino Linotype" w:eastAsia="Arial" w:hAnsi="Palatino Linotype" w:cs="Arial"/>
          <w:i/>
          <w:spacing w:val="-1"/>
        </w:rPr>
        <w:t>P</w:t>
      </w:r>
      <w:r w:rsidRPr="007C3AE4">
        <w:rPr>
          <w:rFonts w:ascii="Palatino Linotype" w:eastAsia="Arial" w:hAnsi="Palatino Linotype" w:cs="Arial"/>
          <w:i/>
        </w:rPr>
        <w:t>o</w:t>
      </w:r>
      <w:r w:rsidRPr="007C3AE4">
        <w:rPr>
          <w:rFonts w:ascii="Palatino Linotype" w:eastAsia="Arial" w:hAnsi="Palatino Linotype" w:cs="Arial"/>
          <w:i/>
          <w:spacing w:val="-1"/>
        </w:rPr>
        <w:t>n</w:t>
      </w:r>
      <w:r w:rsidRPr="007C3AE4">
        <w:rPr>
          <w:rFonts w:ascii="Palatino Linotype" w:eastAsia="Arial" w:hAnsi="Palatino Linotype" w:cs="Arial"/>
          <w:i/>
        </w:rPr>
        <w:t>e</w:t>
      </w:r>
      <w:r w:rsidRPr="007C3AE4">
        <w:rPr>
          <w:rFonts w:ascii="Palatino Linotype" w:eastAsia="Arial" w:hAnsi="Palatino Linotype" w:cs="Arial"/>
          <w:i/>
          <w:spacing w:val="-1"/>
        </w:rPr>
        <w:t>n</w:t>
      </w:r>
      <w:r w:rsidRPr="007C3AE4">
        <w:rPr>
          <w:rFonts w:ascii="Palatino Linotype" w:eastAsia="Arial" w:hAnsi="Palatino Linotype" w:cs="Arial"/>
          <w:i/>
          <w:spacing w:val="1"/>
        </w:rPr>
        <w:t>t</w:t>
      </w:r>
      <w:r w:rsidRPr="007C3AE4">
        <w:rPr>
          <w:rFonts w:ascii="Palatino Linotype" w:eastAsia="Arial" w:hAnsi="Palatino Linotype" w:cs="Arial"/>
          <w:i/>
        </w:rPr>
        <w:t>e Francisco Javier Acuña Llamas.</w:t>
      </w:r>
    </w:p>
    <w:p w14:paraId="56ADB21A" w14:textId="77777777" w:rsidR="00305353" w:rsidRPr="007C3AE4" w:rsidRDefault="006468E4" w:rsidP="00715BBB">
      <w:pPr>
        <w:numPr>
          <w:ilvl w:val="1"/>
          <w:numId w:val="17"/>
        </w:numPr>
        <w:spacing w:after="0" w:line="276" w:lineRule="auto"/>
        <w:ind w:left="567" w:right="567" w:firstLine="0"/>
        <w:contextualSpacing/>
        <w:jc w:val="both"/>
        <w:rPr>
          <w:rFonts w:ascii="Palatino Linotype" w:eastAsia="Symbol" w:hAnsi="Palatino Linotype" w:cs="Arial"/>
          <w:i/>
        </w:rPr>
      </w:pPr>
      <w:hyperlink r:id="rId10" w:history="1">
        <w:r w:rsidR="00305353" w:rsidRPr="007C3AE4">
          <w:rPr>
            <w:rFonts w:ascii="Palatino Linotype" w:eastAsia="Symbol" w:hAnsi="Palatino Linotype" w:cs="Arial"/>
            <w:i/>
            <w:color w:val="0563C1" w:themeColor="hyperlink"/>
            <w:u w:val="single"/>
          </w:rPr>
          <w:t>http://consultas.ifai.org.mx/descargar.php?r=./pdf/resoluciones/2017/&amp;a=RRA%2022.pdf</w:t>
        </w:r>
      </w:hyperlink>
      <w:r w:rsidR="00305353" w:rsidRPr="007C3AE4">
        <w:rPr>
          <w:rFonts w:ascii="Palatino Linotype" w:eastAsia="Symbol" w:hAnsi="Palatino Linotype" w:cs="Arial"/>
          <w:i/>
        </w:rPr>
        <w:t xml:space="preserve"> </w:t>
      </w:r>
    </w:p>
    <w:p w14:paraId="60966ED4" w14:textId="77777777" w:rsidR="00305353" w:rsidRPr="007C3AE4" w:rsidRDefault="00305353" w:rsidP="00715BBB">
      <w:pPr>
        <w:numPr>
          <w:ilvl w:val="0"/>
          <w:numId w:val="17"/>
        </w:numPr>
        <w:spacing w:before="31" w:after="0" w:line="276" w:lineRule="auto"/>
        <w:ind w:left="567" w:right="567" w:firstLine="0"/>
        <w:contextualSpacing/>
        <w:jc w:val="both"/>
        <w:rPr>
          <w:rFonts w:ascii="Palatino Linotype" w:eastAsia="Arial" w:hAnsi="Palatino Linotype" w:cs="Arial"/>
          <w:b/>
          <w:i/>
          <w:spacing w:val="-1"/>
        </w:rPr>
      </w:pPr>
      <w:r w:rsidRPr="007C3AE4">
        <w:rPr>
          <w:rFonts w:ascii="Palatino Linotype" w:eastAsia="Arial" w:hAnsi="Palatino Linotype" w:cs="Arial"/>
          <w:b/>
          <w:i/>
          <w:spacing w:val="-1"/>
        </w:rPr>
        <w:t>R</w:t>
      </w:r>
      <w:r w:rsidRPr="007C3AE4">
        <w:rPr>
          <w:rFonts w:ascii="Palatino Linotype" w:eastAsia="Arial" w:hAnsi="Palatino Linotype" w:cs="Arial"/>
          <w:b/>
          <w:i/>
          <w:spacing w:val="3"/>
        </w:rPr>
        <w:t>R</w:t>
      </w:r>
      <w:r w:rsidRPr="007C3AE4">
        <w:rPr>
          <w:rFonts w:ascii="Palatino Linotype" w:eastAsia="Arial" w:hAnsi="Palatino Linotype" w:cs="Arial"/>
          <w:b/>
          <w:i/>
        </w:rPr>
        <w:t>A</w:t>
      </w:r>
      <w:r w:rsidRPr="007C3AE4">
        <w:rPr>
          <w:rFonts w:ascii="Palatino Linotype" w:eastAsia="Arial" w:hAnsi="Palatino Linotype" w:cs="Arial"/>
          <w:b/>
          <w:i/>
          <w:spacing w:val="43"/>
        </w:rPr>
        <w:t xml:space="preserve"> </w:t>
      </w:r>
      <w:r w:rsidRPr="007C3AE4">
        <w:rPr>
          <w:rFonts w:ascii="Palatino Linotype" w:eastAsia="Arial" w:hAnsi="Palatino Linotype" w:cs="Arial"/>
          <w:b/>
          <w:i/>
          <w:spacing w:val="5"/>
        </w:rPr>
        <w:t>2536</w:t>
      </w:r>
      <w:r w:rsidRPr="007C3AE4">
        <w:rPr>
          <w:rFonts w:ascii="Palatino Linotype" w:eastAsia="Arial" w:hAnsi="Palatino Linotype" w:cs="Arial"/>
          <w:b/>
          <w:i/>
          <w:spacing w:val="1"/>
        </w:rPr>
        <w:t>/</w:t>
      </w:r>
      <w:r w:rsidRPr="007C3AE4">
        <w:rPr>
          <w:rFonts w:ascii="Palatino Linotype" w:eastAsia="Arial" w:hAnsi="Palatino Linotype" w:cs="Arial"/>
          <w:b/>
          <w:i/>
        </w:rPr>
        <w:t xml:space="preserve">17. </w:t>
      </w:r>
      <w:r w:rsidRPr="007C3AE4">
        <w:rPr>
          <w:rFonts w:ascii="Palatino Linotype" w:eastAsia="Arial" w:hAnsi="Palatino Linotype" w:cs="Arial"/>
          <w:i/>
          <w:spacing w:val="-1"/>
        </w:rPr>
        <w:t>Secretaría de Gobernación</w:t>
      </w:r>
      <w:r w:rsidRPr="007C3AE4">
        <w:rPr>
          <w:rFonts w:ascii="Palatino Linotype" w:eastAsia="Arial" w:hAnsi="Palatino Linotype" w:cs="Arial"/>
          <w:i/>
        </w:rPr>
        <w:t>. 07 de junio de 2017. Por unanimidad. Comisionada Ponente Areli Cano Guadiana.</w:t>
      </w:r>
      <w:r w:rsidRPr="007C3AE4">
        <w:rPr>
          <w:rFonts w:ascii="Palatino Linotype" w:eastAsia="Arial" w:hAnsi="Palatino Linotype" w:cs="Arial"/>
          <w:i/>
          <w:spacing w:val="-1"/>
          <w:position w:val="5"/>
        </w:rPr>
        <w:t xml:space="preserve"> </w:t>
      </w:r>
    </w:p>
    <w:p w14:paraId="06269DA0" w14:textId="77777777" w:rsidR="00305353" w:rsidRPr="007C3AE4" w:rsidRDefault="006468E4" w:rsidP="00715BBB">
      <w:pPr>
        <w:numPr>
          <w:ilvl w:val="1"/>
          <w:numId w:val="17"/>
        </w:numPr>
        <w:spacing w:before="31" w:after="0" w:line="276" w:lineRule="auto"/>
        <w:ind w:left="567" w:right="567" w:firstLine="0"/>
        <w:contextualSpacing/>
        <w:jc w:val="both"/>
        <w:rPr>
          <w:rFonts w:ascii="Palatino Linotype" w:eastAsia="Arial" w:hAnsi="Palatino Linotype" w:cs="Arial"/>
          <w:i/>
          <w:spacing w:val="-1"/>
        </w:rPr>
      </w:pPr>
      <w:hyperlink r:id="rId11" w:history="1">
        <w:r w:rsidR="00305353" w:rsidRPr="007C3AE4">
          <w:rPr>
            <w:rFonts w:ascii="Palatino Linotype" w:eastAsia="Arial" w:hAnsi="Palatino Linotype" w:cs="Arial"/>
            <w:i/>
            <w:color w:val="0563C1" w:themeColor="hyperlink"/>
            <w:spacing w:val="-1"/>
            <w:u w:val="single"/>
          </w:rPr>
          <w:t>http://consultas.ifai.org.mx/descargar.php?r=./pdf/resoluciones/2017/&amp;a=RRA%202536.pdf</w:t>
        </w:r>
      </w:hyperlink>
      <w:r w:rsidR="00305353" w:rsidRPr="007C3AE4">
        <w:rPr>
          <w:rFonts w:ascii="Palatino Linotype" w:eastAsia="Arial" w:hAnsi="Palatino Linotype" w:cs="Arial"/>
          <w:i/>
          <w:spacing w:val="-1"/>
        </w:rPr>
        <w:t xml:space="preserve"> </w:t>
      </w:r>
    </w:p>
    <w:p w14:paraId="1279B81A" w14:textId="77777777" w:rsidR="00305353" w:rsidRPr="007C3AE4" w:rsidRDefault="00305353" w:rsidP="00715BBB">
      <w:pPr>
        <w:numPr>
          <w:ilvl w:val="0"/>
          <w:numId w:val="17"/>
        </w:numPr>
        <w:spacing w:before="120" w:after="120" w:line="276" w:lineRule="auto"/>
        <w:ind w:left="567" w:right="567" w:firstLine="0"/>
        <w:jc w:val="both"/>
        <w:rPr>
          <w:rFonts w:ascii="Palatino Linotype" w:hAnsi="Palatino Linotype" w:cs="Arial"/>
          <w:bCs/>
          <w:i/>
        </w:rPr>
      </w:pPr>
      <w:r w:rsidRPr="007C3AE4">
        <w:rPr>
          <w:rFonts w:ascii="Palatino Linotype" w:eastAsia="Arial" w:hAnsi="Palatino Linotype" w:cs="Arial"/>
          <w:b/>
          <w:i/>
          <w:spacing w:val="-1"/>
          <w:position w:val="-1"/>
        </w:rPr>
        <w:t>R</w:t>
      </w:r>
      <w:r w:rsidRPr="007C3AE4">
        <w:rPr>
          <w:rFonts w:ascii="Palatino Linotype" w:eastAsia="Arial" w:hAnsi="Palatino Linotype" w:cs="Arial"/>
          <w:b/>
          <w:i/>
          <w:spacing w:val="3"/>
          <w:position w:val="-1"/>
        </w:rPr>
        <w:t>R</w:t>
      </w:r>
      <w:r w:rsidRPr="007C3AE4">
        <w:rPr>
          <w:rFonts w:ascii="Palatino Linotype" w:eastAsia="Arial" w:hAnsi="Palatino Linotype" w:cs="Arial"/>
          <w:b/>
          <w:i/>
          <w:position w:val="-1"/>
        </w:rPr>
        <w:t xml:space="preserve">A </w:t>
      </w:r>
      <w:r w:rsidRPr="007C3AE4">
        <w:rPr>
          <w:rFonts w:ascii="Palatino Linotype" w:eastAsia="Arial" w:hAnsi="Palatino Linotype" w:cs="Arial"/>
          <w:b/>
          <w:i/>
          <w:spacing w:val="-1"/>
          <w:position w:val="-1"/>
        </w:rPr>
        <w:t>3482/17</w:t>
      </w:r>
      <w:r w:rsidRPr="007C3AE4">
        <w:rPr>
          <w:rFonts w:ascii="Palatino Linotype" w:eastAsia="Arial" w:hAnsi="Palatino Linotype" w:cs="Arial"/>
          <w:b/>
          <w:i/>
          <w:position w:val="-1"/>
        </w:rPr>
        <w:t xml:space="preserve">. </w:t>
      </w:r>
      <w:r w:rsidRPr="007C3AE4">
        <w:rPr>
          <w:rFonts w:ascii="Palatino Linotype" w:eastAsia="Arial" w:hAnsi="Palatino Linotype" w:cs="Arial"/>
          <w:i/>
          <w:spacing w:val="-1"/>
          <w:position w:val="-1"/>
        </w:rPr>
        <w:t>Secretaría de Comunicaciones y Transportes</w:t>
      </w:r>
      <w:r w:rsidRPr="007C3AE4">
        <w:rPr>
          <w:rFonts w:ascii="Palatino Linotype" w:eastAsia="Arial" w:hAnsi="Palatino Linotype" w:cs="Arial"/>
          <w:i/>
          <w:position w:val="-1"/>
        </w:rPr>
        <w:t>. 02 de agosto de 2017. Por unanimidad. Comisionado Ponente Oscar Mauricio Guerra Ford</w:t>
      </w:r>
      <w:r w:rsidRPr="007C3AE4">
        <w:rPr>
          <w:rFonts w:ascii="Palatino Linotype" w:hAnsi="Palatino Linotype" w:cs="Arial"/>
          <w:bCs/>
          <w:i/>
        </w:rPr>
        <w:t>.</w:t>
      </w:r>
    </w:p>
    <w:p w14:paraId="62988107" w14:textId="77777777" w:rsidR="00305353" w:rsidRPr="007C3AE4" w:rsidRDefault="006468E4" w:rsidP="00715BBB">
      <w:pPr>
        <w:numPr>
          <w:ilvl w:val="1"/>
          <w:numId w:val="17"/>
        </w:numPr>
        <w:spacing w:before="120" w:after="120" w:line="276" w:lineRule="auto"/>
        <w:ind w:left="567" w:right="567" w:firstLine="0"/>
        <w:jc w:val="both"/>
        <w:rPr>
          <w:rFonts w:ascii="Palatino Linotype" w:hAnsi="Palatino Linotype" w:cs="Arial"/>
          <w:bCs/>
          <w:i/>
        </w:rPr>
      </w:pPr>
      <w:hyperlink r:id="rId12" w:history="1">
        <w:r w:rsidR="00305353" w:rsidRPr="007C3AE4">
          <w:rPr>
            <w:rFonts w:ascii="Palatino Linotype" w:hAnsi="Palatino Linotype" w:cs="Arial"/>
            <w:bCs/>
            <w:i/>
            <w:color w:val="0563C1" w:themeColor="hyperlink"/>
            <w:u w:val="single"/>
          </w:rPr>
          <w:t>http://consultas.ifai.org.mx/descargar.php?r=./pdf/resoluciones/2017/&amp;a=RRA%203482.pdf</w:t>
        </w:r>
      </w:hyperlink>
      <w:r w:rsidR="00305353" w:rsidRPr="007C3AE4">
        <w:rPr>
          <w:rFonts w:ascii="Palatino Linotype" w:hAnsi="Palatino Linotype" w:cs="Arial"/>
          <w:bCs/>
          <w:i/>
        </w:rPr>
        <w:t xml:space="preserve"> </w:t>
      </w:r>
    </w:p>
    <w:p w14:paraId="0F9AE39B" w14:textId="77777777" w:rsidR="00305353" w:rsidRPr="007C3AE4" w:rsidRDefault="00305353" w:rsidP="00715BBB">
      <w:pPr>
        <w:spacing w:after="0" w:line="360" w:lineRule="auto"/>
        <w:ind w:left="360" w:right="141" w:hanging="360"/>
        <w:jc w:val="both"/>
        <w:rPr>
          <w:rFonts w:ascii="Palatino Linotype" w:hAnsi="Palatino Linotype" w:cs="ArialMT"/>
          <w:sz w:val="14"/>
          <w:szCs w:val="24"/>
        </w:rPr>
      </w:pPr>
    </w:p>
    <w:p w14:paraId="441A60AA" w14:textId="77777777" w:rsidR="00305353" w:rsidRPr="007C3AE4" w:rsidRDefault="00305353" w:rsidP="00715BBB">
      <w:pPr>
        <w:numPr>
          <w:ilvl w:val="0"/>
          <w:numId w:val="2"/>
        </w:numPr>
        <w:tabs>
          <w:tab w:val="left" w:pos="0"/>
        </w:tabs>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3AE4">
        <w:rPr>
          <w:rFonts w:ascii="Palatino Linotype" w:eastAsia="Arial" w:hAnsi="Palatino Linotype" w:cs="Arial"/>
          <w:sz w:val="24"/>
          <w:szCs w:val="24"/>
          <w:lang w:val="es-ES_tradnl" w:eastAsia="es-ES"/>
        </w:rPr>
        <w:t>El criterio antes inserto, establece que cuando en los casos que no establezca en la solicitud de información el periodo de la información que se requiere, este deberá ser tomarse como el del año inmediato anterior a la fecha de suscripción de la solicitud</w:t>
      </w:r>
      <w:r w:rsidRPr="007C3AE4">
        <w:rPr>
          <w:rFonts w:ascii="Palatino Linotype" w:eastAsiaTheme="minorEastAsia" w:hAnsi="Palatino Linotype" w:cs="Arial-BoldMT"/>
          <w:bCs/>
          <w:sz w:val="24"/>
          <w:szCs w:val="24"/>
          <w:lang w:val="es-ES_tradnl" w:eastAsia="es-ES"/>
        </w:rPr>
        <w:t>. Luego entonces la información que el Sujeto Obligado deberá buscar en sus archivos, correspo</w:t>
      </w:r>
      <w:r w:rsidR="00715BBB" w:rsidRPr="007C3AE4">
        <w:rPr>
          <w:rFonts w:ascii="Palatino Linotype" w:eastAsiaTheme="minorEastAsia" w:hAnsi="Palatino Linotype" w:cs="Arial-BoldMT"/>
          <w:bCs/>
          <w:sz w:val="24"/>
          <w:szCs w:val="24"/>
          <w:lang w:val="es-ES_tradnl" w:eastAsia="es-ES"/>
        </w:rPr>
        <w:t>nderá al periodo del siete</w:t>
      </w:r>
      <w:r w:rsidRPr="007C3AE4">
        <w:rPr>
          <w:rFonts w:ascii="Palatino Linotype" w:eastAsiaTheme="minorEastAsia" w:hAnsi="Palatino Linotype" w:cs="Arial-BoldMT"/>
          <w:bCs/>
          <w:sz w:val="24"/>
          <w:szCs w:val="24"/>
          <w:lang w:val="es-ES_tradnl" w:eastAsia="es-ES"/>
        </w:rPr>
        <w:t xml:space="preserve"> </w:t>
      </w:r>
      <w:r w:rsidR="00715BBB" w:rsidRPr="007C3AE4">
        <w:rPr>
          <w:rFonts w:ascii="Palatino Linotype" w:eastAsiaTheme="minorEastAsia" w:hAnsi="Palatino Linotype" w:cs="Arial-BoldMT"/>
          <w:bCs/>
          <w:sz w:val="24"/>
          <w:szCs w:val="24"/>
          <w:lang w:val="es-ES_tradnl" w:eastAsia="es-ES"/>
        </w:rPr>
        <w:t>(07) de diciembre de dos mil diecinueve</w:t>
      </w:r>
      <w:r w:rsidRPr="007C3AE4">
        <w:rPr>
          <w:rFonts w:ascii="Palatino Linotype" w:eastAsiaTheme="minorEastAsia" w:hAnsi="Palatino Linotype" w:cs="Arial-BoldMT"/>
          <w:bCs/>
          <w:sz w:val="24"/>
          <w:szCs w:val="24"/>
          <w:lang w:val="es-ES_tradnl" w:eastAsia="es-ES"/>
        </w:rPr>
        <w:t xml:space="preserve"> al </w:t>
      </w:r>
      <w:r w:rsidR="00715BBB" w:rsidRPr="007C3AE4">
        <w:rPr>
          <w:rFonts w:ascii="Palatino Linotype" w:eastAsia="Times New Roman" w:hAnsi="Palatino Linotype" w:cs="Arial"/>
          <w:sz w:val="24"/>
          <w:szCs w:val="24"/>
          <w:lang w:val="es-ES_tradnl" w:eastAsia="es-ES"/>
        </w:rPr>
        <w:t>siete (07) de diciembre del año 2020.</w:t>
      </w:r>
    </w:p>
    <w:p w14:paraId="42FB2BCE" w14:textId="77777777" w:rsidR="00715BBB" w:rsidRPr="007C3AE4" w:rsidRDefault="00715BBB" w:rsidP="00715BBB">
      <w:pPr>
        <w:tabs>
          <w:tab w:val="left" w:pos="0"/>
        </w:tabs>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38CC53B4" w14:textId="77777777" w:rsidR="00305353" w:rsidRPr="007C3AE4" w:rsidRDefault="00305353" w:rsidP="00715BB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3AE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en comento,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1B40060" w14:textId="77777777" w:rsidR="007E02A7" w:rsidRPr="007C3AE4" w:rsidRDefault="007E02A7" w:rsidP="007E02A7">
      <w:pPr>
        <w:pStyle w:val="Prrafodelista"/>
        <w:rPr>
          <w:rFonts w:ascii="Palatino Linotype" w:eastAsia="Times New Roman" w:hAnsi="Palatino Linotype" w:cs="Arial"/>
          <w:color w:val="000000"/>
          <w:sz w:val="24"/>
          <w:szCs w:val="24"/>
          <w:lang w:val="es-ES_tradnl" w:eastAsia="es-ES"/>
        </w:rPr>
      </w:pPr>
    </w:p>
    <w:p w14:paraId="417F3080" w14:textId="77777777" w:rsidR="007E02A7" w:rsidRPr="007C3AE4" w:rsidRDefault="007E02A7" w:rsidP="00715BB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3AE4">
        <w:rPr>
          <w:rFonts w:ascii="Palatino Linotype" w:eastAsia="Times New Roman" w:hAnsi="Palatino Linotype" w:cs="Arial"/>
          <w:color w:val="000000"/>
          <w:sz w:val="24"/>
          <w:szCs w:val="24"/>
          <w:lang w:val="es-ES_tradnl" w:eastAsia="es-ES"/>
        </w:rPr>
        <w:t>Luego entonces, es de referir que se dejan a salvo lo derecho del solicitante para que presente de nueva cuenta su solicitud, ante el Sujeto Obligado correspondiente.</w:t>
      </w:r>
    </w:p>
    <w:p w14:paraId="47747F3B" w14:textId="77777777" w:rsidR="00970D88" w:rsidRPr="007C3AE4" w:rsidRDefault="00970D88" w:rsidP="00970D88">
      <w:pPr>
        <w:spacing w:after="0" w:line="360" w:lineRule="auto"/>
        <w:ind w:left="360"/>
        <w:contextualSpacing/>
        <w:jc w:val="both"/>
        <w:rPr>
          <w:rFonts w:ascii="Palatino Linotype" w:eastAsia="MS Mincho" w:hAnsi="Palatino Linotype" w:cstheme="majorBidi"/>
          <w:sz w:val="24"/>
          <w:szCs w:val="24"/>
          <w:lang w:val="es-ES_tradnl" w:eastAsia="es-ES"/>
        </w:rPr>
      </w:pPr>
    </w:p>
    <w:p w14:paraId="5B41E761" w14:textId="77777777" w:rsidR="00970D88" w:rsidRPr="007C3AE4" w:rsidRDefault="00970D88" w:rsidP="00970D88">
      <w:pPr>
        <w:keepNext/>
        <w:keepLines/>
        <w:spacing w:before="240" w:after="0"/>
        <w:outlineLvl w:val="0"/>
        <w:rPr>
          <w:rFonts w:ascii="Palatino Linotype" w:eastAsia="MS Mincho" w:hAnsi="Palatino Linotype" w:cstheme="majorBidi"/>
          <w:b/>
          <w:sz w:val="24"/>
          <w:szCs w:val="24"/>
          <w:lang w:val="es-ES_tradnl" w:eastAsia="es-ES"/>
        </w:rPr>
      </w:pPr>
      <w:bookmarkStart w:id="22" w:name="_Toc66352333"/>
      <w:r w:rsidRPr="007C3AE4">
        <w:rPr>
          <w:rFonts w:ascii="Palatino Linotype" w:eastAsia="MS Mincho" w:hAnsi="Palatino Linotype" w:cstheme="majorBidi"/>
          <w:b/>
          <w:sz w:val="24"/>
          <w:szCs w:val="24"/>
          <w:lang w:val="es-ES_tradnl" w:eastAsia="es-ES"/>
        </w:rPr>
        <w:t>SEXTO. De la versión pública.</w:t>
      </w:r>
      <w:bookmarkEnd w:id="22"/>
    </w:p>
    <w:p w14:paraId="0A565221" w14:textId="77777777" w:rsidR="00970D88" w:rsidRPr="007C3AE4" w:rsidRDefault="00970D88" w:rsidP="00970D88">
      <w:pPr>
        <w:contextualSpacing/>
        <w:rPr>
          <w:rFonts w:ascii="Palatino Linotype" w:eastAsia="MS Mincho" w:hAnsi="Palatino Linotype" w:cstheme="majorBidi"/>
          <w:sz w:val="24"/>
          <w:szCs w:val="24"/>
          <w:lang w:val="es-ES_tradnl" w:eastAsia="es-ES"/>
        </w:rPr>
      </w:pPr>
    </w:p>
    <w:p w14:paraId="2C995FF5"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lastRenderedPageBreak/>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C3AE4">
        <w:rPr>
          <w:rFonts w:ascii="Palatino Linotype" w:hAnsi="Palatino Linotype" w:cs="Arial"/>
          <w:b/>
          <w:color w:val="000000" w:themeColor="text1"/>
          <w:sz w:val="24"/>
          <w:szCs w:val="24"/>
          <w:u w:val="single"/>
          <w:lang w:val="es-ES_tradnl"/>
        </w:rPr>
        <w:t>versión pública</w:t>
      </w:r>
      <w:r w:rsidRPr="007C3AE4">
        <w:rPr>
          <w:rFonts w:ascii="Palatino Linotype" w:hAnsi="Palatino Linotype" w:cs="Arial"/>
          <w:color w:val="000000" w:themeColor="text1"/>
          <w:sz w:val="24"/>
          <w:szCs w:val="24"/>
          <w:lang w:val="es-ES_tradnl"/>
        </w:rPr>
        <w:t xml:space="preserve"> del documento por las consideraciones que se estimen pertinentes.</w:t>
      </w:r>
    </w:p>
    <w:p w14:paraId="1302F4AD"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73714CF0"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3AE4">
        <w:rPr>
          <w:vertAlign w:val="superscript"/>
          <w:lang w:val="es-ES_tradnl"/>
        </w:rPr>
        <w:footnoteReference w:id="4"/>
      </w:r>
      <w:r w:rsidRPr="007C3AE4">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7C3AE4">
        <w:rPr>
          <w:rFonts w:ascii="Palatino Linotype" w:hAnsi="Palatino Linotype" w:cs="Arial"/>
          <w:color w:val="000000" w:themeColor="text1"/>
          <w:sz w:val="24"/>
          <w:szCs w:val="24"/>
          <w:lang w:val="es-ES_tradnl"/>
        </w:rPr>
        <w:lastRenderedPageBreak/>
        <w:t>o valor que se pretende preservar.</w:t>
      </w:r>
      <w:r w:rsidRPr="007C3AE4">
        <w:rPr>
          <w:vertAlign w:val="superscript"/>
          <w:lang w:val="es-ES_tradnl"/>
        </w:rPr>
        <w:footnoteReference w:id="5"/>
      </w:r>
      <w:r w:rsidRPr="007C3AE4">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A186F3"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3BC30A8B"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4785069"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p>
    <w:p w14:paraId="56B1A4C9"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r w:rsidRPr="007C3AE4">
        <w:rPr>
          <w:rFonts w:ascii="Palatino Linotype" w:hAnsi="Palatino Linotype" w:cs="Arial"/>
          <w:b/>
          <w:color w:val="000000" w:themeColor="text1"/>
          <w:sz w:val="24"/>
          <w:szCs w:val="24"/>
        </w:rPr>
        <w:t>Requisitos previos.</w:t>
      </w:r>
    </w:p>
    <w:p w14:paraId="780B8849"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p>
    <w:p w14:paraId="6D784D7B" w14:textId="77777777" w:rsidR="00970D88" w:rsidRPr="007C3AE4" w:rsidRDefault="00970D88" w:rsidP="00121444">
      <w:pPr>
        <w:numPr>
          <w:ilvl w:val="0"/>
          <w:numId w:val="2"/>
        </w:numPr>
        <w:spacing w:after="120" w:line="360" w:lineRule="auto"/>
        <w:contextualSpacing/>
        <w:jc w:val="both"/>
        <w:rPr>
          <w:rFonts w:ascii="Palatino Linotype" w:eastAsiaTheme="minorEastAsia" w:hAnsi="Palatino Linotype" w:cs="Arial"/>
          <w:color w:val="000000"/>
          <w:sz w:val="24"/>
          <w:szCs w:val="24"/>
          <w:lang w:val="es-ES_tradnl" w:eastAsia="es-ES"/>
        </w:rPr>
      </w:pPr>
      <w:r w:rsidRPr="007C3AE4">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w:t>
      </w:r>
      <w:r w:rsidRPr="007C3AE4">
        <w:rPr>
          <w:rFonts w:ascii="Palatino Linotype" w:eastAsiaTheme="minorEastAsia" w:hAnsi="Palatino Linotype" w:cs="Arial"/>
          <w:color w:val="000000"/>
          <w:sz w:val="24"/>
          <w:szCs w:val="24"/>
          <w:lang w:val="es-ES_tradnl" w:eastAsia="es-ES"/>
        </w:rPr>
        <w:lastRenderedPageBreak/>
        <w:t>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14:paraId="3B41565A"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549A9F79"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7C3AE4">
        <w:rPr>
          <w:rFonts w:ascii="Palatino Linotype" w:eastAsiaTheme="minorEastAsia" w:hAnsi="Palatino Linotype" w:cs="Arial"/>
          <w:color w:val="000000"/>
          <w:sz w:val="24"/>
          <w:szCs w:val="24"/>
          <w:lang w:val="es-ES_tradnl" w:eastAsia="es-ES"/>
        </w:rPr>
        <w:t>respectivamente</w:t>
      </w:r>
      <w:r w:rsidRPr="007C3AE4">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4AE4CA8F"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463BB57A"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7C3AE4">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7C3AE4">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14:paraId="7BADE7E0"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p>
    <w:p w14:paraId="59A5856B"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r w:rsidRPr="007C3AE4">
        <w:rPr>
          <w:rFonts w:ascii="Palatino Linotype" w:hAnsi="Palatino Linotype" w:cs="Arial"/>
          <w:b/>
          <w:color w:val="000000" w:themeColor="text1"/>
          <w:sz w:val="24"/>
          <w:szCs w:val="24"/>
        </w:rPr>
        <w:t>Supuestos de clasificación.</w:t>
      </w:r>
    </w:p>
    <w:p w14:paraId="3DFC3C41"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p>
    <w:p w14:paraId="10A0500D"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rPr>
      </w:pPr>
      <w:r w:rsidRPr="007C3AE4">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712BAC4E"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337E2545"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14:paraId="0968A881" w14:textId="77777777" w:rsidR="00970D88" w:rsidRPr="007C3AE4" w:rsidRDefault="00970D88" w:rsidP="00970D88">
      <w:pPr>
        <w:ind w:left="567" w:right="615"/>
        <w:contextualSpacing/>
        <w:rPr>
          <w:rFonts w:ascii="Palatino Linotype" w:hAnsi="Palatino Linotype" w:cs="Arial"/>
          <w:color w:val="000000" w:themeColor="text1"/>
          <w:sz w:val="24"/>
          <w:szCs w:val="24"/>
          <w:lang w:val="es-ES_tradnl"/>
        </w:rPr>
      </w:pPr>
    </w:p>
    <w:p w14:paraId="0F150793"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bCs/>
          <w:i/>
          <w:color w:val="000000" w:themeColor="text1"/>
          <w:sz w:val="24"/>
          <w:szCs w:val="24"/>
        </w:rPr>
        <w:t xml:space="preserve">I. </w:t>
      </w:r>
      <w:r w:rsidRPr="007C3AE4">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14:paraId="34D05A69"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bCs/>
          <w:i/>
          <w:color w:val="000000" w:themeColor="text1"/>
        </w:rPr>
        <w:t xml:space="preserve">II. </w:t>
      </w:r>
      <w:r w:rsidRPr="007C3AE4">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2936FA"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bCs/>
          <w:i/>
          <w:color w:val="000000" w:themeColor="text1"/>
        </w:rPr>
        <w:t xml:space="preserve">III. </w:t>
      </w:r>
      <w:r w:rsidRPr="007C3AE4">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202EDD94"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0F7388E"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6741657E" w14:textId="77777777" w:rsidR="00970D88" w:rsidRPr="007C3AE4" w:rsidRDefault="00970D88" w:rsidP="00970D88">
      <w:pPr>
        <w:spacing w:after="120" w:line="360" w:lineRule="auto"/>
        <w:ind w:right="615"/>
        <w:contextualSpacing/>
        <w:jc w:val="both"/>
        <w:rPr>
          <w:rFonts w:ascii="Palatino Linotype" w:hAnsi="Palatino Linotype" w:cs="Arial"/>
          <w:i/>
          <w:color w:val="000000" w:themeColor="text1"/>
        </w:rPr>
      </w:pPr>
    </w:p>
    <w:p w14:paraId="52DF7EAB"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0B558A"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rPr>
      </w:pPr>
    </w:p>
    <w:p w14:paraId="44DD6CCB"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lastRenderedPageBreak/>
        <w:t>Como consecuencia de lo anterior, el sujeto obligado debe identificar claramente el tipo de información y hacer un juicio de subsunción o encaje</w:t>
      </w:r>
      <w:r w:rsidRPr="007C3AE4">
        <w:rPr>
          <w:rFonts w:ascii="Palatino Linotype" w:hAnsi="Palatino Linotype" w:cs="Arial"/>
          <w:color w:val="000000" w:themeColor="text1"/>
          <w:sz w:val="24"/>
          <w:szCs w:val="24"/>
          <w:vertAlign w:val="superscript"/>
          <w:lang w:val="es-ES_tradnl"/>
        </w:rPr>
        <w:footnoteReference w:id="6"/>
      </w:r>
      <w:r w:rsidRPr="007C3AE4">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7DA38388"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04F9E5CE"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r w:rsidRPr="007C3AE4">
        <w:rPr>
          <w:rFonts w:ascii="Palatino Linotype" w:hAnsi="Palatino Linotype" w:cs="Arial"/>
          <w:b/>
          <w:color w:val="000000" w:themeColor="text1"/>
          <w:sz w:val="24"/>
          <w:szCs w:val="24"/>
        </w:rPr>
        <w:t>Formalidades para emitir el acuerdo de clasificación.</w:t>
      </w:r>
    </w:p>
    <w:p w14:paraId="01F1CACF"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p>
    <w:p w14:paraId="33FE18CE"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60A53C2"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453BF771"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7C3AE4">
        <w:rPr>
          <w:rFonts w:ascii="Palatino Linotype" w:hAnsi="Palatino Linotype" w:cs="Arial"/>
          <w:b/>
          <w:color w:val="000000" w:themeColor="text1"/>
          <w:sz w:val="24"/>
          <w:szCs w:val="24"/>
          <w:u w:val="single"/>
          <w:lang w:val="es-ES_tradnl"/>
        </w:rPr>
        <w:t>el acto reúna con los requisitos elementales</w:t>
      </w:r>
      <w:r w:rsidRPr="007C3AE4">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8908C35"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4C5FA525"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C4F58C2"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5B0CB58F"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r w:rsidRPr="007C3AE4">
        <w:rPr>
          <w:rFonts w:ascii="Palatino Linotype" w:hAnsi="Palatino Linotype" w:cs="Arial"/>
          <w:b/>
          <w:color w:val="000000" w:themeColor="text1"/>
          <w:sz w:val="24"/>
          <w:szCs w:val="24"/>
        </w:rPr>
        <w:t>Requisitos</w:t>
      </w:r>
      <w:r w:rsidRPr="007C3AE4">
        <w:rPr>
          <w:rFonts w:ascii="Palatino Linotype" w:hAnsi="Palatino Linotype" w:cs="Arial"/>
          <w:color w:val="000000" w:themeColor="text1"/>
          <w:sz w:val="24"/>
          <w:szCs w:val="24"/>
        </w:rPr>
        <w:t xml:space="preserve"> </w:t>
      </w:r>
      <w:r w:rsidRPr="007C3AE4">
        <w:rPr>
          <w:rFonts w:ascii="Palatino Linotype" w:hAnsi="Palatino Linotype" w:cs="Arial"/>
          <w:b/>
          <w:color w:val="000000" w:themeColor="text1"/>
          <w:sz w:val="24"/>
          <w:szCs w:val="24"/>
        </w:rPr>
        <w:t>de fondo del acuerdo de clasificación.</w:t>
      </w:r>
    </w:p>
    <w:p w14:paraId="119E19CD"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rPr>
      </w:pPr>
    </w:p>
    <w:p w14:paraId="795081B2"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7C3AE4">
        <w:rPr>
          <w:rFonts w:ascii="Palatino Linotype" w:hAnsi="Palatino Linotype" w:cs="Arial"/>
          <w:color w:val="000000" w:themeColor="text1"/>
          <w:sz w:val="24"/>
          <w:szCs w:val="24"/>
          <w:lang w:val="es-ES_tradnl"/>
        </w:rPr>
        <w:t>Generales,  al</w:t>
      </w:r>
      <w:proofErr w:type="gramEnd"/>
      <w:r w:rsidRPr="007C3AE4">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14:paraId="208C7AA8"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484A5593"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De lo anterior, se desprende </w:t>
      </w:r>
      <w:proofErr w:type="gramStart"/>
      <w:r w:rsidRPr="007C3AE4">
        <w:rPr>
          <w:rFonts w:ascii="Palatino Linotype" w:hAnsi="Palatino Linotype" w:cs="Arial"/>
          <w:color w:val="000000" w:themeColor="text1"/>
          <w:sz w:val="24"/>
          <w:szCs w:val="24"/>
          <w:lang w:val="es-ES_tradnl"/>
        </w:rPr>
        <w:t>que</w:t>
      </w:r>
      <w:proofErr w:type="gramEnd"/>
      <w:r w:rsidRPr="007C3AE4">
        <w:rPr>
          <w:rFonts w:ascii="Palatino Linotype" w:hAnsi="Palatino Linotype" w:cs="Arial"/>
          <w:color w:val="000000" w:themeColor="text1"/>
          <w:sz w:val="24"/>
          <w:szCs w:val="24"/>
          <w:lang w:val="es-ES_tradnl"/>
        </w:rPr>
        <w:t xml:space="preserve"> para una correcta </w:t>
      </w:r>
      <w:r w:rsidRPr="007C3AE4">
        <w:rPr>
          <w:rFonts w:ascii="Palatino Linotype" w:hAnsi="Palatino Linotype" w:cs="Arial"/>
          <w:b/>
          <w:color w:val="000000" w:themeColor="text1"/>
          <w:sz w:val="24"/>
          <w:szCs w:val="24"/>
          <w:lang w:val="es-ES_tradnl"/>
        </w:rPr>
        <w:t>clasificación total o parcial</w:t>
      </w:r>
      <w:r w:rsidRPr="007C3AE4">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C1BA5F"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3117C3C7"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w:t>
      </w:r>
      <w:r w:rsidRPr="007C3AE4">
        <w:rPr>
          <w:rFonts w:ascii="Palatino Linotype" w:hAnsi="Palatino Linotype" w:cs="Arial"/>
          <w:color w:val="000000" w:themeColor="text1"/>
          <w:sz w:val="24"/>
          <w:szCs w:val="24"/>
          <w:lang w:val="es-ES_tradnl"/>
        </w:rPr>
        <w:lastRenderedPageBreak/>
        <w:t xml:space="preserve">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C3AE4">
        <w:rPr>
          <w:rFonts w:ascii="Palatino Linotype" w:hAnsi="Palatino Linotype" w:cs="Arial"/>
          <w:color w:val="000000" w:themeColor="text1"/>
          <w:sz w:val="24"/>
          <w:szCs w:val="24"/>
          <w:lang w:val="es-ES_tradnl"/>
        </w:rPr>
        <w:t>hecho....</w:t>
      </w:r>
      <w:proofErr w:type="gramEnd"/>
      <w:r w:rsidRPr="007C3AE4">
        <w:rPr>
          <w:rFonts w:ascii="Palatino Linotype" w:hAnsi="Palatino Linotype" w:cs="Arial"/>
          <w:color w:val="000000" w:themeColor="text1"/>
          <w:sz w:val="24"/>
          <w:szCs w:val="24"/>
          <w:lang w:val="es-ES_tradnl"/>
        </w:rPr>
        <w:t>”</w:t>
      </w:r>
      <w:r w:rsidRPr="007C3AE4">
        <w:rPr>
          <w:rFonts w:ascii="Palatino Linotype" w:hAnsi="Palatino Linotype" w:cs="Arial"/>
          <w:color w:val="000000" w:themeColor="text1"/>
          <w:sz w:val="24"/>
          <w:szCs w:val="24"/>
          <w:vertAlign w:val="superscript"/>
          <w:lang w:val="es-ES_tradnl"/>
        </w:rPr>
        <w:footnoteReference w:id="7"/>
      </w:r>
    </w:p>
    <w:p w14:paraId="77BE6708"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5E839185"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78727FA4"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rPr>
      </w:pPr>
    </w:p>
    <w:p w14:paraId="5B97BF19"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b/>
          <w:i/>
          <w:color w:val="000000" w:themeColor="text1"/>
        </w:rPr>
        <w:t>FUNDAMENTACIÓN Y MOTIVACIÓN.</w:t>
      </w:r>
      <w:r w:rsidRPr="007C3AE4">
        <w:rPr>
          <w:rFonts w:ascii="Palatino Linotype" w:hAnsi="Palatino Linotype" w:cs="Arial"/>
          <w:i/>
          <w:color w:val="000000" w:themeColor="text1"/>
        </w:rPr>
        <w:t xml:space="preserve"> La </w:t>
      </w:r>
      <w:r w:rsidRPr="007C3AE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C3AE4">
        <w:rPr>
          <w:rFonts w:ascii="Palatino Linotype" w:hAnsi="Palatino Linotype" w:cs="Arial"/>
          <w:i/>
          <w:color w:val="000000" w:themeColor="text1"/>
        </w:rPr>
        <w:t>.</w:t>
      </w:r>
    </w:p>
    <w:p w14:paraId="678AFA1F"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SEGUNDO TRIBUNAL COLEGIADO DEL SEXTO CIRCUITO.</w:t>
      </w:r>
    </w:p>
    <w:p w14:paraId="59AA6182"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786BA7CB"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55110258"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lastRenderedPageBreak/>
        <w:t>Amparo en revisión 333/88. Adilia Romero. 26 de octubre de 1988. Unanimidad de votos. Ponente: Arnoldo Nájera Virgen. Secretario: Enrique Crispín Campos Ramírez.</w:t>
      </w:r>
    </w:p>
    <w:p w14:paraId="0893BD84"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26DA38BC" w14:textId="77777777" w:rsidR="00970D88" w:rsidRPr="007C3AE4" w:rsidRDefault="00970D88" w:rsidP="00970D88">
      <w:pPr>
        <w:spacing w:after="120" w:line="360" w:lineRule="auto"/>
        <w:ind w:left="567" w:right="615"/>
        <w:contextualSpacing/>
        <w:jc w:val="both"/>
        <w:rPr>
          <w:rFonts w:ascii="Palatino Linotype" w:hAnsi="Palatino Linotype" w:cs="Arial"/>
          <w:i/>
          <w:color w:val="000000" w:themeColor="text1"/>
        </w:rPr>
      </w:pPr>
      <w:r w:rsidRPr="007C3AE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7C3AE4">
        <w:rPr>
          <w:rFonts w:ascii="Palatino Linotype" w:hAnsi="Palatino Linotype" w:cs="Arial"/>
          <w:i/>
          <w:color w:val="000000" w:themeColor="text1"/>
        </w:rPr>
        <w:t>Baigts</w:t>
      </w:r>
      <w:proofErr w:type="spellEnd"/>
      <w:r w:rsidRPr="007C3AE4">
        <w:rPr>
          <w:rFonts w:ascii="Palatino Linotype" w:hAnsi="Palatino Linotype" w:cs="Arial"/>
          <w:i/>
          <w:color w:val="000000" w:themeColor="text1"/>
        </w:rPr>
        <w:t xml:space="preserve"> Muñoz.</w:t>
      </w:r>
    </w:p>
    <w:p w14:paraId="1CBF5E97"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
        </w:rPr>
      </w:pPr>
    </w:p>
    <w:p w14:paraId="749C759C"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58C8B3"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36184B94"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D182A5B"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031DCABE"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28F77ACB"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392E9830"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lastRenderedPageBreak/>
        <w:t xml:space="preserve">Ahora bien, </w:t>
      </w:r>
      <w:r w:rsidRPr="007C3AE4">
        <w:rPr>
          <w:rFonts w:ascii="Palatino Linotype" w:hAnsi="Palatino Linotype" w:cs="Arial"/>
          <w:b/>
          <w:color w:val="000000" w:themeColor="text1"/>
          <w:sz w:val="24"/>
          <w:szCs w:val="24"/>
          <w:u w:val="single"/>
          <w:lang w:val="es-ES_tradnl"/>
        </w:rPr>
        <w:t>para cada caso además de fundar y motivar</w:t>
      </w:r>
      <w:r w:rsidRPr="007C3AE4">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C3AE4">
        <w:rPr>
          <w:rFonts w:ascii="Palatino Linotype" w:hAnsi="Palatino Linotype" w:cs="Arial"/>
          <w:color w:val="000000" w:themeColor="text1"/>
          <w:sz w:val="24"/>
          <w:szCs w:val="24"/>
          <w:vertAlign w:val="superscript"/>
          <w:lang w:val="es-ES_tradnl"/>
        </w:rPr>
        <w:footnoteReference w:id="8"/>
      </w:r>
      <w:r w:rsidRPr="007C3AE4">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7C3AE4">
        <w:rPr>
          <w:rFonts w:ascii="Palatino Linotype" w:hAnsi="Palatino Linotype" w:cs="Arial"/>
          <w:b/>
          <w:color w:val="000000" w:themeColor="text1"/>
          <w:sz w:val="24"/>
          <w:szCs w:val="24"/>
          <w:u w:val="single"/>
          <w:lang w:val="es-ES_tradnl"/>
        </w:rPr>
        <w:t>por ejemplo</w:t>
      </w:r>
      <w:r w:rsidRPr="007C3AE4">
        <w:rPr>
          <w:rFonts w:ascii="Palatino Linotype" w:hAnsi="Palatino Linotype" w:cs="Arial"/>
          <w:color w:val="000000" w:themeColor="text1"/>
          <w:sz w:val="24"/>
          <w:szCs w:val="24"/>
          <w:lang w:val="es-ES_tradnl"/>
        </w:rPr>
        <w:t xml:space="preserve">, </w:t>
      </w:r>
      <w:r w:rsidRPr="007C3AE4">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Pr="007C3AE4">
        <w:rPr>
          <w:rFonts w:ascii="Palatino Linotype" w:hAnsi="Palatino Linotype" w:cs="Arial"/>
          <w:b/>
          <w:color w:val="000000" w:themeColor="text1"/>
          <w:sz w:val="24"/>
          <w:szCs w:val="24"/>
          <w:u w:val="single"/>
          <w:lang w:val="es-ES"/>
        </w:rPr>
        <w:t>,</w:t>
      </w:r>
      <w:r w:rsidRPr="007C3AE4">
        <w:rPr>
          <w:rFonts w:ascii="Palatino Linotype" w:eastAsia="MS Mincho" w:hAnsi="Palatino Linotype" w:cs="Times New Roman"/>
          <w:b/>
          <w:color w:val="000000"/>
          <w:sz w:val="24"/>
          <w:szCs w:val="24"/>
          <w:lang w:val="es-ES_tradnl" w:eastAsia="es-ES"/>
        </w:rPr>
        <w:t xml:space="preserve"> clave de ISSEMYM o seguridad social,  </w:t>
      </w:r>
      <w:proofErr w:type="spellStart"/>
      <w:r w:rsidRPr="007C3AE4">
        <w:rPr>
          <w:rFonts w:ascii="Palatino Linotype" w:hAnsi="Palatino Linotype" w:cs="Arial"/>
          <w:b/>
          <w:color w:val="000000" w:themeColor="text1"/>
          <w:sz w:val="24"/>
          <w:szCs w:val="24"/>
          <w:lang w:val="es-ES"/>
        </w:rPr>
        <w:t>clabes</w:t>
      </w:r>
      <w:proofErr w:type="spellEnd"/>
      <w:r w:rsidRPr="007C3AE4">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Pr="007C3AE4">
        <w:rPr>
          <w:rFonts w:ascii="Palatino Linotype" w:hAnsi="Palatino Linotype" w:cs="Arial"/>
          <w:color w:val="000000" w:themeColor="text1"/>
          <w:sz w:val="24"/>
          <w:szCs w:val="24"/>
          <w:lang w:val="es-ES"/>
        </w:rPr>
        <w:t xml:space="preserve"> </w:t>
      </w:r>
      <w:r w:rsidRPr="007C3AE4">
        <w:rPr>
          <w:rFonts w:ascii="Palatino Linotype" w:hAnsi="Palatino Linotype" w:cs="Arial"/>
          <w:b/>
          <w:color w:val="000000" w:themeColor="text1"/>
          <w:sz w:val="24"/>
          <w:szCs w:val="24"/>
          <w:lang w:val="es-ES"/>
        </w:rPr>
        <w:t xml:space="preserve">lugar de nacimiento, </w:t>
      </w:r>
      <w:r w:rsidRPr="007C3AE4">
        <w:rPr>
          <w:rFonts w:ascii="Palatino Linotype" w:eastAsia="MS Mincho" w:hAnsi="Palatino Linotype" w:cs="Times New Roman"/>
          <w:b/>
          <w:color w:val="000000"/>
          <w:sz w:val="24"/>
          <w:szCs w:val="24"/>
          <w:lang w:val="es-ES_tradnl" w:eastAsia="es-ES"/>
        </w:rPr>
        <w:t>los Códigos Bidimensionales, también denominados Códigos QR</w:t>
      </w:r>
      <w:r w:rsidRPr="007C3AE4">
        <w:rPr>
          <w:rFonts w:ascii="Palatino Linotype" w:hAnsi="Palatino Linotype" w:cs="Arial"/>
          <w:b/>
          <w:color w:val="000000" w:themeColor="text1"/>
          <w:sz w:val="24"/>
          <w:szCs w:val="24"/>
          <w:lang w:val="es-ES"/>
        </w:rPr>
        <w:t xml:space="preserve"> u cualquier otro, </w:t>
      </w:r>
      <w:r w:rsidRPr="007C3AE4">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14:paraId="4B913D22"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1DE31712"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b/>
          <w:color w:val="000000" w:themeColor="text1"/>
          <w:sz w:val="24"/>
          <w:szCs w:val="24"/>
          <w:u w:val="single"/>
          <w:lang w:val="es-ES"/>
        </w:rPr>
        <w:t xml:space="preserve">Otro tipo de información confidencial constituyen los </w:t>
      </w:r>
      <w:proofErr w:type="gramStart"/>
      <w:r w:rsidRPr="007C3AE4">
        <w:rPr>
          <w:rFonts w:ascii="Palatino Linotype" w:hAnsi="Palatino Linotype" w:cs="Arial"/>
          <w:b/>
          <w:color w:val="000000" w:themeColor="text1"/>
          <w:sz w:val="24"/>
          <w:szCs w:val="24"/>
          <w:u w:val="single"/>
          <w:lang w:val="es-ES"/>
        </w:rPr>
        <w:t>secretos bancario</w:t>
      </w:r>
      <w:proofErr w:type="gramEnd"/>
      <w:r w:rsidRPr="007C3AE4">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7C3AE4">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14:paraId="2BF8DF96"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05A6535D"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r w:rsidRPr="007C3AE4">
        <w:rPr>
          <w:rFonts w:ascii="Palatino Linotype" w:hAnsi="Palatino Linotype" w:cs="Arial"/>
          <w:b/>
          <w:color w:val="000000" w:themeColor="text1"/>
          <w:sz w:val="24"/>
          <w:szCs w:val="24"/>
        </w:rPr>
        <w:lastRenderedPageBreak/>
        <w:t>Condiciones especiales de la clasificación de la información como confidencial.</w:t>
      </w:r>
    </w:p>
    <w:p w14:paraId="58D8D067" w14:textId="77777777" w:rsidR="00970D88" w:rsidRPr="007C3AE4" w:rsidRDefault="00970D88" w:rsidP="00970D88">
      <w:pPr>
        <w:spacing w:after="120" w:line="360" w:lineRule="auto"/>
        <w:contextualSpacing/>
        <w:jc w:val="both"/>
        <w:rPr>
          <w:rFonts w:ascii="Palatino Linotype" w:hAnsi="Palatino Linotype" w:cs="Arial"/>
          <w:b/>
          <w:color w:val="000000" w:themeColor="text1"/>
          <w:sz w:val="24"/>
          <w:szCs w:val="24"/>
        </w:rPr>
      </w:pPr>
    </w:p>
    <w:p w14:paraId="10BFF369"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Los artículos 148 y 120 de la Ley Estatal y de la Ley General, respectivamente, establecen </w:t>
      </w:r>
      <w:proofErr w:type="gramStart"/>
      <w:r w:rsidRPr="007C3AE4">
        <w:rPr>
          <w:rFonts w:ascii="Palatino Linotype" w:hAnsi="Palatino Linotype" w:cs="Arial"/>
          <w:color w:val="000000" w:themeColor="text1"/>
          <w:sz w:val="24"/>
          <w:szCs w:val="24"/>
          <w:lang w:val="es-ES_tradnl"/>
        </w:rPr>
        <w:t>que</w:t>
      </w:r>
      <w:proofErr w:type="gramEnd"/>
      <w:r w:rsidRPr="007C3AE4">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14:paraId="2EE9BD84"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58183789" w14:textId="77777777" w:rsidR="00970D88" w:rsidRPr="007C3AE4" w:rsidRDefault="00970D88" w:rsidP="00970D88">
      <w:pPr>
        <w:spacing w:after="120" w:line="360" w:lineRule="auto"/>
        <w:ind w:left="567" w:right="567"/>
        <w:contextualSpacing/>
        <w:jc w:val="both"/>
        <w:rPr>
          <w:rFonts w:ascii="Palatino Linotype" w:hAnsi="Palatino Linotype" w:cs="Arial"/>
          <w:bCs/>
          <w:i/>
          <w:color w:val="000000" w:themeColor="text1"/>
          <w:sz w:val="24"/>
          <w:szCs w:val="24"/>
        </w:rPr>
      </w:pPr>
      <w:r w:rsidRPr="007C3AE4">
        <w:rPr>
          <w:rFonts w:ascii="Palatino Linotype" w:hAnsi="Palatino Linotype" w:cs="Arial"/>
          <w:bCs/>
          <w:i/>
          <w:color w:val="000000" w:themeColor="text1"/>
          <w:sz w:val="24"/>
          <w:szCs w:val="24"/>
        </w:rPr>
        <w:t>I.</w:t>
      </w:r>
      <w:r w:rsidRPr="007C3AE4">
        <w:rPr>
          <w:rFonts w:ascii="Palatino Linotype" w:hAnsi="Palatino Linotype" w:cs="Arial"/>
          <w:i/>
          <w:color w:val="000000" w:themeColor="text1"/>
          <w:sz w:val="24"/>
          <w:szCs w:val="24"/>
        </w:rPr>
        <w:t xml:space="preserve"> La información se encuentre en registros públicos o fuentes de acceso público;</w:t>
      </w:r>
    </w:p>
    <w:p w14:paraId="341760A8" w14:textId="77777777" w:rsidR="00970D88" w:rsidRPr="007C3AE4" w:rsidRDefault="00970D88" w:rsidP="00970D88">
      <w:pPr>
        <w:spacing w:after="120" w:line="360" w:lineRule="auto"/>
        <w:ind w:left="567" w:right="567"/>
        <w:contextualSpacing/>
        <w:jc w:val="both"/>
        <w:rPr>
          <w:rFonts w:ascii="Palatino Linotype" w:hAnsi="Palatino Linotype" w:cs="Arial"/>
          <w:bCs/>
          <w:i/>
          <w:color w:val="000000" w:themeColor="text1"/>
          <w:sz w:val="24"/>
          <w:szCs w:val="24"/>
        </w:rPr>
      </w:pPr>
      <w:r w:rsidRPr="007C3AE4">
        <w:rPr>
          <w:rFonts w:ascii="Palatino Linotype" w:hAnsi="Palatino Linotype" w:cs="Arial"/>
          <w:bCs/>
          <w:i/>
          <w:color w:val="000000" w:themeColor="text1"/>
          <w:sz w:val="24"/>
          <w:szCs w:val="24"/>
        </w:rPr>
        <w:t xml:space="preserve">II. </w:t>
      </w:r>
      <w:r w:rsidRPr="007C3AE4">
        <w:rPr>
          <w:rFonts w:ascii="Palatino Linotype" w:hAnsi="Palatino Linotype" w:cs="Arial"/>
          <w:i/>
          <w:color w:val="000000" w:themeColor="text1"/>
          <w:sz w:val="24"/>
          <w:szCs w:val="24"/>
        </w:rPr>
        <w:t>Por Ley tenga el carácter de pública;</w:t>
      </w:r>
    </w:p>
    <w:p w14:paraId="7FE3D75B" w14:textId="77777777" w:rsidR="00970D88" w:rsidRPr="007C3AE4" w:rsidRDefault="00970D88" w:rsidP="00970D88">
      <w:pPr>
        <w:spacing w:after="120" w:line="360" w:lineRule="auto"/>
        <w:ind w:left="567" w:right="567"/>
        <w:contextualSpacing/>
        <w:jc w:val="both"/>
        <w:rPr>
          <w:rFonts w:ascii="Palatino Linotype" w:hAnsi="Palatino Linotype" w:cs="Arial"/>
          <w:i/>
          <w:color w:val="000000" w:themeColor="text1"/>
          <w:sz w:val="24"/>
          <w:szCs w:val="24"/>
        </w:rPr>
      </w:pPr>
      <w:r w:rsidRPr="007C3AE4">
        <w:rPr>
          <w:rFonts w:ascii="Palatino Linotype" w:hAnsi="Palatino Linotype" w:cs="Arial"/>
          <w:bCs/>
          <w:i/>
          <w:color w:val="000000" w:themeColor="text1"/>
          <w:sz w:val="24"/>
          <w:szCs w:val="24"/>
        </w:rPr>
        <w:t xml:space="preserve">III. </w:t>
      </w:r>
      <w:r w:rsidRPr="007C3AE4">
        <w:rPr>
          <w:rFonts w:ascii="Palatino Linotype" w:hAnsi="Palatino Linotype" w:cs="Arial"/>
          <w:i/>
          <w:color w:val="000000" w:themeColor="text1"/>
          <w:sz w:val="24"/>
          <w:szCs w:val="24"/>
        </w:rPr>
        <w:t xml:space="preserve">Exista una orden judicial; </w:t>
      </w:r>
    </w:p>
    <w:p w14:paraId="62C9C574" w14:textId="77777777" w:rsidR="00970D88" w:rsidRPr="007C3AE4" w:rsidRDefault="00970D88" w:rsidP="00970D88">
      <w:pPr>
        <w:spacing w:after="120" w:line="360" w:lineRule="auto"/>
        <w:ind w:left="567" w:right="567"/>
        <w:contextualSpacing/>
        <w:jc w:val="both"/>
        <w:rPr>
          <w:rFonts w:ascii="Palatino Linotype" w:hAnsi="Palatino Linotype" w:cs="Arial"/>
          <w:i/>
          <w:color w:val="000000" w:themeColor="text1"/>
          <w:sz w:val="24"/>
          <w:szCs w:val="24"/>
        </w:rPr>
      </w:pPr>
      <w:r w:rsidRPr="007C3AE4">
        <w:rPr>
          <w:rFonts w:ascii="Palatino Linotype" w:hAnsi="Palatino Linotype" w:cs="Arial"/>
          <w:bCs/>
          <w:i/>
          <w:color w:val="000000" w:themeColor="text1"/>
          <w:sz w:val="24"/>
          <w:szCs w:val="24"/>
        </w:rPr>
        <w:t xml:space="preserve">IV. </w:t>
      </w:r>
      <w:r w:rsidRPr="007C3AE4">
        <w:rPr>
          <w:rFonts w:ascii="Palatino Linotype" w:hAnsi="Palatino Linotype" w:cs="Arial"/>
          <w:i/>
          <w:color w:val="000000" w:themeColor="text1"/>
          <w:sz w:val="24"/>
          <w:szCs w:val="24"/>
        </w:rPr>
        <w:t xml:space="preserve">Por razones de seguridad pública, o para proteger los derechos de terceros, se requiera su publicación; o </w:t>
      </w:r>
    </w:p>
    <w:p w14:paraId="71A8D5AB" w14:textId="77777777" w:rsidR="00970D88" w:rsidRPr="007C3AE4" w:rsidRDefault="00970D88" w:rsidP="00970D88">
      <w:pPr>
        <w:spacing w:after="120" w:line="360" w:lineRule="auto"/>
        <w:ind w:left="567" w:right="567"/>
        <w:contextualSpacing/>
        <w:jc w:val="both"/>
        <w:rPr>
          <w:rFonts w:ascii="Palatino Linotype" w:hAnsi="Palatino Linotype" w:cs="Arial"/>
          <w:i/>
          <w:color w:val="000000" w:themeColor="text1"/>
          <w:sz w:val="24"/>
          <w:szCs w:val="24"/>
        </w:rPr>
      </w:pPr>
      <w:r w:rsidRPr="007C3AE4">
        <w:rPr>
          <w:rFonts w:ascii="Palatino Linotype" w:hAnsi="Palatino Linotype" w:cs="Arial"/>
          <w:bCs/>
          <w:i/>
          <w:color w:val="000000" w:themeColor="text1"/>
          <w:sz w:val="24"/>
          <w:szCs w:val="24"/>
        </w:rPr>
        <w:t xml:space="preserve">V. </w:t>
      </w:r>
      <w:r w:rsidRPr="007C3AE4">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519FBDA"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00DFC86B" w14:textId="77777777" w:rsidR="00970D88" w:rsidRPr="007C3AE4" w:rsidRDefault="00970D88" w:rsidP="00121444">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7C3AE4">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4186BD7" w14:textId="77777777" w:rsidR="00970D88" w:rsidRPr="007C3AE4" w:rsidRDefault="00970D88" w:rsidP="00970D88">
      <w:pPr>
        <w:spacing w:after="120" w:line="360" w:lineRule="auto"/>
        <w:contextualSpacing/>
        <w:jc w:val="both"/>
        <w:rPr>
          <w:rFonts w:ascii="Palatino Linotype" w:hAnsi="Palatino Linotype" w:cs="Arial"/>
          <w:color w:val="000000" w:themeColor="text1"/>
          <w:sz w:val="24"/>
          <w:szCs w:val="24"/>
          <w:lang w:val="es-ES_tradnl"/>
        </w:rPr>
      </w:pPr>
    </w:p>
    <w:p w14:paraId="57EDEF12" w14:textId="77777777" w:rsidR="00970D88" w:rsidRPr="007C3AE4" w:rsidRDefault="00970D88" w:rsidP="00121444">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7C3AE4">
        <w:rPr>
          <w:rFonts w:ascii="Palatino Linotype" w:hAnsi="Palatino Linotype" w:cs="Arial"/>
          <w:color w:val="000000" w:themeColor="text1"/>
          <w:sz w:val="24"/>
          <w:szCs w:val="24"/>
          <w:lang w:val="es-ES_tradnl"/>
        </w:rPr>
        <w:t xml:space="preserve">Pero si la información que se pretende clasificar como confidencial no se encuentra en los supuestos antes señalados y es posible, se deberá consultar al </w:t>
      </w:r>
      <w:r w:rsidRPr="007C3AE4">
        <w:rPr>
          <w:rFonts w:ascii="Palatino Linotype" w:hAnsi="Palatino Linotype" w:cs="Arial"/>
          <w:color w:val="000000" w:themeColor="text1"/>
          <w:sz w:val="24"/>
          <w:szCs w:val="24"/>
          <w:lang w:val="es-ES_tradnl"/>
        </w:rPr>
        <w:lastRenderedPageBreak/>
        <w:t>titular de los datos si permite o no el acceso. De no ser posible, la realización de la consulta, procede, fundando y motivando, la clasificación.</w:t>
      </w:r>
    </w:p>
    <w:p w14:paraId="5DF97452" w14:textId="77777777" w:rsidR="00970D88" w:rsidRPr="007C3AE4" w:rsidRDefault="00970D88" w:rsidP="00121444">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7C3AE4">
        <w:rPr>
          <w:rFonts w:ascii="Palatino Linotype" w:eastAsia="MS Mincho" w:hAnsi="Palatino Linotype" w:cstheme="majorBidi"/>
          <w:sz w:val="24"/>
          <w:szCs w:val="24"/>
          <w:lang w:val="es-ES_tradnl" w:eastAsia="es-ES"/>
        </w:rPr>
        <w:t xml:space="preserve">Consecuentemente, en términos del artículo </w:t>
      </w:r>
      <w:r w:rsidRPr="007C3AE4">
        <w:rPr>
          <w:rFonts w:ascii="Palatino Linotype" w:eastAsia="MS Mincho" w:hAnsi="Palatino Linotype" w:cstheme="majorBidi"/>
          <w:b/>
          <w:sz w:val="24"/>
          <w:szCs w:val="24"/>
          <w:lang w:val="es-ES_tradnl" w:eastAsia="es-ES"/>
        </w:rPr>
        <w:t>186 fracción III</w:t>
      </w:r>
      <w:r w:rsidRPr="007C3AE4">
        <w:rPr>
          <w:rFonts w:ascii="Palatino Linotype" w:eastAsia="MS Mincho" w:hAnsi="Palatino Linotype" w:cstheme="majorBidi"/>
          <w:sz w:val="24"/>
          <w:szCs w:val="24"/>
          <w:lang w:val="es-ES_tradnl" w:eastAsia="es-ES"/>
        </w:rPr>
        <w:t xml:space="preserve"> este Pleno determina </w:t>
      </w:r>
      <w:r w:rsidRPr="007C3AE4">
        <w:rPr>
          <w:rFonts w:ascii="Palatino Linotype" w:eastAsia="MS Mincho" w:hAnsi="Palatino Linotype" w:cstheme="majorBidi"/>
          <w:b/>
          <w:sz w:val="24"/>
          <w:szCs w:val="24"/>
          <w:lang w:val="es-ES_tradnl" w:eastAsia="es-ES"/>
        </w:rPr>
        <w:t xml:space="preserve">MODIFICAR </w:t>
      </w:r>
      <w:r w:rsidRPr="007C3AE4">
        <w:rPr>
          <w:rFonts w:ascii="Palatino Linotype" w:eastAsia="MS Mincho" w:hAnsi="Palatino Linotype" w:cstheme="majorBidi"/>
          <w:sz w:val="24"/>
          <w:szCs w:val="24"/>
          <w:lang w:val="es-ES_tradnl" w:eastAsia="es-ES"/>
        </w:rPr>
        <w:t>la respuesta y ordenar la entrega de la información del presente recurso de revisión, toda vez que hubo afectación al derecho de acceso a la información pública establecido constitucionalmente a favor del particular ya que la respuesta resultó incompleta en respuesta.</w:t>
      </w:r>
    </w:p>
    <w:p w14:paraId="45F049CD" w14:textId="77777777" w:rsidR="00970D88" w:rsidRPr="007C3AE4" w:rsidRDefault="00970D88" w:rsidP="00970D88">
      <w:pPr>
        <w:spacing w:after="120" w:line="360" w:lineRule="auto"/>
        <w:ind w:left="360"/>
        <w:jc w:val="both"/>
        <w:rPr>
          <w:rFonts w:ascii="Palatino Linotype" w:eastAsia="MS Mincho" w:hAnsi="Palatino Linotype" w:cstheme="majorBidi"/>
          <w:sz w:val="24"/>
          <w:szCs w:val="24"/>
          <w:lang w:val="es-ES_tradnl" w:eastAsia="es-ES"/>
        </w:rPr>
      </w:pPr>
    </w:p>
    <w:p w14:paraId="2E4C1969" w14:textId="77777777" w:rsidR="00970D88" w:rsidRPr="007C3AE4" w:rsidRDefault="00970D88" w:rsidP="00121444">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7C3AE4">
        <w:rPr>
          <w:rFonts w:ascii="Palatino Linotype" w:eastAsia="MS Mincho" w:hAnsi="Palatino Linotype" w:cstheme="majorBidi"/>
          <w:sz w:val="24"/>
          <w:szCs w:val="24"/>
          <w:lang w:val="es-ES_tradnl" w:eastAsia="es-ES"/>
        </w:rPr>
        <w:t xml:space="preserve">Por lo anteriormente expuesto y fundado este </w:t>
      </w:r>
      <w:r w:rsidRPr="007C3AE4">
        <w:rPr>
          <w:rFonts w:ascii="Palatino Linotype" w:eastAsia="MS Mincho" w:hAnsi="Palatino Linotype" w:cstheme="majorBidi"/>
          <w:b/>
          <w:sz w:val="24"/>
          <w:szCs w:val="24"/>
          <w:lang w:val="es-ES_tradnl" w:eastAsia="es-ES"/>
        </w:rPr>
        <w:t>ÓRGANO GARANTE</w:t>
      </w:r>
      <w:r w:rsidRPr="007C3AE4">
        <w:rPr>
          <w:rFonts w:ascii="Palatino Linotype" w:eastAsia="MS Mincho" w:hAnsi="Palatino Linotype" w:cstheme="majorBidi"/>
          <w:sz w:val="24"/>
          <w:szCs w:val="24"/>
          <w:lang w:val="es-ES_tradnl" w:eastAsia="es-ES"/>
        </w:rPr>
        <w:t xml:space="preserve"> emite los siguientes.</w:t>
      </w:r>
    </w:p>
    <w:p w14:paraId="3877A61D" w14:textId="77777777" w:rsidR="00970D88" w:rsidRPr="007C3AE4" w:rsidRDefault="002C7D86" w:rsidP="00970D88">
      <w:pPr>
        <w:contextualSpacing/>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14:anchorId="5DF42175" wp14:editId="79B47EBC">
                <wp:simplePos x="0" y="0"/>
                <wp:positionH relativeFrom="column">
                  <wp:posOffset>311150</wp:posOffset>
                </wp:positionH>
                <wp:positionV relativeFrom="paragraph">
                  <wp:posOffset>91440</wp:posOffset>
                </wp:positionV>
                <wp:extent cx="5181600" cy="40957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181600" cy="409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06DE1"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5pt,7.2pt" to="432.5pt,3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5VuwEAAMUDAAAOAAAAZHJzL2Uyb0RvYy54bWysU8tu2zAQvBfoPxC815KMOk0Eyzk4SC9F&#10;a7TJBzDU0iLAF5asJf99l7StFGmBokEupJbcmd0Zrta3kzXsABi1dx1vFjVn4KTvtdt3/PHh/sM1&#10;ZzEJ1wvjHXT8CJHfbt6/W4+hhaUfvOkBGZG42I6h40NKoa2qKAewIi58AEeXyqMViULcVz2Kkdit&#10;qZZ1fVWNHvuAXkKMdHp3uuSbwq8UyPRNqQiJmY5Tb6msWNanvFabtWj3KMKg5bkN8YourNCOis5U&#10;dyIJ9hP1H1RWS/TRq7SQ3lZeKS2haCA1Tf1CzY9BBChayJwYZpvi29HKr4cdMt13fMmZE5aeaEsP&#10;JZNHhnljy+zRGGJLqVu3w3MUww6z4EmhzTtJYVPx9Tj7ClNikg5XzXVzVZP9ku4+1jerT6vifPUM&#10;DxjTZ/CW5Y+OG+2ycNGKw5eYqCSlXlIoyO2cGihf6WggJxv3HRSJoZJNQZcxgq1BdhA0AEJKcKnJ&#10;goivZGeY0sbMwPrfwHN+hkIZsf8Bz4hS2bs0g612Hv9WPU2XltUp/+LASXe24Mn3x/I0xRqalaLw&#10;PNd5GH+PC/z579v8AgAA//8DAFBLAwQUAAYACAAAACEA2PN8UuEAAAAJAQAADwAAAGRycy9kb3du&#10;cmV2LnhtbEyPQUvDQBCF74L/YRnBm91Y0tDGbEopiLUgxSrU4zY7JtHsbNjdNum/dzzpcd57vPle&#10;sRxtJ87oQ+tIwf0kAYFUOdNSreD97fFuDiJETUZ3jlDBBQMsy+urQufGDfSK532sBZdQyLWCJsY+&#10;lzJUDVodJq5HYu/Teasjn76WxuuBy20np0mSSatb4g+N7nHdYPW9P1kFL36zWa+2ly/afdjhMN0e&#10;ds/jk1K3N+PqAUTEMf6F4Ref0aFkpqM7kQmiU5AueEpkPU1BsD/PZiwcFWSzRQqyLOT/BeUPAAAA&#10;//8DAFBLAQItABQABgAIAAAAIQC2gziS/gAAAOEBAAATAAAAAAAAAAAAAAAAAAAAAABbQ29udGVu&#10;dF9UeXBlc10ueG1sUEsBAi0AFAAGAAgAAAAhADj9If/WAAAAlAEAAAsAAAAAAAAAAAAAAAAALwEA&#10;AF9yZWxzLy5yZWxzUEsBAi0AFAAGAAgAAAAhACy0nlW7AQAAxQMAAA4AAAAAAAAAAAAAAAAALgIA&#10;AGRycy9lMm9Eb2MueG1sUEsBAi0AFAAGAAgAAAAhANjzfFLhAAAACQEAAA8AAAAAAAAAAAAAAAAA&#10;FQQAAGRycy9kb3ducmV2LnhtbFBLBQYAAAAABAAEAPMAAAAjBQAAAAA=&#10;" strokecolor="#5b9bd5 [3204]" strokeweight=".5pt">
                <v:stroke joinstyle="miter"/>
              </v:line>
            </w:pict>
          </mc:Fallback>
        </mc:AlternateContent>
      </w:r>
    </w:p>
    <w:p w14:paraId="612C7FA0"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0328F5D8"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556C1557"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2E7B9B74"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57076A62"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5289291D"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72FB0C82" w14:textId="77777777" w:rsidR="00253858" w:rsidRDefault="00253858" w:rsidP="00970D88">
      <w:pPr>
        <w:contextualSpacing/>
        <w:rPr>
          <w:rFonts w:ascii="Palatino Linotype" w:eastAsia="MS Mincho" w:hAnsi="Palatino Linotype" w:cstheme="majorBidi"/>
          <w:sz w:val="24"/>
          <w:szCs w:val="24"/>
          <w:lang w:val="es-ES_tradnl" w:eastAsia="es-ES"/>
        </w:rPr>
      </w:pPr>
    </w:p>
    <w:p w14:paraId="241BC24D" w14:textId="77777777" w:rsidR="002C7D86" w:rsidRDefault="002C7D86" w:rsidP="00970D88">
      <w:pPr>
        <w:contextualSpacing/>
        <w:rPr>
          <w:rFonts w:ascii="Palatino Linotype" w:eastAsia="MS Mincho" w:hAnsi="Palatino Linotype" w:cstheme="majorBidi"/>
          <w:sz w:val="24"/>
          <w:szCs w:val="24"/>
          <w:lang w:val="es-ES_tradnl" w:eastAsia="es-ES"/>
        </w:rPr>
      </w:pPr>
    </w:p>
    <w:p w14:paraId="57F9CD2D" w14:textId="77777777" w:rsidR="002C7D86" w:rsidRDefault="002C7D86" w:rsidP="00970D88">
      <w:pPr>
        <w:contextualSpacing/>
        <w:rPr>
          <w:rFonts w:ascii="Palatino Linotype" w:eastAsia="MS Mincho" w:hAnsi="Palatino Linotype" w:cstheme="majorBidi"/>
          <w:sz w:val="24"/>
          <w:szCs w:val="24"/>
          <w:lang w:val="es-ES_tradnl" w:eastAsia="es-ES"/>
        </w:rPr>
      </w:pPr>
    </w:p>
    <w:p w14:paraId="254122F2" w14:textId="77777777" w:rsidR="002C7D86" w:rsidRDefault="002C7D86" w:rsidP="00970D88">
      <w:pPr>
        <w:contextualSpacing/>
        <w:rPr>
          <w:rFonts w:ascii="Palatino Linotype" w:eastAsia="MS Mincho" w:hAnsi="Palatino Linotype" w:cstheme="majorBidi"/>
          <w:sz w:val="24"/>
          <w:szCs w:val="24"/>
          <w:lang w:val="es-ES_tradnl" w:eastAsia="es-ES"/>
        </w:rPr>
      </w:pPr>
    </w:p>
    <w:p w14:paraId="4EE67175" w14:textId="77777777" w:rsidR="002C7D86" w:rsidRDefault="002C7D86" w:rsidP="00970D88">
      <w:pPr>
        <w:contextualSpacing/>
        <w:rPr>
          <w:rFonts w:ascii="Palatino Linotype" w:eastAsia="MS Mincho" w:hAnsi="Palatino Linotype" w:cstheme="majorBidi"/>
          <w:sz w:val="24"/>
          <w:szCs w:val="24"/>
          <w:lang w:val="es-ES_tradnl" w:eastAsia="es-ES"/>
        </w:rPr>
      </w:pPr>
    </w:p>
    <w:p w14:paraId="799B83A5" w14:textId="77777777" w:rsidR="002C7D86" w:rsidRDefault="002C7D86" w:rsidP="00970D88">
      <w:pPr>
        <w:contextualSpacing/>
        <w:rPr>
          <w:rFonts w:ascii="Palatino Linotype" w:eastAsia="MS Mincho" w:hAnsi="Palatino Linotype" w:cstheme="majorBidi"/>
          <w:sz w:val="24"/>
          <w:szCs w:val="24"/>
          <w:lang w:val="es-ES_tradnl" w:eastAsia="es-ES"/>
        </w:rPr>
      </w:pPr>
    </w:p>
    <w:p w14:paraId="5E165197" w14:textId="77777777" w:rsidR="002C7D86" w:rsidRPr="007C3AE4" w:rsidRDefault="002C7D86" w:rsidP="00970D88">
      <w:pPr>
        <w:contextualSpacing/>
        <w:rPr>
          <w:rFonts w:ascii="Palatino Linotype" w:eastAsia="MS Mincho" w:hAnsi="Palatino Linotype" w:cstheme="majorBidi"/>
          <w:sz w:val="24"/>
          <w:szCs w:val="24"/>
          <w:lang w:val="es-ES_tradnl" w:eastAsia="es-ES"/>
        </w:rPr>
      </w:pPr>
    </w:p>
    <w:p w14:paraId="1945096A" w14:textId="77777777" w:rsidR="00253858" w:rsidRPr="007C3AE4" w:rsidRDefault="00253858" w:rsidP="00970D88">
      <w:pPr>
        <w:contextualSpacing/>
        <w:rPr>
          <w:rFonts w:ascii="Palatino Linotype" w:eastAsia="MS Mincho" w:hAnsi="Palatino Linotype" w:cstheme="majorBidi"/>
          <w:sz w:val="24"/>
          <w:szCs w:val="24"/>
          <w:lang w:val="es-ES_tradnl" w:eastAsia="es-ES"/>
        </w:rPr>
      </w:pPr>
    </w:p>
    <w:p w14:paraId="0886EF25" w14:textId="77777777" w:rsidR="00970D88" w:rsidRPr="007C3AE4" w:rsidRDefault="00970D88" w:rsidP="00970D88">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23" w:name="_Toc467083028"/>
      <w:bookmarkStart w:id="24" w:name="_Toc66352335"/>
      <w:r w:rsidRPr="007C3AE4">
        <w:rPr>
          <w:rFonts w:ascii="Palatino Linotype" w:eastAsia="Calibri" w:hAnsi="Palatino Linotype" w:cs="Times New Roman"/>
          <w:b/>
          <w:sz w:val="24"/>
          <w:szCs w:val="24"/>
          <w:lang w:val="es-ES" w:eastAsia="es-ES"/>
        </w:rPr>
        <w:lastRenderedPageBreak/>
        <w:t>R E S O L U T I V O S</w:t>
      </w:r>
      <w:bookmarkEnd w:id="23"/>
      <w:bookmarkEnd w:id="24"/>
    </w:p>
    <w:p w14:paraId="3B91046E" w14:textId="77777777" w:rsidR="00970D88" w:rsidRPr="007C3AE4" w:rsidRDefault="00970D88" w:rsidP="00970D88">
      <w:pPr>
        <w:spacing w:before="240" w:after="360" w:line="360" w:lineRule="auto"/>
        <w:jc w:val="both"/>
        <w:rPr>
          <w:rFonts w:ascii="Palatino Linotype" w:eastAsia="Calibri" w:hAnsi="Palatino Linotype" w:cs="Arial"/>
          <w:bCs/>
          <w:sz w:val="24"/>
          <w:szCs w:val="24"/>
          <w:lang w:val="es-ES" w:eastAsia="es-ES"/>
        </w:rPr>
      </w:pPr>
      <w:bookmarkStart w:id="25" w:name="_Toc452722829"/>
      <w:bookmarkStart w:id="26" w:name="_Toc454373811"/>
      <w:bookmarkStart w:id="27" w:name="_Toc476675991"/>
      <w:r w:rsidRPr="007C3AE4">
        <w:rPr>
          <w:rFonts w:ascii="Palatino Linotype" w:hAnsi="Palatino Linotype" w:cs="Arial"/>
          <w:b/>
          <w:sz w:val="24"/>
          <w:szCs w:val="24"/>
        </w:rPr>
        <w:t>PRIMERO</w:t>
      </w:r>
      <w:r w:rsidRPr="007C3AE4">
        <w:rPr>
          <w:rFonts w:ascii="Palatino Linotype" w:eastAsia="Times New Roman" w:hAnsi="Palatino Linotype" w:cs="Arial"/>
          <w:b/>
          <w:sz w:val="24"/>
          <w:szCs w:val="24"/>
          <w:lang w:val="es-ES_tradnl" w:eastAsia="es-ES"/>
        </w:rPr>
        <w:t xml:space="preserve">. </w:t>
      </w:r>
      <w:r w:rsidRPr="007C3AE4">
        <w:rPr>
          <w:rFonts w:ascii="Palatino Linotype" w:eastAsia="Times New Roman" w:hAnsi="Palatino Linotype" w:cs="Arial"/>
          <w:sz w:val="24"/>
          <w:szCs w:val="24"/>
          <w:lang w:val="es-ES" w:eastAsia="es-ES"/>
        </w:rPr>
        <w:t xml:space="preserve">Resultan fundadas las razones y motivos hechos valer </w:t>
      </w:r>
      <w:r w:rsidRPr="007C3AE4">
        <w:rPr>
          <w:rFonts w:ascii="Palatino Linotype" w:eastAsia="Calibri" w:hAnsi="Palatino Linotype" w:cs="Arial"/>
          <w:sz w:val="24"/>
          <w:szCs w:val="24"/>
          <w:lang w:val="es-ES" w:eastAsia="es-ES"/>
        </w:rPr>
        <w:t xml:space="preserve">en los recursos de revisión </w:t>
      </w:r>
      <w:r w:rsidR="00686648" w:rsidRPr="007C3AE4">
        <w:rPr>
          <w:rFonts w:ascii="Palatino Linotype" w:eastAsia="Times New Roman" w:hAnsi="Palatino Linotype" w:cs="Times New Roman"/>
          <w:b/>
          <w:sz w:val="24"/>
          <w:szCs w:val="24"/>
          <w:lang w:val="es-ES_tradnl" w:eastAsia="es-ES"/>
        </w:rPr>
        <w:t>000</w:t>
      </w:r>
      <w:r w:rsidRPr="007C3AE4">
        <w:rPr>
          <w:rFonts w:ascii="Palatino Linotype" w:eastAsia="Times New Roman" w:hAnsi="Palatino Linotype" w:cs="Times New Roman"/>
          <w:b/>
          <w:sz w:val="24"/>
          <w:szCs w:val="24"/>
          <w:lang w:val="es-ES_tradnl" w:eastAsia="es-ES"/>
        </w:rPr>
        <w:t>8</w:t>
      </w:r>
      <w:r w:rsidR="00686648" w:rsidRPr="007C3AE4">
        <w:rPr>
          <w:rFonts w:ascii="Palatino Linotype" w:eastAsia="Times New Roman" w:hAnsi="Palatino Linotype" w:cs="Times New Roman"/>
          <w:b/>
          <w:sz w:val="24"/>
          <w:szCs w:val="24"/>
          <w:lang w:val="es-ES_tradnl" w:eastAsia="es-ES"/>
        </w:rPr>
        <w:t>3/INFOEM/IP/RR/2021 y 00126/INFOEM/IP/RR/2021</w:t>
      </w:r>
      <w:r w:rsidRPr="007C3AE4">
        <w:rPr>
          <w:rFonts w:ascii="Palatino Linotype" w:eastAsia="Times New Roman" w:hAnsi="Palatino Linotype" w:cs="Times New Roman"/>
          <w:b/>
          <w:sz w:val="24"/>
          <w:szCs w:val="24"/>
          <w:lang w:val="es-ES_tradnl" w:eastAsia="es-ES"/>
        </w:rPr>
        <w:t xml:space="preserve"> </w:t>
      </w:r>
      <w:r w:rsidRPr="007C3AE4">
        <w:rPr>
          <w:rFonts w:ascii="Palatino Linotype" w:eastAsia="Times New Roman" w:hAnsi="Palatino Linotype" w:cs="Times New Roman"/>
          <w:sz w:val="24"/>
          <w:szCs w:val="24"/>
          <w:lang w:val="es-ES_tradnl" w:eastAsia="es-ES"/>
        </w:rPr>
        <w:t xml:space="preserve">en términos de los considerandos </w:t>
      </w:r>
      <w:r w:rsidRPr="007C3AE4">
        <w:rPr>
          <w:rFonts w:ascii="Palatino Linotype" w:eastAsia="Times New Roman" w:hAnsi="Palatino Linotype" w:cs="Times New Roman"/>
          <w:b/>
          <w:sz w:val="24"/>
          <w:szCs w:val="24"/>
          <w:lang w:val="es-ES_tradnl" w:eastAsia="es-ES"/>
        </w:rPr>
        <w:t xml:space="preserve">QUINTO y SEXTO </w:t>
      </w:r>
      <w:r w:rsidRPr="007C3AE4">
        <w:rPr>
          <w:rFonts w:ascii="Palatino Linotype" w:eastAsia="Times New Roman" w:hAnsi="Palatino Linotype" w:cs="Times New Roman"/>
          <w:sz w:val="24"/>
          <w:szCs w:val="24"/>
          <w:lang w:val="es-ES_tradnl" w:eastAsia="es-ES"/>
        </w:rPr>
        <w:t>de la presente resolución.</w:t>
      </w:r>
    </w:p>
    <w:p w14:paraId="4563CD52" w14:textId="77777777" w:rsidR="00970D88" w:rsidRPr="007C3AE4" w:rsidRDefault="00970D88" w:rsidP="00970D88">
      <w:pPr>
        <w:spacing w:before="240" w:after="240" w:line="360" w:lineRule="auto"/>
        <w:jc w:val="both"/>
        <w:rPr>
          <w:rFonts w:ascii="Palatino Linotype" w:eastAsia="Calibri" w:hAnsi="Palatino Linotype" w:cs="Arial"/>
          <w:b/>
          <w:sz w:val="24"/>
          <w:szCs w:val="24"/>
          <w:lang w:eastAsia="es-ES"/>
        </w:rPr>
      </w:pPr>
      <w:r w:rsidRPr="007C3AE4">
        <w:rPr>
          <w:rFonts w:ascii="Palatino Linotype" w:eastAsia="Calibri" w:hAnsi="Palatino Linotype" w:cs="Arial"/>
          <w:b/>
          <w:bCs/>
          <w:sz w:val="24"/>
          <w:szCs w:val="24"/>
          <w:lang w:val="es-ES" w:eastAsia="es-ES"/>
        </w:rPr>
        <w:t xml:space="preserve">SEGUNDO. </w:t>
      </w:r>
      <w:r w:rsidRPr="007C3AE4">
        <w:rPr>
          <w:rFonts w:ascii="Palatino Linotype" w:eastAsia="Calibri" w:hAnsi="Palatino Linotype" w:cs="Arial"/>
          <w:sz w:val="24"/>
          <w:szCs w:val="24"/>
          <w:lang w:val="es-ES" w:eastAsia="es-ES"/>
        </w:rPr>
        <w:t xml:space="preserve">Se </w:t>
      </w:r>
      <w:r w:rsidRPr="007C3AE4">
        <w:rPr>
          <w:rFonts w:ascii="Palatino Linotype" w:eastAsia="Calibri" w:hAnsi="Palatino Linotype" w:cs="Arial"/>
          <w:b/>
          <w:sz w:val="24"/>
          <w:szCs w:val="24"/>
          <w:lang w:val="es-ES" w:eastAsia="es-ES"/>
        </w:rPr>
        <w:t xml:space="preserve">MODIFICAN </w:t>
      </w:r>
      <w:r w:rsidR="00686648" w:rsidRPr="007C3AE4">
        <w:rPr>
          <w:rFonts w:ascii="Palatino Linotype" w:eastAsia="Calibri" w:hAnsi="Palatino Linotype" w:cs="Arial"/>
          <w:sz w:val="24"/>
          <w:szCs w:val="24"/>
          <w:lang w:val="es-ES" w:eastAsia="es-ES"/>
        </w:rPr>
        <w:t xml:space="preserve">las respuestas emitidas por la </w:t>
      </w:r>
      <w:r w:rsidR="00686648" w:rsidRPr="007C3AE4">
        <w:rPr>
          <w:rFonts w:ascii="Palatino Linotype" w:eastAsia="Calibri" w:hAnsi="Palatino Linotype" w:cs="Arial"/>
          <w:b/>
          <w:sz w:val="24"/>
          <w:szCs w:val="24"/>
          <w:lang w:val="es-ES" w:eastAsia="es-ES"/>
        </w:rPr>
        <w:t>Secretaría de Salud</w:t>
      </w:r>
      <w:r w:rsidR="00686648" w:rsidRPr="007C3AE4">
        <w:rPr>
          <w:rFonts w:ascii="Palatino Linotype" w:eastAsia="Calibri" w:hAnsi="Palatino Linotype" w:cs="Arial"/>
          <w:sz w:val="24"/>
          <w:szCs w:val="24"/>
          <w:lang w:val="es-ES" w:eastAsia="es-ES"/>
        </w:rPr>
        <w:t xml:space="preserve"> </w:t>
      </w:r>
      <w:r w:rsidRPr="007C3AE4">
        <w:rPr>
          <w:rFonts w:ascii="Palatino Linotype" w:eastAsia="MS Gothic" w:hAnsi="Palatino Linotype" w:cs="Times New Roman"/>
          <w:sz w:val="24"/>
          <w:szCs w:val="24"/>
        </w:rPr>
        <w:t>y se</w:t>
      </w:r>
      <w:r w:rsidRPr="007C3AE4">
        <w:rPr>
          <w:rFonts w:ascii="Palatino Linotype" w:eastAsia="MS Gothic" w:hAnsi="Palatino Linotype" w:cs="Times New Roman"/>
          <w:b/>
          <w:sz w:val="24"/>
          <w:szCs w:val="24"/>
        </w:rPr>
        <w:t xml:space="preserve"> ORDENA</w:t>
      </w:r>
      <w:r w:rsidRPr="007C3AE4">
        <w:rPr>
          <w:rFonts w:ascii="Palatino Linotype" w:eastAsia="Calibri" w:hAnsi="Palatino Linotype" w:cs="Arial"/>
          <w:sz w:val="24"/>
          <w:szCs w:val="24"/>
          <w:lang w:val="es-ES" w:eastAsia="es-ES"/>
        </w:rPr>
        <w:t xml:space="preserve"> entregar la información vía Sistema de Acceso a la Información Mexiquense (</w:t>
      </w:r>
      <w:r w:rsidRPr="007C3AE4">
        <w:rPr>
          <w:rFonts w:ascii="Palatino Linotype" w:eastAsia="Calibri" w:hAnsi="Palatino Linotype" w:cs="Arial"/>
          <w:b/>
          <w:sz w:val="24"/>
          <w:szCs w:val="24"/>
          <w:lang w:val="es-ES" w:eastAsia="es-ES"/>
        </w:rPr>
        <w:t>SAIMEX</w:t>
      </w:r>
      <w:r w:rsidR="00686648" w:rsidRPr="007C3AE4">
        <w:rPr>
          <w:rFonts w:ascii="Palatino Linotype" w:eastAsia="Calibri" w:hAnsi="Palatino Linotype" w:cs="Arial"/>
          <w:sz w:val="24"/>
          <w:szCs w:val="24"/>
          <w:lang w:val="es-ES" w:eastAsia="es-ES"/>
        </w:rPr>
        <w:t xml:space="preserve">) y correo electrónico señalado en </w:t>
      </w:r>
      <w:proofErr w:type="gramStart"/>
      <w:r w:rsidR="00686648" w:rsidRPr="007C3AE4">
        <w:rPr>
          <w:rFonts w:ascii="Palatino Linotype" w:eastAsia="Calibri" w:hAnsi="Palatino Linotype" w:cs="Arial"/>
          <w:sz w:val="24"/>
          <w:szCs w:val="24"/>
          <w:lang w:val="es-ES" w:eastAsia="es-ES"/>
        </w:rPr>
        <w:t>la solicitudes</w:t>
      </w:r>
      <w:proofErr w:type="gramEnd"/>
      <w:r w:rsidR="00686648" w:rsidRPr="007C3AE4">
        <w:rPr>
          <w:rFonts w:ascii="Palatino Linotype" w:eastAsia="Calibri" w:hAnsi="Palatino Linotype" w:cs="Arial"/>
          <w:sz w:val="24"/>
          <w:szCs w:val="24"/>
          <w:lang w:val="es-ES" w:eastAsia="es-ES"/>
        </w:rPr>
        <w:t>,</w:t>
      </w:r>
      <w:r w:rsidRPr="007C3AE4">
        <w:rPr>
          <w:rFonts w:ascii="Palatino Linotype" w:eastAsia="Calibri" w:hAnsi="Palatino Linotype" w:cs="Arial"/>
          <w:sz w:val="24"/>
          <w:szCs w:val="24"/>
          <w:lang w:val="es-ES" w:eastAsia="es-ES"/>
        </w:rPr>
        <w:t xml:space="preserve"> previa búsqueda exhaustiva, en versión pública</w:t>
      </w:r>
      <w:r w:rsidR="00686648" w:rsidRPr="007C3AE4">
        <w:rPr>
          <w:rFonts w:ascii="Palatino Linotype" w:eastAsia="Calibri" w:hAnsi="Palatino Linotype" w:cs="Arial"/>
          <w:sz w:val="24"/>
          <w:szCs w:val="24"/>
          <w:lang w:val="es-ES" w:eastAsia="es-ES"/>
        </w:rPr>
        <w:t xml:space="preserve"> de ser el caso, del periodo comprendido del</w:t>
      </w:r>
      <w:r w:rsidR="004C7F98" w:rsidRPr="007C3AE4">
        <w:rPr>
          <w:rFonts w:ascii="Palatino Linotype" w:eastAsia="Calibri" w:hAnsi="Palatino Linotype" w:cs="Arial"/>
          <w:sz w:val="24"/>
          <w:szCs w:val="24"/>
          <w:lang w:val="es-ES" w:eastAsia="es-ES"/>
        </w:rPr>
        <w:t xml:space="preserve"> siete </w:t>
      </w:r>
      <w:r w:rsidR="00686648" w:rsidRPr="007C3AE4">
        <w:rPr>
          <w:rFonts w:ascii="Palatino Linotype" w:eastAsia="Calibri" w:hAnsi="Palatino Linotype" w:cs="Arial"/>
          <w:sz w:val="24"/>
          <w:szCs w:val="24"/>
          <w:lang w:val="es-ES" w:eastAsia="es-ES"/>
        </w:rPr>
        <w:t>de</w:t>
      </w:r>
      <w:r w:rsidR="004C7F98" w:rsidRPr="007C3AE4">
        <w:rPr>
          <w:rFonts w:ascii="Palatino Linotype" w:eastAsia="Calibri" w:hAnsi="Palatino Linotype" w:cs="Arial"/>
          <w:sz w:val="24"/>
          <w:szCs w:val="24"/>
          <w:lang w:val="es-ES" w:eastAsia="es-ES"/>
        </w:rPr>
        <w:t xml:space="preserve"> diciembre de dos mil diecinueve al siete de diciembre de dos mil veinte</w:t>
      </w:r>
      <w:r w:rsidRPr="007C3AE4">
        <w:rPr>
          <w:rFonts w:ascii="Palatino Linotype" w:eastAsia="Calibri" w:hAnsi="Palatino Linotype" w:cs="Arial"/>
          <w:sz w:val="24"/>
          <w:szCs w:val="24"/>
          <w:lang w:val="es-ES" w:eastAsia="es-ES"/>
        </w:rPr>
        <w:t xml:space="preserve">, </w:t>
      </w:r>
      <w:r w:rsidR="007E02A7" w:rsidRPr="007C3AE4">
        <w:rPr>
          <w:rFonts w:ascii="Palatino Linotype" w:eastAsia="Calibri" w:hAnsi="Palatino Linotype" w:cs="Arial"/>
          <w:sz w:val="24"/>
          <w:szCs w:val="24"/>
          <w:lang w:val="es-ES" w:eastAsia="es-ES"/>
        </w:rPr>
        <w:t xml:space="preserve">de </w:t>
      </w:r>
      <w:r w:rsidRPr="007C3AE4">
        <w:rPr>
          <w:rFonts w:ascii="Palatino Linotype" w:eastAsia="Calibri" w:hAnsi="Palatino Linotype" w:cs="Arial"/>
          <w:sz w:val="24"/>
          <w:szCs w:val="24"/>
          <w:lang w:val="es-ES" w:eastAsia="es-ES"/>
        </w:rPr>
        <w:t>lo siguiente</w:t>
      </w:r>
      <w:r w:rsidRPr="007C3AE4">
        <w:rPr>
          <w:rFonts w:ascii="Palatino Linotype" w:eastAsia="Calibri" w:hAnsi="Palatino Linotype" w:cs="Arial"/>
          <w:sz w:val="24"/>
          <w:szCs w:val="24"/>
          <w:lang w:eastAsia="es-ES"/>
        </w:rPr>
        <w:t>:</w:t>
      </w:r>
    </w:p>
    <w:p w14:paraId="20C8A912" w14:textId="77777777" w:rsidR="00970D88" w:rsidRPr="007C3AE4" w:rsidRDefault="00970D88" w:rsidP="00970D88">
      <w:pPr>
        <w:spacing w:after="0" w:line="360" w:lineRule="auto"/>
        <w:ind w:right="567"/>
        <w:contextualSpacing/>
        <w:jc w:val="both"/>
        <w:rPr>
          <w:rFonts w:ascii="Palatino Linotype" w:hAnsi="Palatino Linotype"/>
          <w:b/>
          <w:sz w:val="24"/>
          <w:szCs w:val="24"/>
        </w:rPr>
      </w:pPr>
      <w:r w:rsidRPr="007C3AE4">
        <w:rPr>
          <w:rFonts w:ascii="Palatino Linotype" w:eastAsia="MS Mincho" w:hAnsi="Palatino Linotype" w:cstheme="majorBidi"/>
          <w:b/>
          <w:sz w:val="24"/>
          <w:szCs w:val="24"/>
          <w:lang w:val="es-ES_tradnl" w:eastAsia="es-ES"/>
        </w:rPr>
        <w:t xml:space="preserve">         </w:t>
      </w:r>
    </w:p>
    <w:p w14:paraId="4D0AC8B1" w14:textId="77777777" w:rsidR="00E157A1" w:rsidRPr="007C3AE4" w:rsidRDefault="00E157A1" w:rsidP="00E157A1">
      <w:pPr>
        <w:pStyle w:val="Prrafodelista"/>
        <w:numPr>
          <w:ilvl w:val="0"/>
          <w:numId w:val="4"/>
        </w:numPr>
        <w:spacing w:after="0" w:line="360" w:lineRule="auto"/>
        <w:ind w:right="615"/>
        <w:jc w:val="both"/>
        <w:rPr>
          <w:rFonts w:ascii="Palatino Linotype" w:eastAsia="Times New Roman" w:hAnsi="Palatino Linotype" w:cs="Arial"/>
          <w:sz w:val="24"/>
          <w:szCs w:val="24"/>
          <w:lang w:val="es-ES_tradnl" w:eastAsia="es-ES"/>
        </w:rPr>
      </w:pPr>
      <w:r w:rsidRPr="007C3AE4">
        <w:rPr>
          <w:rFonts w:ascii="Palatino Linotype" w:eastAsia="Calibri" w:hAnsi="Palatino Linotype" w:cs="Arial"/>
          <w:b/>
          <w:sz w:val="24"/>
          <w:szCs w:val="24"/>
          <w:lang w:val="es-ES_tradnl" w:eastAsia="es-ES"/>
        </w:rPr>
        <w:t>El Acuerdo que emita el Comité de Transparencia en el que confirme la declaración de incompetencia del SUJETO OBLIGADO respecto de la información correspondiente a la adquisición de medicamentos.</w:t>
      </w:r>
    </w:p>
    <w:p w14:paraId="31C20E23" w14:textId="77777777" w:rsidR="00E157A1" w:rsidRPr="007C3AE4" w:rsidRDefault="007E02A7" w:rsidP="00E157A1">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7C3AE4">
        <w:rPr>
          <w:rFonts w:ascii="Palatino Linotype" w:eastAsiaTheme="minorEastAsia" w:hAnsi="Palatino Linotype"/>
          <w:b/>
          <w:sz w:val="24"/>
          <w:szCs w:val="24"/>
          <w:lang w:val="es-ES_tradnl" w:eastAsia="es-ES"/>
        </w:rPr>
        <w:t>Soporte documental donde conste l</w:t>
      </w:r>
      <w:r w:rsidR="004C7F98" w:rsidRPr="007C3AE4">
        <w:rPr>
          <w:rFonts w:ascii="Palatino Linotype" w:eastAsiaTheme="minorEastAsia" w:hAnsi="Palatino Linotype"/>
          <w:b/>
          <w:sz w:val="24"/>
          <w:szCs w:val="24"/>
          <w:lang w:val="es-ES_tradnl" w:eastAsia="es-ES"/>
        </w:rPr>
        <w:t>as adquisiciones, arrendamientos y prestaciones de servicios,</w:t>
      </w:r>
      <w:r w:rsidR="00E157A1" w:rsidRPr="007C3AE4">
        <w:rPr>
          <w:rFonts w:ascii="Palatino Linotype" w:eastAsiaTheme="minorEastAsia" w:hAnsi="Palatino Linotype"/>
          <w:b/>
          <w:sz w:val="24"/>
          <w:szCs w:val="24"/>
          <w:lang w:val="es-ES_tradnl" w:eastAsia="es-ES"/>
        </w:rPr>
        <w:t xml:space="preserve"> realizadas </w:t>
      </w:r>
      <w:r w:rsidR="004C7F98" w:rsidRPr="007C3AE4">
        <w:rPr>
          <w:rFonts w:ascii="Palatino Linotype" w:eastAsiaTheme="minorEastAsia" w:hAnsi="Palatino Linotype"/>
          <w:b/>
          <w:sz w:val="24"/>
          <w:szCs w:val="24"/>
          <w:lang w:val="es-ES_tradnl" w:eastAsia="es-ES"/>
        </w:rPr>
        <w:t xml:space="preserve">en cualquier </w:t>
      </w:r>
      <w:r w:rsidR="00E157A1" w:rsidRPr="007C3AE4">
        <w:rPr>
          <w:rFonts w:ascii="Palatino Linotype" w:eastAsiaTheme="minorEastAsia" w:hAnsi="Palatino Linotype"/>
          <w:b/>
          <w:sz w:val="24"/>
          <w:szCs w:val="24"/>
          <w:lang w:val="es-ES_tradnl" w:eastAsia="es-ES"/>
        </w:rPr>
        <w:t>modalidad.</w:t>
      </w:r>
      <w:r w:rsidR="004C7F98" w:rsidRPr="007C3AE4">
        <w:rPr>
          <w:rFonts w:ascii="Palatino Linotype" w:eastAsiaTheme="minorEastAsia" w:hAnsi="Palatino Linotype"/>
          <w:b/>
          <w:sz w:val="24"/>
          <w:szCs w:val="24"/>
          <w:lang w:val="es-ES_tradnl" w:eastAsia="es-ES"/>
        </w:rPr>
        <w:t xml:space="preserve"> </w:t>
      </w:r>
    </w:p>
    <w:p w14:paraId="7CA51467" w14:textId="77777777" w:rsidR="007E02A7" w:rsidRPr="007C3AE4" w:rsidRDefault="00C42188" w:rsidP="00E157A1">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7C3AE4">
        <w:rPr>
          <w:rFonts w:ascii="Palatino Linotype" w:eastAsiaTheme="minorEastAsia" w:hAnsi="Palatino Linotype"/>
          <w:b/>
          <w:sz w:val="24"/>
          <w:szCs w:val="24"/>
          <w:lang w:val="es-ES_tradnl" w:eastAsia="es-ES"/>
        </w:rPr>
        <w:t>Soporte documental que dé cuenta</w:t>
      </w:r>
      <w:r w:rsidR="004C7F98" w:rsidRPr="007C3AE4">
        <w:rPr>
          <w:rFonts w:ascii="Palatino Linotype" w:eastAsiaTheme="minorEastAsia" w:hAnsi="Palatino Linotype"/>
          <w:b/>
          <w:sz w:val="24"/>
          <w:szCs w:val="24"/>
          <w:lang w:val="es-ES_tradnl" w:eastAsia="es-ES"/>
        </w:rPr>
        <w:t xml:space="preserve"> </w:t>
      </w:r>
      <w:r w:rsidR="007E02A7" w:rsidRPr="007C3AE4">
        <w:rPr>
          <w:rFonts w:ascii="Palatino Linotype" w:eastAsiaTheme="minorEastAsia" w:hAnsi="Palatino Linotype"/>
          <w:b/>
          <w:sz w:val="24"/>
          <w:szCs w:val="24"/>
          <w:lang w:val="es-ES_tradnl" w:eastAsia="es-ES"/>
        </w:rPr>
        <w:t>de la autorización del Comité de Adquisiciones, para la ejecución de las adquisiciones, arrendamientos y prestaciones de servicios.</w:t>
      </w:r>
    </w:p>
    <w:p w14:paraId="640C9C64" w14:textId="77777777" w:rsidR="00970D88" w:rsidRPr="007C3AE4" w:rsidRDefault="00970D88" w:rsidP="00970D88">
      <w:pPr>
        <w:spacing w:after="0" w:line="360" w:lineRule="auto"/>
        <w:ind w:right="567"/>
        <w:contextualSpacing/>
        <w:jc w:val="both"/>
        <w:rPr>
          <w:rFonts w:ascii="Palatino Linotype" w:eastAsia="MS Mincho" w:hAnsi="Palatino Linotype" w:cstheme="majorBidi"/>
          <w:b/>
          <w:sz w:val="24"/>
          <w:szCs w:val="24"/>
          <w:lang w:eastAsia="es-ES"/>
        </w:rPr>
      </w:pPr>
    </w:p>
    <w:p w14:paraId="52D89499" w14:textId="77777777" w:rsidR="00970D88" w:rsidRPr="007C3AE4" w:rsidRDefault="00970D88" w:rsidP="00970D88">
      <w:pPr>
        <w:tabs>
          <w:tab w:val="left" w:pos="7938"/>
        </w:tabs>
        <w:spacing w:before="240" w:after="240" w:line="360" w:lineRule="auto"/>
        <w:ind w:left="567" w:right="615"/>
        <w:contextualSpacing/>
        <w:jc w:val="both"/>
        <w:rPr>
          <w:rFonts w:ascii="Palatino Linotype" w:eastAsia="MS Mincho" w:hAnsi="Palatino Linotype" w:cs="Times New Roman"/>
          <w:b/>
          <w:sz w:val="24"/>
          <w:szCs w:val="24"/>
          <w:lang w:val="es-ES_tradnl" w:eastAsia="es-ES"/>
        </w:rPr>
      </w:pPr>
      <w:r w:rsidRPr="007C3AE4">
        <w:rPr>
          <w:rFonts w:ascii="Palatino Linotype" w:eastAsia="MS Mincho" w:hAnsi="Palatino Linotype" w:cs="Times New Roman"/>
          <w:sz w:val="24"/>
          <w:szCs w:val="24"/>
          <w:lang w:val="es-ES" w:eastAsia="es-ES"/>
        </w:rPr>
        <w:t xml:space="preserve">El Acuerdo del Comité de Transparencia en términos de los artículos 49 fracción VIII y 132 fracción II de la Ley de Transparencia y Acceso a la </w:t>
      </w:r>
      <w:r w:rsidRPr="007C3AE4">
        <w:rPr>
          <w:rFonts w:ascii="Palatino Linotype" w:eastAsia="MS Mincho" w:hAnsi="Palatino Linotype" w:cs="Times New Roman"/>
          <w:sz w:val="24"/>
          <w:szCs w:val="24"/>
          <w:lang w:val="es-ES" w:eastAsia="es-ES"/>
        </w:rPr>
        <w:lastRenderedPageBreak/>
        <w:t>Información Pública del Estado de México y Municipios, en el que funde y motive las razones sobre los datos que se supriman o eliminen dentro del soporte documental respectivo objeto de las versiones públicas que se formulen y se pongan a disposición de</w:t>
      </w:r>
      <w:r w:rsidRPr="007C3AE4">
        <w:rPr>
          <w:rFonts w:ascii="Palatino Linotype" w:eastAsia="MS Mincho" w:hAnsi="Palatino Linotype" w:cs="Times New Roman"/>
          <w:b/>
          <w:sz w:val="24"/>
          <w:szCs w:val="24"/>
          <w:lang w:val="es-ES" w:eastAsia="es-ES"/>
        </w:rPr>
        <w:t xml:space="preserve"> </w:t>
      </w:r>
      <w:r w:rsidRPr="007C3AE4">
        <w:rPr>
          <w:rFonts w:ascii="Palatino Linotype" w:eastAsia="MS Mincho" w:hAnsi="Palatino Linotype" w:cs="Times New Roman"/>
          <w:b/>
          <w:sz w:val="24"/>
          <w:szCs w:val="24"/>
          <w:lang w:val="es-ES_tradnl" w:eastAsia="es-ES"/>
        </w:rPr>
        <w:t>RECURRENTE.</w:t>
      </w:r>
    </w:p>
    <w:p w14:paraId="59C99D7A" w14:textId="77777777" w:rsidR="00970D88" w:rsidRPr="007C3AE4" w:rsidRDefault="00970D88" w:rsidP="00970D88">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26AB40BE" w14:textId="77777777" w:rsidR="00970D88" w:rsidRPr="007C3AE4" w:rsidRDefault="00970D88" w:rsidP="00970D8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7C3AE4">
        <w:rPr>
          <w:rFonts w:ascii="Palatino Linotype" w:eastAsia="Palatino Linotype" w:hAnsi="Palatino Linotype" w:cs="Palatino Linotype"/>
          <w:b/>
          <w:sz w:val="24"/>
          <w:szCs w:val="24"/>
          <w:lang w:val="es-ES_tradnl"/>
        </w:rPr>
        <w:t xml:space="preserve">TERCERO. </w:t>
      </w:r>
      <w:r w:rsidRPr="007C3AE4">
        <w:rPr>
          <w:rFonts w:ascii="Palatino Linotype" w:eastAsia="Palatino Linotype" w:hAnsi="Palatino Linotype" w:cs="Palatino Linotype"/>
          <w:b/>
          <w:sz w:val="24"/>
          <w:szCs w:val="24"/>
          <w:lang w:val="es-ES_tradnl" w:eastAsia="es-ES"/>
        </w:rPr>
        <w:t xml:space="preserve">Notifíquese </w:t>
      </w:r>
      <w:r w:rsidRPr="007C3AE4">
        <w:rPr>
          <w:rFonts w:ascii="Palatino Linotype" w:eastAsia="Palatino Linotype" w:hAnsi="Palatino Linotype" w:cs="Palatino Linotype"/>
          <w:sz w:val="24"/>
          <w:szCs w:val="24"/>
          <w:lang w:val="es-ES_tradnl" w:eastAsia="es-ES"/>
        </w:rPr>
        <w:t xml:space="preserve">al Titular de la Unidad de Transparencia del </w:t>
      </w:r>
      <w:r w:rsidRPr="007C3AE4">
        <w:rPr>
          <w:rFonts w:ascii="Palatino Linotype" w:eastAsia="Palatino Linotype" w:hAnsi="Palatino Linotype" w:cs="Palatino Linotype"/>
          <w:b/>
          <w:sz w:val="24"/>
          <w:szCs w:val="24"/>
          <w:lang w:val="es-ES_tradnl" w:eastAsia="es-ES"/>
        </w:rPr>
        <w:t>SUJETO OBLIGADO</w:t>
      </w:r>
      <w:r w:rsidRPr="007C3AE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C3AE4">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2DF7053" w14:textId="77777777" w:rsidR="00970D88" w:rsidRPr="007C3AE4" w:rsidRDefault="00970D88" w:rsidP="00970D8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20E4D594" w14:textId="1FA7F1BE" w:rsidR="00970D88" w:rsidRPr="007C3AE4" w:rsidRDefault="00970D88" w:rsidP="00970D88">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8" w:name="_Toc462307694"/>
      <w:bookmarkStart w:id="29" w:name="_Toc473806819"/>
      <w:bookmarkStart w:id="30" w:name="_Toc477345211"/>
      <w:bookmarkStart w:id="31" w:name="_Toc480987181"/>
      <w:bookmarkStart w:id="32" w:name="_Toc480996314"/>
      <w:bookmarkStart w:id="33" w:name="_Toc485145214"/>
      <w:bookmarkStart w:id="34" w:name="_Toc489442407"/>
      <w:bookmarkStart w:id="35" w:name="_Toc491350213"/>
      <w:bookmarkStart w:id="36" w:name="_Toc491353103"/>
      <w:bookmarkStart w:id="37" w:name="_Toc491868487"/>
      <w:r w:rsidRPr="007C3AE4">
        <w:rPr>
          <w:rFonts w:ascii="Palatino Linotype" w:eastAsia="MS Gothic" w:hAnsi="Palatino Linotype" w:cs="Times New Roman"/>
          <w:b/>
          <w:sz w:val="24"/>
          <w:szCs w:val="24"/>
        </w:rPr>
        <w:t xml:space="preserve">CUARTO. </w:t>
      </w:r>
      <w:r w:rsidRPr="007C3AE4">
        <w:rPr>
          <w:rFonts w:ascii="Palatino Linotype" w:eastAsia="MS Gothic" w:hAnsi="Palatino Linotype" w:cs="Times New Roman"/>
          <w:sz w:val="24"/>
          <w:szCs w:val="24"/>
        </w:rPr>
        <w:t>Notifíquese a</w:t>
      </w:r>
      <w:bookmarkEnd w:id="28"/>
      <w:bookmarkEnd w:id="29"/>
      <w:bookmarkEnd w:id="30"/>
      <w:bookmarkEnd w:id="31"/>
      <w:bookmarkEnd w:id="32"/>
      <w:bookmarkEnd w:id="33"/>
      <w:bookmarkEnd w:id="34"/>
      <w:bookmarkEnd w:id="35"/>
      <w:bookmarkEnd w:id="36"/>
      <w:bookmarkEnd w:id="37"/>
      <w:r w:rsidR="00E157A1" w:rsidRPr="007C3AE4">
        <w:rPr>
          <w:rFonts w:ascii="Palatino Linotype" w:eastAsia="MS Mincho" w:hAnsi="Palatino Linotype" w:cs="Times New Roman"/>
          <w:b/>
          <w:sz w:val="24"/>
          <w:szCs w:val="24"/>
          <w:lang w:val="es-ES_tradnl" w:eastAsia="es-ES"/>
        </w:rPr>
        <w:t xml:space="preserve"> </w:t>
      </w:r>
      <w:r w:rsidR="001370FC" w:rsidRPr="001370FC">
        <w:rPr>
          <w:rFonts w:ascii="Palatino Linotype" w:eastAsia="MS Gothic" w:hAnsi="Palatino Linotype" w:cs="Times New Roman"/>
          <w:b/>
          <w:sz w:val="24"/>
          <w:szCs w:val="24"/>
          <w:highlight w:val="black"/>
          <w:lang w:val="es-ES_tradnl"/>
        </w:rPr>
        <w:t>----------</w:t>
      </w:r>
      <w:r w:rsidR="001370FC">
        <w:rPr>
          <w:rFonts w:ascii="Palatino Linotype" w:eastAsia="MS Gothic" w:hAnsi="Palatino Linotype" w:cs="Times New Roman"/>
          <w:b/>
          <w:sz w:val="24"/>
          <w:szCs w:val="24"/>
          <w:highlight w:val="black"/>
          <w:lang w:val="es-ES_tradnl"/>
        </w:rPr>
        <w:t>----</w:t>
      </w:r>
      <w:r w:rsidR="001370FC" w:rsidRPr="001370FC">
        <w:rPr>
          <w:rFonts w:ascii="Palatino Linotype" w:eastAsia="MS Gothic" w:hAnsi="Palatino Linotype" w:cs="Times New Roman"/>
          <w:b/>
          <w:sz w:val="24"/>
          <w:szCs w:val="24"/>
          <w:highlight w:val="black"/>
          <w:lang w:val="es-ES_tradnl"/>
        </w:rPr>
        <w:t>------------------------</w:t>
      </w:r>
      <w:r w:rsidRPr="007C3AE4">
        <w:rPr>
          <w:rFonts w:ascii="Palatino Linotype" w:eastAsia="MS Mincho" w:hAnsi="Palatino Linotype" w:cs="Times New Roman"/>
          <w:b/>
          <w:sz w:val="24"/>
          <w:szCs w:val="24"/>
          <w:lang w:val="es-ES_tradnl" w:eastAsia="es-ES"/>
        </w:rPr>
        <w:t>,</w:t>
      </w:r>
      <w:r w:rsidRPr="007C3AE4">
        <w:rPr>
          <w:rFonts w:ascii="Palatino Linotype" w:eastAsia="MS Gothic" w:hAnsi="Palatino Linotype" w:cs="Times New Roman"/>
          <w:sz w:val="24"/>
          <w:szCs w:val="24"/>
        </w:rPr>
        <w:t xml:space="preserve"> la presente</w:t>
      </w:r>
      <w:r w:rsidRPr="007C3AE4">
        <w:rPr>
          <w:rFonts w:ascii="Palatino Linotype" w:eastAsia="Times New Roman" w:hAnsi="Palatino Linotype" w:cs="Times New Roman"/>
          <w:color w:val="222222"/>
          <w:sz w:val="24"/>
          <w:szCs w:val="24"/>
          <w:lang w:val="es-ES" w:eastAsia="es-MX"/>
        </w:rPr>
        <w:t xml:space="preserve"> resolución.</w:t>
      </w:r>
    </w:p>
    <w:p w14:paraId="05E255CD" w14:textId="38FAFD41" w:rsidR="00970D88" w:rsidRPr="007C3AE4" w:rsidRDefault="00970D88" w:rsidP="00970D88">
      <w:pPr>
        <w:spacing w:before="240" w:after="360" w:line="360" w:lineRule="auto"/>
        <w:jc w:val="both"/>
        <w:rPr>
          <w:rFonts w:ascii="Palatino Linotype" w:eastAsia="Times New Roman" w:hAnsi="Palatino Linotype" w:cs="Times New Roman"/>
          <w:color w:val="222222"/>
          <w:sz w:val="24"/>
          <w:szCs w:val="24"/>
          <w:lang w:val="es-ES" w:eastAsia="es-MX"/>
        </w:rPr>
      </w:pPr>
      <w:r w:rsidRPr="007C3AE4">
        <w:rPr>
          <w:rFonts w:ascii="Palatino Linotype" w:eastAsia="Times New Roman" w:hAnsi="Palatino Linotype" w:cs="Times New Roman"/>
          <w:b/>
          <w:color w:val="222222"/>
          <w:sz w:val="24"/>
          <w:szCs w:val="24"/>
          <w:lang w:val="es-ES" w:eastAsia="es-MX"/>
        </w:rPr>
        <w:t>QUINTO.</w:t>
      </w:r>
      <w:r w:rsidRPr="007C3AE4">
        <w:rPr>
          <w:rFonts w:ascii="Palatino Linotype" w:eastAsia="Times New Roman" w:hAnsi="Palatino Linotype" w:cs="Times New Roman"/>
          <w:color w:val="222222"/>
          <w:sz w:val="24"/>
          <w:szCs w:val="24"/>
          <w:lang w:val="es-ES" w:eastAsia="es-MX"/>
        </w:rPr>
        <w:t xml:space="preserve"> Se hace del conocimiento</w:t>
      </w:r>
      <w:r w:rsidRPr="007C3AE4">
        <w:rPr>
          <w:rFonts w:ascii="Palatino Linotype" w:eastAsia="Times New Roman" w:hAnsi="Palatino Linotype" w:cs="Times New Roman"/>
          <w:b/>
          <w:bCs/>
          <w:color w:val="222222"/>
          <w:sz w:val="24"/>
          <w:szCs w:val="24"/>
          <w:lang w:val="es-ES" w:eastAsia="es-ES"/>
        </w:rPr>
        <w:t xml:space="preserve"> </w:t>
      </w:r>
      <w:r w:rsidRPr="007C3AE4">
        <w:rPr>
          <w:rFonts w:ascii="Palatino Linotype" w:eastAsia="Times New Roman" w:hAnsi="Palatino Linotype" w:cs="Times New Roman"/>
          <w:color w:val="222222"/>
          <w:sz w:val="24"/>
          <w:szCs w:val="24"/>
          <w:lang w:val="es-ES" w:eastAsia="es-MX"/>
        </w:rPr>
        <w:t>de</w:t>
      </w:r>
      <w:r w:rsidRPr="007C3AE4">
        <w:rPr>
          <w:rFonts w:ascii="Palatino Linotype" w:eastAsia="MS Mincho" w:hAnsi="Palatino Linotype" w:cs="Times New Roman"/>
          <w:b/>
          <w:sz w:val="24"/>
          <w:szCs w:val="24"/>
          <w:lang w:val="es-ES_tradnl" w:eastAsia="es-ES"/>
        </w:rPr>
        <w:t xml:space="preserve"> </w:t>
      </w:r>
      <w:r w:rsidR="00E568F7" w:rsidRPr="00E568F7">
        <w:rPr>
          <w:rFonts w:ascii="Palatino Linotype" w:eastAsia="MS Mincho" w:hAnsi="Palatino Linotype" w:cs="Times New Roman"/>
          <w:b/>
          <w:sz w:val="24"/>
          <w:szCs w:val="24"/>
          <w:highlight w:val="black"/>
          <w:lang w:val="es-ES_tradnl" w:eastAsia="es-ES"/>
        </w:rPr>
        <w:t>-------------------------------------</w:t>
      </w:r>
      <w:r w:rsidR="00E157A1" w:rsidRPr="007C3AE4">
        <w:rPr>
          <w:rFonts w:ascii="Palatino Linotype" w:eastAsia="MS Mincho" w:hAnsi="Palatino Linotype" w:cs="Times New Roman"/>
          <w:b/>
          <w:sz w:val="24"/>
          <w:szCs w:val="24"/>
          <w:lang w:val="es-ES_tradnl" w:eastAsia="es-ES"/>
        </w:rPr>
        <w:t xml:space="preserve"> </w:t>
      </w:r>
      <w:r w:rsidRPr="007C3AE4">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7C3AE4">
        <w:rPr>
          <w:rFonts w:ascii="Palatino Linotype" w:eastAsia="Times New Roman" w:hAnsi="Palatino Linotype" w:cs="Times New Roman"/>
          <w:bCs/>
          <w:color w:val="222222"/>
          <w:sz w:val="24"/>
          <w:szCs w:val="24"/>
          <w:lang w:val="es-ES" w:eastAsia="es-MX"/>
        </w:rPr>
        <w:t>vía juicio de amparo</w:t>
      </w:r>
      <w:r w:rsidRPr="007C3AE4">
        <w:rPr>
          <w:rFonts w:ascii="Palatino Linotype" w:eastAsia="Times New Roman" w:hAnsi="Palatino Linotype" w:cs="Times New Roman"/>
          <w:color w:val="222222"/>
          <w:sz w:val="24"/>
          <w:szCs w:val="24"/>
          <w:lang w:val="es-ES" w:eastAsia="es-MX"/>
        </w:rPr>
        <w:t> en los términos de las leyes aplicables.</w:t>
      </w:r>
      <w:bookmarkEnd w:id="25"/>
      <w:bookmarkEnd w:id="26"/>
      <w:bookmarkEnd w:id="27"/>
    </w:p>
    <w:p w14:paraId="57025471" w14:textId="77777777" w:rsidR="00970D88" w:rsidRPr="007C3AE4" w:rsidRDefault="00970D88" w:rsidP="00970D88">
      <w:pPr>
        <w:spacing w:before="240" w:after="360" w:line="360" w:lineRule="auto"/>
        <w:jc w:val="both"/>
        <w:rPr>
          <w:rFonts w:ascii="Palatino Linotype" w:eastAsia="Times New Roman" w:hAnsi="Palatino Linotype" w:cs="Times New Roman"/>
          <w:color w:val="000000"/>
          <w:sz w:val="24"/>
          <w:szCs w:val="24"/>
          <w:lang w:val="es-ES_tradnl" w:eastAsia="es-MX"/>
        </w:rPr>
      </w:pPr>
      <w:r w:rsidRPr="007C3AE4">
        <w:rPr>
          <w:rFonts w:ascii="Palatino Linotype" w:eastAsia="MS Mincho" w:hAnsi="Palatino Linotype" w:cs="Times New Roman"/>
          <w:b/>
          <w:sz w:val="24"/>
          <w:szCs w:val="24"/>
          <w:lang w:val="es-ES" w:eastAsia="es-ES"/>
        </w:rPr>
        <w:t xml:space="preserve">SEXTO. </w:t>
      </w:r>
      <w:r w:rsidRPr="007C3AE4">
        <w:rPr>
          <w:rFonts w:ascii="Palatino Linotype" w:eastAsia="MS Mincho" w:hAnsi="Palatino Linotype" w:cs="Times New Roman"/>
          <w:sz w:val="24"/>
          <w:szCs w:val="24"/>
          <w:lang w:val="es-ES" w:eastAsia="es-ES"/>
        </w:rPr>
        <w:t>Con</w:t>
      </w:r>
      <w:r w:rsidRPr="007C3AE4">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7C3AE4">
        <w:rPr>
          <w:rFonts w:ascii="Palatino Linotype" w:eastAsia="Times New Roman" w:hAnsi="Palatino Linotype" w:cs="Times New Roman"/>
          <w:b/>
          <w:bCs/>
          <w:color w:val="000000"/>
          <w:sz w:val="24"/>
          <w:szCs w:val="24"/>
          <w:lang w:val="es-ES_tradnl" w:eastAsia="es-MX"/>
        </w:rPr>
        <w:t>SUJETO OBLIGADO</w:t>
      </w:r>
      <w:r w:rsidRPr="007C3AE4">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0F6E4B05" w14:textId="77777777" w:rsidR="00970D88" w:rsidRPr="007C3AE4" w:rsidRDefault="00970D88" w:rsidP="00970D88">
      <w:pPr>
        <w:spacing w:before="240" w:after="360" w:line="360" w:lineRule="auto"/>
        <w:jc w:val="both"/>
        <w:rPr>
          <w:rFonts w:ascii="Palatino Linotype" w:eastAsia="Times New Roman" w:hAnsi="Palatino Linotype" w:cs="Times New Roman"/>
          <w:bCs/>
          <w:color w:val="000000"/>
          <w:sz w:val="24"/>
          <w:szCs w:val="24"/>
          <w:lang w:eastAsia="es-MX"/>
        </w:rPr>
      </w:pPr>
      <w:r w:rsidRPr="007C3AE4">
        <w:rPr>
          <w:rFonts w:ascii="Palatino Linotype" w:eastAsia="Times New Roman" w:hAnsi="Palatino Linotype" w:cs="Times New Roman"/>
          <w:b/>
          <w:color w:val="000000"/>
          <w:sz w:val="24"/>
          <w:szCs w:val="24"/>
          <w:lang w:eastAsia="es-MX"/>
        </w:rPr>
        <w:lastRenderedPageBreak/>
        <w:t xml:space="preserve">SÉPTIMO. </w:t>
      </w:r>
      <w:r w:rsidRPr="007C3AE4">
        <w:rPr>
          <w:rFonts w:ascii="Palatino Linotype" w:eastAsia="Times New Roman" w:hAnsi="Palatino Linotype" w:cs="Times New Roman"/>
          <w:bCs/>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40BBBC" w14:textId="531D1FB5" w:rsidR="00970D88" w:rsidRPr="007C3AE4" w:rsidRDefault="002C7D86" w:rsidP="00970D88">
      <w:pPr>
        <w:spacing w:before="240" w:after="36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C6EEE75" wp14:editId="66BEB13A">
                <wp:simplePos x="0" y="0"/>
                <wp:positionH relativeFrom="column">
                  <wp:posOffset>15874</wp:posOffset>
                </wp:positionH>
                <wp:positionV relativeFrom="paragraph">
                  <wp:posOffset>2922904</wp:posOffset>
                </wp:positionV>
                <wp:extent cx="5553075" cy="32289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53075" cy="3228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BF91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230.15pt" to="438.5pt,4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sLugEAAMUDAAAOAAAAZHJzL2Uyb0RvYy54bWysU01v2zAMvQ/YfxB0X+ykyNYacXpI0V2G&#10;LdjaH6DKVCxAX6C02Pn3o+TELbYBw4peJFHiI/keqc3taA07AkbtXcuXi5ozcNJ32h1a/vhw/+Ga&#10;s5iE64TxDlp+gshvt+/fbYbQwMr33nSAjIK42Ayh5X1KoamqKHuwIi58AEePyqMViUw8VB2KgaJb&#10;U63q+mM1eOwCegkx0u3d9Mi3Jb5SINM3pSIkZlpOtaWyYlmf8lptN6I5oAi9lucyxCuqsEI7SjqH&#10;uhNJsJ+o/whltUQfvUoL6W3lldISCgdis6x/Y/OjFwEKFxInhlmm+HZh5dfjHpnuqHecOWGpRTtq&#10;lEweGeaNLbNGQ4gNue7cHs9WDHvMhEeFNu9EhY1F19OsK4yJSbpcr9dX9ac1Z5Lerlar6xsyKE71&#10;DA8Y02fwluVDy412mbhoxPFLTJPrxYVwuZypgHJKJwPZ2bjvoIgMpVwWdBkj2BlkR0EDIKQElwoh&#10;Sl28M0xpY2Zg/W/g2T9DoYzY/4BnRMnsXZrBVjuPf8uexkvJavK/KDDxzhI8+e5UWlOkoVkp4p7n&#10;Og/jS7vAn3/f9hcAAAD//wMAUEsDBBQABgAIAAAAIQD03GKJ4QAAAAkBAAAPAAAAZHJzL2Rvd25y&#10;ZXYueG1sTI9BS8NAFITvgv9heYI3uzFqGmNeSimItSDFtlCP2+wziWbfhuy2Sf+960mPwwwz3+Sz&#10;0bTiRL1rLCPcTiIQxKXVDVcIu+3zTQrCecVatZYJ4UwOZsXlRa4ybQd+p9PGVyKUsMsUQu19l0np&#10;ypqMchPbEQfv0/ZG+SD7SupeDaHctDKOokQa1XBYqFVHi5rK783RILz1y+Vivjp/8frDDPt4tV+/&#10;ji+I11fj/AmEp9H/heEXP6BDEZgO9sjaiRYhfghBhPskugMR/HQ6Dd8OCI9JmoIscvn/QfEDAAD/&#10;/wMAUEsBAi0AFAAGAAgAAAAhALaDOJL+AAAA4QEAABMAAAAAAAAAAAAAAAAAAAAAAFtDb250ZW50&#10;X1R5cGVzXS54bWxQSwECLQAUAAYACAAAACEAOP0h/9YAAACUAQAACwAAAAAAAAAAAAAAAAAvAQAA&#10;X3JlbHMvLnJlbHNQSwECLQAUAAYACAAAACEA2kTrC7oBAADFAwAADgAAAAAAAAAAAAAAAAAuAgAA&#10;ZHJzL2Uyb0RvYy54bWxQSwECLQAUAAYACAAAACEA9NxiieEAAAAJAQAADwAAAAAAAAAAAAAAAAAU&#10;BAAAZHJzL2Rvd25yZXYueG1sUEsFBgAAAAAEAAQA8wAAACIFAAAAAA==&#10;" strokecolor="#5b9bd5 [3204]" strokeweight=".5pt">
                <v:stroke joinstyle="miter"/>
              </v:line>
            </w:pict>
          </mc:Fallback>
        </mc:AlternateContent>
      </w:r>
      <w:r w:rsidR="00970D88" w:rsidRPr="007C3AE4">
        <w:rPr>
          <w:rFonts w:ascii="Palatino Linotype" w:hAnsi="Palatino Linotype"/>
          <w:sz w:val="24"/>
          <w:szCs w:val="24"/>
        </w:rPr>
        <w:t>ASÍ LO RESUELVE, POR UNANIMIDAD DE VOTOS</w:t>
      </w:r>
      <w:r w:rsidR="00554DA6">
        <w:rPr>
          <w:rFonts w:ascii="Palatino Linotype" w:hAnsi="Palatino Linotype"/>
          <w:sz w:val="24"/>
          <w:szCs w:val="24"/>
        </w:rPr>
        <w:t xml:space="preserve"> DE LOS COMISIONADOS PRESENTES</w:t>
      </w:r>
      <w:r w:rsidR="00970D88" w:rsidRPr="007C3AE4">
        <w:rPr>
          <w:rFonts w:ascii="Palatino Linotype" w:hAnsi="Palatino Linotype"/>
          <w:sz w:val="24"/>
          <w:szCs w:val="24"/>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970D88" w:rsidRPr="007C3AE4">
        <w:rPr>
          <w:rFonts w:ascii="Palatino Linotype" w:eastAsiaTheme="minorEastAsia" w:hAnsi="Palatino Linotype"/>
          <w:sz w:val="24"/>
          <w:szCs w:val="24"/>
          <w:lang w:val="es-ES_tradnl" w:eastAsia="es-ES"/>
        </w:rPr>
        <w:t>Y LUIS GUSTAVO PARRA NORIEGA</w:t>
      </w:r>
      <w:r w:rsidR="00554DA6">
        <w:rPr>
          <w:rFonts w:ascii="Palatino Linotype" w:eastAsiaTheme="minorEastAsia" w:hAnsi="Palatino Linotype"/>
          <w:sz w:val="24"/>
          <w:szCs w:val="24"/>
          <w:lang w:val="es-ES_tradnl" w:eastAsia="es-ES"/>
        </w:rPr>
        <w:t xml:space="preserve"> AUSENTE EN LA VOTACIÓN</w:t>
      </w:r>
      <w:r w:rsidR="00970D88" w:rsidRPr="007C3AE4">
        <w:rPr>
          <w:rFonts w:ascii="Palatino Linotype" w:hAnsi="Palatino Linotype"/>
          <w:sz w:val="24"/>
          <w:szCs w:val="24"/>
        </w:rPr>
        <w:t xml:space="preserve">; EN LA </w:t>
      </w:r>
      <w:r w:rsidR="00F72189" w:rsidRPr="007C3AE4">
        <w:rPr>
          <w:rFonts w:ascii="Palatino Linotype" w:hAnsi="Palatino Linotype"/>
          <w:sz w:val="24"/>
          <w:szCs w:val="24"/>
        </w:rPr>
        <w:t>NOVENA</w:t>
      </w:r>
      <w:r w:rsidR="00970D88" w:rsidRPr="007C3AE4">
        <w:rPr>
          <w:rFonts w:ascii="Palatino Linotype" w:hAnsi="Palatino Linotype"/>
          <w:sz w:val="24"/>
          <w:szCs w:val="24"/>
        </w:rPr>
        <w:t xml:space="preserve"> SESIÓN ORDINARIA CELEBRADA </w:t>
      </w:r>
      <w:r w:rsidR="00F72189" w:rsidRPr="007C3AE4">
        <w:rPr>
          <w:rFonts w:ascii="Palatino Linotype" w:hAnsi="Palatino Linotype"/>
          <w:sz w:val="24"/>
          <w:szCs w:val="24"/>
        </w:rPr>
        <w:t>EL DIECIOCHO</w:t>
      </w:r>
      <w:r w:rsidR="00970D88" w:rsidRPr="007C3AE4">
        <w:rPr>
          <w:rFonts w:ascii="Palatino Linotype" w:hAnsi="Palatino Linotype"/>
          <w:sz w:val="24"/>
          <w:szCs w:val="24"/>
        </w:rPr>
        <w:t xml:space="preserve"> (1</w:t>
      </w:r>
      <w:r w:rsidR="00F72189" w:rsidRPr="007C3AE4">
        <w:rPr>
          <w:rFonts w:ascii="Palatino Linotype" w:hAnsi="Palatino Linotype"/>
          <w:sz w:val="24"/>
          <w:szCs w:val="24"/>
        </w:rPr>
        <w:t>8) DE MARZO</w:t>
      </w:r>
      <w:r w:rsidR="00970D88" w:rsidRPr="007C3AE4">
        <w:rPr>
          <w:rFonts w:ascii="Palatino Linotype" w:hAnsi="Palatino Linotype"/>
          <w:sz w:val="24"/>
          <w:szCs w:val="24"/>
        </w:rPr>
        <w:t xml:space="preserve"> DE DOS MIL VEINTIUNO, ANTE EL SECRETARIO TÉCNICO DEL PLENO ALEXIS TAPIA </w:t>
      </w:r>
      <w:r w:rsidRPr="007C3AE4">
        <w:rPr>
          <w:rFonts w:ascii="Palatino Linotype" w:hAnsi="Palatino Linotype"/>
          <w:sz w:val="24"/>
          <w:szCs w:val="24"/>
        </w:rPr>
        <w:t>RAMÍREZ</w:t>
      </w:r>
      <w:r w:rsidR="00970D88" w:rsidRPr="007C3AE4">
        <w:rPr>
          <w:rFonts w:ascii="Palatino Linotype" w:hAnsi="Palatino Linotype"/>
          <w:sz w:val="24"/>
          <w:szCs w:val="24"/>
        </w:rPr>
        <w:t>.</w:t>
      </w:r>
      <w:r w:rsidR="00970D88" w:rsidRPr="007C3AE4">
        <w:rPr>
          <w:rFonts w:ascii="Palatino Linotype" w:hAnsi="Palatino Linotype" w:cs="Arial"/>
          <w:sz w:val="24"/>
          <w:szCs w:val="24"/>
        </w:rPr>
        <w:t xml:space="preserve"> </w:t>
      </w:r>
    </w:p>
    <w:p w14:paraId="6F6EE89F" w14:textId="77777777" w:rsidR="00970D88" w:rsidRPr="007C3AE4" w:rsidRDefault="00970D88" w:rsidP="00970D88"/>
    <w:p w14:paraId="0CDF06FD" w14:textId="77777777" w:rsidR="00970D88" w:rsidRPr="007C3AE4" w:rsidRDefault="00970D88" w:rsidP="00970D88"/>
    <w:p w14:paraId="631BC8B0" w14:textId="77777777" w:rsidR="00970D88" w:rsidRPr="00970D88" w:rsidRDefault="00970D88" w:rsidP="00970D88"/>
    <w:p w14:paraId="3BEEEB4B" w14:textId="77777777" w:rsidR="00970D88" w:rsidRPr="00970D88" w:rsidRDefault="00970D88" w:rsidP="00970D88"/>
    <w:p w14:paraId="57C5708A" w14:textId="77777777" w:rsidR="00180E89" w:rsidRDefault="00180E89"/>
    <w:p w14:paraId="4C7B453C" w14:textId="77777777" w:rsidR="002C7D86" w:rsidRDefault="002C7D86"/>
    <w:p w14:paraId="301BE63D" w14:textId="77777777" w:rsidR="002C7D86" w:rsidRDefault="002C7D86"/>
    <w:p w14:paraId="395C8B07" w14:textId="77777777" w:rsidR="002C7D86" w:rsidRDefault="002C7D86"/>
    <w:p w14:paraId="2E4E4F5B" w14:textId="77777777" w:rsidR="002C7D86" w:rsidRDefault="002C7D86"/>
    <w:p w14:paraId="0D47184C" w14:textId="77777777" w:rsidR="002C7D86" w:rsidRDefault="002C7D86"/>
    <w:p w14:paraId="7B7BE4F6" w14:textId="77777777" w:rsidR="002C7D86" w:rsidRDefault="002C7D86"/>
    <w:p w14:paraId="5B0BAAE6" w14:textId="77777777" w:rsidR="002C7D86" w:rsidRDefault="002C7D86"/>
    <w:p w14:paraId="69A82B5E" w14:textId="77777777" w:rsidR="002C7D86" w:rsidRDefault="002C7D86"/>
    <w:p w14:paraId="7394B1FA" w14:textId="77777777" w:rsidR="002C7D86" w:rsidRDefault="002C7D86"/>
    <w:p w14:paraId="2A7CB530" w14:textId="77777777" w:rsidR="002C7D86" w:rsidRDefault="002C7D86"/>
    <w:p w14:paraId="0D3FC589" w14:textId="77777777" w:rsidR="002C7D86" w:rsidRDefault="002C7D86"/>
    <w:p w14:paraId="6289DD1A" w14:textId="77777777" w:rsidR="002C7D86" w:rsidRDefault="002C7D86"/>
    <w:sectPr w:rsidR="002C7D86" w:rsidSect="00970D88">
      <w:headerReference w:type="even" r:id="rId13"/>
      <w:headerReference w:type="default" r:id="rId14"/>
      <w:footerReference w:type="default" r:id="rId15"/>
      <w:headerReference w:type="first" r:id="rId16"/>
      <w:footerReference w:type="first" r:id="rId17"/>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26C8" w14:textId="77777777" w:rsidR="002A0CE3" w:rsidRDefault="002A0CE3" w:rsidP="00970D88">
      <w:pPr>
        <w:spacing w:after="0" w:line="240" w:lineRule="auto"/>
      </w:pPr>
      <w:r>
        <w:separator/>
      </w:r>
    </w:p>
  </w:endnote>
  <w:endnote w:type="continuationSeparator" w:id="0">
    <w:p w14:paraId="47A51287" w14:textId="77777777" w:rsidR="002A0CE3" w:rsidRDefault="002A0CE3" w:rsidP="0097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1E55D7BF" w14:textId="77777777" w:rsidR="002A0CE3" w:rsidRPr="00883450" w:rsidRDefault="002A0CE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Pr>
                <w:rFonts w:ascii="Palatino Linotype" w:hAnsi="Palatino Linotype"/>
                <w:b/>
                <w:bCs/>
                <w:noProof/>
                <w:szCs w:val="20"/>
              </w:rPr>
              <w:t>56</w:t>
            </w:r>
            <w:r w:rsidRPr="00883450">
              <w:rPr>
                <w:rFonts w:ascii="Palatino Linotype" w:hAnsi="Palatino Linotype"/>
                <w:b/>
                <w:bCs/>
                <w:szCs w:val="20"/>
              </w:rPr>
              <w:fldChar w:fldCharType="end"/>
            </w:r>
          </w:p>
        </w:sdtContent>
      </w:sdt>
    </w:sdtContent>
  </w:sdt>
  <w:p w14:paraId="5E42829E" w14:textId="77777777" w:rsidR="002A0CE3" w:rsidRDefault="002A0C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EB2E" w14:textId="77777777" w:rsidR="002A0CE3" w:rsidRPr="00883450" w:rsidRDefault="002A0CE3" w:rsidP="00970D8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Pr="00554DA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Pr="00554DA6">
      <w:rPr>
        <w:rFonts w:ascii="Palatino Linotype" w:hAnsi="Palatino Linotype"/>
        <w:noProof/>
        <w:lang w:val="es-ES"/>
      </w:rPr>
      <w:t>56</w:t>
    </w:r>
    <w:r w:rsidRPr="00883450">
      <w:rPr>
        <w:rFonts w:ascii="Palatino Linotype" w:hAnsi="Palatino Linotype"/>
      </w:rPr>
      <w:fldChar w:fldCharType="end"/>
    </w:r>
  </w:p>
  <w:p w14:paraId="7E2F3333" w14:textId="77777777" w:rsidR="002A0CE3" w:rsidRPr="00883450" w:rsidRDefault="002A0CE3">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F4213" w14:textId="77777777" w:rsidR="002A0CE3" w:rsidRDefault="002A0CE3" w:rsidP="00970D88">
      <w:pPr>
        <w:spacing w:after="0" w:line="240" w:lineRule="auto"/>
      </w:pPr>
      <w:r>
        <w:separator/>
      </w:r>
    </w:p>
  </w:footnote>
  <w:footnote w:type="continuationSeparator" w:id="0">
    <w:p w14:paraId="1A723269" w14:textId="77777777" w:rsidR="002A0CE3" w:rsidRDefault="002A0CE3" w:rsidP="00970D88">
      <w:pPr>
        <w:spacing w:after="0" w:line="240" w:lineRule="auto"/>
      </w:pPr>
      <w:r>
        <w:continuationSeparator/>
      </w:r>
    </w:p>
  </w:footnote>
  <w:footnote w:id="1">
    <w:p w14:paraId="6750F91D" w14:textId="77777777" w:rsidR="002A0CE3" w:rsidRDefault="002A0CE3" w:rsidP="007859ED">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871BE3B" w14:textId="77777777" w:rsidR="002A0CE3" w:rsidRDefault="002A0CE3" w:rsidP="005C03A3">
      <w:pPr>
        <w:pStyle w:val="Textonotapie"/>
      </w:pPr>
      <w:r>
        <w:rPr>
          <w:rStyle w:val="Refdenotaalpie"/>
        </w:rPr>
        <w:footnoteRef/>
      </w:r>
      <w:r>
        <w:t xml:space="preserve"> Fracción IV. Artículo 53. </w:t>
      </w:r>
      <w:proofErr w:type="spellStart"/>
      <w:r>
        <w:t>Ibídem</w:t>
      </w:r>
      <w:proofErr w:type="spellEnd"/>
      <w:r>
        <w:t>.</w:t>
      </w:r>
    </w:p>
  </w:footnote>
  <w:footnote w:id="3">
    <w:p w14:paraId="2E9B981B" w14:textId="77777777" w:rsidR="002A0CE3" w:rsidRPr="007E4F02" w:rsidRDefault="002A0CE3" w:rsidP="005C03A3">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4">
    <w:p w14:paraId="2226FFE7" w14:textId="77777777" w:rsidR="002A0CE3" w:rsidRPr="00034B44" w:rsidRDefault="002A0CE3" w:rsidP="00970D8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034B44">
        <w:rPr>
          <w:rFonts w:ascii="Palatino Linotype" w:hAnsi="Palatino Linotype"/>
          <w:sz w:val="14"/>
        </w:rPr>
        <w:t>y</w:t>
      </w:r>
      <w:proofErr w:type="gramEnd"/>
      <w:r w:rsidRPr="00034B44">
        <w:rPr>
          <w:rFonts w:ascii="Palatino Linotype" w:hAnsi="Palatino Linotype"/>
          <w:sz w:val="14"/>
        </w:rPr>
        <w:t xml:space="preserve">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D340E52" w14:textId="77777777" w:rsidR="002A0CE3" w:rsidRPr="00034B44" w:rsidRDefault="002A0CE3" w:rsidP="00970D88">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5">
    <w:p w14:paraId="61162B9D" w14:textId="77777777" w:rsidR="002A0CE3" w:rsidRPr="00034B44" w:rsidRDefault="002A0CE3" w:rsidP="00970D8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2A941F58" w14:textId="77777777" w:rsidR="002A0CE3" w:rsidRPr="00034B44" w:rsidRDefault="002A0CE3" w:rsidP="00970D8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0F834FBC" w14:textId="77777777" w:rsidR="002A0CE3" w:rsidRPr="00034B44" w:rsidRDefault="002A0CE3" w:rsidP="00970D8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968DD4" w14:textId="77777777" w:rsidR="002A0CE3" w:rsidRPr="00034B44" w:rsidRDefault="002A0CE3" w:rsidP="00970D8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14:paraId="19CBD024" w14:textId="77777777" w:rsidR="002A0CE3" w:rsidRPr="00034B44" w:rsidRDefault="002A0CE3" w:rsidP="00970D8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8">
    <w:p w14:paraId="3AFCAB8D" w14:textId="77777777" w:rsidR="002A0CE3" w:rsidRPr="00034B44" w:rsidRDefault="002A0CE3" w:rsidP="00970D8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A4E1C17" w14:textId="77777777" w:rsidR="002A0CE3" w:rsidRPr="00034B44" w:rsidRDefault="002A0CE3" w:rsidP="00970D88">
      <w:pPr>
        <w:pStyle w:val="Textonotapie"/>
        <w:jc w:val="both"/>
        <w:rPr>
          <w:rFonts w:ascii="Palatino Linotype" w:hAnsi="Palatino Linotype"/>
          <w:sz w:val="18"/>
        </w:rPr>
      </w:pPr>
      <w:r w:rsidRPr="00034B44">
        <w:rPr>
          <w:rFonts w:ascii="Palatino Linotype" w:hAnsi="Palatino Linotype"/>
          <w:sz w:val="18"/>
        </w:rPr>
        <w:t xml:space="preserve"> (…)</w:t>
      </w:r>
    </w:p>
    <w:p w14:paraId="719845FD" w14:textId="77777777" w:rsidR="002A0CE3" w:rsidRPr="00034B44" w:rsidRDefault="002A0CE3" w:rsidP="00970D8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C859" w14:textId="77777777" w:rsidR="002A0CE3" w:rsidRDefault="006468E4">
    <w:pPr>
      <w:pStyle w:val="Encabezado"/>
    </w:pPr>
    <w:r>
      <w:rPr>
        <w:noProof/>
        <w:lang w:eastAsia="es-MX"/>
      </w:rPr>
      <w:pict w14:anchorId="4C8F6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5938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2A61" w14:textId="77777777" w:rsidR="002A0CE3" w:rsidRDefault="006468E4" w:rsidP="00970D88">
    <w:pPr>
      <w:pStyle w:val="Encabezado"/>
      <w:tabs>
        <w:tab w:val="clear" w:pos="4419"/>
        <w:tab w:val="clear" w:pos="8838"/>
        <w:tab w:val="left" w:pos="6452"/>
        <w:tab w:val="left" w:pos="7283"/>
      </w:tabs>
    </w:pPr>
    <w:r>
      <w:rPr>
        <w:noProof/>
        <w:lang w:eastAsia="es-MX"/>
      </w:rPr>
      <w:pict w14:anchorId="33AB9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5938252" o:spid="_x0000_s2051" type="#_x0000_t75" style="position:absolute;margin-left:-97.45pt;margin-top:-123.95pt;width:609.4pt;height:793.75pt;z-index:-251656192;mso-position-horizontal-relative:margin;mso-position-vertical-relative:margin" o:allowincell="f">
          <v:imagedata r:id="rId1" o:title="resolución"/>
          <w10:wrap anchorx="margin" anchory="margin"/>
        </v:shape>
      </w:pict>
    </w:r>
    <w:r w:rsidR="002A0CE3">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A0CE3" w:rsidRPr="00EF13C1" w14:paraId="25CEE0C1" w14:textId="77777777" w:rsidTr="00970D88">
      <w:trPr>
        <w:trHeight w:val="138"/>
        <w:jc w:val="right"/>
      </w:trPr>
      <w:tc>
        <w:tcPr>
          <w:tcW w:w="2552" w:type="dxa"/>
          <w:vAlign w:val="center"/>
        </w:tcPr>
        <w:p w14:paraId="5FE2AC7E" w14:textId="77777777" w:rsidR="002A0CE3" w:rsidRPr="00EF13C1" w:rsidRDefault="002A0CE3" w:rsidP="00970D8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6005523" w14:textId="77777777" w:rsidR="002A0CE3" w:rsidRPr="00EF13C1" w:rsidRDefault="002A0CE3" w:rsidP="00970D88">
          <w:pPr>
            <w:pStyle w:val="Encabezado"/>
            <w:jc w:val="right"/>
            <w:rPr>
              <w:rFonts w:ascii="Palatino Linotype" w:hAnsi="Palatino Linotype"/>
              <w:b/>
              <w:sz w:val="22"/>
              <w:szCs w:val="22"/>
            </w:rPr>
          </w:pPr>
          <w:r>
            <w:rPr>
              <w:rFonts w:ascii="Palatino Linotype" w:hAnsi="Palatino Linotype"/>
              <w:b/>
              <w:sz w:val="22"/>
              <w:szCs w:val="22"/>
            </w:rPr>
            <w:t>00083/INFOEM/IP/RR/2021 y acumulados</w:t>
          </w:r>
        </w:p>
      </w:tc>
    </w:tr>
    <w:tr w:rsidR="002A0CE3" w:rsidRPr="00EF13C1" w14:paraId="5A8D5842" w14:textId="77777777" w:rsidTr="00970D88">
      <w:trPr>
        <w:trHeight w:val="321"/>
        <w:jc w:val="right"/>
      </w:trPr>
      <w:tc>
        <w:tcPr>
          <w:tcW w:w="2552" w:type="dxa"/>
          <w:vAlign w:val="center"/>
        </w:tcPr>
        <w:p w14:paraId="0C911911" w14:textId="77777777" w:rsidR="002A0CE3" w:rsidRPr="00EF13C1" w:rsidRDefault="002A0CE3" w:rsidP="00970D8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57B698F" w14:textId="77777777" w:rsidR="002A0CE3" w:rsidRPr="00043A38" w:rsidRDefault="002A0CE3" w:rsidP="00970D88">
          <w:pPr>
            <w:pStyle w:val="Encabezado"/>
            <w:jc w:val="right"/>
            <w:rPr>
              <w:rFonts w:ascii="Palatino Linotype" w:hAnsi="Palatino Linotype"/>
              <w:b/>
              <w:sz w:val="22"/>
              <w:szCs w:val="22"/>
            </w:rPr>
          </w:pPr>
          <w:r>
            <w:rPr>
              <w:rFonts w:ascii="Palatino Linotype" w:hAnsi="Palatino Linotype"/>
              <w:b/>
              <w:bCs/>
              <w:lang w:val="es-MX"/>
            </w:rPr>
            <w:t>Secretaría de Salud</w:t>
          </w:r>
        </w:p>
      </w:tc>
    </w:tr>
    <w:tr w:rsidR="002A0CE3" w:rsidRPr="00EF13C1" w14:paraId="32BE5410" w14:textId="77777777" w:rsidTr="00970D88">
      <w:trPr>
        <w:trHeight w:val="321"/>
        <w:jc w:val="right"/>
      </w:trPr>
      <w:tc>
        <w:tcPr>
          <w:tcW w:w="2552" w:type="dxa"/>
          <w:vAlign w:val="center"/>
        </w:tcPr>
        <w:p w14:paraId="7B7FB67D" w14:textId="77777777" w:rsidR="002A0CE3" w:rsidRPr="00EF13C1" w:rsidRDefault="002A0CE3" w:rsidP="00970D8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6D88C36E" w14:textId="77777777" w:rsidR="002A0CE3" w:rsidRPr="00EF13C1" w:rsidRDefault="002A0CE3" w:rsidP="00970D8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ABC274" w14:textId="77777777" w:rsidR="002A0CE3" w:rsidRDefault="002A0CE3" w:rsidP="00970D8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8C1B" w14:textId="77777777" w:rsidR="002A0CE3" w:rsidRDefault="006468E4" w:rsidP="00970D88">
    <w:pPr>
      <w:pStyle w:val="Encabezado"/>
      <w:tabs>
        <w:tab w:val="left" w:pos="3103"/>
        <w:tab w:val="left" w:pos="4253"/>
      </w:tabs>
      <w:jc w:val="both"/>
    </w:pPr>
    <w:r>
      <w:rPr>
        <w:noProof/>
        <w:lang w:eastAsia="es-MX"/>
      </w:rPr>
      <w:pict w14:anchorId="588AF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5938250" o:spid="_x0000_s2049" type="#_x0000_t75" style="position:absolute;left:0;text-align:left;margin-left:-96.7pt;margin-top:-145.95pt;width:609.4pt;height:793.75pt;z-index:-251658240;mso-position-horizontal-relative:margin;mso-position-vertical-relative:margin" o:allowincell="f">
          <v:imagedata r:id="rId1" o:title="resolución"/>
          <w10:wrap anchorx="margin" anchory="margin"/>
        </v:shape>
      </w:pict>
    </w:r>
    <w:r w:rsidR="002A0CE3">
      <w:tab/>
    </w:r>
    <w:r w:rsidR="002A0CE3">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2A0CE3" w:rsidRPr="00182113" w14:paraId="251EA781" w14:textId="77777777" w:rsidTr="00970D88">
      <w:trPr>
        <w:trHeight w:val="138"/>
      </w:trPr>
      <w:tc>
        <w:tcPr>
          <w:tcW w:w="2835" w:type="dxa"/>
          <w:vAlign w:val="center"/>
        </w:tcPr>
        <w:p w14:paraId="0E07D116" w14:textId="77777777" w:rsidR="002A0CE3" w:rsidRPr="00182113" w:rsidRDefault="002A0CE3" w:rsidP="00970D88">
          <w:pPr>
            <w:rPr>
              <w:rFonts w:ascii="Palatino Linotype" w:hAnsi="Palatino Linotype"/>
              <w:b/>
            </w:rPr>
          </w:pPr>
          <w:r w:rsidRPr="00182113">
            <w:rPr>
              <w:rFonts w:ascii="Palatino Linotype" w:hAnsi="Palatino Linotype"/>
              <w:b/>
            </w:rPr>
            <w:t>Recurso de revisión:</w:t>
          </w:r>
        </w:p>
      </w:tc>
      <w:tc>
        <w:tcPr>
          <w:tcW w:w="303" w:type="dxa"/>
          <w:vAlign w:val="center"/>
        </w:tcPr>
        <w:p w14:paraId="5CECF469" w14:textId="77777777" w:rsidR="002A0CE3" w:rsidRPr="00182113" w:rsidRDefault="002A0CE3" w:rsidP="00970D88">
          <w:pPr>
            <w:pStyle w:val="Encabezado"/>
            <w:jc w:val="center"/>
            <w:rPr>
              <w:rFonts w:ascii="Palatino Linotype" w:hAnsi="Palatino Linotype"/>
              <w:b/>
            </w:rPr>
          </w:pPr>
        </w:p>
      </w:tc>
      <w:tc>
        <w:tcPr>
          <w:tcW w:w="3894" w:type="dxa"/>
          <w:vAlign w:val="center"/>
        </w:tcPr>
        <w:p w14:paraId="09693B90" w14:textId="77777777" w:rsidR="002A0CE3" w:rsidRPr="00182113" w:rsidRDefault="002A0CE3" w:rsidP="00970D88">
          <w:pPr>
            <w:pStyle w:val="Encabezado"/>
            <w:jc w:val="right"/>
            <w:rPr>
              <w:rFonts w:ascii="Palatino Linotype" w:hAnsi="Palatino Linotype"/>
              <w:b/>
            </w:rPr>
          </w:pPr>
          <w:r>
            <w:rPr>
              <w:rFonts w:ascii="Palatino Linotype" w:hAnsi="Palatino Linotype" w:cs="Arial"/>
              <w:b/>
              <w:bCs/>
              <w:lang w:eastAsia="es-MX"/>
            </w:rPr>
            <w:t xml:space="preserve">00083/INFOEM/IP/RR/2021 y acumulados </w:t>
          </w:r>
        </w:p>
      </w:tc>
    </w:tr>
    <w:tr w:rsidR="002A0CE3" w:rsidRPr="00182113" w14:paraId="30073057" w14:textId="77777777" w:rsidTr="00970D88">
      <w:trPr>
        <w:trHeight w:val="227"/>
      </w:trPr>
      <w:tc>
        <w:tcPr>
          <w:tcW w:w="2835" w:type="dxa"/>
          <w:vAlign w:val="center"/>
        </w:tcPr>
        <w:p w14:paraId="240CCF70" w14:textId="77777777" w:rsidR="002A0CE3" w:rsidRPr="00182113" w:rsidRDefault="002A0CE3" w:rsidP="00970D88">
          <w:pPr>
            <w:rPr>
              <w:rFonts w:ascii="Palatino Linotype" w:hAnsi="Palatino Linotype"/>
              <w:b/>
            </w:rPr>
          </w:pPr>
          <w:r w:rsidRPr="00182113">
            <w:rPr>
              <w:rFonts w:ascii="Palatino Linotype" w:hAnsi="Palatino Linotype"/>
              <w:b/>
            </w:rPr>
            <w:t>Recurrente:</w:t>
          </w:r>
        </w:p>
      </w:tc>
      <w:tc>
        <w:tcPr>
          <w:tcW w:w="303" w:type="dxa"/>
          <w:vAlign w:val="center"/>
        </w:tcPr>
        <w:p w14:paraId="1A7ED1C8" w14:textId="77777777" w:rsidR="002A0CE3" w:rsidRPr="00182113" w:rsidRDefault="002A0CE3" w:rsidP="00970D88">
          <w:pPr>
            <w:pStyle w:val="Encabezado"/>
            <w:jc w:val="center"/>
            <w:rPr>
              <w:rFonts w:ascii="Palatino Linotype" w:hAnsi="Palatino Linotype"/>
              <w:b/>
            </w:rPr>
          </w:pPr>
        </w:p>
      </w:tc>
      <w:tc>
        <w:tcPr>
          <w:tcW w:w="3894" w:type="dxa"/>
          <w:vAlign w:val="center"/>
        </w:tcPr>
        <w:p w14:paraId="0E42B42F" w14:textId="72753B94" w:rsidR="002A0CE3" w:rsidRPr="00D5005A" w:rsidRDefault="002A0CE3" w:rsidP="00970D88">
          <w:pPr>
            <w:pStyle w:val="Encabezado"/>
            <w:jc w:val="right"/>
            <w:rPr>
              <w:rFonts w:ascii="Palatino Linotype" w:hAnsi="Palatino Linotype"/>
              <w:b/>
              <w:sz w:val="22"/>
              <w:szCs w:val="22"/>
            </w:rPr>
          </w:pPr>
          <w:r w:rsidRPr="002A0CE3">
            <w:rPr>
              <w:rFonts w:ascii="Palatino Linotype" w:hAnsi="Palatino Linotype"/>
              <w:b/>
              <w:sz w:val="22"/>
              <w:szCs w:val="22"/>
              <w:highlight w:val="black"/>
            </w:rPr>
            <w:t>-----------------------------------------------</w:t>
          </w:r>
        </w:p>
      </w:tc>
    </w:tr>
    <w:tr w:rsidR="002A0CE3" w:rsidRPr="00182113" w14:paraId="48C90AB5" w14:textId="77777777" w:rsidTr="00970D88">
      <w:trPr>
        <w:trHeight w:val="232"/>
      </w:trPr>
      <w:tc>
        <w:tcPr>
          <w:tcW w:w="2835" w:type="dxa"/>
          <w:vAlign w:val="center"/>
        </w:tcPr>
        <w:p w14:paraId="1ED6351A" w14:textId="77777777" w:rsidR="002A0CE3" w:rsidRPr="00182113" w:rsidRDefault="002A0CE3" w:rsidP="00970D88">
          <w:pPr>
            <w:rPr>
              <w:rFonts w:ascii="Palatino Linotype" w:hAnsi="Palatino Linotype"/>
              <w:b/>
            </w:rPr>
          </w:pPr>
          <w:r w:rsidRPr="00182113">
            <w:rPr>
              <w:rFonts w:ascii="Palatino Linotype" w:hAnsi="Palatino Linotype"/>
              <w:b/>
            </w:rPr>
            <w:t>Sujeto obligado:</w:t>
          </w:r>
        </w:p>
      </w:tc>
      <w:tc>
        <w:tcPr>
          <w:tcW w:w="303" w:type="dxa"/>
          <w:vAlign w:val="center"/>
        </w:tcPr>
        <w:p w14:paraId="1ABFE277" w14:textId="77777777" w:rsidR="002A0CE3" w:rsidRPr="00182113" w:rsidRDefault="002A0CE3" w:rsidP="00970D88">
          <w:pPr>
            <w:pStyle w:val="Encabezado"/>
            <w:jc w:val="center"/>
            <w:rPr>
              <w:rFonts w:ascii="Palatino Linotype" w:hAnsi="Palatino Linotype"/>
              <w:b/>
            </w:rPr>
          </w:pPr>
        </w:p>
      </w:tc>
      <w:tc>
        <w:tcPr>
          <w:tcW w:w="3894" w:type="dxa"/>
          <w:vAlign w:val="center"/>
        </w:tcPr>
        <w:p w14:paraId="4E5FB5AA" w14:textId="77777777" w:rsidR="002A0CE3" w:rsidRPr="00032142" w:rsidRDefault="002A0CE3" w:rsidP="00970D88">
          <w:pPr>
            <w:pStyle w:val="Encabezado"/>
            <w:jc w:val="right"/>
            <w:rPr>
              <w:rFonts w:ascii="Palatino Linotype" w:hAnsi="Palatino Linotype"/>
              <w:b/>
              <w:sz w:val="22"/>
              <w:szCs w:val="22"/>
            </w:rPr>
          </w:pPr>
          <w:r>
            <w:rPr>
              <w:rFonts w:ascii="Palatino Linotype" w:hAnsi="Palatino Linotype"/>
              <w:b/>
              <w:sz w:val="22"/>
              <w:szCs w:val="22"/>
            </w:rPr>
            <w:t>Secretaría de Salud</w:t>
          </w:r>
        </w:p>
      </w:tc>
    </w:tr>
    <w:tr w:rsidR="002A0CE3" w:rsidRPr="00182113" w14:paraId="4078A1E7" w14:textId="77777777" w:rsidTr="00970D88">
      <w:trPr>
        <w:trHeight w:val="320"/>
      </w:trPr>
      <w:tc>
        <w:tcPr>
          <w:tcW w:w="2835" w:type="dxa"/>
          <w:vAlign w:val="center"/>
        </w:tcPr>
        <w:p w14:paraId="63AC9453" w14:textId="77777777" w:rsidR="002A0CE3" w:rsidRPr="00182113" w:rsidRDefault="002A0CE3" w:rsidP="00970D88">
          <w:pPr>
            <w:rPr>
              <w:rFonts w:ascii="Palatino Linotype" w:hAnsi="Palatino Linotype"/>
              <w:b/>
            </w:rPr>
          </w:pPr>
          <w:r w:rsidRPr="00182113">
            <w:rPr>
              <w:rFonts w:ascii="Palatino Linotype" w:hAnsi="Palatino Linotype"/>
              <w:b/>
            </w:rPr>
            <w:t>Comisionado ponente:</w:t>
          </w:r>
        </w:p>
      </w:tc>
      <w:tc>
        <w:tcPr>
          <w:tcW w:w="303" w:type="dxa"/>
          <w:vAlign w:val="center"/>
        </w:tcPr>
        <w:p w14:paraId="6EC3146F" w14:textId="77777777" w:rsidR="002A0CE3" w:rsidRPr="00182113" w:rsidRDefault="002A0CE3" w:rsidP="00970D88">
          <w:pPr>
            <w:pStyle w:val="Encabezado"/>
            <w:jc w:val="center"/>
            <w:rPr>
              <w:rFonts w:ascii="Palatino Linotype" w:hAnsi="Palatino Linotype"/>
              <w:b/>
            </w:rPr>
          </w:pPr>
        </w:p>
      </w:tc>
      <w:tc>
        <w:tcPr>
          <w:tcW w:w="3894" w:type="dxa"/>
          <w:vAlign w:val="center"/>
        </w:tcPr>
        <w:p w14:paraId="4CF3CFD3" w14:textId="77777777" w:rsidR="002A0CE3" w:rsidRPr="00182113" w:rsidRDefault="002A0CE3" w:rsidP="00970D88">
          <w:pPr>
            <w:pStyle w:val="Encabezado"/>
            <w:jc w:val="right"/>
            <w:rPr>
              <w:rFonts w:ascii="Palatino Linotype" w:hAnsi="Palatino Linotype"/>
              <w:b/>
            </w:rPr>
          </w:pPr>
          <w:r>
            <w:rPr>
              <w:rFonts w:ascii="Palatino Linotype" w:hAnsi="Palatino Linotype"/>
              <w:b/>
            </w:rPr>
            <w:t>José Guadalupe Luna Hernández</w:t>
          </w:r>
        </w:p>
      </w:tc>
    </w:tr>
  </w:tbl>
  <w:p w14:paraId="6EE7E2FF" w14:textId="77777777" w:rsidR="002A0CE3" w:rsidRDefault="002A0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1C3"/>
    <w:multiLevelType w:val="hybridMultilevel"/>
    <w:tmpl w:val="9A58BD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43E12"/>
    <w:multiLevelType w:val="hybridMultilevel"/>
    <w:tmpl w:val="301C3258"/>
    <w:lvl w:ilvl="0" w:tplc="E91A301C">
      <w:start w:val="2"/>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162412"/>
    <w:multiLevelType w:val="hybridMultilevel"/>
    <w:tmpl w:val="D226A4A2"/>
    <w:lvl w:ilvl="0" w:tplc="81840846">
      <w:start w:val="1"/>
      <w:numFmt w:val="upperLetter"/>
      <w:lvlText w:val="%1)"/>
      <w:lvlJc w:val="left"/>
      <w:pPr>
        <w:ind w:left="786" w:hanging="360"/>
      </w:pPr>
      <w:rPr>
        <w:rFonts w:eastAsia="Calibr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EB6C23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DF2593"/>
    <w:multiLevelType w:val="hybridMultilevel"/>
    <w:tmpl w:val="DD801DCE"/>
    <w:lvl w:ilvl="0" w:tplc="7E8C3D08">
      <w:start w:val="1"/>
      <w:numFmt w:val="lowerLetter"/>
      <w:lvlText w:val="%1)"/>
      <w:lvlJc w:val="left"/>
      <w:pPr>
        <w:ind w:left="786"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A506AE9"/>
    <w:multiLevelType w:val="multilevel"/>
    <w:tmpl w:val="CBA0568E"/>
    <w:lvl w:ilvl="0">
      <w:start w:val="1"/>
      <w:numFmt w:val="upperRoman"/>
      <w:lvlText w:val="%1."/>
      <w:lvlJc w:val="right"/>
      <w:pPr>
        <w:tabs>
          <w:tab w:val="num" w:pos="928"/>
        </w:tabs>
        <w:ind w:left="928" w:hanging="360"/>
      </w:pPr>
    </w:lvl>
    <w:lvl w:ilvl="1">
      <w:start w:val="2"/>
      <w:numFmt w:val="lowerLetter"/>
      <w:lvlText w:val="%2."/>
      <w:lvlJc w:val="left"/>
      <w:pPr>
        <w:ind w:left="1648" w:hanging="360"/>
      </w:pPr>
      <w:rPr>
        <w:rFonts w:hint="default"/>
        <w:b/>
      </w:rPr>
    </w:lvl>
    <w:lvl w:ilvl="2">
      <w:start w:val="1"/>
      <w:numFmt w:val="upperLetter"/>
      <w:lvlText w:val="%3."/>
      <w:lvlJc w:val="left"/>
      <w:pPr>
        <w:ind w:left="2368" w:hanging="360"/>
      </w:pPr>
      <w:rPr>
        <w:rFonts w:hint="default"/>
      </w:rPr>
    </w:lvl>
    <w:lvl w:ilvl="3" w:tentative="1">
      <w:start w:val="1"/>
      <w:numFmt w:val="upperRoman"/>
      <w:lvlText w:val="%4."/>
      <w:lvlJc w:val="right"/>
      <w:pPr>
        <w:tabs>
          <w:tab w:val="num" w:pos="3088"/>
        </w:tabs>
        <w:ind w:left="3088" w:hanging="360"/>
      </w:p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7" w15:restartNumberingAfterBreak="0">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C892FD1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4D4791"/>
    <w:multiLevelType w:val="hybridMultilevel"/>
    <w:tmpl w:val="AC605BF8"/>
    <w:lvl w:ilvl="0" w:tplc="A5F63B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3D6B5B"/>
    <w:multiLevelType w:val="hybridMultilevel"/>
    <w:tmpl w:val="AB56B6EA"/>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F744C1"/>
    <w:multiLevelType w:val="hybridMultilevel"/>
    <w:tmpl w:val="AA96AE4C"/>
    <w:lvl w:ilvl="0" w:tplc="B7A0E9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646F76"/>
    <w:multiLevelType w:val="hybridMultilevel"/>
    <w:tmpl w:val="E010676A"/>
    <w:lvl w:ilvl="0" w:tplc="D7962DAC">
      <w:start w:val="1"/>
      <w:numFmt w:val="upperLetter"/>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1270B2"/>
    <w:multiLevelType w:val="hybridMultilevel"/>
    <w:tmpl w:val="B9B0281A"/>
    <w:lvl w:ilvl="0" w:tplc="A7A4B4BA">
      <w:start w:val="1"/>
      <w:numFmt w:val="upperRoman"/>
      <w:lvlText w:val="%1."/>
      <w:lvlJc w:val="left"/>
      <w:pPr>
        <w:ind w:left="1288"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79827CF"/>
    <w:multiLevelType w:val="hybridMultilevel"/>
    <w:tmpl w:val="70BA097E"/>
    <w:lvl w:ilvl="0" w:tplc="A7B8DEDE">
      <w:start w:val="4"/>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2E4777E"/>
    <w:multiLevelType w:val="hybridMultilevel"/>
    <w:tmpl w:val="D10C52CE"/>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516901"/>
    <w:multiLevelType w:val="hybridMultilevel"/>
    <w:tmpl w:val="D1BEF0D0"/>
    <w:lvl w:ilvl="0" w:tplc="D26AD5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9E31C4"/>
    <w:multiLevelType w:val="hybridMultilevel"/>
    <w:tmpl w:val="7F124BA4"/>
    <w:lvl w:ilvl="0" w:tplc="0EB240F6">
      <w:start w:val="1"/>
      <w:numFmt w:val="upp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3"/>
  </w:num>
  <w:num w:numId="5">
    <w:abstractNumId w:val="11"/>
  </w:num>
  <w:num w:numId="6">
    <w:abstractNumId w:val="14"/>
  </w:num>
  <w:num w:numId="7">
    <w:abstractNumId w:val="15"/>
  </w:num>
  <w:num w:numId="8">
    <w:abstractNumId w:val="9"/>
  </w:num>
  <w:num w:numId="9">
    <w:abstractNumId w:val="7"/>
  </w:num>
  <w:num w:numId="10">
    <w:abstractNumId w:val="13"/>
  </w:num>
  <w:num w:numId="11">
    <w:abstractNumId w:val="17"/>
  </w:num>
  <w:num w:numId="12">
    <w:abstractNumId w:val="6"/>
  </w:num>
  <w:num w:numId="13">
    <w:abstractNumId w:val="5"/>
  </w:num>
  <w:num w:numId="14">
    <w:abstractNumId w:val="18"/>
  </w:num>
  <w:num w:numId="15">
    <w:abstractNumId w:val="10"/>
  </w:num>
  <w:num w:numId="16">
    <w:abstractNumId w:val="1"/>
  </w:num>
  <w:num w:numId="17">
    <w:abstractNumId w:val="2"/>
  </w:num>
  <w:num w:numId="18">
    <w:abstractNumId w:val="12"/>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88"/>
    <w:rsid w:val="000041F7"/>
    <w:rsid w:val="00052D37"/>
    <w:rsid w:val="000E6AC0"/>
    <w:rsid w:val="00121444"/>
    <w:rsid w:val="001370FC"/>
    <w:rsid w:val="00144D36"/>
    <w:rsid w:val="00180E89"/>
    <w:rsid w:val="00183C4E"/>
    <w:rsid w:val="002313B0"/>
    <w:rsid w:val="00253858"/>
    <w:rsid w:val="002A0CE3"/>
    <w:rsid w:val="002A55BD"/>
    <w:rsid w:val="002C7D86"/>
    <w:rsid w:val="00303AD2"/>
    <w:rsid w:val="00305353"/>
    <w:rsid w:val="00330F13"/>
    <w:rsid w:val="00361530"/>
    <w:rsid w:val="00396661"/>
    <w:rsid w:val="003C6489"/>
    <w:rsid w:val="00497200"/>
    <w:rsid w:val="004979D9"/>
    <w:rsid w:val="004A5E43"/>
    <w:rsid w:val="004B3F34"/>
    <w:rsid w:val="004C7F98"/>
    <w:rsid w:val="004D1F33"/>
    <w:rsid w:val="00522D64"/>
    <w:rsid w:val="00545B55"/>
    <w:rsid w:val="00554DA6"/>
    <w:rsid w:val="005B0924"/>
    <w:rsid w:val="005C03A3"/>
    <w:rsid w:val="005C45F3"/>
    <w:rsid w:val="005E39B9"/>
    <w:rsid w:val="005E4864"/>
    <w:rsid w:val="005F3FD2"/>
    <w:rsid w:val="006468E4"/>
    <w:rsid w:val="00686648"/>
    <w:rsid w:val="006D13CA"/>
    <w:rsid w:val="007051AF"/>
    <w:rsid w:val="00715BBB"/>
    <w:rsid w:val="007859ED"/>
    <w:rsid w:val="007931DB"/>
    <w:rsid w:val="007C3AE4"/>
    <w:rsid w:val="007E02A7"/>
    <w:rsid w:val="00807C5F"/>
    <w:rsid w:val="0082431B"/>
    <w:rsid w:val="008314BF"/>
    <w:rsid w:val="008C26A0"/>
    <w:rsid w:val="00910532"/>
    <w:rsid w:val="00922910"/>
    <w:rsid w:val="00970D88"/>
    <w:rsid w:val="009C0CC5"/>
    <w:rsid w:val="00AD5DE6"/>
    <w:rsid w:val="00C42188"/>
    <w:rsid w:val="00CB0702"/>
    <w:rsid w:val="00D374E4"/>
    <w:rsid w:val="00DD54C1"/>
    <w:rsid w:val="00DD7D20"/>
    <w:rsid w:val="00DF04AD"/>
    <w:rsid w:val="00E157A1"/>
    <w:rsid w:val="00E568F7"/>
    <w:rsid w:val="00ED24AB"/>
    <w:rsid w:val="00F72189"/>
    <w:rsid w:val="00F72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ABCCC"/>
  <w15:chartTrackingRefBased/>
  <w15:docId w15:val="{7623E6BB-9B83-47A4-9F8A-1DF570B0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59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D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0D88"/>
  </w:style>
  <w:style w:type="paragraph" w:styleId="Piedepgina">
    <w:name w:val="footer"/>
    <w:basedOn w:val="Normal"/>
    <w:link w:val="PiedepginaCar"/>
    <w:uiPriority w:val="99"/>
    <w:unhideWhenUsed/>
    <w:rsid w:val="00970D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0D88"/>
  </w:style>
  <w:style w:type="table" w:styleId="Tablaconcuadrcula">
    <w:name w:val="Table Grid"/>
    <w:basedOn w:val="Tablanormal"/>
    <w:uiPriority w:val="39"/>
    <w:rsid w:val="00970D88"/>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0D8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0D8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70D88"/>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C26A0"/>
    <w:pPr>
      <w:ind w:left="720"/>
      <w:contextualSpacing/>
    </w:pPr>
  </w:style>
  <w:style w:type="character" w:customStyle="1" w:styleId="Ttulo1Car">
    <w:name w:val="Título 1 Car"/>
    <w:basedOn w:val="Fuentedeprrafopredeter"/>
    <w:link w:val="Ttulo1"/>
    <w:uiPriority w:val="9"/>
    <w:rsid w:val="007859ED"/>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2313B0"/>
    <w:pPr>
      <w:spacing w:after="100"/>
    </w:pPr>
  </w:style>
  <w:style w:type="paragraph" w:styleId="TDC2">
    <w:name w:val="toc 2"/>
    <w:basedOn w:val="Normal"/>
    <w:next w:val="Normal"/>
    <w:autoRedefine/>
    <w:uiPriority w:val="39"/>
    <w:unhideWhenUsed/>
    <w:rsid w:val="002313B0"/>
    <w:pPr>
      <w:spacing w:after="100"/>
      <w:ind w:left="220"/>
    </w:pPr>
  </w:style>
  <w:style w:type="character" w:styleId="Hipervnculo">
    <w:name w:val="Hyperlink"/>
    <w:basedOn w:val="Fuentedeprrafopredeter"/>
    <w:uiPriority w:val="99"/>
    <w:unhideWhenUsed/>
    <w:rsid w:val="002313B0"/>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7A1"/>
  </w:style>
  <w:style w:type="character" w:styleId="Refdecomentario">
    <w:name w:val="annotation reference"/>
    <w:basedOn w:val="Fuentedeprrafopredeter"/>
    <w:uiPriority w:val="99"/>
    <w:semiHidden/>
    <w:unhideWhenUsed/>
    <w:rsid w:val="00545B55"/>
    <w:rPr>
      <w:sz w:val="16"/>
      <w:szCs w:val="16"/>
    </w:rPr>
  </w:style>
  <w:style w:type="paragraph" w:styleId="Textocomentario">
    <w:name w:val="annotation text"/>
    <w:basedOn w:val="Normal"/>
    <w:link w:val="TextocomentarioCar"/>
    <w:uiPriority w:val="99"/>
    <w:semiHidden/>
    <w:unhideWhenUsed/>
    <w:rsid w:val="00545B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5B55"/>
    <w:rPr>
      <w:sz w:val="20"/>
      <w:szCs w:val="20"/>
    </w:rPr>
  </w:style>
  <w:style w:type="paragraph" w:styleId="Asuntodelcomentario">
    <w:name w:val="annotation subject"/>
    <w:basedOn w:val="Textocomentario"/>
    <w:next w:val="Textocomentario"/>
    <w:link w:val="AsuntodelcomentarioCar"/>
    <w:uiPriority w:val="99"/>
    <w:semiHidden/>
    <w:unhideWhenUsed/>
    <w:rsid w:val="00545B55"/>
    <w:rPr>
      <w:b/>
      <w:bCs/>
    </w:rPr>
  </w:style>
  <w:style w:type="character" w:customStyle="1" w:styleId="AsuntodelcomentarioCar">
    <w:name w:val="Asunto del comentario Car"/>
    <w:basedOn w:val="TextocomentarioCar"/>
    <w:link w:val="Asuntodelcomentario"/>
    <w:uiPriority w:val="99"/>
    <w:semiHidden/>
    <w:rsid w:val="00545B55"/>
    <w:rPr>
      <w:b/>
      <w:bCs/>
      <w:sz w:val="20"/>
      <w:szCs w:val="20"/>
    </w:rPr>
  </w:style>
  <w:style w:type="paragraph" w:styleId="Textodeglobo">
    <w:name w:val="Balloon Text"/>
    <w:basedOn w:val="Normal"/>
    <w:link w:val="TextodegloboCar"/>
    <w:uiPriority w:val="99"/>
    <w:semiHidden/>
    <w:unhideWhenUsed/>
    <w:rsid w:val="00545B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1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4716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2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Acuse(34716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0EC4-0B11-4ABB-B160-AE06376E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56</Pages>
  <Words>12390</Words>
  <Characters>68150</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7</cp:revision>
  <dcterms:created xsi:type="dcterms:W3CDTF">2021-03-12T02:50:00Z</dcterms:created>
  <dcterms:modified xsi:type="dcterms:W3CDTF">2021-04-29T20:47:00Z</dcterms:modified>
</cp:coreProperties>
</file>