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52CE26EE"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472FB">
        <w:rPr>
          <w:rFonts w:ascii="Palatino Linotype" w:eastAsia="Times New Roman" w:hAnsi="Palatino Linotype" w:cs="Arial"/>
          <w:color w:val="000000"/>
          <w:sz w:val="24"/>
          <w:szCs w:val="24"/>
          <w:lang w:eastAsia="es-MX"/>
        </w:rPr>
        <w:t>trece</w:t>
      </w:r>
      <w:r w:rsidR="00F4623D">
        <w:rPr>
          <w:rFonts w:ascii="Palatino Linotype" w:eastAsia="Times New Roman" w:hAnsi="Palatino Linotype" w:cs="Arial"/>
          <w:color w:val="000000"/>
          <w:sz w:val="24"/>
          <w:szCs w:val="24"/>
          <w:lang w:eastAsia="es-MX"/>
        </w:rPr>
        <w:t xml:space="preserve"> de octubre de dos mil veintiuno. </w:t>
      </w:r>
      <w:r w:rsidR="0018726A">
        <w:rPr>
          <w:rFonts w:ascii="Palatino Linotype" w:eastAsia="Times New Roman" w:hAnsi="Palatino Linotype" w:cs="Arial"/>
          <w:color w:val="000000"/>
          <w:sz w:val="24"/>
          <w:szCs w:val="24"/>
          <w:lang w:eastAsia="es-MX"/>
        </w:rPr>
        <w:t xml:space="preserve"> </w:t>
      </w:r>
      <w:r w:rsidR="003869DF">
        <w:rPr>
          <w:rFonts w:ascii="Palatino Linotype" w:eastAsia="Times New Roman" w:hAnsi="Palatino Linotype" w:cs="Arial"/>
          <w:color w:val="000000"/>
          <w:sz w:val="24"/>
          <w:szCs w:val="24"/>
          <w:lang w:eastAsia="es-MX"/>
        </w:rPr>
        <w:t xml:space="preserve"> </w:t>
      </w:r>
      <w:r w:rsidR="006323CA">
        <w:rPr>
          <w:rFonts w:ascii="Palatino Linotype" w:eastAsia="Times New Roman" w:hAnsi="Palatino Linotype" w:cs="Arial"/>
          <w:color w:val="000000"/>
          <w:sz w:val="24"/>
          <w:szCs w:val="24"/>
          <w:lang w:eastAsia="es-MX"/>
        </w:rPr>
        <w:t xml:space="preserve"> </w:t>
      </w:r>
    </w:p>
    <w:p w14:paraId="33CA71E7" w14:textId="4967F88F" w:rsidR="00F4623D" w:rsidRPr="00F4623D"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F4623D">
        <w:rPr>
          <w:rFonts w:ascii="Palatino Linotype" w:hAnsi="Palatino Linotype" w:cs="Arial"/>
          <w:b/>
          <w:bCs/>
          <w:sz w:val="24"/>
          <w:lang w:eastAsia="es-MX"/>
        </w:rPr>
        <w:t>4520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EC3C36">
        <w:rPr>
          <w:rFonts w:ascii="Palatino Linotype" w:hAnsi="Palatino Linotype" w:cs="Arial"/>
          <w:b/>
          <w:bCs/>
          <w:sz w:val="24"/>
          <w:lang w:eastAsia="es-MX"/>
        </w:rPr>
        <w:t>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4623D">
        <w:rPr>
          <w:rFonts w:ascii="Palatino Linotype" w:hAnsi="Palatino Linotype" w:cs="Arial"/>
          <w:sz w:val="24"/>
          <w:szCs w:val="24"/>
        </w:rPr>
        <w:t xml:space="preserve">el </w:t>
      </w:r>
      <w:r w:rsidR="00F4623D">
        <w:rPr>
          <w:rFonts w:ascii="Palatino Linotype" w:hAnsi="Palatino Linotype" w:cs="Arial"/>
          <w:b/>
          <w:sz w:val="24"/>
          <w:szCs w:val="24"/>
        </w:rPr>
        <w:t xml:space="preserve">C. </w:t>
      </w:r>
      <w:r w:rsidR="00D30C91">
        <w:rPr>
          <w:rFonts w:ascii="Palatino Linotype" w:hAnsi="Palatino Linotype" w:cs="Arial"/>
          <w:b/>
          <w:sz w:val="24"/>
          <w:szCs w:val="24"/>
        </w:rPr>
        <w:t>xxxxxxxxxxxxxxxxxxxxxxxxxxxxxx</w:t>
      </w:r>
      <w:bookmarkStart w:id="0" w:name="_GoBack"/>
      <w:bookmarkEnd w:id="0"/>
      <w:r w:rsidR="00F4623D">
        <w:rPr>
          <w:rFonts w:ascii="Palatino Linotype" w:hAnsi="Palatino Linotype" w:cs="Arial"/>
          <w:b/>
          <w:sz w:val="24"/>
          <w:szCs w:val="24"/>
        </w:rPr>
        <w:t xml:space="preserve">, </w:t>
      </w:r>
      <w:r w:rsidR="00F4623D">
        <w:rPr>
          <w:rFonts w:ascii="Palatino Linotype" w:hAnsi="Palatino Linotype" w:cs="Arial"/>
          <w:sz w:val="24"/>
          <w:szCs w:val="24"/>
        </w:rPr>
        <w:t xml:space="preserve">en lo subsecuente </w:t>
      </w:r>
      <w:r w:rsidR="00F4623D">
        <w:rPr>
          <w:rFonts w:ascii="Palatino Linotype" w:hAnsi="Palatino Linotype" w:cs="Arial"/>
          <w:b/>
          <w:sz w:val="24"/>
          <w:szCs w:val="24"/>
        </w:rPr>
        <w:t xml:space="preserve">El Recurrente, </w:t>
      </w:r>
      <w:r w:rsidR="00F4623D">
        <w:rPr>
          <w:rFonts w:ascii="Palatino Linotype" w:hAnsi="Palatino Linotype" w:cs="Arial"/>
          <w:sz w:val="24"/>
          <w:szCs w:val="24"/>
        </w:rPr>
        <w:t xml:space="preserve">en contra de la respuesta del </w:t>
      </w:r>
      <w:r w:rsidR="00F4623D">
        <w:rPr>
          <w:rFonts w:ascii="Palatino Linotype" w:hAnsi="Palatino Linotype" w:cs="Arial"/>
          <w:b/>
          <w:sz w:val="24"/>
          <w:szCs w:val="24"/>
        </w:rPr>
        <w:t xml:space="preserve">Ayuntamiento de Metepec, </w:t>
      </w:r>
      <w:r w:rsidR="00F4623D">
        <w:rPr>
          <w:rFonts w:ascii="Palatino Linotype" w:hAnsi="Palatino Linotype" w:cs="Arial"/>
          <w:sz w:val="24"/>
          <w:szCs w:val="24"/>
        </w:rPr>
        <w:t xml:space="preserve">en lo subsecuente </w:t>
      </w:r>
      <w:r w:rsidR="00F4623D">
        <w:rPr>
          <w:rFonts w:ascii="Palatino Linotype" w:hAnsi="Palatino Linotype" w:cs="Arial"/>
          <w:b/>
          <w:sz w:val="24"/>
          <w:szCs w:val="24"/>
        </w:rPr>
        <w:t xml:space="preserve">El Sujeto Obligado, </w:t>
      </w:r>
      <w:r w:rsidR="00F4623D">
        <w:rPr>
          <w:rFonts w:ascii="Palatino Linotype" w:hAnsi="Palatino Linotype" w:cs="Arial"/>
          <w:sz w:val="24"/>
          <w:szCs w:val="24"/>
        </w:rPr>
        <w:t xml:space="preserve">se procede a dictar la presente resolución. </w:t>
      </w:r>
    </w:p>
    <w:p w14:paraId="72C896CC" w14:textId="77777777" w:rsidR="00F4623D" w:rsidRDefault="00F4623D" w:rsidP="00844569">
      <w:pPr>
        <w:tabs>
          <w:tab w:val="left" w:pos="1701"/>
        </w:tabs>
        <w:spacing w:before="240" w:line="360" w:lineRule="auto"/>
        <w:jc w:val="both"/>
        <w:rPr>
          <w:rFonts w:ascii="Palatino Linotype" w:hAnsi="Palatino Linotype" w:cs="Arial"/>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BE7436" w14:textId="4C8AF0CA" w:rsidR="00F4623D" w:rsidRPr="00F4623D"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F4623D">
        <w:rPr>
          <w:rFonts w:ascii="Palatino Linotype" w:hAnsi="Palatino Linotype" w:cs="Arial"/>
          <w:sz w:val="24"/>
        </w:rPr>
        <w:t xml:space="preserve"> cinco de agosto de dos mil veintiuno, </w:t>
      </w:r>
      <w:r w:rsidR="00F4623D">
        <w:rPr>
          <w:rFonts w:ascii="Palatino Linotype" w:hAnsi="Palatino Linotype" w:cs="Arial"/>
          <w:b/>
          <w:sz w:val="24"/>
        </w:rPr>
        <w:t xml:space="preserve">El Recurrente, </w:t>
      </w:r>
      <w:r w:rsidR="00F4623D">
        <w:rPr>
          <w:rFonts w:ascii="Palatino Linotype" w:hAnsi="Palatino Linotype" w:cs="Arial"/>
          <w:sz w:val="24"/>
        </w:rPr>
        <w:t>presentó a través del Sistema de Acceso a la Información Mexiquense (</w:t>
      </w:r>
      <w:r w:rsidR="00F4623D">
        <w:rPr>
          <w:rFonts w:ascii="Palatino Linotype" w:hAnsi="Palatino Linotype" w:cs="Arial"/>
          <w:b/>
          <w:sz w:val="24"/>
        </w:rPr>
        <w:t>SAIMEX)</w:t>
      </w:r>
      <w:r w:rsidR="00F4623D">
        <w:rPr>
          <w:rFonts w:ascii="Palatino Linotype" w:hAnsi="Palatino Linotype" w:cs="Arial"/>
          <w:sz w:val="24"/>
        </w:rPr>
        <w:t xml:space="preserve"> ante </w:t>
      </w:r>
      <w:r w:rsidR="00F4623D">
        <w:rPr>
          <w:rFonts w:ascii="Palatino Linotype" w:hAnsi="Palatino Linotype" w:cs="Arial"/>
          <w:b/>
          <w:sz w:val="24"/>
        </w:rPr>
        <w:t>El Sujeto Obligado</w:t>
      </w:r>
      <w:r w:rsidR="00F4623D">
        <w:rPr>
          <w:rFonts w:ascii="Palatino Linotype" w:hAnsi="Palatino Linotype" w:cs="Arial"/>
          <w:sz w:val="24"/>
        </w:rPr>
        <w:t xml:space="preserve">, solicitud de acceso a la información pública, registrada bajo el número de expediente </w:t>
      </w:r>
      <w:r w:rsidR="00F4623D">
        <w:rPr>
          <w:rFonts w:ascii="Palatino Linotype" w:hAnsi="Palatino Linotype" w:cs="Arial"/>
          <w:b/>
          <w:sz w:val="24"/>
        </w:rPr>
        <w:t xml:space="preserve">00440/METEPEC/IP/2021, </w:t>
      </w:r>
      <w:r w:rsidR="00F4623D">
        <w:rPr>
          <w:rFonts w:ascii="Palatino Linotype" w:hAnsi="Palatino Linotype" w:cs="Arial"/>
          <w:sz w:val="24"/>
        </w:rPr>
        <w:t xml:space="preserve">mediante la cual solicitó información en el tenor siguiente: </w:t>
      </w:r>
    </w:p>
    <w:p w14:paraId="0803B9D4" w14:textId="6AEF27FD" w:rsidR="00F4623D" w:rsidRPr="00F4623D" w:rsidRDefault="00F4623D" w:rsidP="00F4623D">
      <w:pPr>
        <w:pStyle w:val="Citas"/>
        <w:rPr>
          <w:b/>
          <w:sz w:val="24"/>
        </w:rPr>
      </w:pPr>
      <w:r>
        <w:t xml:space="preserve">“Solicito se me haga entrega de copia simple en versión digital vía SAIMEX de todas y cada una de las RENUNCIAS existentes, presentadas por las personas que fueron servidores y/o servidoras públicas del gobierno municipal de Metepec. Renuncias que existan o hayan sido presentadas durante el periodo del 01 de enero de 2019 y hasta el momento en que sea respondida esta misma solicitud de información por parte del sujeto obligado.” </w:t>
      </w:r>
      <w:r>
        <w:rPr>
          <w:b/>
        </w:rPr>
        <w:t xml:space="preserve">[Sic] </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171F5299" w14:textId="77777777" w:rsidR="00F4623D" w:rsidRDefault="00F4623D" w:rsidP="00F4623D">
      <w:pPr>
        <w:spacing w:before="240" w:line="360" w:lineRule="auto"/>
        <w:ind w:right="850"/>
        <w:jc w:val="both"/>
        <w:rPr>
          <w:rFonts w:ascii="Palatino Linotype" w:hAnsi="Palatino Linotype" w:cs="Arial"/>
          <w:b/>
          <w:sz w:val="28"/>
        </w:rPr>
      </w:pPr>
    </w:p>
    <w:p w14:paraId="1B7C3267" w14:textId="37E99483"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27B08356" w14:textId="74905799" w:rsidR="00F4623D"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F4623D">
        <w:rPr>
          <w:rFonts w:ascii="Palatino Linotype" w:hAnsi="Palatino Linotype" w:cs="Arial"/>
          <w:sz w:val="24"/>
          <w:szCs w:val="24"/>
        </w:rPr>
        <w:t xml:space="preserve">veintiséis de agosto de dos mil veintiuno, </w:t>
      </w:r>
      <w:r w:rsidR="00F4623D">
        <w:rPr>
          <w:rFonts w:ascii="Palatino Linotype" w:hAnsi="Palatino Linotype" w:cs="Arial"/>
          <w:b/>
          <w:sz w:val="24"/>
          <w:szCs w:val="24"/>
        </w:rPr>
        <w:t xml:space="preserve">El Sujeto Obligado </w:t>
      </w:r>
      <w:r w:rsidR="00F4623D">
        <w:rPr>
          <w:rFonts w:ascii="Palatino Linotype" w:hAnsi="Palatino Linotype" w:cs="Arial"/>
          <w:sz w:val="24"/>
          <w:szCs w:val="24"/>
        </w:rPr>
        <w:t xml:space="preserve">dio respuesta a la solicitud de información </w:t>
      </w:r>
      <w:r w:rsidR="00F4623D">
        <w:rPr>
          <w:rFonts w:ascii="Palatino Linotype" w:hAnsi="Palatino Linotype" w:cs="Arial"/>
          <w:b/>
          <w:sz w:val="24"/>
          <w:szCs w:val="24"/>
        </w:rPr>
        <w:t xml:space="preserve">00440/METEPEC/IP/2021, </w:t>
      </w:r>
      <w:r w:rsidR="00F4623D">
        <w:rPr>
          <w:rFonts w:ascii="Palatino Linotype" w:hAnsi="Palatino Linotype" w:cs="Arial"/>
          <w:sz w:val="24"/>
          <w:szCs w:val="24"/>
        </w:rPr>
        <w:t xml:space="preserve">resulta de nuestro interés lo siguiente: </w:t>
      </w:r>
    </w:p>
    <w:p w14:paraId="77FEF40F" w14:textId="141C62C3" w:rsidR="00F4623D" w:rsidRDefault="00F4623D" w:rsidP="00F4623D">
      <w:pPr>
        <w:pStyle w:val="INFOEM"/>
        <w:rPr>
          <w:lang w:eastAsia="es-MX"/>
        </w:rPr>
      </w:pPr>
      <w:r>
        <w:rPr>
          <w:lang w:eastAsia="es-MX"/>
        </w:rPr>
        <w:t xml:space="preserve">“En </w:t>
      </w:r>
      <w:r w:rsidRPr="00F4623D">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04BCF4D5" w14:textId="2B5AC95E" w:rsidR="00F4623D" w:rsidRDefault="00F4623D" w:rsidP="00F4623D">
      <w:pPr>
        <w:pStyle w:val="INFOEM"/>
        <w:rPr>
          <w:rFonts w:cs="Arial"/>
          <w:sz w:val="24"/>
          <w:szCs w:val="24"/>
        </w:rPr>
      </w:pPr>
      <w:r>
        <w:rPr>
          <w:lang w:eastAsia="es-MX"/>
        </w:rPr>
        <w:t xml:space="preserve">Se </w:t>
      </w:r>
      <w:r w:rsidRPr="00F4623D">
        <w:rPr>
          <w:lang w:eastAsia="es-MX"/>
        </w:rPr>
        <w:t>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Pr>
          <w:lang w:eastAsia="es-MX"/>
        </w:rPr>
        <w:t xml:space="preserve">.” </w:t>
      </w:r>
      <w:r>
        <w:rPr>
          <w:b/>
          <w:lang w:eastAsia="es-MX"/>
        </w:rPr>
        <w:t xml:space="preserve">[Sic] </w:t>
      </w:r>
      <w:r>
        <w:rPr>
          <w:lang w:eastAsia="es-MX"/>
        </w:rPr>
        <w:t xml:space="preserve"> </w:t>
      </w:r>
    </w:p>
    <w:p w14:paraId="433E47CA" w14:textId="4EF2E6BC" w:rsidR="003869DF" w:rsidRPr="00F4623D" w:rsidRDefault="00F4623D" w:rsidP="00F4623D">
      <w:pPr>
        <w:spacing w:before="240" w:line="360" w:lineRule="auto"/>
        <w:jc w:val="both"/>
        <w:rPr>
          <w:rFonts w:ascii="Palatino Linotype" w:hAnsi="Palatino Linotype"/>
          <w:i/>
          <w:sz w:val="24"/>
          <w:szCs w:val="24"/>
          <w:lang w:eastAsia="es-MX"/>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“440.zip”, </w:t>
      </w:r>
      <w:r w:rsidR="003869DF" w:rsidRPr="00F4623D">
        <w:rPr>
          <w:rFonts w:ascii="Palatino Linotype" w:hAnsi="Palatino Linotype"/>
          <w:sz w:val="24"/>
          <w:szCs w:val="24"/>
          <w:lang w:eastAsia="es-MX"/>
        </w:rPr>
        <w:t xml:space="preserve">cuyo contenido se tiene por reproducido como si a la letra se insertase 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891A2B3" w14:textId="6B678E6C" w:rsidR="00F4623D" w:rsidRPr="00F4623D"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F4623D">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F4623D">
        <w:rPr>
          <w:rFonts w:ascii="Palatino Linotype" w:hAnsi="Palatino Linotype" w:cs="Arial"/>
          <w:sz w:val="24"/>
          <w:szCs w:val="24"/>
        </w:rPr>
        <w:t xml:space="preserve"> dos de septiembre de dos mil veintiuno, el cual fue registrado en el sistema electrónico con el expediente número </w:t>
      </w:r>
      <w:r w:rsidR="00F4623D">
        <w:rPr>
          <w:rFonts w:ascii="Palatino Linotype" w:hAnsi="Palatino Linotype" w:cs="Arial"/>
          <w:b/>
          <w:sz w:val="24"/>
          <w:szCs w:val="24"/>
        </w:rPr>
        <w:t xml:space="preserve">04520/INFOEM/IP/RR/2021, </w:t>
      </w:r>
      <w:r w:rsidR="00F4623D">
        <w:rPr>
          <w:rFonts w:ascii="Palatino Linotype" w:hAnsi="Palatino Linotype" w:cs="Arial"/>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0C03974A" w:rsidR="006168E4" w:rsidRPr="00AA207C" w:rsidRDefault="006168E4" w:rsidP="00AA207C">
      <w:pPr>
        <w:pStyle w:val="Citas"/>
        <w:rPr>
          <w:b/>
        </w:rPr>
      </w:pPr>
      <w:r w:rsidRPr="00F4623D">
        <w:t>“</w:t>
      </w:r>
      <w:r w:rsidR="00F4623D" w:rsidRPr="00F4623D">
        <w:t>La respuesta manifestada por el sujeto obligado a la solicitud de información que nos compete en este caso.</w:t>
      </w:r>
      <w:r w:rsidRPr="00F4623D">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5E822FA2" w:rsidR="00DB5E40" w:rsidRDefault="00EE2C8C" w:rsidP="00AA207C">
      <w:pPr>
        <w:pStyle w:val="Citas"/>
        <w:rPr>
          <w:b/>
        </w:rPr>
      </w:pPr>
      <w:r w:rsidRPr="00F4623D">
        <w:t>“</w:t>
      </w:r>
      <w:r w:rsidR="00F4623D" w:rsidRPr="00F4623D">
        <w:t xml:space="preserve">En el documento, que como respuesta a la solicitud de información que nos compete, envía el sujeto obligado al solicitante de la información, dice que las RENUNCIAS (sin especificar si todas o que número de ellas) se encuentran integrando expedientes ante autoridades judiciales por motivo de un procedimiento laboral, demuestra intrínsecamente una situación que es netamente incongruente en la realidad, pues la solicitud versa en la entrega de aquellos documentos o expedientes que acreditan de forma oficial las RENUNCIAS laborales, entendidas estas (de acuerdo a una interpretación simple y llana) como el documento que por mutuo propio un individuo trabajador manifiesta unilateralmente su voluntad de dar por terminada o extinguida la relación laboral o el contrato de trabajo, exteriorizando desde luego su voluntad personal individual de hacer del conocimiento del patrón su intención unilateral de NO continuar con la relación de trabajo. Por lo cual, bajo este contexto, tal renuncia NO podría estar siendo sujeta de ningún juicio o </w:t>
      </w:r>
      <w:proofErr w:type="spellStart"/>
      <w:r w:rsidR="00F4623D" w:rsidRPr="00F4623D">
        <w:t>tramite</w:t>
      </w:r>
      <w:proofErr w:type="spellEnd"/>
      <w:r w:rsidR="00F4623D" w:rsidRPr="00F4623D">
        <w:t xml:space="preserve"> ante autoridades judiciales del ámbito laboral, Y que, por lo tanto, se denota falta de </w:t>
      </w:r>
      <w:r w:rsidR="00F4623D" w:rsidRPr="00F4623D">
        <w:lastRenderedPageBreak/>
        <w:t>voluntad y negativa del sujeto obligado de entregar cumplidamente la información solicitada.</w:t>
      </w:r>
      <w:r w:rsidR="00AA207C" w:rsidRPr="00F4623D">
        <w:t>”</w:t>
      </w:r>
      <w:r w:rsidR="00AA207C">
        <w:t xml:space="preserve"> </w:t>
      </w:r>
      <w:r w:rsidR="00AA207C">
        <w:rPr>
          <w:b/>
        </w:rPr>
        <w:t>[Sic]</w:t>
      </w:r>
    </w:p>
    <w:p w14:paraId="60FF8009" w14:textId="77777777" w:rsidR="00AA207C" w:rsidRPr="00AA207C" w:rsidRDefault="00AA207C"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3796C2C6"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5E46D0">
        <w:rPr>
          <w:rFonts w:ascii="Palatino Linotype" w:hAnsi="Palatino Linotype" w:cs="Arial"/>
          <w:sz w:val="24"/>
          <w:szCs w:val="24"/>
        </w:rPr>
        <w:t>siete de septiembre</w:t>
      </w:r>
      <w:r w:rsidR="000E5F05">
        <w:rPr>
          <w:rFonts w:ascii="Palatino Linotype" w:hAnsi="Palatino Linotype" w:cs="Arial"/>
          <w:sz w:val="24"/>
          <w:szCs w:val="24"/>
        </w:rPr>
        <w:t xml:space="preserve">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33931519" w14:textId="5A6EEE6F" w:rsidR="005E46D0" w:rsidRDefault="005E46D0" w:rsidP="005E46D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omisa en presentar alegatos, pruebas o manifestación alguna.  </w:t>
      </w:r>
    </w:p>
    <w:p w14:paraId="62D38638" w14:textId="2D365AA9" w:rsidR="006168E4" w:rsidRDefault="005E46D0" w:rsidP="005E46D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bCs/>
          <w:sz w:val="24"/>
          <w:szCs w:val="24"/>
        </w:rPr>
        <w:t xml:space="preserve">veinte de septiembre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037B78E" w14:textId="77777777" w:rsidR="005E46D0" w:rsidRDefault="005E46D0" w:rsidP="005E46D0">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61B7392" w14:textId="77777777" w:rsidR="000E5F05" w:rsidRDefault="000E5F05" w:rsidP="000E5F05">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A0E9978" w14:textId="77777777" w:rsidR="000E5F05" w:rsidRDefault="000E5F05" w:rsidP="00BF01A7">
      <w:pPr>
        <w:spacing w:after="0" w:line="360" w:lineRule="auto"/>
        <w:jc w:val="both"/>
        <w:rPr>
          <w:rFonts w:ascii="Palatino Linotype" w:hAnsi="Palatino Linotype" w:cs="Arial"/>
          <w:sz w:val="24"/>
          <w:szCs w:val="24"/>
        </w:rPr>
      </w:pPr>
    </w:p>
    <w:p w14:paraId="5D1F9081" w14:textId="77777777" w:rsidR="00BF01A7" w:rsidRDefault="00BF01A7" w:rsidP="00BF01A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C3892D5" w14:textId="77777777" w:rsidR="0010372C" w:rsidRDefault="0010372C"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4802B99"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4154EAB" w14:textId="77777777" w:rsidR="007B0046" w:rsidRPr="00C07D77" w:rsidRDefault="007B0046" w:rsidP="007B0046">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077D7E8" w14:textId="77777777" w:rsidR="007B0046" w:rsidRDefault="007B0046" w:rsidP="007B004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0A29455"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8214B6F" w14:textId="77777777" w:rsidR="007B0046" w:rsidRPr="00514E66"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505517">
        <w:rPr>
          <w:rFonts w:ascii="Palatino Linotype" w:hAnsi="Palatino Linotype" w:cs="Arial"/>
        </w:rPr>
        <w:lastRenderedPageBreak/>
        <w:t xml:space="preserve">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1B0A33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DC40FC5" w14:textId="77777777" w:rsidR="007B0046"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A3ED66A" w14:textId="77777777" w:rsidR="00367CC7" w:rsidRPr="006E4CCA" w:rsidRDefault="00367CC7" w:rsidP="007B0046">
      <w:pPr>
        <w:spacing w:before="240" w:line="360" w:lineRule="auto"/>
        <w:ind w:left="851" w:right="851"/>
        <w:jc w:val="both"/>
        <w:rPr>
          <w:rFonts w:ascii="Palatino Linotype" w:eastAsia="Times New Roman" w:hAnsi="Palatino Linotype" w:cs="Arial"/>
          <w:i/>
          <w:lang w:eastAsia="es-ES"/>
        </w:rPr>
      </w:pPr>
    </w:p>
    <w:p w14:paraId="40DBF3B3" w14:textId="756EB4E6" w:rsidR="00B85EF3" w:rsidRDefault="000E5F05"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5E46D0">
        <w:rPr>
          <w:rFonts w:ascii="Palatino Linotype" w:hAnsi="Palatino Linotype" w:cs="Arial"/>
          <w:b/>
          <w:sz w:val="24"/>
          <w:szCs w:val="24"/>
        </w:rPr>
        <w:t xml:space="preserve">00440/METEPEC/IP/2021, </w:t>
      </w:r>
      <w:r w:rsidR="005E46D0">
        <w:rPr>
          <w:rFonts w:ascii="Palatino Linotype" w:hAnsi="Palatino Linotype" w:cs="Arial"/>
          <w:sz w:val="24"/>
          <w:szCs w:val="24"/>
        </w:rPr>
        <w:t xml:space="preserve">es procedente mencionar que fue formulado un requerimiento, respecto del cual fue precisado como elemento temporal </w:t>
      </w:r>
      <w:r w:rsidR="005E46D0">
        <w:rPr>
          <w:rFonts w:ascii="Palatino Linotype" w:hAnsi="Palatino Linotype" w:cs="Arial"/>
          <w:i/>
          <w:sz w:val="24"/>
          <w:szCs w:val="24"/>
        </w:rPr>
        <w:t xml:space="preserve">“durante el periodo del 01 de enero de 2019 y </w:t>
      </w:r>
      <w:r w:rsidR="005E46D0" w:rsidRPr="00B85EF3">
        <w:rPr>
          <w:rFonts w:ascii="Palatino Linotype" w:hAnsi="Palatino Linotype" w:cs="Arial"/>
          <w:b/>
          <w:i/>
          <w:sz w:val="24"/>
          <w:szCs w:val="24"/>
          <w:u w:val="single"/>
        </w:rPr>
        <w:t>hasta el momento</w:t>
      </w:r>
      <w:r w:rsidR="00B85EF3" w:rsidRPr="00B85EF3">
        <w:rPr>
          <w:rFonts w:ascii="Palatino Linotype" w:hAnsi="Palatino Linotype" w:cs="Arial"/>
          <w:b/>
          <w:i/>
          <w:sz w:val="24"/>
          <w:szCs w:val="24"/>
          <w:u w:val="single"/>
        </w:rPr>
        <w:t xml:space="preserve"> en que sea respondida esta misma solicitud de información por parte del sujeto obligado”</w:t>
      </w:r>
      <w:r w:rsidR="00B85EF3">
        <w:rPr>
          <w:rFonts w:ascii="Palatino Linotype" w:hAnsi="Palatino Linotype" w:cs="Arial"/>
          <w:b/>
          <w:i/>
          <w:sz w:val="24"/>
          <w:szCs w:val="24"/>
          <w:u w:val="single"/>
        </w:rPr>
        <w:t xml:space="preserve">. </w:t>
      </w:r>
    </w:p>
    <w:p w14:paraId="331EDE28" w14:textId="13CD0B16" w:rsidR="00B85EF3" w:rsidRPr="008D038F" w:rsidRDefault="00B85EF3" w:rsidP="000E5F05">
      <w:pPr>
        <w:autoSpaceDE w:val="0"/>
        <w:autoSpaceDN w:val="0"/>
        <w:adjustRightInd w:val="0"/>
        <w:spacing w:line="360" w:lineRule="auto"/>
        <w:jc w:val="both"/>
        <w:rPr>
          <w:rFonts w:ascii="Palatino Linotype" w:hAnsi="Palatino Linotype" w:cs="Arial"/>
          <w:b/>
          <w:sz w:val="24"/>
          <w:szCs w:val="24"/>
          <w:u w:val="single"/>
        </w:rPr>
      </w:pPr>
      <w:r>
        <w:rPr>
          <w:rFonts w:ascii="Palatino Linotype" w:hAnsi="Palatino Linotype" w:cs="Arial"/>
          <w:sz w:val="24"/>
          <w:szCs w:val="24"/>
        </w:rPr>
        <w:t xml:space="preserve">Bajo este contexto, es menester señalar que el derecho de acceso a la información estriba en la prerrogativa constitucional de solicitar gratuitamente la información generada, administrada o poseída por las autoridades públicas, quienes tienen la obligación de entregarla sin que la persona necesite acreditar interés alguno o justificar su uso, es decir, </w:t>
      </w:r>
      <w:r w:rsidRPr="008D038F">
        <w:rPr>
          <w:rFonts w:ascii="Palatino Linotype" w:hAnsi="Palatino Linotype" w:cs="Arial"/>
          <w:b/>
          <w:sz w:val="24"/>
          <w:szCs w:val="24"/>
          <w:u w:val="single"/>
        </w:rPr>
        <w:t xml:space="preserve">acceder la información que obre en sus archivos, no así respecto de la información que generará en el futuro. </w:t>
      </w:r>
    </w:p>
    <w:p w14:paraId="66A74AA7" w14:textId="40464207" w:rsidR="005E46D0" w:rsidRPr="005E46D0" w:rsidRDefault="00B85EF3"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Luego entonces el elemento temporal debe de ser delimitado hasta la fecha e</w:t>
      </w:r>
      <w:r w:rsidR="005E46D0">
        <w:rPr>
          <w:rFonts w:ascii="Palatino Linotype" w:hAnsi="Palatino Linotype" w:cs="Arial"/>
          <w:sz w:val="24"/>
          <w:szCs w:val="24"/>
        </w:rPr>
        <w:t xml:space="preserve">n que se ejerció el derecho de acceso a la información pública, es decir del uno de enero de dos mil diecinueve al cinco de agosto </w:t>
      </w:r>
      <w:r>
        <w:rPr>
          <w:rFonts w:ascii="Palatino Linotype" w:hAnsi="Palatino Linotype" w:cs="Arial"/>
          <w:sz w:val="24"/>
          <w:szCs w:val="24"/>
        </w:rPr>
        <w:t xml:space="preserve">de dos mil veintiuno. </w:t>
      </w:r>
    </w:p>
    <w:p w14:paraId="21B2779C" w14:textId="77777777" w:rsidR="00015D83" w:rsidRPr="00653D2A" w:rsidRDefault="00015D83" w:rsidP="00015D8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Dicha precisión, con fundamento en los artículos </w:t>
      </w:r>
      <w:r w:rsidRPr="00653D2A">
        <w:rPr>
          <w:rFonts w:ascii="Palatino Linotype" w:hAnsi="Palatino Linotype"/>
        </w:rPr>
        <w:t xml:space="preserve">13 y 181 cuarto párrafo de la Ley en materia, los cuales a la letra rezan: </w:t>
      </w:r>
    </w:p>
    <w:p w14:paraId="56A35DAF" w14:textId="77777777" w:rsidR="00015D83" w:rsidRPr="009878C2" w:rsidRDefault="00015D83" w:rsidP="00015D8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544DDD63" w14:textId="77777777" w:rsidR="00015D83" w:rsidRPr="009878C2" w:rsidRDefault="00015D83" w:rsidP="00015D8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4A32FE80" w14:textId="77777777" w:rsidR="00015D83" w:rsidRPr="009878C2" w:rsidRDefault="00015D83" w:rsidP="00015D8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15A3EAE" w14:textId="77777777" w:rsidR="00015D83" w:rsidRDefault="00015D83" w:rsidP="00015D83">
      <w:pPr>
        <w:pStyle w:val="Sinespaciado"/>
        <w:spacing w:line="360" w:lineRule="auto"/>
        <w:jc w:val="both"/>
        <w:rPr>
          <w:rFonts w:ascii="Palatino Linotype" w:hAnsi="Palatino Linotype"/>
        </w:rPr>
      </w:pPr>
    </w:p>
    <w:p w14:paraId="1E236C4F" w14:textId="65A3709A" w:rsidR="00015D83" w:rsidRDefault="00015D83" w:rsidP="00015D83">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07404F53" w14:textId="10B77DBA" w:rsidR="00A00E96" w:rsidRDefault="00B85EF3" w:rsidP="00E65AC5">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Renuncias que existan o hayan sido presentadas durante el periodo comprendido del uno de enero de dos mil diecinueve al cinco de agosto de dos mil veintiuno. </w:t>
      </w:r>
    </w:p>
    <w:p w14:paraId="50CD795F" w14:textId="77777777" w:rsidR="00B85EF3" w:rsidRPr="00015D83" w:rsidRDefault="00B85EF3" w:rsidP="00B85EF3">
      <w:pPr>
        <w:pStyle w:val="Prrafodelista"/>
        <w:autoSpaceDE w:val="0"/>
        <w:autoSpaceDN w:val="0"/>
        <w:adjustRightInd w:val="0"/>
        <w:spacing w:line="360" w:lineRule="auto"/>
        <w:ind w:left="720"/>
        <w:jc w:val="both"/>
        <w:rPr>
          <w:rFonts w:ascii="Palatino Linotype" w:hAnsi="Palatino Linotype" w:cs="Arial"/>
        </w:rPr>
      </w:pPr>
    </w:p>
    <w:p w14:paraId="492FC565" w14:textId="10B326DF" w:rsidR="00A00E96" w:rsidRDefault="00A457D1"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una aproximación inicial es menester referir que en términos del numeral 50 de la Ley del Trabajo de los Servidores Públicos del Estado de México y Municipios, la relación laboral entre un servidor público y el Estado se formaliza mediante nombramiento, contrato, formato único de movimientos de personal o por encontrarse en lista de raya. </w:t>
      </w:r>
    </w:p>
    <w:p w14:paraId="0556ED3E" w14:textId="77777777" w:rsidR="00A457D1" w:rsidRDefault="00A457D1" w:rsidP="000E5F05">
      <w:pPr>
        <w:autoSpaceDE w:val="0"/>
        <w:autoSpaceDN w:val="0"/>
        <w:adjustRightInd w:val="0"/>
        <w:spacing w:line="360" w:lineRule="auto"/>
        <w:jc w:val="both"/>
        <w:rPr>
          <w:rFonts w:ascii="Palatino Linotype" w:hAnsi="Palatino Linotype" w:cs="Arial"/>
          <w:sz w:val="24"/>
          <w:szCs w:val="24"/>
        </w:rPr>
      </w:pPr>
    </w:p>
    <w:p w14:paraId="3EE8D787" w14:textId="6D02533F" w:rsidR="00B85EF3" w:rsidRDefault="00A457D1"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Ahora bien</w:t>
      </w:r>
      <w:r w:rsidR="00E703E8">
        <w:rPr>
          <w:rFonts w:ascii="Palatino Linotype" w:hAnsi="Palatino Linotype" w:cs="Arial"/>
        </w:rPr>
        <w:t>, desde una perspectiva etimológica</w:t>
      </w:r>
      <w:r w:rsidR="00E679CA">
        <w:rPr>
          <w:rFonts w:ascii="Palatino Linotype" w:hAnsi="Palatino Linotype" w:cs="Arial"/>
        </w:rPr>
        <w:t xml:space="preserve">, la palabra </w:t>
      </w:r>
      <w:r w:rsidR="00B85EF3">
        <w:rPr>
          <w:rFonts w:ascii="Palatino Linotype" w:hAnsi="Palatino Linotype" w:cs="Arial"/>
        </w:rPr>
        <w:t xml:space="preserve">renunciar proviene del latín </w:t>
      </w:r>
      <w:proofErr w:type="spellStart"/>
      <w:r w:rsidR="00B85EF3">
        <w:rPr>
          <w:rFonts w:ascii="Palatino Linotype" w:hAnsi="Palatino Linotype" w:cs="Arial"/>
          <w:b/>
          <w:i/>
        </w:rPr>
        <w:t>renuntiare</w:t>
      </w:r>
      <w:proofErr w:type="spellEnd"/>
      <w:r w:rsidR="00B85EF3">
        <w:rPr>
          <w:rFonts w:ascii="Palatino Linotype" w:hAnsi="Palatino Linotype" w:cs="Arial"/>
          <w:b/>
          <w:i/>
        </w:rPr>
        <w:t xml:space="preserve">, </w:t>
      </w:r>
      <w:r w:rsidR="00B85EF3">
        <w:rPr>
          <w:rFonts w:ascii="Palatino Linotype" w:hAnsi="Palatino Linotype" w:cs="Arial"/>
        </w:rPr>
        <w:t xml:space="preserve">formada de los prefijos </w:t>
      </w:r>
      <w:r w:rsidR="00B85EF3">
        <w:rPr>
          <w:rFonts w:ascii="Palatino Linotype" w:hAnsi="Palatino Linotype" w:cs="Arial"/>
          <w:b/>
          <w:i/>
        </w:rPr>
        <w:t xml:space="preserve">re </w:t>
      </w:r>
      <w:r w:rsidR="00B85EF3">
        <w:rPr>
          <w:rFonts w:ascii="Palatino Linotype" w:hAnsi="Palatino Linotype" w:cs="Arial"/>
        </w:rPr>
        <w:t xml:space="preserve">(hacia atrás, de nuevo) y </w:t>
      </w:r>
      <w:proofErr w:type="spellStart"/>
      <w:r w:rsidR="00B85EF3">
        <w:rPr>
          <w:rFonts w:ascii="Palatino Linotype" w:hAnsi="Palatino Linotype" w:cs="Arial"/>
          <w:b/>
          <w:i/>
        </w:rPr>
        <w:t>nuntius</w:t>
      </w:r>
      <w:proofErr w:type="spellEnd"/>
      <w:r w:rsidR="00B85EF3">
        <w:rPr>
          <w:rFonts w:ascii="Palatino Linotype" w:hAnsi="Palatino Linotype" w:cs="Arial"/>
          <w:b/>
          <w:i/>
        </w:rPr>
        <w:t xml:space="preserve"> </w:t>
      </w:r>
      <w:r w:rsidR="00B85EF3">
        <w:rPr>
          <w:rFonts w:ascii="Palatino Linotype" w:hAnsi="Palatino Linotype" w:cs="Arial"/>
        </w:rPr>
        <w:t>(noticia</w:t>
      </w:r>
      <w:r w:rsidR="00531E18">
        <w:rPr>
          <w:rFonts w:ascii="Palatino Linotype" w:hAnsi="Palatino Linotype" w:cs="Arial"/>
        </w:rPr>
        <w:t xml:space="preserve"> o anunciar</w:t>
      </w:r>
      <w:r w:rsidR="00B85EF3">
        <w:rPr>
          <w:rFonts w:ascii="Palatino Linotype" w:hAnsi="Palatino Linotype" w:cs="Arial"/>
        </w:rPr>
        <w:t>).</w:t>
      </w:r>
      <w:r w:rsidR="00531E18">
        <w:rPr>
          <w:rFonts w:ascii="Palatino Linotype" w:hAnsi="Palatino Linotype" w:cs="Arial"/>
        </w:rPr>
        <w:t xml:space="preserve"> Al respecto la Real Academia Española la define como: </w:t>
      </w:r>
      <w:r w:rsidR="00B85EF3">
        <w:rPr>
          <w:rFonts w:ascii="Palatino Linotype" w:hAnsi="Palatino Linotype" w:cs="Arial"/>
        </w:rPr>
        <w:t xml:space="preserve"> </w:t>
      </w:r>
    </w:p>
    <w:p w14:paraId="21D978A2" w14:textId="1702F98B" w:rsidR="00F95A73" w:rsidRDefault="00531E18" w:rsidP="00531E18">
      <w:pPr>
        <w:pStyle w:val="Citas"/>
      </w:pPr>
      <w:r>
        <w:t xml:space="preserve"> </w:t>
      </w:r>
      <w:r w:rsidR="00F95A73">
        <w:t xml:space="preserve">“1. </w:t>
      </w:r>
      <w:r>
        <w:t xml:space="preserve">Acción y efecto de renunciar. </w:t>
      </w:r>
    </w:p>
    <w:p w14:paraId="257BBCB4" w14:textId="69092E4A" w:rsidR="00531E18" w:rsidRDefault="00531E18" w:rsidP="00531E18">
      <w:pPr>
        <w:pStyle w:val="Citas"/>
        <w:ind w:firstLine="142"/>
      </w:pPr>
      <w:r>
        <w:t xml:space="preserve">2. Instrumento o documento que contiene una renuncia. </w:t>
      </w:r>
    </w:p>
    <w:p w14:paraId="70C8F919" w14:textId="3517B3B9" w:rsidR="00531E18" w:rsidRPr="00531E18" w:rsidRDefault="00531E18" w:rsidP="00531E18">
      <w:pPr>
        <w:pStyle w:val="Citas"/>
        <w:ind w:firstLine="142"/>
        <w:rPr>
          <w:b/>
          <w:bCs/>
        </w:rPr>
      </w:pPr>
      <w:r>
        <w:t xml:space="preserve">3. </w:t>
      </w:r>
      <w:r w:rsidRPr="00531E18">
        <w:rPr>
          <w:b/>
          <w:u w:val="single"/>
        </w:rPr>
        <w:t>Dimisión o dejación voluntaria de algo que se posee, o del derecho a ello</w:t>
      </w:r>
      <w:r>
        <w:t xml:space="preserve">” </w:t>
      </w:r>
      <w:r>
        <w:rPr>
          <w:b/>
        </w:rPr>
        <w:t xml:space="preserve">[Sic] </w:t>
      </w:r>
    </w:p>
    <w:p w14:paraId="5C29353A" w14:textId="77777777" w:rsidR="00F95A73" w:rsidRPr="00F95A73" w:rsidRDefault="00F95A73" w:rsidP="00DF723C">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08464768" w14:textId="786D9EA6" w:rsidR="00F95A73" w:rsidRDefault="00F95A73"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forma complementaria, Rafael de Pina (2013) en su obra </w:t>
      </w:r>
      <w:r>
        <w:rPr>
          <w:rFonts w:ascii="Palatino Linotype" w:hAnsi="Palatino Linotype" w:cs="Arial"/>
          <w:i/>
        </w:rPr>
        <w:t xml:space="preserve">“Diccionario de Derecho” </w:t>
      </w:r>
      <w:r>
        <w:rPr>
          <w:rFonts w:ascii="Palatino Linotype" w:hAnsi="Palatino Linotype" w:cs="Arial"/>
        </w:rPr>
        <w:t xml:space="preserve">delimita las fronteras conceptuales de la palabra </w:t>
      </w:r>
      <w:r w:rsidR="00531E18">
        <w:rPr>
          <w:rFonts w:ascii="Palatino Linotype" w:hAnsi="Palatino Linotype" w:cs="Arial"/>
          <w:b/>
          <w:i/>
        </w:rPr>
        <w:t>renuncia</w:t>
      </w:r>
      <w:r>
        <w:rPr>
          <w:rFonts w:ascii="Palatino Linotype" w:hAnsi="Palatino Linotype" w:cs="Arial"/>
          <w:b/>
          <w:i/>
        </w:rPr>
        <w:t xml:space="preserve"> </w:t>
      </w:r>
      <w:r>
        <w:rPr>
          <w:rFonts w:ascii="Palatino Linotype" w:hAnsi="Palatino Linotype" w:cs="Arial"/>
        </w:rPr>
        <w:t xml:space="preserve">en los siguientes términos: </w:t>
      </w:r>
    </w:p>
    <w:p w14:paraId="7C7AA945" w14:textId="63D401F7" w:rsidR="00F95A73" w:rsidRDefault="00531E18" w:rsidP="00F95A73">
      <w:pPr>
        <w:pStyle w:val="INFOEM"/>
        <w:rPr>
          <w:b/>
        </w:rPr>
      </w:pPr>
      <w:r>
        <w:t>“Manifestación de la voluntad de un sujeto mediante la cual se desprende de un bien, derecho o cargo</w:t>
      </w:r>
      <w:r w:rsidR="00F95A73">
        <w:t xml:space="preserve">” </w:t>
      </w:r>
      <w:r w:rsidR="00F95A73">
        <w:rPr>
          <w:b/>
        </w:rPr>
        <w:t xml:space="preserve">[Sic] </w:t>
      </w:r>
    </w:p>
    <w:p w14:paraId="04756346" w14:textId="77777777" w:rsidR="00F95A73" w:rsidRDefault="00F95A73" w:rsidP="00F95A73">
      <w:pPr>
        <w:pStyle w:val="INFOEM"/>
        <w:ind w:left="0"/>
        <w:rPr>
          <w:b/>
        </w:rPr>
      </w:pPr>
    </w:p>
    <w:p w14:paraId="266E2D27" w14:textId="7D839C6F" w:rsidR="00F95A73" w:rsidRPr="00F95A73" w:rsidRDefault="003D2D99" w:rsidP="003D2D99">
      <w:pPr>
        <w:pStyle w:val="INFOEM"/>
        <w:ind w:left="0" w:right="0"/>
        <w:rPr>
          <w:i w:val="0"/>
          <w:sz w:val="24"/>
          <w:szCs w:val="24"/>
        </w:rPr>
      </w:pPr>
      <w:r w:rsidRPr="00E8308B">
        <w:rPr>
          <w:i w:val="0"/>
          <w:sz w:val="24"/>
          <w:szCs w:val="24"/>
        </w:rPr>
        <w:t xml:space="preserve">De esta manera se arriba a la premisa </w:t>
      </w:r>
      <w:r w:rsidR="00531E18" w:rsidRPr="00E8308B">
        <w:rPr>
          <w:i w:val="0"/>
          <w:sz w:val="24"/>
          <w:szCs w:val="24"/>
        </w:rPr>
        <w:t>de que una renuncia es una manifestación laboral, de carácter expresa, mediante la cual el trabajador da por terminada la relación laboral, seguida por un acuerdo de voluntades con el objeto de terminar el vínculo contractual, es decir un finiquito.</w:t>
      </w:r>
      <w:r w:rsidR="00531E18">
        <w:rPr>
          <w:i w:val="0"/>
          <w:sz w:val="24"/>
          <w:szCs w:val="24"/>
        </w:rPr>
        <w:t xml:space="preserve"> </w:t>
      </w:r>
    </w:p>
    <w:p w14:paraId="6E1D6728" w14:textId="77777777" w:rsidR="00E8308B" w:rsidRPr="008D038F" w:rsidRDefault="00E8308B" w:rsidP="00E8308B">
      <w:pPr>
        <w:autoSpaceDE w:val="0"/>
        <w:autoSpaceDN w:val="0"/>
        <w:adjustRightInd w:val="0"/>
        <w:spacing w:before="240" w:line="360" w:lineRule="auto"/>
        <w:jc w:val="both"/>
        <w:rPr>
          <w:rFonts w:ascii="Palatino Linotype" w:hAnsi="Palatino Linotype" w:cs="Arial"/>
          <w:sz w:val="24"/>
          <w:szCs w:val="24"/>
        </w:rPr>
      </w:pPr>
      <w:r w:rsidRPr="008D038F">
        <w:rPr>
          <w:rFonts w:ascii="Palatino Linotype" w:hAnsi="Palatino Linotype" w:cs="Arial"/>
          <w:sz w:val="24"/>
          <w:szCs w:val="24"/>
        </w:rPr>
        <w:t xml:space="preserve">En este tenor, en alusión al requerimiento formulado por el particular, resulta oportuno traer a colación los artículos 24, fracción XII y 92, fracción II de la Ley de Transparencia y Acceso a la Información Pública del Estado de México y Municipios, dispositivos jurídicos que disponen a la literalidad lo siguiente: </w:t>
      </w:r>
    </w:p>
    <w:p w14:paraId="790B6DA0" w14:textId="77777777" w:rsidR="00E8308B" w:rsidRPr="008B4658" w:rsidRDefault="00E8308B" w:rsidP="00E8308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24. Para el cumplimiento de los objetivos de esta Ley, los sujetos obligados deberán cumplir con las siguientes obligaciones, según corresponda, de acuerdo a su naturaleza:</w:t>
      </w:r>
    </w:p>
    <w:p w14:paraId="46799C52" w14:textId="77777777" w:rsidR="00E8308B" w:rsidRPr="008B4658" w:rsidRDefault="00E8308B" w:rsidP="00E8308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426EBFBE" w14:textId="77777777" w:rsidR="00E8308B" w:rsidRPr="008B4658" w:rsidRDefault="00E8308B" w:rsidP="00E8308B">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2DBEC094" w14:textId="77777777" w:rsidR="00E8308B" w:rsidRPr="008B4658" w:rsidRDefault="00E8308B" w:rsidP="00E8308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EEBE78" w14:textId="77777777" w:rsidR="00E8308B" w:rsidRPr="008B4658" w:rsidRDefault="00E8308B" w:rsidP="00E8308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270DA6C3" w14:textId="77777777" w:rsidR="00E8308B" w:rsidRPr="008B4658" w:rsidRDefault="00E8308B" w:rsidP="00E8308B">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1C33DE9" w14:textId="77777777" w:rsidR="00E8308B" w:rsidRDefault="00E8308B" w:rsidP="00E8308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 xml:space="preserve">(…)” </w:t>
      </w:r>
    </w:p>
    <w:p w14:paraId="4A2B00E4" w14:textId="77777777" w:rsidR="00E8308B" w:rsidRDefault="00E8308B" w:rsidP="00E8308B">
      <w:pPr>
        <w:autoSpaceDE w:val="0"/>
        <w:autoSpaceDN w:val="0"/>
        <w:adjustRightInd w:val="0"/>
        <w:spacing w:before="240" w:line="360" w:lineRule="auto"/>
        <w:jc w:val="both"/>
        <w:rPr>
          <w:rFonts w:ascii="Palatino Linotype" w:hAnsi="Palatino Linotype" w:cs="Arial"/>
          <w:sz w:val="24"/>
          <w:szCs w:val="24"/>
        </w:rPr>
      </w:pPr>
    </w:p>
    <w:p w14:paraId="4D717577" w14:textId="59CAA59F" w:rsidR="00F95A73" w:rsidRDefault="00E8308B" w:rsidP="00E8308B">
      <w:pPr>
        <w:pStyle w:val="Prrafodelista"/>
        <w:autoSpaceDE w:val="0"/>
        <w:autoSpaceDN w:val="0"/>
        <w:adjustRightInd w:val="0"/>
        <w:spacing w:line="360" w:lineRule="auto"/>
        <w:ind w:left="0"/>
        <w:jc w:val="both"/>
        <w:rPr>
          <w:rFonts w:ascii="Palatino Linotype" w:hAnsi="Palatino Linotype" w:cs="Arial"/>
        </w:rPr>
      </w:pPr>
      <w:r w:rsidRPr="00CF2623">
        <w:rPr>
          <w:rFonts w:ascii="Palatino Linotype" w:hAnsi="Palatino Linotype" w:cs="Arial"/>
        </w:rPr>
        <w:t xml:space="preserve">A mayor abundamiento, en alusión a la normatividad previamente plasmada, sirven de sustento las siguientes imágenes ilustrativas, correspondientes al organigrama del </w:t>
      </w:r>
      <w:r w:rsidRPr="00CF2623">
        <w:rPr>
          <w:rFonts w:ascii="Palatino Linotype" w:hAnsi="Palatino Linotype" w:cs="Arial"/>
          <w:b/>
          <w:bCs/>
        </w:rPr>
        <w:lastRenderedPageBreak/>
        <w:t xml:space="preserve">Sujeto Obligado, </w:t>
      </w:r>
      <w:r w:rsidRPr="00CF2623">
        <w:rPr>
          <w:rFonts w:ascii="Palatino Linotype" w:hAnsi="Palatino Linotype" w:cs="Arial"/>
        </w:rPr>
        <w:t xml:space="preserve">mismo que puede ser consultado en la siguiente dirección electrónica:  </w:t>
      </w:r>
      <w:hyperlink r:id="rId8" w:history="1">
        <w:r w:rsidRPr="00883E9B">
          <w:rPr>
            <w:rStyle w:val="Hipervnculo"/>
            <w:rFonts w:ascii="Palatino Linotype" w:hAnsi="Palatino Linotype" w:cs="Arial"/>
          </w:rPr>
          <w:t>https://transparencia.metepec.gob.mx/archivos/2021/1/3/3/3/20210805_111039_Organigrama_2021.pdf</w:t>
        </w:r>
      </w:hyperlink>
      <w:r>
        <w:rPr>
          <w:rFonts w:ascii="Palatino Linotype" w:hAnsi="Palatino Linotype" w:cs="Arial"/>
        </w:rPr>
        <w:t xml:space="preserve"> </w:t>
      </w:r>
    </w:p>
    <w:p w14:paraId="4E409AA1" w14:textId="77777777" w:rsidR="00E8308B" w:rsidRDefault="00E8308B" w:rsidP="00E8308B">
      <w:pPr>
        <w:pStyle w:val="Prrafodelista"/>
        <w:autoSpaceDE w:val="0"/>
        <w:autoSpaceDN w:val="0"/>
        <w:adjustRightInd w:val="0"/>
        <w:spacing w:line="360" w:lineRule="auto"/>
        <w:ind w:left="0"/>
        <w:jc w:val="both"/>
        <w:rPr>
          <w:rFonts w:ascii="Palatino Linotype" w:hAnsi="Palatino Linotype" w:cs="Arial"/>
        </w:rPr>
      </w:pPr>
    </w:p>
    <w:p w14:paraId="1F78F279" w14:textId="4EAF8060" w:rsidR="00E8308B" w:rsidRPr="00E8308B" w:rsidRDefault="00E8308B" w:rsidP="00E8308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noProof/>
          <w:lang w:val="es-MX" w:eastAsia="es-MX"/>
        </w:rPr>
        <w:drawing>
          <wp:anchor distT="0" distB="0" distL="114300" distR="114300" simplePos="0" relativeHeight="251745270" behindDoc="0" locked="0" layoutInCell="1" allowOverlap="1" wp14:anchorId="6FE38CC7" wp14:editId="5731E15D">
            <wp:simplePos x="0" y="0"/>
            <wp:positionH relativeFrom="column">
              <wp:posOffset>-2540</wp:posOffset>
            </wp:positionH>
            <wp:positionV relativeFrom="paragraph">
              <wp:posOffset>306070</wp:posOffset>
            </wp:positionV>
            <wp:extent cx="5756910" cy="3344545"/>
            <wp:effectExtent l="19050" t="19050" r="15240" b="27305"/>
            <wp:wrapThrough wrapText="bothSides">
              <wp:wrapPolygon edited="0">
                <wp:start x="-71" y="-123"/>
                <wp:lineTo x="-71" y="21653"/>
                <wp:lineTo x="21586" y="21653"/>
                <wp:lineTo x="21586" y="-123"/>
                <wp:lineTo x="-71" y="-123"/>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99EA091" w14:textId="47898190" w:rsidR="00E8308B" w:rsidRDefault="00E8308B" w:rsidP="00DF723C">
      <w:pPr>
        <w:pStyle w:val="Prrafodelista"/>
        <w:autoSpaceDE w:val="0"/>
        <w:autoSpaceDN w:val="0"/>
        <w:adjustRightInd w:val="0"/>
        <w:spacing w:line="360" w:lineRule="auto"/>
        <w:ind w:left="0"/>
        <w:jc w:val="both"/>
        <w:rPr>
          <w:rFonts w:ascii="Palatino Linotype" w:hAnsi="Palatino Linotype" w:cs="Arial"/>
          <w:b/>
        </w:rPr>
      </w:pPr>
    </w:p>
    <w:p w14:paraId="0582DB7B" w14:textId="2A0B915D" w:rsidR="00E8308B" w:rsidRDefault="00E8308B" w:rsidP="00DF723C">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noProof/>
          <w:lang w:val="es-MX" w:eastAsia="es-MX"/>
        </w:rPr>
        <w:drawing>
          <wp:anchor distT="0" distB="0" distL="114300" distR="114300" simplePos="0" relativeHeight="251746294" behindDoc="0" locked="0" layoutInCell="1" allowOverlap="1" wp14:anchorId="2846F4C2" wp14:editId="1E43C100">
            <wp:simplePos x="0" y="0"/>
            <wp:positionH relativeFrom="column">
              <wp:posOffset>1883047</wp:posOffset>
            </wp:positionH>
            <wp:positionV relativeFrom="paragraph">
              <wp:posOffset>178979</wp:posOffset>
            </wp:positionV>
            <wp:extent cx="2007870" cy="1640840"/>
            <wp:effectExtent l="19050" t="19050" r="11430" b="16510"/>
            <wp:wrapThrough wrapText="bothSides">
              <wp:wrapPolygon edited="0">
                <wp:start x="-205" y="-251"/>
                <wp:lineTo x="-205" y="21567"/>
                <wp:lineTo x="21518" y="21567"/>
                <wp:lineTo x="21518" y="-251"/>
                <wp:lineTo x="-205" y="-251"/>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870" cy="1640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82ABA61" w14:textId="69B7C8D0" w:rsidR="00E8308B" w:rsidRPr="00E679CA" w:rsidRDefault="00E8308B" w:rsidP="00DF723C">
      <w:pPr>
        <w:pStyle w:val="Prrafodelista"/>
        <w:autoSpaceDE w:val="0"/>
        <w:autoSpaceDN w:val="0"/>
        <w:adjustRightInd w:val="0"/>
        <w:spacing w:line="360" w:lineRule="auto"/>
        <w:ind w:left="0"/>
        <w:jc w:val="both"/>
        <w:rPr>
          <w:rFonts w:ascii="Palatino Linotype" w:hAnsi="Palatino Linotype" w:cs="Arial"/>
          <w:b/>
        </w:rPr>
      </w:pPr>
    </w:p>
    <w:p w14:paraId="3DB231E1" w14:textId="403977A2" w:rsidR="00E703E8" w:rsidRDefault="00E703E8" w:rsidP="00DF723C">
      <w:pPr>
        <w:pStyle w:val="Prrafodelista"/>
        <w:autoSpaceDE w:val="0"/>
        <w:autoSpaceDN w:val="0"/>
        <w:adjustRightInd w:val="0"/>
        <w:spacing w:line="360" w:lineRule="auto"/>
        <w:ind w:left="0"/>
        <w:jc w:val="both"/>
        <w:rPr>
          <w:rFonts w:ascii="Palatino Linotype" w:hAnsi="Palatino Linotype" w:cs="Arial"/>
        </w:rPr>
      </w:pPr>
    </w:p>
    <w:p w14:paraId="2A1BE8A5" w14:textId="77777777" w:rsidR="00E8308B" w:rsidRDefault="00E8308B" w:rsidP="00DF723C">
      <w:pPr>
        <w:pStyle w:val="Prrafodelista"/>
        <w:autoSpaceDE w:val="0"/>
        <w:autoSpaceDN w:val="0"/>
        <w:adjustRightInd w:val="0"/>
        <w:spacing w:line="360" w:lineRule="auto"/>
        <w:ind w:left="0"/>
        <w:jc w:val="both"/>
        <w:rPr>
          <w:rFonts w:ascii="Palatino Linotype" w:hAnsi="Palatino Linotype" w:cs="Arial"/>
        </w:rPr>
      </w:pPr>
    </w:p>
    <w:p w14:paraId="0BB8D916" w14:textId="77777777" w:rsidR="00E8308B" w:rsidRDefault="00E8308B" w:rsidP="00DF723C">
      <w:pPr>
        <w:pStyle w:val="Prrafodelista"/>
        <w:autoSpaceDE w:val="0"/>
        <w:autoSpaceDN w:val="0"/>
        <w:adjustRightInd w:val="0"/>
        <w:spacing w:line="360" w:lineRule="auto"/>
        <w:ind w:left="0"/>
        <w:jc w:val="both"/>
        <w:rPr>
          <w:rFonts w:ascii="Palatino Linotype" w:hAnsi="Palatino Linotype" w:cs="Arial"/>
        </w:rPr>
      </w:pPr>
    </w:p>
    <w:p w14:paraId="4D6CDDFC" w14:textId="77777777" w:rsidR="00E8308B" w:rsidRDefault="00E8308B" w:rsidP="00DF723C">
      <w:pPr>
        <w:pStyle w:val="Prrafodelista"/>
        <w:autoSpaceDE w:val="0"/>
        <w:autoSpaceDN w:val="0"/>
        <w:adjustRightInd w:val="0"/>
        <w:spacing w:line="360" w:lineRule="auto"/>
        <w:ind w:left="0"/>
        <w:jc w:val="both"/>
        <w:rPr>
          <w:rFonts w:ascii="Palatino Linotype" w:hAnsi="Palatino Linotype" w:cs="Arial"/>
        </w:rPr>
      </w:pPr>
    </w:p>
    <w:p w14:paraId="18C44E63" w14:textId="6FB69171" w:rsidR="00E743B7" w:rsidRDefault="00DB235D"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Unidades, Direcciones, Jefaturas y Departamentos para cumplir con sus fines y objetivos, resultando de nuestro interés la esfera competencial de la Dirección de Administraci</w:t>
      </w:r>
      <w:r w:rsidR="00226760">
        <w:rPr>
          <w:rFonts w:ascii="Palatino Linotype" w:hAnsi="Palatino Linotype" w:cs="Arial"/>
        </w:rPr>
        <w:t xml:space="preserve">ón, la Subdirección de Recursos Humanos, así como el Departamento de Relaciones Laborales. </w:t>
      </w:r>
    </w:p>
    <w:p w14:paraId="25CBAD8C" w14:textId="77777777" w:rsidR="00DB235D" w:rsidRDefault="00DB235D" w:rsidP="00DF723C">
      <w:pPr>
        <w:pStyle w:val="Prrafodelista"/>
        <w:autoSpaceDE w:val="0"/>
        <w:autoSpaceDN w:val="0"/>
        <w:adjustRightInd w:val="0"/>
        <w:spacing w:line="360" w:lineRule="auto"/>
        <w:ind w:left="0"/>
        <w:jc w:val="both"/>
        <w:rPr>
          <w:rFonts w:ascii="Palatino Linotype" w:hAnsi="Palatino Linotype" w:cs="Arial"/>
        </w:rPr>
      </w:pPr>
    </w:p>
    <w:p w14:paraId="279F4069" w14:textId="7E8D90FD" w:rsidR="00226760" w:rsidRPr="00226760" w:rsidRDefault="00DB235D" w:rsidP="00226760">
      <w:pPr>
        <w:pStyle w:val="Prrafodelista"/>
        <w:autoSpaceDE w:val="0"/>
        <w:autoSpaceDN w:val="0"/>
        <w:adjustRightInd w:val="0"/>
        <w:spacing w:line="360" w:lineRule="auto"/>
        <w:ind w:left="0"/>
        <w:jc w:val="both"/>
        <w:rPr>
          <w:rFonts w:ascii="Palatino Linotype" w:hAnsi="Palatino Linotype" w:cs="Arial"/>
        </w:rPr>
      </w:pPr>
      <w:r w:rsidRPr="00226760">
        <w:rPr>
          <w:rFonts w:ascii="Palatino Linotype" w:hAnsi="Palatino Linotype" w:cs="Arial"/>
        </w:rPr>
        <w:t xml:space="preserve">En este tenor, resultan aplicables los artículos </w:t>
      </w:r>
      <w:r w:rsidR="00226760" w:rsidRPr="00226760">
        <w:rPr>
          <w:rFonts w:ascii="Palatino Linotype" w:hAnsi="Palatino Linotype" w:cs="Arial"/>
        </w:rPr>
        <w:t>3.80 fracciones I, III, IX, 3.81, 3.82 fracciones III y XV, 3.83, 3.84 fracciones I y VIII, 5.112 fracción XIV</w:t>
      </w:r>
      <w:r w:rsidR="00226760">
        <w:rPr>
          <w:rFonts w:ascii="Palatino Linotype" w:hAnsi="Palatino Linotype" w:cs="Arial"/>
        </w:rPr>
        <w:t xml:space="preserve">, </w:t>
      </w:r>
      <w:r w:rsidR="00226760" w:rsidRPr="00226760">
        <w:rPr>
          <w:rFonts w:ascii="Palatino Linotype" w:hAnsi="Palatino Linotype" w:cs="Arial"/>
        </w:rPr>
        <w:t>5.212</w:t>
      </w:r>
      <w:r w:rsidR="00226760">
        <w:rPr>
          <w:rFonts w:ascii="Palatino Linotype" w:hAnsi="Palatino Linotype" w:cs="Arial"/>
        </w:rPr>
        <w:t xml:space="preserve"> del Código de Reglamentación Municipal de Metepec, porciones normativas que disponen a la literalidad lo siguiente: </w:t>
      </w:r>
    </w:p>
    <w:p w14:paraId="17B26DB5" w14:textId="0E20804B" w:rsidR="00DB235D" w:rsidRDefault="00226760" w:rsidP="00DB235D">
      <w:pPr>
        <w:pStyle w:val="Citas"/>
      </w:pPr>
      <w:r>
        <w:t>“</w:t>
      </w:r>
      <w:r w:rsidR="00DB235D">
        <w:t>Artículo 3.80.- La Dirección de Administración tiene a su cargo las siguientes atribuciones:</w:t>
      </w:r>
    </w:p>
    <w:p w14:paraId="3DFFF46C" w14:textId="33276DCE" w:rsidR="00E743B7" w:rsidRDefault="00DB235D" w:rsidP="00DB235D">
      <w:pPr>
        <w:pStyle w:val="Citas"/>
      </w:pPr>
      <w:r>
        <w:t xml:space="preserve"> I. Coordinar de y dirigir los sistemas de reclutamiento, selección, contratación y desarrollo de personal las diferentes unidades administrativas de la administración pública municipal;</w:t>
      </w:r>
    </w:p>
    <w:p w14:paraId="5891226B" w14:textId="32A5A4DD" w:rsidR="00DB235D" w:rsidRDefault="00DB235D" w:rsidP="00DB235D">
      <w:pPr>
        <w:pStyle w:val="Citas"/>
      </w:pPr>
      <w:r>
        <w:t>(…)</w:t>
      </w:r>
    </w:p>
    <w:p w14:paraId="0AAC4265" w14:textId="108FE12E" w:rsidR="00DB235D" w:rsidRDefault="00DB235D" w:rsidP="00DB235D">
      <w:pPr>
        <w:pStyle w:val="Citas"/>
        <w:rPr>
          <w:b/>
          <w:u w:val="single"/>
        </w:rPr>
      </w:pPr>
      <w:r w:rsidRPr="00DB235D">
        <w:rPr>
          <w:b/>
          <w:u w:val="single"/>
        </w:rPr>
        <w:t>III. Controlar y registrar asistencia, nombramientos, remociones, renuncias, licencias, cambios de adscripción, promociones, incapacidades, vacaciones, días no laborables y demás incidencias relacionadas con los servidores públicos municipales;</w:t>
      </w:r>
    </w:p>
    <w:p w14:paraId="7ABE4BBE" w14:textId="01C17FDB" w:rsidR="00DB235D" w:rsidRDefault="00DB235D" w:rsidP="00DB235D">
      <w:pPr>
        <w:pStyle w:val="Citas"/>
      </w:pPr>
      <w:r>
        <w:t>(…)</w:t>
      </w:r>
    </w:p>
    <w:p w14:paraId="7752947A" w14:textId="66B9AC7D" w:rsidR="00DB235D" w:rsidRDefault="00DB235D" w:rsidP="00DB235D">
      <w:pPr>
        <w:pStyle w:val="Citas"/>
      </w:pPr>
      <w:r>
        <w:lastRenderedPageBreak/>
        <w:t>IX. Coordinar el resguardo y actualización del archivo de personal salvaguardando la información en términos de las disposiciones legales;</w:t>
      </w:r>
    </w:p>
    <w:p w14:paraId="7C1B306A" w14:textId="495B46D0" w:rsidR="00DB235D" w:rsidRPr="00DB235D" w:rsidRDefault="00DB235D" w:rsidP="00DB235D">
      <w:pPr>
        <w:pStyle w:val="Citas"/>
      </w:pPr>
      <w:r>
        <w:t>(…)</w:t>
      </w:r>
    </w:p>
    <w:p w14:paraId="68428C2C" w14:textId="77777777" w:rsidR="00DB235D" w:rsidRDefault="00DB235D" w:rsidP="00DB235D">
      <w:pPr>
        <w:pStyle w:val="Citas"/>
      </w:pPr>
      <w:r>
        <w:t xml:space="preserve">Artículo 3.81.- Para el cumplimiento de sus atribuciones y facultades la </w:t>
      </w:r>
      <w:r w:rsidRPr="00226760">
        <w:rPr>
          <w:b/>
          <w:u w:val="single"/>
        </w:rPr>
        <w:t xml:space="preserve">Dirección de Administración, </w:t>
      </w:r>
      <w:r>
        <w:t xml:space="preserve">contará con: </w:t>
      </w:r>
    </w:p>
    <w:p w14:paraId="48A96647" w14:textId="77777777" w:rsidR="00DB235D" w:rsidRDefault="00DB235D" w:rsidP="00DB235D">
      <w:pPr>
        <w:pStyle w:val="Citas"/>
      </w:pPr>
      <w:r>
        <w:t>I. Subdirección de Recursos Humanos;</w:t>
      </w:r>
    </w:p>
    <w:p w14:paraId="75C2D958" w14:textId="77777777" w:rsidR="00DB235D" w:rsidRDefault="00DB235D" w:rsidP="00DB235D">
      <w:pPr>
        <w:pStyle w:val="Citas"/>
      </w:pPr>
      <w:r>
        <w:t xml:space="preserve"> II. Subdirección de Recursos Materiales;</w:t>
      </w:r>
    </w:p>
    <w:p w14:paraId="09FD07F2" w14:textId="77777777" w:rsidR="00DB235D" w:rsidRDefault="00DB235D" w:rsidP="00DB235D">
      <w:pPr>
        <w:pStyle w:val="Citas"/>
      </w:pPr>
      <w:r>
        <w:t xml:space="preserve"> III. Subdirección de Adquisiciones y Contratación de Servicios; y</w:t>
      </w:r>
    </w:p>
    <w:p w14:paraId="538CD421" w14:textId="4B267C52" w:rsidR="007F53A0" w:rsidRDefault="00DB235D" w:rsidP="00DB235D">
      <w:pPr>
        <w:pStyle w:val="Citas"/>
      </w:pPr>
      <w:r>
        <w:t xml:space="preserve"> IV. Subdirección de Servicios Generales.</w:t>
      </w:r>
    </w:p>
    <w:p w14:paraId="4DB8865C" w14:textId="06AC5367" w:rsidR="00DB235D" w:rsidRDefault="00DB235D" w:rsidP="00DB235D">
      <w:pPr>
        <w:pStyle w:val="Citas"/>
      </w:pPr>
      <w:r>
        <w:t xml:space="preserve">Artículo 3.82.- </w:t>
      </w:r>
      <w:r w:rsidRPr="00DB235D">
        <w:rPr>
          <w:b/>
          <w:u w:val="single"/>
        </w:rPr>
        <w:t>La Subdirección de Recursos Humanos,</w:t>
      </w:r>
      <w:r>
        <w:t xml:space="preserve"> tiene las siguientes atribuciones:</w:t>
      </w:r>
    </w:p>
    <w:p w14:paraId="1C085B0E" w14:textId="096C6396" w:rsidR="00DB235D" w:rsidRDefault="00DB235D" w:rsidP="00DB235D">
      <w:pPr>
        <w:pStyle w:val="Citas"/>
      </w:pPr>
      <w:r>
        <w:t>(…)</w:t>
      </w:r>
    </w:p>
    <w:p w14:paraId="1E35330F" w14:textId="14D892AA" w:rsidR="00DB235D" w:rsidRPr="00DB235D" w:rsidRDefault="00DB235D" w:rsidP="00DB235D">
      <w:pPr>
        <w:pStyle w:val="Citas"/>
        <w:rPr>
          <w:b/>
          <w:u w:val="single"/>
        </w:rPr>
      </w:pPr>
      <w:r w:rsidRPr="00DB235D">
        <w:rPr>
          <w:b/>
          <w:u w:val="single"/>
        </w:rPr>
        <w:t>III. Controlar y registrar asistencia, nombramientos, remociones, renuncias, licencias, cambios de adscripción, promociones, incapacidades, vacaciones, días no laborables y demás incidencias relacionadas con las y los servidores públicos municipales</w:t>
      </w:r>
    </w:p>
    <w:p w14:paraId="537F494A" w14:textId="05BF3B03" w:rsidR="00DB235D" w:rsidRDefault="00DB235D" w:rsidP="00DB235D">
      <w:pPr>
        <w:pStyle w:val="Citas"/>
      </w:pPr>
      <w:r>
        <w:t>(…)</w:t>
      </w:r>
    </w:p>
    <w:p w14:paraId="14478AA1" w14:textId="4D869287" w:rsidR="00DB235D" w:rsidRDefault="00DB235D" w:rsidP="00DB235D">
      <w:pPr>
        <w:pStyle w:val="Citas"/>
      </w:pPr>
      <w:r>
        <w:t>XV. Tramitar los finiquitos a que tengan derecho las y los servidores públicos, conforme a lo dispuesto por la legislación aplicable;</w:t>
      </w:r>
    </w:p>
    <w:p w14:paraId="3EB01E22" w14:textId="48B3E72B" w:rsidR="00DB235D" w:rsidRDefault="00DB235D" w:rsidP="00DB235D">
      <w:pPr>
        <w:pStyle w:val="Citas"/>
      </w:pPr>
      <w:r>
        <w:t>(…)</w:t>
      </w:r>
    </w:p>
    <w:p w14:paraId="26DFAC98" w14:textId="77777777" w:rsidR="00226760" w:rsidRDefault="00DB235D" w:rsidP="00DB235D">
      <w:pPr>
        <w:pStyle w:val="Citas"/>
      </w:pPr>
      <w:r>
        <w:lastRenderedPageBreak/>
        <w:t>Artículo 3.83.- Para el eficiente ejercicio de sus funciones, la Subdirección de Recursos Humanos, se auxiliará de las siguientes unidades administrativas:</w:t>
      </w:r>
    </w:p>
    <w:p w14:paraId="37C95070" w14:textId="77777777" w:rsidR="00226760" w:rsidRDefault="00DB235D" w:rsidP="00DB235D">
      <w:pPr>
        <w:pStyle w:val="Citas"/>
      </w:pPr>
      <w:r>
        <w:t xml:space="preserve"> I. Departamento de Relaciones Laborales; y</w:t>
      </w:r>
    </w:p>
    <w:p w14:paraId="38B82AC6" w14:textId="411FB6B9" w:rsidR="00DB235D" w:rsidRDefault="00DB235D" w:rsidP="00DB235D">
      <w:pPr>
        <w:pStyle w:val="Citas"/>
      </w:pPr>
      <w:r>
        <w:t xml:space="preserve"> II. Departamento de Nómina.</w:t>
      </w:r>
    </w:p>
    <w:p w14:paraId="3E0FA7CF" w14:textId="646F9584" w:rsidR="00226760" w:rsidRDefault="00226760" w:rsidP="00DB235D">
      <w:pPr>
        <w:pStyle w:val="Citas"/>
      </w:pPr>
      <w:r>
        <w:t>Artículo 3.84.- El Departamento de Relaciones Laborales, tiene las siguientes atribuciones:</w:t>
      </w:r>
    </w:p>
    <w:p w14:paraId="27C7CE68" w14:textId="1D6D8024" w:rsidR="00226760" w:rsidRDefault="00226760" w:rsidP="00DB235D">
      <w:pPr>
        <w:pStyle w:val="Citas"/>
      </w:pPr>
      <w:r>
        <w:t>I. Garantizar que los movimientos de personal, así como el pago de prestaciones y condiciones generales de trabajo (altas, bajas, cambios de adscripción, promociones, comisiones y demás.) se realicen con apego a normas y políticas establecidas;</w:t>
      </w:r>
    </w:p>
    <w:p w14:paraId="0CD9B0C2" w14:textId="694D0DC3" w:rsidR="00226760" w:rsidRDefault="00226760" w:rsidP="00DB235D">
      <w:pPr>
        <w:pStyle w:val="Citas"/>
        <w:rPr>
          <w:sz w:val="24"/>
          <w:szCs w:val="24"/>
        </w:rPr>
      </w:pPr>
      <w:r>
        <w:rPr>
          <w:sz w:val="24"/>
          <w:szCs w:val="24"/>
        </w:rPr>
        <w:t>(…)</w:t>
      </w:r>
    </w:p>
    <w:p w14:paraId="32D331ED" w14:textId="5F0A4665" w:rsidR="00226760" w:rsidRDefault="00226760" w:rsidP="00DB235D">
      <w:pPr>
        <w:pStyle w:val="Citas"/>
      </w:pPr>
      <w:r>
        <w:t>VIII. Asegurar que el control del archivo de personal se lleve a cabo mediante la integración y actualización permanente de la base de datos, así como del registro, control y resguardo de los expedientes del personal; y garantizando que el manejo de la información se lleve a cabo bajo el esquema de las normas establecidas para garantizar la confidencialidad de los datos personales de las y los servidores públicos;</w:t>
      </w:r>
    </w:p>
    <w:p w14:paraId="283B6A4F" w14:textId="55D6AC31" w:rsidR="00226760" w:rsidRDefault="00226760" w:rsidP="00DB235D">
      <w:pPr>
        <w:pStyle w:val="Citas"/>
      </w:pPr>
      <w:r>
        <w:t>(…)</w:t>
      </w:r>
    </w:p>
    <w:p w14:paraId="2798AF11" w14:textId="3BC2B12E" w:rsidR="00226760" w:rsidRDefault="00226760" w:rsidP="00DB235D">
      <w:pPr>
        <w:pStyle w:val="Citas"/>
      </w:pPr>
      <w:r>
        <w:t>Artículo 5.112.- Las y los servidores públicos tendrán los siguientes derechos:</w:t>
      </w:r>
    </w:p>
    <w:p w14:paraId="37140721" w14:textId="0AAAC710" w:rsidR="00226760" w:rsidRDefault="00226760" w:rsidP="00DB235D">
      <w:pPr>
        <w:pStyle w:val="Citas"/>
      </w:pPr>
      <w:r>
        <w:t>(…)</w:t>
      </w:r>
    </w:p>
    <w:p w14:paraId="54A36FE7" w14:textId="2C1440C3" w:rsidR="00226760" w:rsidRDefault="00226760" w:rsidP="00DB235D">
      <w:pPr>
        <w:pStyle w:val="Citas"/>
      </w:pPr>
      <w:r>
        <w:t>XIV. Renunciar a su empleo cuando así convenga a sus intereses, permaneciendo en el servicio hasta hacer entrega de los fondos, valores o bienes cuya administración o guarda estén a su cuidado, de acuerdo a las disposiciones aplicables;</w:t>
      </w:r>
    </w:p>
    <w:p w14:paraId="20054C76" w14:textId="521D96DB" w:rsidR="00226760" w:rsidRDefault="00226760" w:rsidP="00DB235D">
      <w:pPr>
        <w:pStyle w:val="Citas"/>
      </w:pPr>
      <w:r>
        <w:lastRenderedPageBreak/>
        <w:t>(…)</w:t>
      </w:r>
    </w:p>
    <w:p w14:paraId="54312E6B" w14:textId="387F2883" w:rsidR="00226760" w:rsidRDefault="00226760" w:rsidP="00DB235D">
      <w:pPr>
        <w:pStyle w:val="Citas"/>
        <w:rPr>
          <w:sz w:val="24"/>
          <w:szCs w:val="24"/>
        </w:rPr>
      </w:pPr>
      <w:r>
        <w:t xml:space="preserve">Artículo 5.212.- En caso de cese o renuncia de las y los servidores públicos involucrados, habiéndose determinado su responsabilidad, garantizarán la reparación del daño en favor del Municipio.” [Sic] </w:t>
      </w:r>
    </w:p>
    <w:p w14:paraId="5CB2D093" w14:textId="379CE45A" w:rsidR="007F53A0" w:rsidRDefault="007F53A0" w:rsidP="006B68FC">
      <w:pPr>
        <w:autoSpaceDE w:val="0"/>
        <w:autoSpaceDN w:val="0"/>
        <w:adjustRightInd w:val="0"/>
        <w:spacing w:before="240" w:line="360" w:lineRule="auto"/>
        <w:jc w:val="both"/>
        <w:rPr>
          <w:rFonts w:ascii="Palatino Linotype" w:hAnsi="Palatino Linotype" w:cs="Arial"/>
          <w:sz w:val="24"/>
          <w:szCs w:val="24"/>
        </w:rPr>
      </w:pPr>
    </w:p>
    <w:p w14:paraId="01420C20" w14:textId="74A3CE41" w:rsidR="00226760" w:rsidRDefault="003D2D99" w:rsidP="003D2D99">
      <w:pPr>
        <w:pStyle w:val="INFOEM"/>
        <w:ind w:left="0" w:right="0"/>
        <w:rPr>
          <w:i w:val="0"/>
          <w:sz w:val="24"/>
          <w:szCs w:val="24"/>
        </w:rPr>
      </w:pPr>
      <w:r>
        <w:rPr>
          <w:i w:val="0"/>
          <w:sz w:val="24"/>
          <w:szCs w:val="24"/>
        </w:rPr>
        <w:t xml:space="preserve">Con base en lo anteriormente expuesto se arriba a la premisa de que la esfera competencial del </w:t>
      </w:r>
      <w:r w:rsidR="00226760">
        <w:rPr>
          <w:i w:val="0"/>
          <w:sz w:val="24"/>
          <w:szCs w:val="24"/>
        </w:rPr>
        <w:t xml:space="preserve">Director de Administración, el </w:t>
      </w:r>
      <w:r w:rsidR="00C41758">
        <w:rPr>
          <w:i w:val="0"/>
          <w:sz w:val="24"/>
          <w:szCs w:val="24"/>
        </w:rPr>
        <w:t xml:space="preserve">Subdirector de Recursos Humanos, así como el Jefe del Departamento de Relaciones Laborales les constriñe a controlar y registrar </w:t>
      </w:r>
      <w:r w:rsidR="00A457D1">
        <w:rPr>
          <w:i w:val="0"/>
          <w:sz w:val="24"/>
          <w:szCs w:val="24"/>
        </w:rPr>
        <w:t>renuncias</w:t>
      </w:r>
      <w:r w:rsidR="00C41758">
        <w:rPr>
          <w:i w:val="0"/>
          <w:sz w:val="24"/>
          <w:szCs w:val="24"/>
        </w:rPr>
        <w:t xml:space="preserve">, así como a </w:t>
      </w:r>
      <w:r w:rsidR="00913221">
        <w:rPr>
          <w:i w:val="0"/>
          <w:sz w:val="24"/>
          <w:szCs w:val="24"/>
        </w:rPr>
        <w:t>gestionar</w:t>
      </w:r>
      <w:r w:rsidR="00C41758">
        <w:rPr>
          <w:i w:val="0"/>
          <w:sz w:val="24"/>
          <w:szCs w:val="24"/>
        </w:rPr>
        <w:t xml:space="preserve"> el archivo del personal, englobando lo relativo a sus expedientes. </w:t>
      </w:r>
    </w:p>
    <w:p w14:paraId="3C2B6F8F" w14:textId="75D5EB11" w:rsidR="00226760" w:rsidRDefault="00A457D1" w:rsidP="003D2D99">
      <w:pPr>
        <w:pStyle w:val="INFOEM"/>
        <w:ind w:left="0" w:right="0"/>
        <w:rPr>
          <w:i w:val="0"/>
          <w:sz w:val="24"/>
          <w:szCs w:val="24"/>
        </w:rPr>
      </w:pPr>
      <w:r>
        <w:rPr>
          <w:i w:val="0"/>
          <w:sz w:val="24"/>
          <w:szCs w:val="24"/>
        </w:rPr>
        <w:t>De forma complementar</w:t>
      </w:r>
      <w:r w:rsidR="00236C82">
        <w:rPr>
          <w:i w:val="0"/>
          <w:sz w:val="24"/>
          <w:szCs w:val="24"/>
        </w:rPr>
        <w:t>ia</w:t>
      </w:r>
      <w:r>
        <w:rPr>
          <w:i w:val="0"/>
          <w:sz w:val="24"/>
          <w:szCs w:val="24"/>
        </w:rPr>
        <w:t xml:space="preserve">, resulta imprescindible referir que la Ley del Trabajo de los Servidores Públicos del Estado y Municipios </w:t>
      </w:r>
      <w:proofErr w:type="gramStart"/>
      <w:r w:rsidR="00913221">
        <w:rPr>
          <w:i w:val="0"/>
          <w:sz w:val="24"/>
          <w:szCs w:val="24"/>
        </w:rPr>
        <w:t>alude</w:t>
      </w:r>
      <w:proofErr w:type="gramEnd"/>
      <w:r>
        <w:rPr>
          <w:i w:val="0"/>
          <w:sz w:val="24"/>
          <w:szCs w:val="24"/>
        </w:rPr>
        <w:t xml:space="preserve"> que las causas de terminación laboral sin responsabilidad para las instituciones públicas serán las siguientes: </w:t>
      </w:r>
    </w:p>
    <w:p w14:paraId="369700FE" w14:textId="0F80D42B" w:rsidR="00A457D1" w:rsidRPr="00A457D1" w:rsidRDefault="00A457D1" w:rsidP="00A457D1">
      <w:pPr>
        <w:pStyle w:val="INFOEM"/>
        <w:numPr>
          <w:ilvl w:val="0"/>
          <w:numId w:val="8"/>
        </w:numPr>
        <w:ind w:right="0"/>
        <w:rPr>
          <w:b/>
          <w:i w:val="0"/>
          <w:sz w:val="24"/>
          <w:szCs w:val="24"/>
          <w:u w:val="single"/>
        </w:rPr>
      </w:pPr>
      <w:r w:rsidRPr="00A457D1">
        <w:rPr>
          <w:b/>
          <w:i w:val="0"/>
          <w:sz w:val="24"/>
          <w:szCs w:val="24"/>
          <w:u w:val="single"/>
        </w:rPr>
        <w:t xml:space="preserve">Renuncia del servidor público </w:t>
      </w:r>
    </w:p>
    <w:p w14:paraId="0940A183" w14:textId="142A639D" w:rsidR="00A457D1" w:rsidRDefault="00A457D1" w:rsidP="00A457D1">
      <w:pPr>
        <w:pStyle w:val="INFOEM"/>
        <w:numPr>
          <w:ilvl w:val="0"/>
          <w:numId w:val="8"/>
        </w:numPr>
        <w:ind w:right="0"/>
        <w:rPr>
          <w:i w:val="0"/>
          <w:sz w:val="24"/>
          <w:szCs w:val="24"/>
        </w:rPr>
      </w:pPr>
      <w:r>
        <w:rPr>
          <w:i w:val="0"/>
          <w:sz w:val="24"/>
          <w:szCs w:val="24"/>
        </w:rPr>
        <w:t xml:space="preserve">Mutuo consentimiento de las partes. </w:t>
      </w:r>
    </w:p>
    <w:p w14:paraId="3C729E29" w14:textId="3D9D47B1" w:rsidR="00A457D1" w:rsidRDefault="00A457D1" w:rsidP="00A457D1">
      <w:pPr>
        <w:pStyle w:val="INFOEM"/>
        <w:numPr>
          <w:ilvl w:val="0"/>
          <w:numId w:val="8"/>
        </w:numPr>
        <w:ind w:right="0"/>
        <w:rPr>
          <w:i w:val="0"/>
          <w:sz w:val="24"/>
          <w:szCs w:val="24"/>
        </w:rPr>
      </w:pPr>
      <w:r>
        <w:rPr>
          <w:i w:val="0"/>
          <w:sz w:val="24"/>
          <w:szCs w:val="24"/>
        </w:rPr>
        <w:t xml:space="preserve">Vencimiento del término o conclusión de la obra determinantes de la contratación. </w:t>
      </w:r>
    </w:p>
    <w:p w14:paraId="2A9552FC" w14:textId="2A2F9D35" w:rsidR="00A457D1" w:rsidRDefault="00A457D1" w:rsidP="00A457D1">
      <w:pPr>
        <w:pStyle w:val="INFOEM"/>
        <w:numPr>
          <w:ilvl w:val="0"/>
          <w:numId w:val="8"/>
        </w:numPr>
        <w:ind w:right="0"/>
        <w:rPr>
          <w:i w:val="0"/>
          <w:sz w:val="24"/>
          <w:szCs w:val="24"/>
        </w:rPr>
      </w:pPr>
      <w:r>
        <w:rPr>
          <w:i w:val="0"/>
          <w:sz w:val="24"/>
          <w:szCs w:val="24"/>
        </w:rPr>
        <w:t xml:space="preserve">Término o conclusión de la administración en la cual fue contratado el servidor público. </w:t>
      </w:r>
    </w:p>
    <w:p w14:paraId="005A7B0F" w14:textId="3ABE06C3" w:rsidR="00A457D1" w:rsidRDefault="00A457D1" w:rsidP="00A457D1">
      <w:pPr>
        <w:pStyle w:val="INFOEM"/>
        <w:numPr>
          <w:ilvl w:val="0"/>
          <w:numId w:val="8"/>
        </w:numPr>
        <w:ind w:right="0"/>
        <w:rPr>
          <w:i w:val="0"/>
          <w:sz w:val="24"/>
          <w:szCs w:val="24"/>
        </w:rPr>
      </w:pPr>
      <w:r>
        <w:rPr>
          <w:i w:val="0"/>
          <w:sz w:val="24"/>
          <w:szCs w:val="24"/>
        </w:rPr>
        <w:t xml:space="preserve">La muerte del servidor público. </w:t>
      </w:r>
    </w:p>
    <w:p w14:paraId="2453B7C7" w14:textId="72AE3FE5" w:rsidR="00A457D1" w:rsidRDefault="00A457D1" w:rsidP="00A457D1">
      <w:pPr>
        <w:pStyle w:val="INFOEM"/>
        <w:numPr>
          <w:ilvl w:val="0"/>
          <w:numId w:val="8"/>
        </w:numPr>
        <w:ind w:right="0"/>
        <w:rPr>
          <w:i w:val="0"/>
          <w:sz w:val="24"/>
          <w:szCs w:val="24"/>
        </w:rPr>
      </w:pPr>
      <w:r>
        <w:rPr>
          <w:i w:val="0"/>
          <w:sz w:val="24"/>
          <w:szCs w:val="24"/>
        </w:rPr>
        <w:lastRenderedPageBreak/>
        <w:t xml:space="preserve">La incapacidad permanente del servidor público que le impida el desempeño de sus labores. </w:t>
      </w:r>
    </w:p>
    <w:p w14:paraId="69639FBB" w14:textId="77777777" w:rsidR="00226760" w:rsidRDefault="00226760" w:rsidP="003D2D99">
      <w:pPr>
        <w:pStyle w:val="INFOEM"/>
        <w:ind w:left="0" w:right="0"/>
        <w:rPr>
          <w:i w:val="0"/>
          <w:sz w:val="24"/>
          <w:szCs w:val="24"/>
        </w:rPr>
      </w:pPr>
    </w:p>
    <w:p w14:paraId="68CFA8D8" w14:textId="3CF7AE0A" w:rsidR="00970CB5" w:rsidRPr="00970CB5" w:rsidRDefault="00D338F0" w:rsidP="00271EED">
      <w:pPr>
        <w:pStyle w:val="Default"/>
        <w:spacing w:before="240" w:after="160" w:line="360" w:lineRule="auto"/>
        <w:jc w:val="both"/>
        <w:rPr>
          <w:rFonts w:ascii="Palatino Linotype" w:eastAsia="Times New Roman" w:hAnsi="Palatino Linotype"/>
        </w:rPr>
      </w:pPr>
      <w:r w:rsidRPr="00353C25">
        <w:rPr>
          <w:rFonts w:ascii="Palatino Linotype" w:eastAsia="Times New Roman" w:hAnsi="Palatino Linotype"/>
        </w:rPr>
        <w:t xml:space="preserve">En suma, </w:t>
      </w:r>
      <w:r w:rsidRPr="00353C25">
        <w:rPr>
          <w:rFonts w:ascii="Palatino Linotype" w:eastAsia="Times New Roman" w:hAnsi="Palatino Linotype"/>
          <w:b/>
        </w:rPr>
        <w:t xml:space="preserve">El Sujeto Obligado </w:t>
      </w:r>
      <w:r w:rsidR="008D6297">
        <w:rPr>
          <w:rFonts w:ascii="Palatino Linotype" w:eastAsia="Times New Roman" w:hAnsi="Palatino Linotype"/>
        </w:rPr>
        <w:t>se encuentra constreñido a</w:t>
      </w:r>
      <w:r w:rsidR="00970CB5">
        <w:rPr>
          <w:rFonts w:ascii="Palatino Linotype" w:eastAsia="Times New Roman" w:hAnsi="Palatino Linotype"/>
        </w:rPr>
        <w:t xml:space="preserve"> generar, poseer y administrar la información requerida. Asimismo, resulta de interés público conocer la información requerida mediante la solicitud de información </w:t>
      </w:r>
      <w:r w:rsidR="00970CB5">
        <w:rPr>
          <w:rFonts w:ascii="Palatino Linotype" w:eastAsia="Times New Roman" w:hAnsi="Palatino Linotype"/>
          <w:b/>
        </w:rPr>
        <w:t xml:space="preserve">00440/METEPEC/IP/2021. </w:t>
      </w:r>
      <w:r w:rsidR="00970CB5">
        <w:rPr>
          <w:rFonts w:ascii="Palatino Linotype" w:eastAsia="Times New Roman" w:hAnsi="Palatino Linotype"/>
        </w:rPr>
        <w:t xml:space="preserve"> </w:t>
      </w:r>
    </w:p>
    <w:p w14:paraId="3C0DC2DE" w14:textId="6B5C087F" w:rsidR="00970CB5" w:rsidRDefault="00211C66" w:rsidP="00271EED">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Ahora bien</w:t>
      </w:r>
      <w:r w:rsidR="000B7D23">
        <w:rPr>
          <w:rFonts w:ascii="Palatino Linotype" w:hAnsi="Palatino Linotype"/>
          <w:noProof/>
          <w:lang w:eastAsia="es-MX"/>
        </w:rPr>
        <w:t xml:space="preserve">, como se mencionó en el antecedente segundo, </w:t>
      </w:r>
      <w:r w:rsidR="000B7D23">
        <w:rPr>
          <w:rFonts w:ascii="Palatino Linotype" w:hAnsi="Palatino Linotype"/>
          <w:b/>
          <w:noProof/>
          <w:lang w:eastAsia="es-MX"/>
        </w:rPr>
        <w:t xml:space="preserve">El Sujeto Obligado </w:t>
      </w:r>
      <w:r w:rsidR="000B7D23">
        <w:rPr>
          <w:rFonts w:ascii="Palatino Linotype" w:hAnsi="Palatino Linotype"/>
          <w:noProof/>
          <w:lang w:eastAsia="es-MX"/>
        </w:rPr>
        <w:t xml:space="preserve">en fecha </w:t>
      </w:r>
      <w:r w:rsidR="00970CB5">
        <w:rPr>
          <w:rFonts w:ascii="Palatino Linotype" w:hAnsi="Palatino Linotype"/>
          <w:noProof/>
          <w:lang w:eastAsia="es-MX"/>
        </w:rPr>
        <w:t xml:space="preserve">veintiseis de agosto de dos mil veintiuno, rindió su respuesta a la solicitud de información formulada por el particular, adjuntando para tal efecto lo siguiente: </w:t>
      </w:r>
    </w:p>
    <w:p w14:paraId="44BEF2A9" w14:textId="62D6A293" w:rsidR="00970CB5" w:rsidRPr="00970CB5" w:rsidRDefault="00970CB5" w:rsidP="00970CB5">
      <w:pPr>
        <w:pStyle w:val="Default"/>
        <w:numPr>
          <w:ilvl w:val="0"/>
          <w:numId w:val="9"/>
        </w:numPr>
        <w:spacing w:before="240" w:after="160" w:line="360" w:lineRule="auto"/>
        <w:jc w:val="both"/>
        <w:rPr>
          <w:rFonts w:ascii="Palatino Linotype" w:hAnsi="Palatino Linotype"/>
          <w:b/>
          <w:noProof/>
          <w:lang w:eastAsia="es-MX"/>
        </w:rPr>
      </w:pPr>
      <w:r>
        <w:rPr>
          <w:rFonts w:ascii="Palatino Linotype" w:hAnsi="Palatino Linotype"/>
          <w:b/>
          <w:noProof/>
          <w:lang w:eastAsia="es-MX"/>
        </w:rPr>
        <w:t xml:space="preserve">“440.zip”: </w:t>
      </w:r>
      <w:r>
        <w:rPr>
          <w:rFonts w:ascii="Palatino Linotype" w:hAnsi="Palatino Linotype"/>
          <w:noProof/>
          <w:lang w:eastAsia="es-MX"/>
        </w:rPr>
        <w:t xml:space="preserve">Compila lo siguiente: </w:t>
      </w:r>
    </w:p>
    <w:p w14:paraId="5F27BADD" w14:textId="544C1727" w:rsidR="00970CB5" w:rsidRPr="00970CB5" w:rsidRDefault="00970CB5" w:rsidP="00970CB5">
      <w:pPr>
        <w:pStyle w:val="Default"/>
        <w:numPr>
          <w:ilvl w:val="0"/>
          <w:numId w:val="8"/>
        </w:numPr>
        <w:spacing w:before="240" w:after="160" w:line="360" w:lineRule="auto"/>
        <w:jc w:val="both"/>
        <w:rPr>
          <w:rFonts w:ascii="Palatino Linotype" w:hAnsi="Palatino Linotype"/>
          <w:b/>
          <w:noProof/>
          <w:lang w:eastAsia="es-MX"/>
        </w:rPr>
      </w:pPr>
      <w:r>
        <w:rPr>
          <w:rFonts w:ascii="Palatino Linotype" w:hAnsi="Palatino Linotype"/>
          <w:b/>
          <w:noProof/>
          <w:lang w:eastAsia="es-MX"/>
        </w:rPr>
        <w:t xml:space="preserve">“857-00440-Admón.pdf”: </w:t>
      </w:r>
      <w:r>
        <w:rPr>
          <w:rFonts w:ascii="Palatino Linotype" w:hAnsi="Palatino Linotype"/>
          <w:noProof/>
          <w:lang w:eastAsia="es-MX"/>
        </w:rPr>
        <w:t xml:space="preserve">Oficio </w:t>
      </w:r>
      <w:r>
        <w:rPr>
          <w:rFonts w:ascii="Palatino Linotype" w:hAnsi="Palatino Linotype"/>
          <w:b/>
          <w:noProof/>
          <w:lang w:eastAsia="es-MX"/>
        </w:rPr>
        <w:t xml:space="preserve">DA/3537/2021 </w:t>
      </w:r>
      <w:r>
        <w:rPr>
          <w:rFonts w:ascii="Palatino Linotype" w:hAnsi="Palatino Linotype"/>
          <w:noProof/>
          <w:lang w:eastAsia="es-MX"/>
        </w:rPr>
        <w:t xml:space="preserve">signado por la Directora de Administración y dirigido al Jefe de la Unidad de Transparencia, de fecha diecinueve de agosto de dos mil veintiuno, en lo medular resulta de nuestro interés el siguiente extracto: </w:t>
      </w:r>
    </w:p>
    <w:p w14:paraId="75C11CA7" w14:textId="77777777" w:rsidR="00970CB5" w:rsidRPr="00524E8D" w:rsidRDefault="00970CB5" w:rsidP="00970CB5">
      <w:pPr>
        <w:pStyle w:val="Default"/>
        <w:spacing w:before="240" w:after="160" w:line="360" w:lineRule="auto"/>
        <w:ind w:left="720"/>
        <w:jc w:val="both"/>
        <w:rPr>
          <w:rFonts w:ascii="Palatino Linotype" w:hAnsi="Palatino Linotype"/>
          <w:b/>
          <w:i/>
          <w:noProof/>
          <w:u w:val="single"/>
          <w:lang w:eastAsia="es-MX"/>
        </w:rPr>
      </w:pPr>
      <w:r>
        <w:rPr>
          <w:rFonts w:ascii="Palatino Linotype" w:hAnsi="Palatino Linotype"/>
          <w:b/>
          <w:i/>
          <w:noProof/>
          <w:lang w:eastAsia="es-MX"/>
        </w:rPr>
        <w:t xml:space="preserve">“(…) </w:t>
      </w:r>
      <w:r w:rsidRPr="00524E8D">
        <w:rPr>
          <w:rFonts w:ascii="Palatino Linotype" w:hAnsi="Palatino Linotype"/>
          <w:b/>
          <w:i/>
          <w:noProof/>
          <w:u w:val="single"/>
          <w:lang w:eastAsia="es-MX"/>
        </w:rPr>
        <w:t xml:space="preserve">las RENUNCIAS se encuentran integrando expedientes que a este momento están en resguardo de las autoridades judiciales por motivo de un procedimiento laboral; por lo que su divulgación pudiera obstruir, afectar o vulnerar la conducción y resoluciones de los mismos. </w:t>
      </w:r>
    </w:p>
    <w:p w14:paraId="0621237D" w14:textId="6F207FDF" w:rsidR="00970CB5" w:rsidRDefault="00970CB5" w:rsidP="00970CB5">
      <w:pPr>
        <w:pStyle w:val="Default"/>
        <w:spacing w:before="240" w:after="160" w:line="360" w:lineRule="auto"/>
        <w:ind w:left="720"/>
        <w:jc w:val="both"/>
        <w:rPr>
          <w:rFonts w:ascii="Palatino Linotype" w:hAnsi="Palatino Linotype"/>
          <w:i/>
          <w:noProof/>
          <w:lang w:eastAsia="es-MX"/>
        </w:rPr>
      </w:pPr>
      <w:r w:rsidRPr="00524E8D">
        <w:rPr>
          <w:rFonts w:ascii="Palatino Linotype" w:hAnsi="Palatino Linotype"/>
          <w:b/>
          <w:i/>
          <w:noProof/>
          <w:u w:val="single"/>
          <w:lang w:eastAsia="es-MX"/>
        </w:rPr>
        <w:t xml:space="preserve">En consecuencia de lo anterior, </w:t>
      </w:r>
      <w:r w:rsidR="005E2749" w:rsidRPr="00524E8D">
        <w:rPr>
          <w:rFonts w:ascii="Palatino Linotype" w:hAnsi="Palatino Linotype"/>
          <w:b/>
          <w:i/>
          <w:noProof/>
          <w:u w:val="single"/>
          <w:lang w:eastAsia="es-MX"/>
        </w:rPr>
        <w:t>se propone la reserva de la información por un periodo de 6 meses</w:t>
      </w:r>
      <w:r w:rsidR="005E2749">
        <w:rPr>
          <w:rFonts w:ascii="Palatino Linotype" w:hAnsi="Palatino Linotype"/>
          <w:b/>
          <w:i/>
          <w:noProof/>
          <w:lang w:eastAsia="es-MX"/>
        </w:rPr>
        <w:t xml:space="preserve"> </w:t>
      </w:r>
      <w:r w:rsidR="005E2749">
        <w:rPr>
          <w:rFonts w:ascii="Palatino Linotype" w:hAnsi="Palatino Linotype"/>
          <w:i/>
          <w:noProof/>
          <w:lang w:eastAsia="es-MX"/>
        </w:rPr>
        <w:t>lo que resulta necesario para proteger la misma durante el tiempo del procedimiento, y en tanto pueda desahogarse conforme a</w:t>
      </w:r>
      <w:r w:rsidR="004B7109">
        <w:rPr>
          <w:rFonts w:ascii="Palatino Linotype" w:hAnsi="Palatino Linotype"/>
          <w:i/>
          <w:noProof/>
          <w:lang w:eastAsia="es-MX"/>
        </w:rPr>
        <w:t xml:space="preserve"> la normatividad </w:t>
      </w:r>
      <w:r w:rsidR="004B7109">
        <w:rPr>
          <w:rFonts w:ascii="Palatino Linotype" w:hAnsi="Palatino Linotype"/>
          <w:i/>
          <w:noProof/>
          <w:lang w:eastAsia="es-MX"/>
        </w:rPr>
        <w:lastRenderedPageBreak/>
        <w:t xml:space="preserve">administrativa, y en razón de que la divulgación del procedimiento puede poner en riesgo las opiniones, recomendaciones o puntos de vista durante el procedimiento deliberativo del mismo; presentando esta propuesta de clasificación de conformidad con los artículos 113, fracción VIII de la Ley General de Transparencia y Acceso a la Información Pública y, Artículo 140 fracción VII de la Ley de Transparencia y Acceso a la Información Pública del Estado de México y sus Municipios sin perjuicio de que se pueda llevar a cabo su respectiva desclasificación cuando dejen de subsistir las causas que dieron lugar al origen de la clasificación. </w:t>
      </w:r>
    </w:p>
    <w:p w14:paraId="3FB0A24D" w14:textId="62497691" w:rsidR="004B7109" w:rsidRPr="004B7109" w:rsidRDefault="004B7109" w:rsidP="00970CB5">
      <w:pPr>
        <w:pStyle w:val="Default"/>
        <w:spacing w:before="240" w:after="160" w:line="360" w:lineRule="auto"/>
        <w:ind w:left="720"/>
        <w:jc w:val="both"/>
        <w:rPr>
          <w:rFonts w:ascii="Palatino Linotype" w:hAnsi="Palatino Linotype"/>
          <w:b/>
          <w:i/>
          <w:noProof/>
          <w:lang w:eastAsia="es-MX"/>
        </w:rPr>
      </w:pPr>
      <w:r w:rsidRPr="004B7109">
        <w:rPr>
          <w:rFonts w:ascii="Palatino Linotype" w:hAnsi="Palatino Linotype"/>
          <w:i/>
          <w:noProof/>
          <w:lang w:eastAsia="es-MX"/>
        </w:rPr>
        <w:t>(…)”</w:t>
      </w:r>
      <w:r>
        <w:rPr>
          <w:rFonts w:ascii="Palatino Linotype" w:hAnsi="Palatino Linotype"/>
          <w:i/>
          <w:noProof/>
          <w:lang w:eastAsia="es-MX"/>
        </w:rPr>
        <w:t xml:space="preserve"> </w:t>
      </w:r>
      <w:r>
        <w:rPr>
          <w:rFonts w:ascii="Palatino Linotype" w:hAnsi="Palatino Linotype"/>
          <w:b/>
          <w:i/>
          <w:noProof/>
          <w:lang w:eastAsia="es-MX"/>
        </w:rPr>
        <w:t xml:space="preserve">[Sic] </w:t>
      </w:r>
    </w:p>
    <w:p w14:paraId="613BFAFE" w14:textId="77777777" w:rsidR="00970CB5" w:rsidRDefault="00970CB5" w:rsidP="00271EED">
      <w:pPr>
        <w:pStyle w:val="Default"/>
        <w:spacing w:before="240" w:after="160" w:line="360" w:lineRule="auto"/>
        <w:jc w:val="both"/>
        <w:rPr>
          <w:rFonts w:ascii="Palatino Linotype" w:hAnsi="Palatino Linotype"/>
          <w:noProof/>
          <w:lang w:eastAsia="es-MX"/>
        </w:rPr>
      </w:pPr>
    </w:p>
    <w:p w14:paraId="3C95A04F" w14:textId="04DC82AA" w:rsidR="00EF22EE" w:rsidRDefault="00EF22EE" w:rsidP="00EF22EE">
      <w:pPr>
        <w:spacing w:after="240" w:line="360" w:lineRule="auto"/>
        <w:jc w:val="both"/>
        <w:rPr>
          <w:rFonts w:ascii="Palatino Linotype" w:eastAsia="Calibri" w:hAnsi="Palatino Linotype"/>
          <w:sz w:val="24"/>
          <w:szCs w:val="24"/>
        </w:rPr>
      </w:pPr>
      <w:r w:rsidRPr="00EF22EE">
        <w:rPr>
          <w:rFonts w:ascii="Palatino Linotype" w:hAnsi="Palatino Linotype"/>
          <w:noProof/>
          <w:sz w:val="24"/>
          <w:szCs w:val="24"/>
          <w:lang w:eastAsia="es-MX"/>
        </w:rPr>
        <w:t xml:space="preserve">Bajo estas líneas argumentativas, de la lectura integral del documento en cita, no se desprende que </w:t>
      </w:r>
      <w:r w:rsidRPr="00EF22EE">
        <w:rPr>
          <w:rFonts w:ascii="Palatino Linotype" w:hAnsi="Palatino Linotype"/>
          <w:b/>
          <w:noProof/>
          <w:sz w:val="24"/>
          <w:szCs w:val="24"/>
          <w:lang w:eastAsia="es-MX"/>
        </w:rPr>
        <w:t xml:space="preserve">El Sujeto Obligado </w:t>
      </w:r>
      <w:r w:rsidRPr="008D6297">
        <w:rPr>
          <w:rFonts w:ascii="Palatino Linotype" w:hAnsi="Palatino Linotype"/>
          <w:b/>
          <w:noProof/>
          <w:sz w:val="24"/>
          <w:szCs w:val="24"/>
          <w:u w:val="single"/>
          <w:lang w:eastAsia="es-MX"/>
        </w:rPr>
        <w:t>haya realizado una debida prueba de daño, al no realizar un analisis caso por caso, debidamente fundado y motivado.</w:t>
      </w:r>
      <w:r w:rsidRPr="00EF22EE">
        <w:rPr>
          <w:rFonts w:ascii="Palatino Linotype" w:hAnsi="Palatino Linotype"/>
          <w:noProof/>
          <w:sz w:val="24"/>
          <w:szCs w:val="24"/>
          <w:lang w:eastAsia="es-MX"/>
        </w:rPr>
        <w:t xml:space="preserve"> En efecto, el </w:t>
      </w:r>
      <w:r w:rsidRPr="00EF22EE">
        <w:rPr>
          <w:rFonts w:ascii="Palatino Linotype" w:eastAsia="Calibri" w:hAnsi="Palatino Linotype"/>
          <w:sz w:val="24"/>
          <w:szCs w:val="24"/>
        </w:rPr>
        <w:t>artículo 128, párrafo segundo de la Ley</w:t>
      </w:r>
      <w:r>
        <w:rPr>
          <w:rFonts w:ascii="Palatino Linotype" w:eastAsia="Calibri" w:hAnsi="Palatino Linotype"/>
          <w:sz w:val="24"/>
          <w:szCs w:val="24"/>
        </w:rPr>
        <w:t xml:space="preserve"> de Transparencia y Acceso a la I</w:t>
      </w:r>
      <w:r w:rsidRPr="00EE1ADB">
        <w:rPr>
          <w:rFonts w:ascii="Palatino Linotype" w:eastAsia="Calibri" w:hAnsi="Palatino Linotype"/>
          <w:sz w:val="24"/>
          <w:szCs w:val="24"/>
        </w:rPr>
        <w:t>nformación</w:t>
      </w:r>
      <w:r>
        <w:rPr>
          <w:rFonts w:ascii="Palatino Linotype" w:eastAsia="Calibri" w:hAnsi="Palatino Linotype"/>
          <w:sz w:val="24"/>
          <w:szCs w:val="24"/>
        </w:rPr>
        <w:t xml:space="preserve"> Pública del E</w:t>
      </w:r>
      <w:r w:rsidRPr="00EE1ADB">
        <w:rPr>
          <w:rFonts w:ascii="Palatino Linotype" w:eastAsia="Calibri" w:hAnsi="Palatino Linotype"/>
          <w:sz w:val="24"/>
          <w:szCs w:val="24"/>
        </w:rPr>
        <w:t>s</w:t>
      </w:r>
      <w:r>
        <w:rPr>
          <w:rFonts w:ascii="Palatino Linotype" w:eastAsia="Calibri" w:hAnsi="Palatino Linotype"/>
          <w:sz w:val="24"/>
          <w:szCs w:val="24"/>
        </w:rPr>
        <w:t>tado de México y M</w:t>
      </w:r>
      <w:r w:rsidRPr="00EE1ADB">
        <w:rPr>
          <w:rFonts w:ascii="Palatino Linotype" w:eastAsia="Calibri" w:hAnsi="Palatino Linotype"/>
          <w:sz w:val="24"/>
          <w:szCs w:val="24"/>
        </w:rPr>
        <w:t>unicipios</w:t>
      </w:r>
      <w:r>
        <w:rPr>
          <w:rFonts w:ascii="Palatino Linotype" w:eastAsia="Calibri" w:hAnsi="Palatino Linotype"/>
          <w:sz w:val="24"/>
          <w:szCs w:val="24"/>
        </w:rPr>
        <w:t xml:space="preserve">, establece que a efecto de motivar la clasificación de información, </w:t>
      </w:r>
      <w:r w:rsidRPr="00CD12F1">
        <w:rPr>
          <w:rFonts w:ascii="Palatino Linotype" w:eastAsia="Calibri" w:hAnsi="Palatino Linotype"/>
          <w:sz w:val="24"/>
          <w:szCs w:val="24"/>
        </w:rPr>
        <w:t>se</w:t>
      </w:r>
      <w:r>
        <w:rPr>
          <w:rFonts w:ascii="Palatino Linotype" w:eastAsia="Calibri" w:hAnsi="Palatino Linotype"/>
          <w:sz w:val="24"/>
          <w:szCs w:val="24"/>
        </w:rPr>
        <w:t xml:space="preserve"> debe</w:t>
      </w:r>
      <w:r w:rsidR="008D6297">
        <w:rPr>
          <w:rFonts w:ascii="Palatino Linotype" w:eastAsia="Calibri" w:hAnsi="Palatino Linotype"/>
          <w:sz w:val="24"/>
          <w:szCs w:val="24"/>
        </w:rPr>
        <w:t>n</w:t>
      </w:r>
      <w:r>
        <w:rPr>
          <w:rFonts w:ascii="Palatino Linotype" w:eastAsia="Calibri" w:hAnsi="Palatino Linotype"/>
          <w:sz w:val="24"/>
          <w:szCs w:val="24"/>
        </w:rPr>
        <w:t xml:space="preserve"> establecer las</w:t>
      </w:r>
      <w:r w:rsidRPr="00CD12F1">
        <w:rPr>
          <w:rFonts w:ascii="Palatino Linotype" w:eastAsia="Calibri" w:hAnsi="Palatino Linotype"/>
          <w:sz w:val="24"/>
          <w:szCs w:val="24"/>
        </w:rPr>
        <w:t xml:space="preserve"> razones, motivos o circunstancias especiales que </w:t>
      </w:r>
      <w:r>
        <w:rPr>
          <w:rFonts w:ascii="Palatino Linotype" w:eastAsia="Calibri" w:hAnsi="Palatino Linotype"/>
          <w:sz w:val="24"/>
          <w:szCs w:val="24"/>
        </w:rPr>
        <w:t xml:space="preserve">lo </w:t>
      </w:r>
      <w:r w:rsidRPr="00CD12F1">
        <w:rPr>
          <w:rFonts w:ascii="Palatino Linotype" w:eastAsia="Calibri" w:hAnsi="Palatino Linotype"/>
          <w:sz w:val="24"/>
          <w:szCs w:val="24"/>
        </w:rPr>
        <w:t>llevaron a concluir que el caso</w:t>
      </w:r>
      <w:r>
        <w:rPr>
          <w:rFonts w:ascii="Palatino Linotype" w:eastAsia="Calibri" w:hAnsi="Palatino Linotype"/>
          <w:sz w:val="24"/>
          <w:szCs w:val="24"/>
        </w:rPr>
        <w:t xml:space="preserve"> encuadra en la descripción de </w:t>
      </w:r>
      <w:r w:rsidRPr="00CD12F1">
        <w:rPr>
          <w:rFonts w:ascii="Palatino Linotype" w:eastAsia="Calibri" w:hAnsi="Palatino Linotype"/>
          <w:sz w:val="24"/>
          <w:szCs w:val="24"/>
        </w:rPr>
        <w:t xml:space="preserve">la norma </w:t>
      </w:r>
      <w:r>
        <w:rPr>
          <w:rFonts w:ascii="Palatino Linotype" w:eastAsia="Calibri" w:hAnsi="Palatino Linotype"/>
          <w:sz w:val="24"/>
          <w:szCs w:val="24"/>
        </w:rPr>
        <w:t>jurídica señala como fundamento, aplicando en todo momento una prueba de daño en términos del artículo 129, fracciones I, II y III, 134, párrafo tercero y 141 de la Ley de Transparencia y Acceso a la I</w:t>
      </w:r>
      <w:r w:rsidRPr="00EE1ADB">
        <w:rPr>
          <w:rFonts w:ascii="Palatino Linotype" w:eastAsia="Calibri" w:hAnsi="Palatino Linotype"/>
          <w:sz w:val="24"/>
          <w:szCs w:val="24"/>
        </w:rPr>
        <w:t>nformación</w:t>
      </w:r>
      <w:r>
        <w:rPr>
          <w:rFonts w:ascii="Palatino Linotype" w:eastAsia="Calibri" w:hAnsi="Palatino Linotype"/>
          <w:sz w:val="24"/>
          <w:szCs w:val="24"/>
        </w:rPr>
        <w:t xml:space="preserve"> Pública del E</w:t>
      </w:r>
      <w:r w:rsidRPr="00EE1ADB">
        <w:rPr>
          <w:rFonts w:ascii="Palatino Linotype" w:eastAsia="Calibri" w:hAnsi="Palatino Linotype"/>
          <w:sz w:val="24"/>
          <w:szCs w:val="24"/>
        </w:rPr>
        <w:t>s</w:t>
      </w:r>
      <w:r>
        <w:rPr>
          <w:rFonts w:ascii="Palatino Linotype" w:eastAsia="Calibri" w:hAnsi="Palatino Linotype"/>
          <w:sz w:val="24"/>
          <w:szCs w:val="24"/>
        </w:rPr>
        <w:t>tado de México y M</w:t>
      </w:r>
      <w:r w:rsidRPr="00EE1ADB">
        <w:rPr>
          <w:rFonts w:ascii="Palatino Linotype" w:eastAsia="Calibri" w:hAnsi="Palatino Linotype"/>
          <w:sz w:val="24"/>
          <w:szCs w:val="24"/>
        </w:rPr>
        <w:t>unicipios</w:t>
      </w:r>
      <w:r>
        <w:rPr>
          <w:rFonts w:ascii="Palatino Linotype" w:eastAsia="Calibri" w:hAnsi="Palatino Linotype"/>
          <w:sz w:val="24"/>
          <w:szCs w:val="24"/>
        </w:rPr>
        <w:t xml:space="preserve"> vigente, los cuales en lo que interesa son del tenor literal siguiente: </w:t>
      </w:r>
    </w:p>
    <w:p w14:paraId="3FFA23AD" w14:textId="77777777" w:rsidR="00EF22EE" w:rsidRDefault="00EF22EE" w:rsidP="00EF22EE">
      <w:pPr>
        <w:spacing w:after="240" w:line="360" w:lineRule="auto"/>
        <w:jc w:val="both"/>
        <w:rPr>
          <w:rFonts w:ascii="Palatino Linotype" w:eastAsia="Calibri" w:hAnsi="Palatino Linotype"/>
          <w:sz w:val="24"/>
          <w:szCs w:val="24"/>
        </w:rPr>
      </w:pPr>
    </w:p>
    <w:p w14:paraId="5333D735" w14:textId="77777777" w:rsidR="00EF22EE" w:rsidRPr="00756A0C" w:rsidRDefault="00EF22EE" w:rsidP="00EF22EE">
      <w:pPr>
        <w:pStyle w:val="infoem0"/>
      </w:pPr>
      <w:r>
        <w:lastRenderedPageBreak/>
        <w:t>“</w:t>
      </w:r>
      <w:r w:rsidRPr="00756A0C">
        <w:t>Artículo 128</w:t>
      </w:r>
    </w:p>
    <w:p w14:paraId="06D3E44C" w14:textId="77777777" w:rsidR="00EF22EE" w:rsidRDefault="00EF22EE" w:rsidP="00EF22EE">
      <w:pPr>
        <w:pStyle w:val="infoem0"/>
      </w:pPr>
      <w:r w:rsidRPr="00756A0C">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t>…</w:t>
      </w:r>
    </w:p>
    <w:p w14:paraId="09E9FB7F" w14:textId="77777777" w:rsidR="00EF22EE" w:rsidRPr="00756A0C" w:rsidRDefault="00EF22EE" w:rsidP="00EF22EE">
      <w:pPr>
        <w:pStyle w:val="infoem0"/>
      </w:pPr>
      <w:r w:rsidRPr="00756A0C">
        <w:t>Artículo 129. En la aplicación de la prueba de daño, el sujeto obligado deberá precisar las razones</w:t>
      </w:r>
      <w:r>
        <w:t xml:space="preserve"> </w:t>
      </w:r>
      <w:r w:rsidRPr="00756A0C">
        <w:t>objetivas por las que la apertura de la información generaría una afectación, justificando que:</w:t>
      </w:r>
    </w:p>
    <w:p w14:paraId="70620057" w14:textId="77777777" w:rsidR="00EF22EE" w:rsidRPr="00756A0C" w:rsidRDefault="00EF22EE" w:rsidP="00EF22EE">
      <w:pPr>
        <w:pStyle w:val="infoem0"/>
      </w:pPr>
      <w:r w:rsidRPr="00756A0C">
        <w:t>I. La divulgación de la información representa un riesgo real, demostrable e identificable del perjuicio</w:t>
      </w:r>
      <w:r>
        <w:t xml:space="preserve"> </w:t>
      </w:r>
      <w:r w:rsidRPr="00756A0C">
        <w:t>significativo al interés público o a la seguridad pública;</w:t>
      </w:r>
    </w:p>
    <w:p w14:paraId="7AB3F533" w14:textId="77777777" w:rsidR="00EF22EE" w:rsidRPr="00756A0C" w:rsidRDefault="00EF22EE" w:rsidP="00EF22EE">
      <w:pPr>
        <w:pStyle w:val="infoem0"/>
      </w:pPr>
      <w:r w:rsidRPr="00756A0C">
        <w:t>II. El riesgo de perjuicio que supondría la divulgación supera el interés público general de que se</w:t>
      </w:r>
      <w:r>
        <w:t xml:space="preserve"> </w:t>
      </w:r>
      <w:r w:rsidRPr="00756A0C">
        <w:t>difunda; y</w:t>
      </w:r>
    </w:p>
    <w:p w14:paraId="64D29F6F" w14:textId="77777777" w:rsidR="00EF22EE" w:rsidRDefault="00EF22EE" w:rsidP="00EF22EE">
      <w:pPr>
        <w:pStyle w:val="infoem0"/>
      </w:pPr>
      <w:r w:rsidRPr="00756A0C">
        <w:t>III. La limitación se adecua al principio de proporcionalidad y representa el medio menos restrictivo</w:t>
      </w:r>
      <w:r>
        <w:t xml:space="preserve"> </w:t>
      </w:r>
      <w:r w:rsidRPr="00756A0C">
        <w:t>disponible representa el medio menos restrictivo disponible para evitar el perjuicio.</w:t>
      </w:r>
    </w:p>
    <w:p w14:paraId="7F3B538A" w14:textId="77777777" w:rsidR="00EF22EE" w:rsidRDefault="00EF22EE" w:rsidP="00EF22EE">
      <w:pPr>
        <w:pStyle w:val="infoem0"/>
      </w:pPr>
      <w:r w:rsidRPr="00756A0C">
        <w:t>Artículo 134</w:t>
      </w:r>
    </w:p>
    <w:p w14:paraId="2200DCC1" w14:textId="77777777" w:rsidR="00EF22EE" w:rsidRDefault="00EF22EE" w:rsidP="00EF22EE">
      <w:pPr>
        <w:pStyle w:val="infoem0"/>
      </w:pPr>
      <w:r>
        <w:t>(…)</w:t>
      </w:r>
    </w:p>
    <w:p w14:paraId="1621A943" w14:textId="77777777" w:rsidR="00EF22EE" w:rsidRDefault="00EF22EE" w:rsidP="00EF22EE">
      <w:pPr>
        <w:pStyle w:val="infoem0"/>
      </w:pPr>
      <w:r w:rsidRPr="00756A0C">
        <w:t>La clasificación de información se realizará conforme a un análisis caso por caso, mediante la</w:t>
      </w:r>
      <w:r>
        <w:t xml:space="preserve"> </w:t>
      </w:r>
      <w:r w:rsidRPr="00756A0C">
        <w:t>aplicación de la prueba de daño.</w:t>
      </w:r>
    </w:p>
    <w:p w14:paraId="24673E51" w14:textId="77777777" w:rsidR="00EF22EE" w:rsidRPr="00A313AF" w:rsidRDefault="00EF22EE" w:rsidP="00EF22EE">
      <w:pPr>
        <w:pStyle w:val="infoem0"/>
        <w:rPr>
          <w:b/>
          <w:bCs/>
        </w:rPr>
      </w:pPr>
      <w:r w:rsidRPr="00756A0C">
        <w:lastRenderedPageBreak/>
        <w:t>Artículo 141. Las causales de reserva previstas en este Capítulo se deberán fundar y motivar, a través de la aplicación de la prueba de daño a la que se hace referencia en el presente Título.</w:t>
      </w:r>
      <w:r>
        <w:t xml:space="preserve">” </w:t>
      </w:r>
      <w:r>
        <w:rPr>
          <w:b/>
          <w:bCs/>
        </w:rPr>
        <w:t>[Sic]</w:t>
      </w:r>
    </w:p>
    <w:p w14:paraId="27CE6E23" w14:textId="77777777" w:rsidR="00EF22EE" w:rsidRDefault="00EF22EE" w:rsidP="00EF22EE">
      <w:pPr>
        <w:spacing w:after="240" w:line="240" w:lineRule="auto"/>
        <w:jc w:val="center"/>
        <w:rPr>
          <w:rFonts w:ascii="Palatino Linotype" w:eastAsia="Calibri" w:hAnsi="Palatino Linotype"/>
          <w:sz w:val="24"/>
          <w:szCs w:val="24"/>
        </w:rPr>
      </w:pPr>
    </w:p>
    <w:p w14:paraId="3563FDD9" w14:textId="67ADB3F1" w:rsidR="00EF22EE" w:rsidRDefault="00EF22EE" w:rsidP="00EF22EE">
      <w:pPr>
        <w:spacing w:after="240" w:line="360" w:lineRule="auto"/>
        <w:jc w:val="both"/>
        <w:rPr>
          <w:rFonts w:ascii="Palatino Linotype" w:eastAsia="Calibri" w:hAnsi="Palatino Linotype"/>
          <w:sz w:val="24"/>
          <w:szCs w:val="24"/>
        </w:rPr>
      </w:pPr>
      <w:r>
        <w:rPr>
          <w:rFonts w:ascii="Palatino Linotype" w:eastAsia="Calibri" w:hAnsi="Palatino Linotype"/>
          <w:sz w:val="24"/>
          <w:szCs w:val="24"/>
        </w:rPr>
        <w:t xml:space="preserve">Aunado a lo anterior, no se omite señalar que la prueba de daño </w:t>
      </w:r>
      <w:r w:rsidRPr="000C239E">
        <w:rPr>
          <w:rFonts w:ascii="Palatino Linotype" w:eastAsia="Calibri" w:hAnsi="Palatino Linotype"/>
          <w:sz w:val="24"/>
          <w:szCs w:val="24"/>
        </w:rPr>
        <w:t xml:space="preserve">es la argumentación fundada y motivada </w:t>
      </w:r>
      <w:r w:rsidRPr="00913221">
        <w:rPr>
          <w:rFonts w:ascii="Palatino Linotype" w:eastAsia="Calibri" w:hAnsi="Palatino Linotype"/>
          <w:b/>
          <w:sz w:val="24"/>
          <w:szCs w:val="24"/>
          <w:u w:val="single"/>
        </w:rPr>
        <w:t>que deben realizar los sujetos obligados</w:t>
      </w:r>
      <w:r w:rsidRPr="000C239E">
        <w:rPr>
          <w:rFonts w:ascii="Palatino Linotype" w:eastAsia="Calibri" w:hAnsi="Palatino Linotype"/>
          <w:sz w:val="24"/>
          <w:szCs w:val="24"/>
        </w:rPr>
        <w:t xml:space="preserve"> para acreditar que la divulgación de la información lesiona un interés jurídicamente protegido y que el daño que puede producir es mayor</w:t>
      </w:r>
      <w:r>
        <w:rPr>
          <w:rFonts w:ascii="Palatino Linotype" w:eastAsia="Calibri" w:hAnsi="Palatino Linotype"/>
          <w:sz w:val="24"/>
          <w:szCs w:val="24"/>
        </w:rPr>
        <w:t xml:space="preserve"> que el interés de conocer ésta y su validez,  </w:t>
      </w:r>
      <w:r w:rsidRPr="000C239E">
        <w:rPr>
          <w:rFonts w:ascii="Palatino Linotype" w:eastAsia="Calibri" w:hAnsi="Palatino Linotype"/>
          <w:sz w:val="24"/>
          <w:szCs w:val="24"/>
        </w:rPr>
        <w:t>no depende de los medios de prueba que el sujeto obligado aporte, sino de la solidez del juicio de ponderación que se efectúe</w:t>
      </w:r>
      <w:r>
        <w:rPr>
          <w:rFonts w:ascii="Palatino Linotype" w:eastAsia="Calibri" w:hAnsi="Palatino Linotype"/>
          <w:sz w:val="24"/>
          <w:szCs w:val="24"/>
        </w:rPr>
        <w:t xml:space="preserve"> de acuerdo con las normas aplicables, lo anterior tiene sustento en </w:t>
      </w:r>
      <w:r w:rsidRPr="00970C65">
        <w:rPr>
          <w:rFonts w:ascii="Palatino Linotype" w:eastAsia="Calibri" w:hAnsi="Palatino Linotype" w:cs="Arial"/>
          <w:sz w:val="24"/>
          <w:szCs w:val="24"/>
          <w:lang w:val="es-ES" w:eastAsia="es-ES"/>
        </w:rPr>
        <w:t>la siguiente tesis</w:t>
      </w:r>
      <w:r w:rsidR="008D6297">
        <w:rPr>
          <w:rFonts w:ascii="Palatino Linotype" w:eastAsia="Calibri" w:hAnsi="Palatino Linotype" w:cs="Arial"/>
          <w:sz w:val="24"/>
          <w:szCs w:val="24"/>
          <w:lang w:val="es-ES" w:eastAsia="es-ES"/>
        </w:rPr>
        <w:t>:</w:t>
      </w:r>
    </w:p>
    <w:p w14:paraId="4499EECA" w14:textId="77777777" w:rsidR="008D6297" w:rsidRDefault="008D6297" w:rsidP="008D6297">
      <w:pPr>
        <w:pStyle w:val="Citas"/>
      </w:pPr>
      <w:r>
        <w:t>“Época: Décima</w:t>
      </w:r>
    </w:p>
    <w:p w14:paraId="606A91A0" w14:textId="1A40757E" w:rsidR="008D6297" w:rsidRDefault="008D6297" w:rsidP="008D6297">
      <w:pPr>
        <w:pStyle w:val="Citas"/>
      </w:pPr>
      <w:r>
        <w:t>Registro: 2018460</w:t>
      </w:r>
    </w:p>
    <w:p w14:paraId="73618395" w14:textId="77777777" w:rsidR="008D6297" w:rsidRDefault="008D6297" w:rsidP="008D6297">
      <w:pPr>
        <w:pStyle w:val="Citas"/>
      </w:pPr>
      <w:r>
        <w:t>Tipo de tesis: Aislada</w:t>
      </w:r>
    </w:p>
    <w:p w14:paraId="7F01F0DF" w14:textId="77777777" w:rsidR="008D6297" w:rsidRDefault="008D6297" w:rsidP="008D6297">
      <w:pPr>
        <w:pStyle w:val="Citas"/>
      </w:pPr>
      <w:r>
        <w:t xml:space="preserve">Fuente: Gaceta del Semanario Judicial de la Federación </w:t>
      </w:r>
    </w:p>
    <w:p w14:paraId="0882A40F" w14:textId="1B9ED597" w:rsidR="008D6297" w:rsidRDefault="008D6297" w:rsidP="008D6297">
      <w:pPr>
        <w:pStyle w:val="Citas"/>
      </w:pPr>
      <w:r>
        <w:t>Libro 60, Noviembre de 2018, Tomo III</w:t>
      </w:r>
    </w:p>
    <w:p w14:paraId="16DC8F78" w14:textId="55076BAF" w:rsidR="008D6297" w:rsidRDefault="008D6297" w:rsidP="008D6297">
      <w:pPr>
        <w:pStyle w:val="Citas"/>
      </w:pPr>
      <w:r>
        <w:t>Materia (s): Administrativa</w:t>
      </w:r>
    </w:p>
    <w:p w14:paraId="2678B507" w14:textId="6934D092" w:rsidR="008D6297" w:rsidRPr="008D6297" w:rsidRDefault="008D6297" w:rsidP="008D6297">
      <w:pPr>
        <w:pStyle w:val="Citas"/>
      </w:pPr>
      <w:r>
        <w:t xml:space="preserve">Tesis: </w:t>
      </w:r>
      <w:r w:rsidRPr="008D6297">
        <w:rPr>
          <w:rFonts w:cs="Calibri"/>
          <w:color w:val="212529"/>
          <w:shd w:val="clear" w:color="auto" w:fill="FFFFFF"/>
        </w:rPr>
        <w:t>I.10o.A.79 A (10a.)</w:t>
      </w:r>
    </w:p>
    <w:p w14:paraId="7FC59D7D" w14:textId="37BE1456" w:rsidR="008D6297" w:rsidRDefault="008D6297" w:rsidP="008D6297">
      <w:pPr>
        <w:pStyle w:val="Citas"/>
      </w:pPr>
      <w:r>
        <w:t>Página: 2318</w:t>
      </w:r>
    </w:p>
    <w:p w14:paraId="32BE92C0" w14:textId="121EF34C" w:rsidR="00EF22EE" w:rsidRPr="00A313AF" w:rsidRDefault="00EF22EE" w:rsidP="00EF22EE">
      <w:pPr>
        <w:pStyle w:val="infoem0"/>
        <w:rPr>
          <w:b/>
          <w:bCs/>
        </w:rPr>
      </w:pPr>
      <w:r w:rsidRPr="00A313AF">
        <w:rPr>
          <w:b/>
          <w:bCs/>
        </w:rPr>
        <w:lastRenderedPageBreak/>
        <w:t>PRUEBA DE DAÑO EN LA CLASIFICACIÓN DE LA INFORMACIÓN PÚBLICA. SU VALIDEZ NO DEPENDE DE LOS MEDIOS DE PRUEBA QUE EL SUJETO OBLIGADO APORTE.</w:t>
      </w:r>
    </w:p>
    <w:p w14:paraId="54109728" w14:textId="77777777" w:rsidR="00EF22EE" w:rsidRPr="00A44A0E" w:rsidRDefault="00EF22EE" w:rsidP="00EF22EE">
      <w:pPr>
        <w:pStyle w:val="infoem0"/>
      </w:pPr>
      <w:r w:rsidRPr="00A44A0E">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1B83B758" w14:textId="77777777" w:rsidR="00EF22EE" w:rsidRPr="0016719B" w:rsidRDefault="00EF22EE" w:rsidP="00EF22EE">
      <w:pPr>
        <w:pStyle w:val="infoem0"/>
      </w:pPr>
      <w:r w:rsidRPr="0016719B">
        <w:lastRenderedPageBreak/>
        <w:t>DÉCIMO TRIBUNAL COLEGIADO EN MATERIA ADMINISTRATIVA DEL PRIMER CIRCUITO.</w:t>
      </w:r>
    </w:p>
    <w:p w14:paraId="271D6E55" w14:textId="77777777" w:rsidR="00EF22EE" w:rsidRPr="00A313AF" w:rsidRDefault="00EF22EE" w:rsidP="00EF22EE">
      <w:pPr>
        <w:pStyle w:val="infoem0"/>
        <w:rPr>
          <w:b/>
          <w:bCs/>
        </w:rPr>
      </w:pPr>
      <w:r w:rsidRPr="0016719B">
        <w:t>Amparo en revisión 149/2018. Amanda Ibáñez Molina. 6 de septiembre de 2018. Unanimidad de votos. Ponente: Alfredo Enrique Báez López. Secretario: Roberto César Morales Corona.</w:t>
      </w:r>
      <w:r>
        <w:t xml:space="preserve">” </w:t>
      </w:r>
      <w:r>
        <w:rPr>
          <w:b/>
          <w:bCs/>
        </w:rPr>
        <w:t>[Sic]</w:t>
      </w:r>
    </w:p>
    <w:p w14:paraId="4B23E583" w14:textId="7673B3BF" w:rsidR="00EF22EE" w:rsidRPr="00EF22EE" w:rsidRDefault="00EF22EE" w:rsidP="00271EED">
      <w:pPr>
        <w:pStyle w:val="Default"/>
        <w:spacing w:before="240" w:after="160" w:line="360" w:lineRule="auto"/>
        <w:jc w:val="both"/>
        <w:rPr>
          <w:rFonts w:ascii="Palatino Linotype" w:hAnsi="Palatino Linotype"/>
          <w:noProof/>
          <w:lang w:eastAsia="es-MX"/>
        </w:rPr>
      </w:pPr>
    </w:p>
    <w:p w14:paraId="3AEC248C" w14:textId="00EEF6A4" w:rsidR="00AE33FE" w:rsidRDefault="00353C25" w:rsidP="00211C66">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Inconforme con la respuesta rendida por </w:t>
      </w:r>
      <w:r w:rsidR="00AE33FE">
        <w:rPr>
          <w:rFonts w:ascii="Palatino Linotype" w:hAnsi="Palatino Linotype"/>
          <w:b/>
          <w:noProof/>
          <w:lang w:eastAsia="es-MX"/>
        </w:rPr>
        <w:t>El Sujeto Obligado, El</w:t>
      </w:r>
      <w:r>
        <w:rPr>
          <w:rFonts w:ascii="Palatino Linotype" w:hAnsi="Palatino Linotype"/>
          <w:b/>
          <w:noProof/>
          <w:lang w:eastAsia="es-MX"/>
        </w:rPr>
        <w:t xml:space="preserve"> Recurrente </w:t>
      </w:r>
      <w:r>
        <w:rPr>
          <w:rFonts w:ascii="Palatino Linotype" w:hAnsi="Palatino Linotype"/>
          <w:noProof/>
          <w:lang w:eastAsia="es-MX"/>
        </w:rPr>
        <w:t xml:space="preserve">interpuso recurso de revisión en fecha </w:t>
      </w:r>
      <w:r w:rsidR="00AE33FE">
        <w:rPr>
          <w:rFonts w:ascii="Palatino Linotype" w:hAnsi="Palatino Linotype"/>
          <w:noProof/>
          <w:lang w:eastAsia="es-MX"/>
        </w:rPr>
        <w:t xml:space="preserve">dos de septiembre, admitiendose el siete de septiembre, ambos de dos mil veintiuno. Señalando como razones o motivos de inconformidad: </w:t>
      </w:r>
    </w:p>
    <w:p w14:paraId="7031005B" w14:textId="26A356D8" w:rsidR="00AE33FE" w:rsidRPr="00AE33FE" w:rsidRDefault="00AE33FE" w:rsidP="00AE33FE">
      <w:pPr>
        <w:pStyle w:val="Citas"/>
        <w:rPr>
          <w:b/>
          <w:noProof/>
          <w:lang w:eastAsia="es-MX"/>
        </w:rPr>
      </w:pPr>
      <w:r>
        <w:t>“En el documento, que como respuesta a la solicitud de información que nos compete, envía el sujeto obligado al solicitante de la información, dice que las RENUNCIAS (sin especificar si todas o que número de ellas) se encuentran integrando expedientes ante autoridades judiciales por motivo de un procedimiento laboral, demuestra intrínsecamente una situación que es netamente incongruente en la realidad, pues la solicitud versa en la entrega de aquellos documentos o expedientes que acreditan de forma oficial las RENUNCIAS laborales, entendidas estas (de acuerdo a una interpretación simple y llana) como el documento que por mutuo propio un individuo trabajador manifiesta unilateralmente su voluntad de dar por terminada o extinguida la relación laboral o el contrato de trabajo, exteriorizando desde luego su voluntad personal individual de hacer del conocimiento del patrón su intención unilateral de NO continuar con la relación de trabajo</w:t>
      </w:r>
      <w:r w:rsidRPr="00AE33FE">
        <w:rPr>
          <w:b/>
          <w:u w:val="single"/>
        </w:rPr>
        <w:t xml:space="preserve">. Por lo cual, bajo este contexto, tal renuncia NO podría estar siendo sujeta de ningún juicio o </w:t>
      </w:r>
      <w:proofErr w:type="spellStart"/>
      <w:r w:rsidRPr="00AE33FE">
        <w:rPr>
          <w:b/>
          <w:u w:val="single"/>
        </w:rPr>
        <w:t>tramite</w:t>
      </w:r>
      <w:proofErr w:type="spellEnd"/>
      <w:r w:rsidRPr="00AE33FE">
        <w:rPr>
          <w:b/>
          <w:u w:val="single"/>
        </w:rPr>
        <w:t xml:space="preserve"> ante autoridades judiciales del ámbito laboral, Y que, por lo tanto, </w:t>
      </w:r>
      <w:r w:rsidRPr="00AE33FE">
        <w:rPr>
          <w:b/>
          <w:u w:val="single"/>
        </w:rPr>
        <w:lastRenderedPageBreak/>
        <w:t>se denota falta de voluntad y negativa del sujeto obligado de entregar cumplidamente la información solicitada.</w:t>
      </w:r>
      <w:r>
        <w:rPr>
          <w:b/>
          <w:u w:val="single"/>
        </w:rPr>
        <w:t xml:space="preserve">” </w:t>
      </w:r>
      <w:r>
        <w:rPr>
          <w:b/>
        </w:rPr>
        <w:t xml:space="preserve">[Sic] </w:t>
      </w:r>
    </w:p>
    <w:p w14:paraId="22E7890A" w14:textId="77777777" w:rsidR="00AE33FE" w:rsidRDefault="00AE33FE" w:rsidP="00211C66">
      <w:pPr>
        <w:pStyle w:val="Default"/>
        <w:spacing w:before="240" w:after="160" w:line="360" w:lineRule="auto"/>
        <w:jc w:val="both"/>
        <w:rPr>
          <w:rFonts w:ascii="Palatino Linotype" w:hAnsi="Palatino Linotype"/>
          <w:noProof/>
          <w:lang w:eastAsia="es-MX"/>
        </w:rPr>
      </w:pPr>
    </w:p>
    <w:p w14:paraId="332076D9" w14:textId="070A422D" w:rsidR="00292885" w:rsidRDefault="00AE33FE" w:rsidP="00271EED">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Luego entonces, de una interpretación literal y gramatical a los motivos de inconformidad esgrimidos por el particular es posible advertir que se encuentran </w:t>
      </w:r>
      <w:r w:rsidR="00292885">
        <w:rPr>
          <w:rFonts w:ascii="Palatino Linotype" w:hAnsi="Palatino Linotype"/>
          <w:noProof/>
          <w:lang w:eastAsia="es-MX"/>
        </w:rPr>
        <w:t xml:space="preserve">a denotar que en su perspectiva la información requerida no actualiza causales de reserva, </w:t>
      </w:r>
      <w:r w:rsidR="00292885" w:rsidRPr="00292885">
        <w:rPr>
          <w:rFonts w:ascii="Palatino Linotype" w:hAnsi="Palatino Linotype"/>
          <w:b/>
          <w:noProof/>
          <w:u w:val="single"/>
          <w:lang w:eastAsia="es-MX"/>
        </w:rPr>
        <w:t>al estimar que las renuncias no son susceptibles de se</w:t>
      </w:r>
      <w:r w:rsidR="009B5FB5">
        <w:rPr>
          <w:rFonts w:ascii="Palatino Linotype" w:hAnsi="Palatino Linotype"/>
          <w:b/>
          <w:noProof/>
          <w:u w:val="single"/>
          <w:lang w:eastAsia="es-MX"/>
        </w:rPr>
        <w:t xml:space="preserve">r materia de juicios laborales </w:t>
      </w:r>
      <w:r w:rsidR="00292885" w:rsidRPr="00292885">
        <w:rPr>
          <w:rFonts w:ascii="Palatino Linotype" w:hAnsi="Palatino Linotype"/>
          <w:b/>
          <w:noProof/>
          <w:u w:val="single"/>
          <w:lang w:eastAsia="es-MX"/>
        </w:rPr>
        <w:t xml:space="preserve">o procedimientos </w:t>
      </w:r>
      <w:r w:rsidR="00292885">
        <w:rPr>
          <w:rFonts w:ascii="Palatino Linotype" w:hAnsi="Palatino Linotype"/>
          <w:b/>
          <w:noProof/>
          <w:u w:val="single"/>
          <w:lang w:eastAsia="es-MX"/>
        </w:rPr>
        <w:t>j</w:t>
      </w:r>
      <w:r w:rsidR="00096CA4">
        <w:rPr>
          <w:rFonts w:ascii="Palatino Linotype" w:hAnsi="Palatino Linotype"/>
          <w:b/>
          <w:noProof/>
          <w:u w:val="single"/>
          <w:lang w:eastAsia="es-MX"/>
        </w:rPr>
        <w:t xml:space="preserve">urisdiccionales, al emanar de la voluntad del trabajador. </w:t>
      </w:r>
    </w:p>
    <w:p w14:paraId="5021BC23" w14:textId="179B4D4D" w:rsidR="00887CDA" w:rsidRPr="00292885" w:rsidRDefault="00292885" w:rsidP="00271EED">
      <w:pPr>
        <w:pStyle w:val="Default"/>
        <w:spacing w:before="240" w:after="160" w:line="360" w:lineRule="auto"/>
        <w:jc w:val="both"/>
        <w:rPr>
          <w:rFonts w:ascii="Palatino Linotype" w:hAnsi="Palatino Linotype"/>
          <w:b/>
          <w:noProof/>
          <w:u w:val="single"/>
          <w:lang w:eastAsia="es-MX"/>
        </w:rPr>
      </w:pPr>
      <w:r>
        <w:rPr>
          <w:rFonts w:ascii="Palatino Linotype" w:hAnsi="Palatino Linotype"/>
          <w:noProof/>
          <w:lang w:eastAsia="es-MX"/>
        </w:rPr>
        <w:t xml:space="preserve">En suma, los motivos de inconformidad esgrimidos por el particular se encuentran </w:t>
      </w:r>
      <w:r w:rsidR="00AE33FE">
        <w:rPr>
          <w:rFonts w:ascii="Palatino Linotype" w:hAnsi="Palatino Linotype"/>
          <w:noProof/>
          <w:lang w:eastAsia="es-MX"/>
        </w:rPr>
        <w:t>encauzados a denotar la actualización de la</w:t>
      </w:r>
      <w:r>
        <w:rPr>
          <w:rFonts w:ascii="Palatino Linotype" w:hAnsi="Palatino Linotype"/>
          <w:noProof/>
          <w:lang w:eastAsia="es-MX"/>
        </w:rPr>
        <w:t>s</w:t>
      </w:r>
      <w:r w:rsidR="00AE33FE">
        <w:rPr>
          <w:rFonts w:ascii="Palatino Linotype" w:hAnsi="Palatino Linotype"/>
          <w:noProof/>
          <w:lang w:eastAsia="es-MX"/>
        </w:rPr>
        <w:t xml:space="preserve"> causal</w:t>
      </w:r>
      <w:r>
        <w:rPr>
          <w:rFonts w:ascii="Palatino Linotype" w:hAnsi="Palatino Linotype"/>
          <w:noProof/>
          <w:lang w:eastAsia="es-MX"/>
        </w:rPr>
        <w:t>es</w:t>
      </w:r>
      <w:r w:rsidR="00AE33FE">
        <w:rPr>
          <w:rFonts w:ascii="Palatino Linotype" w:hAnsi="Palatino Linotype"/>
          <w:noProof/>
          <w:lang w:eastAsia="es-MX"/>
        </w:rPr>
        <w:t xml:space="preserve"> de procedencia inmersa</w:t>
      </w:r>
      <w:r>
        <w:rPr>
          <w:rFonts w:ascii="Palatino Linotype" w:hAnsi="Palatino Linotype"/>
          <w:noProof/>
          <w:lang w:eastAsia="es-MX"/>
        </w:rPr>
        <w:t>s</w:t>
      </w:r>
      <w:r w:rsidR="00AE33FE">
        <w:rPr>
          <w:rFonts w:ascii="Palatino Linotype" w:hAnsi="Palatino Linotype"/>
          <w:noProof/>
          <w:lang w:eastAsia="es-MX"/>
        </w:rPr>
        <w:t xml:space="preserve"> en el numeral 179, fracci</w:t>
      </w:r>
      <w:r>
        <w:rPr>
          <w:rFonts w:ascii="Palatino Linotype" w:hAnsi="Palatino Linotype"/>
          <w:noProof/>
          <w:lang w:eastAsia="es-MX"/>
        </w:rPr>
        <w:t>ones</w:t>
      </w:r>
      <w:r w:rsidR="00AE33FE">
        <w:rPr>
          <w:rFonts w:ascii="Palatino Linotype" w:hAnsi="Palatino Linotype"/>
          <w:noProof/>
          <w:lang w:eastAsia="es-MX"/>
        </w:rPr>
        <w:t xml:space="preserve"> I</w:t>
      </w:r>
      <w:r>
        <w:rPr>
          <w:rFonts w:ascii="Palatino Linotype" w:hAnsi="Palatino Linotype"/>
          <w:noProof/>
          <w:lang w:eastAsia="es-MX"/>
        </w:rPr>
        <w:t xml:space="preserve"> y II</w:t>
      </w:r>
      <w:r w:rsidR="00AE33FE">
        <w:rPr>
          <w:rFonts w:ascii="Palatino Linotype" w:hAnsi="Palatino Linotype"/>
          <w:noProof/>
          <w:lang w:eastAsia="es-MX"/>
        </w:rPr>
        <w:t xml:space="preserve"> de la Ley de Transparencia y Acceso a la Información Pública del Estado de México y M</w:t>
      </w:r>
      <w:r w:rsidR="00EF22EE">
        <w:rPr>
          <w:rFonts w:ascii="Palatino Linotype" w:hAnsi="Palatino Linotype"/>
          <w:noProof/>
          <w:lang w:eastAsia="es-MX"/>
        </w:rPr>
        <w:t xml:space="preserve">unicipios, </w:t>
      </w:r>
      <w:r>
        <w:rPr>
          <w:rFonts w:ascii="Palatino Linotype" w:hAnsi="Palatino Linotype"/>
          <w:noProof/>
          <w:lang w:eastAsia="es-MX"/>
        </w:rPr>
        <w:t xml:space="preserve">porciones normativas que disponen a la literalidad lo siguiente: </w:t>
      </w:r>
    </w:p>
    <w:p w14:paraId="18CDD059" w14:textId="7BF784E1" w:rsidR="00292885" w:rsidRDefault="00292885" w:rsidP="00292885">
      <w:pPr>
        <w:pStyle w:val="Citas"/>
      </w:pPr>
      <w:r>
        <w:t xml:space="preserve">“Artículo 179. El recurso de revisión es un medio de protección que la Ley otorga a los particulares, para hacer valer su derecho de acceso a la información pública, y procederá en contra de las siguientes causas: </w:t>
      </w:r>
    </w:p>
    <w:p w14:paraId="6EB1D9C3" w14:textId="77777777" w:rsidR="00292885" w:rsidRPr="0010372C" w:rsidRDefault="00292885" w:rsidP="00292885">
      <w:pPr>
        <w:pStyle w:val="Citas"/>
        <w:rPr>
          <w:b/>
          <w:u w:val="single"/>
        </w:rPr>
      </w:pPr>
      <w:r w:rsidRPr="0010372C">
        <w:rPr>
          <w:b/>
          <w:u w:val="single"/>
        </w:rPr>
        <w:t xml:space="preserve">I. La negativa a la información solicitada; </w:t>
      </w:r>
    </w:p>
    <w:p w14:paraId="3B24A444" w14:textId="37FC0C18" w:rsidR="00292885" w:rsidRPr="0010372C" w:rsidRDefault="00292885" w:rsidP="00292885">
      <w:pPr>
        <w:pStyle w:val="Citas"/>
        <w:rPr>
          <w:b/>
          <w:u w:val="single"/>
        </w:rPr>
      </w:pPr>
      <w:r w:rsidRPr="0010372C">
        <w:rPr>
          <w:b/>
          <w:u w:val="single"/>
        </w:rPr>
        <w:t>II. La clasificación de la información;</w:t>
      </w:r>
    </w:p>
    <w:p w14:paraId="61B1B0F6" w14:textId="2C97BC23" w:rsidR="00292885" w:rsidRDefault="00292885" w:rsidP="00292885">
      <w:pPr>
        <w:pStyle w:val="Citas"/>
        <w:rPr>
          <w:b/>
        </w:rPr>
      </w:pPr>
      <w:r>
        <w:t xml:space="preserve">(…)” </w:t>
      </w:r>
      <w:r>
        <w:rPr>
          <w:b/>
        </w:rPr>
        <w:t xml:space="preserve">[Sic] </w:t>
      </w:r>
    </w:p>
    <w:p w14:paraId="61D307FC" w14:textId="77777777" w:rsidR="00D40FD4" w:rsidRDefault="00D40FD4" w:rsidP="00D40FD4">
      <w:pPr>
        <w:pStyle w:val="Citas"/>
        <w:ind w:left="0"/>
        <w:rPr>
          <w:b/>
          <w:noProof/>
          <w:lang w:eastAsia="es-MX"/>
        </w:rPr>
      </w:pPr>
    </w:p>
    <w:p w14:paraId="6DC2FDAC" w14:textId="1F8B16E6" w:rsidR="00D40FD4" w:rsidRPr="00096CA4" w:rsidRDefault="00096CA4" w:rsidP="00096CA4">
      <w:pPr>
        <w:pStyle w:val="Citas"/>
        <w:ind w:left="0" w:right="0"/>
        <w:rPr>
          <w:i w:val="0"/>
          <w:noProof/>
          <w:sz w:val="24"/>
          <w:szCs w:val="24"/>
          <w:lang w:eastAsia="es-MX"/>
        </w:rPr>
      </w:pPr>
      <w:r>
        <w:rPr>
          <w:i w:val="0"/>
          <w:noProof/>
          <w:sz w:val="24"/>
          <w:szCs w:val="24"/>
          <w:lang w:eastAsia="es-MX"/>
        </w:rPr>
        <w:lastRenderedPageBreak/>
        <w:t xml:space="preserve">En esa tesitura, a efecto de ilustrar que la renuncia </w:t>
      </w:r>
      <w:r>
        <w:rPr>
          <w:b/>
          <w:i w:val="0"/>
          <w:noProof/>
          <w:sz w:val="24"/>
          <w:szCs w:val="24"/>
          <w:lang w:eastAsia="es-MX"/>
        </w:rPr>
        <w:t xml:space="preserve">SÍ </w:t>
      </w:r>
      <w:r>
        <w:rPr>
          <w:i w:val="0"/>
          <w:noProof/>
          <w:sz w:val="24"/>
          <w:szCs w:val="24"/>
          <w:lang w:eastAsia="es-MX"/>
        </w:rPr>
        <w:t xml:space="preserve">puede ser materia del juicio laboral, se traen a colación  los siguientes criterios jurisprudenciales: </w:t>
      </w:r>
    </w:p>
    <w:p w14:paraId="088F491A" w14:textId="218D4C50" w:rsidR="0010372C" w:rsidRDefault="0010372C" w:rsidP="0010372C">
      <w:pPr>
        <w:pStyle w:val="Citas"/>
      </w:pPr>
      <w:r>
        <w:t xml:space="preserve">“Época: Undécima </w:t>
      </w:r>
    </w:p>
    <w:p w14:paraId="7BF42A5B" w14:textId="2874E8A2" w:rsidR="0010372C" w:rsidRDefault="0010372C" w:rsidP="0010372C">
      <w:pPr>
        <w:pStyle w:val="Citas"/>
      </w:pPr>
      <w:r>
        <w:t>Registro: 2023123</w:t>
      </w:r>
    </w:p>
    <w:p w14:paraId="6109E2F0" w14:textId="6865FB8D" w:rsidR="0010372C" w:rsidRDefault="0010372C" w:rsidP="0010372C">
      <w:pPr>
        <w:pStyle w:val="Citas"/>
      </w:pPr>
      <w:r>
        <w:t>Tipo de tesis: Aislada</w:t>
      </w:r>
    </w:p>
    <w:p w14:paraId="5353F105" w14:textId="017364E9" w:rsidR="0010372C" w:rsidRDefault="0010372C" w:rsidP="0010372C">
      <w:pPr>
        <w:pStyle w:val="Citas"/>
      </w:pPr>
      <w:r>
        <w:t xml:space="preserve">Fuente: Gaceta del Semanario Judicial de la Federación </w:t>
      </w:r>
    </w:p>
    <w:p w14:paraId="565232DE" w14:textId="3556970E" w:rsidR="0010372C" w:rsidRDefault="0010372C" w:rsidP="0010372C">
      <w:pPr>
        <w:pStyle w:val="Citas"/>
      </w:pPr>
      <w:r>
        <w:t>Libro 1, Mayo de 2021, Tomo III</w:t>
      </w:r>
    </w:p>
    <w:p w14:paraId="2A7657A0" w14:textId="5AAAEE5C" w:rsidR="0010372C" w:rsidRDefault="0010372C" w:rsidP="0010372C">
      <w:pPr>
        <w:pStyle w:val="Citas"/>
      </w:pPr>
      <w:r>
        <w:t xml:space="preserve">Materia (s): Constitucional, Laboral </w:t>
      </w:r>
    </w:p>
    <w:p w14:paraId="190C5AF6" w14:textId="772E7471" w:rsidR="0010372C" w:rsidRPr="0010372C" w:rsidRDefault="0010372C" w:rsidP="0010372C">
      <w:pPr>
        <w:pStyle w:val="Citas"/>
      </w:pPr>
      <w:r>
        <w:t xml:space="preserve">Tesis: </w:t>
      </w:r>
      <w:r w:rsidRPr="0010372C">
        <w:rPr>
          <w:rFonts w:cs="Calibri"/>
          <w:color w:val="212529"/>
          <w:shd w:val="clear" w:color="auto" w:fill="FFFFFF"/>
        </w:rPr>
        <w:t>I.16o.T.70 L (10a.)</w:t>
      </w:r>
    </w:p>
    <w:p w14:paraId="55EDC5D5" w14:textId="32BCA3B6" w:rsidR="0010372C" w:rsidRDefault="0010372C" w:rsidP="0010372C">
      <w:pPr>
        <w:pStyle w:val="Citas"/>
      </w:pPr>
      <w:r>
        <w:t>Página: 2644</w:t>
      </w:r>
    </w:p>
    <w:p w14:paraId="5F1CC136" w14:textId="485C9700" w:rsidR="00096CA4" w:rsidRPr="0010372C" w:rsidRDefault="00096CA4" w:rsidP="00096CA4">
      <w:pPr>
        <w:pStyle w:val="Citas"/>
        <w:rPr>
          <w:b/>
        </w:rPr>
      </w:pPr>
      <w:r w:rsidRPr="0010372C">
        <w:rPr>
          <w:b/>
        </w:rPr>
        <w:t>TRABAJADORAS DE CONFIANZA AL SERVICIO DEL ESTADO. CUANDO DEMANDAN SU DESPIDO INJUSTIFICADO EN EL PERIODO DE LACTANCIA Y EL PATRÓN OPONE COMO EXCEPCIÓN SU RENUNCIA, AL JUZGAR CON PERSPECTIVA DE GÉNERO Y CONSIDERAR QUE AQUÉLLAS TIENEN UNA ESTABILIDAD LABORAL REFORZADA, DEBE DETERMINARSE QUE ESE DOCUMENTO NO ES IDÓNEO PARA ACREDITAR SU VOLUNTAD DE DEJAR EL EMPLEO, EN RESPETO AL DERECHO HUMANO A LA MATERNIDAD EN EL ÁMBITO LABORAL.</w:t>
      </w:r>
    </w:p>
    <w:p w14:paraId="778E87C5" w14:textId="77777777" w:rsidR="00096CA4" w:rsidRPr="00096CA4" w:rsidRDefault="00096CA4" w:rsidP="00096CA4">
      <w:pPr>
        <w:pStyle w:val="Citas"/>
      </w:pPr>
      <w:r w:rsidRPr="00096CA4">
        <w:t xml:space="preserve">Hechos: Una trabajadora de confianza perteneciente al servicio profesional de carrera de la administración pública federal se dijo despedida injustificadamente en el </w:t>
      </w:r>
      <w:r w:rsidRPr="00096CA4">
        <w:lastRenderedPageBreak/>
        <w:t>periodo de lactancia; argumentó discriminación por razón de género y demandó el pago de la indemnización constitucional, prima de antigüedad y salarios caídos (entre otras prestaciones). En el juicio el patrón se excepcionó en el sentido de que la actora había renunciado y presentó el escrito relativo. Dicho asunto fue analizado por la autoridad responsable sin perspectiva de género y tuvo por acreditada la renuncia de la trabajadora, quien promovió amparo directo contra esa determinación.</w:t>
      </w:r>
    </w:p>
    <w:p w14:paraId="180248F1" w14:textId="77777777" w:rsidR="00096CA4" w:rsidRPr="00096CA4" w:rsidRDefault="00096CA4" w:rsidP="00096CA4">
      <w:pPr>
        <w:pStyle w:val="Citas"/>
      </w:pPr>
      <w:r w:rsidRPr="00096CA4">
        <w:t>Criterio jurídico: Este Tribunal Colegiado de Circuito determina que tratándose del despido injustificado en el periodo de lactancia de una trabajadora de confianza al servicio del Estado, los juzgadores deben analizar el asunto con perspectiva de género y considerar que aquélla tiene una estabilidad laboral reforzada; la renuncia que como excepción ofrece el patrón, no es idónea para acreditar la voluntad de aquélla de dejar su empleo, pues haciendo un juicio de verosimilitud, no es creíble que renunciara por propia voluntad y decidiera quedar en un estado de vulnerabilidad.</w:t>
      </w:r>
    </w:p>
    <w:p w14:paraId="7C54EC9E" w14:textId="29E01974" w:rsidR="00096CA4" w:rsidRPr="00096CA4" w:rsidRDefault="00096CA4" w:rsidP="00096CA4">
      <w:pPr>
        <w:pStyle w:val="Citas"/>
      </w:pPr>
      <w:r w:rsidRPr="00096CA4">
        <w:t>Justificación: Lo anterior es así, porque el derecho humano a la maternidad en el ámbito laboral, se basa en el respeto a la libre autodeterminación de la persona de elegir libremente y llevar a cabo el proyecto de vida que decida, en la forma y términos que mejor le parezcan y, para ello, debe ser respetada en su dignidad, lo que se traduce en que no debe ser objeto de discriminación por razón de género o violencia laboral por el hecho de decidir ser madre, por el contrario, debe gozar en toda su amplitud de los derechos que derivan de la maternidad y de la lactancia, sin que ello obstaculice e impida la conservación de su empleo, pues del artículo </w:t>
      </w:r>
      <w:hyperlink r:id="rId11" w:history="1">
        <w:r w:rsidRPr="00096CA4">
          <w:rPr>
            <w:rStyle w:val="Hipervnculo"/>
            <w:color w:val="auto"/>
            <w:u w:val="none"/>
          </w:rPr>
          <w:t>4o. de la Constitución Política de los Estados Unidos Mexicanos</w:t>
        </w:r>
      </w:hyperlink>
      <w:r w:rsidRPr="00096CA4">
        <w:t xml:space="preserve"> se advierten, entre otras, dos prerrogativas respecto del ejercicio del derecho humano a la maternidad: i) decidir libre y responsablemente el número y espaciamiento de los hijos; y, ii) la protección de la </w:t>
      </w:r>
      <w:r w:rsidRPr="00096CA4">
        <w:lastRenderedPageBreak/>
        <w:t>salud. Por su parte, el Pleno de la Suprema Corte de Justicia de la Nación, en la tesis aislada P. LXVI/2009, de rubro: "</w:t>
      </w:r>
      <w:hyperlink r:id="rId12" w:tgtFrame="_blank" w:history="1">
        <w:r w:rsidRPr="00096CA4">
          <w:rPr>
            <w:rStyle w:val="Hipervnculo"/>
            <w:color w:val="auto"/>
            <w:u w:val="none"/>
          </w:rPr>
          <w:t>DERECHO AL LIBRE DESARROLLO DE LA PERSONALIDAD. ASPECTOS QUE COMPRENDE</w:t>
        </w:r>
      </w:hyperlink>
      <w:r w:rsidRPr="00096CA4">
        <w:t>.", estableció que de la dignidad humana derivan, entre otros derechos personalísimos, el de todo individuo a elegir en forma libre y autónoma su proyecto de vida, concluyendo que el libre desarrollo de la personalidad comprende aspectos integrantes de la forma en la que una persona desea proyectarse y vivir su vida y que, por tanto, sólo a ella corresponde decidir autónomamente; esas expresiones, entre otras, son las de procrear hijos y cuántos, o bien, decidir no tenerlos y de escoger su profesión o actividad laboral.</w:t>
      </w:r>
    </w:p>
    <w:p w14:paraId="4B3C8B14" w14:textId="77777777" w:rsidR="00096CA4" w:rsidRPr="00096CA4" w:rsidRDefault="00096CA4" w:rsidP="00096CA4">
      <w:pPr>
        <w:pStyle w:val="Citas"/>
      </w:pPr>
      <w:r w:rsidRPr="00096CA4">
        <w:t>DÉCIMO SEXTO TRIBUNAL COLEGIADO EN MATERIA DE TRABAJO DEL PRIMER CIRCUITO.</w:t>
      </w:r>
    </w:p>
    <w:p w14:paraId="43E8F8B7" w14:textId="77777777" w:rsidR="00096CA4" w:rsidRPr="00096CA4" w:rsidRDefault="00096CA4" w:rsidP="00096CA4">
      <w:pPr>
        <w:pStyle w:val="Citas"/>
      </w:pPr>
      <w:r w:rsidRPr="00096CA4">
        <w:t>Amparo directo 138/2020. 30 de octubre de 2020. Unanimidad de votos. Ponente: Juan Manuel Vega Tapia. Secretario: Rafael Carlos Quesada García.</w:t>
      </w:r>
    </w:p>
    <w:p w14:paraId="4A4416EE" w14:textId="5D10CBE5" w:rsidR="00096CA4" w:rsidRPr="00096CA4" w:rsidRDefault="00096CA4" w:rsidP="00096CA4">
      <w:pPr>
        <w:pStyle w:val="Citas"/>
      </w:pPr>
      <w:r w:rsidRPr="00096CA4">
        <w:t>Nota: La tesis aislada P. LXVI/2009 citada, aparece publicada en el Semanario Judicial de la Federación y su Gaceta, Novena Época, Tomo XXX, diciembre de 2009, página 7, con número de registro digital: 165822.</w:t>
      </w:r>
    </w:p>
    <w:p w14:paraId="5C42A663" w14:textId="05CAC41A" w:rsidR="00096CA4" w:rsidRPr="00096CA4" w:rsidRDefault="00096CA4" w:rsidP="00096CA4">
      <w:pPr>
        <w:pStyle w:val="Citas"/>
        <w:rPr>
          <w:b/>
        </w:rPr>
      </w:pPr>
      <w:r w:rsidRPr="00096CA4">
        <w:t>Esta tesis se publicó el viernes 14 de mayo de 2021 a las 10:19 horas en el Semanario Judicial de la Federación”</w:t>
      </w:r>
      <w:r>
        <w:t xml:space="preserve"> </w:t>
      </w:r>
      <w:r>
        <w:rPr>
          <w:b/>
        </w:rPr>
        <w:t xml:space="preserve">[Sic] </w:t>
      </w:r>
    </w:p>
    <w:p w14:paraId="77E63FAF" w14:textId="77777777" w:rsidR="00D40FD4" w:rsidRDefault="00D40FD4" w:rsidP="00292885">
      <w:pPr>
        <w:pStyle w:val="Citas"/>
        <w:rPr>
          <w:b/>
          <w:noProof/>
          <w:lang w:eastAsia="es-MX"/>
        </w:rPr>
      </w:pPr>
    </w:p>
    <w:p w14:paraId="2CAE7546" w14:textId="2606925D" w:rsidR="0010372C" w:rsidRDefault="0010372C" w:rsidP="0010372C">
      <w:pPr>
        <w:pStyle w:val="Citas"/>
      </w:pPr>
      <w:r>
        <w:t>“Época: Décima</w:t>
      </w:r>
    </w:p>
    <w:p w14:paraId="3BD5C949" w14:textId="37A57388" w:rsidR="0010372C" w:rsidRDefault="0010372C" w:rsidP="0010372C">
      <w:pPr>
        <w:pStyle w:val="Citas"/>
      </w:pPr>
      <w:r>
        <w:t>Registro: 2023004</w:t>
      </w:r>
    </w:p>
    <w:p w14:paraId="1397BA9B" w14:textId="77777777" w:rsidR="0010372C" w:rsidRDefault="0010372C" w:rsidP="0010372C">
      <w:pPr>
        <w:pStyle w:val="Citas"/>
      </w:pPr>
      <w:r>
        <w:t>Tipo de tesis: Aislada</w:t>
      </w:r>
    </w:p>
    <w:p w14:paraId="3EDE91EB" w14:textId="77777777" w:rsidR="0010372C" w:rsidRDefault="0010372C" w:rsidP="0010372C">
      <w:pPr>
        <w:pStyle w:val="Citas"/>
      </w:pPr>
      <w:r>
        <w:lastRenderedPageBreak/>
        <w:t xml:space="preserve">Fuente: Gaceta del Semanario Judicial de la Federación </w:t>
      </w:r>
    </w:p>
    <w:p w14:paraId="7B90B464" w14:textId="169C70B1" w:rsidR="0010372C" w:rsidRDefault="0010372C" w:rsidP="0010372C">
      <w:pPr>
        <w:pStyle w:val="Citas"/>
      </w:pPr>
      <w:r>
        <w:t>L</w:t>
      </w:r>
      <w:r w:rsidR="006329AB">
        <w:t>ibro 85</w:t>
      </w:r>
      <w:r>
        <w:t xml:space="preserve">, </w:t>
      </w:r>
      <w:r w:rsidR="006329AB">
        <w:t>Abril</w:t>
      </w:r>
      <w:r>
        <w:t xml:space="preserve"> de 2021, Tomo III</w:t>
      </w:r>
    </w:p>
    <w:p w14:paraId="7965603A" w14:textId="6C929C58" w:rsidR="0010372C" w:rsidRDefault="0010372C" w:rsidP="0010372C">
      <w:pPr>
        <w:pStyle w:val="Citas"/>
      </w:pPr>
      <w:r>
        <w:t xml:space="preserve">Materia (s): </w:t>
      </w:r>
      <w:r w:rsidR="006329AB">
        <w:t>Laboral</w:t>
      </w:r>
      <w:r>
        <w:t xml:space="preserve"> </w:t>
      </w:r>
    </w:p>
    <w:p w14:paraId="412993AC" w14:textId="52EBA1EF" w:rsidR="0010372C" w:rsidRPr="006329AB" w:rsidRDefault="0010372C" w:rsidP="0010372C">
      <w:pPr>
        <w:pStyle w:val="Citas"/>
      </w:pPr>
      <w:r>
        <w:t xml:space="preserve">Tesis: </w:t>
      </w:r>
      <w:r w:rsidR="006329AB" w:rsidRPr="006329AB">
        <w:rPr>
          <w:rFonts w:cs="Calibri"/>
          <w:color w:val="212529"/>
          <w:shd w:val="clear" w:color="auto" w:fill="FFFFFF"/>
        </w:rPr>
        <w:t>III.1o.T.36 L (10a.)</w:t>
      </w:r>
    </w:p>
    <w:p w14:paraId="7312F809" w14:textId="6C92B88E" w:rsidR="0010372C" w:rsidRDefault="0010372C" w:rsidP="0010372C">
      <w:pPr>
        <w:pStyle w:val="Citas"/>
      </w:pPr>
      <w:r>
        <w:t xml:space="preserve">Página: </w:t>
      </w:r>
      <w:r w:rsidR="006329AB">
        <w:t>2327</w:t>
      </w:r>
    </w:p>
    <w:p w14:paraId="2771BD96" w14:textId="77777777" w:rsidR="005523D5" w:rsidRPr="006329AB" w:rsidRDefault="005523D5" w:rsidP="0010372C">
      <w:pPr>
        <w:pStyle w:val="Citas"/>
        <w:rPr>
          <w:b/>
          <w:lang w:eastAsia="es-MX"/>
        </w:rPr>
      </w:pPr>
      <w:r w:rsidRPr="006329AB">
        <w:rPr>
          <w:b/>
          <w:lang w:eastAsia="es-MX"/>
        </w:rPr>
        <w:t>PRUEBA PERICIAL EN EL JUICIO LABORAL. SI SE OFRECE PARA ACREDITAR LA FALSEDAD DE LA FIRMA QUE CALZA UNA RENUNCIA Y EL PERITO EMITE UNA OPINIÓN EN RELACIÓN CON UN PUNTO QUE NO FUE MATERIA DE OBJECIÓN, NO DEBE VALORARSE POR LA JUNTA AL DICTAR EL LAUDO.</w:t>
      </w:r>
    </w:p>
    <w:p w14:paraId="26C23422" w14:textId="77777777" w:rsidR="005523D5" w:rsidRPr="005523D5" w:rsidRDefault="005523D5" w:rsidP="0010372C">
      <w:pPr>
        <w:pStyle w:val="Citas"/>
        <w:rPr>
          <w:lang w:eastAsia="es-MX"/>
        </w:rPr>
      </w:pPr>
      <w:r w:rsidRPr="005523D5">
        <w:rPr>
          <w:lang w:eastAsia="es-MX"/>
        </w:rPr>
        <w:t xml:space="preserve">Si en un juicio laboral el actor objeta la autenticidad de la firma que calza la renuncia exhibida por la demandada y, para demostrar esa afirmación ofrece la prueba pericial en caligrafía, </w:t>
      </w:r>
      <w:proofErr w:type="spellStart"/>
      <w:r w:rsidRPr="005523D5">
        <w:rPr>
          <w:lang w:eastAsia="es-MX"/>
        </w:rPr>
        <w:t>grafoscopia</w:t>
      </w:r>
      <w:proofErr w:type="spellEnd"/>
      <w:r w:rsidRPr="005523D5">
        <w:rPr>
          <w:lang w:eastAsia="es-MX"/>
        </w:rPr>
        <w:t xml:space="preserve">, </w:t>
      </w:r>
      <w:proofErr w:type="spellStart"/>
      <w:r w:rsidRPr="005523D5">
        <w:rPr>
          <w:lang w:eastAsia="es-MX"/>
        </w:rPr>
        <w:t>grafometría</w:t>
      </w:r>
      <w:proofErr w:type="spellEnd"/>
      <w:r w:rsidRPr="005523D5">
        <w:rPr>
          <w:lang w:eastAsia="es-MX"/>
        </w:rPr>
        <w:t xml:space="preserve"> y dactiloscopia, en cuyo desahogo el perito emite una opinión en relación con un punto que no fue materia de objeción, como lo es que la firma que calza la renuncia se estampó antes de la impresión del documento, pese a que tal conclusión evidencie un vicio diverso en el documento en cuestión, no debe considerarse en la valoración que haga la Junta al dictar el laudo, precisamente por exceder lo que fue materia de objeción y, por ende, de prueba, máxime si no se hizo referencia a una alteración por adición de ese documento, ni se ofreció una prueba pericial en </w:t>
      </w:r>
      <w:proofErr w:type="spellStart"/>
      <w:r w:rsidRPr="005523D5">
        <w:rPr>
          <w:lang w:eastAsia="es-MX"/>
        </w:rPr>
        <w:t>documentoscopia</w:t>
      </w:r>
      <w:proofErr w:type="spellEnd"/>
      <w:r w:rsidRPr="005523D5">
        <w:rPr>
          <w:lang w:eastAsia="es-MX"/>
        </w:rPr>
        <w:t>, lo que se robustece con el hecho de que las preguntas propuestas al ofrecer la prueba, como materia de ésta, giraron en torno a la autenticidad de la firma.</w:t>
      </w:r>
    </w:p>
    <w:p w14:paraId="33D45973" w14:textId="77777777" w:rsidR="005523D5" w:rsidRPr="005523D5" w:rsidRDefault="005523D5" w:rsidP="0010372C">
      <w:pPr>
        <w:pStyle w:val="Citas"/>
        <w:rPr>
          <w:lang w:eastAsia="es-MX"/>
        </w:rPr>
      </w:pPr>
      <w:r w:rsidRPr="005523D5">
        <w:rPr>
          <w:lang w:eastAsia="es-MX"/>
        </w:rPr>
        <w:lastRenderedPageBreak/>
        <w:t>PRIMER TRIBUNAL COLEGIADO EN MATERIA DE TRABAJO DEL TERCER CIRCUITO.</w:t>
      </w:r>
    </w:p>
    <w:p w14:paraId="4A29265F" w14:textId="77777777" w:rsidR="005523D5" w:rsidRPr="005523D5" w:rsidRDefault="005523D5" w:rsidP="0010372C">
      <w:pPr>
        <w:pStyle w:val="Citas"/>
        <w:rPr>
          <w:lang w:eastAsia="es-MX"/>
        </w:rPr>
      </w:pPr>
      <w:r w:rsidRPr="005523D5">
        <w:rPr>
          <w:lang w:eastAsia="es-MX"/>
        </w:rPr>
        <w:t>Amparo directo 823/2019. José Luis Ramón Moreno Cruz. 8 de octubre de 2020. Unanimidad de votos. Ponente: José Luis Sierra López. Secretaria: Angélica Karina López Romero.</w:t>
      </w:r>
    </w:p>
    <w:p w14:paraId="7ACCD773" w14:textId="1C14514F" w:rsidR="005523D5" w:rsidRDefault="005523D5" w:rsidP="0010372C">
      <w:pPr>
        <w:pStyle w:val="Citas"/>
        <w:rPr>
          <w:b/>
          <w:lang w:eastAsia="es-MX"/>
        </w:rPr>
      </w:pPr>
      <w:r w:rsidRPr="0010372C">
        <w:rPr>
          <w:lang w:eastAsia="es-MX"/>
        </w:rPr>
        <w:t>Esta tesis se publicó el viernes 23 de abril de 2021 a las 10:27 horas en el Semanario Judicial de la Federación.</w:t>
      </w:r>
      <w:r w:rsidR="00236C82">
        <w:rPr>
          <w:lang w:eastAsia="es-MX"/>
        </w:rPr>
        <w:t xml:space="preserve">” </w:t>
      </w:r>
      <w:r w:rsidR="00236C82">
        <w:rPr>
          <w:b/>
          <w:lang w:eastAsia="es-MX"/>
        </w:rPr>
        <w:t xml:space="preserve">[Sic] </w:t>
      </w:r>
    </w:p>
    <w:p w14:paraId="1948E20A" w14:textId="77777777" w:rsidR="00236C82" w:rsidRPr="00236C82" w:rsidRDefault="00236C82" w:rsidP="0010372C">
      <w:pPr>
        <w:pStyle w:val="Citas"/>
        <w:rPr>
          <w:b/>
          <w:lang w:eastAsia="es-MX"/>
        </w:rPr>
      </w:pPr>
    </w:p>
    <w:p w14:paraId="563B1754" w14:textId="2F6D8505" w:rsidR="00AE33FE" w:rsidRPr="00AE33FE" w:rsidRDefault="005523D5" w:rsidP="00271EED">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Hasta aquí lo expuesto deben de arribarse a las siguientes consideraciones: </w:t>
      </w:r>
    </w:p>
    <w:p w14:paraId="49A16695" w14:textId="11FDEDBD" w:rsidR="005523D5" w:rsidRPr="005523D5" w:rsidRDefault="007B0046" w:rsidP="00034FBD">
      <w:pPr>
        <w:pStyle w:val="Prrafodelista"/>
        <w:numPr>
          <w:ilvl w:val="0"/>
          <w:numId w:val="5"/>
        </w:numPr>
        <w:autoSpaceDE w:val="0"/>
        <w:autoSpaceDN w:val="0"/>
        <w:adjustRightInd w:val="0"/>
        <w:spacing w:line="360" w:lineRule="auto"/>
        <w:jc w:val="both"/>
        <w:rPr>
          <w:rFonts w:ascii="Palatino Linotype" w:hAnsi="Palatino Linotype" w:cs="Arial"/>
        </w:rPr>
      </w:pPr>
      <w:r w:rsidRPr="005523D5">
        <w:rPr>
          <w:rFonts w:ascii="Palatino Linotype" w:hAnsi="Palatino Linotype" w:cs="Arial"/>
          <w:color w:val="000000"/>
        </w:rPr>
        <w:t>A través del derecho</w:t>
      </w:r>
      <w:r w:rsidR="005523D5" w:rsidRPr="005523D5">
        <w:rPr>
          <w:rFonts w:ascii="Palatino Linotype" w:hAnsi="Palatino Linotype" w:cs="Arial"/>
          <w:color w:val="000000"/>
        </w:rPr>
        <w:t xml:space="preserve"> de acceso a la información fueron requeridas las </w:t>
      </w:r>
      <w:r w:rsidR="005523D5">
        <w:rPr>
          <w:rFonts w:ascii="Palatino Linotype" w:hAnsi="Palatino Linotype" w:cs="Arial"/>
        </w:rPr>
        <w:t>r</w:t>
      </w:r>
      <w:r w:rsidR="005523D5" w:rsidRPr="005523D5">
        <w:rPr>
          <w:rFonts w:ascii="Palatino Linotype" w:hAnsi="Palatino Linotype" w:cs="Arial"/>
        </w:rPr>
        <w:t xml:space="preserve">enuncias que existan o hayan sido presentadas durante el periodo comprendido del uno de enero de dos mil diecinueve al cinco </w:t>
      </w:r>
      <w:r w:rsidR="00236C82">
        <w:rPr>
          <w:rFonts w:ascii="Palatino Linotype" w:hAnsi="Palatino Linotype" w:cs="Arial"/>
        </w:rPr>
        <w:t xml:space="preserve">de agosto de dos mil veintiuno, fijando la temporalidad en observancia estricta al principio de suplencia de la queja. </w:t>
      </w:r>
    </w:p>
    <w:p w14:paraId="2D67A056" w14:textId="72854E32" w:rsidR="005523D5" w:rsidRDefault="005523D5" w:rsidP="00E65AC5">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una interpretación sistémica a los </w:t>
      </w:r>
      <w:r w:rsidRPr="00226760">
        <w:rPr>
          <w:rFonts w:ascii="Palatino Linotype" w:hAnsi="Palatino Linotype" w:cs="Arial"/>
        </w:rPr>
        <w:t>artículos 3.80 fracciones I, III, IX, 3.81, 3.82 fracciones III y XV, 3.83, 3.84 fracciones I y VIII, 5.112 fracción XIV</w:t>
      </w:r>
      <w:r>
        <w:rPr>
          <w:rFonts w:ascii="Palatino Linotype" w:hAnsi="Palatino Linotype" w:cs="Arial"/>
        </w:rPr>
        <w:t xml:space="preserve">, </w:t>
      </w:r>
      <w:r w:rsidRPr="00226760">
        <w:rPr>
          <w:rFonts w:ascii="Palatino Linotype" w:hAnsi="Palatino Linotype" w:cs="Arial"/>
        </w:rPr>
        <w:t>5.212</w:t>
      </w:r>
      <w:r>
        <w:rPr>
          <w:rFonts w:ascii="Palatino Linotype" w:hAnsi="Palatino Linotype" w:cs="Arial"/>
        </w:rPr>
        <w:t xml:space="preserve"> del Código de Reglamentación Municipal de Metepec, se desprende que el Director de Administración, el Subdirector de Recursos Humanos, así como el Jefe de Departamento de Relaciones Laborales fungen como los sujetos habilitados competentes para atender la solicitud de información. </w:t>
      </w:r>
    </w:p>
    <w:p w14:paraId="00C38B74" w14:textId="7F72A076" w:rsidR="005523D5" w:rsidRPr="00236C82" w:rsidRDefault="00807A3D" w:rsidP="00E65AC5">
      <w:pPr>
        <w:pStyle w:val="Prrafodelista"/>
        <w:numPr>
          <w:ilvl w:val="0"/>
          <w:numId w:val="5"/>
        </w:numPr>
        <w:spacing w:line="360" w:lineRule="auto"/>
        <w:jc w:val="both"/>
        <w:rPr>
          <w:rFonts w:ascii="Palatino Linotype" w:hAnsi="Palatino Linotype" w:cs="Arial"/>
          <w:b/>
          <w:color w:val="000000"/>
          <w:u w:val="single"/>
        </w:rPr>
      </w:pPr>
      <w:r>
        <w:rPr>
          <w:rFonts w:ascii="Palatino Linotype" w:hAnsi="Palatino Linotype" w:cs="Arial"/>
          <w:color w:val="000000"/>
        </w:rPr>
        <w:t xml:space="preserve">Mediante respuesta, </w:t>
      </w:r>
      <w:r>
        <w:rPr>
          <w:rFonts w:ascii="Palatino Linotype" w:hAnsi="Palatino Linotype" w:cs="Arial"/>
          <w:b/>
          <w:color w:val="000000"/>
        </w:rPr>
        <w:t xml:space="preserve">El Sujeto Obligado, </w:t>
      </w:r>
      <w:r>
        <w:rPr>
          <w:rFonts w:ascii="Palatino Linotype" w:hAnsi="Palatino Linotype" w:cs="Arial"/>
          <w:color w:val="000000"/>
        </w:rPr>
        <w:t xml:space="preserve">a través del </w:t>
      </w:r>
      <w:r w:rsidR="005523D5">
        <w:rPr>
          <w:rFonts w:ascii="Palatino Linotype" w:hAnsi="Palatino Linotype" w:cs="Arial"/>
          <w:color w:val="000000"/>
        </w:rPr>
        <w:t xml:space="preserve">Director de Administración se limitó a referir que en sus archivos obra la información requerida. Sin embargo, ésta actualiza las causales de reserva inmersas en el numeral 140 de la Ley de Transparencia local. Luego entonces se remite una </w:t>
      </w:r>
      <w:r w:rsidR="005523D5" w:rsidRPr="00236C82">
        <w:rPr>
          <w:rFonts w:ascii="Palatino Linotype" w:hAnsi="Palatino Linotype" w:cs="Arial"/>
          <w:b/>
          <w:color w:val="000000"/>
          <w:u w:val="single"/>
        </w:rPr>
        <w:lastRenderedPageBreak/>
        <w:t xml:space="preserve">propuesta de clasificación de información </w:t>
      </w:r>
      <w:r w:rsidR="009B5FB5" w:rsidRPr="00236C82">
        <w:rPr>
          <w:rFonts w:ascii="Palatino Linotype" w:hAnsi="Palatino Linotype" w:cs="Arial"/>
          <w:b/>
          <w:color w:val="000000"/>
          <w:u w:val="single"/>
        </w:rPr>
        <w:t xml:space="preserve">como reservada, por 6 meses, </w:t>
      </w:r>
      <w:r w:rsidR="005523D5" w:rsidRPr="00236C82">
        <w:rPr>
          <w:rFonts w:ascii="Palatino Linotype" w:hAnsi="Palatino Linotype" w:cs="Arial"/>
          <w:b/>
          <w:color w:val="000000"/>
          <w:u w:val="single"/>
        </w:rPr>
        <w:t xml:space="preserve">signada por el Director de Administración exclusivamente. </w:t>
      </w:r>
    </w:p>
    <w:p w14:paraId="46B709EB" w14:textId="2BD7A704" w:rsidR="009B5FB5" w:rsidRPr="009B5FB5" w:rsidRDefault="009B5FB5" w:rsidP="003D3967">
      <w:pPr>
        <w:pStyle w:val="Prrafodelista"/>
        <w:numPr>
          <w:ilvl w:val="0"/>
          <w:numId w:val="5"/>
        </w:numPr>
        <w:spacing w:line="360" w:lineRule="auto"/>
        <w:jc w:val="both"/>
        <w:rPr>
          <w:rFonts w:ascii="Palatino Linotype" w:hAnsi="Palatino Linotype" w:cs="Arial"/>
          <w:color w:val="000000"/>
        </w:rPr>
      </w:pPr>
      <w:r w:rsidRPr="009B5FB5">
        <w:rPr>
          <w:rFonts w:ascii="Palatino Linotype" w:hAnsi="Palatino Linotype" w:cs="Arial"/>
          <w:color w:val="000000"/>
        </w:rPr>
        <w:t xml:space="preserve">Que de una interpretación sistemática a los artículos </w:t>
      </w:r>
      <w:r w:rsidR="00176157">
        <w:rPr>
          <w:rFonts w:ascii="Palatino Linotype" w:hAnsi="Palatino Linotype" w:cs="Arial"/>
          <w:color w:val="000000"/>
        </w:rPr>
        <w:t xml:space="preserve">3, fracción XXXIII, </w:t>
      </w:r>
      <w:r w:rsidRPr="009B5FB5">
        <w:rPr>
          <w:rFonts w:ascii="Palatino Linotype" w:hAnsi="Palatino Linotype"/>
          <w:color w:val="000000" w:themeColor="text1"/>
        </w:rPr>
        <w:t xml:space="preserve">129 y 134 último párrafo de la Ley Estatal </w:t>
      </w:r>
      <w:r>
        <w:rPr>
          <w:rFonts w:ascii="Palatino Linotype" w:hAnsi="Palatino Linotype"/>
          <w:color w:val="000000" w:themeColor="text1"/>
        </w:rPr>
        <w:t xml:space="preserve">de Transparencia </w:t>
      </w:r>
      <w:r w:rsidRPr="009B5FB5">
        <w:rPr>
          <w:rFonts w:ascii="Palatino Linotype" w:hAnsi="Palatino Linotype"/>
          <w:color w:val="000000" w:themeColor="text1"/>
        </w:rPr>
        <w:t>y 104 y 108 ú</w:t>
      </w:r>
      <w:r>
        <w:rPr>
          <w:rFonts w:ascii="Palatino Linotype" w:hAnsi="Palatino Linotype"/>
          <w:color w:val="000000" w:themeColor="text1"/>
        </w:rPr>
        <w:t>ltimo párrafo de la Ley General de Transparencia, la clasificación de la información como reservada procede de manera excepcional, previa prueba de daño</w:t>
      </w:r>
      <w:r w:rsidR="00176157">
        <w:rPr>
          <w:rFonts w:ascii="Palatino Linotype" w:hAnsi="Palatino Linotype"/>
          <w:color w:val="000000" w:themeColor="text1"/>
        </w:rPr>
        <w:t xml:space="preserve">                                </w:t>
      </w:r>
      <w:r w:rsidR="00176157" w:rsidRPr="00176157">
        <w:rPr>
          <w:rFonts w:ascii="Palatino Linotype" w:hAnsi="Palatino Linotype"/>
          <w:b/>
          <w:color w:val="000000" w:themeColor="text1"/>
          <w:u w:val="single"/>
        </w:rPr>
        <w:t>–responsabilidad de los sujetos obligados-</w:t>
      </w:r>
      <w:r w:rsidRPr="00176157">
        <w:rPr>
          <w:rFonts w:ascii="Palatino Linotype" w:hAnsi="Palatino Linotype"/>
          <w:color w:val="000000" w:themeColor="text1"/>
          <w:u w:val="single"/>
        </w:rPr>
        <w:t>,</w:t>
      </w:r>
      <w:r>
        <w:rPr>
          <w:rFonts w:ascii="Palatino Linotype" w:hAnsi="Palatino Linotype"/>
          <w:color w:val="000000" w:themeColor="text1"/>
        </w:rPr>
        <w:t xml:space="preserve"> mediante un análisis caso por caso, debidamente </w:t>
      </w:r>
      <w:r w:rsidR="00236C82">
        <w:rPr>
          <w:rFonts w:ascii="Palatino Linotype" w:hAnsi="Palatino Linotype"/>
          <w:color w:val="000000" w:themeColor="text1"/>
        </w:rPr>
        <w:t>fundado</w:t>
      </w:r>
      <w:r>
        <w:rPr>
          <w:rFonts w:ascii="Palatino Linotype" w:hAnsi="Palatino Linotype"/>
          <w:color w:val="000000" w:themeColor="text1"/>
        </w:rPr>
        <w:t xml:space="preserve">, motivado y aprobado por el Comité de Transparencia. Imperativo normativo que no fue observado por </w:t>
      </w:r>
      <w:r>
        <w:rPr>
          <w:rFonts w:ascii="Palatino Linotype" w:hAnsi="Palatino Linotype"/>
          <w:b/>
          <w:color w:val="000000" w:themeColor="text1"/>
        </w:rPr>
        <w:t xml:space="preserve">El Sujeto Obligado </w:t>
      </w:r>
      <w:r>
        <w:rPr>
          <w:rFonts w:ascii="Palatino Linotype" w:hAnsi="Palatino Linotype"/>
          <w:color w:val="000000" w:themeColor="text1"/>
        </w:rPr>
        <w:t xml:space="preserve">mediante la respuesta primigenia.   </w:t>
      </w:r>
    </w:p>
    <w:p w14:paraId="1168D4F4" w14:textId="5DD4FB8B" w:rsidR="006D7FD9" w:rsidRPr="006D7FD9" w:rsidRDefault="00807A3D" w:rsidP="009B5FB5">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807A3D">
        <w:rPr>
          <w:rFonts w:ascii="Palatino Linotype" w:hAnsi="Palatino Linotype"/>
        </w:rPr>
        <w:t xml:space="preserve">Mediante etapa de manifestaciones, </w:t>
      </w:r>
      <w:r w:rsidR="009B5FB5">
        <w:rPr>
          <w:rFonts w:ascii="Palatino Linotype" w:hAnsi="Palatino Linotype"/>
          <w:b/>
        </w:rPr>
        <w:t xml:space="preserve">El Sujeto Obligado </w:t>
      </w:r>
      <w:r w:rsidR="009B5FB5">
        <w:rPr>
          <w:rFonts w:ascii="Palatino Linotype" w:hAnsi="Palatino Linotype"/>
        </w:rPr>
        <w:t xml:space="preserve">fue omiso en rendir su informe justificado. Adicionalmente, </w:t>
      </w:r>
      <w:r w:rsidR="009B5FB5">
        <w:rPr>
          <w:rFonts w:ascii="Palatino Linotype" w:hAnsi="Palatino Linotype"/>
          <w:b/>
        </w:rPr>
        <w:t xml:space="preserve">El Recurrente </w:t>
      </w:r>
      <w:r w:rsidR="009B5FB5">
        <w:rPr>
          <w:rFonts w:ascii="Palatino Linotype" w:hAnsi="Palatino Linotype"/>
        </w:rPr>
        <w:t xml:space="preserve">no rindió las manifestaciones estimadas pertinentes. </w:t>
      </w:r>
    </w:p>
    <w:p w14:paraId="38042FB1" w14:textId="77777777" w:rsidR="006D7FD9" w:rsidRDefault="006D7FD9" w:rsidP="006D7FD9">
      <w:pPr>
        <w:spacing w:line="360" w:lineRule="auto"/>
        <w:contextualSpacing/>
        <w:jc w:val="both"/>
        <w:rPr>
          <w:rFonts w:ascii="Palatino Linotype" w:eastAsia="MS Mincho" w:hAnsi="Palatino Linotype"/>
        </w:rPr>
      </w:pPr>
    </w:p>
    <w:p w14:paraId="2007C40D" w14:textId="4EC2E55A" w:rsidR="006D7FD9" w:rsidRPr="006329AB" w:rsidRDefault="006D7FD9" w:rsidP="006D7FD9">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w:t>
      </w:r>
      <w:r w:rsidR="00787D06" w:rsidRPr="006329AB">
        <w:rPr>
          <w:rFonts w:ascii="Palatino Linotype" w:eastAsia="MS Mincho" w:hAnsi="Palatino Linotype"/>
          <w:sz w:val="24"/>
          <w:szCs w:val="24"/>
        </w:rPr>
        <w:t>una búsqueda exhaustiva y razonable, a efecto de ordenar</w:t>
      </w:r>
      <w:r w:rsidR="00C8491D" w:rsidRPr="006329AB">
        <w:rPr>
          <w:rFonts w:ascii="Palatino Linotype" w:eastAsia="MS Mincho" w:hAnsi="Palatino Linotype"/>
          <w:sz w:val="24"/>
          <w:szCs w:val="24"/>
        </w:rPr>
        <w:t xml:space="preserve"> la entrega</w:t>
      </w:r>
      <w:r w:rsidR="00787D06" w:rsidRPr="006329AB">
        <w:rPr>
          <w:rFonts w:ascii="Palatino Linotype" w:eastAsia="MS Mincho" w:hAnsi="Palatino Linotype"/>
          <w:sz w:val="24"/>
          <w:szCs w:val="24"/>
        </w:rPr>
        <w:t xml:space="preserve"> a través del Sistema de Acceso a la Información Mexiquense (SAIMEX), </w:t>
      </w:r>
      <w:r w:rsidRPr="006329AB">
        <w:rPr>
          <w:rFonts w:ascii="Palatino Linotype" w:eastAsia="MS Mincho" w:hAnsi="Palatino Linotype"/>
          <w:sz w:val="24"/>
          <w:szCs w:val="24"/>
        </w:rPr>
        <w:t xml:space="preserve">en versión pública de ser procedente, </w:t>
      </w:r>
      <w:r w:rsidR="00787D06" w:rsidRPr="006329AB">
        <w:rPr>
          <w:rFonts w:ascii="Palatino Linotype" w:eastAsia="MS Mincho" w:hAnsi="Palatino Linotype"/>
          <w:sz w:val="24"/>
          <w:szCs w:val="24"/>
        </w:rPr>
        <w:t xml:space="preserve">de </w:t>
      </w:r>
      <w:r w:rsidRPr="006329AB">
        <w:rPr>
          <w:rFonts w:ascii="Palatino Linotype" w:eastAsia="MS Mincho" w:hAnsi="Palatino Linotype"/>
          <w:sz w:val="24"/>
          <w:szCs w:val="24"/>
        </w:rPr>
        <w:t xml:space="preserve">la siguiente información: </w:t>
      </w:r>
    </w:p>
    <w:p w14:paraId="31B1F661" w14:textId="77777777" w:rsidR="00236C82" w:rsidRDefault="00236C82" w:rsidP="00236C82">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Renuncias que existan o hayan sido presentadas durante el periodo comprendido del uno de enero de dos mil diecinueve al cinco de agosto de dos mil veintiuno. </w:t>
      </w:r>
    </w:p>
    <w:p w14:paraId="1B79FB7F" w14:textId="77777777" w:rsidR="00236C82" w:rsidRPr="006329AB" w:rsidRDefault="00236C82" w:rsidP="00236C82">
      <w:pPr>
        <w:pStyle w:val="Prrafodelista"/>
        <w:autoSpaceDE w:val="0"/>
        <w:autoSpaceDN w:val="0"/>
        <w:adjustRightInd w:val="0"/>
        <w:spacing w:line="360" w:lineRule="auto"/>
        <w:ind w:left="720"/>
        <w:jc w:val="both"/>
        <w:rPr>
          <w:rFonts w:ascii="Palatino Linotype" w:hAnsi="Palatino Linotype" w:cs="Arial"/>
        </w:rPr>
      </w:pPr>
    </w:p>
    <w:p w14:paraId="4784FA7F" w14:textId="2448E62D" w:rsidR="005523D5" w:rsidRPr="006329AB" w:rsidRDefault="006D7FD9" w:rsidP="006D7FD9">
      <w:pPr>
        <w:autoSpaceDE w:val="0"/>
        <w:autoSpaceDN w:val="0"/>
        <w:adjustRightInd w:val="0"/>
        <w:spacing w:before="240" w:line="360" w:lineRule="auto"/>
        <w:jc w:val="both"/>
        <w:rPr>
          <w:rFonts w:ascii="Palatino Linotype" w:hAnsi="Palatino Linotype" w:cs="Arial"/>
          <w:sz w:val="24"/>
          <w:szCs w:val="24"/>
        </w:rPr>
      </w:pPr>
      <w:r w:rsidRPr="006329AB">
        <w:rPr>
          <w:rFonts w:ascii="Palatino Linotype" w:hAnsi="Palatino Linotype"/>
          <w:sz w:val="24"/>
          <w:szCs w:val="24"/>
        </w:rPr>
        <w:lastRenderedPageBreak/>
        <w:t xml:space="preserve">Finalmente, como se advirtió en párrafos precedentes, </w:t>
      </w:r>
      <w:r w:rsidR="009B5FB5" w:rsidRPr="006329AB">
        <w:rPr>
          <w:rFonts w:ascii="Palatino Linotype" w:hAnsi="Palatino Linotype"/>
          <w:bCs/>
          <w:sz w:val="24"/>
          <w:szCs w:val="24"/>
        </w:rPr>
        <w:t xml:space="preserve">las renuncias requeridas sí pudieran ser </w:t>
      </w:r>
      <w:r w:rsidR="009B5FB5" w:rsidRPr="006329AB">
        <w:rPr>
          <w:rFonts w:ascii="Palatino Linotype" w:hAnsi="Palatino Linotype"/>
          <w:b/>
          <w:noProof/>
          <w:sz w:val="24"/>
          <w:szCs w:val="24"/>
          <w:u w:val="single"/>
          <w:lang w:eastAsia="es-MX"/>
        </w:rPr>
        <w:t xml:space="preserve">materia de juicios laborales o procedimientos jurisdiccionales, </w:t>
      </w:r>
      <w:r w:rsidR="009B5FB5" w:rsidRPr="006329AB">
        <w:rPr>
          <w:rFonts w:ascii="Palatino Linotype" w:hAnsi="Palatino Linotype"/>
          <w:noProof/>
          <w:sz w:val="24"/>
          <w:szCs w:val="24"/>
          <w:lang w:eastAsia="es-MX"/>
        </w:rPr>
        <w:t xml:space="preserve">por ello, </w:t>
      </w:r>
      <w:r w:rsidR="009B5FB5" w:rsidRPr="006329AB">
        <w:rPr>
          <w:rFonts w:ascii="Palatino Linotype" w:hAnsi="Palatino Linotype"/>
          <w:b/>
          <w:noProof/>
          <w:sz w:val="24"/>
          <w:szCs w:val="24"/>
          <w:lang w:eastAsia="es-MX"/>
        </w:rPr>
        <w:t xml:space="preserve">El Sujeto Obligado </w:t>
      </w:r>
      <w:r w:rsidR="009B5FB5" w:rsidRPr="006329AB">
        <w:rPr>
          <w:rFonts w:ascii="Palatino Linotype" w:hAnsi="Palatino Linotype"/>
          <w:noProof/>
          <w:sz w:val="24"/>
          <w:szCs w:val="24"/>
          <w:lang w:eastAsia="es-MX"/>
        </w:rPr>
        <w:t>deberá de realizar un analisis caso por caso y clasificar</w:t>
      </w:r>
      <w:r w:rsidR="00041F04">
        <w:rPr>
          <w:rFonts w:ascii="Palatino Linotype" w:hAnsi="Palatino Linotype"/>
          <w:noProof/>
          <w:sz w:val="24"/>
          <w:szCs w:val="24"/>
          <w:lang w:eastAsia="es-MX"/>
        </w:rPr>
        <w:t xml:space="preserve"> </w:t>
      </w:r>
      <w:r w:rsidR="00041F04" w:rsidRPr="00041F04">
        <w:rPr>
          <w:rFonts w:ascii="Palatino Linotype" w:hAnsi="Palatino Linotype"/>
          <w:b/>
          <w:noProof/>
          <w:sz w:val="24"/>
          <w:szCs w:val="24"/>
          <w:lang w:eastAsia="es-MX"/>
        </w:rPr>
        <w:t>-total o parcialmente</w:t>
      </w:r>
      <w:r w:rsidR="00041F04">
        <w:rPr>
          <w:rFonts w:ascii="Palatino Linotype" w:hAnsi="Palatino Linotype"/>
          <w:noProof/>
          <w:sz w:val="24"/>
          <w:szCs w:val="24"/>
          <w:lang w:eastAsia="es-MX"/>
        </w:rPr>
        <w:t xml:space="preserve"> </w:t>
      </w:r>
      <w:r w:rsidR="00041F04" w:rsidRPr="00041F04">
        <w:rPr>
          <w:rFonts w:ascii="Palatino Linotype" w:hAnsi="Palatino Linotype"/>
          <w:b/>
          <w:noProof/>
          <w:sz w:val="24"/>
          <w:szCs w:val="24"/>
          <w:lang w:eastAsia="es-MX"/>
        </w:rPr>
        <w:t>de ser procedente-</w:t>
      </w:r>
      <w:r w:rsidR="009B5FB5" w:rsidRPr="006329AB">
        <w:rPr>
          <w:rFonts w:ascii="Palatino Linotype" w:hAnsi="Palatino Linotype"/>
          <w:noProof/>
          <w:sz w:val="24"/>
          <w:szCs w:val="24"/>
          <w:lang w:eastAsia="es-MX"/>
        </w:rPr>
        <w:t xml:space="preserve"> la información previa prueba de daño, debidamente fundada, motivada y aprobada por su Comité de Transparencia. </w:t>
      </w:r>
    </w:p>
    <w:p w14:paraId="6545576C" w14:textId="1345A668" w:rsidR="005523D5" w:rsidRDefault="005523D5" w:rsidP="005523D5">
      <w:pPr>
        <w:autoSpaceDE w:val="0"/>
        <w:autoSpaceDN w:val="0"/>
        <w:adjustRightInd w:val="0"/>
        <w:spacing w:before="240" w:line="360" w:lineRule="auto"/>
        <w:jc w:val="both"/>
        <w:rPr>
          <w:rFonts w:ascii="Palatino Linotype" w:hAnsi="Palatino Linotype"/>
          <w:b/>
          <w:sz w:val="24"/>
          <w:szCs w:val="24"/>
        </w:rPr>
      </w:pPr>
    </w:p>
    <w:p w14:paraId="3037B53C" w14:textId="77777777" w:rsidR="005523D5" w:rsidRPr="005523D5" w:rsidRDefault="005523D5" w:rsidP="005523D5">
      <w:pPr>
        <w:spacing w:before="240" w:line="360" w:lineRule="auto"/>
        <w:jc w:val="both"/>
        <w:rPr>
          <w:rFonts w:ascii="Palatino Linotype" w:hAnsi="Palatino Linotype" w:cs="Arial"/>
          <w:b/>
          <w:bCs/>
          <w:sz w:val="28"/>
          <w:szCs w:val="28"/>
        </w:rPr>
      </w:pPr>
      <w:r w:rsidRPr="005523D5">
        <w:rPr>
          <w:rFonts w:ascii="Palatino Linotype" w:hAnsi="Palatino Linotype" w:cs="Arial"/>
          <w:b/>
          <w:bCs/>
          <w:sz w:val="28"/>
          <w:szCs w:val="28"/>
        </w:rPr>
        <w:t xml:space="preserve">De la clasificación de la información como reservada </w:t>
      </w:r>
    </w:p>
    <w:p w14:paraId="643080F5" w14:textId="77777777" w:rsidR="005523D5" w:rsidRPr="00F825BB" w:rsidRDefault="005523D5" w:rsidP="005523D5">
      <w:pPr>
        <w:spacing w:before="240" w:line="360" w:lineRule="auto"/>
        <w:jc w:val="both"/>
        <w:rPr>
          <w:rFonts w:ascii="Palatino Linotype" w:hAnsi="Palatino Linotype"/>
          <w:b/>
          <w:sz w:val="24"/>
          <w:szCs w:val="24"/>
        </w:rPr>
      </w:pPr>
      <w:r w:rsidRPr="00F825BB">
        <w:rPr>
          <w:rFonts w:ascii="Palatino Linotype" w:hAnsi="Palatino Linotype"/>
          <w:sz w:val="24"/>
          <w:szCs w:val="24"/>
        </w:rPr>
        <w:t xml:space="preserve">La clasificación de la información es el proceso mediante el cual los </w:t>
      </w:r>
      <w:r w:rsidRPr="00F825BB">
        <w:rPr>
          <w:rFonts w:ascii="Palatino Linotype" w:hAnsi="Palatino Linotype"/>
          <w:b/>
          <w:sz w:val="24"/>
          <w:szCs w:val="24"/>
        </w:rPr>
        <w:t xml:space="preserve">Sujetos Obligados </w:t>
      </w:r>
      <w:r w:rsidRPr="00F825BB">
        <w:rPr>
          <w:rFonts w:ascii="Palatino Linotype" w:hAnsi="Palatino Linotype"/>
          <w:sz w:val="24"/>
          <w:szCs w:val="24"/>
        </w:rPr>
        <w:t xml:space="preserve">determinan que la información requerida actualiza alguno de los supuestos de confidencialidad </w:t>
      </w:r>
      <w:r w:rsidRPr="00F825BB">
        <w:rPr>
          <w:rFonts w:ascii="Palatino Linotype" w:hAnsi="Palatino Linotype"/>
          <w:b/>
          <w:sz w:val="24"/>
          <w:szCs w:val="24"/>
        </w:rPr>
        <w:t xml:space="preserve">o </w:t>
      </w:r>
      <w:r w:rsidRPr="00F825BB">
        <w:rPr>
          <w:rFonts w:ascii="Palatino Linotype" w:hAnsi="Palatino Linotype"/>
          <w:b/>
          <w:sz w:val="24"/>
          <w:szCs w:val="24"/>
          <w:u w:val="single"/>
        </w:rPr>
        <w:t>reserva,</w:t>
      </w:r>
      <w:r w:rsidRPr="00F825BB">
        <w:rPr>
          <w:rFonts w:ascii="Palatino Linotype" w:hAnsi="Palatino Linotype"/>
          <w:b/>
          <w:sz w:val="24"/>
          <w:szCs w:val="24"/>
        </w:rPr>
        <w:t xml:space="preserve"> </w:t>
      </w:r>
      <w:r w:rsidRPr="00F825BB">
        <w:rPr>
          <w:rFonts w:ascii="Palatino Linotype" w:hAnsi="Palatino Linotype"/>
          <w:sz w:val="24"/>
          <w:szCs w:val="24"/>
        </w:rPr>
        <w:t xml:space="preserve">de acuerdo con las bases y los principios inmersos en la normatividad aplicable. </w:t>
      </w:r>
    </w:p>
    <w:p w14:paraId="33D01FC1" w14:textId="77777777" w:rsidR="005523D5" w:rsidRPr="00F825BB" w:rsidRDefault="005523D5" w:rsidP="005523D5">
      <w:pPr>
        <w:spacing w:before="240" w:line="360" w:lineRule="auto"/>
        <w:jc w:val="both"/>
        <w:rPr>
          <w:rFonts w:ascii="Palatino Linotype" w:hAnsi="Palatino Linotype"/>
          <w:b/>
          <w:sz w:val="24"/>
          <w:szCs w:val="24"/>
        </w:rPr>
      </w:pPr>
      <w:r w:rsidRPr="00F825BB">
        <w:rPr>
          <w:rFonts w:ascii="Palatino Linotype" w:hAnsi="Palatino Linotype"/>
          <w:sz w:val="24"/>
          <w:szCs w:val="24"/>
        </w:rPr>
        <w:t>El artículo 140 de la Ley de Transparencia y Acceso a la Información del Estado de México y Municipios enlista de manera estricta y limitativa las causales de procedencia para clasificar soportes documentales como información reservada.</w:t>
      </w:r>
    </w:p>
    <w:p w14:paraId="525F0667" w14:textId="77777777" w:rsidR="005523D5" w:rsidRPr="00F825BB" w:rsidRDefault="005523D5" w:rsidP="005523D5">
      <w:pPr>
        <w:spacing w:before="240" w:line="360" w:lineRule="auto"/>
        <w:jc w:val="both"/>
        <w:rPr>
          <w:rFonts w:ascii="Palatino Linotype" w:hAnsi="Palatino Linotype"/>
          <w:b/>
          <w:sz w:val="24"/>
          <w:szCs w:val="24"/>
        </w:rPr>
      </w:pPr>
      <w:r w:rsidRPr="00F825BB">
        <w:rPr>
          <w:rFonts w:ascii="Palatino Linotype" w:hAnsi="Palatino Linotype"/>
          <w:sz w:val="24"/>
          <w:szCs w:val="24"/>
        </w:rPr>
        <w:t xml:space="preserve">Para realizar la reserva la información, no basta con invocar alguna de las causales previstas en la Ley de transparencia local. En sentido contrario, dicha valoración debe realizarse a través de lo que se conoce como </w:t>
      </w:r>
      <w:r w:rsidRPr="00F825BB">
        <w:rPr>
          <w:rFonts w:ascii="Palatino Linotype" w:hAnsi="Palatino Linotype"/>
          <w:b/>
          <w:i/>
          <w:sz w:val="24"/>
          <w:szCs w:val="24"/>
        </w:rPr>
        <w:t xml:space="preserve">“prueba de daño”, </w:t>
      </w:r>
      <w:r w:rsidRPr="00F825BB">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w:t>
      </w:r>
      <w:r w:rsidRPr="00F825BB">
        <w:rPr>
          <w:rFonts w:ascii="Palatino Linotype" w:hAnsi="Palatino Linotype"/>
          <w:sz w:val="24"/>
          <w:szCs w:val="24"/>
        </w:rPr>
        <w:lastRenderedPageBreak/>
        <w:t>en riesgo o dañar el interés protegido</w:t>
      </w:r>
      <w:r w:rsidRPr="00F825BB">
        <w:rPr>
          <w:sz w:val="24"/>
          <w:szCs w:val="24"/>
          <w:vertAlign w:val="superscript"/>
        </w:rPr>
        <w:footnoteReference w:id="2"/>
      </w:r>
      <w:r w:rsidRPr="00F825BB">
        <w:rPr>
          <w:rFonts w:ascii="Palatino Linotype" w:hAnsi="Palatino Linotype"/>
          <w:sz w:val="24"/>
          <w:szCs w:val="24"/>
        </w:rPr>
        <w:t>. Asimismo, ésta no debe basarse en meras especulaciones o suposiciones, sino en elementos objetivos que deban evaluar que existe un riego actual e inminente</w:t>
      </w:r>
      <w:r w:rsidRPr="00F825BB">
        <w:rPr>
          <w:sz w:val="24"/>
          <w:szCs w:val="24"/>
          <w:vertAlign w:val="superscript"/>
        </w:rPr>
        <w:footnoteReference w:id="3"/>
      </w:r>
      <w:r w:rsidRPr="00F825BB">
        <w:rPr>
          <w:rFonts w:ascii="Palatino Linotype" w:hAnsi="Palatino Linotype"/>
          <w:sz w:val="24"/>
          <w:szCs w:val="24"/>
        </w:rPr>
        <w:t>.</w:t>
      </w:r>
    </w:p>
    <w:p w14:paraId="22858EB6" w14:textId="77777777" w:rsidR="005523D5" w:rsidRPr="00F825BB" w:rsidRDefault="005523D5" w:rsidP="005523D5">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F825BB">
        <w:rPr>
          <w:rFonts w:ascii="Palatino Linotype" w:hAnsi="Palatino Linotype"/>
          <w:b/>
          <w:color w:val="000000" w:themeColor="text1"/>
          <w:sz w:val="24"/>
          <w:szCs w:val="24"/>
          <w:u w:val="single"/>
        </w:rPr>
        <w:t>sino de cada uno de los documentos que lo integran</w:t>
      </w:r>
      <w:r w:rsidRPr="00F825BB">
        <w:rPr>
          <w:rFonts w:ascii="Palatino Linotype" w:hAnsi="Palatino Linotype"/>
          <w:color w:val="000000" w:themeColor="text1"/>
          <w:sz w:val="24"/>
          <w:szCs w:val="24"/>
        </w:rPr>
        <w:t>.</w:t>
      </w:r>
    </w:p>
    <w:p w14:paraId="78C0A82B" w14:textId="77777777" w:rsidR="005523D5" w:rsidRPr="00F825BB" w:rsidRDefault="005523D5" w:rsidP="005523D5">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1200617A" w14:textId="77777777" w:rsidR="005523D5" w:rsidRPr="00F825BB" w:rsidRDefault="005523D5" w:rsidP="005523D5">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 </w:t>
      </w:r>
      <w:r w:rsidRPr="00F825BB">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33A82F82" w14:textId="77777777" w:rsidR="005523D5" w:rsidRPr="00F825BB" w:rsidRDefault="005523D5" w:rsidP="005523D5">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II. </w:t>
      </w:r>
      <w:r w:rsidRPr="00F825BB">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56334BD1" w14:textId="77777777" w:rsidR="005523D5" w:rsidRPr="00F825BB" w:rsidRDefault="005523D5" w:rsidP="005523D5">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III. </w:t>
      </w:r>
      <w:r w:rsidRPr="00F825BB">
        <w:rPr>
          <w:rFonts w:ascii="Palatino Linotype" w:hAnsi="Palatino Linotype" w:cs="Bookman Old Style"/>
          <w:color w:val="000000" w:themeColor="text1"/>
          <w:sz w:val="24"/>
          <w:szCs w:val="24"/>
          <w:lang w:val="es-ES_tradnl"/>
        </w:rPr>
        <w:t xml:space="preserve">La limitación se adecua al principio de proporcionalidad y representa </w:t>
      </w:r>
      <w:r w:rsidRPr="00F825BB">
        <w:rPr>
          <w:rFonts w:ascii="Palatino Linotype" w:hAnsi="Palatino Linotype" w:cs="Bookman Old Style"/>
          <w:color w:val="000000" w:themeColor="text1"/>
          <w:sz w:val="24"/>
          <w:szCs w:val="24"/>
          <w:lang w:val="es-ES_tradnl"/>
        </w:rPr>
        <w:lastRenderedPageBreak/>
        <w:t xml:space="preserve">el medio menos restrictivo disponible para evitar el perjuicio. </w:t>
      </w:r>
    </w:p>
    <w:p w14:paraId="08F0769B" w14:textId="77777777" w:rsidR="005523D5" w:rsidRPr="00F825BB" w:rsidRDefault="005523D5" w:rsidP="005523D5">
      <w:pPr>
        <w:pStyle w:val="j"/>
        <w:shd w:val="clear" w:color="auto" w:fill="FFFFFF"/>
        <w:suppressAutoHyphens/>
        <w:spacing w:line="360" w:lineRule="auto"/>
        <w:jc w:val="both"/>
        <w:textAlignment w:val="baseline"/>
        <w:rPr>
          <w:rFonts w:ascii="Palatino Linotype" w:hAnsi="Palatino Linotype"/>
          <w:color w:val="000000" w:themeColor="text1"/>
        </w:rPr>
      </w:pPr>
      <w:r w:rsidRPr="00F825BB">
        <w:rPr>
          <w:rFonts w:ascii="Palatino Linotype" w:hAnsi="Palatino Linotype"/>
          <w:color w:val="000000" w:themeColor="text1"/>
        </w:rPr>
        <w:t>Sobre el primer supuesto consideremos que según el diccionario del español jurídico, por riesgo podemos entender “la contingencia o proximidad de un daño”,</w:t>
      </w:r>
      <w:r w:rsidRPr="00F825BB">
        <w:rPr>
          <w:rStyle w:val="Refdenotaalpie"/>
          <w:rFonts w:ascii="Palatino Linotype" w:hAnsi="Palatino Linotype"/>
          <w:color w:val="000000" w:themeColor="text1"/>
        </w:rPr>
        <w:footnoteReference w:id="4"/>
      </w:r>
      <w:r w:rsidRPr="00F825BB">
        <w:rPr>
          <w:rFonts w:ascii="Palatino Linotype" w:hAnsi="Palatino Linotype"/>
          <w:color w:val="000000" w:themeColor="text1"/>
        </w:rPr>
        <w:t xml:space="preserve"> mientras que el daño es considerado como un “perjuicio o lesión”</w:t>
      </w:r>
      <w:r w:rsidRPr="00F825BB">
        <w:rPr>
          <w:rStyle w:val="Refdenotaalpie"/>
          <w:rFonts w:ascii="Palatino Linotype" w:hAnsi="Palatino Linotype"/>
          <w:color w:val="000000" w:themeColor="text1"/>
        </w:rPr>
        <w:footnoteReference w:id="5"/>
      </w:r>
      <w:r w:rsidRPr="00F825BB">
        <w:rPr>
          <w:rFonts w:ascii="Palatino Linotype" w:hAnsi="Palatino Linotype"/>
          <w:color w:val="000000" w:themeColor="text1"/>
        </w:rPr>
        <w:t>, mientras que según el Diccionario de la Lengua Española, lo real es</w:t>
      </w:r>
      <w:r w:rsidRPr="00F825BB">
        <w:rPr>
          <w:rFonts w:ascii="Palatino Linotype" w:eastAsia="Arial Unicode MS" w:hAnsi="Palatino Linotype" w:cs="Arial Unicode MS"/>
          <w:color w:val="000000" w:themeColor="text1"/>
          <w:spacing w:val="4"/>
          <w:shd w:val="clear" w:color="auto" w:fill="FFFFFF"/>
        </w:rPr>
        <w:t> lo “</w:t>
      </w:r>
      <w:r w:rsidRPr="00F825BB">
        <w:rPr>
          <w:rFonts w:ascii="Palatino Linotype" w:eastAsia="Times New Roman" w:hAnsi="Palatino Linotype"/>
          <w:color w:val="000000" w:themeColor="text1"/>
        </w:rPr>
        <w:t>(q</w:t>
      </w:r>
      <w:proofErr w:type="gramStart"/>
      <w:r w:rsidRPr="00F825BB">
        <w:rPr>
          <w:rFonts w:ascii="Palatino Linotype" w:eastAsia="Times New Roman" w:hAnsi="Palatino Linotype"/>
          <w:color w:val="000000" w:themeColor="text1"/>
        </w:rPr>
        <w:t>)</w:t>
      </w:r>
      <w:proofErr w:type="spellStart"/>
      <w:r w:rsidRPr="00F825BB">
        <w:rPr>
          <w:rFonts w:ascii="Palatino Linotype" w:eastAsia="Times New Roman" w:hAnsi="Palatino Linotype"/>
          <w:color w:val="000000" w:themeColor="text1"/>
        </w:rPr>
        <w:t>ue</w:t>
      </w:r>
      <w:proofErr w:type="spellEnd"/>
      <w:proofErr w:type="gramEnd"/>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tiene</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existencia</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objetiva”,</w:t>
      </w:r>
      <w:r w:rsidRPr="00F825BB">
        <w:rPr>
          <w:rStyle w:val="Refdenotaalpie"/>
          <w:rFonts w:ascii="Palatino Linotype" w:eastAsia="Times New Roman" w:hAnsi="Palatino Linotype"/>
          <w:color w:val="000000" w:themeColor="text1"/>
        </w:rPr>
        <w:footnoteReference w:id="6"/>
      </w:r>
      <w:r w:rsidRPr="00F825BB">
        <w:rPr>
          <w:rFonts w:ascii="Palatino Linotype" w:eastAsia="Times New Roman" w:hAnsi="Palatino Linotype"/>
          <w:color w:val="000000" w:themeColor="text1"/>
        </w:rPr>
        <w:t xml:space="preserve"> </w:t>
      </w:r>
      <w:r w:rsidRPr="00F825BB">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F825BB">
        <w:rPr>
          <w:rStyle w:val="Refdenotaalpie"/>
          <w:rFonts w:ascii="Palatino Linotype" w:eastAsia="Arial Unicode MS" w:hAnsi="Palatino Linotype" w:cs="Arial Unicode MS"/>
          <w:color w:val="000000" w:themeColor="text1"/>
          <w:spacing w:val="4"/>
          <w:shd w:val="clear" w:color="auto" w:fill="FFFFFF"/>
        </w:rPr>
        <w:footnoteReference w:id="7"/>
      </w:r>
      <w:r w:rsidRPr="00F825BB">
        <w:rPr>
          <w:rFonts w:ascii="Palatino Linotype" w:eastAsia="Arial Unicode MS" w:hAnsi="Palatino Linotype" w:cs="Arial Unicode MS"/>
          <w:color w:val="000000" w:themeColor="text1"/>
          <w:spacing w:val="4"/>
          <w:shd w:val="clear" w:color="auto" w:fill="FFFFFF"/>
        </w:rPr>
        <w:t xml:space="preserve"> es decir, </w:t>
      </w:r>
      <w:r w:rsidRPr="00F825BB">
        <w:rPr>
          <w:rFonts w:ascii="Palatino Linotype" w:hAnsi="Palatino Linotype" w:cstheme="minorBidi"/>
          <w:color w:val="000000" w:themeColor="text1"/>
          <w:lang w:val="es-MX" w:eastAsia="en-US"/>
        </w:rPr>
        <w:t>“(m)anifestar, declarar. Probar, sirviéndose de cualquier género de demostración, </w:t>
      </w:r>
      <w:hyperlink r:id="rId13" w:anchor="6nAyKjE" w:history="1">
        <w:r w:rsidRPr="00F825BB">
          <w:rPr>
            <w:rFonts w:ascii="Palatino Linotype" w:hAnsi="Palatino Linotype" w:cstheme="minorBidi"/>
            <w:color w:val="000000" w:themeColor="text1"/>
            <w:lang w:val="es-MX" w:eastAsia="en-US"/>
          </w:rPr>
          <w:t>enseñar</w:t>
        </w:r>
      </w:hyperlink>
      <w:r w:rsidRPr="00F825BB">
        <w:rPr>
          <w:rFonts w:ascii="Palatino Linotype" w:hAnsi="Palatino Linotype" w:cstheme="minorBidi"/>
          <w:color w:val="000000" w:themeColor="text1"/>
          <w:lang w:val="es-MX" w:eastAsia="en-US"/>
        </w:rPr>
        <w:t> mostrar o exponer algo)”.</w:t>
      </w:r>
      <w:r w:rsidRPr="00F825BB">
        <w:rPr>
          <w:rStyle w:val="Refdenotaalpie"/>
          <w:rFonts w:ascii="Palatino Linotype" w:hAnsi="Palatino Linotype" w:cstheme="minorBidi"/>
          <w:color w:val="000000" w:themeColor="text1"/>
          <w:lang w:val="es-MX" w:eastAsia="en-US"/>
        </w:rPr>
        <w:footnoteReference w:id="8"/>
      </w:r>
      <w:r w:rsidRPr="00F825BB">
        <w:rPr>
          <w:rFonts w:ascii="Palatino Linotype" w:hAnsi="Palatino Linotype" w:cstheme="minorBidi"/>
          <w:color w:val="000000" w:themeColor="text1"/>
          <w:lang w:val="es-MX" w:eastAsia="en-US"/>
        </w:rPr>
        <w:t xml:space="preserve"> Mientras que lo identificable es lo que puede ser identificado,</w:t>
      </w:r>
      <w:r w:rsidRPr="00F825BB">
        <w:rPr>
          <w:rStyle w:val="Refdenotaalpie"/>
          <w:rFonts w:ascii="Palatino Linotype" w:hAnsi="Palatino Linotype" w:cstheme="minorBidi"/>
          <w:color w:val="000000" w:themeColor="text1"/>
          <w:lang w:val="es-MX" w:eastAsia="en-US"/>
        </w:rPr>
        <w:footnoteReference w:id="9"/>
      </w:r>
      <w:r w:rsidRPr="00F825BB">
        <w:rPr>
          <w:rFonts w:ascii="Palatino Linotype" w:hAnsi="Palatino Linotype" w:cstheme="minorBidi"/>
          <w:color w:val="000000" w:themeColor="text1"/>
          <w:lang w:val="es-MX" w:eastAsia="en-US"/>
        </w:rPr>
        <w:t xml:space="preserve"> esto es,</w:t>
      </w:r>
      <w:r w:rsidRPr="00F825BB">
        <w:rPr>
          <w:rFonts w:ascii="Palatino Linotype" w:hAnsi="Palatino Linotype" w:cstheme="minorBidi"/>
          <w:color w:val="000000" w:themeColor="text1"/>
        </w:rPr>
        <w:t>  “(d</w:t>
      </w:r>
      <w:proofErr w:type="gramStart"/>
      <w:r w:rsidRPr="00F825BB">
        <w:rPr>
          <w:rFonts w:ascii="Palatino Linotype" w:hAnsi="Palatino Linotype" w:cstheme="minorBidi"/>
          <w:color w:val="000000" w:themeColor="text1"/>
        </w:rPr>
        <w:t>)</w:t>
      </w:r>
      <w:proofErr w:type="spellStart"/>
      <w:r w:rsidRPr="00F825BB">
        <w:rPr>
          <w:rFonts w:ascii="Palatino Linotype" w:hAnsi="Palatino Linotype" w:cstheme="minorBidi"/>
          <w:color w:val="000000" w:themeColor="text1"/>
        </w:rPr>
        <w:t>ar</w:t>
      </w:r>
      <w:proofErr w:type="spellEnd"/>
      <w:proofErr w:type="gramEnd"/>
      <w:r w:rsidRPr="00F825BB">
        <w:rPr>
          <w:rFonts w:ascii="Palatino Linotype" w:hAnsi="Palatino Linotype" w:cstheme="minorBidi"/>
          <w:color w:val="000000" w:themeColor="text1"/>
        </w:rPr>
        <w:t> los datos necesarios para ser reconocido”.</w:t>
      </w:r>
      <w:r w:rsidRPr="00F825BB">
        <w:rPr>
          <w:rStyle w:val="Refdenotaalpie"/>
          <w:rFonts w:ascii="Palatino Linotype" w:hAnsi="Palatino Linotype" w:cstheme="minorBidi"/>
          <w:color w:val="000000" w:themeColor="text1"/>
        </w:rPr>
        <w:footnoteReference w:id="10"/>
      </w:r>
    </w:p>
    <w:p w14:paraId="0C02DE72" w14:textId="77777777" w:rsidR="005523D5" w:rsidRPr="00F825BB" w:rsidRDefault="005523D5" w:rsidP="005523D5">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51C6F7D" w14:textId="77777777" w:rsidR="005523D5" w:rsidRPr="00F825BB" w:rsidRDefault="005523D5" w:rsidP="005523D5">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0EEDF178" w14:textId="77777777" w:rsidR="005523D5" w:rsidRDefault="005523D5" w:rsidP="005523D5">
      <w:pPr>
        <w:spacing w:line="360" w:lineRule="auto"/>
        <w:jc w:val="both"/>
        <w:rPr>
          <w:rFonts w:ascii="Palatino Linotype" w:hAnsi="Palatino Linotype"/>
          <w:color w:val="000000" w:themeColor="text1"/>
          <w:sz w:val="24"/>
          <w:szCs w:val="24"/>
        </w:rPr>
      </w:pPr>
      <w:r w:rsidRPr="00E01285">
        <w:rPr>
          <w:rFonts w:ascii="Palatino Linotype" w:hAnsi="Palatino Linotype"/>
          <w:color w:val="000000" w:themeColor="text1"/>
          <w:sz w:val="24"/>
          <w:szCs w:val="24"/>
        </w:rPr>
        <w:lastRenderedPageBreak/>
        <w:t>Y, por último,  que la limitación es acorde con el principio de proporcionalidad, para ello, se sugiere emplear los tres juicios propuestos por la Corte Constitucional Colombiana</w:t>
      </w:r>
      <w:r w:rsidRPr="00774B2D">
        <w:rPr>
          <w:rStyle w:val="Refdenotaalpie"/>
          <w:rFonts w:ascii="Palatino Linotype" w:hAnsi="Palatino Linotype"/>
          <w:color w:val="000000" w:themeColor="text1"/>
        </w:rPr>
        <w:footnoteReference w:id="11"/>
      </w:r>
      <w:r w:rsidRPr="00E01285">
        <w:rPr>
          <w:rFonts w:ascii="Palatino Linotype" w:hAnsi="Palatino Linotype"/>
          <w:color w:val="000000" w:themeColor="text1"/>
          <w:sz w:val="24"/>
          <w:szCs w:val="24"/>
        </w:rPr>
        <w:t>, siguiendo el principio de ponderación propuesto por el Tribunal Constitucional Alemán,</w:t>
      </w:r>
      <w:r w:rsidRPr="00774B2D">
        <w:rPr>
          <w:rStyle w:val="Refdenotaalpie"/>
          <w:rFonts w:ascii="Palatino Linotype" w:hAnsi="Palatino Linotype"/>
          <w:color w:val="000000" w:themeColor="text1"/>
        </w:rPr>
        <w:footnoteReference w:id="12"/>
      </w:r>
      <w:r w:rsidRPr="00E01285">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9554103" w14:textId="5B02849F" w:rsidR="005523D5" w:rsidRPr="00E01285" w:rsidRDefault="00236C82" w:rsidP="005523D5">
      <w:pPr>
        <w:spacing w:line="360" w:lineRule="auto"/>
        <w:jc w:val="both"/>
        <w:rPr>
          <w:rFonts w:ascii="Palatino Linotype" w:hAnsi="Palatino Linotype"/>
          <w:color w:val="000000" w:themeColor="text1"/>
          <w:sz w:val="24"/>
          <w:szCs w:val="24"/>
        </w:rPr>
      </w:pPr>
      <w:r>
        <w:rPr>
          <w:rFonts w:ascii="Palatino Linotype" w:hAnsi="Palatino Linotype"/>
          <w:noProof/>
          <w:color w:val="000000" w:themeColor="text1"/>
          <w:sz w:val="24"/>
          <w:szCs w:val="24"/>
          <w:lang w:eastAsia="es-MX"/>
        </w:rPr>
        <mc:AlternateContent>
          <mc:Choice Requires="wps">
            <w:drawing>
              <wp:anchor distT="0" distB="0" distL="114300" distR="114300" simplePos="0" relativeHeight="251750390" behindDoc="0" locked="0" layoutInCell="1" allowOverlap="1" wp14:anchorId="0AA6B622" wp14:editId="1CBBD521">
                <wp:simplePos x="0" y="0"/>
                <wp:positionH relativeFrom="column">
                  <wp:posOffset>-85268</wp:posOffset>
                </wp:positionH>
                <wp:positionV relativeFrom="paragraph">
                  <wp:posOffset>1020115</wp:posOffset>
                </wp:positionV>
                <wp:extent cx="6181344" cy="936345"/>
                <wp:effectExtent l="0" t="0" r="29210" b="35560"/>
                <wp:wrapNone/>
                <wp:docPr id="8" name="Conector recto 8"/>
                <wp:cNvGraphicFramePr/>
                <a:graphic xmlns:a="http://schemas.openxmlformats.org/drawingml/2006/main">
                  <a:graphicData uri="http://schemas.microsoft.com/office/word/2010/wordprocessingShape">
                    <wps:wsp>
                      <wps:cNvCnPr/>
                      <wps:spPr>
                        <a:xfrm>
                          <a:off x="0" y="0"/>
                          <a:ext cx="6181344" cy="9363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7EEBF" id="Conector recto 8" o:spid="_x0000_s1026" style="position:absolute;z-index:251750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80.3pt" to="480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" strokecolor="#5b9bd5 [3204]" strokeweight=".5pt">
                <v:stroke joinstyle="miter"/>
              </v:line>
            </w:pict>
          </mc:Fallback>
        </mc:AlternateContent>
      </w:r>
      <w:r w:rsidR="005523D5">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538AAD88" w14:textId="77777777" w:rsidR="005523D5" w:rsidRDefault="005523D5" w:rsidP="006D7FD9">
      <w:pPr>
        <w:autoSpaceDE w:val="0"/>
        <w:autoSpaceDN w:val="0"/>
        <w:adjustRightInd w:val="0"/>
        <w:spacing w:before="240" w:line="360" w:lineRule="auto"/>
        <w:jc w:val="both"/>
        <w:rPr>
          <w:rFonts w:ascii="Palatino Linotype" w:hAnsi="Palatino Linotype" w:cs="Arial"/>
        </w:rPr>
      </w:pPr>
    </w:p>
    <w:p w14:paraId="7E63C3B7" w14:textId="77777777" w:rsidR="00236C82" w:rsidRDefault="00236C82" w:rsidP="006D7FD9">
      <w:pPr>
        <w:autoSpaceDE w:val="0"/>
        <w:autoSpaceDN w:val="0"/>
        <w:adjustRightInd w:val="0"/>
        <w:spacing w:before="240" w:line="360" w:lineRule="auto"/>
        <w:jc w:val="both"/>
        <w:rPr>
          <w:rFonts w:ascii="Palatino Linotype" w:hAnsi="Palatino Linotype" w:cs="Arial"/>
        </w:rPr>
      </w:pPr>
    </w:p>
    <w:p w14:paraId="582FD5A5" w14:textId="10C9AAAA" w:rsidR="00787D06" w:rsidRPr="00C22506" w:rsidRDefault="00787D06" w:rsidP="00787D0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3E240FC1" w14:textId="77777777" w:rsidR="00787D06" w:rsidRPr="001571EB" w:rsidRDefault="00787D06" w:rsidP="00787D0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87D3FC6" w14:textId="77777777" w:rsidR="00787D06" w:rsidRPr="00E60DEF" w:rsidRDefault="00787D06" w:rsidP="00787D0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8044E8B" w14:textId="77777777" w:rsidR="00787D06" w:rsidRPr="00E60DEF" w:rsidRDefault="00787D06" w:rsidP="00787D0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8460C80" w14:textId="77777777" w:rsidR="00787D06" w:rsidRPr="001571EB"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25A7AD1" w14:textId="77777777" w:rsidR="00787D06" w:rsidRPr="001571EB" w:rsidRDefault="00787D06" w:rsidP="00787D0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426887B" w14:textId="77777777" w:rsidR="00787D06" w:rsidRPr="001571EB"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54EA762" w14:textId="77777777" w:rsidR="00787D06" w:rsidRPr="001571EB" w:rsidRDefault="00787D06" w:rsidP="00787D0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5782622"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6D5B9D6C"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EB3257A"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B1B33A" w14:textId="77777777" w:rsidR="00787D06" w:rsidRPr="00E60DEF" w:rsidRDefault="00787D06" w:rsidP="00787D0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135A64A" w14:textId="77777777" w:rsidR="00787D06" w:rsidRPr="001571EB" w:rsidRDefault="00787D06" w:rsidP="00787D0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2394623" w14:textId="77777777" w:rsidR="00787D06"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A44A413" w14:textId="77777777" w:rsidR="00787D06" w:rsidRPr="00E60DEF" w:rsidRDefault="00787D06" w:rsidP="00787D06">
      <w:pPr>
        <w:spacing w:before="240" w:line="360" w:lineRule="auto"/>
        <w:ind w:left="851" w:right="851"/>
        <w:jc w:val="both"/>
        <w:rPr>
          <w:rFonts w:ascii="Palatino Linotype" w:hAnsi="Palatino Linotype" w:cs="Arial"/>
          <w:b/>
          <w:i/>
        </w:rPr>
      </w:pPr>
    </w:p>
    <w:p w14:paraId="4657544E" w14:textId="77777777" w:rsidR="00787D06" w:rsidRPr="001571EB" w:rsidRDefault="00787D06" w:rsidP="00787D0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F4A014A" w14:textId="77777777" w:rsidR="00787D06" w:rsidRPr="001571EB" w:rsidRDefault="00787D06" w:rsidP="00787D0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5203C43" w14:textId="77777777" w:rsidR="00787D06" w:rsidRPr="001571EB" w:rsidRDefault="00787D06" w:rsidP="00787D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0B4C202" w14:textId="77777777" w:rsidR="00787D06" w:rsidRDefault="00787D06" w:rsidP="00787D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183C7AD" w14:textId="77777777" w:rsidR="00787D06" w:rsidRDefault="00787D06" w:rsidP="00787D0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79028EB"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07E768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E959A2A"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C4832E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8D55BC6" w14:textId="77777777" w:rsidR="00787D06" w:rsidRPr="00EE0180"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C2E99F0" w14:textId="77777777" w:rsidR="00787D06" w:rsidRPr="001571EB" w:rsidRDefault="00787D06" w:rsidP="00787D06">
      <w:pPr>
        <w:autoSpaceDE w:val="0"/>
        <w:autoSpaceDN w:val="0"/>
        <w:adjustRightInd w:val="0"/>
        <w:spacing w:before="120" w:after="120"/>
        <w:ind w:left="567" w:right="850"/>
        <w:jc w:val="both"/>
        <w:rPr>
          <w:rFonts w:ascii="Palatino Linotype" w:eastAsia="Times New Roman" w:hAnsi="Palatino Linotype" w:cs="Arial"/>
          <w:i/>
        </w:rPr>
      </w:pPr>
    </w:p>
    <w:p w14:paraId="02D47252" w14:textId="77777777" w:rsidR="00787D06" w:rsidRPr="001571EB" w:rsidRDefault="00787D06" w:rsidP="00787D0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B325702" w14:textId="77777777" w:rsidR="00787D06" w:rsidRPr="001571EB" w:rsidRDefault="00787D06" w:rsidP="00787D0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40A971" w14:textId="77777777" w:rsidR="00787D06" w:rsidRDefault="00787D06" w:rsidP="00787D0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3A4DC3A" w14:textId="77777777" w:rsidR="00787D06" w:rsidRDefault="00787D06" w:rsidP="00787D0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6A16693"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E8F682"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4C45C2A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B4949F3"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5A6BB7B" w14:textId="77777777" w:rsidR="00787D06"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66C44F2" w14:textId="77777777" w:rsidR="00236C82" w:rsidRDefault="00236C82" w:rsidP="00787D06">
      <w:pPr>
        <w:spacing w:after="0" w:line="360" w:lineRule="auto"/>
        <w:ind w:right="51"/>
        <w:jc w:val="both"/>
        <w:rPr>
          <w:rFonts w:ascii="Palatino Linotype" w:hAnsi="Palatino Linotype" w:cs="Arial"/>
          <w:sz w:val="24"/>
          <w:szCs w:val="24"/>
        </w:rPr>
      </w:pPr>
    </w:p>
    <w:p w14:paraId="55965354" w14:textId="77777777" w:rsidR="00787D06" w:rsidRDefault="00787D06" w:rsidP="00787D0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4D3FAE6" w14:textId="77777777" w:rsidR="00CA201A" w:rsidRDefault="00CA201A" w:rsidP="00CA201A">
      <w:pPr>
        <w:spacing w:after="0" w:line="360" w:lineRule="auto"/>
        <w:jc w:val="both"/>
        <w:rPr>
          <w:rFonts w:ascii="Palatino Linotype" w:eastAsia="Times New Roman" w:hAnsi="Palatino Linotype" w:cs="Times New Roman"/>
          <w:sz w:val="24"/>
          <w:szCs w:val="24"/>
          <w:lang w:eastAsia="es-ES"/>
        </w:rPr>
      </w:pPr>
    </w:p>
    <w:p w14:paraId="466168DE" w14:textId="6E455EC5" w:rsidR="00CA201A" w:rsidRPr="000F5B7E" w:rsidRDefault="00CA201A" w:rsidP="00CA201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III, </w:t>
      </w:r>
      <w:r w:rsidRPr="000F5B7E">
        <w:rPr>
          <w:rFonts w:ascii="Palatino Linotype" w:eastAsia="Times New Roman" w:hAnsi="Palatino Linotype" w:cs="Arial"/>
          <w:sz w:val="24"/>
          <w:szCs w:val="24"/>
          <w:lang w:eastAsia="es-ES"/>
        </w:rPr>
        <w:lastRenderedPageBreak/>
        <w:t>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00440/METEPEC/IP/2021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200D40F" w14:textId="77777777" w:rsidR="00CA201A" w:rsidRDefault="00CA201A" w:rsidP="00CA201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3079449" w14:textId="029D9A9C" w:rsidR="00787D06" w:rsidRDefault="00787D06" w:rsidP="00787D06">
      <w:pPr>
        <w:spacing w:line="360" w:lineRule="auto"/>
        <w:contextualSpacing/>
        <w:jc w:val="both"/>
        <w:rPr>
          <w:rFonts w:ascii="Palatino Linotype" w:eastAsia="MS Mincho" w:hAnsi="Palatino Linotype"/>
        </w:rPr>
      </w:pPr>
    </w:p>
    <w:p w14:paraId="6B50CBA1" w14:textId="77777777" w:rsidR="006329AB" w:rsidRDefault="006329AB" w:rsidP="00787D06">
      <w:pPr>
        <w:spacing w:line="360" w:lineRule="auto"/>
        <w:contextualSpacing/>
        <w:jc w:val="both"/>
        <w:rPr>
          <w:rFonts w:ascii="Palatino Linotype" w:eastAsia="MS Mincho" w:hAnsi="Palatino Linotype"/>
        </w:rPr>
      </w:pPr>
    </w:p>
    <w:p w14:paraId="19C8A18B" w14:textId="77777777" w:rsidR="00CA201A" w:rsidRPr="00413327" w:rsidRDefault="00CA201A" w:rsidP="00CA201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0EA0AF7" w14:textId="27425FEA" w:rsidR="00CA201A" w:rsidRDefault="00CA201A" w:rsidP="00CA201A">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00440/METEPEC/IP/2021</w:t>
      </w:r>
      <w:r w:rsidRPr="000F5B7E">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DB38BC8" w14:textId="77777777" w:rsidR="00CA201A" w:rsidRDefault="00CA201A" w:rsidP="00CA201A">
      <w:pPr>
        <w:spacing w:before="240" w:line="360" w:lineRule="auto"/>
        <w:jc w:val="both"/>
        <w:rPr>
          <w:rFonts w:ascii="Palatino Linotype" w:hAnsi="Palatino Linotype" w:cs="Arial"/>
          <w:sz w:val="24"/>
          <w:szCs w:val="24"/>
        </w:rPr>
      </w:pPr>
    </w:p>
    <w:p w14:paraId="1C0660A2" w14:textId="13156963" w:rsidR="00CA201A" w:rsidRDefault="00CA201A" w:rsidP="00CA201A">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Pr>
          <w:rFonts w:ascii="Palatino Linotype" w:hAnsi="Palatino Linotype" w:cs="Arial"/>
        </w:rPr>
        <w:t>Sistema de Acceso a la Información Mexiquense</w:t>
      </w:r>
      <w:r w:rsidRPr="001C7462">
        <w:rPr>
          <w:rFonts w:ascii="Palatino Linotype" w:hAnsi="Palatino Linotype" w:cs="Arial"/>
          <w:b/>
        </w:rPr>
        <w:t xml:space="preserve"> </w:t>
      </w:r>
      <w:r>
        <w:rPr>
          <w:rFonts w:ascii="Palatino Linotype" w:hAnsi="Palatino Linotype" w:cs="Arial"/>
          <w:b/>
        </w:rPr>
        <w:t>(</w:t>
      </w:r>
      <w:r w:rsidRPr="001C7462">
        <w:rPr>
          <w:rFonts w:ascii="Palatino Linotype" w:hAnsi="Palatino Linotype" w:cs="Arial"/>
          <w:b/>
        </w:rPr>
        <w:t>SAIMEX</w:t>
      </w:r>
      <w:r>
        <w:rPr>
          <w:rFonts w:ascii="Palatino Linotype" w:hAnsi="Palatino Linotype" w:cs="Arial"/>
          <w:b/>
        </w:rPr>
        <w:t>)</w:t>
      </w:r>
      <w:r w:rsidRPr="001C7462">
        <w:rPr>
          <w:rFonts w:ascii="Palatino Linotype" w:hAnsi="Palatino Linotype" w:cs="Arial"/>
        </w:rPr>
        <w:t xml:space="preserve">, </w:t>
      </w:r>
      <w:r w:rsidRPr="00A116CF">
        <w:rPr>
          <w:rFonts w:ascii="Palatino Linotype" w:hAnsi="Palatino Linotype" w:cs="Arial"/>
        </w:rPr>
        <w:t>en versión pública</w:t>
      </w:r>
      <w:r>
        <w:rPr>
          <w:rFonts w:ascii="Palatino Linotype" w:hAnsi="Palatino Linotype" w:cs="Arial"/>
        </w:rPr>
        <w:t xml:space="preserve"> de ser procedente</w:t>
      </w:r>
      <w:r w:rsidRPr="00A116CF">
        <w:rPr>
          <w:rFonts w:ascii="Palatino Linotype" w:hAnsi="Palatino Linotype" w:cs="Arial"/>
        </w:rPr>
        <w:t xml:space="preserve">, </w:t>
      </w:r>
      <w:r>
        <w:rPr>
          <w:rFonts w:ascii="Palatino Linotype" w:hAnsi="Palatino Linotype" w:cs="Arial"/>
        </w:rPr>
        <w:t xml:space="preserve">de </w:t>
      </w:r>
      <w:r w:rsidRPr="00A116CF">
        <w:rPr>
          <w:rFonts w:ascii="Palatino Linotype" w:hAnsi="Palatino Linotype" w:cs="Arial"/>
        </w:rPr>
        <w:t>lo siguiente:</w:t>
      </w:r>
    </w:p>
    <w:p w14:paraId="4CEC544E" w14:textId="77777777" w:rsidR="00CA201A" w:rsidRDefault="00CA201A" w:rsidP="00CA201A">
      <w:pPr>
        <w:pStyle w:val="Prrafodelista"/>
        <w:numPr>
          <w:ilvl w:val="0"/>
          <w:numId w:val="1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Renuncias que existan o hayan sido presentadas durante el periodo comprendido del uno de enero de dos mil diecinueve al cinco de agosto de dos mil veintiuno. </w:t>
      </w:r>
    </w:p>
    <w:p w14:paraId="7A22BDED" w14:textId="77777777" w:rsidR="00CA201A" w:rsidRDefault="00CA201A" w:rsidP="00CA201A">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w:t>
      </w:r>
      <w:r>
        <w:rPr>
          <w:rFonts w:ascii="Palatino Linotype" w:hAnsi="Palatino Linotype" w:cs="Arial"/>
          <w:i/>
        </w:rPr>
        <w:lastRenderedPageBreak/>
        <w:t>en el que funde y motive las razones sobre los datos que se supriman o eliminen y se ponga a disposición de la recurrente.</w:t>
      </w:r>
    </w:p>
    <w:p w14:paraId="2381CB5B" w14:textId="7ED6F7A4" w:rsidR="008B3A59" w:rsidRPr="00E01CA7" w:rsidRDefault="008B3A59" w:rsidP="008B3A59">
      <w:pPr>
        <w:pStyle w:val="Prrafodelista"/>
        <w:tabs>
          <w:tab w:val="left" w:pos="7938"/>
        </w:tabs>
        <w:spacing w:before="240" w:line="360" w:lineRule="auto"/>
        <w:ind w:left="720"/>
        <w:jc w:val="both"/>
        <w:rPr>
          <w:rFonts w:ascii="Palatino Linotype" w:hAnsi="Palatino Linotype" w:cs="Arial"/>
          <w:i/>
        </w:rPr>
      </w:pPr>
      <w:r>
        <w:rPr>
          <w:rFonts w:ascii="Palatino Linotype" w:hAnsi="Palatino Linotype" w:cs="Arial"/>
          <w:i/>
        </w:rPr>
        <w:t xml:space="preserve">En referencia al numeral 1, de no haber quedado firme alguno o varios de los asuntos, resulta procedente la entrega del acuerdo como información reservada. </w:t>
      </w:r>
    </w:p>
    <w:p w14:paraId="39750C43" w14:textId="77777777" w:rsidR="00CA201A" w:rsidRDefault="00CA201A" w:rsidP="00CA201A">
      <w:pPr>
        <w:pStyle w:val="Prrafodelista"/>
        <w:spacing w:before="240" w:line="360" w:lineRule="auto"/>
        <w:ind w:left="709"/>
        <w:jc w:val="both"/>
        <w:rPr>
          <w:rFonts w:ascii="Palatino Linotype" w:hAnsi="Palatino Linotype" w:cs="Arial"/>
          <w:i/>
        </w:rPr>
      </w:pPr>
    </w:p>
    <w:p w14:paraId="3DB24E33" w14:textId="77777777" w:rsidR="00CA201A" w:rsidRDefault="00CA201A" w:rsidP="00CA201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quince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C6ECF7E" w14:textId="77777777" w:rsidR="00CA201A" w:rsidRDefault="00CA201A" w:rsidP="00CA201A">
      <w:pPr>
        <w:autoSpaceDE w:val="0"/>
        <w:autoSpaceDN w:val="0"/>
        <w:adjustRightInd w:val="0"/>
        <w:spacing w:before="240" w:line="360" w:lineRule="auto"/>
        <w:jc w:val="both"/>
        <w:rPr>
          <w:rFonts w:ascii="Palatino Linotype" w:hAnsi="Palatino Linotype" w:cs="Arial"/>
          <w:sz w:val="24"/>
          <w:szCs w:val="24"/>
        </w:rPr>
      </w:pPr>
    </w:p>
    <w:p w14:paraId="421B143A" w14:textId="77777777" w:rsidR="00CA201A" w:rsidRDefault="00CA201A" w:rsidP="00CA20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E3CDDD" w14:textId="77777777" w:rsidR="00CA201A" w:rsidRPr="005751B7" w:rsidRDefault="00CA201A" w:rsidP="00CA201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55D5420" w14:textId="77777777" w:rsidR="00CA201A" w:rsidRPr="00F77047" w:rsidRDefault="00CA201A" w:rsidP="00CA201A">
      <w:pPr>
        <w:spacing w:after="0" w:line="360" w:lineRule="auto"/>
        <w:jc w:val="both"/>
        <w:rPr>
          <w:rFonts w:ascii="Palatino Linotype" w:eastAsia="Times New Roman" w:hAnsi="Palatino Linotype" w:cs="Arial"/>
          <w:b/>
          <w:sz w:val="18"/>
          <w:szCs w:val="24"/>
          <w:lang w:eastAsia="es-ES"/>
        </w:rPr>
      </w:pPr>
    </w:p>
    <w:p w14:paraId="18713C59" w14:textId="5FEBE1EC" w:rsidR="00CA201A" w:rsidRDefault="00CA201A" w:rsidP="00CA201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al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w:t>
      </w:r>
      <w:r w:rsidR="00A86352" w:rsidRPr="00A86352">
        <w:rPr>
          <w:rFonts w:ascii="Palatino Linotype" w:hAnsi="Palatino Linotype" w:cs="Arial"/>
          <w:sz w:val="24"/>
          <w:szCs w:val="24"/>
        </w:rPr>
        <w:t>a través del Sistema de Acceso a la Información Mexiquense</w:t>
      </w:r>
      <w:r w:rsidR="00A86352" w:rsidRPr="00A86352">
        <w:rPr>
          <w:rFonts w:ascii="Palatino Linotype" w:hAnsi="Palatino Linotype" w:cs="Arial"/>
          <w:b/>
          <w:sz w:val="24"/>
          <w:szCs w:val="24"/>
        </w:rPr>
        <w:t xml:space="preserve"> (SAIMEX)</w:t>
      </w:r>
      <w:r w:rsidR="00A86352" w:rsidRPr="00A86352">
        <w:rPr>
          <w:rFonts w:ascii="Palatino Linotype" w:hAnsi="Palatino Linotype" w:cs="Arial"/>
          <w:sz w:val="24"/>
          <w:szCs w:val="24"/>
        </w:rPr>
        <w:t>,</w:t>
      </w:r>
      <w:r w:rsidR="00A86352" w:rsidRPr="001C7462">
        <w:rPr>
          <w:rFonts w:ascii="Palatino Linotype" w:hAnsi="Palatino Linotype" w:cs="Arial"/>
        </w:rPr>
        <w:t xml:space="preserve"> </w:t>
      </w:r>
      <w:r w:rsidRPr="008B7EDA">
        <w:rPr>
          <w:rFonts w:ascii="Palatino Linotype" w:eastAsia="Times New Roman" w:hAnsi="Palatino Linotype" w:cs="Arial"/>
          <w:sz w:val="24"/>
          <w:szCs w:val="24"/>
          <w:lang w:eastAsia="es-ES"/>
        </w:rPr>
        <w:t xml:space="preserve">y hágase de su conocimiento que, </w:t>
      </w:r>
      <w:r w:rsidRPr="008B7EDA">
        <w:rPr>
          <w:rFonts w:ascii="Palatino Linotype" w:eastAsia="Times New Roman" w:hAnsi="Palatino Linotype" w:cs="Times New Roman"/>
          <w:color w:val="222222"/>
          <w:sz w:val="24"/>
          <w:szCs w:val="24"/>
          <w:shd w:val="clear" w:color="auto" w:fill="FFFFFF"/>
          <w:lang w:eastAsia="es-ES"/>
        </w:rPr>
        <w:t xml:space="preserve">de conformidad con lo establecido en el artículo 196, de la Ley de </w:t>
      </w:r>
      <w:r w:rsidRPr="008B7EDA">
        <w:rPr>
          <w:rFonts w:ascii="Palatino Linotype" w:eastAsia="Times New Roman" w:hAnsi="Palatino Linotype" w:cs="Times New Roman"/>
          <w:color w:val="222222"/>
          <w:sz w:val="24"/>
          <w:szCs w:val="24"/>
          <w:shd w:val="clear" w:color="auto" w:fill="FFFFFF"/>
          <w:lang w:eastAsia="es-ES"/>
        </w:rPr>
        <w:lastRenderedPageBreak/>
        <w:t>Transparencia y Acceso a la Información Pública del Estado de México y Municipios, podrá promover el Juicio de Amparo en los términos de las leyes aplicables.</w:t>
      </w:r>
    </w:p>
    <w:p w14:paraId="76D4A942" w14:textId="77777777" w:rsidR="00A86352" w:rsidRDefault="00A86352" w:rsidP="00CA201A">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576B63B" w14:textId="24FE3D3C" w:rsidR="008B3A59" w:rsidRPr="00357F3D"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357F3D">
        <w:rPr>
          <w:rFonts w:ascii="Palatino Linotype" w:hAnsi="Palatino Linotype" w:cs="Arial"/>
          <w:sz w:val="22"/>
          <w:szCs w:val="22"/>
        </w:rPr>
        <w:t>ASÍ LO ACORDÓ, POR UNANIMIDAD DE VOTOS, EL PLENO DEL</w:t>
      </w:r>
      <w:r w:rsidRPr="00357F3D">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357F3D">
        <w:rPr>
          <w:rFonts w:ascii="Palatino Linotype" w:hAnsi="Palatino Linotype" w:cs="Arial"/>
          <w:sz w:val="22"/>
          <w:szCs w:val="22"/>
        </w:rPr>
        <w:t xml:space="preserve">, CONFORMADO POR LOS COMISIONADOS JOSÉ MARTÍNEZ VILCHIS, MARÍA DEL ROSARIO MEJÍA AYALA, </w:t>
      </w:r>
      <w:r w:rsidR="006329AB" w:rsidRPr="00357F3D">
        <w:rPr>
          <w:rFonts w:ascii="Palatino Linotype" w:hAnsi="Palatino Linotype" w:cs="Arial"/>
          <w:sz w:val="22"/>
          <w:szCs w:val="22"/>
        </w:rPr>
        <w:t>S</w:t>
      </w:r>
      <w:r w:rsidR="006329AB">
        <w:rPr>
          <w:rFonts w:ascii="Palatino Linotype" w:hAnsi="Palatino Linotype" w:cs="Arial"/>
          <w:sz w:val="22"/>
          <w:szCs w:val="22"/>
        </w:rPr>
        <w:t xml:space="preserve">HARON CRISTINA MORALES MARTÍNEZ, </w:t>
      </w:r>
      <w:r w:rsidR="006329AB" w:rsidRPr="00357F3D">
        <w:rPr>
          <w:rFonts w:ascii="Palatino Linotype" w:hAnsi="Palatino Linotype" w:cs="Arial"/>
          <w:sz w:val="22"/>
          <w:szCs w:val="22"/>
        </w:rPr>
        <w:t>LUIS GUSTAVO PARRA NORIEGA</w:t>
      </w:r>
      <w:r w:rsidR="00442582">
        <w:rPr>
          <w:rFonts w:ascii="Palatino Linotype" w:hAnsi="Palatino Linotype" w:cs="Arial"/>
          <w:sz w:val="22"/>
          <w:szCs w:val="22"/>
        </w:rPr>
        <w:t xml:space="preserve"> (VOTO PARTICULAR)</w:t>
      </w:r>
      <w:r w:rsidR="006329AB" w:rsidRPr="00357F3D">
        <w:rPr>
          <w:rFonts w:ascii="Palatino Linotype" w:hAnsi="Palatino Linotype" w:cs="Arial"/>
          <w:sz w:val="22"/>
          <w:szCs w:val="22"/>
        </w:rPr>
        <w:t xml:space="preserve"> Y GUADALUPE RAMÍREZ PEÑA; EN LA </w:t>
      </w:r>
      <w:r w:rsidR="006329AB">
        <w:rPr>
          <w:rFonts w:ascii="Palatino Linotype" w:hAnsi="Palatino Linotype" w:cs="Arial"/>
          <w:sz w:val="22"/>
          <w:szCs w:val="22"/>
        </w:rPr>
        <w:t xml:space="preserve">TRIGÉSIMA </w:t>
      </w:r>
      <w:r w:rsidR="005472FB">
        <w:rPr>
          <w:rFonts w:ascii="Palatino Linotype" w:hAnsi="Palatino Linotype" w:cs="Arial"/>
          <w:sz w:val="22"/>
          <w:szCs w:val="22"/>
        </w:rPr>
        <w:t>SEXTA</w:t>
      </w:r>
      <w:r w:rsidR="006329AB">
        <w:rPr>
          <w:rFonts w:ascii="Palatino Linotype" w:hAnsi="Palatino Linotype" w:cs="Arial"/>
          <w:sz w:val="22"/>
          <w:szCs w:val="22"/>
        </w:rPr>
        <w:t xml:space="preserve"> SESIÓN ORDINARIA CELEBRADA EL </w:t>
      </w:r>
      <w:r w:rsidR="005472FB">
        <w:rPr>
          <w:rFonts w:ascii="Palatino Linotype" w:hAnsi="Palatino Linotype" w:cs="Arial"/>
          <w:sz w:val="22"/>
          <w:szCs w:val="22"/>
        </w:rPr>
        <w:t>TRECE</w:t>
      </w:r>
      <w:r w:rsidR="006329AB">
        <w:rPr>
          <w:rFonts w:ascii="Palatino Linotype" w:hAnsi="Palatino Linotype" w:cs="Arial"/>
          <w:sz w:val="22"/>
          <w:szCs w:val="22"/>
        </w:rPr>
        <w:t xml:space="preserve"> DE OCTUBRE DE DOS MIL VEINTIUNO, </w:t>
      </w:r>
      <w:r w:rsidR="006329AB" w:rsidRPr="00357F3D">
        <w:rPr>
          <w:rFonts w:ascii="Palatino Linotype" w:hAnsi="Palatino Linotype" w:cs="Arial"/>
          <w:sz w:val="22"/>
          <w:szCs w:val="22"/>
        </w:rPr>
        <w:t xml:space="preserve">ANTE EL SECRETARIO TÉCNICO DEL PLENO, ALEXIS TAPIA RAMÍREZ. </w:t>
      </w:r>
    </w:p>
    <w:p w14:paraId="2639C0E3" w14:textId="11D74F63"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CRR/J</w:t>
      </w:r>
      <w:r w:rsidRPr="00280B8B">
        <w:rPr>
          <w:rFonts w:ascii="Palatino Linotype" w:hAnsi="Palatino Linotype"/>
          <w:bCs/>
          <w:sz w:val="18"/>
          <w:szCs w:val="18"/>
        </w:rPr>
        <w:t>CMA</w:t>
      </w:r>
    </w:p>
    <w:p w14:paraId="10A99AEF" w14:textId="0C0D4463" w:rsidR="008B3A59" w:rsidRDefault="00A86352"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749366" behindDoc="0" locked="0" layoutInCell="1" allowOverlap="1" wp14:anchorId="7EBABAEA" wp14:editId="7DC6F41C">
                <wp:simplePos x="0" y="0"/>
                <wp:positionH relativeFrom="column">
                  <wp:posOffset>-133985</wp:posOffset>
                </wp:positionH>
                <wp:positionV relativeFrom="paragraph">
                  <wp:posOffset>265430</wp:posOffset>
                </wp:positionV>
                <wp:extent cx="6413500" cy="3644900"/>
                <wp:effectExtent l="0" t="0" r="25400" b="31750"/>
                <wp:wrapNone/>
                <wp:docPr id="7" name="Conector recto 7"/>
                <wp:cNvGraphicFramePr/>
                <a:graphic xmlns:a="http://schemas.openxmlformats.org/drawingml/2006/main">
                  <a:graphicData uri="http://schemas.microsoft.com/office/word/2010/wordprocessingShape">
                    <wps:wsp>
                      <wps:cNvCnPr/>
                      <wps:spPr>
                        <a:xfrm>
                          <a:off x="0" y="0"/>
                          <a:ext cx="6413500" cy="364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BD547" id="Conector recto 7" o:spid="_x0000_s1026" style="position:absolute;z-index:251749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20.9pt" to="494.4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" strokecolor="#5b9bd5 [3204]" strokeweight=".5pt">
                <v:stroke joinstyle="miter"/>
              </v:line>
            </w:pict>
          </mc:Fallback>
        </mc:AlternateContent>
      </w:r>
    </w:p>
    <w:p w14:paraId="55A98DD4"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B2D10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0A2A00"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A12C7"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8F30B" w14:textId="77777777" w:rsidR="004D2B23" w:rsidRDefault="004D2B23" w:rsidP="006168E4">
      <w:pPr>
        <w:spacing w:after="0" w:line="240" w:lineRule="auto"/>
      </w:pPr>
      <w:r>
        <w:separator/>
      </w:r>
    </w:p>
  </w:endnote>
  <w:endnote w:type="continuationSeparator" w:id="0">
    <w:p w14:paraId="4DA989DB" w14:textId="77777777" w:rsidR="004D2B23" w:rsidRDefault="004D2B2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C91">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C91">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C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C91">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94636" w14:textId="77777777" w:rsidR="004D2B23" w:rsidRDefault="004D2B23" w:rsidP="006168E4">
      <w:pPr>
        <w:spacing w:after="0" w:line="240" w:lineRule="auto"/>
      </w:pPr>
      <w:r>
        <w:separator/>
      </w:r>
    </w:p>
  </w:footnote>
  <w:footnote w:type="continuationSeparator" w:id="0">
    <w:p w14:paraId="0E2924A0" w14:textId="77777777" w:rsidR="004D2B23" w:rsidRDefault="004D2B23" w:rsidP="006168E4">
      <w:pPr>
        <w:spacing w:after="0" w:line="240" w:lineRule="auto"/>
      </w:pPr>
      <w:r>
        <w:continuationSeparator/>
      </w:r>
    </w:p>
  </w:footnote>
  <w:footnote w:id="1">
    <w:p w14:paraId="1504DEAF" w14:textId="77777777" w:rsidR="007B0046" w:rsidRPr="005552A8" w:rsidRDefault="007B0046" w:rsidP="007B004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6DF95F8" w14:textId="77777777" w:rsidR="007B0046" w:rsidRPr="005552A8" w:rsidRDefault="007B0046" w:rsidP="007B004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6AC07AD" w14:textId="77777777" w:rsidR="005523D5" w:rsidRDefault="005523D5" w:rsidP="005523D5">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00AF4DCB" w14:textId="77777777" w:rsidR="005523D5" w:rsidRDefault="005523D5" w:rsidP="005523D5">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 w:id="4">
    <w:p w14:paraId="60482555" w14:textId="77777777" w:rsidR="005523D5" w:rsidRPr="000553F9" w:rsidRDefault="005523D5" w:rsidP="005523D5">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5">
    <w:p w14:paraId="4ACD1DBF" w14:textId="77777777" w:rsidR="005523D5" w:rsidRPr="000553F9" w:rsidRDefault="005523D5" w:rsidP="005523D5">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6">
    <w:p w14:paraId="39FB14F5" w14:textId="77777777" w:rsidR="005523D5" w:rsidRPr="000553F9" w:rsidRDefault="005523D5" w:rsidP="005523D5">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http://dle.rae.es/?id=VGqyuLj|VGtxgAo|VGuc9Wg</w:t>
        </w:r>
      </w:hyperlink>
      <w:r w:rsidRPr="000553F9">
        <w:rPr>
          <w:color w:val="000000" w:themeColor="text1"/>
        </w:rPr>
        <w:t xml:space="preserve"> </w:t>
      </w:r>
    </w:p>
  </w:footnote>
  <w:footnote w:id="7">
    <w:p w14:paraId="705FDC68" w14:textId="77777777" w:rsidR="005523D5" w:rsidRPr="000553F9" w:rsidRDefault="005523D5" w:rsidP="005523D5">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http://dle.rae.es/?id=CAjNzMR</w:t>
        </w:r>
      </w:hyperlink>
      <w:r w:rsidRPr="000553F9">
        <w:rPr>
          <w:color w:val="000000" w:themeColor="text1"/>
        </w:rPr>
        <w:t xml:space="preserve"> </w:t>
      </w:r>
    </w:p>
  </w:footnote>
  <w:footnote w:id="8">
    <w:p w14:paraId="28978715" w14:textId="77777777" w:rsidR="005523D5" w:rsidRPr="000553F9" w:rsidRDefault="005523D5" w:rsidP="005523D5">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http://dle.rae.es/?id=CAqWkEB</w:t>
        </w:r>
      </w:hyperlink>
      <w:r w:rsidRPr="000553F9">
        <w:rPr>
          <w:color w:val="000000" w:themeColor="text1"/>
        </w:rPr>
        <w:t xml:space="preserve"> </w:t>
      </w:r>
    </w:p>
  </w:footnote>
  <w:footnote w:id="9">
    <w:p w14:paraId="5825E980" w14:textId="77777777" w:rsidR="005523D5" w:rsidRPr="000553F9" w:rsidRDefault="005523D5" w:rsidP="005523D5">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8" w:history="1">
        <w:r w:rsidRPr="000553F9">
          <w:rPr>
            <w:rStyle w:val="Hipervnculo"/>
            <w:color w:val="000000" w:themeColor="text1"/>
          </w:rPr>
          <w:t>http://dle.rae.es/?id=KtnHLLd</w:t>
        </w:r>
      </w:hyperlink>
      <w:r w:rsidRPr="000553F9">
        <w:rPr>
          <w:color w:val="000000" w:themeColor="text1"/>
        </w:rPr>
        <w:t xml:space="preserve"> </w:t>
      </w:r>
    </w:p>
  </w:footnote>
  <w:footnote w:id="10">
    <w:p w14:paraId="417BA82B" w14:textId="77777777" w:rsidR="005523D5" w:rsidRPr="000406A4" w:rsidRDefault="005523D5" w:rsidP="005523D5">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9" w:history="1">
        <w:r w:rsidRPr="000553F9">
          <w:rPr>
            <w:rStyle w:val="Hipervnculo"/>
            <w:color w:val="000000" w:themeColor="text1"/>
          </w:rPr>
          <w:t>http://dle.rae.es/?id=KtpfgjV</w:t>
        </w:r>
      </w:hyperlink>
      <w:r w:rsidRPr="000553F9">
        <w:rPr>
          <w:color w:val="000000" w:themeColor="text1"/>
        </w:rPr>
        <w:t xml:space="preserve"> </w:t>
      </w:r>
    </w:p>
  </w:footnote>
  <w:footnote w:id="11">
    <w:p w14:paraId="3FEF5D33" w14:textId="77777777" w:rsidR="005523D5" w:rsidRPr="00D75A73" w:rsidRDefault="005523D5" w:rsidP="005523D5">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eastAsia="Times New Roman" w:hAnsi="Palatino Linotype" w:cs="Arial"/>
          <w:color w:val="000000" w:themeColor="text1"/>
          <w:sz w:val="16"/>
          <w:szCs w:val="16"/>
          <w:lang w:val="es-ES_tradnl" w:eastAsia="es-ES_tradnl"/>
        </w:rPr>
        <w:t>tests</w:t>
      </w:r>
      <w:proofErr w:type="spellEnd"/>
      <w:r w:rsidRPr="00D75A73">
        <w:rPr>
          <w:rFonts w:ascii="Palatino Linotype" w:eastAsia="Times New Roman" w:hAnsi="Palatino Linotype" w:cs="Arial"/>
          <w:color w:val="000000" w:themeColor="text1"/>
          <w:sz w:val="16"/>
          <w:szCs w:val="16"/>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eastAsia="Times New Roman" w:hAnsi="Palatino Linotype" w:cs="Arial"/>
          <w:color w:val="000000" w:themeColor="text1"/>
          <w:sz w:val="16"/>
          <w:szCs w:val="16"/>
          <w:lang w:val="es-ES_tradnl" w:eastAsia="es-ES_tradnl"/>
        </w:rPr>
        <w:t>Lluy</w:t>
      </w:r>
      <w:proofErr w:type="spellEnd"/>
      <w:r w:rsidRPr="00D75A73">
        <w:rPr>
          <w:rFonts w:ascii="Palatino Linotype" w:eastAsia="Times New Roman" w:hAnsi="Palatino Linotype" w:cs="Arial"/>
          <w:color w:val="000000" w:themeColor="text1"/>
          <w:sz w:val="16"/>
          <w:szCs w:val="16"/>
          <w:lang w:val="es-ES_tradnl" w:eastAsia="es-ES_tradnl"/>
        </w:rPr>
        <w:t xml:space="preserve"> y otros contra Ecuador. Excepciones preliminares, fondo, reparaciones y costas. Sentencia del 01 de septiembre de 2015. Párr. 256.  </w:t>
      </w:r>
    </w:p>
  </w:footnote>
  <w:footnote w:id="12">
    <w:p w14:paraId="5CD756BA" w14:textId="77777777" w:rsidR="005523D5" w:rsidRPr="00D75A73" w:rsidRDefault="005523D5" w:rsidP="005523D5">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338F0" w14:paraId="46A8AAF9" w14:textId="77777777" w:rsidTr="00FB4AAD">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17A1419" w:rsidR="00D338F0" w:rsidRPr="00B4142F" w:rsidRDefault="00F4623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04520</w:t>
          </w:r>
          <w:r w:rsidR="00D338F0">
            <w:rPr>
              <w:rFonts w:ascii="Palatino Linotype" w:hAnsi="Palatino Linotype" w:cs="Arial"/>
              <w:bCs/>
              <w:sz w:val="24"/>
              <w:lang w:eastAsia="es-MX"/>
            </w:rPr>
            <w:t>/INFOEM/IP/RR/2021</w:t>
          </w:r>
        </w:p>
      </w:tc>
    </w:tr>
    <w:tr w:rsidR="00D338F0" w14:paraId="0E72512B" w14:textId="77777777" w:rsidTr="00FB4AAD">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109A3277" w:rsidR="00D338F0" w:rsidRPr="00F06FED" w:rsidRDefault="00D338F0"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F4623D">
            <w:rPr>
              <w:rFonts w:ascii="Palatino Linotype" w:hAnsi="Palatino Linotype" w:cs="Arial"/>
              <w:szCs w:val="20"/>
            </w:rPr>
            <w:t>Metepec</w:t>
          </w:r>
        </w:p>
      </w:tc>
    </w:tr>
    <w:tr w:rsidR="00D338F0" w14:paraId="3365CD96" w14:textId="77777777" w:rsidTr="00FB4AAD">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FB4AAD">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92DC6D1" w:rsidR="00D338F0" w:rsidRPr="00B4142F" w:rsidRDefault="00F4623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04520</w:t>
          </w:r>
          <w:r w:rsidR="00D338F0">
            <w:rPr>
              <w:rFonts w:ascii="Palatino Linotype" w:hAnsi="Palatino Linotype" w:cs="Arial"/>
              <w:bCs/>
              <w:sz w:val="24"/>
              <w:lang w:eastAsia="es-MX"/>
            </w:rPr>
            <w:t>/INFOEM/IP/RR/2021</w:t>
          </w:r>
        </w:p>
      </w:tc>
    </w:tr>
    <w:tr w:rsidR="00D338F0" w14:paraId="5AC92493" w14:textId="77777777" w:rsidTr="00FB4AAD">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45AB9EA2" w:rsidR="00D338F0" w:rsidRPr="00F06FED" w:rsidRDefault="00D30C91"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w:t>
          </w:r>
          <w:proofErr w:type="spellEnd"/>
          <w:r w:rsidR="00F4623D">
            <w:rPr>
              <w:rFonts w:ascii="Palatino Linotype" w:hAnsi="Palatino Linotype" w:cs="Arial"/>
            </w:rPr>
            <w:t xml:space="preserve"> </w:t>
          </w:r>
          <w:r w:rsidR="00D338F0">
            <w:rPr>
              <w:rFonts w:ascii="Palatino Linotype" w:hAnsi="Palatino Linotype" w:cs="Arial"/>
            </w:rPr>
            <w:t xml:space="preserve">    </w:t>
          </w:r>
        </w:p>
      </w:tc>
    </w:tr>
    <w:tr w:rsidR="00D338F0" w14:paraId="48DDE1B1" w14:textId="77777777" w:rsidTr="00FB4AAD">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354C42E" w:rsidR="00D338F0" w:rsidRDefault="00D338F0"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4623D">
            <w:rPr>
              <w:rFonts w:ascii="Palatino Linotype" w:hAnsi="Palatino Linotype" w:cs="Arial"/>
              <w:szCs w:val="20"/>
            </w:rPr>
            <w:t>Metepec</w:t>
          </w:r>
          <w:r>
            <w:rPr>
              <w:rFonts w:ascii="Palatino Linotype" w:hAnsi="Palatino Linotype" w:cs="Arial"/>
              <w:szCs w:val="20"/>
            </w:rPr>
            <w:t xml:space="preserve"> </w:t>
          </w:r>
        </w:p>
      </w:tc>
    </w:tr>
    <w:tr w:rsidR="00D338F0" w14:paraId="2E924228" w14:textId="77777777" w:rsidTr="00FB4AAD">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957653"/>
    <w:multiLevelType w:val="hybridMultilevel"/>
    <w:tmpl w:val="60B4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50D7D26"/>
    <w:multiLevelType w:val="hybridMultilevel"/>
    <w:tmpl w:val="D38E82C2"/>
    <w:lvl w:ilvl="0" w:tplc="22769586">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3"/>
  </w:num>
  <w:num w:numId="4">
    <w:abstractNumId w:val="10"/>
  </w:num>
  <w:num w:numId="5">
    <w:abstractNumId w:val="1"/>
  </w:num>
  <w:num w:numId="6">
    <w:abstractNumId w:val="5"/>
  </w:num>
  <w:num w:numId="7">
    <w:abstractNumId w:val="7"/>
  </w:num>
  <w:num w:numId="8">
    <w:abstractNumId w:val="8"/>
  </w:num>
  <w:num w:numId="9">
    <w:abstractNumId w:val="4"/>
  </w:num>
  <w:num w:numId="10">
    <w:abstractNumId w:val="9"/>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2EAF"/>
    <w:rsid w:val="00023875"/>
    <w:rsid w:val="000306A7"/>
    <w:rsid w:val="00031605"/>
    <w:rsid w:val="00032CE7"/>
    <w:rsid w:val="0004190A"/>
    <w:rsid w:val="00041F04"/>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4793"/>
    <w:rsid w:val="0010372C"/>
    <w:rsid w:val="00105C41"/>
    <w:rsid w:val="00111DCD"/>
    <w:rsid w:val="00113D3E"/>
    <w:rsid w:val="00114CF9"/>
    <w:rsid w:val="00115F16"/>
    <w:rsid w:val="001164A1"/>
    <w:rsid w:val="001179DB"/>
    <w:rsid w:val="00121ED7"/>
    <w:rsid w:val="00124855"/>
    <w:rsid w:val="001254F5"/>
    <w:rsid w:val="00136FAD"/>
    <w:rsid w:val="0014029B"/>
    <w:rsid w:val="00146C08"/>
    <w:rsid w:val="00146F0A"/>
    <w:rsid w:val="00152C2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5B3C"/>
    <w:rsid w:val="001C7319"/>
    <w:rsid w:val="001C7D87"/>
    <w:rsid w:val="001D3DE9"/>
    <w:rsid w:val="001D3E87"/>
    <w:rsid w:val="001D4669"/>
    <w:rsid w:val="001D7575"/>
    <w:rsid w:val="001F3F3C"/>
    <w:rsid w:val="00211C66"/>
    <w:rsid w:val="0021296D"/>
    <w:rsid w:val="00212CB5"/>
    <w:rsid w:val="0021501E"/>
    <w:rsid w:val="00215A83"/>
    <w:rsid w:val="00216ABF"/>
    <w:rsid w:val="00217852"/>
    <w:rsid w:val="00220339"/>
    <w:rsid w:val="002205C0"/>
    <w:rsid w:val="00226760"/>
    <w:rsid w:val="00231D77"/>
    <w:rsid w:val="002324F1"/>
    <w:rsid w:val="0023373D"/>
    <w:rsid w:val="0023423C"/>
    <w:rsid w:val="00236C82"/>
    <w:rsid w:val="0024638F"/>
    <w:rsid w:val="00246807"/>
    <w:rsid w:val="00247D10"/>
    <w:rsid w:val="00250470"/>
    <w:rsid w:val="00252985"/>
    <w:rsid w:val="002577FE"/>
    <w:rsid w:val="00266E00"/>
    <w:rsid w:val="002674C9"/>
    <w:rsid w:val="00271EED"/>
    <w:rsid w:val="00273D0E"/>
    <w:rsid w:val="0028788A"/>
    <w:rsid w:val="002915F2"/>
    <w:rsid w:val="00292885"/>
    <w:rsid w:val="002942AD"/>
    <w:rsid w:val="00297140"/>
    <w:rsid w:val="00297368"/>
    <w:rsid w:val="002A0104"/>
    <w:rsid w:val="002A2034"/>
    <w:rsid w:val="002A24F4"/>
    <w:rsid w:val="002A38BF"/>
    <w:rsid w:val="002A597E"/>
    <w:rsid w:val="002B1C1D"/>
    <w:rsid w:val="002B5069"/>
    <w:rsid w:val="002B5DBD"/>
    <w:rsid w:val="002B70DD"/>
    <w:rsid w:val="002C51F7"/>
    <w:rsid w:val="002C72D2"/>
    <w:rsid w:val="002D29D7"/>
    <w:rsid w:val="002D64A8"/>
    <w:rsid w:val="002D662C"/>
    <w:rsid w:val="002E0A1A"/>
    <w:rsid w:val="002E2D7B"/>
    <w:rsid w:val="002E3488"/>
    <w:rsid w:val="002E5721"/>
    <w:rsid w:val="002E5E6A"/>
    <w:rsid w:val="002F0D76"/>
    <w:rsid w:val="002F37BE"/>
    <w:rsid w:val="002F5A7C"/>
    <w:rsid w:val="002F5BA9"/>
    <w:rsid w:val="00300D0B"/>
    <w:rsid w:val="0030471E"/>
    <w:rsid w:val="00306096"/>
    <w:rsid w:val="00306848"/>
    <w:rsid w:val="00311566"/>
    <w:rsid w:val="0031645D"/>
    <w:rsid w:val="00320A67"/>
    <w:rsid w:val="0032220E"/>
    <w:rsid w:val="003266DA"/>
    <w:rsid w:val="003272FB"/>
    <w:rsid w:val="00330F3C"/>
    <w:rsid w:val="003507D3"/>
    <w:rsid w:val="00353C25"/>
    <w:rsid w:val="00356E3E"/>
    <w:rsid w:val="00357457"/>
    <w:rsid w:val="00361B9C"/>
    <w:rsid w:val="0036339F"/>
    <w:rsid w:val="00364209"/>
    <w:rsid w:val="00365DA0"/>
    <w:rsid w:val="00367CC7"/>
    <w:rsid w:val="003733F5"/>
    <w:rsid w:val="00375BBA"/>
    <w:rsid w:val="00376CEC"/>
    <w:rsid w:val="00380010"/>
    <w:rsid w:val="00380758"/>
    <w:rsid w:val="003812E0"/>
    <w:rsid w:val="003869DF"/>
    <w:rsid w:val="00394A1E"/>
    <w:rsid w:val="00397C0C"/>
    <w:rsid w:val="003A61F9"/>
    <w:rsid w:val="003B1E88"/>
    <w:rsid w:val="003B4030"/>
    <w:rsid w:val="003B5FD0"/>
    <w:rsid w:val="003C4F65"/>
    <w:rsid w:val="003C5DEB"/>
    <w:rsid w:val="003D2D99"/>
    <w:rsid w:val="003D78A3"/>
    <w:rsid w:val="003E05A5"/>
    <w:rsid w:val="003E128A"/>
    <w:rsid w:val="003E16E1"/>
    <w:rsid w:val="003E5144"/>
    <w:rsid w:val="003F3A54"/>
    <w:rsid w:val="004012CF"/>
    <w:rsid w:val="00402FF3"/>
    <w:rsid w:val="004069EB"/>
    <w:rsid w:val="004071A7"/>
    <w:rsid w:val="00412901"/>
    <w:rsid w:val="00417E4F"/>
    <w:rsid w:val="00423213"/>
    <w:rsid w:val="00423ECD"/>
    <w:rsid w:val="0042416D"/>
    <w:rsid w:val="00426B98"/>
    <w:rsid w:val="0042798A"/>
    <w:rsid w:val="00433D7C"/>
    <w:rsid w:val="00442582"/>
    <w:rsid w:val="00442C1A"/>
    <w:rsid w:val="004469CB"/>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290F"/>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11D9"/>
    <w:rsid w:val="00521E57"/>
    <w:rsid w:val="00522FD2"/>
    <w:rsid w:val="00524E8D"/>
    <w:rsid w:val="005305EA"/>
    <w:rsid w:val="00530F74"/>
    <w:rsid w:val="00531170"/>
    <w:rsid w:val="00531E18"/>
    <w:rsid w:val="00535F50"/>
    <w:rsid w:val="005371E7"/>
    <w:rsid w:val="005404AB"/>
    <w:rsid w:val="00540538"/>
    <w:rsid w:val="00540ACB"/>
    <w:rsid w:val="00545E93"/>
    <w:rsid w:val="005472FB"/>
    <w:rsid w:val="00547D93"/>
    <w:rsid w:val="005520FE"/>
    <w:rsid w:val="005523D5"/>
    <w:rsid w:val="00556513"/>
    <w:rsid w:val="005575CB"/>
    <w:rsid w:val="0056015B"/>
    <w:rsid w:val="00562653"/>
    <w:rsid w:val="00567998"/>
    <w:rsid w:val="00572979"/>
    <w:rsid w:val="005733EB"/>
    <w:rsid w:val="00575651"/>
    <w:rsid w:val="005759BB"/>
    <w:rsid w:val="005803A1"/>
    <w:rsid w:val="00580802"/>
    <w:rsid w:val="00581A22"/>
    <w:rsid w:val="00582A33"/>
    <w:rsid w:val="0058671A"/>
    <w:rsid w:val="00593E91"/>
    <w:rsid w:val="005A0B49"/>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F048E"/>
    <w:rsid w:val="005F4734"/>
    <w:rsid w:val="005F57F0"/>
    <w:rsid w:val="0061042F"/>
    <w:rsid w:val="00610C37"/>
    <w:rsid w:val="006114BA"/>
    <w:rsid w:val="006168E4"/>
    <w:rsid w:val="00626A70"/>
    <w:rsid w:val="006323CA"/>
    <w:rsid w:val="006329AB"/>
    <w:rsid w:val="00633DE8"/>
    <w:rsid w:val="006360F3"/>
    <w:rsid w:val="00636327"/>
    <w:rsid w:val="006369B4"/>
    <w:rsid w:val="00637512"/>
    <w:rsid w:val="00640EE4"/>
    <w:rsid w:val="006466F5"/>
    <w:rsid w:val="0064761A"/>
    <w:rsid w:val="00650C5E"/>
    <w:rsid w:val="00652A6B"/>
    <w:rsid w:val="00657DAD"/>
    <w:rsid w:val="00660C59"/>
    <w:rsid w:val="00661753"/>
    <w:rsid w:val="00667DD9"/>
    <w:rsid w:val="00677379"/>
    <w:rsid w:val="006848B7"/>
    <w:rsid w:val="00686FD5"/>
    <w:rsid w:val="00697278"/>
    <w:rsid w:val="006A04CA"/>
    <w:rsid w:val="006A2BEC"/>
    <w:rsid w:val="006B1953"/>
    <w:rsid w:val="006B1BF1"/>
    <w:rsid w:val="006B26E3"/>
    <w:rsid w:val="006B34A6"/>
    <w:rsid w:val="006B4B63"/>
    <w:rsid w:val="006B5DDC"/>
    <w:rsid w:val="006B68FC"/>
    <w:rsid w:val="006B7294"/>
    <w:rsid w:val="006B7444"/>
    <w:rsid w:val="006C698B"/>
    <w:rsid w:val="006D23FC"/>
    <w:rsid w:val="006D7FD9"/>
    <w:rsid w:val="006F3C14"/>
    <w:rsid w:val="00701033"/>
    <w:rsid w:val="00701B61"/>
    <w:rsid w:val="007164CD"/>
    <w:rsid w:val="007172F5"/>
    <w:rsid w:val="00717E41"/>
    <w:rsid w:val="0072689F"/>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A07"/>
    <w:rsid w:val="007851D5"/>
    <w:rsid w:val="00787D06"/>
    <w:rsid w:val="0079486A"/>
    <w:rsid w:val="00794F80"/>
    <w:rsid w:val="0079735D"/>
    <w:rsid w:val="007A1C9E"/>
    <w:rsid w:val="007A3206"/>
    <w:rsid w:val="007A4692"/>
    <w:rsid w:val="007B0046"/>
    <w:rsid w:val="007B2303"/>
    <w:rsid w:val="007B2C77"/>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20AC"/>
    <w:rsid w:val="007F53A0"/>
    <w:rsid w:val="007F7A92"/>
    <w:rsid w:val="008024BA"/>
    <w:rsid w:val="00802C56"/>
    <w:rsid w:val="00807A3D"/>
    <w:rsid w:val="00811205"/>
    <w:rsid w:val="00812C48"/>
    <w:rsid w:val="008146F9"/>
    <w:rsid w:val="00822215"/>
    <w:rsid w:val="00824DCD"/>
    <w:rsid w:val="00833011"/>
    <w:rsid w:val="008427E4"/>
    <w:rsid w:val="00843314"/>
    <w:rsid w:val="00844569"/>
    <w:rsid w:val="00847D23"/>
    <w:rsid w:val="0085196B"/>
    <w:rsid w:val="00853BED"/>
    <w:rsid w:val="00863327"/>
    <w:rsid w:val="00870F44"/>
    <w:rsid w:val="00871DC1"/>
    <w:rsid w:val="008724F6"/>
    <w:rsid w:val="00884054"/>
    <w:rsid w:val="00887CDA"/>
    <w:rsid w:val="008936E7"/>
    <w:rsid w:val="00895089"/>
    <w:rsid w:val="008951ED"/>
    <w:rsid w:val="008A68CA"/>
    <w:rsid w:val="008A75BE"/>
    <w:rsid w:val="008B0679"/>
    <w:rsid w:val="008B3A59"/>
    <w:rsid w:val="008B42B1"/>
    <w:rsid w:val="008B5224"/>
    <w:rsid w:val="008B7382"/>
    <w:rsid w:val="008C0375"/>
    <w:rsid w:val="008C32A8"/>
    <w:rsid w:val="008C55A3"/>
    <w:rsid w:val="008C5A03"/>
    <w:rsid w:val="008C5E94"/>
    <w:rsid w:val="008D038F"/>
    <w:rsid w:val="008D4154"/>
    <w:rsid w:val="008D4EB7"/>
    <w:rsid w:val="008D6297"/>
    <w:rsid w:val="008D6D04"/>
    <w:rsid w:val="008E3791"/>
    <w:rsid w:val="008E6375"/>
    <w:rsid w:val="008F0117"/>
    <w:rsid w:val="008F4C65"/>
    <w:rsid w:val="00905422"/>
    <w:rsid w:val="00913133"/>
    <w:rsid w:val="00913221"/>
    <w:rsid w:val="00920128"/>
    <w:rsid w:val="00921DB9"/>
    <w:rsid w:val="0092403D"/>
    <w:rsid w:val="009268BB"/>
    <w:rsid w:val="00926D4D"/>
    <w:rsid w:val="00935D2F"/>
    <w:rsid w:val="00940116"/>
    <w:rsid w:val="009402DB"/>
    <w:rsid w:val="009449B8"/>
    <w:rsid w:val="00944DC9"/>
    <w:rsid w:val="00945479"/>
    <w:rsid w:val="00946380"/>
    <w:rsid w:val="009464B0"/>
    <w:rsid w:val="009517DA"/>
    <w:rsid w:val="0095731A"/>
    <w:rsid w:val="009611E0"/>
    <w:rsid w:val="00961369"/>
    <w:rsid w:val="00965B02"/>
    <w:rsid w:val="00965FEE"/>
    <w:rsid w:val="0096643B"/>
    <w:rsid w:val="009706B5"/>
    <w:rsid w:val="00970CB5"/>
    <w:rsid w:val="00972BDF"/>
    <w:rsid w:val="0098182D"/>
    <w:rsid w:val="00990C92"/>
    <w:rsid w:val="00991F20"/>
    <w:rsid w:val="00997E87"/>
    <w:rsid w:val="009A0AF8"/>
    <w:rsid w:val="009A1139"/>
    <w:rsid w:val="009A49FE"/>
    <w:rsid w:val="009A686F"/>
    <w:rsid w:val="009A77EC"/>
    <w:rsid w:val="009B33A8"/>
    <w:rsid w:val="009B3487"/>
    <w:rsid w:val="009B5FB5"/>
    <w:rsid w:val="009B7C61"/>
    <w:rsid w:val="009C2422"/>
    <w:rsid w:val="009C2AE5"/>
    <w:rsid w:val="009C3793"/>
    <w:rsid w:val="009C5DB9"/>
    <w:rsid w:val="009C7074"/>
    <w:rsid w:val="009D25FE"/>
    <w:rsid w:val="009E0867"/>
    <w:rsid w:val="009E1411"/>
    <w:rsid w:val="009E45A0"/>
    <w:rsid w:val="009E52F2"/>
    <w:rsid w:val="009F0515"/>
    <w:rsid w:val="009F1A4C"/>
    <w:rsid w:val="009F3C1F"/>
    <w:rsid w:val="009F614E"/>
    <w:rsid w:val="009F6571"/>
    <w:rsid w:val="009F762B"/>
    <w:rsid w:val="00A00E96"/>
    <w:rsid w:val="00A02047"/>
    <w:rsid w:val="00A036BE"/>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65E7"/>
    <w:rsid w:val="00A625E2"/>
    <w:rsid w:val="00A67B13"/>
    <w:rsid w:val="00A71080"/>
    <w:rsid w:val="00A72465"/>
    <w:rsid w:val="00A72DCB"/>
    <w:rsid w:val="00A75001"/>
    <w:rsid w:val="00A80C92"/>
    <w:rsid w:val="00A82461"/>
    <w:rsid w:val="00A83323"/>
    <w:rsid w:val="00A85006"/>
    <w:rsid w:val="00A851D8"/>
    <w:rsid w:val="00A86352"/>
    <w:rsid w:val="00A90295"/>
    <w:rsid w:val="00A9227B"/>
    <w:rsid w:val="00A93540"/>
    <w:rsid w:val="00A953BA"/>
    <w:rsid w:val="00AA1A2C"/>
    <w:rsid w:val="00AA207C"/>
    <w:rsid w:val="00AA5D62"/>
    <w:rsid w:val="00AB3710"/>
    <w:rsid w:val="00AB4B0F"/>
    <w:rsid w:val="00AB6C3B"/>
    <w:rsid w:val="00AC1971"/>
    <w:rsid w:val="00AD15A7"/>
    <w:rsid w:val="00AD6BEE"/>
    <w:rsid w:val="00AE008F"/>
    <w:rsid w:val="00AE1EF2"/>
    <w:rsid w:val="00AE33FE"/>
    <w:rsid w:val="00AF1248"/>
    <w:rsid w:val="00AF55A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61D75"/>
    <w:rsid w:val="00B62F0D"/>
    <w:rsid w:val="00B7258D"/>
    <w:rsid w:val="00B72B0F"/>
    <w:rsid w:val="00B741B2"/>
    <w:rsid w:val="00B75A86"/>
    <w:rsid w:val="00B80028"/>
    <w:rsid w:val="00B833EA"/>
    <w:rsid w:val="00B85271"/>
    <w:rsid w:val="00B85EF3"/>
    <w:rsid w:val="00B9223B"/>
    <w:rsid w:val="00B97604"/>
    <w:rsid w:val="00BA11EC"/>
    <w:rsid w:val="00BA4D1F"/>
    <w:rsid w:val="00BA7AD1"/>
    <w:rsid w:val="00BB04EC"/>
    <w:rsid w:val="00BB2250"/>
    <w:rsid w:val="00BB4A68"/>
    <w:rsid w:val="00BC0FDD"/>
    <w:rsid w:val="00BC14E6"/>
    <w:rsid w:val="00BC22E0"/>
    <w:rsid w:val="00BD30FE"/>
    <w:rsid w:val="00BD65B1"/>
    <w:rsid w:val="00BE21EF"/>
    <w:rsid w:val="00BE28ED"/>
    <w:rsid w:val="00BE3E18"/>
    <w:rsid w:val="00BE688D"/>
    <w:rsid w:val="00BE7C9B"/>
    <w:rsid w:val="00BF01A7"/>
    <w:rsid w:val="00BF1ECA"/>
    <w:rsid w:val="00BF3F7C"/>
    <w:rsid w:val="00C00463"/>
    <w:rsid w:val="00C0147E"/>
    <w:rsid w:val="00C03F20"/>
    <w:rsid w:val="00C04FE4"/>
    <w:rsid w:val="00C25084"/>
    <w:rsid w:val="00C30A4F"/>
    <w:rsid w:val="00C41665"/>
    <w:rsid w:val="00C41758"/>
    <w:rsid w:val="00C429E1"/>
    <w:rsid w:val="00C462F8"/>
    <w:rsid w:val="00C70B66"/>
    <w:rsid w:val="00C71CD1"/>
    <w:rsid w:val="00C73143"/>
    <w:rsid w:val="00C77685"/>
    <w:rsid w:val="00C77815"/>
    <w:rsid w:val="00C80100"/>
    <w:rsid w:val="00C8239D"/>
    <w:rsid w:val="00C8491D"/>
    <w:rsid w:val="00C85378"/>
    <w:rsid w:val="00C9297C"/>
    <w:rsid w:val="00CA201A"/>
    <w:rsid w:val="00CA621B"/>
    <w:rsid w:val="00CA6FDA"/>
    <w:rsid w:val="00CB0AFB"/>
    <w:rsid w:val="00CB266D"/>
    <w:rsid w:val="00CB3B6F"/>
    <w:rsid w:val="00CC0C5F"/>
    <w:rsid w:val="00CC14B6"/>
    <w:rsid w:val="00CC2F3D"/>
    <w:rsid w:val="00CC5144"/>
    <w:rsid w:val="00CC5FF3"/>
    <w:rsid w:val="00CD08E2"/>
    <w:rsid w:val="00CD422C"/>
    <w:rsid w:val="00CE2ADF"/>
    <w:rsid w:val="00CE3713"/>
    <w:rsid w:val="00CF0807"/>
    <w:rsid w:val="00CF1976"/>
    <w:rsid w:val="00CF1D7D"/>
    <w:rsid w:val="00CF45D3"/>
    <w:rsid w:val="00CF6B6C"/>
    <w:rsid w:val="00D01197"/>
    <w:rsid w:val="00D042BB"/>
    <w:rsid w:val="00D058B0"/>
    <w:rsid w:val="00D05C8E"/>
    <w:rsid w:val="00D06CA0"/>
    <w:rsid w:val="00D11F7D"/>
    <w:rsid w:val="00D11FC3"/>
    <w:rsid w:val="00D13098"/>
    <w:rsid w:val="00D17789"/>
    <w:rsid w:val="00D1789C"/>
    <w:rsid w:val="00D17B5C"/>
    <w:rsid w:val="00D21565"/>
    <w:rsid w:val="00D226BE"/>
    <w:rsid w:val="00D25860"/>
    <w:rsid w:val="00D2737E"/>
    <w:rsid w:val="00D274A9"/>
    <w:rsid w:val="00D30C91"/>
    <w:rsid w:val="00D32347"/>
    <w:rsid w:val="00D32644"/>
    <w:rsid w:val="00D33229"/>
    <w:rsid w:val="00D33619"/>
    <w:rsid w:val="00D338F0"/>
    <w:rsid w:val="00D40FD4"/>
    <w:rsid w:val="00D52AC7"/>
    <w:rsid w:val="00D53772"/>
    <w:rsid w:val="00D54CA9"/>
    <w:rsid w:val="00D556EC"/>
    <w:rsid w:val="00D56D67"/>
    <w:rsid w:val="00D6340F"/>
    <w:rsid w:val="00D72D16"/>
    <w:rsid w:val="00D74213"/>
    <w:rsid w:val="00D8049E"/>
    <w:rsid w:val="00D804D4"/>
    <w:rsid w:val="00D81914"/>
    <w:rsid w:val="00D8195B"/>
    <w:rsid w:val="00D8561C"/>
    <w:rsid w:val="00D8619F"/>
    <w:rsid w:val="00D86764"/>
    <w:rsid w:val="00D924C9"/>
    <w:rsid w:val="00D957E3"/>
    <w:rsid w:val="00D970E2"/>
    <w:rsid w:val="00DA5ABC"/>
    <w:rsid w:val="00DB235D"/>
    <w:rsid w:val="00DB5528"/>
    <w:rsid w:val="00DB5C0A"/>
    <w:rsid w:val="00DB5E40"/>
    <w:rsid w:val="00DC0C93"/>
    <w:rsid w:val="00DC0E09"/>
    <w:rsid w:val="00DC168A"/>
    <w:rsid w:val="00DD13E2"/>
    <w:rsid w:val="00DE153B"/>
    <w:rsid w:val="00DE3B70"/>
    <w:rsid w:val="00DF003C"/>
    <w:rsid w:val="00DF4501"/>
    <w:rsid w:val="00DF723C"/>
    <w:rsid w:val="00DF783E"/>
    <w:rsid w:val="00DF78AE"/>
    <w:rsid w:val="00E029A8"/>
    <w:rsid w:val="00E117EC"/>
    <w:rsid w:val="00E11E2E"/>
    <w:rsid w:val="00E24CF4"/>
    <w:rsid w:val="00E27279"/>
    <w:rsid w:val="00E31699"/>
    <w:rsid w:val="00E316D8"/>
    <w:rsid w:val="00E32707"/>
    <w:rsid w:val="00E348A5"/>
    <w:rsid w:val="00E371EC"/>
    <w:rsid w:val="00E6063A"/>
    <w:rsid w:val="00E62A59"/>
    <w:rsid w:val="00E64A3C"/>
    <w:rsid w:val="00E65AC5"/>
    <w:rsid w:val="00E679CA"/>
    <w:rsid w:val="00E703E8"/>
    <w:rsid w:val="00E72AE3"/>
    <w:rsid w:val="00E73B0B"/>
    <w:rsid w:val="00E73B51"/>
    <w:rsid w:val="00E743B7"/>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623D"/>
    <w:rsid w:val="00F47DEC"/>
    <w:rsid w:val="00F510DB"/>
    <w:rsid w:val="00F54525"/>
    <w:rsid w:val="00F56B30"/>
    <w:rsid w:val="00F64643"/>
    <w:rsid w:val="00F727B0"/>
    <w:rsid w:val="00F72B5D"/>
    <w:rsid w:val="00F750BE"/>
    <w:rsid w:val="00F84FFF"/>
    <w:rsid w:val="00F90E93"/>
    <w:rsid w:val="00F91F36"/>
    <w:rsid w:val="00F94BD5"/>
    <w:rsid w:val="00F95A73"/>
    <w:rsid w:val="00F97F52"/>
    <w:rsid w:val="00FA2545"/>
    <w:rsid w:val="00FA5036"/>
    <w:rsid w:val="00FB2CFE"/>
    <w:rsid w:val="00FB4AAD"/>
    <w:rsid w:val="00FB4E3D"/>
    <w:rsid w:val="00FB5348"/>
    <w:rsid w:val="00FB5F2A"/>
    <w:rsid w:val="00FC02ED"/>
    <w:rsid w:val="00FC4E89"/>
    <w:rsid w:val="00FC4F9B"/>
    <w:rsid w:val="00FC59F0"/>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metepec.gob.mx/archivos/2021/1/3/3/3/20210805_111039_Organigrama_2021.pdf" TargetMode="External"/><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f2.scjn.gob.mx/detalle/tesis/1658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nHLLd" TargetMode="External"/><Relationship Id="rId3" Type="http://schemas.openxmlformats.org/officeDocument/2006/relationships/hyperlink" Target="http://dej.rae.es/" TargetMode="External"/><Relationship Id="rId7" Type="http://schemas.openxmlformats.org/officeDocument/2006/relationships/hyperlink" Target="http://dle.rae.es/?id=CAqWk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6" Type="http://schemas.openxmlformats.org/officeDocument/2006/relationships/hyperlink" Target="http://dle.rae.es/?id=CAjNzMR" TargetMode="External"/><Relationship Id="rId5" Type="http://schemas.openxmlformats.org/officeDocument/2006/relationships/hyperlink" Target="http://dle.rae.es/?id=VGqyuLj|VGtxgAo|VGuc9Wg" TargetMode="External"/><Relationship Id="rId4" Type="http://schemas.openxmlformats.org/officeDocument/2006/relationships/hyperlink" Target="http://dej.rae.es/" TargetMode="External"/><Relationship Id="rId9" Type="http://schemas.openxmlformats.org/officeDocument/2006/relationships/hyperlink" Target="http://dle.rae.es/?id=Ktpfgj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DDBE-70DA-447C-8111-0DB5B338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44</Pages>
  <Words>8709</Words>
  <Characters>47904</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30</cp:revision>
  <cp:lastPrinted>2020-01-30T23:10:00Z</cp:lastPrinted>
  <dcterms:created xsi:type="dcterms:W3CDTF">2021-09-14T16:10:00Z</dcterms:created>
  <dcterms:modified xsi:type="dcterms:W3CDTF">2021-11-04T20:21:00Z</dcterms:modified>
</cp:coreProperties>
</file>