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DA3CBF">
        <w:rPr>
          <w:rFonts w:ascii="Palatino Linotype" w:eastAsia="Times New Roman" w:hAnsi="Palatino Linotype" w:cs="Arial"/>
          <w:color w:val="000000"/>
          <w:sz w:val="24"/>
          <w:szCs w:val="24"/>
          <w:lang w:eastAsia="es-MX"/>
        </w:rPr>
        <w:t xml:space="preserve">a </w:t>
      </w:r>
      <w:r w:rsidR="009502A3">
        <w:rPr>
          <w:rFonts w:ascii="Palatino Linotype" w:eastAsia="Times New Roman" w:hAnsi="Palatino Linotype" w:cs="Arial"/>
          <w:color w:val="000000"/>
          <w:sz w:val="24"/>
          <w:szCs w:val="24"/>
          <w:lang w:eastAsia="es-MX"/>
        </w:rPr>
        <w:t>veintidós de septiembre de dos mil veintiuno.</w:t>
      </w:r>
      <w:r w:rsidR="00DA3CBF">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D4142" w:rsidRPr="00ED4142"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F2791F">
        <w:rPr>
          <w:rFonts w:ascii="Palatino Linotype" w:hAnsi="Palatino Linotype" w:cs="Arial"/>
          <w:b/>
          <w:bCs/>
          <w:sz w:val="24"/>
          <w:lang w:eastAsia="es-MX"/>
        </w:rPr>
        <w:t>3725</w:t>
      </w:r>
      <w:r w:rsidR="00ED4142">
        <w:rPr>
          <w:rFonts w:ascii="Palatino Linotype" w:hAnsi="Palatino Linotype" w:cs="Arial"/>
          <w:b/>
          <w:bCs/>
          <w:sz w:val="24"/>
          <w:lang w:eastAsia="es-MX"/>
        </w:rPr>
        <w:t>/INFOEM/IP/RR/20</w:t>
      </w:r>
      <w:r w:rsidR="00E92058">
        <w:rPr>
          <w:rFonts w:ascii="Palatino Linotype" w:hAnsi="Palatino Linotype" w:cs="Arial"/>
          <w:b/>
          <w:bCs/>
          <w:sz w:val="24"/>
          <w:lang w:eastAsia="es-MX"/>
        </w:rPr>
        <w:t>2</w:t>
      </w:r>
      <w:r w:rsidR="00F2791F">
        <w:rPr>
          <w:rFonts w:ascii="Palatino Linotype" w:hAnsi="Palatino Linotype" w:cs="Arial"/>
          <w:b/>
          <w:bCs/>
          <w:sz w:val="24"/>
          <w:lang w:eastAsia="es-MX"/>
        </w:rPr>
        <w:t>1</w:t>
      </w:r>
      <w:r>
        <w:rPr>
          <w:rFonts w:ascii="Palatino Linotype" w:hAnsi="Palatino Linotype" w:cs="Arial"/>
          <w:sz w:val="24"/>
        </w:rPr>
        <w:t xml:space="preserve">, </w:t>
      </w:r>
      <w:r w:rsidR="00614FDD">
        <w:rPr>
          <w:rFonts w:ascii="Palatino Linotype" w:hAnsi="Palatino Linotype" w:cs="Arial"/>
          <w:sz w:val="24"/>
        </w:rPr>
        <w:t xml:space="preserve">interpuesto </w:t>
      </w:r>
      <w:r w:rsidR="00ED4142">
        <w:rPr>
          <w:rFonts w:ascii="Palatino Linotype" w:hAnsi="Palatino Linotype" w:cs="Arial"/>
          <w:sz w:val="24"/>
        </w:rPr>
        <w:t>por</w:t>
      </w:r>
      <w:r w:rsidR="007628B7">
        <w:rPr>
          <w:rFonts w:ascii="Palatino Linotype" w:hAnsi="Palatino Linotype" w:cs="Arial"/>
          <w:sz w:val="24"/>
        </w:rPr>
        <w:t xml:space="preserve"> el C.</w:t>
      </w:r>
      <w:r w:rsidR="007628B7">
        <w:rPr>
          <w:rFonts w:ascii="Palatino Linotype" w:hAnsi="Palatino Linotype" w:cs="Arial"/>
          <w:b/>
          <w:sz w:val="24"/>
        </w:rPr>
        <w:t xml:space="preserve"> </w:t>
      </w:r>
      <w:r w:rsidR="00BA6773">
        <w:rPr>
          <w:rFonts w:ascii="Palatino Linotype" w:hAnsi="Palatino Linotype" w:cs="Arial"/>
          <w:b/>
          <w:sz w:val="24"/>
        </w:rPr>
        <w:t>xxxxxxxxx</w:t>
      </w:r>
      <w:bookmarkStart w:id="0" w:name="_GoBack"/>
      <w:bookmarkEnd w:id="0"/>
      <w:r w:rsidR="007628B7">
        <w:rPr>
          <w:rFonts w:ascii="Palatino Linotype" w:hAnsi="Palatino Linotype" w:cs="Arial"/>
          <w:sz w:val="24"/>
        </w:rPr>
        <w:t xml:space="preserve">, </w:t>
      </w:r>
      <w:r w:rsidR="00ED4142">
        <w:rPr>
          <w:rFonts w:ascii="Palatino Linotype" w:hAnsi="Palatino Linotype" w:cs="Arial"/>
          <w:sz w:val="24"/>
        </w:rPr>
        <w:t xml:space="preserve">en lo subsecuente </w:t>
      </w:r>
      <w:r w:rsidR="00ED4142">
        <w:rPr>
          <w:rFonts w:ascii="Palatino Linotype" w:hAnsi="Palatino Linotype" w:cs="Arial"/>
          <w:b/>
          <w:bCs/>
          <w:sz w:val="24"/>
        </w:rPr>
        <w:t>El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7628B7">
        <w:rPr>
          <w:rFonts w:ascii="Palatino Linotype" w:hAnsi="Palatino Linotype" w:cs="Arial"/>
          <w:sz w:val="24"/>
          <w:szCs w:val="24"/>
        </w:rPr>
        <w:t>l</w:t>
      </w:r>
      <w:r w:rsidR="00A202F3">
        <w:rPr>
          <w:rFonts w:ascii="Palatino Linotype" w:hAnsi="Palatino Linotype" w:cs="Arial"/>
          <w:sz w:val="24"/>
          <w:szCs w:val="24"/>
        </w:rPr>
        <w:t xml:space="preserve"> </w:t>
      </w:r>
      <w:r w:rsidR="00F2791F" w:rsidRPr="00F2791F">
        <w:rPr>
          <w:rFonts w:ascii="Palatino Linotype" w:hAnsi="Palatino Linotype" w:cs="Arial"/>
          <w:b/>
          <w:sz w:val="24"/>
          <w:szCs w:val="24"/>
        </w:rPr>
        <w:t>Ayuntamiento de Naucalpan de Juárez</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F2791F">
        <w:rPr>
          <w:rFonts w:ascii="Palatino Linotype" w:hAnsi="Palatino Linotype" w:cs="Arial"/>
          <w:sz w:val="24"/>
        </w:rPr>
        <w:t xml:space="preserve">veintidós de junio de dos mil </w:t>
      </w:r>
      <w:r w:rsidR="005D254A">
        <w:rPr>
          <w:rFonts w:ascii="Palatino Linotype" w:hAnsi="Palatino Linotype" w:cs="Arial"/>
          <w:sz w:val="24"/>
        </w:rPr>
        <w:t>veintiuno</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F2791F" w:rsidRPr="00F2791F">
        <w:rPr>
          <w:rFonts w:ascii="Palatino Linotype" w:hAnsi="Palatino Linotype" w:cs="Arial"/>
          <w:b/>
          <w:sz w:val="24"/>
        </w:rPr>
        <w:t>00471/NAUCALPA/IP/2021</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F2791F" w:rsidRPr="00F2791F">
        <w:rPr>
          <w:rFonts w:ascii="Palatino Linotype" w:hAnsi="Palatino Linotype"/>
          <w:i/>
          <w:color w:val="000000"/>
        </w:rPr>
        <w:t>Solicito toda la información relativa al pago de proveedores realizado en el año 2019, bajo la figura de adeudos de ejercicios fiscales anteriores (ADEFAS), donde se especifique por nombre de proveedor, monto pagado y se incluya el contrato de prestación de servicios o adquisición de bienes según corresponda.</w:t>
      </w:r>
      <w:r w:rsidRPr="00DE246E">
        <w:rPr>
          <w:rFonts w:ascii="Palatino Linotype" w:eastAsia="Times New Roman" w:hAnsi="Palatino Linotype" w:cs="Times New Roman"/>
          <w:i/>
          <w:lang w:val="es-ES_tradnl" w:eastAsia="es-ES"/>
        </w:rPr>
        <w:t>” [Sic]</w:t>
      </w:r>
    </w:p>
    <w:p w:rsidR="00E15E85" w:rsidRDefault="00E15E85" w:rsidP="00D95F44">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rsidR="009502A3" w:rsidRDefault="009502A3" w:rsidP="009502A3">
      <w:pPr>
        <w:spacing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De la </w:t>
      </w:r>
      <w:r>
        <w:rPr>
          <w:rFonts w:ascii="Palatino Linotype" w:hAnsi="Palatino Linotype" w:cs="Arial"/>
          <w:b/>
          <w:sz w:val="28"/>
        </w:rPr>
        <w:t xml:space="preserve">solicitud de aclaración por parte del Sujeto Obligado. </w:t>
      </w:r>
    </w:p>
    <w:p w:rsidR="009502A3" w:rsidRDefault="009502A3" w:rsidP="009502A3">
      <w:pPr>
        <w:spacing w:line="360" w:lineRule="auto"/>
        <w:ind w:right="334"/>
        <w:jc w:val="both"/>
        <w:rPr>
          <w:rFonts w:ascii="Palatino Linotype" w:hAnsi="Palatino Linotype" w:cs="Arial"/>
          <w:sz w:val="24"/>
          <w:szCs w:val="24"/>
        </w:rPr>
      </w:pPr>
      <w:r>
        <w:rPr>
          <w:rFonts w:ascii="Palatino Linotype" w:hAnsi="Palatino Linotype" w:cs="Arial"/>
          <w:sz w:val="24"/>
          <w:szCs w:val="24"/>
        </w:rPr>
        <w:t xml:space="preserve">En fecha veintitrés de junio del presente,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aclaración, resultando de nuestro interés lo siguiente: </w:t>
      </w:r>
    </w:p>
    <w:p w:rsidR="009502A3" w:rsidRDefault="009502A3" w:rsidP="009502A3">
      <w:pPr>
        <w:pStyle w:val="INFOEM"/>
      </w:pPr>
      <w:r>
        <w:t xml:space="preserve">“Con fundamento en el </w:t>
      </w:r>
      <w:proofErr w:type="spellStart"/>
      <w:r>
        <w:t>articulo</w:t>
      </w:r>
      <w:proofErr w:type="spellEnd"/>
      <w:r>
        <w:t xml:space="preserve"> 159 de la Ley de Transparencia y Acceso a la Información Pública del Estado de México y Municipios, se le requiere para que dentro del plazo de diez días hábiles realice lo siguiente:</w:t>
      </w:r>
    </w:p>
    <w:p w:rsidR="009502A3" w:rsidRDefault="009502A3" w:rsidP="009502A3">
      <w:pPr>
        <w:pStyle w:val="INFOEM"/>
      </w:pPr>
      <w:r>
        <w:t xml:space="preserve">Podrías especificar de </w:t>
      </w:r>
      <w:proofErr w:type="spellStart"/>
      <w:r>
        <w:t>que</w:t>
      </w:r>
      <w:proofErr w:type="spellEnd"/>
      <w:r>
        <w:t xml:space="preserve"> periodo a que periodo requieres la información (mes y días). Gracias</w:t>
      </w:r>
    </w:p>
    <w:p w:rsidR="009502A3" w:rsidRPr="00576D51" w:rsidRDefault="009502A3" w:rsidP="009502A3">
      <w:pPr>
        <w:pStyle w:val="INFOEM"/>
        <w:rPr>
          <w:rFonts w:cs="Arial"/>
          <w:b/>
          <w:sz w:val="24"/>
          <w:szCs w:val="24"/>
        </w:rPr>
      </w:pPr>
      <w: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Pr>
          <w:b/>
        </w:rPr>
        <w:t xml:space="preserve">[Sic] </w:t>
      </w:r>
    </w:p>
    <w:p w:rsidR="009502A3" w:rsidRDefault="009502A3" w:rsidP="009502A3">
      <w:pPr>
        <w:spacing w:line="360" w:lineRule="auto"/>
        <w:ind w:right="334"/>
        <w:jc w:val="both"/>
        <w:rPr>
          <w:rFonts w:ascii="Palatino Linotype" w:hAnsi="Palatino Linotype" w:cs="Arial"/>
          <w:b/>
          <w:sz w:val="24"/>
          <w:szCs w:val="24"/>
        </w:rPr>
      </w:pPr>
    </w:p>
    <w:p w:rsidR="009502A3" w:rsidRPr="00576D51" w:rsidRDefault="009502A3" w:rsidP="009502A3">
      <w:pPr>
        <w:spacing w:line="360" w:lineRule="auto"/>
        <w:ind w:right="334"/>
        <w:jc w:val="both"/>
        <w:rPr>
          <w:rFonts w:ascii="Palatino Linotype" w:hAnsi="Palatino Linotype" w:cs="Arial"/>
          <w:sz w:val="24"/>
          <w:szCs w:val="24"/>
        </w:rPr>
      </w:pPr>
      <w:r>
        <w:rPr>
          <w:rFonts w:ascii="Palatino Linotype" w:hAnsi="Palatino Linotype" w:cs="Arial"/>
          <w:sz w:val="24"/>
          <w:szCs w:val="24"/>
        </w:rPr>
        <w:t xml:space="preserve">Asimismo, en fecha siete de julio del presente, </w:t>
      </w:r>
      <w:r>
        <w:rPr>
          <w:rFonts w:ascii="Palatino Linotype" w:hAnsi="Palatino Linotype" w:cs="Arial"/>
          <w:b/>
          <w:sz w:val="24"/>
          <w:szCs w:val="24"/>
        </w:rPr>
        <w:t xml:space="preserve">El Recurrente </w:t>
      </w:r>
      <w:r>
        <w:rPr>
          <w:rFonts w:ascii="Palatino Linotype" w:hAnsi="Palatino Linotype" w:cs="Arial"/>
          <w:sz w:val="24"/>
          <w:szCs w:val="24"/>
        </w:rPr>
        <w:t xml:space="preserve">desahogo el requerimiento de aclaración en los siguientes términos: </w:t>
      </w:r>
    </w:p>
    <w:p w:rsidR="009502A3" w:rsidRPr="00576D51" w:rsidRDefault="009502A3" w:rsidP="009502A3">
      <w:pPr>
        <w:pStyle w:val="INFOEM"/>
        <w:rPr>
          <w:b/>
        </w:rPr>
      </w:pPr>
      <w:r>
        <w:t>“</w:t>
      </w:r>
      <w:r w:rsidRPr="00CA530E">
        <w:t>La solicitud es clara, solicito información sobre lo realizado en todo el año 2019.</w:t>
      </w:r>
      <w:r>
        <w:t xml:space="preserve">” </w:t>
      </w:r>
      <w:r>
        <w:rPr>
          <w:b/>
        </w:rPr>
        <w:t xml:space="preserve">[Sic] </w:t>
      </w:r>
    </w:p>
    <w:p w:rsidR="009502A3" w:rsidRDefault="009502A3" w:rsidP="009502A3">
      <w:pPr>
        <w:spacing w:before="240" w:line="360" w:lineRule="auto"/>
        <w:jc w:val="both"/>
        <w:rPr>
          <w:rFonts w:ascii="Palatino Linotype" w:hAnsi="Palatino Linotype" w:cs="Arial"/>
          <w:b/>
          <w:sz w:val="28"/>
        </w:rPr>
      </w:pPr>
    </w:p>
    <w:p w:rsidR="009502A3" w:rsidRDefault="009502A3" w:rsidP="009502A3">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9502A3" w:rsidRDefault="009502A3" w:rsidP="009502A3">
      <w:pPr>
        <w:spacing w:before="240" w:line="360" w:lineRule="auto"/>
        <w:jc w:val="both"/>
        <w:rPr>
          <w:rFonts w:ascii="Palatino Linotype" w:hAnsi="Palatino Linotype" w:cs="Arial"/>
          <w:sz w:val="24"/>
        </w:rPr>
      </w:pPr>
      <w:r w:rsidRPr="00A77BF1">
        <w:rPr>
          <w:rFonts w:ascii="Palatino Linotype" w:hAnsi="Palatino Linotype" w:cs="Arial"/>
          <w:sz w:val="24"/>
        </w:rPr>
        <w:lastRenderedPageBreak/>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b/>
          <w:sz w:val="24"/>
        </w:rPr>
        <w:t xml:space="preserve"> </w:t>
      </w:r>
      <w:r w:rsidRPr="00D41F41">
        <w:rPr>
          <w:rFonts w:ascii="Palatino Linotype" w:hAnsi="Palatino Linotype" w:cs="Arial"/>
          <w:sz w:val="24"/>
        </w:rPr>
        <w:t xml:space="preserve">en fecha </w:t>
      </w:r>
      <w:r>
        <w:rPr>
          <w:rFonts w:ascii="Palatino Linotype" w:hAnsi="Palatino Linotype" w:cs="Arial"/>
          <w:sz w:val="24"/>
        </w:rPr>
        <w:t xml:space="preserve">ocho de julio de dos mil veintiuno, dio respuesta a la solicitud de información adjuntando para tal efecto el archivo denominado </w:t>
      </w:r>
      <w:r w:rsidRPr="00E80D58">
        <w:rPr>
          <w:rFonts w:ascii="Palatino Linotype" w:hAnsi="Palatino Linotype" w:cs="Arial"/>
          <w:b/>
          <w:sz w:val="24"/>
          <w:u w:val="single"/>
        </w:rPr>
        <w:t>“Folio 004712021.pdf”</w:t>
      </w:r>
      <w:r>
        <w:rPr>
          <w:rFonts w:ascii="Palatino Linotype" w:hAnsi="Palatino Linotype" w:cs="Arial"/>
          <w:sz w:val="24"/>
        </w:rPr>
        <w:t>, el cual se tienen por reproducido al ser del conocimiento de las partes.</w:t>
      </w: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9502A3" w:rsidRPr="00E73F97" w:rsidTr="00E6347A">
        <w:trPr>
          <w:trHeight w:val="300"/>
          <w:tblCellSpacing w:w="0" w:type="dxa"/>
          <w:jc w:val="center"/>
        </w:trPr>
        <w:tc>
          <w:tcPr>
            <w:tcW w:w="0" w:type="auto"/>
            <w:vAlign w:val="center"/>
            <w:hideMark/>
          </w:tcPr>
          <w:p w:rsidR="009502A3" w:rsidRDefault="009502A3" w:rsidP="00E6347A">
            <w:pPr>
              <w:jc w:val="right"/>
            </w:pPr>
            <w:r>
              <w:rPr>
                <w:rFonts w:ascii="Verdana" w:hAnsi="Verdana"/>
                <w:sz w:val="18"/>
                <w:szCs w:val="18"/>
              </w:rPr>
              <w:t>Folio de la solicitud: 00471/NAUCALPA/IP/2021</w:t>
            </w:r>
          </w:p>
        </w:tc>
      </w:tr>
      <w:tr w:rsidR="009502A3" w:rsidRPr="00E73F97" w:rsidTr="00E6347A">
        <w:trPr>
          <w:trHeight w:val="450"/>
          <w:tblCellSpacing w:w="0" w:type="dxa"/>
          <w:jc w:val="center"/>
        </w:trPr>
        <w:tc>
          <w:tcPr>
            <w:tcW w:w="0" w:type="auto"/>
            <w:vAlign w:val="center"/>
            <w:hideMark/>
          </w:tcPr>
          <w:p w:rsidR="009502A3" w:rsidRDefault="009502A3" w:rsidP="00E6347A">
            <w:pPr>
              <w:jc w:val="right"/>
            </w:pPr>
          </w:p>
        </w:tc>
      </w:tr>
      <w:tr w:rsidR="009502A3" w:rsidRPr="00E73F97" w:rsidTr="00E6347A">
        <w:trPr>
          <w:trHeight w:val="150"/>
          <w:tblCellSpacing w:w="0" w:type="dxa"/>
          <w:jc w:val="center"/>
        </w:trPr>
        <w:tc>
          <w:tcPr>
            <w:tcW w:w="0" w:type="auto"/>
            <w:vAlign w:val="center"/>
            <w:hideMark/>
          </w:tcPr>
          <w:p w:rsidR="009502A3" w:rsidRDefault="009502A3" w:rsidP="00E6347A">
            <w:pPr>
              <w:rPr>
                <w:sz w:val="24"/>
                <w:szCs w:val="24"/>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502A3" w:rsidRPr="00E73F97" w:rsidTr="00E6347A">
        <w:trPr>
          <w:trHeight w:val="375"/>
          <w:tblCellSpacing w:w="0" w:type="dxa"/>
          <w:jc w:val="center"/>
        </w:trPr>
        <w:tc>
          <w:tcPr>
            <w:tcW w:w="0" w:type="auto"/>
            <w:vAlign w:val="center"/>
            <w:hideMark/>
          </w:tcPr>
          <w:p w:rsidR="009502A3" w:rsidRDefault="009502A3" w:rsidP="00E6347A"/>
        </w:tc>
      </w:tr>
      <w:tr w:rsidR="009502A3" w:rsidRPr="00E73F97" w:rsidTr="00E6347A">
        <w:trPr>
          <w:trHeight w:val="150"/>
          <w:tblCellSpacing w:w="0" w:type="dxa"/>
          <w:jc w:val="center"/>
        </w:trPr>
        <w:tc>
          <w:tcPr>
            <w:tcW w:w="0" w:type="auto"/>
            <w:vAlign w:val="center"/>
            <w:hideMark/>
          </w:tcPr>
          <w:p w:rsidR="009502A3" w:rsidRDefault="009502A3" w:rsidP="00E6347A">
            <w:pPr>
              <w:rPr>
                <w:sz w:val="24"/>
                <w:szCs w:val="24"/>
              </w:rPr>
            </w:pPr>
            <w:r>
              <w:rPr>
                <w:rFonts w:ascii="Verdana" w:hAnsi="Verdana"/>
                <w:sz w:val="18"/>
                <w:szCs w:val="18"/>
              </w:rPr>
              <w:t>Por lo que atañe a la Tesorería Municipal, área encargada de atender su solicitud, la cual emite la siguiente respuesta: “…En atención al folio de solicitud ingresa mediante Sistema de Información Mexiquense (SAIMEX) número 0471/NAUCALPAN/IP/2021, y dando cumplimiento a lo establecido por el artículo 37 del Código de Procedimientos Administrativos del Estado de México y 9 de la Ley de Trasparencia y Acceso a la Información Pública y atendiendo al principio de Máxima Publicidad, y para los efectos procedentes se expresa que la información sobre el pago de ADEFAS de manera global, puede consultarse a través de la página web del Municipio de Naucalpan http://naucalpan.gob.mx, en el portal de Transparencia, apartado CONAC, en específico en el formato “Estado de Situación Financiera”, en el cuarto trimestre del ejercicio fiscal 2019. Lo anterior con apego a la Ley de Transparencia Acceso a la Información Pública del Estado de México y Municipios en el Artículo 1, que a la letra dice: Sin otro particular de momento quedo de usted...” (</w:t>
            </w:r>
            <w:proofErr w:type="gramStart"/>
            <w:r>
              <w:rPr>
                <w:rFonts w:ascii="Verdana" w:hAnsi="Verdana"/>
                <w:sz w:val="18"/>
                <w:szCs w:val="18"/>
              </w:rPr>
              <w:t>sic</w:t>
            </w:r>
            <w:proofErr w:type="gramEnd"/>
            <w:r>
              <w:rPr>
                <w:rFonts w:ascii="Verdana" w:hAnsi="Verdana"/>
                <w:sz w:val="18"/>
                <w:szCs w:val="18"/>
              </w:rPr>
              <w:t>).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tc>
      </w:tr>
      <w:tr w:rsidR="009502A3" w:rsidRPr="00E73F97" w:rsidTr="00E6347A">
        <w:trPr>
          <w:trHeight w:val="150"/>
          <w:tblCellSpacing w:w="0" w:type="dxa"/>
          <w:jc w:val="center"/>
        </w:trPr>
        <w:tc>
          <w:tcPr>
            <w:tcW w:w="0" w:type="auto"/>
            <w:vAlign w:val="center"/>
            <w:hideMark/>
          </w:tcPr>
          <w:p w:rsidR="009502A3" w:rsidRDefault="009502A3" w:rsidP="00E6347A">
            <w:pPr>
              <w:rPr>
                <w:sz w:val="20"/>
                <w:szCs w:val="20"/>
              </w:rPr>
            </w:pPr>
          </w:p>
        </w:tc>
      </w:tr>
      <w:tr w:rsidR="009502A3" w:rsidRPr="00E73F97" w:rsidTr="00E6347A">
        <w:trPr>
          <w:trHeight w:val="150"/>
          <w:tblCellSpacing w:w="0" w:type="dxa"/>
          <w:jc w:val="center"/>
        </w:trPr>
        <w:tc>
          <w:tcPr>
            <w:tcW w:w="0" w:type="auto"/>
            <w:vAlign w:val="center"/>
            <w:hideMark/>
          </w:tcPr>
          <w:p w:rsidR="009502A3" w:rsidRDefault="009502A3" w:rsidP="00E6347A">
            <w:pPr>
              <w:rPr>
                <w:sz w:val="24"/>
                <w:szCs w:val="24"/>
              </w:rPr>
            </w:pPr>
            <w:r>
              <w:rPr>
                <w:rFonts w:ascii="Verdana" w:hAnsi="Verdana"/>
                <w:sz w:val="18"/>
                <w:szCs w:val="18"/>
              </w:rPr>
              <w:t>ATENTAMENTE</w:t>
            </w:r>
          </w:p>
        </w:tc>
      </w:tr>
      <w:tr w:rsidR="009502A3" w:rsidRPr="00E73F97" w:rsidTr="00E6347A">
        <w:trPr>
          <w:trHeight w:val="225"/>
          <w:tblCellSpacing w:w="0" w:type="dxa"/>
          <w:jc w:val="center"/>
        </w:trPr>
        <w:tc>
          <w:tcPr>
            <w:tcW w:w="0" w:type="auto"/>
            <w:vAlign w:val="center"/>
            <w:hideMark/>
          </w:tcPr>
          <w:p w:rsidR="009502A3" w:rsidRDefault="009502A3" w:rsidP="00E6347A"/>
        </w:tc>
      </w:tr>
      <w:tr w:rsidR="009502A3" w:rsidRPr="00E73F97" w:rsidTr="00E6347A">
        <w:trPr>
          <w:trHeight w:val="150"/>
          <w:tblCellSpacing w:w="0" w:type="dxa"/>
          <w:jc w:val="center"/>
        </w:trPr>
        <w:tc>
          <w:tcPr>
            <w:tcW w:w="0" w:type="auto"/>
            <w:vAlign w:val="center"/>
            <w:hideMark/>
          </w:tcPr>
          <w:p w:rsidR="009502A3" w:rsidRDefault="009502A3" w:rsidP="00E6347A">
            <w:pPr>
              <w:rPr>
                <w:sz w:val="24"/>
                <w:szCs w:val="24"/>
              </w:rPr>
            </w:pPr>
            <w:r>
              <w:rPr>
                <w:rFonts w:ascii="Verdana" w:hAnsi="Verdana"/>
                <w:sz w:val="18"/>
                <w:szCs w:val="18"/>
              </w:rPr>
              <w:t>C. LEONARDO SALCEDO MALVAEZ</w:t>
            </w:r>
          </w:p>
        </w:tc>
      </w:tr>
    </w:tbl>
    <w:p w:rsidR="009502A3" w:rsidRDefault="009502A3" w:rsidP="009502A3">
      <w:pPr>
        <w:spacing w:before="240" w:line="360" w:lineRule="auto"/>
        <w:jc w:val="both"/>
        <w:rPr>
          <w:rFonts w:ascii="Palatino Linotype" w:hAnsi="Palatino Linotype" w:cs="Arial"/>
          <w:i/>
          <w:sz w:val="24"/>
        </w:rPr>
      </w:pPr>
    </w:p>
    <w:p w:rsidR="009502A3" w:rsidRPr="00441A94" w:rsidRDefault="009502A3" w:rsidP="009502A3">
      <w:pPr>
        <w:spacing w:before="240" w:line="360" w:lineRule="auto"/>
        <w:jc w:val="both"/>
        <w:rPr>
          <w:rFonts w:ascii="Palatino Linotype" w:hAnsi="Palatino Linotype" w:cs="Arial"/>
          <w:b/>
          <w:sz w:val="28"/>
        </w:rPr>
      </w:pPr>
      <w:r>
        <w:rPr>
          <w:rFonts w:ascii="Palatino Linotype" w:hAnsi="Palatino Linotype" w:cs="Arial"/>
          <w:b/>
          <w:sz w:val="28"/>
        </w:rPr>
        <w:t>CUARTO</w:t>
      </w:r>
      <w:r w:rsidRPr="00441A94">
        <w:rPr>
          <w:rFonts w:ascii="Palatino Linotype" w:hAnsi="Palatino Linotype" w:cs="Arial"/>
          <w:b/>
          <w:sz w:val="28"/>
        </w:rPr>
        <w:t xml:space="preserve">. </w:t>
      </w:r>
      <w:r w:rsidRPr="00441A94">
        <w:rPr>
          <w:rFonts w:ascii="Palatino Linotype" w:hAnsi="Palatino Linotype"/>
          <w:b/>
          <w:sz w:val="28"/>
        </w:rPr>
        <w:t>Del recurso de revisión.</w:t>
      </w:r>
    </w:p>
    <w:p w:rsidR="009502A3" w:rsidRDefault="009502A3" w:rsidP="009502A3">
      <w:pPr>
        <w:spacing w:before="240" w:line="360" w:lineRule="auto"/>
        <w:jc w:val="both"/>
        <w:rPr>
          <w:rFonts w:ascii="Palatino Linotype" w:hAnsi="Palatino Linotype" w:cs="Arial"/>
          <w:sz w:val="24"/>
        </w:rPr>
      </w:pPr>
      <w:r w:rsidRPr="00441A94">
        <w:rPr>
          <w:rFonts w:ascii="Palatino Linotype" w:hAnsi="Palatino Linotype" w:cs="Arial"/>
          <w:sz w:val="24"/>
          <w:szCs w:val="24"/>
        </w:rPr>
        <w:lastRenderedPageBreak/>
        <w:t>Inconforme con la 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Pr>
          <w:rFonts w:ascii="Palatino Linotype" w:hAnsi="Palatino Linotype" w:cs="Arial"/>
          <w:sz w:val="24"/>
          <w:szCs w:val="24"/>
        </w:rPr>
        <w:t>fecha trece de julio de dos mil veintiuno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03725/INFOEM/IP/RR/2021</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9502A3" w:rsidRDefault="009502A3" w:rsidP="009502A3">
      <w:pPr>
        <w:spacing w:before="240"/>
        <w:jc w:val="both"/>
        <w:rPr>
          <w:rFonts w:ascii="Palatino Linotype" w:hAnsi="Palatino Linotype" w:cs="Arial"/>
          <w:b/>
          <w:sz w:val="24"/>
        </w:rPr>
      </w:pPr>
      <w:r>
        <w:rPr>
          <w:rFonts w:ascii="Palatino Linotype" w:hAnsi="Palatino Linotype" w:cs="Arial"/>
          <w:b/>
          <w:sz w:val="24"/>
        </w:rPr>
        <w:t>Acto Impugnado:</w:t>
      </w:r>
    </w:p>
    <w:p w:rsidR="009502A3" w:rsidRPr="00A435E2" w:rsidRDefault="009502A3" w:rsidP="009502A3">
      <w:pPr>
        <w:ind w:left="851" w:right="850"/>
        <w:jc w:val="both"/>
        <w:rPr>
          <w:rFonts w:ascii="Palatino Linotype" w:hAnsi="Palatino Linotype"/>
          <w:i/>
          <w:color w:val="000000"/>
        </w:rPr>
      </w:pPr>
      <w:r w:rsidRPr="00A435E2">
        <w:rPr>
          <w:rFonts w:ascii="Palatino Linotype" w:hAnsi="Palatino Linotype"/>
          <w:i/>
          <w:color w:val="000000"/>
        </w:rPr>
        <w:t>“</w:t>
      </w:r>
      <w:r w:rsidRPr="00E73F97">
        <w:rPr>
          <w:rFonts w:ascii="Palatino Linotype" w:hAnsi="Palatino Linotype"/>
          <w:i/>
          <w:color w:val="000000"/>
        </w:rPr>
        <w:t>la entrega de información no corresponde a lo solicitado.</w:t>
      </w:r>
      <w:r>
        <w:rPr>
          <w:rFonts w:ascii="Palatino Linotype" w:hAnsi="Palatino Linotype"/>
          <w:i/>
          <w:color w:val="000000"/>
        </w:rPr>
        <w:t xml:space="preserve">” </w:t>
      </w:r>
      <w:r w:rsidRPr="00B165EF">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9502A3" w:rsidRDefault="009502A3" w:rsidP="009502A3">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9502A3" w:rsidRDefault="009502A3" w:rsidP="009502A3">
      <w:pPr>
        <w:ind w:left="851" w:right="850"/>
        <w:jc w:val="both"/>
        <w:rPr>
          <w:rFonts w:ascii="Palatino Linotype" w:hAnsi="Palatino Linotype" w:cs="Arial"/>
          <w:i/>
        </w:rPr>
      </w:pPr>
      <w:r w:rsidRPr="004469D5">
        <w:rPr>
          <w:rFonts w:ascii="Palatino Linotype" w:hAnsi="Palatino Linotype" w:cs="Arial"/>
          <w:i/>
        </w:rPr>
        <w:t>“</w:t>
      </w:r>
      <w:r w:rsidRPr="00E73F97">
        <w:rPr>
          <w:rFonts w:ascii="Palatino Linotype" w:hAnsi="Palatino Linotype" w:cs="Arial"/>
          <w:i/>
        </w:rPr>
        <w:t>la entrega de información no corresponde a lo solicitado.</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E17114" w:rsidRDefault="00E17114" w:rsidP="009502A3">
      <w:pPr>
        <w:spacing w:before="240" w:line="360" w:lineRule="auto"/>
        <w:jc w:val="both"/>
        <w:rPr>
          <w:rFonts w:ascii="Palatino Linotype" w:hAnsi="Palatino Linotype" w:cs="Arial"/>
          <w:b/>
          <w:sz w:val="28"/>
        </w:rPr>
      </w:pPr>
    </w:p>
    <w:p w:rsidR="009502A3" w:rsidRDefault="009502A3" w:rsidP="009502A3">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9502A3" w:rsidRDefault="009502A3" w:rsidP="009502A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dos de agosto de dos mil veintiuno, determinándose en él, un plazo de siete días para que las partes manifestaran lo que a su derecho corresponda en términos del numeral ya citado.</w:t>
      </w:r>
    </w:p>
    <w:p w:rsidR="009502A3" w:rsidRDefault="009502A3" w:rsidP="009502A3">
      <w:pPr>
        <w:spacing w:before="240" w:line="360" w:lineRule="auto"/>
        <w:jc w:val="both"/>
        <w:rPr>
          <w:rFonts w:ascii="Palatino Linotype" w:hAnsi="Palatino Linotype" w:cs="Arial"/>
          <w:sz w:val="24"/>
          <w:szCs w:val="24"/>
        </w:rPr>
      </w:pPr>
    </w:p>
    <w:p w:rsidR="009502A3" w:rsidRDefault="009502A3" w:rsidP="009502A3">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502A3" w:rsidRDefault="009502A3" w:rsidP="009502A3">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en fecha once y doce de agosto de los corrientes presentó su informe </w:t>
      </w:r>
      <w:r>
        <w:rPr>
          <w:rFonts w:ascii="Palatino Linotype" w:hAnsi="Palatino Linotype" w:cs="Arial"/>
          <w:sz w:val="24"/>
          <w:szCs w:val="24"/>
        </w:rPr>
        <w:lastRenderedPageBreak/>
        <w:t xml:space="preserve">justificado; asimismo, habiendo transcurrido el plazo establecido no se presentó manifestación por parte del recurrente, por lo cual en fecha treinta y uno </w:t>
      </w:r>
      <w:r w:rsidRPr="00CA530E">
        <w:rPr>
          <w:rFonts w:ascii="Palatino Linotype" w:hAnsi="Palatino Linotype" w:cs="Arial"/>
          <w:sz w:val="24"/>
          <w:szCs w:val="24"/>
        </w:rPr>
        <w:t>de agosto</w:t>
      </w:r>
      <w:r>
        <w:rPr>
          <w:rFonts w:ascii="Palatino Linotype" w:hAnsi="Palatino Linotype" w:cs="Arial"/>
          <w:sz w:val="24"/>
          <w:szCs w:val="24"/>
        </w:rPr>
        <w:t xml:space="preserve"> de los corrientes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9502A3" w:rsidRDefault="009502A3" w:rsidP="009502A3">
      <w:pPr>
        <w:spacing w:after="0" w:line="360" w:lineRule="auto"/>
        <w:jc w:val="both"/>
        <w:rPr>
          <w:rFonts w:ascii="Palatino Linotype" w:hAnsi="Palatino Linotype" w:cs="Arial"/>
          <w:b/>
          <w:sz w:val="28"/>
          <w:szCs w:val="24"/>
        </w:rPr>
      </w:pPr>
    </w:p>
    <w:p w:rsidR="009502A3" w:rsidRPr="000C7E40" w:rsidRDefault="009502A3" w:rsidP="009502A3">
      <w:pPr>
        <w:spacing w:after="0" w:line="360" w:lineRule="auto"/>
        <w:jc w:val="both"/>
        <w:rPr>
          <w:rFonts w:ascii="Palatino Linotype" w:hAnsi="Palatino Linotype" w:cs="Arial"/>
          <w:b/>
          <w:sz w:val="28"/>
          <w:szCs w:val="24"/>
        </w:rPr>
      </w:pPr>
      <w:r>
        <w:rPr>
          <w:rFonts w:ascii="Palatino Linotype" w:hAnsi="Palatino Linotype" w:cs="Arial"/>
          <w:b/>
          <w:sz w:val="28"/>
          <w:szCs w:val="24"/>
        </w:rPr>
        <w:t>SÉPTIMO</w:t>
      </w:r>
      <w:r w:rsidRPr="000C7E40">
        <w:rPr>
          <w:rFonts w:ascii="Palatino Linotype" w:hAnsi="Palatino Linotype" w:cs="Arial"/>
          <w:b/>
          <w:sz w:val="28"/>
          <w:szCs w:val="24"/>
        </w:rPr>
        <w:t>. Del retu</w:t>
      </w:r>
      <w:r>
        <w:rPr>
          <w:rFonts w:ascii="Palatino Linotype" w:hAnsi="Palatino Linotype" w:cs="Arial"/>
          <w:b/>
          <w:sz w:val="28"/>
          <w:szCs w:val="24"/>
        </w:rPr>
        <w:t>rno del recurso de revisión 03725/INFOEM/IP/RR/2021</w:t>
      </w:r>
      <w:r w:rsidRPr="000C7E40">
        <w:rPr>
          <w:rFonts w:ascii="Palatino Linotype" w:hAnsi="Palatino Linotype" w:cs="Arial"/>
          <w:b/>
          <w:sz w:val="28"/>
          <w:szCs w:val="24"/>
        </w:rPr>
        <w:t>.</w:t>
      </w:r>
    </w:p>
    <w:p w:rsidR="009502A3" w:rsidRDefault="009502A3" w:rsidP="009502A3">
      <w:pPr>
        <w:spacing w:after="0" w:line="360" w:lineRule="auto"/>
        <w:jc w:val="both"/>
        <w:rPr>
          <w:rFonts w:ascii="Palatino Linotype" w:hAnsi="Palatino Linotype" w:cs="Arial"/>
          <w:sz w:val="24"/>
          <w:szCs w:val="24"/>
        </w:rPr>
      </w:pPr>
      <w:r w:rsidRPr="000C7E40">
        <w:rPr>
          <w:rFonts w:ascii="Palatino Linotype" w:hAnsi="Palatino Linotype" w:cs="Arial"/>
          <w:sz w:val="24"/>
          <w:szCs w:val="24"/>
        </w:rPr>
        <w:t>En fecha veintitrés de agosto de dos mil veintiun</w:t>
      </w:r>
      <w:r>
        <w:rPr>
          <w:rFonts w:ascii="Palatino Linotype" w:hAnsi="Palatino Linotype" w:cs="Arial"/>
          <w:sz w:val="24"/>
          <w:szCs w:val="24"/>
        </w:rPr>
        <w:t xml:space="preserve">o por acuerdo del Pleno de este </w:t>
      </w:r>
      <w:r w:rsidRPr="000C7E40">
        <w:rPr>
          <w:rFonts w:ascii="Palatino Linotype" w:hAnsi="Palatino Linotype" w:cs="Arial"/>
          <w:sz w:val="24"/>
          <w:szCs w:val="24"/>
        </w:rPr>
        <w:t>Órgano Garante, en la Segunda Sesión Extra</w:t>
      </w:r>
      <w:r>
        <w:rPr>
          <w:rFonts w:ascii="Palatino Linotype" w:hAnsi="Palatino Linotype" w:cs="Arial"/>
          <w:sz w:val="24"/>
          <w:szCs w:val="24"/>
        </w:rPr>
        <w:t>ordinaria fue returnado el recurso</w:t>
      </w:r>
      <w:r w:rsidRPr="000C7E40">
        <w:rPr>
          <w:rFonts w:ascii="Palatino Linotype" w:hAnsi="Palatino Linotype" w:cs="Arial"/>
          <w:sz w:val="24"/>
          <w:szCs w:val="24"/>
        </w:rPr>
        <w:t xml:space="preserve"> de revisión </w:t>
      </w:r>
      <w:r>
        <w:rPr>
          <w:rFonts w:ascii="Palatino Linotype" w:hAnsi="Palatino Linotype" w:cs="Arial"/>
          <w:sz w:val="24"/>
          <w:szCs w:val="24"/>
        </w:rPr>
        <w:t>03725</w:t>
      </w:r>
      <w:r w:rsidRPr="000C7E40">
        <w:rPr>
          <w:rFonts w:ascii="Palatino Linotype" w:hAnsi="Palatino Linotype" w:cs="Arial"/>
          <w:sz w:val="24"/>
          <w:szCs w:val="24"/>
        </w:rPr>
        <w:t>/INFOEM/IP/RR/202</w:t>
      </w:r>
      <w:r>
        <w:rPr>
          <w:rFonts w:ascii="Palatino Linotype" w:hAnsi="Palatino Linotype" w:cs="Arial"/>
          <w:sz w:val="24"/>
          <w:szCs w:val="24"/>
        </w:rPr>
        <w:t xml:space="preserve">1, al </w:t>
      </w:r>
      <w:r w:rsidRPr="000C7E40">
        <w:rPr>
          <w:rFonts w:ascii="Palatino Linotype" w:hAnsi="Palatino Linotype" w:cs="Arial"/>
          <w:sz w:val="24"/>
          <w:szCs w:val="24"/>
        </w:rPr>
        <w:t xml:space="preserve">Comisionado </w:t>
      </w:r>
      <w:r w:rsidRPr="000C7E40">
        <w:rPr>
          <w:rFonts w:ascii="Palatino Linotype" w:hAnsi="Palatino Linotype" w:cs="Arial"/>
          <w:b/>
          <w:sz w:val="24"/>
          <w:szCs w:val="24"/>
        </w:rPr>
        <w:t>José Martínez Vilchis</w:t>
      </w:r>
      <w:r w:rsidRPr="000C7E40">
        <w:rPr>
          <w:rFonts w:ascii="Palatino Linotype" w:hAnsi="Palatino Linotype" w:cs="Arial"/>
          <w:sz w:val="24"/>
          <w:szCs w:val="24"/>
        </w:rPr>
        <w:t xml:space="preserve"> para su resolución y presentación al Pleno.</w:t>
      </w:r>
    </w:p>
    <w:p w:rsidR="00AE2701" w:rsidRDefault="00AE2701" w:rsidP="00AE2701">
      <w:pPr>
        <w:spacing w:before="240" w:after="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161662" w:rsidRPr="00667998" w:rsidRDefault="00E15E85" w:rsidP="00161662">
      <w:pPr>
        <w:pStyle w:val="Sinespaciado"/>
        <w:spacing w:line="360" w:lineRule="auto"/>
        <w:jc w:val="both"/>
        <w:rPr>
          <w:rFonts w:ascii="Palatino Linotype" w:hAnsi="Palatino Linotype"/>
        </w:rPr>
      </w:pPr>
      <w:r w:rsidRPr="00911081">
        <w:rPr>
          <w:rFonts w:ascii="Palatino Linotype" w:hAnsi="Palatino Linotype" w:cs="Arial"/>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rPr>
        <w:t xml:space="preserve"> el recurrente</w:t>
      </w:r>
      <w:r w:rsidRPr="00911081">
        <w:rPr>
          <w:rFonts w:ascii="Palatino Linotype" w:hAnsi="Palatino Linotype" w:cs="Arial"/>
          <w:b/>
        </w:rPr>
        <w:t xml:space="preserve"> </w:t>
      </w:r>
      <w:r w:rsidRPr="00911081">
        <w:rPr>
          <w:rFonts w:ascii="Palatino Linotype" w:hAnsi="Palatino Linotype" w:cs="Arial"/>
        </w:rPr>
        <w:t>conforme a lo dispuesto en los</w:t>
      </w:r>
      <w:r w:rsidRPr="00025A37">
        <w:rPr>
          <w:rFonts w:ascii="Palatino Linotype" w:hAnsi="Palatino Linotype" w:cs="Arial"/>
        </w:rPr>
        <w:t xml:space="preserve"> artículos </w:t>
      </w:r>
      <w:r w:rsidR="00AA2CB1">
        <w:rPr>
          <w:rFonts w:ascii="Palatino Linotype" w:hAnsi="Palatino Linotype" w:cs="Arial"/>
        </w:rPr>
        <w:t xml:space="preserve">1, párrafos segundo y tercero, </w:t>
      </w:r>
      <w:r w:rsidRPr="00025A37">
        <w:rPr>
          <w:rFonts w:ascii="Palatino Linotype" w:hAnsi="Palatino Linotype" w:cs="Arial"/>
        </w:rPr>
        <w:t xml:space="preserve">6, apartado A, </w:t>
      </w:r>
      <w:r w:rsidR="00AA2CB1" w:rsidRPr="00025A37">
        <w:rPr>
          <w:rFonts w:ascii="Palatino Linotype" w:hAnsi="Palatino Linotype" w:cs="Arial"/>
        </w:rPr>
        <w:t>fraccion</w:t>
      </w:r>
      <w:r w:rsidR="00AA2CB1">
        <w:rPr>
          <w:rFonts w:ascii="Palatino Linotype" w:hAnsi="Palatino Linotype" w:cs="Arial"/>
        </w:rPr>
        <w:t>es I, III y</w:t>
      </w:r>
      <w:r w:rsidRPr="00025A37">
        <w:rPr>
          <w:rFonts w:ascii="Palatino Linotype" w:hAnsi="Palatino Linotype" w:cs="Arial"/>
        </w:rPr>
        <w:t xml:space="preserve"> IV de la Constitución Política de los Estados Unidos Mexicanos, </w:t>
      </w:r>
      <w:r w:rsidR="00161662" w:rsidRPr="00753453">
        <w:rPr>
          <w:rFonts w:ascii="Palatino Linotype" w:hAnsi="Palatino Linotype"/>
        </w:rPr>
        <w:t xml:space="preserve">5, párrafos trigésimo, trigésimo primero y trigésimo segundo, fracciones IV y V, de la Constitución Política </w:t>
      </w:r>
      <w:r w:rsidR="00161662" w:rsidRPr="00753453">
        <w:rPr>
          <w:rFonts w:ascii="Palatino Linotype" w:hAnsi="Palatino Linotype"/>
        </w:rPr>
        <w:lastRenderedPageBreak/>
        <w:t>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D92017" w:rsidRDefault="00D92017" w:rsidP="009E3BB1">
      <w:pPr>
        <w:spacing w:before="240" w:line="360" w:lineRule="auto"/>
        <w:jc w:val="both"/>
        <w:rPr>
          <w:rFonts w:ascii="Palatino Linotype" w:hAnsi="Palatino Linotype" w:cs="Arial"/>
          <w:sz w:val="24"/>
          <w:szCs w:val="24"/>
        </w:rPr>
      </w:pPr>
      <w:r w:rsidRPr="00BD4B78">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D92017" w:rsidRPr="00D92017" w:rsidRDefault="00D92017" w:rsidP="00D92017">
      <w:pPr>
        <w:spacing w:after="0" w:line="360" w:lineRule="auto"/>
        <w:jc w:val="both"/>
        <w:rPr>
          <w:rFonts w:ascii="Palatino Linotype" w:hAnsi="Palatino Linotype" w:cs="Arial"/>
          <w:sz w:val="24"/>
          <w:szCs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896326" w:rsidRDefault="00896326" w:rsidP="00653B08">
      <w:pPr>
        <w:pStyle w:val="Prrafodelista"/>
        <w:autoSpaceDE w:val="0"/>
        <w:autoSpaceDN w:val="0"/>
        <w:adjustRightInd w:val="0"/>
        <w:spacing w:before="240" w:after="160" w:line="360" w:lineRule="auto"/>
        <w:ind w:left="0"/>
        <w:jc w:val="both"/>
        <w:rPr>
          <w:rFonts w:ascii="Palatino Linotype" w:hAnsi="Palatino Linotype" w:cs="Arial"/>
          <w:b/>
          <w:sz w:val="28"/>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332CFA" w:rsidRPr="0081708D" w:rsidRDefault="00216716" w:rsidP="00AA1A77">
      <w:pPr>
        <w:pStyle w:val="Prrafodelista"/>
        <w:numPr>
          <w:ilvl w:val="0"/>
          <w:numId w:val="2"/>
        </w:numPr>
        <w:spacing w:before="240" w:after="240" w:line="360" w:lineRule="auto"/>
        <w:jc w:val="both"/>
        <w:rPr>
          <w:rFonts w:ascii="Palatino Linotype" w:hAnsi="Palatino Linotype" w:cs="Arial"/>
          <w:color w:val="000000" w:themeColor="text1"/>
        </w:rPr>
      </w:pPr>
      <w:r w:rsidRPr="00216716">
        <w:rPr>
          <w:rFonts w:ascii="Palatino Linotype" w:hAnsi="Palatino Linotype" w:cs="Arial"/>
          <w:color w:val="000000" w:themeColor="text1"/>
        </w:rPr>
        <w:t>Solicito toda la información relativa al pago de proveedores realizado en el año 2019, bajo la figura de adeudos de ejercicios fiscales anteriores (ADEFAS), donde se especifique por nombre de proveedor, monto pagado y se incluya el contrato de prestación de servicios o adquisición de bienes según corresponda.</w:t>
      </w:r>
    </w:p>
    <w:p w:rsidR="005F0A95" w:rsidRDefault="007D0FF6" w:rsidP="00A859D1">
      <w:pPr>
        <w:spacing w:before="240" w:line="480" w:lineRule="auto"/>
        <w:jc w:val="both"/>
        <w:rPr>
          <w:rFonts w:ascii="Palatino Linotype" w:hAnsi="Palatino Linotype"/>
          <w:sz w:val="24"/>
          <w:szCs w:val="24"/>
        </w:rPr>
      </w:pPr>
      <w:r w:rsidRPr="000F5CBE">
        <w:rPr>
          <w:rFonts w:ascii="Palatino Linotype" w:hAnsi="Palatino Linotype"/>
          <w:color w:val="000000"/>
          <w:lang w:val="es-ES_tradnl"/>
        </w:rPr>
        <w:t xml:space="preserve">Ahora bien, en respuesta a los requerimientos formulados por el particular, el </w:t>
      </w:r>
      <w:r w:rsidRPr="000F5CBE">
        <w:rPr>
          <w:rFonts w:ascii="Palatino Linotype" w:hAnsi="Palatino Linotype"/>
          <w:b/>
          <w:color w:val="000000"/>
          <w:lang w:val="es-ES_tradnl"/>
        </w:rPr>
        <w:t xml:space="preserve">sujeto obligado </w:t>
      </w:r>
      <w:r>
        <w:rPr>
          <w:rFonts w:ascii="Palatino Linotype" w:hAnsi="Palatino Linotype"/>
          <w:bCs/>
          <w:color w:val="000000"/>
          <w:lang w:val="es-ES_tradnl"/>
        </w:rPr>
        <w:t xml:space="preserve">remitió </w:t>
      </w:r>
      <w:r w:rsidR="00C7126B">
        <w:rPr>
          <w:rFonts w:ascii="Palatino Linotype" w:hAnsi="Palatino Linotype"/>
          <w:bCs/>
          <w:color w:val="000000"/>
          <w:lang w:val="es-ES_tradnl"/>
        </w:rPr>
        <w:t>el archivo electrónico denominado</w:t>
      </w:r>
      <w:r>
        <w:rPr>
          <w:rFonts w:ascii="Palatino Linotype" w:hAnsi="Palatino Linotype"/>
          <w:b/>
          <w:color w:val="000000"/>
          <w:lang w:val="es-ES_tradnl"/>
        </w:rPr>
        <w:t xml:space="preserve"> </w:t>
      </w:r>
      <w:r w:rsidRPr="007D0FF6">
        <w:rPr>
          <w:rFonts w:ascii="Palatino Linotype" w:hAnsi="Palatino Linotype"/>
          <w:b/>
          <w:color w:val="000000"/>
          <w:lang w:val="es-ES_tradnl"/>
        </w:rPr>
        <w:t>“</w:t>
      </w:r>
      <w:r w:rsidR="00C7126B" w:rsidRPr="00C7126B">
        <w:rPr>
          <w:rFonts w:ascii="Palatino Linotype" w:hAnsi="Palatino Linotype"/>
          <w:b/>
          <w:color w:val="000000"/>
          <w:lang w:val="es-ES_tradnl"/>
        </w:rPr>
        <w:t>Folio 004712021.pdf</w:t>
      </w:r>
      <w:r>
        <w:rPr>
          <w:rFonts w:ascii="Palatino Linotype" w:hAnsi="Palatino Linotype"/>
          <w:b/>
          <w:color w:val="000000"/>
          <w:lang w:val="es-ES_tradnl"/>
        </w:rPr>
        <w:t xml:space="preserve">”, </w:t>
      </w:r>
      <w:r>
        <w:rPr>
          <w:rFonts w:ascii="Palatino Linotype" w:hAnsi="Palatino Linotype"/>
          <w:sz w:val="24"/>
          <w:szCs w:val="24"/>
        </w:rPr>
        <w:t>que consisten en lo siguiente:</w:t>
      </w:r>
    </w:p>
    <w:p w:rsidR="007D0FF6" w:rsidRDefault="00C7126B" w:rsidP="00AA1A77">
      <w:pPr>
        <w:pStyle w:val="Sinespaciado"/>
        <w:numPr>
          <w:ilvl w:val="0"/>
          <w:numId w:val="3"/>
        </w:numPr>
        <w:spacing w:line="360" w:lineRule="auto"/>
        <w:jc w:val="both"/>
        <w:rPr>
          <w:rFonts w:ascii="Palatino Linotype" w:hAnsi="Palatino Linotype"/>
        </w:rPr>
      </w:pPr>
      <w:r w:rsidRPr="00C7126B">
        <w:rPr>
          <w:rFonts w:ascii="Palatino Linotype" w:hAnsi="Palatino Linotype"/>
          <w:b/>
        </w:rPr>
        <w:t>Folio 004712021.pdf</w:t>
      </w:r>
      <w:r>
        <w:rPr>
          <w:rFonts w:ascii="Palatino Linotype" w:hAnsi="Palatino Linotype"/>
          <w:b/>
        </w:rPr>
        <w:t>:</w:t>
      </w:r>
      <w:r w:rsidR="007D0FF6">
        <w:rPr>
          <w:rFonts w:ascii="Palatino Linotype" w:hAnsi="Palatino Linotype"/>
        </w:rPr>
        <w:t xml:space="preserve"> </w:t>
      </w:r>
      <w:r>
        <w:rPr>
          <w:rFonts w:ascii="Palatino Linotype" w:hAnsi="Palatino Linotype"/>
        </w:rPr>
        <w:t>Documento que</w:t>
      </w:r>
      <w:r w:rsidR="00E4433C">
        <w:rPr>
          <w:rFonts w:ascii="Palatino Linotype" w:hAnsi="Palatino Linotype"/>
        </w:rPr>
        <w:t xml:space="preserve"> contiene</w:t>
      </w:r>
      <w:r>
        <w:rPr>
          <w:rFonts w:ascii="Palatino Linotype" w:hAnsi="Palatino Linotype"/>
        </w:rPr>
        <w:t xml:space="preserve"> el oficio número TM/SC/0084/2021, de fecha veintinueve de junio de dos mil veintiuno, signado por el Subdirector de Contabilidad en el cual </w:t>
      </w:r>
      <w:r w:rsidR="00DE3B11">
        <w:rPr>
          <w:rFonts w:ascii="Palatino Linotype" w:hAnsi="Palatino Linotype"/>
        </w:rPr>
        <w:t>medularmente informa que los requerimientos solicitados por el ahora Recurrente pueden ser consultados a través de la página web del Municipio de Naucalpan, aunado a lo anterior, se adjunta una liga electrónica en la cual</w:t>
      </w:r>
      <w:r w:rsidR="00896326">
        <w:rPr>
          <w:rFonts w:ascii="Palatino Linotype" w:hAnsi="Palatino Linotype"/>
        </w:rPr>
        <w:t xml:space="preserve"> mencionan que </w:t>
      </w:r>
      <w:r w:rsidR="00DE3B11">
        <w:rPr>
          <w:rFonts w:ascii="Palatino Linotype" w:hAnsi="Palatino Linotype"/>
        </w:rPr>
        <w:t xml:space="preserve">se puede encontrar la información peticionada, </w:t>
      </w:r>
      <w:r w:rsidR="00CC3276">
        <w:rPr>
          <w:rFonts w:ascii="Palatino Linotype" w:hAnsi="Palatino Linotype"/>
        </w:rPr>
        <w:t>tal c</w:t>
      </w:r>
      <w:r w:rsidR="002F2076">
        <w:rPr>
          <w:rFonts w:ascii="Palatino Linotype" w:hAnsi="Palatino Linotype"/>
        </w:rPr>
        <w:t>omo se muestra en las imágenes siguientes a manera de ejemplo:</w:t>
      </w:r>
    </w:p>
    <w:p w:rsidR="002F2076" w:rsidRDefault="00DE3B11" w:rsidP="00CC3276">
      <w:pPr>
        <w:pStyle w:val="Sinespaciado"/>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extent cx="6065945" cy="72237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8020" cy="7226231"/>
                    </a:xfrm>
                    <a:prstGeom prst="rect">
                      <a:avLst/>
                    </a:prstGeom>
                    <a:noFill/>
                    <a:ln>
                      <a:noFill/>
                    </a:ln>
                  </pic:spPr>
                </pic:pic>
              </a:graphicData>
            </a:graphic>
          </wp:inline>
        </w:drawing>
      </w:r>
    </w:p>
    <w:p w:rsidR="00CC02C5" w:rsidRDefault="00CC02C5" w:rsidP="00CC3276">
      <w:pPr>
        <w:pStyle w:val="Sinespaciado"/>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extent cx="5745480" cy="34975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3497580"/>
                    </a:xfrm>
                    <a:prstGeom prst="rect">
                      <a:avLst/>
                    </a:prstGeom>
                    <a:noFill/>
                    <a:ln>
                      <a:noFill/>
                    </a:ln>
                  </pic:spPr>
                </pic:pic>
              </a:graphicData>
            </a:graphic>
          </wp:inline>
        </w:drawing>
      </w:r>
    </w:p>
    <w:p w:rsidR="00CC02C5" w:rsidRDefault="00BA43AF" w:rsidP="00CC3276">
      <w:pPr>
        <w:pStyle w:val="Sinespaciado"/>
        <w:spacing w:line="360" w:lineRule="auto"/>
        <w:jc w:val="center"/>
        <w:rPr>
          <w:rFonts w:ascii="Palatino Linotype" w:hAnsi="Palatino Linotype"/>
        </w:rPr>
      </w:pPr>
      <w:r>
        <w:rPr>
          <w:rFonts w:ascii="Palatino Linotype" w:hAnsi="Palatino Linotype"/>
          <w:noProof/>
          <w:lang w:eastAsia="es-MX"/>
        </w:rPr>
        <w:drawing>
          <wp:inline distT="0" distB="0" distL="0" distR="0">
            <wp:extent cx="5748655" cy="3675355"/>
            <wp:effectExtent l="0" t="0" r="444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895" cy="3676787"/>
                    </a:xfrm>
                    <a:prstGeom prst="rect">
                      <a:avLst/>
                    </a:prstGeom>
                    <a:noFill/>
                    <a:ln>
                      <a:noFill/>
                    </a:ln>
                  </pic:spPr>
                </pic:pic>
              </a:graphicData>
            </a:graphic>
          </wp:inline>
        </w:drawing>
      </w:r>
    </w:p>
    <w:p w:rsidR="00E17114" w:rsidRPr="00E4433C" w:rsidRDefault="00896326" w:rsidP="00CC3276">
      <w:pPr>
        <w:pStyle w:val="Sinespaciado"/>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extent cx="5761355" cy="36753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675380"/>
                    </a:xfrm>
                    <a:prstGeom prst="rect">
                      <a:avLst/>
                    </a:prstGeom>
                    <a:noFill/>
                    <a:ln>
                      <a:noFill/>
                    </a:ln>
                  </pic:spPr>
                </pic:pic>
              </a:graphicData>
            </a:graphic>
          </wp:inline>
        </w:drawing>
      </w:r>
    </w:p>
    <w:p w:rsidR="00F319C4" w:rsidRDefault="00AC44EF" w:rsidP="00E62963">
      <w:pPr>
        <w:spacing w:before="240" w:line="360" w:lineRule="auto"/>
        <w:jc w:val="both"/>
        <w:rPr>
          <w:rFonts w:ascii="Palatino Linotype" w:hAnsi="Palatino Linotype" w:cs="Arial"/>
          <w:sz w:val="24"/>
        </w:rPr>
      </w:pPr>
      <w:r>
        <w:rPr>
          <w:rFonts w:ascii="Palatino Linotype" w:hAnsi="Palatino Linotype" w:cs="Arial"/>
          <w:sz w:val="24"/>
        </w:rPr>
        <w:t xml:space="preserve">Por su parte, el recurrente se adoleció de la respuesta proporcionada, arguyendo que </w:t>
      </w:r>
      <w:r w:rsidR="008C1530">
        <w:rPr>
          <w:rFonts w:ascii="Palatino Linotype" w:hAnsi="Palatino Linotype" w:cs="Arial"/>
          <w:sz w:val="24"/>
        </w:rPr>
        <w:t xml:space="preserve">la información remitida </w:t>
      </w:r>
      <w:r w:rsidR="00950F0A">
        <w:rPr>
          <w:rFonts w:ascii="Palatino Linotype" w:hAnsi="Palatino Linotype" w:cs="Arial"/>
          <w:sz w:val="24"/>
        </w:rPr>
        <w:t>por el Sujeto Obligado</w:t>
      </w:r>
      <w:r w:rsidR="008C1530">
        <w:rPr>
          <w:rFonts w:ascii="Palatino Linotype" w:hAnsi="Palatino Linotype" w:cs="Arial"/>
          <w:sz w:val="24"/>
        </w:rPr>
        <w:t xml:space="preserve"> no corresponde con lo solicitado</w:t>
      </w:r>
      <w:r w:rsidR="00946ACC">
        <w:rPr>
          <w:rFonts w:ascii="Palatino Linotype" w:hAnsi="Palatino Linotype" w:cs="Arial"/>
          <w:sz w:val="24"/>
        </w:rPr>
        <w:t>.</w:t>
      </w:r>
    </w:p>
    <w:p w:rsidR="00950F0A" w:rsidRPr="00F843A4" w:rsidRDefault="00950F0A" w:rsidP="00950F0A">
      <w:pPr>
        <w:tabs>
          <w:tab w:val="left" w:pos="709"/>
        </w:tabs>
        <w:spacing w:before="240" w:line="360" w:lineRule="auto"/>
        <w:ind w:right="51"/>
        <w:jc w:val="both"/>
        <w:rPr>
          <w:rFonts w:ascii="Palatino Linotype" w:hAnsi="Palatino Linotype"/>
          <w:sz w:val="24"/>
          <w:szCs w:val="24"/>
        </w:rPr>
      </w:pPr>
      <w:r w:rsidRPr="00F843A4">
        <w:rPr>
          <w:rFonts w:ascii="Palatino Linotype" w:hAnsi="Palatino Linotype"/>
          <w:sz w:val="24"/>
          <w:szCs w:val="24"/>
        </w:rPr>
        <w:t xml:space="preserve">Por otra parte, como fue mencionado en el antecedente quinto, </w:t>
      </w:r>
      <w:r w:rsidRPr="00F843A4">
        <w:rPr>
          <w:rFonts w:ascii="Palatino Linotype" w:hAnsi="Palatino Linotype"/>
          <w:b/>
          <w:bCs/>
          <w:sz w:val="24"/>
          <w:szCs w:val="24"/>
        </w:rPr>
        <w:t xml:space="preserve">El Sujeto Obligado </w:t>
      </w:r>
      <w:r w:rsidRPr="00F843A4">
        <w:rPr>
          <w:rFonts w:ascii="Palatino Linotype" w:hAnsi="Palatino Linotype"/>
          <w:sz w:val="24"/>
          <w:szCs w:val="24"/>
        </w:rPr>
        <w:t>rindió su informe justificado, remitiendo los siguientes soportes documentales:</w:t>
      </w:r>
    </w:p>
    <w:p w:rsidR="00950F0A" w:rsidRPr="00C503B7" w:rsidRDefault="00950F0A" w:rsidP="00AA1A77">
      <w:pPr>
        <w:pStyle w:val="Prrafodelista"/>
        <w:numPr>
          <w:ilvl w:val="0"/>
          <w:numId w:val="6"/>
        </w:numPr>
        <w:tabs>
          <w:tab w:val="left" w:pos="709"/>
        </w:tabs>
        <w:spacing w:before="240" w:line="360" w:lineRule="auto"/>
        <w:ind w:left="720" w:right="51"/>
        <w:jc w:val="both"/>
        <w:rPr>
          <w:rFonts w:ascii="Palatino Linotype" w:hAnsi="Palatino Linotype"/>
          <w:b/>
          <w:bCs/>
        </w:rPr>
      </w:pPr>
      <w:r w:rsidRPr="00F843A4">
        <w:rPr>
          <w:rFonts w:ascii="Palatino Linotype" w:hAnsi="Palatino Linotype"/>
          <w:b/>
          <w:bCs/>
        </w:rPr>
        <w:t>“</w:t>
      </w:r>
      <w:r w:rsidR="008C1530" w:rsidRPr="008C1530">
        <w:rPr>
          <w:rFonts w:ascii="Palatino Linotype" w:hAnsi="Palatino Linotype"/>
          <w:b/>
          <w:bCs/>
        </w:rPr>
        <w:t>EMYA-211-2021_202108111222.pdf</w:t>
      </w:r>
      <w:r w:rsidRPr="00F843A4">
        <w:rPr>
          <w:rFonts w:ascii="Palatino Linotype" w:hAnsi="Palatino Linotype"/>
          <w:b/>
          <w:bCs/>
        </w:rPr>
        <w:t>”:</w:t>
      </w:r>
      <w:r>
        <w:rPr>
          <w:rFonts w:ascii="Palatino Linotype" w:hAnsi="Palatino Linotype"/>
          <w:b/>
          <w:bCs/>
        </w:rPr>
        <w:t xml:space="preserve"> </w:t>
      </w:r>
      <w:r w:rsidR="00C14E4A">
        <w:rPr>
          <w:rFonts w:ascii="Palatino Linotype" w:hAnsi="Palatino Linotype"/>
        </w:rPr>
        <w:t>Consta de dos oficios, el primero de número EMYA/211/2021</w:t>
      </w:r>
      <w:r>
        <w:rPr>
          <w:rFonts w:ascii="Palatino Linotype" w:hAnsi="Palatino Linotype"/>
        </w:rPr>
        <w:t xml:space="preserve"> signado por </w:t>
      </w:r>
      <w:r w:rsidR="00C14E4A">
        <w:rPr>
          <w:rFonts w:ascii="Palatino Linotype" w:hAnsi="Palatino Linotype"/>
        </w:rPr>
        <w:t>la enlace en materia y acceso a la información de la Tesorería Municipal, en el cual establece que la información sobre el pago de ADEFAS de manera global, puede consultarse a través de la página web del Municipio de Naucalpan</w:t>
      </w:r>
      <w:r w:rsidR="00F50713">
        <w:rPr>
          <w:rFonts w:ascii="Palatino Linotype" w:hAnsi="Palatino Linotype"/>
        </w:rPr>
        <w:t xml:space="preserve">, tal como lo hizo saber por medio de la respuesta. Por cuanto hace al oficio número TM/SC/0101/2021, signado por </w:t>
      </w:r>
      <w:r w:rsidR="00C503B7">
        <w:rPr>
          <w:rFonts w:ascii="Palatino Linotype" w:hAnsi="Palatino Linotype"/>
        </w:rPr>
        <w:lastRenderedPageBreak/>
        <w:t xml:space="preserve">el Subdirector de Contabilidad, en el cual informa que el pago de ADEFAS de manera global, puede consultarse a través de la página web del Municipio de Naucalpan, </w:t>
      </w:r>
      <w:r w:rsidR="00C40CA7" w:rsidRPr="00C503B7">
        <w:rPr>
          <w:rFonts w:ascii="Palatino Linotype" w:hAnsi="Palatino Linotype"/>
        </w:rPr>
        <w:t xml:space="preserve">tal como lo muestra la </w:t>
      </w:r>
      <w:r w:rsidRPr="00C503B7">
        <w:rPr>
          <w:rFonts w:ascii="Palatino Linotype" w:hAnsi="Palatino Linotype"/>
        </w:rPr>
        <w:t xml:space="preserve">siguiente imagen ilustrativa: </w:t>
      </w:r>
    </w:p>
    <w:p w:rsidR="00946ACC" w:rsidRPr="00E17114" w:rsidRDefault="00C503B7" w:rsidP="00E17114">
      <w:pPr>
        <w:pStyle w:val="Prrafodelista"/>
        <w:tabs>
          <w:tab w:val="left" w:pos="993"/>
        </w:tabs>
        <w:spacing w:before="240" w:line="360" w:lineRule="auto"/>
        <w:ind w:left="0" w:right="51"/>
        <w:jc w:val="center"/>
        <w:rPr>
          <w:rFonts w:ascii="Palatino Linotype" w:hAnsi="Palatino Linotype"/>
          <w:b/>
          <w:bCs/>
        </w:rPr>
      </w:pPr>
      <w:r>
        <w:rPr>
          <w:rFonts w:ascii="Palatino Linotype" w:hAnsi="Palatino Linotype"/>
          <w:b/>
          <w:bCs/>
          <w:noProof/>
          <w:lang w:val="es-MX" w:eastAsia="es-MX"/>
        </w:rPr>
        <w:lastRenderedPageBreak/>
        <w:drawing>
          <wp:inline distT="0" distB="0" distL="0" distR="0">
            <wp:extent cx="5332492" cy="6641924"/>
            <wp:effectExtent l="0" t="0" r="190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1554" cy="6653211"/>
                    </a:xfrm>
                    <a:prstGeom prst="rect">
                      <a:avLst/>
                    </a:prstGeom>
                    <a:noFill/>
                    <a:ln>
                      <a:noFill/>
                    </a:ln>
                  </pic:spPr>
                </pic:pic>
              </a:graphicData>
            </a:graphic>
          </wp:inline>
        </w:drawing>
      </w:r>
    </w:p>
    <w:p w:rsidR="00C503B7" w:rsidRPr="00EC3B60" w:rsidRDefault="00C503B7" w:rsidP="00C503B7">
      <w:pPr>
        <w:pStyle w:val="Sinespaciado"/>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extent cx="5615940" cy="7343922"/>
            <wp:effectExtent l="0" t="0" r="381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250" cy="7348251"/>
                    </a:xfrm>
                    <a:prstGeom prst="rect">
                      <a:avLst/>
                    </a:prstGeom>
                    <a:noFill/>
                    <a:ln>
                      <a:noFill/>
                    </a:ln>
                  </pic:spPr>
                </pic:pic>
              </a:graphicData>
            </a:graphic>
          </wp:inline>
        </w:drawing>
      </w:r>
    </w:p>
    <w:p w:rsidR="00C503B7" w:rsidRPr="00C847E6" w:rsidRDefault="00C503B7" w:rsidP="00AA1A77">
      <w:pPr>
        <w:pStyle w:val="Prrafodelista"/>
        <w:numPr>
          <w:ilvl w:val="0"/>
          <w:numId w:val="6"/>
        </w:numPr>
        <w:tabs>
          <w:tab w:val="left" w:pos="709"/>
        </w:tabs>
        <w:spacing w:before="240" w:line="360" w:lineRule="auto"/>
        <w:ind w:right="51"/>
        <w:jc w:val="both"/>
        <w:rPr>
          <w:rFonts w:ascii="Palatino Linotype" w:hAnsi="Palatino Linotype"/>
          <w:b/>
          <w:bCs/>
        </w:rPr>
      </w:pPr>
      <w:r w:rsidRPr="00C503B7">
        <w:rPr>
          <w:rFonts w:ascii="Palatino Linotype" w:hAnsi="Palatino Linotype"/>
          <w:b/>
          <w:bCs/>
        </w:rPr>
        <w:lastRenderedPageBreak/>
        <w:t>“</w:t>
      </w:r>
      <w:r w:rsidR="00FD0800" w:rsidRPr="00FD0800">
        <w:rPr>
          <w:rFonts w:ascii="Palatino Linotype" w:hAnsi="Palatino Linotype"/>
          <w:b/>
          <w:bCs/>
        </w:rPr>
        <w:t>DCS-082-2021_202107160837.pdf</w:t>
      </w:r>
      <w:r w:rsidRPr="00C503B7">
        <w:rPr>
          <w:rFonts w:ascii="Palatino Linotype" w:hAnsi="Palatino Linotype"/>
          <w:b/>
          <w:bCs/>
        </w:rPr>
        <w:t xml:space="preserve">”: </w:t>
      </w:r>
      <w:r w:rsidRPr="00C503B7">
        <w:rPr>
          <w:rFonts w:ascii="Palatino Linotype" w:hAnsi="Palatino Linotype"/>
        </w:rPr>
        <w:t>Consta de</w:t>
      </w:r>
      <w:r w:rsidR="00FD0800">
        <w:rPr>
          <w:rFonts w:ascii="Palatino Linotype" w:hAnsi="Palatino Linotype"/>
        </w:rPr>
        <w:t xml:space="preserve"> documento signado por el jefe de departamento de contratos y servicios y enlace de la secretaría de administración</w:t>
      </w:r>
      <w:r w:rsidRPr="00C503B7">
        <w:rPr>
          <w:rFonts w:ascii="Palatino Linotype" w:hAnsi="Palatino Linotype"/>
        </w:rPr>
        <w:t xml:space="preserve"> dos oficios</w:t>
      </w:r>
      <w:r w:rsidR="00606983">
        <w:rPr>
          <w:rFonts w:ascii="Palatino Linotype" w:hAnsi="Palatino Linotype"/>
        </w:rPr>
        <w:t>, el cual en lo medular responde que respecto a lo peticionado por el ahora Recurrente, informa que son atribuciones de Tesorería Municipal</w:t>
      </w:r>
      <w:r w:rsidRPr="00C503B7">
        <w:rPr>
          <w:rFonts w:ascii="Palatino Linotype" w:hAnsi="Palatino Linotype"/>
        </w:rPr>
        <w:t xml:space="preserve">, tal como lo muestra la siguiente imagen ilustrativa: </w:t>
      </w:r>
    </w:p>
    <w:p w:rsidR="00C503B7" w:rsidRPr="00C847E6" w:rsidRDefault="00C847E6" w:rsidP="00C847E6">
      <w:pPr>
        <w:tabs>
          <w:tab w:val="left" w:pos="709"/>
        </w:tabs>
        <w:spacing w:before="240" w:line="360" w:lineRule="auto"/>
        <w:ind w:right="51"/>
        <w:jc w:val="center"/>
        <w:rPr>
          <w:rFonts w:ascii="Palatino Linotype" w:hAnsi="Palatino Linotype"/>
          <w:b/>
          <w:bCs/>
        </w:rPr>
      </w:pPr>
      <w:r>
        <w:rPr>
          <w:noProof/>
          <w:lang w:eastAsia="es-MX"/>
        </w:rPr>
        <w:lastRenderedPageBreak/>
        <w:drawing>
          <wp:inline distT="0" distB="0" distL="0" distR="0" wp14:anchorId="09DF01D6" wp14:editId="4B562045">
            <wp:extent cx="5622202" cy="74576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573" cy="7471417"/>
                    </a:xfrm>
                    <a:prstGeom prst="rect">
                      <a:avLst/>
                    </a:prstGeom>
                    <a:noFill/>
                    <a:ln>
                      <a:noFill/>
                    </a:ln>
                  </pic:spPr>
                </pic:pic>
              </a:graphicData>
            </a:graphic>
          </wp:inline>
        </w:drawing>
      </w:r>
    </w:p>
    <w:p w:rsidR="00C847E6" w:rsidRPr="00C847E6" w:rsidRDefault="00C847E6" w:rsidP="00AA1A77">
      <w:pPr>
        <w:pStyle w:val="Prrafodelista"/>
        <w:numPr>
          <w:ilvl w:val="0"/>
          <w:numId w:val="6"/>
        </w:numPr>
        <w:tabs>
          <w:tab w:val="left" w:pos="709"/>
        </w:tabs>
        <w:spacing w:before="240" w:line="360" w:lineRule="auto"/>
        <w:ind w:right="51"/>
        <w:jc w:val="both"/>
        <w:rPr>
          <w:rFonts w:ascii="Palatino Linotype" w:hAnsi="Palatino Linotype"/>
          <w:b/>
          <w:bCs/>
        </w:rPr>
      </w:pPr>
      <w:r w:rsidRPr="00C503B7">
        <w:rPr>
          <w:rFonts w:ascii="Palatino Linotype" w:hAnsi="Palatino Linotype"/>
          <w:b/>
          <w:bCs/>
        </w:rPr>
        <w:lastRenderedPageBreak/>
        <w:t>“</w:t>
      </w:r>
      <w:r w:rsidRPr="00C847E6">
        <w:rPr>
          <w:rFonts w:ascii="Palatino Linotype" w:hAnsi="Palatino Linotype"/>
          <w:b/>
          <w:bCs/>
        </w:rPr>
        <w:t>UTAIP-0323-2021_202107160841.pdf</w:t>
      </w:r>
      <w:r w:rsidRPr="00C503B7">
        <w:rPr>
          <w:rFonts w:ascii="Palatino Linotype" w:hAnsi="Palatino Linotype"/>
          <w:b/>
          <w:bCs/>
        </w:rPr>
        <w:t xml:space="preserve">”: </w:t>
      </w:r>
      <w:r w:rsidRPr="00C503B7">
        <w:rPr>
          <w:rFonts w:ascii="Palatino Linotype" w:hAnsi="Palatino Linotype"/>
        </w:rPr>
        <w:t>Consta de</w:t>
      </w:r>
      <w:r>
        <w:rPr>
          <w:rFonts w:ascii="Palatino Linotype" w:hAnsi="Palatino Linotype"/>
        </w:rPr>
        <w:t xml:space="preserve"> documento signado por el jefe de departamento de contratos y servicios y enlace de la secretaría de administración</w:t>
      </w:r>
      <w:r w:rsidRPr="00C503B7">
        <w:rPr>
          <w:rFonts w:ascii="Palatino Linotype" w:hAnsi="Palatino Linotype"/>
        </w:rPr>
        <w:t xml:space="preserve"> dos oficios</w:t>
      </w:r>
      <w:r>
        <w:rPr>
          <w:rFonts w:ascii="Palatino Linotype" w:hAnsi="Palatino Linotype"/>
        </w:rPr>
        <w:t>, el cual en lo medular responde que respecto a lo peticionado por el ahora Recurrente, informa que son atribuciones de Tesorería Municipal</w:t>
      </w:r>
      <w:r w:rsidRPr="00C503B7">
        <w:rPr>
          <w:rFonts w:ascii="Palatino Linotype" w:hAnsi="Palatino Linotype"/>
        </w:rPr>
        <w:t xml:space="preserve">, tal como lo muestra la siguiente imagen ilustrativa: </w:t>
      </w:r>
    </w:p>
    <w:p w:rsidR="00C847E6" w:rsidRPr="00C847E6" w:rsidRDefault="00510D54" w:rsidP="00C847E6">
      <w:pPr>
        <w:tabs>
          <w:tab w:val="left" w:pos="709"/>
        </w:tabs>
        <w:spacing w:before="240" w:line="360" w:lineRule="auto"/>
        <w:ind w:right="51"/>
        <w:jc w:val="center"/>
        <w:rPr>
          <w:rFonts w:ascii="Palatino Linotype" w:hAnsi="Palatino Linotype"/>
          <w:b/>
          <w:bCs/>
        </w:rPr>
      </w:pPr>
      <w:r>
        <w:rPr>
          <w:rFonts w:ascii="Palatino Linotype" w:hAnsi="Palatino Linotype"/>
          <w:b/>
          <w:bCs/>
          <w:noProof/>
          <w:lang w:eastAsia="es-MX"/>
        </w:rPr>
        <w:drawing>
          <wp:inline distT="0" distB="0" distL="0" distR="0">
            <wp:extent cx="5539563" cy="547560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2338" cy="5478348"/>
                    </a:xfrm>
                    <a:prstGeom prst="rect">
                      <a:avLst/>
                    </a:prstGeom>
                    <a:noFill/>
                    <a:ln>
                      <a:noFill/>
                    </a:ln>
                  </pic:spPr>
                </pic:pic>
              </a:graphicData>
            </a:graphic>
          </wp:inline>
        </w:drawing>
      </w:r>
    </w:p>
    <w:p w:rsidR="00C503B7" w:rsidRDefault="00510D54" w:rsidP="00510D54">
      <w:pPr>
        <w:pStyle w:val="Sinespaciado"/>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extent cx="5669201" cy="737899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3479" cy="7384564"/>
                    </a:xfrm>
                    <a:prstGeom prst="rect">
                      <a:avLst/>
                    </a:prstGeom>
                    <a:noFill/>
                    <a:ln>
                      <a:noFill/>
                    </a:ln>
                  </pic:spPr>
                </pic:pic>
              </a:graphicData>
            </a:graphic>
          </wp:inline>
        </w:drawing>
      </w: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lastRenderedPageBreak/>
        <w:t>En este sentido, es pertinente enfatizar lo que respecto al derecho de acceso a la información pública, refiere el artículo 6° de la Constitución Política de los Estados Unidos Mexicanos, que en su parte conducente señala:</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w:t>
      </w:r>
    </w:p>
    <w:p w:rsidR="00946ACC" w:rsidRPr="00C24D80" w:rsidRDefault="00946ACC" w:rsidP="00946ACC">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Por su parte, la Constitución Política del Estado Libre y Soberano de México, en su artículo 5°, dispone en su parte conducente,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En ese orden de ideas, la Ley de Transparencia y Acceso a la Información Pública del Estado de México y Municipios, prevé en su artículo 23, fracción IV,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946ACC" w:rsidRPr="00BF0BA6" w:rsidRDefault="00946ACC" w:rsidP="00946ACC">
      <w:pPr>
        <w:pStyle w:val="Sinespaciado"/>
        <w:ind w:left="567" w:right="567"/>
        <w:jc w:val="both"/>
        <w:rPr>
          <w:rFonts w:ascii="Palatino Linotype" w:hAnsi="Palatino Linotype"/>
          <w:i/>
        </w:rPr>
      </w:pPr>
      <w:proofErr w:type="gramStart"/>
      <w:r w:rsidRPr="00BF0BA6">
        <w:rPr>
          <w:rFonts w:ascii="Palatino Linotype" w:hAnsi="Palatino Linotype"/>
          <w:i/>
        </w:rPr>
        <w:t>I.</w:t>
      </w:r>
      <w:proofErr w:type="gramEnd"/>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946ACC" w:rsidRDefault="00946ACC" w:rsidP="00946ACC">
      <w:pPr>
        <w:pStyle w:val="Sinespaciado"/>
        <w:spacing w:line="360" w:lineRule="auto"/>
        <w:jc w:val="both"/>
        <w:rPr>
          <w:rFonts w:ascii="Palatino Linotype" w:hAnsi="Palatino Linotype"/>
        </w:rPr>
      </w:pPr>
    </w:p>
    <w:p w:rsidR="00946ACC" w:rsidRPr="000E3268" w:rsidRDefault="00946ACC" w:rsidP="00946ACC">
      <w:pPr>
        <w:pStyle w:val="Sinespaciado"/>
        <w:spacing w:line="360" w:lineRule="auto"/>
        <w:jc w:val="both"/>
        <w:rPr>
          <w:rFonts w:ascii="Palatino Linotype" w:hAnsi="Palatino Linotype"/>
        </w:rPr>
      </w:pPr>
      <w:r>
        <w:rPr>
          <w:rFonts w:ascii="Palatino Linotype" w:hAnsi="Palatino Linotype"/>
        </w:rPr>
        <w:t xml:space="preserve">En razón de lo anterior, </w:t>
      </w:r>
      <w:r w:rsidRPr="000E3268">
        <w:rPr>
          <w:rFonts w:ascii="Palatino Linotype" w:hAnsi="Palatino Linotype"/>
        </w:rPr>
        <w:t>se omite el estudio de la naturaleza jurídica de la información pública solicitada, en virtud de que el</w:t>
      </w:r>
      <w:r>
        <w:rPr>
          <w:rFonts w:ascii="Palatino Linotype" w:hAnsi="Palatino Linotype"/>
        </w:rPr>
        <w:t xml:space="preserve"> Sujeto Obligado tanto en su respuesta como en su Informe Justificado</w:t>
      </w:r>
      <w:r w:rsidRPr="000E3268">
        <w:rPr>
          <w:rFonts w:ascii="Palatino Linotype" w:hAnsi="Palatino Linotype"/>
        </w:rPr>
        <w:t xml:space="preserve"> aceptó contar con la información solicitada, de lo que se deduce </w:t>
      </w:r>
      <w:r w:rsidRPr="000E3268">
        <w:rPr>
          <w:rFonts w:ascii="Palatino Linotype" w:hAnsi="Palatino Linotype"/>
        </w:rPr>
        <w:lastRenderedPageBreak/>
        <w:t xml:space="preserve">que, derivado de sus facultades y atribuciones, genera posee y administra dicha información. </w:t>
      </w:r>
    </w:p>
    <w:p w:rsidR="00946ACC" w:rsidRPr="000E3268" w:rsidRDefault="00946ACC" w:rsidP="00946ACC">
      <w:pPr>
        <w:pStyle w:val="Sinespaciado"/>
        <w:spacing w:line="360" w:lineRule="auto"/>
        <w:jc w:val="both"/>
        <w:rPr>
          <w:rFonts w:ascii="Palatino Linotype" w:hAnsi="Palatino Linotype"/>
        </w:rPr>
      </w:pPr>
    </w:p>
    <w:p w:rsidR="00946ACC" w:rsidRPr="000E3268" w:rsidRDefault="00946ACC" w:rsidP="00946ACC">
      <w:pPr>
        <w:pStyle w:val="Sinespaciado"/>
        <w:spacing w:line="360" w:lineRule="auto"/>
        <w:jc w:val="both"/>
        <w:rPr>
          <w:rFonts w:ascii="Palatino Linotype" w:hAnsi="Palatino Linotype"/>
        </w:rPr>
      </w:pPr>
      <w:r w:rsidRPr="000E3268">
        <w:rPr>
          <w:rFonts w:ascii="Palatino Linotype" w:hAnsi="Palatino Linotype"/>
        </w:rPr>
        <w:t>De hecho el estudio de la naturaleza jurídica de la información pública solicitada, tiene por objeto determinar si ésta</w:t>
      </w:r>
      <w:r>
        <w:rPr>
          <w:rFonts w:ascii="Palatino Linotype" w:hAnsi="Palatino Linotype"/>
        </w:rPr>
        <w:t xml:space="preserve"> es generada, poseída o administrada por e</w:t>
      </w:r>
      <w:r w:rsidRPr="000E3268">
        <w:rPr>
          <w:rFonts w:ascii="Palatino Linotype" w:hAnsi="Palatino Linotype"/>
        </w:rPr>
        <w:t>l Sujeto Obligado; sin embargo, en aquellos casos en que éste la asume, ello implica que la genera, posee o administra, por consiguiente, a nada práctico conduce su estudio, ya que se insiste la información pública solicitada, fue asumida por El Sujeto Obligado.</w:t>
      </w:r>
    </w:p>
    <w:p w:rsidR="00946ACC" w:rsidRDefault="00946ACC" w:rsidP="00946ACC">
      <w:pPr>
        <w:pStyle w:val="Sinespaciado"/>
        <w:spacing w:line="360" w:lineRule="auto"/>
        <w:jc w:val="both"/>
        <w:rPr>
          <w:rFonts w:ascii="Palatino Linotype" w:hAnsi="Palatino Linotype"/>
        </w:rPr>
      </w:pPr>
    </w:p>
    <w:p w:rsidR="00900F66" w:rsidRPr="00B512B4" w:rsidRDefault="00900F66" w:rsidP="00900F66">
      <w:pPr>
        <w:pStyle w:val="Prrafodelista"/>
        <w:spacing w:line="360" w:lineRule="auto"/>
        <w:ind w:left="0"/>
        <w:contextualSpacing/>
        <w:jc w:val="both"/>
        <w:rPr>
          <w:rFonts w:ascii="Palatino Linotype" w:hAnsi="Palatino Linotype" w:cs="Arial"/>
          <w:color w:val="222222"/>
          <w:lang w:eastAsia="es-MX"/>
        </w:rPr>
      </w:pPr>
      <w:r>
        <w:rPr>
          <w:rFonts w:ascii="Palatino Linotype" w:eastAsiaTheme="minorHAnsi" w:hAnsi="Palatino Linotype" w:cs="Arial"/>
          <w:szCs w:val="22"/>
          <w:lang w:val="es-MX" w:eastAsia="en-US"/>
        </w:rPr>
        <w:t xml:space="preserve">Bajo ese tenor y toda vez que </w:t>
      </w:r>
      <w:r>
        <w:rPr>
          <w:rFonts w:ascii="Palatino Linotype" w:hAnsi="Palatino Linotype" w:cs="Arial"/>
          <w:color w:val="222222"/>
          <w:lang w:eastAsia="es-MX"/>
        </w:rPr>
        <w:t xml:space="preserve">el </w:t>
      </w:r>
      <w:r w:rsidRPr="00B34BE7">
        <w:rPr>
          <w:rFonts w:ascii="Palatino Linotype" w:hAnsi="Palatino Linotype" w:cs="Arial"/>
          <w:b/>
        </w:rPr>
        <w:t>Sujeto Obligado</w:t>
      </w:r>
      <w:r>
        <w:rPr>
          <w:rFonts w:ascii="Palatino Linotype" w:hAnsi="Palatino Linotype" w:cs="Arial"/>
          <w:color w:val="222222"/>
          <w:lang w:eastAsia="es-MX"/>
        </w:rPr>
        <w:t xml:space="preserve"> omitió enviar documentación alguna o pronunciarse al respecto, </w:t>
      </w:r>
      <w:r w:rsidRPr="00B512B4">
        <w:rPr>
          <w:rFonts w:ascii="Palatino Linotype" w:hAnsi="Palatino Linotype" w:cs="Arial"/>
          <w:color w:val="222222"/>
          <w:lang w:eastAsia="es-MX"/>
        </w:rPr>
        <w:t xml:space="preserve">se considera necesario citar los artículos 12.8 y 12.60 del </w:t>
      </w:r>
      <w:r w:rsidRPr="00B512B4">
        <w:rPr>
          <w:rFonts w:ascii="Palatino Linotype" w:hAnsi="Palatino Linotype" w:cs="Arial"/>
          <w:b/>
          <w:color w:val="222222"/>
          <w:lang w:eastAsia="es-MX"/>
        </w:rPr>
        <w:t>Código Administrativo del Estado de México</w:t>
      </w:r>
      <w:r w:rsidRPr="00B512B4">
        <w:rPr>
          <w:rFonts w:ascii="Palatino Linotype" w:hAnsi="Palatino Linotype" w:cs="Arial"/>
          <w:color w:val="222222"/>
          <w:lang w:eastAsia="es-MX"/>
        </w:rPr>
        <w:t xml:space="preserve"> que a la letra dispone:</w:t>
      </w:r>
    </w:p>
    <w:p w:rsidR="00900F66" w:rsidRPr="006F65E4" w:rsidRDefault="00900F66" w:rsidP="00900F66">
      <w:pPr>
        <w:pStyle w:val="Prrafodelista"/>
        <w:spacing w:line="360" w:lineRule="auto"/>
        <w:ind w:left="0"/>
        <w:jc w:val="both"/>
        <w:rPr>
          <w:rFonts w:ascii="Palatino Linotype" w:hAnsi="Palatino Linotype" w:cs="Arial"/>
          <w:color w:val="222222"/>
          <w:highlight w:val="lightGray"/>
          <w:lang w:eastAsia="es-MX"/>
        </w:rPr>
      </w:pPr>
    </w:p>
    <w:p w:rsidR="00900F66" w:rsidRPr="00B512B4" w:rsidRDefault="00900F66" w:rsidP="00900F66">
      <w:pPr>
        <w:pStyle w:val="Prrafodelista"/>
        <w:spacing w:line="360" w:lineRule="auto"/>
        <w:ind w:left="567" w:right="567"/>
        <w:jc w:val="both"/>
        <w:rPr>
          <w:rFonts w:ascii="Palatino Linotype" w:hAnsi="Palatino Linotype"/>
          <w:i/>
          <w:sz w:val="22"/>
          <w:szCs w:val="22"/>
        </w:rPr>
      </w:pPr>
      <w:r w:rsidRPr="00B512B4">
        <w:rPr>
          <w:rFonts w:ascii="Palatino Linotype" w:hAnsi="Palatino Linotype"/>
          <w:b/>
          <w:i/>
          <w:sz w:val="22"/>
          <w:szCs w:val="22"/>
        </w:rPr>
        <w:t>Artículo 12.8.</w:t>
      </w:r>
      <w:r w:rsidRPr="00B512B4">
        <w:rPr>
          <w:rFonts w:ascii="Palatino Linotype" w:hAnsi="Palatino Linotype"/>
          <w:i/>
          <w:sz w:val="22"/>
          <w:szCs w:val="22"/>
        </w:rPr>
        <w:t xml:space="preserve">- Corresponde a la Secretaría del Ramo </w:t>
      </w:r>
      <w:r w:rsidRPr="00B512B4">
        <w:rPr>
          <w:rFonts w:ascii="Palatino Linotype" w:hAnsi="Palatino Linotype"/>
          <w:b/>
          <w:i/>
          <w:sz w:val="22"/>
          <w:szCs w:val="22"/>
          <w:u w:val="single"/>
        </w:rPr>
        <w:t>y a los ayuntamientos</w:t>
      </w:r>
      <w:r w:rsidRPr="00B512B4">
        <w:rPr>
          <w:rFonts w:ascii="Palatino Linotype" w:hAnsi="Palatino Linotype"/>
          <w:i/>
          <w:sz w:val="22"/>
          <w:szCs w:val="22"/>
        </w:rPr>
        <w:t xml:space="preserve">, en el ámbito de sus respectivas competencias, ejecutar la obra pública, </w:t>
      </w:r>
      <w:r w:rsidRPr="00B512B4">
        <w:rPr>
          <w:rFonts w:ascii="Palatino Linotype" w:hAnsi="Palatino Linotype"/>
          <w:b/>
          <w:i/>
          <w:sz w:val="22"/>
          <w:szCs w:val="22"/>
          <w:u w:val="single"/>
        </w:rPr>
        <w:t xml:space="preserve">mediante contrato con terceros </w:t>
      </w:r>
      <w:r w:rsidRPr="00D00CF8">
        <w:rPr>
          <w:rFonts w:ascii="Palatino Linotype" w:hAnsi="Palatino Linotype"/>
          <w:i/>
          <w:sz w:val="22"/>
          <w:szCs w:val="22"/>
        </w:rPr>
        <w:t>o por administración directa</w:t>
      </w:r>
      <w:r w:rsidRPr="00B512B4">
        <w:rPr>
          <w:rFonts w:ascii="Palatino Linotype" w:hAnsi="Palatino Linotype"/>
          <w:i/>
          <w:sz w:val="22"/>
          <w:szCs w:val="22"/>
        </w:rPr>
        <w:t>. La Secretaría del Ramo podrá autorizar a las dependencias y entidades estatales, a ejecutar obras</w:t>
      </w:r>
      <w:r w:rsidRPr="00D00CF8">
        <w:rPr>
          <w:rFonts w:ascii="Palatino Linotype" w:hAnsi="Palatino Linotype"/>
          <w:b/>
          <w:i/>
          <w:sz w:val="22"/>
          <w:szCs w:val="22"/>
          <w:u w:val="single"/>
        </w:rPr>
        <w:t>, por contrato</w:t>
      </w:r>
      <w:r w:rsidRPr="00B512B4">
        <w:rPr>
          <w:rFonts w:ascii="Palatino Linotype" w:hAnsi="Palatino Linotype"/>
          <w:i/>
          <w:sz w:val="22"/>
          <w:szCs w:val="22"/>
        </w:rPr>
        <w:t xml:space="preserve"> o por administración directa, cuando a su juicio éstas cuenten con elementos propios y organización necesarios. El acuerdo de autorización deberá publicarse en la Gaceta del Gobierno. Lo dispuesto en el párrafo anterior será aplicable a los ayuntamientos, tratándose de la realización de obras con cargo a fondos estatales total o parcialmente. Para la mejor planeación de la obra pública en el Estado, las dependencias, entidades </w:t>
      </w:r>
      <w:r w:rsidRPr="00D00CF8">
        <w:rPr>
          <w:rFonts w:ascii="Palatino Linotype" w:hAnsi="Palatino Linotype"/>
          <w:b/>
          <w:i/>
          <w:sz w:val="22"/>
          <w:szCs w:val="22"/>
          <w:u w:val="single"/>
        </w:rPr>
        <w:t>y ayuntamientos que ejecuten obra</w:t>
      </w:r>
      <w:r w:rsidRPr="00B512B4">
        <w:rPr>
          <w:rFonts w:ascii="Palatino Linotype" w:hAnsi="Palatino Linotype"/>
          <w:i/>
          <w:sz w:val="22"/>
          <w:szCs w:val="22"/>
        </w:rPr>
        <w:t>, deberán dar aviso a la Secretaría del Ramo, de sus proyectos y programación de ejecución, independientemente del origen de los recursos.</w:t>
      </w:r>
    </w:p>
    <w:p w:rsidR="00900F66" w:rsidRPr="00B512B4" w:rsidRDefault="00900F66" w:rsidP="00900F66">
      <w:pPr>
        <w:pStyle w:val="Prrafodelista"/>
        <w:spacing w:line="360" w:lineRule="auto"/>
        <w:ind w:left="567" w:right="567"/>
        <w:jc w:val="both"/>
        <w:rPr>
          <w:rFonts w:ascii="Palatino Linotype" w:hAnsi="Palatino Linotype"/>
          <w:i/>
        </w:rPr>
      </w:pPr>
    </w:p>
    <w:p w:rsidR="00900F66" w:rsidRPr="00B512B4" w:rsidRDefault="00900F66" w:rsidP="00900F66">
      <w:pPr>
        <w:pStyle w:val="Prrafodelista"/>
        <w:spacing w:line="360" w:lineRule="auto"/>
        <w:ind w:left="567" w:right="567"/>
        <w:jc w:val="both"/>
        <w:rPr>
          <w:rFonts w:ascii="Palatino Linotype" w:hAnsi="Palatino Linotype"/>
          <w:i/>
          <w:sz w:val="22"/>
          <w:szCs w:val="22"/>
        </w:rPr>
      </w:pPr>
      <w:r w:rsidRPr="00B512B4">
        <w:rPr>
          <w:rFonts w:ascii="Palatino Linotype" w:hAnsi="Palatino Linotype"/>
          <w:b/>
          <w:i/>
          <w:sz w:val="22"/>
          <w:szCs w:val="22"/>
        </w:rPr>
        <w:lastRenderedPageBreak/>
        <w:t>Artículo 12.60.</w:t>
      </w:r>
      <w:r w:rsidRPr="00B512B4">
        <w:rPr>
          <w:rFonts w:ascii="Palatino Linotype" w:hAnsi="Palatino Linotype"/>
          <w:i/>
          <w:sz w:val="22"/>
          <w:szCs w:val="22"/>
        </w:rPr>
        <w:t xml:space="preserve">- Las dependencias, entidades y ayuntamientos podrán realizar obras por administración directa, </w:t>
      </w:r>
      <w:r w:rsidRPr="00D00CF8">
        <w:rPr>
          <w:rFonts w:ascii="Palatino Linotype" w:hAnsi="Palatino Linotype"/>
          <w:i/>
          <w:sz w:val="22"/>
          <w:szCs w:val="22"/>
        </w:rPr>
        <w:t>siempre que posean la capacidad técnica y los elementos necesarios, consistentes en: maquinaria y equipo de construcción, personal técnico, trabajadores y materiales</w:t>
      </w:r>
      <w:r w:rsidRPr="00B512B4">
        <w:rPr>
          <w:rFonts w:ascii="Palatino Linotype" w:hAnsi="Palatino Linotype"/>
          <w:i/>
          <w:sz w:val="22"/>
          <w:szCs w:val="22"/>
        </w:rPr>
        <w:t xml:space="preserve"> y podrán: </w:t>
      </w:r>
    </w:p>
    <w:p w:rsidR="00900F66" w:rsidRPr="00B512B4" w:rsidRDefault="00900F66" w:rsidP="00900F66">
      <w:pPr>
        <w:pStyle w:val="Prrafodelista"/>
        <w:spacing w:line="360" w:lineRule="auto"/>
        <w:ind w:left="567" w:right="567"/>
        <w:jc w:val="both"/>
        <w:rPr>
          <w:rFonts w:ascii="Palatino Linotype" w:hAnsi="Palatino Linotype"/>
          <w:i/>
          <w:sz w:val="22"/>
          <w:szCs w:val="22"/>
        </w:rPr>
      </w:pPr>
      <w:r w:rsidRPr="00B512B4">
        <w:rPr>
          <w:rFonts w:ascii="Palatino Linotype" w:hAnsi="Palatino Linotype"/>
          <w:i/>
          <w:sz w:val="22"/>
          <w:szCs w:val="22"/>
        </w:rPr>
        <w:t xml:space="preserve">I. Utilizar mano de obra local complementaria, la que necesariamente deberá contratarse por obra determinada; </w:t>
      </w:r>
    </w:p>
    <w:p w:rsidR="00900F66" w:rsidRPr="00B512B4" w:rsidRDefault="00900F66" w:rsidP="00900F66">
      <w:pPr>
        <w:pStyle w:val="Prrafodelista"/>
        <w:spacing w:line="360" w:lineRule="auto"/>
        <w:ind w:left="567" w:right="567"/>
        <w:jc w:val="both"/>
        <w:rPr>
          <w:rFonts w:ascii="Palatino Linotype" w:hAnsi="Palatino Linotype"/>
          <w:i/>
          <w:sz w:val="22"/>
          <w:szCs w:val="22"/>
        </w:rPr>
      </w:pPr>
      <w:r w:rsidRPr="00B512B4">
        <w:rPr>
          <w:rFonts w:ascii="Palatino Linotype" w:hAnsi="Palatino Linotype"/>
          <w:i/>
          <w:sz w:val="22"/>
          <w:szCs w:val="22"/>
        </w:rPr>
        <w:t xml:space="preserve">II. Alquilar equipo y maquinaria de construcción complementaria; </w:t>
      </w:r>
    </w:p>
    <w:p w:rsidR="00900F66" w:rsidRPr="00B512B4" w:rsidRDefault="00900F66" w:rsidP="00900F66">
      <w:pPr>
        <w:pStyle w:val="Prrafodelista"/>
        <w:spacing w:line="360" w:lineRule="auto"/>
        <w:ind w:left="567" w:right="567"/>
        <w:jc w:val="both"/>
        <w:rPr>
          <w:rFonts w:ascii="Palatino Linotype" w:hAnsi="Palatino Linotype"/>
          <w:i/>
          <w:sz w:val="22"/>
          <w:szCs w:val="22"/>
        </w:rPr>
      </w:pPr>
      <w:r w:rsidRPr="00B512B4">
        <w:rPr>
          <w:rFonts w:ascii="Palatino Linotype" w:hAnsi="Palatino Linotype"/>
          <w:i/>
          <w:sz w:val="22"/>
          <w:szCs w:val="22"/>
        </w:rPr>
        <w:t xml:space="preserve">III. Utilizar preferentemente los materiales de la región; </w:t>
      </w:r>
    </w:p>
    <w:p w:rsidR="00900F66" w:rsidRPr="00B512B4" w:rsidRDefault="00900F66" w:rsidP="00900F66">
      <w:pPr>
        <w:pStyle w:val="Prrafodelista"/>
        <w:spacing w:line="360" w:lineRule="auto"/>
        <w:ind w:left="567" w:right="567"/>
        <w:jc w:val="both"/>
        <w:rPr>
          <w:rFonts w:ascii="Palatino Linotype" w:hAnsi="Palatino Linotype"/>
          <w:i/>
          <w:sz w:val="22"/>
          <w:szCs w:val="22"/>
        </w:rPr>
      </w:pPr>
      <w:r w:rsidRPr="00B512B4">
        <w:rPr>
          <w:rFonts w:ascii="Palatino Linotype" w:hAnsi="Palatino Linotype"/>
          <w:i/>
          <w:sz w:val="22"/>
          <w:szCs w:val="22"/>
        </w:rPr>
        <w:t xml:space="preserve">IV. Contratar equipos, instrumentos, elementos prefabricados terminados y materiales u otros bienes que deban ser instalados, montados, colocados o aplicados; </w:t>
      </w:r>
    </w:p>
    <w:p w:rsidR="00900F66" w:rsidRPr="00B512B4" w:rsidRDefault="00900F66" w:rsidP="00900F66">
      <w:pPr>
        <w:pStyle w:val="Prrafodelista"/>
        <w:spacing w:line="360" w:lineRule="auto"/>
        <w:ind w:left="567" w:right="567"/>
        <w:jc w:val="both"/>
        <w:rPr>
          <w:rFonts w:ascii="Palatino Linotype" w:hAnsi="Palatino Linotype"/>
          <w:i/>
          <w:sz w:val="22"/>
          <w:szCs w:val="22"/>
        </w:rPr>
      </w:pPr>
      <w:r w:rsidRPr="00B512B4">
        <w:rPr>
          <w:rFonts w:ascii="Palatino Linotype" w:hAnsi="Palatino Linotype"/>
          <w:i/>
          <w:sz w:val="22"/>
          <w:szCs w:val="22"/>
        </w:rPr>
        <w:t>V. Utilizar servicios de fletes y acarreos complementarios.</w:t>
      </w:r>
    </w:p>
    <w:p w:rsidR="00900F66" w:rsidRPr="00B512B4" w:rsidRDefault="00900F66" w:rsidP="00900F66">
      <w:pPr>
        <w:pStyle w:val="Prrafodelista"/>
        <w:autoSpaceDE w:val="0"/>
        <w:autoSpaceDN w:val="0"/>
        <w:adjustRightInd w:val="0"/>
        <w:spacing w:line="360" w:lineRule="auto"/>
        <w:ind w:left="567"/>
        <w:jc w:val="both"/>
        <w:rPr>
          <w:rFonts w:ascii="Palatino Linotype" w:hAnsi="Palatino Linotype" w:cs="Arial"/>
          <w:i/>
          <w:color w:val="000000" w:themeColor="text1"/>
          <w:lang w:eastAsia="es-MX"/>
        </w:rPr>
      </w:pPr>
      <w:r w:rsidRPr="00B512B4">
        <w:rPr>
          <w:rFonts w:ascii="Palatino Linotype" w:hAnsi="Palatino Linotype" w:cs="Arial"/>
          <w:i/>
          <w:color w:val="000000" w:themeColor="text1"/>
          <w:lang w:eastAsia="es-MX"/>
        </w:rPr>
        <w:t>(Énfasis añadido)</w:t>
      </w:r>
    </w:p>
    <w:p w:rsidR="00900F66" w:rsidRPr="00B512B4" w:rsidRDefault="00900F66" w:rsidP="00900F66">
      <w:pPr>
        <w:pStyle w:val="Prrafodelista"/>
        <w:autoSpaceDE w:val="0"/>
        <w:autoSpaceDN w:val="0"/>
        <w:adjustRightInd w:val="0"/>
        <w:spacing w:line="360" w:lineRule="auto"/>
        <w:ind w:left="567"/>
        <w:jc w:val="both"/>
        <w:rPr>
          <w:rFonts w:ascii="Palatino Linotype" w:hAnsi="Palatino Linotype" w:cs="Arial"/>
          <w:color w:val="000000" w:themeColor="text1"/>
          <w:highlight w:val="lightGray"/>
          <w:lang w:eastAsia="es-MX"/>
        </w:rPr>
      </w:pPr>
    </w:p>
    <w:p w:rsidR="00900F66" w:rsidRDefault="00900F66" w:rsidP="00900F66">
      <w:pPr>
        <w:pStyle w:val="Prrafodelista"/>
        <w:spacing w:before="100" w:beforeAutospacing="1" w:after="100" w:afterAutospacing="1" w:line="360" w:lineRule="auto"/>
        <w:ind w:left="0"/>
        <w:contextualSpacing/>
        <w:jc w:val="both"/>
        <w:rPr>
          <w:rFonts w:ascii="Palatino Linotype" w:hAnsi="Palatino Linotype" w:cs="Segoe UI"/>
          <w:lang w:val="es-MX"/>
        </w:rPr>
      </w:pPr>
      <w:r w:rsidRPr="00B512B4">
        <w:rPr>
          <w:rFonts w:ascii="Palatino Linotype" w:hAnsi="Palatino Linotype" w:cs="Segoe UI"/>
          <w:lang w:val="es-MX"/>
        </w:rPr>
        <w:t xml:space="preserve">Por lo tanto los ayuntamientos ejecutarán obras, de dos formas </w:t>
      </w:r>
      <w:r w:rsidRPr="00D00CF8">
        <w:rPr>
          <w:rFonts w:ascii="Palatino Linotype" w:hAnsi="Palatino Linotype" w:cs="Segoe UI"/>
          <w:u w:val="single"/>
          <w:lang w:val="es-MX"/>
        </w:rPr>
        <w:t>por contrato</w:t>
      </w:r>
      <w:r w:rsidRPr="00B512B4">
        <w:rPr>
          <w:rFonts w:ascii="Palatino Linotype" w:hAnsi="Palatino Linotype" w:cs="Segoe UI"/>
          <w:lang w:val="es-MX"/>
        </w:rPr>
        <w:t xml:space="preserve"> y </w:t>
      </w:r>
      <w:r w:rsidRPr="00D00CF8">
        <w:rPr>
          <w:rFonts w:ascii="Palatino Linotype" w:hAnsi="Palatino Linotype" w:cs="Segoe UI"/>
          <w:lang w:val="es-MX"/>
        </w:rPr>
        <w:t>por administración directa</w:t>
      </w:r>
      <w:r w:rsidRPr="00B512B4">
        <w:rPr>
          <w:rFonts w:ascii="Palatino Linotype" w:hAnsi="Palatino Linotype" w:cs="Segoe UI"/>
          <w:lang w:val="es-MX"/>
        </w:rPr>
        <w:t>, refiriéndonos a esta última como; un término utilizado en la construcción de obras cuando la institución la ejecuta con su maquinaria, equipo de construcción, personal técnico, trabajadores y materiales sin la intervención de contratistas.</w:t>
      </w:r>
    </w:p>
    <w:p w:rsidR="00900F66" w:rsidRDefault="00900F66" w:rsidP="00900F66">
      <w:pPr>
        <w:pStyle w:val="Prrafodelista"/>
        <w:spacing w:before="100" w:beforeAutospacing="1" w:line="360" w:lineRule="auto"/>
        <w:ind w:left="0"/>
        <w:jc w:val="both"/>
        <w:rPr>
          <w:rFonts w:ascii="Palatino Linotype" w:hAnsi="Palatino Linotype" w:cs="Segoe UI"/>
          <w:lang w:val="es-MX"/>
        </w:rPr>
      </w:pPr>
    </w:p>
    <w:p w:rsidR="00900F66" w:rsidRPr="008A78A9" w:rsidRDefault="00900F66" w:rsidP="00900F66">
      <w:pPr>
        <w:pStyle w:val="Prrafodelista"/>
        <w:autoSpaceDE w:val="0"/>
        <w:autoSpaceDN w:val="0"/>
        <w:adjustRightInd w:val="0"/>
        <w:spacing w:before="240" w:after="160" w:line="360" w:lineRule="auto"/>
        <w:ind w:left="0"/>
        <w:contextualSpacing/>
        <w:jc w:val="both"/>
        <w:rPr>
          <w:rFonts w:ascii="Palatino Linotype" w:eastAsiaTheme="minorHAnsi" w:hAnsi="Palatino Linotype" w:cs="Arial"/>
          <w:bCs/>
          <w:color w:val="000000" w:themeColor="text1"/>
          <w:lang w:val="es-MX" w:eastAsia="en-US"/>
        </w:rPr>
      </w:pPr>
      <w:r w:rsidRPr="008A78A9">
        <w:rPr>
          <w:rFonts w:ascii="Palatino Linotype" w:eastAsiaTheme="minorHAnsi" w:hAnsi="Palatino Linotype" w:cs="Arial"/>
          <w:bCs/>
          <w:color w:val="000000" w:themeColor="text1"/>
          <w:szCs w:val="22"/>
          <w:lang w:val="es-MX" w:eastAsia="en-US"/>
        </w:rPr>
        <w:t xml:space="preserve">Ahora bien en caso de haberse realizado por contrato, resulta necesario remitirnos a lo dispuesto por el artículo 1 fracción III de la </w:t>
      </w:r>
      <w:r w:rsidRPr="008A78A9">
        <w:rPr>
          <w:rFonts w:ascii="Palatino Linotype" w:eastAsiaTheme="minorHAnsi" w:hAnsi="Palatino Linotype" w:cs="Arial"/>
          <w:b/>
          <w:bCs/>
          <w:color w:val="000000" w:themeColor="text1"/>
          <w:szCs w:val="22"/>
          <w:lang w:val="es-MX" w:eastAsia="en-US"/>
        </w:rPr>
        <w:t>Ley de Contratación Pública del Estado de México y Municipios</w:t>
      </w:r>
      <w:r w:rsidRPr="008A78A9">
        <w:rPr>
          <w:rFonts w:ascii="Palatino Linotype" w:eastAsiaTheme="minorHAnsi" w:hAnsi="Palatino Linotype" w:cs="Arial"/>
          <w:bCs/>
          <w:color w:val="000000" w:themeColor="text1"/>
          <w:szCs w:val="22"/>
          <w:lang w:val="es-MX" w:eastAsia="en-US"/>
        </w:rPr>
        <w:t xml:space="preserve">, </w:t>
      </w:r>
      <w:r w:rsidRPr="008A78A9">
        <w:rPr>
          <w:rFonts w:ascii="Palatino Linotype" w:eastAsiaTheme="minorHAnsi" w:hAnsi="Palatino Linotype" w:cs="Arial"/>
          <w:bCs/>
          <w:color w:val="000000" w:themeColor="text1"/>
          <w:lang w:val="es-MX" w:eastAsia="en-US"/>
        </w:rPr>
        <w:t xml:space="preserve">disposición que </w:t>
      </w:r>
      <w:r w:rsidRPr="008A78A9">
        <w:rPr>
          <w:rFonts w:ascii="Palatino Linotype" w:hAnsi="Palatino Linotype"/>
        </w:rPr>
        <w:t xml:space="preserve">tiene por objeto regular los actos relativos a la planeación, programación, presupuestación, ejecución y control de la adquisición, enajenación y arrendamiento de bienes, y </w:t>
      </w:r>
      <w:r w:rsidRPr="008A78A9">
        <w:rPr>
          <w:rFonts w:ascii="Palatino Linotype" w:hAnsi="Palatino Linotype"/>
          <w:b/>
          <w:u w:val="single"/>
        </w:rPr>
        <w:t>la contratación de servicios</w:t>
      </w:r>
      <w:r w:rsidRPr="008A78A9">
        <w:rPr>
          <w:rFonts w:ascii="Palatino Linotype" w:hAnsi="Palatino Linotype"/>
        </w:rPr>
        <w:t xml:space="preserve"> de cualquier </w:t>
      </w:r>
      <w:r w:rsidRPr="008A78A9">
        <w:rPr>
          <w:rFonts w:ascii="Palatino Linotype" w:hAnsi="Palatino Linotype"/>
        </w:rPr>
        <w:lastRenderedPageBreak/>
        <w:t xml:space="preserve">naturaleza, que realicen entre otras dependencias </w:t>
      </w:r>
      <w:r w:rsidRPr="008A78A9">
        <w:rPr>
          <w:rFonts w:ascii="Palatino Linotype" w:eastAsiaTheme="minorHAnsi" w:hAnsi="Palatino Linotype" w:cs="Arial"/>
          <w:bCs/>
          <w:color w:val="000000" w:themeColor="text1"/>
          <w:lang w:val="es-MX" w:eastAsia="en-US"/>
        </w:rPr>
        <w:t>los ayuntamientos de los municipios del Estado.</w:t>
      </w:r>
    </w:p>
    <w:p w:rsidR="00900F66" w:rsidRPr="008A78A9" w:rsidRDefault="00900F66" w:rsidP="00900F66">
      <w:pPr>
        <w:pStyle w:val="Prrafodelista"/>
        <w:autoSpaceDE w:val="0"/>
        <w:autoSpaceDN w:val="0"/>
        <w:adjustRightInd w:val="0"/>
        <w:spacing w:before="240" w:after="160" w:line="360" w:lineRule="auto"/>
        <w:ind w:left="0"/>
        <w:jc w:val="both"/>
        <w:rPr>
          <w:rFonts w:ascii="Palatino Linotype" w:eastAsiaTheme="minorHAnsi" w:hAnsi="Palatino Linotype" w:cs="Arial"/>
          <w:bCs/>
          <w:color w:val="000000" w:themeColor="text1"/>
          <w:lang w:val="es-MX" w:eastAsia="en-US"/>
        </w:rPr>
      </w:pPr>
    </w:p>
    <w:p w:rsidR="00900F66" w:rsidRPr="008A78A9" w:rsidRDefault="00900F66" w:rsidP="00900F66">
      <w:pPr>
        <w:pStyle w:val="Prrafodelista"/>
        <w:tabs>
          <w:tab w:val="left" w:pos="567"/>
        </w:tabs>
        <w:spacing w:before="240" w:after="360" w:line="360" w:lineRule="auto"/>
        <w:ind w:left="0"/>
        <w:contextualSpacing/>
        <w:jc w:val="both"/>
        <w:rPr>
          <w:rFonts w:ascii="Palatino Linotype" w:hAnsi="Palatino Linotype"/>
        </w:rPr>
      </w:pPr>
      <w:r w:rsidRPr="008A78A9">
        <w:rPr>
          <w:rFonts w:ascii="Palatino Linotype" w:eastAsiaTheme="minorHAnsi" w:hAnsi="Palatino Linotype" w:cs="Arial"/>
          <w:bCs/>
          <w:color w:val="000000" w:themeColor="text1"/>
          <w:szCs w:val="22"/>
          <w:lang w:val="es-MX" w:eastAsia="en-US"/>
        </w:rPr>
        <w:t xml:space="preserve">Del precepto legal señalado en el párrafo anterior podemos advertir que conforme a los artículos 26 y 27, que </w:t>
      </w:r>
      <w:r w:rsidRPr="008A78A9">
        <w:rPr>
          <w:rFonts w:ascii="Palatino Linotype" w:hAnsi="Palatino Linotype"/>
        </w:rPr>
        <w:t>las adquisiciones, arrendamientos y servicios se adjudicarán a través de licitaciones públicas, mediante convocatoria pública y así mismo que los ayuntamientos podrán adjudicar adquisiciones, arrendamientos y servicios, mediante las excepciones al procedimiento de licitación como son: Invitación restringida y Adjudicación directa.</w:t>
      </w:r>
    </w:p>
    <w:p w:rsidR="00900F66" w:rsidRPr="008A78A9" w:rsidRDefault="00900F66" w:rsidP="00900F66">
      <w:pPr>
        <w:pStyle w:val="Prrafodelista"/>
        <w:tabs>
          <w:tab w:val="left" w:pos="567"/>
        </w:tabs>
        <w:spacing w:before="240" w:line="360" w:lineRule="auto"/>
        <w:ind w:left="0"/>
        <w:jc w:val="both"/>
        <w:rPr>
          <w:rFonts w:ascii="Palatino Linotype" w:hAnsi="Palatino Linotype"/>
        </w:rPr>
      </w:pPr>
    </w:p>
    <w:p w:rsidR="00900F66" w:rsidRPr="008A78A9" w:rsidRDefault="00900F66" w:rsidP="00900F66">
      <w:pPr>
        <w:pStyle w:val="Prrafodelista"/>
        <w:tabs>
          <w:tab w:val="left" w:pos="567"/>
        </w:tabs>
        <w:spacing w:before="240" w:after="360" w:line="360" w:lineRule="auto"/>
        <w:ind w:left="0"/>
        <w:contextualSpacing/>
        <w:jc w:val="both"/>
        <w:rPr>
          <w:rFonts w:ascii="Palatino Linotype" w:hAnsi="Palatino Linotype"/>
        </w:rPr>
      </w:pPr>
      <w:r w:rsidRPr="008A78A9">
        <w:rPr>
          <w:rFonts w:ascii="Palatino Linotype" w:hAnsi="Palatino Linotype"/>
        </w:rPr>
        <w:t xml:space="preserve">En ese sentido la </w:t>
      </w:r>
      <w:r w:rsidRPr="008A78A9">
        <w:rPr>
          <w:rFonts w:ascii="Palatino Linotype" w:hAnsi="Palatino Linotype"/>
          <w:b/>
        </w:rPr>
        <w:t>Ley de Transparencia y Acceso a la Información Pública del Estado de México y Municipios</w:t>
      </w:r>
      <w:r w:rsidRPr="008A78A9">
        <w:rPr>
          <w:rFonts w:ascii="Palatino Linotype" w:hAnsi="Palatino Linotype"/>
        </w:rPr>
        <w:t xml:space="preserve"> establece la información que los sujetos obligados deberán poner a disposición del público de manera permanente y actualizada de forma sencilla, precisa y entendible toda la información relativa a los procesos de adjudicación directa, invitación restringida y licitación de cualquier naturaleza, tal como se transcribe:</w:t>
      </w:r>
    </w:p>
    <w:p w:rsidR="00900F66" w:rsidRPr="008A78A9" w:rsidRDefault="00900F66" w:rsidP="00900F66">
      <w:pPr>
        <w:pStyle w:val="Prrafodelista"/>
        <w:spacing w:before="240" w:line="360" w:lineRule="auto"/>
        <w:ind w:left="0" w:right="567"/>
        <w:jc w:val="both"/>
        <w:rPr>
          <w:rFonts w:ascii="Palatino Linotype" w:hAnsi="Palatino Linotype"/>
        </w:rPr>
      </w:pP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b/>
          <w:i/>
          <w:sz w:val="22"/>
          <w:szCs w:val="22"/>
        </w:rPr>
        <w:t>Artículo 92.</w:t>
      </w:r>
      <w:r w:rsidRPr="008A78A9">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XXIX. La información sobre los procesos y resultados sobre procedimientos de </w:t>
      </w:r>
      <w:r w:rsidRPr="008A78A9">
        <w:rPr>
          <w:rFonts w:ascii="Palatino Linotype" w:hAnsi="Palatino Linotype"/>
          <w:b/>
          <w:i/>
          <w:sz w:val="22"/>
          <w:szCs w:val="22"/>
          <w:u w:val="single"/>
        </w:rPr>
        <w:t>adjudicación directa, invitación restringida y licitación de cualquier naturaleza</w:t>
      </w:r>
      <w:r w:rsidRPr="008A78A9">
        <w:rPr>
          <w:rFonts w:ascii="Palatino Linotype" w:hAnsi="Palatino Linotype"/>
          <w:i/>
          <w:sz w:val="22"/>
          <w:szCs w:val="22"/>
        </w:rPr>
        <w:t xml:space="preserve">, </w:t>
      </w:r>
      <w:r w:rsidRPr="008A78A9">
        <w:rPr>
          <w:rFonts w:ascii="Palatino Linotype" w:hAnsi="Palatino Linotype"/>
          <w:i/>
          <w:sz w:val="22"/>
          <w:szCs w:val="22"/>
        </w:rPr>
        <w:lastRenderedPageBreak/>
        <w:t xml:space="preserve">incluyendo la versión pública del expediente respectivo y de los contratos celebrados, que deberán contener, por los menos, lo siguiente: </w:t>
      </w:r>
    </w:p>
    <w:p w:rsidR="00900F66" w:rsidRPr="008A78A9" w:rsidRDefault="00900F66" w:rsidP="00900F66">
      <w:pPr>
        <w:pStyle w:val="Prrafodelista"/>
        <w:spacing w:line="360" w:lineRule="auto"/>
        <w:ind w:left="567" w:right="567"/>
        <w:jc w:val="both"/>
        <w:rPr>
          <w:rFonts w:ascii="Palatino Linotype" w:hAnsi="Palatino Linotype"/>
          <w:b/>
          <w:i/>
          <w:sz w:val="22"/>
          <w:szCs w:val="22"/>
        </w:rPr>
      </w:pPr>
      <w:r w:rsidRPr="008A78A9">
        <w:rPr>
          <w:rFonts w:ascii="Palatino Linotype" w:hAnsi="Palatino Linotype"/>
          <w:b/>
          <w:i/>
          <w:sz w:val="22"/>
          <w:szCs w:val="22"/>
        </w:rPr>
        <w:t xml:space="preserve">a) De licitaciones públicas o procedimientos de invitación restringida: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 La convocatoria o invitación emitida, así como los fundamentos legales aplicados para llevarla a cabo;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2) Los nombres de los participantes o invitados;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3) El nombre del ganador y las razones que lo justifican;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4) El área solicitante y la responsable de su ejecución;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5) Las convocatorias e invitaciones emitidas;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6) Los dictámenes y fallo de adjudicación;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7) El contrato y, en su caso, sus anexos;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8) Los mecanismos de vigilancia y supervisión, incluyendo en su caso, los estudios de impacto urbano y ambiental, según corresponda;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9) La partida presupuestal, de conformidad con el clasificador por objeto del gasto, en el caso de ser aplicable;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10) Origen de los recursos especificando si son federales, estatales o municipales, así como el tipo de fondo de participación o aportación respectiva;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11) Los convenios modificatorios que, en su caso, sean firmados, precisando el objeto y la fecha de celebración;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12) Los informes de avance físico y financiero sobre las obras o servicios contratados;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13) El convenio de terminación; y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14) El finiquito. </w:t>
      </w:r>
    </w:p>
    <w:p w:rsidR="00900F66" w:rsidRPr="008A78A9" w:rsidRDefault="00900F66" w:rsidP="00900F66">
      <w:pPr>
        <w:pStyle w:val="Prrafodelista"/>
        <w:spacing w:line="360" w:lineRule="auto"/>
        <w:ind w:left="567" w:right="567"/>
        <w:jc w:val="both"/>
        <w:rPr>
          <w:rFonts w:ascii="Palatino Linotype" w:hAnsi="Palatino Linotype"/>
          <w:b/>
          <w:i/>
          <w:sz w:val="22"/>
          <w:szCs w:val="22"/>
        </w:rPr>
      </w:pPr>
      <w:r w:rsidRPr="008A78A9">
        <w:rPr>
          <w:rFonts w:ascii="Palatino Linotype" w:hAnsi="Palatino Linotype"/>
          <w:b/>
          <w:i/>
          <w:sz w:val="22"/>
          <w:szCs w:val="22"/>
        </w:rPr>
        <w:t xml:space="preserve">b) De las adjudicaciones directas: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 La propuesta enviada por el participante;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2) Los motivos y fundamentos legales aplicados para llevarla a cabo;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3) La autorización del ejercicio de la opción;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lastRenderedPageBreak/>
        <w:t xml:space="preserve">4) En su caso, las cotizaciones consideradas, especificando los nombres de los proveedores y sus montos;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5) El nombre de la persona física o jurídica colectiva adjudicada;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6) La unidad administrativa solicitante y la responsable de su ejecución;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7) El número, fecha, el monto del contrato y el plazo de entrega o de ejecución de los servicios u obra;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8) Los mecanismos de vigilancia y supervisión, incluyendo, en su caso, los estudios de impacto urbano y ambiental, según corresponda;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9) Los informes de avance sobre las obras o servicios contratados; </w:t>
      </w:r>
    </w:p>
    <w:p w:rsidR="00900F66" w:rsidRPr="008A78A9"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 xml:space="preserve">10) El convenio de terminación; y </w:t>
      </w:r>
    </w:p>
    <w:p w:rsidR="00900F66" w:rsidRDefault="00900F66" w:rsidP="00900F66">
      <w:pPr>
        <w:pStyle w:val="Prrafodelista"/>
        <w:spacing w:line="360" w:lineRule="auto"/>
        <w:ind w:left="567" w:right="567"/>
        <w:jc w:val="both"/>
        <w:rPr>
          <w:rFonts w:ascii="Palatino Linotype" w:hAnsi="Palatino Linotype"/>
          <w:i/>
          <w:sz w:val="22"/>
          <w:szCs w:val="22"/>
        </w:rPr>
      </w:pPr>
      <w:r w:rsidRPr="008A78A9">
        <w:rPr>
          <w:rFonts w:ascii="Palatino Linotype" w:hAnsi="Palatino Linotype"/>
          <w:i/>
          <w:sz w:val="22"/>
          <w:szCs w:val="22"/>
        </w:rPr>
        <w:t>11) El finiquito.</w:t>
      </w:r>
    </w:p>
    <w:p w:rsidR="00900F66" w:rsidRPr="00515937" w:rsidRDefault="00900F66" w:rsidP="00900F66">
      <w:pPr>
        <w:pStyle w:val="Prrafodelista"/>
        <w:spacing w:line="360" w:lineRule="auto"/>
        <w:ind w:left="567" w:right="567"/>
        <w:jc w:val="both"/>
        <w:rPr>
          <w:rFonts w:ascii="Palatino Linotype" w:hAnsi="Palatino Linotype"/>
          <w:sz w:val="22"/>
          <w:szCs w:val="22"/>
        </w:rPr>
      </w:pPr>
    </w:p>
    <w:p w:rsidR="00900F66" w:rsidRPr="008A78A9" w:rsidRDefault="00900F66" w:rsidP="00900F66">
      <w:pPr>
        <w:pStyle w:val="Prrafodelista"/>
        <w:spacing w:before="240" w:after="360" w:line="360" w:lineRule="auto"/>
        <w:ind w:left="0"/>
        <w:contextualSpacing/>
        <w:jc w:val="both"/>
        <w:rPr>
          <w:rFonts w:ascii="Palatino Linotype" w:hAnsi="Palatino Linotype" w:cs="Arial"/>
          <w:lang w:val="es-MX"/>
        </w:rPr>
      </w:pPr>
      <w:r w:rsidRPr="008A78A9">
        <w:rPr>
          <w:rFonts w:ascii="Palatino Linotype" w:hAnsi="Palatino Linotype"/>
          <w:color w:val="000000" w:themeColor="text1"/>
        </w:rPr>
        <w:t>En esa virtud, el</w:t>
      </w:r>
      <w:r w:rsidRPr="008A78A9">
        <w:rPr>
          <w:rStyle w:val="apple-converted-space"/>
          <w:rFonts w:ascii="Palatino Linotype" w:hAnsi="Palatino Linotype"/>
          <w:color w:val="000000" w:themeColor="text1"/>
        </w:rPr>
        <w:t xml:space="preserve"> </w:t>
      </w:r>
      <w:r w:rsidRPr="008A78A9">
        <w:rPr>
          <w:rFonts w:ascii="Palatino Linotype" w:hAnsi="Palatino Linotype"/>
          <w:b/>
          <w:bCs/>
          <w:color w:val="000000" w:themeColor="text1"/>
        </w:rPr>
        <w:t>SUJETO OBLIGADO</w:t>
      </w:r>
      <w:r w:rsidRPr="008A78A9">
        <w:rPr>
          <w:rStyle w:val="apple-converted-space"/>
          <w:rFonts w:ascii="Palatino Linotype" w:hAnsi="Palatino Linotype"/>
          <w:color w:val="000000" w:themeColor="text1"/>
        </w:rPr>
        <w:t xml:space="preserve"> </w:t>
      </w:r>
      <w:r w:rsidRPr="008A78A9">
        <w:rPr>
          <w:rFonts w:ascii="Palatino Linotype" w:hAnsi="Palatino Linotype"/>
          <w:color w:val="000000" w:themeColor="text1"/>
        </w:rPr>
        <w:t>está constreñido a entregar los documentos en los que conste la información que sea generada, poseída o administrada en el ejercicio de sus atribuciones en el formato existente.</w:t>
      </w:r>
    </w:p>
    <w:p w:rsidR="00D10A8B" w:rsidRDefault="00D10A8B" w:rsidP="00AB426B">
      <w:pPr>
        <w:pStyle w:val="Prrafodelista"/>
        <w:spacing w:before="240" w:after="360" w:line="360" w:lineRule="auto"/>
        <w:ind w:left="0"/>
        <w:contextualSpacing/>
        <w:jc w:val="both"/>
        <w:rPr>
          <w:rFonts w:ascii="Palatino Linotype" w:hAnsi="Palatino Linotype"/>
          <w:color w:val="000000"/>
        </w:rPr>
      </w:pPr>
    </w:p>
    <w:p w:rsidR="00AB426B" w:rsidRPr="00DE3599" w:rsidRDefault="00D10A8B" w:rsidP="00AB426B">
      <w:pPr>
        <w:pStyle w:val="Prrafodelista"/>
        <w:spacing w:before="240" w:after="360" w:line="360" w:lineRule="auto"/>
        <w:ind w:left="0"/>
        <w:contextualSpacing/>
        <w:jc w:val="both"/>
        <w:rPr>
          <w:rFonts w:ascii="Palatino Linotype" w:hAnsi="Palatino Linotype"/>
          <w:color w:val="000000"/>
        </w:rPr>
      </w:pPr>
      <w:r>
        <w:rPr>
          <w:rFonts w:ascii="Palatino Linotype" w:hAnsi="Palatino Linotype"/>
          <w:color w:val="000000"/>
        </w:rPr>
        <w:t>E</w:t>
      </w:r>
      <w:r w:rsidR="00AB426B">
        <w:rPr>
          <w:rFonts w:ascii="Palatino Linotype" w:hAnsi="Palatino Linotype"/>
          <w:color w:val="000000"/>
        </w:rPr>
        <w:t xml:space="preserve">s preciso referir que </w:t>
      </w:r>
      <w:r w:rsidR="00AB426B" w:rsidRPr="00175285">
        <w:rPr>
          <w:rFonts w:ascii="Palatino Linotype" w:hAnsi="Palatino Linotype" w:cs="Arial"/>
          <w:color w:val="222222"/>
          <w:lang w:eastAsia="es-MX"/>
        </w:rPr>
        <w:t>dentro de las áreas que pudieran poseer, generar o administrar la información respecto a</w:t>
      </w:r>
      <w:r w:rsidR="00AB426B">
        <w:rPr>
          <w:rFonts w:ascii="Palatino Linotype" w:hAnsi="Palatino Linotype" w:cs="Arial"/>
          <w:color w:val="222222"/>
          <w:lang w:eastAsia="es-MX"/>
        </w:rPr>
        <w:t xml:space="preserve"> </w:t>
      </w:r>
      <w:r w:rsidR="00AB426B" w:rsidRPr="00175285">
        <w:rPr>
          <w:rFonts w:ascii="Palatino Linotype" w:hAnsi="Palatino Linotype" w:cs="Arial"/>
          <w:color w:val="222222"/>
          <w:lang w:eastAsia="es-MX"/>
        </w:rPr>
        <w:t>l</w:t>
      </w:r>
      <w:r w:rsidR="00AB426B">
        <w:rPr>
          <w:rFonts w:ascii="Palatino Linotype" w:hAnsi="Palatino Linotype" w:cs="Arial"/>
          <w:color w:val="222222"/>
          <w:lang w:eastAsia="es-MX"/>
        </w:rPr>
        <w:t>os</w:t>
      </w:r>
      <w:r w:rsidR="00AB426B" w:rsidRPr="00175285">
        <w:rPr>
          <w:rFonts w:ascii="Palatino Linotype" w:hAnsi="Palatino Linotype" w:cs="Arial"/>
          <w:color w:val="222222"/>
          <w:lang w:eastAsia="es-MX"/>
        </w:rPr>
        <w:t xml:space="preserve"> evento</w:t>
      </w:r>
      <w:r w:rsidR="00AB426B">
        <w:rPr>
          <w:rFonts w:ascii="Palatino Linotype" w:hAnsi="Palatino Linotype" w:cs="Arial"/>
          <w:color w:val="222222"/>
          <w:lang w:eastAsia="es-MX"/>
        </w:rPr>
        <w:t>s</w:t>
      </w:r>
      <w:r w:rsidR="00AB426B" w:rsidRPr="00175285">
        <w:rPr>
          <w:rFonts w:ascii="Palatino Linotype" w:hAnsi="Palatino Linotype" w:cs="Arial"/>
          <w:color w:val="222222"/>
          <w:lang w:eastAsia="es-MX"/>
        </w:rPr>
        <w:t xml:space="preserve"> realizado</w:t>
      </w:r>
      <w:r w:rsidR="00AB426B">
        <w:rPr>
          <w:rFonts w:ascii="Palatino Linotype" w:hAnsi="Palatino Linotype" w:cs="Arial"/>
          <w:color w:val="222222"/>
          <w:lang w:eastAsia="es-MX"/>
        </w:rPr>
        <w:t>s</w:t>
      </w:r>
      <w:r w:rsidR="00AB426B" w:rsidRPr="00175285">
        <w:rPr>
          <w:rFonts w:ascii="Palatino Linotype" w:hAnsi="Palatino Linotype" w:cs="Arial"/>
          <w:color w:val="222222"/>
          <w:lang w:eastAsia="es-MX"/>
        </w:rPr>
        <w:t xml:space="preserve"> </w:t>
      </w:r>
      <w:r w:rsidR="00AB426B" w:rsidRPr="00175285">
        <w:rPr>
          <w:rFonts w:ascii="Palatino Linotype" w:hAnsi="Palatino Linotype"/>
          <w:color w:val="000000"/>
        </w:rPr>
        <w:t xml:space="preserve">de manera enunciativa más no limitativa es la Tesorería Municipal, toda vez que de </w:t>
      </w:r>
      <w:r w:rsidR="00AB426B" w:rsidRPr="00175285">
        <w:rPr>
          <w:rFonts w:ascii="Palatino Linotype" w:hAnsi="Palatino Linotype" w:cs="Arial"/>
        </w:rPr>
        <w:t xml:space="preserve">conformidad con los artículos 125 y 129 de la </w:t>
      </w:r>
      <w:r w:rsidR="00AB426B" w:rsidRPr="00175285">
        <w:rPr>
          <w:rFonts w:ascii="Palatino Linotype" w:hAnsi="Palatino Linotype" w:cs="Arial"/>
          <w:b/>
        </w:rPr>
        <w:t>Constitución Política del Estado Libre y Soberano de México</w:t>
      </w:r>
      <w:r w:rsidR="00AB426B" w:rsidRPr="00175285">
        <w:rPr>
          <w:rFonts w:ascii="Palatino Linotype" w:hAnsi="Palatino Linotype" w:cs="Arial"/>
        </w:rPr>
        <w:t xml:space="preserve">, los municipios administrarán libremente su hacienda, aunado a que todos los pagos se harán mediante orden escrita en la que se expresará la partida del presupuesto a cargo de la cual se realicen; artículos que para mayor referencia se citan a continuación:  </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i/>
        </w:rPr>
      </w:pPr>
      <w:r w:rsidRPr="00881F46">
        <w:rPr>
          <w:rFonts w:ascii="Palatino Linotype" w:hAnsi="Palatino Linotype" w:cs="Arial"/>
          <w:b/>
          <w:i/>
        </w:rPr>
        <w:lastRenderedPageBreak/>
        <w:t>Artículo 125.</w:t>
      </w:r>
      <w:r w:rsidRPr="00881F46">
        <w:rPr>
          <w:rFonts w:ascii="Palatino Linotype" w:hAnsi="Palatino Linotype" w:cs="Arial"/>
          <w:i/>
        </w:rPr>
        <w:t>- Los municipios administrarán libremente su hacienda, la cual se formará de los rendimientos de los bienes que les pertenezcan, así como de las contribuciones y otros ingresos que la ley establezca, y en todo caso:</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i/>
        </w:rPr>
      </w:pPr>
      <w:r w:rsidRPr="00881F46">
        <w:rPr>
          <w:rFonts w:ascii="Palatino Linotype" w:hAnsi="Palatino Linotype" w:cs="Arial"/>
          <w:i/>
        </w:rPr>
        <w:t>…</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i/>
        </w:rPr>
      </w:pPr>
      <w:r w:rsidRPr="00881F46">
        <w:rPr>
          <w:rFonts w:ascii="Palatino Linotype" w:hAnsi="Palatino Linotype" w:cs="Arial"/>
          <w:i/>
        </w:rPr>
        <w:t>Los recursos que integran la hacienda municipal serán ejercidos en forma directa por los ayuntamientos, o por quien ellos autoricen, conforme a la ley.</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i/>
        </w:rPr>
      </w:pPr>
      <w:r w:rsidRPr="00881F46">
        <w:rPr>
          <w:rFonts w:ascii="Palatino Linotype" w:hAnsi="Palatino Linotype" w:cs="Arial"/>
          <w:i/>
        </w:rPr>
        <w:t>…</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i/>
        </w:rPr>
      </w:pPr>
      <w:r w:rsidRPr="00881F46">
        <w:rPr>
          <w:rFonts w:ascii="Palatino Linotype" w:hAnsi="Palatino Linotype" w:cs="Arial"/>
          <w:b/>
          <w:i/>
        </w:rPr>
        <w:t>Artículo 129.</w:t>
      </w:r>
      <w:r w:rsidRPr="00881F46">
        <w:rPr>
          <w:rFonts w:ascii="Palatino Linotype" w:hAnsi="Palatino Linotype" w:cs="Arial"/>
          <w:i/>
        </w:rPr>
        <w:t>- Los recursos económicos del Estado, de los municipios, así como de los organismos autónomos, se administrarán con eficiencia, eficacia y honradez, para cumplir con los objetivos y programas a los que estén destinados.</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i/>
        </w:rPr>
      </w:pPr>
      <w:r w:rsidRPr="00881F46">
        <w:rPr>
          <w:rFonts w:ascii="Palatino Linotype" w:hAnsi="Palatino Linotype" w:cs="Arial"/>
          <w:i/>
        </w:rPr>
        <w:t>…</w:t>
      </w:r>
    </w:p>
    <w:p w:rsidR="00AB426B" w:rsidRDefault="00AB426B" w:rsidP="00AB426B">
      <w:pPr>
        <w:autoSpaceDE w:val="0"/>
        <w:autoSpaceDN w:val="0"/>
        <w:adjustRightInd w:val="0"/>
        <w:spacing w:before="120" w:after="120" w:line="276" w:lineRule="auto"/>
        <w:ind w:left="567" w:right="567"/>
        <w:jc w:val="both"/>
        <w:rPr>
          <w:rFonts w:ascii="Palatino Linotype" w:hAnsi="Palatino Linotype" w:cs="Arial"/>
          <w:i/>
        </w:rPr>
      </w:pPr>
      <w:r w:rsidRPr="00881F46">
        <w:rPr>
          <w:rFonts w:ascii="Palatino Linotype" w:hAnsi="Palatino Linotype" w:cs="Arial"/>
          <w:i/>
        </w:rPr>
        <w:t>Todos los pagos se harán mediante orden escrita en la que se expresará la partida del presupuesto a cargo de la cual se realicen</w:t>
      </w:r>
      <w:r>
        <w:rPr>
          <w:rFonts w:ascii="Palatino Linotype" w:hAnsi="Palatino Linotype" w:cs="Arial"/>
          <w:i/>
        </w:rPr>
        <w:t>.</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rPr>
      </w:pPr>
    </w:p>
    <w:p w:rsidR="00AB426B" w:rsidRPr="00881F46" w:rsidRDefault="00AB426B" w:rsidP="00AB426B">
      <w:pPr>
        <w:pStyle w:val="Prrafodelista"/>
        <w:autoSpaceDE w:val="0"/>
        <w:autoSpaceDN w:val="0"/>
        <w:adjustRightInd w:val="0"/>
        <w:spacing w:before="240" w:after="240" w:line="360" w:lineRule="auto"/>
        <w:ind w:left="0"/>
        <w:contextualSpacing/>
        <w:jc w:val="both"/>
        <w:rPr>
          <w:rFonts w:ascii="Palatino Linotype" w:hAnsi="Palatino Linotype" w:cs="Arial"/>
        </w:rPr>
      </w:pPr>
      <w:r w:rsidRPr="00881F46">
        <w:rPr>
          <w:rFonts w:ascii="Palatino Linotype" w:hAnsi="Palatino Linotype" w:cs="Arial"/>
        </w:rPr>
        <w:t xml:space="preserve">En esa misma tesitura, la </w:t>
      </w:r>
      <w:r w:rsidRPr="00881F46">
        <w:rPr>
          <w:rFonts w:ascii="Palatino Linotype" w:hAnsi="Palatino Linotype" w:cs="Arial"/>
          <w:b/>
        </w:rPr>
        <w:t>Ley Orgánica Municipal del Estado de México</w:t>
      </w:r>
      <w:r w:rsidRPr="00881F46">
        <w:rPr>
          <w:rFonts w:ascii="Palatino Linotype" w:hAnsi="Palatino Linotype" w:cs="Arial"/>
        </w:rPr>
        <w:t>, señala en sus diversos artículos lo siguiente:</w:t>
      </w:r>
    </w:p>
    <w:p w:rsidR="00AB426B" w:rsidRPr="00881F46" w:rsidRDefault="00AB426B" w:rsidP="00AB426B">
      <w:pPr>
        <w:tabs>
          <w:tab w:val="left" w:pos="8505"/>
        </w:tabs>
        <w:autoSpaceDE w:val="0"/>
        <w:autoSpaceDN w:val="0"/>
        <w:adjustRightInd w:val="0"/>
        <w:spacing w:before="120" w:after="120" w:line="360" w:lineRule="auto"/>
        <w:ind w:left="567" w:right="567"/>
        <w:jc w:val="both"/>
        <w:rPr>
          <w:rFonts w:ascii="Palatino Linotype" w:hAnsi="Palatino Linotype" w:cs="Arial"/>
          <w:i/>
        </w:rPr>
      </w:pPr>
      <w:r w:rsidRPr="00881F46">
        <w:rPr>
          <w:rFonts w:ascii="Palatino Linotype" w:hAnsi="Palatino Linotype" w:cs="Arial"/>
          <w:b/>
          <w:i/>
        </w:rPr>
        <w:t>Artículo 31</w:t>
      </w:r>
      <w:r w:rsidRPr="00881F46">
        <w:rPr>
          <w:rFonts w:ascii="Palatino Linotype" w:hAnsi="Palatino Linotype" w:cs="Arial"/>
          <w:i/>
        </w:rPr>
        <w:t>.- Son atribuciones de los ayuntamientos:</w:t>
      </w:r>
      <w:r w:rsidRPr="00881F46">
        <w:rPr>
          <w:rFonts w:ascii="Palatino Linotype" w:hAnsi="Palatino Linotype" w:cs="Arial"/>
          <w:i/>
        </w:rPr>
        <w:cr/>
        <w:t>…</w:t>
      </w:r>
    </w:p>
    <w:p w:rsidR="00AB426B" w:rsidRPr="00881F46" w:rsidRDefault="00AB426B" w:rsidP="00AB426B">
      <w:pPr>
        <w:tabs>
          <w:tab w:val="left" w:pos="8505"/>
        </w:tabs>
        <w:autoSpaceDE w:val="0"/>
        <w:autoSpaceDN w:val="0"/>
        <w:adjustRightInd w:val="0"/>
        <w:spacing w:before="120" w:after="120" w:line="360" w:lineRule="auto"/>
        <w:ind w:left="567" w:right="567"/>
        <w:jc w:val="both"/>
        <w:rPr>
          <w:rFonts w:ascii="Palatino Linotype" w:hAnsi="Palatino Linotype" w:cs="Arial"/>
          <w:i/>
        </w:rPr>
      </w:pPr>
      <w:r w:rsidRPr="00881F46">
        <w:rPr>
          <w:rFonts w:ascii="Palatino Linotype" w:hAnsi="Palatino Linotype" w:cs="Arial"/>
          <w:i/>
        </w:rPr>
        <w:t>XVIII. Administrar su hacienda en términos de ley, y controlar a través del presidente y síndico la aplicación del presupuesto de egresos del municipio;</w:t>
      </w:r>
    </w:p>
    <w:p w:rsidR="00AB426B" w:rsidRPr="00881F46" w:rsidRDefault="00AB426B" w:rsidP="00AB426B">
      <w:pPr>
        <w:tabs>
          <w:tab w:val="left" w:pos="8505"/>
        </w:tabs>
        <w:autoSpaceDE w:val="0"/>
        <w:autoSpaceDN w:val="0"/>
        <w:adjustRightInd w:val="0"/>
        <w:spacing w:before="120" w:after="120" w:line="360" w:lineRule="auto"/>
        <w:ind w:left="567" w:right="567"/>
        <w:jc w:val="both"/>
        <w:rPr>
          <w:rFonts w:ascii="Palatino Linotype" w:hAnsi="Palatino Linotype" w:cs="Arial"/>
          <w:i/>
        </w:rPr>
      </w:pPr>
      <w:r w:rsidRPr="00881F46">
        <w:rPr>
          <w:rFonts w:ascii="Palatino Linotype" w:hAnsi="Palatino Linotype" w:cs="Arial"/>
          <w:i/>
        </w:rPr>
        <w:t>…</w:t>
      </w:r>
    </w:p>
    <w:p w:rsidR="00AB426B" w:rsidRPr="00881F46" w:rsidRDefault="00AB426B" w:rsidP="00AB426B">
      <w:pPr>
        <w:tabs>
          <w:tab w:val="left" w:pos="8505"/>
        </w:tabs>
        <w:autoSpaceDE w:val="0"/>
        <w:autoSpaceDN w:val="0"/>
        <w:adjustRightInd w:val="0"/>
        <w:spacing w:before="120" w:after="120" w:line="360" w:lineRule="auto"/>
        <w:ind w:left="567" w:right="567"/>
        <w:jc w:val="both"/>
        <w:rPr>
          <w:rFonts w:ascii="Palatino Linotype" w:hAnsi="Palatino Linotype" w:cs="Arial"/>
          <w:i/>
        </w:rPr>
      </w:pPr>
      <w:r w:rsidRPr="00881F46">
        <w:rPr>
          <w:rFonts w:ascii="Palatino Linotype" w:hAnsi="Palatino Linotype" w:cs="Arial"/>
          <w:b/>
          <w:i/>
        </w:rPr>
        <w:t>Artículo 95.- Son atribuciones del tesorero municipal</w:t>
      </w:r>
      <w:r w:rsidRPr="00881F46">
        <w:rPr>
          <w:rFonts w:ascii="Palatino Linotype" w:hAnsi="Palatino Linotype" w:cs="Arial"/>
          <w:i/>
        </w:rPr>
        <w:t>:</w:t>
      </w:r>
    </w:p>
    <w:p w:rsidR="00AB426B" w:rsidRPr="00881F46" w:rsidRDefault="00AB426B" w:rsidP="00AB426B">
      <w:pPr>
        <w:tabs>
          <w:tab w:val="left" w:pos="8505"/>
        </w:tabs>
        <w:autoSpaceDE w:val="0"/>
        <w:autoSpaceDN w:val="0"/>
        <w:adjustRightInd w:val="0"/>
        <w:spacing w:before="120" w:after="120" w:line="360" w:lineRule="auto"/>
        <w:ind w:left="567" w:right="567"/>
        <w:jc w:val="both"/>
        <w:rPr>
          <w:rFonts w:ascii="Palatino Linotype" w:hAnsi="Palatino Linotype" w:cs="Arial"/>
          <w:i/>
        </w:rPr>
      </w:pPr>
      <w:r w:rsidRPr="00881F46">
        <w:rPr>
          <w:rFonts w:ascii="Palatino Linotype" w:hAnsi="Palatino Linotype" w:cs="Arial"/>
          <w:i/>
        </w:rPr>
        <w:t>I. Administrar la hacienda pública municipal, de conformidad con las disposiciones legales aplicables;</w:t>
      </w:r>
    </w:p>
    <w:p w:rsidR="00AB426B" w:rsidRPr="00881F46" w:rsidRDefault="00AB426B" w:rsidP="00AB426B">
      <w:pPr>
        <w:tabs>
          <w:tab w:val="left" w:pos="8505"/>
        </w:tabs>
        <w:autoSpaceDE w:val="0"/>
        <w:autoSpaceDN w:val="0"/>
        <w:adjustRightInd w:val="0"/>
        <w:spacing w:before="120" w:after="120" w:line="360" w:lineRule="auto"/>
        <w:ind w:left="567" w:right="567"/>
        <w:jc w:val="both"/>
        <w:rPr>
          <w:rFonts w:ascii="Palatino Linotype" w:hAnsi="Palatino Linotype" w:cs="Arial"/>
          <w:i/>
        </w:rPr>
      </w:pPr>
      <w:r w:rsidRPr="00881F46">
        <w:rPr>
          <w:rFonts w:ascii="Palatino Linotype" w:hAnsi="Palatino Linotype" w:cs="Arial"/>
          <w:i/>
        </w:rPr>
        <w:t>…</w:t>
      </w:r>
    </w:p>
    <w:p w:rsidR="00AB426B" w:rsidRDefault="00AB426B" w:rsidP="00AB426B">
      <w:pPr>
        <w:tabs>
          <w:tab w:val="left" w:pos="8505"/>
        </w:tabs>
        <w:autoSpaceDE w:val="0"/>
        <w:autoSpaceDN w:val="0"/>
        <w:adjustRightInd w:val="0"/>
        <w:spacing w:before="120" w:after="120" w:line="360" w:lineRule="auto"/>
        <w:ind w:left="567" w:right="567"/>
        <w:jc w:val="both"/>
        <w:rPr>
          <w:rFonts w:ascii="Palatino Linotype" w:hAnsi="Palatino Linotype" w:cs="Arial"/>
          <w:i/>
        </w:rPr>
      </w:pPr>
      <w:r w:rsidRPr="00881F46">
        <w:rPr>
          <w:rFonts w:ascii="Palatino Linotype" w:hAnsi="Palatino Linotype" w:cs="Arial"/>
          <w:b/>
          <w:i/>
        </w:rPr>
        <w:lastRenderedPageBreak/>
        <w:t>IV. Llevar los registros contables, financieros y administrativos de los ingresos, egresos, e inventarios</w:t>
      </w:r>
      <w:r w:rsidRPr="00881F46">
        <w:rPr>
          <w:rFonts w:ascii="Palatino Linotype" w:hAnsi="Palatino Linotype" w:cs="Arial"/>
          <w:i/>
        </w:rPr>
        <w:t>;</w:t>
      </w:r>
    </w:p>
    <w:p w:rsidR="00AB426B" w:rsidRPr="00881F46" w:rsidRDefault="00AB426B" w:rsidP="00AB426B">
      <w:pPr>
        <w:autoSpaceDE w:val="0"/>
        <w:autoSpaceDN w:val="0"/>
        <w:adjustRightInd w:val="0"/>
        <w:spacing w:before="120" w:after="120" w:line="276" w:lineRule="auto"/>
        <w:ind w:left="567" w:right="567"/>
        <w:jc w:val="both"/>
        <w:rPr>
          <w:rFonts w:ascii="Palatino Linotype" w:hAnsi="Palatino Linotype" w:cs="Arial"/>
        </w:rPr>
      </w:pPr>
    </w:p>
    <w:p w:rsidR="00AB426B" w:rsidRPr="005479BB" w:rsidRDefault="00AB426B" w:rsidP="00AB426B">
      <w:pPr>
        <w:pStyle w:val="Prrafodelista"/>
        <w:autoSpaceDE w:val="0"/>
        <w:autoSpaceDN w:val="0"/>
        <w:adjustRightInd w:val="0"/>
        <w:spacing w:before="240" w:after="240" w:line="360" w:lineRule="auto"/>
        <w:ind w:left="0"/>
        <w:contextualSpacing/>
        <w:jc w:val="both"/>
        <w:rPr>
          <w:rFonts w:ascii="Palatino Linotype" w:hAnsi="Palatino Linotype" w:cs="Arial"/>
        </w:rPr>
      </w:pPr>
      <w:r w:rsidRPr="005479BB">
        <w:rPr>
          <w:rFonts w:ascii="Palatino Linotype" w:hAnsi="Palatino Linotype" w:cs="Arial"/>
        </w:rPr>
        <w:t>De la interpretación a los preceptos señalados, cualquier ingreso o en este caso, egreso, debe estar debidamente asentado y registrado a través del servidor público designado para ello, en el marco normativo aplicable, dicha atribución corresponde al Tesorero Municipal.</w:t>
      </w:r>
    </w:p>
    <w:p w:rsidR="00AB426B" w:rsidRPr="005479BB" w:rsidRDefault="00AB426B" w:rsidP="00AB426B">
      <w:pPr>
        <w:pStyle w:val="Prrafodelista"/>
        <w:autoSpaceDE w:val="0"/>
        <w:autoSpaceDN w:val="0"/>
        <w:adjustRightInd w:val="0"/>
        <w:spacing w:before="240" w:after="240" w:line="360" w:lineRule="auto"/>
        <w:ind w:left="0"/>
        <w:jc w:val="both"/>
        <w:rPr>
          <w:rFonts w:ascii="Palatino Linotype" w:hAnsi="Palatino Linotype" w:cs="Arial"/>
        </w:rPr>
      </w:pPr>
    </w:p>
    <w:p w:rsidR="00AB426B" w:rsidRPr="005479BB" w:rsidRDefault="00AB426B" w:rsidP="00AB426B">
      <w:pPr>
        <w:pStyle w:val="Prrafodelista"/>
        <w:autoSpaceDE w:val="0"/>
        <w:autoSpaceDN w:val="0"/>
        <w:adjustRightInd w:val="0"/>
        <w:spacing w:before="240" w:after="240" w:line="360" w:lineRule="auto"/>
        <w:ind w:left="0"/>
        <w:contextualSpacing/>
        <w:jc w:val="both"/>
        <w:rPr>
          <w:rFonts w:ascii="Palatino Linotype" w:hAnsi="Palatino Linotype" w:cs="Arial"/>
        </w:rPr>
      </w:pPr>
      <w:r w:rsidRPr="005479BB">
        <w:rPr>
          <w:rFonts w:ascii="Palatino Linotype" w:hAnsi="Palatino Linotype" w:cs="Arial"/>
        </w:rPr>
        <w:t>Por lo tanto, todo registro contable, sea un ingreso o un egreso, deberá estar soportado con la documentación comprobatoria original, en este entendido, todo gasto realizado por las diferentes unidades administrativas municipales deben contar con dicho soporte.</w:t>
      </w:r>
    </w:p>
    <w:p w:rsidR="00AB426B" w:rsidRPr="005479BB" w:rsidRDefault="00AB426B" w:rsidP="00AB426B">
      <w:pPr>
        <w:pStyle w:val="Prrafodelista"/>
        <w:autoSpaceDE w:val="0"/>
        <w:autoSpaceDN w:val="0"/>
        <w:adjustRightInd w:val="0"/>
        <w:spacing w:before="240" w:line="360" w:lineRule="auto"/>
        <w:ind w:left="0"/>
        <w:jc w:val="both"/>
        <w:rPr>
          <w:rFonts w:ascii="Palatino Linotype" w:hAnsi="Palatino Linotype" w:cs="Arial"/>
        </w:rPr>
      </w:pPr>
    </w:p>
    <w:p w:rsidR="00AB426B" w:rsidRPr="005479BB" w:rsidRDefault="00AB426B" w:rsidP="00AB426B">
      <w:pPr>
        <w:pStyle w:val="Prrafodelista"/>
        <w:shd w:val="clear" w:color="auto" w:fill="FFFFFF"/>
        <w:spacing w:before="240" w:after="360" w:line="360" w:lineRule="auto"/>
        <w:ind w:left="0"/>
        <w:contextualSpacing/>
        <w:jc w:val="both"/>
        <w:rPr>
          <w:rFonts w:ascii="Palatino Linotype" w:hAnsi="Palatino Linotype" w:cs="Arial"/>
          <w:color w:val="000000" w:themeColor="text1"/>
          <w:lang w:val="es-MX" w:eastAsia="es-MX"/>
        </w:rPr>
      </w:pPr>
      <w:r w:rsidRPr="005479BB">
        <w:rPr>
          <w:rFonts w:ascii="Palatino Linotype" w:hAnsi="Palatino Linotype" w:cs="Arial"/>
          <w:color w:val="000000" w:themeColor="text1"/>
          <w:lang w:eastAsia="es-MX"/>
        </w:rPr>
        <w:t xml:space="preserve">Aunado a lo anterior, en el cumplimiento de los principios que rigen la función pública, la </w:t>
      </w:r>
      <w:r w:rsidRPr="005479BB">
        <w:rPr>
          <w:rFonts w:ascii="Palatino Linotype" w:hAnsi="Palatino Linotype" w:cs="Arial"/>
          <w:b/>
          <w:bCs/>
          <w:color w:val="000000" w:themeColor="text1"/>
          <w:lang w:eastAsia="es-MX"/>
        </w:rPr>
        <w:t>Constitución Política del Estado Libre y Soberano de México</w:t>
      </w:r>
      <w:r w:rsidRPr="005479BB">
        <w:rPr>
          <w:rFonts w:ascii="Palatino Linotype" w:hAnsi="Palatino Linotype" w:cs="Arial"/>
          <w:color w:val="000000" w:themeColor="text1"/>
          <w:lang w:eastAsia="es-MX"/>
        </w:rPr>
        <w:t xml:space="preserve"> en su artículo 129 señala que los recursos económicos del Estado, de los Municipios, así como de los Organismos Autónomos, se administrarán con eficiencia, eficacia y honradez, para cumplir con los objetivos y programas a los que estén destinados.</w:t>
      </w:r>
    </w:p>
    <w:p w:rsidR="00AB426B" w:rsidRPr="005479BB" w:rsidRDefault="00AB426B" w:rsidP="00AB426B">
      <w:pPr>
        <w:pStyle w:val="Prrafodelista"/>
        <w:shd w:val="clear" w:color="auto" w:fill="FFFFFF"/>
        <w:spacing w:before="240" w:line="360" w:lineRule="auto"/>
        <w:ind w:left="0"/>
        <w:jc w:val="both"/>
        <w:rPr>
          <w:rFonts w:ascii="Palatino Linotype" w:hAnsi="Palatino Linotype" w:cs="Arial"/>
          <w:color w:val="000000" w:themeColor="text1"/>
          <w:lang w:val="es-MX" w:eastAsia="es-MX"/>
        </w:rPr>
      </w:pPr>
    </w:p>
    <w:p w:rsidR="00AB426B" w:rsidRPr="005479BB" w:rsidRDefault="00AB426B" w:rsidP="00AB426B">
      <w:pPr>
        <w:shd w:val="clear" w:color="auto" w:fill="FFFFFF"/>
        <w:spacing w:after="0" w:line="360" w:lineRule="auto"/>
        <w:contextualSpacing/>
        <w:jc w:val="both"/>
        <w:rPr>
          <w:rFonts w:ascii="Palatino Linotype" w:hAnsi="Palatino Linotype" w:cs="Arial"/>
          <w:color w:val="000000" w:themeColor="text1"/>
          <w:sz w:val="24"/>
          <w:szCs w:val="24"/>
          <w:lang w:eastAsia="es-MX"/>
        </w:rPr>
      </w:pPr>
      <w:r w:rsidRPr="005479BB">
        <w:rPr>
          <w:rFonts w:ascii="Palatino Linotype" w:hAnsi="Palatino Linotype" w:cs="Arial"/>
          <w:color w:val="000000" w:themeColor="text1"/>
          <w:sz w:val="24"/>
          <w:szCs w:val="24"/>
          <w:lang w:eastAsia="es-MX"/>
        </w:rPr>
        <w:t>Asimismo, señala que todos los pagos se harán mediante orden escrita en la que se expresará la partida del presupuesto a cargo de la cual se realizan.</w:t>
      </w:r>
    </w:p>
    <w:p w:rsidR="00AB426B" w:rsidRPr="005479BB" w:rsidRDefault="00AB426B" w:rsidP="00AB426B">
      <w:pPr>
        <w:pStyle w:val="Prrafodelista"/>
        <w:shd w:val="clear" w:color="auto" w:fill="FFFFFF"/>
        <w:spacing w:line="360" w:lineRule="auto"/>
        <w:ind w:left="0"/>
        <w:jc w:val="both"/>
        <w:rPr>
          <w:rFonts w:ascii="Palatino Linotype" w:hAnsi="Palatino Linotype" w:cs="Arial"/>
          <w:color w:val="000000" w:themeColor="text1"/>
          <w:lang w:val="es-MX" w:eastAsia="es-MX"/>
        </w:rPr>
      </w:pPr>
    </w:p>
    <w:p w:rsidR="00AB426B" w:rsidRPr="005479BB" w:rsidRDefault="00AB426B" w:rsidP="00AB426B">
      <w:pPr>
        <w:shd w:val="clear" w:color="auto" w:fill="FFFFFF"/>
        <w:spacing w:after="0" w:line="360" w:lineRule="auto"/>
        <w:contextualSpacing/>
        <w:jc w:val="both"/>
        <w:rPr>
          <w:rFonts w:ascii="Palatino Linotype" w:hAnsi="Palatino Linotype" w:cs="Arial"/>
          <w:color w:val="000000" w:themeColor="text1"/>
          <w:sz w:val="24"/>
          <w:szCs w:val="24"/>
          <w:lang w:eastAsia="es-MX"/>
        </w:rPr>
      </w:pPr>
      <w:r w:rsidRPr="005479BB">
        <w:rPr>
          <w:rFonts w:ascii="Palatino Linotype" w:hAnsi="Palatino Linotype" w:cs="Arial"/>
          <w:color w:val="000000" w:themeColor="text1"/>
          <w:sz w:val="24"/>
          <w:szCs w:val="24"/>
          <w:lang w:eastAsia="es-MX"/>
        </w:rPr>
        <w:lastRenderedPageBreak/>
        <w:t xml:space="preserve">Al respecto, los artículos 342, 343, 344 y 345 del </w:t>
      </w:r>
      <w:r w:rsidRPr="005479BB">
        <w:rPr>
          <w:rFonts w:ascii="Palatino Linotype" w:hAnsi="Palatino Linotype" w:cs="Arial"/>
          <w:b/>
          <w:bCs/>
          <w:color w:val="000000" w:themeColor="text1"/>
          <w:sz w:val="24"/>
          <w:szCs w:val="24"/>
          <w:lang w:eastAsia="es-MX"/>
        </w:rPr>
        <w:t>Código Financiero del Estado de México y Municipios</w:t>
      </w:r>
      <w:r w:rsidRPr="005479BB">
        <w:rPr>
          <w:rFonts w:ascii="Palatino Linotype" w:hAnsi="Palatino Linotype" w:cs="Arial"/>
          <w:color w:val="000000" w:themeColor="text1"/>
          <w:sz w:val="24"/>
          <w:szCs w:val="24"/>
          <w:lang w:eastAsia="es-MX"/>
        </w:rPr>
        <w:t xml:space="preserve"> disponen el sistema y las políticas que deben seguirse para llevar el registro contable y presupuestal de las operaciones financieras que llevan a cabo los Municipios del Estado de México, en los siguientes términos:</w:t>
      </w:r>
    </w:p>
    <w:p w:rsidR="00AB426B" w:rsidRPr="00DE3599" w:rsidRDefault="00AB426B" w:rsidP="00AB426B">
      <w:pPr>
        <w:pStyle w:val="Prrafodelista"/>
        <w:shd w:val="clear" w:color="auto" w:fill="FFFFFF"/>
        <w:spacing w:line="360" w:lineRule="auto"/>
        <w:ind w:left="0"/>
        <w:jc w:val="both"/>
        <w:rPr>
          <w:rFonts w:ascii="Palatino Linotype" w:hAnsi="Palatino Linotype" w:cs="Arial"/>
          <w:color w:val="000000" w:themeColor="text1"/>
          <w:lang w:val="es-MX" w:eastAsia="es-MX"/>
        </w:rPr>
      </w:pPr>
    </w:p>
    <w:p w:rsidR="00AB426B" w:rsidRPr="005F581D" w:rsidRDefault="00AB426B" w:rsidP="005479BB">
      <w:pPr>
        <w:pStyle w:val="Prrafodelista"/>
        <w:shd w:val="clear" w:color="auto" w:fill="FFFFFF"/>
        <w:spacing w:before="240" w:after="360" w:line="360" w:lineRule="auto"/>
        <w:ind w:left="567" w:right="567"/>
        <w:jc w:val="both"/>
        <w:rPr>
          <w:rFonts w:ascii="Palatino Linotype" w:hAnsi="Palatino Linotype"/>
          <w:color w:val="000000" w:themeColor="text1"/>
          <w:sz w:val="22"/>
          <w:szCs w:val="22"/>
          <w:lang w:val="es-MX" w:eastAsia="es-MX"/>
        </w:rPr>
      </w:pPr>
      <w:r w:rsidRPr="005F581D">
        <w:rPr>
          <w:rFonts w:ascii="Palatino Linotype" w:hAnsi="Palatino Linotype"/>
          <w:b/>
          <w:bCs/>
          <w:i/>
          <w:iCs/>
          <w:color w:val="000000" w:themeColor="text1"/>
          <w:sz w:val="22"/>
          <w:szCs w:val="22"/>
          <w:lang w:eastAsia="es-MX"/>
        </w:rPr>
        <w:t>Artículo 342.-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AB426B" w:rsidRPr="005F581D" w:rsidRDefault="00AB426B" w:rsidP="00AB426B">
      <w:pPr>
        <w:pStyle w:val="Prrafodelista"/>
        <w:shd w:val="clear" w:color="auto" w:fill="FFFFFF"/>
        <w:spacing w:line="360" w:lineRule="auto"/>
        <w:ind w:left="567" w:right="567"/>
        <w:jc w:val="both"/>
        <w:rPr>
          <w:rFonts w:ascii="Palatino Linotype" w:hAnsi="Palatino Linotype"/>
          <w:color w:val="000000" w:themeColor="text1"/>
          <w:sz w:val="22"/>
          <w:szCs w:val="22"/>
          <w:lang w:val="es-MX" w:eastAsia="es-MX"/>
        </w:rPr>
      </w:pPr>
      <w:r w:rsidRPr="005F581D">
        <w:rPr>
          <w:rFonts w:ascii="Palatino Linotype" w:hAnsi="Palatino Linotype"/>
          <w:i/>
          <w:iCs/>
          <w:color w:val="000000" w:themeColor="text1"/>
          <w:sz w:val="22"/>
          <w:szCs w:val="22"/>
          <w:lang w:eastAsia="es-MX"/>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AB426B" w:rsidRPr="005F581D" w:rsidRDefault="00AB426B" w:rsidP="00AB426B">
      <w:pPr>
        <w:pStyle w:val="Prrafodelista"/>
        <w:shd w:val="clear" w:color="auto" w:fill="FFFFFF"/>
        <w:spacing w:line="360" w:lineRule="auto"/>
        <w:ind w:left="567" w:right="567"/>
        <w:jc w:val="both"/>
        <w:rPr>
          <w:rFonts w:ascii="Palatino Linotype" w:hAnsi="Palatino Linotype"/>
          <w:color w:val="000000" w:themeColor="text1"/>
          <w:sz w:val="22"/>
          <w:szCs w:val="22"/>
          <w:lang w:val="es-MX" w:eastAsia="es-MX"/>
        </w:rPr>
      </w:pPr>
    </w:p>
    <w:p w:rsidR="00AB426B" w:rsidRPr="005F581D" w:rsidRDefault="00AB426B" w:rsidP="00AB426B">
      <w:pPr>
        <w:pStyle w:val="Prrafodelista"/>
        <w:shd w:val="clear" w:color="auto" w:fill="FFFFFF"/>
        <w:spacing w:before="240" w:after="360" w:line="360" w:lineRule="auto"/>
        <w:ind w:left="567" w:right="567"/>
        <w:jc w:val="both"/>
        <w:rPr>
          <w:rFonts w:ascii="Palatino Linotype" w:hAnsi="Palatino Linotype"/>
          <w:color w:val="000000" w:themeColor="text1"/>
          <w:sz w:val="22"/>
          <w:szCs w:val="22"/>
          <w:lang w:val="es-MX" w:eastAsia="es-MX"/>
        </w:rPr>
      </w:pPr>
      <w:r w:rsidRPr="005F581D">
        <w:rPr>
          <w:rFonts w:ascii="Palatino Linotype" w:hAnsi="Palatino Linotype"/>
          <w:b/>
          <w:bCs/>
          <w:i/>
          <w:iCs/>
          <w:color w:val="000000" w:themeColor="text1"/>
          <w:sz w:val="22"/>
          <w:szCs w:val="22"/>
          <w:lang w:eastAsia="es-MX"/>
        </w:rPr>
        <w:t>Artículo 343.-</w:t>
      </w:r>
      <w:r>
        <w:rPr>
          <w:rFonts w:ascii="Palatino Linotype" w:hAnsi="Palatino Linotype"/>
          <w:i/>
          <w:iCs/>
          <w:color w:val="000000" w:themeColor="text1"/>
          <w:sz w:val="22"/>
          <w:szCs w:val="22"/>
          <w:lang w:eastAsia="es-MX"/>
        </w:rPr>
        <w:t xml:space="preserve"> </w:t>
      </w:r>
      <w:r w:rsidRPr="005F581D">
        <w:rPr>
          <w:rFonts w:ascii="Palatino Linotype" w:hAnsi="Palatino Linotype"/>
          <w:i/>
          <w:iCs/>
          <w:color w:val="000000" w:themeColor="text1"/>
          <w:sz w:val="22"/>
          <w:szCs w:val="22"/>
          <w:lang w:eastAsia="es-MX"/>
        </w:rPr>
        <w:t>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AB426B" w:rsidRPr="005F581D" w:rsidRDefault="00AB426B" w:rsidP="00AB426B">
      <w:pPr>
        <w:pStyle w:val="Prrafodelista"/>
        <w:shd w:val="clear" w:color="auto" w:fill="FFFFFF"/>
        <w:spacing w:before="240" w:after="360" w:line="360" w:lineRule="auto"/>
        <w:ind w:left="567" w:right="567"/>
        <w:jc w:val="both"/>
        <w:rPr>
          <w:rFonts w:ascii="Palatino Linotype" w:hAnsi="Palatino Linotype"/>
          <w:color w:val="000000" w:themeColor="text1"/>
          <w:sz w:val="22"/>
          <w:szCs w:val="22"/>
          <w:lang w:val="es-MX" w:eastAsia="es-MX"/>
        </w:rPr>
      </w:pPr>
      <w:r w:rsidRPr="005F581D">
        <w:rPr>
          <w:rFonts w:ascii="Palatino Linotype" w:hAnsi="Palatino Linotype"/>
          <w:b/>
          <w:bCs/>
          <w:i/>
          <w:iCs/>
          <w:color w:val="000000" w:themeColor="text1"/>
          <w:sz w:val="22"/>
          <w:szCs w:val="22"/>
          <w:lang w:eastAsia="es-MX"/>
        </w:rPr>
        <w:t>El sistema de contabilidad sobre base acumulativa total se sustentará en los postulados básicos y el marco conceptual de la contabilidad gubernamental.</w:t>
      </w:r>
    </w:p>
    <w:p w:rsidR="00AB426B" w:rsidRPr="005F581D" w:rsidRDefault="00AB426B" w:rsidP="00AB426B">
      <w:pPr>
        <w:pStyle w:val="Prrafodelista"/>
        <w:shd w:val="clear" w:color="auto" w:fill="FFFFFF"/>
        <w:spacing w:before="240" w:after="360" w:line="360" w:lineRule="auto"/>
        <w:ind w:left="567" w:right="567"/>
        <w:jc w:val="both"/>
        <w:rPr>
          <w:rFonts w:ascii="Palatino Linotype" w:hAnsi="Palatino Linotype"/>
          <w:color w:val="000000" w:themeColor="text1"/>
          <w:sz w:val="22"/>
          <w:szCs w:val="22"/>
          <w:lang w:val="es-MX" w:eastAsia="es-MX"/>
        </w:rPr>
      </w:pPr>
      <w:r w:rsidRPr="005F581D">
        <w:rPr>
          <w:rFonts w:ascii="Palatino Linotype" w:hAnsi="Palatino Linotype"/>
          <w:b/>
          <w:bCs/>
          <w:i/>
          <w:iCs/>
          <w:color w:val="000000" w:themeColor="text1"/>
          <w:sz w:val="22"/>
          <w:szCs w:val="22"/>
          <w:lang w:eastAsia="es-MX"/>
        </w:rPr>
        <w:t>Artículo 344.-</w:t>
      </w:r>
      <w:r w:rsidRPr="005F581D">
        <w:rPr>
          <w:rFonts w:ascii="Palatino Linotype" w:hAnsi="Palatino Linotype"/>
          <w:i/>
          <w:iCs/>
          <w:color w:val="000000" w:themeColor="text1"/>
          <w:sz w:val="22"/>
          <w:szCs w:val="22"/>
          <w:lang w:eastAsia="es-MX"/>
        </w:rPr>
        <w:t xml:space="preserve"> Las Dependencias, Entidades Públicas y unidades administrativas registrarán contablemente el efecto patrimonial y presupuestal de las operaciones </w:t>
      </w:r>
      <w:r w:rsidRPr="005F581D">
        <w:rPr>
          <w:rFonts w:ascii="Palatino Linotype" w:hAnsi="Palatino Linotype"/>
          <w:i/>
          <w:iCs/>
          <w:color w:val="000000" w:themeColor="text1"/>
          <w:sz w:val="22"/>
          <w:szCs w:val="22"/>
          <w:lang w:eastAsia="es-MX"/>
        </w:rPr>
        <w:lastRenderedPageBreak/>
        <w:t>financieras que realicen, en el momento en que ocurran, con base en el sistema y políticas de registro establecidas, en el caso de los Municipios se hará por la Tesorería.</w:t>
      </w:r>
    </w:p>
    <w:p w:rsidR="00AB426B" w:rsidRPr="00BB05E3" w:rsidRDefault="00AB426B" w:rsidP="00AB426B">
      <w:pPr>
        <w:pStyle w:val="Prrafodelista"/>
        <w:shd w:val="clear" w:color="auto" w:fill="FFFFFF"/>
        <w:spacing w:line="360" w:lineRule="auto"/>
        <w:ind w:left="567" w:right="567"/>
        <w:jc w:val="both"/>
        <w:rPr>
          <w:rFonts w:ascii="Palatino Linotype" w:hAnsi="Palatino Linotype"/>
          <w:color w:val="000000" w:themeColor="text1"/>
          <w:sz w:val="22"/>
          <w:szCs w:val="22"/>
          <w:lang w:val="es-MX" w:eastAsia="es-MX"/>
        </w:rPr>
      </w:pPr>
      <w:r w:rsidRPr="00BB05E3">
        <w:rPr>
          <w:rFonts w:ascii="Palatino Linotype" w:hAnsi="Palatino Linotype"/>
          <w:i/>
          <w:iCs/>
          <w:color w:val="000000" w:themeColor="text1"/>
          <w:sz w:val="22"/>
          <w:szCs w:val="22"/>
          <w:lang w:eastAsia="es-MX"/>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Tratándose de documentos de carácter histórico, se estará a lo dispuesto por la legislación de la materia.</w:t>
      </w:r>
    </w:p>
    <w:p w:rsidR="00AB426B" w:rsidRPr="005F581D" w:rsidRDefault="00AB426B" w:rsidP="00AB426B">
      <w:pPr>
        <w:pStyle w:val="Prrafodelista"/>
        <w:shd w:val="clear" w:color="auto" w:fill="FFFFFF"/>
        <w:spacing w:line="360" w:lineRule="auto"/>
        <w:ind w:left="567" w:right="567"/>
        <w:jc w:val="both"/>
        <w:rPr>
          <w:rFonts w:ascii="Palatino Linotype" w:hAnsi="Palatino Linotype"/>
          <w:color w:val="000000" w:themeColor="text1"/>
          <w:sz w:val="22"/>
          <w:szCs w:val="22"/>
          <w:lang w:val="es-MX" w:eastAsia="es-MX"/>
        </w:rPr>
      </w:pPr>
    </w:p>
    <w:p w:rsidR="00AB426B" w:rsidRPr="005F581D" w:rsidRDefault="00AB426B" w:rsidP="00AB426B">
      <w:pPr>
        <w:pStyle w:val="Prrafodelista"/>
        <w:shd w:val="clear" w:color="auto" w:fill="FFFFFF"/>
        <w:spacing w:before="240" w:after="360" w:line="360" w:lineRule="auto"/>
        <w:ind w:left="567" w:right="567"/>
        <w:jc w:val="both"/>
        <w:rPr>
          <w:rFonts w:ascii="Palatino Linotype" w:hAnsi="Palatino Linotype"/>
          <w:color w:val="000000" w:themeColor="text1"/>
          <w:sz w:val="22"/>
          <w:szCs w:val="22"/>
          <w:lang w:val="es-MX" w:eastAsia="es-MX"/>
        </w:rPr>
      </w:pPr>
      <w:r w:rsidRPr="005F581D">
        <w:rPr>
          <w:rFonts w:ascii="Palatino Linotype" w:hAnsi="Palatino Linotype"/>
          <w:b/>
          <w:bCs/>
          <w:i/>
          <w:iCs/>
          <w:color w:val="000000" w:themeColor="text1"/>
          <w:sz w:val="22"/>
          <w:szCs w:val="22"/>
          <w:lang w:eastAsia="es-MX"/>
        </w:rPr>
        <w:t>Artículo 345.-</w:t>
      </w:r>
      <w:r>
        <w:rPr>
          <w:rFonts w:ascii="Palatino Linotype" w:hAnsi="Palatino Linotype"/>
          <w:i/>
          <w:iCs/>
          <w:color w:val="000000" w:themeColor="text1"/>
          <w:sz w:val="22"/>
          <w:szCs w:val="22"/>
          <w:lang w:eastAsia="es-MX"/>
        </w:rPr>
        <w:t xml:space="preserve"> </w:t>
      </w:r>
      <w:r w:rsidRPr="005F581D">
        <w:rPr>
          <w:rFonts w:ascii="Palatino Linotype" w:hAnsi="Palatino Linotype"/>
          <w:b/>
          <w:bCs/>
          <w:i/>
          <w:iCs/>
          <w:color w:val="000000" w:themeColor="text1"/>
          <w:sz w:val="22"/>
          <w:szCs w:val="22"/>
          <w:lang w:eastAsia="es-MX"/>
        </w:rPr>
        <w:t>Las Dependencias, Entidades Públicas y unidades administrativas deberán conservar la documentación contable del año en curso y la de ejercicios anteriores cuyas cuentas públicas hayan sido revisadas y f</w:t>
      </w:r>
      <w:r>
        <w:rPr>
          <w:rFonts w:ascii="Palatino Linotype" w:hAnsi="Palatino Linotype"/>
          <w:b/>
          <w:bCs/>
          <w:i/>
          <w:iCs/>
          <w:color w:val="000000" w:themeColor="text1"/>
          <w:sz w:val="22"/>
          <w:szCs w:val="22"/>
          <w:lang w:eastAsia="es-MX"/>
        </w:rPr>
        <w:t xml:space="preserve">iscalizadas por la Legislatura, </w:t>
      </w:r>
      <w:r w:rsidRPr="005F581D">
        <w:rPr>
          <w:rFonts w:ascii="Palatino Linotype" w:hAnsi="Palatino Linotype"/>
          <w:i/>
          <w:iCs/>
          <w:color w:val="000000" w:themeColor="text1"/>
          <w:sz w:val="22"/>
          <w:szCs w:val="22"/>
          <w:lang w:eastAsia="es-MX"/>
        </w:rPr>
        <w:t>la remitirán en un plazo que no excederá de seis meses al Archivo Contable Gubernamental. Tratándose de los comprobantes fiscales digitales, estos deberán estar agregados en forma electrónica en cada póliza de registro contable.</w:t>
      </w:r>
    </w:p>
    <w:p w:rsidR="00AB426B" w:rsidRPr="005F581D" w:rsidRDefault="00AB426B" w:rsidP="00AB426B">
      <w:pPr>
        <w:pStyle w:val="Prrafodelista"/>
        <w:shd w:val="clear" w:color="auto" w:fill="FFFFFF"/>
        <w:spacing w:line="360" w:lineRule="auto"/>
        <w:ind w:left="567" w:right="567"/>
        <w:jc w:val="both"/>
        <w:rPr>
          <w:rFonts w:ascii="Palatino Linotype" w:hAnsi="Palatino Linotype"/>
          <w:color w:val="000000" w:themeColor="text1"/>
          <w:sz w:val="22"/>
          <w:szCs w:val="22"/>
          <w:lang w:val="es-MX" w:eastAsia="es-MX"/>
        </w:rPr>
      </w:pPr>
    </w:p>
    <w:p w:rsidR="00AB426B" w:rsidRPr="005F581D" w:rsidRDefault="00AB426B" w:rsidP="00AB426B">
      <w:pPr>
        <w:pStyle w:val="Prrafodelista"/>
        <w:shd w:val="clear" w:color="auto" w:fill="FFFFFF"/>
        <w:spacing w:before="240" w:after="360" w:line="360" w:lineRule="auto"/>
        <w:ind w:left="567" w:right="567"/>
        <w:jc w:val="both"/>
        <w:rPr>
          <w:rFonts w:ascii="Palatino Linotype" w:hAnsi="Palatino Linotype"/>
          <w:color w:val="000000" w:themeColor="text1"/>
          <w:sz w:val="22"/>
          <w:szCs w:val="22"/>
          <w:lang w:val="es-MX" w:eastAsia="es-MX"/>
        </w:rPr>
      </w:pPr>
      <w:r w:rsidRPr="005F581D">
        <w:rPr>
          <w:rFonts w:ascii="Palatino Linotype" w:hAnsi="Palatino Linotype"/>
          <w:i/>
          <w:iCs/>
          <w:color w:val="000000" w:themeColor="text1"/>
          <w:sz w:val="22"/>
          <w:szCs w:val="22"/>
          <w:lang w:eastAsia="es-MX"/>
        </w:rPr>
        <w:t>El plazo señalado en el párrafo anterior, empezará a contar a partir de la publicación en el Periódico Oficial, del decreto correspondiente.”</w:t>
      </w:r>
    </w:p>
    <w:p w:rsidR="00AB426B" w:rsidRPr="005F581D" w:rsidRDefault="00AB426B" w:rsidP="00AB426B">
      <w:pPr>
        <w:pStyle w:val="Prrafodelista"/>
        <w:shd w:val="clear" w:color="auto" w:fill="FFFFFF"/>
        <w:spacing w:line="360" w:lineRule="auto"/>
        <w:ind w:left="0"/>
        <w:jc w:val="both"/>
        <w:rPr>
          <w:rFonts w:ascii="Palatino Linotype" w:hAnsi="Palatino Linotype" w:cs="Arial"/>
          <w:color w:val="000000" w:themeColor="text1"/>
          <w:sz w:val="22"/>
          <w:szCs w:val="22"/>
          <w:lang w:val="es-MX" w:eastAsia="es-MX"/>
        </w:rPr>
      </w:pPr>
    </w:p>
    <w:p w:rsidR="00AB426B" w:rsidRPr="005479BB" w:rsidRDefault="00AB426B" w:rsidP="00AB426B">
      <w:pPr>
        <w:pStyle w:val="Prrafodelista"/>
        <w:shd w:val="clear" w:color="auto" w:fill="FFFFFF"/>
        <w:spacing w:before="240" w:after="360" w:line="360" w:lineRule="auto"/>
        <w:ind w:left="0"/>
        <w:contextualSpacing/>
        <w:jc w:val="both"/>
        <w:rPr>
          <w:rFonts w:ascii="Palatino Linotype" w:hAnsi="Palatino Linotype" w:cs="Arial"/>
          <w:color w:val="000000" w:themeColor="text1"/>
          <w:szCs w:val="22"/>
          <w:lang w:val="es-MX" w:eastAsia="es-MX"/>
        </w:rPr>
      </w:pPr>
      <w:r w:rsidRPr="005479BB">
        <w:rPr>
          <w:rFonts w:ascii="Palatino Linotype" w:hAnsi="Palatino Linotype" w:cs="Arial"/>
          <w:color w:val="000000" w:themeColor="text1"/>
          <w:szCs w:val="22"/>
          <w:lang w:eastAsia="es-MX"/>
        </w:rPr>
        <w:t xml:space="preserve">De una interpretación sistemática de los artículos transcritos, se desprende primeramente que el registro contable del efecto patrimonial y presupuestal de las </w:t>
      </w:r>
      <w:r w:rsidRPr="005479BB">
        <w:rPr>
          <w:rFonts w:ascii="Palatino Linotype" w:hAnsi="Palatino Linotype" w:cs="Arial"/>
          <w:color w:val="000000" w:themeColor="text1"/>
          <w:szCs w:val="22"/>
          <w:lang w:eastAsia="es-MX"/>
        </w:rPr>
        <w:lastRenderedPageBreak/>
        <w:t xml:space="preserve">operaciones financieras que realice el </w:t>
      </w:r>
      <w:r w:rsidRPr="005479BB">
        <w:rPr>
          <w:rFonts w:ascii="Palatino Linotype" w:hAnsi="Palatino Linotype" w:cs="Arial"/>
          <w:b/>
          <w:bCs/>
          <w:color w:val="000000" w:themeColor="text1"/>
          <w:szCs w:val="22"/>
          <w:lang w:eastAsia="es-MX"/>
        </w:rPr>
        <w:t>SUJETO OBLIGADO</w:t>
      </w:r>
      <w:r w:rsidRPr="005479BB">
        <w:rPr>
          <w:rFonts w:ascii="Palatino Linotype" w:hAnsi="Palatino Linotype" w:cs="Arial"/>
          <w:color w:val="000000" w:themeColor="text1"/>
          <w:szCs w:val="22"/>
          <w:lang w:eastAsia="es-MX"/>
        </w:rPr>
        <w:t xml:space="preserve"> se realizarán conforme al sistema y a las disposiciones que se aprueben en materia de planeación, programación, presupuestación, evaluación y contabilidad gubernamental.</w:t>
      </w:r>
    </w:p>
    <w:p w:rsidR="00AB426B" w:rsidRPr="005F581D" w:rsidRDefault="00AB426B" w:rsidP="00AB426B">
      <w:pPr>
        <w:pStyle w:val="Prrafodelista"/>
        <w:shd w:val="clear" w:color="auto" w:fill="FFFFFF"/>
        <w:spacing w:before="240" w:line="360" w:lineRule="auto"/>
        <w:ind w:left="0"/>
        <w:jc w:val="both"/>
        <w:rPr>
          <w:rFonts w:ascii="Palatino Linotype" w:hAnsi="Palatino Linotype" w:cs="Arial"/>
          <w:color w:val="000000" w:themeColor="text1"/>
          <w:sz w:val="22"/>
          <w:szCs w:val="22"/>
          <w:lang w:val="es-MX" w:eastAsia="es-MX"/>
        </w:rPr>
      </w:pPr>
    </w:p>
    <w:p w:rsidR="00AB426B" w:rsidRPr="005479BB" w:rsidRDefault="00AB426B" w:rsidP="00AB426B">
      <w:pPr>
        <w:pStyle w:val="Prrafodelista"/>
        <w:shd w:val="clear" w:color="auto" w:fill="FFFFFF"/>
        <w:spacing w:before="240" w:line="360" w:lineRule="auto"/>
        <w:ind w:left="0"/>
        <w:contextualSpacing/>
        <w:jc w:val="both"/>
        <w:rPr>
          <w:rFonts w:ascii="Palatino Linotype" w:hAnsi="Palatino Linotype" w:cs="Arial"/>
          <w:color w:val="000000" w:themeColor="text1"/>
          <w:szCs w:val="22"/>
          <w:lang w:val="es-MX" w:eastAsia="es-MX"/>
        </w:rPr>
      </w:pPr>
      <w:r w:rsidRPr="005479BB">
        <w:rPr>
          <w:rFonts w:ascii="Palatino Linotype" w:hAnsi="Palatino Linotype" w:cs="Arial"/>
          <w:color w:val="000000" w:themeColor="text1"/>
          <w:szCs w:val="22"/>
          <w:lang w:eastAsia="es-MX"/>
        </w:rPr>
        <w:t xml:space="preserve">Al respecto, si bien es cierto que el </w:t>
      </w:r>
      <w:r w:rsidRPr="005479BB">
        <w:rPr>
          <w:rFonts w:ascii="Palatino Linotype" w:hAnsi="Palatino Linotype" w:cs="Arial"/>
          <w:b/>
          <w:bCs/>
          <w:color w:val="000000" w:themeColor="text1"/>
          <w:szCs w:val="22"/>
          <w:lang w:eastAsia="es-MX"/>
        </w:rPr>
        <w:t>Código Financiero del Estado de México y Municipios</w:t>
      </w:r>
      <w:r w:rsidRPr="005479BB">
        <w:rPr>
          <w:rFonts w:ascii="Palatino Linotype" w:hAnsi="Palatino Linotype" w:cs="Arial"/>
          <w:color w:val="000000" w:themeColor="text1"/>
          <w:szCs w:val="22"/>
          <w:lang w:eastAsia="es-MX"/>
        </w:rPr>
        <w:t xml:space="preserve"> establece la obligación de los Municipios para llevar los registros contables y presupuestales, también lo es que dicho ordenamiento jurídico no establece lo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AB426B" w:rsidRPr="005F581D" w:rsidRDefault="00AB426B" w:rsidP="00AB426B">
      <w:pPr>
        <w:pStyle w:val="Prrafodelista"/>
        <w:shd w:val="clear" w:color="auto" w:fill="FFFFFF"/>
        <w:spacing w:before="240" w:line="360" w:lineRule="auto"/>
        <w:ind w:left="0"/>
        <w:jc w:val="both"/>
        <w:rPr>
          <w:rFonts w:ascii="Palatino Linotype" w:hAnsi="Palatino Linotype" w:cs="Arial"/>
          <w:color w:val="000000" w:themeColor="text1"/>
          <w:sz w:val="22"/>
          <w:szCs w:val="22"/>
          <w:lang w:val="es-MX" w:eastAsia="es-MX"/>
        </w:rPr>
      </w:pPr>
    </w:p>
    <w:p w:rsidR="00AB426B" w:rsidRPr="00BB05E3" w:rsidRDefault="00AB426B" w:rsidP="00AB426B">
      <w:pPr>
        <w:shd w:val="clear" w:color="auto" w:fill="FFFFFF"/>
        <w:spacing w:line="360" w:lineRule="auto"/>
        <w:ind w:left="567" w:right="567"/>
        <w:jc w:val="both"/>
        <w:rPr>
          <w:rFonts w:ascii="Palatino Linotype" w:eastAsia="Times New Roman" w:hAnsi="Palatino Linotype" w:cs="Arial"/>
          <w:color w:val="000000" w:themeColor="text1"/>
          <w:lang w:eastAsia="es-MX"/>
        </w:rPr>
      </w:pPr>
      <w:r w:rsidRPr="00BB05E3">
        <w:rPr>
          <w:rFonts w:ascii="Palatino Linotype" w:eastAsia="Times New Roman" w:hAnsi="Palatino Linotype" w:cs="Arial"/>
          <w:b/>
          <w:bCs/>
          <w:i/>
          <w:iCs/>
          <w:color w:val="000000" w:themeColor="text1"/>
          <w:lang w:eastAsia="es-MX"/>
        </w:rPr>
        <w:t>REGISTRO CONTABLE</w:t>
      </w:r>
    </w:p>
    <w:p w:rsidR="00AB426B" w:rsidRPr="00BB05E3" w:rsidRDefault="00AB426B" w:rsidP="00AB426B">
      <w:pPr>
        <w:shd w:val="clear" w:color="auto" w:fill="FFFFFF"/>
        <w:spacing w:line="360" w:lineRule="auto"/>
        <w:ind w:left="567" w:right="567"/>
        <w:jc w:val="both"/>
        <w:rPr>
          <w:rFonts w:ascii="Palatino Linotype" w:eastAsia="Times New Roman" w:hAnsi="Palatino Linotype" w:cs="Arial"/>
          <w:color w:val="000000" w:themeColor="text1"/>
          <w:lang w:eastAsia="es-MX"/>
        </w:rPr>
      </w:pPr>
      <w:r w:rsidRPr="00BB05E3">
        <w:rPr>
          <w:rFonts w:ascii="Palatino Linotype" w:eastAsia="Times New Roman" w:hAnsi="Palatino Linotype" w:cs="Arial"/>
          <w:i/>
          <w:iCs/>
          <w:color w:val="000000" w:themeColor="text1"/>
          <w:lang w:eastAsia="es-MX"/>
        </w:rPr>
        <w:t>Asiento que se realiza en los libros de contabilidad de las actividades relacionadas con el ingreso y egresos de un ente económico.</w:t>
      </w:r>
    </w:p>
    <w:p w:rsidR="00AB426B" w:rsidRPr="00BB05E3" w:rsidRDefault="00AB426B" w:rsidP="00AB426B">
      <w:pPr>
        <w:shd w:val="clear" w:color="auto" w:fill="FFFFFF"/>
        <w:spacing w:line="360" w:lineRule="auto"/>
        <w:ind w:left="567" w:right="567"/>
        <w:jc w:val="both"/>
        <w:rPr>
          <w:rFonts w:ascii="Palatino Linotype" w:eastAsia="Times New Roman" w:hAnsi="Palatino Linotype" w:cs="Arial"/>
          <w:color w:val="000000" w:themeColor="text1"/>
          <w:lang w:eastAsia="es-MX"/>
        </w:rPr>
      </w:pPr>
      <w:r w:rsidRPr="00BB05E3">
        <w:rPr>
          <w:rFonts w:ascii="Palatino Linotype" w:eastAsia="Times New Roman" w:hAnsi="Palatino Linotype" w:cs="Arial"/>
          <w:b/>
          <w:bCs/>
          <w:i/>
          <w:iCs/>
          <w:color w:val="000000" w:themeColor="text1"/>
          <w:lang w:eastAsia="es-MX"/>
        </w:rPr>
        <w:t>REGISTRO PRESUPUESTARIO</w:t>
      </w:r>
    </w:p>
    <w:p w:rsidR="00AB426B" w:rsidRPr="00BB05E3" w:rsidRDefault="00AB426B" w:rsidP="00AB426B">
      <w:pPr>
        <w:shd w:val="clear" w:color="auto" w:fill="FFFFFF"/>
        <w:spacing w:line="360" w:lineRule="auto"/>
        <w:ind w:left="567" w:right="567"/>
        <w:jc w:val="both"/>
        <w:rPr>
          <w:rFonts w:ascii="Palatino Linotype" w:eastAsia="Times New Roman" w:hAnsi="Palatino Linotype" w:cs="Arial"/>
          <w:color w:val="000000" w:themeColor="text1"/>
          <w:lang w:eastAsia="es-MX"/>
        </w:rPr>
      </w:pPr>
      <w:r w:rsidRPr="00BB05E3">
        <w:rPr>
          <w:rFonts w:ascii="Palatino Linotype" w:eastAsia="Times New Roman" w:hAnsi="Palatino Linotype" w:cs="Arial"/>
          <w:i/>
          <w:iCs/>
          <w:color w:val="000000" w:themeColor="text1"/>
          <w:lang w:eastAsia="es-MX"/>
        </w:rPr>
        <w:t>Asiento contable de las erogaciones realizadas por las dependencias y entidades con relación a la asignación, modificación y ejercicio de los recursos presupuestarios que se les hayan autorizado.</w:t>
      </w:r>
    </w:p>
    <w:p w:rsidR="00AB426B" w:rsidRPr="00BA43AF" w:rsidRDefault="00AB426B" w:rsidP="00AB426B">
      <w:pPr>
        <w:pStyle w:val="Prrafodelista"/>
        <w:shd w:val="clear" w:color="auto" w:fill="FFFFFF"/>
        <w:spacing w:before="120" w:line="360" w:lineRule="auto"/>
        <w:ind w:left="0"/>
        <w:jc w:val="both"/>
        <w:rPr>
          <w:rFonts w:ascii="Palatino Linotype" w:hAnsi="Palatino Linotype" w:cs="Arial"/>
          <w:color w:val="000000" w:themeColor="text1"/>
          <w:szCs w:val="22"/>
          <w:lang w:val="es-MX" w:eastAsia="es-MX"/>
        </w:rPr>
      </w:pPr>
    </w:p>
    <w:p w:rsidR="00AB426B" w:rsidRPr="00BA43AF" w:rsidRDefault="00AB426B" w:rsidP="00AB426B">
      <w:pPr>
        <w:pStyle w:val="Prrafodelista"/>
        <w:shd w:val="clear" w:color="auto" w:fill="FFFFFF"/>
        <w:spacing w:before="240" w:after="360" w:line="360" w:lineRule="auto"/>
        <w:ind w:left="0"/>
        <w:contextualSpacing/>
        <w:jc w:val="both"/>
        <w:rPr>
          <w:rFonts w:ascii="Palatino Linotype" w:hAnsi="Palatino Linotype" w:cs="Arial"/>
          <w:color w:val="000000" w:themeColor="text1"/>
          <w:szCs w:val="22"/>
          <w:lang w:val="es-MX" w:eastAsia="es-MX"/>
        </w:rPr>
      </w:pPr>
      <w:r w:rsidRPr="00BA43AF">
        <w:rPr>
          <w:rFonts w:ascii="Palatino Linotype" w:hAnsi="Palatino Linotype" w:cs="Arial"/>
          <w:color w:val="000000" w:themeColor="text1"/>
          <w:szCs w:val="22"/>
          <w:lang w:eastAsia="es-MX"/>
        </w:rPr>
        <w:t>Por otra parte, se establece que el sistema de contabilidad sobre base acumulativa total se sustentará en los principios de contabilidad gubernamental.</w:t>
      </w:r>
    </w:p>
    <w:p w:rsidR="00AB426B" w:rsidRPr="00BA43AF" w:rsidRDefault="00AB426B" w:rsidP="00AB426B">
      <w:pPr>
        <w:pStyle w:val="Prrafodelista"/>
        <w:shd w:val="clear" w:color="auto" w:fill="FFFFFF"/>
        <w:spacing w:before="240" w:line="360" w:lineRule="auto"/>
        <w:ind w:left="0"/>
        <w:jc w:val="both"/>
        <w:rPr>
          <w:rFonts w:ascii="Palatino Linotype" w:hAnsi="Palatino Linotype" w:cs="Arial"/>
          <w:color w:val="000000" w:themeColor="text1"/>
          <w:szCs w:val="22"/>
          <w:lang w:val="es-MX" w:eastAsia="es-MX"/>
        </w:rPr>
      </w:pPr>
    </w:p>
    <w:p w:rsidR="00AB426B" w:rsidRPr="00BA43AF" w:rsidRDefault="00AB426B" w:rsidP="00AB426B">
      <w:pPr>
        <w:pStyle w:val="Prrafodelista"/>
        <w:shd w:val="clear" w:color="auto" w:fill="FFFFFF"/>
        <w:spacing w:before="240" w:after="360" w:line="360" w:lineRule="auto"/>
        <w:ind w:left="0"/>
        <w:contextualSpacing/>
        <w:jc w:val="both"/>
        <w:rPr>
          <w:rFonts w:ascii="Palatino Linotype" w:hAnsi="Palatino Linotype" w:cs="Arial"/>
          <w:color w:val="000000" w:themeColor="text1"/>
          <w:szCs w:val="22"/>
          <w:lang w:eastAsia="es-MX"/>
        </w:rPr>
      </w:pPr>
      <w:r w:rsidRPr="00BA43AF">
        <w:rPr>
          <w:rFonts w:ascii="Palatino Linotype" w:hAnsi="Palatino Linotype" w:cs="Arial"/>
          <w:color w:val="000000" w:themeColor="text1"/>
          <w:szCs w:val="22"/>
          <w:lang w:eastAsia="es-MX"/>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AB426B" w:rsidRPr="005F581D" w:rsidRDefault="00AB426B" w:rsidP="00AB426B">
      <w:pPr>
        <w:pStyle w:val="Prrafodelista"/>
        <w:shd w:val="clear" w:color="auto" w:fill="FFFFFF"/>
        <w:spacing w:before="240" w:after="360" w:line="360" w:lineRule="auto"/>
        <w:ind w:left="0"/>
        <w:contextualSpacing/>
        <w:jc w:val="both"/>
        <w:rPr>
          <w:rFonts w:ascii="Palatino Linotype" w:hAnsi="Palatino Linotype" w:cs="Arial"/>
          <w:color w:val="000000" w:themeColor="text1"/>
          <w:sz w:val="22"/>
          <w:szCs w:val="22"/>
          <w:lang w:val="es-MX" w:eastAsia="es-MX"/>
        </w:rPr>
      </w:pPr>
    </w:p>
    <w:p w:rsidR="00AB426B" w:rsidRDefault="00AB426B" w:rsidP="00AB426B">
      <w:pPr>
        <w:pStyle w:val="Prrafodelista"/>
        <w:shd w:val="clear" w:color="auto" w:fill="FFFFFF"/>
        <w:spacing w:before="240" w:after="360" w:line="360" w:lineRule="auto"/>
        <w:ind w:left="0"/>
        <w:contextualSpacing/>
        <w:jc w:val="both"/>
        <w:rPr>
          <w:rFonts w:ascii="Palatino Linotype" w:hAnsi="Palatino Linotype"/>
        </w:rPr>
      </w:pPr>
      <w:r w:rsidRPr="00704FB3">
        <w:rPr>
          <w:rFonts w:ascii="Palatino Linotype" w:hAnsi="Palatino Linotype" w:cs="Arial"/>
          <w:color w:val="000000" w:themeColor="text1"/>
          <w:lang w:eastAsia="es-MX"/>
        </w:rPr>
        <w:t xml:space="preserve">Una vez puntualizado lo anterior, es menester señalar que </w:t>
      </w:r>
      <w:r w:rsidRPr="00704FB3">
        <w:rPr>
          <w:rFonts w:ascii="Palatino Linotype" w:hAnsi="Palatino Linotype"/>
        </w:rPr>
        <w:t>“</w:t>
      </w:r>
      <w:r w:rsidRPr="00704FB3">
        <w:rPr>
          <w:rFonts w:ascii="Palatino Linotype" w:hAnsi="Palatino Linotype"/>
          <w:b/>
        </w:rPr>
        <w:t>Políticas para la Integración del Informe Trimestral de los Sujetos de Fiscalización Municipales para el ejercicio 2021</w:t>
      </w:r>
      <w:r w:rsidRPr="00704FB3">
        <w:rPr>
          <w:rFonts w:ascii="Palatino Linotype" w:hAnsi="Palatino Linotype" w:cs="Arial"/>
          <w:color w:val="000000" w:themeColor="text1"/>
          <w:lang w:eastAsia="es-MX"/>
        </w:rPr>
        <w:t xml:space="preserve">”, emitidas por el Órgano Superior de Fiscalización del Estado de México, </w:t>
      </w:r>
      <w:r w:rsidRPr="00704FB3">
        <w:rPr>
          <w:rFonts w:ascii="Palatino Linotype" w:hAnsi="Palatino Linotype"/>
        </w:rPr>
        <w:t>la contabilización de las operaciones (pólizas) presupuestarias y contables deberán respaldarse con la documentación original que compruebe y justifique</w:t>
      </w:r>
      <w:r>
        <w:rPr>
          <w:rFonts w:ascii="Palatino Linotype" w:hAnsi="Palatino Linotype"/>
        </w:rPr>
        <w:t xml:space="preserve"> los registros que se efectúen.</w:t>
      </w:r>
    </w:p>
    <w:p w:rsidR="00AB426B" w:rsidRPr="00704FB3" w:rsidRDefault="00AB426B" w:rsidP="00AB426B">
      <w:pPr>
        <w:pStyle w:val="Prrafodelista"/>
        <w:shd w:val="clear" w:color="auto" w:fill="FFFFFF"/>
        <w:spacing w:before="240" w:after="360" w:line="360" w:lineRule="auto"/>
        <w:ind w:left="0"/>
        <w:contextualSpacing/>
        <w:jc w:val="both"/>
        <w:rPr>
          <w:rFonts w:ascii="Palatino Linotype" w:hAnsi="Palatino Linotype"/>
        </w:rPr>
      </w:pPr>
    </w:p>
    <w:p w:rsidR="00AB426B" w:rsidRDefault="00AB426B" w:rsidP="00AB426B">
      <w:pPr>
        <w:pStyle w:val="Prrafodelista"/>
        <w:shd w:val="clear" w:color="auto" w:fill="FFFFFF"/>
        <w:spacing w:before="240" w:after="360" w:line="360" w:lineRule="auto"/>
        <w:ind w:left="0"/>
        <w:contextualSpacing/>
        <w:jc w:val="both"/>
        <w:rPr>
          <w:rFonts w:ascii="Palatino Linotype" w:hAnsi="Palatino Linotype"/>
        </w:rPr>
      </w:pPr>
      <w:r w:rsidRPr="00704FB3">
        <w:rPr>
          <w:rFonts w:ascii="Palatino Linotype" w:hAnsi="Palatino Linotype"/>
        </w:rPr>
        <w:t>Así mismo las Políticas para la Integración del Informe Trimestral</w:t>
      </w:r>
      <w:r w:rsidRPr="00704FB3">
        <w:rPr>
          <w:rFonts w:ascii="Palatino Linotype" w:hAnsi="Palatino Linotype"/>
          <w:b/>
        </w:rPr>
        <w:t xml:space="preserve"> </w:t>
      </w:r>
      <w:r w:rsidRPr="00704FB3">
        <w:rPr>
          <w:rFonts w:ascii="Palatino Linotype" w:hAnsi="Palatino Linotype"/>
        </w:rPr>
        <w:t xml:space="preserve">disponen que la contabilización de las operaciones presupuestarias y contables deberán respaldarse con Pólizas de Ingresos, Pólizas de Diario, Pólizas de Egresos y </w:t>
      </w:r>
      <w:r>
        <w:rPr>
          <w:rFonts w:ascii="Palatino Linotype" w:hAnsi="Palatino Linotype"/>
        </w:rPr>
        <w:t>Pólizas de Cheques y que p</w:t>
      </w:r>
      <w:r w:rsidRPr="00704FB3">
        <w:rPr>
          <w:rFonts w:ascii="Palatino Linotype" w:hAnsi="Palatino Linotype"/>
        </w:rPr>
        <w:t>ara la elaboración de los distintos tipos de pólizas se deberá consultar la estructura técnica en</w:t>
      </w:r>
      <w:r>
        <w:rPr>
          <w:rFonts w:ascii="Palatino Linotype" w:hAnsi="Palatino Linotype"/>
        </w:rPr>
        <w:t xml:space="preserve"> el “Instructivo” del Módulo 1, misma que establece que estas deben ser acompañadas de sus documentos comprobatorios, tal como se muestra a continuación:</w:t>
      </w:r>
    </w:p>
    <w:p w:rsidR="00AB426B" w:rsidRDefault="00AB426B" w:rsidP="00AB426B">
      <w:pPr>
        <w:pStyle w:val="Prrafodelista"/>
        <w:shd w:val="clear" w:color="auto" w:fill="FFFFFF"/>
        <w:spacing w:before="240" w:after="360" w:line="360" w:lineRule="auto"/>
        <w:ind w:left="567"/>
        <w:contextualSpacing/>
        <w:jc w:val="both"/>
        <w:rPr>
          <w:rFonts w:ascii="Palatino Linotype" w:hAnsi="Palatino Linotype"/>
        </w:rPr>
      </w:pPr>
      <w:r>
        <w:rPr>
          <w:noProof/>
          <w:lang w:val="es-MX" w:eastAsia="es-MX"/>
        </w:rPr>
        <w:lastRenderedPageBreak/>
        <w:drawing>
          <wp:inline distT="0" distB="0" distL="0" distR="0" wp14:anchorId="75C18996" wp14:editId="1CC8397A">
            <wp:extent cx="4848225" cy="1743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93" t="59082" r="26753" b="17696"/>
                    <a:stretch/>
                  </pic:blipFill>
                  <pic:spPr bwMode="auto">
                    <a:xfrm>
                      <a:off x="0" y="0"/>
                      <a:ext cx="4848225" cy="1743075"/>
                    </a:xfrm>
                    <a:prstGeom prst="rect">
                      <a:avLst/>
                    </a:prstGeom>
                    <a:ln>
                      <a:noFill/>
                    </a:ln>
                    <a:extLst>
                      <a:ext uri="{53640926-AAD7-44D8-BBD7-CCE9431645EC}">
                        <a14:shadowObscured xmlns:a14="http://schemas.microsoft.com/office/drawing/2010/main"/>
                      </a:ext>
                    </a:extLst>
                  </pic:spPr>
                </pic:pic>
              </a:graphicData>
            </a:graphic>
          </wp:inline>
        </w:drawing>
      </w:r>
    </w:p>
    <w:p w:rsidR="00AB426B" w:rsidRDefault="00AB426B" w:rsidP="00AB426B">
      <w:pPr>
        <w:pStyle w:val="Prrafodelista"/>
        <w:shd w:val="clear" w:color="auto" w:fill="FFFFFF"/>
        <w:spacing w:before="240" w:after="360" w:line="360" w:lineRule="auto"/>
        <w:ind w:left="0"/>
        <w:contextualSpacing/>
        <w:jc w:val="both"/>
        <w:rPr>
          <w:rFonts w:ascii="Palatino Linotype" w:hAnsi="Palatino Linotype"/>
        </w:rPr>
      </w:pPr>
      <w:r>
        <w:rPr>
          <w:rFonts w:ascii="Palatino Linotype" w:hAnsi="Palatino Linotype"/>
        </w:rPr>
        <w:t>Así mismo establece que l</w:t>
      </w:r>
      <w:r w:rsidRPr="00704FB3">
        <w:rPr>
          <w:rFonts w:ascii="Palatino Linotype" w:hAnsi="Palatino Linotype"/>
        </w:rPr>
        <w:t>as entidades fiscalizables obligadas a remitir sus Informes Trimestrales Municipales deberán considerar las adecuaciones necesarias a sus sistemas contables para poder cumplir con los requisitos solicitados en la información a entregar.</w:t>
      </w:r>
    </w:p>
    <w:p w:rsidR="00A44ACB" w:rsidRDefault="00A44ACB" w:rsidP="00AB426B">
      <w:pPr>
        <w:pStyle w:val="Prrafodelista"/>
        <w:shd w:val="clear" w:color="auto" w:fill="FFFFFF"/>
        <w:spacing w:before="240" w:after="360" w:line="360" w:lineRule="auto"/>
        <w:ind w:left="0"/>
        <w:contextualSpacing/>
        <w:jc w:val="both"/>
        <w:rPr>
          <w:rFonts w:ascii="Palatino Linotype" w:hAnsi="Palatino Linotype"/>
        </w:rPr>
      </w:pPr>
    </w:p>
    <w:p w:rsidR="00A44ACB" w:rsidRPr="00FF601D" w:rsidRDefault="00A44ACB" w:rsidP="00A44ACB">
      <w:pPr>
        <w:spacing w:before="240" w:line="360" w:lineRule="auto"/>
        <w:jc w:val="both"/>
        <w:rPr>
          <w:rFonts w:ascii="Palatino Linotype" w:hAnsi="Palatino Linotype"/>
          <w:bCs/>
          <w:sz w:val="24"/>
          <w:szCs w:val="24"/>
        </w:rPr>
      </w:pPr>
      <w:r w:rsidRPr="00FF601D">
        <w:rPr>
          <w:rFonts w:ascii="Palatino Linotype" w:hAnsi="Palatino Linotype"/>
          <w:bCs/>
          <w:sz w:val="24"/>
          <w:szCs w:val="24"/>
        </w:rPr>
        <w:t xml:space="preserve">De ahí que deba arribarse a las siguientes consideraciones: </w:t>
      </w:r>
    </w:p>
    <w:p w:rsidR="00A44ACB" w:rsidRPr="00FF601D" w:rsidRDefault="00A44ACB" w:rsidP="00A44ACB">
      <w:pPr>
        <w:pStyle w:val="Prrafodelista"/>
        <w:numPr>
          <w:ilvl w:val="0"/>
          <w:numId w:val="7"/>
        </w:numPr>
        <w:spacing w:line="360" w:lineRule="auto"/>
        <w:contextualSpacing/>
        <w:jc w:val="both"/>
        <w:rPr>
          <w:rFonts w:ascii="Palatino Linotype" w:eastAsia="MS Mincho" w:hAnsi="Palatino Linotype"/>
        </w:rPr>
      </w:pPr>
      <w:r w:rsidRPr="00FF601D">
        <w:rPr>
          <w:rFonts w:ascii="Palatino Linotype" w:hAnsi="Palatino Linotype"/>
          <w:bCs/>
        </w:rPr>
        <w:t>A través del derecho de acceso a la información pública fue requerid</w:t>
      </w:r>
      <w:r>
        <w:rPr>
          <w:rFonts w:ascii="Palatino Linotype" w:hAnsi="Palatino Linotype"/>
          <w:bCs/>
        </w:rPr>
        <w:t>a la información relativa al pago de proveedores realizado en el año dos mil diecinueve, bajo la figura de adeudos de ejercicios fiscales, especificando nombre de proveedor, monto pagado, incluyendo el contrato de prestación de servicios o adquisición de bienes según corresponda.</w:t>
      </w:r>
    </w:p>
    <w:p w:rsidR="00A44ACB" w:rsidRPr="00FF601D" w:rsidRDefault="00A44ACB" w:rsidP="00A44ACB">
      <w:pPr>
        <w:pStyle w:val="Prrafodelista"/>
        <w:numPr>
          <w:ilvl w:val="0"/>
          <w:numId w:val="7"/>
        </w:numPr>
        <w:spacing w:line="360" w:lineRule="auto"/>
        <w:contextualSpacing/>
        <w:jc w:val="both"/>
        <w:rPr>
          <w:rFonts w:ascii="Palatino Linotype" w:eastAsia="MS Mincho" w:hAnsi="Palatino Linotype"/>
        </w:rPr>
      </w:pPr>
      <w:r w:rsidRPr="00FF601D">
        <w:rPr>
          <w:rFonts w:ascii="Palatino Linotype" w:eastAsia="MS Mincho" w:hAnsi="Palatino Linotype"/>
        </w:rPr>
        <w:t xml:space="preserve">De una </w:t>
      </w:r>
      <w:r>
        <w:rPr>
          <w:rFonts w:ascii="Palatino Linotype" w:eastAsia="MS Mincho" w:hAnsi="Palatino Linotype"/>
        </w:rPr>
        <w:t>interpretación sistemática al numeral 92, fracción XXIX</w:t>
      </w:r>
      <w:r w:rsidRPr="00FF601D">
        <w:rPr>
          <w:rFonts w:ascii="Palatino Linotype" w:eastAsia="MS Mincho" w:hAnsi="Palatino Linotype"/>
        </w:rPr>
        <w:t xml:space="preserve"> </w:t>
      </w:r>
      <w:r>
        <w:rPr>
          <w:rFonts w:ascii="Palatino Linotype" w:eastAsia="MS Mincho" w:hAnsi="Palatino Linotype"/>
        </w:rPr>
        <w:t xml:space="preserve">de la </w:t>
      </w:r>
      <w:r w:rsidRPr="007B4E25">
        <w:rPr>
          <w:rFonts w:ascii="Palatino Linotype" w:eastAsia="MS Mincho" w:hAnsi="Palatino Linotype"/>
        </w:rPr>
        <w:t>Ley de Transparencia y Acceso a la Información Pública del Estado de México y Municipios</w:t>
      </w:r>
      <w:r w:rsidRPr="00FF601D">
        <w:rPr>
          <w:rFonts w:ascii="Palatino Linotype" w:hAnsi="Palatino Linotype" w:cs="Arial"/>
        </w:rPr>
        <w:t xml:space="preserve"> Estado de México</w:t>
      </w:r>
      <w:r>
        <w:rPr>
          <w:rFonts w:ascii="Palatino Linotype" w:hAnsi="Palatino Linotype" w:cs="Arial"/>
        </w:rPr>
        <w:t xml:space="preserve">, </w:t>
      </w:r>
      <w:r w:rsidRPr="001B58C4">
        <w:rPr>
          <w:rFonts w:ascii="Palatino Linotype" w:hAnsi="Palatino Linotype" w:cs="Arial"/>
        </w:rPr>
        <w:t>el artículo 1 fracción III de la Ley de Contratación Pública del Estado de México y Municipios</w:t>
      </w:r>
      <w:r>
        <w:rPr>
          <w:rFonts w:ascii="Palatino Linotype" w:hAnsi="Palatino Linotype" w:cs="Arial"/>
        </w:rPr>
        <w:t xml:space="preserve"> y </w:t>
      </w:r>
      <w:r w:rsidRPr="001B58C4">
        <w:rPr>
          <w:rFonts w:ascii="Palatino Linotype" w:hAnsi="Palatino Linotype" w:cs="Arial"/>
        </w:rPr>
        <w:t>los artículos 12.8 y 12.60 del Código Administrativo del Estado de México</w:t>
      </w:r>
      <w:r>
        <w:rPr>
          <w:rFonts w:ascii="Palatino Linotype" w:hAnsi="Palatino Linotype" w:cs="Arial"/>
        </w:rPr>
        <w:t>, se desprende que el sujeto obligado es competente</w:t>
      </w:r>
      <w:r w:rsidRPr="00FF601D">
        <w:rPr>
          <w:rFonts w:ascii="Palatino Linotype" w:hAnsi="Palatino Linotype" w:cs="Arial"/>
        </w:rPr>
        <w:t xml:space="preserve"> para atender la solicitud de información. </w:t>
      </w:r>
    </w:p>
    <w:p w:rsidR="00A44ACB" w:rsidRPr="00E93890" w:rsidRDefault="00A44ACB" w:rsidP="00E93890">
      <w:pPr>
        <w:pStyle w:val="Prrafodelista"/>
        <w:numPr>
          <w:ilvl w:val="0"/>
          <w:numId w:val="7"/>
        </w:numPr>
        <w:spacing w:line="360" w:lineRule="auto"/>
        <w:contextualSpacing/>
        <w:jc w:val="both"/>
        <w:rPr>
          <w:rFonts w:ascii="Palatino Linotype" w:eastAsia="MS Mincho" w:hAnsi="Palatino Linotype"/>
          <w:b/>
          <w:u w:val="single"/>
        </w:rPr>
      </w:pPr>
      <w:r w:rsidRPr="00FF601D">
        <w:rPr>
          <w:rFonts w:ascii="Palatino Linotype" w:eastAsia="MS Mincho" w:hAnsi="Palatino Linotype"/>
        </w:rPr>
        <w:lastRenderedPageBreak/>
        <w:t xml:space="preserve">Mediante respuesta, </w:t>
      </w:r>
      <w:r w:rsidRPr="00FF601D">
        <w:rPr>
          <w:rFonts w:ascii="Palatino Linotype" w:eastAsia="MS Mincho" w:hAnsi="Palatino Linotype"/>
          <w:b/>
        </w:rPr>
        <w:t xml:space="preserve">El Sujeto Obligado </w:t>
      </w:r>
      <w:r w:rsidRPr="001B58C4">
        <w:rPr>
          <w:rFonts w:ascii="Palatino Linotype" w:hAnsi="Palatino Linotype"/>
        </w:rPr>
        <w:t>adjuntó un documento</w:t>
      </w:r>
      <w:r>
        <w:rPr>
          <w:rFonts w:ascii="Palatino Linotype" w:hAnsi="Palatino Linotype"/>
        </w:rPr>
        <w:t xml:space="preserve"> que contiene el oficio número TM/SC/0084/2021, de fecha veintinueve de junio de dos mil veintiuno, signado por el Subdirector de Contabilidad en el cual medularmente informa que los requerimientos solicitados por el ahora Recurrente pueden ser consultados a través de la página web del Municipio de Naucalpan, aunado a lo anterior, se adjunta una liga electrónica en la cual </w:t>
      </w:r>
      <w:r w:rsidR="00896326">
        <w:rPr>
          <w:rFonts w:ascii="Palatino Linotype" w:hAnsi="Palatino Linotype"/>
        </w:rPr>
        <w:t xml:space="preserve">informan que </w:t>
      </w:r>
      <w:r>
        <w:rPr>
          <w:rFonts w:ascii="Palatino Linotype" w:hAnsi="Palatino Linotype"/>
        </w:rPr>
        <w:t xml:space="preserve">se puede encontrar la información peticionada, asimismo, en el informe justificado emitido por el Sujeto Obligado ratifica su respuesta inicial, así como informa que lo solicitado son atribuciones de la tesorería municipal, </w:t>
      </w:r>
      <w:r w:rsidRPr="00FF601D">
        <w:rPr>
          <w:rFonts w:ascii="Palatino Linotype" w:eastAsia="MS Mincho" w:hAnsi="Palatino Linotype"/>
        </w:rPr>
        <w:t>no obstante, dicho soporte</w:t>
      </w:r>
      <w:r>
        <w:rPr>
          <w:rFonts w:ascii="Palatino Linotype" w:eastAsia="MS Mincho" w:hAnsi="Palatino Linotype"/>
        </w:rPr>
        <w:t xml:space="preserve"> documental no colma la solicitud de información.</w:t>
      </w:r>
    </w:p>
    <w:p w:rsidR="00946ACC" w:rsidRPr="00D36AEF" w:rsidRDefault="00946ACC" w:rsidP="00946ACC">
      <w:pPr>
        <w:spacing w:after="0" w:line="360" w:lineRule="auto"/>
        <w:jc w:val="both"/>
        <w:rPr>
          <w:rFonts w:ascii="Palatino Linotype" w:hAnsi="Palatino Linotype" w:cs="Arial"/>
          <w:sz w:val="24"/>
          <w:szCs w:val="24"/>
        </w:rPr>
      </w:pPr>
    </w:p>
    <w:p w:rsidR="005F27D1" w:rsidRPr="00850407" w:rsidRDefault="005F27D1" w:rsidP="00AA1A77">
      <w:pPr>
        <w:pStyle w:val="Prrafodelista"/>
        <w:numPr>
          <w:ilvl w:val="0"/>
          <w:numId w:val="5"/>
        </w:numPr>
        <w:spacing w:line="360" w:lineRule="auto"/>
        <w:jc w:val="both"/>
        <w:rPr>
          <w:rFonts w:ascii="Palatino Linotype" w:hAnsi="Palatino Linotype"/>
          <w:b/>
          <w:sz w:val="28"/>
        </w:rPr>
      </w:pPr>
      <w:r w:rsidRPr="00850407">
        <w:rPr>
          <w:rFonts w:ascii="Palatino Linotype" w:hAnsi="Palatino Linotype"/>
          <w:b/>
          <w:sz w:val="28"/>
        </w:rPr>
        <w:t>Versión Pública</w:t>
      </w:r>
    </w:p>
    <w:p w:rsidR="005F27D1" w:rsidRPr="001571EB" w:rsidRDefault="005F27D1" w:rsidP="005F27D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5F27D1" w:rsidRPr="00E60DEF" w:rsidRDefault="005F27D1" w:rsidP="005F27D1">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5F27D1" w:rsidRPr="00E60DEF" w:rsidRDefault="005F27D1" w:rsidP="005F27D1">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5F27D1" w:rsidRPr="001571EB" w:rsidRDefault="005F27D1" w:rsidP="005F27D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5F27D1" w:rsidRPr="001571EB" w:rsidRDefault="005F27D1" w:rsidP="005F27D1">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5F27D1" w:rsidRPr="001571EB" w:rsidRDefault="005F27D1" w:rsidP="005F27D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5F27D1" w:rsidRPr="001571EB" w:rsidRDefault="005F27D1" w:rsidP="005F27D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rsidR="005F27D1" w:rsidRPr="001571EB" w:rsidRDefault="005F27D1" w:rsidP="005F27D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5F27D1" w:rsidRPr="001571EB" w:rsidRDefault="005F27D1" w:rsidP="005F27D1">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5F27D1" w:rsidRPr="001571EB" w:rsidRDefault="005F27D1" w:rsidP="005F27D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5F27D1" w:rsidRPr="00E60DEF" w:rsidRDefault="005F27D1" w:rsidP="005F27D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5F27D1" w:rsidRPr="001571EB" w:rsidRDefault="005F27D1" w:rsidP="005F27D1">
      <w:pPr>
        <w:spacing w:before="240" w:line="360" w:lineRule="auto"/>
        <w:ind w:left="851" w:right="851"/>
        <w:jc w:val="both"/>
        <w:rPr>
          <w:rFonts w:ascii="Palatino Linotype" w:hAnsi="Palatino Linotype" w:cs="Arial"/>
          <w:b/>
          <w:i/>
        </w:rPr>
      </w:pPr>
      <w:r>
        <w:rPr>
          <w:rFonts w:ascii="Palatino Linotype" w:hAnsi="Palatino Linotype" w:cs="Arial"/>
          <w:b/>
          <w:i/>
        </w:rPr>
        <w:t>(…)</w:t>
      </w:r>
    </w:p>
    <w:p w:rsidR="005F27D1" w:rsidRPr="00E60DEF" w:rsidRDefault="005F27D1" w:rsidP="005F27D1">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5F27D1" w:rsidRPr="001571EB" w:rsidRDefault="005F27D1" w:rsidP="005F27D1">
      <w:pPr>
        <w:spacing w:line="240" w:lineRule="auto"/>
        <w:ind w:left="851" w:right="851"/>
        <w:jc w:val="both"/>
        <w:rPr>
          <w:rFonts w:ascii="Palatino Linotype" w:hAnsi="Palatino Linotype" w:cs="Arial"/>
          <w:b/>
          <w:i/>
          <w:u w:val="single"/>
        </w:rPr>
      </w:pPr>
    </w:p>
    <w:p w:rsidR="005F27D1" w:rsidRPr="001571EB" w:rsidRDefault="005F27D1" w:rsidP="005F27D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w:t>
      </w:r>
      <w:r>
        <w:rPr>
          <w:rFonts w:ascii="Palatino Linotype" w:hAnsi="Palatino Linotype" w:cs="Arial"/>
          <w:sz w:val="24"/>
          <w:szCs w:val="24"/>
        </w:rPr>
        <w:t xml:space="preserve">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rsidR="005F27D1" w:rsidRPr="001571EB" w:rsidRDefault="005F27D1" w:rsidP="005F27D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5F27D1" w:rsidRPr="001571EB" w:rsidRDefault="005F27D1" w:rsidP="005F27D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5F27D1" w:rsidRPr="001571EB" w:rsidRDefault="005F27D1" w:rsidP="005F27D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5F27D1" w:rsidRPr="001571EB" w:rsidRDefault="005F27D1" w:rsidP="005F27D1">
      <w:pPr>
        <w:autoSpaceDE w:val="0"/>
        <w:autoSpaceDN w:val="0"/>
        <w:adjustRightInd w:val="0"/>
        <w:spacing w:before="120" w:after="120"/>
        <w:ind w:left="567" w:right="850"/>
        <w:jc w:val="both"/>
        <w:rPr>
          <w:rFonts w:ascii="Palatino Linotype" w:eastAsia="Times New Roman" w:hAnsi="Palatino Linotype" w:cs="Arial"/>
          <w:i/>
        </w:rPr>
      </w:pPr>
    </w:p>
    <w:p w:rsidR="005F27D1" w:rsidRPr="001571EB" w:rsidRDefault="005F27D1" w:rsidP="005F27D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rsidR="005F27D1" w:rsidRPr="001571EB" w:rsidRDefault="005F27D1" w:rsidP="005F27D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F27D1" w:rsidRPr="001571EB" w:rsidRDefault="005F27D1" w:rsidP="005F27D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w:t>
      </w:r>
      <w:r w:rsidRPr="001571EB">
        <w:rPr>
          <w:rFonts w:ascii="Palatino Linotype" w:eastAsia="Times New Roman" w:hAnsi="Palatino Linotype" w:cs="Arial"/>
          <w:bCs/>
          <w:i/>
          <w:lang w:eastAsia="es-MX"/>
        </w:rPr>
        <w:lastRenderedPageBreak/>
        <w:t xml:space="preserve">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5F27D1" w:rsidRPr="00870707"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5F27D1" w:rsidRPr="001571EB" w:rsidRDefault="005F27D1" w:rsidP="005F27D1">
      <w:pPr>
        <w:spacing w:after="0" w:line="360" w:lineRule="auto"/>
        <w:jc w:val="both"/>
        <w:rPr>
          <w:rFonts w:ascii="Palatino Linotype" w:hAnsi="Palatino Linotype" w:cs="Arial"/>
        </w:rPr>
      </w:pPr>
    </w:p>
    <w:p w:rsidR="0017203D" w:rsidRDefault="005F27D1" w:rsidP="00A8377E">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w:t>
      </w:r>
      <w:r w:rsidRPr="001571EB">
        <w:rPr>
          <w:rFonts w:ascii="Palatino Linotype" w:hAnsi="Palatino Linotype" w:cs="Arial"/>
          <w:sz w:val="24"/>
          <w:szCs w:val="24"/>
        </w:rPr>
        <w:lastRenderedPageBreak/>
        <w:t>Acuerdo del Consejo Nacional del Sistema Nacional de Transparencia, Acceso a la Información Pública y Protección de Datos Personales.</w:t>
      </w:r>
    </w:p>
    <w:p w:rsidR="007B4E25" w:rsidRPr="00A8377E" w:rsidRDefault="007B4E25" w:rsidP="00A8377E">
      <w:pPr>
        <w:spacing w:before="240" w:after="240" w:line="360" w:lineRule="auto"/>
        <w:jc w:val="both"/>
        <w:rPr>
          <w:rFonts w:ascii="Palatino Linotype" w:hAnsi="Palatino Linotype" w:cs="Arial"/>
          <w:sz w:val="24"/>
          <w:szCs w:val="24"/>
        </w:rPr>
      </w:pPr>
    </w:p>
    <w:p w:rsidR="0017203D" w:rsidRDefault="0017203D" w:rsidP="0017203D">
      <w:pPr>
        <w:pStyle w:val="Sinespaciado"/>
        <w:spacing w:line="360" w:lineRule="auto"/>
        <w:jc w:val="both"/>
        <w:rPr>
          <w:rFonts w:ascii="Palatino Linotype" w:hAnsi="Palatino Linotype"/>
        </w:rPr>
      </w:pPr>
      <w:r w:rsidRPr="00B81C51">
        <w:rPr>
          <w:rFonts w:ascii="Palatino Linotype" w:hAnsi="Palatino Linotype"/>
        </w:rPr>
        <w:t xml:space="preserve">En mérito de lo expuesto en líneas anteriores, resultan </w:t>
      </w:r>
      <w:r>
        <w:rPr>
          <w:rFonts w:ascii="Palatino Linotype" w:hAnsi="Palatino Linotype"/>
        </w:rPr>
        <w:t>parcialmente f</w:t>
      </w:r>
      <w:r w:rsidRPr="00B81C51">
        <w:rPr>
          <w:rFonts w:ascii="Palatino Linotype" w:hAnsi="Palatino Linotype"/>
        </w:rPr>
        <w:t>undados los motivos de inconformidad que arg</w:t>
      </w:r>
      <w:r>
        <w:rPr>
          <w:rFonts w:ascii="Palatino Linotype" w:hAnsi="Palatino Linotype"/>
        </w:rPr>
        <w:t>uye el</w:t>
      </w:r>
      <w:r w:rsidRPr="00B81C51">
        <w:rPr>
          <w:rFonts w:ascii="Palatino Linotype" w:hAnsi="Palatino Linotype"/>
        </w:rPr>
        <w:t xml:space="preserve"> Recurrente en su medio de impugnación que fue materia de estudio, por ello </w:t>
      </w:r>
      <w:r>
        <w:rPr>
          <w:rFonts w:ascii="Palatino Linotype" w:hAnsi="Palatino Linotype" w:cs="Arial"/>
          <w:b/>
        </w:rPr>
        <w:t>con fundamento en la primera</w:t>
      </w:r>
      <w:r w:rsidRPr="00B81C51">
        <w:rPr>
          <w:rFonts w:ascii="Palatino Linotype" w:hAnsi="Palatino Linotype" w:cs="Arial"/>
          <w:b/>
        </w:rPr>
        <w:t xml:space="preserve"> hipótesis de la fracción III del artículo 186, </w:t>
      </w:r>
      <w:r w:rsidRPr="00B81C51">
        <w:rPr>
          <w:rFonts w:ascii="Palatino Linotype" w:hAnsi="Palatino Linotype" w:cs="Arial"/>
        </w:rPr>
        <w:t xml:space="preserve">de la Ley de Transparencia y Acceso a la Información Pública del Estado de México y Municipios, se </w:t>
      </w:r>
      <w:r>
        <w:rPr>
          <w:rFonts w:ascii="Palatino Linotype" w:hAnsi="Palatino Linotype" w:cs="Arial"/>
          <w:b/>
        </w:rPr>
        <w:t>REVOCA</w:t>
      </w:r>
      <w:r w:rsidRPr="00B81C51">
        <w:rPr>
          <w:rFonts w:ascii="Palatino Linotype" w:hAnsi="Palatino Linotype" w:cs="Arial"/>
          <w:b/>
        </w:rPr>
        <w:t xml:space="preserve"> </w:t>
      </w:r>
      <w:r w:rsidRPr="00B81C51">
        <w:rPr>
          <w:rFonts w:ascii="Palatino Linotype" w:hAnsi="Palatino Linotype" w:cs="Arial"/>
        </w:rPr>
        <w:t>la respuesta a la solicitud de información número</w:t>
      </w:r>
      <w:r w:rsidRPr="00B81C51">
        <w:rPr>
          <w:rFonts w:ascii="Palatino Linotype" w:hAnsi="Palatino Linotype"/>
          <w:b/>
        </w:rPr>
        <w:t xml:space="preserve"> </w:t>
      </w:r>
      <w:r w:rsidR="00A8377E" w:rsidRPr="00F2791F">
        <w:rPr>
          <w:rFonts w:ascii="Palatino Linotype" w:hAnsi="Palatino Linotype" w:cs="Arial"/>
          <w:b/>
        </w:rPr>
        <w:t>00471/NAUCALPA/IP/2021</w:t>
      </w:r>
      <w:r>
        <w:rPr>
          <w:rFonts w:ascii="Palatino Linotype" w:hAnsi="Palatino Linotype"/>
          <w:b/>
        </w:rPr>
        <w:t xml:space="preserve"> </w:t>
      </w:r>
      <w:r w:rsidRPr="00B81C51">
        <w:rPr>
          <w:rFonts w:ascii="Palatino Linotype" w:hAnsi="Palatino Linotype"/>
        </w:rPr>
        <w:t>que ha sido materia del presente fallo.</w:t>
      </w:r>
    </w:p>
    <w:p w:rsidR="0017203D" w:rsidRDefault="0017203D" w:rsidP="0017203D">
      <w:pPr>
        <w:pStyle w:val="Sinespaciado"/>
        <w:spacing w:line="360" w:lineRule="auto"/>
        <w:jc w:val="both"/>
        <w:rPr>
          <w:rFonts w:ascii="Palatino Linotype" w:hAnsi="Palatino Linotype"/>
        </w:rPr>
      </w:pPr>
    </w:p>
    <w:p w:rsidR="009D2628" w:rsidRDefault="009D2628" w:rsidP="0017203D">
      <w:pPr>
        <w:pStyle w:val="Sinespaciado"/>
        <w:spacing w:line="360" w:lineRule="auto"/>
        <w:jc w:val="both"/>
        <w:rPr>
          <w:rFonts w:ascii="Palatino Linotype" w:hAnsi="Palatino Linotype"/>
        </w:rPr>
      </w:pPr>
    </w:p>
    <w:p w:rsidR="0017203D" w:rsidRDefault="0017203D" w:rsidP="0017203D">
      <w:pPr>
        <w:pStyle w:val="Sinespaciado"/>
        <w:spacing w:line="360" w:lineRule="auto"/>
        <w:jc w:val="both"/>
        <w:rPr>
          <w:rFonts w:ascii="Palatino Linotype" w:hAnsi="Palatino Linotype"/>
        </w:rPr>
      </w:pPr>
      <w:r w:rsidRPr="00B81C51">
        <w:rPr>
          <w:rFonts w:ascii="Palatino Linotype" w:hAnsi="Palatino Linotype"/>
        </w:rPr>
        <w:t>Por lo antes expuesto y fundado es de resolverse y,</w:t>
      </w:r>
    </w:p>
    <w:p w:rsidR="009D2628" w:rsidRDefault="009D2628" w:rsidP="0017203D">
      <w:pPr>
        <w:pStyle w:val="Sinespaciado"/>
        <w:spacing w:line="360" w:lineRule="auto"/>
        <w:jc w:val="both"/>
        <w:rPr>
          <w:rFonts w:ascii="Palatino Linotype" w:hAnsi="Palatino Linotype"/>
        </w:rPr>
      </w:pPr>
    </w:p>
    <w:p w:rsidR="00416914" w:rsidRDefault="00416914" w:rsidP="0017203D">
      <w:pPr>
        <w:pStyle w:val="Sinespaciado"/>
        <w:spacing w:line="360" w:lineRule="auto"/>
        <w:jc w:val="both"/>
        <w:rPr>
          <w:rFonts w:ascii="Palatino Linotype" w:hAnsi="Palatino Linotype"/>
        </w:rPr>
      </w:pPr>
    </w:p>
    <w:p w:rsidR="00946ACC" w:rsidRPr="00386404" w:rsidRDefault="00946ACC" w:rsidP="00946ACC">
      <w:pPr>
        <w:pStyle w:val="Sinespaciado"/>
        <w:spacing w:line="360" w:lineRule="auto"/>
        <w:jc w:val="center"/>
        <w:rPr>
          <w:rFonts w:ascii="Palatino Linotype" w:hAnsi="Palatino Linotype"/>
          <w:b/>
          <w:bCs/>
          <w:spacing w:val="60"/>
          <w:lang w:val="es-ES_tradnl"/>
        </w:rPr>
      </w:pPr>
    </w:p>
    <w:p w:rsidR="00946ACC" w:rsidRPr="00350442" w:rsidRDefault="00946ACC" w:rsidP="00946ACC">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946ACC" w:rsidRPr="00350442" w:rsidRDefault="00946ACC" w:rsidP="00946ACC">
      <w:pPr>
        <w:pStyle w:val="Sinespaciado"/>
        <w:spacing w:line="360" w:lineRule="auto"/>
        <w:jc w:val="both"/>
        <w:rPr>
          <w:rFonts w:ascii="Palatino Linotype" w:hAnsi="Palatino Linotype"/>
          <w:b/>
          <w:bCs/>
          <w:spacing w:val="60"/>
          <w:lang w:val="es-ES_tradnl"/>
        </w:rPr>
      </w:pPr>
    </w:p>
    <w:p w:rsidR="00946ACC" w:rsidRPr="00350442" w:rsidRDefault="00946ACC" w:rsidP="00946ACC">
      <w:pPr>
        <w:pStyle w:val="Sinespaciado"/>
        <w:spacing w:line="360" w:lineRule="auto"/>
        <w:jc w:val="both"/>
        <w:rPr>
          <w:rFonts w:ascii="Palatino Linotype" w:hAnsi="Palatino Linotype" w:cs="Arial"/>
        </w:rPr>
      </w:pPr>
      <w:r w:rsidRPr="00416914">
        <w:rPr>
          <w:rFonts w:ascii="Palatino Linotype" w:hAnsi="Palatino Linotype" w:cs="Arial"/>
          <w:b/>
          <w:sz w:val="28"/>
          <w:lang w:val="es-ES_tradnl"/>
        </w:rPr>
        <w:t>PRIMERO.</w:t>
      </w:r>
      <w:r w:rsidRPr="00416914">
        <w:rPr>
          <w:rFonts w:ascii="Palatino Linotype" w:hAnsi="Palatino Linotype" w:cs="Arial"/>
          <w:sz w:val="28"/>
          <w:lang w:val="es-ES_tradnl"/>
        </w:rPr>
        <w:t xml:space="preserve"> </w:t>
      </w:r>
      <w:r w:rsidRPr="00350442">
        <w:rPr>
          <w:rFonts w:ascii="Palatino Linotype" w:hAnsi="Palatino Linotype" w:cs="Arial"/>
          <w:lang w:val="es-ES_tradnl"/>
        </w:rPr>
        <w:t xml:space="preserve">Se </w:t>
      </w:r>
      <w:r w:rsidR="003C1F07">
        <w:rPr>
          <w:rFonts w:ascii="Palatino Linotype" w:hAnsi="Palatino Linotype" w:cs="Arial"/>
          <w:b/>
          <w:lang w:val="es-ES_tradnl"/>
        </w:rPr>
        <w:t>REVOCA</w:t>
      </w:r>
      <w:r w:rsidRPr="00350442">
        <w:rPr>
          <w:rFonts w:ascii="Palatino Linotype" w:hAnsi="Palatino Linotype" w:cs="Arial"/>
          <w:lang w:val="es-ES_tradnl"/>
        </w:rPr>
        <w:t xml:space="preserve"> </w:t>
      </w:r>
      <w:r w:rsidRPr="00350442">
        <w:rPr>
          <w:rFonts w:ascii="Palatino Linotype" w:eastAsia="Arial Unicode MS" w:hAnsi="Palatino Linotype" w:cs="Arial"/>
        </w:rPr>
        <w:t>la respuesta entregada por el Sujeto Obligado</w:t>
      </w:r>
      <w:r w:rsidRPr="00350442">
        <w:rPr>
          <w:rFonts w:ascii="Palatino Linotype" w:eastAsia="Arial Unicode MS" w:hAnsi="Palatino Linotype" w:cs="Arial"/>
          <w:b/>
        </w:rPr>
        <w:t xml:space="preserve"> </w:t>
      </w:r>
      <w:r w:rsidRPr="00350442">
        <w:rPr>
          <w:rFonts w:ascii="Palatino Linotype" w:eastAsia="Arial Unicode MS" w:hAnsi="Palatino Linotype" w:cs="Arial"/>
        </w:rPr>
        <w:t xml:space="preserve">a la solicitud de información número </w:t>
      </w:r>
      <w:r w:rsidR="00A8377E" w:rsidRPr="00F2791F">
        <w:rPr>
          <w:rFonts w:ascii="Palatino Linotype" w:hAnsi="Palatino Linotype" w:cs="Arial"/>
          <w:b/>
        </w:rPr>
        <w:t>00471/NAUCALPA/IP/2021</w:t>
      </w:r>
      <w:r w:rsidRPr="00350442">
        <w:rPr>
          <w:rFonts w:ascii="Palatino Linotype" w:eastAsia="Arial Unicode MS" w:hAnsi="Palatino Linotype" w:cs="Arial"/>
        </w:rPr>
        <w:t xml:space="preserve">, por resultar </w:t>
      </w:r>
      <w:r>
        <w:rPr>
          <w:rFonts w:ascii="Palatino Linotype" w:eastAsia="Arial Unicode MS" w:hAnsi="Palatino Linotype" w:cs="Arial"/>
        </w:rPr>
        <w:t>fundados los</w:t>
      </w:r>
      <w:r w:rsidRPr="00350442">
        <w:rPr>
          <w:rFonts w:ascii="Palatino Linotype" w:eastAsia="Arial Unicode MS" w:hAnsi="Palatino Linotype" w:cs="Arial"/>
        </w:rPr>
        <w:t xml:space="preserve"> motivos de inconformidad que arguye el Recurrente, en términos del</w:t>
      </w:r>
      <w:r w:rsidRPr="00350442">
        <w:rPr>
          <w:rFonts w:ascii="Palatino Linotype" w:eastAsia="Arial Unicode MS" w:hAnsi="Palatino Linotype" w:cs="Arial"/>
          <w:b/>
        </w:rPr>
        <w:t xml:space="preserve"> </w:t>
      </w:r>
      <w:r>
        <w:rPr>
          <w:rFonts w:ascii="Palatino Linotype" w:hAnsi="Palatino Linotype" w:cs="Arial"/>
          <w:b/>
        </w:rPr>
        <w:t>Considerando CUAR</w:t>
      </w:r>
      <w:r w:rsidRPr="00350442">
        <w:rPr>
          <w:rFonts w:ascii="Palatino Linotype" w:hAnsi="Palatino Linotype" w:cs="Arial"/>
          <w:b/>
        </w:rPr>
        <w:t xml:space="preserve">TO </w:t>
      </w:r>
      <w:r w:rsidRPr="00350442">
        <w:rPr>
          <w:rFonts w:ascii="Palatino Linotype" w:hAnsi="Palatino Linotype" w:cs="Arial"/>
        </w:rPr>
        <w:t>de la presente resolución.</w:t>
      </w:r>
    </w:p>
    <w:p w:rsidR="00946ACC" w:rsidRPr="00350442" w:rsidRDefault="00946ACC" w:rsidP="00946ACC">
      <w:pPr>
        <w:pStyle w:val="Sinespaciado"/>
        <w:spacing w:line="360" w:lineRule="auto"/>
        <w:jc w:val="both"/>
        <w:rPr>
          <w:rFonts w:ascii="Palatino Linotype" w:hAnsi="Palatino Linotype" w:cs="Arial"/>
        </w:rPr>
      </w:pPr>
    </w:p>
    <w:p w:rsidR="00416914" w:rsidRDefault="00416914" w:rsidP="00946ACC">
      <w:pPr>
        <w:pStyle w:val="Sinespaciado"/>
        <w:spacing w:line="360" w:lineRule="auto"/>
        <w:jc w:val="both"/>
        <w:rPr>
          <w:rFonts w:ascii="Palatino Linotype" w:hAnsi="Palatino Linotype" w:cs="Arial"/>
          <w:b/>
          <w:sz w:val="28"/>
          <w:lang w:val="es-ES_tradnl"/>
        </w:rPr>
      </w:pPr>
    </w:p>
    <w:p w:rsidR="00416914" w:rsidRDefault="00416914" w:rsidP="00946ACC">
      <w:pPr>
        <w:pStyle w:val="Sinespaciado"/>
        <w:spacing w:line="360" w:lineRule="auto"/>
        <w:jc w:val="both"/>
        <w:rPr>
          <w:rFonts w:ascii="Palatino Linotype" w:hAnsi="Palatino Linotype" w:cs="Arial"/>
          <w:b/>
          <w:sz w:val="28"/>
          <w:lang w:val="es-ES_tradnl"/>
        </w:rPr>
      </w:pPr>
    </w:p>
    <w:p w:rsidR="00946ACC" w:rsidRPr="00350442" w:rsidRDefault="00946ACC" w:rsidP="00946ACC">
      <w:pPr>
        <w:pStyle w:val="Sinespaciado"/>
        <w:spacing w:line="360" w:lineRule="auto"/>
        <w:jc w:val="both"/>
        <w:rPr>
          <w:rFonts w:ascii="Palatino Linotype" w:hAnsi="Palatino Linotype" w:cs="Arial"/>
        </w:rPr>
      </w:pPr>
      <w:r w:rsidRPr="00416914">
        <w:rPr>
          <w:rFonts w:ascii="Palatino Linotype" w:hAnsi="Palatino Linotype" w:cs="Arial"/>
          <w:b/>
          <w:sz w:val="28"/>
          <w:lang w:val="es-ES_tradnl"/>
        </w:rPr>
        <w:t>SEGUNDO.</w:t>
      </w:r>
      <w:r w:rsidRPr="00416914">
        <w:rPr>
          <w:rFonts w:ascii="Palatino Linotype" w:hAnsi="Palatino Linotype" w:cs="Arial"/>
          <w:sz w:val="28"/>
        </w:rPr>
        <w:t xml:space="preserve"> </w:t>
      </w:r>
      <w:r w:rsidRPr="00350442">
        <w:rPr>
          <w:rFonts w:ascii="Palatino Linotype" w:hAnsi="Palatino Linotype" w:cs="Arial"/>
        </w:rPr>
        <w:t xml:space="preserve">Se </w:t>
      </w:r>
      <w:r w:rsidRPr="00350442">
        <w:rPr>
          <w:rFonts w:ascii="Palatino Linotype" w:hAnsi="Palatino Linotype" w:cs="Arial"/>
          <w:b/>
        </w:rPr>
        <w:t>ORDENA</w:t>
      </w:r>
      <w:r w:rsidRPr="00350442">
        <w:rPr>
          <w:rFonts w:ascii="Palatino Linotype" w:hAnsi="Palatino Linotype" w:cs="Arial"/>
        </w:rPr>
        <w:t xml:space="preserve"> al Sujeto Obligado</w:t>
      </w:r>
      <w:r w:rsidR="00A8377E">
        <w:rPr>
          <w:rFonts w:ascii="Palatino Linotype" w:hAnsi="Palatino Linotype" w:cs="Arial"/>
        </w:rPr>
        <w:t xml:space="preserve"> que haga entrega al Recurrente</w:t>
      </w:r>
      <w:r w:rsidR="00A8377E" w:rsidRPr="00BC72E1">
        <w:rPr>
          <w:rFonts w:ascii="Palatino Linotype" w:hAnsi="Palatino Linotype" w:cs="Arial"/>
          <w:lang w:val="es-ES_tradnl"/>
        </w:rPr>
        <w:t xml:space="preserve"> vía el Sistema de Acceso a la I</w:t>
      </w:r>
      <w:r w:rsidR="00A8377E">
        <w:rPr>
          <w:rFonts w:ascii="Palatino Linotype" w:hAnsi="Palatino Linotype" w:cs="Arial"/>
          <w:lang w:val="es-ES_tradnl"/>
        </w:rPr>
        <w:t>nformación Mexiquense (SAIMEX)</w:t>
      </w:r>
      <w:r>
        <w:rPr>
          <w:rFonts w:ascii="Palatino Linotype" w:hAnsi="Palatino Linotype" w:cs="Arial"/>
        </w:rPr>
        <w:t>,</w:t>
      </w:r>
      <w:r w:rsidR="007920C3">
        <w:rPr>
          <w:rFonts w:ascii="Palatino Linotype" w:hAnsi="Palatino Linotype" w:cs="Arial"/>
        </w:rPr>
        <w:t xml:space="preserve"> </w:t>
      </w:r>
      <w:r w:rsidR="007920C3" w:rsidRPr="00BC72E1">
        <w:rPr>
          <w:rFonts w:ascii="Palatino Linotype" w:hAnsi="Palatino Linotype" w:cs="Arial"/>
          <w:lang w:val="es-ES_tradnl"/>
        </w:rPr>
        <w:t>previa búsqueda exhaustiva y razonable</w:t>
      </w:r>
      <w:r w:rsidR="007920C3">
        <w:rPr>
          <w:rFonts w:ascii="Palatino Linotype" w:hAnsi="Palatino Linotype" w:cs="Arial"/>
          <w:lang w:val="es-ES_tradnl"/>
        </w:rPr>
        <w:t>,</w:t>
      </w:r>
      <w:r>
        <w:rPr>
          <w:rFonts w:ascii="Palatino Linotype" w:hAnsi="Palatino Linotype" w:cs="Arial"/>
        </w:rPr>
        <w:t xml:space="preserve"> </w:t>
      </w:r>
      <w:r w:rsidR="00867469">
        <w:rPr>
          <w:rFonts w:ascii="Palatino Linotype" w:hAnsi="Palatino Linotype" w:cs="Arial"/>
        </w:rPr>
        <w:t>el o</w:t>
      </w:r>
      <w:r>
        <w:rPr>
          <w:rFonts w:ascii="Palatino Linotype" w:hAnsi="Palatino Linotype" w:cs="Arial"/>
        </w:rPr>
        <w:t xml:space="preserve"> los documentos</w:t>
      </w:r>
      <w:r w:rsidR="00D87582">
        <w:rPr>
          <w:rFonts w:ascii="Palatino Linotype" w:hAnsi="Palatino Linotype" w:cs="Arial"/>
        </w:rPr>
        <w:t>, de ser procedente en versión pública,</w:t>
      </w:r>
      <w:r>
        <w:rPr>
          <w:rFonts w:ascii="Palatino Linotype" w:hAnsi="Palatino Linotype" w:cs="Arial"/>
        </w:rPr>
        <w:t xml:space="preserve"> en donde conste lo </w:t>
      </w:r>
      <w:r w:rsidRPr="00350442">
        <w:rPr>
          <w:rFonts w:ascii="Palatino Linotype" w:hAnsi="Palatino Linotype" w:cs="Arial"/>
        </w:rPr>
        <w:t>siguiente:</w:t>
      </w:r>
    </w:p>
    <w:p w:rsidR="00946ACC" w:rsidRPr="00350442" w:rsidRDefault="00946ACC" w:rsidP="00946ACC">
      <w:pPr>
        <w:pStyle w:val="Sinespaciado"/>
        <w:spacing w:line="360" w:lineRule="auto"/>
        <w:jc w:val="both"/>
        <w:rPr>
          <w:rFonts w:ascii="Palatino Linotype" w:hAnsi="Palatino Linotype" w:cs="Arial"/>
        </w:rPr>
      </w:pPr>
    </w:p>
    <w:p w:rsidR="00D87582" w:rsidRPr="00D87582" w:rsidRDefault="009502A3" w:rsidP="009502A3">
      <w:pPr>
        <w:pStyle w:val="Sinespaciado"/>
        <w:numPr>
          <w:ilvl w:val="0"/>
          <w:numId w:val="4"/>
        </w:numPr>
        <w:spacing w:line="360" w:lineRule="auto"/>
        <w:jc w:val="both"/>
        <w:rPr>
          <w:rFonts w:ascii="Palatino Linotype" w:hAnsi="Palatino Linotype"/>
        </w:rPr>
      </w:pPr>
      <w:r>
        <w:rPr>
          <w:rFonts w:ascii="Palatino Linotype" w:hAnsi="Palatino Linotype"/>
        </w:rPr>
        <w:t>T</w:t>
      </w:r>
      <w:r w:rsidRPr="009502A3">
        <w:rPr>
          <w:rFonts w:ascii="Palatino Linotype" w:hAnsi="Palatino Linotype"/>
        </w:rPr>
        <w:t>oda la información relativa al pago de proveedores, bajo la figura de adeudos de ejercicios fiscales anteriores (ADEFAS), donde se especifique por nombre de proveedor, monto pagado y se incluya el contrato de prestación de servicios o adquisic</w:t>
      </w:r>
      <w:r>
        <w:rPr>
          <w:rFonts w:ascii="Palatino Linotype" w:hAnsi="Palatino Linotype"/>
        </w:rPr>
        <w:t xml:space="preserve">ión de bienes según corresponda, </w:t>
      </w:r>
      <w:r w:rsidR="00FE4F76">
        <w:rPr>
          <w:rFonts w:ascii="Palatino Linotype" w:hAnsi="Palatino Linotype"/>
        </w:rPr>
        <w:t xml:space="preserve">del primero de enero al treinta y uno de diciembre de dos mil </w:t>
      </w:r>
      <w:r w:rsidR="00A8377E">
        <w:rPr>
          <w:rFonts w:ascii="Palatino Linotype" w:hAnsi="Palatino Linotype"/>
        </w:rPr>
        <w:t>diecinueve</w:t>
      </w:r>
      <w:r w:rsidR="005727E1">
        <w:rPr>
          <w:rFonts w:ascii="Palatino Linotype" w:hAnsi="Palatino Linotype"/>
        </w:rPr>
        <w:t>.</w:t>
      </w:r>
    </w:p>
    <w:p w:rsidR="003C1F07" w:rsidRPr="003C1F07" w:rsidRDefault="003C1F07" w:rsidP="003C1F07">
      <w:pPr>
        <w:spacing w:before="240" w:line="360" w:lineRule="auto"/>
        <w:ind w:left="360" w:right="792"/>
        <w:jc w:val="both"/>
        <w:rPr>
          <w:rFonts w:ascii="Palatino Linotype" w:hAnsi="Palatino Linotype" w:cs="Arial"/>
          <w:i/>
        </w:rPr>
      </w:pPr>
      <w:r w:rsidRPr="003C1F07">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946ACC" w:rsidRPr="003A6F06" w:rsidRDefault="00946ACC" w:rsidP="00946ACC">
      <w:pPr>
        <w:pStyle w:val="Sinespaciado"/>
        <w:spacing w:line="360" w:lineRule="auto"/>
        <w:jc w:val="both"/>
        <w:rPr>
          <w:rFonts w:ascii="Palatino Linotype" w:hAnsi="Palatino Linotype"/>
        </w:rPr>
      </w:pPr>
    </w:p>
    <w:p w:rsidR="00A520EB" w:rsidRDefault="00946ACC" w:rsidP="00946ACC">
      <w:pPr>
        <w:pStyle w:val="Sinespaciado"/>
        <w:spacing w:line="360" w:lineRule="auto"/>
        <w:jc w:val="both"/>
        <w:rPr>
          <w:rFonts w:ascii="Palatino Linotype" w:hAnsi="Palatino Linotype" w:cs="Arial"/>
        </w:rPr>
      </w:pPr>
      <w:r w:rsidRPr="00416914">
        <w:rPr>
          <w:rFonts w:ascii="Palatino Linotype" w:hAnsi="Palatino Linotype" w:cs="Arial"/>
          <w:b/>
          <w:sz w:val="28"/>
        </w:rPr>
        <w:t>TERCERO. Notifíquese</w:t>
      </w:r>
      <w:r w:rsidRPr="00416914">
        <w:rPr>
          <w:rFonts w:ascii="Palatino Linotype" w:hAnsi="Palatino Linotype" w:cs="Arial"/>
          <w:b/>
          <w:i/>
          <w:sz w:val="28"/>
        </w:rPr>
        <w:t xml:space="preserve"> </w:t>
      </w:r>
      <w:r w:rsidRPr="00350442">
        <w:rPr>
          <w:rFonts w:ascii="Palatino Linotype" w:hAnsi="Palatino Linotype" w:cs="Arial"/>
        </w:rPr>
        <w:t>al Titular de la Unidad de Transparencia del</w:t>
      </w:r>
      <w:r w:rsidRPr="00350442">
        <w:rPr>
          <w:rFonts w:ascii="Palatino Linotype" w:hAnsi="Palatino Linotype" w:cs="Arial"/>
          <w:b/>
        </w:rPr>
        <w:t xml:space="preserve"> </w:t>
      </w:r>
      <w:r w:rsidRPr="00350442">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520EB" w:rsidRPr="00350442" w:rsidRDefault="00A520EB" w:rsidP="00946ACC">
      <w:pPr>
        <w:pStyle w:val="Sinespaciado"/>
        <w:spacing w:line="360" w:lineRule="auto"/>
        <w:jc w:val="both"/>
        <w:rPr>
          <w:rFonts w:ascii="Palatino Linotype" w:hAnsi="Palatino Linotype" w:cs="Arial"/>
        </w:rPr>
      </w:pPr>
    </w:p>
    <w:p w:rsidR="00D92017" w:rsidRPr="00BD4B78" w:rsidRDefault="00D92017" w:rsidP="00D92017">
      <w:pPr>
        <w:spacing w:after="0" w:line="360" w:lineRule="auto"/>
        <w:jc w:val="both"/>
        <w:rPr>
          <w:rFonts w:ascii="Palatino Linotype" w:hAnsi="Palatino Linotype" w:cs="Arial"/>
          <w:sz w:val="24"/>
          <w:szCs w:val="24"/>
        </w:rPr>
      </w:pPr>
      <w:r w:rsidRPr="00416914">
        <w:rPr>
          <w:rFonts w:ascii="Palatino Linotype" w:eastAsia="Times New Roman" w:hAnsi="Palatino Linotype" w:cs="Arial"/>
          <w:b/>
          <w:sz w:val="28"/>
          <w:szCs w:val="28"/>
        </w:rPr>
        <w:t>CUARTO.</w:t>
      </w:r>
      <w:r>
        <w:rPr>
          <w:rFonts w:ascii="Palatino Linotype" w:eastAsia="Times New Roman" w:hAnsi="Palatino Linotype" w:cs="Arial"/>
          <w:b/>
        </w:rPr>
        <w:t xml:space="preserve"> </w:t>
      </w:r>
      <w:r w:rsidRPr="003A08B8">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92017" w:rsidRDefault="00D92017" w:rsidP="00946ACC">
      <w:pPr>
        <w:pStyle w:val="Sinespaciado"/>
        <w:spacing w:line="360" w:lineRule="auto"/>
        <w:jc w:val="both"/>
        <w:rPr>
          <w:rFonts w:ascii="Palatino Linotype" w:hAnsi="Palatino Linotype" w:cs="Arial"/>
          <w:b/>
        </w:rPr>
      </w:pPr>
    </w:p>
    <w:p w:rsidR="00946ACC" w:rsidRDefault="00D92017" w:rsidP="00946ACC">
      <w:pPr>
        <w:pStyle w:val="Sinespaciado"/>
        <w:spacing w:line="360" w:lineRule="auto"/>
        <w:jc w:val="both"/>
        <w:rPr>
          <w:rFonts w:ascii="Palatino Linotype" w:hAnsi="Palatino Linotype"/>
          <w:color w:val="222222"/>
          <w:shd w:val="clear" w:color="auto" w:fill="FFFFFF"/>
        </w:rPr>
      </w:pPr>
      <w:r w:rsidRPr="00416914">
        <w:rPr>
          <w:rFonts w:ascii="Palatino Linotype" w:hAnsi="Palatino Linotype" w:cs="Arial"/>
          <w:b/>
          <w:sz w:val="28"/>
        </w:rPr>
        <w:t>QUINTO</w:t>
      </w:r>
      <w:r w:rsidR="00946ACC" w:rsidRPr="00416914">
        <w:rPr>
          <w:rFonts w:ascii="Palatino Linotype" w:hAnsi="Palatino Linotype" w:cs="Arial"/>
          <w:b/>
          <w:sz w:val="28"/>
        </w:rPr>
        <w:t xml:space="preserve">. Notifíquese </w:t>
      </w:r>
      <w:r w:rsidR="00946ACC" w:rsidRPr="00350442">
        <w:rPr>
          <w:rFonts w:ascii="Palatino Linotype" w:hAnsi="Palatino Linotype" w:cs="Arial"/>
        </w:rPr>
        <w:t xml:space="preserve">la presente resolución al Recurrente y hágase de su conocimiento que, </w:t>
      </w:r>
      <w:r w:rsidR="00946ACC" w:rsidRPr="00350442">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946ACC" w:rsidRPr="00350442">
        <w:rPr>
          <w:rStyle w:val="apple-converted-space"/>
          <w:rFonts w:ascii="Palatino Linotype" w:hAnsi="Palatino Linotype"/>
          <w:color w:val="222222"/>
          <w:shd w:val="clear" w:color="auto" w:fill="FFFFFF"/>
        </w:rPr>
        <w:t xml:space="preserve"> </w:t>
      </w:r>
      <w:r w:rsidR="00946ACC" w:rsidRPr="00350442">
        <w:rPr>
          <w:rFonts w:ascii="Palatino Linotype" w:hAnsi="Palatino Linotype"/>
          <w:color w:val="222222"/>
          <w:shd w:val="clear" w:color="auto" w:fill="FFFFFF"/>
        </w:rPr>
        <w:t>podrá promover el Juicio de Amparo en los términos de las leyes aplicables.</w:t>
      </w:r>
    </w:p>
    <w:p w:rsidR="005F27D1" w:rsidRDefault="005F27D1" w:rsidP="00946ACC">
      <w:pPr>
        <w:pStyle w:val="Sinespaciado"/>
        <w:spacing w:line="360" w:lineRule="auto"/>
        <w:jc w:val="both"/>
        <w:rPr>
          <w:rFonts w:ascii="Palatino Linotype" w:hAnsi="Palatino Linotype"/>
          <w:color w:val="222222"/>
          <w:shd w:val="clear" w:color="auto" w:fill="FFFFFF"/>
        </w:rPr>
      </w:pPr>
    </w:p>
    <w:p w:rsidR="00CC570A" w:rsidRDefault="00CC570A" w:rsidP="00CC570A">
      <w:pPr>
        <w:autoSpaceDE w:val="0"/>
        <w:autoSpaceDN w:val="0"/>
        <w:adjustRightInd w:val="0"/>
        <w:spacing w:before="240" w:line="360" w:lineRule="auto"/>
        <w:jc w:val="both"/>
        <w:rPr>
          <w:rFonts w:ascii="Palatino Linotype" w:hAnsi="Palatino Linotype" w:cs="Arial"/>
          <w:sz w:val="24"/>
          <w:szCs w:val="24"/>
        </w:rPr>
      </w:pPr>
    </w:p>
    <w:p w:rsidR="00B04BDC" w:rsidRDefault="00A20B73" w:rsidP="00B04BDC">
      <w:pPr>
        <w:spacing w:after="0" w:line="360" w:lineRule="auto"/>
        <w:jc w:val="both"/>
        <w:rPr>
          <w:rFonts w:ascii="Palatino Linotype" w:hAnsi="Palatino Linotype"/>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TERCERA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VEINTIDÓS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SEPTIEMBRE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B04BDC">
        <w:rPr>
          <w:rFonts w:ascii="Palatino Linotype" w:hAnsi="Palatino Linotype" w:cs="Arial"/>
          <w:sz w:val="24"/>
          <w:szCs w:val="24"/>
        </w:rPr>
        <w:t>.------------------------</w:t>
      </w:r>
      <w:r w:rsidR="009502A3">
        <w:rPr>
          <w:rFonts w:ascii="Palatino Linotype" w:hAnsi="Palatino Linotype" w:cs="Arial"/>
          <w:sz w:val="24"/>
          <w:szCs w:val="24"/>
        </w:rPr>
        <w:t>---------------------------------------------------------------------------------------------------------------------------------------------------------------------------------</w:t>
      </w:r>
    </w:p>
    <w:p w:rsidR="00B04BDC" w:rsidRDefault="00FE4F76" w:rsidP="00B04BDC">
      <w:pPr>
        <w:spacing w:after="0"/>
      </w:pPr>
      <w:r>
        <w:t>JMV/CCR</w:t>
      </w:r>
      <w:r w:rsidR="00F451DF">
        <w:t>/FJJC</w:t>
      </w:r>
    </w:p>
    <w:p w:rsidR="00DD13E2" w:rsidRDefault="00DD13E2" w:rsidP="00A459D0">
      <w:pPr>
        <w:spacing w:after="0" w:line="360" w:lineRule="auto"/>
        <w:jc w:val="both"/>
      </w:pPr>
    </w:p>
    <w:p w:rsidR="009502A3" w:rsidRDefault="009502A3" w:rsidP="00A459D0">
      <w:pPr>
        <w:spacing w:after="0" w:line="360" w:lineRule="auto"/>
        <w:jc w:val="both"/>
      </w:pPr>
    </w:p>
    <w:p w:rsidR="009502A3" w:rsidRDefault="009502A3" w:rsidP="00A459D0">
      <w:pPr>
        <w:spacing w:after="0" w:line="360" w:lineRule="auto"/>
        <w:jc w:val="both"/>
      </w:pPr>
    </w:p>
    <w:p w:rsidR="009502A3" w:rsidRDefault="009502A3" w:rsidP="00A459D0">
      <w:pPr>
        <w:spacing w:after="0" w:line="360" w:lineRule="auto"/>
        <w:jc w:val="both"/>
      </w:pPr>
    </w:p>
    <w:p w:rsidR="009502A3" w:rsidRDefault="009502A3" w:rsidP="00A459D0">
      <w:pPr>
        <w:spacing w:after="0" w:line="360" w:lineRule="auto"/>
        <w:jc w:val="both"/>
      </w:pPr>
    </w:p>
    <w:p w:rsidR="009502A3" w:rsidRDefault="009502A3" w:rsidP="00A459D0">
      <w:pPr>
        <w:spacing w:after="0" w:line="360" w:lineRule="auto"/>
        <w:jc w:val="both"/>
      </w:pPr>
    </w:p>
    <w:p w:rsidR="009502A3" w:rsidRDefault="009502A3" w:rsidP="00A459D0">
      <w:pPr>
        <w:spacing w:after="0" w:line="360" w:lineRule="auto"/>
        <w:jc w:val="both"/>
      </w:pPr>
    </w:p>
    <w:sectPr w:rsidR="009502A3" w:rsidSect="00E15E85">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61E" w:rsidRDefault="0097061E" w:rsidP="00E15E85">
      <w:pPr>
        <w:spacing w:after="0" w:line="240" w:lineRule="auto"/>
      </w:pPr>
      <w:r>
        <w:separator/>
      </w:r>
    </w:p>
  </w:endnote>
  <w:endnote w:type="continuationSeparator" w:id="0">
    <w:p w:rsidR="0097061E" w:rsidRDefault="0097061E"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6773">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6773">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67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6773">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61E" w:rsidRDefault="0097061E" w:rsidP="00E15E85">
      <w:pPr>
        <w:spacing w:after="0" w:line="240" w:lineRule="auto"/>
      </w:pPr>
      <w:r>
        <w:separator/>
      </w:r>
    </w:p>
  </w:footnote>
  <w:footnote w:type="continuationSeparator" w:id="0">
    <w:p w:rsidR="0097061E" w:rsidRDefault="0097061E"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91F" w:rsidRDefault="0097061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414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97061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414314"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rsidTr="00E73F97">
      <w:trPr>
        <w:trHeight w:val="227"/>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E15E85" w:rsidRPr="00D56BC3" w:rsidRDefault="00005DF6" w:rsidP="00E73F97">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E73F97">
            <w:rPr>
              <w:rFonts w:ascii="Palatino Linotype" w:hAnsi="Palatino Linotype" w:cs="Arial"/>
              <w:bCs/>
              <w:sz w:val="24"/>
              <w:lang w:eastAsia="es-MX"/>
            </w:rPr>
            <w:t>3725</w:t>
          </w:r>
          <w:r>
            <w:rPr>
              <w:rFonts w:ascii="Palatino Linotype" w:hAnsi="Palatino Linotype" w:cs="Arial"/>
              <w:bCs/>
              <w:sz w:val="24"/>
              <w:lang w:eastAsia="es-MX"/>
            </w:rPr>
            <w:t>/INFOEM/IP/RR/2020</w:t>
          </w:r>
        </w:p>
      </w:tc>
    </w:tr>
    <w:tr w:rsidR="00E15E85" w:rsidTr="00E73F97">
      <w:trPr>
        <w:trHeight w:val="242"/>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E15E85" w:rsidRDefault="00E73F97" w:rsidP="00E15E85">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Naucalpan de Juárez</w:t>
          </w:r>
        </w:p>
      </w:tc>
    </w:tr>
    <w:tr w:rsidR="00E15E85" w:rsidTr="00E73F97">
      <w:trPr>
        <w:trHeight w:val="342"/>
      </w:trPr>
      <w:tc>
        <w:tcPr>
          <w:tcW w:w="5671" w:type="dxa"/>
          <w:hideMark/>
        </w:tcPr>
        <w:p w:rsidR="00E15E85" w:rsidRDefault="00E73F97"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E15E85">
            <w:rPr>
              <w:rFonts w:ascii="Palatino Linotype" w:hAnsi="Palatino Linotype" w:cs="Arial"/>
              <w:b/>
              <w:szCs w:val="20"/>
            </w:rPr>
            <w:t xml:space="preserve"> Ponente:</w:t>
          </w:r>
        </w:p>
      </w:tc>
      <w:tc>
        <w:tcPr>
          <w:tcW w:w="4394" w:type="dxa"/>
          <w:hideMark/>
        </w:tcPr>
        <w:p w:rsidR="00E15E85" w:rsidRDefault="00E73F97"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13"/>
      <w:gridCol w:w="4252"/>
    </w:tblGrid>
    <w:tr w:rsidR="00E15E85" w:rsidTr="00F2791F">
      <w:trPr>
        <w:trHeight w:val="227"/>
      </w:trPr>
      <w:tc>
        <w:tcPr>
          <w:tcW w:w="5813"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E15E85" w:rsidRPr="00B4142F" w:rsidRDefault="006200A2" w:rsidP="00F2791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F2791F">
            <w:rPr>
              <w:rFonts w:ascii="Palatino Linotype" w:hAnsi="Palatino Linotype" w:cs="Arial"/>
              <w:bCs/>
              <w:sz w:val="24"/>
              <w:lang w:eastAsia="es-MX"/>
            </w:rPr>
            <w:t>3725</w:t>
          </w:r>
          <w:r w:rsidR="00ED4142">
            <w:rPr>
              <w:rFonts w:ascii="Palatino Linotype" w:hAnsi="Palatino Linotype" w:cs="Arial"/>
              <w:bCs/>
              <w:sz w:val="24"/>
              <w:lang w:eastAsia="es-MX"/>
            </w:rPr>
            <w:t>/INFOEM/IP/RR/202</w:t>
          </w:r>
          <w:r w:rsidR="00F2791F">
            <w:rPr>
              <w:rFonts w:ascii="Palatino Linotype" w:hAnsi="Palatino Linotype" w:cs="Arial"/>
              <w:bCs/>
              <w:sz w:val="24"/>
              <w:lang w:eastAsia="es-MX"/>
            </w:rPr>
            <w:t>1</w:t>
          </w:r>
        </w:p>
      </w:tc>
    </w:tr>
    <w:tr w:rsidR="00E15E85" w:rsidTr="00F2791F">
      <w:trPr>
        <w:trHeight w:val="196"/>
      </w:trPr>
      <w:tc>
        <w:tcPr>
          <w:tcW w:w="5813"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252" w:type="dxa"/>
          <w:hideMark/>
        </w:tcPr>
        <w:p w:rsidR="00E15E85" w:rsidRPr="00F06FED" w:rsidRDefault="00BA6773"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w:t>
          </w:r>
          <w:proofErr w:type="spellEnd"/>
        </w:p>
      </w:tc>
    </w:tr>
    <w:tr w:rsidR="00E15E85" w:rsidTr="00F2791F">
      <w:trPr>
        <w:trHeight w:val="242"/>
      </w:trPr>
      <w:tc>
        <w:tcPr>
          <w:tcW w:w="5813"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E15E85" w:rsidRDefault="007628B7" w:rsidP="00F2791F">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 xml:space="preserve">Ayuntamiento de </w:t>
          </w:r>
          <w:r w:rsidR="00F2791F">
            <w:rPr>
              <w:rFonts w:ascii="Palatino Linotype" w:hAnsi="Palatino Linotype" w:cs="Arial"/>
              <w:szCs w:val="20"/>
            </w:rPr>
            <w:t>Naucalpan de Juárez</w:t>
          </w:r>
        </w:p>
      </w:tc>
    </w:tr>
    <w:tr w:rsidR="00E15E85" w:rsidTr="00F2791F">
      <w:trPr>
        <w:trHeight w:val="342"/>
      </w:trPr>
      <w:tc>
        <w:tcPr>
          <w:tcW w:w="5813" w:type="dxa"/>
          <w:hideMark/>
        </w:tcPr>
        <w:p w:rsidR="00E15E85" w:rsidRDefault="00F2791F"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E15E85">
            <w:rPr>
              <w:rFonts w:ascii="Palatino Linotype" w:hAnsi="Palatino Linotype" w:cs="Arial"/>
              <w:b/>
              <w:szCs w:val="20"/>
            </w:rPr>
            <w:t xml:space="preserve"> Ponente:</w:t>
          </w:r>
        </w:p>
      </w:tc>
      <w:tc>
        <w:tcPr>
          <w:tcW w:w="4252" w:type="dxa"/>
          <w:hideMark/>
        </w:tcPr>
        <w:p w:rsidR="00E15E85" w:rsidRDefault="00F2791F"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rsidR="00E15E85" w:rsidRDefault="0097061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414312"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41757142"/>
    <w:multiLevelType w:val="hybridMultilevel"/>
    <w:tmpl w:val="6CDCD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D893CC9"/>
    <w:multiLevelType w:val="hybridMultilevel"/>
    <w:tmpl w:val="48207816"/>
    <w:lvl w:ilvl="0" w:tplc="08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548A09F2"/>
    <w:multiLevelType w:val="hybridMultilevel"/>
    <w:tmpl w:val="60CC0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519"/>
    <w:rsid w:val="00005309"/>
    <w:rsid w:val="00005DF6"/>
    <w:rsid w:val="00013BCB"/>
    <w:rsid w:val="00020444"/>
    <w:rsid w:val="00020EE0"/>
    <w:rsid w:val="000222F7"/>
    <w:rsid w:val="0002397C"/>
    <w:rsid w:val="0003050E"/>
    <w:rsid w:val="00030869"/>
    <w:rsid w:val="00032CF7"/>
    <w:rsid w:val="00033003"/>
    <w:rsid w:val="00035EDB"/>
    <w:rsid w:val="00035F8F"/>
    <w:rsid w:val="00041425"/>
    <w:rsid w:val="0004795A"/>
    <w:rsid w:val="00050DB5"/>
    <w:rsid w:val="00052D4F"/>
    <w:rsid w:val="00053ED1"/>
    <w:rsid w:val="00060DD9"/>
    <w:rsid w:val="00062CBD"/>
    <w:rsid w:val="00062CDA"/>
    <w:rsid w:val="00063AE7"/>
    <w:rsid w:val="00073973"/>
    <w:rsid w:val="00074A99"/>
    <w:rsid w:val="000751FB"/>
    <w:rsid w:val="00076643"/>
    <w:rsid w:val="000773C1"/>
    <w:rsid w:val="00080E38"/>
    <w:rsid w:val="00082DF3"/>
    <w:rsid w:val="00083664"/>
    <w:rsid w:val="00087D51"/>
    <w:rsid w:val="00096CF9"/>
    <w:rsid w:val="00097F38"/>
    <w:rsid w:val="000A3740"/>
    <w:rsid w:val="000B00E1"/>
    <w:rsid w:val="000B3319"/>
    <w:rsid w:val="000B5CA4"/>
    <w:rsid w:val="000C3694"/>
    <w:rsid w:val="000C4D36"/>
    <w:rsid w:val="000C59EE"/>
    <w:rsid w:val="000D23C7"/>
    <w:rsid w:val="000D5294"/>
    <w:rsid w:val="000D6771"/>
    <w:rsid w:val="000D7FDC"/>
    <w:rsid w:val="000E2FED"/>
    <w:rsid w:val="000E56A4"/>
    <w:rsid w:val="000F019E"/>
    <w:rsid w:val="000F0611"/>
    <w:rsid w:val="000F1F3A"/>
    <w:rsid w:val="000F2A0E"/>
    <w:rsid w:val="0011750A"/>
    <w:rsid w:val="0012266D"/>
    <w:rsid w:val="00125254"/>
    <w:rsid w:val="00130D58"/>
    <w:rsid w:val="001318DC"/>
    <w:rsid w:val="00132E81"/>
    <w:rsid w:val="001374A4"/>
    <w:rsid w:val="00143758"/>
    <w:rsid w:val="00146A93"/>
    <w:rsid w:val="001501D2"/>
    <w:rsid w:val="001527DE"/>
    <w:rsid w:val="0015550A"/>
    <w:rsid w:val="00161662"/>
    <w:rsid w:val="00171798"/>
    <w:rsid w:val="00171BD5"/>
    <w:rsid w:val="0017203D"/>
    <w:rsid w:val="0018251E"/>
    <w:rsid w:val="0018257F"/>
    <w:rsid w:val="00183623"/>
    <w:rsid w:val="00186938"/>
    <w:rsid w:val="00195489"/>
    <w:rsid w:val="001A32DE"/>
    <w:rsid w:val="001B066D"/>
    <w:rsid w:val="001B160D"/>
    <w:rsid w:val="001B3E5E"/>
    <w:rsid w:val="001B58C4"/>
    <w:rsid w:val="001C0F7D"/>
    <w:rsid w:val="001C28D0"/>
    <w:rsid w:val="001C3E01"/>
    <w:rsid w:val="001C3F41"/>
    <w:rsid w:val="001C7069"/>
    <w:rsid w:val="001E5993"/>
    <w:rsid w:val="00200395"/>
    <w:rsid w:val="002019BD"/>
    <w:rsid w:val="002052F6"/>
    <w:rsid w:val="00207283"/>
    <w:rsid w:val="00216716"/>
    <w:rsid w:val="00217E99"/>
    <w:rsid w:val="00223C2F"/>
    <w:rsid w:val="00224181"/>
    <w:rsid w:val="00230DC3"/>
    <w:rsid w:val="00233D51"/>
    <w:rsid w:val="0024055C"/>
    <w:rsid w:val="00241578"/>
    <w:rsid w:val="00241B8C"/>
    <w:rsid w:val="0025319F"/>
    <w:rsid w:val="00253C58"/>
    <w:rsid w:val="00260563"/>
    <w:rsid w:val="002606F0"/>
    <w:rsid w:val="0026534C"/>
    <w:rsid w:val="002677ED"/>
    <w:rsid w:val="00272144"/>
    <w:rsid w:val="00287512"/>
    <w:rsid w:val="002902D7"/>
    <w:rsid w:val="00294D34"/>
    <w:rsid w:val="002A067D"/>
    <w:rsid w:val="002A0B8E"/>
    <w:rsid w:val="002A1820"/>
    <w:rsid w:val="002A30B2"/>
    <w:rsid w:val="002A3ED1"/>
    <w:rsid w:val="002A42E4"/>
    <w:rsid w:val="002A6F17"/>
    <w:rsid w:val="002B144D"/>
    <w:rsid w:val="002B1A4F"/>
    <w:rsid w:val="002B48E4"/>
    <w:rsid w:val="002B718C"/>
    <w:rsid w:val="002C42B8"/>
    <w:rsid w:val="002C5AC2"/>
    <w:rsid w:val="002C6BFF"/>
    <w:rsid w:val="002D1CF7"/>
    <w:rsid w:val="002E10F7"/>
    <w:rsid w:val="002F2076"/>
    <w:rsid w:val="002F539F"/>
    <w:rsid w:val="003011A8"/>
    <w:rsid w:val="003028D1"/>
    <w:rsid w:val="003034F4"/>
    <w:rsid w:val="0030350B"/>
    <w:rsid w:val="00304087"/>
    <w:rsid w:val="00307CD9"/>
    <w:rsid w:val="003126D8"/>
    <w:rsid w:val="00313FE3"/>
    <w:rsid w:val="00314E07"/>
    <w:rsid w:val="003160E8"/>
    <w:rsid w:val="003162D8"/>
    <w:rsid w:val="00317B8A"/>
    <w:rsid w:val="00325FAA"/>
    <w:rsid w:val="0032711F"/>
    <w:rsid w:val="00330A95"/>
    <w:rsid w:val="00332CFA"/>
    <w:rsid w:val="003341B0"/>
    <w:rsid w:val="00334E11"/>
    <w:rsid w:val="00336F11"/>
    <w:rsid w:val="00337B49"/>
    <w:rsid w:val="00342A59"/>
    <w:rsid w:val="00343929"/>
    <w:rsid w:val="00345C5E"/>
    <w:rsid w:val="0034696E"/>
    <w:rsid w:val="003470B1"/>
    <w:rsid w:val="003474F2"/>
    <w:rsid w:val="00347F2C"/>
    <w:rsid w:val="0035101A"/>
    <w:rsid w:val="003522E2"/>
    <w:rsid w:val="00357BFC"/>
    <w:rsid w:val="00376F14"/>
    <w:rsid w:val="00382E48"/>
    <w:rsid w:val="00385299"/>
    <w:rsid w:val="00386EC3"/>
    <w:rsid w:val="0039084D"/>
    <w:rsid w:val="00394CC7"/>
    <w:rsid w:val="003A544E"/>
    <w:rsid w:val="003B465B"/>
    <w:rsid w:val="003B49C0"/>
    <w:rsid w:val="003B5697"/>
    <w:rsid w:val="003C1F07"/>
    <w:rsid w:val="003C5897"/>
    <w:rsid w:val="003E2AE6"/>
    <w:rsid w:val="003E68C8"/>
    <w:rsid w:val="003F639D"/>
    <w:rsid w:val="003F6C6C"/>
    <w:rsid w:val="0041137A"/>
    <w:rsid w:val="00411827"/>
    <w:rsid w:val="00415ED7"/>
    <w:rsid w:val="00416914"/>
    <w:rsid w:val="0041722B"/>
    <w:rsid w:val="0042378C"/>
    <w:rsid w:val="004254FE"/>
    <w:rsid w:val="004265E4"/>
    <w:rsid w:val="00433F0F"/>
    <w:rsid w:val="00437C82"/>
    <w:rsid w:val="00437E85"/>
    <w:rsid w:val="00443C6C"/>
    <w:rsid w:val="0044757F"/>
    <w:rsid w:val="00447C95"/>
    <w:rsid w:val="0047358F"/>
    <w:rsid w:val="00481600"/>
    <w:rsid w:val="004867DE"/>
    <w:rsid w:val="00486FE1"/>
    <w:rsid w:val="00492244"/>
    <w:rsid w:val="004931E7"/>
    <w:rsid w:val="004A2BFB"/>
    <w:rsid w:val="004A4E4D"/>
    <w:rsid w:val="004B1B38"/>
    <w:rsid w:val="004C0C26"/>
    <w:rsid w:val="004C3693"/>
    <w:rsid w:val="004D2991"/>
    <w:rsid w:val="004E271B"/>
    <w:rsid w:val="004E5F55"/>
    <w:rsid w:val="004E6DB3"/>
    <w:rsid w:val="004F05B2"/>
    <w:rsid w:val="004F0802"/>
    <w:rsid w:val="004F4C76"/>
    <w:rsid w:val="005073CF"/>
    <w:rsid w:val="0050780F"/>
    <w:rsid w:val="00510D54"/>
    <w:rsid w:val="00511AC9"/>
    <w:rsid w:val="0051435E"/>
    <w:rsid w:val="00515641"/>
    <w:rsid w:val="00525565"/>
    <w:rsid w:val="00527856"/>
    <w:rsid w:val="00527C6A"/>
    <w:rsid w:val="00531D07"/>
    <w:rsid w:val="005329E8"/>
    <w:rsid w:val="005479BB"/>
    <w:rsid w:val="00554258"/>
    <w:rsid w:val="0056434F"/>
    <w:rsid w:val="005727E1"/>
    <w:rsid w:val="005733EB"/>
    <w:rsid w:val="0057576D"/>
    <w:rsid w:val="0058641D"/>
    <w:rsid w:val="0059073D"/>
    <w:rsid w:val="005A7D62"/>
    <w:rsid w:val="005B1DF4"/>
    <w:rsid w:val="005C10B2"/>
    <w:rsid w:val="005D17CF"/>
    <w:rsid w:val="005D254A"/>
    <w:rsid w:val="005E015A"/>
    <w:rsid w:val="005E601C"/>
    <w:rsid w:val="005F014F"/>
    <w:rsid w:val="005F0A95"/>
    <w:rsid w:val="005F27D1"/>
    <w:rsid w:val="005F27DF"/>
    <w:rsid w:val="005F32D2"/>
    <w:rsid w:val="00606983"/>
    <w:rsid w:val="00611799"/>
    <w:rsid w:val="00614FDD"/>
    <w:rsid w:val="00616784"/>
    <w:rsid w:val="006200A2"/>
    <w:rsid w:val="00624C9F"/>
    <w:rsid w:val="00630582"/>
    <w:rsid w:val="00631B59"/>
    <w:rsid w:val="00634239"/>
    <w:rsid w:val="00634FC9"/>
    <w:rsid w:val="00637A11"/>
    <w:rsid w:val="00650FCE"/>
    <w:rsid w:val="00651B07"/>
    <w:rsid w:val="00653AE3"/>
    <w:rsid w:val="00653B08"/>
    <w:rsid w:val="00654533"/>
    <w:rsid w:val="00654B56"/>
    <w:rsid w:val="00657E2A"/>
    <w:rsid w:val="0066339D"/>
    <w:rsid w:val="00664CA7"/>
    <w:rsid w:val="00665024"/>
    <w:rsid w:val="00673CFD"/>
    <w:rsid w:val="00680423"/>
    <w:rsid w:val="006866FB"/>
    <w:rsid w:val="006A1167"/>
    <w:rsid w:val="006B2E10"/>
    <w:rsid w:val="006C1A4F"/>
    <w:rsid w:val="006C2C4B"/>
    <w:rsid w:val="006C35AF"/>
    <w:rsid w:val="006D27AC"/>
    <w:rsid w:val="006E63CF"/>
    <w:rsid w:val="006F2EA8"/>
    <w:rsid w:val="006F46D5"/>
    <w:rsid w:val="00702AB3"/>
    <w:rsid w:val="00707CD8"/>
    <w:rsid w:val="00710683"/>
    <w:rsid w:val="0071132A"/>
    <w:rsid w:val="00712DB8"/>
    <w:rsid w:val="007152E4"/>
    <w:rsid w:val="0071620F"/>
    <w:rsid w:val="00717B4F"/>
    <w:rsid w:val="00721C6D"/>
    <w:rsid w:val="007222CB"/>
    <w:rsid w:val="00732C05"/>
    <w:rsid w:val="00751252"/>
    <w:rsid w:val="00755099"/>
    <w:rsid w:val="007577B1"/>
    <w:rsid w:val="00757BDB"/>
    <w:rsid w:val="007628B7"/>
    <w:rsid w:val="0077680C"/>
    <w:rsid w:val="00776C31"/>
    <w:rsid w:val="0079194D"/>
    <w:rsid w:val="007920C3"/>
    <w:rsid w:val="00793344"/>
    <w:rsid w:val="00793FB4"/>
    <w:rsid w:val="00797E5A"/>
    <w:rsid w:val="007A0267"/>
    <w:rsid w:val="007A1EFA"/>
    <w:rsid w:val="007B4E25"/>
    <w:rsid w:val="007B5366"/>
    <w:rsid w:val="007B7A2B"/>
    <w:rsid w:val="007C1445"/>
    <w:rsid w:val="007C5165"/>
    <w:rsid w:val="007D0FF6"/>
    <w:rsid w:val="007D276C"/>
    <w:rsid w:val="007D48FA"/>
    <w:rsid w:val="007E2959"/>
    <w:rsid w:val="007F5C41"/>
    <w:rsid w:val="0080459B"/>
    <w:rsid w:val="0081708D"/>
    <w:rsid w:val="008259CA"/>
    <w:rsid w:val="00834953"/>
    <w:rsid w:val="00834F4B"/>
    <w:rsid w:val="00837327"/>
    <w:rsid w:val="0084425F"/>
    <w:rsid w:val="00845C1C"/>
    <w:rsid w:val="00857F9A"/>
    <w:rsid w:val="00860F0A"/>
    <w:rsid w:val="00861BED"/>
    <w:rsid w:val="00867469"/>
    <w:rsid w:val="00871B5D"/>
    <w:rsid w:val="00872278"/>
    <w:rsid w:val="00873EF8"/>
    <w:rsid w:val="00875499"/>
    <w:rsid w:val="00880162"/>
    <w:rsid w:val="00881D0D"/>
    <w:rsid w:val="00883D82"/>
    <w:rsid w:val="008904FC"/>
    <w:rsid w:val="00896326"/>
    <w:rsid w:val="008A0C8F"/>
    <w:rsid w:val="008A12F6"/>
    <w:rsid w:val="008A7A86"/>
    <w:rsid w:val="008B34EC"/>
    <w:rsid w:val="008C0698"/>
    <w:rsid w:val="008C1530"/>
    <w:rsid w:val="008C2D55"/>
    <w:rsid w:val="008C314B"/>
    <w:rsid w:val="008D33FE"/>
    <w:rsid w:val="008E0DD2"/>
    <w:rsid w:val="008E0E21"/>
    <w:rsid w:val="008E3F2C"/>
    <w:rsid w:val="008E5141"/>
    <w:rsid w:val="008E7C09"/>
    <w:rsid w:val="008F084E"/>
    <w:rsid w:val="008F77B1"/>
    <w:rsid w:val="008F7A52"/>
    <w:rsid w:val="00900F66"/>
    <w:rsid w:val="009050B2"/>
    <w:rsid w:val="00905D13"/>
    <w:rsid w:val="00910B64"/>
    <w:rsid w:val="00925375"/>
    <w:rsid w:val="00940EBE"/>
    <w:rsid w:val="00943223"/>
    <w:rsid w:val="00944134"/>
    <w:rsid w:val="0094613F"/>
    <w:rsid w:val="00946ACC"/>
    <w:rsid w:val="009472F0"/>
    <w:rsid w:val="009502A3"/>
    <w:rsid w:val="00950F0A"/>
    <w:rsid w:val="0095157B"/>
    <w:rsid w:val="00956134"/>
    <w:rsid w:val="009614DA"/>
    <w:rsid w:val="00962BB1"/>
    <w:rsid w:val="00963155"/>
    <w:rsid w:val="0097061E"/>
    <w:rsid w:val="0097286C"/>
    <w:rsid w:val="00976A80"/>
    <w:rsid w:val="00980401"/>
    <w:rsid w:val="009838CD"/>
    <w:rsid w:val="00985E6C"/>
    <w:rsid w:val="009877A2"/>
    <w:rsid w:val="00991CC2"/>
    <w:rsid w:val="00992273"/>
    <w:rsid w:val="00994336"/>
    <w:rsid w:val="00997030"/>
    <w:rsid w:val="009A0459"/>
    <w:rsid w:val="009A0AC5"/>
    <w:rsid w:val="009B4889"/>
    <w:rsid w:val="009B76BF"/>
    <w:rsid w:val="009C75A5"/>
    <w:rsid w:val="009D08A9"/>
    <w:rsid w:val="009D2628"/>
    <w:rsid w:val="009D427C"/>
    <w:rsid w:val="009D4C08"/>
    <w:rsid w:val="009E1F9F"/>
    <w:rsid w:val="009E279C"/>
    <w:rsid w:val="009E3B36"/>
    <w:rsid w:val="009E3BB1"/>
    <w:rsid w:val="009E5649"/>
    <w:rsid w:val="009F30E4"/>
    <w:rsid w:val="009F4D4F"/>
    <w:rsid w:val="009F6268"/>
    <w:rsid w:val="009F7948"/>
    <w:rsid w:val="00A11FE2"/>
    <w:rsid w:val="00A1241A"/>
    <w:rsid w:val="00A202F3"/>
    <w:rsid w:val="00A20B73"/>
    <w:rsid w:val="00A21B83"/>
    <w:rsid w:val="00A24CAB"/>
    <w:rsid w:val="00A253C5"/>
    <w:rsid w:val="00A27CE2"/>
    <w:rsid w:val="00A36240"/>
    <w:rsid w:val="00A401A6"/>
    <w:rsid w:val="00A40AA7"/>
    <w:rsid w:val="00A447F3"/>
    <w:rsid w:val="00A44ACB"/>
    <w:rsid w:val="00A459D0"/>
    <w:rsid w:val="00A461A9"/>
    <w:rsid w:val="00A520EB"/>
    <w:rsid w:val="00A62E49"/>
    <w:rsid w:val="00A70873"/>
    <w:rsid w:val="00A70BE5"/>
    <w:rsid w:val="00A75D74"/>
    <w:rsid w:val="00A77CBE"/>
    <w:rsid w:val="00A8377E"/>
    <w:rsid w:val="00A859D1"/>
    <w:rsid w:val="00A863D6"/>
    <w:rsid w:val="00A92C85"/>
    <w:rsid w:val="00A948EF"/>
    <w:rsid w:val="00AA08D9"/>
    <w:rsid w:val="00AA1A77"/>
    <w:rsid w:val="00AA2CB1"/>
    <w:rsid w:val="00AA4538"/>
    <w:rsid w:val="00AA453F"/>
    <w:rsid w:val="00AA5258"/>
    <w:rsid w:val="00AA5274"/>
    <w:rsid w:val="00AB426B"/>
    <w:rsid w:val="00AC1215"/>
    <w:rsid w:val="00AC1D50"/>
    <w:rsid w:val="00AC44EF"/>
    <w:rsid w:val="00AC4880"/>
    <w:rsid w:val="00AC5FA1"/>
    <w:rsid w:val="00AD51DA"/>
    <w:rsid w:val="00AE1180"/>
    <w:rsid w:val="00AE2701"/>
    <w:rsid w:val="00AE6C3B"/>
    <w:rsid w:val="00AF32D3"/>
    <w:rsid w:val="00B013A0"/>
    <w:rsid w:val="00B020D7"/>
    <w:rsid w:val="00B04BDC"/>
    <w:rsid w:val="00B052B4"/>
    <w:rsid w:val="00B10B28"/>
    <w:rsid w:val="00B1167B"/>
    <w:rsid w:val="00B11FA7"/>
    <w:rsid w:val="00B12DA8"/>
    <w:rsid w:val="00B13C8E"/>
    <w:rsid w:val="00B1456E"/>
    <w:rsid w:val="00B165EF"/>
    <w:rsid w:val="00B16B3F"/>
    <w:rsid w:val="00B16B88"/>
    <w:rsid w:val="00B17A1D"/>
    <w:rsid w:val="00B20422"/>
    <w:rsid w:val="00B252F9"/>
    <w:rsid w:val="00B258A2"/>
    <w:rsid w:val="00B25D15"/>
    <w:rsid w:val="00B2770A"/>
    <w:rsid w:val="00B27CB2"/>
    <w:rsid w:val="00B34A6D"/>
    <w:rsid w:val="00B355AB"/>
    <w:rsid w:val="00B43530"/>
    <w:rsid w:val="00B44BB1"/>
    <w:rsid w:val="00B50BD7"/>
    <w:rsid w:val="00B51395"/>
    <w:rsid w:val="00B51AF4"/>
    <w:rsid w:val="00B54578"/>
    <w:rsid w:val="00B553D5"/>
    <w:rsid w:val="00B57A54"/>
    <w:rsid w:val="00B66DEA"/>
    <w:rsid w:val="00B67466"/>
    <w:rsid w:val="00B7353E"/>
    <w:rsid w:val="00B74369"/>
    <w:rsid w:val="00B86E3B"/>
    <w:rsid w:val="00B90BC9"/>
    <w:rsid w:val="00B942F0"/>
    <w:rsid w:val="00BA225C"/>
    <w:rsid w:val="00BA2458"/>
    <w:rsid w:val="00BA2908"/>
    <w:rsid w:val="00BA43AF"/>
    <w:rsid w:val="00BA5A1B"/>
    <w:rsid w:val="00BA6773"/>
    <w:rsid w:val="00BA68FA"/>
    <w:rsid w:val="00BB5E16"/>
    <w:rsid w:val="00BB6D63"/>
    <w:rsid w:val="00BC1280"/>
    <w:rsid w:val="00BC1A30"/>
    <w:rsid w:val="00BC1C0A"/>
    <w:rsid w:val="00BC1F65"/>
    <w:rsid w:val="00BC4EF7"/>
    <w:rsid w:val="00BD19FA"/>
    <w:rsid w:val="00BD3741"/>
    <w:rsid w:val="00BD5907"/>
    <w:rsid w:val="00BD652F"/>
    <w:rsid w:val="00BE21CE"/>
    <w:rsid w:val="00BE35D8"/>
    <w:rsid w:val="00BE6D2F"/>
    <w:rsid w:val="00BF1F57"/>
    <w:rsid w:val="00BF2F26"/>
    <w:rsid w:val="00BF4940"/>
    <w:rsid w:val="00C06006"/>
    <w:rsid w:val="00C06B0B"/>
    <w:rsid w:val="00C13508"/>
    <w:rsid w:val="00C14E4A"/>
    <w:rsid w:val="00C16071"/>
    <w:rsid w:val="00C203E8"/>
    <w:rsid w:val="00C2391B"/>
    <w:rsid w:val="00C24AE8"/>
    <w:rsid w:val="00C25BA8"/>
    <w:rsid w:val="00C40CA7"/>
    <w:rsid w:val="00C50262"/>
    <w:rsid w:val="00C503B7"/>
    <w:rsid w:val="00C522A3"/>
    <w:rsid w:val="00C546B6"/>
    <w:rsid w:val="00C56A1E"/>
    <w:rsid w:val="00C56C4E"/>
    <w:rsid w:val="00C62BDF"/>
    <w:rsid w:val="00C62E8E"/>
    <w:rsid w:val="00C63001"/>
    <w:rsid w:val="00C6478B"/>
    <w:rsid w:val="00C64C22"/>
    <w:rsid w:val="00C66E70"/>
    <w:rsid w:val="00C7126B"/>
    <w:rsid w:val="00C7747D"/>
    <w:rsid w:val="00C80AEF"/>
    <w:rsid w:val="00C847E6"/>
    <w:rsid w:val="00CA3C0C"/>
    <w:rsid w:val="00CA7BDA"/>
    <w:rsid w:val="00CC02C5"/>
    <w:rsid w:val="00CC3276"/>
    <w:rsid w:val="00CC4E94"/>
    <w:rsid w:val="00CC570A"/>
    <w:rsid w:val="00CD18A3"/>
    <w:rsid w:val="00CD55BD"/>
    <w:rsid w:val="00CF53DF"/>
    <w:rsid w:val="00D001A0"/>
    <w:rsid w:val="00D10A8B"/>
    <w:rsid w:val="00D120B9"/>
    <w:rsid w:val="00D12C9D"/>
    <w:rsid w:val="00D12DF8"/>
    <w:rsid w:val="00D15363"/>
    <w:rsid w:val="00D16237"/>
    <w:rsid w:val="00D22632"/>
    <w:rsid w:val="00D2369C"/>
    <w:rsid w:val="00D24D84"/>
    <w:rsid w:val="00D25862"/>
    <w:rsid w:val="00D27526"/>
    <w:rsid w:val="00D30D0C"/>
    <w:rsid w:val="00D352E2"/>
    <w:rsid w:val="00D405E6"/>
    <w:rsid w:val="00D41F41"/>
    <w:rsid w:val="00D54321"/>
    <w:rsid w:val="00D55CE4"/>
    <w:rsid w:val="00D55E87"/>
    <w:rsid w:val="00D56BC3"/>
    <w:rsid w:val="00D67629"/>
    <w:rsid w:val="00D70FE3"/>
    <w:rsid w:val="00D75452"/>
    <w:rsid w:val="00D8485C"/>
    <w:rsid w:val="00D86447"/>
    <w:rsid w:val="00D874D8"/>
    <w:rsid w:val="00D87582"/>
    <w:rsid w:val="00D9010D"/>
    <w:rsid w:val="00D91C17"/>
    <w:rsid w:val="00D92017"/>
    <w:rsid w:val="00D95208"/>
    <w:rsid w:val="00D95936"/>
    <w:rsid w:val="00D95F44"/>
    <w:rsid w:val="00D96638"/>
    <w:rsid w:val="00D97375"/>
    <w:rsid w:val="00DA3CBF"/>
    <w:rsid w:val="00DA454A"/>
    <w:rsid w:val="00DA598F"/>
    <w:rsid w:val="00DA7A60"/>
    <w:rsid w:val="00DB584E"/>
    <w:rsid w:val="00DB6BBE"/>
    <w:rsid w:val="00DB731A"/>
    <w:rsid w:val="00DC12D8"/>
    <w:rsid w:val="00DC3B85"/>
    <w:rsid w:val="00DC4A63"/>
    <w:rsid w:val="00DC4C5B"/>
    <w:rsid w:val="00DC6685"/>
    <w:rsid w:val="00DC75FB"/>
    <w:rsid w:val="00DD06D5"/>
    <w:rsid w:val="00DD0F9F"/>
    <w:rsid w:val="00DD13E2"/>
    <w:rsid w:val="00DD4779"/>
    <w:rsid w:val="00DD6EDF"/>
    <w:rsid w:val="00DE3B11"/>
    <w:rsid w:val="00DE6EF1"/>
    <w:rsid w:val="00DF5AFA"/>
    <w:rsid w:val="00E039B7"/>
    <w:rsid w:val="00E03B09"/>
    <w:rsid w:val="00E10982"/>
    <w:rsid w:val="00E10DEE"/>
    <w:rsid w:val="00E158AD"/>
    <w:rsid w:val="00E15E85"/>
    <w:rsid w:val="00E17114"/>
    <w:rsid w:val="00E20DFF"/>
    <w:rsid w:val="00E221C1"/>
    <w:rsid w:val="00E30AF5"/>
    <w:rsid w:val="00E34874"/>
    <w:rsid w:val="00E34FA5"/>
    <w:rsid w:val="00E372DA"/>
    <w:rsid w:val="00E41A23"/>
    <w:rsid w:val="00E4433C"/>
    <w:rsid w:val="00E44464"/>
    <w:rsid w:val="00E44BBB"/>
    <w:rsid w:val="00E57F62"/>
    <w:rsid w:val="00E623FA"/>
    <w:rsid w:val="00E62963"/>
    <w:rsid w:val="00E738B6"/>
    <w:rsid w:val="00E73F97"/>
    <w:rsid w:val="00E77E8B"/>
    <w:rsid w:val="00E80D58"/>
    <w:rsid w:val="00E819A2"/>
    <w:rsid w:val="00E8593B"/>
    <w:rsid w:val="00E85DB7"/>
    <w:rsid w:val="00E86869"/>
    <w:rsid w:val="00E87E34"/>
    <w:rsid w:val="00E91B25"/>
    <w:rsid w:val="00E92058"/>
    <w:rsid w:val="00E92E34"/>
    <w:rsid w:val="00E93890"/>
    <w:rsid w:val="00E94BA2"/>
    <w:rsid w:val="00E95D7C"/>
    <w:rsid w:val="00EA0D06"/>
    <w:rsid w:val="00EA1894"/>
    <w:rsid w:val="00EA4B96"/>
    <w:rsid w:val="00EA663A"/>
    <w:rsid w:val="00EB1C9E"/>
    <w:rsid w:val="00EB2D51"/>
    <w:rsid w:val="00EB551F"/>
    <w:rsid w:val="00EC601F"/>
    <w:rsid w:val="00EC7EDE"/>
    <w:rsid w:val="00ED007C"/>
    <w:rsid w:val="00ED3DC4"/>
    <w:rsid w:val="00ED4142"/>
    <w:rsid w:val="00ED466F"/>
    <w:rsid w:val="00ED6532"/>
    <w:rsid w:val="00EE109E"/>
    <w:rsid w:val="00EE3C39"/>
    <w:rsid w:val="00EE5CB5"/>
    <w:rsid w:val="00EF285B"/>
    <w:rsid w:val="00EF2AE9"/>
    <w:rsid w:val="00EF487A"/>
    <w:rsid w:val="00F07156"/>
    <w:rsid w:val="00F07680"/>
    <w:rsid w:val="00F174A7"/>
    <w:rsid w:val="00F2791F"/>
    <w:rsid w:val="00F319C4"/>
    <w:rsid w:val="00F3348A"/>
    <w:rsid w:val="00F342A1"/>
    <w:rsid w:val="00F36C4A"/>
    <w:rsid w:val="00F433DC"/>
    <w:rsid w:val="00F451DF"/>
    <w:rsid w:val="00F50713"/>
    <w:rsid w:val="00F54FE6"/>
    <w:rsid w:val="00F619F4"/>
    <w:rsid w:val="00F72E4A"/>
    <w:rsid w:val="00F77632"/>
    <w:rsid w:val="00F812A0"/>
    <w:rsid w:val="00F87F64"/>
    <w:rsid w:val="00F959EF"/>
    <w:rsid w:val="00F9756D"/>
    <w:rsid w:val="00FA1E45"/>
    <w:rsid w:val="00FA569C"/>
    <w:rsid w:val="00FB7C6A"/>
    <w:rsid w:val="00FC2F6B"/>
    <w:rsid w:val="00FC796F"/>
    <w:rsid w:val="00FD04A9"/>
    <w:rsid w:val="00FD0800"/>
    <w:rsid w:val="00FD2984"/>
    <w:rsid w:val="00FE0916"/>
    <w:rsid w:val="00FE2CEA"/>
    <w:rsid w:val="00FE4F76"/>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EM">
    <w:name w:val="INFOEM"/>
    <w:basedOn w:val="Normal"/>
    <w:qFormat/>
    <w:rsid w:val="009502A3"/>
    <w:pPr>
      <w:spacing w:before="240" w:line="360" w:lineRule="auto"/>
      <w:ind w:left="851" w:right="851"/>
      <w:jc w:val="both"/>
    </w:pPr>
    <w:rPr>
      <w:rFonts w:ascii="Palatino Linotype" w:hAnsi="Palatino Linotype"/>
      <w:i/>
      <w:color w:val="000000"/>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4141352">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287731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47472502">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64109414">
      <w:bodyDiv w:val="1"/>
      <w:marLeft w:val="0"/>
      <w:marRight w:val="0"/>
      <w:marTop w:val="0"/>
      <w:marBottom w:val="0"/>
      <w:divBdr>
        <w:top w:val="none" w:sz="0" w:space="0" w:color="auto"/>
        <w:left w:val="none" w:sz="0" w:space="0" w:color="auto"/>
        <w:bottom w:val="none" w:sz="0" w:space="0" w:color="auto"/>
        <w:right w:val="none" w:sz="0" w:space="0" w:color="auto"/>
      </w:divBdr>
    </w:div>
    <w:div w:id="1131829360">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9181427">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67032039">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1020924">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F2641-77A4-4EF8-A220-53C1B469B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44</Pages>
  <Words>7781</Words>
  <Characters>42796</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2020-02-11T00:15:00Z</cp:lastPrinted>
  <dcterms:created xsi:type="dcterms:W3CDTF">2021-08-24T02:21:00Z</dcterms:created>
  <dcterms:modified xsi:type="dcterms:W3CDTF">2021-10-07T19:18:00Z</dcterms:modified>
</cp:coreProperties>
</file>