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5E3D7DFC" w:rsidR="00662C69" w:rsidRDefault="009B11D6" w:rsidP="00B31E90">
      <w:pPr>
        <w:tabs>
          <w:tab w:val="left" w:pos="3465"/>
        </w:tabs>
        <w:spacing w:line="360" w:lineRule="auto"/>
        <w:jc w:val="both"/>
        <w:rPr>
          <w:rFonts w:ascii="Palatino Linotype" w:hAnsi="Palatino Linotype"/>
          <w:color w:val="000000" w:themeColor="text1"/>
        </w:rPr>
      </w:pPr>
      <w:bookmarkStart w:id="0" w:name="_GoBack"/>
      <w:bookmarkEnd w:id="0"/>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772245">
        <w:rPr>
          <w:rFonts w:ascii="Palatino Linotype" w:hAnsi="Palatino Linotype"/>
          <w:color w:val="000000" w:themeColor="text1"/>
        </w:rPr>
        <w:t>veinticuatro (24</w:t>
      </w:r>
      <w:r w:rsidR="00F17EFA">
        <w:rPr>
          <w:rFonts w:ascii="Palatino Linotype" w:hAnsi="Palatino Linotype"/>
          <w:color w:val="000000" w:themeColor="text1"/>
        </w:rPr>
        <w:t>) de noviembre</w:t>
      </w:r>
      <w:r w:rsidR="002D1AA7">
        <w:rPr>
          <w:rFonts w:ascii="Palatino Linotype" w:hAnsi="Palatino Linotype"/>
          <w:color w:val="000000" w:themeColor="text1"/>
        </w:rPr>
        <w:t xml:space="preserve"> de dos mil veintiuno</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7553951D"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00772245">
        <w:rPr>
          <w:rFonts w:ascii="Palatino Linotype" w:hAnsi="Palatino Linotype"/>
          <w:b/>
          <w:color w:val="000000" w:themeColor="text1"/>
        </w:rPr>
        <w:t>S</w:t>
      </w:r>
      <w:r w:rsidRPr="00A85CB7">
        <w:rPr>
          <w:rFonts w:ascii="Palatino Linotype" w:hAnsi="Palatino Linotype"/>
          <w:color w:val="000000" w:themeColor="text1"/>
        </w:rPr>
        <w:t xml:space="preserve"> </w:t>
      </w:r>
      <w:r w:rsidR="00772245">
        <w:rPr>
          <w:rFonts w:ascii="Palatino Linotype" w:hAnsi="Palatino Linotype"/>
          <w:color w:val="000000" w:themeColor="text1"/>
        </w:rPr>
        <w:t>los</w:t>
      </w:r>
      <w:r w:rsidRPr="00A85CB7">
        <w:rPr>
          <w:rFonts w:ascii="Palatino Linotype" w:hAnsi="Palatino Linotype"/>
          <w:color w:val="000000" w:themeColor="text1"/>
        </w:rPr>
        <w:t xml:space="preserve"> expediente</w:t>
      </w:r>
      <w:r w:rsidR="00772245">
        <w:rPr>
          <w:rFonts w:ascii="Palatino Linotype" w:hAnsi="Palatino Linotype"/>
          <w:color w:val="000000" w:themeColor="text1"/>
        </w:rPr>
        <w:t>s</w:t>
      </w:r>
      <w:r w:rsidRPr="00A85CB7">
        <w:rPr>
          <w:rFonts w:ascii="Palatino Linotype" w:hAnsi="Palatino Linotype"/>
          <w:color w:val="000000" w:themeColor="text1"/>
        </w:rPr>
        <w:t xml:space="preserve"> electrónico</w:t>
      </w:r>
      <w:r w:rsidR="00772245">
        <w:rPr>
          <w:rFonts w:ascii="Palatino Linotype" w:hAnsi="Palatino Linotype"/>
          <w:color w:val="000000" w:themeColor="text1"/>
        </w:rPr>
        <w:t>s</w:t>
      </w:r>
      <w:r w:rsidRPr="00A85CB7">
        <w:rPr>
          <w:rFonts w:ascii="Palatino Linotype" w:hAnsi="Palatino Linotype"/>
          <w:color w:val="000000" w:themeColor="text1"/>
        </w:rPr>
        <w:t xml:space="preserve"> for</w:t>
      </w:r>
      <w:r w:rsidR="00D37494" w:rsidRPr="00A85CB7">
        <w:rPr>
          <w:rFonts w:ascii="Palatino Linotype" w:hAnsi="Palatino Linotype"/>
          <w:color w:val="000000" w:themeColor="text1"/>
        </w:rPr>
        <w:t>mado</w:t>
      </w:r>
      <w:r w:rsidR="00772245">
        <w:rPr>
          <w:rFonts w:ascii="Palatino Linotype" w:hAnsi="Palatino Linotype"/>
          <w:color w:val="000000" w:themeColor="text1"/>
        </w:rPr>
        <w:t>s</w:t>
      </w:r>
      <w:r w:rsidR="00D37494" w:rsidRPr="00A85CB7">
        <w:rPr>
          <w:rFonts w:ascii="Palatino Linotype" w:hAnsi="Palatino Linotype"/>
          <w:color w:val="000000" w:themeColor="text1"/>
        </w:rPr>
        <w:t xml:space="preserve"> con motivo de</w:t>
      </w:r>
      <w:r w:rsidR="00772245">
        <w:rPr>
          <w:rFonts w:ascii="Palatino Linotype" w:hAnsi="Palatino Linotype"/>
          <w:color w:val="000000" w:themeColor="text1"/>
        </w:rPr>
        <w:t xml:space="preserve"> </w:t>
      </w:r>
      <w:r w:rsidR="00D37494" w:rsidRPr="00A85CB7">
        <w:rPr>
          <w:rFonts w:ascii="Palatino Linotype" w:hAnsi="Palatino Linotype"/>
          <w:color w:val="000000" w:themeColor="text1"/>
        </w:rPr>
        <w:t>l</w:t>
      </w:r>
      <w:r w:rsidR="00772245">
        <w:rPr>
          <w:rFonts w:ascii="Palatino Linotype" w:hAnsi="Palatino Linotype"/>
          <w:color w:val="000000" w:themeColor="text1"/>
        </w:rPr>
        <w:t>os</w:t>
      </w:r>
      <w:r w:rsidRPr="00A85CB7">
        <w:rPr>
          <w:rFonts w:ascii="Palatino Linotype" w:hAnsi="Palatino Linotype"/>
          <w:color w:val="000000" w:themeColor="text1"/>
        </w:rPr>
        <w:t xml:space="preserve"> recurso</w:t>
      </w:r>
      <w:r w:rsidR="00772245">
        <w:rPr>
          <w:rFonts w:ascii="Palatino Linotype" w:hAnsi="Palatino Linotype"/>
          <w:color w:val="000000" w:themeColor="text1"/>
        </w:rPr>
        <w:t>s</w:t>
      </w:r>
      <w:r w:rsidRPr="00A85CB7">
        <w:rPr>
          <w:rFonts w:ascii="Palatino Linotype" w:hAnsi="Palatino Linotype"/>
          <w:color w:val="000000" w:themeColor="text1"/>
        </w:rPr>
        <w:t xml:space="preserve"> de revisión </w:t>
      </w:r>
      <w:r w:rsidR="00B67B60">
        <w:rPr>
          <w:rFonts w:ascii="Palatino Linotype" w:hAnsi="Palatino Linotype"/>
          <w:b/>
          <w:bCs/>
          <w:color w:val="000000" w:themeColor="text1"/>
        </w:rPr>
        <w:t>04343/INFOEM/IP/RR/2021</w:t>
      </w:r>
      <w:r w:rsidR="00772245">
        <w:rPr>
          <w:rFonts w:ascii="Palatino Linotype" w:hAnsi="Palatino Linotype"/>
          <w:b/>
          <w:bCs/>
          <w:color w:val="000000" w:themeColor="text1"/>
        </w:rPr>
        <w:t xml:space="preserve"> </w:t>
      </w:r>
      <w:r w:rsidR="00772245">
        <w:rPr>
          <w:rFonts w:ascii="Palatino Linotype" w:hAnsi="Palatino Linotype"/>
          <w:bCs/>
          <w:color w:val="000000" w:themeColor="text1"/>
        </w:rPr>
        <w:t xml:space="preserve">y </w:t>
      </w:r>
      <w:r w:rsidR="00772245">
        <w:rPr>
          <w:rFonts w:ascii="Palatino Linotype" w:hAnsi="Palatino Linotype"/>
          <w:b/>
          <w:bCs/>
          <w:color w:val="000000" w:themeColor="text1"/>
        </w:rPr>
        <w:t>04344/INFOEM/IP/RR/2021</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w:t>
      </w:r>
      <w:r w:rsidR="00772245">
        <w:rPr>
          <w:rFonts w:ascii="Palatino Linotype" w:eastAsia="Times New Roman" w:hAnsi="Palatino Linotype" w:cs="Times New Roman"/>
          <w:color w:val="000000" w:themeColor="text1"/>
        </w:rPr>
        <w:t>s</w:t>
      </w:r>
      <w:r w:rsidR="006B31E7" w:rsidRPr="006B31E7">
        <w:rPr>
          <w:rFonts w:ascii="Palatino Linotype" w:eastAsia="Times New Roman" w:hAnsi="Palatino Linotype" w:cs="Times New Roman"/>
          <w:color w:val="000000" w:themeColor="text1"/>
        </w:rPr>
        <w:t xml:space="preserve"> por</w:t>
      </w:r>
      <w:r w:rsidR="0078249C">
        <w:rPr>
          <w:rFonts w:ascii="Palatino Linotype" w:eastAsia="Times New Roman" w:hAnsi="Palatino Linotype" w:cs="Times New Roman"/>
          <w:color w:val="000000" w:themeColor="text1"/>
        </w:rPr>
        <w:t xml:space="preserve"> </w:t>
      </w:r>
      <w:r w:rsidR="005C7CA9">
        <w:rPr>
          <w:rFonts w:ascii="Palatino Linotype" w:eastAsia="Times New Roman" w:hAnsi="Palatino Linotype" w:cs="Times New Roman"/>
          <w:b/>
          <w:color w:val="000000" w:themeColor="text1"/>
        </w:rPr>
        <w:t>XXXXXXX XX XX XXX XXXXXXX XX XX XXX</w:t>
      </w:r>
      <w:r w:rsidR="005C7CA9" w:rsidRPr="005C7CA9">
        <w:rPr>
          <w:rFonts w:ascii="Palatino Linotype" w:eastAsia="Times New Roman" w:hAnsi="Palatino Linotype" w:cs="Times New Roman"/>
          <w:b/>
          <w:color w:val="000000" w:themeColor="text1"/>
        </w:rPr>
        <w:t xml:space="preserve"> </w:t>
      </w:r>
      <w:r w:rsidR="005C7CA9">
        <w:rPr>
          <w:rFonts w:ascii="Palatino Linotype" w:eastAsia="Times New Roman" w:hAnsi="Palatino Linotype" w:cs="Times New Roman"/>
          <w:b/>
          <w:color w:val="000000" w:themeColor="text1"/>
        </w:rPr>
        <w:t>XXXXXXX XX XX XXX</w:t>
      </w:r>
      <w:r w:rsidR="00F17EFA">
        <w:rPr>
          <w:rFonts w:ascii="Palatino Linotype" w:eastAsia="Times New Roman" w:hAnsi="Palatino Linotype" w:cs="Times New Roman"/>
          <w:color w:val="000000" w:themeColor="text1"/>
        </w:rPr>
        <w:t xml:space="preserve">, en lo sucesivo, </w:t>
      </w:r>
      <w:r w:rsidR="00B67B60">
        <w:rPr>
          <w:rFonts w:ascii="Palatino Linotype" w:eastAsia="Times New Roman" w:hAnsi="Palatino Linotype" w:cs="Times New Roman"/>
          <w:color w:val="000000" w:themeColor="text1"/>
        </w:rPr>
        <w:t>el</w:t>
      </w:r>
      <w:r w:rsidR="00E92215"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w:t>
      </w:r>
      <w:r w:rsidR="00772245">
        <w:rPr>
          <w:rFonts w:ascii="Palatino Linotype" w:eastAsia="Times New Roman" w:hAnsi="Palatino Linotype" w:cs="Arial"/>
          <w:color w:val="000000" w:themeColor="text1"/>
        </w:rPr>
        <w:t>s</w:t>
      </w:r>
      <w:r w:rsidR="005F1362" w:rsidRPr="00A85CB7">
        <w:rPr>
          <w:rFonts w:ascii="Palatino Linotype" w:eastAsia="Times New Roman" w:hAnsi="Palatino Linotype" w:cs="Arial"/>
          <w:color w:val="000000" w:themeColor="text1"/>
        </w:rPr>
        <w:t xml:space="preserve"> respuesta</w:t>
      </w:r>
      <w:r w:rsidR="00772245">
        <w:rPr>
          <w:rFonts w:ascii="Palatino Linotype" w:eastAsia="Times New Roman" w:hAnsi="Palatino Linotype" w:cs="Arial"/>
          <w:color w:val="000000" w:themeColor="text1"/>
        </w:rPr>
        <w:t>s</w:t>
      </w:r>
      <w:r w:rsidR="005F1362" w:rsidRPr="00A85CB7">
        <w:rPr>
          <w:rFonts w:ascii="Palatino Linotype" w:eastAsia="Times New Roman" w:hAnsi="Palatino Linotype" w:cs="Arial"/>
          <w:color w:val="000000" w:themeColor="text1"/>
        </w:rPr>
        <w:t xml:space="preserve"> de</w:t>
      </w:r>
      <w:r w:rsidR="009B0E35">
        <w:rPr>
          <w:rFonts w:ascii="Palatino Linotype" w:eastAsia="Times New Roman" w:hAnsi="Palatino Linotype" w:cs="Arial"/>
          <w:color w:val="000000" w:themeColor="text1"/>
        </w:rPr>
        <w:t xml:space="preserve"> </w:t>
      </w:r>
      <w:r w:rsidR="005F1362" w:rsidRPr="00A85CB7">
        <w:rPr>
          <w:rFonts w:ascii="Palatino Linotype" w:eastAsia="Times New Roman" w:hAnsi="Palatino Linotype" w:cs="Arial"/>
          <w:color w:val="000000" w:themeColor="text1"/>
        </w:rPr>
        <w:t>l</w:t>
      </w:r>
      <w:r w:rsidR="009B0E35">
        <w:rPr>
          <w:rFonts w:ascii="Palatino Linotype" w:eastAsia="Times New Roman" w:hAnsi="Palatino Linotype" w:cs="Arial"/>
          <w:color w:val="000000" w:themeColor="text1"/>
        </w:rPr>
        <w:t>a</w:t>
      </w:r>
      <w:r w:rsidR="002C1007" w:rsidRPr="00A85CB7">
        <w:rPr>
          <w:rFonts w:ascii="Palatino Linotype" w:eastAsia="Times New Roman" w:hAnsi="Palatino Linotype" w:cs="Arial"/>
          <w:color w:val="000000" w:themeColor="text1"/>
        </w:rPr>
        <w:t xml:space="preserve"> </w:t>
      </w:r>
      <w:r w:rsidR="00B67B60">
        <w:rPr>
          <w:rFonts w:ascii="Palatino Linotype" w:eastAsia="Times New Roman" w:hAnsi="Palatino Linotype" w:cs="Arial"/>
          <w:b/>
          <w:color w:val="000000" w:themeColor="text1"/>
        </w:rPr>
        <w:t>Comisión de Conciliación y Arbitraje Médico del Estado de México</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F17EFA">
        <w:rPr>
          <w:rFonts w:ascii="Palatino Linotype" w:eastAsia="Calibri" w:hAnsi="Palatino Linotype" w:cs="Arial"/>
          <w:color w:val="000000" w:themeColor="text1"/>
          <w:lang w:val="es-ES"/>
        </w:rPr>
        <w:t>en adelante,</w:t>
      </w:r>
      <w:r w:rsidR="00F17EFA">
        <w:rPr>
          <w:rFonts w:ascii="Palatino Linotype" w:eastAsia="Times New Roman" w:hAnsi="Palatino Linotype" w:cs="Times New Roman"/>
          <w:color w:val="000000" w:themeColor="text1"/>
        </w:rPr>
        <w:t xml:space="preserve"> </w:t>
      </w:r>
      <w:r w:rsidR="005F1362" w:rsidRPr="00A85CB7">
        <w:rPr>
          <w:rFonts w:ascii="Palatino Linotype" w:eastAsia="Times New Roman" w:hAnsi="Palatino Linotype" w:cs="Times New Roman"/>
          <w:color w:val="000000" w:themeColor="text1"/>
        </w:rPr>
        <w:t>el</w:t>
      </w:r>
      <w:r w:rsidR="005F1362" w:rsidRPr="00A85CB7">
        <w:rPr>
          <w:rFonts w:ascii="Palatino Linotype" w:eastAsia="Times New Roman" w:hAnsi="Palatino Linotype" w:cs="Times New Roman"/>
          <w:b/>
          <w:color w:val="000000" w:themeColor="text1"/>
        </w:rPr>
        <w:t xml:space="preserve"> SUJETO OBLIGADO</w:t>
      </w:r>
      <w:r w:rsidR="005F1362" w:rsidRPr="00B67B60">
        <w:rPr>
          <w:rFonts w:ascii="Palatino Linotype" w:eastAsia="Times New Roman" w:hAnsi="Palatino Linotype" w:cs="Times New Roman"/>
          <w:color w:val="000000" w:themeColor="text1"/>
        </w:rPr>
        <w:t>,</w:t>
      </w:r>
      <w:r w:rsidR="005F1362" w:rsidRPr="00A85CB7">
        <w:rPr>
          <w:rFonts w:ascii="Palatino Linotype" w:eastAsia="Times New Roman" w:hAnsi="Palatino Linotype" w:cs="Times New Roman"/>
          <w:b/>
          <w:color w:val="000000" w:themeColor="text1"/>
        </w:rPr>
        <w:t xml:space="preserve">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395F5B5E" w:rsidR="00587366" w:rsidRPr="00A85CB7" w:rsidRDefault="00662C69" w:rsidP="00B31E90">
      <w:pPr>
        <w:pStyle w:val="Ttulo1"/>
        <w:spacing w:before="0" w:line="360" w:lineRule="auto"/>
        <w:jc w:val="center"/>
        <w:rPr>
          <w:b/>
          <w:color w:val="000000" w:themeColor="text1"/>
        </w:rPr>
      </w:pPr>
      <w:bookmarkStart w:id="1" w:name="_Toc461555884"/>
      <w:bookmarkStart w:id="2" w:name="_Toc466371847"/>
      <w:bookmarkStart w:id="3" w:name="_Toc88071776"/>
      <w:r w:rsidRPr="00A85CB7">
        <w:rPr>
          <w:b/>
          <w:color w:val="000000" w:themeColor="text1"/>
        </w:rPr>
        <w:t>ANTECEDENTES</w:t>
      </w:r>
      <w:bookmarkEnd w:id="1"/>
      <w:bookmarkEnd w:id="2"/>
      <w:bookmarkEnd w:id="3"/>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6E72F4FC"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B67B60">
        <w:rPr>
          <w:rFonts w:ascii="Palatino Linotype" w:eastAsia="Calibri" w:hAnsi="Palatino Linotype" w:cs="Arial"/>
          <w:color w:val="000000" w:themeColor="text1"/>
          <w:lang w:val="es-ES"/>
        </w:rPr>
        <w:t>cinco (05) de julio</w:t>
      </w:r>
      <w:r w:rsidR="00B31E90">
        <w:rPr>
          <w:rFonts w:ascii="Palatino Linotype" w:eastAsia="Calibri" w:hAnsi="Palatino Linotype" w:cs="Arial"/>
          <w:color w:val="000000" w:themeColor="text1"/>
          <w:lang w:val="es-ES"/>
        </w:rPr>
        <w:t xml:space="preserve"> de dos mil veintiuno</w:t>
      </w:r>
      <w:r w:rsidR="005F1362" w:rsidRPr="00A85CB7">
        <w:rPr>
          <w:rFonts w:ascii="Palatino Linotype" w:eastAsia="Calibri" w:hAnsi="Palatino Linotype" w:cs="Arial"/>
          <w:color w:val="000000" w:themeColor="text1"/>
          <w:lang w:val="es-ES"/>
        </w:rPr>
        <w:t xml:space="preserve">, </w:t>
      </w:r>
      <w:r w:rsidR="00B67B60">
        <w:rPr>
          <w:rFonts w:ascii="Palatino Linotype" w:hAnsi="Palatino Linotype"/>
          <w:color w:val="000000" w:themeColor="text1"/>
        </w:rPr>
        <w:t>el</w:t>
      </w:r>
      <w:r w:rsidR="00B31E90">
        <w:rPr>
          <w:rFonts w:ascii="Palatino Linotype" w:hAnsi="Palatino Linotype"/>
          <w:color w:val="000000" w:themeColor="text1"/>
        </w:rPr>
        <w:t xml:space="preserve"> particular</w:t>
      </w:r>
      <w:r w:rsidR="005F1362" w:rsidRPr="00A85CB7">
        <w:rPr>
          <w:rFonts w:ascii="Palatino Linotype" w:hAnsi="Palatino Linotype"/>
          <w:color w:val="000000" w:themeColor="text1"/>
        </w:rPr>
        <w:t xml:space="preserve"> presentó</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 xml:space="preserve">a través </w:t>
      </w:r>
      <w:r w:rsidR="00DE4F75">
        <w:rPr>
          <w:rFonts w:ascii="Palatino Linotype" w:hAnsi="Palatino Linotype"/>
          <w:bCs/>
          <w:color w:val="000000" w:themeColor="text1"/>
        </w:rPr>
        <w:t>de</w:t>
      </w:r>
      <w:r w:rsidR="00B67B60">
        <w:rPr>
          <w:rFonts w:ascii="Palatino Linotype" w:hAnsi="Palatino Linotype"/>
          <w:bCs/>
          <w:color w:val="000000" w:themeColor="text1"/>
        </w:rPr>
        <w:t xml:space="preserve"> </w:t>
      </w:r>
      <w:r w:rsidR="00DE4F75">
        <w:rPr>
          <w:rFonts w:ascii="Palatino Linotype" w:hAnsi="Palatino Linotype"/>
          <w:bCs/>
          <w:color w:val="000000" w:themeColor="text1"/>
        </w:rPr>
        <w:t>l</w:t>
      </w:r>
      <w:r w:rsidR="00B67B60">
        <w:rPr>
          <w:rFonts w:ascii="Palatino Linotype" w:hAnsi="Palatino Linotype"/>
          <w:bCs/>
          <w:color w:val="000000" w:themeColor="text1"/>
        </w:rPr>
        <w:t>a Plataforma Nacional de Transparencia, vinculada al</w:t>
      </w:r>
      <w:r w:rsidR="00DE4F75">
        <w:rPr>
          <w:rFonts w:ascii="Palatino Linotype" w:hAnsi="Palatino Linotype"/>
          <w:bCs/>
          <w:color w:val="000000" w:themeColor="text1"/>
        </w:rPr>
        <w:t xml:space="preserve"> </w:t>
      </w:r>
      <w:r w:rsidR="005F1362" w:rsidRPr="00A85CB7">
        <w:rPr>
          <w:rFonts w:ascii="Palatino Linotype" w:eastAsia="Calibri" w:hAnsi="Palatino Linotype" w:cs="Arial"/>
          <w:color w:val="000000" w:themeColor="text1"/>
          <w:lang w:val="es-ES"/>
        </w:rPr>
        <w:t xml:space="preserve">Sistema de Acceso a la Información Mexiquense </w:t>
      </w:r>
      <w:r w:rsidR="005F1362" w:rsidRPr="00127E68">
        <w:rPr>
          <w:rFonts w:ascii="Palatino Linotype" w:eastAsia="Calibri" w:hAnsi="Palatino Linotype" w:cs="Arial"/>
          <w:bCs/>
          <w:color w:val="000000" w:themeColor="text1"/>
          <w:lang w:val="es-ES"/>
        </w:rPr>
        <w:t>(</w:t>
      </w:r>
      <w:r w:rsidR="005F1362" w:rsidRPr="005B4B08">
        <w:rPr>
          <w:rFonts w:ascii="Palatino Linotype" w:eastAsia="Calibri" w:hAnsi="Palatino Linotype" w:cs="Arial"/>
          <w:bCs/>
          <w:color w:val="000000" w:themeColor="text1"/>
          <w:lang w:val="es-ES"/>
        </w:rPr>
        <w:t>SAIMEX</w:t>
      </w:r>
      <w:r w:rsidR="005F1362" w:rsidRPr="00127E68">
        <w:rPr>
          <w:rFonts w:ascii="Palatino Linotype" w:eastAsia="Calibri" w:hAnsi="Palatino Linotype" w:cs="Arial"/>
          <w:bCs/>
          <w:color w:val="000000" w:themeColor="text1"/>
          <w:lang w:val="es-ES"/>
        </w:rPr>
        <w:t>)</w:t>
      </w:r>
      <w:r w:rsidR="005F1362" w:rsidRPr="00A85CB7">
        <w:rPr>
          <w:rFonts w:ascii="Palatino Linotype" w:eastAsia="Calibri" w:hAnsi="Palatino Linotype" w:cs="Arial"/>
          <w:color w:val="000000" w:themeColor="text1"/>
          <w:lang w:val="es-ES"/>
        </w:rPr>
        <w:t>, la</w:t>
      </w:r>
      <w:r w:rsidR="00772245">
        <w:rPr>
          <w:rFonts w:ascii="Palatino Linotype" w:eastAsia="Calibri" w:hAnsi="Palatino Linotype" w:cs="Arial"/>
          <w:color w:val="000000" w:themeColor="text1"/>
          <w:lang w:val="es-ES"/>
        </w:rPr>
        <w:t>s</w:t>
      </w:r>
      <w:r w:rsidR="005F1362" w:rsidRPr="00A85CB7">
        <w:rPr>
          <w:rFonts w:ascii="Palatino Linotype" w:eastAsia="Calibri" w:hAnsi="Palatino Linotype" w:cs="Arial"/>
          <w:color w:val="000000" w:themeColor="text1"/>
          <w:lang w:val="es-ES"/>
        </w:rPr>
        <w:t xml:space="preserve"> solicitud</w:t>
      </w:r>
      <w:r w:rsidR="00772245">
        <w:rPr>
          <w:rFonts w:ascii="Palatino Linotype" w:eastAsia="Calibri" w:hAnsi="Palatino Linotype" w:cs="Arial"/>
          <w:color w:val="000000" w:themeColor="text1"/>
          <w:lang w:val="es-ES"/>
        </w:rPr>
        <w:t>es</w:t>
      </w:r>
      <w:r w:rsidR="005F1362" w:rsidRPr="00A85CB7">
        <w:rPr>
          <w:rFonts w:ascii="Palatino Linotype" w:eastAsia="Calibri" w:hAnsi="Palatino Linotype" w:cs="Arial"/>
          <w:color w:val="000000" w:themeColor="text1"/>
          <w:lang w:val="es-ES"/>
        </w:rPr>
        <w:t xml:space="preserve"> de información pública registrada</w:t>
      </w:r>
      <w:r w:rsidR="00772245">
        <w:rPr>
          <w:rFonts w:ascii="Palatino Linotype" w:eastAsia="Calibri" w:hAnsi="Palatino Linotype" w:cs="Arial"/>
          <w:color w:val="000000" w:themeColor="text1"/>
          <w:lang w:val="es-ES"/>
        </w:rPr>
        <w:t>s con los</w:t>
      </w:r>
      <w:r w:rsidR="005F1362" w:rsidRPr="00A85CB7">
        <w:rPr>
          <w:rFonts w:ascii="Palatino Linotype" w:eastAsia="Calibri" w:hAnsi="Palatino Linotype" w:cs="Arial"/>
          <w:color w:val="000000" w:themeColor="text1"/>
          <w:lang w:val="es-ES"/>
        </w:rPr>
        <w:t xml:space="preserve"> número</w:t>
      </w:r>
      <w:r w:rsidR="00772245">
        <w:rPr>
          <w:rFonts w:ascii="Palatino Linotype" w:eastAsia="Calibri" w:hAnsi="Palatino Linotype" w:cs="Arial"/>
          <w:color w:val="000000" w:themeColor="text1"/>
          <w:lang w:val="es-ES"/>
        </w:rPr>
        <w:t xml:space="preserve">s </w:t>
      </w:r>
      <w:r w:rsidR="00772245" w:rsidRPr="00772245">
        <w:rPr>
          <w:rFonts w:ascii="Palatino Linotype" w:eastAsia="Calibri" w:hAnsi="Palatino Linotype" w:cs="Arial"/>
          <w:b/>
          <w:color w:val="000000" w:themeColor="text1"/>
          <w:lang w:val="es-ES"/>
        </w:rPr>
        <w:t>00226/CAMEM/IP/2021</w:t>
      </w:r>
      <w:r w:rsidR="00772245">
        <w:rPr>
          <w:rFonts w:ascii="Palatino Linotype" w:eastAsia="Calibri" w:hAnsi="Palatino Linotype" w:cs="Arial"/>
          <w:color w:val="000000" w:themeColor="text1"/>
          <w:lang w:val="es-ES"/>
        </w:rPr>
        <w:t xml:space="preserve"> y</w:t>
      </w:r>
      <w:r w:rsidR="005F1362" w:rsidRPr="00A85CB7">
        <w:rPr>
          <w:rFonts w:ascii="Palatino Linotype" w:hAnsi="Palatino Linotype"/>
          <w:b/>
          <w:bCs/>
          <w:color w:val="000000" w:themeColor="text1"/>
        </w:rPr>
        <w:t xml:space="preserve"> </w:t>
      </w:r>
      <w:r w:rsidR="00B67B60">
        <w:rPr>
          <w:rFonts w:ascii="Palatino Linotype" w:hAnsi="Palatino Linotype"/>
          <w:b/>
          <w:bCs/>
          <w:color w:val="000000" w:themeColor="text1"/>
        </w:rPr>
        <w:t>00227/CAMEM/IP/2021</w:t>
      </w:r>
      <w:r w:rsidR="005F1362" w:rsidRPr="00A85CB7">
        <w:rPr>
          <w:rFonts w:ascii="Palatino Linotype" w:hAnsi="Palatino Linotype"/>
          <w:b/>
          <w:bCs/>
          <w:color w:val="000000" w:themeColor="text1"/>
        </w:rPr>
        <w:t>,</w:t>
      </w:r>
      <w:r w:rsidR="00772245">
        <w:rPr>
          <w:rFonts w:ascii="Palatino Linotype" w:eastAsia="Calibri" w:hAnsi="Palatino Linotype" w:cs="Arial"/>
          <w:color w:val="000000" w:themeColor="text1"/>
          <w:lang w:val="es-ES"/>
        </w:rPr>
        <w:t xml:space="preserve"> mediante las que </w:t>
      </w:r>
      <w:r w:rsidR="005F1362" w:rsidRPr="00A85CB7">
        <w:rPr>
          <w:rFonts w:ascii="Palatino Linotype" w:eastAsia="Calibri" w:hAnsi="Palatino Linotype" w:cs="Arial"/>
          <w:color w:val="000000" w:themeColor="text1"/>
          <w:lang w:val="es-ES"/>
        </w:rPr>
        <w:t>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4B2D6726" w14:textId="6FB0CAEC" w:rsidR="00772245" w:rsidRPr="00772245" w:rsidRDefault="00772245" w:rsidP="00B31E90">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00226/CAMEM/IP/2021</w:t>
      </w:r>
    </w:p>
    <w:p w14:paraId="605C5067" w14:textId="3B91C3C1" w:rsidR="0097210F" w:rsidRDefault="005F1362" w:rsidP="00B31E90">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00772245" w:rsidRPr="00772245">
        <w:rPr>
          <w:rFonts w:ascii="Palatino Linotype" w:hAnsi="Palatino Linotype"/>
          <w:i/>
          <w:iCs/>
          <w:color w:val="000000" w:themeColor="text1"/>
          <w:sz w:val="22"/>
          <w:szCs w:val="22"/>
        </w:rPr>
        <w:t xml:space="preserve">Copia integra de la totalidad de todas y cada una de las paginas que integran el expediente de la COMISIÓN DE CONCILIACION Y ARBITRAJE MÉDICO DEL </w:t>
      </w:r>
      <w:r w:rsidR="00772245" w:rsidRPr="00772245">
        <w:rPr>
          <w:rFonts w:ascii="Palatino Linotype" w:hAnsi="Palatino Linotype"/>
          <w:i/>
          <w:iCs/>
          <w:color w:val="000000" w:themeColor="text1"/>
          <w:sz w:val="22"/>
          <w:szCs w:val="22"/>
        </w:rPr>
        <w:lastRenderedPageBreak/>
        <w:t>ESTADO DE MEXICO. NUMERO: CCAMEM/TOL/D/1218/2019 SOLICITÓ LA VERSIÓN PÚBLICA DIGITALIZADO EN PDF SIN PAGO DE GASTOS</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4A4828CC" w14:textId="77777777" w:rsidR="00772245" w:rsidRDefault="00772245" w:rsidP="00B31E90">
      <w:pPr>
        <w:pStyle w:val="Prrafodelista"/>
        <w:spacing w:line="276" w:lineRule="auto"/>
        <w:ind w:left="567" w:right="567"/>
        <w:jc w:val="both"/>
        <w:rPr>
          <w:rFonts w:ascii="Palatino Linotype" w:hAnsi="Palatino Linotype"/>
          <w:i/>
          <w:color w:val="000000" w:themeColor="text1"/>
          <w:szCs w:val="22"/>
        </w:rPr>
      </w:pPr>
    </w:p>
    <w:p w14:paraId="5AEECF9F" w14:textId="77777777" w:rsidR="00772245" w:rsidRPr="00772245" w:rsidRDefault="00772245" w:rsidP="00772245">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00227/CAMEM/IP/2021</w:t>
      </w:r>
    </w:p>
    <w:p w14:paraId="169FF462" w14:textId="77777777" w:rsidR="00772245" w:rsidRPr="00A85CB7" w:rsidRDefault="00772245" w:rsidP="00772245">
      <w:pPr>
        <w:pStyle w:val="Prrafodelista"/>
        <w:spacing w:line="276" w:lineRule="auto"/>
        <w:ind w:left="567" w:right="567"/>
        <w:jc w:val="both"/>
        <w:rPr>
          <w:rFonts w:ascii="Palatino Linotype" w:hAnsi="Palatino Linotype"/>
          <w:i/>
          <w:color w:val="000000" w:themeColor="text1"/>
          <w:szCs w:val="22"/>
        </w:rPr>
      </w:pPr>
      <w:r w:rsidRPr="00A85CB7">
        <w:rPr>
          <w:rFonts w:ascii="Palatino Linotype" w:hAnsi="Palatino Linotype"/>
          <w:i/>
          <w:color w:val="000000" w:themeColor="text1"/>
          <w:sz w:val="22"/>
          <w:szCs w:val="22"/>
        </w:rPr>
        <w:t>“</w:t>
      </w:r>
      <w:r w:rsidRPr="00B67B60">
        <w:rPr>
          <w:rFonts w:ascii="Palatino Linotype" w:hAnsi="Palatino Linotype"/>
          <w:i/>
          <w:iCs/>
          <w:color w:val="000000" w:themeColor="text1"/>
          <w:sz w:val="22"/>
          <w:szCs w:val="22"/>
        </w:rPr>
        <w:t>Copia integra de la totalidad de todas y cada una de las paginas que integran el DICTAMEN TECNICO-MÉDICO INSTITUCIONAL emitido por la COMISIÓN DE CONCILIACION Y ARBITRAJE MÉDICO DEL ESTADO DE MEXICO. NUMERO CCAMEM/TOL/D/1218/2019 solicitó la copia que se me expida de la versión pública sea mediante documento pdf enviada a la plataforma</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49C21E77" w14:textId="166CC73C" w:rsidR="0039142B" w:rsidRPr="00A85CB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85CB7">
        <w:rPr>
          <w:rFonts w:ascii="Palatino Linotype" w:hAnsi="Palatino Linotype" w:cs="Arial"/>
          <w:color w:val="000000" w:themeColor="text1"/>
        </w:rPr>
        <w:t xml:space="preserve">Se hace constar que </w:t>
      </w:r>
      <w:r w:rsidR="00025127" w:rsidRPr="00A85CB7">
        <w:rPr>
          <w:rFonts w:ascii="Palatino Linotype" w:eastAsia="Times New Roman" w:hAnsi="Palatino Linotype" w:cs="Arial"/>
          <w:color w:val="000000" w:themeColor="text1"/>
          <w:lang w:val="es-ES"/>
        </w:rPr>
        <w:t>el entonces</w:t>
      </w:r>
      <w:r w:rsidR="00FD7996" w:rsidRPr="00A85CB7">
        <w:rPr>
          <w:rFonts w:ascii="Palatino Linotype" w:eastAsia="Times New Roman" w:hAnsi="Palatino Linotype" w:cs="Arial"/>
          <w:color w:val="000000" w:themeColor="text1"/>
          <w:lang w:val="es-ES"/>
        </w:rPr>
        <w:t xml:space="preserve"> </w:t>
      </w:r>
      <w:r w:rsidR="00FD7996" w:rsidRPr="00A85CB7">
        <w:rPr>
          <w:rFonts w:ascii="Palatino Linotype" w:eastAsia="Times New Roman" w:hAnsi="Palatino Linotype" w:cs="Arial"/>
          <w:b/>
          <w:color w:val="000000" w:themeColor="text1"/>
          <w:lang w:val="es-ES"/>
        </w:rPr>
        <w:t>SOLICITANTE</w:t>
      </w:r>
      <w:r w:rsidRPr="00A85CB7">
        <w:rPr>
          <w:rFonts w:ascii="Palatino Linotype" w:eastAsia="Times New Roman" w:hAnsi="Palatino Linotype" w:cs="Arial"/>
          <w:color w:val="000000" w:themeColor="text1"/>
          <w:lang w:val="es-ES"/>
        </w:rPr>
        <w:t xml:space="preserve"> señaló como modalidad de entrega de la información</w:t>
      </w:r>
      <w:r w:rsidR="000E096F">
        <w:rPr>
          <w:rFonts w:ascii="Palatino Linotype" w:eastAsia="Times New Roman" w:hAnsi="Palatino Linotype" w:cs="Arial"/>
          <w:color w:val="000000" w:themeColor="text1"/>
          <w:lang w:val="es-ES"/>
        </w:rPr>
        <w:t>, para ambas solicitudes</w:t>
      </w:r>
      <w:r w:rsidRPr="00A85CB7">
        <w:rPr>
          <w:rFonts w:ascii="Palatino Linotype" w:eastAsia="Times New Roman" w:hAnsi="Palatino Linotype" w:cs="Arial"/>
          <w:b/>
          <w:color w:val="000000" w:themeColor="text1"/>
          <w:lang w:val="es-ES"/>
        </w:rPr>
        <w:t>:</w:t>
      </w:r>
      <w:r w:rsidR="001E4152">
        <w:rPr>
          <w:rFonts w:ascii="Palatino Linotype" w:eastAsia="Times New Roman" w:hAnsi="Palatino Linotype" w:cs="Arial"/>
          <w:b/>
          <w:color w:val="000000" w:themeColor="text1"/>
          <w:lang w:val="es-ES"/>
        </w:rPr>
        <w:t xml:space="preserve"> </w:t>
      </w:r>
      <w:r w:rsidR="001E4152">
        <w:rPr>
          <w:rFonts w:ascii="Palatino Linotype" w:eastAsia="Times New Roman" w:hAnsi="Palatino Linotype" w:cs="Arial"/>
          <w:b/>
          <w:i/>
          <w:iCs/>
          <w:color w:val="000000" w:themeColor="text1"/>
          <w:lang w:val="es-ES"/>
        </w:rPr>
        <w:t>A través del SAIMEX</w:t>
      </w:r>
      <w:r w:rsidR="005B4B08">
        <w:rPr>
          <w:rFonts w:ascii="Palatino Linotype" w:eastAsia="Calibri" w:hAnsi="Palatino Linotype" w:cs="Arial"/>
          <w:b/>
          <w:color w:val="000000" w:themeColor="text1"/>
          <w:lang w:val="es-ES"/>
        </w:rPr>
        <w:t xml:space="preserve"> </w:t>
      </w:r>
      <w:r w:rsidR="005B4B08">
        <w:rPr>
          <w:rFonts w:ascii="Palatino Linotype" w:eastAsia="Calibri" w:hAnsi="Palatino Linotype" w:cs="Arial"/>
          <w:color w:val="000000" w:themeColor="text1"/>
          <w:lang w:val="es-ES"/>
        </w:rPr>
        <w:t xml:space="preserve">y </w:t>
      </w:r>
      <w:r w:rsidR="005B4B08">
        <w:rPr>
          <w:rFonts w:ascii="Palatino Linotype" w:eastAsia="Calibri" w:hAnsi="Palatino Linotype" w:cs="Arial"/>
          <w:b/>
          <w:i/>
          <w:color w:val="000000" w:themeColor="text1"/>
          <w:lang w:val="es-ES"/>
        </w:rPr>
        <w:t>correo electrónico</w:t>
      </w:r>
      <w:r w:rsidR="005B4B08">
        <w:rPr>
          <w:rFonts w:ascii="Palatino Linotype" w:eastAsia="Calibri" w:hAnsi="Palatino Linotype" w:cs="Arial"/>
          <w:color w:val="000000" w:themeColor="text1"/>
          <w:lang w:val="es-ES"/>
        </w:rPr>
        <w:t>.</w:t>
      </w:r>
    </w:p>
    <w:p w14:paraId="35BA18A9" w14:textId="77777777" w:rsidR="0039142B" w:rsidRPr="00A85C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6B82CBB6" w:rsidR="0022448D" w:rsidRPr="00022D89"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22D89">
        <w:rPr>
          <w:rFonts w:ascii="Palatino Linotype" w:eastAsia="MS Mincho" w:hAnsi="Palatino Linotype" w:cs="Times New Roman"/>
          <w:color w:val="000000" w:themeColor="text1"/>
        </w:rPr>
        <w:t xml:space="preserve">El </w:t>
      </w:r>
      <w:r w:rsidR="00B67B60">
        <w:rPr>
          <w:rFonts w:ascii="Palatino Linotype" w:eastAsia="MS Mincho" w:hAnsi="Palatino Linotype" w:cs="Times New Roman"/>
          <w:color w:val="000000" w:themeColor="text1"/>
        </w:rPr>
        <w:t>diez (10</w:t>
      </w:r>
      <w:r w:rsidR="000411E2">
        <w:rPr>
          <w:rFonts w:ascii="Palatino Linotype" w:eastAsia="MS Mincho" w:hAnsi="Palatino Linotype" w:cs="Times New Roman"/>
          <w:color w:val="000000" w:themeColor="text1"/>
        </w:rPr>
        <w:t>)</w:t>
      </w:r>
      <w:r w:rsidR="00F96460">
        <w:rPr>
          <w:rFonts w:ascii="Palatino Linotype" w:eastAsia="MS Mincho" w:hAnsi="Palatino Linotype" w:cs="Times New Roman"/>
          <w:color w:val="000000" w:themeColor="text1"/>
        </w:rPr>
        <w:t xml:space="preserve"> de agosto</w:t>
      </w:r>
      <w:r w:rsidR="00762697" w:rsidRPr="00022D89">
        <w:rPr>
          <w:rFonts w:ascii="Palatino Linotype" w:eastAsia="MS Mincho" w:hAnsi="Palatino Linotype" w:cs="Times New Roman"/>
          <w:color w:val="000000" w:themeColor="text1"/>
        </w:rPr>
        <w:t xml:space="preserve"> de dos mil </w:t>
      </w:r>
      <w:r w:rsidR="000411E2" w:rsidRPr="00022D89">
        <w:rPr>
          <w:rFonts w:ascii="Palatino Linotype" w:eastAsia="MS Mincho" w:hAnsi="Palatino Linotype" w:cs="Times New Roman"/>
          <w:color w:val="000000" w:themeColor="text1"/>
        </w:rPr>
        <w:t xml:space="preserve">veintiuno, </w:t>
      </w:r>
      <w:r w:rsidR="000411E2" w:rsidRPr="00022D89">
        <w:rPr>
          <w:rFonts w:ascii="Palatino Linotype" w:hAnsi="Palatino Linotype"/>
          <w:color w:val="000000" w:themeColor="text1"/>
          <w:szCs w:val="14"/>
        </w:rPr>
        <w:t xml:space="preserve">el </w:t>
      </w:r>
      <w:r w:rsidR="000411E2" w:rsidRPr="00022D89">
        <w:rPr>
          <w:rFonts w:ascii="Palatino Linotype" w:hAnsi="Palatino Linotype"/>
          <w:b/>
          <w:color w:val="000000" w:themeColor="text1"/>
          <w:szCs w:val="14"/>
        </w:rPr>
        <w:t>SUJETO OBLIGADO</w:t>
      </w:r>
      <w:r w:rsidR="000411E2" w:rsidRPr="00022D89">
        <w:rPr>
          <w:rFonts w:ascii="Palatino Linotype" w:hAnsi="Palatino Linotype"/>
          <w:color w:val="000000" w:themeColor="text1"/>
          <w:szCs w:val="14"/>
        </w:rPr>
        <w:t xml:space="preserve"> dio respuesta a la</w:t>
      </w:r>
      <w:r w:rsidR="000E096F">
        <w:rPr>
          <w:rFonts w:ascii="Palatino Linotype" w:hAnsi="Palatino Linotype"/>
          <w:color w:val="000000" w:themeColor="text1"/>
          <w:szCs w:val="14"/>
        </w:rPr>
        <w:t>s</w:t>
      </w:r>
      <w:r w:rsidR="000411E2" w:rsidRPr="00022D89">
        <w:rPr>
          <w:rFonts w:ascii="Palatino Linotype" w:hAnsi="Palatino Linotype"/>
          <w:color w:val="000000" w:themeColor="text1"/>
          <w:szCs w:val="14"/>
        </w:rPr>
        <w:t xml:space="preserve"> solicitud</w:t>
      </w:r>
      <w:r w:rsidR="000E096F">
        <w:rPr>
          <w:rFonts w:ascii="Palatino Linotype" w:hAnsi="Palatino Linotype"/>
          <w:color w:val="000000" w:themeColor="text1"/>
          <w:szCs w:val="14"/>
        </w:rPr>
        <w:t>es</w:t>
      </w:r>
      <w:r w:rsidR="000411E2" w:rsidRPr="00022D89">
        <w:rPr>
          <w:rFonts w:ascii="Palatino Linotype" w:hAnsi="Palatino Linotype"/>
          <w:color w:val="000000" w:themeColor="text1"/>
          <w:szCs w:val="14"/>
        </w:rPr>
        <w:t xml:space="preserve"> de información en los siguientes términos:</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29F2DD8F" w14:textId="0018BB66" w:rsidR="000E096F" w:rsidRPr="000E096F" w:rsidRDefault="000E096F" w:rsidP="000E096F">
      <w:pPr>
        <w:pStyle w:val="Sinespaciado"/>
        <w:spacing w:line="276" w:lineRule="auto"/>
        <w:ind w:left="567" w:right="567"/>
        <w:jc w:val="both"/>
        <w:rPr>
          <w:rFonts w:ascii="Palatino Linotype" w:hAnsi="Palatino Linotype"/>
          <w:b/>
          <w:noProof/>
          <w:color w:val="000000" w:themeColor="text1"/>
          <w:sz w:val="22"/>
          <w:szCs w:val="22"/>
          <w:lang w:val="es-MX" w:eastAsia="es-MX"/>
        </w:rPr>
      </w:pPr>
      <w:r>
        <w:rPr>
          <w:rFonts w:ascii="Palatino Linotype" w:hAnsi="Palatino Linotype"/>
          <w:b/>
          <w:noProof/>
          <w:color w:val="000000" w:themeColor="text1"/>
          <w:sz w:val="22"/>
          <w:szCs w:val="22"/>
          <w:lang w:val="es-MX" w:eastAsia="es-MX"/>
        </w:rPr>
        <w:t>Respuesta a la solicitud 00226/CAMEM/IP/2021:</w:t>
      </w:r>
    </w:p>
    <w:p w14:paraId="13523E77" w14:textId="77777777" w:rsidR="000E096F" w:rsidRPr="000E096F" w:rsidRDefault="000E096F" w:rsidP="000E096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Pr="000E096F">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93C73A" w14:textId="77777777" w:rsidR="000E096F" w:rsidRDefault="000E096F" w:rsidP="000E096F">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2D79950" w14:textId="5533215D" w:rsidR="000E096F" w:rsidRPr="009A593A" w:rsidRDefault="000E096F" w:rsidP="000E096F">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0E096F">
        <w:rPr>
          <w:rFonts w:ascii="Palatino Linotype" w:hAnsi="Palatino Linotype"/>
          <w:i/>
          <w:noProof/>
          <w:color w:val="000000" w:themeColor="text1"/>
          <w:sz w:val="22"/>
          <w:szCs w:val="22"/>
          <w:lang w:val="es-MX" w:eastAsia="es-MX"/>
        </w:rPr>
        <w:t xml:space="preserve">En atención a su solicitud de información con folio 00226/CAMEM/IP/2021, efectuada a través del Sistema de Acceso a la Información Mexiquense (SAIMEX), y que a la letra dice: “Copia íntegra de la totalidad de todas y cada una de las paginas que integran el expediente de la COMISIÓN DE CONCILIACION Y ARBITRAJE MÉDICO DEL ESTADO DE MÉXICO. NUMERO: CCAMEM/TOL/D/1218/2019 SOLICITO LA VERSIÓN PÚBLICA DIGITALIZADO EN PDF SIN PAGO DE GASTOS…” Al respecto le comentó que: Con fundamento en el artículo 12 segundo párrafo de la Ley de </w:t>
      </w:r>
      <w:r w:rsidRPr="000E096F">
        <w:rPr>
          <w:rFonts w:ascii="Palatino Linotype" w:hAnsi="Palatino Linotype"/>
          <w:i/>
          <w:noProof/>
          <w:color w:val="000000" w:themeColor="text1"/>
          <w:sz w:val="22"/>
          <w:szCs w:val="22"/>
          <w:lang w:val="es-MX" w:eastAsia="es-MX"/>
        </w:rPr>
        <w:lastRenderedPageBreak/>
        <w:t>Transparencia y Acceso a la Información Pública del Estado de México y Municipios que señala: “Los sujetos obligados sólo proporcionarán la información pública que se les requiera y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cabiendo señalar que al ser mucha la información y al no contar con personal suficiente para el procesamiento de ésta, se ponen a su disposición el expediente solicitado para consulta dentro de las instalaciones de esta Comisión, previa acreditación.</w:t>
      </w:r>
      <w:r w:rsidRPr="009A593A">
        <w:rPr>
          <w:rFonts w:ascii="Palatino Linotype" w:hAnsi="Palatino Linotype"/>
          <w:i/>
          <w:noProof/>
          <w:color w:val="000000" w:themeColor="text1"/>
          <w:sz w:val="22"/>
          <w:szCs w:val="22"/>
          <w:lang w:val="es-MX" w:eastAsia="es-MX"/>
        </w:rPr>
        <w:t>”</w:t>
      </w:r>
      <w:r w:rsidRPr="009A593A">
        <w:rPr>
          <w:rFonts w:ascii="Palatino Linotype" w:hAnsi="Palatino Linotype"/>
          <w:noProof/>
          <w:color w:val="000000" w:themeColor="text1"/>
          <w:sz w:val="22"/>
          <w:szCs w:val="22"/>
          <w:lang w:val="es-MX" w:eastAsia="es-MX"/>
        </w:rPr>
        <w:t xml:space="preserve"> (Sic.)</w:t>
      </w:r>
    </w:p>
    <w:p w14:paraId="433A2D91" w14:textId="77777777" w:rsidR="000E096F" w:rsidRDefault="000E096F" w:rsidP="00B67B60">
      <w:pPr>
        <w:pStyle w:val="Sinespaciado"/>
        <w:spacing w:line="276" w:lineRule="auto"/>
        <w:ind w:left="567" w:right="567"/>
        <w:jc w:val="both"/>
        <w:rPr>
          <w:rFonts w:ascii="Palatino Linotype" w:hAnsi="Palatino Linotype"/>
          <w:b/>
          <w:noProof/>
          <w:color w:val="000000" w:themeColor="text1"/>
          <w:sz w:val="22"/>
          <w:szCs w:val="22"/>
          <w:lang w:val="es-MX" w:eastAsia="es-MX"/>
        </w:rPr>
      </w:pPr>
    </w:p>
    <w:p w14:paraId="6623F78D" w14:textId="18606D9A" w:rsidR="000E096F" w:rsidRPr="000E096F" w:rsidRDefault="000E096F" w:rsidP="00B67B60">
      <w:pPr>
        <w:pStyle w:val="Sinespaciado"/>
        <w:spacing w:line="276" w:lineRule="auto"/>
        <w:ind w:left="567" w:right="567"/>
        <w:jc w:val="both"/>
        <w:rPr>
          <w:rFonts w:ascii="Palatino Linotype" w:hAnsi="Palatino Linotype"/>
          <w:b/>
          <w:noProof/>
          <w:color w:val="000000" w:themeColor="text1"/>
          <w:sz w:val="22"/>
          <w:szCs w:val="22"/>
          <w:lang w:val="es-MX" w:eastAsia="es-MX"/>
        </w:rPr>
      </w:pPr>
      <w:r>
        <w:rPr>
          <w:rFonts w:ascii="Palatino Linotype" w:hAnsi="Palatino Linotype"/>
          <w:b/>
          <w:noProof/>
          <w:color w:val="000000" w:themeColor="text1"/>
          <w:sz w:val="22"/>
          <w:szCs w:val="22"/>
          <w:lang w:val="es-MX" w:eastAsia="es-MX"/>
        </w:rPr>
        <w:t>Respuesta a la solicitud 00227/CAMEM/IP/2021:</w:t>
      </w:r>
    </w:p>
    <w:p w14:paraId="3F24726D" w14:textId="77777777" w:rsidR="00B67B60" w:rsidRPr="00B67B60" w:rsidRDefault="005F1362" w:rsidP="00B67B60">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00B67B60" w:rsidRPr="00B67B60">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FE50F1" w14:textId="77777777" w:rsidR="00B67B60" w:rsidRDefault="00B67B60" w:rsidP="00B67B60">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5A36DE0" w14:textId="1BEA9247" w:rsidR="0039142B" w:rsidRPr="009A593A" w:rsidRDefault="00B67B60" w:rsidP="00B67B60">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B67B60">
        <w:rPr>
          <w:rFonts w:ascii="Palatino Linotype" w:hAnsi="Palatino Linotype"/>
          <w:i/>
          <w:noProof/>
          <w:color w:val="000000" w:themeColor="text1"/>
          <w:sz w:val="22"/>
          <w:szCs w:val="22"/>
          <w:lang w:val="es-MX" w:eastAsia="es-MX"/>
        </w:rPr>
        <w:t>En atención a su solicitud de información con folio 00227/CAMEM/IP/2021, efectuada a través del Sistema de Acceso a la Información Mexiquense (SAIMEX), y que a la letra dice: “Copia íntegra de la totalidad de todas y cada una de las paginas que integran el DICTAMEN TECNICO-MÉDICO INSTITUCIONAL emitido por la COMISION DE CONCILIACION Y ARBITRAJE MÉDICO DEL ESTADO DE MÉXICO. NUMERO CCAMEM/TOL/D/1218/2019 solicito la copia que se me expida de la versión pública sea mediante documento pdf…” Con fundamento en el artículo 24 último párrafo de la Ley de Transparencia y Acceso a la Información Pública del Estado de México y Municipios que señala: “Los sujetos obligados solo proporcionarán la información pública que generen, administren o posean en el ejercicio de sus atribuciones”, se anexa versión pública del expediente CCAMEM/TOL/D/1218/2019</w:t>
      </w:r>
      <w:r w:rsidR="005F1362" w:rsidRPr="009A593A">
        <w:rPr>
          <w:rFonts w:ascii="Palatino Linotype" w:hAnsi="Palatino Linotype"/>
          <w:i/>
          <w:noProof/>
          <w:color w:val="000000" w:themeColor="text1"/>
          <w:sz w:val="22"/>
          <w:szCs w:val="22"/>
          <w:lang w:val="es-MX" w:eastAsia="es-MX"/>
        </w:rPr>
        <w:t>”</w:t>
      </w:r>
      <w:r w:rsidR="00EB3DF7" w:rsidRPr="009A593A">
        <w:rPr>
          <w:rFonts w:ascii="Palatino Linotype" w:hAnsi="Palatino Linotype"/>
          <w:noProof/>
          <w:color w:val="000000" w:themeColor="text1"/>
          <w:sz w:val="22"/>
          <w:szCs w:val="22"/>
          <w:lang w:val="es-MX" w:eastAsia="es-MX"/>
        </w:rPr>
        <w:t xml:space="preserve"> (Sic.)</w:t>
      </w:r>
    </w:p>
    <w:p w14:paraId="2D68519B" w14:textId="77777777" w:rsidR="0097210F" w:rsidRPr="00A85CB7" w:rsidRDefault="0097210F" w:rsidP="009A593A">
      <w:pPr>
        <w:pStyle w:val="Sinespaciado"/>
        <w:ind w:right="567"/>
        <w:jc w:val="both"/>
        <w:rPr>
          <w:rFonts w:ascii="Palatino Linotype" w:hAnsi="Palatino Linotype"/>
          <w:noProof/>
          <w:color w:val="000000" w:themeColor="text1"/>
          <w:lang w:val="es-MX" w:eastAsia="es-MX"/>
        </w:rPr>
      </w:pPr>
    </w:p>
    <w:p w14:paraId="170BD45E" w14:textId="72696F1A" w:rsidR="00022D89"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Adjunto al acuse de </w:t>
      </w:r>
      <w:r w:rsidR="000411E2">
        <w:rPr>
          <w:rFonts w:ascii="Palatino Linotype" w:hAnsi="Palatino Linotype"/>
          <w:color w:val="000000" w:themeColor="text1"/>
          <w:szCs w:val="22"/>
        </w:rPr>
        <w:t>respuesta</w:t>
      </w:r>
      <w:r w:rsidR="000E096F">
        <w:rPr>
          <w:rFonts w:ascii="Palatino Linotype" w:hAnsi="Palatino Linotype"/>
          <w:color w:val="000000" w:themeColor="text1"/>
          <w:szCs w:val="22"/>
        </w:rPr>
        <w:t xml:space="preserve"> a la solicitud </w:t>
      </w:r>
      <w:r w:rsidR="000E096F">
        <w:rPr>
          <w:rFonts w:ascii="Palatino Linotype" w:hAnsi="Palatino Linotype"/>
          <w:b/>
          <w:color w:val="000000" w:themeColor="text1"/>
          <w:szCs w:val="22"/>
        </w:rPr>
        <w:t>00227/CAMEM/IP/2021</w:t>
      </w:r>
      <w:r>
        <w:rPr>
          <w:rFonts w:ascii="Palatino Linotype" w:hAnsi="Palatino Linotype"/>
          <w:color w:val="000000" w:themeColor="text1"/>
          <w:szCs w:val="22"/>
        </w:rPr>
        <w:t xml:space="preserve">, 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entregó al particular </w:t>
      </w:r>
      <w:r w:rsidR="00B67B60">
        <w:rPr>
          <w:rFonts w:ascii="Palatino Linotype" w:hAnsi="Palatino Linotype"/>
          <w:color w:val="000000" w:themeColor="text1"/>
          <w:szCs w:val="22"/>
        </w:rPr>
        <w:t>el</w:t>
      </w:r>
      <w:r>
        <w:rPr>
          <w:rFonts w:ascii="Palatino Linotype" w:hAnsi="Palatino Linotype"/>
          <w:color w:val="000000" w:themeColor="text1"/>
          <w:szCs w:val="22"/>
        </w:rPr>
        <w:t xml:space="preserve"> documento</w:t>
      </w:r>
      <w:r w:rsidR="00B67B60">
        <w:rPr>
          <w:rFonts w:ascii="Palatino Linotype" w:hAnsi="Palatino Linotype"/>
          <w:color w:val="000000" w:themeColor="text1"/>
          <w:szCs w:val="22"/>
        </w:rPr>
        <w:t xml:space="preserve"> cuyo contenido</w:t>
      </w:r>
      <w:r>
        <w:rPr>
          <w:rFonts w:ascii="Palatino Linotype" w:hAnsi="Palatino Linotype"/>
          <w:color w:val="000000" w:themeColor="text1"/>
          <w:szCs w:val="22"/>
        </w:rPr>
        <w:t xml:space="preserve"> se describe a continuación:</w:t>
      </w:r>
    </w:p>
    <w:p w14:paraId="2C96932A" w14:textId="24CB0C6D" w:rsidR="00C80729" w:rsidRDefault="006B31E7" w:rsidP="00577C3F">
      <w:pPr>
        <w:pStyle w:val="Prrafodelista"/>
        <w:numPr>
          <w:ilvl w:val="0"/>
          <w:numId w:val="4"/>
        </w:numPr>
        <w:spacing w:line="360" w:lineRule="auto"/>
        <w:ind w:left="993"/>
        <w:contextualSpacing w:val="0"/>
        <w:jc w:val="both"/>
        <w:rPr>
          <w:rFonts w:ascii="Palatino Linotype" w:hAnsi="Palatino Linotype" w:cs="Arial"/>
        </w:rPr>
      </w:pPr>
      <w:r>
        <w:rPr>
          <w:rFonts w:ascii="Palatino Linotype" w:hAnsi="Palatino Linotype" w:cs="Arial"/>
          <w:b/>
          <w:i/>
        </w:rPr>
        <w:lastRenderedPageBreak/>
        <w:t>“</w:t>
      </w:r>
      <w:r w:rsidR="00B67B60">
        <w:rPr>
          <w:rFonts w:ascii="Palatino Linotype" w:hAnsi="Palatino Linotype" w:cs="Arial"/>
          <w:b/>
          <w:i/>
        </w:rPr>
        <w:t>DICTAMEN</w:t>
      </w:r>
      <w:r>
        <w:rPr>
          <w:rFonts w:ascii="Palatino Linotype" w:hAnsi="Palatino Linotype" w:cs="Arial"/>
          <w:b/>
          <w:i/>
        </w:rPr>
        <w:t>.pdf”</w:t>
      </w:r>
      <w:r>
        <w:rPr>
          <w:rFonts w:ascii="Palatino Linotype" w:hAnsi="Palatino Linotype" w:cs="Arial"/>
        </w:rPr>
        <w:t xml:space="preserve">: </w:t>
      </w:r>
      <w:r w:rsidRPr="00B67B60">
        <w:rPr>
          <w:rFonts w:ascii="Palatino Linotype" w:hAnsi="Palatino Linotype" w:cs="Arial"/>
        </w:rPr>
        <w:t>Documento</w:t>
      </w:r>
      <w:r w:rsidR="000411E2">
        <w:rPr>
          <w:rFonts w:ascii="Palatino Linotype" w:hAnsi="Palatino Linotype" w:cs="Arial"/>
        </w:rPr>
        <w:t xml:space="preserve"> </w:t>
      </w:r>
      <w:r w:rsidR="00B67B60">
        <w:rPr>
          <w:rFonts w:ascii="Palatino Linotype" w:hAnsi="Palatino Linotype" w:cs="Arial"/>
        </w:rPr>
        <w:t xml:space="preserve">de 40 fojas consistente en </w:t>
      </w:r>
      <w:r w:rsidR="00377A76">
        <w:rPr>
          <w:rFonts w:ascii="Palatino Linotype" w:hAnsi="Palatino Linotype" w:cs="Arial"/>
        </w:rPr>
        <w:t>el Dictamen Técnico-Médico Institucional identificado con el número de expediente CCAMEM/TOL/D/1218/2019, testado en su mayor</w:t>
      </w:r>
      <w:r w:rsidR="003D65BF">
        <w:rPr>
          <w:rFonts w:ascii="Palatino Linotype" w:hAnsi="Palatino Linotype" w:cs="Arial"/>
        </w:rPr>
        <w:t>ía de contenido.</w:t>
      </w:r>
    </w:p>
    <w:p w14:paraId="5D34ABFE" w14:textId="77777777" w:rsidR="00B67B60" w:rsidRPr="00B67B60" w:rsidRDefault="00B67B60" w:rsidP="00B67B60">
      <w:pPr>
        <w:spacing w:line="360" w:lineRule="auto"/>
        <w:jc w:val="both"/>
        <w:rPr>
          <w:rFonts w:ascii="Palatino Linotype" w:hAnsi="Palatino Linotype" w:cs="Arial"/>
        </w:rPr>
      </w:pPr>
    </w:p>
    <w:p w14:paraId="272B63B3" w14:textId="3EA6CED2" w:rsidR="000D5A1D" w:rsidRPr="00A85CB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t>D</w:t>
      </w:r>
      <w:r w:rsidR="00561ED1" w:rsidRPr="00A85CB7">
        <w:rPr>
          <w:rFonts w:ascii="Palatino Linotype" w:eastAsia="Times New Roman" w:hAnsi="Palatino Linotype" w:cs="Arial"/>
          <w:color w:val="000000" w:themeColor="text1"/>
          <w:lang w:val="es-ES"/>
        </w:rPr>
        <w:t>erivado de la</w:t>
      </w:r>
      <w:r w:rsidR="000E096F">
        <w:rPr>
          <w:rFonts w:ascii="Palatino Linotype" w:eastAsia="Times New Roman" w:hAnsi="Palatino Linotype" w:cs="Arial"/>
          <w:color w:val="000000" w:themeColor="text1"/>
          <w:lang w:val="es-ES"/>
        </w:rPr>
        <w:t>s</w:t>
      </w:r>
      <w:r w:rsidR="00561ED1" w:rsidRPr="00A85CB7">
        <w:rPr>
          <w:rFonts w:ascii="Palatino Linotype" w:eastAsia="Times New Roman" w:hAnsi="Palatino Linotype" w:cs="Arial"/>
          <w:color w:val="000000" w:themeColor="text1"/>
          <w:lang w:val="es-ES"/>
        </w:rPr>
        <w:t xml:space="preserve"> respuesta</w:t>
      </w:r>
      <w:r w:rsidR="000E096F">
        <w:rPr>
          <w:rFonts w:ascii="Palatino Linotype" w:eastAsia="Times New Roman" w:hAnsi="Palatino Linotype" w:cs="Arial"/>
          <w:color w:val="000000" w:themeColor="text1"/>
          <w:lang w:val="es-ES"/>
        </w:rPr>
        <w:t>s</w:t>
      </w:r>
      <w:r w:rsidR="00561ED1" w:rsidRPr="00A85CB7">
        <w:rPr>
          <w:rFonts w:ascii="Palatino Linotype" w:eastAsia="Times New Roman" w:hAnsi="Palatino Linotype" w:cs="Arial"/>
          <w:color w:val="000000" w:themeColor="text1"/>
          <w:lang w:val="es-ES"/>
        </w:rPr>
        <w:t xml:space="preserve"> emitida</w:t>
      </w:r>
      <w:r w:rsidR="000E096F">
        <w:rPr>
          <w:rFonts w:ascii="Palatino Linotype" w:eastAsia="Times New Roman" w:hAnsi="Palatino Linotype" w:cs="Arial"/>
          <w:color w:val="000000" w:themeColor="text1"/>
          <w:lang w:val="es-ES"/>
        </w:rPr>
        <w:t>s</w:t>
      </w:r>
      <w:r w:rsidR="00561ED1" w:rsidRPr="00A85CB7">
        <w:rPr>
          <w:rFonts w:ascii="Palatino Linotype" w:eastAsia="Times New Roman" w:hAnsi="Palatino Linotype" w:cs="Arial"/>
          <w:color w:val="000000" w:themeColor="text1"/>
          <w:lang w:val="es-ES"/>
        </w:rPr>
        <w:t xml:space="preserve">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sidR="003D65BF">
        <w:rPr>
          <w:rFonts w:ascii="Palatino Linotype" w:eastAsia="Times New Roman" w:hAnsi="Palatino Linotype" w:cs="Arial"/>
          <w:color w:val="000000" w:themeColor="text1"/>
          <w:lang w:val="es-ES"/>
        </w:rPr>
        <w:t>treinta (30</w:t>
      </w:r>
      <w:r w:rsidR="005C450C">
        <w:rPr>
          <w:rFonts w:ascii="Palatino Linotype" w:eastAsia="Times New Roman" w:hAnsi="Palatino Linotype" w:cs="Arial"/>
          <w:color w:val="000000" w:themeColor="text1"/>
          <w:lang w:val="es-ES"/>
        </w:rPr>
        <w:t>) de agosto</w:t>
      </w:r>
      <w:r w:rsidR="008965EF">
        <w:rPr>
          <w:rFonts w:ascii="Palatino Linotype" w:eastAsia="Times New Roman" w:hAnsi="Palatino Linotype" w:cs="Arial"/>
          <w:color w:val="000000" w:themeColor="text1"/>
          <w:lang w:val="es-ES"/>
        </w:rPr>
        <w:t xml:space="preserve"> </w:t>
      </w:r>
      <w:r w:rsidR="00613655">
        <w:rPr>
          <w:rFonts w:ascii="Palatino Linotype" w:eastAsia="Times New Roman" w:hAnsi="Palatino Linotype" w:cs="Arial"/>
          <w:color w:val="000000" w:themeColor="text1"/>
          <w:lang w:val="es-ES"/>
        </w:rPr>
        <w:t>de dos mil veintiuno</w:t>
      </w:r>
      <w:r w:rsidR="00FE49E3" w:rsidRPr="00A85CB7">
        <w:rPr>
          <w:rFonts w:ascii="Palatino Linotype" w:eastAsia="Times New Roman" w:hAnsi="Palatino Linotype" w:cs="Arial"/>
          <w:color w:val="000000" w:themeColor="text1"/>
          <w:lang w:val="es-ES"/>
        </w:rPr>
        <w:t xml:space="preserve">, </w:t>
      </w:r>
      <w:r w:rsidR="001468E9" w:rsidRPr="00A85CB7">
        <w:rPr>
          <w:rFonts w:ascii="Palatino Linotype" w:eastAsia="Times New Roman" w:hAnsi="Palatino Linotype" w:cs="Arial"/>
          <w:color w:val="000000" w:themeColor="text1"/>
          <w:lang w:val="es-ES"/>
        </w:rPr>
        <w:t>el</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102D65" w:rsidRPr="00A85CB7">
        <w:rPr>
          <w:rFonts w:ascii="Palatino Linotype" w:eastAsia="Times New Roman" w:hAnsi="Palatino Linotype" w:cs="Arial"/>
          <w:color w:val="000000" w:themeColor="text1"/>
          <w:lang w:val="es-ES"/>
        </w:rPr>
        <w:t>l</w:t>
      </w:r>
      <w:r w:rsidR="000E096F">
        <w:rPr>
          <w:rFonts w:ascii="Palatino Linotype" w:eastAsia="Times New Roman" w:hAnsi="Palatino Linotype" w:cs="Arial"/>
          <w:color w:val="000000" w:themeColor="text1"/>
          <w:lang w:val="es-ES"/>
        </w:rPr>
        <w:t>os</w:t>
      </w:r>
      <w:r w:rsidR="004D68F8" w:rsidRPr="00A85CB7">
        <w:rPr>
          <w:rFonts w:ascii="Palatino Linotype" w:eastAsia="Times New Roman" w:hAnsi="Palatino Linotype" w:cs="Arial"/>
          <w:color w:val="000000" w:themeColor="text1"/>
          <w:lang w:val="es-ES"/>
        </w:rPr>
        <w:t xml:space="preserve"> recurso</w:t>
      </w:r>
      <w:r w:rsidR="000E096F">
        <w:rPr>
          <w:rFonts w:ascii="Palatino Linotype" w:eastAsia="Times New Roman" w:hAnsi="Palatino Linotype" w:cs="Arial"/>
          <w:color w:val="000000" w:themeColor="text1"/>
          <w:lang w:val="es-ES"/>
        </w:rPr>
        <w:t>s</w:t>
      </w:r>
      <w:r w:rsidR="004D68F8" w:rsidRPr="00A85CB7">
        <w:rPr>
          <w:rFonts w:ascii="Palatino Linotype" w:eastAsia="Times New Roman" w:hAnsi="Palatino Linotype" w:cs="Arial"/>
          <w:color w:val="000000" w:themeColor="text1"/>
          <w:lang w:val="es-ES"/>
        </w:rPr>
        <w:t xml:space="preserve"> de revisión </w:t>
      </w:r>
      <w:r w:rsidR="00B67B60">
        <w:rPr>
          <w:rFonts w:ascii="Palatino Linotype" w:eastAsia="Calibri" w:hAnsi="Palatino Linotype" w:cs="Arial"/>
          <w:b/>
          <w:color w:val="000000" w:themeColor="text1"/>
          <w:lang w:val="es-ES"/>
        </w:rPr>
        <w:t>04343/INFOEM/IP/RR/2021</w:t>
      </w:r>
      <w:r w:rsidR="000E096F">
        <w:rPr>
          <w:rFonts w:ascii="Palatino Linotype" w:eastAsia="Calibri" w:hAnsi="Palatino Linotype" w:cs="Arial"/>
          <w:color w:val="000000" w:themeColor="text1"/>
          <w:lang w:val="es-ES"/>
        </w:rPr>
        <w:t xml:space="preserve"> y </w:t>
      </w:r>
      <w:r w:rsidR="000E096F" w:rsidRPr="000E096F">
        <w:rPr>
          <w:rFonts w:ascii="Palatino Linotype" w:eastAsia="Calibri" w:hAnsi="Palatino Linotype" w:cs="Arial"/>
          <w:b/>
          <w:color w:val="000000" w:themeColor="text1"/>
          <w:lang w:val="es-ES"/>
        </w:rPr>
        <w:t>04344/INFOEM/IP/RR/2021</w:t>
      </w:r>
      <w:r w:rsidR="009A0461" w:rsidRPr="000E096F">
        <w:rPr>
          <w:rFonts w:ascii="Palatino Linotype" w:eastAsia="Calibri" w:hAnsi="Palatino Linotype" w:cs="Arial"/>
          <w:color w:val="000000" w:themeColor="text1"/>
          <w:lang w:val="es-ES"/>
        </w:rPr>
        <w:t>;</w:t>
      </w:r>
      <w:r w:rsidR="00102D65" w:rsidRPr="000E096F">
        <w:rPr>
          <w:rFonts w:ascii="Palatino Linotype" w:eastAsia="Times New Roman" w:hAnsi="Palatino Linotype" w:cs="Arial"/>
          <w:color w:val="000000" w:themeColor="text1"/>
          <w:lang w:val="es-ES"/>
        </w:rPr>
        <w:t xml:space="preserve"> </w:t>
      </w:r>
      <w:r w:rsidR="000E096F">
        <w:rPr>
          <w:rFonts w:ascii="Palatino Linotype" w:eastAsia="Times New Roman" w:hAnsi="Palatino Linotype" w:cs="Arial"/>
          <w:color w:val="000000" w:themeColor="text1"/>
          <w:lang w:val="es-ES"/>
        </w:rPr>
        <w:t>impugnacio</w:t>
      </w:r>
      <w:r w:rsidR="00102D65" w:rsidRPr="00A85CB7">
        <w:rPr>
          <w:rFonts w:ascii="Palatino Linotype" w:eastAsia="Times New Roman" w:hAnsi="Palatino Linotype" w:cs="Arial"/>
          <w:color w:val="000000" w:themeColor="text1"/>
          <w:lang w:val="es-ES"/>
        </w:rPr>
        <w:t>n</w:t>
      </w:r>
      <w:r w:rsidR="000E096F">
        <w:rPr>
          <w:rFonts w:ascii="Palatino Linotype" w:eastAsia="Times New Roman" w:hAnsi="Palatino Linotype" w:cs="Arial"/>
          <w:color w:val="000000" w:themeColor="text1"/>
          <w:lang w:val="es-ES"/>
        </w:rPr>
        <w:t>es</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0E096F">
        <w:rPr>
          <w:rFonts w:ascii="Palatino Linotype" w:eastAsia="Times New Roman" w:hAnsi="Palatino Linotype" w:cs="Arial"/>
          <w:color w:val="000000" w:themeColor="text1"/>
          <w:lang w:val="es-ES"/>
        </w:rPr>
        <w:t>s</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B3998A9" w14:textId="2D4C2C42" w:rsidR="000E096F" w:rsidRPr="000E096F" w:rsidRDefault="000E096F" w:rsidP="000E096F">
      <w:pPr>
        <w:pStyle w:val="Prrafodelista"/>
        <w:tabs>
          <w:tab w:val="left" w:pos="426"/>
        </w:tabs>
        <w:spacing w:line="276" w:lineRule="auto"/>
        <w:ind w:left="567" w:right="567"/>
        <w:jc w:val="both"/>
        <w:rPr>
          <w:rFonts w:ascii="Palatino Linotype" w:eastAsia="Times New Roman" w:hAnsi="Palatino Linotype" w:cs="Arial"/>
          <w:b/>
          <w:color w:val="000000" w:themeColor="text1"/>
          <w:sz w:val="22"/>
          <w:lang w:val="es-ES"/>
        </w:rPr>
      </w:pPr>
      <w:r w:rsidRPr="000E096F">
        <w:rPr>
          <w:rFonts w:ascii="Palatino Linotype" w:eastAsia="Times New Roman" w:hAnsi="Palatino Linotype" w:cs="Arial"/>
          <w:b/>
          <w:color w:val="000000" w:themeColor="text1"/>
          <w:sz w:val="22"/>
          <w:lang w:val="es-ES"/>
        </w:rPr>
        <w:t>Recurso de revisión 04343/INFOEM/IP/RR/2021:</w:t>
      </w:r>
    </w:p>
    <w:p w14:paraId="5D958B88" w14:textId="2795C638" w:rsidR="00E34622" w:rsidRPr="000E096F" w:rsidRDefault="00E34622" w:rsidP="000E096F">
      <w:pPr>
        <w:pStyle w:val="Prrafodelista"/>
        <w:tabs>
          <w:tab w:val="left" w:pos="426"/>
        </w:tabs>
        <w:spacing w:line="276" w:lineRule="auto"/>
        <w:ind w:left="567"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Acto impugnado:</w:t>
      </w:r>
      <w:r w:rsidRPr="000E096F">
        <w:rPr>
          <w:rFonts w:ascii="Palatino Linotype" w:eastAsia="Times New Roman" w:hAnsi="Palatino Linotype" w:cs="Arial"/>
          <w:color w:val="000000" w:themeColor="text1"/>
          <w:sz w:val="22"/>
          <w:lang w:val="es-ES"/>
        </w:rPr>
        <w:t xml:space="preserve"> “</w:t>
      </w:r>
      <w:r w:rsidR="003D65BF" w:rsidRPr="000E096F">
        <w:rPr>
          <w:rFonts w:ascii="Palatino Linotype" w:eastAsia="Times New Roman" w:hAnsi="Palatino Linotype" w:cs="Arial"/>
          <w:i/>
          <w:color w:val="000000" w:themeColor="text1"/>
          <w:sz w:val="22"/>
        </w:rPr>
        <w:t>OFICIO 10 DE AGOSTO DE 2021. OMISIÓN DE EMITIR VERSIÓN PÚBLICA FUNDADA Y MOTIVADA CORRECTAMENTE.</w:t>
      </w:r>
      <w:r w:rsidRPr="000E096F">
        <w:rPr>
          <w:rFonts w:ascii="Palatino Linotype" w:eastAsia="Times New Roman" w:hAnsi="Palatino Linotype" w:cs="Arial"/>
          <w:i/>
          <w:color w:val="000000" w:themeColor="text1"/>
          <w:sz w:val="22"/>
          <w:lang w:val="es-ES"/>
        </w:rPr>
        <w:t>”</w:t>
      </w:r>
      <w:r w:rsidRPr="000E096F">
        <w:rPr>
          <w:rFonts w:ascii="Palatino Linotype" w:eastAsia="Times New Roman" w:hAnsi="Palatino Linotype" w:cs="Arial"/>
          <w:color w:val="000000" w:themeColor="text1"/>
          <w:sz w:val="22"/>
          <w:lang w:val="es-ES"/>
        </w:rPr>
        <w:t xml:space="preserve"> (Sic).</w:t>
      </w:r>
    </w:p>
    <w:p w14:paraId="4E73B63B" w14:textId="6E6E13F0" w:rsidR="00E34622" w:rsidRDefault="00E34622" w:rsidP="000E096F">
      <w:pPr>
        <w:pStyle w:val="Prrafodelista"/>
        <w:tabs>
          <w:tab w:val="left" w:pos="426"/>
        </w:tabs>
        <w:spacing w:line="276" w:lineRule="auto"/>
        <w:ind w:left="567"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Razones o motivos de inconformidad:</w:t>
      </w:r>
      <w:r w:rsidRPr="000E096F">
        <w:rPr>
          <w:rFonts w:ascii="Palatino Linotype" w:eastAsia="Times New Roman" w:hAnsi="Palatino Linotype" w:cs="Arial"/>
          <w:color w:val="000000" w:themeColor="text1"/>
          <w:sz w:val="22"/>
          <w:lang w:val="es-ES"/>
        </w:rPr>
        <w:t xml:space="preserve"> “</w:t>
      </w:r>
      <w:r w:rsidR="003D65BF" w:rsidRPr="000E096F">
        <w:rPr>
          <w:rFonts w:ascii="Palatino Linotype" w:hAnsi="Palatino Linotype"/>
          <w:i/>
          <w:iCs/>
          <w:color w:val="000000"/>
          <w:sz w:val="22"/>
        </w:rPr>
        <w:t xml:space="preserve">PLENO DEL INSTITUTO DE TRANSPARENCIA, ACCESO A LA INFORMACIÓN PÚBLICA Y PROTECCIÓN DE DATOS PERSONALES DEL ESTADO DE MÉXICO Y MUNICIPIO. PRESENTE. El suscrito Usuario de la Plataforma Nacional de Transparencia, por medio del presente interpongo recurso de revisión en contra de la defectuosa y negligente respuesta a la solicitud de información folio 00227/CAMEM/IP/2021. Órgano obligado: Comisión de Conciliación y Arbitraje Médico del Estado de México. Información pública solicitada versión pública de Dictamen técnico médico institucional realizado por dicha institución número CCAMEMTOL/D/1218/2019. Y dicha institución a través de su enlace Eduardo Gonzaga Palma. Mediante oficio fechado el 10 de agosto del actual, como podrán observar señores Consejeros remite un documento que asegura se trata del documento solicitado. Sin embargo, esa omisión causa los agravios siguientes: Uno. No entrega la información solicitada, porque las versiones públicas que emitan los órganos obligados permiten la supresión de datos, sólo en aquellos casos en que no impida su entendimiento, y en el caso, con una mala fe de la autoridad, emite una versión que no es del nada entendible, porque no se logra comprender su sentido, así que el límite de la </w:t>
      </w:r>
      <w:r w:rsidR="003D65BF" w:rsidRPr="000E096F">
        <w:rPr>
          <w:rFonts w:ascii="Palatino Linotype" w:hAnsi="Palatino Linotype"/>
          <w:i/>
          <w:iCs/>
          <w:color w:val="000000"/>
          <w:sz w:val="22"/>
        </w:rPr>
        <w:lastRenderedPageBreak/>
        <w:t xml:space="preserve">supresión de datos tiene como limite que pierda su entendimiento, cuando ocurre esto no procede la eliminación de datos. Además, la autoridad no justifica uno a uno porque elimina datos. Al respecto, este Honorable Pleno en asuntos similares, ya se pronunció en el siguiente sentido: “Ahora bien, en relación a la versión pública de la información de la que se ordena su entrega, en términos del artículo 143 de la Ley de Transparencia y Acceso a la Información Pública del Estado de México y Municipios, deberá omitirse, eliminarse o suprimirse la información confidencial. En ese sentido, sólo podrán ser testados los datos que actualicen las hipótesis normativas previstas en dicho precepto legal, y deberá procederse a su clasificación mediante las formalidades de Ley, es decir, que el Comité de Transparencia del SUJETO OBLIGADO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 Por ende, EL SUJETO OBLIGADO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 Lo anterior patentiza, como el titular de la Unidad de Enlace, viola flagrantemente la normativa, porque correspondía al Comité de Transparencia del Sujeto Obligado o sea de la Comisión mencionada la emisión de una versión pública que se ajuste al artículo 143 citado, y no obstante sin ningún respeto a esas normas dicho servidor público realiza una versión que a su parecer es la que debe emitir para respetar el derecho de acceso a la información. No existe ningún acuerdo que justifique su actuar, </w:t>
      </w:r>
      <w:r w:rsidR="003D65BF" w:rsidRPr="000E096F">
        <w:rPr>
          <w:rFonts w:ascii="Palatino Linotype" w:hAnsi="Palatino Linotype"/>
          <w:i/>
          <w:iCs/>
          <w:color w:val="000000"/>
          <w:sz w:val="22"/>
        </w:rPr>
        <w:lastRenderedPageBreak/>
        <w:t xml:space="preserve">pero se advierte que este actuar es con el fin de retardar la entrega de los documentos que contas en sus archivos. Por tanto, deberá conminarse al sujeto obligado para que “Es importante referir que, EL SUJETO OBLIGADO deberá seguir el procedimiento legal establecido para su clasificación, esto es, que su Comité de Transparencia emita un Acuerdo de Clasificación que cumpla con las formalidades previstas, antes citadas 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Dos. De una búsqueda de solicitudes se advierte que este Honorable Pleno del Instituto, sobre el siguiente agravio ya se pronunció, y hacemos nuestro su criterio. El Titular de la Unidad de Transparencia de la citada comisión, no siguió a cabalidad el procedimiento de acceso a la información previsto en el artículo 162 de la Ley de Transparencia y Acceso a la Información Pública del Estado de México y Municipios, esto dado que omitió turnar al Área competentes que cuenta con la información de acuerdo a sus facultades, competencias y funciones, con el objeto de expedir la copia de versión pública del dictamen anotado, sino que de mutuo propio da la respuesta y lo más grave, formula una versión pública sin justificar que el ente competente de la propia comisión no sólo autorizó la entrega de la versión pública, sino que además autorizó la eliminación de datos, como tampoco señalan el tiempo en su caso debe estar resguardada esa información. Así que el servidor público Eduardo Gozaga Palma está operando de manera independiente al Comité encargado de autorizar las versiones públicas y resguardar la información en ese tipo de documentos. Tres. El encargado de la Unidad de Transparencia, antes indicado, se erige como el responsable del Sujeto Obligado que tiene a su cargo la atención de las solicitudes de información que se realicen al amparo de la Ley. Él sólo funge como enlace entre EL SUJETO OBLIGADO y los solicitantes, y tiene bajo su responsabilidad el tramitar internamente la solicitud de información, sólo eso tramitar y se advierte que el citado servidor público sobrepasando sus facultades da </w:t>
      </w:r>
      <w:r w:rsidR="003D65BF" w:rsidRPr="000E096F">
        <w:rPr>
          <w:rFonts w:ascii="Palatino Linotype" w:hAnsi="Palatino Linotype"/>
          <w:i/>
          <w:iCs/>
          <w:color w:val="000000"/>
          <w:sz w:val="22"/>
        </w:rPr>
        <w:lastRenderedPageBreak/>
        <w:t xml:space="preserve">respuesta a las solicitudes, pero inclusive de manera negligente y con violación al derecho humano de acceso a la información, porque entrega lo que su voluntad se le antoja. Salvo que tuviera bajo su resguardo el archivo que contiene la documentación en donde consta la información solicitada, es por ello que, debe turnar la solicitud a todas las áreas que pudieran generar, administrar o poseer la información requerida por la particular; pues tienen como función, buscar, localizar y poseer la información, así como entregarla, pero no dar respuesta de primera mano como lo esta haciendo y por supuesto de forma deficiente, porque entrega una supuesta versión pública de un dictamen que no se entiende. Además, es claro que para la emisión de esos dictámenes la legislación interna del sujeto obligado regula su naturaleza y emisión, conforme los artículos 2, fracción IX, 4, 17, fracción III y 21 del Reglamento Interno de la Comisión De Conciliación y Arbitraje Médico del Estado de México, y del Manual General de Organización de la Comisión de Conciliación y Arbitraje Médico del Estado de México. De los artículos transcritos, se advierte que, genera, administra, posee y archiva la información solicitada, por tal motivo, el titular de la unidad de transparencia antes de emitir una versión pública debió turnar la solicitud, en los términos referidos para que fuera quien determinara sobre la procedencia de la versión pública solicitada. Y la propia legislación deja claro que es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 Y esto es lo que precisamente realiza el servidor público, infringe de forma manifiesta y negligente dichas disposiciones, porque sin tener facultades, se atrevió a procesar una versión pública que corresponde a un área en específico. Cuatro. En mérito de lo expuesto solicitamos dar vista a la Contraloría Interna del Gobierno del Estado de México, para proceda a la investigación del ocultamiento doloso de la información, para evitar esta práctica reiterada del titular de la unidad de enlace. Por lo expuesto, pedimos: 1º. Se tenga por interpuesto el presente recurso en tiempo y forma. 2º. Se reconozca la legitimación del usuario de la plataforma para atacar la omisión del sujeto obligado para entregar la información. 3º. Se declare fundado el presente, y se conmine al sujeto obligado a entregar la información. 4o. ofrecemos como prueba el documento que se envió por la autoridad obligada para tratar de cumplir con el respeto del derecho de acceso a la </w:t>
      </w:r>
      <w:r w:rsidR="003D65BF" w:rsidRPr="000E096F">
        <w:rPr>
          <w:rFonts w:ascii="Palatino Linotype" w:hAnsi="Palatino Linotype"/>
          <w:i/>
          <w:iCs/>
          <w:color w:val="000000"/>
          <w:sz w:val="22"/>
        </w:rPr>
        <w:lastRenderedPageBreak/>
        <w:t>información. 5º. Se de vista a la Contraloría Interna del Gobierno del Estado de México, sobre las practicas irregulares del titular de una unidad para no entregar la información Con el respeto debido.</w:t>
      </w:r>
      <w:r w:rsidRPr="000E096F">
        <w:rPr>
          <w:rFonts w:ascii="Palatino Linotype" w:eastAsia="Times New Roman" w:hAnsi="Palatino Linotype" w:cs="Arial"/>
          <w:i/>
          <w:color w:val="000000" w:themeColor="text1"/>
          <w:sz w:val="22"/>
          <w:lang w:val="es-ES"/>
        </w:rPr>
        <w:t>”</w:t>
      </w:r>
      <w:r w:rsidRPr="000E096F">
        <w:rPr>
          <w:rFonts w:ascii="Palatino Linotype" w:eastAsia="Times New Roman" w:hAnsi="Palatino Linotype" w:cs="Arial"/>
          <w:color w:val="000000" w:themeColor="text1"/>
          <w:sz w:val="22"/>
          <w:lang w:val="es-ES"/>
        </w:rPr>
        <w:t xml:space="preserve"> (Sic).</w:t>
      </w:r>
    </w:p>
    <w:p w14:paraId="7DB0260F" w14:textId="77777777" w:rsidR="000E096F" w:rsidRDefault="000E096F" w:rsidP="000E096F">
      <w:pPr>
        <w:pStyle w:val="Prrafodelista"/>
        <w:tabs>
          <w:tab w:val="left" w:pos="426"/>
        </w:tabs>
        <w:spacing w:line="276" w:lineRule="auto"/>
        <w:ind w:left="567" w:right="567"/>
        <w:jc w:val="both"/>
        <w:rPr>
          <w:rFonts w:ascii="Palatino Linotype" w:eastAsia="Times New Roman" w:hAnsi="Palatino Linotype" w:cs="Arial"/>
          <w:color w:val="000000" w:themeColor="text1"/>
          <w:sz w:val="22"/>
          <w:lang w:val="es-ES"/>
        </w:rPr>
      </w:pPr>
    </w:p>
    <w:p w14:paraId="4A681A57" w14:textId="1790B39B" w:rsidR="000E096F" w:rsidRPr="000E096F" w:rsidRDefault="000E096F" w:rsidP="000E096F">
      <w:pPr>
        <w:pStyle w:val="Prrafodelista"/>
        <w:tabs>
          <w:tab w:val="left" w:pos="426"/>
        </w:tabs>
        <w:spacing w:line="276" w:lineRule="auto"/>
        <w:ind w:left="567" w:right="567"/>
        <w:jc w:val="both"/>
        <w:rPr>
          <w:rFonts w:ascii="Palatino Linotype" w:eastAsia="Times New Roman" w:hAnsi="Palatino Linotype" w:cs="Arial"/>
          <w:b/>
          <w:color w:val="000000" w:themeColor="text1"/>
          <w:sz w:val="22"/>
          <w:lang w:val="es-ES"/>
        </w:rPr>
      </w:pPr>
      <w:r w:rsidRPr="000E096F">
        <w:rPr>
          <w:rFonts w:ascii="Palatino Linotype" w:eastAsia="Times New Roman" w:hAnsi="Palatino Linotype" w:cs="Arial"/>
          <w:b/>
          <w:color w:val="000000" w:themeColor="text1"/>
          <w:sz w:val="22"/>
          <w:lang w:val="es-ES"/>
        </w:rPr>
        <w:t>Recurso de revisión 0434</w:t>
      </w:r>
      <w:r>
        <w:rPr>
          <w:rFonts w:ascii="Palatino Linotype" w:eastAsia="Times New Roman" w:hAnsi="Palatino Linotype" w:cs="Arial"/>
          <w:b/>
          <w:color w:val="000000" w:themeColor="text1"/>
          <w:sz w:val="22"/>
          <w:lang w:val="es-ES"/>
        </w:rPr>
        <w:t>4</w:t>
      </w:r>
      <w:r w:rsidRPr="000E096F">
        <w:rPr>
          <w:rFonts w:ascii="Palatino Linotype" w:eastAsia="Times New Roman" w:hAnsi="Palatino Linotype" w:cs="Arial"/>
          <w:b/>
          <w:color w:val="000000" w:themeColor="text1"/>
          <w:sz w:val="22"/>
          <w:lang w:val="es-ES"/>
        </w:rPr>
        <w:t>/INFOEM/IP/RR/2021:</w:t>
      </w:r>
    </w:p>
    <w:p w14:paraId="16C75A2B" w14:textId="19B0C6B0" w:rsidR="000E096F" w:rsidRPr="000E096F" w:rsidRDefault="000E096F" w:rsidP="000E096F">
      <w:pPr>
        <w:pStyle w:val="Prrafodelista"/>
        <w:tabs>
          <w:tab w:val="left" w:pos="426"/>
        </w:tabs>
        <w:spacing w:line="276" w:lineRule="auto"/>
        <w:ind w:left="567"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Acto impugnado:</w:t>
      </w:r>
      <w:r w:rsidRPr="000E096F">
        <w:rPr>
          <w:rFonts w:ascii="Palatino Linotype" w:eastAsia="Times New Roman" w:hAnsi="Palatino Linotype" w:cs="Arial"/>
          <w:color w:val="000000" w:themeColor="text1"/>
          <w:sz w:val="22"/>
          <w:lang w:val="es-ES"/>
        </w:rPr>
        <w:t xml:space="preserve"> “</w:t>
      </w:r>
      <w:r w:rsidRPr="000E096F">
        <w:rPr>
          <w:rFonts w:ascii="Palatino Linotype" w:eastAsia="Times New Roman" w:hAnsi="Palatino Linotype" w:cs="Arial"/>
          <w:i/>
          <w:color w:val="000000" w:themeColor="text1"/>
          <w:sz w:val="22"/>
          <w:lang w:val="es-ES"/>
        </w:rPr>
        <w:t>oficio fechado el 10 de agosto de 2021, relacionado con la solicitud 00226/CAMEM/IP/2021. Documento que consta cargado en este sistema.”</w:t>
      </w:r>
      <w:r w:rsidRPr="000E096F">
        <w:rPr>
          <w:rFonts w:ascii="Palatino Linotype" w:eastAsia="Times New Roman" w:hAnsi="Palatino Linotype" w:cs="Arial"/>
          <w:color w:val="000000" w:themeColor="text1"/>
          <w:sz w:val="22"/>
          <w:lang w:val="es-ES"/>
        </w:rPr>
        <w:t xml:space="preserve"> (Sic).</w:t>
      </w:r>
    </w:p>
    <w:p w14:paraId="78DADFEF" w14:textId="104623C4" w:rsidR="000E096F" w:rsidRPr="000E096F" w:rsidRDefault="000E096F" w:rsidP="000E096F">
      <w:pPr>
        <w:pStyle w:val="Prrafodelista"/>
        <w:tabs>
          <w:tab w:val="left" w:pos="426"/>
        </w:tabs>
        <w:spacing w:line="276" w:lineRule="auto"/>
        <w:ind w:left="567"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Razones o motivos de inconformidad:</w:t>
      </w:r>
      <w:r w:rsidRPr="000E096F">
        <w:rPr>
          <w:rFonts w:ascii="Palatino Linotype" w:eastAsia="Times New Roman" w:hAnsi="Palatino Linotype" w:cs="Arial"/>
          <w:color w:val="000000" w:themeColor="text1"/>
          <w:sz w:val="22"/>
          <w:lang w:val="es-ES"/>
        </w:rPr>
        <w:t xml:space="preserve"> “</w:t>
      </w:r>
      <w:r w:rsidRPr="000E096F">
        <w:rPr>
          <w:rFonts w:ascii="Palatino Linotype" w:hAnsi="Palatino Linotype"/>
          <w:i/>
          <w:iCs/>
          <w:color w:val="000000"/>
          <w:sz w:val="22"/>
        </w:rPr>
        <w:t xml:space="preserve">PLENO DEL INSTITUTO DE TRANSPARENCIA, ACCESO A LA INFORMACIÓN PÚBLICA Y PROTECCIÓN DE DATOS PERSONALES DEL ESTADO DE MÉXICO Y MUNICIPIO. PRESENTE. El suscrito Usuario de la Plataforma Nacional de Transparencia, por medio del presente interpongo recurso de revisión en contra de la defectuosa y negligente respuesta a la solicitud de información folio 00226/CAMEM/IP/2021. Órgano obligado: Comisión de Conciliación y Arbitraje Médico del Estado de México. Información pública solicitada versión pública del expediente CCAMEMTOL/D/1218/2019. Y dicha institución a través de su enlace Eduardo Gonzaga Palma. Mediante oficio fechado el 10 de agosto del actual, como podrán observar señores Consejeros niega la información: En efecto, el oficio en mención causa los agravios siguientes. Uno. El Titular de la Unidad de Transparencia de la citada comisión, no siguió a cabalidad el procedimiento de acceso a la información previsto en el artículo 162 de la Ley de Transparencia y Acceso a la Información Pública del Estado de México y Municipios, esto dado que omitió turnar al Área competentes que cuenta con la información de acuerdo a sus facultades, competencias y funciones, con el objeto de expedir la copia de versión pública del expediente solicitado, sino que de mutuo propio asegura que está a disposición. Lo cual es ilegal, porque se pidió versión pública y ahora aduce que lo pone a disposición del usuario porque dice que es mucha la información, pero no correspondía a él decidir, sino a la unidad de la comisión encargada de emitir la versión pública. Tampoco demuestra que no cuente con personal suficiente para la elaboración del documento solicitado. Así que se entiende que son argucias para no entregar la información. Y en el mejor de los casos, para cumplir con el derecho de acceso a la información tendría dos opciones, encomendar personal de la propia comisión para entregar la información solicitada. O justificar mediante documentos públicos que justifiquen que solicitó al Gobierno del </w:t>
      </w:r>
      <w:r w:rsidRPr="000E096F">
        <w:rPr>
          <w:rFonts w:ascii="Palatino Linotype" w:hAnsi="Palatino Linotype"/>
          <w:i/>
          <w:iCs/>
          <w:color w:val="000000"/>
          <w:sz w:val="22"/>
        </w:rPr>
        <w:lastRenderedPageBreak/>
        <w:t xml:space="preserve">Estado de México, la asignación de mayor personal para cumplir, con sus obligaciones. De lo contrario podríamos llegar al absurdo que por supuesta falta de personal no se realiza la actividad de la administración pública, bien el día de mañana el ministerio público podría justificar que no investiga los delitos porque no cuenta con fiscales, incluso este Instituto podría decir que no resuelve los asuntos de su competencia por falta de personal. Así que las dos supuestas justificantes, carecen de todo fundamento legal y justificación legal. Así que el servidor público Eduardo Gozaga Palma está operando de manera independiente al Comité encargado de autorizar las versiones públicas y resguardar la información en ese tipo de documentos. Tres. El encargado de la Unidad de Transparencia, antes indicado, se erige como el responsable del Sujeto Obligado que tiene a su cargo la atención de las solicitudes de información que se realicen al amparo de la Ley. Él sólo funge como enlace entre EL SUJETO OBLIGADO y los solicitantes, y tiene bajo su responsabilidad el tramitar internamente la solicitud de información, sólo eso tramitar y se advierte que el citado servidor público sobrepasando sus facultades da respuesta a las solicitudes, pero inclusive de manera negligente y con violación al derecho humano de acceso a la información, porque omite entregar la información, tratando de justificar sus omisiones. es por ello que, debe turnar la solicitud a todas las áreas que pudieran generar, administrar o poseer la información requerida por la particular; pues tienen como función, buscar, localizar y poseer la información, así como entregarla, pero no dar respuesta de primera mano como lo esta haciendo y por supuesto de forma deficiente, porque entrega una supuesta versión pública de un dictamen que no se entiende. Además, es claro conforme la legislación aplicable, que es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 Y esto es lo que precisamente realiza el servidor público, infringe de forma manifiesta y negligente dichas disposiciones, porque sin tener facultades, trata de justificar su omisión, diciendo que queda a disposición el expediente, cuando bien sabe que para eso, tendría que poner a la vista una versión pública, previamente autorizada por el Comité de Transparencia, véase como este servidor público de múltiples maneras incumple la norma, haciendo creer que pone a disposición un expediente, del cual el propio comité no autorizado, así que es una fraude </w:t>
      </w:r>
      <w:r w:rsidRPr="000E096F">
        <w:rPr>
          <w:rFonts w:ascii="Palatino Linotype" w:hAnsi="Palatino Linotype"/>
          <w:i/>
          <w:iCs/>
          <w:color w:val="000000"/>
          <w:sz w:val="22"/>
        </w:rPr>
        <w:lastRenderedPageBreak/>
        <w:t>a la ley la mecánica que autoriza, incluso es responsable de ofrecer información no protegida por el comité al usuario que no tiene derecho a conocer de información reservada, confidencial. Etc.. En otras palabras, obra dolosamente a sabiendas de que no puede poner a la vista el expediente, porque antes el comité tendría que autorizar una versión pública del expediente, y si ya se realiza esa versión no queda más que entregarla mediante mecanismos electrónicos y no decir que la pone a la vista, porque no hay tal versión pública del expediente. Se atrevió a procesar una versión pública que corresponde a un área en específico. Miren Señores Consejeros, otro dato más que revela la conducta ilegal con que se conduce el citado servidor público para no entregar la información es que dice: Previa acreditación”, uno se pregunta previa acreditación de que, pero se supone que lo que quiere decir es que pone a la vista lo que no está autorizado por el comité en infracción de los derechos de las personas que aparecen en dicho expediente, pero además, pretende obligar al usuario previa acreditación de que:::::????? Es una conducta reiterada para negar la información. Cuatro. En mérito de lo expuesto, solicitamos dar vista a la Contraloría Interna del Gobierno del Estado de México, para proceda a la investigación del ocultamiento doloso de la información, para evitar esta práctica reiterada del titular de la unidad de enlace. Por lo expuesto, pedimos: 1º. Se tenga por interpuesto el presente recurso en tiempo y forma. 2º. Se reconozca la legitimación del usuario de la plataforma para atacar la omisión del sujeto obligado para entregar la información. 3º. Se declare fundado el presente, y se conmine al sujeto obligado a entregar la información. 4º. Se de vista a la Contraloría Interna del Gobierno del Estado de México, sobre las practicas irregulares del titular de una unidad para no entregar la información Con el respeto debido.</w:t>
      </w:r>
      <w:r w:rsidRPr="000E096F">
        <w:rPr>
          <w:rFonts w:ascii="Palatino Linotype" w:eastAsia="Times New Roman" w:hAnsi="Palatino Linotype" w:cs="Arial"/>
          <w:i/>
          <w:color w:val="000000" w:themeColor="text1"/>
          <w:sz w:val="22"/>
          <w:lang w:val="es-ES"/>
        </w:rPr>
        <w:t>”</w:t>
      </w:r>
      <w:r w:rsidRPr="000E096F">
        <w:rPr>
          <w:rFonts w:ascii="Palatino Linotype" w:eastAsia="Times New Roman" w:hAnsi="Palatino Linotype" w:cs="Arial"/>
          <w:color w:val="000000" w:themeColor="text1"/>
          <w:sz w:val="22"/>
          <w:lang w:val="es-ES"/>
        </w:rPr>
        <w:t xml:space="preserve"> (Sic).</w:t>
      </w:r>
    </w:p>
    <w:p w14:paraId="4D16C3B0" w14:textId="77777777" w:rsidR="00E34622" w:rsidRPr="00A85CB7"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0FFFD21B" w14:textId="50208BDC" w:rsidR="003D65BF" w:rsidRDefault="003D65BF"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Adjunto al recurso de revisión</w:t>
      </w:r>
      <w:r w:rsidR="000E096F">
        <w:rPr>
          <w:rFonts w:ascii="Palatino Linotype" w:eastAsia="Calibri" w:hAnsi="Palatino Linotype" w:cs="Arial"/>
          <w:color w:val="000000" w:themeColor="text1"/>
          <w:lang w:val="es-ES"/>
        </w:rPr>
        <w:t xml:space="preserve"> </w:t>
      </w:r>
      <w:r w:rsidR="000E096F">
        <w:rPr>
          <w:rFonts w:ascii="Palatino Linotype" w:eastAsia="Calibri" w:hAnsi="Palatino Linotype" w:cs="Arial"/>
          <w:b/>
          <w:color w:val="000000" w:themeColor="text1"/>
          <w:lang w:val="es-ES"/>
        </w:rPr>
        <w:t>04343/INFOEM/IP/RR/2021</w:t>
      </w:r>
      <w:r>
        <w:rPr>
          <w:rFonts w:ascii="Palatino Linotype" w:eastAsia="Calibri" w:hAnsi="Palatino Linotype" w:cs="Arial"/>
          <w:color w:val="000000" w:themeColor="text1"/>
          <w:lang w:val="es-ES"/>
        </w:rPr>
        <w:t xml:space="preserve">, el </w:t>
      </w:r>
      <w:r>
        <w:rPr>
          <w:rFonts w:ascii="Palatino Linotype" w:eastAsia="Calibri" w:hAnsi="Palatino Linotype" w:cs="Arial"/>
          <w:b/>
          <w:color w:val="000000" w:themeColor="text1"/>
          <w:lang w:val="es-ES"/>
        </w:rPr>
        <w:t>RECURRENTE</w:t>
      </w:r>
      <w:r>
        <w:rPr>
          <w:rFonts w:ascii="Palatino Linotype" w:eastAsia="Calibri" w:hAnsi="Palatino Linotype" w:cs="Arial"/>
          <w:color w:val="000000" w:themeColor="text1"/>
          <w:lang w:val="es-ES"/>
        </w:rPr>
        <w:t xml:space="preserve"> presentó el archivo electrónico titulado </w:t>
      </w:r>
      <w:r>
        <w:rPr>
          <w:rFonts w:ascii="Palatino Linotype" w:eastAsia="Calibri" w:hAnsi="Palatino Linotype" w:cs="Arial"/>
          <w:b/>
          <w:i/>
          <w:color w:val="000000" w:themeColor="text1"/>
          <w:lang w:val="es-ES"/>
        </w:rPr>
        <w:t>“DICTAMEN supuesta versión pública.pdf”</w:t>
      </w:r>
      <w:r>
        <w:rPr>
          <w:rFonts w:ascii="Palatino Linotype" w:eastAsia="Calibri" w:hAnsi="Palatino Linotype" w:cs="Arial"/>
          <w:color w:val="000000" w:themeColor="text1"/>
          <w:lang w:val="es-ES"/>
        </w:rPr>
        <w:t xml:space="preserve">, consistente en el Dictamen Técnico-Médico Institucional </w:t>
      </w:r>
      <w:r w:rsidR="003F1552">
        <w:rPr>
          <w:rFonts w:ascii="Palatino Linotype" w:eastAsia="Calibri" w:hAnsi="Palatino Linotype" w:cs="Arial"/>
          <w:color w:val="000000" w:themeColor="text1"/>
          <w:lang w:val="es-ES"/>
        </w:rPr>
        <w:t>emitido en el</w:t>
      </w:r>
      <w:r>
        <w:rPr>
          <w:rFonts w:ascii="Palatino Linotype" w:eastAsia="Calibri" w:hAnsi="Palatino Linotype" w:cs="Arial"/>
          <w:color w:val="000000" w:themeColor="text1"/>
          <w:lang w:val="es-ES"/>
        </w:rPr>
        <w:t xml:space="preserve"> expediente número CCAMEM/TOL/D/1218/2019, testado en </w:t>
      </w:r>
      <w:r w:rsidR="003F1552">
        <w:rPr>
          <w:rFonts w:ascii="Palatino Linotype" w:eastAsia="Calibri" w:hAnsi="Palatino Linotype" w:cs="Arial"/>
          <w:color w:val="000000" w:themeColor="text1"/>
          <w:lang w:val="es-ES"/>
        </w:rPr>
        <w:t>la</w:t>
      </w:r>
      <w:r>
        <w:rPr>
          <w:rFonts w:ascii="Palatino Linotype" w:eastAsia="Calibri" w:hAnsi="Palatino Linotype" w:cs="Arial"/>
          <w:color w:val="000000" w:themeColor="text1"/>
          <w:lang w:val="es-ES"/>
        </w:rPr>
        <w:t xml:space="preserve"> mayoría</w:t>
      </w:r>
      <w:r w:rsidR="003F1552">
        <w:rPr>
          <w:rFonts w:ascii="Palatino Linotype" w:eastAsia="Calibri" w:hAnsi="Palatino Linotype" w:cs="Arial"/>
          <w:color w:val="000000" w:themeColor="text1"/>
          <w:lang w:val="es-ES"/>
        </w:rPr>
        <w:t xml:space="preserve"> de su contenido</w:t>
      </w:r>
      <w:r>
        <w:rPr>
          <w:rFonts w:ascii="Palatino Linotype" w:eastAsia="Calibri" w:hAnsi="Palatino Linotype" w:cs="Arial"/>
          <w:color w:val="000000" w:themeColor="text1"/>
          <w:lang w:val="es-ES"/>
        </w:rPr>
        <w:t xml:space="preserve">, y que fuera entregado por el </w:t>
      </w:r>
      <w:r>
        <w:rPr>
          <w:rFonts w:ascii="Palatino Linotype" w:eastAsia="Calibri" w:hAnsi="Palatino Linotype" w:cs="Arial"/>
          <w:b/>
          <w:color w:val="000000" w:themeColor="text1"/>
          <w:lang w:val="es-ES"/>
        </w:rPr>
        <w:t>SUJETO OBLIGADO</w:t>
      </w:r>
      <w:r>
        <w:rPr>
          <w:rFonts w:ascii="Palatino Linotype" w:eastAsia="Calibri" w:hAnsi="Palatino Linotype" w:cs="Arial"/>
          <w:color w:val="000000" w:themeColor="text1"/>
          <w:lang w:val="es-ES"/>
        </w:rPr>
        <w:t xml:space="preserve"> en su respuesta.</w:t>
      </w:r>
    </w:p>
    <w:p w14:paraId="0A21A8C9" w14:textId="77777777" w:rsidR="00473F11" w:rsidRPr="00473F11" w:rsidRDefault="00473F11" w:rsidP="00473F1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F0AFD31" w14:textId="74087672" w:rsidR="005C7898"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Se </w:t>
      </w:r>
      <w:r>
        <w:rPr>
          <w:rFonts w:ascii="Palatino Linotype" w:eastAsia="Times New Roman" w:hAnsi="Palatino Linotype" w:cs="Arial"/>
          <w:color w:val="000000" w:themeColor="text1"/>
          <w:lang w:val="es-ES"/>
        </w:rPr>
        <w:t xml:space="preserve">registraron </w:t>
      </w:r>
      <w:r w:rsidRPr="00A85CB7">
        <w:rPr>
          <w:rFonts w:ascii="Palatino Linotype" w:eastAsia="Times New Roman" w:hAnsi="Palatino Linotype" w:cs="Arial"/>
          <w:color w:val="000000" w:themeColor="text1"/>
          <w:lang w:val="es-ES"/>
        </w:rPr>
        <w:t>l</w:t>
      </w:r>
      <w:r>
        <w:rPr>
          <w:rFonts w:ascii="Palatino Linotype" w:eastAsia="Times New Roman" w:hAnsi="Palatino Linotype" w:cs="Arial"/>
          <w:color w:val="000000" w:themeColor="text1"/>
          <w:lang w:val="es-ES"/>
        </w:rPr>
        <w:t>os</w:t>
      </w:r>
      <w:r w:rsidRPr="00A85CB7">
        <w:rPr>
          <w:rFonts w:ascii="Palatino Linotype" w:eastAsia="Times New Roman" w:hAnsi="Palatino Linotype" w:cs="Arial"/>
          <w:color w:val="000000" w:themeColor="text1"/>
          <w:lang w:val="es-ES"/>
        </w:rPr>
        <w:t xml:space="preserve"> recurso</w:t>
      </w:r>
      <w:r>
        <w:rPr>
          <w:rFonts w:ascii="Palatino Linotype" w:eastAsia="Times New Roman" w:hAnsi="Palatino Linotype" w:cs="Arial"/>
          <w:color w:val="000000" w:themeColor="text1"/>
          <w:lang w:val="es-ES"/>
        </w:rPr>
        <w:t>s</w:t>
      </w:r>
      <w:r w:rsidRPr="00A85CB7">
        <w:rPr>
          <w:rFonts w:ascii="Palatino Linotype" w:eastAsia="Times New Roman" w:hAnsi="Palatino Linotype" w:cs="Arial"/>
          <w:color w:val="000000" w:themeColor="text1"/>
          <w:lang w:val="es-ES"/>
        </w:rPr>
        <w:t xml:space="preserve"> de revisión bajo l</w:t>
      </w:r>
      <w:r>
        <w:rPr>
          <w:rFonts w:ascii="Palatino Linotype" w:eastAsia="Times New Roman" w:hAnsi="Palatino Linotype" w:cs="Arial"/>
          <w:color w:val="000000" w:themeColor="text1"/>
          <w:lang w:val="es-ES"/>
        </w:rPr>
        <w:t>os</w:t>
      </w:r>
      <w:r w:rsidRPr="00A85CB7">
        <w:rPr>
          <w:rFonts w:ascii="Palatino Linotype" w:eastAsia="Times New Roman" w:hAnsi="Palatino Linotype" w:cs="Arial"/>
          <w:color w:val="000000" w:themeColor="text1"/>
          <w:lang w:val="es-ES"/>
        </w:rPr>
        <w:t xml:space="preserve"> número</w:t>
      </w:r>
      <w:r>
        <w:rPr>
          <w:rFonts w:ascii="Palatino Linotype" w:eastAsia="Times New Roman" w:hAnsi="Palatino Linotype" w:cs="Arial"/>
          <w:color w:val="000000" w:themeColor="text1"/>
          <w:lang w:val="es-ES"/>
        </w:rPr>
        <w:t>s</w:t>
      </w:r>
      <w:r w:rsidRPr="00A85CB7">
        <w:rPr>
          <w:rFonts w:ascii="Palatino Linotype" w:eastAsia="Times New Roman" w:hAnsi="Palatino Linotype" w:cs="Arial"/>
          <w:color w:val="000000" w:themeColor="text1"/>
          <w:lang w:val="es-ES"/>
        </w:rPr>
        <w:t xml:space="preserve"> de expediente</w:t>
      </w:r>
      <w:r>
        <w:rPr>
          <w:rFonts w:ascii="Palatino Linotype" w:eastAsia="Times New Roman" w:hAnsi="Palatino Linotype" w:cs="Arial"/>
          <w:color w:val="000000" w:themeColor="text1"/>
          <w:lang w:val="es-ES"/>
        </w:rPr>
        <w:t xml:space="preserve"> </w:t>
      </w:r>
      <w:r w:rsidRPr="005C7898">
        <w:rPr>
          <w:rFonts w:ascii="Palatino Linotype" w:eastAsia="Times New Roman" w:hAnsi="Palatino Linotype" w:cs="Arial"/>
          <w:b/>
          <w:color w:val="000000" w:themeColor="text1"/>
          <w:lang w:val="es-ES"/>
        </w:rPr>
        <w:t>04343/INFOEM/IP/RR/2021</w:t>
      </w:r>
      <w:r>
        <w:rPr>
          <w:rFonts w:ascii="Palatino Linotype" w:eastAsia="Times New Roman" w:hAnsi="Palatino Linotype" w:cs="Arial"/>
          <w:color w:val="000000" w:themeColor="text1"/>
          <w:lang w:val="es-ES"/>
        </w:rPr>
        <w:t xml:space="preserve"> y </w:t>
      </w:r>
      <w:r w:rsidRPr="005C7898">
        <w:rPr>
          <w:rFonts w:ascii="Palatino Linotype" w:eastAsia="Times New Roman" w:hAnsi="Palatino Linotype" w:cs="Arial"/>
          <w:b/>
          <w:color w:val="000000" w:themeColor="text1"/>
          <w:lang w:val="es-ES"/>
        </w:rPr>
        <w:t>04344/INFOEM/IP/RR/2021</w:t>
      </w:r>
      <w:r>
        <w:rPr>
          <w:rFonts w:ascii="Palatino Linotype" w:hAnsi="Palatino Linotype" w:cs="Arial"/>
          <w:bCs/>
          <w:color w:val="000000" w:themeColor="text1"/>
        </w:rPr>
        <w:t>;</w:t>
      </w:r>
      <w:r w:rsidRPr="00A85CB7">
        <w:rPr>
          <w:rFonts w:ascii="Palatino Linotype" w:hAnsi="Palatino Linotype" w:cs="Arial"/>
          <w:bCs/>
          <w:color w:val="000000" w:themeColor="text1"/>
        </w:rPr>
        <w:t xml:space="preserve"> asimismo, con </w:t>
      </w:r>
      <w:r w:rsidRPr="000A45FD">
        <w:rPr>
          <w:rFonts w:ascii="Palatino Linotype" w:hAnsi="Palatino Linotype" w:cs="Arial"/>
          <w:bCs/>
          <w:color w:val="000000" w:themeColor="text1"/>
        </w:rPr>
        <w:t xml:space="preserve">fundamento en lo dispuesto por el </w:t>
      </w:r>
      <w:r w:rsidRPr="000A45FD">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Pr>
          <w:rFonts w:ascii="Palatino Linotype" w:eastAsia="Times New Roman" w:hAnsi="Palatino Linotype" w:cs="Arial"/>
          <w:bCs/>
          <w:color w:val="000000" w:themeColor="text1"/>
          <w:lang w:val="es-ES"/>
        </w:rPr>
        <w:t>se turnaron</w:t>
      </w:r>
      <w:r w:rsidRPr="000A45FD">
        <w:rPr>
          <w:rFonts w:ascii="Palatino Linotype" w:eastAsia="Times New Roman" w:hAnsi="Palatino Linotype" w:cs="Arial"/>
          <w:bCs/>
          <w:color w:val="000000" w:themeColor="text1"/>
          <w:lang w:val="es-ES"/>
        </w:rPr>
        <w:t xml:space="preserve"> </w:t>
      </w:r>
      <w:r>
        <w:rPr>
          <w:rFonts w:ascii="Palatino Linotype" w:eastAsia="Times New Roman" w:hAnsi="Palatino Linotype" w:cs="Arial"/>
          <w:bCs/>
          <w:color w:val="000000" w:themeColor="text1"/>
          <w:lang w:val="es-ES"/>
        </w:rPr>
        <w:t xml:space="preserve">a las </w:t>
      </w:r>
      <w:r w:rsidRPr="005C7898">
        <w:rPr>
          <w:rFonts w:ascii="Palatino Linotype" w:eastAsia="Times New Roman" w:hAnsi="Palatino Linotype" w:cs="Arial"/>
          <w:b/>
          <w:bCs/>
          <w:color w:val="000000" w:themeColor="text1"/>
          <w:lang w:val="es-ES"/>
        </w:rPr>
        <w:t>Comisionadas María del Rosario Mejía Ayala</w:t>
      </w:r>
      <w:r>
        <w:rPr>
          <w:rFonts w:ascii="Palatino Linotype" w:eastAsia="Times New Roman" w:hAnsi="Palatino Linotype" w:cs="Arial"/>
          <w:bCs/>
          <w:color w:val="000000" w:themeColor="text1"/>
          <w:lang w:val="es-ES"/>
        </w:rPr>
        <w:t xml:space="preserve"> y </w:t>
      </w:r>
      <w:r w:rsidRPr="005C7898">
        <w:rPr>
          <w:rFonts w:ascii="Palatino Linotype" w:eastAsia="Times New Roman" w:hAnsi="Palatino Linotype" w:cs="Arial"/>
          <w:b/>
          <w:bCs/>
          <w:color w:val="000000" w:themeColor="text1"/>
          <w:lang w:val="es-ES"/>
        </w:rPr>
        <w:t>Guadalupe Ramírez Peña</w:t>
      </w:r>
      <w:r>
        <w:rPr>
          <w:rFonts w:ascii="Palatino Linotype" w:eastAsia="Times New Roman" w:hAnsi="Palatino Linotype" w:cs="Arial"/>
          <w:bCs/>
          <w:color w:val="000000" w:themeColor="text1"/>
          <w:lang w:val="es-ES"/>
        </w:rPr>
        <w:t xml:space="preserve"> respectivamente</w:t>
      </w:r>
      <w:r w:rsidRPr="000A45FD">
        <w:rPr>
          <w:rFonts w:ascii="Palatino Linotype" w:eastAsia="Times New Roman" w:hAnsi="Palatino Linotype" w:cs="Arial"/>
          <w:bCs/>
          <w:color w:val="000000" w:themeColor="text1"/>
          <w:lang w:val="es-ES"/>
        </w:rPr>
        <w:t xml:space="preserve">, con el objeto de </w:t>
      </w:r>
      <w:r w:rsidRPr="000A45FD">
        <w:rPr>
          <w:rFonts w:ascii="Palatino Linotype" w:eastAsia="Times New Roman" w:hAnsi="Palatino Linotype" w:cs="Arial"/>
          <w:bCs/>
          <w:color w:val="000000" w:themeColor="text1"/>
        </w:rPr>
        <w:t>su análisis.</w:t>
      </w:r>
    </w:p>
    <w:p w14:paraId="23A01433" w14:textId="77777777" w:rsidR="005C7898" w:rsidRPr="005C7898"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4EAB14E3" w:rsidR="00473F11" w:rsidRPr="00473F11" w:rsidRDefault="00473F1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L</w:t>
      </w:r>
      <w:r w:rsidR="005C7898">
        <w:rPr>
          <w:rFonts w:ascii="Palatino Linotype" w:eastAsia="Times New Roman" w:hAnsi="Palatino Linotype" w:cs="Arial"/>
          <w:color w:val="000000" w:themeColor="text1"/>
          <w:lang w:val="es-ES"/>
        </w:rPr>
        <w:t>a</w:t>
      </w:r>
      <w:r>
        <w:rPr>
          <w:rFonts w:ascii="Palatino Linotype" w:eastAsia="Times New Roman" w:hAnsi="Palatino Linotype" w:cs="Arial"/>
          <w:color w:val="000000" w:themeColor="text1"/>
          <w:lang w:val="es-ES"/>
        </w:rPr>
        <w:t xml:space="preserve">s </w:t>
      </w:r>
      <w:bookmarkStart w:id="4" w:name="_Hlk74251533"/>
      <w:r w:rsidRPr="001D52C3">
        <w:rPr>
          <w:rFonts w:ascii="Palatino Linotype" w:eastAsia="Calibri" w:hAnsi="Palatino Linotype" w:cs="Arial"/>
          <w:color w:val="000000" w:themeColor="text1"/>
          <w:lang w:val="es-ES"/>
        </w:rPr>
        <w:t>Comisionados Ponentes, con fundamento en lo dispuesto por el artículo 185 fracción II de la ley de la materia, a través de los acuerdos de admisión de</w:t>
      </w:r>
      <w:r w:rsidR="007E5A30">
        <w:rPr>
          <w:rFonts w:ascii="Palatino Linotype" w:eastAsia="Calibri" w:hAnsi="Palatino Linotype" w:cs="Arial"/>
          <w:color w:val="000000" w:themeColor="text1"/>
          <w:lang w:val="es-ES"/>
        </w:rPr>
        <w:t xml:space="preserve"> dos (02) y catorce (14) de septiembre</w:t>
      </w:r>
      <w:r>
        <w:rPr>
          <w:rFonts w:ascii="Palatino Linotype" w:eastAsia="Calibri" w:hAnsi="Palatino Linotype" w:cs="Arial"/>
          <w:color w:val="000000" w:themeColor="text1"/>
          <w:lang w:val="es-ES"/>
        </w:rPr>
        <w:t xml:space="preserve"> de dos mil veintiuno</w:t>
      </w:r>
      <w:r w:rsidRPr="001D52C3">
        <w:rPr>
          <w:rFonts w:ascii="Palatino Linotype" w:eastAsia="Calibri" w:hAnsi="Palatino Linotype" w:cs="Arial"/>
          <w:color w:val="000000" w:themeColor="text1"/>
          <w:lang w:val="es-ES"/>
        </w:rPr>
        <w:t xml:space="preserve">, pusieron a disposición de las partes los expedientes electrónicos </w:t>
      </w:r>
      <w:r w:rsidRPr="001D52C3">
        <w:rPr>
          <w:rFonts w:ascii="Palatino Linotype" w:eastAsia="Calibri" w:hAnsi="Palatino Linotype" w:cs="Arial"/>
          <w:color w:val="000000" w:themeColor="text1"/>
        </w:rPr>
        <w:t xml:space="preserve">vía </w:t>
      </w:r>
      <w:r w:rsidRPr="001D52C3">
        <w:rPr>
          <w:rFonts w:ascii="Palatino Linotype" w:eastAsia="Calibri" w:hAnsi="Palatino Linotype" w:cs="Arial"/>
          <w:color w:val="000000" w:themeColor="text1"/>
          <w:lang w:val="es-ES"/>
        </w:rPr>
        <w:t xml:space="preserve">Sistema de Acceso a la Información Mexiquense </w:t>
      </w:r>
      <w:r w:rsidRPr="001D52C3">
        <w:rPr>
          <w:rFonts w:ascii="Palatino Linotype" w:eastAsia="Calibri" w:hAnsi="Palatino Linotype" w:cs="Arial"/>
          <w:b/>
          <w:color w:val="000000" w:themeColor="text1"/>
          <w:lang w:val="es-ES"/>
        </w:rPr>
        <w:t>(</w:t>
      </w:r>
      <w:r w:rsidRPr="001D52C3">
        <w:rPr>
          <w:rFonts w:ascii="Palatino Linotype" w:eastAsia="Calibri" w:hAnsi="Palatino Linotype" w:cs="Arial"/>
          <w:b/>
          <w:i/>
          <w:color w:val="000000" w:themeColor="text1"/>
          <w:lang w:val="es-ES"/>
        </w:rPr>
        <w:t>SAIMEX</w:t>
      </w:r>
      <w:r w:rsidRPr="001D52C3">
        <w:rPr>
          <w:rFonts w:ascii="Palatino Linotype" w:eastAsia="Calibri" w:hAnsi="Palatino Linotype" w:cs="Arial"/>
          <w:b/>
          <w:color w:val="000000" w:themeColor="text1"/>
          <w:lang w:val="es-ES"/>
        </w:rPr>
        <w:t xml:space="preserve">) </w:t>
      </w:r>
      <w:r w:rsidRPr="001D52C3">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Pr="001D52C3">
        <w:rPr>
          <w:rFonts w:ascii="Palatino Linotype" w:eastAsia="Calibri" w:hAnsi="Palatino Linotype" w:cs="Arial"/>
          <w:b/>
          <w:color w:val="000000" w:themeColor="text1"/>
          <w:lang w:val="es-ES"/>
        </w:rPr>
        <w:t>SUJETO OBLIGADO</w:t>
      </w:r>
      <w:r w:rsidRPr="001D52C3">
        <w:rPr>
          <w:rFonts w:ascii="Palatino Linotype" w:eastAsia="Calibri" w:hAnsi="Palatino Linotype" w:cs="Arial"/>
          <w:color w:val="000000" w:themeColor="text1"/>
          <w:lang w:val="es-ES"/>
        </w:rPr>
        <w:t xml:space="preserve"> presentara los Informes Justificados procedentes.</w:t>
      </w:r>
      <w:bookmarkEnd w:id="4"/>
    </w:p>
    <w:p w14:paraId="59E772B8" w14:textId="77777777" w:rsidR="00473F11" w:rsidRPr="00473F11" w:rsidRDefault="00473F11" w:rsidP="00473F1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3BE587A" w14:textId="005BFC99" w:rsidR="0096234B" w:rsidRPr="003D65BF" w:rsidRDefault="003D65BF" w:rsidP="003F155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De </w:t>
      </w:r>
      <w:r w:rsidRPr="0014704C">
        <w:rPr>
          <w:rFonts w:ascii="Palatino Linotype" w:hAnsi="Palatino Linotype"/>
          <w:color w:val="000000"/>
          <w:lang w:val="es-ES"/>
        </w:rPr>
        <w:t xml:space="preserve">las </w:t>
      </w:r>
      <w:r w:rsidRPr="007E5A30">
        <w:rPr>
          <w:rFonts w:ascii="Palatino Linotype" w:hAnsi="Palatino Linotype"/>
          <w:color w:val="000000"/>
          <w:lang w:val="es-ES_tradnl"/>
        </w:rPr>
        <w:t>constancias</w:t>
      </w:r>
      <w:r w:rsidRPr="0014704C">
        <w:rPr>
          <w:rFonts w:ascii="Palatino Linotype" w:hAnsi="Palatino Linotype"/>
          <w:color w:val="000000"/>
          <w:lang w:val="es-ES_tradnl"/>
        </w:rPr>
        <w:t xml:space="preserve"> que obran en </w:t>
      </w:r>
      <w:r w:rsidR="007E5A30">
        <w:rPr>
          <w:rFonts w:ascii="Palatino Linotype" w:hAnsi="Palatino Linotype"/>
          <w:color w:val="000000"/>
          <w:lang w:val="es-ES_tradnl"/>
        </w:rPr>
        <w:t>los</w:t>
      </w:r>
      <w:r w:rsidRPr="0014704C">
        <w:rPr>
          <w:rFonts w:ascii="Palatino Linotype" w:hAnsi="Palatino Linotype"/>
          <w:color w:val="000000"/>
          <w:lang w:val="es-ES_tradnl"/>
        </w:rPr>
        <w:t xml:space="preserve"> expediente</w:t>
      </w:r>
      <w:r w:rsidR="007E5A30">
        <w:rPr>
          <w:rFonts w:ascii="Palatino Linotype" w:hAnsi="Palatino Linotype"/>
          <w:color w:val="000000"/>
          <w:lang w:val="es-ES_tradnl"/>
        </w:rPr>
        <w:t>s</w:t>
      </w:r>
      <w:r w:rsidRPr="0014704C">
        <w:rPr>
          <w:rFonts w:ascii="Palatino Linotype" w:hAnsi="Palatino Linotype"/>
          <w:color w:val="000000"/>
          <w:lang w:val="es-ES_tradnl"/>
        </w:rPr>
        <w:t xml:space="preserve"> digital</w:t>
      </w:r>
      <w:r w:rsidR="007E5A30">
        <w:rPr>
          <w:rFonts w:ascii="Palatino Linotype" w:hAnsi="Palatino Linotype"/>
          <w:color w:val="000000"/>
          <w:lang w:val="es-ES_tradnl"/>
        </w:rPr>
        <w:t>es</w:t>
      </w:r>
      <w:r w:rsidRPr="0014704C">
        <w:rPr>
          <w:rFonts w:ascii="Palatino Linotype" w:hAnsi="Palatino Linotype"/>
          <w:color w:val="000000"/>
          <w:lang w:val="es-ES_tradnl"/>
        </w:rPr>
        <w:t xml:space="preserve"> de</w:t>
      </w:r>
      <w:r w:rsidR="007E5A30">
        <w:rPr>
          <w:rFonts w:ascii="Palatino Linotype" w:hAnsi="Palatino Linotype"/>
          <w:color w:val="000000"/>
          <w:lang w:val="es-ES_tradnl"/>
        </w:rPr>
        <w:t xml:space="preserve"> </w:t>
      </w:r>
      <w:r w:rsidRPr="0014704C">
        <w:rPr>
          <w:rFonts w:ascii="Palatino Linotype" w:hAnsi="Palatino Linotype"/>
          <w:color w:val="000000"/>
          <w:lang w:val="es-ES_tradnl"/>
        </w:rPr>
        <w:t>l</w:t>
      </w:r>
      <w:r w:rsidR="007E5A30">
        <w:rPr>
          <w:rFonts w:ascii="Palatino Linotype" w:hAnsi="Palatino Linotype"/>
          <w:color w:val="000000"/>
          <w:lang w:val="es-ES_tradnl"/>
        </w:rPr>
        <w:t>os</w:t>
      </w:r>
      <w:r w:rsidRPr="0014704C">
        <w:rPr>
          <w:rFonts w:ascii="Palatino Linotype" w:hAnsi="Palatino Linotype"/>
          <w:color w:val="000000"/>
          <w:lang w:val="es-ES_tradnl"/>
        </w:rPr>
        <w:t xml:space="preserve"> recurso</w:t>
      </w:r>
      <w:r w:rsidR="007E5A30">
        <w:rPr>
          <w:rFonts w:ascii="Palatino Linotype" w:hAnsi="Palatino Linotype"/>
          <w:color w:val="000000"/>
          <w:lang w:val="es-ES_tradnl"/>
        </w:rPr>
        <w:t>s</w:t>
      </w:r>
      <w:r w:rsidRPr="0014704C">
        <w:rPr>
          <w:rFonts w:ascii="Palatino Linotype" w:hAnsi="Palatino Linotype"/>
          <w:color w:val="000000"/>
          <w:lang w:val="es-ES_tradnl"/>
        </w:rPr>
        <w:t xml:space="preserve"> de revisión que hoy se resuelve</w:t>
      </w:r>
      <w:r w:rsidR="007E5A30">
        <w:rPr>
          <w:rFonts w:ascii="Palatino Linotype" w:hAnsi="Palatino Linotype"/>
          <w:color w:val="000000"/>
          <w:lang w:val="es-ES_tradnl"/>
        </w:rPr>
        <w:t>n</w:t>
      </w:r>
      <w:r w:rsidRPr="0014704C">
        <w:rPr>
          <w:rFonts w:ascii="Palatino Linotype" w:hAnsi="Palatino Linotype"/>
          <w:color w:val="000000"/>
          <w:lang w:val="es-ES_tradnl"/>
        </w:rPr>
        <w:t xml:space="preserve">, se aprecia que el </w:t>
      </w:r>
      <w:r w:rsidRPr="0014704C">
        <w:rPr>
          <w:rFonts w:ascii="Palatino Linotype" w:hAnsi="Palatino Linotype"/>
          <w:b/>
          <w:color w:val="000000"/>
          <w:lang w:val="es-ES_tradnl"/>
        </w:rPr>
        <w:t xml:space="preserve">SUJETO OBLIGADO </w:t>
      </w:r>
      <w:r w:rsidRPr="0014704C">
        <w:rPr>
          <w:rFonts w:ascii="Palatino Linotype" w:hAnsi="Palatino Linotype"/>
          <w:color w:val="000000"/>
          <w:lang w:val="es-ES_tradnl"/>
        </w:rPr>
        <w:t xml:space="preserve">no rindió </w:t>
      </w:r>
      <w:r>
        <w:rPr>
          <w:rFonts w:ascii="Palatino Linotype" w:hAnsi="Palatino Linotype"/>
          <w:color w:val="000000"/>
          <w:lang w:val="es-ES_tradnl"/>
        </w:rPr>
        <w:t>su</w:t>
      </w:r>
      <w:r w:rsidR="007E5A30">
        <w:rPr>
          <w:rFonts w:ascii="Palatino Linotype" w:hAnsi="Palatino Linotype"/>
          <w:color w:val="000000"/>
          <w:lang w:val="es-ES_tradnl"/>
        </w:rPr>
        <w:t>s</w:t>
      </w:r>
      <w:r>
        <w:rPr>
          <w:rFonts w:ascii="Palatino Linotype" w:hAnsi="Palatino Linotype"/>
          <w:color w:val="000000"/>
          <w:lang w:val="es-ES_tradnl"/>
        </w:rPr>
        <w:t xml:space="preserve"> </w:t>
      </w:r>
      <w:r w:rsidRPr="0014704C">
        <w:rPr>
          <w:rFonts w:ascii="Palatino Linotype" w:hAnsi="Palatino Linotype"/>
          <w:color w:val="000000"/>
          <w:lang w:val="es-ES_tradnl"/>
        </w:rPr>
        <w:t>informe</w:t>
      </w:r>
      <w:r w:rsidR="007E5A30">
        <w:rPr>
          <w:rFonts w:ascii="Palatino Linotype" w:hAnsi="Palatino Linotype"/>
          <w:color w:val="000000"/>
          <w:lang w:val="es-ES_tradnl"/>
        </w:rPr>
        <w:t>s</w:t>
      </w:r>
      <w:r w:rsidRPr="0014704C">
        <w:rPr>
          <w:rFonts w:ascii="Palatino Linotype" w:hAnsi="Palatino Linotype"/>
          <w:color w:val="000000"/>
          <w:lang w:val="es-ES_tradnl"/>
        </w:rPr>
        <w:t xml:space="preserve"> justificado</w:t>
      </w:r>
      <w:r w:rsidR="007E5A30">
        <w:rPr>
          <w:rFonts w:ascii="Palatino Linotype" w:hAnsi="Palatino Linotype"/>
          <w:color w:val="000000"/>
          <w:lang w:val="es-ES_tradnl"/>
        </w:rPr>
        <w:t>s</w:t>
      </w:r>
      <w:r w:rsidRPr="0014704C">
        <w:rPr>
          <w:rFonts w:ascii="Palatino Linotype" w:hAnsi="Palatino Linotype"/>
          <w:color w:val="000000"/>
          <w:lang w:val="es-ES_tradnl"/>
        </w:rPr>
        <w:t xml:space="preserve"> para manifestar lo que a su derecho conviniera; por su parte, </w:t>
      </w:r>
      <w:r>
        <w:rPr>
          <w:rFonts w:ascii="Palatino Linotype" w:hAnsi="Palatino Linotype"/>
          <w:color w:val="000000"/>
          <w:lang w:val="es-ES_tradnl"/>
        </w:rPr>
        <w:t>el</w:t>
      </w:r>
      <w:r w:rsidRPr="0014704C">
        <w:rPr>
          <w:rFonts w:ascii="Palatino Linotype" w:hAnsi="Palatino Linotype"/>
          <w:color w:val="000000"/>
          <w:lang w:val="es-ES_tradnl"/>
        </w:rPr>
        <w:t xml:space="preserve"> </w:t>
      </w:r>
      <w:r w:rsidRPr="0014704C">
        <w:rPr>
          <w:rFonts w:ascii="Palatino Linotype" w:hAnsi="Palatino Linotype"/>
          <w:b/>
          <w:color w:val="000000"/>
          <w:lang w:val="es-ES_tradnl"/>
        </w:rPr>
        <w:t xml:space="preserve">RECURRENTE </w:t>
      </w:r>
      <w:r w:rsidRPr="0014704C">
        <w:rPr>
          <w:rFonts w:ascii="Palatino Linotype" w:hAnsi="Palatino Linotype"/>
          <w:color w:val="000000"/>
          <w:lang w:val="es-ES_tradnl"/>
        </w:rPr>
        <w:t>no presentó alegatos ni ofreció medios de prueba. Se adjunta</w:t>
      </w:r>
      <w:r w:rsidR="007E5A30">
        <w:rPr>
          <w:rFonts w:ascii="Palatino Linotype" w:hAnsi="Palatino Linotype"/>
          <w:color w:val="000000"/>
          <w:lang w:val="es-ES_tradnl"/>
        </w:rPr>
        <w:t>n</w:t>
      </w:r>
      <w:r>
        <w:rPr>
          <w:rFonts w:ascii="Palatino Linotype" w:hAnsi="Palatino Linotype"/>
          <w:color w:val="000000"/>
          <w:lang w:val="es-ES_tradnl"/>
        </w:rPr>
        <w:t xml:space="preserve"> </w:t>
      </w:r>
      <w:r w:rsidRPr="0014704C">
        <w:rPr>
          <w:rFonts w:ascii="Palatino Linotype" w:hAnsi="Palatino Linotype"/>
          <w:color w:val="000000"/>
          <w:lang w:val="es-ES_tradnl"/>
        </w:rPr>
        <w:t xml:space="preserve">capturas del apartado de </w:t>
      </w:r>
      <w:r w:rsidRPr="0014704C">
        <w:rPr>
          <w:rFonts w:ascii="Palatino Linotype" w:hAnsi="Palatino Linotype"/>
          <w:i/>
          <w:iCs/>
          <w:color w:val="000000"/>
          <w:lang w:val="es-ES_tradnl"/>
        </w:rPr>
        <w:t>Manifestaciones</w:t>
      </w:r>
      <w:r w:rsidRPr="0014704C">
        <w:rPr>
          <w:rFonts w:ascii="Palatino Linotype" w:hAnsi="Palatino Linotype"/>
          <w:color w:val="000000"/>
          <w:lang w:val="es-ES_tradnl"/>
        </w:rPr>
        <w:t xml:space="preserve"> del </w:t>
      </w:r>
      <w:r w:rsidRPr="0014704C">
        <w:rPr>
          <w:rFonts w:ascii="Palatino Linotype" w:hAnsi="Palatino Linotype"/>
          <w:i/>
          <w:iCs/>
          <w:color w:val="000000"/>
          <w:lang w:val="es-ES_tradnl"/>
        </w:rPr>
        <w:t>SAIMEX</w:t>
      </w:r>
      <w:r w:rsidRPr="0014704C">
        <w:rPr>
          <w:rFonts w:ascii="Palatino Linotype" w:hAnsi="Palatino Linotype"/>
          <w:color w:val="000000"/>
          <w:lang w:val="es-ES_tradnl"/>
        </w:rPr>
        <w:t xml:space="preserve"> de</w:t>
      </w:r>
      <w:r w:rsidR="007E5A30">
        <w:rPr>
          <w:rFonts w:ascii="Palatino Linotype" w:hAnsi="Palatino Linotype"/>
          <w:color w:val="000000"/>
          <w:lang w:val="es-ES_tradnl"/>
        </w:rPr>
        <w:t xml:space="preserve"> </w:t>
      </w:r>
      <w:r>
        <w:rPr>
          <w:rFonts w:ascii="Palatino Linotype" w:hAnsi="Palatino Linotype"/>
          <w:color w:val="000000"/>
          <w:lang w:val="es-ES_tradnl"/>
        </w:rPr>
        <w:t>l</w:t>
      </w:r>
      <w:r w:rsidR="007E5A30">
        <w:rPr>
          <w:rFonts w:ascii="Palatino Linotype" w:hAnsi="Palatino Linotype"/>
          <w:color w:val="000000"/>
          <w:lang w:val="es-ES_tradnl"/>
        </w:rPr>
        <w:t>os</w:t>
      </w:r>
      <w:r w:rsidRPr="0014704C">
        <w:rPr>
          <w:rFonts w:ascii="Palatino Linotype" w:hAnsi="Palatino Linotype"/>
          <w:color w:val="000000"/>
          <w:lang w:val="es-ES_tradnl"/>
        </w:rPr>
        <w:t xml:space="preserve"> expediente</w:t>
      </w:r>
      <w:r w:rsidR="007E5A30">
        <w:rPr>
          <w:rFonts w:ascii="Palatino Linotype" w:hAnsi="Palatino Linotype"/>
          <w:color w:val="000000"/>
          <w:lang w:val="es-ES_tradnl"/>
        </w:rPr>
        <w:t>s</w:t>
      </w:r>
      <w:r w:rsidRPr="0014704C">
        <w:rPr>
          <w:rFonts w:ascii="Palatino Linotype" w:hAnsi="Palatino Linotype"/>
          <w:color w:val="000000"/>
          <w:lang w:val="es-ES_tradnl"/>
        </w:rPr>
        <w:t xml:space="preserve"> </w:t>
      </w:r>
      <w:r>
        <w:rPr>
          <w:rFonts w:ascii="Palatino Linotype" w:hAnsi="Palatino Linotype"/>
          <w:color w:val="000000"/>
          <w:lang w:val="es-ES_tradnl"/>
        </w:rPr>
        <w:t>a modo de</w:t>
      </w:r>
      <w:r w:rsidRPr="0014704C">
        <w:rPr>
          <w:rFonts w:ascii="Palatino Linotype" w:hAnsi="Palatino Linotype"/>
          <w:color w:val="000000"/>
          <w:lang w:val="es-ES_tradnl"/>
        </w:rPr>
        <w:t xml:space="preserve"> referencia:</w:t>
      </w:r>
    </w:p>
    <w:p w14:paraId="4CFAEB9B" w14:textId="77777777" w:rsidR="005C450C" w:rsidRDefault="005C450C" w:rsidP="003D65BF">
      <w:pPr>
        <w:pStyle w:val="Prrafodelista"/>
        <w:tabs>
          <w:tab w:val="left" w:pos="426"/>
        </w:tabs>
        <w:spacing w:line="276" w:lineRule="auto"/>
        <w:ind w:left="0"/>
        <w:jc w:val="both"/>
        <w:rPr>
          <w:rFonts w:ascii="Palatino Linotype" w:hAnsi="Palatino Linotype"/>
          <w:color w:val="000000" w:themeColor="text1"/>
        </w:rPr>
      </w:pPr>
    </w:p>
    <w:p w14:paraId="5546A7FE" w14:textId="1657C8D0" w:rsidR="003D65BF" w:rsidRDefault="003D65BF" w:rsidP="003D65BF">
      <w:pPr>
        <w:pStyle w:val="Prrafodelista"/>
        <w:tabs>
          <w:tab w:val="left" w:pos="426"/>
        </w:tabs>
        <w:spacing w:line="360" w:lineRule="auto"/>
        <w:ind w:left="0"/>
        <w:jc w:val="center"/>
        <w:rPr>
          <w:rFonts w:ascii="Palatino Linotype" w:hAnsi="Palatino Linotype"/>
          <w:color w:val="000000" w:themeColor="text1"/>
        </w:rPr>
      </w:pPr>
      <w:r>
        <w:rPr>
          <w:rFonts w:ascii="Palatino Linotype" w:hAnsi="Palatino Linotype"/>
          <w:noProof/>
          <w:color w:val="000000" w:themeColor="text1"/>
          <w:lang w:eastAsia="es-MX"/>
        </w:rPr>
        <w:drawing>
          <wp:inline distT="0" distB="0" distL="0" distR="0" wp14:anchorId="6C4684D2" wp14:editId="6204BB8E">
            <wp:extent cx="4826553" cy="1273340"/>
            <wp:effectExtent l="57150" t="57150" r="107950" b="1174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5627" cy="12889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8765FB" w14:textId="0E285536" w:rsidR="007E5A30" w:rsidRDefault="007E5A30" w:rsidP="003D65BF">
      <w:pPr>
        <w:pStyle w:val="Prrafodelista"/>
        <w:tabs>
          <w:tab w:val="left" w:pos="426"/>
        </w:tabs>
        <w:spacing w:line="360" w:lineRule="auto"/>
        <w:ind w:left="0"/>
        <w:jc w:val="center"/>
        <w:rPr>
          <w:rFonts w:ascii="Palatino Linotype" w:hAnsi="Palatino Linotype"/>
          <w:color w:val="000000" w:themeColor="text1"/>
        </w:rPr>
      </w:pPr>
      <w:r>
        <w:rPr>
          <w:rFonts w:ascii="Palatino Linotype" w:hAnsi="Palatino Linotype"/>
          <w:noProof/>
          <w:color w:val="000000" w:themeColor="text1"/>
          <w:lang w:eastAsia="es-MX"/>
        </w:rPr>
        <w:drawing>
          <wp:inline distT="0" distB="0" distL="0" distR="0" wp14:anchorId="7C483D9A" wp14:editId="1D1A8560">
            <wp:extent cx="4817385" cy="1143127"/>
            <wp:effectExtent l="57150" t="57150" r="116840" b="1143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8874" cy="115297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A78D19" w14:textId="77777777" w:rsidR="003D65BF" w:rsidRDefault="003D65BF" w:rsidP="005C450C">
      <w:pPr>
        <w:pStyle w:val="Prrafodelista"/>
        <w:tabs>
          <w:tab w:val="left" w:pos="426"/>
        </w:tabs>
        <w:spacing w:line="360" w:lineRule="auto"/>
        <w:ind w:left="0"/>
        <w:jc w:val="both"/>
        <w:rPr>
          <w:rFonts w:ascii="Palatino Linotype" w:hAnsi="Palatino Linotype"/>
          <w:color w:val="000000" w:themeColor="text1"/>
        </w:rPr>
      </w:pPr>
    </w:p>
    <w:p w14:paraId="7FB95849" w14:textId="2B88BDBE" w:rsidR="00F2567E" w:rsidRPr="008965EF" w:rsidRDefault="00861622"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lang w:val="es-ES"/>
        </w:rPr>
        <w:t>El</w:t>
      </w:r>
      <w:bookmarkStart w:id="5" w:name="_Toc461555889"/>
      <w:bookmarkStart w:id="6" w:name="_Toc466371858"/>
      <w:r w:rsidR="00B855AA">
        <w:rPr>
          <w:rFonts w:ascii="Palatino Linotype" w:eastAsia="Calibri" w:hAnsi="Palatino Linotype" w:cs="Arial"/>
          <w:color w:val="000000" w:themeColor="text1"/>
          <w:lang w:val="es-ES"/>
        </w:rPr>
        <w:t xml:space="preserve"> </w:t>
      </w:r>
      <w:r w:rsidR="003F1552">
        <w:rPr>
          <w:rFonts w:ascii="Palatino Linotype" w:eastAsia="Calibri" w:hAnsi="Palatino Linotype" w:cs="Arial"/>
          <w:color w:val="000000" w:themeColor="text1"/>
          <w:lang w:val="es-ES"/>
        </w:rPr>
        <w:t>once (11</w:t>
      </w:r>
      <w:r w:rsidR="008A74F2">
        <w:rPr>
          <w:rFonts w:ascii="Palatino Linotype" w:eastAsia="Calibri" w:hAnsi="Palatino Linotype" w:cs="Arial"/>
          <w:color w:val="000000" w:themeColor="text1"/>
          <w:lang w:val="es-ES"/>
        </w:rPr>
        <w:t>)</w:t>
      </w:r>
      <w:r w:rsidR="001E0672">
        <w:rPr>
          <w:rFonts w:ascii="Palatino Linotype" w:eastAsia="Calibri" w:hAnsi="Palatino Linotype" w:cs="Arial"/>
          <w:color w:val="000000" w:themeColor="text1"/>
          <w:lang w:val="es-ES"/>
        </w:rPr>
        <w:t xml:space="preserve"> y doce (12)</w:t>
      </w:r>
      <w:r w:rsidR="008A74F2">
        <w:rPr>
          <w:rFonts w:ascii="Palatino Linotype" w:eastAsia="Calibri" w:hAnsi="Palatino Linotype" w:cs="Arial"/>
          <w:color w:val="000000" w:themeColor="text1"/>
          <w:lang w:val="es-ES"/>
        </w:rPr>
        <w:t xml:space="preserve"> de octubre</w:t>
      </w:r>
      <w:r w:rsidR="009917E9">
        <w:rPr>
          <w:rFonts w:ascii="Palatino Linotype" w:eastAsia="Calibri" w:hAnsi="Palatino Linotype" w:cs="Arial"/>
          <w:color w:val="000000" w:themeColor="text1"/>
          <w:lang w:val="es-ES"/>
        </w:rPr>
        <w:t xml:space="preserve"> de dos mil veintiuno</w:t>
      </w:r>
      <w:r w:rsidR="00AD6AC5" w:rsidRPr="00A85CB7">
        <w:rPr>
          <w:rFonts w:ascii="Palatino Linotype" w:hAnsi="Palatino Linotype" w:cs="Arial"/>
          <w:color w:val="000000" w:themeColor="text1"/>
        </w:rPr>
        <w:t xml:space="preserve">, </w:t>
      </w:r>
      <w:r w:rsidR="0096234B">
        <w:rPr>
          <w:rFonts w:ascii="Palatino Linotype" w:hAnsi="Palatino Linotype" w:cs="Arial"/>
          <w:color w:val="000000" w:themeColor="text1"/>
        </w:rPr>
        <w:t>la</w:t>
      </w:r>
      <w:r w:rsidR="007E5A30">
        <w:rPr>
          <w:rFonts w:ascii="Palatino Linotype" w:hAnsi="Palatino Linotype" w:cs="Arial"/>
          <w:color w:val="000000" w:themeColor="text1"/>
        </w:rPr>
        <w:t>s</w:t>
      </w:r>
      <w:r w:rsidR="0096234B">
        <w:rPr>
          <w:rFonts w:ascii="Palatino Linotype" w:hAnsi="Palatino Linotype" w:cs="Arial"/>
          <w:color w:val="000000" w:themeColor="text1"/>
        </w:rPr>
        <w:t xml:space="preserve"> </w:t>
      </w:r>
      <w:r w:rsidR="00AD6AC5" w:rsidRPr="00A85CB7">
        <w:rPr>
          <w:rFonts w:ascii="Palatino Linotype" w:hAnsi="Palatino Linotype" w:cs="Arial"/>
          <w:color w:val="000000" w:themeColor="text1"/>
        </w:rPr>
        <w:t>Comisionad</w:t>
      </w:r>
      <w:r w:rsidR="0096234B">
        <w:rPr>
          <w:rFonts w:ascii="Palatino Linotype" w:hAnsi="Palatino Linotype" w:cs="Arial"/>
          <w:color w:val="000000" w:themeColor="text1"/>
        </w:rPr>
        <w:t>a</w:t>
      </w:r>
      <w:r w:rsidR="007E5A30">
        <w:rPr>
          <w:rFonts w:ascii="Palatino Linotype" w:hAnsi="Palatino Linotype" w:cs="Arial"/>
          <w:color w:val="000000" w:themeColor="text1"/>
        </w:rPr>
        <w:t>s</w:t>
      </w:r>
      <w:r w:rsidR="00AD6AC5" w:rsidRPr="00A85CB7">
        <w:rPr>
          <w:rFonts w:ascii="Palatino Linotype" w:hAnsi="Palatino Linotype" w:cs="Arial"/>
          <w:color w:val="000000" w:themeColor="text1"/>
        </w:rPr>
        <w:t xml:space="preserve"> Ponente</w:t>
      </w:r>
      <w:r w:rsidR="007E5A30">
        <w:rPr>
          <w:rFonts w:ascii="Palatino Linotype" w:hAnsi="Palatino Linotype" w:cs="Arial"/>
          <w:color w:val="000000" w:themeColor="text1"/>
        </w:rPr>
        <w:t>s decretaron</w:t>
      </w:r>
      <w:r w:rsidR="00AD6AC5" w:rsidRPr="00A85CB7">
        <w:rPr>
          <w:rFonts w:ascii="Palatino Linotype" w:hAnsi="Palatino Linotype" w:cs="Arial"/>
          <w:color w:val="000000" w:themeColor="text1"/>
        </w:rPr>
        <w:t xml:space="preserve"> </w:t>
      </w:r>
      <w:r w:rsidR="005C7898">
        <w:rPr>
          <w:rFonts w:ascii="Palatino Linotype" w:hAnsi="Palatino Linotype" w:cs="Arial"/>
          <w:color w:val="000000" w:themeColor="text1"/>
        </w:rPr>
        <w:t>los</w:t>
      </w:r>
      <w:r w:rsidR="00AD6AC5" w:rsidRPr="00A85CB7">
        <w:rPr>
          <w:rFonts w:ascii="Palatino Linotype" w:hAnsi="Palatino Linotype" w:cs="Arial"/>
          <w:color w:val="000000" w:themeColor="text1"/>
        </w:rPr>
        <w:t xml:space="preserve"> cierre</w:t>
      </w:r>
      <w:r w:rsidR="005C7898">
        <w:rPr>
          <w:rFonts w:ascii="Palatino Linotype" w:hAnsi="Palatino Linotype" w:cs="Arial"/>
          <w:color w:val="000000" w:themeColor="text1"/>
        </w:rPr>
        <w:t>s</w:t>
      </w:r>
      <w:r w:rsidR="00AD6AC5" w:rsidRPr="00A85CB7">
        <w:rPr>
          <w:rFonts w:ascii="Palatino Linotype" w:hAnsi="Palatino Linotype" w:cs="Arial"/>
          <w:color w:val="000000" w:themeColor="text1"/>
        </w:rPr>
        <w:t xml:space="preserve"> del periodo d</w:t>
      </w:r>
      <w:r w:rsidR="007E5A30">
        <w:rPr>
          <w:rFonts w:ascii="Palatino Linotype" w:hAnsi="Palatino Linotype" w:cs="Arial"/>
          <w:color w:val="000000" w:themeColor="text1"/>
        </w:rPr>
        <w:t>e instrucción, por lo que ordenaron</w:t>
      </w:r>
      <w:r w:rsidR="00AD6AC5" w:rsidRPr="00A85CB7">
        <w:rPr>
          <w:rFonts w:ascii="Palatino Linotype" w:hAnsi="Palatino Linotype" w:cs="Arial"/>
          <w:color w:val="000000" w:themeColor="text1"/>
        </w:rPr>
        <w:t xml:space="preserve"> turnar </w:t>
      </w:r>
      <w:r w:rsidR="007E5A30">
        <w:rPr>
          <w:rFonts w:ascii="Palatino Linotype" w:hAnsi="Palatino Linotype" w:cs="Arial"/>
          <w:color w:val="000000" w:themeColor="text1"/>
        </w:rPr>
        <w:t>los</w:t>
      </w:r>
      <w:r w:rsidR="00AD6AC5" w:rsidRPr="00A85CB7">
        <w:rPr>
          <w:rFonts w:ascii="Palatino Linotype" w:hAnsi="Palatino Linotype" w:cs="Arial"/>
          <w:color w:val="000000" w:themeColor="text1"/>
        </w:rPr>
        <w:t xml:space="preserve"> expediente</w:t>
      </w:r>
      <w:r w:rsidR="007E5A30">
        <w:rPr>
          <w:rFonts w:ascii="Palatino Linotype" w:hAnsi="Palatino Linotype" w:cs="Arial"/>
          <w:color w:val="000000" w:themeColor="text1"/>
        </w:rPr>
        <w:t>s</w:t>
      </w:r>
      <w:r w:rsidR="00AD6AC5" w:rsidRPr="00A85CB7">
        <w:rPr>
          <w:rFonts w:ascii="Palatino Linotype" w:hAnsi="Palatino Linotype" w:cs="Arial"/>
          <w:color w:val="000000" w:themeColor="text1"/>
        </w:rPr>
        <w:t xml:space="preserve"> para su resolución, misma que ahora se pronuncia</w:t>
      </w:r>
      <w:r w:rsidR="00F2567E">
        <w:rPr>
          <w:rFonts w:ascii="Palatino Linotype" w:hAnsi="Palatino Linotype" w:cs="Arial"/>
          <w:color w:val="000000" w:themeColor="text1"/>
        </w:rPr>
        <w:t>.</w:t>
      </w:r>
    </w:p>
    <w:p w14:paraId="4AE99BB6" w14:textId="77777777" w:rsidR="008965EF" w:rsidRPr="008965EF" w:rsidRDefault="008965EF" w:rsidP="008965EF">
      <w:pPr>
        <w:pStyle w:val="Prrafodelista"/>
        <w:tabs>
          <w:tab w:val="left" w:pos="426"/>
        </w:tabs>
        <w:spacing w:line="360" w:lineRule="auto"/>
        <w:ind w:left="0"/>
        <w:jc w:val="both"/>
        <w:rPr>
          <w:rFonts w:ascii="Palatino Linotype" w:hAnsi="Palatino Linotype"/>
          <w:color w:val="000000" w:themeColor="text1"/>
        </w:rPr>
      </w:pPr>
    </w:p>
    <w:p w14:paraId="6A8E09E1" w14:textId="7826AAA8" w:rsidR="005C7898" w:rsidRPr="005C7898" w:rsidRDefault="007E5A30"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s="Arial"/>
          <w:color w:val="000000" w:themeColor="text1"/>
        </w:rPr>
        <w:t>E</w:t>
      </w:r>
      <w:r w:rsidR="003522BF" w:rsidRPr="003522BF">
        <w:rPr>
          <w:rFonts w:ascii="Palatino Linotype" w:hAnsi="Palatino Linotype" w:cs="Arial"/>
          <w:color w:val="000000" w:themeColor="text1"/>
        </w:rPr>
        <w:t xml:space="preserve">l </w:t>
      </w:r>
      <w:r w:rsidR="008A74F2">
        <w:rPr>
          <w:rFonts w:ascii="Palatino Linotype" w:hAnsi="Palatino Linotype" w:cs="Arial"/>
          <w:color w:val="000000" w:themeColor="text1"/>
        </w:rPr>
        <w:t>veinticinco (25</w:t>
      </w:r>
      <w:r w:rsidR="00774AB3">
        <w:rPr>
          <w:rFonts w:ascii="Palatino Linotype" w:hAnsi="Palatino Linotype" w:cs="Arial"/>
          <w:color w:val="000000" w:themeColor="text1"/>
        </w:rPr>
        <w:t>) de octubre</w:t>
      </w:r>
      <w:r w:rsidR="00AB7AAA">
        <w:rPr>
          <w:rFonts w:ascii="Palatino Linotype" w:hAnsi="Palatino Linotype" w:cs="Arial"/>
          <w:color w:val="000000" w:themeColor="text1"/>
        </w:rPr>
        <w:t xml:space="preserve"> </w:t>
      </w:r>
      <w:r w:rsidR="003522BF" w:rsidRPr="003522BF">
        <w:rPr>
          <w:rFonts w:ascii="Palatino Linotype" w:hAnsi="Palatino Linotype" w:cs="Arial"/>
          <w:color w:val="000000" w:themeColor="text1"/>
        </w:rPr>
        <w:t xml:space="preserve">dos mil veintiuno, </w:t>
      </w:r>
      <w:r w:rsidR="003522BF" w:rsidRPr="003522BF">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3522BF" w:rsidRPr="003522BF">
        <w:rPr>
          <w:rFonts w:ascii="Palatino Linotype" w:hAnsi="Palatino Linotype" w:cs="Arial"/>
          <w:bCs/>
          <w:color w:val="000000" w:themeColor="text1"/>
          <w:lang w:val="es-ES"/>
        </w:rPr>
        <w:t xml:space="preserve"> </w:t>
      </w:r>
      <w:r w:rsidR="003522BF" w:rsidRPr="003522BF">
        <w:rPr>
          <w:rFonts w:ascii="Palatino Linotype" w:hAnsi="Palatino Linotype" w:cs="Arial"/>
          <w:color w:val="000000" w:themeColor="text1"/>
          <w:lang w:val="es-ES"/>
        </w:rPr>
        <w:t xml:space="preserve">se notificó que el plazo de treinta (30) días para resolver el recurso de revisión </w:t>
      </w:r>
      <w:r w:rsidR="005C7898">
        <w:rPr>
          <w:rFonts w:ascii="Palatino Linotype" w:hAnsi="Palatino Linotype" w:cs="Arial"/>
          <w:b/>
          <w:color w:val="000000" w:themeColor="text1"/>
          <w:lang w:val="es-ES"/>
        </w:rPr>
        <w:t>04343/INFOEM/IP/RR/2021</w:t>
      </w:r>
      <w:r w:rsidR="005C7898">
        <w:rPr>
          <w:rFonts w:ascii="Palatino Linotype" w:hAnsi="Palatino Linotype" w:cs="Arial"/>
          <w:color w:val="000000" w:themeColor="text1"/>
          <w:lang w:val="es-ES"/>
        </w:rPr>
        <w:t xml:space="preserve"> </w:t>
      </w:r>
      <w:r w:rsidR="003522BF" w:rsidRPr="003522BF">
        <w:rPr>
          <w:rFonts w:ascii="Palatino Linotype" w:hAnsi="Palatino Linotype" w:cs="Arial"/>
          <w:color w:val="000000" w:themeColor="text1"/>
          <w:lang w:val="es-ES"/>
        </w:rPr>
        <w:t>sería ampliado por un periodo de quince (15) días hábiles adicionales</w:t>
      </w:r>
      <w:r w:rsidR="005C7898">
        <w:rPr>
          <w:rFonts w:ascii="Palatino Linotype" w:hAnsi="Palatino Linotype" w:cs="Arial"/>
          <w:color w:val="000000" w:themeColor="text1"/>
          <w:lang w:val="es-ES"/>
        </w:rPr>
        <w:t>.</w:t>
      </w:r>
    </w:p>
    <w:p w14:paraId="00B3A3B8" w14:textId="77777777" w:rsidR="005C7898" w:rsidRPr="005C7898" w:rsidRDefault="005C7898" w:rsidP="005C7898">
      <w:pPr>
        <w:pStyle w:val="Prrafodelista"/>
        <w:tabs>
          <w:tab w:val="left" w:pos="426"/>
        </w:tabs>
        <w:spacing w:line="360" w:lineRule="auto"/>
        <w:ind w:left="0"/>
        <w:jc w:val="both"/>
        <w:rPr>
          <w:rFonts w:ascii="Palatino Linotype" w:hAnsi="Palatino Linotype"/>
          <w:color w:val="000000" w:themeColor="text1"/>
        </w:rPr>
      </w:pPr>
    </w:p>
    <w:p w14:paraId="229553BD" w14:textId="1828606C" w:rsidR="005C7898" w:rsidRPr="00473F11" w:rsidRDefault="005C7898" w:rsidP="005C789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lastRenderedPageBreak/>
        <w:t xml:space="preserve">Posteriormente, </w:t>
      </w:r>
      <w:bookmarkStart w:id="7" w:name="_Hlk74251250"/>
      <w:r w:rsidRPr="009B19D3">
        <w:rPr>
          <w:rFonts w:ascii="Palatino Linotype" w:eastAsia="Times New Roman" w:hAnsi="Palatino Linotype" w:cs="Arial"/>
          <w:color w:val="000000" w:themeColor="text1"/>
        </w:rPr>
        <w:t>el Pleno de este Órgano Autónomo, en la</w:t>
      </w:r>
      <w:r w:rsidRPr="009B19D3">
        <w:rPr>
          <w:rFonts w:ascii="Palatino Linotype" w:eastAsia="Times New Roman" w:hAnsi="Palatino Linotype" w:cs="Arial"/>
          <w:b/>
          <w:color w:val="000000" w:themeColor="text1"/>
        </w:rPr>
        <w:t xml:space="preserve"> </w:t>
      </w:r>
      <w:r>
        <w:rPr>
          <w:rFonts w:ascii="Palatino Linotype" w:eastAsia="Times New Roman" w:hAnsi="Palatino Linotype" w:cs="Arial"/>
          <w:b/>
          <w:color w:val="000000" w:themeColor="text1"/>
        </w:rPr>
        <w:t>Trigésimo Novena</w:t>
      </w:r>
      <w:r w:rsidRPr="009B19D3">
        <w:rPr>
          <w:rFonts w:ascii="Palatino Linotype" w:eastAsia="Times New Roman" w:hAnsi="Palatino Linotype" w:cs="Arial"/>
          <w:b/>
          <w:color w:val="000000" w:themeColor="text1"/>
        </w:rPr>
        <w:t xml:space="preserve"> Sesión Ordinaria</w:t>
      </w:r>
      <w:r w:rsidRPr="007C417A">
        <w:rPr>
          <w:rFonts w:ascii="Palatino Linotype" w:eastAsia="Times New Roman" w:hAnsi="Palatino Linotype" w:cs="Arial"/>
          <w:b/>
          <w:color w:val="000000" w:themeColor="text1"/>
        </w:rPr>
        <w:t xml:space="preserve">, </w:t>
      </w:r>
      <w:r w:rsidRPr="007C417A">
        <w:rPr>
          <w:rFonts w:ascii="Palatino Linotype" w:eastAsia="Times New Roman" w:hAnsi="Palatino Linotype" w:cs="Arial"/>
          <w:color w:val="000000" w:themeColor="text1"/>
        </w:rPr>
        <w:t xml:space="preserve">celebrada el </w:t>
      </w:r>
      <w:r>
        <w:rPr>
          <w:rFonts w:ascii="Palatino Linotype" w:eastAsia="Times New Roman" w:hAnsi="Palatino Linotype" w:cs="Arial"/>
          <w:color w:val="000000" w:themeColor="text1"/>
        </w:rPr>
        <w:t>cuatro (04) de noviembre</w:t>
      </w:r>
      <w:r w:rsidRPr="007C417A">
        <w:rPr>
          <w:rFonts w:ascii="Palatino Linotype" w:eastAsia="Times New Roman" w:hAnsi="Palatino Linotype" w:cs="Arial"/>
          <w:color w:val="000000" w:themeColor="text1"/>
        </w:rPr>
        <w:t xml:space="preserve"> de dos mil veintiuno, ordenó la acumulación del recurso de revisión</w:t>
      </w:r>
      <w:r>
        <w:rPr>
          <w:rFonts w:ascii="Palatino Linotype" w:eastAsia="Times New Roman" w:hAnsi="Palatino Linotype" w:cs="Arial"/>
          <w:color w:val="000000" w:themeColor="text1"/>
        </w:rPr>
        <w:t xml:space="preserve"> </w:t>
      </w:r>
      <w:r>
        <w:rPr>
          <w:rFonts w:ascii="Palatino Linotype" w:eastAsia="Times New Roman" w:hAnsi="Palatino Linotype" w:cs="Arial"/>
          <w:b/>
          <w:color w:val="000000" w:themeColor="text1"/>
        </w:rPr>
        <w:t>04344/INFOEM/IP/RR/2021</w:t>
      </w:r>
      <w:r>
        <w:rPr>
          <w:rFonts w:ascii="Palatino Linotype" w:eastAsia="Times New Roman" w:hAnsi="Palatino Linotype" w:cs="Arial"/>
          <w:color w:val="000000" w:themeColor="text1"/>
        </w:rPr>
        <w:t>, turnado</w:t>
      </w:r>
      <w:r w:rsidRPr="007C417A">
        <w:rPr>
          <w:rFonts w:ascii="Palatino Linotype" w:eastAsia="Times New Roman" w:hAnsi="Palatino Linotype" w:cs="Arial"/>
          <w:b/>
          <w:bCs/>
          <w:color w:val="000000" w:themeColor="text1"/>
        </w:rPr>
        <w:t xml:space="preserve"> </w:t>
      </w:r>
      <w:r w:rsidRPr="007C417A">
        <w:rPr>
          <w:rFonts w:ascii="Palatino Linotype" w:eastAsia="Times New Roman" w:hAnsi="Palatino Linotype" w:cs="Arial"/>
          <w:bCs/>
          <w:color w:val="000000" w:themeColor="text1"/>
        </w:rPr>
        <w:t>originalmente</w:t>
      </w:r>
      <w:r>
        <w:rPr>
          <w:rFonts w:ascii="Palatino Linotype" w:eastAsia="Times New Roman" w:hAnsi="Palatino Linotype" w:cs="Arial"/>
          <w:bCs/>
          <w:color w:val="000000" w:themeColor="text1"/>
        </w:rPr>
        <w:t xml:space="preserve"> a la </w:t>
      </w:r>
      <w:r w:rsidRPr="00473F11">
        <w:rPr>
          <w:rFonts w:ascii="Palatino Linotype" w:eastAsia="Times New Roman" w:hAnsi="Palatino Linotype" w:cs="Arial"/>
          <w:b/>
          <w:bCs/>
          <w:color w:val="000000" w:themeColor="text1"/>
        </w:rPr>
        <w:t>Comisionada Guadalupe Ramírez Peña</w:t>
      </w:r>
      <w:r>
        <w:rPr>
          <w:rFonts w:ascii="Palatino Linotype" w:eastAsia="Times New Roman" w:hAnsi="Palatino Linotype" w:cs="Arial"/>
          <w:bCs/>
          <w:color w:val="000000" w:themeColor="text1"/>
        </w:rPr>
        <w:t>,</w:t>
      </w:r>
      <w:r w:rsidRPr="007C417A">
        <w:rPr>
          <w:rFonts w:ascii="Palatino Linotype" w:eastAsia="Times New Roman" w:hAnsi="Palatino Linotype" w:cs="Arial"/>
          <w:b/>
          <w:bCs/>
          <w:color w:val="000000" w:themeColor="text1"/>
        </w:rPr>
        <w:t xml:space="preserve"> </w:t>
      </w:r>
      <w:r w:rsidRPr="007C417A">
        <w:rPr>
          <w:rFonts w:ascii="Palatino Linotype" w:eastAsia="Times New Roman" w:hAnsi="Palatino Linotype" w:cs="Arial"/>
          <w:b/>
          <w:color w:val="000000" w:themeColor="text1"/>
        </w:rPr>
        <w:t xml:space="preserve"> </w:t>
      </w:r>
      <w:r>
        <w:rPr>
          <w:rFonts w:ascii="Palatino Linotype" w:eastAsia="Times New Roman" w:hAnsi="Palatino Linotype" w:cs="Arial"/>
          <w:color w:val="000000" w:themeColor="text1"/>
        </w:rPr>
        <w:t xml:space="preserve">al diverso </w:t>
      </w:r>
      <w:r>
        <w:rPr>
          <w:rFonts w:ascii="Palatino Linotype" w:eastAsia="Times New Roman" w:hAnsi="Palatino Linotype" w:cs="Arial"/>
          <w:b/>
          <w:color w:val="000000" w:themeColor="text1"/>
        </w:rPr>
        <w:t>04343/INFOEM/IP/RR/2021</w:t>
      </w:r>
      <w:r>
        <w:rPr>
          <w:rFonts w:ascii="Palatino Linotype" w:eastAsia="Times New Roman" w:hAnsi="Palatino Linotype" w:cs="Arial"/>
          <w:color w:val="000000" w:themeColor="text1"/>
        </w:rPr>
        <w:t xml:space="preserve">, </w:t>
      </w:r>
      <w:r w:rsidR="002B0692">
        <w:rPr>
          <w:rFonts w:ascii="Palatino Linotype" w:eastAsia="Times New Roman" w:hAnsi="Palatino Linotype" w:cs="Arial"/>
          <w:color w:val="000000" w:themeColor="text1"/>
        </w:rPr>
        <w:t xml:space="preserve">a efecto de que este Órgano Garante </w:t>
      </w:r>
      <w:r w:rsidRPr="007C417A">
        <w:rPr>
          <w:rFonts w:ascii="Palatino Linotype" w:eastAsia="Times New Roman" w:hAnsi="Palatino Linotype" w:cs="Arial"/>
          <w:color w:val="000000" w:themeColor="text1"/>
        </w:rPr>
        <w:t xml:space="preserve">formulara y presentara el proyecto de resolución correspondiente, de conformidad con el numeral ONCE incisos b) y c) de los </w:t>
      </w:r>
      <w:r w:rsidRPr="00473F11">
        <w:rPr>
          <w:rFonts w:ascii="Palatino Linotype" w:eastAsia="Times New Roman" w:hAnsi="Palatino Linotype" w:cs="Arial"/>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Pr="00473F11">
        <w:rPr>
          <w:rFonts w:ascii="Palatino Linotype" w:eastAsia="Times New Roman" w:hAnsi="Palatino Linotype" w:cs="Arial"/>
          <w:i/>
          <w:color w:val="000000" w:themeColor="text1"/>
          <w:vertAlign w:val="superscript"/>
        </w:rPr>
        <w:footnoteReference w:id="1"/>
      </w:r>
      <w:r w:rsidRPr="007C417A">
        <w:rPr>
          <w:rFonts w:ascii="Palatino Linotype" w:eastAsia="Times New Roman" w:hAnsi="Palatino Linotype" w:cs="Arial"/>
          <w:color w:val="000000" w:themeColor="text1"/>
        </w:rPr>
        <w:t>, que señala:</w:t>
      </w:r>
      <w:bookmarkEnd w:id="7"/>
    </w:p>
    <w:p w14:paraId="55BA50E0" w14:textId="77777777" w:rsidR="005C7898"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BD8BB2" w14:textId="77777777" w:rsidR="005C7898" w:rsidRPr="00496E5D" w:rsidRDefault="005C7898" w:rsidP="005C7898">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bookmarkStart w:id="8" w:name="_Hlk74251499"/>
      <w:r w:rsidRPr="00496E5D">
        <w:rPr>
          <w:rFonts w:ascii="Palatino Linotype" w:eastAsia="Times New Roman" w:hAnsi="Palatino Linotype" w:cs="Arial"/>
          <w:b/>
          <w:i/>
          <w:sz w:val="22"/>
          <w:szCs w:val="22"/>
        </w:rPr>
        <w:t>“ONCE.</w:t>
      </w:r>
      <w:r w:rsidRPr="00496E5D">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6DA52233" w14:textId="77777777" w:rsidR="005C7898" w:rsidRPr="00496E5D" w:rsidRDefault="005C7898" w:rsidP="005C7898">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96E5D">
        <w:rPr>
          <w:rFonts w:ascii="Palatino Linotype" w:eastAsia="Times New Roman" w:hAnsi="Palatino Linotype" w:cs="Arial"/>
          <w:i/>
          <w:sz w:val="22"/>
          <w:szCs w:val="22"/>
        </w:rPr>
        <w:t>(…)</w:t>
      </w:r>
    </w:p>
    <w:p w14:paraId="731DE600" w14:textId="77777777" w:rsidR="005C7898" w:rsidRPr="00496E5D" w:rsidRDefault="005C7898" w:rsidP="005C7898">
      <w:pPr>
        <w:spacing w:line="276" w:lineRule="auto"/>
        <w:ind w:left="567" w:right="567"/>
        <w:jc w:val="both"/>
        <w:rPr>
          <w:rFonts w:ascii="Palatino Linotype" w:eastAsia="Times New Roman" w:hAnsi="Palatino Linotype" w:cs="Times New Roman"/>
          <w:i/>
          <w:color w:val="000000"/>
          <w:sz w:val="22"/>
          <w:szCs w:val="22"/>
        </w:rPr>
      </w:pPr>
      <w:r w:rsidRPr="00496E5D">
        <w:rPr>
          <w:rFonts w:ascii="Palatino Linotype" w:eastAsia="Times New Roman" w:hAnsi="Palatino Linotype" w:cs="Times New Roman"/>
          <w:b/>
          <w:i/>
          <w:color w:val="000000"/>
          <w:sz w:val="22"/>
          <w:szCs w:val="22"/>
        </w:rPr>
        <w:t>b)</w:t>
      </w:r>
      <w:r w:rsidRPr="00496E5D">
        <w:rPr>
          <w:rFonts w:ascii="Palatino Linotype" w:eastAsia="Times New Roman" w:hAnsi="Palatino Linotype" w:cs="Times New Roman"/>
          <w:i/>
          <w:color w:val="000000"/>
          <w:sz w:val="22"/>
          <w:szCs w:val="22"/>
        </w:rPr>
        <w:t xml:space="preserve"> Las partes o los actos impugnados sean iguales</w:t>
      </w:r>
    </w:p>
    <w:p w14:paraId="5D0D885B" w14:textId="77777777" w:rsidR="005C7898" w:rsidRPr="00496E5D" w:rsidRDefault="005C7898" w:rsidP="005C7898">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96E5D">
        <w:rPr>
          <w:rFonts w:ascii="Palatino Linotype" w:eastAsia="Times New Roman" w:hAnsi="Palatino Linotype" w:cs="Arial"/>
          <w:b/>
          <w:i/>
          <w:sz w:val="22"/>
          <w:szCs w:val="22"/>
        </w:rPr>
        <w:t>c)</w:t>
      </w:r>
      <w:r w:rsidRPr="00496E5D">
        <w:rPr>
          <w:rFonts w:ascii="Palatino Linotype" w:eastAsia="Times New Roman" w:hAnsi="Palatino Linotype" w:cs="Arial"/>
          <w:i/>
          <w:sz w:val="22"/>
          <w:szCs w:val="22"/>
        </w:rPr>
        <w:t xml:space="preserve"> Cuando se trate del mismo solicitante, el mismo SUJETO OBLIGADO, aunque se trate de solicitudes diversas;</w:t>
      </w:r>
    </w:p>
    <w:p w14:paraId="6B34FCB9" w14:textId="77777777" w:rsidR="005C7898" w:rsidRDefault="005C7898" w:rsidP="005C7898">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96E5D">
        <w:rPr>
          <w:rFonts w:ascii="Palatino Linotype" w:eastAsia="Times New Roman" w:hAnsi="Palatino Linotype" w:cs="Arial"/>
          <w:i/>
          <w:sz w:val="22"/>
          <w:szCs w:val="22"/>
        </w:rPr>
        <w:t>(…)”</w:t>
      </w:r>
    </w:p>
    <w:bookmarkEnd w:id="8"/>
    <w:p w14:paraId="6AD03419" w14:textId="77777777" w:rsidR="005C7898" w:rsidRPr="00473F11"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06B9CB1" w14:textId="77777777" w:rsidR="005C7898" w:rsidRPr="001E0672" w:rsidRDefault="005C7898" w:rsidP="005C789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 xml:space="preserve">En </w:t>
      </w:r>
      <w:bookmarkStart w:id="9" w:name="_Hlk74251510"/>
      <w:r w:rsidRPr="00496E5D">
        <w:rPr>
          <w:rFonts w:ascii="Palatino Linotype" w:eastAsia="Times New Roman" w:hAnsi="Palatino Linotype" w:cs="Arial"/>
          <w:color w:val="000000" w:themeColor="text1"/>
        </w:rPr>
        <w:t>ese tenor</w:t>
      </w:r>
      <w:r>
        <w:rPr>
          <w:rFonts w:ascii="Palatino Linotype" w:eastAsia="Times New Roman" w:hAnsi="Palatino Linotype" w:cs="Arial"/>
          <w:color w:val="000000" w:themeColor="text1"/>
        </w:rPr>
        <w:t>,</w:t>
      </w:r>
      <w:r w:rsidRPr="00496E5D">
        <w:rPr>
          <w:rFonts w:ascii="Palatino Linotype" w:eastAsia="Times New Roman" w:hAnsi="Palatino Linotype" w:cs="Arial"/>
          <w:color w:val="000000" w:themeColor="text1"/>
        </w:rPr>
        <w:t xml:space="preserve"> al resultar conveniente su trámite de forma unificada para mejor resolver y así evitar la emisión de resoluciones contradictorias, fue procedente que este Órgano Garante realizara la acumulación respectiva, de conformidad con lo </w:t>
      </w:r>
      <w:r w:rsidRPr="00496E5D">
        <w:rPr>
          <w:rFonts w:ascii="Palatino Linotype" w:eastAsia="Times New Roman" w:hAnsi="Palatino Linotype" w:cs="Arial"/>
          <w:color w:val="000000" w:themeColor="text1"/>
        </w:rPr>
        <w:lastRenderedPageBreak/>
        <w:t>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bookmarkEnd w:id="9"/>
    </w:p>
    <w:p w14:paraId="5BF28471" w14:textId="77777777" w:rsidR="001E0672" w:rsidRDefault="001E0672" w:rsidP="001E0672">
      <w:pPr>
        <w:pStyle w:val="Prrafodelista"/>
        <w:tabs>
          <w:tab w:val="left" w:pos="426"/>
        </w:tabs>
        <w:spacing w:line="360" w:lineRule="auto"/>
        <w:ind w:left="0"/>
        <w:jc w:val="both"/>
        <w:rPr>
          <w:rFonts w:ascii="Palatino Linotype" w:eastAsia="Times New Roman" w:hAnsi="Palatino Linotype" w:cs="Arial"/>
          <w:color w:val="000000" w:themeColor="text1"/>
        </w:rPr>
      </w:pPr>
    </w:p>
    <w:p w14:paraId="6000C1AF" w14:textId="77777777" w:rsidR="001E0672" w:rsidRPr="00496E5D" w:rsidRDefault="001E0672" w:rsidP="001E0672">
      <w:pPr>
        <w:spacing w:line="276" w:lineRule="auto"/>
        <w:ind w:left="567" w:right="567"/>
        <w:contextualSpacing/>
        <w:jc w:val="center"/>
        <w:rPr>
          <w:rFonts w:ascii="Palatino Linotype" w:hAnsi="Palatino Linotype"/>
          <w:b/>
          <w:i/>
          <w:sz w:val="22"/>
          <w:szCs w:val="22"/>
        </w:rPr>
      </w:pPr>
      <w:bookmarkStart w:id="10" w:name="_Hlk74251520"/>
      <w:r w:rsidRPr="00496E5D">
        <w:rPr>
          <w:rFonts w:ascii="Palatino Linotype" w:hAnsi="Palatino Linotype"/>
          <w:b/>
          <w:i/>
          <w:sz w:val="22"/>
          <w:szCs w:val="22"/>
        </w:rPr>
        <w:t>Código de Procedimientos Administrativos del Estado de México.</w:t>
      </w:r>
    </w:p>
    <w:p w14:paraId="181350C9" w14:textId="77777777" w:rsidR="001E0672" w:rsidRPr="00496E5D" w:rsidRDefault="001E0672" w:rsidP="001E0672">
      <w:pPr>
        <w:spacing w:line="276" w:lineRule="auto"/>
        <w:ind w:left="567" w:right="567"/>
        <w:contextualSpacing/>
        <w:jc w:val="center"/>
        <w:rPr>
          <w:rFonts w:ascii="Palatino Linotype" w:hAnsi="Palatino Linotype"/>
          <w:b/>
          <w:i/>
          <w:sz w:val="22"/>
          <w:szCs w:val="22"/>
        </w:rPr>
      </w:pPr>
    </w:p>
    <w:p w14:paraId="380EEC50" w14:textId="77777777" w:rsidR="001E0672" w:rsidRPr="00496E5D" w:rsidRDefault="001E0672" w:rsidP="001E0672">
      <w:pPr>
        <w:spacing w:line="276" w:lineRule="auto"/>
        <w:ind w:left="567" w:right="567"/>
        <w:contextualSpacing/>
        <w:jc w:val="both"/>
        <w:rPr>
          <w:rFonts w:ascii="Palatino Linotype" w:hAnsi="Palatino Linotype"/>
          <w:i/>
          <w:sz w:val="22"/>
          <w:szCs w:val="22"/>
        </w:rPr>
      </w:pPr>
      <w:r w:rsidRPr="00496E5D">
        <w:rPr>
          <w:rFonts w:ascii="Palatino Linotype" w:hAnsi="Palatino Linotype"/>
          <w:b/>
          <w:i/>
          <w:sz w:val="22"/>
          <w:szCs w:val="22"/>
        </w:rPr>
        <w:t>“Artículo 18.-</w:t>
      </w:r>
      <w:r w:rsidRPr="00496E5D">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F8C82DE" w14:textId="77777777" w:rsidR="001E0672" w:rsidRPr="00496E5D" w:rsidRDefault="001E0672" w:rsidP="001E0672">
      <w:pPr>
        <w:spacing w:line="276" w:lineRule="auto"/>
        <w:ind w:left="567" w:right="567"/>
        <w:contextualSpacing/>
        <w:jc w:val="both"/>
        <w:rPr>
          <w:rFonts w:ascii="Palatino Linotype" w:hAnsi="Palatino Linotype"/>
          <w:i/>
          <w:sz w:val="22"/>
          <w:szCs w:val="22"/>
        </w:rPr>
      </w:pPr>
    </w:p>
    <w:p w14:paraId="3C855544" w14:textId="77777777" w:rsidR="001E0672" w:rsidRPr="00496E5D" w:rsidRDefault="001E0672" w:rsidP="001E0672">
      <w:pPr>
        <w:spacing w:line="276" w:lineRule="auto"/>
        <w:ind w:left="567" w:right="567"/>
        <w:contextualSpacing/>
        <w:jc w:val="center"/>
        <w:rPr>
          <w:rFonts w:ascii="Palatino Linotype" w:hAnsi="Palatino Linotype"/>
          <w:b/>
          <w:i/>
          <w:sz w:val="22"/>
          <w:szCs w:val="22"/>
        </w:rPr>
      </w:pPr>
      <w:r w:rsidRPr="00496E5D">
        <w:rPr>
          <w:rFonts w:ascii="Palatino Linotype" w:hAnsi="Palatino Linotype"/>
          <w:b/>
          <w:i/>
          <w:sz w:val="22"/>
          <w:szCs w:val="22"/>
        </w:rPr>
        <w:t>Ley de Transparencia y Acceso a la Información Pública del Estado de México y Municipios</w:t>
      </w:r>
    </w:p>
    <w:p w14:paraId="6224EAA4" w14:textId="77777777" w:rsidR="001E0672" w:rsidRPr="00496E5D" w:rsidRDefault="001E0672" w:rsidP="001E0672">
      <w:pPr>
        <w:spacing w:line="276" w:lineRule="auto"/>
        <w:ind w:left="567" w:right="567"/>
        <w:contextualSpacing/>
        <w:jc w:val="center"/>
        <w:rPr>
          <w:rFonts w:ascii="Palatino Linotype" w:hAnsi="Palatino Linotype"/>
          <w:b/>
          <w:i/>
          <w:sz w:val="22"/>
          <w:szCs w:val="22"/>
        </w:rPr>
      </w:pPr>
    </w:p>
    <w:p w14:paraId="3D4A86B8" w14:textId="77777777" w:rsidR="001E0672" w:rsidRPr="00496E5D" w:rsidRDefault="001E0672" w:rsidP="001E0672">
      <w:pPr>
        <w:tabs>
          <w:tab w:val="left" w:pos="0"/>
          <w:tab w:val="left" w:pos="426"/>
        </w:tabs>
        <w:spacing w:line="276" w:lineRule="auto"/>
        <w:ind w:left="567" w:right="567"/>
        <w:contextualSpacing/>
        <w:jc w:val="both"/>
        <w:rPr>
          <w:rFonts w:ascii="Palatino Linotype" w:eastAsia="Calibri" w:hAnsi="Palatino Linotype" w:cs="Arial"/>
          <w:sz w:val="22"/>
          <w:szCs w:val="22"/>
          <w:lang w:val="es-ES"/>
        </w:rPr>
      </w:pPr>
      <w:r w:rsidRPr="00496E5D">
        <w:rPr>
          <w:rFonts w:ascii="Palatino Linotype" w:hAnsi="Palatino Linotype"/>
          <w:b/>
          <w:i/>
          <w:sz w:val="22"/>
          <w:szCs w:val="22"/>
        </w:rPr>
        <w:t>“Artículo 195.</w:t>
      </w:r>
      <w:r w:rsidRPr="00496E5D">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bookmarkEnd w:id="10"/>
    <w:p w14:paraId="1B4614B7" w14:textId="77777777" w:rsidR="001E0672" w:rsidRPr="001E0672" w:rsidRDefault="001E0672" w:rsidP="001E067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7E3E1CA" w14:textId="3C8E984F" w:rsidR="001E0672" w:rsidRPr="00473F11" w:rsidRDefault="001E0672" w:rsidP="005C789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rPr>
        <w:t xml:space="preserve">En razón de lo anterior, el ocho (08) de noviembre de dos mil veintiuno, se notificó la acumulación del recurso de revisión </w:t>
      </w:r>
      <w:r>
        <w:rPr>
          <w:rFonts w:ascii="Palatino Linotype" w:eastAsia="Times New Roman" w:hAnsi="Palatino Linotype" w:cs="Arial"/>
          <w:b/>
          <w:color w:val="000000" w:themeColor="text1"/>
        </w:rPr>
        <w:t>04344/INFOEM/IP/RR/2021</w:t>
      </w:r>
      <w:r>
        <w:rPr>
          <w:rFonts w:ascii="Palatino Linotype" w:eastAsia="Times New Roman" w:hAnsi="Palatino Linotype" w:cs="Arial"/>
          <w:color w:val="000000" w:themeColor="text1"/>
        </w:rPr>
        <w:t xml:space="preserve">, al diverso </w:t>
      </w:r>
      <w:r>
        <w:rPr>
          <w:rFonts w:ascii="Palatino Linotype" w:eastAsia="Times New Roman" w:hAnsi="Palatino Linotype" w:cs="Arial"/>
          <w:b/>
          <w:color w:val="000000" w:themeColor="text1"/>
        </w:rPr>
        <w:t>04343/INFOEM/IP/RR/2021</w:t>
      </w:r>
      <w:r>
        <w:rPr>
          <w:rFonts w:ascii="Palatino Linotype" w:eastAsia="Times New Roman" w:hAnsi="Palatino Linotype" w:cs="Arial"/>
          <w:color w:val="000000" w:themeColor="text1"/>
        </w:rPr>
        <w:t>; y -----------------------------------------------------------</w:t>
      </w:r>
    </w:p>
    <w:p w14:paraId="4B6704A6" w14:textId="77777777" w:rsidR="005C7898"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F1CC116" w14:textId="77777777" w:rsidR="008A74F2"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0D508B51" w:rsidR="00C33279" w:rsidRPr="00A85CB7" w:rsidRDefault="007C0013" w:rsidP="00B31E90">
      <w:pPr>
        <w:pStyle w:val="Ttulo1"/>
        <w:spacing w:before="0"/>
        <w:jc w:val="center"/>
        <w:rPr>
          <w:b/>
          <w:color w:val="000000" w:themeColor="text1"/>
        </w:rPr>
      </w:pPr>
      <w:bookmarkStart w:id="11" w:name="_Toc88071777"/>
      <w:r w:rsidRPr="00A85CB7">
        <w:rPr>
          <w:b/>
          <w:color w:val="000000" w:themeColor="text1"/>
        </w:rPr>
        <w:lastRenderedPageBreak/>
        <w:t>CONSIDERANDO</w:t>
      </w:r>
      <w:bookmarkEnd w:id="5"/>
      <w:bookmarkEnd w:id="6"/>
      <w:bookmarkEnd w:id="11"/>
    </w:p>
    <w:p w14:paraId="435CF9A4" w14:textId="77777777" w:rsidR="00FC1DA7" w:rsidRPr="00A85CB7" w:rsidRDefault="00FC1DA7" w:rsidP="00B31E90">
      <w:pPr>
        <w:rPr>
          <w:color w:val="000000" w:themeColor="text1"/>
          <w:lang w:eastAsia="en-US"/>
        </w:rPr>
      </w:pPr>
    </w:p>
    <w:p w14:paraId="629A5BE2" w14:textId="1FC05436" w:rsidR="007C0013" w:rsidRPr="00A85CB7" w:rsidRDefault="007C0013" w:rsidP="00B31E90">
      <w:pPr>
        <w:pStyle w:val="Ttulo2"/>
        <w:spacing w:before="0"/>
        <w:rPr>
          <w:rFonts w:ascii="Palatino Linotype" w:hAnsi="Palatino Linotype"/>
          <w:b/>
          <w:color w:val="000000" w:themeColor="text1"/>
          <w:sz w:val="24"/>
        </w:rPr>
      </w:pPr>
      <w:bookmarkStart w:id="12" w:name="_Toc461555890"/>
      <w:bookmarkStart w:id="13" w:name="_Toc466371859"/>
      <w:bookmarkStart w:id="14" w:name="_Toc88071778"/>
      <w:r w:rsidRPr="00A85CB7">
        <w:rPr>
          <w:rFonts w:ascii="Palatino Linotype" w:hAnsi="Palatino Linotype"/>
          <w:b/>
          <w:color w:val="000000" w:themeColor="text1"/>
          <w:sz w:val="24"/>
        </w:rPr>
        <w:t>PRIMERO. De la competencia</w:t>
      </w:r>
      <w:bookmarkEnd w:id="12"/>
      <w:bookmarkEnd w:id="13"/>
      <w:bookmarkEnd w:id="14"/>
    </w:p>
    <w:p w14:paraId="60FBD8C7" w14:textId="77777777" w:rsidR="00FC1DA7" w:rsidRPr="00826F38" w:rsidRDefault="00FC1DA7" w:rsidP="00B31E90">
      <w:pPr>
        <w:rPr>
          <w:rFonts w:ascii="Palatino Linotype" w:hAnsi="Palatino Linotype"/>
          <w:color w:val="000000" w:themeColor="text1"/>
          <w:lang w:eastAsia="en-US"/>
        </w:rPr>
      </w:pPr>
    </w:p>
    <w:p w14:paraId="0BF52B18" w14:textId="2D570B6F"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85CB7">
        <w:rPr>
          <w:rFonts w:ascii="Palatino Linotype" w:eastAsia="Calibri" w:hAnsi="Palatino Linotype" w:cs="Times New Roman"/>
          <w:color w:val="000000" w:themeColor="text1"/>
          <w:lang w:val="es-ES"/>
        </w:rPr>
        <w:t xml:space="preserve">etente para conocer y resolver </w:t>
      </w:r>
      <w:r w:rsidR="005C7898">
        <w:rPr>
          <w:rFonts w:ascii="Palatino Linotype" w:eastAsia="Calibri" w:hAnsi="Palatino Linotype" w:cs="Times New Roman"/>
          <w:color w:val="000000" w:themeColor="text1"/>
          <w:lang w:val="es-ES"/>
        </w:rPr>
        <w:t>los</w:t>
      </w:r>
      <w:r w:rsidRPr="00A85CB7">
        <w:rPr>
          <w:rFonts w:ascii="Palatino Linotype" w:eastAsia="Calibri" w:hAnsi="Palatino Linotype" w:cs="Times New Roman"/>
          <w:color w:val="000000" w:themeColor="text1"/>
          <w:lang w:val="es-ES"/>
        </w:rPr>
        <w:t xml:space="preserve"> presente</w:t>
      </w:r>
      <w:r w:rsidR="005C7898">
        <w:rPr>
          <w:rFonts w:ascii="Palatino Linotype" w:eastAsia="Calibri" w:hAnsi="Palatino Linotype" w:cs="Times New Roman"/>
          <w:color w:val="000000" w:themeColor="text1"/>
          <w:lang w:val="es-ES"/>
        </w:rPr>
        <w:t>s</w:t>
      </w:r>
      <w:r w:rsidRPr="00A85CB7">
        <w:rPr>
          <w:rFonts w:ascii="Palatino Linotype" w:eastAsia="Calibri" w:hAnsi="Palatino Linotype" w:cs="Times New Roman"/>
          <w:color w:val="000000" w:themeColor="text1"/>
          <w:lang w:val="es-ES"/>
        </w:rPr>
        <w:t xml:space="preserve"> recurso</w:t>
      </w:r>
      <w:r w:rsidR="005C7898">
        <w:rPr>
          <w:rFonts w:ascii="Palatino Linotype" w:eastAsia="Calibri" w:hAnsi="Palatino Linotype" w:cs="Times New Roman"/>
          <w:color w:val="000000" w:themeColor="text1"/>
          <w:lang w:val="es-ES"/>
        </w:rPr>
        <w:t>s</w:t>
      </w:r>
      <w:r w:rsidRPr="00A85CB7">
        <w:rPr>
          <w:rFonts w:ascii="Palatino Linotype" w:eastAsia="Calibri" w:hAnsi="Palatino Linotype" w:cs="Times New Roman"/>
          <w:color w:val="000000" w:themeColor="text1"/>
          <w:lang w:val="es-ES"/>
        </w:rPr>
        <w:t xml:space="preserve">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Ley de 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751061"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15" w:name="_Toc461555891"/>
      <w:bookmarkStart w:id="16" w:name="_Toc466371860"/>
      <w:bookmarkStart w:id="17" w:name="_Toc88071779"/>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5"/>
      <w:bookmarkEnd w:id="16"/>
      <w:bookmarkEnd w:id="17"/>
    </w:p>
    <w:p w14:paraId="18E22450" w14:textId="77777777" w:rsidR="00C6440A" w:rsidRPr="00A85CB7" w:rsidRDefault="00C6440A" w:rsidP="00B31E90">
      <w:pPr>
        <w:rPr>
          <w:color w:val="000000" w:themeColor="text1"/>
          <w:lang w:eastAsia="en-US"/>
        </w:rPr>
      </w:pPr>
    </w:p>
    <w:p w14:paraId="63E5A495" w14:textId="17C72A63" w:rsidR="009E360A" w:rsidRPr="00740BA4" w:rsidRDefault="005C7898"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Los</w:t>
      </w:r>
      <w:r w:rsidR="003E6D0F" w:rsidRPr="00A85CB7">
        <w:rPr>
          <w:rFonts w:ascii="Palatino Linotype" w:eastAsia="Calibri" w:hAnsi="Palatino Linotype" w:cs="Arial"/>
          <w:color w:val="000000" w:themeColor="text1"/>
        </w:rPr>
        <w:t xml:space="preserve"> </w:t>
      </w:r>
      <w:r w:rsidR="00740BA4" w:rsidRPr="00740BA4">
        <w:rPr>
          <w:rFonts w:ascii="Palatino Linotype" w:eastAsia="Calibri" w:hAnsi="Palatino Linotype" w:cs="Arial"/>
          <w:color w:val="000000" w:themeColor="text1"/>
        </w:rPr>
        <w:t>medio</w:t>
      </w:r>
      <w:r>
        <w:rPr>
          <w:rFonts w:ascii="Palatino Linotype" w:eastAsia="Calibri" w:hAnsi="Palatino Linotype" w:cs="Arial"/>
          <w:color w:val="000000" w:themeColor="text1"/>
        </w:rPr>
        <w:t>s</w:t>
      </w:r>
      <w:r w:rsidR="00740BA4" w:rsidRPr="00740BA4">
        <w:rPr>
          <w:rFonts w:ascii="Palatino Linotype" w:eastAsia="Calibri" w:hAnsi="Palatino Linotype" w:cs="Arial"/>
          <w:color w:val="000000" w:themeColor="text1"/>
        </w:rPr>
        <w:t xml:space="preserve"> de impugnación fue</w:t>
      </w:r>
      <w:r>
        <w:rPr>
          <w:rFonts w:ascii="Palatino Linotype" w:eastAsia="Calibri" w:hAnsi="Palatino Linotype" w:cs="Arial"/>
          <w:color w:val="000000" w:themeColor="text1"/>
        </w:rPr>
        <w:t>ron</w:t>
      </w:r>
      <w:r w:rsidR="00740BA4" w:rsidRPr="00740BA4">
        <w:rPr>
          <w:rFonts w:ascii="Palatino Linotype" w:eastAsia="Calibri" w:hAnsi="Palatino Linotype" w:cs="Arial"/>
          <w:color w:val="000000" w:themeColor="text1"/>
        </w:rPr>
        <w:t xml:space="preserve"> presentado</w:t>
      </w:r>
      <w:r>
        <w:rPr>
          <w:rFonts w:ascii="Palatino Linotype" w:eastAsia="Calibri" w:hAnsi="Palatino Linotype" w:cs="Arial"/>
          <w:color w:val="000000" w:themeColor="text1"/>
        </w:rPr>
        <w:t>s</w:t>
      </w:r>
      <w:r w:rsidR="00740BA4" w:rsidRPr="00740BA4">
        <w:rPr>
          <w:rFonts w:ascii="Palatino Linotype" w:eastAsia="Calibri" w:hAnsi="Palatino Linotype" w:cs="Arial"/>
          <w:color w:val="000000" w:themeColor="text1"/>
        </w:rPr>
        <w:t xml:space="preserve"> a través del </w:t>
      </w:r>
      <w:r w:rsidR="00740BA4" w:rsidRPr="007F372C">
        <w:rPr>
          <w:rFonts w:ascii="Palatino Linotype" w:eastAsia="Calibri" w:hAnsi="Palatino Linotype" w:cs="Arial"/>
          <w:bCs/>
          <w:iCs/>
          <w:color w:val="000000" w:themeColor="text1"/>
        </w:rPr>
        <w:t>SAIMEX</w:t>
      </w:r>
      <w:r w:rsidR="00740BA4" w:rsidRPr="00740BA4">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740BA4">
        <w:rPr>
          <w:rFonts w:ascii="Palatino Linotype" w:eastAsia="Calibri" w:hAnsi="Palatino Linotype" w:cs="Arial"/>
          <w:b/>
          <w:color w:val="000000" w:themeColor="text1"/>
        </w:rPr>
        <w:t>SUJETO OBLIGADO</w:t>
      </w:r>
      <w:r w:rsidR="00740BA4" w:rsidRPr="00740BA4">
        <w:rPr>
          <w:rFonts w:ascii="Palatino Linotype" w:eastAsia="Calibri" w:hAnsi="Palatino Linotype" w:cs="Arial"/>
          <w:color w:val="000000" w:themeColor="text1"/>
        </w:rPr>
        <w:t xml:space="preserve"> entregó respuesta</w:t>
      </w:r>
      <w:r>
        <w:rPr>
          <w:rFonts w:ascii="Palatino Linotype" w:eastAsia="Calibri" w:hAnsi="Palatino Linotype" w:cs="Arial"/>
          <w:color w:val="000000" w:themeColor="text1"/>
        </w:rPr>
        <w:t>s</w:t>
      </w:r>
      <w:r w:rsidR="00740BA4" w:rsidRPr="00740BA4">
        <w:rPr>
          <w:rFonts w:ascii="Palatino Linotype" w:eastAsia="Calibri" w:hAnsi="Palatino Linotype" w:cs="Arial"/>
          <w:color w:val="000000" w:themeColor="text1"/>
        </w:rPr>
        <w:t xml:space="preserve"> el </w:t>
      </w:r>
      <w:r w:rsidR="008A74F2">
        <w:rPr>
          <w:rFonts w:ascii="Palatino Linotype" w:eastAsia="Calibri" w:hAnsi="Palatino Linotype" w:cs="Arial"/>
          <w:color w:val="000000" w:themeColor="text1"/>
        </w:rPr>
        <w:t>diez (10</w:t>
      </w:r>
      <w:r w:rsidR="003F0DDA">
        <w:rPr>
          <w:rFonts w:ascii="Palatino Linotype" w:eastAsia="Calibri" w:hAnsi="Palatino Linotype" w:cs="Arial"/>
          <w:color w:val="000000" w:themeColor="text1"/>
        </w:rPr>
        <w:t>) de agosto</w:t>
      </w:r>
      <w:r w:rsidR="007F372C">
        <w:rPr>
          <w:rFonts w:ascii="Palatino Linotype" w:eastAsia="Calibri" w:hAnsi="Palatino Linotype" w:cs="Arial"/>
          <w:color w:val="000000" w:themeColor="text1"/>
        </w:rPr>
        <w:t xml:space="preserve"> </w:t>
      </w:r>
      <w:r w:rsidR="00740BA4">
        <w:rPr>
          <w:rFonts w:ascii="Palatino Linotype" w:eastAsia="Calibri" w:hAnsi="Palatino Linotype" w:cs="Arial"/>
          <w:color w:val="000000" w:themeColor="text1"/>
        </w:rPr>
        <w:t>de dos mil veintiuno</w:t>
      </w:r>
      <w:r w:rsidR="00740BA4" w:rsidRPr="00740BA4">
        <w:rPr>
          <w:rFonts w:ascii="Palatino Linotype" w:eastAsia="Calibri" w:hAnsi="Palatino Linotype" w:cs="Arial"/>
          <w:color w:val="000000" w:themeColor="text1"/>
        </w:rPr>
        <w:t xml:space="preserve">, de tal forma que el plazo para interponer </w:t>
      </w:r>
      <w:r>
        <w:rPr>
          <w:rFonts w:ascii="Palatino Linotype" w:eastAsia="Calibri" w:hAnsi="Palatino Linotype" w:cs="Arial"/>
          <w:color w:val="000000" w:themeColor="text1"/>
        </w:rPr>
        <w:t>los</w:t>
      </w:r>
      <w:r w:rsidR="00740BA4" w:rsidRPr="00740BA4">
        <w:rPr>
          <w:rFonts w:ascii="Palatino Linotype" w:eastAsia="Calibri" w:hAnsi="Palatino Linotype" w:cs="Arial"/>
          <w:color w:val="000000" w:themeColor="text1"/>
        </w:rPr>
        <w:t xml:space="preserve"> recurso</w:t>
      </w:r>
      <w:r>
        <w:rPr>
          <w:rFonts w:ascii="Palatino Linotype" w:eastAsia="Calibri" w:hAnsi="Palatino Linotype" w:cs="Arial"/>
          <w:color w:val="000000" w:themeColor="text1"/>
        </w:rPr>
        <w:t>s</w:t>
      </w:r>
      <w:r w:rsidR="00740BA4" w:rsidRPr="00740BA4">
        <w:rPr>
          <w:rFonts w:ascii="Palatino Linotype" w:eastAsia="Calibri" w:hAnsi="Palatino Linotype" w:cs="Arial"/>
          <w:color w:val="000000" w:themeColor="text1"/>
        </w:rPr>
        <w:t xml:space="preserve"> de revisión transcurrió del </w:t>
      </w:r>
      <w:r w:rsidR="008A74F2">
        <w:rPr>
          <w:rFonts w:ascii="Palatino Linotype" w:eastAsia="Calibri" w:hAnsi="Palatino Linotype" w:cs="Arial"/>
          <w:color w:val="000000" w:themeColor="text1"/>
        </w:rPr>
        <w:t>once (11) al treinta y uno (31) de agosto</w:t>
      </w:r>
      <w:r w:rsidR="00740BA4">
        <w:rPr>
          <w:rFonts w:ascii="Palatino Linotype" w:eastAsia="Calibri" w:hAnsi="Palatino Linotype" w:cs="Arial"/>
          <w:color w:val="000000" w:themeColor="text1"/>
        </w:rPr>
        <w:t xml:space="preserve"> de dos mil veintiuno</w:t>
      </w:r>
      <w:r w:rsidR="00740BA4" w:rsidRPr="00740BA4">
        <w:rPr>
          <w:rFonts w:ascii="Palatino Linotype" w:eastAsia="Calibri" w:hAnsi="Palatino Linotype" w:cs="Arial"/>
          <w:color w:val="000000" w:themeColor="text1"/>
        </w:rPr>
        <w:t>, sin contemplar en el cómputo los días</w:t>
      </w:r>
      <w:r w:rsidR="00774AB3">
        <w:rPr>
          <w:rFonts w:ascii="Palatino Linotype" w:eastAsia="Calibri" w:hAnsi="Palatino Linotype" w:cs="Arial"/>
          <w:color w:val="000000" w:themeColor="text1"/>
        </w:rPr>
        <w:t xml:space="preserve"> </w:t>
      </w:r>
      <w:r w:rsidR="008A74F2">
        <w:rPr>
          <w:rFonts w:ascii="Palatino Linotype" w:eastAsia="Calibri" w:hAnsi="Palatino Linotype" w:cs="Arial"/>
          <w:color w:val="000000" w:themeColor="text1"/>
        </w:rPr>
        <w:t xml:space="preserve">catorce (14), quince (15),  </w:t>
      </w:r>
      <w:r w:rsidR="00774AB3">
        <w:rPr>
          <w:rFonts w:ascii="Palatino Linotype" w:eastAsia="Calibri" w:hAnsi="Palatino Linotype" w:cs="Arial"/>
          <w:color w:val="000000" w:themeColor="text1"/>
        </w:rPr>
        <w:t>veintiuno (21),</w:t>
      </w:r>
      <w:r w:rsidR="008570EB">
        <w:rPr>
          <w:rFonts w:ascii="Palatino Linotype" w:eastAsia="Calibri" w:hAnsi="Palatino Linotype" w:cs="Arial"/>
          <w:color w:val="000000" w:themeColor="text1"/>
        </w:rPr>
        <w:t xml:space="preserve"> veintidós (22)</w:t>
      </w:r>
      <w:r w:rsidR="00774AB3">
        <w:rPr>
          <w:rFonts w:ascii="Palatino Linotype" w:eastAsia="Calibri" w:hAnsi="Palatino Linotype" w:cs="Arial"/>
          <w:color w:val="000000" w:themeColor="text1"/>
        </w:rPr>
        <w:t>, veintiocho (28) y veintinueve (29) de agosto</w:t>
      </w:r>
      <w:r w:rsidR="00B76C73">
        <w:rPr>
          <w:rFonts w:ascii="Palatino Linotype" w:eastAsia="Calibri" w:hAnsi="Palatino Linotype" w:cs="Arial"/>
          <w:color w:val="000000" w:themeColor="text1"/>
        </w:rPr>
        <w:t xml:space="preserve">, </w:t>
      </w:r>
      <w:r w:rsidR="00740BA4" w:rsidRPr="00740BA4">
        <w:rPr>
          <w:rFonts w:ascii="Palatino Linotype" w:eastAsia="Calibri" w:hAnsi="Palatino Linotype" w:cs="Arial"/>
          <w:color w:val="000000" w:themeColor="text1"/>
        </w:rPr>
        <w:t xml:space="preserve">por </w:t>
      </w:r>
      <w:r w:rsidR="00740BA4" w:rsidRPr="00740BA4">
        <w:rPr>
          <w:rFonts w:ascii="Palatino Linotype" w:eastAsia="Calibri" w:hAnsi="Palatino Linotype" w:cs="Arial"/>
          <w:color w:val="000000" w:themeColor="text1"/>
        </w:rPr>
        <w:lastRenderedPageBreak/>
        <w:t>corresponder a sábados</w:t>
      </w:r>
      <w:r w:rsidR="0008465D">
        <w:rPr>
          <w:rFonts w:ascii="Palatino Linotype" w:eastAsia="Calibri" w:hAnsi="Palatino Linotype" w:cs="Arial"/>
          <w:color w:val="000000" w:themeColor="text1"/>
        </w:rPr>
        <w:t xml:space="preserve"> y</w:t>
      </w:r>
      <w:r w:rsidR="00740BA4" w:rsidRPr="00740BA4">
        <w:rPr>
          <w:rFonts w:ascii="Palatino Linotype" w:eastAsia="Calibri" w:hAnsi="Palatino Linotype" w:cs="Arial"/>
          <w:color w:val="000000" w:themeColor="text1"/>
        </w:rPr>
        <w:t xml:space="preserve"> domingos en términos del artículo 3 fracción X de la Ley de Transparencia y Acceso a la Información Pública del Estado de México y Municipios.</w:t>
      </w:r>
    </w:p>
    <w:p w14:paraId="21903286" w14:textId="77777777" w:rsidR="00740BA4" w:rsidRPr="00740BA4"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77C1838E" w:rsidR="00740BA4" w:rsidRPr="00774AB3" w:rsidRDefault="00E9553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Luego </w:t>
      </w:r>
      <w:r w:rsidRPr="00A85CB7">
        <w:rPr>
          <w:rFonts w:ascii="Palatino Linotype" w:hAnsi="Palatino Linotype"/>
          <w:color w:val="000000" w:themeColor="text1"/>
        </w:rPr>
        <w:t xml:space="preserve">entonces, si </w:t>
      </w:r>
      <w:r w:rsidR="005C7898">
        <w:rPr>
          <w:rFonts w:ascii="Palatino Linotype" w:hAnsi="Palatino Linotype"/>
          <w:color w:val="000000" w:themeColor="text1"/>
        </w:rPr>
        <w:t>los</w:t>
      </w:r>
      <w:r w:rsidRPr="00A85CB7">
        <w:rPr>
          <w:rFonts w:ascii="Palatino Linotype" w:hAnsi="Palatino Linotype"/>
          <w:color w:val="000000" w:themeColor="text1"/>
        </w:rPr>
        <w:t xml:space="preserve"> presente</w:t>
      </w:r>
      <w:r w:rsidR="005C7898">
        <w:rPr>
          <w:rFonts w:ascii="Palatino Linotype" w:hAnsi="Palatino Linotype"/>
          <w:color w:val="000000" w:themeColor="text1"/>
        </w:rPr>
        <w:t>s</w:t>
      </w:r>
      <w:r w:rsidRPr="00A85CB7">
        <w:rPr>
          <w:rFonts w:ascii="Palatino Linotype" w:hAnsi="Palatino Linotype"/>
          <w:color w:val="000000" w:themeColor="text1"/>
        </w:rPr>
        <w:t xml:space="preserve"> recurso</w:t>
      </w:r>
      <w:r w:rsidR="005C7898">
        <w:rPr>
          <w:rFonts w:ascii="Palatino Linotype" w:hAnsi="Palatino Linotype"/>
          <w:color w:val="000000" w:themeColor="text1"/>
        </w:rPr>
        <w:t>s</w:t>
      </w:r>
      <w:r w:rsidRPr="00A85CB7">
        <w:rPr>
          <w:rFonts w:ascii="Palatino Linotype" w:hAnsi="Palatino Linotype"/>
          <w:color w:val="000000" w:themeColor="text1"/>
        </w:rPr>
        <w:t xml:space="preserve"> de revisión fue</w:t>
      </w:r>
      <w:r w:rsidR="005C7898">
        <w:rPr>
          <w:rFonts w:ascii="Palatino Linotype" w:hAnsi="Palatino Linotype"/>
          <w:color w:val="000000" w:themeColor="text1"/>
        </w:rPr>
        <w:t>ron</w:t>
      </w:r>
      <w:r w:rsidRPr="00A85CB7">
        <w:rPr>
          <w:rFonts w:ascii="Palatino Linotype" w:hAnsi="Palatino Linotype"/>
          <w:color w:val="000000" w:themeColor="text1"/>
        </w:rPr>
        <w:t xml:space="preserve"> interpuesto</w:t>
      </w:r>
      <w:r w:rsidR="005C7898">
        <w:rPr>
          <w:rFonts w:ascii="Palatino Linotype" w:hAnsi="Palatino Linotype"/>
          <w:color w:val="000000" w:themeColor="text1"/>
        </w:rPr>
        <w:t>s</w:t>
      </w:r>
      <w:r w:rsidRPr="00A85CB7">
        <w:rPr>
          <w:rFonts w:ascii="Palatino Linotype" w:hAnsi="Palatino Linotype"/>
          <w:color w:val="000000" w:themeColor="text1"/>
        </w:rPr>
        <w:t xml:space="preserve"> el </w:t>
      </w:r>
      <w:r w:rsidR="008A74F2">
        <w:rPr>
          <w:rFonts w:ascii="Palatino Linotype" w:hAnsi="Palatino Linotype"/>
          <w:color w:val="000000" w:themeColor="text1"/>
        </w:rPr>
        <w:t>treinta (30</w:t>
      </w:r>
      <w:r w:rsidR="008570EB">
        <w:rPr>
          <w:rFonts w:ascii="Palatino Linotype" w:hAnsi="Palatino Linotype"/>
          <w:color w:val="000000" w:themeColor="text1"/>
        </w:rPr>
        <w:t>)</w:t>
      </w:r>
      <w:r w:rsidR="006B31E7">
        <w:rPr>
          <w:rFonts w:ascii="Palatino Linotype" w:hAnsi="Palatino Linotype"/>
          <w:color w:val="000000" w:themeColor="text1"/>
        </w:rPr>
        <w:t xml:space="preserve"> </w:t>
      </w:r>
      <w:r w:rsidR="00CC0B3A">
        <w:rPr>
          <w:rFonts w:ascii="Palatino Linotype" w:hAnsi="Palatino Linotype"/>
          <w:color w:val="000000" w:themeColor="text1"/>
        </w:rPr>
        <w:t xml:space="preserve">de agosto </w:t>
      </w:r>
      <w:r w:rsidRPr="00A85CB7">
        <w:rPr>
          <w:rFonts w:ascii="Palatino Linotype" w:hAnsi="Palatino Linotype"/>
          <w:color w:val="000000" w:themeColor="text1"/>
        </w:rPr>
        <w:t xml:space="preserve">de dos mil </w:t>
      </w:r>
      <w:r>
        <w:rPr>
          <w:rFonts w:ascii="Palatino Linotype" w:hAnsi="Palatino Linotype"/>
          <w:color w:val="000000" w:themeColor="text1"/>
        </w:rPr>
        <w:t>veintiuno</w:t>
      </w:r>
      <w:r w:rsidRPr="00A85CB7">
        <w:rPr>
          <w:rFonts w:ascii="Palatino Linotype" w:hAnsi="Palatino Linotype"/>
          <w:color w:val="000000" w:themeColor="text1"/>
        </w:rPr>
        <w:t>, ést</w:t>
      </w:r>
      <w:r w:rsidR="005C7898">
        <w:rPr>
          <w:rFonts w:ascii="Palatino Linotype" w:hAnsi="Palatino Linotype"/>
          <w:color w:val="000000" w:themeColor="text1"/>
        </w:rPr>
        <w:t>os</w:t>
      </w:r>
      <w:r w:rsidRPr="00A85CB7">
        <w:rPr>
          <w:rFonts w:ascii="Palatino Linotype" w:hAnsi="Palatino Linotype" w:cs="Arial"/>
          <w:color w:val="000000" w:themeColor="text1"/>
        </w:rPr>
        <w:t xml:space="preserve"> se encuentra</w:t>
      </w:r>
      <w:r w:rsidR="005C7898">
        <w:rPr>
          <w:rFonts w:ascii="Palatino Linotype" w:hAnsi="Palatino Linotype" w:cs="Arial"/>
          <w:color w:val="000000" w:themeColor="text1"/>
        </w:rPr>
        <w:t>n</w:t>
      </w:r>
      <w:r w:rsidRPr="00A85CB7">
        <w:rPr>
          <w:rFonts w:ascii="Palatino Linotype" w:hAnsi="Palatino Linotype" w:cs="Arial"/>
          <w:color w:val="000000" w:themeColor="text1"/>
        </w:rPr>
        <w:t xml:space="preserve"> dentro de los márgenes temporales previstos en el artículo 178 de la Ley de Transparencia y Acceso a la Información Pública del Estado de México y Municipios</w:t>
      </w:r>
      <w:r w:rsidRPr="00A85CB7">
        <w:rPr>
          <w:rFonts w:ascii="Palatino Linotype" w:hAnsi="Palatino Linotype" w:cs="Arial"/>
          <w:b/>
          <w:color w:val="000000" w:themeColor="text1"/>
        </w:rPr>
        <w:t xml:space="preserve"> </w:t>
      </w:r>
      <w:r w:rsidRPr="00A85CB7">
        <w:rPr>
          <w:rFonts w:ascii="Palatino Linotype" w:hAnsi="Palatino Linotype" w:cs="Arial"/>
          <w:color w:val="000000" w:themeColor="text1"/>
        </w:rPr>
        <w:t>vigente.</w:t>
      </w:r>
    </w:p>
    <w:p w14:paraId="59CCEA40"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2B2F168" w14:textId="211CC75D" w:rsidR="00774AB3" w:rsidRPr="00774AB3"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6B31E7">
        <w:rPr>
          <w:rFonts w:ascii="Palatino Linotype" w:hAnsi="Palatino Linotype" w:cs="Arial"/>
          <w:color w:val="000000" w:themeColor="text1"/>
          <w:lang w:val="es-ES"/>
        </w:rPr>
        <w:t>otro lado, de la revisión a</w:t>
      </w:r>
      <w:r w:rsidR="005C7898">
        <w:rPr>
          <w:rFonts w:ascii="Palatino Linotype" w:hAnsi="Palatino Linotype" w:cs="Arial"/>
          <w:color w:val="000000" w:themeColor="text1"/>
          <w:lang w:val="es-ES"/>
        </w:rPr>
        <w:t xml:space="preserve"> </w:t>
      </w:r>
      <w:r w:rsidRPr="006B31E7">
        <w:rPr>
          <w:rFonts w:ascii="Palatino Linotype" w:hAnsi="Palatino Linotype" w:cs="Arial"/>
          <w:color w:val="000000" w:themeColor="text1"/>
          <w:lang w:val="es-ES"/>
        </w:rPr>
        <w:t>l</w:t>
      </w:r>
      <w:r w:rsidR="005C7898">
        <w:rPr>
          <w:rFonts w:ascii="Palatino Linotype" w:hAnsi="Palatino Linotype" w:cs="Arial"/>
          <w:color w:val="000000" w:themeColor="text1"/>
          <w:lang w:val="es-ES"/>
        </w:rPr>
        <w:t>os</w:t>
      </w:r>
      <w:r w:rsidRPr="006B31E7">
        <w:rPr>
          <w:rFonts w:ascii="Palatino Linotype" w:hAnsi="Palatino Linotype" w:cs="Arial"/>
          <w:color w:val="000000" w:themeColor="text1"/>
          <w:lang w:val="es-ES"/>
        </w:rPr>
        <w:t xml:space="preserve"> expediente</w:t>
      </w:r>
      <w:r w:rsidR="005C7898">
        <w:rPr>
          <w:rFonts w:ascii="Palatino Linotype" w:hAnsi="Palatino Linotype" w:cs="Arial"/>
          <w:color w:val="000000" w:themeColor="text1"/>
          <w:lang w:val="es-ES"/>
        </w:rPr>
        <w:t>s</w:t>
      </w:r>
      <w:r w:rsidRPr="006B31E7">
        <w:rPr>
          <w:rFonts w:ascii="Palatino Linotype" w:hAnsi="Palatino Linotype" w:cs="Arial"/>
          <w:color w:val="000000" w:themeColor="text1"/>
          <w:lang w:val="es-ES"/>
        </w:rPr>
        <w:t xml:space="preserve"> electrónico</w:t>
      </w:r>
      <w:r w:rsidR="005C7898">
        <w:rPr>
          <w:rFonts w:ascii="Palatino Linotype" w:hAnsi="Palatino Linotype" w:cs="Arial"/>
          <w:color w:val="000000" w:themeColor="text1"/>
          <w:lang w:val="es-ES"/>
        </w:rPr>
        <w:t>s</w:t>
      </w:r>
      <w:r w:rsidRPr="006B31E7">
        <w:rPr>
          <w:rFonts w:ascii="Palatino Linotype" w:hAnsi="Palatino Linotype" w:cs="Arial"/>
          <w:color w:val="000000" w:themeColor="text1"/>
          <w:lang w:val="es-ES"/>
        </w:rPr>
        <w:t xml:space="preserve"> contenido</w:t>
      </w:r>
      <w:r w:rsidR="005C7898">
        <w:rPr>
          <w:rFonts w:ascii="Palatino Linotype" w:hAnsi="Palatino Linotype" w:cs="Arial"/>
          <w:color w:val="000000" w:themeColor="text1"/>
          <w:lang w:val="es-ES"/>
        </w:rPr>
        <w:t>s</w:t>
      </w:r>
      <w:r w:rsidRPr="006B31E7">
        <w:rPr>
          <w:rFonts w:ascii="Palatino Linotype" w:hAnsi="Palatino Linotype" w:cs="Arial"/>
          <w:color w:val="000000" w:themeColor="text1"/>
          <w:lang w:val="es-ES"/>
        </w:rPr>
        <w:t xml:space="preserve"> en el </w:t>
      </w:r>
      <w:r w:rsidRPr="005C7898">
        <w:rPr>
          <w:rFonts w:ascii="Palatino Linotype" w:hAnsi="Palatino Linotype" w:cs="Arial"/>
          <w:color w:val="000000" w:themeColor="text1"/>
          <w:lang w:val="es-ES"/>
        </w:rPr>
        <w:t>SAIMEX</w:t>
      </w:r>
      <w:r w:rsidRPr="006B31E7">
        <w:rPr>
          <w:rFonts w:ascii="Palatino Linotype" w:hAnsi="Palatino Linotype" w:cs="Arial"/>
          <w:b/>
          <w:color w:val="000000" w:themeColor="text1"/>
          <w:lang w:val="es-ES"/>
        </w:rPr>
        <w:t>,</w:t>
      </w:r>
      <w:r w:rsidRPr="006B31E7">
        <w:rPr>
          <w:rFonts w:ascii="Palatino Linotype" w:hAnsi="Palatino Linotype" w:cs="Arial"/>
          <w:color w:val="000000" w:themeColor="text1"/>
          <w:lang w:val="es-ES"/>
        </w:rPr>
        <w:t xml:space="preserve"> se desprende que la parte solicitante, en ejercicio de su derecho de acceso a la información pública en l</w:t>
      </w:r>
      <w:r w:rsidR="005C7898">
        <w:rPr>
          <w:rFonts w:ascii="Palatino Linotype" w:hAnsi="Palatino Linotype" w:cs="Arial"/>
          <w:color w:val="000000" w:themeColor="text1"/>
          <w:lang w:val="es-ES"/>
        </w:rPr>
        <w:t>os</w:t>
      </w:r>
      <w:r w:rsidRPr="006B31E7">
        <w:rPr>
          <w:rFonts w:ascii="Palatino Linotype" w:hAnsi="Palatino Linotype" w:cs="Arial"/>
          <w:color w:val="000000" w:themeColor="text1"/>
          <w:lang w:val="es-ES"/>
        </w:rPr>
        <w:t xml:space="preserve"> expediente</w:t>
      </w:r>
      <w:r w:rsidR="005C7898">
        <w:rPr>
          <w:rFonts w:ascii="Palatino Linotype" w:hAnsi="Palatino Linotype" w:cs="Arial"/>
          <w:color w:val="000000" w:themeColor="text1"/>
          <w:lang w:val="es-ES"/>
        </w:rPr>
        <w:t>s</w:t>
      </w:r>
      <w:r w:rsidRPr="006B31E7">
        <w:rPr>
          <w:rFonts w:ascii="Palatino Linotype" w:hAnsi="Palatino Linotype" w:cs="Arial"/>
          <w:color w:val="000000" w:themeColor="text1"/>
          <w:lang w:val="es-ES"/>
        </w:rPr>
        <w:t xml:space="preserve"> que se revisa</w:t>
      </w:r>
      <w:r w:rsidR="005C7898">
        <w:rPr>
          <w:rFonts w:ascii="Palatino Linotype" w:hAnsi="Palatino Linotype" w:cs="Arial"/>
          <w:color w:val="000000" w:themeColor="text1"/>
          <w:lang w:val="es-ES"/>
        </w:rPr>
        <w:t>n</w:t>
      </w:r>
      <w:r w:rsidRPr="006B31E7">
        <w:rPr>
          <w:rFonts w:ascii="Palatino Linotype" w:hAnsi="Palatino Linotype" w:cs="Arial"/>
          <w:color w:val="000000" w:themeColor="text1"/>
          <w:lang w:val="es-ES"/>
        </w:rPr>
        <w:t>, tanto en la</w:t>
      </w:r>
      <w:r w:rsidR="005C7898">
        <w:rPr>
          <w:rFonts w:ascii="Palatino Linotype" w:hAnsi="Palatino Linotype" w:cs="Arial"/>
          <w:color w:val="000000" w:themeColor="text1"/>
          <w:lang w:val="es-ES"/>
        </w:rPr>
        <w:t>s</w:t>
      </w:r>
      <w:r w:rsidRPr="006B31E7">
        <w:rPr>
          <w:rFonts w:ascii="Palatino Linotype" w:hAnsi="Palatino Linotype" w:cs="Arial"/>
          <w:color w:val="000000" w:themeColor="text1"/>
          <w:lang w:val="es-ES"/>
        </w:rPr>
        <w:t xml:space="preserve"> solicitud</w:t>
      </w:r>
      <w:r w:rsidR="005C7898">
        <w:rPr>
          <w:rFonts w:ascii="Palatino Linotype" w:hAnsi="Palatino Linotype" w:cs="Arial"/>
          <w:color w:val="000000" w:themeColor="text1"/>
          <w:lang w:val="es-ES"/>
        </w:rPr>
        <w:t>es</w:t>
      </w:r>
      <w:r w:rsidRPr="006B31E7">
        <w:rPr>
          <w:rFonts w:ascii="Palatino Linotype" w:hAnsi="Palatino Linotype" w:cs="Arial"/>
          <w:color w:val="000000" w:themeColor="text1"/>
          <w:lang w:val="es-ES"/>
        </w:rPr>
        <w:t xml:space="preserve"> de información como en l</w:t>
      </w:r>
      <w:r w:rsidR="005C7898">
        <w:rPr>
          <w:rFonts w:ascii="Palatino Linotype" w:hAnsi="Palatino Linotype" w:cs="Arial"/>
          <w:color w:val="000000" w:themeColor="text1"/>
          <w:lang w:val="es-ES"/>
        </w:rPr>
        <w:t>os</w:t>
      </w:r>
      <w:r w:rsidRPr="006B31E7">
        <w:rPr>
          <w:rFonts w:ascii="Palatino Linotype" w:hAnsi="Palatino Linotype" w:cs="Arial"/>
          <w:color w:val="000000" w:themeColor="text1"/>
          <w:lang w:val="es-ES"/>
        </w:rPr>
        <w:t xml:space="preserve"> recurso</w:t>
      </w:r>
      <w:r w:rsidR="005C7898">
        <w:rPr>
          <w:rFonts w:ascii="Palatino Linotype" w:hAnsi="Palatino Linotype" w:cs="Arial"/>
          <w:color w:val="000000" w:themeColor="text1"/>
          <w:lang w:val="es-ES"/>
        </w:rPr>
        <w:t>s</w:t>
      </w:r>
      <w:r w:rsidRPr="006B31E7">
        <w:rPr>
          <w:rFonts w:ascii="Palatino Linotype" w:hAnsi="Palatino Linotype" w:cs="Arial"/>
          <w:color w:val="000000" w:themeColor="text1"/>
          <w:lang w:val="es-ES"/>
        </w:rPr>
        <w:t xml:space="preserve"> de revisión, </w:t>
      </w:r>
      <w:r w:rsidRPr="006B31E7">
        <w:rPr>
          <w:rFonts w:ascii="Palatino Linotype" w:hAnsi="Palatino Linotype" w:cs="Arial"/>
          <w:b/>
          <w:color w:val="000000" w:themeColor="text1"/>
          <w:lang w:val="es-ES"/>
        </w:rPr>
        <w:t xml:space="preserve">no señaló </w:t>
      </w:r>
      <w:r w:rsidR="008A74F2">
        <w:rPr>
          <w:rFonts w:ascii="Palatino Linotype" w:hAnsi="Palatino Linotype" w:cs="Arial"/>
          <w:b/>
          <w:color w:val="000000" w:themeColor="text1"/>
          <w:lang w:val="es-ES"/>
        </w:rPr>
        <w:t>su</w:t>
      </w:r>
      <w:r w:rsidRPr="006B31E7">
        <w:rPr>
          <w:rFonts w:ascii="Palatino Linotype" w:hAnsi="Palatino Linotype" w:cs="Arial"/>
          <w:b/>
          <w:color w:val="000000" w:themeColor="text1"/>
          <w:lang w:val="es-ES"/>
        </w:rPr>
        <w:t xml:space="preserve"> nombre para ser identificado</w:t>
      </w:r>
      <w:r w:rsidR="005C7898">
        <w:rPr>
          <w:rFonts w:ascii="Palatino Linotype" w:hAnsi="Palatino Linotype" w:cs="Arial"/>
          <w:b/>
          <w:color w:val="000000" w:themeColor="text1"/>
          <w:lang w:val="es-ES"/>
        </w:rPr>
        <w:t>, ni se tiene certeza de su identidad</w:t>
      </w:r>
      <w:r w:rsidRPr="006B31E7">
        <w:rPr>
          <w:rFonts w:ascii="Palatino Linotype" w:hAnsi="Palatino Linotype" w:cs="Arial"/>
          <w:color w:val="000000" w:themeColor="text1"/>
          <w:lang w:val="es-ES"/>
        </w:rPr>
        <w:t xml:space="preserve">; sin embargo, es importante señalar que </w:t>
      </w:r>
      <w:r w:rsidRPr="006B31E7">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254381B4"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5E42741" w14:textId="51A5ADFE" w:rsidR="00774AB3" w:rsidRPr="00774AB3"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Esto </w:t>
      </w:r>
      <w:r w:rsidRPr="006B31E7">
        <w:rPr>
          <w:rFonts w:ascii="Palatino Linotype" w:hAnsi="Palatino Linotype" w:cs="Arial"/>
          <w:color w:val="000000" w:themeColor="text1"/>
          <w:lang w:val="es-ES"/>
        </w:rPr>
        <w:t xml:space="preserve">es así, ya que de conformidad con los artículos 6, apartado A, fracciones III y IV de la </w:t>
      </w:r>
      <w:r w:rsidRPr="006B31E7">
        <w:rPr>
          <w:rFonts w:ascii="Palatino Linotype" w:hAnsi="Palatino Linotype" w:cs="Arial"/>
          <w:b/>
          <w:color w:val="000000" w:themeColor="text1"/>
          <w:lang w:val="es-ES"/>
        </w:rPr>
        <w:t>Constitución Política de los Estados Unidos Mexicanos</w:t>
      </w:r>
      <w:r w:rsidRPr="006B31E7">
        <w:rPr>
          <w:rFonts w:ascii="Palatino Linotype" w:hAnsi="Palatino Linotype" w:cs="Arial"/>
          <w:color w:val="000000" w:themeColor="text1"/>
          <w:lang w:val="es-ES"/>
        </w:rPr>
        <w:t xml:space="preserve">; 5, párrafos vigésimo segundo, vigésimo tercero y vigésimo cuarto, fracciones III, IV y V, de la </w:t>
      </w:r>
      <w:r w:rsidRPr="006B31E7">
        <w:rPr>
          <w:rFonts w:ascii="Palatino Linotype" w:hAnsi="Palatino Linotype" w:cs="Arial"/>
          <w:b/>
          <w:color w:val="000000" w:themeColor="text1"/>
          <w:lang w:val="es-ES"/>
        </w:rPr>
        <w:t>Constitución Política del Estado Libre y Soberano de México</w:t>
      </w:r>
      <w:r w:rsidRPr="006B31E7">
        <w:rPr>
          <w:rFonts w:ascii="Palatino Linotype" w:hAnsi="Palatino Linotype" w:cs="Arial"/>
          <w:color w:val="000000" w:themeColor="text1"/>
          <w:lang w:val="es-ES"/>
        </w:rPr>
        <w:t xml:space="preserve">, se establece que toda </w:t>
      </w:r>
      <w:r w:rsidRPr="006B31E7">
        <w:rPr>
          <w:rFonts w:ascii="Palatino Linotype" w:hAnsi="Palatino Linotype" w:cs="Arial"/>
          <w:color w:val="000000" w:themeColor="text1"/>
          <w:lang w:val="es-ES"/>
        </w:rPr>
        <w:lastRenderedPageBreak/>
        <w:t>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9D391CF"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779A480" w14:textId="3D6523B9" w:rsidR="00774AB3" w:rsidRPr="00774AB3"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48D8D9D"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0F83678" w14:textId="530BDC20" w:rsidR="00774AB3" w:rsidRPr="00774AB3"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357E8A97"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011FBA9" w14:textId="64AA7D6D" w:rsidR="00774AB3" w:rsidRPr="00774AB3"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De </w:t>
      </w:r>
      <w:r w:rsidRPr="00C25050">
        <w:rPr>
          <w:rFonts w:ascii="Palatino Linotype" w:eastAsia="Calibri" w:hAnsi="Palatino Linotype" w:cs="Arial"/>
        </w:rPr>
        <w:t xml:space="preserve">igual forma, la Corte Interamericana ha precisado que no es necesario acreditar un interés directo ni una afectación personal para obtener la información </w:t>
      </w:r>
      <w:r w:rsidRPr="00C25050">
        <w:rPr>
          <w:rFonts w:ascii="Palatino Linotype" w:eastAsia="Calibri" w:hAnsi="Palatino Linotype" w:cs="Arial"/>
        </w:rPr>
        <w:lastRenderedPageBreak/>
        <w:t>en poder del Estado, excepto en los casos en que se aplique una legítima restricción permitida por la Convención Americana.</w:t>
      </w:r>
    </w:p>
    <w:p w14:paraId="5297926E"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C0C5B9A" w14:textId="0739A56D" w:rsidR="00774AB3" w:rsidRPr="00774AB3"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Pr>
          <w:rFonts w:ascii="Palatino Linotype" w:eastAsia="Calibri" w:hAnsi="Palatino Linotype" w:cs="Arial"/>
        </w:rPr>
        <w:t xml:space="preserve">lo tanto, </w:t>
      </w:r>
      <w:r w:rsidRPr="00F43C60">
        <w:rPr>
          <w:rFonts w:ascii="Palatino Linotype" w:eastAsia="Times New Roman" w:hAnsi="Palatino Linotype" w:cs="Arial"/>
          <w:color w:val="000000" w:themeColor="text1"/>
          <w:lang w:val="es-ES" w:eastAsia="es-MX"/>
        </w:rPr>
        <w:t xml:space="preserve">el nombre del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un requisito indispensable de procedencia de</w:t>
      </w:r>
      <w:r w:rsidR="000B2BA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color w:val="000000" w:themeColor="text1"/>
          <w:lang w:val="es-ES" w:eastAsia="es-MX"/>
        </w:rPr>
        <w:t>l</w:t>
      </w:r>
      <w:r w:rsidR="000B2BA0">
        <w:rPr>
          <w:rFonts w:ascii="Palatino Linotype" w:eastAsia="Times New Roman" w:hAnsi="Palatino Linotype" w:cs="Arial"/>
          <w:color w:val="000000" w:themeColor="text1"/>
          <w:lang w:val="es-ES" w:eastAsia="es-MX"/>
        </w:rPr>
        <w:t>os</w:t>
      </w:r>
      <w:r w:rsidRPr="00F43C60">
        <w:rPr>
          <w:rFonts w:ascii="Palatino Linotype" w:eastAsia="Times New Roman" w:hAnsi="Palatino Linotype" w:cs="Arial"/>
          <w:color w:val="000000" w:themeColor="text1"/>
          <w:lang w:val="es-ES" w:eastAsia="es-MX"/>
        </w:rPr>
        <w:t xml:space="preserve"> recurso</w:t>
      </w:r>
      <w:r w:rsidR="000B2BA0">
        <w:rPr>
          <w:rFonts w:ascii="Palatino Linotype" w:eastAsia="Times New Roman" w:hAnsi="Palatino Linotype" w:cs="Arial"/>
          <w:color w:val="000000" w:themeColor="text1"/>
          <w:lang w:val="es-ES" w:eastAsia="es-MX"/>
        </w:rPr>
        <w:t>s</w:t>
      </w:r>
      <w:r w:rsidRPr="00F43C60">
        <w:rPr>
          <w:rFonts w:ascii="Palatino Linotype" w:eastAsia="Times New Roman" w:hAnsi="Palatino Linotype" w:cs="Arial"/>
          <w:color w:val="000000" w:themeColor="text1"/>
          <w:lang w:val="es-ES" w:eastAsia="es-MX"/>
        </w:rPr>
        <w:t xml:space="preserve"> de revisión </w:t>
      </w:r>
      <w:r w:rsidR="000B2BA0">
        <w:rPr>
          <w:rFonts w:ascii="Palatino Linotype" w:eastAsia="Times New Roman" w:hAnsi="Palatino Linotype" w:cs="Arial"/>
          <w:color w:val="000000" w:themeColor="text1"/>
          <w:lang w:val="es-ES" w:eastAsia="es-MX"/>
        </w:rPr>
        <w:t xml:space="preserve">acumulados </w:t>
      </w:r>
      <w:r w:rsidRPr="00F43C60">
        <w:rPr>
          <w:rFonts w:ascii="Palatino Linotype" w:eastAsia="Times New Roman" w:hAnsi="Palatino Linotype" w:cs="Arial"/>
          <w:color w:val="000000" w:themeColor="text1"/>
          <w:lang w:val="es-ES" w:eastAsia="es-MX"/>
        </w:rPr>
        <w:t>que nos ocupa</w:t>
      </w:r>
      <w:r w:rsidR="000B2BA0">
        <w:rPr>
          <w:rFonts w:ascii="Palatino Linotype" w:eastAsia="Times New Roman" w:hAnsi="Palatino Linotype" w:cs="Arial"/>
          <w:color w:val="000000" w:themeColor="text1"/>
          <w:lang w:val="es-ES" w:eastAsia="es-MX"/>
        </w:rPr>
        <w:t>n</w:t>
      </w:r>
      <w:r w:rsidRPr="00F43C60">
        <w:rPr>
          <w:rFonts w:ascii="Palatino Linotype" w:eastAsia="Times New Roman" w:hAnsi="Palatino Linotype" w:cs="Arial"/>
          <w:color w:val="000000" w:themeColor="text1"/>
          <w:lang w:val="es-ES" w:eastAsia="es-MX"/>
        </w:rPr>
        <w:t>, ya que el acceso a la información no está condicionado a acreditar algún interés ya sea jurídico o legítimo, máxime que es un elemento subsanable por este Órgano Resolutor.</w:t>
      </w:r>
    </w:p>
    <w:p w14:paraId="1511F63E" w14:textId="77777777" w:rsidR="00855985" w:rsidRPr="00855985" w:rsidRDefault="00855985" w:rsidP="0085598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7DFE8653" w:rsidR="005F1362" w:rsidRPr="00710B50"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w:t>
      </w:r>
      <w:r w:rsidR="00566BC5">
        <w:rPr>
          <w:rFonts w:ascii="Palatino Linotype" w:eastAsia="Calibri" w:hAnsi="Palatino Linotype" w:cs="Arial"/>
          <w:color w:val="000000" w:themeColor="text1"/>
        </w:rPr>
        <w:t>este Órgano Garante</w:t>
      </w:r>
      <w:r w:rsidRPr="00A85CB7">
        <w:rPr>
          <w:rFonts w:ascii="Palatino Linotype" w:eastAsia="Calibri" w:hAnsi="Palatino Linotype" w:cs="Arial"/>
          <w:color w:val="000000" w:themeColor="text1"/>
        </w:rPr>
        <w:t xml:space="preserve"> advierte que </w:t>
      </w:r>
      <w:r w:rsidR="00540208" w:rsidRPr="00A85CB7">
        <w:rPr>
          <w:rFonts w:ascii="Palatino Linotype" w:eastAsia="Calibri" w:hAnsi="Palatino Linotype" w:cs="Arial"/>
          <w:color w:val="000000" w:themeColor="text1"/>
        </w:rPr>
        <w:t>l</w:t>
      </w:r>
      <w:r w:rsidR="000B2BA0">
        <w:rPr>
          <w:rFonts w:ascii="Palatino Linotype" w:eastAsia="Calibri" w:hAnsi="Palatino Linotype" w:cs="Arial"/>
          <w:color w:val="000000" w:themeColor="text1"/>
        </w:rPr>
        <w:t>os</w:t>
      </w:r>
      <w:r w:rsidR="00540208" w:rsidRPr="00A85CB7">
        <w:rPr>
          <w:rFonts w:ascii="Palatino Linotype" w:eastAsia="Calibri" w:hAnsi="Palatino Linotype" w:cs="Arial"/>
          <w:color w:val="000000" w:themeColor="text1"/>
        </w:rPr>
        <w:t xml:space="preserve"> escrito</w:t>
      </w:r>
      <w:r w:rsidR="000B2BA0">
        <w:rPr>
          <w:rFonts w:ascii="Palatino Linotype" w:eastAsia="Calibri" w:hAnsi="Palatino Linotype" w:cs="Arial"/>
          <w:color w:val="000000" w:themeColor="text1"/>
        </w:rPr>
        <w:t>s</w:t>
      </w:r>
      <w:r w:rsidR="00540208" w:rsidRPr="00A85CB7">
        <w:rPr>
          <w:rFonts w:ascii="Palatino Linotype" w:eastAsia="Calibri" w:hAnsi="Palatino Linotype" w:cs="Arial"/>
          <w:color w:val="000000" w:themeColor="text1"/>
        </w:rPr>
        <w:t xml:space="preserve"> contiene</w:t>
      </w:r>
      <w:r w:rsidR="000B2BA0">
        <w:rPr>
          <w:rFonts w:ascii="Palatino Linotype" w:eastAsia="Calibri" w:hAnsi="Palatino Linotype" w:cs="Arial"/>
          <w:color w:val="000000" w:themeColor="text1"/>
        </w:rPr>
        <w:t>n</w:t>
      </w:r>
      <w:r w:rsidR="00540208" w:rsidRPr="00A85CB7">
        <w:rPr>
          <w:rFonts w:ascii="Palatino Linotype" w:eastAsia="Calibri" w:hAnsi="Palatino Linotype" w:cs="Arial"/>
          <w:color w:val="000000" w:themeColor="text1"/>
        </w:rPr>
        <w:t xml:space="preserve"> las formalidades previstas por el artículo 180 último párrafo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Pr>
          <w:rFonts w:ascii="Palatino Linotype" w:eastAsia="Calibri" w:hAnsi="Palatino Linotype" w:cs="Arial"/>
          <w:color w:val="000000" w:themeColor="text1"/>
        </w:rPr>
        <w:t xml:space="preserve">Municipios, conozca y resuelva </w:t>
      </w:r>
      <w:r w:rsidR="00540208" w:rsidRPr="00A85CB7">
        <w:rPr>
          <w:rFonts w:ascii="Palatino Linotype" w:eastAsia="Calibri" w:hAnsi="Palatino Linotype" w:cs="Arial"/>
          <w:color w:val="000000" w:themeColor="text1"/>
        </w:rPr>
        <w:t>l</w:t>
      </w:r>
      <w:r w:rsidR="000B2BA0">
        <w:rPr>
          <w:rFonts w:ascii="Palatino Linotype" w:eastAsia="Calibri" w:hAnsi="Palatino Linotype" w:cs="Arial"/>
          <w:color w:val="000000" w:themeColor="text1"/>
        </w:rPr>
        <w:t>os</w:t>
      </w:r>
      <w:r w:rsidR="00540208" w:rsidRPr="00A85CB7">
        <w:rPr>
          <w:rFonts w:ascii="Palatino Linotype" w:eastAsia="Calibri" w:hAnsi="Palatino Linotype" w:cs="Arial"/>
          <w:color w:val="000000" w:themeColor="text1"/>
        </w:rPr>
        <w:t xml:space="preserve"> presente</w:t>
      </w:r>
      <w:r w:rsidR="000B2BA0">
        <w:rPr>
          <w:rFonts w:ascii="Palatino Linotype" w:eastAsia="Calibri" w:hAnsi="Palatino Linotype" w:cs="Arial"/>
          <w:color w:val="000000" w:themeColor="text1"/>
        </w:rPr>
        <w:t>s</w:t>
      </w:r>
      <w:r w:rsidR="00540208" w:rsidRPr="00A85CB7">
        <w:rPr>
          <w:rFonts w:ascii="Palatino Linotype" w:eastAsia="Calibri" w:hAnsi="Palatino Linotype" w:cs="Arial"/>
          <w:color w:val="000000" w:themeColor="text1"/>
        </w:rPr>
        <w:t xml:space="preserve"> recurso</w:t>
      </w:r>
      <w:r w:rsidR="000B2BA0">
        <w:rPr>
          <w:rFonts w:ascii="Palatino Linotype" w:eastAsia="Calibri" w:hAnsi="Palatino Linotype" w:cs="Arial"/>
          <w:color w:val="000000" w:themeColor="text1"/>
        </w:rPr>
        <w:t>s</w:t>
      </w:r>
      <w:r w:rsidR="00540208" w:rsidRPr="00A85CB7">
        <w:rPr>
          <w:rFonts w:ascii="Palatino Linotype" w:eastAsia="Calibri" w:hAnsi="Palatino Linotype" w:cs="Arial"/>
          <w:color w:val="000000" w:themeColor="text1"/>
        </w:rPr>
        <w:t>.</w:t>
      </w:r>
    </w:p>
    <w:p w14:paraId="316CB621" w14:textId="77777777" w:rsidR="00710B50"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710B50"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8" w:name="_Toc88071780"/>
      <w:r>
        <w:rPr>
          <w:rFonts w:ascii="Palatino Linotype" w:hAnsi="Palatino Linotype"/>
          <w:b/>
          <w:color w:val="000000" w:themeColor="text1"/>
        </w:rPr>
        <w:t xml:space="preserve">TERCERO. </w:t>
      </w:r>
      <w:r w:rsidR="00D5750C">
        <w:rPr>
          <w:rFonts w:ascii="Palatino Linotype" w:hAnsi="Palatino Linotype"/>
          <w:b/>
          <w:color w:val="000000" w:themeColor="text1"/>
        </w:rPr>
        <w:t xml:space="preserve">Del planteamiento de la </w:t>
      </w:r>
      <w:r w:rsidR="00D5750C">
        <w:rPr>
          <w:rFonts w:ascii="Palatino Linotype" w:hAnsi="Palatino Linotype"/>
          <w:b/>
          <w:i/>
          <w:color w:val="000000" w:themeColor="text1"/>
        </w:rPr>
        <w:t>Litis</w:t>
      </w:r>
      <w:r>
        <w:rPr>
          <w:rFonts w:ascii="Palatino Linotype" w:hAnsi="Palatino Linotype"/>
          <w:b/>
          <w:color w:val="000000" w:themeColor="text1"/>
        </w:rPr>
        <w:t>.</w:t>
      </w:r>
      <w:bookmarkEnd w:id="18"/>
    </w:p>
    <w:p w14:paraId="4FB84CAD" w14:textId="77777777" w:rsidR="00CA62D4" w:rsidRPr="00710B50"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26137E4C" w14:textId="1768114A" w:rsidR="0056788F" w:rsidRPr="00CA0640" w:rsidRDefault="00CA4CF0"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9" w:name="_Toc459174366"/>
      <w:bookmarkStart w:id="20" w:name="_Toc459659884"/>
      <w:bookmarkStart w:id="21" w:name="_Toc461687280"/>
      <w:bookmarkStart w:id="22" w:name="_Toc462771051"/>
      <w:bookmarkStart w:id="23" w:name="_Toc464139201"/>
      <w:r>
        <w:rPr>
          <w:rFonts w:ascii="Palatino Linotype" w:hAnsi="Palatino Linotype" w:cs="Arial"/>
          <w:color w:val="000000" w:themeColor="text1"/>
        </w:rPr>
        <w:t>Mediante dos solicitudes de información, se</w:t>
      </w:r>
      <w:r w:rsidR="00D5750C">
        <w:rPr>
          <w:rFonts w:ascii="Palatino Linotype" w:hAnsi="Palatino Linotype" w:cs="Arial"/>
          <w:color w:val="000000" w:themeColor="text1"/>
        </w:rPr>
        <w:t xml:space="preserve"> requirió el</w:t>
      </w:r>
      <w:r w:rsidR="000B2BA0">
        <w:rPr>
          <w:rFonts w:ascii="Palatino Linotype" w:hAnsi="Palatino Linotype" w:cs="Arial"/>
          <w:color w:val="000000" w:themeColor="text1"/>
        </w:rPr>
        <w:t xml:space="preserve"> expediente completo, así como el</w:t>
      </w:r>
      <w:r w:rsidR="00D5750C">
        <w:rPr>
          <w:rFonts w:ascii="Palatino Linotype" w:hAnsi="Palatino Linotype" w:cs="Arial"/>
          <w:color w:val="000000" w:themeColor="text1"/>
        </w:rPr>
        <w:t xml:space="preserve"> Dictamen Técnico-Médico Institucional emitido por la Comisión de Conciliación y Arbitraje Médico del Estado de México, </w:t>
      </w:r>
      <w:r>
        <w:rPr>
          <w:rFonts w:ascii="Palatino Linotype" w:hAnsi="Palatino Linotype" w:cs="Arial"/>
          <w:color w:val="000000" w:themeColor="text1"/>
        </w:rPr>
        <w:t>individualizado</w:t>
      </w:r>
      <w:r w:rsidR="00D5750C">
        <w:rPr>
          <w:rFonts w:ascii="Palatino Linotype" w:hAnsi="Palatino Linotype" w:cs="Arial"/>
          <w:color w:val="000000" w:themeColor="text1"/>
        </w:rPr>
        <w:t xml:space="preserve"> con el número CCAMEM/TOL/D/1218/2019</w:t>
      </w:r>
      <w:r w:rsidR="007E64B6">
        <w:rPr>
          <w:rFonts w:ascii="Palatino Linotype" w:hAnsi="Palatino Linotype" w:cs="Arial"/>
          <w:color w:val="000000" w:themeColor="text1"/>
        </w:rPr>
        <w:t>.</w:t>
      </w:r>
      <w:r w:rsidR="00910076">
        <w:rPr>
          <w:rFonts w:ascii="Palatino Linotype" w:hAnsi="Palatino Linotype" w:cs="Arial"/>
          <w:color w:val="000000" w:themeColor="text1"/>
        </w:rPr>
        <w:t xml:space="preserve"> </w:t>
      </w:r>
      <w:r w:rsidR="00E50385">
        <w:rPr>
          <w:rFonts w:ascii="Palatino Linotype" w:hAnsi="Palatino Linotype" w:cs="Arial"/>
          <w:color w:val="000000" w:themeColor="text1"/>
        </w:rPr>
        <w:t>En su</w:t>
      </w:r>
      <w:r w:rsidR="001E0672">
        <w:rPr>
          <w:rFonts w:ascii="Palatino Linotype" w:hAnsi="Palatino Linotype" w:cs="Arial"/>
          <w:color w:val="000000" w:themeColor="text1"/>
        </w:rPr>
        <w:t>s</w:t>
      </w:r>
      <w:r w:rsidR="00E50385">
        <w:rPr>
          <w:rFonts w:ascii="Palatino Linotype" w:hAnsi="Palatino Linotype" w:cs="Arial"/>
          <w:color w:val="000000" w:themeColor="text1"/>
        </w:rPr>
        <w:t xml:space="preserve"> respuesta</w:t>
      </w:r>
      <w:r w:rsidR="001E0672">
        <w:rPr>
          <w:rFonts w:ascii="Palatino Linotype" w:hAnsi="Palatino Linotype" w:cs="Arial"/>
          <w:color w:val="000000" w:themeColor="text1"/>
        </w:rPr>
        <w:t>s</w:t>
      </w:r>
      <w:r w:rsidR="00E50385">
        <w:rPr>
          <w:rFonts w:ascii="Palatino Linotype" w:hAnsi="Palatino Linotype" w:cs="Arial"/>
          <w:color w:val="000000" w:themeColor="text1"/>
        </w:rPr>
        <w:t xml:space="preserve">, el </w:t>
      </w:r>
      <w:r w:rsidR="00E50385">
        <w:rPr>
          <w:rFonts w:ascii="Palatino Linotype" w:hAnsi="Palatino Linotype" w:cs="Arial"/>
          <w:b/>
          <w:color w:val="000000" w:themeColor="text1"/>
        </w:rPr>
        <w:t>SUJETO OBLIGADO</w:t>
      </w:r>
      <w:r w:rsidR="00E50385">
        <w:rPr>
          <w:rFonts w:ascii="Palatino Linotype" w:hAnsi="Palatino Linotype" w:cs="Arial"/>
          <w:color w:val="000000" w:themeColor="text1"/>
        </w:rPr>
        <w:t xml:space="preserve"> </w:t>
      </w:r>
      <w:r w:rsidR="00D5750C">
        <w:rPr>
          <w:rFonts w:ascii="Palatino Linotype" w:hAnsi="Palatino Linotype" w:cs="Arial"/>
          <w:color w:val="000000" w:themeColor="text1"/>
        </w:rPr>
        <w:t>entregó el Dictamen Técnico-Médico Institucional, testado en su mayoría</w:t>
      </w:r>
      <w:r>
        <w:rPr>
          <w:rFonts w:ascii="Palatino Linotype" w:hAnsi="Palatino Linotype" w:cs="Arial"/>
          <w:color w:val="000000" w:themeColor="text1"/>
        </w:rPr>
        <w:t xml:space="preserve">; por otro </w:t>
      </w:r>
      <w:r>
        <w:rPr>
          <w:rFonts w:ascii="Palatino Linotype" w:hAnsi="Palatino Linotype" w:cs="Arial"/>
          <w:color w:val="000000" w:themeColor="text1"/>
        </w:rPr>
        <w:lastRenderedPageBreak/>
        <w:t>lado, manifestó su incapacidad para entregar el expediente digitalizado, por lo que lo puso a disposición en consulta directa.</w:t>
      </w:r>
      <w:r w:rsidR="007758D3">
        <w:rPr>
          <w:rFonts w:ascii="Palatino Linotype" w:hAnsi="Palatino Linotype" w:cs="Arial"/>
          <w:color w:val="000000" w:themeColor="text1"/>
        </w:rPr>
        <w:t xml:space="preserve"> </w:t>
      </w:r>
      <w:r w:rsidR="00E50385">
        <w:rPr>
          <w:rFonts w:ascii="Palatino Linotype" w:hAnsi="Palatino Linotype" w:cs="Arial"/>
          <w:color w:val="000000" w:themeColor="text1"/>
        </w:rPr>
        <w:t>El</w:t>
      </w:r>
      <w:r w:rsidR="007758D3">
        <w:rPr>
          <w:rFonts w:ascii="Palatino Linotype" w:hAnsi="Palatino Linotype" w:cs="Arial"/>
          <w:color w:val="000000" w:themeColor="text1"/>
        </w:rPr>
        <w:t xml:space="preserve"> particular impugnó la</w:t>
      </w:r>
      <w:r>
        <w:rPr>
          <w:rFonts w:ascii="Palatino Linotype" w:hAnsi="Palatino Linotype" w:cs="Arial"/>
          <w:color w:val="000000" w:themeColor="text1"/>
        </w:rPr>
        <w:t>s</w:t>
      </w:r>
      <w:r w:rsidR="007758D3">
        <w:rPr>
          <w:rFonts w:ascii="Palatino Linotype" w:hAnsi="Palatino Linotype" w:cs="Arial"/>
          <w:color w:val="000000" w:themeColor="text1"/>
        </w:rPr>
        <w:t xml:space="preserve"> respuesta</w:t>
      </w:r>
      <w:r>
        <w:rPr>
          <w:rFonts w:ascii="Palatino Linotype" w:hAnsi="Palatino Linotype" w:cs="Arial"/>
          <w:color w:val="000000" w:themeColor="text1"/>
        </w:rPr>
        <w:t>s</w:t>
      </w:r>
      <w:r w:rsidR="007758D3">
        <w:rPr>
          <w:rFonts w:ascii="Palatino Linotype" w:hAnsi="Palatino Linotype" w:cs="Arial"/>
          <w:color w:val="000000" w:themeColor="text1"/>
        </w:rPr>
        <w:t xml:space="preserve"> del </w:t>
      </w:r>
      <w:r w:rsidR="007758D3">
        <w:rPr>
          <w:rFonts w:ascii="Palatino Linotype" w:hAnsi="Palatino Linotype" w:cs="Arial"/>
          <w:b/>
          <w:color w:val="000000" w:themeColor="text1"/>
        </w:rPr>
        <w:t>SUJETO OBLIGADO</w:t>
      </w:r>
      <w:r w:rsidR="007758D3">
        <w:rPr>
          <w:rFonts w:ascii="Palatino Linotype" w:hAnsi="Palatino Linotype" w:cs="Arial"/>
          <w:color w:val="000000" w:themeColor="text1"/>
        </w:rPr>
        <w:t xml:space="preserve"> mediante recurso</w:t>
      </w:r>
      <w:r>
        <w:rPr>
          <w:rFonts w:ascii="Palatino Linotype" w:hAnsi="Palatino Linotype" w:cs="Arial"/>
          <w:color w:val="000000" w:themeColor="text1"/>
        </w:rPr>
        <w:t>s</w:t>
      </w:r>
      <w:r w:rsidR="007758D3">
        <w:rPr>
          <w:rFonts w:ascii="Palatino Linotype" w:hAnsi="Palatino Linotype" w:cs="Arial"/>
          <w:color w:val="000000" w:themeColor="text1"/>
        </w:rPr>
        <w:t xml:space="preserve"> de revisión en </w:t>
      </w:r>
      <w:r>
        <w:rPr>
          <w:rFonts w:ascii="Palatino Linotype" w:hAnsi="Palatino Linotype" w:cs="Arial"/>
          <w:color w:val="000000" w:themeColor="text1"/>
        </w:rPr>
        <w:t>los</w:t>
      </w:r>
      <w:r w:rsidR="00C465BE">
        <w:rPr>
          <w:rFonts w:ascii="Palatino Linotype" w:hAnsi="Palatino Linotype" w:cs="Arial"/>
          <w:color w:val="000000" w:themeColor="text1"/>
        </w:rPr>
        <w:t xml:space="preserve"> que señaló, por agravios:</w:t>
      </w:r>
      <w:r w:rsidR="007409D8">
        <w:rPr>
          <w:rFonts w:ascii="Palatino Linotype" w:hAnsi="Palatino Linotype" w:cs="Arial"/>
          <w:color w:val="000000" w:themeColor="text1"/>
        </w:rPr>
        <w:t xml:space="preserve"> el cambio de modalidad en la entrega del expediente;</w:t>
      </w:r>
      <w:r w:rsidR="007758D3">
        <w:rPr>
          <w:rFonts w:ascii="Palatino Linotype" w:hAnsi="Palatino Linotype" w:cs="Arial"/>
          <w:color w:val="000000" w:themeColor="text1"/>
        </w:rPr>
        <w:t xml:space="preserve"> </w:t>
      </w:r>
      <w:r w:rsidR="00E02DA3">
        <w:rPr>
          <w:rFonts w:ascii="Palatino Linotype" w:hAnsi="Palatino Linotype" w:cs="Arial"/>
          <w:color w:val="000000" w:themeColor="text1"/>
        </w:rPr>
        <w:t>que el Titular de la Unidad de Transparencia realizó una clasificación excesiva sobre el documento entregado en respuesta, y que no formuló el Acuerdo del Comité de Transparencia que confirme la clasificación</w:t>
      </w:r>
      <w:r w:rsidR="007409D8">
        <w:rPr>
          <w:rFonts w:ascii="Palatino Linotype" w:hAnsi="Palatino Linotype" w:cs="Arial"/>
          <w:color w:val="000000" w:themeColor="text1"/>
        </w:rPr>
        <w:t>; y,</w:t>
      </w:r>
      <w:r w:rsidR="00E02DA3">
        <w:rPr>
          <w:rFonts w:ascii="Palatino Linotype" w:hAnsi="Palatino Linotype" w:cs="Arial"/>
          <w:color w:val="000000" w:themeColor="text1"/>
        </w:rPr>
        <w:t xml:space="preserve"> que la solicitud no se había atendido siguiendo el procedimiento estab</w:t>
      </w:r>
      <w:r w:rsidR="007409D8">
        <w:rPr>
          <w:rFonts w:ascii="Palatino Linotype" w:hAnsi="Palatino Linotype" w:cs="Arial"/>
          <w:color w:val="000000" w:themeColor="text1"/>
        </w:rPr>
        <w:t>lecido por la Ley de la materia.</w:t>
      </w:r>
    </w:p>
    <w:p w14:paraId="52493E42" w14:textId="77777777" w:rsidR="0056788F"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0446C5E7" w:rsidR="001A032D" w:rsidRPr="0056788F"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6788F">
        <w:rPr>
          <w:rFonts w:ascii="Palatino Linotype" w:hAnsi="Palatino Linotype" w:cs="Arial"/>
          <w:color w:val="000000" w:themeColor="text1"/>
        </w:rPr>
        <w:t xml:space="preserve">En ese sentido, </w:t>
      </w:r>
      <w:r w:rsidR="00566BC5">
        <w:rPr>
          <w:rFonts w:ascii="Palatino Linotype" w:hAnsi="Palatino Linotype" w:cs="Arial"/>
          <w:color w:val="000000" w:themeColor="text1"/>
        </w:rPr>
        <w:t>este Órgano Garante</w:t>
      </w:r>
      <w:r w:rsidR="002E160F" w:rsidRPr="0056788F">
        <w:rPr>
          <w:rFonts w:ascii="Palatino Linotype" w:hAnsi="Palatino Linotype" w:cs="Arial"/>
          <w:color w:val="000000" w:themeColor="text1"/>
        </w:rPr>
        <w:t xml:space="preserve"> advierte que las razones o motivos de inconformidad manifestados por el </w:t>
      </w:r>
      <w:r w:rsidRPr="0056788F">
        <w:rPr>
          <w:rFonts w:ascii="Palatino Linotype" w:hAnsi="Palatino Linotype" w:cs="Arial"/>
          <w:b/>
          <w:bCs/>
          <w:color w:val="000000" w:themeColor="text1"/>
        </w:rPr>
        <w:t>RECURRENTE</w:t>
      </w:r>
      <w:r w:rsidRPr="0056788F">
        <w:rPr>
          <w:rFonts w:ascii="Palatino Linotype" w:hAnsi="Palatino Linotype" w:cs="Arial"/>
          <w:color w:val="000000" w:themeColor="text1"/>
        </w:rPr>
        <w:t xml:space="preserve"> </w:t>
      </w:r>
      <w:r w:rsidR="002E160F" w:rsidRPr="0056788F">
        <w:rPr>
          <w:rFonts w:ascii="Palatino Linotype" w:hAnsi="Palatino Linotype" w:cs="Arial"/>
          <w:color w:val="000000" w:themeColor="text1"/>
        </w:rPr>
        <w:t>sugieren que la</w:t>
      </w:r>
      <w:r w:rsidR="007409D8">
        <w:rPr>
          <w:rFonts w:ascii="Palatino Linotype" w:hAnsi="Palatino Linotype" w:cs="Arial"/>
          <w:color w:val="000000" w:themeColor="text1"/>
        </w:rPr>
        <w:t>s</w:t>
      </w:r>
      <w:r w:rsidR="002E160F" w:rsidRPr="0056788F">
        <w:rPr>
          <w:rFonts w:ascii="Palatino Linotype" w:hAnsi="Palatino Linotype" w:cs="Arial"/>
          <w:color w:val="000000" w:themeColor="text1"/>
        </w:rPr>
        <w:t xml:space="preserve"> respuesta</w:t>
      </w:r>
      <w:r w:rsidR="007409D8">
        <w:rPr>
          <w:rFonts w:ascii="Palatino Linotype" w:hAnsi="Palatino Linotype" w:cs="Arial"/>
          <w:color w:val="000000" w:themeColor="text1"/>
        </w:rPr>
        <w:t>s</w:t>
      </w:r>
      <w:r w:rsidR="002E160F" w:rsidRPr="0056788F">
        <w:rPr>
          <w:rFonts w:ascii="Palatino Linotype" w:hAnsi="Palatino Linotype" w:cs="Arial"/>
          <w:color w:val="000000" w:themeColor="text1"/>
        </w:rPr>
        <w:t xml:space="preserve"> proporcionada</w:t>
      </w:r>
      <w:r w:rsidR="007409D8">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por el </w:t>
      </w:r>
      <w:r w:rsidR="00B855AA" w:rsidRPr="0056788F">
        <w:rPr>
          <w:rFonts w:ascii="Palatino Linotype" w:hAnsi="Palatino Linotype" w:cs="Arial"/>
          <w:b/>
          <w:bCs/>
          <w:color w:val="000000" w:themeColor="text1"/>
        </w:rPr>
        <w:t>SUJETO OBLIGADO</w:t>
      </w:r>
      <w:r w:rsidR="007409D8">
        <w:rPr>
          <w:rFonts w:ascii="Palatino Linotype" w:hAnsi="Palatino Linotype" w:cs="Arial"/>
          <w:color w:val="000000" w:themeColor="text1"/>
        </w:rPr>
        <w:t xml:space="preserve"> no cumplieron</w:t>
      </w:r>
      <w:r w:rsidR="00B855AA" w:rsidRPr="0056788F">
        <w:rPr>
          <w:rFonts w:ascii="Palatino Linotype" w:hAnsi="Palatino Linotype" w:cs="Arial"/>
          <w:color w:val="000000" w:themeColor="text1"/>
        </w:rPr>
        <w:t xml:space="preserve"> con </w:t>
      </w:r>
      <w:r w:rsidR="008F7752">
        <w:rPr>
          <w:rFonts w:ascii="Palatino Linotype" w:hAnsi="Palatino Linotype" w:cs="Arial"/>
          <w:color w:val="000000" w:themeColor="text1"/>
        </w:rPr>
        <w:t>los</w:t>
      </w:r>
      <w:r w:rsidR="00B855AA" w:rsidRPr="0056788F">
        <w:rPr>
          <w:rFonts w:ascii="Palatino Linotype" w:hAnsi="Palatino Linotype" w:cs="Arial"/>
          <w:color w:val="000000" w:themeColor="text1"/>
        </w:rPr>
        <w:t xml:space="preserve"> principio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contendido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en el artículo 11 de la Ley de Transparencia y Acceso a la Información Pública del Estado de México y Municipios, l</w:t>
      </w:r>
      <w:r w:rsidR="008F7752">
        <w:rPr>
          <w:rFonts w:ascii="Palatino Linotype" w:hAnsi="Palatino Linotype" w:cs="Arial"/>
          <w:color w:val="000000" w:themeColor="text1"/>
        </w:rPr>
        <w:t>os</w:t>
      </w:r>
      <w:r w:rsidR="00B855AA" w:rsidRPr="0056788F">
        <w:rPr>
          <w:rFonts w:ascii="Palatino Linotype" w:hAnsi="Palatino Linotype" w:cs="Arial"/>
          <w:color w:val="000000" w:themeColor="text1"/>
        </w:rPr>
        <w:t xml:space="preserve"> cual</w:t>
      </w:r>
      <w:r w:rsidR="008F7752">
        <w:rPr>
          <w:rFonts w:ascii="Palatino Linotype" w:hAnsi="Palatino Linotype" w:cs="Arial"/>
          <w:color w:val="000000" w:themeColor="text1"/>
        </w:rPr>
        <w:t>es</w:t>
      </w:r>
      <w:r w:rsidR="00B855AA" w:rsidRPr="0056788F">
        <w:rPr>
          <w:rFonts w:ascii="Palatino Linotype" w:hAnsi="Palatino Linotype" w:cs="Arial"/>
          <w:color w:val="000000" w:themeColor="text1"/>
        </w:rPr>
        <w:t xml:space="preserve"> señala</w:t>
      </w:r>
      <w:r w:rsidR="008F7752">
        <w:rPr>
          <w:rFonts w:ascii="Palatino Linotype" w:hAnsi="Palatino Linotype" w:cs="Arial"/>
          <w:color w:val="000000" w:themeColor="text1"/>
        </w:rPr>
        <w:t>n</w:t>
      </w:r>
      <w:r w:rsidR="00B855AA" w:rsidRPr="0056788F">
        <w:rPr>
          <w:rFonts w:ascii="Palatino Linotype" w:hAnsi="Palatino Linotype" w:cs="Arial"/>
          <w:color w:val="000000" w:themeColor="text1"/>
        </w:rPr>
        <w:t xml:space="preserve"> que en la generación, publicación y entrega de información se deberá garantizar que ésta </w:t>
      </w:r>
      <w:r w:rsidR="00C51671" w:rsidRPr="0056788F">
        <w:rPr>
          <w:rFonts w:ascii="Palatino Linotype" w:hAnsi="Palatino Linotype" w:cs="Arial"/>
          <w:color w:val="000000" w:themeColor="text1"/>
        </w:rPr>
        <w:t>sea</w:t>
      </w:r>
      <w:r w:rsidR="007409D8">
        <w:rPr>
          <w:rFonts w:ascii="Palatino Linotype" w:hAnsi="Palatino Linotype" w:cs="Arial"/>
          <w:color w:val="000000" w:themeColor="text1"/>
        </w:rPr>
        <w:t xml:space="preserve"> </w:t>
      </w:r>
      <w:r w:rsidR="007409D8" w:rsidRPr="007409D8">
        <w:rPr>
          <w:rFonts w:ascii="Palatino Linotype" w:hAnsi="Palatino Linotype" w:cs="Arial"/>
          <w:b/>
          <w:color w:val="000000" w:themeColor="text1"/>
        </w:rPr>
        <w:t>accesible</w:t>
      </w:r>
      <w:r w:rsidR="007409D8">
        <w:rPr>
          <w:rFonts w:ascii="Palatino Linotype" w:hAnsi="Palatino Linotype" w:cs="Arial"/>
          <w:color w:val="000000" w:themeColor="text1"/>
        </w:rPr>
        <w:t xml:space="preserve">, </w:t>
      </w:r>
      <w:r w:rsidR="007409D8" w:rsidRPr="007409D8">
        <w:rPr>
          <w:rFonts w:ascii="Palatino Linotype" w:hAnsi="Palatino Linotype" w:cs="Arial"/>
          <w:b/>
          <w:color w:val="000000" w:themeColor="text1"/>
        </w:rPr>
        <w:t>oportuna</w:t>
      </w:r>
      <w:r w:rsidR="007409D8">
        <w:rPr>
          <w:rFonts w:ascii="Palatino Linotype" w:hAnsi="Palatino Linotype" w:cs="Arial"/>
          <w:color w:val="000000" w:themeColor="text1"/>
        </w:rPr>
        <w:t xml:space="preserve"> y</w:t>
      </w:r>
      <w:r w:rsidR="00B855AA" w:rsidRPr="0056788F">
        <w:rPr>
          <w:rFonts w:ascii="Palatino Linotype" w:hAnsi="Palatino Linotype" w:cs="Arial"/>
          <w:color w:val="000000" w:themeColor="text1"/>
        </w:rPr>
        <w:t xml:space="preserve"> </w:t>
      </w:r>
      <w:r w:rsidR="00E02DA3">
        <w:rPr>
          <w:rFonts w:ascii="Palatino Linotype" w:hAnsi="Palatino Linotype" w:cs="Arial"/>
          <w:b/>
          <w:bCs/>
          <w:color w:val="000000" w:themeColor="text1"/>
        </w:rPr>
        <w:t>sujeta a un claro régimen de excepciones</w:t>
      </w:r>
      <w:r w:rsidR="00B855AA" w:rsidRPr="0056788F">
        <w:rPr>
          <w:rFonts w:ascii="Palatino Linotype" w:hAnsi="Palatino Linotype" w:cs="Arial"/>
          <w:color w:val="000000" w:themeColor="text1"/>
        </w:rPr>
        <w:t>.</w:t>
      </w:r>
    </w:p>
    <w:p w14:paraId="026A3A70" w14:textId="77777777" w:rsidR="00197091" w:rsidRPr="00A85C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59A1CDD3" w:rsidR="00AD76A1" w:rsidRPr="00A85CB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la</w:t>
      </w:r>
      <w:r w:rsidR="007409D8">
        <w:rPr>
          <w:rFonts w:ascii="Palatino Linotype" w:hAnsi="Palatino Linotype" w:cs="Arial"/>
          <w:color w:val="000000" w:themeColor="text1"/>
          <w:szCs w:val="23"/>
        </w:rPr>
        <w:t>s</w:t>
      </w:r>
      <w:r w:rsidR="004B0EB6">
        <w:rPr>
          <w:rFonts w:ascii="Palatino Linotype" w:hAnsi="Palatino Linotype" w:cs="Arial"/>
          <w:color w:val="000000" w:themeColor="text1"/>
          <w:szCs w:val="23"/>
        </w:rPr>
        <w:t xml:space="preserve"> respuesta</w:t>
      </w:r>
      <w:r w:rsidR="007409D8">
        <w:rPr>
          <w:rFonts w:ascii="Palatino Linotype" w:hAnsi="Palatino Linotype" w:cs="Arial"/>
          <w:color w:val="000000" w:themeColor="text1"/>
          <w:szCs w:val="23"/>
        </w:rPr>
        <w:t>s</w:t>
      </w:r>
      <w:r w:rsidR="004B0EB6">
        <w:rPr>
          <w:rFonts w:ascii="Palatino Linotype" w:hAnsi="Palatino Linotype" w:cs="Arial"/>
          <w:color w:val="000000" w:themeColor="text1"/>
          <w:szCs w:val="23"/>
        </w:rPr>
        <w:t xml:space="preserve"> del</w:t>
      </w:r>
      <w:r w:rsidR="002C6561">
        <w:rPr>
          <w:rFonts w:ascii="Palatino Linotype" w:hAnsi="Palatino Linotype" w:cs="Arial"/>
          <w:color w:val="000000" w:themeColor="text1"/>
          <w:szCs w:val="23"/>
        </w:rPr>
        <w:t xml:space="preserve"> </w:t>
      </w:r>
      <w:r w:rsidR="002C6561">
        <w:rPr>
          <w:rFonts w:ascii="Palatino Linotype" w:hAnsi="Palatino Linotype" w:cs="Arial"/>
          <w:b/>
          <w:bCs/>
          <w:color w:val="000000" w:themeColor="text1"/>
          <w:szCs w:val="23"/>
        </w:rPr>
        <w:t xml:space="preserve">SUJETO </w:t>
      </w:r>
      <w:r w:rsidR="002C6561" w:rsidRPr="002C6561">
        <w:rPr>
          <w:rFonts w:ascii="Palatino Linotype" w:hAnsi="Palatino Linotype" w:cs="Arial"/>
          <w:b/>
          <w:bCs/>
          <w:color w:val="000000" w:themeColor="text1"/>
          <w:szCs w:val="23"/>
        </w:rPr>
        <w:t>OBLIGADO</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colma</w:t>
      </w:r>
      <w:r w:rsidR="007409D8">
        <w:rPr>
          <w:rFonts w:ascii="Palatino Linotype" w:hAnsi="Palatino Linotype" w:cs="Arial"/>
          <w:color w:val="000000" w:themeColor="text1"/>
          <w:szCs w:val="23"/>
        </w:rPr>
        <w:t>n</w:t>
      </w:r>
      <w:r w:rsidR="004B0EB6">
        <w:rPr>
          <w:rFonts w:ascii="Palatino Linotype" w:hAnsi="Palatino Linotype" w:cs="Arial"/>
          <w:color w:val="000000" w:themeColor="text1"/>
          <w:szCs w:val="23"/>
        </w:rPr>
        <w:t xml:space="preserve"> el derecho de acceso a la información ejercido por el </w:t>
      </w:r>
      <w:r w:rsidR="004B0EB6">
        <w:rPr>
          <w:rFonts w:ascii="Palatino Linotype" w:hAnsi="Palatino Linotype" w:cs="Arial"/>
          <w:b/>
          <w:bCs/>
          <w:color w:val="000000" w:themeColor="text1"/>
          <w:szCs w:val="23"/>
        </w:rPr>
        <w:t>RECURRENTE</w:t>
      </w:r>
      <w:r w:rsidR="002C6561">
        <w:rPr>
          <w:rFonts w:ascii="Palatino Linotype" w:hAnsi="Palatino Linotype" w:cs="Arial"/>
          <w:color w:val="000000" w:themeColor="text1"/>
          <w:szCs w:val="23"/>
        </w:rPr>
        <w:t xml:space="preserve">; o si, por el contrario, </w:t>
      </w:r>
      <w:r w:rsidR="002C6561" w:rsidRPr="002C6561">
        <w:rPr>
          <w:rFonts w:ascii="Palatino Linotype" w:hAnsi="Palatino Linotype" w:cs="Arial"/>
          <w:color w:val="000000" w:themeColor="text1"/>
          <w:szCs w:val="23"/>
        </w:rPr>
        <w:t>se</w:t>
      </w:r>
      <w:r w:rsidR="00E32652" w:rsidRPr="00A85CB7">
        <w:rPr>
          <w:rFonts w:ascii="Palatino Linotype" w:hAnsi="Palatino Linotype" w:cs="Arial"/>
          <w:color w:val="000000" w:themeColor="text1"/>
          <w:szCs w:val="23"/>
        </w:rPr>
        <w:t xml:space="preserve"> </w:t>
      </w:r>
      <w:r w:rsidR="0028248C" w:rsidRPr="00A85CB7">
        <w:rPr>
          <w:rFonts w:ascii="Palatino Linotype" w:hAnsi="Palatino Linotype"/>
          <w:color w:val="000000" w:themeColor="text1"/>
        </w:rPr>
        <w:t>actualiza</w:t>
      </w:r>
      <w:r w:rsidR="00C51671">
        <w:rPr>
          <w:rFonts w:ascii="Palatino Linotype" w:hAnsi="Palatino Linotype"/>
          <w:color w:val="000000" w:themeColor="text1"/>
        </w:rPr>
        <w:t>n</w:t>
      </w:r>
      <w:r w:rsidR="0028248C" w:rsidRPr="00A85CB7">
        <w:rPr>
          <w:rFonts w:ascii="Palatino Linotype" w:hAnsi="Palatino Linotype"/>
          <w:color w:val="000000" w:themeColor="text1"/>
        </w:rPr>
        <w:t xml:space="preserve"> la</w:t>
      </w:r>
      <w:r w:rsidR="00C51671">
        <w:rPr>
          <w:rFonts w:ascii="Palatino Linotype" w:hAnsi="Palatino Linotype"/>
          <w:color w:val="000000" w:themeColor="text1"/>
        </w:rPr>
        <w:t>s</w:t>
      </w:r>
      <w:r w:rsidR="0028248C" w:rsidRPr="00A85CB7">
        <w:rPr>
          <w:rFonts w:ascii="Palatino Linotype" w:hAnsi="Palatino Linotype"/>
          <w:color w:val="000000" w:themeColor="text1"/>
        </w:rPr>
        <w:t xml:space="preserve"> causal</w:t>
      </w:r>
      <w:r w:rsidR="00C51671">
        <w:rPr>
          <w:rFonts w:ascii="Palatino Linotype" w:hAnsi="Palatino Linotype"/>
          <w:color w:val="000000" w:themeColor="text1"/>
        </w:rPr>
        <w:t>es</w:t>
      </w:r>
      <w:r w:rsidR="0028248C" w:rsidRPr="00A85CB7">
        <w:rPr>
          <w:rFonts w:ascii="Palatino Linotype" w:hAnsi="Palatino Linotype"/>
          <w:color w:val="000000" w:themeColor="text1"/>
        </w:rPr>
        <w:t xml:space="preserve"> de procedencia</w:t>
      </w:r>
      <w:r w:rsidR="00E66A80" w:rsidRPr="00A85CB7">
        <w:rPr>
          <w:rFonts w:ascii="Palatino Linotype" w:hAnsi="Palatino Linotype" w:cs="Arial"/>
          <w:color w:val="000000" w:themeColor="text1"/>
          <w:szCs w:val="23"/>
        </w:rPr>
        <w:t xml:space="preserve"> del recurso de revisión establecida</w:t>
      </w:r>
      <w:r w:rsidR="00C51671">
        <w:rPr>
          <w:rFonts w:ascii="Palatino Linotype" w:hAnsi="Palatino Linotype" w:cs="Arial"/>
          <w:color w:val="000000" w:themeColor="text1"/>
          <w:szCs w:val="23"/>
        </w:rPr>
        <w:t>s</w:t>
      </w:r>
      <w:r w:rsidR="00E66A80" w:rsidRPr="00A85CB7">
        <w:rPr>
          <w:rFonts w:ascii="Palatino Linotype" w:hAnsi="Palatino Linotype" w:cs="Arial"/>
          <w:color w:val="000000" w:themeColor="text1"/>
          <w:szCs w:val="23"/>
        </w:rPr>
        <w:t xml:space="preserve"> en el artículo 179 </w:t>
      </w:r>
      <w:r w:rsidR="00C51671">
        <w:rPr>
          <w:rFonts w:ascii="Palatino Linotype" w:hAnsi="Palatino Linotype" w:cs="Arial"/>
          <w:color w:val="000000" w:themeColor="text1"/>
          <w:szCs w:val="23"/>
        </w:rPr>
        <w:t>fracciones</w:t>
      </w:r>
      <w:r w:rsidR="00E66A80" w:rsidRPr="00A85CB7">
        <w:rPr>
          <w:rFonts w:ascii="Palatino Linotype" w:hAnsi="Palatino Linotype" w:cs="Arial"/>
          <w:color w:val="000000" w:themeColor="text1"/>
          <w:szCs w:val="23"/>
        </w:rPr>
        <w:t xml:space="preserve"> </w:t>
      </w:r>
      <w:r w:rsidR="007409D8">
        <w:rPr>
          <w:rFonts w:ascii="Palatino Linotype" w:hAnsi="Palatino Linotype" w:cs="Arial"/>
          <w:color w:val="000000" w:themeColor="text1"/>
          <w:szCs w:val="23"/>
        </w:rPr>
        <w:t xml:space="preserve">I, </w:t>
      </w:r>
      <w:r w:rsidR="00E02DA3">
        <w:rPr>
          <w:rFonts w:ascii="Palatino Linotype" w:hAnsi="Palatino Linotype" w:cs="Arial"/>
          <w:color w:val="000000" w:themeColor="text1"/>
          <w:szCs w:val="23"/>
        </w:rPr>
        <w:t>I</w:t>
      </w:r>
      <w:r w:rsidR="002C6561">
        <w:rPr>
          <w:rFonts w:ascii="Palatino Linotype" w:hAnsi="Palatino Linotype" w:cs="Arial"/>
          <w:color w:val="000000" w:themeColor="text1"/>
          <w:szCs w:val="23"/>
        </w:rPr>
        <w:t>I</w:t>
      </w:r>
      <w:r w:rsidR="00390D23">
        <w:rPr>
          <w:rFonts w:ascii="Palatino Linotype" w:hAnsi="Palatino Linotype" w:cs="Arial"/>
          <w:color w:val="000000" w:themeColor="text1"/>
          <w:szCs w:val="23"/>
        </w:rPr>
        <w:t xml:space="preserve"> </w:t>
      </w:r>
      <w:r w:rsidR="00C51671">
        <w:rPr>
          <w:rFonts w:ascii="Palatino Linotype" w:hAnsi="Palatino Linotype" w:cs="Arial"/>
          <w:color w:val="000000" w:themeColor="text1"/>
          <w:szCs w:val="23"/>
        </w:rPr>
        <w:t xml:space="preserve">y </w:t>
      </w:r>
      <w:r w:rsidR="00E02DA3">
        <w:rPr>
          <w:rFonts w:ascii="Palatino Linotype" w:hAnsi="Palatino Linotype" w:cs="Arial"/>
          <w:color w:val="000000" w:themeColor="text1"/>
          <w:szCs w:val="23"/>
        </w:rPr>
        <w:t>XIII</w:t>
      </w:r>
      <w:r w:rsidR="00C15F97" w:rsidRPr="00A85CB7">
        <w:rPr>
          <w:rFonts w:ascii="Palatino Linotype" w:hAnsi="Palatino Linotype" w:cs="Arial"/>
          <w:color w:val="000000" w:themeColor="text1"/>
          <w:szCs w:val="23"/>
        </w:rPr>
        <w:t xml:space="preserve"> </w:t>
      </w:r>
      <w:r w:rsidR="00E66A80" w:rsidRPr="00A85CB7">
        <w:rPr>
          <w:rFonts w:ascii="Palatino Linotype" w:hAnsi="Palatino Linotype" w:cs="Arial"/>
          <w:color w:val="000000" w:themeColor="text1"/>
          <w:szCs w:val="23"/>
        </w:rPr>
        <w:t xml:space="preserve">de la Ley de Transparencia y Acceso a la Información Pública del Estado de México y Municipios, </w:t>
      </w:r>
      <w:r w:rsidR="00C51671">
        <w:rPr>
          <w:rFonts w:ascii="Palatino Linotype" w:hAnsi="Palatino Linotype" w:cs="Arial"/>
          <w:color w:val="000000" w:themeColor="text1"/>
          <w:szCs w:val="23"/>
        </w:rPr>
        <w:t xml:space="preserve">y </w:t>
      </w:r>
      <w:r w:rsidR="00E66A80" w:rsidRPr="00A85CB7">
        <w:rPr>
          <w:rFonts w:ascii="Palatino Linotype" w:hAnsi="Palatino Linotype" w:cs="Arial"/>
          <w:color w:val="000000" w:themeColor="text1"/>
          <w:szCs w:val="23"/>
        </w:rPr>
        <w:t>que se transcribe</w:t>
      </w:r>
      <w:r w:rsidR="00C51671">
        <w:rPr>
          <w:rFonts w:ascii="Palatino Linotype" w:hAnsi="Palatino Linotype" w:cs="Arial"/>
          <w:color w:val="000000" w:themeColor="text1"/>
          <w:szCs w:val="23"/>
        </w:rPr>
        <w:t>n</w:t>
      </w:r>
      <w:r w:rsidR="00E66A80" w:rsidRPr="00A85CB7">
        <w:rPr>
          <w:rFonts w:ascii="Palatino Linotype" w:hAnsi="Palatino Linotype" w:cs="Arial"/>
          <w:color w:val="000000" w:themeColor="text1"/>
          <w:szCs w:val="23"/>
        </w:rPr>
        <w:t xml:space="preserve"> a continuación:</w:t>
      </w:r>
    </w:p>
    <w:p w14:paraId="5D251E5B" w14:textId="77777777" w:rsidR="002630E4"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A85CB7" w:rsidRDefault="00E66A80" w:rsidP="00B31E90">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7409D8" w:rsidRDefault="007409D8" w:rsidP="00B31E90">
      <w:pPr>
        <w:pStyle w:val="Sinespaciado"/>
        <w:tabs>
          <w:tab w:val="left" w:pos="426"/>
        </w:tabs>
        <w:ind w:left="851" w:right="567"/>
        <w:jc w:val="both"/>
        <w:rPr>
          <w:rFonts w:ascii="Palatino Linotype" w:hAnsi="Palatino Linotype"/>
          <w:bCs/>
          <w:i/>
          <w:color w:val="000000" w:themeColor="text1"/>
          <w:sz w:val="22"/>
        </w:rPr>
      </w:pPr>
      <w:r>
        <w:rPr>
          <w:rFonts w:ascii="Palatino Linotype" w:hAnsi="Palatino Linotype"/>
          <w:b/>
          <w:bCs/>
          <w:i/>
          <w:color w:val="000000" w:themeColor="text1"/>
          <w:sz w:val="22"/>
        </w:rPr>
        <w:t>I.</w:t>
      </w:r>
      <w:r>
        <w:rPr>
          <w:rFonts w:ascii="Palatino Linotype" w:hAnsi="Palatino Linotype"/>
          <w:bCs/>
          <w:i/>
          <w:color w:val="000000" w:themeColor="text1"/>
          <w:sz w:val="22"/>
        </w:rPr>
        <w:t xml:space="preserve"> La negativa a la información solicitada;</w:t>
      </w:r>
    </w:p>
    <w:p w14:paraId="670586AC" w14:textId="6733D575" w:rsidR="00C51671" w:rsidRPr="00C51671" w:rsidRDefault="00E02DA3" w:rsidP="00B31E90">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I</w:t>
      </w:r>
      <w:r w:rsidR="00C51671">
        <w:rPr>
          <w:rFonts w:ascii="Palatino Linotype" w:hAnsi="Palatino Linotype"/>
          <w:b/>
          <w:bCs/>
          <w:i/>
          <w:color w:val="000000" w:themeColor="text1"/>
          <w:sz w:val="22"/>
        </w:rPr>
        <w:t>I.</w:t>
      </w:r>
      <w:r w:rsidR="00C51671">
        <w:rPr>
          <w:rFonts w:ascii="Palatino Linotype" w:hAnsi="Palatino Linotype"/>
          <w:i/>
          <w:color w:val="000000" w:themeColor="text1"/>
          <w:sz w:val="22"/>
        </w:rPr>
        <w:t xml:space="preserve"> La </w:t>
      </w:r>
      <w:r>
        <w:rPr>
          <w:rFonts w:ascii="Palatino Linotype" w:hAnsi="Palatino Linotype"/>
          <w:i/>
          <w:color w:val="000000" w:themeColor="text1"/>
          <w:sz w:val="22"/>
        </w:rPr>
        <w:t>clasificación de la información</w:t>
      </w:r>
      <w:r w:rsidR="00C51671">
        <w:rPr>
          <w:rFonts w:ascii="Palatino Linotype" w:hAnsi="Palatino Linotype"/>
          <w:i/>
          <w:color w:val="000000" w:themeColor="text1"/>
          <w:sz w:val="22"/>
        </w:rPr>
        <w:t>;</w:t>
      </w:r>
    </w:p>
    <w:p w14:paraId="34DC33E5" w14:textId="6743AE97" w:rsidR="008F7752" w:rsidRDefault="00515DEC" w:rsidP="008F7752">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p>
    <w:p w14:paraId="63F398EA" w14:textId="60C982B3" w:rsidR="007409D8" w:rsidRPr="007409D8" w:rsidRDefault="007409D8" w:rsidP="008F7752">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i/>
          <w:color w:val="000000" w:themeColor="text1"/>
          <w:sz w:val="22"/>
        </w:rPr>
        <w:t>VIII.</w:t>
      </w:r>
      <w:r>
        <w:rPr>
          <w:rFonts w:ascii="Palatino Linotype" w:hAnsi="Palatino Linotype"/>
          <w:i/>
          <w:color w:val="000000" w:themeColor="text1"/>
          <w:sz w:val="22"/>
        </w:rPr>
        <w:t xml:space="preserve"> La notificación, entrega o puesta a disposición de información en una modalidad o formato distinto al solicitado;</w:t>
      </w:r>
    </w:p>
    <w:p w14:paraId="19BC663C" w14:textId="64747D30" w:rsidR="007409D8" w:rsidRDefault="007409D8" w:rsidP="008F7752">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2A8DC18E" w14:textId="0842A51C" w:rsidR="008F7752" w:rsidRPr="008F7752" w:rsidRDefault="00E02DA3" w:rsidP="008F7752">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XIII</w:t>
      </w:r>
      <w:r w:rsidR="008F7752">
        <w:rPr>
          <w:rFonts w:ascii="Palatino Linotype" w:hAnsi="Palatino Linotype"/>
          <w:b/>
          <w:bCs/>
          <w:i/>
          <w:color w:val="000000" w:themeColor="text1"/>
          <w:sz w:val="22"/>
        </w:rPr>
        <w:t>.</w:t>
      </w:r>
      <w:r w:rsidR="008F7752">
        <w:rPr>
          <w:rFonts w:ascii="Palatino Linotype" w:hAnsi="Palatino Linotype"/>
          <w:i/>
          <w:color w:val="000000" w:themeColor="text1"/>
          <w:sz w:val="22"/>
        </w:rPr>
        <w:t xml:space="preserve"> La </w:t>
      </w:r>
      <w:r>
        <w:rPr>
          <w:rFonts w:ascii="Palatino Linotype" w:hAnsi="Palatino Linotype"/>
          <w:i/>
          <w:color w:val="000000" w:themeColor="text1"/>
          <w:sz w:val="22"/>
        </w:rPr>
        <w:t>falta, deficiencia o insuficiencia de la fundamentación y/o motivación en la respuesta</w:t>
      </w:r>
      <w:r w:rsidR="008F7752" w:rsidRPr="008F7752">
        <w:rPr>
          <w:rFonts w:ascii="Palatino Linotype" w:hAnsi="Palatino Linotype"/>
          <w:i/>
          <w:color w:val="000000" w:themeColor="text1"/>
          <w:sz w:val="22"/>
        </w:rPr>
        <w:t>;</w:t>
      </w:r>
    </w:p>
    <w:p w14:paraId="4FCA9B3F" w14:textId="04527850" w:rsidR="00515DEC" w:rsidRPr="00A85CB7" w:rsidRDefault="008F7752" w:rsidP="00390D23">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w:t>
      </w:r>
      <w:r w:rsidR="00A073A0" w:rsidRPr="00A85CB7">
        <w:rPr>
          <w:rFonts w:ascii="Palatino Linotype" w:hAnsi="Palatino Linotype"/>
          <w:i/>
          <w:color w:val="000000" w:themeColor="text1"/>
          <w:sz w:val="22"/>
        </w:rPr>
        <w:t>”</w:t>
      </w:r>
    </w:p>
    <w:p w14:paraId="1C5AB6B5" w14:textId="46B28510" w:rsidR="009F1566" w:rsidRPr="009F1566" w:rsidRDefault="009F1566" w:rsidP="00F96156">
      <w:pPr>
        <w:pStyle w:val="Ttulo2"/>
        <w:tabs>
          <w:tab w:val="left" w:pos="426"/>
        </w:tabs>
        <w:rPr>
          <w:rFonts w:ascii="Palatino Linotype" w:hAnsi="Palatino Linotype" w:cs="Arial"/>
          <w:b/>
          <w:color w:val="FF0000"/>
          <w:sz w:val="24"/>
        </w:rPr>
      </w:pPr>
    </w:p>
    <w:p w14:paraId="5CEC2F48" w14:textId="072A0162" w:rsidR="00EF014A" w:rsidRPr="00A85CB7" w:rsidRDefault="00094B41" w:rsidP="00F96156">
      <w:pPr>
        <w:pStyle w:val="Ttulo2"/>
        <w:tabs>
          <w:tab w:val="left" w:pos="426"/>
        </w:tabs>
        <w:rPr>
          <w:rFonts w:ascii="Palatino Linotype" w:hAnsi="Palatino Linotype" w:cs="Arial"/>
          <w:b/>
          <w:color w:val="000000" w:themeColor="text1"/>
          <w:sz w:val="24"/>
        </w:rPr>
      </w:pPr>
      <w:bookmarkStart w:id="24" w:name="_Toc88071781"/>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24"/>
    </w:p>
    <w:p w14:paraId="6E979250" w14:textId="2A34D6B5" w:rsidR="00A55D2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5" w:name="_Toc466371865"/>
      <w:bookmarkStart w:id="26" w:name="_Toc466377653"/>
      <w:bookmarkEnd w:id="19"/>
      <w:bookmarkEnd w:id="20"/>
      <w:bookmarkEnd w:id="21"/>
      <w:bookmarkEnd w:id="22"/>
      <w:bookmarkEnd w:id="23"/>
    </w:p>
    <w:p w14:paraId="58225AEF" w14:textId="72709795" w:rsidR="00167813" w:rsidRPr="00167813"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7" w:name="_Toc88071782"/>
      <w:r>
        <w:rPr>
          <w:rFonts w:ascii="Palatino Linotype" w:hAnsi="Palatino Linotype"/>
          <w:b/>
          <w:color w:val="000000" w:themeColor="text1"/>
        </w:rPr>
        <w:t xml:space="preserve">I. </w:t>
      </w:r>
      <w:r w:rsidR="008C33F9">
        <w:rPr>
          <w:rFonts w:ascii="Palatino Linotype" w:hAnsi="Palatino Linotype"/>
          <w:b/>
          <w:color w:val="000000" w:themeColor="text1"/>
        </w:rPr>
        <w:t>Del deber de las autoridades de promover, respetar, proteger y garantizar el derecho de acceso a la información pública</w:t>
      </w:r>
      <w:r w:rsidR="00167813">
        <w:rPr>
          <w:rFonts w:ascii="Palatino Linotype" w:hAnsi="Palatino Linotype"/>
          <w:b/>
          <w:color w:val="000000" w:themeColor="text1"/>
        </w:rPr>
        <w:t>.</w:t>
      </w:r>
      <w:bookmarkEnd w:id="27"/>
    </w:p>
    <w:p w14:paraId="126843DA"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Es elemental </w:t>
      </w:r>
      <w:r w:rsidRPr="008C33F9">
        <w:rPr>
          <w:rFonts w:ascii="Palatino Linotype" w:hAnsi="Palatino Linotype"/>
          <w:lang w:val="es-ES_tradnl"/>
        </w:rPr>
        <w:t>precisar</w:t>
      </w:r>
      <w:r w:rsidRPr="008C33F9">
        <w:rPr>
          <w:rFonts w:ascii="Palatino Linotype" w:hAnsi="Palatino Linotype"/>
          <w:bCs/>
        </w:rPr>
        <w:t xml:space="preserve"> que </w:t>
      </w:r>
      <w:r w:rsidRPr="008C33F9">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8C33F9">
        <w:rPr>
          <w:rFonts w:ascii="Palatino Linotype" w:hAnsi="Palatino Linotype"/>
          <w:b/>
          <w:bCs/>
          <w:lang w:val="es-ES_tradnl"/>
        </w:rPr>
        <w:t>SUJETO OBLIGADO</w:t>
      </w:r>
      <w:r w:rsidRPr="008C33F9">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C33F9">
        <w:rPr>
          <w:rFonts w:ascii="Palatino Linotype" w:hAnsi="Palatino Linotype"/>
          <w:b/>
          <w:bCs/>
          <w:lang w:val="es-ES_tradnl"/>
        </w:rPr>
        <w:t xml:space="preserve">Constitución Política </w:t>
      </w:r>
      <w:r w:rsidRPr="008C33F9">
        <w:rPr>
          <w:rFonts w:ascii="Palatino Linotype" w:hAnsi="Palatino Linotype"/>
          <w:b/>
          <w:bCs/>
          <w:lang w:val="es-ES_tradnl"/>
        </w:rPr>
        <w:lastRenderedPageBreak/>
        <w:t xml:space="preserve">de los Estados Unidos Mexicanos </w:t>
      </w:r>
      <w:r w:rsidRPr="008C33F9">
        <w:rPr>
          <w:rFonts w:ascii="Palatino Linotype" w:hAnsi="Palatino Linotype"/>
          <w:bCs/>
          <w:lang w:val="es-ES_tradnl"/>
        </w:rPr>
        <w:t xml:space="preserve">al señalar la obligación de “promover, </w:t>
      </w:r>
      <w:r w:rsidRPr="008C33F9">
        <w:rPr>
          <w:rFonts w:ascii="Palatino Linotype" w:hAnsi="Palatino Linotype"/>
          <w:b/>
          <w:bCs/>
          <w:lang w:val="es-ES_tradnl"/>
        </w:rPr>
        <w:t>respetar</w:t>
      </w:r>
      <w:r w:rsidRPr="008C33F9">
        <w:rPr>
          <w:rFonts w:ascii="Palatino Linotype" w:hAnsi="Palatino Linotype"/>
          <w:bCs/>
          <w:lang w:val="es-ES_tradnl"/>
        </w:rPr>
        <w:t xml:space="preserve">, proteger y </w:t>
      </w:r>
      <w:r w:rsidRPr="008C33F9">
        <w:rPr>
          <w:rFonts w:ascii="Palatino Linotype" w:hAnsi="Palatino Linotype"/>
          <w:b/>
          <w:bCs/>
          <w:lang w:val="es-ES_tradnl"/>
        </w:rPr>
        <w:t>garantizar</w:t>
      </w:r>
      <w:r w:rsidRPr="008C33F9">
        <w:rPr>
          <w:rFonts w:ascii="Palatino Linotype" w:hAnsi="Palatino Linotype"/>
          <w:bCs/>
          <w:lang w:val="es-ES_tradnl"/>
        </w:rPr>
        <w:t xml:space="preserve"> los derechos humanos”, entre los cuales se encuentra dicho derecho.</w:t>
      </w:r>
    </w:p>
    <w:p w14:paraId="1F31B48B"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Por </w:t>
      </w:r>
      <w:r>
        <w:rPr>
          <w:rFonts w:ascii="Palatino Linotype" w:hAnsi="Palatino Linotype"/>
          <w:color w:val="000000" w:themeColor="text1"/>
        </w:rPr>
        <w:t>ende</w:t>
      </w:r>
      <w:r w:rsidRPr="00DA2D95">
        <w:rPr>
          <w:rFonts w:ascii="Palatino Linotype" w:hAnsi="Palatino Linotype"/>
          <w:color w:val="000000" w:themeColor="text1"/>
        </w:rPr>
        <w:t>,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Así las cosas, </w:t>
      </w:r>
      <w:r w:rsidRPr="00DA2D95">
        <w:rPr>
          <w:rFonts w:ascii="Palatino Linotype" w:hAnsi="Palatino Linotype"/>
          <w:color w:val="000000" w:themeColor="text1"/>
        </w:rPr>
        <w:t xml:space="preserve">podemos definir el Derecho de Acceso a la Información Pública como: </w:t>
      </w:r>
      <w:r w:rsidRPr="00DA2D95">
        <w:rPr>
          <w:rFonts w:ascii="Palatino Linotype" w:hAnsi="Palatino Linotype"/>
          <w:i/>
          <w:color w:val="000000" w:themeColor="text1"/>
        </w:rPr>
        <w:t>La igualdad de oportunidades para recibir, buscar e impartir información</w:t>
      </w:r>
      <w:r w:rsidRPr="00DA2D95">
        <w:rPr>
          <w:rFonts w:ascii="Palatino Linotype" w:hAnsi="Palatino Linotype"/>
          <w:i/>
          <w:color w:val="000000" w:themeColor="text1"/>
          <w:vertAlign w:val="superscript"/>
        </w:rPr>
        <w:footnoteReference w:id="2"/>
      </w:r>
      <w:r w:rsidRPr="00DA2D9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rPr>
        <w:footnoteReference w:id="3"/>
      </w:r>
      <w:r w:rsidRPr="00DA2D95">
        <w:rPr>
          <w:rFonts w:ascii="Palatino Linotype" w:hAnsi="Palatino Linotype"/>
          <w:color w:val="000000" w:themeColor="text1"/>
        </w:rPr>
        <w:t>que se constituye como una herramienta fundamental para ejercer</w:t>
      </w:r>
      <w:r w:rsidRPr="00DA2D9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DA2D95">
        <w:rPr>
          <w:rFonts w:ascii="Palatino Linotype" w:hAnsi="Palatino Linotype"/>
          <w:i/>
          <w:color w:val="000000" w:themeColor="text1"/>
          <w:vertAlign w:val="superscript"/>
        </w:rPr>
        <w:footnoteReference w:id="4"/>
      </w:r>
      <w:r w:rsidRPr="00DA2D95">
        <w:rPr>
          <w:rFonts w:ascii="Palatino Linotype" w:hAnsi="Palatino Linotype"/>
          <w:i/>
          <w:color w:val="000000" w:themeColor="text1"/>
        </w:rPr>
        <w:t xml:space="preserve"> </w:t>
      </w:r>
      <w:r w:rsidRPr="00DA2D95">
        <w:rPr>
          <w:rFonts w:ascii="Palatino Linotype" w:hAnsi="Palatino Linotype"/>
          <w:color w:val="000000" w:themeColor="text1"/>
        </w:rPr>
        <w:t>fomentando</w:t>
      </w:r>
      <w:r w:rsidRPr="00DA2D95">
        <w:rPr>
          <w:rFonts w:ascii="Palatino Linotype" w:hAnsi="Palatino Linotype"/>
          <w:i/>
          <w:color w:val="000000" w:themeColor="text1"/>
        </w:rPr>
        <w:t xml:space="preserve"> la transparencia de las actividades estatales y </w:t>
      </w:r>
      <w:r w:rsidRPr="00DA2D95">
        <w:rPr>
          <w:rFonts w:ascii="Palatino Linotype" w:hAnsi="Palatino Linotype"/>
          <w:color w:val="000000" w:themeColor="text1"/>
        </w:rPr>
        <w:t>promoviendo</w:t>
      </w:r>
      <w:r w:rsidRPr="00DA2D95">
        <w:rPr>
          <w:rFonts w:ascii="Palatino Linotype" w:hAnsi="Palatino Linotype"/>
          <w:i/>
          <w:color w:val="000000" w:themeColor="text1"/>
        </w:rPr>
        <w:t xml:space="preserve"> la responsabilidad de los funcionarios sobre su gestión </w:t>
      </w:r>
      <w:r w:rsidRPr="00DA2D95">
        <w:rPr>
          <w:rFonts w:ascii="Palatino Linotype" w:hAnsi="Palatino Linotype"/>
          <w:i/>
          <w:color w:val="000000" w:themeColor="text1"/>
        </w:rPr>
        <w:lastRenderedPageBreak/>
        <w:t>pública,</w:t>
      </w:r>
      <w:r w:rsidRPr="00DA2D95">
        <w:rPr>
          <w:rFonts w:ascii="Palatino Linotype" w:hAnsi="Palatino Linotype"/>
          <w:i/>
          <w:color w:val="000000" w:themeColor="text1"/>
          <w:vertAlign w:val="superscript"/>
        </w:rPr>
        <w:footnoteReference w:id="5"/>
      </w:r>
      <w:r w:rsidRPr="00DA2D95">
        <w:rPr>
          <w:rFonts w:ascii="Palatino Linotype" w:hAnsi="Palatino Linotype"/>
          <w:color w:val="000000" w:themeColor="text1"/>
        </w:rPr>
        <w:t>que permite</w:t>
      </w:r>
      <w:r w:rsidRPr="00DA2D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Por </w:t>
      </w:r>
      <w:r>
        <w:rPr>
          <w:rFonts w:ascii="Palatino Linotype" w:hAnsi="Palatino Linotype"/>
          <w:color w:val="000000" w:themeColor="text1"/>
        </w:rPr>
        <w:t xml:space="preserve">otro lado, </w:t>
      </w:r>
      <w:r w:rsidRPr="0055159A">
        <w:rPr>
          <w:rFonts w:ascii="Palatino Linotype" w:hAnsi="Palatino Linotype"/>
          <w:color w:val="000000" w:themeColor="text1"/>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Pr>
          <w:rFonts w:ascii="Palatino Linotype" w:hAnsi="Palatino Linotype"/>
          <w:color w:val="000000" w:themeColor="text1"/>
        </w:rPr>
        <w:t>,</w:t>
      </w:r>
      <w:r w:rsidRPr="0055159A">
        <w:rPr>
          <w:rFonts w:ascii="Palatino Linotype" w:hAnsi="Palatino Linotype"/>
          <w:color w:val="000000" w:themeColor="text1"/>
        </w:rPr>
        <w:t xml:space="preserve"> establece que </w:t>
      </w:r>
      <w:r w:rsidRPr="00E02DA3">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55159A">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6AA671E" w14:textId="77777777" w:rsidR="001C7733"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6F90DDED" w14:textId="20E3D122" w:rsidR="001C7733" w:rsidRPr="001C7733" w:rsidRDefault="001C7733" w:rsidP="001C7733">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8" w:name="_Toc88071783"/>
      <w:r>
        <w:rPr>
          <w:rFonts w:ascii="Palatino Linotype" w:hAnsi="Palatino Linotype"/>
          <w:b/>
          <w:color w:val="000000" w:themeColor="text1"/>
        </w:rPr>
        <w:t>II. De los alcances del derecho de acceso a la información.</w:t>
      </w:r>
      <w:bookmarkEnd w:id="28"/>
    </w:p>
    <w:p w14:paraId="239ECFB3" w14:textId="77777777" w:rsidR="001C7733"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3A4921CC" w14:textId="157D02AA" w:rsidR="001C7733" w:rsidRPr="001C7733" w:rsidRDefault="001C7733"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Previo </w:t>
      </w:r>
      <w:r>
        <w:rPr>
          <w:rFonts w:ascii="Palatino Linotype" w:hAnsi="Palatino Linotype"/>
        </w:rPr>
        <w:t xml:space="preserve">a iniciar el </w:t>
      </w:r>
      <w:r w:rsidR="0010409E">
        <w:rPr>
          <w:rFonts w:ascii="Palatino Linotype" w:hAnsi="Palatino Linotype"/>
        </w:rPr>
        <w:t xml:space="preserve">análisis de legalidad de la respuesta del </w:t>
      </w:r>
      <w:r w:rsidR="0010409E">
        <w:rPr>
          <w:rFonts w:ascii="Palatino Linotype" w:hAnsi="Palatino Linotype"/>
          <w:b/>
        </w:rPr>
        <w:t>SUJETO OBLIGADO</w:t>
      </w:r>
      <w:r w:rsidR="0010409E">
        <w:rPr>
          <w:rFonts w:ascii="Palatino Linotype" w:hAnsi="Palatino Linotype"/>
        </w:rPr>
        <w:t xml:space="preserve"> para atender las solicitudes </w:t>
      </w:r>
      <w:r w:rsidR="0010409E">
        <w:rPr>
          <w:rFonts w:ascii="Palatino Linotype" w:hAnsi="Palatino Linotype"/>
          <w:b/>
        </w:rPr>
        <w:t xml:space="preserve">00226/CAMEM/IP/2021 </w:t>
      </w:r>
      <w:r w:rsidR="0010409E">
        <w:rPr>
          <w:rFonts w:ascii="Palatino Linotype" w:hAnsi="Palatino Linotype"/>
        </w:rPr>
        <w:t xml:space="preserve">y </w:t>
      </w:r>
      <w:r w:rsidR="0010409E">
        <w:rPr>
          <w:rFonts w:ascii="Palatino Linotype" w:hAnsi="Palatino Linotype"/>
          <w:b/>
        </w:rPr>
        <w:t>00227/CAMEM/IP/2021</w:t>
      </w:r>
      <w:r w:rsidR="0010409E">
        <w:rPr>
          <w:rFonts w:ascii="Palatino Linotype" w:hAnsi="Palatino Linotype"/>
        </w:rPr>
        <w:t xml:space="preserve">, y así determinar si colmó o no el derecho de acceso a la información ejercido por el hoy </w:t>
      </w:r>
      <w:r w:rsidR="0010409E">
        <w:rPr>
          <w:rFonts w:ascii="Palatino Linotype" w:hAnsi="Palatino Linotype"/>
          <w:b/>
        </w:rPr>
        <w:t>RECURRENTE</w:t>
      </w:r>
      <w:r>
        <w:rPr>
          <w:rFonts w:ascii="Palatino Linotype" w:hAnsi="Palatino Linotype"/>
        </w:rPr>
        <w:t xml:space="preserve">, </w:t>
      </w:r>
      <w:r w:rsidRPr="0077277D">
        <w:rPr>
          <w:rFonts w:ascii="Palatino Linotype" w:hAnsi="Palatino Linotype"/>
          <w:color w:val="000000" w:themeColor="text1"/>
          <w:lang w:val="es-ES_tradnl"/>
        </w:rPr>
        <w:t xml:space="preserve">se considera importante citar el Criterio </w:t>
      </w:r>
      <w:r w:rsidRPr="0077277D">
        <w:rPr>
          <w:rFonts w:ascii="Palatino Linotype" w:hAnsi="Palatino Linotype"/>
          <w:bCs/>
          <w:color w:val="000000" w:themeColor="text1"/>
        </w:rPr>
        <w:t xml:space="preserve">de Interpretación en el orden administrativo número 0002-11, emitido por </w:t>
      </w:r>
      <w:r w:rsidRPr="0077277D">
        <w:rPr>
          <w:rFonts w:ascii="Palatino Linotype" w:hAnsi="Palatino Linotype"/>
          <w:bCs/>
          <w:color w:val="000000" w:themeColor="text1"/>
        </w:rPr>
        <w:lastRenderedPageBreak/>
        <w:t>Acuerdo del Pleno de este Instituto de Transparencia y Acceso a la Información Pública del Estado de México y Municipios, publicado en el Periódico Oficial del Gobierno del Estado Libre y Soberano de México “Gaceta del Gobierno” el diecinueve</w:t>
      </w:r>
      <w:r>
        <w:rPr>
          <w:rFonts w:ascii="Palatino Linotype" w:hAnsi="Palatino Linotype"/>
          <w:bCs/>
          <w:color w:val="000000" w:themeColor="text1"/>
        </w:rPr>
        <w:t xml:space="preserve"> (19)</w:t>
      </w:r>
      <w:r w:rsidRPr="0077277D">
        <w:rPr>
          <w:rFonts w:ascii="Palatino Linotype" w:hAnsi="Palatino Linotype"/>
          <w:bCs/>
          <w:color w:val="000000" w:themeColor="text1"/>
        </w:rPr>
        <w:t xml:space="preserve"> de octubre de dos mil once, </w:t>
      </w:r>
      <w:r w:rsidRPr="0077277D">
        <w:rPr>
          <w:rFonts w:ascii="Palatino Linotype" w:hAnsi="Palatino Linotype"/>
          <w:color w:val="000000" w:themeColor="text1"/>
          <w:lang w:val="es-ES_tradnl"/>
        </w:rPr>
        <w:t>cuyo rubro y texto dispone:</w:t>
      </w:r>
    </w:p>
    <w:p w14:paraId="2242B7E7" w14:textId="77777777" w:rsidR="001C7733"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4903466B" w14:textId="77777777" w:rsidR="0010409E" w:rsidRPr="00CF20E6" w:rsidRDefault="0010409E" w:rsidP="0010409E">
      <w:pPr>
        <w:autoSpaceDE w:val="0"/>
        <w:autoSpaceDN w:val="0"/>
        <w:adjustRightInd w:val="0"/>
        <w:spacing w:line="276" w:lineRule="auto"/>
        <w:ind w:left="567" w:right="567"/>
        <w:jc w:val="both"/>
        <w:rPr>
          <w:rFonts w:ascii="Palatino Linotype" w:hAnsi="Palatino Linotype" w:cs="Arial"/>
          <w:i/>
          <w:sz w:val="22"/>
          <w:szCs w:val="22"/>
          <w:lang w:eastAsia="es-MX"/>
        </w:rPr>
      </w:pPr>
      <w:r w:rsidRPr="00CF20E6">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CF20E6">
        <w:rPr>
          <w:rFonts w:ascii="Palatino Linotype" w:hAnsi="Palatino Linotype" w:cs="Arial"/>
          <w:b/>
          <w:bCs/>
          <w:i/>
          <w:sz w:val="22"/>
          <w:szCs w:val="22"/>
          <w:lang w:eastAsia="es-MX"/>
        </w:rPr>
        <w:t xml:space="preserve">V, XV, Y XVI, </w:t>
      </w:r>
      <w:r w:rsidRPr="00CF20E6">
        <w:rPr>
          <w:rFonts w:ascii="Palatino Linotype" w:hAnsi="Palatino Linotype" w:cs="Arial"/>
          <w:b/>
          <w:i/>
          <w:sz w:val="22"/>
          <w:szCs w:val="22"/>
          <w:lang w:eastAsia="es-MX"/>
        </w:rPr>
        <w:t>3, 4,11 Y 41.</w:t>
      </w:r>
      <w:r w:rsidRPr="00CF20E6">
        <w:rPr>
          <w:rFonts w:ascii="Palatino Linotype" w:hAnsi="Palatino Linotype" w:cs="Arial"/>
          <w:i/>
          <w:sz w:val="22"/>
          <w:szCs w:val="22"/>
          <w:lang w:eastAsia="es-MX"/>
        </w:rPr>
        <w:t xml:space="preserve"> </w:t>
      </w:r>
      <w:r>
        <w:rPr>
          <w:rFonts w:ascii="Palatino Linotype" w:hAnsi="Palatino Linotype" w:cs="Arial"/>
          <w:i/>
          <w:sz w:val="22"/>
          <w:szCs w:val="22"/>
          <w:lang w:eastAsia="es-MX"/>
        </w:rPr>
        <w:t>“</w:t>
      </w:r>
      <w:r w:rsidRPr="00CF20E6">
        <w:rPr>
          <w:rFonts w:ascii="Palatino Linotype" w:hAnsi="Palatino Linotype" w:cs="Arial"/>
          <w:i/>
          <w:sz w:val="22"/>
          <w:szCs w:val="22"/>
          <w:lang w:eastAsia="es-MX"/>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DB152A9" w14:textId="77777777" w:rsidR="0010409E" w:rsidRPr="00CF20E6" w:rsidRDefault="0010409E" w:rsidP="0010409E">
      <w:pPr>
        <w:autoSpaceDE w:val="0"/>
        <w:autoSpaceDN w:val="0"/>
        <w:adjustRightInd w:val="0"/>
        <w:spacing w:line="276" w:lineRule="auto"/>
        <w:ind w:left="567" w:right="567"/>
        <w:jc w:val="both"/>
        <w:rPr>
          <w:rFonts w:ascii="Palatino Linotype" w:hAnsi="Palatino Linotype" w:cs="Arial"/>
          <w:i/>
          <w:sz w:val="22"/>
          <w:szCs w:val="22"/>
          <w:lang w:eastAsia="es-MX"/>
        </w:rPr>
      </w:pPr>
      <w:r w:rsidRPr="00CF20E6">
        <w:rPr>
          <w:rFonts w:ascii="Palatino Linotype" w:hAnsi="Palatino Linotype" w:cs="Arial"/>
          <w:i/>
          <w:sz w:val="22"/>
          <w:szCs w:val="22"/>
          <w:lang w:eastAsia="es-MX"/>
        </w:rPr>
        <w:t>En consecuencia el acceso a la información se refiere a que se cumplan cualquiera de los siguientes tres supuestos:</w:t>
      </w:r>
    </w:p>
    <w:p w14:paraId="36BCE46D" w14:textId="77777777" w:rsidR="0010409E" w:rsidRPr="00CF20E6" w:rsidRDefault="0010409E" w:rsidP="0010409E">
      <w:pPr>
        <w:autoSpaceDE w:val="0"/>
        <w:autoSpaceDN w:val="0"/>
        <w:adjustRightInd w:val="0"/>
        <w:spacing w:line="276" w:lineRule="auto"/>
        <w:ind w:left="567" w:right="567"/>
        <w:jc w:val="both"/>
        <w:rPr>
          <w:rFonts w:ascii="Palatino Linotype" w:hAnsi="Palatino Linotype" w:cs="Arial"/>
          <w:i/>
          <w:sz w:val="22"/>
          <w:szCs w:val="22"/>
          <w:lang w:eastAsia="es-MX"/>
        </w:rPr>
      </w:pPr>
      <w:r w:rsidRPr="00CF20E6">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07940AEF" w14:textId="77777777" w:rsidR="0010409E" w:rsidRDefault="0010409E" w:rsidP="0010409E">
      <w:pPr>
        <w:autoSpaceDE w:val="0"/>
        <w:autoSpaceDN w:val="0"/>
        <w:adjustRightInd w:val="0"/>
        <w:spacing w:line="276" w:lineRule="auto"/>
        <w:ind w:left="567" w:right="567"/>
        <w:jc w:val="both"/>
        <w:rPr>
          <w:rFonts w:ascii="Palatino Linotype" w:hAnsi="Palatino Linotype" w:cs="Arial"/>
          <w:i/>
          <w:sz w:val="22"/>
          <w:szCs w:val="22"/>
          <w:lang w:eastAsia="es-MX"/>
        </w:rPr>
      </w:pPr>
      <w:r w:rsidRPr="00CF20E6">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574246D" w14:textId="77777777" w:rsidR="0010409E" w:rsidRDefault="0010409E" w:rsidP="0010409E">
      <w:pPr>
        <w:autoSpaceDE w:val="0"/>
        <w:autoSpaceDN w:val="0"/>
        <w:adjustRightInd w:val="0"/>
        <w:spacing w:line="276" w:lineRule="auto"/>
        <w:ind w:left="567" w:right="567"/>
        <w:jc w:val="both"/>
        <w:rPr>
          <w:rFonts w:ascii="Palatino Linotype" w:hAnsi="Palatino Linotype" w:cs="Arial"/>
        </w:rPr>
      </w:pPr>
      <w:r w:rsidRPr="00CF20E6">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4AC414A6" w14:textId="77777777" w:rsidR="0010409E" w:rsidRDefault="0010409E"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48624953" w14:textId="1BB838F5" w:rsidR="001C7733" w:rsidRDefault="0010409E"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CF20E6">
        <w:rPr>
          <w:rFonts w:ascii="Palatino Linotype" w:hAnsi="Palatino Linotype"/>
          <w:lang w:val="es-ES"/>
        </w:rPr>
        <w:t>derecho de acceso a la información encuentra su materia elemental en los documentos, y la Ley de Transparencia local nos brinda el siguiente concepto</w:t>
      </w:r>
      <w:r>
        <w:rPr>
          <w:rStyle w:val="Refdenotaalpie"/>
          <w:rFonts w:ascii="Palatino Linotype" w:hAnsi="Palatino Linotype"/>
          <w:lang w:val="es-ES"/>
        </w:rPr>
        <w:footnoteReference w:id="6"/>
      </w:r>
      <w:r w:rsidRPr="00CF20E6">
        <w:rPr>
          <w:rFonts w:ascii="Palatino Linotype" w:hAnsi="Palatino Linotype"/>
          <w:lang w:val="es-ES"/>
        </w:rPr>
        <w:t>, para darnos un mejor panorama:</w:t>
      </w:r>
    </w:p>
    <w:p w14:paraId="7495CFC3" w14:textId="77777777" w:rsidR="001C7733"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1C7BD0FB" w14:textId="77777777" w:rsidR="0010409E" w:rsidRDefault="0010409E" w:rsidP="0010409E">
      <w:pPr>
        <w:autoSpaceDE w:val="0"/>
        <w:autoSpaceDN w:val="0"/>
        <w:adjustRightInd w:val="0"/>
        <w:spacing w:line="276" w:lineRule="auto"/>
        <w:ind w:left="567" w:right="567"/>
        <w:jc w:val="both"/>
        <w:rPr>
          <w:rFonts w:ascii="Palatino Linotype" w:eastAsiaTheme="minorHAnsi" w:hAnsi="Palatino Linotype" w:cs="Bookman Old Style"/>
          <w:sz w:val="22"/>
          <w:szCs w:val="20"/>
          <w:lang w:eastAsia="en-US"/>
        </w:rPr>
      </w:pPr>
      <w:r>
        <w:rPr>
          <w:rFonts w:ascii="Palatino Linotype" w:eastAsiaTheme="minorHAnsi" w:hAnsi="Palatino Linotype" w:cs="Bookman Old Style,Bold"/>
          <w:b/>
          <w:bCs/>
          <w:i/>
          <w:sz w:val="22"/>
          <w:szCs w:val="20"/>
          <w:lang w:eastAsia="en-US"/>
        </w:rPr>
        <w:t>“</w:t>
      </w:r>
      <w:r w:rsidRPr="00CF20E6">
        <w:rPr>
          <w:rFonts w:ascii="Palatino Linotype" w:eastAsiaTheme="minorHAnsi" w:hAnsi="Palatino Linotype" w:cs="Bookman Old Style,Bold"/>
          <w:b/>
          <w:bCs/>
          <w:i/>
          <w:sz w:val="22"/>
          <w:szCs w:val="20"/>
          <w:lang w:eastAsia="en-US"/>
        </w:rPr>
        <w:t xml:space="preserve">XI. Documento: </w:t>
      </w:r>
      <w:r w:rsidRPr="009B1F7B">
        <w:rPr>
          <w:rFonts w:ascii="Palatino Linotype" w:eastAsiaTheme="minorHAnsi" w:hAnsi="Palatino Linotype" w:cs="Bookman Old Style"/>
          <w:bCs/>
          <w:i/>
          <w:sz w:val="22"/>
          <w:szCs w:val="20"/>
          <w:lang w:eastAsia="en-US"/>
        </w:rPr>
        <w:t>Los</w:t>
      </w:r>
      <w:r w:rsidRPr="00CF20E6">
        <w:rPr>
          <w:rFonts w:ascii="Palatino Linotype" w:eastAsiaTheme="minorHAnsi" w:hAnsi="Palatino Linotype" w:cs="Bookman Old Style"/>
          <w:i/>
          <w:sz w:val="22"/>
          <w:szCs w:val="20"/>
          <w:lang w:eastAsia="en-US"/>
        </w:rPr>
        <w:t xml:space="preserve"> expedientes, reportes, estudios, actas, resoluciones, oficios, correspondencia, acuerdos, directivas, directrices, circulares, </w:t>
      </w:r>
      <w:r w:rsidRPr="005E76A0">
        <w:rPr>
          <w:rFonts w:ascii="Palatino Linotype" w:eastAsiaTheme="minorHAnsi" w:hAnsi="Palatino Linotype" w:cs="Bookman Old Style"/>
          <w:b/>
          <w:i/>
          <w:sz w:val="22"/>
          <w:szCs w:val="20"/>
          <w:lang w:eastAsia="en-US"/>
        </w:rPr>
        <w:t>contratos</w:t>
      </w:r>
      <w:r w:rsidRPr="00CF20E6">
        <w:rPr>
          <w:rFonts w:ascii="Palatino Linotype" w:eastAsiaTheme="minorHAnsi" w:hAnsi="Palatino Linotype" w:cs="Bookman Old Style"/>
          <w:i/>
          <w:sz w:val="22"/>
          <w:szCs w:val="20"/>
          <w:lang w:eastAsia="en-US"/>
        </w:rPr>
        <w:t xml:space="preserve">, </w:t>
      </w:r>
      <w:r w:rsidRPr="005E76A0">
        <w:rPr>
          <w:rFonts w:ascii="Palatino Linotype" w:eastAsiaTheme="minorHAnsi" w:hAnsi="Palatino Linotype" w:cs="Bookman Old Style"/>
          <w:b/>
          <w:i/>
          <w:sz w:val="22"/>
          <w:szCs w:val="20"/>
          <w:lang w:eastAsia="en-US"/>
        </w:rPr>
        <w:t>convenios</w:t>
      </w:r>
      <w:r w:rsidRPr="00CF20E6">
        <w:rPr>
          <w:rFonts w:ascii="Palatino Linotype" w:eastAsiaTheme="minorHAnsi" w:hAnsi="Palatino Linotype" w:cs="Bookman Old Style"/>
          <w:i/>
          <w:sz w:val="22"/>
          <w:szCs w:val="20"/>
          <w:lang w:eastAsia="en-US"/>
        </w:rPr>
        <w:t xml:space="preserve">, instructivos, notas, memorandos, estadísticas o bien, </w:t>
      </w:r>
      <w:r w:rsidRPr="00CF20E6">
        <w:rPr>
          <w:rFonts w:ascii="Palatino Linotype" w:eastAsiaTheme="minorHAnsi" w:hAnsi="Palatino Linotype" w:cs="Bookman Old Style"/>
          <w:b/>
          <w:i/>
          <w:sz w:val="22"/>
          <w:szCs w:val="20"/>
          <w:lang w:eastAsia="en-US"/>
        </w:rPr>
        <w:t xml:space="preserve">cualquier </w:t>
      </w:r>
      <w:r w:rsidRPr="005E76A0">
        <w:rPr>
          <w:rFonts w:ascii="Palatino Linotype" w:eastAsiaTheme="minorHAnsi" w:hAnsi="Palatino Linotype" w:cs="Bookman Old Style"/>
          <w:i/>
          <w:sz w:val="22"/>
          <w:szCs w:val="20"/>
          <w:lang w:eastAsia="en-US"/>
        </w:rPr>
        <w:t>otro</w:t>
      </w:r>
      <w:r w:rsidRPr="00CF20E6">
        <w:rPr>
          <w:rFonts w:ascii="Palatino Linotype" w:eastAsiaTheme="minorHAnsi" w:hAnsi="Palatino Linotype" w:cs="Bookman Old Style"/>
          <w:b/>
          <w:i/>
          <w:sz w:val="22"/>
          <w:szCs w:val="20"/>
          <w:lang w:eastAsia="en-US"/>
        </w:rPr>
        <w:t xml:space="preserve"> </w:t>
      </w:r>
      <w:r w:rsidRPr="005E76A0">
        <w:rPr>
          <w:rFonts w:ascii="Palatino Linotype" w:eastAsiaTheme="minorHAnsi" w:hAnsi="Palatino Linotype" w:cs="Bookman Old Style"/>
          <w:b/>
          <w:i/>
          <w:sz w:val="22"/>
          <w:szCs w:val="20"/>
          <w:lang w:eastAsia="en-US"/>
        </w:rPr>
        <w:t>registro que documente el ejercicio de las facultades, funciones y competencias de los sujetos obligados</w:t>
      </w:r>
      <w:r w:rsidRPr="00CF20E6">
        <w:rPr>
          <w:rFonts w:ascii="Palatino Linotype" w:eastAsiaTheme="minorHAnsi" w:hAnsi="Palatino Linotype" w:cs="Bookman Old Style"/>
          <w:i/>
          <w:sz w:val="22"/>
          <w:szCs w:val="20"/>
          <w:lang w:eastAsia="en-US"/>
        </w:rPr>
        <w:t>, sus servidores públicos e integrantes, sin importar su fuente o fecha de elaboración. Los documentos podrán estar en cualquier medio, sea escrito, impreso,  sonoro, visual, electrónico, informático u holográfico;</w:t>
      </w:r>
      <w:r>
        <w:rPr>
          <w:rFonts w:ascii="Palatino Linotype" w:eastAsiaTheme="minorHAnsi" w:hAnsi="Palatino Linotype" w:cs="Bookman Old Style"/>
          <w:i/>
          <w:sz w:val="22"/>
          <w:szCs w:val="20"/>
          <w:lang w:eastAsia="en-US"/>
        </w:rPr>
        <w:t>”</w:t>
      </w:r>
    </w:p>
    <w:p w14:paraId="550CF231" w14:textId="77777777" w:rsidR="0010409E" w:rsidRPr="005E76A0" w:rsidRDefault="0010409E" w:rsidP="0010409E">
      <w:pPr>
        <w:autoSpaceDE w:val="0"/>
        <w:autoSpaceDN w:val="0"/>
        <w:adjustRightInd w:val="0"/>
        <w:spacing w:line="276" w:lineRule="auto"/>
        <w:ind w:left="567" w:right="567"/>
        <w:jc w:val="both"/>
        <w:rPr>
          <w:rFonts w:ascii="Palatino Linotype" w:hAnsi="Palatino Linotype"/>
          <w:sz w:val="28"/>
          <w:lang w:val="es-ES"/>
        </w:rPr>
      </w:pPr>
      <w:r>
        <w:rPr>
          <w:rFonts w:ascii="Palatino Linotype" w:eastAsiaTheme="minorHAnsi" w:hAnsi="Palatino Linotype" w:cs="Bookman Old Style"/>
          <w:sz w:val="22"/>
          <w:szCs w:val="20"/>
          <w:lang w:eastAsia="en-US"/>
        </w:rPr>
        <w:t>(Énfasis añadido)</w:t>
      </w:r>
    </w:p>
    <w:p w14:paraId="27F19D89" w14:textId="77777777" w:rsidR="0010409E" w:rsidRDefault="0010409E"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2372A086" w14:textId="46E19F76" w:rsidR="001C7733" w:rsidRDefault="0010409E"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Correlativo a lo anterior, </w:t>
      </w:r>
      <w:r w:rsidRPr="00CF20E6">
        <w:rPr>
          <w:rFonts w:ascii="Palatino Linotype" w:eastAsia="Times New Roman" w:hAnsi="Palatino Linotype" w:cs="Arial"/>
          <w:color w:val="000000"/>
        </w:rPr>
        <w:t>debemos tomar en cuenta los artículos 4 y 12, de la Ley de Transparencia y Acceso a la Información Pública del Estado de México y Municipios, los cuales establecen lo siguiente:</w:t>
      </w:r>
    </w:p>
    <w:p w14:paraId="32506A8B" w14:textId="77777777" w:rsidR="001C7733"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2259FB49" w14:textId="77777777" w:rsidR="0010409E" w:rsidRPr="00CF20E6" w:rsidRDefault="0010409E" w:rsidP="0010409E">
      <w:pPr>
        <w:autoSpaceDE w:val="0"/>
        <w:autoSpaceDN w:val="0"/>
        <w:adjustRightInd w:val="0"/>
        <w:spacing w:line="276" w:lineRule="auto"/>
        <w:ind w:left="567" w:right="567"/>
        <w:jc w:val="both"/>
        <w:rPr>
          <w:rFonts w:ascii="Palatino Linotype" w:hAnsi="Palatino Linotype" w:cs="Bookman Old Style"/>
          <w:i/>
          <w:sz w:val="22"/>
          <w:szCs w:val="20"/>
        </w:rPr>
      </w:pPr>
      <w:r>
        <w:rPr>
          <w:rFonts w:ascii="Palatino Linotype" w:hAnsi="Palatino Linotype" w:cs="Bookman Old Style,Bold"/>
          <w:b/>
          <w:bCs/>
          <w:i/>
          <w:sz w:val="22"/>
          <w:szCs w:val="20"/>
        </w:rPr>
        <w:t>“</w:t>
      </w:r>
      <w:r w:rsidRPr="00CF20E6">
        <w:rPr>
          <w:rFonts w:ascii="Palatino Linotype" w:hAnsi="Palatino Linotype" w:cs="Bookman Old Style,Bold"/>
          <w:b/>
          <w:bCs/>
          <w:i/>
          <w:sz w:val="22"/>
          <w:szCs w:val="20"/>
        </w:rPr>
        <w:t xml:space="preserve">Artículo 4. </w:t>
      </w:r>
      <w:r w:rsidRPr="00CF20E6">
        <w:rPr>
          <w:rFonts w:ascii="Palatino Linotype" w:hAnsi="Palatino Linotype" w:cs="Bookman Old Style"/>
          <w:i/>
          <w:sz w:val="22"/>
          <w:szCs w:val="20"/>
        </w:rPr>
        <w:t>El derecho humano de acceso a la información pública es la prerrogativa de las personas para buscar, difundir, investigar, recabar, recibir y solicitar información pública, sin necesidad de acreditar personalidad ni interés jurídico.</w:t>
      </w:r>
    </w:p>
    <w:p w14:paraId="7109E161" w14:textId="77777777" w:rsidR="0010409E" w:rsidRPr="00CF20E6" w:rsidRDefault="0010409E" w:rsidP="0010409E">
      <w:pPr>
        <w:autoSpaceDE w:val="0"/>
        <w:autoSpaceDN w:val="0"/>
        <w:adjustRightInd w:val="0"/>
        <w:spacing w:line="276" w:lineRule="auto"/>
        <w:ind w:left="567" w:right="567"/>
        <w:jc w:val="both"/>
        <w:rPr>
          <w:rFonts w:ascii="Palatino Linotype" w:hAnsi="Palatino Linotype" w:cs="Bookman Old Style"/>
          <w:i/>
          <w:sz w:val="22"/>
          <w:szCs w:val="20"/>
        </w:rPr>
      </w:pPr>
      <w:r w:rsidRPr="008C6A24">
        <w:rPr>
          <w:rFonts w:ascii="Palatino Linotype" w:hAnsi="Palatino Linotype" w:cs="Bookman Old Style"/>
          <w:b/>
          <w:bCs/>
          <w:i/>
          <w:sz w:val="22"/>
          <w:szCs w:val="20"/>
        </w:rPr>
        <w:t>Toda la información generada, obtenida, adquirida, transformada, administrada o en posesión de los sujetos obligados es pública y accesible de manera permanente a cualquier persona</w:t>
      </w:r>
      <w:r w:rsidRPr="00CF20E6">
        <w:rPr>
          <w:rFonts w:ascii="Palatino Linotype" w:hAnsi="Palatino Linotype" w:cs="Bookman Old Style"/>
          <w:i/>
          <w:sz w:val="22"/>
          <w:szCs w:val="20"/>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318397B" w14:textId="77777777" w:rsidR="0010409E" w:rsidRPr="008C6A24" w:rsidRDefault="0010409E" w:rsidP="0010409E">
      <w:pPr>
        <w:autoSpaceDE w:val="0"/>
        <w:autoSpaceDN w:val="0"/>
        <w:adjustRightInd w:val="0"/>
        <w:spacing w:line="276" w:lineRule="auto"/>
        <w:ind w:left="567" w:right="567"/>
        <w:jc w:val="both"/>
        <w:rPr>
          <w:rFonts w:ascii="Palatino Linotype" w:hAnsi="Palatino Linotype" w:cs="Bookman Old Style"/>
          <w:b/>
          <w:bCs/>
          <w:i/>
          <w:sz w:val="22"/>
          <w:szCs w:val="20"/>
        </w:rPr>
      </w:pPr>
      <w:r w:rsidRPr="008C6A24">
        <w:rPr>
          <w:rFonts w:ascii="Palatino Linotype" w:hAnsi="Palatino Linotype" w:cs="Bookman Old Style"/>
          <w:b/>
          <w:bCs/>
          <w:i/>
          <w:sz w:val="22"/>
          <w:szCs w:val="20"/>
        </w:rPr>
        <w:lastRenderedPageBreak/>
        <w:t>Los sujetos obligados deben poner en práctica, políticas y programas de acceso a la información que se apeguen a criterios de publicidad, veracidad, oportunidad, precisión y suficiencia en beneficio de los solicitantes.</w:t>
      </w:r>
    </w:p>
    <w:p w14:paraId="7361E53E" w14:textId="77777777" w:rsidR="0010409E" w:rsidRPr="00CF20E6" w:rsidRDefault="0010409E" w:rsidP="0010409E">
      <w:pPr>
        <w:autoSpaceDE w:val="0"/>
        <w:autoSpaceDN w:val="0"/>
        <w:adjustRightInd w:val="0"/>
        <w:spacing w:line="276" w:lineRule="auto"/>
        <w:ind w:right="567"/>
        <w:jc w:val="both"/>
        <w:rPr>
          <w:rFonts w:ascii="Palatino Linotype" w:eastAsia="Times New Roman" w:hAnsi="Palatino Linotype" w:cs="Arial"/>
          <w:i/>
          <w:color w:val="000000"/>
          <w:sz w:val="28"/>
        </w:rPr>
      </w:pPr>
    </w:p>
    <w:p w14:paraId="0DA47942" w14:textId="77777777" w:rsidR="0010409E" w:rsidRPr="00CF20E6" w:rsidRDefault="0010409E" w:rsidP="0010409E">
      <w:pPr>
        <w:autoSpaceDE w:val="0"/>
        <w:autoSpaceDN w:val="0"/>
        <w:adjustRightInd w:val="0"/>
        <w:spacing w:line="276" w:lineRule="auto"/>
        <w:ind w:left="567" w:right="567"/>
        <w:jc w:val="both"/>
        <w:rPr>
          <w:rFonts w:ascii="Palatino Linotype" w:hAnsi="Palatino Linotype" w:cs="Bookman Old Style"/>
          <w:i/>
          <w:sz w:val="22"/>
          <w:szCs w:val="20"/>
        </w:rPr>
      </w:pPr>
      <w:r w:rsidRPr="00CF20E6">
        <w:rPr>
          <w:rFonts w:ascii="Palatino Linotype" w:hAnsi="Palatino Linotype" w:cs="Bookman Old Style,Bold"/>
          <w:b/>
          <w:bCs/>
          <w:i/>
          <w:sz w:val="22"/>
          <w:szCs w:val="20"/>
        </w:rPr>
        <w:t xml:space="preserve">Artículo 12. </w:t>
      </w:r>
      <w:r w:rsidRPr="008C6A24">
        <w:rPr>
          <w:rFonts w:ascii="Palatino Linotype" w:hAnsi="Palatino Linotype" w:cs="Bookman Old Style"/>
          <w:b/>
          <w:bCs/>
          <w:i/>
          <w:sz w:val="22"/>
          <w:szCs w:val="20"/>
        </w:rPr>
        <w:t>Quienes generen, recopilen, administren, manejen, procesen, archiven o conserven información pública serán responsables de la misma en los términos de las disposiciones jurídicas aplicables</w:t>
      </w:r>
      <w:r w:rsidRPr="00CF20E6">
        <w:rPr>
          <w:rFonts w:ascii="Palatino Linotype" w:hAnsi="Palatino Linotype" w:cs="Bookman Old Style"/>
          <w:i/>
          <w:sz w:val="22"/>
          <w:szCs w:val="20"/>
        </w:rPr>
        <w:t xml:space="preserve">. </w:t>
      </w:r>
    </w:p>
    <w:p w14:paraId="79CC84A8" w14:textId="77777777" w:rsidR="0010409E" w:rsidRDefault="0010409E" w:rsidP="0010409E">
      <w:pPr>
        <w:autoSpaceDE w:val="0"/>
        <w:autoSpaceDN w:val="0"/>
        <w:adjustRightInd w:val="0"/>
        <w:spacing w:line="276" w:lineRule="auto"/>
        <w:ind w:left="567" w:right="567"/>
        <w:jc w:val="both"/>
        <w:rPr>
          <w:rFonts w:ascii="Palatino Linotype" w:hAnsi="Palatino Linotype" w:cs="Bookman Old Style"/>
          <w:i/>
          <w:sz w:val="22"/>
          <w:szCs w:val="20"/>
        </w:rPr>
      </w:pPr>
      <w:r w:rsidRPr="00CF20E6">
        <w:rPr>
          <w:rFonts w:ascii="Palatino Linotype" w:hAnsi="Palatino Linotype" w:cs="Bookman Old Style"/>
          <w:i/>
          <w:sz w:val="22"/>
          <w:szCs w:val="20"/>
        </w:rPr>
        <w:t xml:space="preserve">Los sujetos obligados sólo proporcionarán la información pública que se les requiera y que obre en sus archivos y en el estado en que ésta se </w:t>
      </w:r>
      <w:r w:rsidRPr="008C6A24">
        <w:rPr>
          <w:rFonts w:ascii="Palatino Linotype" w:hAnsi="Palatino Linotype" w:cs="Bookman Old Style"/>
          <w:i/>
          <w:sz w:val="22"/>
          <w:szCs w:val="20"/>
        </w:rPr>
        <w:t>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Bookman Old Style"/>
          <w:i/>
          <w:sz w:val="22"/>
          <w:szCs w:val="20"/>
        </w:rPr>
        <w:t>”</w:t>
      </w:r>
    </w:p>
    <w:p w14:paraId="360A1D43" w14:textId="77777777" w:rsidR="0010409E" w:rsidRPr="008C6A24" w:rsidRDefault="0010409E" w:rsidP="0010409E">
      <w:pPr>
        <w:autoSpaceDE w:val="0"/>
        <w:autoSpaceDN w:val="0"/>
        <w:adjustRightInd w:val="0"/>
        <w:spacing w:line="276" w:lineRule="auto"/>
        <w:ind w:left="567" w:right="567"/>
        <w:jc w:val="both"/>
        <w:rPr>
          <w:rFonts w:ascii="Palatino Linotype" w:hAnsi="Palatino Linotype" w:cs="Bookman Old Style"/>
          <w:iCs/>
          <w:sz w:val="22"/>
          <w:szCs w:val="20"/>
        </w:rPr>
      </w:pPr>
      <w:r>
        <w:rPr>
          <w:rFonts w:ascii="Palatino Linotype" w:hAnsi="Palatino Linotype" w:cs="Bookman Old Style"/>
          <w:iCs/>
          <w:sz w:val="22"/>
          <w:szCs w:val="20"/>
        </w:rPr>
        <w:t>(Énfasis añadido)</w:t>
      </w:r>
    </w:p>
    <w:p w14:paraId="55C7A9A5" w14:textId="77777777" w:rsidR="0010409E" w:rsidRDefault="0010409E"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3E12FB5" w14:textId="77777777" w:rsidR="0010409E" w:rsidRPr="00B27897" w:rsidRDefault="0010409E" w:rsidP="0010409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w:t>
      </w:r>
      <w:r w:rsidRPr="00CF20E6">
        <w:rPr>
          <w:rFonts w:ascii="Palatino Linotype" w:hAnsi="Palatino Linotype"/>
          <w:lang w:val="es-ES"/>
        </w:rPr>
        <w:t>así que todos los actos de autoridad que realicen los Sujetos Obligados deben estar documentados y, bajo el más alto estándar de transparencia</w:t>
      </w:r>
      <w:r>
        <w:rPr>
          <w:rFonts w:ascii="Palatino Linotype" w:hAnsi="Palatino Linotype"/>
          <w:lang w:val="es-ES"/>
        </w:rPr>
        <w:t>,</w:t>
      </w:r>
      <w:r w:rsidRPr="00CF20E6">
        <w:rPr>
          <w:rFonts w:ascii="Palatino Linotype" w:hAnsi="Palatino Linotype"/>
          <w:lang w:val="es-ES"/>
        </w:rPr>
        <w:t xml:space="preserve"> deberán poner toda la información </w:t>
      </w:r>
      <w:r>
        <w:rPr>
          <w:rFonts w:ascii="Palatino Linotype" w:hAnsi="Palatino Linotype"/>
          <w:lang w:val="es-ES"/>
        </w:rPr>
        <w:t>que se encuentre en su posesión, de manera permanente y actualizada,</w:t>
      </w:r>
      <w:r w:rsidRPr="00CF20E6">
        <w:rPr>
          <w:rFonts w:ascii="Palatino Linotype" w:hAnsi="Palatino Linotype"/>
          <w:lang w:val="es-ES"/>
        </w:rPr>
        <w:t xml:space="preserve"> a disposición de los particulares que la soliciten.</w:t>
      </w:r>
    </w:p>
    <w:p w14:paraId="20F03B0D" w14:textId="77777777" w:rsidR="0010409E" w:rsidRPr="00B27897" w:rsidRDefault="0010409E" w:rsidP="0010409E">
      <w:pPr>
        <w:pStyle w:val="Prrafodelista"/>
        <w:tabs>
          <w:tab w:val="left" w:pos="426"/>
        </w:tabs>
        <w:spacing w:before="240" w:after="240" w:line="360" w:lineRule="auto"/>
        <w:ind w:left="0" w:right="51"/>
        <w:jc w:val="both"/>
        <w:rPr>
          <w:rFonts w:ascii="Palatino Linotype" w:hAnsi="Palatino Linotype"/>
          <w:color w:val="000000" w:themeColor="text1"/>
        </w:rPr>
      </w:pPr>
    </w:p>
    <w:p w14:paraId="3B1624C9" w14:textId="77777777" w:rsidR="0010409E" w:rsidRPr="00B27897" w:rsidRDefault="0010409E" w:rsidP="0010409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Por </w:t>
      </w:r>
      <w:r>
        <w:rPr>
          <w:rFonts w:ascii="Palatino Linotype" w:hAnsi="Palatino Linotype"/>
          <w:lang w:val="es-ES"/>
        </w:rPr>
        <w:t xml:space="preserve">otro lado, la Ley de la materia establece que en </w:t>
      </w:r>
      <w:r w:rsidRPr="005E76A0">
        <w:rPr>
          <w:rFonts w:ascii="Palatino Linotype" w:hAnsi="Palatino Linotype"/>
        </w:rPr>
        <w:t xml:space="preserve">la generación, publicación y entrega de información se deberá garantizar que ésta sea accesible, actualizada, completa, congruente, confiable, verificable, veraz, integral, oportuna y expedita, sujeta a un claro régimen de excepciones que deberá estar definido y ser además </w:t>
      </w:r>
      <w:r w:rsidRPr="005E76A0">
        <w:rPr>
          <w:rFonts w:ascii="Palatino Linotype" w:hAnsi="Palatino Linotype"/>
        </w:rPr>
        <w:lastRenderedPageBreak/>
        <w:t>legítima y estrictamente necesaria en una sociedad democrática, por lo que atenderá las necesidades del derecho de acceso a la información de toda persona</w:t>
      </w:r>
      <w:r>
        <w:rPr>
          <w:rStyle w:val="Refdenotaalpie"/>
          <w:rFonts w:ascii="Palatino Linotype" w:hAnsi="Palatino Linotype"/>
        </w:rPr>
        <w:footnoteReference w:id="7"/>
      </w:r>
      <w:r w:rsidRPr="005E76A0">
        <w:rPr>
          <w:rFonts w:ascii="Palatino Linotype" w:hAnsi="Palatino Linotype"/>
        </w:rPr>
        <w:t>.</w:t>
      </w:r>
    </w:p>
    <w:p w14:paraId="5B8DFC4C" w14:textId="77777777" w:rsidR="0010409E" w:rsidRPr="00B27897" w:rsidRDefault="0010409E" w:rsidP="0010409E">
      <w:pPr>
        <w:pStyle w:val="Prrafodelista"/>
        <w:tabs>
          <w:tab w:val="left" w:pos="426"/>
        </w:tabs>
        <w:spacing w:before="240" w:after="240" w:line="360" w:lineRule="auto"/>
        <w:ind w:left="0" w:right="51"/>
        <w:jc w:val="both"/>
        <w:rPr>
          <w:rFonts w:ascii="Palatino Linotype" w:hAnsi="Palatino Linotype"/>
          <w:color w:val="000000" w:themeColor="text1"/>
        </w:rPr>
      </w:pPr>
    </w:p>
    <w:p w14:paraId="7114E22C" w14:textId="77777777" w:rsidR="0010409E" w:rsidRPr="00B27897" w:rsidRDefault="0010409E" w:rsidP="0010409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En </w:t>
      </w:r>
      <w:r w:rsidRPr="00CF20E6">
        <w:rPr>
          <w:rFonts w:ascii="Palatino Linotype" w:eastAsia="MS Gothic" w:hAnsi="Palatino Linotype" w:cs="Times New Roman"/>
          <w:szCs w:val="26"/>
        </w:rPr>
        <w:t>ese sentido</w:t>
      </w:r>
      <w:r w:rsidRPr="00CF20E6">
        <w:rPr>
          <w:rFonts w:ascii="Palatino Linotype" w:hAnsi="Palatino Linotype"/>
          <w:lang w:val="es-ES"/>
        </w:rPr>
        <w:t>,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CF20E6">
        <w:rPr>
          <w:rStyle w:val="Refdenotaalpie"/>
          <w:rFonts w:ascii="Palatino Linotype" w:hAnsi="Palatino Linotype"/>
          <w:lang w:val="es-ES"/>
        </w:rPr>
        <w:footnoteReference w:id="8"/>
      </w:r>
      <w:r w:rsidRPr="00CF20E6">
        <w:rPr>
          <w:rFonts w:ascii="Palatino Linotype" w:hAnsi="Palatino Linotype"/>
          <w:lang w:val="es-ES"/>
        </w:rPr>
        <w:t xml:space="preserve"> y máxima publicidad, sobre éste último se debe poner mayor énfasis, puesto que establece que </w:t>
      </w:r>
      <w:r w:rsidRPr="00701218">
        <w:rPr>
          <w:rFonts w:ascii="Palatino Linotype" w:hAnsi="Palatino Linotype"/>
          <w:b/>
          <w:u w:val="double"/>
          <w:lang w:val="es-ES"/>
        </w:rPr>
        <w:t>toda la información en posesión de los Sujetos Obligados será</w:t>
      </w:r>
      <w:r w:rsidRPr="00CF20E6">
        <w:rPr>
          <w:rFonts w:ascii="Palatino Linotype" w:hAnsi="Palatino Linotype"/>
          <w:lang w:val="es-ES"/>
        </w:rPr>
        <w:t xml:space="preserve"> pública, </w:t>
      </w:r>
      <w:r w:rsidRPr="009B1F7B">
        <w:rPr>
          <w:rFonts w:ascii="Palatino Linotype" w:hAnsi="Palatino Linotype"/>
          <w:bCs/>
          <w:lang w:val="es-ES"/>
        </w:rPr>
        <w:t>completa</w:t>
      </w:r>
      <w:r w:rsidRPr="00CF20E6">
        <w:rPr>
          <w:rFonts w:ascii="Palatino Linotype" w:hAnsi="Palatino Linotype"/>
          <w:lang w:val="es-ES"/>
        </w:rPr>
        <w:t xml:space="preserve">, </w:t>
      </w:r>
      <w:r w:rsidRPr="009B1F7B">
        <w:rPr>
          <w:rFonts w:ascii="Palatino Linotype" w:hAnsi="Palatino Linotype"/>
          <w:b/>
          <w:bCs/>
          <w:u w:val="double"/>
          <w:lang w:val="es-ES"/>
        </w:rPr>
        <w:t>oportuna</w:t>
      </w:r>
      <w:r w:rsidRPr="00CF20E6">
        <w:rPr>
          <w:rFonts w:ascii="Palatino Linotype" w:hAnsi="Palatino Linotype"/>
          <w:lang w:val="es-ES"/>
        </w:rPr>
        <w:t xml:space="preserve"> y </w:t>
      </w:r>
      <w:r w:rsidRPr="009B1F7B">
        <w:rPr>
          <w:rFonts w:ascii="Palatino Linotype" w:hAnsi="Palatino Linotype"/>
          <w:b/>
          <w:bCs/>
          <w:u w:val="double"/>
          <w:lang w:val="es-ES"/>
        </w:rPr>
        <w:t>accesible</w:t>
      </w:r>
      <w:r w:rsidRPr="00CF20E6">
        <w:rPr>
          <w:rFonts w:ascii="Palatino Linotype" w:hAnsi="Palatino Linotype"/>
          <w:lang w:val="es-ES"/>
        </w:rPr>
        <w:t xml:space="preserve">, </w:t>
      </w:r>
      <w:r w:rsidRPr="005E76A0">
        <w:rPr>
          <w:rFonts w:ascii="Palatino Linotype" w:hAnsi="Palatino Linotype"/>
          <w:b/>
          <w:lang w:val="es-ES"/>
        </w:rPr>
        <w:t>lo que permite que la ciudadanía tenga un amplio acceso sobre lo que es el actuar de las autoridades</w:t>
      </w:r>
      <w:r w:rsidRPr="00CF20E6">
        <w:rPr>
          <w:rFonts w:ascii="Palatino Linotype" w:hAnsi="Palatino Linotype"/>
          <w:lang w:val="es-ES"/>
        </w:rPr>
        <w:t>.</w:t>
      </w:r>
    </w:p>
    <w:p w14:paraId="4935A7C5" w14:textId="77777777" w:rsidR="0010409E" w:rsidRPr="00B27897" w:rsidRDefault="0010409E" w:rsidP="0010409E">
      <w:pPr>
        <w:pStyle w:val="Prrafodelista"/>
        <w:tabs>
          <w:tab w:val="left" w:pos="426"/>
        </w:tabs>
        <w:spacing w:before="240" w:after="240" w:line="360" w:lineRule="auto"/>
        <w:ind w:left="0" w:right="51"/>
        <w:jc w:val="both"/>
        <w:rPr>
          <w:rFonts w:ascii="Palatino Linotype" w:hAnsi="Palatino Linotype"/>
          <w:color w:val="000000" w:themeColor="text1"/>
        </w:rPr>
      </w:pPr>
    </w:p>
    <w:p w14:paraId="2DFB18EB" w14:textId="2A721F16" w:rsidR="001C7733" w:rsidRDefault="0010409E" w:rsidP="0010409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Robustece </w:t>
      </w:r>
      <w:r w:rsidRPr="00CF20E6">
        <w:rPr>
          <w:rFonts w:ascii="Palatino Linotype" w:hAnsi="Palatino Linotype"/>
          <w:lang w:val="es-ES"/>
        </w:rPr>
        <w:t>lo anterior la Tesis aislada identificada con la clave I.4º.A.40 A del Cuarto Tribunal colegiado en Materia Administrativa del Primer Circuito, publicada en el Seminario Judicial de la Federación y su Gaceta en el libro XVIII, Marzo 2013, Página 1899</w:t>
      </w:r>
      <w:r>
        <w:rPr>
          <w:rFonts w:ascii="Palatino Linotype" w:hAnsi="Palatino Linotype"/>
          <w:lang w:val="es-ES"/>
        </w:rPr>
        <w:t>:</w:t>
      </w:r>
    </w:p>
    <w:p w14:paraId="52143654" w14:textId="77777777" w:rsidR="001C7733"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07BC5401" w14:textId="77777777" w:rsidR="0010409E" w:rsidRPr="00CF20E6" w:rsidRDefault="0010409E" w:rsidP="0010409E">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szCs w:val="26"/>
        </w:rPr>
      </w:pPr>
      <w:r w:rsidRPr="00CF20E6">
        <w:rPr>
          <w:rFonts w:ascii="Palatino Linotype" w:hAnsi="Palatino Linotype"/>
          <w:b/>
          <w:i/>
          <w:sz w:val="22"/>
        </w:rPr>
        <w:t>ACCESO A LA INFORMACIÓN. IMPLICACIÓN DEL PRINCIPIO DE MÁXIMA PUBLICIDAD EN EL DERECHO FUNDAMENTAL RELATIVO.</w:t>
      </w:r>
      <w:r w:rsidRPr="00CF20E6">
        <w:rPr>
          <w:rFonts w:ascii="Palatino Linotype" w:hAnsi="Palatino Linotype"/>
          <w:i/>
          <w:sz w:val="22"/>
        </w:rPr>
        <w:t xml:space="preserve"> “Del artículo 6o. de la Constitución Política de los Estados Unidos Mexicanos se </w:t>
      </w:r>
      <w:r w:rsidRPr="00CF20E6">
        <w:rPr>
          <w:rFonts w:ascii="Palatino Linotype" w:hAnsi="Palatino Linotype"/>
          <w:i/>
          <w:sz w:val="22"/>
        </w:rPr>
        <w:lastRenderedPageBreak/>
        <w:t>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56086615" w14:textId="77777777" w:rsidR="0010409E" w:rsidRDefault="0010409E"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564A5CE6" w14:textId="3F27068B" w:rsidR="001C7733" w:rsidRDefault="0010409E"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Tal </w:t>
      </w:r>
      <w:r w:rsidRPr="00CF20E6">
        <w:rPr>
          <w:rFonts w:ascii="Palatino Linotype" w:hAnsi="Palatino Linotype"/>
          <w:lang w:val="es-ES"/>
        </w:rPr>
        <w:t>y como se ha señalado</w:t>
      </w:r>
      <w:r>
        <w:rPr>
          <w:rFonts w:ascii="Palatino Linotype" w:hAnsi="Palatino Linotype"/>
          <w:lang w:val="es-ES"/>
        </w:rPr>
        <w:t>,</w:t>
      </w:r>
      <w:r w:rsidRPr="00CF20E6">
        <w:rPr>
          <w:rFonts w:ascii="Palatino Linotype" w:hAnsi="Palatino Linotype"/>
          <w:lang w:val="es-ES"/>
        </w:rPr>
        <w:t xml:space="preserve"> el derecho de acceso a la información se basa en permitir que la ciudadanía conozca de primera mano toda aquella información que se encuentra en posesión de los Sujetos Obligados, ya sea porque la genera, posee o administra</w:t>
      </w:r>
      <w:r>
        <w:rPr>
          <w:rFonts w:ascii="Palatino Linotype" w:hAnsi="Palatino Linotype"/>
          <w:lang w:val="es-ES"/>
        </w:rPr>
        <w:t>;</w:t>
      </w:r>
      <w:r w:rsidRPr="00CF20E6">
        <w:rPr>
          <w:rFonts w:ascii="Palatino Linotype" w:hAnsi="Palatino Linotype"/>
          <w:lang w:val="es-ES"/>
        </w:rPr>
        <w:t xml:space="preserve"> toda vez que, a través de dicha acción</w:t>
      </w:r>
      <w:r>
        <w:rPr>
          <w:rFonts w:ascii="Palatino Linotype" w:hAnsi="Palatino Linotype"/>
          <w:lang w:val="es-ES"/>
        </w:rPr>
        <w:t>,</w:t>
      </w:r>
      <w:r w:rsidRPr="00CF20E6">
        <w:rPr>
          <w:rFonts w:ascii="Palatino Linotype" w:hAnsi="Palatino Linotype"/>
          <w:lang w:val="es-ES"/>
        </w:rPr>
        <w:t xml:space="preserve"> </w:t>
      </w:r>
      <w:r w:rsidRPr="0010409E">
        <w:rPr>
          <w:rFonts w:ascii="Palatino Linotype" w:hAnsi="Palatino Linotype"/>
          <w:b/>
          <w:lang w:val="es-ES"/>
        </w:rPr>
        <w:t>permite que las personas ejerzan un medio de control sobre las acciones que se están ejerciendo y evaluar su desempeño</w:t>
      </w:r>
      <w:r w:rsidRPr="00CF20E6">
        <w:rPr>
          <w:rFonts w:ascii="Palatino Linotype" w:hAnsi="Palatino Linotype"/>
          <w:lang w:val="es-ES"/>
        </w:rPr>
        <w:t>.</w:t>
      </w:r>
    </w:p>
    <w:p w14:paraId="321BA9C2" w14:textId="77777777" w:rsidR="003A63D9" w:rsidRDefault="003A63D9" w:rsidP="003A63D9">
      <w:pPr>
        <w:pStyle w:val="Prrafodelista"/>
        <w:tabs>
          <w:tab w:val="left" w:pos="426"/>
        </w:tabs>
        <w:spacing w:before="240" w:after="240" w:line="360" w:lineRule="auto"/>
        <w:ind w:left="0" w:right="51"/>
        <w:jc w:val="both"/>
        <w:rPr>
          <w:rFonts w:ascii="Palatino Linotype" w:hAnsi="Palatino Linotype"/>
          <w:color w:val="000000" w:themeColor="text1"/>
        </w:rPr>
      </w:pPr>
    </w:p>
    <w:p w14:paraId="0E6BFFE7" w14:textId="77777777" w:rsidR="00C465BE" w:rsidRDefault="00C465BE" w:rsidP="003A63D9">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62A6F670" w:rsidR="009E260E" w:rsidRPr="009E260E" w:rsidRDefault="009E260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9" w:name="_Toc88071784"/>
      <w:r>
        <w:rPr>
          <w:rFonts w:ascii="Palatino Linotype" w:hAnsi="Palatino Linotype"/>
          <w:b/>
          <w:color w:val="000000" w:themeColor="text1"/>
        </w:rPr>
        <w:lastRenderedPageBreak/>
        <w:t>I</w:t>
      </w:r>
      <w:r w:rsidR="001C7733">
        <w:rPr>
          <w:rFonts w:ascii="Palatino Linotype" w:hAnsi="Palatino Linotype"/>
          <w:b/>
          <w:color w:val="000000" w:themeColor="text1"/>
        </w:rPr>
        <w:t>I</w:t>
      </w:r>
      <w:r>
        <w:rPr>
          <w:rFonts w:ascii="Palatino Linotype" w:hAnsi="Palatino Linotype"/>
          <w:b/>
          <w:color w:val="000000" w:themeColor="text1"/>
        </w:rPr>
        <w:t>I. De la atención a la</w:t>
      </w:r>
      <w:r w:rsidR="00623C15">
        <w:rPr>
          <w:rFonts w:ascii="Palatino Linotype" w:hAnsi="Palatino Linotype"/>
          <w:b/>
          <w:color w:val="000000" w:themeColor="text1"/>
        </w:rPr>
        <w:t>s</w:t>
      </w:r>
      <w:r>
        <w:rPr>
          <w:rFonts w:ascii="Palatino Linotype" w:hAnsi="Palatino Linotype"/>
          <w:b/>
          <w:color w:val="000000" w:themeColor="text1"/>
        </w:rPr>
        <w:t xml:space="preserve"> solicitud</w:t>
      </w:r>
      <w:r w:rsidR="00623C15">
        <w:rPr>
          <w:rFonts w:ascii="Palatino Linotype" w:hAnsi="Palatino Linotype"/>
          <w:b/>
          <w:color w:val="000000" w:themeColor="text1"/>
        </w:rPr>
        <w:t>es</w:t>
      </w:r>
      <w:r>
        <w:rPr>
          <w:rFonts w:ascii="Palatino Linotype" w:hAnsi="Palatino Linotype"/>
          <w:b/>
          <w:color w:val="000000" w:themeColor="text1"/>
        </w:rPr>
        <w:t xml:space="preserve"> de información.</w:t>
      </w:r>
      <w:bookmarkEnd w:id="29"/>
    </w:p>
    <w:p w14:paraId="685478C4" w14:textId="77777777" w:rsidR="009E260E" w:rsidRDefault="009E260E" w:rsidP="003A63D9">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59A86637" w:rsidR="009E260E" w:rsidRPr="00910076" w:rsidRDefault="008C33F9"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Ahora bien</w:t>
      </w:r>
      <w:r w:rsidR="009E260E" w:rsidRPr="0053687A">
        <w:rPr>
          <w:rFonts w:ascii="Palatino Linotype" w:hAnsi="Palatino Linotype"/>
        </w:rPr>
        <w:t xml:space="preserve">, </w:t>
      </w:r>
      <w:r w:rsidR="009E260E">
        <w:rPr>
          <w:rFonts w:ascii="Palatino Linotype" w:hAnsi="Palatino Linotype"/>
        </w:rPr>
        <w:t>de la lectura a la</w:t>
      </w:r>
      <w:r w:rsidR="007409D8">
        <w:rPr>
          <w:rFonts w:ascii="Palatino Linotype" w:hAnsi="Palatino Linotype"/>
        </w:rPr>
        <w:t>s</w:t>
      </w:r>
      <w:r w:rsidR="009E260E">
        <w:rPr>
          <w:rFonts w:ascii="Palatino Linotype" w:hAnsi="Palatino Linotype"/>
        </w:rPr>
        <w:t xml:space="preserve"> solicitud</w:t>
      </w:r>
      <w:r w:rsidR="007409D8">
        <w:rPr>
          <w:rFonts w:ascii="Palatino Linotype" w:hAnsi="Palatino Linotype"/>
        </w:rPr>
        <w:t>es</w:t>
      </w:r>
      <w:r w:rsidR="009E260E">
        <w:rPr>
          <w:rFonts w:ascii="Palatino Linotype" w:hAnsi="Palatino Linotype"/>
        </w:rPr>
        <w:t xml:space="preserve"> de información </w:t>
      </w:r>
      <w:r w:rsidR="007409D8" w:rsidRPr="007409D8">
        <w:rPr>
          <w:rFonts w:ascii="Palatino Linotype" w:hAnsi="Palatino Linotype"/>
          <w:b/>
        </w:rPr>
        <w:t>00226/CAMEM/IP/2021</w:t>
      </w:r>
      <w:r w:rsidR="007409D8">
        <w:rPr>
          <w:rFonts w:ascii="Palatino Linotype" w:hAnsi="Palatino Linotype"/>
        </w:rPr>
        <w:t xml:space="preserve"> y </w:t>
      </w:r>
      <w:r w:rsidR="00B67B60">
        <w:rPr>
          <w:rFonts w:ascii="Palatino Linotype" w:hAnsi="Palatino Linotype"/>
          <w:b/>
          <w:bCs/>
        </w:rPr>
        <w:t>00227/CAMEM/IP/2021</w:t>
      </w:r>
      <w:r w:rsidR="009E260E">
        <w:rPr>
          <w:rFonts w:ascii="Palatino Linotype" w:hAnsi="Palatino Linotype"/>
        </w:rPr>
        <w:t xml:space="preserve">, y como fuera señalado en el </w:t>
      </w:r>
      <w:r w:rsidR="009E260E">
        <w:rPr>
          <w:rFonts w:ascii="Palatino Linotype" w:hAnsi="Palatino Linotype"/>
          <w:i/>
          <w:iCs/>
        </w:rPr>
        <w:t>Planteamiento de la Litis</w:t>
      </w:r>
      <w:r w:rsidR="009E260E">
        <w:rPr>
          <w:rFonts w:ascii="Palatino Linotype" w:hAnsi="Palatino Linotype"/>
        </w:rPr>
        <w:t xml:space="preserve"> de esta resolución, se advierte que el entonces </w:t>
      </w:r>
      <w:r w:rsidR="009E260E">
        <w:rPr>
          <w:rFonts w:ascii="Palatino Linotype" w:hAnsi="Palatino Linotype"/>
          <w:b/>
        </w:rPr>
        <w:t>SOLICITANTE</w:t>
      </w:r>
      <w:r w:rsidR="009E260E">
        <w:rPr>
          <w:rFonts w:ascii="Palatino Linotype" w:hAnsi="Palatino Linotype"/>
        </w:rPr>
        <w:t xml:space="preserve"> requirió acceder a la siguiente información:</w:t>
      </w:r>
    </w:p>
    <w:p w14:paraId="380D2512" w14:textId="74733F60" w:rsidR="00F3117D" w:rsidRDefault="007409D8" w:rsidP="00577C3F">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Del expediente número CCAMEM/TOL/D/1218/2019:</w:t>
      </w:r>
    </w:p>
    <w:p w14:paraId="0453391E" w14:textId="5B35FE91" w:rsidR="007409D8" w:rsidRDefault="007409D8" w:rsidP="00577C3F">
      <w:pPr>
        <w:pStyle w:val="Prrafodelista"/>
        <w:numPr>
          <w:ilvl w:val="2"/>
          <w:numId w:val="10"/>
        </w:numPr>
        <w:tabs>
          <w:tab w:val="left" w:pos="426"/>
        </w:tabs>
        <w:spacing w:before="240" w:after="240" w:line="360" w:lineRule="auto"/>
        <w:ind w:left="1701" w:right="51"/>
        <w:jc w:val="both"/>
        <w:rPr>
          <w:rFonts w:ascii="Palatino Linotype" w:hAnsi="Palatino Linotype"/>
          <w:color w:val="000000" w:themeColor="text1"/>
        </w:rPr>
      </w:pPr>
      <w:r>
        <w:rPr>
          <w:rFonts w:ascii="Palatino Linotype" w:hAnsi="Palatino Linotype"/>
          <w:color w:val="000000" w:themeColor="text1"/>
        </w:rPr>
        <w:t>Dictamen Técnico-Médico Institucional; y</w:t>
      </w:r>
    </w:p>
    <w:p w14:paraId="4E7AE1D1" w14:textId="055F1270" w:rsidR="007409D8" w:rsidRDefault="007409D8" w:rsidP="00577C3F">
      <w:pPr>
        <w:pStyle w:val="Prrafodelista"/>
        <w:numPr>
          <w:ilvl w:val="2"/>
          <w:numId w:val="10"/>
        </w:numPr>
        <w:tabs>
          <w:tab w:val="left" w:pos="426"/>
        </w:tabs>
        <w:spacing w:before="240" w:after="240" w:line="360" w:lineRule="auto"/>
        <w:ind w:left="1701" w:right="51"/>
        <w:jc w:val="both"/>
        <w:rPr>
          <w:rFonts w:ascii="Palatino Linotype" w:hAnsi="Palatino Linotype"/>
          <w:color w:val="000000" w:themeColor="text1"/>
        </w:rPr>
      </w:pPr>
      <w:r>
        <w:rPr>
          <w:rFonts w:ascii="Palatino Linotype" w:hAnsi="Palatino Linotype"/>
          <w:color w:val="000000" w:themeColor="text1"/>
        </w:rPr>
        <w:t>Expediente completo.</w:t>
      </w:r>
    </w:p>
    <w:p w14:paraId="7F86191D" w14:textId="77777777" w:rsidR="0009700A" w:rsidRDefault="0009700A" w:rsidP="0009700A">
      <w:pPr>
        <w:pStyle w:val="Prrafodelista"/>
        <w:tabs>
          <w:tab w:val="left" w:pos="426"/>
        </w:tabs>
        <w:spacing w:before="240" w:after="240" w:line="360" w:lineRule="auto"/>
        <w:ind w:left="0" w:right="51"/>
        <w:jc w:val="both"/>
        <w:rPr>
          <w:rFonts w:ascii="Palatino Linotype" w:hAnsi="Palatino Linotype"/>
          <w:color w:val="000000" w:themeColor="text1"/>
        </w:rPr>
      </w:pPr>
    </w:p>
    <w:p w14:paraId="7F90154A" w14:textId="5E4CF1E0" w:rsidR="009E260E" w:rsidRDefault="009E260E"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794C2B">
        <w:rPr>
          <w:rFonts w:ascii="Palatino Linotype" w:hAnsi="Palatino Linotype"/>
          <w:color w:val="000000" w:themeColor="text1"/>
        </w:rPr>
        <w:t>respuesta a la</w:t>
      </w:r>
      <w:r w:rsidR="00E11294">
        <w:rPr>
          <w:rFonts w:ascii="Palatino Linotype" w:hAnsi="Palatino Linotype"/>
          <w:color w:val="000000" w:themeColor="text1"/>
        </w:rPr>
        <w:t>s</w:t>
      </w:r>
      <w:r w:rsidRPr="00794C2B">
        <w:rPr>
          <w:rFonts w:ascii="Palatino Linotype" w:hAnsi="Palatino Linotype"/>
          <w:color w:val="000000" w:themeColor="text1"/>
        </w:rPr>
        <w:t xml:space="preserve"> solicitud</w:t>
      </w:r>
      <w:r w:rsidR="00E11294">
        <w:rPr>
          <w:rFonts w:ascii="Palatino Linotype" w:hAnsi="Palatino Linotype"/>
          <w:color w:val="000000" w:themeColor="text1"/>
        </w:rPr>
        <w:t>es</w:t>
      </w:r>
      <w:r w:rsidRPr="00794C2B">
        <w:rPr>
          <w:rFonts w:ascii="Palatino Linotype" w:hAnsi="Palatino Linotype"/>
          <w:color w:val="000000" w:themeColor="text1"/>
        </w:rPr>
        <w:t xml:space="preserve"> de información, </w:t>
      </w:r>
      <w:r w:rsidR="00E11294">
        <w:rPr>
          <w:rFonts w:ascii="Palatino Linotype" w:hAnsi="Palatino Linotype"/>
          <w:color w:val="000000" w:themeColor="text1"/>
        </w:rPr>
        <w:t xml:space="preserve">por un lado, </w:t>
      </w:r>
      <w:r>
        <w:rPr>
          <w:rFonts w:ascii="Palatino Linotype" w:hAnsi="Palatino Linotype"/>
          <w:color w:val="000000" w:themeColor="text1"/>
        </w:rPr>
        <w:t xml:space="preserve">el </w:t>
      </w:r>
      <w:r>
        <w:rPr>
          <w:rFonts w:ascii="Palatino Linotype" w:hAnsi="Palatino Linotype"/>
          <w:b/>
          <w:color w:val="000000" w:themeColor="text1"/>
        </w:rPr>
        <w:t>SUJETO OBLIGADO</w:t>
      </w:r>
      <w:r>
        <w:rPr>
          <w:rFonts w:ascii="Palatino Linotype" w:hAnsi="Palatino Linotype"/>
          <w:color w:val="000000" w:themeColor="text1"/>
        </w:rPr>
        <w:t xml:space="preserve"> </w:t>
      </w:r>
      <w:r w:rsidR="00F3117D">
        <w:rPr>
          <w:rFonts w:ascii="Palatino Linotype" w:hAnsi="Palatino Linotype"/>
          <w:color w:val="000000" w:themeColor="text1"/>
        </w:rPr>
        <w:t>entregó la copia digitalizada de</w:t>
      </w:r>
      <w:r w:rsidR="0009700A">
        <w:rPr>
          <w:rFonts w:ascii="Palatino Linotype" w:hAnsi="Palatino Linotype"/>
          <w:color w:val="000000" w:themeColor="text1"/>
        </w:rPr>
        <w:t>l Dictamen Técnico-Médico Institucional solicitado por la Visitaduría General, con sede Ecatepec, de la Comisión de Derechos Humanos del Estado de México, relativo al expediente CCAMEM/TOL/D/1218/2019</w:t>
      </w:r>
      <w:r w:rsidR="00921CF4">
        <w:rPr>
          <w:rFonts w:ascii="Palatino Linotype" w:hAnsi="Palatino Linotype"/>
          <w:color w:val="000000" w:themeColor="text1"/>
        </w:rPr>
        <w:t>, testado en su mayoría.</w:t>
      </w:r>
    </w:p>
    <w:p w14:paraId="22524B26" w14:textId="77777777" w:rsidR="00E11294" w:rsidRDefault="00E11294" w:rsidP="00E11294">
      <w:pPr>
        <w:pStyle w:val="Prrafodelista"/>
        <w:tabs>
          <w:tab w:val="left" w:pos="426"/>
        </w:tabs>
        <w:spacing w:before="240" w:after="240" w:line="360" w:lineRule="auto"/>
        <w:ind w:left="0" w:right="51"/>
        <w:jc w:val="both"/>
        <w:rPr>
          <w:rFonts w:ascii="Palatino Linotype" w:hAnsi="Palatino Linotype"/>
          <w:color w:val="000000" w:themeColor="text1"/>
        </w:rPr>
      </w:pPr>
    </w:p>
    <w:p w14:paraId="48E81536" w14:textId="66AB739D" w:rsidR="00E11294" w:rsidRDefault="00E11294"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cuanto hace al expediente completo identificado con el número CCAMEM/TOL/D/1218/2019, el </w:t>
      </w:r>
      <w:r>
        <w:rPr>
          <w:rFonts w:ascii="Palatino Linotype" w:hAnsi="Palatino Linotype"/>
          <w:b/>
          <w:color w:val="000000" w:themeColor="text1"/>
        </w:rPr>
        <w:t>SUJETO OBLIGADO</w:t>
      </w:r>
      <w:r>
        <w:rPr>
          <w:rFonts w:ascii="Palatino Linotype" w:hAnsi="Palatino Linotype"/>
          <w:color w:val="000000" w:themeColor="text1"/>
        </w:rPr>
        <w:t xml:space="preserve"> informó al particular que, al ser mucha la información y no contar con el personal suficiente para procesarla, se ponía a su disposición en consulta directa.</w:t>
      </w:r>
    </w:p>
    <w:p w14:paraId="558DA1D5" w14:textId="77777777" w:rsidR="009E260E" w:rsidRDefault="009E260E" w:rsidP="009E260E">
      <w:pPr>
        <w:pStyle w:val="Prrafodelista"/>
        <w:tabs>
          <w:tab w:val="left" w:pos="426"/>
        </w:tabs>
        <w:spacing w:before="240" w:after="240" w:line="360" w:lineRule="auto"/>
        <w:ind w:left="0" w:right="51"/>
        <w:jc w:val="both"/>
        <w:rPr>
          <w:rFonts w:ascii="Palatino Linotype" w:hAnsi="Palatino Linotype"/>
          <w:color w:val="000000" w:themeColor="text1"/>
        </w:rPr>
      </w:pPr>
    </w:p>
    <w:p w14:paraId="7AB6C27E" w14:textId="2978A99A" w:rsidR="006B53EE" w:rsidRDefault="006B53EE"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54282F">
        <w:rPr>
          <w:rFonts w:ascii="Palatino Linotype" w:eastAsia="MS Mincho" w:hAnsi="Palatino Linotype" w:cs="Times New Roman"/>
        </w:rPr>
        <w:t xml:space="preserve">consecuencia, toda vez que el </w:t>
      </w:r>
      <w:r w:rsidRPr="0054282F">
        <w:rPr>
          <w:rFonts w:ascii="Palatino Linotype" w:eastAsia="MS Mincho" w:hAnsi="Palatino Linotype" w:cs="Times New Roman"/>
          <w:b/>
        </w:rPr>
        <w:t>SUJETO OBLIGADO</w:t>
      </w:r>
      <w:r w:rsidRPr="0054282F">
        <w:rPr>
          <w:rFonts w:ascii="Palatino Linotype" w:eastAsia="MS Mincho" w:hAnsi="Palatino Linotype" w:cs="Times New Roman"/>
        </w:rPr>
        <w:t xml:space="preserve"> se pronunció respecto de la información solicitada, resultaría conveniente obviar el análisis de </w:t>
      </w:r>
      <w:r w:rsidRPr="0054282F">
        <w:rPr>
          <w:rFonts w:ascii="Palatino Linotype" w:eastAsia="MS Mincho" w:hAnsi="Palatino Linotype" w:cs="Times New Roman"/>
        </w:rPr>
        <w:lastRenderedPageBreak/>
        <w:t xml:space="preserve">competencia del </w:t>
      </w:r>
      <w:r w:rsidRPr="0054282F">
        <w:rPr>
          <w:rFonts w:ascii="Palatino Linotype" w:eastAsia="MS Mincho" w:hAnsi="Palatino Linotype" w:cs="Times New Roman"/>
          <w:b/>
        </w:rPr>
        <w:t>SUJETO OBLIGADO</w:t>
      </w:r>
      <w:r w:rsidRPr="0054282F">
        <w:rPr>
          <w:rFonts w:ascii="Palatino Linotype" w:eastAsia="MS Mincho" w:hAnsi="Palatino Linotype" w:cs="Times New Roman"/>
        </w:rPr>
        <w:t xml:space="preserve"> para generar, administrar o poseer la misma, dado que éste asumió la competencia mediante su respuesta a la solicitud de información.</w:t>
      </w:r>
    </w:p>
    <w:p w14:paraId="5AF4346F" w14:textId="77777777" w:rsidR="006B53EE" w:rsidRDefault="006B53EE" w:rsidP="006B53EE">
      <w:pPr>
        <w:pStyle w:val="Prrafodelista"/>
        <w:tabs>
          <w:tab w:val="left" w:pos="426"/>
        </w:tabs>
        <w:spacing w:before="240" w:after="240" w:line="360" w:lineRule="auto"/>
        <w:ind w:left="0" w:right="51"/>
        <w:jc w:val="both"/>
        <w:rPr>
          <w:rFonts w:ascii="Palatino Linotype" w:hAnsi="Palatino Linotype"/>
          <w:color w:val="000000" w:themeColor="text1"/>
        </w:rPr>
      </w:pPr>
    </w:p>
    <w:p w14:paraId="50506305" w14:textId="49FBD202" w:rsidR="006B53EE" w:rsidRDefault="006B53EE"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 </w:t>
      </w:r>
      <w:r w:rsidRPr="0054282F">
        <w:rPr>
          <w:rFonts w:ascii="Palatino Linotype" w:eastAsia="MS Mincho" w:hAnsi="Palatino Linotype" w:cs="Times New Roman"/>
        </w:rPr>
        <w:t xml:space="preserve">anterior encuentra lógica toda vez que el estudio de la naturaleza jurídica de la información pública solicitada tiene por objeto determinar si ésta la genera, posee o administra el </w:t>
      </w:r>
      <w:r w:rsidRPr="0054282F">
        <w:rPr>
          <w:rFonts w:ascii="Palatino Linotype" w:eastAsia="MS Mincho" w:hAnsi="Palatino Linotype" w:cs="Times New Roman"/>
          <w:b/>
        </w:rPr>
        <w:t>SUJETO OBLIGADO</w:t>
      </w:r>
      <w:r w:rsidRPr="0054282F">
        <w:rPr>
          <w:rFonts w:ascii="Palatino Linotype" w:eastAsia="MS Mincho" w:hAnsi="Palatino Linotype" w:cs="Times New Roman"/>
        </w:rPr>
        <w:t xml:space="preserve">; empero, en aquellos casos en que éste la asume, implica </w:t>
      </w:r>
      <w:r w:rsidRPr="0054282F">
        <w:rPr>
          <w:rFonts w:ascii="Palatino Linotype" w:eastAsia="MS Mincho" w:hAnsi="Palatino Linotype" w:cs="Times New Roman"/>
          <w:i/>
        </w:rPr>
        <w:t>de facto</w:t>
      </w:r>
      <w:r w:rsidRPr="0054282F">
        <w:rPr>
          <w:rFonts w:ascii="Palatino Linotype" w:eastAsia="MS Mincho" w:hAnsi="Palatino Linotype" w:cs="Times New Roman"/>
        </w:rPr>
        <w:t xml:space="preserve"> que la genera, posee o administra. Por consiguiente, a nada práctico nos conduciría su estudio, ya que, se insiste, la información pública solicitada, consistente en </w:t>
      </w:r>
      <w:r>
        <w:rPr>
          <w:rFonts w:ascii="Palatino Linotype" w:eastAsia="MS Mincho" w:hAnsi="Palatino Linotype" w:cs="Times New Roman"/>
        </w:rPr>
        <w:t xml:space="preserve">el </w:t>
      </w:r>
      <w:r w:rsidR="00E11294">
        <w:rPr>
          <w:rFonts w:ascii="Palatino Linotype" w:hAnsi="Palatino Linotype"/>
          <w:color w:val="000000" w:themeColor="text1"/>
        </w:rPr>
        <w:t xml:space="preserve">expediente </w:t>
      </w:r>
      <w:r>
        <w:rPr>
          <w:rFonts w:ascii="Palatino Linotype" w:hAnsi="Palatino Linotype"/>
          <w:color w:val="000000" w:themeColor="text1"/>
        </w:rPr>
        <w:t>número CCAMEM/TOL/D/1218/2019</w:t>
      </w:r>
      <w:r w:rsidRPr="0054282F">
        <w:rPr>
          <w:rFonts w:ascii="Palatino Linotype" w:eastAsia="MS Mincho" w:hAnsi="Palatino Linotype" w:cs="Times New Roman"/>
        </w:rPr>
        <w:t>,</w:t>
      </w:r>
      <w:r w:rsidR="00E11294">
        <w:rPr>
          <w:rFonts w:ascii="Palatino Linotype" w:eastAsia="MS Mincho" w:hAnsi="Palatino Linotype" w:cs="Times New Roman"/>
        </w:rPr>
        <w:t xml:space="preserve"> así como el Dictamen </w:t>
      </w:r>
      <w:r w:rsidR="00E11294">
        <w:rPr>
          <w:rFonts w:ascii="Palatino Linotype" w:hAnsi="Palatino Linotype"/>
          <w:color w:val="000000" w:themeColor="text1"/>
        </w:rPr>
        <w:t>Técnico-Médico Institucional emitido en éste,</w:t>
      </w:r>
      <w:r w:rsidRPr="0054282F">
        <w:rPr>
          <w:rFonts w:ascii="Palatino Linotype" w:eastAsia="MS Mincho" w:hAnsi="Palatino Linotype" w:cs="Times New Roman"/>
        </w:rPr>
        <w:t xml:space="preserve"> ha sido asumida por el </w:t>
      </w:r>
      <w:r w:rsidRPr="0054282F">
        <w:rPr>
          <w:rFonts w:ascii="Palatino Linotype" w:eastAsia="MS Mincho" w:hAnsi="Palatino Linotype" w:cs="Times New Roman"/>
          <w:b/>
        </w:rPr>
        <w:t>SUJETO OBLIGADO</w:t>
      </w:r>
      <w:r w:rsidRPr="0054282F">
        <w:rPr>
          <w:rFonts w:ascii="Palatino Linotype" w:eastAsia="MS Mincho" w:hAnsi="Palatino Linotype" w:cs="Times New Roman"/>
        </w:rPr>
        <w:t>.</w:t>
      </w:r>
    </w:p>
    <w:p w14:paraId="658C60B0" w14:textId="77777777" w:rsidR="006B53EE" w:rsidRDefault="006B53EE" w:rsidP="006B53EE">
      <w:pPr>
        <w:pStyle w:val="Prrafodelista"/>
        <w:tabs>
          <w:tab w:val="left" w:pos="426"/>
        </w:tabs>
        <w:spacing w:before="240" w:after="240" w:line="360" w:lineRule="auto"/>
        <w:ind w:left="0" w:right="51"/>
        <w:jc w:val="both"/>
        <w:rPr>
          <w:rFonts w:ascii="Palatino Linotype" w:hAnsi="Palatino Linotype"/>
          <w:color w:val="000000" w:themeColor="text1"/>
        </w:rPr>
      </w:pPr>
    </w:p>
    <w:p w14:paraId="35863C3A" w14:textId="6E6EEFC0" w:rsidR="009E260E" w:rsidRDefault="005B4B08"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su parte</w:t>
      </w:r>
      <w:r w:rsidR="009E260E">
        <w:rPr>
          <w:rFonts w:ascii="Palatino Linotype" w:hAnsi="Palatino Linotype"/>
          <w:color w:val="000000" w:themeColor="text1"/>
        </w:rPr>
        <w:t xml:space="preserve">, el </w:t>
      </w:r>
      <w:r w:rsidR="009E260E">
        <w:rPr>
          <w:rFonts w:ascii="Palatino Linotype" w:hAnsi="Palatino Linotype"/>
          <w:b/>
          <w:color w:val="000000" w:themeColor="text1"/>
        </w:rPr>
        <w:t>RECURRENTE</w:t>
      </w:r>
      <w:r w:rsidR="009E260E">
        <w:rPr>
          <w:rFonts w:ascii="Palatino Linotype" w:hAnsi="Palatino Linotype"/>
          <w:color w:val="000000" w:themeColor="text1"/>
        </w:rPr>
        <w:t xml:space="preserve"> promovió l</w:t>
      </w:r>
      <w:r w:rsidR="00E11294">
        <w:rPr>
          <w:rFonts w:ascii="Palatino Linotype" w:hAnsi="Palatino Linotype"/>
          <w:color w:val="000000" w:themeColor="text1"/>
        </w:rPr>
        <w:t>os</w:t>
      </w:r>
      <w:r w:rsidR="009E260E">
        <w:rPr>
          <w:rFonts w:ascii="Palatino Linotype" w:hAnsi="Palatino Linotype"/>
          <w:color w:val="000000" w:themeColor="text1"/>
        </w:rPr>
        <w:t xml:space="preserve"> recurso</w:t>
      </w:r>
      <w:r w:rsidR="00E11294">
        <w:rPr>
          <w:rFonts w:ascii="Palatino Linotype" w:hAnsi="Palatino Linotype"/>
          <w:color w:val="000000" w:themeColor="text1"/>
        </w:rPr>
        <w:t>s</w:t>
      </w:r>
      <w:r w:rsidR="009E260E">
        <w:rPr>
          <w:rFonts w:ascii="Palatino Linotype" w:hAnsi="Palatino Linotype"/>
          <w:color w:val="000000" w:themeColor="text1"/>
        </w:rPr>
        <w:t xml:space="preserve"> de revisión con número</w:t>
      </w:r>
      <w:r w:rsidR="00E11294">
        <w:rPr>
          <w:rFonts w:ascii="Palatino Linotype" w:hAnsi="Palatino Linotype"/>
          <w:color w:val="000000" w:themeColor="text1"/>
        </w:rPr>
        <w:t>s</w:t>
      </w:r>
      <w:r w:rsidR="009E260E">
        <w:rPr>
          <w:rFonts w:ascii="Palatino Linotype" w:hAnsi="Palatino Linotype"/>
          <w:color w:val="000000" w:themeColor="text1"/>
        </w:rPr>
        <w:t xml:space="preserve"> al rubro indicado</w:t>
      </w:r>
      <w:r>
        <w:rPr>
          <w:rFonts w:ascii="Palatino Linotype" w:hAnsi="Palatino Linotype"/>
          <w:color w:val="000000" w:themeColor="text1"/>
        </w:rPr>
        <w:t>,</w:t>
      </w:r>
      <w:r w:rsidR="009E260E">
        <w:rPr>
          <w:rFonts w:ascii="Palatino Linotype" w:hAnsi="Palatino Linotype"/>
          <w:color w:val="000000" w:themeColor="text1"/>
        </w:rPr>
        <w:t xml:space="preserve"> en contra de la</w:t>
      </w:r>
      <w:r w:rsidR="00E11294">
        <w:rPr>
          <w:rFonts w:ascii="Palatino Linotype" w:hAnsi="Palatino Linotype"/>
          <w:color w:val="000000" w:themeColor="text1"/>
        </w:rPr>
        <w:t>s</w:t>
      </w:r>
      <w:r w:rsidR="009E260E">
        <w:rPr>
          <w:rFonts w:ascii="Palatino Linotype" w:hAnsi="Palatino Linotype"/>
          <w:color w:val="000000" w:themeColor="text1"/>
        </w:rPr>
        <w:t xml:space="preserve"> respuesta</w:t>
      </w:r>
      <w:r w:rsidR="00E11294">
        <w:rPr>
          <w:rFonts w:ascii="Palatino Linotype" w:hAnsi="Palatino Linotype"/>
          <w:color w:val="000000" w:themeColor="text1"/>
        </w:rPr>
        <w:t>s</w:t>
      </w:r>
      <w:r w:rsidR="009E260E">
        <w:rPr>
          <w:rFonts w:ascii="Palatino Linotype" w:hAnsi="Palatino Linotype"/>
          <w:color w:val="000000" w:themeColor="text1"/>
        </w:rPr>
        <w:t xml:space="preserve"> del </w:t>
      </w:r>
      <w:r w:rsidR="009E260E">
        <w:rPr>
          <w:rFonts w:ascii="Palatino Linotype" w:hAnsi="Palatino Linotype"/>
          <w:b/>
          <w:color w:val="000000" w:themeColor="text1"/>
        </w:rPr>
        <w:t>SUJETO OBLIGADO</w:t>
      </w:r>
      <w:r>
        <w:rPr>
          <w:rFonts w:ascii="Palatino Linotype" w:hAnsi="Palatino Linotype"/>
          <w:color w:val="000000" w:themeColor="text1"/>
        </w:rPr>
        <w:t>,</w:t>
      </w:r>
      <w:r w:rsidR="009E260E">
        <w:rPr>
          <w:rFonts w:ascii="Palatino Linotype" w:hAnsi="Palatino Linotype"/>
          <w:color w:val="000000" w:themeColor="text1"/>
        </w:rPr>
        <w:t xml:space="preserve"> y en </w:t>
      </w:r>
      <w:r w:rsidR="00E11294">
        <w:rPr>
          <w:rFonts w:ascii="Palatino Linotype" w:hAnsi="Palatino Linotype"/>
          <w:color w:val="000000" w:themeColor="text1"/>
        </w:rPr>
        <w:t>los</w:t>
      </w:r>
      <w:r w:rsidR="009E260E">
        <w:rPr>
          <w:rFonts w:ascii="Palatino Linotype" w:hAnsi="Palatino Linotype"/>
          <w:color w:val="000000" w:themeColor="text1"/>
        </w:rPr>
        <w:t xml:space="preserve"> que señaló por agravios, </w:t>
      </w:r>
      <w:r w:rsidR="00921CF4">
        <w:rPr>
          <w:rFonts w:ascii="Palatino Linotype" w:hAnsi="Palatino Linotype"/>
          <w:color w:val="000000" w:themeColor="text1"/>
        </w:rPr>
        <w:t>lo siguiente:</w:t>
      </w:r>
    </w:p>
    <w:p w14:paraId="654E8D4D" w14:textId="68676592" w:rsidR="00921CF4" w:rsidRDefault="00921CF4" w:rsidP="00921CF4">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Que no se le entregó la información solicitada, toda vez que la versión púb</w:t>
      </w:r>
      <w:r w:rsidR="00517555">
        <w:rPr>
          <w:rFonts w:ascii="Palatino Linotype" w:hAnsi="Palatino Linotype"/>
          <w:color w:val="000000" w:themeColor="text1"/>
        </w:rPr>
        <w:t xml:space="preserve">lica del </w:t>
      </w:r>
      <w:r w:rsidR="00E11294">
        <w:rPr>
          <w:rFonts w:ascii="Palatino Linotype" w:eastAsia="MS Mincho" w:hAnsi="Palatino Linotype" w:cs="Times New Roman"/>
        </w:rPr>
        <w:t xml:space="preserve">Dictamen </w:t>
      </w:r>
      <w:r w:rsidR="00E11294">
        <w:rPr>
          <w:rFonts w:ascii="Palatino Linotype" w:hAnsi="Palatino Linotype"/>
          <w:color w:val="000000" w:themeColor="text1"/>
        </w:rPr>
        <w:t xml:space="preserve">Técnico-Médico Institucional </w:t>
      </w:r>
      <w:r w:rsidR="00517555">
        <w:rPr>
          <w:rFonts w:ascii="Palatino Linotype" w:hAnsi="Palatino Linotype"/>
          <w:color w:val="000000" w:themeColor="text1"/>
        </w:rPr>
        <w:t xml:space="preserve">no </w:t>
      </w:r>
      <w:r w:rsidR="00E11294">
        <w:rPr>
          <w:rFonts w:ascii="Palatino Linotype" w:hAnsi="Palatino Linotype"/>
          <w:color w:val="000000" w:themeColor="text1"/>
        </w:rPr>
        <w:t>era</w:t>
      </w:r>
      <w:r w:rsidR="00517555">
        <w:rPr>
          <w:rFonts w:ascii="Palatino Linotype" w:hAnsi="Palatino Linotype"/>
          <w:color w:val="000000" w:themeColor="text1"/>
        </w:rPr>
        <w:t xml:space="preserve"> entendible;</w:t>
      </w:r>
    </w:p>
    <w:p w14:paraId="1B7BFC6D" w14:textId="2FD66101" w:rsidR="00517555" w:rsidRDefault="00517555" w:rsidP="00921CF4">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Que el Titular de la Unidad de Enlace viola lo dispuesto por el artículo 143 de la Ley de Transparencia y Acceso a la Información Pública del Estado de México, pues le corresponde al Comité de Transparencia la emisión de una versión pública;</w:t>
      </w:r>
    </w:p>
    <w:p w14:paraId="4C9FF713" w14:textId="60B2A7E2" w:rsidR="00517555" w:rsidRDefault="00517555" w:rsidP="00921CF4">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lastRenderedPageBreak/>
        <w:t>Que no se entregó el Acuerdo del Comité de Transparencia que justifique la clasificación;</w:t>
      </w:r>
    </w:p>
    <w:p w14:paraId="747C5415" w14:textId="4A522F73" w:rsidR="00517555" w:rsidRDefault="00517555" w:rsidP="00921CF4">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Que la Unidad de Transparencia no turnó la</w:t>
      </w:r>
      <w:r w:rsidR="00E11294">
        <w:rPr>
          <w:rFonts w:ascii="Palatino Linotype" w:hAnsi="Palatino Linotype"/>
          <w:color w:val="000000" w:themeColor="text1"/>
        </w:rPr>
        <w:t>s</w:t>
      </w:r>
      <w:r>
        <w:rPr>
          <w:rFonts w:ascii="Palatino Linotype" w:hAnsi="Palatino Linotype"/>
          <w:color w:val="000000" w:themeColor="text1"/>
        </w:rPr>
        <w:t xml:space="preserve"> solicitud</w:t>
      </w:r>
      <w:r w:rsidR="00E11294">
        <w:rPr>
          <w:rFonts w:ascii="Palatino Linotype" w:hAnsi="Palatino Linotype"/>
          <w:color w:val="000000" w:themeColor="text1"/>
        </w:rPr>
        <w:t>es</w:t>
      </w:r>
      <w:r>
        <w:rPr>
          <w:rFonts w:ascii="Palatino Linotype" w:hAnsi="Palatino Linotype"/>
          <w:color w:val="000000" w:themeColor="text1"/>
        </w:rPr>
        <w:t xml:space="preserve"> de información a todas las áreas administrativas que, por la naturaleza de sus funciones, sean competentes para poseer, generar o administrar la información solicitada;</w:t>
      </w:r>
    </w:p>
    <w:p w14:paraId="477FA6FF" w14:textId="59910EB6" w:rsidR="00517555" w:rsidRDefault="00517555" w:rsidP="00921CF4">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 xml:space="preserve">Que el encargado de la Unidad de Transparencia no tiene facultad para responder a las solicitudes </w:t>
      </w:r>
      <w:r w:rsidR="00E11294">
        <w:rPr>
          <w:rFonts w:ascii="Palatino Linotype" w:hAnsi="Palatino Linotype"/>
          <w:color w:val="000000" w:themeColor="text1"/>
        </w:rPr>
        <w:t>de información; y</w:t>
      </w:r>
    </w:p>
    <w:p w14:paraId="5456E8BF" w14:textId="3C1054C6" w:rsidR="00E11294" w:rsidRPr="00E11294" w:rsidRDefault="00E11294" w:rsidP="00E11294">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Que no se demostró la falta de personal suficiente que justificara la negativa a la información.</w:t>
      </w:r>
    </w:p>
    <w:p w14:paraId="79C13A5C" w14:textId="77777777" w:rsidR="009E260E" w:rsidRDefault="009E260E" w:rsidP="009E260E">
      <w:pPr>
        <w:pStyle w:val="Prrafodelista"/>
        <w:tabs>
          <w:tab w:val="left" w:pos="426"/>
        </w:tabs>
        <w:spacing w:before="240" w:after="240" w:line="360" w:lineRule="auto"/>
        <w:ind w:left="0" w:right="51"/>
        <w:jc w:val="both"/>
        <w:rPr>
          <w:rFonts w:ascii="Palatino Linotype" w:hAnsi="Palatino Linotype"/>
          <w:color w:val="000000" w:themeColor="text1"/>
        </w:rPr>
      </w:pPr>
    </w:p>
    <w:p w14:paraId="716645C6" w14:textId="7F2825DE" w:rsidR="003A63D9" w:rsidRDefault="00D34574"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Una vez expuesto lo anterior, se procede a analizar el contenido íntegro que conforman las actuaciones de</w:t>
      </w:r>
      <w:r w:rsidR="00E11294">
        <w:rPr>
          <w:rFonts w:ascii="Palatino Linotype" w:hAnsi="Palatino Linotype"/>
          <w:color w:val="000000" w:themeColor="text1"/>
        </w:rPr>
        <w:t xml:space="preserve"> </w:t>
      </w:r>
      <w:r>
        <w:rPr>
          <w:rFonts w:ascii="Palatino Linotype" w:hAnsi="Palatino Linotype"/>
          <w:color w:val="000000" w:themeColor="text1"/>
        </w:rPr>
        <w:t>l</w:t>
      </w:r>
      <w:r w:rsidR="00E11294">
        <w:rPr>
          <w:rFonts w:ascii="Palatino Linotype" w:hAnsi="Palatino Linotype"/>
          <w:color w:val="000000" w:themeColor="text1"/>
        </w:rPr>
        <w:t>os</w:t>
      </w:r>
      <w:r>
        <w:rPr>
          <w:rFonts w:ascii="Palatino Linotype" w:hAnsi="Palatino Linotype"/>
          <w:color w:val="000000" w:themeColor="text1"/>
        </w:rPr>
        <w:t xml:space="preserve"> recurso</w:t>
      </w:r>
      <w:r w:rsidR="00E11294">
        <w:rPr>
          <w:rFonts w:ascii="Palatino Linotype" w:hAnsi="Palatino Linotype"/>
          <w:color w:val="000000" w:themeColor="text1"/>
        </w:rPr>
        <w:t>s</w:t>
      </w:r>
      <w:r>
        <w:rPr>
          <w:rFonts w:ascii="Palatino Linotype" w:hAnsi="Palatino Linotype"/>
          <w:color w:val="000000" w:themeColor="text1"/>
        </w:rPr>
        <w:t xml:space="preserve"> de revisión</w:t>
      </w:r>
      <w:r w:rsidR="00E11294">
        <w:rPr>
          <w:rFonts w:ascii="Palatino Linotype" w:hAnsi="Palatino Linotype"/>
          <w:color w:val="000000" w:themeColor="text1"/>
        </w:rPr>
        <w:t xml:space="preserve"> acumulados</w:t>
      </w:r>
      <w:r>
        <w:rPr>
          <w:rFonts w:ascii="Palatino Linotype" w:hAnsi="Palatino Linotype"/>
          <w:color w:val="000000" w:themeColor="text1"/>
        </w:rPr>
        <w:t xml:space="preserve"> </w:t>
      </w:r>
      <w:r w:rsidR="00B67B60">
        <w:rPr>
          <w:rFonts w:ascii="Palatino Linotype" w:hAnsi="Palatino Linotype"/>
          <w:b/>
          <w:color w:val="000000" w:themeColor="text1"/>
        </w:rPr>
        <w:t>04343/INFOEM/IP/RR/2021</w:t>
      </w:r>
      <w:r w:rsidR="00E11294">
        <w:rPr>
          <w:rFonts w:ascii="Palatino Linotype" w:hAnsi="Palatino Linotype"/>
          <w:b/>
          <w:color w:val="000000" w:themeColor="text1"/>
        </w:rPr>
        <w:t xml:space="preserve"> </w:t>
      </w:r>
      <w:r w:rsidR="00E11294" w:rsidRPr="00E11294">
        <w:rPr>
          <w:rFonts w:ascii="Palatino Linotype" w:hAnsi="Palatino Linotype"/>
          <w:color w:val="000000" w:themeColor="text1"/>
        </w:rPr>
        <w:t xml:space="preserve">y </w:t>
      </w:r>
      <w:r w:rsidR="00E11294">
        <w:rPr>
          <w:rFonts w:ascii="Palatino Linotype" w:hAnsi="Palatino Linotype"/>
          <w:b/>
          <w:color w:val="000000" w:themeColor="text1"/>
        </w:rPr>
        <w:t>04344/INFOEM/IP/RR2021</w:t>
      </w:r>
      <w:r>
        <w:rPr>
          <w:rFonts w:ascii="Palatino Linotype" w:hAnsi="Palatino Linotype"/>
          <w:color w:val="000000" w:themeColor="text1"/>
        </w:rPr>
        <w:t xml:space="preserve">, a efecto de determinar la legalidad y el grado de cumplimiento que logró el </w:t>
      </w:r>
      <w:r>
        <w:rPr>
          <w:rFonts w:ascii="Palatino Linotype" w:hAnsi="Palatino Linotype"/>
          <w:b/>
          <w:color w:val="000000" w:themeColor="text1"/>
        </w:rPr>
        <w:t>SUJETO OBLIGADO</w:t>
      </w:r>
      <w:r>
        <w:rPr>
          <w:rFonts w:ascii="Palatino Linotype" w:hAnsi="Palatino Linotype"/>
          <w:color w:val="000000" w:themeColor="text1"/>
        </w:rPr>
        <w:t xml:space="preserve"> a través de su respuesta a la</w:t>
      </w:r>
      <w:r w:rsidR="00E11294">
        <w:rPr>
          <w:rFonts w:ascii="Palatino Linotype" w:hAnsi="Palatino Linotype"/>
          <w:color w:val="000000" w:themeColor="text1"/>
        </w:rPr>
        <w:t>s</w:t>
      </w:r>
      <w:r>
        <w:rPr>
          <w:rFonts w:ascii="Palatino Linotype" w:hAnsi="Palatino Linotype"/>
          <w:color w:val="000000" w:themeColor="text1"/>
        </w:rPr>
        <w:t xml:space="preserve"> solicitud</w:t>
      </w:r>
      <w:r w:rsidR="00E11294">
        <w:rPr>
          <w:rFonts w:ascii="Palatino Linotype" w:hAnsi="Palatino Linotype"/>
          <w:color w:val="000000" w:themeColor="text1"/>
        </w:rPr>
        <w:t>es</w:t>
      </w:r>
      <w:r>
        <w:rPr>
          <w:rFonts w:ascii="Palatino Linotype" w:hAnsi="Palatino Linotype"/>
          <w:color w:val="000000" w:themeColor="text1"/>
        </w:rPr>
        <w:t xml:space="preserve"> </w:t>
      </w:r>
      <w:r w:rsidR="00E11294" w:rsidRPr="00E11294">
        <w:rPr>
          <w:rFonts w:ascii="Palatino Linotype" w:hAnsi="Palatino Linotype"/>
          <w:b/>
          <w:color w:val="000000" w:themeColor="text1"/>
        </w:rPr>
        <w:t>00226/CAMEM/IP/2021</w:t>
      </w:r>
      <w:r w:rsidR="00E11294">
        <w:rPr>
          <w:rFonts w:ascii="Palatino Linotype" w:hAnsi="Palatino Linotype"/>
          <w:color w:val="000000" w:themeColor="text1"/>
        </w:rPr>
        <w:t xml:space="preserve"> y </w:t>
      </w:r>
      <w:r w:rsidR="00B67B60">
        <w:rPr>
          <w:rFonts w:ascii="Palatino Linotype" w:hAnsi="Palatino Linotype"/>
          <w:b/>
          <w:color w:val="000000" w:themeColor="text1"/>
        </w:rPr>
        <w:t>00227/CAMEM/IP/2021</w:t>
      </w:r>
      <w:r w:rsidR="00E11294">
        <w:rPr>
          <w:rFonts w:ascii="Palatino Linotype" w:hAnsi="Palatino Linotype"/>
          <w:color w:val="000000" w:themeColor="text1"/>
        </w:rPr>
        <w:t>.</w:t>
      </w:r>
    </w:p>
    <w:p w14:paraId="2E39682C" w14:textId="77777777" w:rsidR="000D72C9" w:rsidRDefault="000D72C9" w:rsidP="000D72C9">
      <w:pPr>
        <w:pStyle w:val="Prrafodelista"/>
        <w:tabs>
          <w:tab w:val="left" w:pos="426"/>
        </w:tabs>
        <w:spacing w:before="240" w:after="240" w:line="360" w:lineRule="auto"/>
        <w:ind w:left="0" w:right="51"/>
        <w:jc w:val="both"/>
        <w:rPr>
          <w:rFonts w:ascii="Palatino Linotype" w:hAnsi="Palatino Linotype"/>
          <w:color w:val="000000" w:themeColor="text1"/>
        </w:rPr>
      </w:pPr>
    </w:p>
    <w:p w14:paraId="6B5E22D1" w14:textId="7DEC05C9" w:rsidR="000D72C9" w:rsidRPr="000D72C9" w:rsidRDefault="001C7733" w:rsidP="000D72C9">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0" w:name="_Toc88071785"/>
      <w:r>
        <w:rPr>
          <w:rFonts w:ascii="Palatino Linotype" w:hAnsi="Palatino Linotype"/>
          <w:b/>
          <w:color w:val="000000" w:themeColor="text1"/>
        </w:rPr>
        <w:t>IV</w:t>
      </w:r>
      <w:r w:rsidR="000D72C9">
        <w:rPr>
          <w:rFonts w:ascii="Palatino Linotype" w:hAnsi="Palatino Linotype"/>
          <w:b/>
          <w:color w:val="000000" w:themeColor="text1"/>
        </w:rPr>
        <w:t>. De la Comisión de Conciliación y Arbitraje Médico del Estado de México y Municipios.</w:t>
      </w:r>
      <w:bookmarkEnd w:id="30"/>
    </w:p>
    <w:p w14:paraId="156AAD08" w14:textId="77777777" w:rsidR="000D72C9" w:rsidRDefault="000D72C9" w:rsidP="000D72C9">
      <w:pPr>
        <w:pStyle w:val="Prrafodelista"/>
        <w:tabs>
          <w:tab w:val="left" w:pos="426"/>
        </w:tabs>
        <w:spacing w:before="240" w:after="240" w:line="360" w:lineRule="auto"/>
        <w:ind w:left="0" w:right="51"/>
        <w:jc w:val="both"/>
        <w:rPr>
          <w:rFonts w:ascii="Palatino Linotype" w:hAnsi="Palatino Linotype"/>
          <w:color w:val="000000" w:themeColor="text1"/>
        </w:rPr>
      </w:pPr>
    </w:p>
    <w:p w14:paraId="0BAEA36E" w14:textId="40BEAF9E" w:rsidR="000D72C9" w:rsidRDefault="000D72C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Comisión de Conciliación y Arbitraje Médico del Estado de México es un organismo público descentralizado, con personalidad jurídica y patrimonio </w:t>
      </w:r>
      <w:r>
        <w:rPr>
          <w:rFonts w:ascii="Palatino Linotype" w:hAnsi="Palatino Linotype"/>
          <w:color w:val="000000" w:themeColor="text1"/>
        </w:rPr>
        <w:lastRenderedPageBreak/>
        <w:t>propios, que tiene por objeto contribuir a la solución de conflictos suscitados entre los usuarios y prestadores de servicios médicos</w:t>
      </w:r>
      <w:r>
        <w:rPr>
          <w:rStyle w:val="Refdenotaalpie"/>
          <w:rFonts w:ascii="Palatino Linotype" w:hAnsi="Palatino Linotype"/>
          <w:color w:val="000000" w:themeColor="text1"/>
        </w:rPr>
        <w:footnoteReference w:id="9"/>
      </w:r>
      <w:r>
        <w:rPr>
          <w:rFonts w:ascii="Palatino Linotype" w:hAnsi="Palatino Linotype"/>
          <w:color w:val="000000" w:themeColor="text1"/>
        </w:rPr>
        <w:t>.</w:t>
      </w:r>
    </w:p>
    <w:p w14:paraId="11D17E7E" w14:textId="77777777" w:rsidR="000D72C9" w:rsidRDefault="000D72C9" w:rsidP="000D72C9">
      <w:pPr>
        <w:pStyle w:val="Prrafodelista"/>
        <w:tabs>
          <w:tab w:val="left" w:pos="426"/>
        </w:tabs>
        <w:spacing w:before="240" w:after="240" w:line="360" w:lineRule="auto"/>
        <w:ind w:left="0" w:right="51"/>
        <w:jc w:val="both"/>
        <w:rPr>
          <w:rFonts w:ascii="Palatino Linotype" w:hAnsi="Palatino Linotype"/>
          <w:color w:val="000000" w:themeColor="text1"/>
        </w:rPr>
      </w:pPr>
    </w:p>
    <w:p w14:paraId="45C05714" w14:textId="37928763" w:rsidR="000D72C9" w:rsidRDefault="000D72C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conformidad con lo dispuesto por el artículo 2.26 del Código Administrativo del Estado de México, para el cumplimiento de su objeto, el </w:t>
      </w:r>
      <w:r>
        <w:rPr>
          <w:rFonts w:ascii="Palatino Linotype" w:hAnsi="Palatino Linotype"/>
          <w:b/>
          <w:color w:val="000000" w:themeColor="text1"/>
        </w:rPr>
        <w:t>SUJETO OBLIGADO</w:t>
      </w:r>
      <w:r>
        <w:rPr>
          <w:rFonts w:ascii="Palatino Linotype" w:hAnsi="Palatino Linotype"/>
          <w:color w:val="000000" w:themeColor="text1"/>
        </w:rPr>
        <w:t xml:space="preserve"> tendrá</w:t>
      </w:r>
      <w:r w:rsidR="00126C46">
        <w:rPr>
          <w:rFonts w:ascii="Palatino Linotype" w:hAnsi="Palatino Linotype"/>
          <w:color w:val="000000" w:themeColor="text1"/>
        </w:rPr>
        <w:t xml:space="preserve"> entre sus atribuciones, </w:t>
      </w:r>
      <w:r>
        <w:rPr>
          <w:rFonts w:ascii="Palatino Linotype" w:hAnsi="Palatino Linotype"/>
          <w:color w:val="000000" w:themeColor="text1"/>
        </w:rPr>
        <w:t>las siguientes:</w:t>
      </w:r>
    </w:p>
    <w:p w14:paraId="2CEE5B1A" w14:textId="77777777" w:rsidR="000D72C9" w:rsidRDefault="000D72C9" w:rsidP="00126C46">
      <w:pPr>
        <w:pStyle w:val="Prrafodelista"/>
        <w:tabs>
          <w:tab w:val="left" w:pos="426"/>
        </w:tabs>
        <w:spacing w:before="240" w:line="360" w:lineRule="auto"/>
        <w:ind w:left="0" w:right="51"/>
        <w:jc w:val="both"/>
        <w:rPr>
          <w:rFonts w:ascii="Palatino Linotype" w:hAnsi="Palatino Linotype"/>
          <w:color w:val="000000" w:themeColor="text1"/>
        </w:rPr>
      </w:pPr>
    </w:p>
    <w:p w14:paraId="46E5F512" w14:textId="77777777" w:rsidR="00126C46" w:rsidRDefault="00126C46" w:rsidP="000D72C9">
      <w:pPr>
        <w:pStyle w:val="Prrafodelista"/>
        <w:tabs>
          <w:tab w:val="left" w:pos="426"/>
        </w:tabs>
        <w:spacing w:before="240" w:after="240" w:line="276" w:lineRule="auto"/>
        <w:ind w:left="567" w:right="567"/>
        <w:jc w:val="both"/>
        <w:rPr>
          <w:rFonts w:ascii="Palatino Linotype" w:hAnsi="Palatino Linotype"/>
          <w:i/>
          <w:sz w:val="22"/>
        </w:rPr>
      </w:pPr>
      <w:r>
        <w:rPr>
          <w:rFonts w:ascii="Palatino Linotype" w:hAnsi="Palatino Linotype"/>
          <w:i/>
          <w:sz w:val="22"/>
        </w:rPr>
        <w:t>“</w:t>
      </w:r>
      <w:r w:rsidR="000D72C9" w:rsidRPr="00126C46">
        <w:rPr>
          <w:rFonts w:ascii="Palatino Linotype" w:hAnsi="Palatino Linotype"/>
          <w:b/>
          <w:i/>
          <w:sz w:val="22"/>
        </w:rPr>
        <w:t>I.</w:t>
      </w:r>
      <w:r w:rsidR="000D72C9" w:rsidRPr="000D72C9">
        <w:rPr>
          <w:rFonts w:ascii="Palatino Linotype" w:hAnsi="Palatino Linotype"/>
          <w:i/>
          <w:sz w:val="22"/>
        </w:rPr>
        <w:t xml:space="preserve"> </w:t>
      </w:r>
      <w:r w:rsidR="000D72C9" w:rsidRPr="00126C46">
        <w:rPr>
          <w:rFonts w:ascii="Palatino Linotype" w:hAnsi="Palatino Linotype"/>
          <w:b/>
          <w:i/>
          <w:sz w:val="22"/>
        </w:rPr>
        <w:t>Brindar asesoría médico-legal</w:t>
      </w:r>
      <w:r w:rsidR="000D72C9" w:rsidRPr="000D72C9">
        <w:rPr>
          <w:rFonts w:ascii="Palatino Linotype" w:hAnsi="Palatino Linotype"/>
          <w:i/>
          <w:sz w:val="22"/>
        </w:rPr>
        <w:t xml:space="preserve"> e información a los usuarios y prestadores de servicios médicos sobre sus derechos y obligaciones en la materia; </w:t>
      </w:r>
    </w:p>
    <w:p w14:paraId="7C7E56CF" w14:textId="77777777" w:rsidR="00126C46" w:rsidRDefault="000D72C9" w:rsidP="000D72C9">
      <w:pPr>
        <w:pStyle w:val="Prrafodelista"/>
        <w:tabs>
          <w:tab w:val="left" w:pos="426"/>
        </w:tabs>
        <w:spacing w:before="240" w:after="240" w:line="276" w:lineRule="auto"/>
        <w:ind w:left="567" w:right="567"/>
        <w:jc w:val="both"/>
        <w:rPr>
          <w:rFonts w:ascii="Palatino Linotype" w:hAnsi="Palatino Linotype"/>
          <w:i/>
          <w:sz w:val="22"/>
        </w:rPr>
      </w:pPr>
      <w:r w:rsidRPr="00126C46">
        <w:rPr>
          <w:rFonts w:ascii="Palatino Linotype" w:hAnsi="Palatino Linotype"/>
          <w:b/>
          <w:i/>
          <w:sz w:val="22"/>
        </w:rPr>
        <w:t>II.</w:t>
      </w:r>
      <w:r w:rsidRPr="000D72C9">
        <w:rPr>
          <w:rFonts w:ascii="Palatino Linotype" w:hAnsi="Palatino Linotype"/>
          <w:i/>
          <w:sz w:val="22"/>
        </w:rPr>
        <w:t xml:space="preserve"> </w:t>
      </w:r>
      <w:r w:rsidRPr="00126C46">
        <w:rPr>
          <w:rFonts w:ascii="Palatino Linotype" w:hAnsi="Palatino Linotype"/>
          <w:b/>
          <w:i/>
          <w:sz w:val="22"/>
        </w:rPr>
        <w:t>Recibir, investigar y substanciar las quejas</w:t>
      </w:r>
      <w:r w:rsidRPr="000D72C9">
        <w:rPr>
          <w:rFonts w:ascii="Palatino Linotype" w:hAnsi="Palatino Linotype"/>
          <w:i/>
          <w:sz w:val="22"/>
        </w:rPr>
        <w:t xml:space="preserve"> que presenten los usuarios en contra de prestadores de servicios médicos por supuestas irregularidades en su prestación o por la negativa a otorgarlos; </w:t>
      </w:r>
    </w:p>
    <w:p w14:paraId="38EA8435" w14:textId="3248EFEE" w:rsidR="00126C46" w:rsidRDefault="00126C46" w:rsidP="000D72C9">
      <w:pPr>
        <w:pStyle w:val="Prrafodelista"/>
        <w:tabs>
          <w:tab w:val="left" w:pos="426"/>
        </w:tabs>
        <w:spacing w:before="240" w:after="240" w:line="276" w:lineRule="auto"/>
        <w:ind w:left="567" w:right="567"/>
        <w:jc w:val="both"/>
        <w:rPr>
          <w:rFonts w:ascii="Palatino Linotype" w:hAnsi="Palatino Linotype"/>
          <w:i/>
          <w:sz w:val="22"/>
        </w:rPr>
      </w:pPr>
      <w:r>
        <w:rPr>
          <w:rFonts w:ascii="Palatino Linotype" w:hAnsi="Palatino Linotype"/>
          <w:i/>
          <w:sz w:val="22"/>
        </w:rPr>
        <w:t>(…)</w:t>
      </w:r>
    </w:p>
    <w:p w14:paraId="5374AA09" w14:textId="77777777" w:rsidR="00126C46" w:rsidRDefault="000D72C9" w:rsidP="000D72C9">
      <w:pPr>
        <w:pStyle w:val="Prrafodelista"/>
        <w:tabs>
          <w:tab w:val="left" w:pos="426"/>
        </w:tabs>
        <w:spacing w:before="240" w:after="240" w:line="276" w:lineRule="auto"/>
        <w:ind w:left="567" w:right="567"/>
        <w:jc w:val="both"/>
        <w:rPr>
          <w:rFonts w:ascii="Palatino Linotype" w:hAnsi="Palatino Linotype"/>
          <w:i/>
          <w:sz w:val="22"/>
        </w:rPr>
      </w:pPr>
      <w:r w:rsidRPr="00126C46">
        <w:rPr>
          <w:rFonts w:ascii="Palatino Linotype" w:hAnsi="Palatino Linotype"/>
          <w:b/>
          <w:i/>
          <w:sz w:val="22"/>
        </w:rPr>
        <w:t>VII. Elaborar los dictámenes</w:t>
      </w:r>
      <w:r w:rsidRPr="000D72C9">
        <w:rPr>
          <w:rFonts w:ascii="Palatino Linotype" w:hAnsi="Palatino Linotype"/>
          <w:i/>
          <w:sz w:val="22"/>
        </w:rPr>
        <w:t xml:space="preserve"> o peritajes </w:t>
      </w:r>
      <w:r w:rsidRPr="00126C46">
        <w:rPr>
          <w:rFonts w:ascii="Palatino Linotype" w:hAnsi="Palatino Linotype"/>
          <w:b/>
          <w:i/>
          <w:sz w:val="22"/>
        </w:rPr>
        <w:t>médicos que le sean solicitados por las autoridades judiciales, administrativas o el ministerio público</w:t>
      </w:r>
      <w:r w:rsidRPr="000D72C9">
        <w:rPr>
          <w:rFonts w:ascii="Palatino Linotype" w:hAnsi="Palatino Linotype"/>
          <w:i/>
          <w:sz w:val="22"/>
        </w:rPr>
        <w:t xml:space="preserve">, en términos de los convenios que para tal efecto se celebren; </w:t>
      </w:r>
    </w:p>
    <w:p w14:paraId="5F0B8D82" w14:textId="44DA9BE4" w:rsidR="000D72C9" w:rsidRDefault="00126C46" w:rsidP="000D72C9">
      <w:pPr>
        <w:pStyle w:val="Prrafodelista"/>
        <w:tabs>
          <w:tab w:val="left" w:pos="426"/>
        </w:tabs>
        <w:spacing w:before="240" w:after="240" w:line="276" w:lineRule="auto"/>
        <w:ind w:left="567" w:right="567"/>
        <w:jc w:val="both"/>
        <w:rPr>
          <w:rFonts w:ascii="Palatino Linotype" w:hAnsi="Palatino Linotype"/>
          <w:sz w:val="22"/>
        </w:rPr>
      </w:pPr>
      <w:r>
        <w:rPr>
          <w:rFonts w:ascii="Palatino Linotype" w:hAnsi="Palatino Linotype"/>
          <w:i/>
          <w:sz w:val="22"/>
        </w:rPr>
        <w:t>(…)”</w:t>
      </w:r>
    </w:p>
    <w:p w14:paraId="119B6607" w14:textId="2286D45A" w:rsidR="00126C46" w:rsidRPr="00126C46" w:rsidRDefault="00126C46" w:rsidP="000D72C9">
      <w:pPr>
        <w:pStyle w:val="Prrafodelista"/>
        <w:tabs>
          <w:tab w:val="left" w:pos="426"/>
        </w:tabs>
        <w:spacing w:before="240" w:after="240" w:line="276" w:lineRule="auto"/>
        <w:ind w:left="567" w:right="567"/>
        <w:jc w:val="both"/>
        <w:rPr>
          <w:rFonts w:ascii="Palatino Linotype" w:hAnsi="Palatino Linotype"/>
          <w:color w:val="000000" w:themeColor="text1"/>
          <w:sz w:val="22"/>
        </w:rPr>
      </w:pPr>
      <w:r>
        <w:rPr>
          <w:rFonts w:ascii="Palatino Linotype" w:hAnsi="Palatino Linotype"/>
          <w:sz w:val="22"/>
        </w:rPr>
        <w:t>(Énfasis añadido)</w:t>
      </w:r>
    </w:p>
    <w:p w14:paraId="594090B0" w14:textId="77777777" w:rsidR="000D72C9" w:rsidRDefault="000D72C9" w:rsidP="000D72C9">
      <w:pPr>
        <w:pStyle w:val="Prrafodelista"/>
        <w:tabs>
          <w:tab w:val="left" w:pos="426"/>
        </w:tabs>
        <w:spacing w:before="240" w:after="240" w:line="360" w:lineRule="auto"/>
        <w:ind w:left="0" w:right="51"/>
        <w:jc w:val="both"/>
        <w:rPr>
          <w:rFonts w:ascii="Palatino Linotype" w:hAnsi="Palatino Linotype"/>
          <w:color w:val="000000" w:themeColor="text1"/>
        </w:rPr>
      </w:pPr>
    </w:p>
    <w:p w14:paraId="74B2DF39" w14:textId="7259BC4D" w:rsidR="000D72C9" w:rsidRDefault="00126C46"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De acuerdo con el Manual General de Organización de la Comisión de Conciliación y Arbitraje Médico del Estado de México, su estructura orgánica se repartirá de la siguiente manera:</w:t>
      </w:r>
    </w:p>
    <w:p w14:paraId="30601D88" w14:textId="7B7A223A" w:rsidR="00126C46" w:rsidRDefault="00126C46" w:rsidP="00577C3F">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Comisión de Conciliación y Arbitraje Médico del Estado de México;</w:t>
      </w:r>
    </w:p>
    <w:p w14:paraId="7C559D22" w14:textId="22EA7476" w:rsidR="00126C46" w:rsidRDefault="00126C46" w:rsidP="00577C3F">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Comisionado;</w:t>
      </w:r>
    </w:p>
    <w:p w14:paraId="177FF519" w14:textId="4979F7D3" w:rsidR="00126C46" w:rsidRDefault="00126C46" w:rsidP="00577C3F">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lastRenderedPageBreak/>
        <w:t>Unidad de Calidad en el Servicio Médico;</w:t>
      </w:r>
    </w:p>
    <w:p w14:paraId="0537D1D8" w14:textId="1C431745" w:rsidR="00126C46" w:rsidRDefault="00126C46" w:rsidP="00577C3F">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Unidad de Peritajes;</w:t>
      </w:r>
    </w:p>
    <w:p w14:paraId="672547DF" w14:textId="4410E437" w:rsidR="00126C46" w:rsidRDefault="00126C46" w:rsidP="00577C3F">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Unidad de Apoyo Administrativo;</w:t>
      </w:r>
    </w:p>
    <w:p w14:paraId="54E08310" w14:textId="66CD998F" w:rsidR="00126C46" w:rsidRDefault="00126C46" w:rsidP="00577C3F">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Contraloría Interna;</w:t>
      </w:r>
    </w:p>
    <w:p w14:paraId="16E83F35" w14:textId="4627750F" w:rsidR="00126C46" w:rsidRDefault="00126C46" w:rsidP="00577C3F">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Subcomisión de Recepción y Seguimiento de Quejas;</w:t>
      </w:r>
    </w:p>
    <w:p w14:paraId="1E4E8A97" w14:textId="4399CFD2" w:rsidR="00126C46" w:rsidRDefault="00126C46" w:rsidP="00577C3F">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Subcomisión de Conciliación y Arbitraje; y</w:t>
      </w:r>
    </w:p>
    <w:p w14:paraId="55629FD0" w14:textId="1426A1B0" w:rsidR="00126C46" w:rsidRDefault="00126C46" w:rsidP="00577C3F">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Delegación Valle de México.</w:t>
      </w:r>
    </w:p>
    <w:p w14:paraId="4F29B82E" w14:textId="77777777" w:rsidR="000D72C9" w:rsidRDefault="000D72C9" w:rsidP="000D72C9">
      <w:pPr>
        <w:pStyle w:val="Prrafodelista"/>
        <w:tabs>
          <w:tab w:val="left" w:pos="426"/>
        </w:tabs>
        <w:spacing w:before="240" w:after="240" w:line="360" w:lineRule="auto"/>
        <w:ind w:left="0" w:right="51"/>
        <w:jc w:val="both"/>
        <w:rPr>
          <w:rFonts w:ascii="Palatino Linotype" w:hAnsi="Palatino Linotype"/>
          <w:color w:val="000000" w:themeColor="text1"/>
        </w:rPr>
      </w:pPr>
    </w:p>
    <w:p w14:paraId="32D28991" w14:textId="3CAEDDB1" w:rsidR="000D72C9" w:rsidRDefault="00126C46"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Siendo de especial interés, dada la naturaleza de la información solicitada, la </w:t>
      </w:r>
      <w:r w:rsidRPr="00126C46">
        <w:rPr>
          <w:rFonts w:ascii="Palatino Linotype" w:hAnsi="Palatino Linotype"/>
          <w:b/>
          <w:color w:val="000000" w:themeColor="text1"/>
        </w:rPr>
        <w:t>Unidad de Peritajes</w:t>
      </w:r>
      <w:r w:rsidR="00AC3E08">
        <w:rPr>
          <w:rStyle w:val="Refdenotaalpie"/>
          <w:rFonts w:ascii="Palatino Linotype" w:hAnsi="Palatino Linotype"/>
          <w:b/>
          <w:color w:val="000000" w:themeColor="text1"/>
        </w:rPr>
        <w:footnoteReference w:id="10"/>
      </w:r>
      <w:r>
        <w:rPr>
          <w:rFonts w:ascii="Palatino Linotype" w:hAnsi="Palatino Linotype"/>
          <w:color w:val="000000" w:themeColor="text1"/>
        </w:rPr>
        <w:t>, la cual tendrá por objeto el emitir peritajes técnico-médicos solicitados a la Comisión de Conciliación y Arbitraje Médico del Estado de México, por autoridades jurisdiccionales, mediante el estudio y análisis de casos.</w:t>
      </w:r>
    </w:p>
    <w:p w14:paraId="60CB0308" w14:textId="77777777" w:rsidR="00AC3E08" w:rsidRDefault="00AC3E08" w:rsidP="00AC3E08">
      <w:pPr>
        <w:pStyle w:val="Prrafodelista"/>
        <w:tabs>
          <w:tab w:val="left" w:pos="426"/>
        </w:tabs>
        <w:spacing w:before="240" w:after="240" w:line="360" w:lineRule="auto"/>
        <w:ind w:left="0" w:right="51"/>
        <w:jc w:val="both"/>
        <w:rPr>
          <w:rFonts w:ascii="Palatino Linotype" w:hAnsi="Palatino Linotype"/>
          <w:color w:val="000000" w:themeColor="text1"/>
        </w:rPr>
      </w:pPr>
    </w:p>
    <w:p w14:paraId="06F5410F" w14:textId="41742EF0" w:rsidR="00AC3E08" w:rsidRDefault="00AC3E08"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su parte, la </w:t>
      </w:r>
      <w:r>
        <w:rPr>
          <w:rFonts w:ascii="Palatino Linotype" w:hAnsi="Palatino Linotype"/>
          <w:b/>
          <w:color w:val="000000" w:themeColor="text1"/>
        </w:rPr>
        <w:t>Subcomisión de Recepción y Seguimiento de Quejas</w:t>
      </w:r>
      <w:r>
        <w:rPr>
          <w:rStyle w:val="Refdenotaalpie"/>
          <w:rFonts w:ascii="Palatino Linotype" w:hAnsi="Palatino Linotype"/>
          <w:b/>
          <w:color w:val="000000" w:themeColor="text1"/>
        </w:rPr>
        <w:footnoteReference w:id="11"/>
      </w:r>
      <w:r>
        <w:rPr>
          <w:rFonts w:ascii="Palatino Linotype" w:hAnsi="Palatino Linotype"/>
          <w:color w:val="000000" w:themeColor="text1"/>
        </w:rPr>
        <w:t xml:space="preserve"> se hará cargo de recibir, orientar y asesorar a los usuarios que acudan a presentar su queja ante el </w:t>
      </w:r>
      <w:r>
        <w:rPr>
          <w:rFonts w:ascii="Palatino Linotype" w:hAnsi="Palatino Linotype"/>
          <w:b/>
          <w:color w:val="000000" w:themeColor="text1"/>
        </w:rPr>
        <w:t>SUJETO OBLIGADO</w:t>
      </w:r>
      <w:r>
        <w:rPr>
          <w:rFonts w:ascii="Palatino Linotype" w:hAnsi="Palatino Linotype"/>
          <w:color w:val="000000" w:themeColor="text1"/>
        </w:rPr>
        <w:t xml:space="preserve">, llevando a cabo el seguimiento correspondiente a cada casa hasta su conclusión. Mientras que la </w:t>
      </w:r>
      <w:r>
        <w:rPr>
          <w:rFonts w:ascii="Palatino Linotype" w:hAnsi="Palatino Linotype"/>
          <w:b/>
          <w:color w:val="000000" w:themeColor="text1"/>
        </w:rPr>
        <w:t>Subcomisión de Conciliación y Arbitraje</w:t>
      </w:r>
      <w:r>
        <w:rPr>
          <w:rStyle w:val="Refdenotaalpie"/>
          <w:rFonts w:ascii="Palatino Linotype" w:hAnsi="Palatino Linotype"/>
          <w:b/>
          <w:color w:val="000000" w:themeColor="text1"/>
        </w:rPr>
        <w:footnoteReference w:id="12"/>
      </w:r>
      <w:r>
        <w:rPr>
          <w:rFonts w:ascii="Palatino Linotype" w:hAnsi="Palatino Linotype"/>
          <w:color w:val="000000" w:themeColor="text1"/>
        </w:rPr>
        <w:t xml:space="preserve"> tendrá el objetivo de analizar las quejas, e investigar los hechos presumiblemente atribuidos a los prestadores de servicios médicos, de acuerdo con </w:t>
      </w:r>
      <w:r>
        <w:rPr>
          <w:rFonts w:ascii="Palatino Linotype" w:hAnsi="Palatino Linotype"/>
          <w:color w:val="000000" w:themeColor="text1"/>
        </w:rPr>
        <w:lastRenderedPageBreak/>
        <w:t>las especificaciones planteadas en la queja inicial, a efecto de emitir los laudos, acuerdos o resoluciones que correspondan para llevar a buen término la conciliación.</w:t>
      </w:r>
    </w:p>
    <w:p w14:paraId="1803E8C5" w14:textId="77777777" w:rsidR="00E02DA3" w:rsidRDefault="00E02DA3"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0722DB1F" w14:textId="4BD9781A" w:rsidR="00517555" w:rsidRPr="00517555" w:rsidRDefault="000D72C9" w:rsidP="00517555">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8071786"/>
      <w:r>
        <w:rPr>
          <w:rFonts w:ascii="Palatino Linotype" w:hAnsi="Palatino Linotype"/>
          <w:b/>
          <w:color w:val="000000" w:themeColor="text1"/>
        </w:rPr>
        <w:t>V</w:t>
      </w:r>
      <w:r w:rsidR="00517555">
        <w:rPr>
          <w:rFonts w:ascii="Palatino Linotype" w:hAnsi="Palatino Linotype"/>
          <w:b/>
          <w:color w:val="000000" w:themeColor="text1"/>
        </w:rPr>
        <w:t>. Del procedimiento de acceso a la información pública.</w:t>
      </w:r>
      <w:bookmarkEnd w:id="31"/>
    </w:p>
    <w:p w14:paraId="5F3CE484" w14:textId="77777777" w:rsidR="00517555" w:rsidRDefault="00517555"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7329EAB7" w14:textId="0F741EDD" w:rsidR="00E02DA3" w:rsidRDefault="00126C46"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Ahora bien, la</w:t>
      </w:r>
      <w:r w:rsidR="006B4585">
        <w:rPr>
          <w:rFonts w:ascii="Palatino Linotype" w:hAnsi="Palatino Linotype"/>
          <w:color w:val="000000" w:themeColor="text1"/>
        </w:rPr>
        <w:t xml:space="preserve"> </w:t>
      </w:r>
      <w:r w:rsidR="006B4585" w:rsidRPr="006B4585">
        <w:rPr>
          <w:rFonts w:ascii="Palatino Linotype" w:hAnsi="Palatino Linotype"/>
          <w:color w:val="000000" w:themeColor="text1"/>
        </w:rPr>
        <w:t>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690595B8" w14:textId="77777777" w:rsidR="00E02DA3" w:rsidRDefault="00E02DA3"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0CB4D654" w14:textId="57AD4282" w:rsidR="00E02DA3" w:rsidRDefault="006B4585"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956116">
        <w:rPr>
          <w:rFonts w:ascii="Palatino Linotype" w:hAnsi="Palatino Linotype" w:cs="Arial"/>
        </w:rPr>
        <w:t xml:space="preserve">atender las solicitudes de información, los Sujetos Obligados contarán con un área denominada </w:t>
      </w:r>
      <w:r w:rsidRPr="00956116">
        <w:rPr>
          <w:rFonts w:ascii="Palatino Linotype" w:hAnsi="Palatino Linotype" w:cs="Arial"/>
          <w:b/>
          <w:bCs/>
        </w:rPr>
        <w:t>Unidad de Transparencia</w:t>
      </w:r>
      <w:r w:rsidRPr="00956116">
        <w:rPr>
          <w:rFonts w:ascii="Palatino Linotype" w:hAnsi="Palatino Linotype" w:cs="Arial"/>
          <w:vertAlign w:val="superscript"/>
        </w:rPr>
        <w:footnoteReference w:id="13"/>
      </w:r>
      <w:r w:rsidRPr="00956116">
        <w:rPr>
          <w:rFonts w:ascii="Palatino Linotype" w:hAnsi="Palatino Linotype" w:cs="Arial"/>
        </w:rPr>
        <w:t xml:space="preserve">, la cual será presidida por un Titular, quien fungirá como enlace entre éstos y los solicitantes. Dicha Unidad </w:t>
      </w:r>
      <w:r w:rsidRPr="00956116">
        <w:rPr>
          <w:rFonts w:ascii="Palatino Linotype" w:hAnsi="Palatino Linotype" w:cs="Arial"/>
          <w:b/>
          <w:bCs/>
        </w:rPr>
        <w:t>será la encargada de tramitar internamente la solicitud de información</w:t>
      </w:r>
      <w:r w:rsidRPr="00956116">
        <w:rPr>
          <w:rFonts w:ascii="Palatino Linotype" w:hAnsi="Palatino Linotype" w:cs="Arial"/>
        </w:rPr>
        <w:t xml:space="preserve"> y tendrá la responsabilidad de verificar en cada caso que la misma no sea confidencial o reservada. Asimismo, contará con las facultades internas necesarias para </w:t>
      </w:r>
      <w:r w:rsidRPr="00956116">
        <w:rPr>
          <w:rFonts w:ascii="Palatino Linotype" w:hAnsi="Palatino Linotype" w:cs="Arial"/>
          <w:b/>
          <w:bCs/>
        </w:rPr>
        <w:t xml:space="preserve">gestionar la atención a las solicitudes de información </w:t>
      </w:r>
      <w:r w:rsidRPr="00956116">
        <w:rPr>
          <w:rFonts w:ascii="Palatino Linotype" w:hAnsi="Palatino Linotype" w:cs="Arial"/>
        </w:rPr>
        <w:t xml:space="preserve">en los términos de la Ley General y la </w:t>
      </w:r>
      <w:r w:rsidRPr="00956116">
        <w:rPr>
          <w:rFonts w:ascii="Palatino Linotype" w:hAnsi="Palatino Linotype" w:cs="Arial"/>
        </w:rPr>
        <w:lastRenderedPageBreak/>
        <w:t>Ley de Transparencia y Acceso a la Información Pública del Estado de México y Municipios</w:t>
      </w:r>
      <w:r w:rsidRPr="00956116">
        <w:rPr>
          <w:rFonts w:ascii="Palatino Linotype" w:hAnsi="Palatino Linotype" w:cs="Arial"/>
          <w:vertAlign w:val="superscript"/>
        </w:rPr>
        <w:footnoteReference w:id="14"/>
      </w:r>
      <w:r w:rsidRPr="00956116">
        <w:rPr>
          <w:rFonts w:ascii="Palatino Linotype" w:hAnsi="Palatino Linotype" w:cs="Arial"/>
        </w:rPr>
        <w:t>.</w:t>
      </w:r>
    </w:p>
    <w:p w14:paraId="164DB0FA" w14:textId="77777777" w:rsidR="00E02DA3" w:rsidRDefault="00E02DA3"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5D2F0A8B" w14:textId="0371C80E" w:rsidR="00E02DA3" w:rsidRPr="006B4585" w:rsidRDefault="006B4585"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58FDEC1F" w14:textId="77777777" w:rsidR="006B4585" w:rsidRPr="007B2587" w:rsidRDefault="006B4585" w:rsidP="00577C3F">
      <w:pPr>
        <w:pStyle w:val="Prrafodelista"/>
        <w:numPr>
          <w:ilvl w:val="1"/>
          <w:numId w:val="5"/>
        </w:numPr>
        <w:tabs>
          <w:tab w:val="left" w:pos="426"/>
        </w:tabs>
        <w:spacing w:before="240" w:after="240" w:line="360" w:lineRule="auto"/>
        <w:ind w:left="1134" w:right="51"/>
        <w:jc w:val="both"/>
        <w:rPr>
          <w:rFonts w:ascii="Palatino Linotype" w:hAnsi="Palatino Linotype" w:cs="Arial"/>
          <w:color w:val="000000" w:themeColor="text1"/>
        </w:rPr>
      </w:pPr>
      <w:r>
        <w:rPr>
          <w:rFonts w:ascii="Palatino Linotype" w:hAnsi="Palatino Linotype" w:cs="Arial"/>
          <w:color w:val="000000" w:themeColor="text1"/>
        </w:rPr>
        <w:t xml:space="preserve">Recibir, </w:t>
      </w:r>
      <w:r w:rsidRPr="007B2587">
        <w:rPr>
          <w:rFonts w:ascii="Palatino Linotype" w:hAnsi="Palatino Linotype" w:cs="Arial"/>
          <w:color w:val="000000" w:themeColor="text1"/>
        </w:rPr>
        <w:t xml:space="preserve">tramitar y </w:t>
      </w:r>
      <w:r w:rsidRPr="00A2069D">
        <w:rPr>
          <w:rFonts w:ascii="Palatino Linotype" w:hAnsi="Palatino Linotype" w:cs="Arial"/>
          <w:b/>
          <w:color w:val="000000" w:themeColor="text1"/>
        </w:rPr>
        <w:t>dar respuesta</w:t>
      </w:r>
      <w:r w:rsidRPr="007B2587">
        <w:rPr>
          <w:rFonts w:ascii="Palatino Linotype" w:hAnsi="Palatino Linotype" w:cs="Arial"/>
          <w:color w:val="000000" w:themeColor="text1"/>
        </w:rPr>
        <w:t xml:space="preserve"> a las solicitudes de acceso a la información;</w:t>
      </w:r>
    </w:p>
    <w:p w14:paraId="2058363C" w14:textId="77777777" w:rsidR="006B4585" w:rsidRPr="007B2587" w:rsidRDefault="006B4585" w:rsidP="00577C3F">
      <w:pPr>
        <w:pStyle w:val="Prrafodelista"/>
        <w:numPr>
          <w:ilvl w:val="1"/>
          <w:numId w:val="5"/>
        </w:numPr>
        <w:tabs>
          <w:tab w:val="left" w:pos="426"/>
        </w:tabs>
        <w:spacing w:before="240" w:after="240" w:line="360" w:lineRule="auto"/>
        <w:ind w:left="1134" w:right="51"/>
        <w:jc w:val="both"/>
        <w:rPr>
          <w:rFonts w:ascii="Palatino Linotype" w:hAnsi="Palatino Linotype" w:cs="Arial"/>
          <w:color w:val="000000" w:themeColor="text1"/>
        </w:rPr>
      </w:pPr>
      <w:r w:rsidRPr="007B2587">
        <w:rPr>
          <w:rFonts w:ascii="Palatino Linotype" w:hAnsi="Palatino Linotype" w:cs="Arial"/>
          <w:color w:val="000000" w:themeColor="text1"/>
        </w:rPr>
        <w:t xml:space="preserve">Realizar, con efectividad, los </w:t>
      </w:r>
      <w:r w:rsidRPr="00217B86">
        <w:rPr>
          <w:rFonts w:ascii="Palatino Linotype" w:hAnsi="Palatino Linotype" w:cs="Arial"/>
          <w:b/>
          <w:color w:val="000000" w:themeColor="text1"/>
        </w:rPr>
        <w:t>trámites internos necesarios para la atención de las solicitudes</w:t>
      </w:r>
      <w:r w:rsidRPr="007B2587">
        <w:rPr>
          <w:rFonts w:ascii="Palatino Linotype" w:hAnsi="Palatino Linotype" w:cs="Arial"/>
          <w:color w:val="000000" w:themeColor="text1"/>
        </w:rPr>
        <w:t xml:space="preserve"> de acceso a la información; </w:t>
      </w:r>
    </w:p>
    <w:p w14:paraId="73254E85" w14:textId="77777777" w:rsidR="006B4585" w:rsidRPr="007B2587" w:rsidRDefault="006B4585" w:rsidP="00577C3F">
      <w:pPr>
        <w:pStyle w:val="Prrafodelista"/>
        <w:numPr>
          <w:ilvl w:val="1"/>
          <w:numId w:val="5"/>
        </w:numPr>
        <w:tabs>
          <w:tab w:val="left" w:pos="426"/>
        </w:tabs>
        <w:spacing w:before="240" w:after="240" w:line="360" w:lineRule="auto"/>
        <w:ind w:left="1134" w:right="51"/>
        <w:jc w:val="both"/>
        <w:rPr>
          <w:rFonts w:ascii="Palatino Linotype" w:hAnsi="Palatino Linotype" w:cs="Arial"/>
          <w:color w:val="000000" w:themeColor="text1"/>
        </w:rPr>
      </w:pPr>
      <w:r w:rsidRPr="00A2069D">
        <w:rPr>
          <w:rFonts w:ascii="Palatino Linotype" w:hAnsi="Palatino Linotype" w:cs="Arial"/>
          <w:b/>
          <w:color w:val="000000" w:themeColor="text1"/>
        </w:rPr>
        <w:t>Entregar</w:t>
      </w:r>
      <w:r w:rsidRPr="007B2587">
        <w:rPr>
          <w:rFonts w:ascii="Palatino Linotype" w:hAnsi="Palatino Linotype" w:cs="Arial"/>
          <w:color w:val="000000" w:themeColor="text1"/>
        </w:rPr>
        <w:t xml:space="preserve">, en su caso, a los particulares </w:t>
      </w:r>
      <w:r w:rsidRPr="00A2069D">
        <w:rPr>
          <w:rFonts w:ascii="Palatino Linotype" w:hAnsi="Palatino Linotype" w:cs="Arial"/>
          <w:b/>
          <w:color w:val="000000" w:themeColor="text1"/>
        </w:rPr>
        <w:t>la información solicitada</w:t>
      </w:r>
      <w:r w:rsidRPr="007B2587">
        <w:rPr>
          <w:rFonts w:ascii="Palatino Linotype" w:hAnsi="Palatino Linotype" w:cs="Arial"/>
          <w:color w:val="000000" w:themeColor="text1"/>
        </w:rPr>
        <w:t xml:space="preserve">; y </w:t>
      </w:r>
    </w:p>
    <w:p w14:paraId="79474AA6" w14:textId="2E00690B" w:rsidR="006B4585" w:rsidRDefault="00A2069D" w:rsidP="00577C3F">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A2069D">
        <w:rPr>
          <w:rFonts w:ascii="Palatino Linotype" w:hAnsi="Palatino Linotype" w:cs="Arial"/>
          <w:b/>
          <w:color w:val="000000" w:themeColor="text1"/>
        </w:rPr>
        <w:t>Presentar</w:t>
      </w:r>
      <w:r>
        <w:rPr>
          <w:rFonts w:ascii="Palatino Linotype" w:hAnsi="Palatino Linotype" w:cs="Arial"/>
          <w:color w:val="000000" w:themeColor="text1"/>
        </w:rPr>
        <w:t xml:space="preserve"> ante el Comité, el proyecto de clasificación de información</w:t>
      </w:r>
      <w:r w:rsidR="006B4585" w:rsidRPr="007B2587">
        <w:rPr>
          <w:rFonts w:ascii="Palatino Linotype" w:hAnsi="Palatino Linotype" w:cs="Arial"/>
          <w:color w:val="000000" w:themeColor="text1"/>
        </w:rPr>
        <w:t>.</w:t>
      </w:r>
    </w:p>
    <w:p w14:paraId="3D8B2756" w14:textId="77777777" w:rsidR="00E02DA3" w:rsidRDefault="00E02DA3"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52DC297F" w14:textId="173AC8E9" w:rsidR="00E02DA3" w:rsidRPr="006B4585" w:rsidRDefault="006B4585"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Otros </w:t>
      </w:r>
      <w:r>
        <w:rPr>
          <w:rFonts w:ascii="Palatino Linotype" w:hAnsi="Palatino Linotype" w:cs="Arial"/>
          <w:color w:val="000000" w:themeColor="text1"/>
        </w:rPr>
        <w:t xml:space="preserve">sujetos del proceso de atención a las solicitudes de información son los servidores públicos habilitados, quienes </w:t>
      </w:r>
      <w:r w:rsidRPr="00A67297">
        <w:rPr>
          <w:rFonts w:ascii="Palatino Linotype" w:hAnsi="Palatino Linotype" w:cs="Arial"/>
          <w:color w:val="000000" w:themeColor="text1"/>
        </w:rPr>
        <w:t>serán designados por el titular del Sujeto Obligado a propuesta del responsable de la Unidad de Transparencia</w:t>
      </w:r>
      <w:r>
        <w:rPr>
          <w:rStyle w:val="Refdenotaalpie"/>
          <w:rFonts w:ascii="Palatino Linotype" w:hAnsi="Palatino Linotype" w:cs="Arial"/>
          <w:color w:val="000000" w:themeColor="text1"/>
        </w:rPr>
        <w:footnoteReference w:id="15"/>
      </w:r>
      <w:r>
        <w:rPr>
          <w:rFonts w:ascii="Palatino Linotype" w:hAnsi="Palatino Linotype" w:cs="Arial"/>
          <w:color w:val="000000" w:themeColor="text1"/>
        </w:rPr>
        <w:t xml:space="preserve"> y tendrán, entre sus atribuciones, las siguientes</w:t>
      </w:r>
      <w:r>
        <w:rPr>
          <w:rStyle w:val="Refdenotaalpie"/>
          <w:rFonts w:ascii="Palatino Linotype" w:hAnsi="Palatino Linotype" w:cs="Arial"/>
          <w:color w:val="000000" w:themeColor="text1"/>
        </w:rPr>
        <w:footnoteReference w:id="16"/>
      </w:r>
      <w:r>
        <w:rPr>
          <w:rFonts w:ascii="Palatino Linotype" w:hAnsi="Palatino Linotype" w:cs="Arial"/>
          <w:color w:val="000000" w:themeColor="text1"/>
        </w:rPr>
        <w:t>:</w:t>
      </w:r>
    </w:p>
    <w:p w14:paraId="4FADBA9D" w14:textId="77777777" w:rsidR="006B4585" w:rsidRPr="00A44BE6" w:rsidRDefault="006B4585" w:rsidP="00577C3F">
      <w:pPr>
        <w:pStyle w:val="Prrafodelista"/>
        <w:numPr>
          <w:ilvl w:val="1"/>
          <w:numId w:val="6"/>
        </w:numPr>
        <w:tabs>
          <w:tab w:val="left" w:pos="426"/>
        </w:tabs>
        <w:spacing w:before="240" w:after="240" w:line="360" w:lineRule="auto"/>
        <w:ind w:left="1134" w:right="51"/>
        <w:jc w:val="both"/>
        <w:rPr>
          <w:rFonts w:ascii="Palatino Linotype" w:hAnsi="Palatino Linotype" w:cs="Arial"/>
          <w:color w:val="000000" w:themeColor="text1"/>
        </w:rPr>
      </w:pPr>
      <w:r w:rsidRPr="00A2069D">
        <w:rPr>
          <w:rFonts w:ascii="Palatino Linotype" w:hAnsi="Palatino Linotype" w:cs="Arial"/>
          <w:b/>
          <w:color w:val="000000" w:themeColor="text1"/>
        </w:rPr>
        <w:t>Localizar la información</w:t>
      </w:r>
      <w:r w:rsidRPr="00A44BE6">
        <w:rPr>
          <w:rFonts w:ascii="Palatino Linotype" w:hAnsi="Palatino Linotype" w:cs="Arial"/>
          <w:color w:val="000000" w:themeColor="text1"/>
        </w:rPr>
        <w:t xml:space="preserve"> que le solicite la Unidad de Transparencia; y</w:t>
      </w:r>
    </w:p>
    <w:p w14:paraId="1C8897D0" w14:textId="56DCE862" w:rsidR="006B4585" w:rsidRDefault="006B4585" w:rsidP="00577C3F">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A2069D">
        <w:rPr>
          <w:rFonts w:ascii="Palatino Linotype" w:hAnsi="Palatino Linotype" w:cs="Arial"/>
          <w:b/>
          <w:color w:val="000000" w:themeColor="text1"/>
        </w:rPr>
        <w:t>Proporcionar</w:t>
      </w:r>
      <w:r w:rsidRPr="00A44BE6">
        <w:rPr>
          <w:rFonts w:ascii="Palatino Linotype" w:hAnsi="Palatino Linotype" w:cs="Arial"/>
          <w:color w:val="000000" w:themeColor="text1"/>
        </w:rPr>
        <w:t xml:space="preserve"> la información que obre en los archivos y que le sea solicitada por la Unidad de Transparencia.</w:t>
      </w:r>
    </w:p>
    <w:p w14:paraId="1E70D0C8" w14:textId="77777777" w:rsidR="00E02DA3" w:rsidRDefault="00E02DA3"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62902802" w14:textId="2B50433A" w:rsidR="00E02DA3" w:rsidRDefault="006B4585"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hAnsi="Palatino Linotype" w:cs="Arial"/>
          <w:color w:val="000000" w:themeColor="text1"/>
        </w:rPr>
        <w:t xml:space="preserve">tal manera que cada una de las áreas administrativas del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69064785" w14:textId="77777777" w:rsidR="00E02DA3" w:rsidRDefault="00E02DA3"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3F146607" w14:textId="1F124437" w:rsidR="006B53EE" w:rsidRDefault="007D3356"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respecto, el artículo 162 de la Ley de Transparencia y Acceso a la Información Pública del Estado de México y Municipios establece que las </w:t>
      </w:r>
      <w:r w:rsidRPr="007D3356">
        <w:rPr>
          <w:rFonts w:ascii="Palatino Linotype" w:hAnsi="Palatino Linotype"/>
          <w:color w:val="000000" w:themeColor="text1"/>
        </w:rPr>
        <w:t>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Pr>
          <w:rStyle w:val="Refdenotaalpie"/>
          <w:rFonts w:ascii="Palatino Linotype" w:hAnsi="Palatino Linotype"/>
          <w:color w:val="000000" w:themeColor="text1"/>
        </w:rPr>
        <w:footnoteReference w:id="17"/>
      </w:r>
      <w:r>
        <w:rPr>
          <w:rFonts w:ascii="Palatino Linotype" w:hAnsi="Palatino Linotype"/>
          <w:color w:val="000000" w:themeColor="text1"/>
        </w:rPr>
        <w:t>.</w:t>
      </w:r>
    </w:p>
    <w:p w14:paraId="73CF2A7C" w14:textId="77777777" w:rsidR="006B53EE" w:rsidRDefault="006B53EE" w:rsidP="006B53EE">
      <w:pPr>
        <w:pStyle w:val="Prrafodelista"/>
        <w:tabs>
          <w:tab w:val="left" w:pos="426"/>
        </w:tabs>
        <w:spacing w:before="240" w:after="240" w:line="360" w:lineRule="auto"/>
        <w:ind w:left="0" w:right="51"/>
        <w:jc w:val="both"/>
        <w:rPr>
          <w:rFonts w:ascii="Palatino Linotype" w:hAnsi="Palatino Linotype"/>
          <w:color w:val="000000" w:themeColor="text1"/>
        </w:rPr>
      </w:pPr>
    </w:p>
    <w:p w14:paraId="2D062326" w14:textId="150529F6" w:rsidR="006B53EE" w:rsidRDefault="007D3356"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su parte, el numeral 163 de la Ley de la materia señala que </w:t>
      </w:r>
      <w:r w:rsidRPr="007D3356">
        <w:rPr>
          <w:rFonts w:ascii="Palatino Linotype" w:hAnsi="Palatino Linotype"/>
          <w:b/>
          <w:color w:val="000000" w:themeColor="text1"/>
        </w:rPr>
        <w:t>la Unidad de Transparencia deberá notificar la respuesta a la solicitud al interesado</w:t>
      </w:r>
      <w:r w:rsidRPr="007D3356">
        <w:rPr>
          <w:rFonts w:ascii="Palatino Linotype" w:hAnsi="Palatino Linotype"/>
          <w:color w:val="000000" w:themeColor="text1"/>
        </w:rPr>
        <w:t xml:space="preserve"> en el menor tiempo posible, que no podrá exceder de quince días hábiles, contados a partir del día siguiente a la presentación de aquélla</w:t>
      </w:r>
      <w:r>
        <w:rPr>
          <w:rFonts w:ascii="Palatino Linotype" w:hAnsi="Palatino Linotype"/>
          <w:color w:val="000000" w:themeColor="text1"/>
        </w:rPr>
        <w:t>.</w:t>
      </w:r>
    </w:p>
    <w:p w14:paraId="6D9DDD17" w14:textId="77777777" w:rsidR="006B53EE" w:rsidRDefault="006B53EE" w:rsidP="006B53EE">
      <w:pPr>
        <w:pStyle w:val="Prrafodelista"/>
        <w:tabs>
          <w:tab w:val="left" w:pos="426"/>
        </w:tabs>
        <w:spacing w:before="240" w:after="240" w:line="360" w:lineRule="auto"/>
        <w:ind w:left="0" w:right="51"/>
        <w:jc w:val="both"/>
        <w:rPr>
          <w:rFonts w:ascii="Palatino Linotype" w:hAnsi="Palatino Linotype"/>
          <w:color w:val="000000" w:themeColor="text1"/>
        </w:rPr>
      </w:pPr>
    </w:p>
    <w:p w14:paraId="0B058532" w14:textId="745C9F83" w:rsidR="00E02DA3" w:rsidRDefault="007D3356"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Una vez establecido </w:t>
      </w:r>
      <w:r>
        <w:rPr>
          <w:rFonts w:ascii="Palatino Linotype" w:hAnsi="Palatino Linotype"/>
          <w:i/>
          <w:color w:val="000000" w:themeColor="text1"/>
        </w:rPr>
        <w:t>grosso modo</w:t>
      </w:r>
      <w:r>
        <w:rPr>
          <w:rFonts w:ascii="Palatino Linotype" w:hAnsi="Palatino Linotype"/>
          <w:color w:val="000000" w:themeColor="text1"/>
        </w:rPr>
        <w:t xml:space="preserve"> el procedimiento de acceso a la información pública; en</w:t>
      </w:r>
      <w:r w:rsidR="006B4585">
        <w:rPr>
          <w:rFonts w:ascii="Palatino Linotype" w:hAnsi="Palatino Linotype"/>
          <w:color w:val="000000" w:themeColor="text1"/>
        </w:rPr>
        <w:t xml:space="preserve"> el presente asunto, d</w:t>
      </w:r>
      <w:r w:rsidR="005A22CB">
        <w:rPr>
          <w:rFonts w:ascii="Palatino Linotype" w:hAnsi="Palatino Linotype"/>
          <w:color w:val="000000" w:themeColor="text1"/>
        </w:rPr>
        <w:t xml:space="preserve">e las constancias que obran en </w:t>
      </w:r>
      <w:r w:rsidR="006B4585">
        <w:rPr>
          <w:rFonts w:ascii="Palatino Linotype" w:hAnsi="Palatino Linotype"/>
          <w:color w:val="000000" w:themeColor="text1"/>
        </w:rPr>
        <w:t>l</w:t>
      </w:r>
      <w:r w:rsidR="005A22CB">
        <w:rPr>
          <w:rFonts w:ascii="Palatino Linotype" w:hAnsi="Palatino Linotype"/>
          <w:color w:val="000000" w:themeColor="text1"/>
        </w:rPr>
        <w:t>os</w:t>
      </w:r>
      <w:r w:rsidR="006B4585">
        <w:rPr>
          <w:rFonts w:ascii="Palatino Linotype" w:hAnsi="Palatino Linotype"/>
          <w:color w:val="000000" w:themeColor="text1"/>
        </w:rPr>
        <w:t xml:space="preserve"> expediente</w:t>
      </w:r>
      <w:r w:rsidR="005A22CB">
        <w:rPr>
          <w:rFonts w:ascii="Palatino Linotype" w:hAnsi="Palatino Linotype"/>
          <w:color w:val="000000" w:themeColor="text1"/>
        </w:rPr>
        <w:t>s</w:t>
      </w:r>
      <w:r w:rsidR="006B4585">
        <w:rPr>
          <w:rFonts w:ascii="Palatino Linotype" w:hAnsi="Palatino Linotype"/>
          <w:color w:val="000000" w:themeColor="text1"/>
        </w:rPr>
        <w:t xml:space="preserve"> </w:t>
      </w:r>
      <w:r w:rsidR="006B4585">
        <w:rPr>
          <w:rFonts w:ascii="Palatino Linotype" w:hAnsi="Palatino Linotype"/>
          <w:color w:val="000000" w:themeColor="text1"/>
        </w:rPr>
        <w:lastRenderedPageBreak/>
        <w:t>digital</w:t>
      </w:r>
      <w:r w:rsidR="005A22CB">
        <w:rPr>
          <w:rFonts w:ascii="Palatino Linotype" w:hAnsi="Palatino Linotype"/>
          <w:color w:val="000000" w:themeColor="text1"/>
        </w:rPr>
        <w:t>es</w:t>
      </w:r>
      <w:r w:rsidR="006B4585">
        <w:rPr>
          <w:rFonts w:ascii="Palatino Linotype" w:hAnsi="Palatino Linotype"/>
          <w:color w:val="000000" w:themeColor="text1"/>
        </w:rPr>
        <w:t xml:space="preserve"> del SAIMEX, se aprecia que la Unidad de Transparencia del </w:t>
      </w:r>
      <w:r w:rsidR="006B4585">
        <w:rPr>
          <w:rFonts w:ascii="Palatino Linotype" w:hAnsi="Palatino Linotype"/>
          <w:b/>
          <w:color w:val="000000" w:themeColor="text1"/>
        </w:rPr>
        <w:t>SUJETO OBLIGADO</w:t>
      </w:r>
      <w:r w:rsidR="006B4585">
        <w:rPr>
          <w:rFonts w:ascii="Palatino Linotype" w:hAnsi="Palatino Linotype"/>
          <w:color w:val="000000" w:themeColor="text1"/>
        </w:rPr>
        <w:t xml:space="preserve"> turnó la solicitud de información </w:t>
      </w:r>
      <w:r w:rsidR="005A22CB">
        <w:rPr>
          <w:rFonts w:ascii="Palatino Linotype" w:hAnsi="Palatino Linotype"/>
          <w:b/>
          <w:color w:val="000000" w:themeColor="text1"/>
        </w:rPr>
        <w:t>00227</w:t>
      </w:r>
      <w:r w:rsidR="006B4585">
        <w:rPr>
          <w:rFonts w:ascii="Palatino Linotype" w:hAnsi="Palatino Linotype"/>
          <w:b/>
          <w:color w:val="000000" w:themeColor="text1"/>
        </w:rPr>
        <w:t>/</w:t>
      </w:r>
      <w:r w:rsidR="005A22CB">
        <w:rPr>
          <w:rFonts w:ascii="Palatino Linotype" w:hAnsi="Palatino Linotype"/>
          <w:b/>
          <w:color w:val="000000" w:themeColor="text1"/>
        </w:rPr>
        <w:t>CAMEM</w:t>
      </w:r>
      <w:r w:rsidR="006B4585">
        <w:rPr>
          <w:rFonts w:ascii="Palatino Linotype" w:hAnsi="Palatino Linotype"/>
          <w:b/>
          <w:color w:val="000000" w:themeColor="text1"/>
        </w:rPr>
        <w:t>/IP/2021</w:t>
      </w:r>
      <w:r w:rsidR="006B4585">
        <w:rPr>
          <w:rFonts w:ascii="Palatino Linotype" w:hAnsi="Palatino Linotype"/>
          <w:color w:val="000000" w:themeColor="text1"/>
        </w:rPr>
        <w:t xml:space="preserve"> </w:t>
      </w:r>
      <w:r w:rsidR="00D12927">
        <w:rPr>
          <w:rFonts w:ascii="Palatino Linotype" w:hAnsi="Palatino Linotype"/>
          <w:color w:val="000000" w:themeColor="text1"/>
        </w:rPr>
        <w:t xml:space="preserve">únicamente </w:t>
      </w:r>
      <w:r w:rsidR="006B4585">
        <w:rPr>
          <w:rFonts w:ascii="Palatino Linotype" w:hAnsi="Palatino Linotype"/>
          <w:color w:val="000000" w:themeColor="text1"/>
        </w:rPr>
        <w:t>a</w:t>
      </w:r>
      <w:r>
        <w:rPr>
          <w:rFonts w:ascii="Palatino Linotype" w:hAnsi="Palatino Linotype"/>
          <w:color w:val="000000" w:themeColor="text1"/>
        </w:rPr>
        <w:t xml:space="preserve"> la Servidora</w:t>
      </w:r>
      <w:r w:rsidR="006B4585">
        <w:rPr>
          <w:rFonts w:ascii="Palatino Linotype" w:hAnsi="Palatino Linotype"/>
          <w:color w:val="000000" w:themeColor="text1"/>
        </w:rPr>
        <w:t xml:space="preserve"> </w:t>
      </w:r>
      <w:r>
        <w:rPr>
          <w:rFonts w:ascii="Palatino Linotype" w:hAnsi="Palatino Linotype"/>
          <w:color w:val="000000" w:themeColor="text1"/>
        </w:rPr>
        <w:t>Pública Habilitada</w:t>
      </w:r>
      <w:r w:rsidR="006B4585">
        <w:rPr>
          <w:rFonts w:ascii="Palatino Linotype" w:hAnsi="Palatino Linotype"/>
          <w:color w:val="000000" w:themeColor="text1"/>
        </w:rPr>
        <w:t xml:space="preserve"> </w:t>
      </w:r>
      <w:r>
        <w:rPr>
          <w:rFonts w:ascii="Palatino Linotype" w:hAnsi="Palatino Linotype"/>
          <w:i/>
          <w:color w:val="000000" w:themeColor="text1"/>
        </w:rPr>
        <w:t>Médico Cirujano Rocío Vega Pérez</w:t>
      </w:r>
      <w:r w:rsidR="006B4585">
        <w:rPr>
          <w:rFonts w:ascii="Palatino Linotype" w:hAnsi="Palatino Linotype"/>
          <w:color w:val="000000" w:themeColor="text1"/>
        </w:rPr>
        <w:t xml:space="preserve">, </w:t>
      </w:r>
      <w:r>
        <w:rPr>
          <w:rFonts w:ascii="Palatino Linotype" w:hAnsi="Palatino Linotype"/>
          <w:color w:val="000000" w:themeColor="text1"/>
        </w:rPr>
        <w:t>misma que</w:t>
      </w:r>
      <w:r w:rsidR="006B4585">
        <w:rPr>
          <w:rFonts w:ascii="Palatino Linotype" w:hAnsi="Palatino Linotype"/>
          <w:color w:val="000000" w:themeColor="text1"/>
        </w:rPr>
        <w:t>, de</w:t>
      </w:r>
      <w:r w:rsidR="00E46BF7">
        <w:rPr>
          <w:rFonts w:ascii="Palatino Linotype" w:hAnsi="Palatino Linotype"/>
          <w:color w:val="000000" w:themeColor="text1"/>
        </w:rPr>
        <w:t xml:space="preserve"> </w:t>
      </w:r>
      <w:r w:rsidR="006B4585">
        <w:rPr>
          <w:rFonts w:ascii="Palatino Linotype" w:hAnsi="Palatino Linotype"/>
          <w:color w:val="000000" w:themeColor="text1"/>
        </w:rPr>
        <w:t>l</w:t>
      </w:r>
      <w:r w:rsidR="00E46BF7">
        <w:rPr>
          <w:rFonts w:ascii="Palatino Linotype" w:hAnsi="Palatino Linotype"/>
          <w:color w:val="000000" w:themeColor="text1"/>
        </w:rPr>
        <w:t>a consulta</w:t>
      </w:r>
      <w:r w:rsidR="005B4B08">
        <w:rPr>
          <w:rFonts w:ascii="Palatino Linotype" w:hAnsi="Palatino Linotype"/>
          <w:color w:val="000000" w:themeColor="text1"/>
        </w:rPr>
        <w:t xml:space="preserve"> al</w:t>
      </w:r>
      <w:r w:rsidR="006B4585">
        <w:rPr>
          <w:rFonts w:ascii="Palatino Linotype" w:hAnsi="Palatino Linotype"/>
          <w:color w:val="000000" w:themeColor="text1"/>
        </w:rPr>
        <w:t xml:space="preserve"> </w:t>
      </w:r>
      <w:r w:rsidR="00E46BF7">
        <w:rPr>
          <w:rFonts w:ascii="Palatino Linotype" w:hAnsi="Palatino Linotype"/>
          <w:color w:val="000000" w:themeColor="text1"/>
        </w:rPr>
        <w:t>Directorio de Servidores Públicos de la Comisión de Conciliación y Arbitraje Médico del Estado de México</w:t>
      </w:r>
      <w:r w:rsidR="00E46BF7">
        <w:rPr>
          <w:rStyle w:val="Refdenotaalpie"/>
          <w:rFonts w:ascii="Palatino Linotype" w:hAnsi="Palatino Linotype"/>
          <w:color w:val="000000" w:themeColor="text1"/>
        </w:rPr>
        <w:footnoteReference w:id="18"/>
      </w:r>
      <w:r w:rsidR="006B4585">
        <w:rPr>
          <w:rFonts w:ascii="Palatino Linotype" w:hAnsi="Palatino Linotype"/>
          <w:color w:val="000000" w:themeColor="text1"/>
        </w:rPr>
        <w:t xml:space="preserve">, se aprecia que ostenta </w:t>
      </w:r>
      <w:r w:rsidR="00E46BF7">
        <w:rPr>
          <w:rFonts w:ascii="Palatino Linotype" w:hAnsi="Palatino Linotype"/>
          <w:color w:val="000000" w:themeColor="text1"/>
        </w:rPr>
        <w:t>el</w:t>
      </w:r>
      <w:r w:rsidR="006B4585">
        <w:rPr>
          <w:rFonts w:ascii="Palatino Linotype" w:hAnsi="Palatino Linotype"/>
          <w:color w:val="000000" w:themeColor="text1"/>
        </w:rPr>
        <w:t xml:space="preserve"> cargo de </w:t>
      </w:r>
      <w:r w:rsidR="00E46BF7">
        <w:rPr>
          <w:rFonts w:ascii="Palatino Linotype" w:hAnsi="Palatino Linotype"/>
          <w:b/>
          <w:color w:val="000000" w:themeColor="text1"/>
        </w:rPr>
        <w:t>Jefa de la Unidad de Peritajes</w:t>
      </w:r>
      <w:r w:rsidR="006B4585">
        <w:rPr>
          <w:rFonts w:ascii="Palatino Linotype" w:hAnsi="Palatino Linotype"/>
          <w:color w:val="000000" w:themeColor="text1"/>
        </w:rPr>
        <w:t>.</w:t>
      </w:r>
      <w:r w:rsidR="005A22CB">
        <w:rPr>
          <w:rFonts w:ascii="Palatino Linotype" w:hAnsi="Palatino Linotype"/>
          <w:color w:val="000000" w:themeColor="text1"/>
        </w:rPr>
        <w:t xml:space="preserve"> Mientras que la solicitud </w:t>
      </w:r>
      <w:r w:rsidR="005A22CB">
        <w:rPr>
          <w:rFonts w:ascii="Palatino Linotype" w:hAnsi="Palatino Linotype"/>
          <w:b/>
          <w:color w:val="000000" w:themeColor="text1"/>
        </w:rPr>
        <w:t>00226/CAMEM/IP/2021</w:t>
      </w:r>
      <w:r w:rsidR="005A22CB">
        <w:rPr>
          <w:rFonts w:ascii="Palatino Linotype" w:hAnsi="Palatino Linotype"/>
          <w:color w:val="000000" w:themeColor="text1"/>
        </w:rPr>
        <w:t xml:space="preserve"> fue turnada, también, a la Servidora Pública Habilitada anterior referida y al </w:t>
      </w:r>
      <w:r w:rsidR="005A22CB">
        <w:rPr>
          <w:rFonts w:ascii="Palatino Linotype" w:hAnsi="Palatino Linotype"/>
          <w:i/>
          <w:color w:val="000000" w:themeColor="text1"/>
        </w:rPr>
        <w:t>Licenciado Luis Nazareth Carmona Méndez</w:t>
      </w:r>
      <w:r w:rsidR="005A22CB">
        <w:rPr>
          <w:rFonts w:ascii="Palatino Linotype" w:hAnsi="Palatino Linotype"/>
          <w:color w:val="000000" w:themeColor="text1"/>
        </w:rPr>
        <w:t xml:space="preserve">, el cual ostenta el cargo de </w:t>
      </w:r>
      <w:r w:rsidR="005A22CB">
        <w:rPr>
          <w:rFonts w:ascii="Palatino Linotype" w:hAnsi="Palatino Linotype"/>
          <w:b/>
          <w:color w:val="000000" w:themeColor="text1"/>
        </w:rPr>
        <w:t>Jefe de la Unidad de Apoyo Administrativo</w:t>
      </w:r>
      <w:r w:rsidR="005A22CB">
        <w:rPr>
          <w:rFonts w:ascii="Palatino Linotype" w:hAnsi="Palatino Linotype"/>
          <w:color w:val="000000" w:themeColor="text1"/>
        </w:rPr>
        <w:t>.</w:t>
      </w:r>
    </w:p>
    <w:p w14:paraId="30F2A25E" w14:textId="77777777" w:rsidR="00E02DA3" w:rsidRDefault="00E02DA3"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684D07F8" w14:textId="3277AE31" w:rsidR="00E02DA3" w:rsidRDefault="00D12927"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respecto, resulta conveniente traer a estudio lo dispuesto por </w:t>
      </w:r>
      <w:r w:rsidR="00846C5D">
        <w:rPr>
          <w:rFonts w:ascii="Palatino Linotype" w:hAnsi="Palatino Linotype"/>
          <w:color w:val="000000" w:themeColor="text1"/>
        </w:rPr>
        <w:t>los</w:t>
      </w:r>
      <w:r>
        <w:rPr>
          <w:rFonts w:ascii="Palatino Linotype" w:hAnsi="Palatino Linotype"/>
          <w:color w:val="000000" w:themeColor="text1"/>
        </w:rPr>
        <w:t xml:space="preserve"> artículo</w:t>
      </w:r>
      <w:r w:rsidR="00846C5D">
        <w:rPr>
          <w:rFonts w:ascii="Palatino Linotype" w:hAnsi="Palatino Linotype"/>
          <w:color w:val="000000" w:themeColor="text1"/>
        </w:rPr>
        <w:t>s</w:t>
      </w:r>
      <w:r>
        <w:rPr>
          <w:rFonts w:ascii="Palatino Linotype" w:hAnsi="Palatino Linotype"/>
          <w:color w:val="000000" w:themeColor="text1"/>
        </w:rPr>
        <w:t xml:space="preserve"> 21</w:t>
      </w:r>
      <w:r w:rsidR="00846C5D">
        <w:rPr>
          <w:rFonts w:ascii="Palatino Linotype" w:hAnsi="Palatino Linotype"/>
          <w:color w:val="000000" w:themeColor="text1"/>
        </w:rPr>
        <w:t xml:space="preserve"> y 23</w:t>
      </w:r>
      <w:r>
        <w:rPr>
          <w:rFonts w:ascii="Palatino Linotype" w:hAnsi="Palatino Linotype"/>
          <w:color w:val="000000" w:themeColor="text1"/>
        </w:rPr>
        <w:t xml:space="preserve"> del Reglamento Interno de la Comisión de Conciliación y Arbitraje Médico del Estado de México, </w:t>
      </w:r>
      <w:r w:rsidR="00846C5D">
        <w:rPr>
          <w:rFonts w:ascii="Palatino Linotype" w:hAnsi="Palatino Linotype"/>
          <w:color w:val="000000" w:themeColor="text1"/>
        </w:rPr>
        <w:t>los</w:t>
      </w:r>
      <w:r>
        <w:rPr>
          <w:rFonts w:ascii="Palatino Linotype" w:hAnsi="Palatino Linotype"/>
          <w:color w:val="000000" w:themeColor="text1"/>
        </w:rPr>
        <w:t xml:space="preserve"> cual</w:t>
      </w:r>
      <w:r w:rsidR="00846C5D">
        <w:rPr>
          <w:rFonts w:ascii="Palatino Linotype" w:hAnsi="Palatino Linotype"/>
          <w:color w:val="000000" w:themeColor="text1"/>
        </w:rPr>
        <w:t>es</w:t>
      </w:r>
      <w:r>
        <w:rPr>
          <w:rFonts w:ascii="Palatino Linotype" w:hAnsi="Palatino Linotype"/>
          <w:color w:val="000000" w:themeColor="text1"/>
        </w:rPr>
        <w:t xml:space="preserve"> establece</w:t>
      </w:r>
      <w:r w:rsidR="00846C5D">
        <w:rPr>
          <w:rFonts w:ascii="Palatino Linotype" w:hAnsi="Palatino Linotype"/>
          <w:color w:val="000000" w:themeColor="text1"/>
        </w:rPr>
        <w:t>n</w:t>
      </w:r>
      <w:r>
        <w:rPr>
          <w:rFonts w:ascii="Palatino Linotype" w:hAnsi="Palatino Linotype"/>
          <w:color w:val="000000" w:themeColor="text1"/>
        </w:rPr>
        <w:t>:</w:t>
      </w:r>
    </w:p>
    <w:p w14:paraId="674BBCF3" w14:textId="77777777" w:rsidR="00E02DA3" w:rsidRDefault="00E02DA3" w:rsidP="00D12927">
      <w:pPr>
        <w:pStyle w:val="Prrafodelista"/>
        <w:tabs>
          <w:tab w:val="left" w:pos="426"/>
        </w:tabs>
        <w:spacing w:before="240" w:line="360" w:lineRule="auto"/>
        <w:ind w:left="0" w:right="51"/>
        <w:jc w:val="both"/>
        <w:rPr>
          <w:rFonts w:ascii="Palatino Linotype" w:hAnsi="Palatino Linotype"/>
          <w:color w:val="000000" w:themeColor="text1"/>
        </w:rPr>
      </w:pPr>
    </w:p>
    <w:p w14:paraId="4A9920E4" w14:textId="77777777" w:rsidR="00D12927" w:rsidRDefault="00D12927" w:rsidP="00D12927">
      <w:pPr>
        <w:pStyle w:val="Prrafodelista"/>
        <w:tabs>
          <w:tab w:val="left" w:pos="426"/>
        </w:tabs>
        <w:spacing w:before="240" w:after="240" w:line="276" w:lineRule="auto"/>
        <w:ind w:left="567" w:right="567"/>
        <w:jc w:val="both"/>
        <w:rPr>
          <w:rFonts w:ascii="Palatino Linotype" w:hAnsi="Palatino Linotype"/>
          <w:i/>
          <w:sz w:val="22"/>
        </w:rPr>
      </w:pPr>
      <w:r>
        <w:rPr>
          <w:rFonts w:ascii="Palatino Linotype" w:hAnsi="Palatino Linotype"/>
          <w:i/>
          <w:sz w:val="22"/>
        </w:rPr>
        <w:t>“</w:t>
      </w:r>
      <w:r w:rsidRPr="00D12927">
        <w:rPr>
          <w:rFonts w:ascii="Palatino Linotype" w:hAnsi="Palatino Linotype"/>
          <w:b/>
          <w:i/>
          <w:sz w:val="22"/>
        </w:rPr>
        <w:t>Artículo 21.-</w:t>
      </w:r>
      <w:r w:rsidRPr="00D12927">
        <w:rPr>
          <w:rFonts w:ascii="Palatino Linotype" w:hAnsi="Palatino Linotype"/>
          <w:i/>
          <w:sz w:val="22"/>
        </w:rPr>
        <w:t xml:space="preserve"> Corresponde a la Unidad de Peritajes: </w:t>
      </w:r>
    </w:p>
    <w:p w14:paraId="73683467" w14:textId="77777777" w:rsidR="00D12927" w:rsidRDefault="00D12927" w:rsidP="00D12927">
      <w:pPr>
        <w:pStyle w:val="Prrafodelista"/>
        <w:tabs>
          <w:tab w:val="left" w:pos="426"/>
        </w:tabs>
        <w:spacing w:before="240" w:after="240" w:line="276" w:lineRule="auto"/>
        <w:ind w:left="567" w:right="567"/>
        <w:jc w:val="both"/>
        <w:rPr>
          <w:rFonts w:ascii="Palatino Linotype" w:hAnsi="Palatino Linotype"/>
          <w:i/>
          <w:sz w:val="22"/>
        </w:rPr>
      </w:pPr>
      <w:r w:rsidRPr="00D12927">
        <w:rPr>
          <w:rFonts w:ascii="Palatino Linotype" w:hAnsi="Palatino Linotype"/>
          <w:b/>
          <w:i/>
          <w:sz w:val="22"/>
        </w:rPr>
        <w:t>I.</w:t>
      </w:r>
      <w:r w:rsidRPr="00D12927">
        <w:rPr>
          <w:rFonts w:ascii="Palatino Linotype" w:hAnsi="Palatino Linotype"/>
          <w:i/>
          <w:sz w:val="22"/>
        </w:rPr>
        <w:t xml:space="preserve"> </w:t>
      </w:r>
      <w:r w:rsidRPr="00D12927">
        <w:rPr>
          <w:rFonts w:ascii="Palatino Linotype" w:hAnsi="Palatino Linotype"/>
          <w:b/>
          <w:i/>
          <w:sz w:val="22"/>
        </w:rPr>
        <w:t>Ordenar, dirigir y controlar la formulación y emisión de los dictámenes</w:t>
      </w:r>
      <w:r w:rsidRPr="00D12927">
        <w:rPr>
          <w:rFonts w:ascii="Palatino Linotype" w:hAnsi="Palatino Linotype"/>
          <w:i/>
          <w:sz w:val="22"/>
        </w:rPr>
        <w:t xml:space="preserve"> o peritajes </w:t>
      </w:r>
      <w:r w:rsidRPr="00D12927">
        <w:rPr>
          <w:rFonts w:ascii="Palatino Linotype" w:hAnsi="Palatino Linotype"/>
          <w:b/>
          <w:i/>
          <w:sz w:val="22"/>
        </w:rPr>
        <w:t>que se soliciten a la Comisión</w:t>
      </w:r>
      <w:r w:rsidRPr="00D12927">
        <w:rPr>
          <w:rFonts w:ascii="Palatino Linotype" w:hAnsi="Palatino Linotype"/>
          <w:i/>
          <w:sz w:val="22"/>
        </w:rPr>
        <w:t xml:space="preserve">. </w:t>
      </w:r>
    </w:p>
    <w:p w14:paraId="04E583FA" w14:textId="77777777" w:rsidR="00D12927" w:rsidRDefault="00D12927" w:rsidP="00D12927">
      <w:pPr>
        <w:pStyle w:val="Prrafodelista"/>
        <w:tabs>
          <w:tab w:val="left" w:pos="426"/>
        </w:tabs>
        <w:spacing w:before="240" w:after="240" w:line="276" w:lineRule="auto"/>
        <w:ind w:left="567" w:right="567"/>
        <w:jc w:val="both"/>
        <w:rPr>
          <w:rFonts w:ascii="Palatino Linotype" w:hAnsi="Palatino Linotype"/>
          <w:i/>
          <w:sz w:val="22"/>
        </w:rPr>
      </w:pPr>
      <w:r w:rsidRPr="00D12927">
        <w:rPr>
          <w:rFonts w:ascii="Palatino Linotype" w:hAnsi="Palatino Linotype"/>
          <w:b/>
          <w:i/>
          <w:sz w:val="22"/>
        </w:rPr>
        <w:t>II.</w:t>
      </w:r>
      <w:r w:rsidRPr="00D12927">
        <w:rPr>
          <w:rFonts w:ascii="Palatino Linotype" w:hAnsi="Palatino Linotype"/>
          <w:i/>
          <w:sz w:val="22"/>
        </w:rPr>
        <w:t xml:space="preserve"> </w:t>
      </w:r>
      <w:r w:rsidRPr="00D12927">
        <w:rPr>
          <w:rFonts w:ascii="Palatino Linotype" w:hAnsi="Palatino Linotype"/>
          <w:b/>
          <w:i/>
          <w:sz w:val="22"/>
        </w:rPr>
        <w:t>Recibir, resguardar y devolver la documentación presentada con la solicitud de dictámenes</w:t>
      </w:r>
      <w:r w:rsidRPr="00D12927">
        <w:rPr>
          <w:rFonts w:ascii="Palatino Linotype" w:hAnsi="Palatino Linotype"/>
          <w:i/>
          <w:sz w:val="22"/>
        </w:rPr>
        <w:t xml:space="preserve"> o peritajes. </w:t>
      </w:r>
    </w:p>
    <w:p w14:paraId="75F10CD9" w14:textId="77777777" w:rsidR="00D12927" w:rsidRDefault="00D12927" w:rsidP="00D12927">
      <w:pPr>
        <w:pStyle w:val="Prrafodelista"/>
        <w:tabs>
          <w:tab w:val="left" w:pos="426"/>
        </w:tabs>
        <w:spacing w:before="240" w:after="240" w:line="276" w:lineRule="auto"/>
        <w:ind w:left="567" w:right="567"/>
        <w:jc w:val="both"/>
        <w:rPr>
          <w:rFonts w:ascii="Palatino Linotype" w:hAnsi="Palatino Linotype"/>
          <w:i/>
          <w:sz w:val="22"/>
        </w:rPr>
      </w:pPr>
      <w:r w:rsidRPr="00D12927">
        <w:rPr>
          <w:rFonts w:ascii="Palatino Linotype" w:hAnsi="Palatino Linotype"/>
          <w:b/>
          <w:i/>
          <w:sz w:val="22"/>
        </w:rPr>
        <w:t>III.</w:t>
      </w:r>
      <w:r w:rsidRPr="00D12927">
        <w:rPr>
          <w:rFonts w:ascii="Palatino Linotype" w:hAnsi="Palatino Linotype"/>
          <w:i/>
          <w:sz w:val="22"/>
        </w:rPr>
        <w:t xml:space="preserve"> Solicitar los datos y documentos que sean necesarios para la correcta emisión de los dictámenes o peritajes solicitados. </w:t>
      </w:r>
    </w:p>
    <w:p w14:paraId="737FD6A3" w14:textId="3B86CCF4" w:rsidR="00D12927" w:rsidRDefault="00D12927" w:rsidP="00D12927">
      <w:pPr>
        <w:pStyle w:val="Prrafodelista"/>
        <w:tabs>
          <w:tab w:val="left" w:pos="426"/>
        </w:tabs>
        <w:spacing w:before="240" w:after="240" w:line="276" w:lineRule="auto"/>
        <w:ind w:left="567" w:right="567"/>
        <w:jc w:val="both"/>
        <w:rPr>
          <w:rFonts w:ascii="Palatino Linotype" w:hAnsi="Palatino Linotype"/>
          <w:i/>
          <w:sz w:val="22"/>
        </w:rPr>
      </w:pPr>
      <w:r w:rsidRPr="00D12927">
        <w:rPr>
          <w:rFonts w:ascii="Palatino Linotype" w:hAnsi="Palatino Linotype"/>
          <w:b/>
          <w:i/>
          <w:sz w:val="22"/>
        </w:rPr>
        <w:t>IV.</w:t>
      </w:r>
      <w:r w:rsidRPr="00D12927">
        <w:rPr>
          <w:rFonts w:ascii="Palatino Linotype" w:hAnsi="Palatino Linotype"/>
          <w:i/>
          <w:sz w:val="22"/>
        </w:rPr>
        <w:t xml:space="preserve"> Las demás que le confieran otras disposiciones legales y aquellas que le encomiende el Comisionado.</w:t>
      </w:r>
      <w:r>
        <w:rPr>
          <w:rFonts w:ascii="Palatino Linotype" w:hAnsi="Palatino Linotype"/>
          <w:i/>
          <w:sz w:val="22"/>
        </w:rPr>
        <w:t>”</w:t>
      </w:r>
    </w:p>
    <w:p w14:paraId="34625608" w14:textId="77777777" w:rsidR="00846C5D" w:rsidRDefault="00846C5D" w:rsidP="00D12927">
      <w:pPr>
        <w:pStyle w:val="Prrafodelista"/>
        <w:tabs>
          <w:tab w:val="left" w:pos="426"/>
        </w:tabs>
        <w:spacing w:before="240" w:after="240" w:line="276" w:lineRule="auto"/>
        <w:ind w:left="567" w:right="567"/>
        <w:jc w:val="both"/>
        <w:rPr>
          <w:rFonts w:ascii="Palatino Linotype" w:hAnsi="Palatino Linotype"/>
          <w:i/>
          <w:sz w:val="22"/>
        </w:rPr>
      </w:pPr>
    </w:p>
    <w:p w14:paraId="3B8B4EA4" w14:textId="048AB7A9" w:rsidR="00846C5D" w:rsidRPr="00846C5D" w:rsidRDefault="00846C5D" w:rsidP="00D12927">
      <w:pPr>
        <w:pStyle w:val="Prrafodelista"/>
        <w:tabs>
          <w:tab w:val="left" w:pos="426"/>
        </w:tabs>
        <w:spacing w:before="240" w:after="240" w:line="276" w:lineRule="auto"/>
        <w:ind w:left="567" w:right="567"/>
        <w:jc w:val="both"/>
        <w:rPr>
          <w:rFonts w:ascii="Palatino Linotype" w:hAnsi="Palatino Linotype"/>
          <w:i/>
          <w:sz w:val="22"/>
        </w:rPr>
      </w:pPr>
      <w:r w:rsidRPr="00846C5D">
        <w:rPr>
          <w:rFonts w:ascii="Palatino Linotype" w:hAnsi="Palatino Linotype"/>
          <w:i/>
          <w:sz w:val="22"/>
        </w:rPr>
        <w:lastRenderedPageBreak/>
        <w:t>“</w:t>
      </w:r>
      <w:r w:rsidRPr="00846C5D">
        <w:rPr>
          <w:rFonts w:ascii="Palatino Linotype" w:hAnsi="Palatino Linotype"/>
          <w:b/>
          <w:i/>
          <w:sz w:val="22"/>
        </w:rPr>
        <w:t xml:space="preserve">Artículo 23.- </w:t>
      </w:r>
      <w:r w:rsidRPr="00846C5D">
        <w:rPr>
          <w:rFonts w:ascii="Palatino Linotype" w:hAnsi="Palatino Linotype"/>
          <w:i/>
          <w:sz w:val="22"/>
        </w:rPr>
        <w:t>Corresponde a la Unidad de Apoyo Administrativo:</w:t>
      </w:r>
    </w:p>
    <w:p w14:paraId="77FB9C08" w14:textId="479FE6E0" w:rsidR="00846C5D" w:rsidRPr="00846C5D" w:rsidRDefault="00846C5D" w:rsidP="00D12927">
      <w:pPr>
        <w:pStyle w:val="Prrafodelista"/>
        <w:tabs>
          <w:tab w:val="left" w:pos="426"/>
        </w:tabs>
        <w:spacing w:before="240" w:after="240" w:line="276" w:lineRule="auto"/>
        <w:ind w:left="567" w:right="567"/>
        <w:jc w:val="both"/>
        <w:rPr>
          <w:rFonts w:ascii="Palatino Linotype" w:hAnsi="Palatino Linotype"/>
          <w:i/>
          <w:sz w:val="22"/>
        </w:rPr>
      </w:pPr>
      <w:r w:rsidRPr="00846C5D">
        <w:rPr>
          <w:rFonts w:ascii="Palatino Linotype" w:hAnsi="Palatino Linotype"/>
          <w:i/>
          <w:sz w:val="22"/>
        </w:rPr>
        <w:t>(…)</w:t>
      </w:r>
    </w:p>
    <w:p w14:paraId="5C68EA3A" w14:textId="19B57F4D" w:rsidR="00846C5D" w:rsidRPr="00846C5D" w:rsidRDefault="00846C5D" w:rsidP="00D12927">
      <w:pPr>
        <w:pStyle w:val="Prrafodelista"/>
        <w:tabs>
          <w:tab w:val="left" w:pos="426"/>
        </w:tabs>
        <w:spacing w:before="240" w:after="240" w:line="276" w:lineRule="auto"/>
        <w:ind w:left="567" w:right="567"/>
        <w:jc w:val="both"/>
        <w:rPr>
          <w:rFonts w:ascii="Palatino Linotype" w:hAnsi="Palatino Linotype"/>
          <w:b/>
          <w:i/>
          <w:sz w:val="22"/>
        </w:rPr>
      </w:pPr>
      <w:r w:rsidRPr="00846C5D">
        <w:rPr>
          <w:rFonts w:ascii="Palatino Linotype" w:hAnsi="Palatino Linotype"/>
          <w:b/>
          <w:i/>
          <w:sz w:val="22"/>
        </w:rPr>
        <w:t>V. Revisar que los expedientes del archivo de la Comisión cumplan con la normatividad en la materia, previo a su concentración.</w:t>
      </w:r>
    </w:p>
    <w:p w14:paraId="62E16072" w14:textId="688202C4" w:rsidR="00846C5D" w:rsidRPr="00846C5D" w:rsidRDefault="00846C5D" w:rsidP="00D12927">
      <w:pPr>
        <w:pStyle w:val="Prrafodelista"/>
        <w:tabs>
          <w:tab w:val="left" w:pos="426"/>
        </w:tabs>
        <w:spacing w:before="240" w:after="240" w:line="276" w:lineRule="auto"/>
        <w:ind w:left="567" w:right="567"/>
        <w:jc w:val="both"/>
        <w:rPr>
          <w:rFonts w:ascii="Palatino Linotype" w:hAnsi="Palatino Linotype"/>
          <w:i/>
          <w:sz w:val="20"/>
        </w:rPr>
      </w:pPr>
      <w:r w:rsidRPr="00846C5D">
        <w:rPr>
          <w:rFonts w:ascii="Palatino Linotype" w:hAnsi="Palatino Linotype"/>
          <w:i/>
          <w:sz w:val="22"/>
        </w:rPr>
        <w:t>(…)”</w:t>
      </w:r>
    </w:p>
    <w:p w14:paraId="3D718AAD" w14:textId="406C1C53" w:rsidR="00D12927" w:rsidRPr="00D12927" w:rsidRDefault="00D12927" w:rsidP="00D12927">
      <w:pPr>
        <w:pStyle w:val="Prrafodelista"/>
        <w:tabs>
          <w:tab w:val="left" w:pos="426"/>
        </w:tabs>
        <w:spacing w:before="240" w:after="240" w:line="276" w:lineRule="auto"/>
        <w:ind w:left="567" w:right="567"/>
        <w:jc w:val="both"/>
        <w:rPr>
          <w:rFonts w:ascii="Palatino Linotype" w:hAnsi="Palatino Linotype"/>
          <w:color w:val="000000" w:themeColor="text1"/>
          <w:sz w:val="22"/>
        </w:rPr>
      </w:pPr>
      <w:r>
        <w:rPr>
          <w:rFonts w:ascii="Palatino Linotype" w:hAnsi="Palatino Linotype"/>
          <w:sz w:val="22"/>
        </w:rPr>
        <w:t>(Énfasis añadido)</w:t>
      </w:r>
    </w:p>
    <w:p w14:paraId="0A5A249A" w14:textId="77777777" w:rsidR="00D12927" w:rsidRDefault="00D12927"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68390D0A" w14:textId="78C6A4BD" w:rsidR="00E02DA3" w:rsidRDefault="00D12927"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tal guisa que la Unidad de Peritajes del </w:t>
      </w:r>
      <w:r>
        <w:rPr>
          <w:rFonts w:ascii="Palatino Linotype" w:hAnsi="Palatino Linotype"/>
          <w:b/>
          <w:color w:val="000000" w:themeColor="text1"/>
        </w:rPr>
        <w:t>SUJETO OBLIGADO</w:t>
      </w:r>
      <w:r>
        <w:rPr>
          <w:rFonts w:ascii="Palatino Linotype" w:hAnsi="Palatino Linotype"/>
          <w:color w:val="000000" w:themeColor="text1"/>
        </w:rPr>
        <w:t xml:space="preserve"> será el área administrativa principalmente responsable de poseer, generar y administrar toda la información relacionada con los </w:t>
      </w:r>
      <w:r>
        <w:rPr>
          <w:rFonts w:ascii="Palatino Linotype" w:hAnsi="Palatino Linotype"/>
          <w:b/>
          <w:color w:val="000000" w:themeColor="text1"/>
        </w:rPr>
        <w:t>dictámenes</w:t>
      </w:r>
      <w:r>
        <w:rPr>
          <w:rFonts w:ascii="Palatino Linotype" w:hAnsi="Palatino Linotype"/>
          <w:color w:val="000000" w:themeColor="text1"/>
        </w:rPr>
        <w:t xml:space="preserve"> y peritajes que se requieran a la Comisión de Conciliación y Arbitraje Médico del Estado de México, pues a ésta le corresponderá el </w:t>
      </w:r>
      <w:r w:rsidRPr="005B4B08">
        <w:rPr>
          <w:rFonts w:ascii="Palatino Linotype" w:hAnsi="Palatino Linotype"/>
          <w:b/>
          <w:color w:val="000000" w:themeColor="text1"/>
        </w:rPr>
        <w:t>ordenar, dirigir y controlar la formulación de los dictámenes</w:t>
      </w:r>
      <w:r>
        <w:rPr>
          <w:rFonts w:ascii="Palatino Linotype" w:hAnsi="Palatino Linotype"/>
          <w:color w:val="000000" w:themeColor="text1"/>
        </w:rPr>
        <w:t xml:space="preserve"> o peritajes que se le soliciten al </w:t>
      </w:r>
      <w:r>
        <w:rPr>
          <w:rFonts w:ascii="Palatino Linotype" w:hAnsi="Palatino Linotype"/>
          <w:b/>
          <w:color w:val="000000" w:themeColor="text1"/>
        </w:rPr>
        <w:t>SUJETO OBLIGADO</w:t>
      </w:r>
      <w:r>
        <w:rPr>
          <w:rFonts w:ascii="Palatino Linotype" w:hAnsi="Palatino Linotype"/>
          <w:color w:val="000000" w:themeColor="text1"/>
        </w:rPr>
        <w:t>; asimismo, se encargará de recibir, resguardar y devolver la documentación que se presente con las solicitudes de dictámenes o peritajes.</w:t>
      </w:r>
      <w:r w:rsidR="00846C5D">
        <w:rPr>
          <w:rFonts w:ascii="Palatino Linotype" w:hAnsi="Palatino Linotype"/>
          <w:color w:val="000000" w:themeColor="text1"/>
        </w:rPr>
        <w:t xml:space="preserve"> Mientras que la Unidad de Apoyo Administrativo se encargará de revisar que los expedientes que se encuentren en el archivo de la Comisión de Conciliación y Arbitraje México del Estado de México, previo a su concentración, cumplan con la normatividad en la materia.</w:t>
      </w:r>
    </w:p>
    <w:p w14:paraId="5F9C9715" w14:textId="77777777" w:rsidR="00E02DA3" w:rsidRDefault="00E02DA3"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470018F9" w14:textId="17796CAF" w:rsidR="00846C5D" w:rsidRDefault="00D12927" w:rsidP="00846C5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w:t>
      </w:r>
      <w:r w:rsidR="00566BC5">
        <w:rPr>
          <w:rFonts w:ascii="Palatino Linotype" w:hAnsi="Palatino Linotype"/>
          <w:color w:val="000000" w:themeColor="text1"/>
        </w:rPr>
        <w:t>este Órgano Garante</w:t>
      </w:r>
      <w:r>
        <w:rPr>
          <w:rFonts w:ascii="Palatino Linotype" w:hAnsi="Palatino Linotype"/>
          <w:color w:val="000000" w:themeColor="text1"/>
        </w:rPr>
        <w:t xml:space="preserve"> advierte que, contrario a lo aducido por el </w:t>
      </w:r>
      <w:r>
        <w:rPr>
          <w:rFonts w:ascii="Palatino Linotype" w:hAnsi="Palatino Linotype"/>
          <w:b/>
          <w:color w:val="000000" w:themeColor="text1"/>
        </w:rPr>
        <w:t>RECURRENTE</w:t>
      </w:r>
      <w:r>
        <w:rPr>
          <w:rFonts w:ascii="Palatino Linotype" w:hAnsi="Palatino Linotype"/>
          <w:color w:val="000000" w:themeColor="text1"/>
        </w:rPr>
        <w:t xml:space="preserve">, la Unidad de Transparencia turnó eficazmente la solicitud de información </w:t>
      </w:r>
      <w:r>
        <w:rPr>
          <w:rFonts w:ascii="Palatino Linotype" w:hAnsi="Palatino Linotype"/>
          <w:b/>
          <w:color w:val="000000" w:themeColor="text1"/>
        </w:rPr>
        <w:t>00227/CAMEM/IP/2021</w:t>
      </w:r>
      <w:r w:rsidR="00122948">
        <w:rPr>
          <w:rFonts w:ascii="Palatino Linotype" w:hAnsi="Palatino Linotype"/>
          <w:color w:val="000000" w:themeColor="text1"/>
        </w:rPr>
        <w:t xml:space="preserve"> al área administrativa competente para poseer, generar y administrar la información solicitada. </w:t>
      </w:r>
    </w:p>
    <w:p w14:paraId="0B749A87" w14:textId="77777777" w:rsidR="00846C5D" w:rsidRPr="00846C5D" w:rsidRDefault="00846C5D" w:rsidP="00846C5D">
      <w:pPr>
        <w:pStyle w:val="Prrafodelista"/>
        <w:tabs>
          <w:tab w:val="left" w:pos="426"/>
        </w:tabs>
        <w:spacing w:before="240" w:after="240" w:line="360" w:lineRule="auto"/>
        <w:ind w:left="0" w:right="51"/>
        <w:jc w:val="both"/>
        <w:rPr>
          <w:rFonts w:ascii="Palatino Linotype" w:hAnsi="Palatino Linotype"/>
          <w:color w:val="000000" w:themeColor="text1"/>
        </w:rPr>
      </w:pPr>
    </w:p>
    <w:p w14:paraId="77AACD29" w14:textId="11789B1A" w:rsidR="00846C5D" w:rsidRDefault="00EA289E"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Contrario a lo anterior</w:t>
      </w:r>
      <w:r w:rsidR="00846C5D">
        <w:rPr>
          <w:rFonts w:ascii="Palatino Linotype" w:hAnsi="Palatino Linotype"/>
          <w:color w:val="000000" w:themeColor="text1"/>
        </w:rPr>
        <w:t xml:space="preserve">, por cuanto hace al turno de la solicitud de información </w:t>
      </w:r>
      <w:r w:rsidR="00846C5D">
        <w:rPr>
          <w:rFonts w:ascii="Palatino Linotype" w:hAnsi="Palatino Linotype"/>
          <w:b/>
          <w:color w:val="000000" w:themeColor="text1"/>
        </w:rPr>
        <w:t>00226/CAMEM/IP/2021</w:t>
      </w:r>
      <w:r>
        <w:rPr>
          <w:rFonts w:ascii="Palatino Linotype" w:hAnsi="Palatino Linotype"/>
          <w:color w:val="000000" w:themeColor="text1"/>
        </w:rPr>
        <w:t xml:space="preserve">, no se advierte que la Unidad de Transparencia hubiera realizado un trámite ágil, pues omitió turnar el requerimiento de mérito a la </w:t>
      </w:r>
      <w:r>
        <w:rPr>
          <w:rFonts w:ascii="Palatino Linotype" w:hAnsi="Palatino Linotype"/>
          <w:b/>
          <w:color w:val="000000" w:themeColor="text1"/>
        </w:rPr>
        <w:t>Subcomisión de Recepción y Seguimiento de Quejas</w:t>
      </w:r>
      <w:r>
        <w:rPr>
          <w:rFonts w:ascii="Palatino Linotype" w:hAnsi="Palatino Linotype"/>
          <w:color w:val="000000" w:themeColor="text1"/>
        </w:rPr>
        <w:t xml:space="preserve"> o la </w:t>
      </w:r>
      <w:r>
        <w:rPr>
          <w:rFonts w:ascii="Palatino Linotype" w:hAnsi="Palatino Linotype"/>
          <w:b/>
          <w:color w:val="000000" w:themeColor="text1"/>
        </w:rPr>
        <w:t>Subcomisión de Conciliación y Arbitraje</w:t>
      </w:r>
      <w:r>
        <w:rPr>
          <w:rFonts w:ascii="Palatino Linotype" w:hAnsi="Palatino Linotype"/>
          <w:color w:val="000000" w:themeColor="text1"/>
        </w:rPr>
        <w:t>, mismas que se aprecian como las áreas administrativas competentes para poseer, generar y administrar el expediente requerido, de conformidad con lo</w:t>
      </w:r>
      <w:r w:rsidR="00577C3F">
        <w:rPr>
          <w:rFonts w:ascii="Palatino Linotype" w:hAnsi="Palatino Linotype"/>
          <w:color w:val="000000" w:themeColor="text1"/>
        </w:rPr>
        <w:t>s</w:t>
      </w:r>
      <w:r>
        <w:rPr>
          <w:rFonts w:ascii="Palatino Linotype" w:hAnsi="Palatino Linotype"/>
          <w:color w:val="000000" w:themeColor="text1"/>
        </w:rPr>
        <w:t xml:space="preserve"> siguiente</w:t>
      </w:r>
      <w:r w:rsidR="00577C3F">
        <w:rPr>
          <w:rFonts w:ascii="Palatino Linotype" w:hAnsi="Palatino Linotype"/>
          <w:color w:val="000000" w:themeColor="text1"/>
        </w:rPr>
        <w:t>s registros del Manual General de Organización de la Comisión de Conciliación y Arbitraje Médico del Estado de México</w:t>
      </w:r>
      <w:r>
        <w:rPr>
          <w:rFonts w:ascii="Palatino Linotype" w:hAnsi="Palatino Linotype"/>
          <w:color w:val="000000" w:themeColor="text1"/>
        </w:rPr>
        <w:t>:</w:t>
      </w:r>
    </w:p>
    <w:p w14:paraId="321868C7" w14:textId="77777777" w:rsidR="00EA289E" w:rsidRDefault="00EA289E" w:rsidP="00EA289E">
      <w:pPr>
        <w:pStyle w:val="Prrafodelista"/>
        <w:tabs>
          <w:tab w:val="left" w:pos="426"/>
        </w:tabs>
        <w:spacing w:before="240" w:after="240" w:line="360" w:lineRule="auto"/>
        <w:ind w:left="0" w:right="51"/>
        <w:jc w:val="both"/>
        <w:rPr>
          <w:rFonts w:ascii="Palatino Linotype" w:hAnsi="Palatino Linotype"/>
          <w:color w:val="000000" w:themeColor="text1"/>
        </w:rPr>
      </w:pPr>
    </w:p>
    <w:p w14:paraId="6D785D20" w14:textId="2B1A7660" w:rsidR="00EA289E" w:rsidRDefault="00577C3F" w:rsidP="00577C3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r>
        <w:rPr>
          <w:rFonts w:ascii="Palatino Linotype" w:hAnsi="Palatino Linotype"/>
          <w:b/>
          <w:i/>
          <w:color w:val="000000" w:themeColor="text1"/>
          <w:sz w:val="22"/>
        </w:rPr>
        <w:t>217C10100 SUBCOMISIÓN DE RECEPCIÓN Y SEGUIMIENTO DE QUEJAS</w:t>
      </w:r>
    </w:p>
    <w:p w14:paraId="313C0BBB" w14:textId="251CCF23" w:rsidR="00577C3F" w:rsidRDefault="00577C3F" w:rsidP="00577C3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5D433539" w14:textId="056D71F4" w:rsidR="00577C3F" w:rsidRDefault="00577C3F" w:rsidP="00577C3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b/>
          <w:i/>
          <w:color w:val="000000" w:themeColor="text1"/>
          <w:sz w:val="22"/>
        </w:rPr>
        <w:t>FUNCIONES:</w:t>
      </w:r>
    </w:p>
    <w:p w14:paraId="6FB8DF0D" w14:textId="77777777" w:rsidR="00577C3F" w:rsidRDefault="00577C3F" w:rsidP="00577C3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568075A0" w14:textId="77777777" w:rsidR="00577C3F" w:rsidRDefault="00577C3F" w:rsidP="00577C3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77C3F">
        <w:rPr>
          <w:rFonts w:ascii="Palatino Linotype" w:hAnsi="Palatino Linotype"/>
          <w:i/>
          <w:color w:val="000000" w:themeColor="text1"/>
          <w:sz w:val="22"/>
        </w:rPr>
        <w:t>-</w:t>
      </w:r>
      <w:r>
        <w:rPr>
          <w:rFonts w:ascii="Palatino Linotype" w:hAnsi="Palatino Linotype"/>
          <w:i/>
          <w:color w:val="000000" w:themeColor="text1"/>
          <w:sz w:val="22"/>
        </w:rPr>
        <w:t xml:space="preserve"> Recibir las quejas y realizar el seguimiento correspondiente, a efecto de constatar la existencia de supuestas irregularidades en las que hayan incurrido los prestadores de los servicios médicos.</w:t>
      </w:r>
    </w:p>
    <w:p w14:paraId="49C5F9CC" w14:textId="77777777" w:rsidR="00577C3F" w:rsidRDefault="00577C3F" w:rsidP="00577C3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 Registrar las quejas presentadas ante la Comisión, así como realizar el seguimiento sobre su atención y verificar su resolución satisfactoria.</w:t>
      </w:r>
    </w:p>
    <w:p w14:paraId="43054C0F" w14:textId="2FF6D250" w:rsidR="00577C3F" w:rsidRDefault="00577C3F" w:rsidP="00577C3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 xml:space="preserve">(…) </w:t>
      </w:r>
    </w:p>
    <w:p w14:paraId="785138A5" w14:textId="77777777" w:rsidR="00577C3F" w:rsidRDefault="00577C3F" w:rsidP="00577C3F">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45C25B29" w14:textId="305E413E" w:rsidR="00577C3F" w:rsidRDefault="00577C3F" w:rsidP="00577C3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b/>
          <w:i/>
          <w:color w:val="000000" w:themeColor="text1"/>
          <w:sz w:val="22"/>
        </w:rPr>
        <w:t>217C10200 SUBCOMISIÓN DE CONCILIACIÓN Y ARBITRAJE</w:t>
      </w:r>
    </w:p>
    <w:p w14:paraId="4C2FFFDF" w14:textId="77777777" w:rsidR="00577C3F" w:rsidRDefault="00577C3F" w:rsidP="00577C3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6877EEE4" w14:textId="77777777" w:rsidR="00577C3F" w:rsidRDefault="00577C3F" w:rsidP="00577C3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b/>
          <w:i/>
          <w:color w:val="000000" w:themeColor="text1"/>
          <w:sz w:val="22"/>
        </w:rPr>
        <w:t>FUNCIONES:</w:t>
      </w:r>
    </w:p>
    <w:p w14:paraId="5C149BB6" w14:textId="77777777" w:rsidR="00577C3F" w:rsidRDefault="00577C3F" w:rsidP="00577C3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1DA66AC3" w14:textId="77777777" w:rsidR="00577C3F" w:rsidRDefault="00577C3F" w:rsidP="00577C3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77C3F">
        <w:rPr>
          <w:rFonts w:ascii="Palatino Linotype" w:hAnsi="Palatino Linotype"/>
          <w:i/>
          <w:color w:val="000000" w:themeColor="text1"/>
          <w:sz w:val="22"/>
        </w:rPr>
        <w:t>-</w:t>
      </w:r>
      <w:r>
        <w:rPr>
          <w:rFonts w:ascii="Palatino Linotype" w:hAnsi="Palatino Linotype"/>
          <w:i/>
          <w:color w:val="000000" w:themeColor="text1"/>
          <w:sz w:val="22"/>
        </w:rPr>
        <w:t xml:space="preserve"> Recibir las quejas y realizar el seguimiento correspondiente, a efecto de constatar la existencia de supuestas irregularidades en las que hayan incurrido los prestadores de los servicios médicos.</w:t>
      </w:r>
    </w:p>
    <w:p w14:paraId="145A85EC" w14:textId="77777777" w:rsidR="00577C3F" w:rsidRDefault="00577C3F" w:rsidP="00577C3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lastRenderedPageBreak/>
        <w:t>- Registrar las quejas presentadas ante la Comisión, así como realizar el seguimiento sobre su atención y verificar su resolución satisfactoria.</w:t>
      </w:r>
    </w:p>
    <w:p w14:paraId="6FD0625B" w14:textId="3FF9E586" w:rsidR="00577C3F" w:rsidRPr="00577C3F" w:rsidRDefault="00577C3F" w:rsidP="00577C3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155CF48C" w14:textId="77777777" w:rsidR="00E02DA3" w:rsidRDefault="00E02DA3"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160AFCFB" w14:textId="4A8A9773" w:rsidR="00E02DA3" w:rsidRDefault="00EC23AC"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el mismo sentido, por cuanto hace al agravio </w:t>
      </w:r>
      <w:r w:rsidR="009467D2">
        <w:rPr>
          <w:rFonts w:ascii="Palatino Linotype" w:hAnsi="Palatino Linotype"/>
          <w:color w:val="000000" w:themeColor="text1"/>
        </w:rPr>
        <w:t xml:space="preserve">manifestado por </w:t>
      </w:r>
      <w:r>
        <w:rPr>
          <w:rFonts w:ascii="Palatino Linotype" w:hAnsi="Palatino Linotype"/>
          <w:color w:val="000000" w:themeColor="text1"/>
        </w:rPr>
        <w:t xml:space="preserve">el </w:t>
      </w:r>
      <w:r>
        <w:rPr>
          <w:rFonts w:ascii="Palatino Linotype" w:hAnsi="Palatino Linotype"/>
          <w:b/>
          <w:color w:val="000000" w:themeColor="text1"/>
        </w:rPr>
        <w:t>RECURRENTE</w:t>
      </w:r>
      <w:r w:rsidR="009467D2">
        <w:rPr>
          <w:rFonts w:ascii="Palatino Linotype" w:hAnsi="Palatino Linotype"/>
          <w:color w:val="000000" w:themeColor="text1"/>
        </w:rPr>
        <w:t>, en el que</w:t>
      </w:r>
      <w:r>
        <w:rPr>
          <w:rFonts w:ascii="Palatino Linotype" w:hAnsi="Palatino Linotype"/>
          <w:color w:val="000000" w:themeColor="text1"/>
        </w:rPr>
        <w:t xml:space="preserve"> impugnó que el encargado de la Unidad de Transparencia no tiene facultad para responder a las solicitudes de información</w:t>
      </w:r>
      <w:r w:rsidR="009467D2">
        <w:rPr>
          <w:rFonts w:ascii="Palatino Linotype" w:hAnsi="Palatino Linotype"/>
          <w:color w:val="000000" w:themeColor="text1"/>
        </w:rPr>
        <w:t xml:space="preserve">, se determina como </w:t>
      </w:r>
      <w:r w:rsidR="009467D2">
        <w:rPr>
          <w:rFonts w:ascii="Palatino Linotype" w:hAnsi="Palatino Linotype"/>
          <w:b/>
          <w:color w:val="000000" w:themeColor="text1"/>
        </w:rPr>
        <w:t>infundado</w:t>
      </w:r>
      <w:r>
        <w:rPr>
          <w:rFonts w:ascii="Palatino Linotype" w:hAnsi="Palatino Linotype"/>
          <w:color w:val="000000" w:themeColor="text1"/>
        </w:rPr>
        <w:t xml:space="preserve">; </w:t>
      </w:r>
      <w:r w:rsidR="009467D2">
        <w:rPr>
          <w:rFonts w:ascii="Palatino Linotype" w:hAnsi="Palatino Linotype"/>
          <w:color w:val="000000" w:themeColor="text1"/>
        </w:rPr>
        <w:t>pues</w:t>
      </w:r>
      <w:r>
        <w:rPr>
          <w:rFonts w:ascii="Palatino Linotype" w:hAnsi="Palatino Linotype"/>
          <w:color w:val="000000" w:themeColor="text1"/>
        </w:rPr>
        <w:t xml:space="preserve">, como se ha analizado a lo largo del presente punto del estudio, </w:t>
      </w:r>
      <w:r w:rsidRPr="001015CE">
        <w:rPr>
          <w:rFonts w:ascii="Palatino Linotype" w:hAnsi="Palatino Linotype"/>
          <w:b/>
          <w:color w:val="000000" w:themeColor="text1"/>
        </w:rPr>
        <w:t>es justamente la Unidad de Transparencia quien se encargará de</w:t>
      </w:r>
      <w:r>
        <w:rPr>
          <w:rFonts w:ascii="Palatino Linotype" w:hAnsi="Palatino Linotype"/>
          <w:color w:val="000000" w:themeColor="text1"/>
        </w:rPr>
        <w:t xml:space="preserve"> recibir, tramitar y </w:t>
      </w:r>
      <w:r w:rsidRPr="001015CE">
        <w:rPr>
          <w:rFonts w:ascii="Palatino Linotype" w:hAnsi="Palatino Linotype"/>
          <w:b/>
          <w:color w:val="000000" w:themeColor="text1"/>
        </w:rPr>
        <w:t>dar respuesta a las solicitudes de información</w:t>
      </w:r>
      <w:r>
        <w:rPr>
          <w:rFonts w:ascii="Palatino Linotype" w:hAnsi="Palatino Linotype"/>
          <w:color w:val="000000" w:themeColor="text1"/>
        </w:rPr>
        <w:t xml:space="preserve">, toda vez que ésta fungirá como el enlace entre los Solicitantes y las áreas administrativas que conforman al </w:t>
      </w:r>
      <w:r>
        <w:rPr>
          <w:rFonts w:ascii="Palatino Linotype" w:hAnsi="Palatino Linotype"/>
          <w:b/>
          <w:color w:val="000000" w:themeColor="text1"/>
        </w:rPr>
        <w:t>SUJETO OBLIGADO</w:t>
      </w:r>
      <w:r w:rsidR="001015CE">
        <w:rPr>
          <w:rFonts w:ascii="Palatino Linotype" w:hAnsi="Palatino Linotype"/>
          <w:color w:val="000000" w:themeColor="text1"/>
        </w:rPr>
        <w:t xml:space="preserve">. </w:t>
      </w:r>
    </w:p>
    <w:p w14:paraId="2A1E5243" w14:textId="77777777" w:rsidR="00E02DA3" w:rsidRDefault="00E02DA3"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21D1970B" w14:textId="3DC50EE7" w:rsidR="001015CE" w:rsidRPr="001015CE" w:rsidRDefault="001015CE" w:rsidP="001015C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88071787"/>
      <w:r>
        <w:rPr>
          <w:rFonts w:ascii="Palatino Linotype" w:hAnsi="Palatino Linotype"/>
          <w:b/>
          <w:color w:val="000000" w:themeColor="text1"/>
        </w:rPr>
        <w:t>V</w:t>
      </w:r>
      <w:r w:rsidR="001C7733">
        <w:rPr>
          <w:rFonts w:ascii="Palatino Linotype" w:hAnsi="Palatino Linotype"/>
          <w:b/>
          <w:color w:val="000000" w:themeColor="text1"/>
        </w:rPr>
        <w:t>I</w:t>
      </w:r>
      <w:r>
        <w:rPr>
          <w:rFonts w:ascii="Palatino Linotype" w:hAnsi="Palatino Linotype"/>
          <w:b/>
          <w:color w:val="000000" w:themeColor="text1"/>
        </w:rPr>
        <w:t xml:space="preserve">. </w:t>
      </w:r>
      <w:r w:rsidR="00056317">
        <w:rPr>
          <w:rFonts w:ascii="Palatino Linotype" w:hAnsi="Palatino Linotype"/>
          <w:b/>
          <w:color w:val="000000" w:themeColor="text1"/>
        </w:rPr>
        <w:t>Del Dictamen Técnico-Médico Institucional</w:t>
      </w:r>
      <w:r>
        <w:rPr>
          <w:rFonts w:ascii="Palatino Linotype" w:hAnsi="Palatino Linotype"/>
          <w:b/>
          <w:color w:val="000000" w:themeColor="text1"/>
        </w:rPr>
        <w:t>.</w:t>
      </w:r>
      <w:bookmarkEnd w:id="32"/>
    </w:p>
    <w:p w14:paraId="009C494E" w14:textId="77777777" w:rsidR="001015CE" w:rsidRDefault="001015CE"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0687DEE5" w14:textId="2B9FE79A" w:rsidR="00E02DA3" w:rsidRDefault="00056317"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Para</w:t>
      </w:r>
      <w:r w:rsidR="004B35A4">
        <w:rPr>
          <w:rFonts w:ascii="Palatino Linotype" w:hAnsi="Palatino Linotype"/>
          <w:color w:val="000000" w:themeColor="text1"/>
        </w:rPr>
        <w:t xml:space="preserve"> atender la solicitud de información </w:t>
      </w:r>
      <w:r w:rsidR="004B35A4">
        <w:rPr>
          <w:rFonts w:ascii="Palatino Linotype" w:hAnsi="Palatino Linotype"/>
          <w:b/>
          <w:color w:val="000000" w:themeColor="text1"/>
        </w:rPr>
        <w:t>00227/CAMEM/IP/2021</w:t>
      </w:r>
      <w:r w:rsidR="004B35A4">
        <w:rPr>
          <w:rFonts w:ascii="Palatino Linotype" w:hAnsi="Palatino Linotype"/>
          <w:color w:val="000000" w:themeColor="text1"/>
        </w:rPr>
        <w:t xml:space="preserve">, el </w:t>
      </w:r>
      <w:r w:rsidR="004B35A4">
        <w:rPr>
          <w:rFonts w:ascii="Palatino Linotype" w:hAnsi="Palatino Linotype"/>
          <w:b/>
          <w:color w:val="000000" w:themeColor="text1"/>
        </w:rPr>
        <w:t>SUJETO OBLIGADO</w:t>
      </w:r>
      <w:r w:rsidR="004B35A4">
        <w:rPr>
          <w:rFonts w:ascii="Palatino Linotype" w:hAnsi="Palatino Linotype"/>
          <w:color w:val="000000" w:themeColor="text1"/>
        </w:rPr>
        <w:t xml:space="preserve"> entregó al entonces </w:t>
      </w:r>
      <w:r w:rsidR="004B35A4">
        <w:rPr>
          <w:rFonts w:ascii="Palatino Linotype" w:hAnsi="Palatino Linotype"/>
          <w:b/>
          <w:color w:val="000000" w:themeColor="text1"/>
        </w:rPr>
        <w:t>SOLICITANTE</w:t>
      </w:r>
      <w:r w:rsidR="004B35A4">
        <w:rPr>
          <w:rFonts w:ascii="Palatino Linotype" w:hAnsi="Palatino Linotype"/>
          <w:color w:val="000000" w:themeColor="text1"/>
        </w:rPr>
        <w:t xml:space="preserve"> el archivo electrónico denominado </w:t>
      </w:r>
      <w:r w:rsidR="004B35A4">
        <w:rPr>
          <w:rFonts w:ascii="Palatino Linotype" w:hAnsi="Palatino Linotype"/>
          <w:b/>
          <w:i/>
          <w:color w:val="000000" w:themeColor="text1"/>
        </w:rPr>
        <w:t>“DICTAMEN.pdf”</w:t>
      </w:r>
      <w:r w:rsidR="004B35A4">
        <w:rPr>
          <w:rFonts w:ascii="Palatino Linotype" w:hAnsi="Palatino Linotype"/>
          <w:color w:val="000000" w:themeColor="text1"/>
        </w:rPr>
        <w:t>, consistente en el Dictamen Técnico-Médico Institucional solicitado por la Visitaduría General, con Sede en Ecatepec, de la Comisión de Derechos Humanos del Estado de México</w:t>
      </w:r>
      <w:r w:rsidR="00D63D90">
        <w:rPr>
          <w:rFonts w:ascii="Palatino Linotype" w:hAnsi="Palatino Linotype"/>
          <w:color w:val="000000" w:themeColor="text1"/>
        </w:rPr>
        <w:t xml:space="preserve">, </w:t>
      </w:r>
      <w:r>
        <w:rPr>
          <w:rFonts w:ascii="Palatino Linotype" w:hAnsi="Palatino Linotype"/>
          <w:color w:val="000000" w:themeColor="text1"/>
        </w:rPr>
        <w:t xml:space="preserve">mismo que se percibe </w:t>
      </w:r>
      <w:r w:rsidR="00D63D90">
        <w:rPr>
          <w:rFonts w:ascii="Palatino Linotype" w:hAnsi="Palatino Linotype"/>
          <w:color w:val="000000" w:themeColor="text1"/>
        </w:rPr>
        <w:t>testado en su mayoría, como se exhibe en las siguientes capturas de imagen:</w:t>
      </w:r>
    </w:p>
    <w:p w14:paraId="2D8E9C62" w14:textId="41E0E9B9" w:rsidR="00E02DA3" w:rsidRDefault="00D63D90" w:rsidP="00E02DA3">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noProof/>
          <w:color w:val="000000" w:themeColor="text1"/>
          <w:lang w:eastAsia="es-MX"/>
        </w:rPr>
        <mc:AlternateContent>
          <mc:Choice Requires="wps">
            <w:drawing>
              <wp:anchor distT="0" distB="0" distL="114300" distR="114300" simplePos="0" relativeHeight="251663360" behindDoc="0" locked="0" layoutInCell="1" allowOverlap="1" wp14:anchorId="7D959C47" wp14:editId="4513C96E">
                <wp:simplePos x="0" y="0"/>
                <wp:positionH relativeFrom="margin">
                  <wp:align>right</wp:align>
                </wp:positionH>
                <wp:positionV relativeFrom="paragraph">
                  <wp:posOffset>3448787</wp:posOffset>
                </wp:positionV>
                <wp:extent cx="5508345" cy="1323644"/>
                <wp:effectExtent l="38100" t="38100" r="73660" b="86360"/>
                <wp:wrapNone/>
                <wp:docPr id="1" name="Conector recto 1"/>
                <wp:cNvGraphicFramePr/>
                <a:graphic xmlns:a="http://schemas.openxmlformats.org/drawingml/2006/main">
                  <a:graphicData uri="http://schemas.microsoft.com/office/word/2010/wordprocessingShape">
                    <wps:wsp>
                      <wps:cNvCnPr/>
                      <wps:spPr>
                        <a:xfrm flipV="1">
                          <a:off x="0" y="0"/>
                          <a:ext cx="5508345" cy="1323644"/>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075910" id="Conector recto 1" o:spid="_x0000_s1026" style="position:absolute;flip:y;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55pt,271.55pt" to="816.3pt,3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" strokecolor="black [3200]" strokeweight="1pt">
                <v:shadow on="t" color="black" opacity="24903f" origin=",.5" offset="0,.55556mm"/>
                <w10:wrap anchorx="margin"/>
              </v:line>
            </w:pict>
          </mc:Fallback>
        </mc:AlternateContent>
      </w:r>
    </w:p>
    <w:tbl>
      <w:tblPr>
        <w:tblStyle w:val="Tablaconcuadrcula"/>
        <w:tblW w:w="0" w:type="auto"/>
        <w:tblLook w:val="04A0" w:firstRow="1" w:lastRow="0" w:firstColumn="1" w:lastColumn="0" w:noHBand="0" w:noVBand="1"/>
      </w:tblPr>
      <w:tblGrid>
        <w:gridCol w:w="4307"/>
        <w:gridCol w:w="4521"/>
      </w:tblGrid>
      <w:tr w:rsidR="00D63D90" w14:paraId="4AB1C323" w14:textId="77777777" w:rsidTr="00D63D90">
        <w:tc>
          <w:tcPr>
            <w:tcW w:w="4414" w:type="dxa"/>
          </w:tcPr>
          <w:p w14:paraId="6B411D92" w14:textId="77777777" w:rsidR="00D63D90" w:rsidRDefault="00D63D90" w:rsidP="00D63D90">
            <w:pPr>
              <w:pStyle w:val="Prrafodelista"/>
              <w:tabs>
                <w:tab w:val="left" w:pos="426"/>
              </w:tabs>
              <w:ind w:left="0" w:right="51"/>
              <w:jc w:val="center"/>
            </w:pPr>
            <w:r>
              <w:object w:dxaOrig="8895" w:dyaOrig="11535" w14:anchorId="025D9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219pt" o:ole="">
                  <v:imagedata r:id="rId10" o:title=""/>
                </v:shape>
                <o:OLEObject Type="Embed" ProgID="Paint.Picture" ShapeID="_x0000_i1025" DrawAspect="Content" ObjectID="_1699979110" r:id="rId11"/>
              </w:object>
            </w:r>
          </w:p>
          <w:p w14:paraId="7E62FD95" w14:textId="4880B3FE" w:rsidR="00D63D90" w:rsidRDefault="00D63D90" w:rsidP="00D63D90">
            <w:pPr>
              <w:pStyle w:val="Prrafodelista"/>
              <w:tabs>
                <w:tab w:val="left" w:pos="426"/>
              </w:tabs>
              <w:ind w:left="0" w:right="51"/>
              <w:jc w:val="center"/>
              <w:rPr>
                <w:rFonts w:ascii="Palatino Linotype" w:hAnsi="Palatino Linotype"/>
                <w:color w:val="000000" w:themeColor="text1"/>
              </w:rPr>
            </w:pPr>
          </w:p>
        </w:tc>
        <w:tc>
          <w:tcPr>
            <w:tcW w:w="4414" w:type="dxa"/>
          </w:tcPr>
          <w:p w14:paraId="36A7493F" w14:textId="1A314E07" w:rsidR="00D63D90" w:rsidRDefault="00D63D90" w:rsidP="00D63D90">
            <w:pPr>
              <w:pStyle w:val="Prrafodelista"/>
              <w:tabs>
                <w:tab w:val="left" w:pos="426"/>
              </w:tabs>
              <w:ind w:left="0" w:right="51"/>
              <w:jc w:val="center"/>
              <w:rPr>
                <w:rFonts w:ascii="Palatino Linotype" w:hAnsi="Palatino Linotype"/>
                <w:color w:val="000000" w:themeColor="text1"/>
              </w:rPr>
            </w:pPr>
            <w:r>
              <w:object w:dxaOrig="8895" w:dyaOrig="11025" w14:anchorId="336ED97F">
                <v:shape id="_x0000_i1026" type="#_x0000_t75" style="width:175.5pt;height:218.5pt" o:ole="">
                  <v:imagedata r:id="rId12" o:title=""/>
                </v:shape>
                <o:OLEObject Type="Embed" ProgID="Paint.Picture" ShapeID="_x0000_i1026" DrawAspect="Content" ObjectID="_1699979111" r:id="rId13"/>
              </w:object>
            </w:r>
          </w:p>
        </w:tc>
      </w:tr>
      <w:tr w:rsidR="00D63D90" w14:paraId="7A28F82A" w14:textId="77777777" w:rsidTr="00D63D90">
        <w:tc>
          <w:tcPr>
            <w:tcW w:w="4414" w:type="dxa"/>
          </w:tcPr>
          <w:p w14:paraId="0E443F67" w14:textId="77777777" w:rsidR="00D63D90" w:rsidRDefault="00D63D90" w:rsidP="00D63D90">
            <w:pPr>
              <w:pStyle w:val="Prrafodelista"/>
              <w:tabs>
                <w:tab w:val="left" w:pos="426"/>
              </w:tabs>
              <w:ind w:left="0" w:right="51"/>
              <w:jc w:val="center"/>
            </w:pPr>
            <w:r>
              <w:object w:dxaOrig="8925" w:dyaOrig="11520" w14:anchorId="10A865E9">
                <v:shape id="_x0000_i1027" type="#_x0000_t75" style="width:200pt;height:258pt" o:ole="">
                  <v:imagedata r:id="rId14" o:title=""/>
                </v:shape>
                <o:OLEObject Type="Embed" ProgID="Paint.Picture" ShapeID="_x0000_i1027" DrawAspect="Content" ObjectID="_1699979112" r:id="rId15"/>
              </w:object>
            </w:r>
          </w:p>
          <w:p w14:paraId="2097F9F9" w14:textId="08F35A43" w:rsidR="00D63D90" w:rsidRDefault="00D63D90" w:rsidP="00D63D90">
            <w:pPr>
              <w:pStyle w:val="Prrafodelista"/>
              <w:tabs>
                <w:tab w:val="left" w:pos="426"/>
              </w:tabs>
              <w:ind w:left="0" w:right="51"/>
              <w:jc w:val="center"/>
              <w:rPr>
                <w:rFonts w:ascii="Palatino Linotype" w:hAnsi="Palatino Linotype"/>
                <w:color w:val="000000" w:themeColor="text1"/>
              </w:rPr>
            </w:pPr>
          </w:p>
        </w:tc>
        <w:tc>
          <w:tcPr>
            <w:tcW w:w="4414" w:type="dxa"/>
          </w:tcPr>
          <w:p w14:paraId="015D7A49" w14:textId="21D13C57" w:rsidR="00D63D90" w:rsidRDefault="00D63D90" w:rsidP="00D63D90">
            <w:pPr>
              <w:pStyle w:val="Prrafodelista"/>
              <w:tabs>
                <w:tab w:val="left" w:pos="426"/>
              </w:tabs>
              <w:ind w:left="0" w:right="51"/>
              <w:jc w:val="center"/>
              <w:rPr>
                <w:rFonts w:ascii="Palatino Linotype" w:hAnsi="Palatino Linotype"/>
                <w:color w:val="000000" w:themeColor="text1"/>
              </w:rPr>
            </w:pPr>
            <w:r>
              <w:object w:dxaOrig="8880" w:dyaOrig="10815" w14:anchorId="6A8B6CA3">
                <v:shape id="_x0000_i1028" type="#_x0000_t75" style="width:212.5pt;height:260pt" o:ole="">
                  <v:imagedata r:id="rId16" o:title=""/>
                </v:shape>
                <o:OLEObject Type="Embed" ProgID="Paint.Picture" ShapeID="_x0000_i1028" DrawAspect="Content" ObjectID="_1699979113" r:id="rId17"/>
              </w:object>
            </w:r>
          </w:p>
        </w:tc>
      </w:tr>
      <w:tr w:rsidR="00D63D90" w14:paraId="033439FA" w14:textId="77777777" w:rsidTr="00D63D90">
        <w:tc>
          <w:tcPr>
            <w:tcW w:w="4414" w:type="dxa"/>
          </w:tcPr>
          <w:p w14:paraId="1C5C202E" w14:textId="268325E8" w:rsidR="00D63D90" w:rsidRDefault="00D63D90" w:rsidP="00D63D90">
            <w:pPr>
              <w:pStyle w:val="Prrafodelista"/>
              <w:tabs>
                <w:tab w:val="left" w:pos="426"/>
              </w:tabs>
              <w:ind w:left="0" w:right="51"/>
              <w:jc w:val="center"/>
            </w:pPr>
            <w:r>
              <w:object w:dxaOrig="8910" w:dyaOrig="11505" w14:anchorId="02E16EF2">
                <v:shape id="_x0000_i1029" type="#_x0000_t75" style="width:183.5pt;height:237.5pt" o:ole="">
                  <v:imagedata r:id="rId18" o:title=""/>
                </v:shape>
                <o:OLEObject Type="Embed" ProgID="Paint.Picture" ShapeID="_x0000_i1029" DrawAspect="Content" ObjectID="_1699979114" r:id="rId19"/>
              </w:object>
            </w:r>
          </w:p>
        </w:tc>
        <w:tc>
          <w:tcPr>
            <w:tcW w:w="4414" w:type="dxa"/>
          </w:tcPr>
          <w:p w14:paraId="154B421E" w14:textId="78DD86A6" w:rsidR="00D63D90" w:rsidRDefault="00D63D90" w:rsidP="00D63D90">
            <w:pPr>
              <w:pStyle w:val="Prrafodelista"/>
              <w:tabs>
                <w:tab w:val="left" w:pos="426"/>
              </w:tabs>
              <w:ind w:left="0" w:right="51"/>
              <w:jc w:val="center"/>
            </w:pPr>
            <w:r>
              <w:object w:dxaOrig="8910" w:dyaOrig="11505" w14:anchorId="645C7C77">
                <v:shape id="_x0000_i1030" type="#_x0000_t75" style="width:182.5pt;height:236pt" o:ole="">
                  <v:imagedata r:id="rId20" o:title=""/>
                </v:shape>
                <o:OLEObject Type="Embed" ProgID="Paint.Picture" ShapeID="_x0000_i1030" DrawAspect="Content" ObjectID="_1699979115" r:id="rId21"/>
              </w:object>
            </w:r>
          </w:p>
        </w:tc>
      </w:tr>
    </w:tbl>
    <w:p w14:paraId="5B195FF5" w14:textId="77777777" w:rsidR="00D63D90" w:rsidRDefault="00D63D90"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67D0586C" w14:textId="7FFA4A55" w:rsidR="00142DC2" w:rsidRDefault="00142DC2" w:rsidP="00142D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Consecuencia de lo anterior, dentro del recurso de revisión </w:t>
      </w:r>
      <w:r w:rsidR="00232110">
        <w:rPr>
          <w:rFonts w:ascii="Palatino Linotype" w:hAnsi="Palatino Linotype"/>
          <w:b/>
          <w:color w:val="000000" w:themeColor="text1"/>
        </w:rPr>
        <w:t>04343/INFOEM/IP/RR/2021</w:t>
      </w:r>
      <w:r w:rsidR="00EE123D">
        <w:rPr>
          <w:rFonts w:ascii="Palatino Linotype" w:hAnsi="Palatino Linotype"/>
          <w:color w:val="000000" w:themeColor="text1"/>
        </w:rPr>
        <w:t>,</w:t>
      </w:r>
      <w:r>
        <w:rPr>
          <w:rFonts w:ascii="Palatino Linotype" w:hAnsi="Palatino Linotype"/>
          <w:color w:val="000000" w:themeColor="text1"/>
        </w:rPr>
        <w:t xml:space="preserve"> el </w:t>
      </w:r>
      <w:r>
        <w:rPr>
          <w:rFonts w:ascii="Palatino Linotype" w:hAnsi="Palatino Linotype"/>
          <w:b/>
          <w:color w:val="000000" w:themeColor="text1"/>
        </w:rPr>
        <w:t>RECURRENTE</w:t>
      </w:r>
      <w:r>
        <w:rPr>
          <w:rFonts w:ascii="Palatino Linotype" w:hAnsi="Palatino Linotype"/>
          <w:color w:val="000000" w:themeColor="text1"/>
        </w:rPr>
        <w:t xml:space="preserve"> se dolió porque el Dictamen Técnico-Médico Institucional no era entendible al haber pasado por un ejercicio de clasificación excesivo, aunado a que no se le entregó el Acuerdo del Comité de Transparencia en el que, de manera fundada y motivada, se justificara la clasificación; y, que la emisión de la versión pública no le correspondía al Titular de la Unidad de Transparencia, sino al Comité.</w:t>
      </w:r>
    </w:p>
    <w:p w14:paraId="53121BBD" w14:textId="77777777" w:rsidR="00E02DA3" w:rsidRDefault="00E02DA3"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5FED2192" w14:textId="55D7F12C" w:rsidR="00056317" w:rsidRDefault="00056317" w:rsidP="000563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Dicho lo anterior, es elemental señalar que</w:t>
      </w:r>
      <w:r w:rsidRPr="001C09E0">
        <w:rPr>
          <w:rFonts w:ascii="Palatino Linotype" w:hAnsi="Palatino Linotype"/>
          <w:color w:val="000000" w:themeColor="text1"/>
        </w:rPr>
        <w:t xml:space="preserve"> Ley de Transparencia y Acceso a la Información Pública del Estado de México y Municipios, en su artículo 122, establece que la </w:t>
      </w:r>
      <w:r w:rsidRPr="001C09E0">
        <w:rPr>
          <w:rFonts w:ascii="Palatino Linotype" w:hAnsi="Palatino Linotype"/>
          <w:b/>
          <w:color w:val="000000" w:themeColor="text1"/>
        </w:rPr>
        <w:t>clasificación</w:t>
      </w:r>
      <w:r w:rsidRPr="001C09E0">
        <w:rPr>
          <w:rFonts w:ascii="Palatino Linotype" w:hAnsi="Palatino Linotype"/>
          <w:color w:val="000000" w:themeColor="text1"/>
        </w:rPr>
        <w:t xml:space="preserve"> es el proceso mediante el cual el </w:t>
      </w:r>
      <w:r w:rsidRPr="001C09E0">
        <w:rPr>
          <w:rFonts w:ascii="Palatino Linotype" w:hAnsi="Palatino Linotype"/>
          <w:b/>
          <w:color w:val="000000" w:themeColor="text1"/>
        </w:rPr>
        <w:t>SUJETO OBLIGADO</w:t>
      </w:r>
      <w:r w:rsidRPr="001C09E0">
        <w:rPr>
          <w:rFonts w:ascii="Palatino Linotype" w:hAnsi="Palatino Linotype"/>
          <w:color w:val="000000" w:themeColor="text1"/>
        </w:rPr>
        <w:t xml:space="preserve"> </w:t>
      </w:r>
      <w:r w:rsidRPr="001C09E0">
        <w:rPr>
          <w:rFonts w:ascii="Palatino Linotype" w:hAnsi="Palatino Linotype"/>
          <w:color w:val="000000" w:themeColor="text1"/>
        </w:rPr>
        <w:lastRenderedPageBreak/>
        <w:t>determina que la información en su poder actualiza alguno de los supuestos de reserva o confidencialidad contenidos en los artículos 140 o 143 de la Ley de mérito.</w:t>
      </w:r>
    </w:p>
    <w:p w14:paraId="272DBA6D" w14:textId="77777777" w:rsidR="00056317" w:rsidRDefault="00056317" w:rsidP="00056317">
      <w:pPr>
        <w:pStyle w:val="Prrafodelista"/>
        <w:tabs>
          <w:tab w:val="left" w:pos="426"/>
        </w:tabs>
        <w:spacing w:before="240" w:after="240" w:line="360" w:lineRule="auto"/>
        <w:ind w:left="0" w:right="51"/>
        <w:jc w:val="both"/>
        <w:rPr>
          <w:rFonts w:ascii="Palatino Linotype" w:hAnsi="Palatino Linotype"/>
          <w:color w:val="000000" w:themeColor="text1"/>
        </w:rPr>
      </w:pPr>
    </w:p>
    <w:p w14:paraId="2055C004" w14:textId="12266AF3" w:rsidR="00056317" w:rsidRDefault="00056317" w:rsidP="000563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Asimismo, la Ley de la materia establece que la clasificación de la información se llevará a cabo en el momento en que</w:t>
      </w:r>
      <w:r>
        <w:rPr>
          <w:rStyle w:val="Refdenotaalpie"/>
          <w:rFonts w:ascii="Palatino Linotype" w:hAnsi="Palatino Linotype"/>
          <w:color w:val="000000" w:themeColor="text1"/>
        </w:rPr>
        <w:footnoteReference w:id="19"/>
      </w:r>
      <w:r>
        <w:rPr>
          <w:rFonts w:ascii="Palatino Linotype" w:hAnsi="Palatino Linotype"/>
          <w:color w:val="000000" w:themeColor="text1"/>
        </w:rPr>
        <w:t>:</w:t>
      </w:r>
    </w:p>
    <w:p w14:paraId="14B419D2" w14:textId="77777777" w:rsidR="00056317" w:rsidRDefault="00056317" w:rsidP="00056317">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 xml:space="preserve">Se </w:t>
      </w:r>
      <w:r w:rsidRPr="004B35A4">
        <w:rPr>
          <w:rFonts w:ascii="Palatino Linotype" w:hAnsi="Palatino Linotype"/>
          <w:color w:val="000000" w:themeColor="text1"/>
        </w:rPr>
        <w:t xml:space="preserve">reciba una solicitud de acceso a la información; </w:t>
      </w:r>
    </w:p>
    <w:p w14:paraId="5C4F41E3" w14:textId="77777777" w:rsidR="00056317" w:rsidRDefault="00056317" w:rsidP="00056317">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B35A4">
        <w:rPr>
          <w:rFonts w:ascii="Palatino Linotype" w:hAnsi="Palatino Linotype"/>
          <w:color w:val="000000" w:themeColor="text1"/>
        </w:rPr>
        <w:t xml:space="preserve">Se determine mediante resolución de autoridad competente; o </w:t>
      </w:r>
    </w:p>
    <w:p w14:paraId="679F8EEF" w14:textId="77777777" w:rsidR="00056317" w:rsidRDefault="00056317" w:rsidP="00056317">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B35A4">
        <w:rPr>
          <w:rFonts w:ascii="Palatino Linotype" w:hAnsi="Palatino Linotype"/>
          <w:color w:val="000000" w:themeColor="text1"/>
        </w:rPr>
        <w:t>Se generen versiones públicas para dar cumplimiento a las obligaciones de transparencia previstas en esta Ley.</w:t>
      </w:r>
    </w:p>
    <w:p w14:paraId="6F3B4F1F" w14:textId="77777777" w:rsidR="00056317" w:rsidRDefault="00056317" w:rsidP="00056317">
      <w:pPr>
        <w:pStyle w:val="Prrafodelista"/>
        <w:tabs>
          <w:tab w:val="left" w:pos="426"/>
        </w:tabs>
        <w:spacing w:before="240" w:after="240" w:line="360" w:lineRule="auto"/>
        <w:ind w:left="0" w:right="51"/>
        <w:jc w:val="both"/>
        <w:rPr>
          <w:rFonts w:ascii="Palatino Linotype" w:hAnsi="Palatino Linotype"/>
          <w:color w:val="000000" w:themeColor="text1"/>
        </w:rPr>
      </w:pPr>
    </w:p>
    <w:p w14:paraId="51575278" w14:textId="2E3ECF94" w:rsidR="00056317" w:rsidRDefault="002B6781" w:rsidP="000563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su parte, el tercer párrafo del artículo 122 de la Ley de la materia establece que</w:t>
      </w:r>
      <w:r w:rsidR="00056317">
        <w:rPr>
          <w:rFonts w:ascii="Palatino Linotype" w:hAnsi="Palatino Linotype"/>
          <w:color w:val="000000" w:themeColor="text1"/>
        </w:rPr>
        <w:t xml:space="preserve"> </w:t>
      </w:r>
      <w:r w:rsidR="00056317" w:rsidRPr="001C09E0">
        <w:rPr>
          <w:rFonts w:ascii="Palatino Linotype" w:hAnsi="Palatino Linotype"/>
          <w:b/>
          <w:color w:val="000000" w:themeColor="text1"/>
        </w:rPr>
        <w:t>los titulares de las áreas de los sujetos obligados serán los responsables de clasificar la información</w:t>
      </w:r>
      <w:r w:rsidR="00056317" w:rsidRPr="001C09E0">
        <w:rPr>
          <w:rFonts w:ascii="Palatino Linotype" w:hAnsi="Palatino Linotype"/>
          <w:color w:val="000000" w:themeColor="text1"/>
        </w:rPr>
        <w:t>.</w:t>
      </w:r>
    </w:p>
    <w:p w14:paraId="52D2A4C2" w14:textId="77777777" w:rsidR="00F45502" w:rsidRDefault="00F45502" w:rsidP="00F45502">
      <w:pPr>
        <w:pStyle w:val="Prrafodelista"/>
        <w:tabs>
          <w:tab w:val="left" w:pos="426"/>
        </w:tabs>
        <w:spacing w:before="240" w:after="240" w:line="360" w:lineRule="auto"/>
        <w:ind w:left="0" w:right="51"/>
        <w:jc w:val="both"/>
        <w:rPr>
          <w:rFonts w:ascii="Palatino Linotype" w:hAnsi="Palatino Linotype"/>
          <w:color w:val="000000" w:themeColor="text1"/>
        </w:rPr>
      </w:pPr>
    </w:p>
    <w:p w14:paraId="7A315D3B" w14:textId="1A4F1187" w:rsidR="00F45502" w:rsidRDefault="00F45502" w:rsidP="000563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lo tanto, por cuanto hace al agravio señalado por el </w:t>
      </w:r>
      <w:r>
        <w:rPr>
          <w:rFonts w:ascii="Palatino Linotype" w:hAnsi="Palatino Linotype"/>
          <w:b/>
          <w:color w:val="000000" w:themeColor="text1"/>
        </w:rPr>
        <w:t>RECURRENTE</w:t>
      </w:r>
      <w:r>
        <w:rPr>
          <w:rFonts w:ascii="Palatino Linotype" w:hAnsi="Palatino Linotype"/>
          <w:color w:val="000000" w:themeColor="text1"/>
        </w:rPr>
        <w:t xml:space="preserve">, a través del cual, manifestó que el Titular de la Unidad de Enlace viola lo dispuesto por el artículo 143 de la Ley de Transparencia y Acceso a la Información Pública del Estado de México, pues le corresponde al Comité de Transparencia la emisión de una versión pública, debe declararse </w:t>
      </w:r>
      <w:r>
        <w:rPr>
          <w:rFonts w:ascii="Palatino Linotype" w:hAnsi="Palatino Linotype"/>
          <w:b/>
          <w:color w:val="000000" w:themeColor="text1"/>
        </w:rPr>
        <w:t>parcialmente fundado pero inoperante</w:t>
      </w:r>
      <w:r>
        <w:rPr>
          <w:rFonts w:ascii="Palatino Linotype" w:hAnsi="Palatino Linotype"/>
          <w:color w:val="000000" w:themeColor="text1"/>
        </w:rPr>
        <w:t xml:space="preserve">, toda vez que el numeral señalado por el particular establece la semántica de la información que deba considerarse como confidencial; mientras que la emisión de la versión </w:t>
      </w:r>
      <w:r>
        <w:rPr>
          <w:rFonts w:ascii="Palatino Linotype" w:hAnsi="Palatino Linotype"/>
          <w:color w:val="000000" w:themeColor="text1"/>
        </w:rPr>
        <w:lastRenderedPageBreak/>
        <w:t xml:space="preserve">pública por parte del Titular de la Unidad de Transparencia, en lugar del Titular del área administrativa encargada de poseer, generar o administrar la información, no abona o repercute directamente en el derecho de acceso a la información del </w:t>
      </w:r>
      <w:r>
        <w:rPr>
          <w:rFonts w:ascii="Palatino Linotype" w:hAnsi="Palatino Linotype"/>
          <w:b/>
          <w:color w:val="000000" w:themeColor="text1"/>
        </w:rPr>
        <w:t>RECURRENTE</w:t>
      </w:r>
      <w:r>
        <w:rPr>
          <w:rFonts w:ascii="Palatino Linotype" w:hAnsi="Palatino Linotype"/>
          <w:color w:val="000000" w:themeColor="text1"/>
        </w:rPr>
        <w:t>, sino la infundada y excesiva clasificación que se realizó en el instrumento.</w:t>
      </w:r>
    </w:p>
    <w:p w14:paraId="1E03A953" w14:textId="77777777" w:rsidR="00056317" w:rsidRPr="001C09E0" w:rsidRDefault="00056317" w:rsidP="00056317">
      <w:pPr>
        <w:pStyle w:val="Prrafodelista"/>
        <w:tabs>
          <w:tab w:val="left" w:pos="426"/>
        </w:tabs>
        <w:spacing w:before="240" w:after="240" w:line="360" w:lineRule="auto"/>
        <w:ind w:left="0" w:right="51"/>
        <w:jc w:val="both"/>
        <w:rPr>
          <w:rFonts w:ascii="Palatino Linotype" w:hAnsi="Palatino Linotype"/>
          <w:color w:val="000000" w:themeColor="text1"/>
        </w:rPr>
      </w:pPr>
    </w:p>
    <w:p w14:paraId="0D83A5EE" w14:textId="0D293D65" w:rsidR="00056317" w:rsidRDefault="00F45502" w:rsidP="000563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En ese tenor, conviene señalar que</w:t>
      </w:r>
      <w:r w:rsidR="00056317">
        <w:rPr>
          <w:rFonts w:ascii="Palatino Linotype" w:hAnsi="Palatino Linotype"/>
          <w:color w:val="000000" w:themeColor="text1"/>
        </w:rPr>
        <w:t xml:space="preserve"> el numeral 128 de la Ley de la materia establece que </w:t>
      </w:r>
      <w:r w:rsidR="00056317" w:rsidRPr="00F45502">
        <w:rPr>
          <w:rFonts w:ascii="Palatino Linotype" w:hAnsi="Palatino Linotype"/>
          <w:b/>
          <w:color w:val="000000" w:themeColor="text1"/>
        </w:rPr>
        <w:t>en los casos en que se niegue el acceso a la información, por actualizarse alguno de los supuestos de clasificación</w:t>
      </w:r>
      <w:r w:rsidR="00056317" w:rsidRPr="001C09E0">
        <w:rPr>
          <w:rFonts w:ascii="Palatino Linotype" w:hAnsi="Palatino Linotype"/>
          <w:color w:val="000000" w:themeColor="text1"/>
        </w:rPr>
        <w:t xml:space="preserve">, </w:t>
      </w:r>
      <w:r w:rsidR="00056317" w:rsidRPr="001C09E0">
        <w:rPr>
          <w:rFonts w:ascii="Palatino Linotype" w:hAnsi="Palatino Linotype"/>
          <w:b/>
          <w:color w:val="000000" w:themeColor="text1"/>
        </w:rPr>
        <w:t>el Comité de Transparencia deberá confirmar, modificar o revocar la decisión</w:t>
      </w:r>
      <w:r w:rsidR="00056317">
        <w:rPr>
          <w:rFonts w:ascii="Palatino Linotype" w:hAnsi="Palatino Linotype"/>
          <w:color w:val="000000" w:themeColor="text1"/>
        </w:rPr>
        <w:t xml:space="preserve">; y, para </w:t>
      </w:r>
      <w:r w:rsidR="00056317" w:rsidRPr="001C09E0">
        <w:rPr>
          <w:rFonts w:ascii="Palatino Linotype" w:hAnsi="Palatino Linotype"/>
          <w:color w:val="000000" w:themeColor="text1"/>
        </w:rPr>
        <w:t xml:space="preserve">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w:t>
      </w:r>
      <w:r w:rsidRPr="001C09E0">
        <w:rPr>
          <w:rFonts w:ascii="Palatino Linotype" w:hAnsi="Palatino Linotype"/>
          <w:color w:val="000000" w:themeColor="text1"/>
        </w:rPr>
        <w:t xml:space="preserve">Sujeto Obligado </w:t>
      </w:r>
      <w:r w:rsidR="00056317" w:rsidRPr="001C09E0">
        <w:rPr>
          <w:rFonts w:ascii="Palatino Linotype" w:hAnsi="Palatino Linotype"/>
          <w:color w:val="000000" w:themeColor="text1"/>
        </w:rPr>
        <w:t xml:space="preserve">deberá, en todo momento, aplicar una </w:t>
      </w:r>
      <w:r w:rsidR="00056317" w:rsidRPr="001C09E0">
        <w:rPr>
          <w:rFonts w:ascii="Palatino Linotype" w:hAnsi="Palatino Linotype"/>
          <w:b/>
          <w:color w:val="000000" w:themeColor="text1"/>
        </w:rPr>
        <w:t>prueba de daño</w:t>
      </w:r>
      <w:r w:rsidR="00056317" w:rsidRPr="001C09E0">
        <w:rPr>
          <w:rFonts w:ascii="Palatino Linotype" w:hAnsi="Palatino Linotype"/>
          <w:color w:val="000000" w:themeColor="text1"/>
        </w:rPr>
        <w:t>.</w:t>
      </w:r>
    </w:p>
    <w:p w14:paraId="38E344B4" w14:textId="77777777" w:rsidR="00EE123D" w:rsidRDefault="00EE123D" w:rsidP="00EE123D">
      <w:pPr>
        <w:pStyle w:val="Prrafodelista"/>
        <w:tabs>
          <w:tab w:val="left" w:pos="426"/>
        </w:tabs>
        <w:spacing w:before="240" w:after="240" w:line="360" w:lineRule="auto"/>
        <w:ind w:left="0" w:right="51"/>
        <w:jc w:val="both"/>
        <w:rPr>
          <w:rFonts w:ascii="Palatino Linotype" w:hAnsi="Palatino Linotype"/>
          <w:color w:val="000000" w:themeColor="text1"/>
        </w:rPr>
      </w:pPr>
    </w:p>
    <w:p w14:paraId="69100CF8" w14:textId="0E4A5E57" w:rsidR="00EE123D" w:rsidRDefault="00EE123D" w:rsidP="000563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Cabe destacar que, en la aplicación de la </w:t>
      </w:r>
      <w:r w:rsidRPr="00EE123D">
        <w:rPr>
          <w:rFonts w:ascii="Palatino Linotype" w:hAnsi="Palatino Linotype"/>
          <w:color w:val="000000" w:themeColor="text1"/>
        </w:rPr>
        <w:t>prueba de daño, el sujeto obligado deberá precisar las razones objetivas por las que la apertura de la información generaría una afectación, justificando que</w:t>
      </w:r>
      <w:r>
        <w:rPr>
          <w:rStyle w:val="Refdenotaalpie"/>
          <w:rFonts w:ascii="Palatino Linotype" w:hAnsi="Palatino Linotype"/>
          <w:color w:val="000000" w:themeColor="text1"/>
        </w:rPr>
        <w:footnoteReference w:id="20"/>
      </w:r>
      <w:r w:rsidRPr="00EE123D">
        <w:rPr>
          <w:rFonts w:ascii="Palatino Linotype" w:hAnsi="Palatino Linotype"/>
          <w:color w:val="000000" w:themeColor="text1"/>
        </w:rPr>
        <w:t>:</w:t>
      </w:r>
    </w:p>
    <w:p w14:paraId="394651D4" w14:textId="77777777" w:rsidR="00EE123D" w:rsidRDefault="00EE123D" w:rsidP="00577C3F">
      <w:pPr>
        <w:pStyle w:val="Prrafodelista"/>
        <w:numPr>
          <w:ilvl w:val="1"/>
          <w:numId w:val="8"/>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lastRenderedPageBreak/>
        <w:t xml:space="preserve">La </w:t>
      </w:r>
      <w:r w:rsidRPr="00EE123D">
        <w:rPr>
          <w:rFonts w:ascii="Palatino Linotype" w:hAnsi="Palatino Linotype"/>
          <w:color w:val="000000" w:themeColor="text1"/>
        </w:rPr>
        <w:t xml:space="preserve">divulgación de la información representa un riesgo real, demostrable e identificable del perjuicio significativo al interés público o a la seguridad pública; </w:t>
      </w:r>
    </w:p>
    <w:p w14:paraId="2F682663" w14:textId="77777777" w:rsidR="00EE123D" w:rsidRDefault="00EE123D" w:rsidP="00577C3F">
      <w:pPr>
        <w:pStyle w:val="Prrafodelista"/>
        <w:numPr>
          <w:ilvl w:val="1"/>
          <w:numId w:val="8"/>
        </w:numPr>
        <w:tabs>
          <w:tab w:val="left" w:pos="426"/>
        </w:tabs>
        <w:spacing w:before="240" w:after="240" w:line="360" w:lineRule="auto"/>
        <w:ind w:left="1134" w:right="51"/>
        <w:jc w:val="both"/>
        <w:rPr>
          <w:rFonts w:ascii="Palatino Linotype" w:hAnsi="Palatino Linotype"/>
          <w:color w:val="000000" w:themeColor="text1"/>
        </w:rPr>
      </w:pPr>
      <w:r w:rsidRPr="00EE123D">
        <w:rPr>
          <w:rFonts w:ascii="Palatino Linotype" w:hAnsi="Palatino Linotype"/>
          <w:color w:val="000000" w:themeColor="text1"/>
        </w:rPr>
        <w:t xml:space="preserve">El riesgo de perjuicio que supondría la divulgación supera el interés público general de que se difunda; y </w:t>
      </w:r>
    </w:p>
    <w:p w14:paraId="6EE9B616" w14:textId="4D369212" w:rsidR="00EE123D" w:rsidRDefault="00EE123D" w:rsidP="00577C3F">
      <w:pPr>
        <w:pStyle w:val="Prrafodelista"/>
        <w:numPr>
          <w:ilvl w:val="1"/>
          <w:numId w:val="8"/>
        </w:numPr>
        <w:tabs>
          <w:tab w:val="left" w:pos="426"/>
        </w:tabs>
        <w:spacing w:before="240" w:after="240" w:line="360" w:lineRule="auto"/>
        <w:ind w:left="1134" w:right="51"/>
        <w:jc w:val="both"/>
        <w:rPr>
          <w:rFonts w:ascii="Palatino Linotype" w:hAnsi="Palatino Linotype"/>
          <w:color w:val="000000" w:themeColor="text1"/>
        </w:rPr>
      </w:pPr>
      <w:r w:rsidRPr="00EE123D">
        <w:rPr>
          <w:rFonts w:ascii="Palatino Linotype" w:hAnsi="Palatino Linotype"/>
          <w:color w:val="000000" w:themeColor="text1"/>
        </w:rPr>
        <w:t>La limitación se adecua al principio de proporcionalidad y representa el medio menos restrictivo disponible representa el medio menos restrictivo disponible para evitar el perjuicio.</w:t>
      </w:r>
    </w:p>
    <w:p w14:paraId="6A7487DB" w14:textId="77777777" w:rsidR="00EE123D" w:rsidRDefault="00EE123D" w:rsidP="00EE123D">
      <w:pPr>
        <w:pStyle w:val="Prrafodelista"/>
        <w:tabs>
          <w:tab w:val="left" w:pos="426"/>
        </w:tabs>
        <w:spacing w:before="240" w:after="240" w:line="360" w:lineRule="auto"/>
        <w:ind w:left="0" w:right="51"/>
        <w:jc w:val="both"/>
        <w:rPr>
          <w:rFonts w:ascii="Palatino Linotype" w:hAnsi="Palatino Linotype"/>
          <w:color w:val="000000" w:themeColor="text1"/>
        </w:rPr>
      </w:pPr>
    </w:p>
    <w:p w14:paraId="1B8B52B5" w14:textId="79826CFF" w:rsidR="00EE123D" w:rsidRDefault="00EE123D" w:rsidP="00EE123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su parte</w:t>
      </w:r>
      <w:r w:rsidRPr="000D2150">
        <w:rPr>
          <w:rFonts w:ascii="Palatino Linotype" w:eastAsia="MS Mincho" w:hAnsi="Palatino Linotype" w:cs="Times New Roman"/>
        </w:rPr>
        <w:t xml:space="preserve">, el </w:t>
      </w:r>
      <w:r>
        <w:rPr>
          <w:rFonts w:ascii="Palatino Linotype" w:eastAsia="MS Mincho" w:hAnsi="Palatino Linotype" w:cs="Times New Roman"/>
        </w:rPr>
        <w:t>Lineamiento</w:t>
      </w:r>
      <w:r w:rsidRPr="000D2150">
        <w:rPr>
          <w:rFonts w:ascii="Palatino Linotype" w:eastAsia="MS Mincho" w:hAnsi="Palatino Linotype" w:cs="Times New Roman"/>
        </w:rPr>
        <w:t xml:space="preserve"> Trigésimo Tercero</w:t>
      </w:r>
      <w:r>
        <w:rPr>
          <w:rFonts w:ascii="Palatino Linotype" w:eastAsia="MS Mincho" w:hAnsi="Palatino Linotype" w:cs="Times New Roman"/>
        </w:rPr>
        <w:t>,</w:t>
      </w:r>
      <w:r w:rsidRPr="000D2150">
        <w:rPr>
          <w:rFonts w:ascii="Palatino Linotype" w:eastAsia="MS Mincho" w:hAnsi="Palatino Linotype" w:cs="Times New Roman"/>
        </w:rPr>
        <w:t xml:space="preserve"> fracción V</w:t>
      </w:r>
      <w:r>
        <w:rPr>
          <w:rFonts w:ascii="Palatino Linotype" w:eastAsia="MS Mincho" w:hAnsi="Palatino Linotype" w:cs="Times New Roman"/>
        </w:rPr>
        <w:t>,</w:t>
      </w:r>
      <w:r w:rsidRPr="000D2150">
        <w:rPr>
          <w:rFonts w:ascii="Palatino Linotype" w:eastAsia="MS Mincho" w:hAnsi="Palatino Linotype" w:cs="Times New Roman"/>
        </w:rPr>
        <w:t xml:space="preserve"> de los Lineamientos Generales</w:t>
      </w:r>
      <w:r>
        <w:rPr>
          <w:rFonts w:ascii="Palatino Linotype" w:eastAsia="MS Mincho" w:hAnsi="Palatino Linotype" w:cs="Times New Roman"/>
        </w:rPr>
        <w:t xml:space="preserve"> en Materia de clasificación y Desclasificación de la Información, así como para la Elaboración de Versiones Públicas</w:t>
      </w:r>
      <w:r w:rsidRPr="000D2150">
        <w:rPr>
          <w:rFonts w:ascii="Palatino Linotype" w:eastAsia="MS Mincho" w:hAnsi="Palatino Linotype" w:cs="Times New Roman"/>
        </w:rPr>
        <w:t xml:space="preserve">, precisa que para motivar la clasificación </w:t>
      </w:r>
      <w:r>
        <w:rPr>
          <w:rFonts w:ascii="Palatino Linotype" w:eastAsia="MS Mincho" w:hAnsi="Palatino Linotype" w:cs="Times New Roman"/>
        </w:rPr>
        <w:t xml:space="preserve">también </w:t>
      </w:r>
      <w:r w:rsidRPr="000D2150">
        <w:rPr>
          <w:rFonts w:ascii="Palatino Linotype" w:eastAsia="MS Mincho" w:hAnsi="Palatino Linotype" w:cs="Times New Roman"/>
        </w:rPr>
        <w:t xml:space="preserve">se deben acreditar las circunstancias de </w:t>
      </w:r>
      <w:r w:rsidRPr="004638FA">
        <w:rPr>
          <w:rFonts w:ascii="Palatino Linotype" w:eastAsia="MS Mincho" w:hAnsi="Palatino Linotype" w:cs="Times New Roman"/>
          <w:b/>
        </w:rPr>
        <w:t>tiempo</w:t>
      </w:r>
      <w:r w:rsidRPr="000D2150">
        <w:rPr>
          <w:rFonts w:ascii="Palatino Linotype" w:eastAsia="MS Mincho" w:hAnsi="Palatino Linotype" w:cs="Times New Roman"/>
        </w:rPr>
        <w:t xml:space="preserve">, </w:t>
      </w:r>
      <w:r w:rsidRPr="004638FA">
        <w:rPr>
          <w:rFonts w:ascii="Palatino Linotype" w:eastAsia="MS Mincho" w:hAnsi="Palatino Linotype" w:cs="Times New Roman"/>
          <w:b/>
        </w:rPr>
        <w:t>modo</w:t>
      </w:r>
      <w:r w:rsidRPr="000D2150">
        <w:rPr>
          <w:rFonts w:ascii="Palatino Linotype" w:eastAsia="MS Mincho" w:hAnsi="Palatino Linotype" w:cs="Times New Roman"/>
        </w:rPr>
        <w:t xml:space="preserve"> y </w:t>
      </w:r>
      <w:r w:rsidRPr="004638FA">
        <w:rPr>
          <w:rFonts w:ascii="Palatino Linotype" w:eastAsia="MS Mincho" w:hAnsi="Palatino Linotype" w:cs="Times New Roman"/>
          <w:b/>
        </w:rPr>
        <w:t>lugar</w:t>
      </w:r>
      <w:r w:rsidRPr="000D2150">
        <w:rPr>
          <w:rFonts w:ascii="Palatino Linotype" w:eastAsia="MS Mincho" w:hAnsi="Palatino Linotype" w:cs="Times New Roman"/>
        </w:rPr>
        <w:t>.</w:t>
      </w:r>
    </w:p>
    <w:p w14:paraId="0E814799" w14:textId="77777777" w:rsidR="00056317" w:rsidRDefault="00056317" w:rsidP="00056317">
      <w:pPr>
        <w:pStyle w:val="Prrafodelista"/>
        <w:tabs>
          <w:tab w:val="left" w:pos="426"/>
        </w:tabs>
        <w:spacing w:before="240" w:after="240" w:line="360" w:lineRule="auto"/>
        <w:ind w:left="0" w:right="51"/>
        <w:jc w:val="both"/>
        <w:rPr>
          <w:rFonts w:ascii="Palatino Linotype" w:hAnsi="Palatino Linotype"/>
          <w:color w:val="000000" w:themeColor="text1"/>
        </w:rPr>
      </w:pPr>
    </w:p>
    <w:p w14:paraId="10A46B89" w14:textId="77777777" w:rsidR="00056317" w:rsidRDefault="00056317" w:rsidP="000563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Consecuencia de lo anterior, los </w:t>
      </w:r>
      <w:r w:rsidRPr="004B35A4">
        <w:rPr>
          <w:rFonts w:ascii="Palatino Linotype" w:hAnsi="Palatino Linotype"/>
          <w:color w:val="000000" w:themeColor="text1"/>
        </w:rPr>
        <w:t xml:space="preserve">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w:t>
      </w:r>
      <w:r>
        <w:rPr>
          <w:rFonts w:ascii="Palatino Linotype" w:hAnsi="Palatino Linotype"/>
          <w:color w:val="000000" w:themeColor="text1"/>
        </w:rPr>
        <w:t>la Ley de Transparencia y Acceso a la Información Pública del Estado de México y Municipios, como</w:t>
      </w:r>
      <w:r w:rsidRPr="004B35A4">
        <w:rPr>
          <w:rFonts w:ascii="Palatino Linotype" w:hAnsi="Palatino Linotype"/>
          <w:color w:val="000000" w:themeColor="text1"/>
        </w:rPr>
        <w:t xml:space="preserve"> información clasificada</w:t>
      </w:r>
      <w:r>
        <w:rPr>
          <w:rStyle w:val="Refdenotaalpie"/>
          <w:rFonts w:ascii="Palatino Linotype" w:hAnsi="Palatino Linotype"/>
          <w:color w:val="000000" w:themeColor="text1"/>
        </w:rPr>
        <w:footnoteReference w:id="21"/>
      </w:r>
      <w:r w:rsidRPr="004B35A4">
        <w:rPr>
          <w:rFonts w:ascii="Palatino Linotype" w:hAnsi="Palatino Linotype"/>
          <w:color w:val="000000" w:themeColor="text1"/>
        </w:rPr>
        <w:t>.</w:t>
      </w:r>
    </w:p>
    <w:p w14:paraId="0EBE2E08" w14:textId="77777777" w:rsidR="00056317" w:rsidRDefault="00056317" w:rsidP="00056317">
      <w:pPr>
        <w:pStyle w:val="Prrafodelista"/>
        <w:tabs>
          <w:tab w:val="left" w:pos="426"/>
        </w:tabs>
        <w:spacing w:before="240" w:after="240" w:line="360" w:lineRule="auto"/>
        <w:ind w:left="0" w:right="51"/>
        <w:jc w:val="both"/>
        <w:rPr>
          <w:rFonts w:ascii="Palatino Linotype" w:hAnsi="Palatino Linotype"/>
          <w:color w:val="000000" w:themeColor="text1"/>
        </w:rPr>
      </w:pPr>
    </w:p>
    <w:p w14:paraId="753C2FF1" w14:textId="3AEFC546" w:rsidR="005D42F5" w:rsidRDefault="00EE123D" w:rsidP="000563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Al respecto, las</w:t>
      </w:r>
      <w:r w:rsidR="005D42F5">
        <w:rPr>
          <w:rFonts w:ascii="Palatino Linotype" w:hAnsi="Palatino Linotype"/>
          <w:color w:val="000000" w:themeColor="text1"/>
        </w:rPr>
        <w:t xml:space="preserve"> </w:t>
      </w:r>
      <w:r w:rsidR="005D42F5" w:rsidRPr="0062325E">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624D5F90" w14:textId="77777777" w:rsidR="005D42F5" w:rsidRDefault="005D42F5" w:rsidP="005D42F5">
      <w:pPr>
        <w:pStyle w:val="Prrafodelista"/>
        <w:tabs>
          <w:tab w:val="left" w:pos="426"/>
        </w:tabs>
        <w:spacing w:before="240" w:after="240" w:line="360" w:lineRule="auto"/>
        <w:ind w:left="0" w:right="51"/>
        <w:jc w:val="both"/>
        <w:rPr>
          <w:rFonts w:ascii="Palatino Linotype" w:hAnsi="Palatino Linotype"/>
          <w:color w:val="000000" w:themeColor="text1"/>
        </w:rPr>
      </w:pPr>
    </w:p>
    <w:p w14:paraId="0C825E4A" w14:textId="61D3347A" w:rsidR="005D42F5" w:rsidRDefault="005D42F5" w:rsidP="000563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artículo 140 de la Ley de Transparencia y Acceso a la Información Pública del Estado de México y Municipios, establece que el </w:t>
      </w:r>
      <w:r w:rsidRPr="005D42F5">
        <w:rPr>
          <w:rFonts w:ascii="Palatino Linotype" w:hAnsi="Palatino Linotype"/>
          <w:color w:val="000000" w:themeColor="text1"/>
        </w:rPr>
        <w:t xml:space="preserve">acceso a la información pública será restringido excepcionalmente, cuando por razones de interés público, ésta sea clasificada como </w:t>
      </w:r>
      <w:r w:rsidRPr="005D42F5">
        <w:rPr>
          <w:rFonts w:ascii="Palatino Linotype" w:hAnsi="Palatino Linotype"/>
          <w:b/>
          <w:color w:val="000000" w:themeColor="text1"/>
        </w:rPr>
        <w:t>reservada</w:t>
      </w:r>
      <w:r w:rsidRPr="005D42F5">
        <w:rPr>
          <w:rFonts w:ascii="Palatino Linotype" w:hAnsi="Palatino Linotype"/>
          <w:color w:val="000000" w:themeColor="text1"/>
        </w:rPr>
        <w:t>, conforme a los criterios siguientes:</w:t>
      </w:r>
    </w:p>
    <w:p w14:paraId="4D5806E1" w14:textId="77777777" w:rsidR="005D42F5" w:rsidRDefault="005D42F5" w:rsidP="005D42F5">
      <w:pPr>
        <w:pStyle w:val="Prrafodelista"/>
        <w:tabs>
          <w:tab w:val="left" w:pos="426"/>
        </w:tabs>
        <w:spacing w:before="240" w:line="360" w:lineRule="auto"/>
        <w:ind w:left="0" w:right="51"/>
        <w:jc w:val="both"/>
        <w:rPr>
          <w:rFonts w:ascii="Palatino Linotype" w:hAnsi="Palatino Linotype"/>
          <w:color w:val="000000" w:themeColor="text1"/>
        </w:rPr>
      </w:pPr>
    </w:p>
    <w:p w14:paraId="7C9BFB51" w14:textId="77777777" w:rsidR="005D42F5" w:rsidRDefault="005D42F5" w:rsidP="005D42F5">
      <w:pPr>
        <w:pStyle w:val="Prrafodelista"/>
        <w:tabs>
          <w:tab w:val="left" w:pos="426"/>
        </w:tabs>
        <w:spacing w:before="240" w:after="240" w:line="276" w:lineRule="auto"/>
        <w:ind w:left="567" w:right="567"/>
        <w:jc w:val="both"/>
        <w:rPr>
          <w:rFonts w:ascii="Palatino Linotype" w:hAnsi="Palatino Linotype"/>
          <w:i/>
          <w:sz w:val="22"/>
        </w:rPr>
      </w:pPr>
      <w:r>
        <w:rPr>
          <w:rFonts w:ascii="Palatino Linotype" w:hAnsi="Palatino Linotype"/>
          <w:i/>
          <w:sz w:val="22"/>
        </w:rPr>
        <w:t>“</w:t>
      </w:r>
      <w:r w:rsidRPr="005D42F5">
        <w:rPr>
          <w:rFonts w:ascii="Palatino Linotype" w:hAnsi="Palatino Linotype"/>
          <w:b/>
          <w:i/>
          <w:sz w:val="22"/>
        </w:rPr>
        <w:t>I.</w:t>
      </w:r>
      <w:r w:rsidRPr="005D42F5">
        <w:rPr>
          <w:rFonts w:ascii="Palatino Linotype" w:hAnsi="Palatino Linotype"/>
          <w:i/>
          <w:sz w:val="22"/>
        </w:rPr>
        <w:t xml:space="preserve"> Comprometa la seguridad pública y cuente con un propósito genuino y un efecto demostrable; </w:t>
      </w:r>
    </w:p>
    <w:p w14:paraId="710C4113" w14:textId="77777777" w:rsidR="005D42F5" w:rsidRDefault="005D42F5" w:rsidP="005D42F5">
      <w:pPr>
        <w:pStyle w:val="Prrafodelista"/>
        <w:tabs>
          <w:tab w:val="left" w:pos="426"/>
        </w:tabs>
        <w:spacing w:before="240" w:after="240" w:line="276" w:lineRule="auto"/>
        <w:ind w:left="567" w:right="567"/>
        <w:jc w:val="both"/>
        <w:rPr>
          <w:rFonts w:ascii="Palatino Linotype" w:hAnsi="Palatino Linotype"/>
          <w:i/>
          <w:sz w:val="22"/>
        </w:rPr>
      </w:pPr>
      <w:r w:rsidRPr="005D42F5">
        <w:rPr>
          <w:rFonts w:ascii="Palatino Linotype" w:hAnsi="Palatino Linotype"/>
          <w:b/>
          <w:i/>
          <w:sz w:val="22"/>
        </w:rPr>
        <w:t>II.</w:t>
      </w:r>
      <w:r w:rsidRPr="005D42F5">
        <w:rPr>
          <w:rFonts w:ascii="Palatino Linotype" w:hAnsi="Palatino Linotype"/>
          <w:i/>
          <w:sz w:val="22"/>
        </w:rPr>
        <w:t xml:space="preserve"> Pueda menoscabar la conducción de las negociaciones y relaciones internacionales; </w:t>
      </w:r>
    </w:p>
    <w:p w14:paraId="145A8187" w14:textId="77777777" w:rsidR="005D42F5" w:rsidRDefault="005D42F5" w:rsidP="005D42F5">
      <w:pPr>
        <w:pStyle w:val="Prrafodelista"/>
        <w:tabs>
          <w:tab w:val="left" w:pos="426"/>
        </w:tabs>
        <w:spacing w:before="240" w:after="240" w:line="276" w:lineRule="auto"/>
        <w:ind w:left="567" w:right="567"/>
        <w:jc w:val="both"/>
        <w:rPr>
          <w:rFonts w:ascii="Palatino Linotype" w:hAnsi="Palatino Linotype"/>
          <w:i/>
          <w:sz w:val="22"/>
        </w:rPr>
      </w:pPr>
      <w:r w:rsidRPr="005D42F5">
        <w:rPr>
          <w:rFonts w:ascii="Palatino Linotype" w:hAnsi="Palatino Linotype"/>
          <w:b/>
          <w:i/>
          <w:sz w:val="22"/>
        </w:rPr>
        <w:t>III.</w:t>
      </w:r>
      <w:r w:rsidRPr="005D42F5">
        <w:rPr>
          <w:rFonts w:ascii="Palatino Linotype" w:hAnsi="Palatino Linotype"/>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3BA8A5E" w14:textId="77777777" w:rsidR="005D42F5" w:rsidRDefault="005D42F5" w:rsidP="005D42F5">
      <w:pPr>
        <w:pStyle w:val="Prrafodelista"/>
        <w:tabs>
          <w:tab w:val="left" w:pos="426"/>
        </w:tabs>
        <w:spacing w:before="240" w:after="240" w:line="276" w:lineRule="auto"/>
        <w:ind w:left="567" w:right="567"/>
        <w:jc w:val="both"/>
        <w:rPr>
          <w:rFonts w:ascii="Palatino Linotype" w:hAnsi="Palatino Linotype"/>
          <w:i/>
          <w:sz w:val="22"/>
        </w:rPr>
      </w:pPr>
      <w:r w:rsidRPr="005D42F5">
        <w:rPr>
          <w:rFonts w:ascii="Palatino Linotype" w:hAnsi="Palatino Linotype"/>
          <w:b/>
          <w:i/>
          <w:sz w:val="22"/>
        </w:rPr>
        <w:t>IV.</w:t>
      </w:r>
      <w:r w:rsidRPr="005D42F5">
        <w:rPr>
          <w:rFonts w:ascii="Palatino Linotype" w:hAnsi="Palatino Linotype"/>
          <w:i/>
          <w:sz w:val="22"/>
        </w:rPr>
        <w:t xml:space="preserve"> Ponga en riesgo la vida, la seguridad o la salud de una persona física; </w:t>
      </w:r>
    </w:p>
    <w:p w14:paraId="715D4B18" w14:textId="77777777" w:rsidR="005D42F5" w:rsidRDefault="005D42F5" w:rsidP="005D42F5">
      <w:pPr>
        <w:pStyle w:val="Prrafodelista"/>
        <w:tabs>
          <w:tab w:val="left" w:pos="426"/>
        </w:tabs>
        <w:spacing w:before="240" w:after="240" w:line="276" w:lineRule="auto"/>
        <w:ind w:left="567" w:right="567"/>
        <w:jc w:val="both"/>
        <w:rPr>
          <w:rFonts w:ascii="Palatino Linotype" w:hAnsi="Palatino Linotype"/>
          <w:i/>
          <w:sz w:val="22"/>
        </w:rPr>
      </w:pPr>
      <w:r w:rsidRPr="005D42F5">
        <w:rPr>
          <w:rFonts w:ascii="Palatino Linotype" w:hAnsi="Palatino Linotype"/>
          <w:b/>
          <w:i/>
          <w:sz w:val="22"/>
        </w:rPr>
        <w:t>V.</w:t>
      </w:r>
      <w:r w:rsidRPr="005D42F5">
        <w:rPr>
          <w:rFonts w:ascii="Palatino Linotype" w:hAnsi="Palatino Linotype"/>
          <w:i/>
          <w:sz w:val="22"/>
        </w:rPr>
        <w:t xml:space="preserve"> Aquella cuya divulgación obstruya o pueda causar un serio perjuicio a: </w:t>
      </w:r>
    </w:p>
    <w:p w14:paraId="3B80ABD9" w14:textId="77777777" w:rsidR="005D42F5" w:rsidRDefault="005D42F5" w:rsidP="005D42F5">
      <w:pPr>
        <w:pStyle w:val="Prrafodelista"/>
        <w:tabs>
          <w:tab w:val="left" w:pos="426"/>
        </w:tabs>
        <w:spacing w:before="240" w:after="240" w:line="276" w:lineRule="auto"/>
        <w:ind w:left="851" w:right="567"/>
        <w:jc w:val="both"/>
        <w:rPr>
          <w:rFonts w:ascii="Palatino Linotype" w:hAnsi="Palatino Linotype"/>
          <w:i/>
          <w:sz w:val="22"/>
        </w:rPr>
      </w:pPr>
      <w:r w:rsidRPr="005D42F5">
        <w:rPr>
          <w:rFonts w:ascii="Palatino Linotype" w:hAnsi="Palatino Linotype"/>
          <w:b/>
          <w:i/>
          <w:sz w:val="22"/>
        </w:rPr>
        <w:t>1.</w:t>
      </w:r>
      <w:r w:rsidRPr="005D42F5">
        <w:rPr>
          <w:rFonts w:ascii="Palatino Linotype" w:hAnsi="Palatino Linotype"/>
          <w:i/>
          <w:sz w:val="22"/>
        </w:rPr>
        <w:t xml:space="preserve"> Las actividades de fiscalización, verificación, inspección, comprobación y auditoría sobre el cumplimiento de las Leyes; o </w:t>
      </w:r>
    </w:p>
    <w:p w14:paraId="013168CA" w14:textId="77777777" w:rsidR="005D42F5" w:rsidRDefault="005D42F5" w:rsidP="005D42F5">
      <w:pPr>
        <w:pStyle w:val="Prrafodelista"/>
        <w:tabs>
          <w:tab w:val="left" w:pos="426"/>
        </w:tabs>
        <w:spacing w:before="240" w:after="240" w:line="276" w:lineRule="auto"/>
        <w:ind w:left="851" w:right="567"/>
        <w:jc w:val="both"/>
        <w:rPr>
          <w:rFonts w:ascii="Palatino Linotype" w:hAnsi="Palatino Linotype"/>
          <w:i/>
          <w:sz w:val="22"/>
        </w:rPr>
      </w:pPr>
      <w:r w:rsidRPr="005D42F5">
        <w:rPr>
          <w:rFonts w:ascii="Palatino Linotype" w:hAnsi="Palatino Linotype"/>
          <w:b/>
          <w:i/>
          <w:sz w:val="22"/>
        </w:rPr>
        <w:t>2.</w:t>
      </w:r>
      <w:r w:rsidRPr="005D42F5">
        <w:rPr>
          <w:rFonts w:ascii="Palatino Linotype" w:hAnsi="Palatino Linotype"/>
          <w:i/>
          <w:sz w:val="22"/>
        </w:rPr>
        <w:t xml:space="preserve"> La recaudación de las contribuciones. </w:t>
      </w:r>
    </w:p>
    <w:p w14:paraId="5E0C93FF" w14:textId="77777777" w:rsidR="005D42F5" w:rsidRDefault="005D42F5" w:rsidP="005D42F5">
      <w:pPr>
        <w:pStyle w:val="Prrafodelista"/>
        <w:tabs>
          <w:tab w:val="left" w:pos="426"/>
        </w:tabs>
        <w:spacing w:before="240" w:after="240" w:line="276" w:lineRule="auto"/>
        <w:ind w:left="567" w:right="567"/>
        <w:jc w:val="both"/>
        <w:rPr>
          <w:rFonts w:ascii="Palatino Linotype" w:hAnsi="Palatino Linotype"/>
          <w:i/>
          <w:sz w:val="22"/>
        </w:rPr>
      </w:pPr>
      <w:r w:rsidRPr="005D42F5">
        <w:rPr>
          <w:rFonts w:ascii="Palatino Linotype" w:hAnsi="Palatino Linotype"/>
          <w:b/>
          <w:i/>
          <w:sz w:val="22"/>
        </w:rPr>
        <w:t>VI.</w:t>
      </w:r>
      <w:r w:rsidRPr="005D42F5">
        <w:rPr>
          <w:rFonts w:ascii="Palatino Linotype" w:hAnsi="Palatino Linotype"/>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w:t>
      </w:r>
      <w:r w:rsidRPr="005D42F5">
        <w:rPr>
          <w:rFonts w:ascii="Palatino Linotype" w:hAnsi="Palatino Linotype"/>
          <w:i/>
          <w:sz w:val="22"/>
        </w:rPr>
        <w:lastRenderedPageBreak/>
        <w:t xml:space="preserve">la seguridad de un denunciante, querellante o testigo, así como sus familias, en los términos de las disposiciones jurídicas aplicables; </w:t>
      </w:r>
    </w:p>
    <w:p w14:paraId="6071FDF8" w14:textId="77777777" w:rsidR="005D42F5" w:rsidRDefault="005D42F5" w:rsidP="005D42F5">
      <w:pPr>
        <w:pStyle w:val="Prrafodelista"/>
        <w:tabs>
          <w:tab w:val="left" w:pos="426"/>
        </w:tabs>
        <w:spacing w:before="240" w:after="240" w:line="276" w:lineRule="auto"/>
        <w:ind w:left="567" w:right="567"/>
        <w:jc w:val="both"/>
        <w:rPr>
          <w:rFonts w:ascii="Palatino Linotype" w:hAnsi="Palatino Linotype"/>
          <w:i/>
          <w:sz w:val="22"/>
        </w:rPr>
      </w:pPr>
      <w:r w:rsidRPr="005D42F5">
        <w:rPr>
          <w:rFonts w:ascii="Palatino Linotype" w:hAnsi="Palatino Linotype"/>
          <w:b/>
          <w:i/>
          <w:sz w:val="22"/>
        </w:rPr>
        <w:t>VII.</w:t>
      </w:r>
      <w:r w:rsidRPr="005D42F5">
        <w:rPr>
          <w:rFonts w:ascii="Palatino Linotype" w:hAnsi="Palatino Linotype"/>
          <w:i/>
          <w:sz w:val="22"/>
        </w:rPr>
        <w:t xml:space="preserve"> La que contengan las opiniones, recomendaciones o puntos de vista que formen parte del proceso deliberativo de los servidores públicos, hasta en tanto sea adoptada la decisión definitiva, la cual deberá estar documentada; </w:t>
      </w:r>
    </w:p>
    <w:p w14:paraId="1212A514" w14:textId="77777777" w:rsidR="005D42F5" w:rsidRDefault="005D42F5" w:rsidP="005D42F5">
      <w:pPr>
        <w:pStyle w:val="Prrafodelista"/>
        <w:tabs>
          <w:tab w:val="left" w:pos="426"/>
        </w:tabs>
        <w:spacing w:before="240" w:after="240" w:line="276" w:lineRule="auto"/>
        <w:ind w:left="567" w:right="567"/>
        <w:jc w:val="both"/>
        <w:rPr>
          <w:rFonts w:ascii="Palatino Linotype" w:hAnsi="Palatino Linotype"/>
          <w:i/>
          <w:sz w:val="22"/>
        </w:rPr>
      </w:pPr>
      <w:r w:rsidRPr="005D42F5">
        <w:rPr>
          <w:rFonts w:ascii="Palatino Linotype" w:hAnsi="Palatino Linotype"/>
          <w:b/>
          <w:i/>
          <w:sz w:val="22"/>
        </w:rPr>
        <w:t>VIII.</w:t>
      </w:r>
      <w:r w:rsidRPr="005D42F5">
        <w:rPr>
          <w:rFonts w:ascii="Palatino Linotype" w:hAnsi="Palatino Linotype"/>
          <w:i/>
          <w:sz w:val="22"/>
        </w:rPr>
        <w:t xml:space="preserve"> Vulnere la conducción de los expedientes judiciales o de los procedimientos administrativos seguidos en forma de juicio, en tanto no hayan quedado firmes; </w:t>
      </w:r>
    </w:p>
    <w:p w14:paraId="556CAE4C" w14:textId="77777777" w:rsidR="005D42F5" w:rsidRDefault="005D42F5" w:rsidP="005D42F5">
      <w:pPr>
        <w:pStyle w:val="Prrafodelista"/>
        <w:tabs>
          <w:tab w:val="left" w:pos="426"/>
        </w:tabs>
        <w:spacing w:before="240" w:after="240" w:line="276" w:lineRule="auto"/>
        <w:ind w:left="567" w:right="567"/>
        <w:jc w:val="both"/>
        <w:rPr>
          <w:rFonts w:ascii="Palatino Linotype" w:hAnsi="Palatino Linotype"/>
          <w:i/>
          <w:sz w:val="22"/>
        </w:rPr>
      </w:pPr>
      <w:r w:rsidRPr="005D42F5">
        <w:rPr>
          <w:rFonts w:ascii="Palatino Linotype" w:hAnsi="Palatino Linotype"/>
          <w:b/>
          <w:i/>
          <w:sz w:val="22"/>
        </w:rPr>
        <w:t>IX.</w:t>
      </w:r>
      <w:r w:rsidRPr="005D42F5">
        <w:rPr>
          <w:rFonts w:ascii="Palatino Linotype" w:hAnsi="Palatino Linotype"/>
          <w:i/>
          <w:sz w:val="22"/>
        </w:rPr>
        <w:t xml:space="preserve"> Se encuentre contenida dentro de las investigaciones de hechos que la Ley señale como delitos y se tramiten ante el Ministerio Público; </w:t>
      </w:r>
    </w:p>
    <w:p w14:paraId="58A1E7C2" w14:textId="77777777" w:rsidR="005D42F5" w:rsidRDefault="005D42F5" w:rsidP="005D42F5">
      <w:pPr>
        <w:pStyle w:val="Prrafodelista"/>
        <w:tabs>
          <w:tab w:val="left" w:pos="426"/>
        </w:tabs>
        <w:spacing w:before="240" w:after="240" w:line="276" w:lineRule="auto"/>
        <w:ind w:left="567" w:right="567"/>
        <w:jc w:val="both"/>
        <w:rPr>
          <w:rFonts w:ascii="Palatino Linotype" w:hAnsi="Palatino Linotype"/>
          <w:i/>
          <w:sz w:val="22"/>
        </w:rPr>
      </w:pPr>
      <w:r w:rsidRPr="005D42F5">
        <w:rPr>
          <w:rFonts w:ascii="Palatino Linotype" w:hAnsi="Palatino Linotype"/>
          <w:b/>
          <w:i/>
          <w:sz w:val="22"/>
        </w:rPr>
        <w:t>X.</w:t>
      </w:r>
      <w:r w:rsidRPr="005D42F5">
        <w:rPr>
          <w:rFonts w:ascii="Palatino Linotype" w:hAnsi="Palatino Linotype"/>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2C0CDCBA" w14:textId="5644F4B0" w:rsidR="005D42F5" w:rsidRDefault="005D42F5" w:rsidP="005D42F5">
      <w:pPr>
        <w:pStyle w:val="Prrafodelista"/>
        <w:tabs>
          <w:tab w:val="left" w:pos="426"/>
        </w:tabs>
        <w:spacing w:before="240" w:after="240" w:line="276" w:lineRule="auto"/>
        <w:ind w:left="567" w:right="567"/>
        <w:jc w:val="both"/>
        <w:rPr>
          <w:rFonts w:ascii="Palatino Linotype" w:hAnsi="Palatino Linotype"/>
          <w:i/>
          <w:sz w:val="22"/>
        </w:rPr>
      </w:pPr>
      <w:r w:rsidRPr="005D42F5">
        <w:rPr>
          <w:rFonts w:ascii="Palatino Linotype" w:hAnsi="Palatino Linotype"/>
          <w:i/>
          <w:sz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1FB9C122" w14:textId="047CA02B" w:rsidR="005D42F5" w:rsidRPr="005D42F5" w:rsidRDefault="005D42F5" w:rsidP="005D42F5">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D42F5">
        <w:rPr>
          <w:rFonts w:ascii="Palatino Linotype" w:hAnsi="Palatino Linotype"/>
          <w:b/>
          <w:i/>
          <w:sz w:val="22"/>
        </w:rPr>
        <w:t>XI.</w:t>
      </w:r>
      <w:r w:rsidRPr="005D42F5">
        <w:rPr>
          <w:rFonts w:ascii="Palatino Linotype" w:hAnsi="Palatino Linotype"/>
          <w:i/>
          <w:sz w:val="22"/>
        </w:rPr>
        <w:t xml:space="preserve"> Las que por disposición expresa de una ley tengan tal carácter, siempre que sean acordes con las bases, principios y disposiciones establecidos en esta Ley y no la contravengan; así como las previstas en tratados internacionales.</w:t>
      </w:r>
      <w:r>
        <w:rPr>
          <w:rFonts w:ascii="Palatino Linotype" w:hAnsi="Palatino Linotype"/>
          <w:i/>
          <w:sz w:val="22"/>
        </w:rPr>
        <w:t>”</w:t>
      </w:r>
    </w:p>
    <w:p w14:paraId="3432FE1C" w14:textId="77777777" w:rsidR="005D42F5" w:rsidRDefault="005D42F5" w:rsidP="005D42F5">
      <w:pPr>
        <w:pStyle w:val="Prrafodelista"/>
        <w:tabs>
          <w:tab w:val="left" w:pos="426"/>
        </w:tabs>
        <w:spacing w:before="240" w:after="240" w:line="360" w:lineRule="auto"/>
        <w:ind w:left="0" w:right="51"/>
        <w:jc w:val="both"/>
        <w:rPr>
          <w:rFonts w:ascii="Palatino Linotype" w:hAnsi="Palatino Linotype"/>
          <w:color w:val="000000" w:themeColor="text1"/>
        </w:rPr>
      </w:pPr>
    </w:p>
    <w:p w14:paraId="31D5648E" w14:textId="2F18850B" w:rsidR="005D42F5" w:rsidRDefault="005D42F5" w:rsidP="000563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Mientras que el artículo 143 de la Ley de mérito reconoce que se considerará </w:t>
      </w:r>
      <w:r w:rsidRPr="005D42F5">
        <w:rPr>
          <w:rFonts w:ascii="Palatino Linotype" w:hAnsi="Palatino Linotype"/>
          <w:color w:val="000000" w:themeColor="text1"/>
        </w:rPr>
        <w:t xml:space="preserve">a información </w:t>
      </w:r>
      <w:r w:rsidRPr="005D42F5">
        <w:rPr>
          <w:rFonts w:ascii="Palatino Linotype" w:hAnsi="Palatino Linotype"/>
          <w:b/>
          <w:color w:val="000000" w:themeColor="text1"/>
        </w:rPr>
        <w:t>confidencial</w:t>
      </w:r>
      <w:r w:rsidRPr="005D42F5">
        <w:rPr>
          <w:rFonts w:ascii="Palatino Linotype" w:hAnsi="Palatino Linotype"/>
          <w:color w:val="000000" w:themeColor="text1"/>
        </w:rPr>
        <w:t>, la clasificada como tal, de manera permanente, por su naturaleza, cuando:</w:t>
      </w:r>
    </w:p>
    <w:p w14:paraId="450CD156" w14:textId="77777777" w:rsidR="005D42F5" w:rsidRDefault="005D42F5" w:rsidP="005D42F5">
      <w:pPr>
        <w:pStyle w:val="Prrafodelista"/>
        <w:tabs>
          <w:tab w:val="left" w:pos="426"/>
        </w:tabs>
        <w:spacing w:before="240" w:line="360" w:lineRule="auto"/>
        <w:ind w:left="0" w:right="51"/>
        <w:jc w:val="both"/>
        <w:rPr>
          <w:rFonts w:ascii="Palatino Linotype" w:hAnsi="Palatino Linotype"/>
          <w:color w:val="000000" w:themeColor="text1"/>
        </w:rPr>
      </w:pPr>
    </w:p>
    <w:p w14:paraId="2121E3FF" w14:textId="77777777" w:rsidR="005D42F5" w:rsidRDefault="005D42F5" w:rsidP="005D42F5">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r w:rsidRPr="005D42F5">
        <w:rPr>
          <w:rFonts w:ascii="Palatino Linotype" w:hAnsi="Palatino Linotype"/>
          <w:b/>
          <w:i/>
          <w:color w:val="000000" w:themeColor="text1"/>
          <w:sz w:val="22"/>
        </w:rPr>
        <w:t>I.</w:t>
      </w:r>
      <w:r w:rsidRPr="005D42F5">
        <w:rPr>
          <w:rFonts w:ascii="Palatino Linotype" w:hAnsi="Palatino Linotype"/>
          <w:i/>
          <w:color w:val="000000" w:themeColor="text1"/>
          <w:sz w:val="22"/>
        </w:rPr>
        <w:t xml:space="preserve"> Se refiera a la información privada y los datos personales concernientes a una persona física o jurídico colectiva identificada o identificable; </w:t>
      </w:r>
    </w:p>
    <w:p w14:paraId="7047C9A9" w14:textId="77777777" w:rsidR="005D42F5" w:rsidRDefault="005D42F5" w:rsidP="005D42F5">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D42F5">
        <w:rPr>
          <w:rFonts w:ascii="Palatino Linotype" w:hAnsi="Palatino Linotype"/>
          <w:b/>
          <w:i/>
          <w:color w:val="000000" w:themeColor="text1"/>
          <w:sz w:val="22"/>
        </w:rPr>
        <w:t>II.</w:t>
      </w:r>
      <w:r w:rsidRPr="005D42F5">
        <w:rPr>
          <w:rFonts w:ascii="Palatino Linotype" w:hAnsi="Palatino Linotype"/>
          <w:i/>
          <w:color w:val="000000" w:themeColor="text1"/>
          <w:sz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63389062" w14:textId="1CD7056A" w:rsidR="005D42F5" w:rsidRPr="005D42F5" w:rsidRDefault="005D42F5" w:rsidP="005D42F5">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D42F5">
        <w:rPr>
          <w:rFonts w:ascii="Palatino Linotype" w:hAnsi="Palatino Linotype"/>
          <w:b/>
          <w:i/>
          <w:color w:val="000000" w:themeColor="text1"/>
          <w:sz w:val="22"/>
        </w:rPr>
        <w:lastRenderedPageBreak/>
        <w:t>III.</w:t>
      </w:r>
      <w:r w:rsidRPr="005D42F5">
        <w:rPr>
          <w:rFonts w:ascii="Palatino Linotype" w:hAnsi="Palatino Linotype"/>
          <w:i/>
          <w:color w:val="000000" w:themeColor="text1"/>
          <w:sz w:val="22"/>
        </w:rPr>
        <w:t xml:space="preserve"> La que presenten los particulares a los sujetos obligados, de conformidad con lo dispuesto por las leyes o los tratados internacionales.</w:t>
      </w:r>
      <w:r>
        <w:rPr>
          <w:rFonts w:ascii="Palatino Linotype" w:hAnsi="Palatino Linotype"/>
          <w:i/>
          <w:color w:val="000000" w:themeColor="text1"/>
          <w:sz w:val="22"/>
        </w:rPr>
        <w:t>”</w:t>
      </w:r>
    </w:p>
    <w:p w14:paraId="0C07DB64" w14:textId="77777777" w:rsidR="005D42F5" w:rsidRDefault="005D42F5" w:rsidP="005D42F5">
      <w:pPr>
        <w:pStyle w:val="Prrafodelista"/>
        <w:tabs>
          <w:tab w:val="left" w:pos="426"/>
        </w:tabs>
        <w:spacing w:before="240" w:after="240" w:line="360" w:lineRule="auto"/>
        <w:ind w:left="0" w:right="51"/>
        <w:jc w:val="both"/>
        <w:rPr>
          <w:rFonts w:ascii="Palatino Linotype" w:hAnsi="Palatino Linotype"/>
          <w:color w:val="000000" w:themeColor="text1"/>
        </w:rPr>
      </w:pPr>
    </w:p>
    <w:p w14:paraId="4EA63835" w14:textId="4B4AA18F" w:rsidR="005D42F5" w:rsidRDefault="005D42F5" w:rsidP="000563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los </w:t>
      </w:r>
      <w:r w:rsidRPr="005D42F5">
        <w:rPr>
          <w:rFonts w:ascii="Palatino Linotype" w:hAnsi="Palatino Linotype"/>
          <w:color w:val="000000" w:themeColor="text1"/>
        </w:rPr>
        <w:t xml:space="preserve">sujetos obligados deberán aplicar, de manera restrictiva y limitada, las excepciones al derecho de acceso a la información y sólo podrán invocarlas cuando acrediten su procedencia, sin ampliar las excepciones o supuestos de </w:t>
      </w:r>
      <w:r w:rsidRPr="005D42F5">
        <w:rPr>
          <w:rFonts w:ascii="Palatino Linotype" w:hAnsi="Palatino Linotype"/>
          <w:b/>
          <w:color w:val="000000" w:themeColor="text1"/>
        </w:rPr>
        <w:t>reserva</w:t>
      </w:r>
      <w:r w:rsidRPr="005D42F5">
        <w:rPr>
          <w:rFonts w:ascii="Palatino Linotype" w:hAnsi="Palatino Linotype"/>
          <w:color w:val="000000" w:themeColor="text1"/>
        </w:rPr>
        <w:t xml:space="preserve"> o </w:t>
      </w:r>
      <w:r w:rsidRPr="005D42F5">
        <w:rPr>
          <w:rFonts w:ascii="Palatino Linotype" w:hAnsi="Palatino Linotype"/>
          <w:b/>
          <w:color w:val="000000" w:themeColor="text1"/>
        </w:rPr>
        <w:t>confidencialidad</w:t>
      </w:r>
      <w:r w:rsidRPr="005D42F5">
        <w:rPr>
          <w:rFonts w:ascii="Palatino Linotype" w:hAnsi="Palatino Linotype"/>
          <w:color w:val="000000" w:themeColor="text1"/>
        </w:rPr>
        <w:t xml:space="preserve"> previstos en la Ley General y la </w:t>
      </w:r>
      <w:r>
        <w:rPr>
          <w:rFonts w:ascii="Palatino Linotype" w:hAnsi="Palatino Linotype"/>
          <w:color w:val="000000" w:themeColor="text1"/>
        </w:rPr>
        <w:t>Ley de Transparencia y Acceso a la Información Pública del Estado de México y Municipios</w:t>
      </w:r>
      <w:r w:rsidRPr="005D42F5">
        <w:rPr>
          <w:rFonts w:ascii="Palatino Linotype" w:hAnsi="Palatino Linotype"/>
          <w:color w:val="000000" w:themeColor="text1"/>
        </w:rPr>
        <w:t>, aduciendo analogía o mayoría de razón</w:t>
      </w:r>
      <w:r>
        <w:rPr>
          <w:rStyle w:val="Refdenotaalpie"/>
          <w:rFonts w:ascii="Palatino Linotype" w:hAnsi="Palatino Linotype"/>
          <w:color w:val="000000" w:themeColor="text1"/>
        </w:rPr>
        <w:footnoteReference w:id="22"/>
      </w:r>
      <w:r w:rsidRPr="005D42F5">
        <w:rPr>
          <w:rFonts w:ascii="Palatino Linotype" w:hAnsi="Palatino Linotype"/>
          <w:color w:val="000000" w:themeColor="text1"/>
        </w:rPr>
        <w:t>.</w:t>
      </w:r>
    </w:p>
    <w:p w14:paraId="17C7A3CA" w14:textId="77777777" w:rsidR="005D42F5" w:rsidRDefault="005D42F5" w:rsidP="005D42F5">
      <w:pPr>
        <w:pStyle w:val="Prrafodelista"/>
        <w:tabs>
          <w:tab w:val="left" w:pos="426"/>
        </w:tabs>
        <w:spacing w:before="240" w:after="240" w:line="360" w:lineRule="auto"/>
        <w:ind w:left="0" w:right="51"/>
        <w:jc w:val="both"/>
        <w:rPr>
          <w:rFonts w:ascii="Palatino Linotype" w:hAnsi="Palatino Linotype"/>
          <w:color w:val="000000" w:themeColor="text1"/>
        </w:rPr>
      </w:pPr>
    </w:p>
    <w:p w14:paraId="487A574E" w14:textId="6F671154" w:rsidR="005D42F5" w:rsidRDefault="005D42F5" w:rsidP="000563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eastAsia="MS Mincho" w:hAnsi="Palatino Linotype" w:cs="Times New Roman"/>
        </w:rPr>
        <w:t xml:space="preserve">consecuencia de lo anterior, el </w:t>
      </w:r>
      <w:r w:rsidRPr="0062325E">
        <w:rPr>
          <w:rFonts w:ascii="Palatino Linotype" w:eastAsia="MS Mincho" w:hAnsi="Palatino Linotype" w:cs="Times New Roman"/>
          <w:b/>
          <w:bCs/>
        </w:rPr>
        <w:t>SUJETO OBLIGADO</w:t>
      </w:r>
      <w:r w:rsidRPr="0062325E">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60E3442A" w14:textId="77777777" w:rsidR="005D42F5" w:rsidRDefault="005D42F5" w:rsidP="005D42F5">
      <w:pPr>
        <w:pStyle w:val="Prrafodelista"/>
        <w:tabs>
          <w:tab w:val="left" w:pos="426"/>
        </w:tabs>
        <w:spacing w:before="240" w:after="240" w:line="360" w:lineRule="auto"/>
        <w:ind w:left="0" w:right="51"/>
        <w:jc w:val="both"/>
        <w:rPr>
          <w:rFonts w:ascii="Palatino Linotype" w:hAnsi="Palatino Linotype"/>
          <w:color w:val="000000" w:themeColor="text1"/>
        </w:rPr>
      </w:pPr>
    </w:p>
    <w:p w14:paraId="38841AE3" w14:textId="51DA0D0B" w:rsidR="005D42F5" w:rsidRDefault="004638FA" w:rsidP="000563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w:t>
      </w:r>
      <w:r w:rsidRPr="0062325E">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09BAD98D" w14:textId="77777777" w:rsidR="005D42F5" w:rsidRDefault="005D42F5" w:rsidP="005D42F5">
      <w:pPr>
        <w:pStyle w:val="Prrafodelista"/>
        <w:tabs>
          <w:tab w:val="left" w:pos="426"/>
        </w:tabs>
        <w:spacing w:before="240" w:after="240" w:line="360" w:lineRule="auto"/>
        <w:ind w:left="0" w:right="51"/>
        <w:jc w:val="both"/>
        <w:rPr>
          <w:rFonts w:ascii="Palatino Linotype" w:hAnsi="Palatino Linotype"/>
          <w:color w:val="000000" w:themeColor="text1"/>
        </w:rPr>
      </w:pPr>
    </w:p>
    <w:p w14:paraId="4F82496B" w14:textId="77777777" w:rsidR="004638FA" w:rsidRPr="00F01443" w:rsidRDefault="004638FA" w:rsidP="004638FA">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lastRenderedPageBreak/>
        <w:t>“</w:t>
      </w:r>
      <w:r w:rsidRPr="00F01443">
        <w:rPr>
          <w:rFonts w:ascii="Palatino Linotype" w:hAnsi="Palatino Linotype" w:cs="Arial"/>
          <w:b/>
          <w:i/>
          <w:sz w:val="22"/>
          <w:szCs w:val="22"/>
        </w:rPr>
        <w:t>Quincuagésimo.</w:t>
      </w:r>
      <w:r w:rsidRPr="00F01443">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54476E9A" w14:textId="77777777" w:rsidR="004638FA" w:rsidRPr="00F01443" w:rsidRDefault="004638FA" w:rsidP="004638FA">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36AF6E4" w14:textId="77777777" w:rsidR="004638FA" w:rsidRPr="00F01443" w:rsidRDefault="004638FA" w:rsidP="004638FA">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primero.</w:t>
      </w:r>
      <w:r w:rsidRPr="00F01443">
        <w:rPr>
          <w:rFonts w:ascii="Palatino Linotype" w:hAnsi="Palatino Linotype" w:cs="Arial"/>
          <w:i/>
          <w:sz w:val="22"/>
          <w:szCs w:val="22"/>
        </w:rPr>
        <w:t xml:space="preserve"> La leyenda en los documentos clasificados indicará:</w:t>
      </w:r>
    </w:p>
    <w:p w14:paraId="498E66B7" w14:textId="77777777" w:rsidR="004638FA" w:rsidRPr="00F01443" w:rsidRDefault="004638FA" w:rsidP="004638FA">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 La fecha de sesión del Comité de Transparencia en donde se confirmó la clasificación, en su caso;</w:t>
      </w:r>
    </w:p>
    <w:p w14:paraId="770744CE" w14:textId="77777777" w:rsidR="004638FA" w:rsidRPr="00F01443" w:rsidRDefault="004638FA" w:rsidP="004638FA">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II. El nombre del área;</w:t>
      </w:r>
    </w:p>
    <w:p w14:paraId="6CE79A3B" w14:textId="77777777" w:rsidR="004638FA" w:rsidRPr="00F01443" w:rsidRDefault="004638FA" w:rsidP="004638FA">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III. La palabra reservado o confidencial;</w:t>
      </w:r>
    </w:p>
    <w:p w14:paraId="0C14ABF8" w14:textId="77777777" w:rsidR="004638FA" w:rsidRPr="00F01443" w:rsidRDefault="004638FA" w:rsidP="004638FA">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IV. Las partes o secciones reservadas o confidenciales, en su caso;</w:t>
      </w:r>
    </w:p>
    <w:p w14:paraId="1015F72E" w14:textId="77777777" w:rsidR="004638FA" w:rsidRPr="00F01443" w:rsidRDefault="004638FA" w:rsidP="004638FA">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 El fundamento legal;</w:t>
      </w:r>
    </w:p>
    <w:p w14:paraId="35B84806" w14:textId="77777777" w:rsidR="004638FA" w:rsidRPr="00F01443" w:rsidRDefault="004638FA" w:rsidP="004638FA">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VI. El periodo de reserva, y</w:t>
      </w:r>
    </w:p>
    <w:p w14:paraId="79AFDD60" w14:textId="77777777" w:rsidR="004638FA" w:rsidRPr="00F01443" w:rsidRDefault="004638FA" w:rsidP="004638FA">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VII. La rúbrica del titular del área.</w:t>
      </w:r>
    </w:p>
    <w:p w14:paraId="6ACCABDA" w14:textId="77777777" w:rsidR="004638FA" w:rsidRPr="00F01443" w:rsidRDefault="004638FA" w:rsidP="004638FA">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48E9AD53" w14:textId="77777777" w:rsidR="004638FA" w:rsidRPr="00F01443" w:rsidRDefault="004638FA" w:rsidP="004638FA">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segundo.</w:t>
      </w:r>
      <w:r w:rsidRPr="00F01443">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47AB2EFB" w14:textId="77777777" w:rsidR="004638FA" w:rsidRPr="00F01443" w:rsidRDefault="004638FA" w:rsidP="004638FA">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0D362742" w14:textId="77777777" w:rsidR="004638FA" w:rsidRPr="00F01443" w:rsidRDefault="004638FA" w:rsidP="004638FA">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18CBACF" w14:textId="77777777" w:rsidR="004638FA" w:rsidRDefault="004638FA" w:rsidP="004638FA">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tercero.</w:t>
      </w:r>
      <w:r w:rsidRPr="00F01443">
        <w:rPr>
          <w:rFonts w:ascii="Palatino Linotype" w:hAnsi="Palatino Linotype" w:cs="Arial"/>
          <w:i/>
          <w:sz w:val="22"/>
          <w:szCs w:val="22"/>
        </w:rPr>
        <w:t xml:space="preserve"> El formato para señalar la clasificación parcial de un documento, es el siguiente:</w:t>
      </w:r>
    </w:p>
    <w:p w14:paraId="3EE77B01" w14:textId="76578657" w:rsidR="004638FA" w:rsidRDefault="004638FA" w:rsidP="004638FA">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Pr>
          <w:rFonts w:ascii="Palatino Linotype" w:hAnsi="Palatino Linotype" w:cs="Arial"/>
          <w:i/>
          <w:noProof/>
          <w:lang w:eastAsia="es-MX"/>
        </w:rPr>
        <w:lastRenderedPageBreak/>
        <w:drawing>
          <wp:inline distT="0" distB="0" distL="0" distR="0" wp14:anchorId="16C9B470" wp14:editId="14C466DC">
            <wp:extent cx="3431147" cy="2816352"/>
            <wp:effectExtent l="57150" t="57150" r="112395" b="1174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7705" cy="285456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E70699" w14:textId="77777777" w:rsidR="004638FA" w:rsidRDefault="004638FA" w:rsidP="005D42F5">
      <w:pPr>
        <w:pStyle w:val="Prrafodelista"/>
        <w:tabs>
          <w:tab w:val="left" w:pos="426"/>
        </w:tabs>
        <w:spacing w:before="240" w:after="240" w:line="360" w:lineRule="auto"/>
        <w:ind w:left="0" w:right="51"/>
        <w:jc w:val="both"/>
        <w:rPr>
          <w:rFonts w:ascii="Palatino Linotype" w:hAnsi="Palatino Linotype"/>
          <w:color w:val="000000" w:themeColor="text1"/>
        </w:rPr>
      </w:pPr>
    </w:p>
    <w:p w14:paraId="39F574ED" w14:textId="19207A0C" w:rsidR="005D42F5" w:rsidRPr="004638FA" w:rsidRDefault="004638FA" w:rsidP="000563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Una </w:t>
      </w:r>
      <w:r w:rsidRPr="0062325E">
        <w:rPr>
          <w:rFonts w:ascii="Palatino Linotype" w:eastAsia="MS Mincho" w:hAnsi="Palatino Linotype" w:cs="Times New Roman"/>
        </w:rPr>
        <w:t>vez hecho lo anterior, se remite la información al Titular de la Unidad de Transparencia, con el acuerdo de clasificación correspondiente, para que sea sometido al conocimie</w:t>
      </w:r>
      <w:r>
        <w:rPr>
          <w:rFonts w:ascii="Palatino Linotype" w:eastAsia="MS Mincho" w:hAnsi="Palatino Linotype" w:cs="Times New Roman"/>
        </w:rPr>
        <w:t>nto del Comité de Transparencia.</w:t>
      </w:r>
    </w:p>
    <w:p w14:paraId="26BAA976" w14:textId="77777777" w:rsidR="004638FA" w:rsidRPr="004638FA" w:rsidRDefault="004638FA" w:rsidP="004638FA">
      <w:pPr>
        <w:pStyle w:val="Prrafodelista"/>
        <w:tabs>
          <w:tab w:val="left" w:pos="426"/>
        </w:tabs>
        <w:spacing w:before="240" w:after="240" w:line="360" w:lineRule="auto"/>
        <w:ind w:left="0" w:right="51"/>
        <w:jc w:val="both"/>
        <w:rPr>
          <w:rFonts w:ascii="Palatino Linotype" w:hAnsi="Palatino Linotype"/>
          <w:color w:val="000000" w:themeColor="text1"/>
        </w:rPr>
      </w:pPr>
    </w:p>
    <w:p w14:paraId="1A66B765" w14:textId="33A04080" w:rsidR="004638FA" w:rsidRDefault="00EE123D" w:rsidP="004638F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Así las cosas, se advierte que</w:t>
      </w:r>
      <w:r w:rsidR="004638FA" w:rsidRPr="0062325E">
        <w:rPr>
          <w:rFonts w:ascii="Palatino Linotype" w:eastAsia="MS Mincho" w:hAnsi="Palatino Linotype" w:cs="Times New Roman"/>
        </w:rPr>
        <w:t xml:space="preserve"> para </w:t>
      </w:r>
      <w:r>
        <w:rPr>
          <w:rFonts w:ascii="Palatino Linotype" w:eastAsia="MS Mincho" w:hAnsi="Palatino Linotype" w:cs="Times New Roman"/>
        </w:rPr>
        <w:t xml:space="preserve">realizar </w:t>
      </w:r>
      <w:r w:rsidR="004638FA" w:rsidRPr="0062325E">
        <w:rPr>
          <w:rFonts w:ascii="Palatino Linotype" w:eastAsia="MS Mincho" w:hAnsi="Palatino Linotype" w:cs="Times New Roman"/>
        </w:rPr>
        <w:t>una correcta clasificación total o parcial, esto es</w:t>
      </w:r>
      <w:r w:rsidR="004638FA">
        <w:rPr>
          <w:rFonts w:ascii="Palatino Linotype" w:eastAsia="MS Mincho" w:hAnsi="Palatino Linotype" w:cs="Times New Roman"/>
        </w:rPr>
        <w:t>,</w:t>
      </w:r>
      <w:r w:rsidR="004638FA" w:rsidRPr="0062325E">
        <w:rPr>
          <w:rFonts w:ascii="Palatino Linotype" w:eastAsia="MS Mincho" w:hAnsi="Palatino Linotype" w:cs="Times New Roman"/>
        </w:rPr>
        <w:t xml:space="preserve"> det</w:t>
      </w:r>
      <w:r>
        <w:rPr>
          <w:rFonts w:ascii="Palatino Linotype" w:eastAsia="MS Mincho" w:hAnsi="Palatino Linotype" w:cs="Times New Roman"/>
        </w:rPr>
        <w:t>erminar los datos que se suprima</w:t>
      </w:r>
      <w:r w:rsidR="004638FA" w:rsidRPr="0062325E">
        <w:rPr>
          <w:rFonts w:ascii="Palatino Linotype" w:eastAsia="MS Mincho" w:hAnsi="Palatino Linotype" w:cs="Times New Roman"/>
        </w:rPr>
        <w:t xml:space="preserve">n en las versiones públicas, es necesario </w:t>
      </w:r>
      <w:r w:rsidR="004638FA" w:rsidRPr="004638FA">
        <w:rPr>
          <w:rFonts w:ascii="Palatino Linotype" w:eastAsia="MS Mincho" w:hAnsi="Palatino Linotype" w:cs="Times New Roman"/>
          <w:b/>
        </w:rPr>
        <w:t>fundar</w:t>
      </w:r>
      <w:r w:rsidR="004638FA" w:rsidRPr="0062325E">
        <w:rPr>
          <w:rFonts w:ascii="Palatino Linotype" w:eastAsia="MS Mincho" w:hAnsi="Palatino Linotype" w:cs="Times New Roman"/>
        </w:rPr>
        <w:t xml:space="preserve"> y </w:t>
      </w:r>
      <w:r w:rsidR="004638FA" w:rsidRPr="004638FA">
        <w:rPr>
          <w:rFonts w:ascii="Palatino Linotype" w:eastAsia="MS Mincho" w:hAnsi="Palatino Linotype" w:cs="Times New Roman"/>
          <w:b/>
        </w:rPr>
        <w:t>motivar</w:t>
      </w:r>
      <w:r w:rsidR="004638FA" w:rsidRPr="0062325E">
        <w:rPr>
          <w:rFonts w:ascii="Palatino Linotype" w:eastAsia="MS Mincho" w:hAnsi="Palatino Linotype" w:cs="Times New Roman"/>
        </w:rPr>
        <w:t>, de manera correcta, la clasificación; considerando que todo acto que la autoridad pronuncie</w:t>
      </w:r>
      <w:r w:rsidR="004638FA">
        <w:rPr>
          <w:rFonts w:ascii="Palatino Linotype" w:eastAsia="MS Mincho" w:hAnsi="Palatino Linotype" w:cs="Times New Roman"/>
        </w:rPr>
        <w:t>,</w:t>
      </w:r>
      <w:r w:rsidR="004638FA" w:rsidRPr="0062325E">
        <w:rPr>
          <w:rFonts w:ascii="Palatino Linotype" w:eastAsia="MS Mincho" w:hAnsi="Palatino Linotype" w:cs="Times New Roman"/>
        </w:rPr>
        <w:t xml:space="preserve"> en el ejercicio de sus atribuciones, debe expresar los fundamentos legales que le dieron origen y las razones por las que se deben aplicar al caso concreto.</w:t>
      </w:r>
    </w:p>
    <w:p w14:paraId="719663AC" w14:textId="77777777" w:rsidR="004638FA" w:rsidRDefault="004638FA" w:rsidP="004638FA">
      <w:pPr>
        <w:pStyle w:val="Prrafodelista"/>
        <w:tabs>
          <w:tab w:val="left" w:pos="426"/>
        </w:tabs>
        <w:spacing w:before="240" w:after="240" w:line="360" w:lineRule="auto"/>
        <w:ind w:left="0" w:right="51"/>
        <w:jc w:val="both"/>
        <w:rPr>
          <w:rFonts w:ascii="Palatino Linotype" w:hAnsi="Palatino Linotype"/>
          <w:color w:val="000000" w:themeColor="text1"/>
        </w:rPr>
      </w:pPr>
    </w:p>
    <w:p w14:paraId="317AB05A" w14:textId="77777777" w:rsidR="004638FA" w:rsidRDefault="004638FA" w:rsidP="004638F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Han </w:t>
      </w:r>
      <w:r w:rsidRPr="0062325E">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62325E">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Pr>
          <w:rFonts w:ascii="Palatino Linotype" w:eastAsia="MS Mincho" w:hAnsi="Palatino Linotype" w:cs="Times New Roman"/>
        </w:rPr>
        <w:t>.</w:t>
      </w:r>
    </w:p>
    <w:p w14:paraId="4ACC31B4" w14:textId="77777777" w:rsidR="004638FA" w:rsidRDefault="004638FA" w:rsidP="004638FA">
      <w:pPr>
        <w:pStyle w:val="Prrafodelista"/>
        <w:tabs>
          <w:tab w:val="left" w:pos="426"/>
        </w:tabs>
        <w:spacing w:before="240" w:after="240" w:line="360" w:lineRule="auto"/>
        <w:ind w:left="0" w:right="51"/>
        <w:jc w:val="both"/>
        <w:rPr>
          <w:rFonts w:ascii="Palatino Linotype" w:hAnsi="Palatino Linotype"/>
          <w:color w:val="000000" w:themeColor="text1"/>
        </w:rPr>
      </w:pPr>
    </w:p>
    <w:p w14:paraId="169BAB66" w14:textId="77777777" w:rsidR="004638FA" w:rsidRDefault="004638FA" w:rsidP="004638F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62325E">
        <w:rPr>
          <w:rFonts w:ascii="Palatino Linotype" w:eastAsia="MS Mincho" w:hAnsi="Palatino Linotype" w:cs="Times New Roman"/>
        </w:rPr>
        <w:t>su parte, el intérprete judicial del país ha establecido una jurisprudencia</w:t>
      </w:r>
      <w:r>
        <w:rPr>
          <w:rStyle w:val="Refdenotaalpie"/>
          <w:rFonts w:ascii="Palatino Linotype" w:eastAsia="MS Mincho" w:hAnsi="Palatino Linotype" w:cs="Times New Roman"/>
        </w:rPr>
        <w:footnoteReference w:id="23"/>
      </w:r>
      <w:r w:rsidRPr="0062325E">
        <w:rPr>
          <w:rFonts w:ascii="Palatino Linotype" w:eastAsia="MS Mincho" w:hAnsi="Palatino Linotype" w:cs="Times New Roman"/>
        </w:rPr>
        <w:t xml:space="preserve"> respecto a qué debe entenderse por fundamentación y motivación, en los siguientes términos:</w:t>
      </w:r>
    </w:p>
    <w:p w14:paraId="5D518BE8" w14:textId="77777777" w:rsidR="004638FA" w:rsidRPr="003E6079" w:rsidRDefault="004638FA" w:rsidP="004638FA">
      <w:pPr>
        <w:spacing w:line="276" w:lineRule="auto"/>
        <w:ind w:left="567" w:right="567"/>
        <w:contextualSpacing/>
        <w:jc w:val="both"/>
        <w:rPr>
          <w:rFonts w:ascii="Palatino Linotype" w:hAnsi="Palatino Linotype" w:cs="Arial"/>
          <w:i/>
          <w:color w:val="000000"/>
          <w:sz w:val="22"/>
          <w:szCs w:val="22"/>
        </w:rPr>
      </w:pPr>
      <w:r w:rsidRPr="003E6079">
        <w:rPr>
          <w:rFonts w:ascii="Palatino Linotype" w:hAnsi="Palatino Linotype" w:cs="Arial"/>
          <w:b/>
          <w:i/>
          <w:color w:val="000000"/>
          <w:sz w:val="22"/>
          <w:szCs w:val="22"/>
        </w:rPr>
        <w:t>FUNDAMENTACIÓN Y MOTIVACIÓN.</w:t>
      </w:r>
      <w:r w:rsidRPr="003E6079">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C71231E" w14:textId="77777777" w:rsidR="004638FA" w:rsidRDefault="004638FA" w:rsidP="004638FA">
      <w:pPr>
        <w:pStyle w:val="Prrafodelista"/>
        <w:tabs>
          <w:tab w:val="left" w:pos="426"/>
        </w:tabs>
        <w:spacing w:before="240" w:after="240" w:line="360" w:lineRule="auto"/>
        <w:ind w:left="0" w:right="51"/>
        <w:jc w:val="both"/>
        <w:rPr>
          <w:rFonts w:ascii="Palatino Linotype" w:hAnsi="Palatino Linotype"/>
          <w:color w:val="000000" w:themeColor="text1"/>
        </w:rPr>
      </w:pPr>
    </w:p>
    <w:p w14:paraId="3B5CF597" w14:textId="77777777" w:rsidR="004638FA" w:rsidRDefault="004638FA" w:rsidP="004638F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Así, </w:t>
      </w:r>
      <w:r w:rsidRPr="000D2150">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8466477" w14:textId="77777777" w:rsidR="004638FA" w:rsidRDefault="004638FA" w:rsidP="004638FA">
      <w:pPr>
        <w:pStyle w:val="Prrafodelista"/>
        <w:tabs>
          <w:tab w:val="left" w:pos="426"/>
        </w:tabs>
        <w:spacing w:before="240" w:after="240" w:line="360" w:lineRule="auto"/>
        <w:ind w:left="0" w:right="51"/>
        <w:jc w:val="both"/>
        <w:rPr>
          <w:rFonts w:ascii="Palatino Linotype" w:hAnsi="Palatino Linotype"/>
          <w:color w:val="000000" w:themeColor="text1"/>
        </w:rPr>
      </w:pPr>
    </w:p>
    <w:p w14:paraId="3F89156D" w14:textId="77777777" w:rsidR="004638FA" w:rsidRDefault="004638FA" w:rsidP="004638F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D2150">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907DB88" w14:textId="77777777" w:rsidR="004638FA" w:rsidRDefault="004638FA" w:rsidP="004638FA">
      <w:pPr>
        <w:pStyle w:val="Prrafodelista"/>
        <w:tabs>
          <w:tab w:val="left" w:pos="426"/>
        </w:tabs>
        <w:spacing w:before="240" w:after="240" w:line="360" w:lineRule="auto"/>
        <w:ind w:left="0" w:right="51"/>
        <w:jc w:val="both"/>
        <w:rPr>
          <w:rFonts w:ascii="Palatino Linotype" w:hAnsi="Palatino Linotype"/>
          <w:color w:val="000000" w:themeColor="text1"/>
        </w:rPr>
      </w:pPr>
    </w:p>
    <w:p w14:paraId="30F8926B" w14:textId="35283386" w:rsidR="00056317" w:rsidRDefault="00056317" w:rsidP="000563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tal manera que la </w:t>
      </w:r>
      <w:r w:rsidRPr="001C09E0">
        <w:rPr>
          <w:rFonts w:ascii="Palatino Linotype" w:hAnsi="Palatino Linotype"/>
          <w:color w:val="000000" w:themeColor="text1"/>
        </w:rPr>
        <w:t xml:space="preserve">carga de la prueba para justificar toda negativa de acceso a la información, por actualizarse cualquiera de los supuestos de clasificación previstos en </w:t>
      </w:r>
      <w:r>
        <w:rPr>
          <w:rFonts w:ascii="Palatino Linotype" w:hAnsi="Palatino Linotype"/>
          <w:color w:val="000000" w:themeColor="text1"/>
        </w:rPr>
        <w:t>la Ley de Transparencia y Acceso a la Información Pública del Estado de México y Municipios</w:t>
      </w:r>
      <w:r w:rsidRPr="001C09E0">
        <w:rPr>
          <w:rFonts w:ascii="Palatino Linotype" w:hAnsi="Palatino Linotype"/>
          <w:color w:val="000000" w:themeColor="text1"/>
        </w:rPr>
        <w:t xml:space="preserve"> corresponderá a los Sujetos Obligados; en tal caso</w:t>
      </w:r>
      <w:r>
        <w:rPr>
          <w:rFonts w:ascii="Palatino Linotype" w:hAnsi="Palatino Linotype"/>
          <w:color w:val="000000" w:themeColor="text1"/>
        </w:rPr>
        <w:t>,</w:t>
      </w:r>
      <w:r w:rsidRPr="001C09E0">
        <w:rPr>
          <w:rFonts w:ascii="Palatino Linotype" w:hAnsi="Palatino Linotype"/>
          <w:color w:val="000000" w:themeColor="text1"/>
        </w:rPr>
        <w:t xml:space="preserve"> deberá fundar y motivar debidamente la clasificación de la información, de conformidad con lo previsto en la Ley</w:t>
      </w:r>
      <w:r>
        <w:rPr>
          <w:rFonts w:ascii="Palatino Linotype" w:hAnsi="Palatino Linotype"/>
          <w:color w:val="000000" w:themeColor="text1"/>
        </w:rPr>
        <w:t>.</w:t>
      </w:r>
    </w:p>
    <w:p w14:paraId="73358BEC" w14:textId="77777777" w:rsidR="00056317" w:rsidRDefault="00056317" w:rsidP="00056317">
      <w:pPr>
        <w:pStyle w:val="Prrafodelista"/>
        <w:tabs>
          <w:tab w:val="left" w:pos="426"/>
        </w:tabs>
        <w:spacing w:before="240" w:after="240" w:line="360" w:lineRule="auto"/>
        <w:ind w:left="0" w:right="51"/>
        <w:jc w:val="both"/>
        <w:rPr>
          <w:rFonts w:ascii="Palatino Linotype" w:hAnsi="Palatino Linotype"/>
          <w:color w:val="000000" w:themeColor="text1"/>
        </w:rPr>
      </w:pPr>
    </w:p>
    <w:p w14:paraId="29245CCF" w14:textId="69D9A235" w:rsidR="00BB4F26" w:rsidRPr="00BB4F26" w:rsidRDefault="002B6781" w:rsidP="00BB4F2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Luego entonces, por cuanto hace al Dictamen Técnico-Médico Institucional entregado por el </w:t>
      </w:r>
      <w:r>
        <w:rPr>
          <w:rFonts w:ascii="Palatino Linotype" w:hAnsi="Palatino Linotype"/>
          <w:b/>
          <w:color w:val="000000" w:themeColor="text1"/>
        </w:rPr>
        <w:t>SUJETO OBLIGADO</w:t>
      </w:r>
      <w:r>
        <w:rPr>
          <w:rFonts w:ascii="Palatino Linotype" w:hAnsi="Palatino Linotype"/>
          <w:color w:val="000000" w:themeColor="text1"/>
        </w:rPr>
        <w:t xml:space="preserve">, </w:t>
      </w:r>
      <w:r w:rsidR="00566BC5">
        <w:rPr>
          <w:rFonts w:ascii="Palatino Linotype" w:hAnsi="Palatino Linotype"/>
          <w:color w:val="000000" w:themeColor="text1"/>
        </w:rPr>
        <w:t>este Órgano Garante</w:t>
      </w:r>
      <w:r>
        <w:rPr>
          <w:rFonts w:ascii="Palatino Linotype" w:hAnsi="Palatino Linotype"/>
          <w:color w:val="000000" w:themeColor="text1"/>
        </w:rPr>
        <w:t xml:space="preserve"> lo encuentra </w:t>
      </w:r>
      <w:r>
        <w:rPr>
          <w:rFonts w:ascii="Palatino Linotype" w:hAnsi="Palatino Linotype"/>
          <w:b/>
          <w:color w:val="000000" w:themeColor="text1"/>
        </w:rPr>
        <w:t>insuficiente</w:t>
      </w:r>
      <w:r>
        <w:rPr>
          <w:rFonts w:ascii="Palatino Linotype" w:hAnsi="Palatino Linotype"/>
          <w:color w:val="000000" w:themeColor="text1"/>
        </w:rPr>
        <w:t xml:space="preserve"> para lograr atender el derecho de acceso a la información del </w:t>
      </w:r>
      <w:r>
        <w:rPr>
          <w:rFonts w:ascii="Palatino Linotype" w:hAnsi="Palatino Linotype"/>
          <w:b/>
          <w:color w:val="000000" w:themeColor="text1"/>
        </w:rPr>
        <w:t>RECURRENTE</w:t>
      </w:r>
      <w:r>
        <w:rPr>
          <w:rFonts w:ascii="Palatino Linotype" w:hAnsi="Palatino Linotype"/>
          <w:color w:val="000000" w:themeColor="text1"/>
        </w:rPr>
        <w:t xml:space="preserve">. Ya que al consistir en una versión pública, se debió acompañar el documento en cuestión con el Acuerdo de Clasificación, emitido por el Comité de </w:t>
      </w:r>
      <w:r>
        <w:rPr>
          <w:rFonts w:ascii="Palatino Linotype" w:hAnsi="Palatino Linotype"/>
          <w:color w:val="000000" w:themeColor="text1"/>
        </w:rPr>
        <w:lastRenderedPageBreak/>
        <w:t xml:space="preserve">Transparencia, en el que se funden y motiven las razones de la clasificación; </w:t>
      </w:r>
      <w:r w:rsidRPr="002B6781">
        <w:rPr>
          <w:rFonts w:ascii="Palatino Linotype" w:hAnsi="Palatino Linotype"/>
          <w:b/>
          <w:color w:val="000000" w:themeColor="text1"/>
        </w:rPr>
        <w:t>el no haber exhibido el Acuerdo, implica que el Dictamen entregado consista en un mero documento ilegible y tachado</w:t>
      </w:r>
      <w:r>
        <w:rPr>
          <w:rFonts w:ascii="Palatino Linotype" w:hAnsi="Palatino Linotype"/>
          <w:color w:val="000000" w:themeColor="text1"/>
        </w:rPr>
        <w:t>.</w:t>
      </w:r>
      <w:r w:rsidR="00BB4F26">
        <w:rPr>
          <w:rFonts w:ascii="Palatino Linotype" w:hAnsi="Palatino Linotype"/>
          <w:color w:val="000000" w:themeColor="text1"/>
        </w:rPr>
        <w:t xml:space="preserve"> Por ende, los agravios señalados por el </w:t>
      </w:r>
      <w:r w:rsidR="00BB4F26">
        <w:rPr>
          <w:rFonts w:ascii="Palatino Linotype" w:hAnsi="Palatino Linotype"/>
          <w:b/>
          <w:color w:val="000000" w:themeColor="text1"/>
        </w:rPr>
        <w:t>RECURRENTE</w:t>
      </w:r>
      <w:r w:rsidR="00BB4F26">
        <w:rPr>
          <w:rFonts w:ascii="Palatino Linotype" w:hAnsi="Palatino Linotype"/>
          <w:color w:val="000000" w:themeColor="text1"/>
        </w:rPr>
        <w:t xml:space="preserve"> por los que manifiesta que el documento entregado por el </w:t>
      </w:r>
      <w:r w:rsidR="00BB4F26">
        <w:rPr>
          <w:rFonts w:ascii="Palatino Linotype" w:hAnsi="Palatino Linotype"/>
          <w:b/>
          <w:color w:val="000000" w:themeColor="text1"/>
        </w:rPr>
        <w:t>SUJETO OBLIGADO</w:t>
      </w:r>
      <w:r w:rsidR="00BB4F26">
        <w:rPr>
          <w:rFonts w:ascii="Palatino Linotype" w:hAnsi="Palatino Linotype"/>
          <w:color w:val="000000" w:themeColor="text1"/>
        </w:rPr>
        <w:t xml:space="preserve"> era ilegible y que no se había acompañado del Acuerdo de Clasificación respectivo se declaran </w:t>
      </w:r>
      <w:r w:rsidR="00BB4F26">
        <w:rPr>
          <w:rFonts w:ascii="Palatino Linotype" w:hAnsi="Palatino Linotype"/>
          <w:b/>
          <w:color w:val="000000" w:themeColor="text1"/>
        </w:rPr>
        <w:t>fundados</w:t>
      </w:r>
      <w:r w:rsidR="00BB4F26">
        <w:rPr>
          <w:rFonts w:ascii="Palatino Linotype" w:hAnsi="Palatino Linotype"/>
          <w:color w:val="000000" w:themeColor="text1"/>
        </w:rPr>
        <w:t>.</w:t>
      </w:r>
    </w:p>
    <w:p w14:paraId="7309499D" w14:textId="77777777" w:rsidR="00BB4F26" w:rsidRDefault="00BB4F26" w:rsidP="00BB4F26">
      <w:pPr>
        <w:pStyle w:val="Prrafodelista"/>
        <w:tabs>
          <w:tab w:val="left" w:pos="426"/>
        </w:tabs>
        <w:spacing w:before="240" w:after="240" w:line="360" w:lineRule="auto"/>
        <w:ind w:left="0" w:right="51"/>
        <w:jc w:val="both"/>
        <w:rPr>
          <w:rFonts w:ascii="Palatino Linotype" w:hAnsi="Palatino Linotype"/>
          <w:color w:val="000000" w:themeColor="text1"/>
        </w:rPr>
      </w:pPr>
    </w:p>
    <w:p w14:paraId="3B207CE9" w14:textId="2FE79008" w:rsidR="002B6781" w:rsidRDefault="002B678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No se omite mencionar que del análisis realizado a los pocos párrafos que son parcialmente visibles en el documento, se advierte que </w:t>
      </w:r>
      <w:r w:rsidRPr="00232110">
        <w:rPr>
          <w:rFonts w:ascii="Palatino Linotype" w:hAnsi="Palatino Linotype"/>
          <w:b/>
          <w:color w:val="000000" w:themeColor="text1"/>
        </w:rPr>
        <w:t>el</w:t>
      </w:r>
      <w:r w:rsidR="00AF615F">
        <w:rPr>
          <w:rFonts w:ascii="Palatino Linotype" w:hAnsi="Palatino Linotype"/>
          <w:b/>
          <w:color w:val="000000" w:themeColor="text1"/>
        </w:rPr>
        <w:t xml:space="preserve"> SUJETO OBLIGADO realizó un ejercicio de </w:t>
      </w:r>
      <w:r w:rsidRPr="002B6781">
        <w:rPr>
          <w:rFonts w:ascii="Palatino Linotype" w:hAnsi="Palatino Linotype"/>
          <w:b/>
          <w:color w:val="000000" w:themeColor="text1"/>
        </w:rPr>
        <w:t>clasificación excesiv</w:t>
      </w:r>
      <w:r w:rsidR="00AF615F">
        <w:rPr>
          <w:rFonts w:ascii="Palatino Linotype" w:hAnsi="Palatino Linotype"/>
          <w:b/>
          <w:color w:val="000000" w:themeColor="text1"/>
        </w:rPr>
        <w:t>o</w:t>
      </w:r>
      <w:r>
        <w:rPr>
          <w:rFonts w:ascii="Palatino Linotype" w:hAnsi="Palatino Linotype"/>
          <w:color w:val="000000" w:themeColor="text1"/>
        </w:rPr>
        <w:t>, toda vez que</w:t>
      </w:r>
      <w:r w:rsidR="0086644C">
        <w:rPr>
          <w:rFonts w:ascii="Palatino Linotype" w:hAnsi="Palatino Linotype"/>
          <w:color w:val="000000" w:themeColor="text1"/>
        </w:rPr>
        <w:t xml:space="preserve"> en éste</w:t>
      </w:r>
      <w:r>
        <w:rPr>
          <w:rFonts w:ascii="Palatino Linotype" w:hAnsi="Palatino Linotype"/>
          <w:color w:val="000000" w:themeColor="text1"/>
        </w:rPr>
        <w:t xml:space="preserve"> se testan nombres y firmas de servidores públicos, tales como el Visitador General, con Sede en Ecatepec, de la Comisión de Derechos Humanos del Estado de México; el Subcomisionado de Conciliaci</w:t>
      </w:r>
      <w:r w:rsidR="00484EDE">
        <w:rPr>
          <w:rFonts w:ascii="Palatino Linotype" w:hAnsi="Palatino Linotype"/>
          <w:color w:val="000000" w:themeColor="text1"/>
        </w:rPr>
        <w:t>ón y Arbitraje; el Subcomisionado de Recepción y Seguimiento de Quejas; así como la Ti</w:t>
      </w:r>
      <w:r w:rsidR="0086644C">
        <w:rPr>
          <w:rFonts w:ascii="Palatino Linotype" w:hAnsi="Palatino Linotype"/>
          <w:color w:val="000000" w:themeColor="text1"/>
        </w:rPr>
        <w:t>tular de la Unidad de Peritajes, elementos que no solo se reconocen como información pública, sino como parte esencial del documento.</w:t>
      </w:r>
    </w:p>
    <w:p w14:paraId="665DFA10" w14:textId="77777777" w:rsidR="002B6781" w:rsidRDefault="002B6781" w:rsidP="002B6781">
      <w:pPr>
        <w:pStyle w:val="Prrafodelista"/>
        <w:tabs>
          <w:tab w:val="left" w:pos="426"/>
        </w:tabs>
        <w:spacing w:before="240" w:after="240" w:line="360" w:lineRule="auto"/>
        <w:ind w:left="0" w:right="51"/>
        <w:jc w:val="both"/>
        <w:rPr>
          <w:rFonts w:ascii="Palatino Linotype" w:hAnsi="Palatino Linotype"/>
          <w:color w:val="000000" w:themeColor="text1"/>
        </w:rPr>
      </w:pPr>
    </w:p>
    <w:p w14:paraId="6864CF0F" w14:textId="53A2795E" w:rsidR="002B6781" w:rsidRDefault="0086644C"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Sirve de sustento a lo anterior el Criterio de Interpretación 02/19 emitido por el Instituto Nacional de Transparencia, Acceso a la Información y Protección de Datos Personales, cuyo rubro y texto establecen lo siguiente:</w:t>
      </w:r>
    </w:p>
    <w:p w14:paraId="3E4F1480" w14:textId="77777777" w:rsidR="002B6781" w:rsidRDefault="002B6781" w:rsidP="0086644C">
      <w:pPr>
        <w:pStyle w:val="Prrafodelista"/>
        <w:tabs>
          <w:tab w:val="left" w:pos="426"/>
        </w:tabs>
        <w:spacing w:before="240" w:line="360" w:lineRule="auto"/>
        <w:ind w:left="0" w:right="51"/>
        <w:jc w:val="both"/>
        <w:rPr>
          <w:rFonts w:ascii="Palatino Linotype" w:hAnsi="Palatino Linotype"/>
          <w:color w:val="000000" w:themeColor="text1"/>
        </w:rPr>
      </w:pPr>
    </w:p>
    <w:p w14:paraId="2032444A" w14:textId="3F0D0077" w:rsidR="0086644C" w:rsidRPr="0086644C" w:rsidRDefault="0086644C" w:rsidP="0086644C">
      <w:pPr>
        <w:spacing w:line="276" w:lineRule="auto"/>
        <w:ind w:left="567" w:right="567"/>
        <w:jc w:val="both"/>
        <w:rPr>
          <w:rFonts w:ascii="Palatino Linotype" w:hAnsi="Palatino Linotype" w:cs="Arial"/>
          <w:i/>
          <w:sz w:val="22"/>
        </w:rPr>
      </w:pPr>
      <w:r w:rsidRPr="0086644C">
        <w:rPr>
          <w:rFonts w:ascii="Palatino Linotype" w:hAnsi="Palatino Linotype" w:cs="Arial"/>
          <w:b/>
          <w:i/>
          <w:sz w:val="22"/>
        </w:rPr>
        <w:t>FIRMA Y RÚBRICA DE SERVIDORES PÚBLICOS.</w:t>
      </w:r>
      <w:r w:rsidRPr="0086644C">
        <w:rPr>
          <w:rFonts w:ascii="Palatino Linotype" w:hAnsi="Palatino Linotype" w:cs="Arial"/>
          <w:i/>
          <w:sz w:val="22"/>
        </w:rPr>
        <w:t xml:space="preserve"> Si bien la firma y la rúbrica son datos personales confidenciales, cuando un servidor público emite un acto como </w:t>
      </w:r>
      <w:r w:rsidRPr="0086644C">
        <w:rPr>
          <w:rFonts w:ascii="Palatino Linotype" w:hAnsi="Palatino Linotype" w:cs="Arial"/>
          <w:i/>
          <w:sz w:val="22"/>
        </w:rPr>
        <w:lastRenderedPageBreak/>
        <w:t>autoridad, en ejercicio de las funciones que tiene conferidas, la firma o rúbrica mediante la cual se valida dicho acto es pública.</w:t>
      </w:r>
    </w:p>
    <w:p w14:paraId="5B18F006" w14:textId="77777777" w:rsidR="0086644C" w:rsidRDefault="0086644C" w:rsidP="002B6781">
      <w:pPr>
        <w:pStyle w:val="Prrafodelista"/>
        <w:tabs>
          <w:tab w:val="left" w:pos="426"/>
        </w:tabs>
        <w:spacing w:before="240" w:after="240" w:line="360" w:lineRule="auto"/>
        <w:ind w:left="0" w:right="51"/>
        <w:jc w:val="both"/>
        <w:rPr>
          <w:rFonts w:ascii="Palatino Linotype" w:hAnsi="Palatino Linotype"/>
          <w:color w:val="000000" w:themeColor="text1"/>
        </w:rPr>
      </w:pPr>
    </w:p>
    <w:p w14:paraId="3DF171D3" w14:textId="637396E9" w:rsidR="00E02DA3" w:rsidRDefault="0086644C"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otro lado,</w:t>
      </w:r>
      <w:r w:rsidR="00321181">
        <w:rPr>
          <w:rFonts w:ascii="Palatino Linotype" w:hAnsi="Palatino Linotype"/>
          <w:color w:val="000000" w:themeColor="text1"/>
        </w:rPr>
        <w:t xml:space="preserve"> es importante señalar que un peritaje o </w:t>
      </w:r>
      <w:r w:rsidR="00321181" w:rsidRPr="00321181">
        <w:rPr>
          <w:rFonts w:ascii="Palatino Linotype" w:hAnsi="Palatino Linotype"/>
          <w:b/>
          <w:color w:val="000000" w:themeColor="text1"/>
        </w:rPr>
        <w:t>dictamen</w:t>
      </w:r>
      <w:r w:rsidR="00321181">
        <w:rPr>
          <w:rFonts w:ascii="Palatino Linotype" w:hAnsi="Palatino Linotype"/>
          <w:color w:val="000000" w:themeColor="text1"/>
        </w:rPr>
        <w:t xml:space="preserve">, se entenderá como el </w:t>
      </w:r>
      <w:r w:rsidR="00321181" w:rsidRPr="00321181">
        <w:rPr>
          <w:rFonts w:ascii="Palatino Linotype" w:hAnsi="Palatino Linotype"/>
          <w:color w:val="000000" w:themeColor="text1"/>
        </w:rPr>
        <w:t>informe sobre el examen de hechos, documentos u objetos, de carácter técnico</w:t>
      </w:r>
      <w:r w:rsidR="00321181">
        <w:rPr>
          <w:rFonts w:ascii="Palatino Linotype" w:hAnsi="Palatino Linotype"/>
          <w:color w:val="000000" w:themeColor="text1"/>
        </w:rPr>
        <w:t>-</w:t>
      </w:r>
      <w:r w:rsidR="00321181" w:rsidRPr="00321181">
        <w:rPr>
          <w:rFonts w:ascii="Palatino Linotype" w:hAnsi="Palatino Linotype"/>
          <w:color w:val="000000" w:themeColor="text1"/>
        </w:rPr>
        <w:t>médico institucional, realizado de manera colegiada por especialistas en alguna rama médica, cuyo resultado permita a las autoridades contar con elementos de convicción para atender controversias sobre la prestación de servicios de salud</w:t>
      </w:r>
      <w:r w:rsidR="00321181">
        <w:rPr>
          <w:rStyle w:val="Refdenotaalpie"/>
          <w:rFonts w:ascii="Palatino Linotype" w:hAnsi="Palatino Linotype"/>
          <w:color w:val="000000" w:themeColor="text1"/>
        </w:rPr>
        <w:footnoteReference w:id="24"/>
      </w:r>
      <w:r w:rsidR="00321181" w:rsidRPr="00321181">
        <w:rPr>
          <w:rFonts w:ascii="Palatino Linotype" w:hAnsi="Palatino Linotype"/>
          <w:color w:val="000000" w:themeColor="text1"/>
        </w:rPr>
        <w:t>.</w:t>
      </w:r>
    </w:p>
    <w:p w14:paraId="78BF0E14" w14:textId="77777777" w:rsidR="00E02DA3" w:rsidRDefault="00E02DA3"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46A5BDFB" w14:textId="53F210EA" w:rsidR="00E02DA3" w:rsidRDefault="0086644C"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ese sentido, podemos inferir que el Dictamen Técnico-Médico Institucional consiste en una serie de valoraciones lógicas, técnicas y operativas, realizadas por especialistas, a un hecho médico específico, comúnmente relacionado con una mala </w:t>
      </w:r>
      <w:r>
        <w:rPr>
          <w:rFonts w:ascii="Palatino Linotype" w:hAnsi="Palatino Linotype"/>
          <w:i/>
          <w:color w:val="000000" w:themeColor="text1"/>
        </w:rPr>
        <w:t>praxis</w:t>
      </w:r>
      <w:r>
        <w:rPr>
          <w:rFonts w:ascii="Palatino Linotype" w:hAnsi="Palatino Linotype"/>
          <w:color w:val="000000" w:themeColor="text1"/>
        </w:rPr>
        <w:t xml:space="preserve"> por parte de los trabajadores del sector salud hacia los usuarios del sector, a través de las cuales, se logra llegar a una o varias conclusiones relacionadas con el caso concreto.</w:t>
      </w:r>
    </w:p>
    <w:p w14:paraId="548C0F19" w14:textId="77777777" w:rsidR="00E02DA3" w:rsidRDefault="00E02DA3"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4F83F133" w14:textId="5BBB7039" w:rsidR="00E02DA3" w:rsidRDefault="0086644C"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debido a la naturaleza del instrumento, puede deducirse que dentro del Dictamen Técnico-Médico Institucional obren datos personales de usuarios del sistema de salud, así como información que pudiera acreditar alguna de las </w:t>
      </w:r>
      <w:r w:rsidR="009E09BF">
        <w:rPr>
          <w:rFonts w:ascii="Palatino Linotype" w:hAnsi="Palatino Linotype"/>
          <w:color w:val="000000" w:themeColor="text1"/>
        </w:rPr>
        <w:t xml:space="preserve">causales de reserva que señala el artículo 140 de la Ley de Transparencia y </w:t>
      </w:r>
      <w:r w:rsidR="009E09BF">
        <w:rPr>
          <w:rFonts w:ascii="Palatino Linotype" w:hAnsi="Palatino Linotype"/>
          <w:color w:val="000000" w:themeColor="text1"/>
        </w:rPr>
        <w:lastRenderedPageBreak/>
        <w:t xml:space="preserve">Acceso a la Información Pública del Estado de México y Municipios. Por ende, la entrega del documento sí </w:t>
      </w:r>
      <w:r w:rsidR="00F45502">
        <w:rPr>
          <w:rFonts w:ascii="Palatino Linotype" w:hAnsi="Palatino Linotype"/>
          <w:color w:val="000000" w:themeColor="text1"/>
        </w:rPr>
        <w:t>debe</w:t>
      </w:r>
      <w:r w:rsidR="009E09BF">
        <w:rPr>
          <w:rFonts w:ascii="Palatino Linotype" w:hAnsi="Palatino Linotype"/>
          <w:color w:val="000000" w:themeColor="text1"/>
        </w:rPr>
        <w:t xml:space="preserve"> realizarse por medio de una versión pública.</w:t>
      </w:r>
    </w:p>
    <w:p w14:paraId="1C2C1969" w14:textId="77777777" w:rsidR="00E02DA3" w:rsidRDefault="00E02DA3"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230523FA" w14:textId="26337BE9" w:rsidR="00E02DA3" w:rsidRDefault="00F45502"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Empero, </w:t>
      </w:r>
      <w:r w:rsidRPr="00C465BE">
        <w:rPr>
          <w:rFonts w:ascii="Palatino Linotype" w:hAnsi="Palatino Linotype"/>
          <w:b/>
          <w:color w:val="000000" w:themeColor="text1"/>
          <w:u w:val="single"/>
        </w:rPr>
        <w:t>su publicidad y entrega en versión pública no se encuentra en tela de juicio</w:t>
      </w:r>
      <w:r w:rsidRPr="00C465BE">
        <w:rPr>
          <w:rFonts w:ascii="Palatino Linotype" w:hAnsi="Palatino Linotype"/>
          <w:color w:val="000000" w:themeColor="text1"/>
          <w:u w:val="single"/>
        </w:rPr>
        <w:t xml:space="preserve">, </w:t>
      </w:r>
      <w:r w:rsidRPr="00C465BE">
        <w:rPr>
          <w:rFonts w:ascii="Palatino Linotype" w:hAnsi="Palatino Linotype"/>
          <w:b/>
          <w:color w:val="000000" w:themeColor="text1"/>
          <w:u w:val="single"/>
        </w:rPr>
        <w:t>pues el propio</w:t>
      </w:r>
      <w:r w:rsidR="009E09BF" w:rsidRPr="00C465BE">
        <w:rPr>
          <w:rFonts w:ascii="Palatino Linotype" w:hAnsi="Palatino Linotype"/>
          <w:b/>
          <w:color w:val="000000" w:themeColor="text1"/>
          <w:u w:val="single"/>
        </w:rPr>
        <w:t xml:space="preserve"> Reglamento Interno de la Comisión de Conciliación y Arbitraje del Estado de México</w:t>
      </w:r>
      <w:r w:rsidR="009E09BF">
        <w:rPr>
          <w:rFonts w:ascii="Palatino Linotype" w:hAnsi="Palatino Linotype"/>
          <w:color w:val="000000" w:themeColor="text1"/>
        </w:rPr>
        <w:t xml:space="preserve">, en su artículo 18, </w:t>
      </w:r>
      <w:r w:rsidR="009E09BF" w:rsidRPr="00C465BE">
        <w:rPr>
          <w:rFonts w:ascii="Palatino Linotype" w:hAnsi="Palatino Linotype"/>
          <w:b/>
          <w:color w:val="000000" w:themeColor="text1"/>
          <w:u w:val="single"/>
        </w:rPr>
        <w:t>señala que</w:t>
      </w:r>
      <w:r w:rsidR="009E09BF">
        <w:rPr>
          <w:rFonts w:ascii="Palatino Linotype" w:hAnsi="Palatino Linotype"/>
          <w:color w:val="000000" w:themeColor="text1"/>
        </w:rPr>
        <w:t xml:space="preserve"> una de las atribuciones que </w:t>
      </w:r>
      <w:r w:rsidR="009E09BF" w:rsidRPr="00C465BE">
        <w:rPr>
          <w:rFonts w:ascii="Palatino Linotype" w:hAnsi="Palatino Linotype"/>
          <w:b/>
          <w:color w:val="000000" w:themeColor="text1"/>
          <w:u w:val="single"/>
        </w:rPr>
        <w:t>le corresponderá a la Subcomisión de Recepción y Seguimiento de Quejas</w:t>
      </w:r>
      <w:r w:rsidR="009E09BF">
        <w:rPr>
          <w:rFonts w:ascii="Palatino Linotype" w:hAnsi="Palatino Linotype"/>
          <w:color w:val="000000" w:themeColor="text1"/>
        </w:rPr>
        <w:t xml:space="preserve">, es </w:t>
      </w:r>
      <w:r w:rsidR="009E09BF" w:rsidRPr="00C465BE">
        <w:rPr>
          <w:rFonts w:ascii="Palatino Linotype" w:hAnsi="Palatino Linotype"/>
          <w:b/>
          <w:color w:val="000000" w:themeColor="text1"/>
        </w:rPr>
        <w:t xml:space="preserve">el </w:t>
      </w:r>
      <w:r w:rsidR="009E09BF" w:rsidRPr="00C465BE">
        <w:rPr>
          <w:rFonts w:ascii="Palatino Linotype" w:hAnsi="Palatino Linotype"/>
          <w:b/>
          <w:color w:val="000000" w:themeColor="text1"/>
          <w:u w:val="single"/>
        </w:rPr>
        <w:t>participar en la difusión de</w:t>
      </w:r>
      <w:r w:rsidR="009E09BF">
        <w:rPr>
          <w:rFonts w:ascii="Palatino Linotype" w:hAnsi="Palatino Linotype"/>
          <w:b/>
          <w:color w:val="000000" w:themeColor="text1"/>
        </w:rPr>
        <w:t xml:space="preserve"> </w:t>
      </w:r>
      <w:r w:rsidR="009E09BF">
        <w:rPr>
          <w:rFonts w:ascii="Palatino Linotype" w:hAnsi="Palatino Linotype"/>
          <w:color w:val="000000" w:themeColor="text1"/>
        </w:rPr>
        <w:t xml:space="preserve">acuerdos, laudos, </w:t>
      </w:r>
      <w:r w:rsidR="009E09BF" w:rsidRPr="00232110">
        <w:rPr>
          <w:rFonts w:ascii="Palatino Linotype" w:hAnsi="Palatino Linotype"/>
          <w:b/>
          <w:color w:val="000000" w:themeColor="text1"/>
          <w:u w:val="single"/>
        </w:rPr>
        <w:t>dictámenes y peritajes que emita la Comisión</w:t>
      </w:r>
      <w:r w:rsidR="009E09BF">
        <w:rPr>
          <w:rFonts w:ascii="Palatino Linotype" w:hAnsi="Palatino Linotype"/>
          <w:color w:val="000000" w:themeColor="text1"/>
        </w:rPr>
        <w:t>.</w:t>
      </w:r>
    </w:p>
    <w:p w14:paraId="62D79720" w14:textId="77777777" w:rsidR="00E02DA3" w:rsidRDefault="00E02DA3"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5904C8E5" w14:textId="116BEF03" w:rsidR="00E02DA3" w:rsidRDefault="009E09BF"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Correlativo a lo anterior, el artículo 19 del Reglamento en cuestión señala que </w:t>
      </w:r>
      <w:r w:rsidRPr="00C465BE">
        <w:rPr>
          <w:rFonts w:ascii="Palatino Linotype" w:hAnsi="Palatino Linotype"/>
          <w:b/>
          <w:color w:val="000000" w:themeColor="text1"/>
          <w:u w:val="single"/>
        </w:rPr>
        <w:t>la Subcomisión de Conciliación, Arbitraje e Igualdad de Género tendr</w:t>
      </w:r>
      <w:r w:rsidR="00FF35F5" w:rsidRPr="00C465BE">
        <w:rPr>
          <w:rFonts w:ascii="Palatino Linotype" w:hAnsi="Palatino Linotype"/>
          <w:b/>
          <w:color w:val="000000" w:themeColor="text1"/>
          <w:u w:val="single"/>
        </w:rPr>
        <w:t>á, entre sus atribuciones</w:t>
      </w:r>
      <w:r w:rsidR="00FF35F5">
        <w:rPr>
          <w:rFonts w:ascii="Palatino Linotype" w:hAnsi="Palatino Linotype"/>
          <w:color w:val="000000" w:themeColor="text1"/>
        </w:rPr>
        <w:t xml:space="preserve"> el </w:t>
      </w:r>
      <w:r w:rsidR="00FF35F5" w:rsidRPr="00232110">
        <w:rPr>
          <w:rFonts w:ascii="Palatino Linotype" w:hAnsi="Palatino Linotype"/>
          <w:b/>
          <w:color w:val="000000" w:themeColor="text1"/>
          <w:u w:val="single"/>
        </w:rPr>
        <w:t>difundir los</w:t>
      </w:r>
      <w:r w:rsidR="00FF35F5">
        <w:rPr>
          <w:rFonts w:ascii="Palatino Linotype" w:hAnsi="Palatino Linotype"/>
          <w:b/>
          <w:color w:val="000000" w:themeColor="text1"/>
        </w:rPr>
        <w:t xml:space="preserve"> </w:t>
      </w:r>
      <w:r w:rsidR="00FF35F5" w:rsidRPr="00FF35F5">
        <w:rPr>
          <w:rFonts w:ascii="Palatino Linotype" w:hAnsi="Palatino Linotype"/>
          <w:color w:val="000000" w:themeColor="text1"/>
        </w:rPr>
        <w:t>acuerdos, laudos,</w:t>
      </w:r>
      <w:r w:rsidR="00FF35F5">
        <w:rPr>
          <w:rFonts w:ascii="Palatino Linotype" w:hAnsi="Palatino Linotype"/>
          <w:b/>
          <w:color w:val="000000" w:themeColor="text1"/>
        </w:rPr>
        <w:t xml:space="preserve"> </w:t>
      </w:r>
      <w:r w:rsidR="00FF35F5" w:rsidRPr="00232110">
        <w:rPr>
          <w:rFonts w:ascii="Palatino Linotype" w:hAnsi="Palatino Linotype"/>
          <w:b/>
          <w:color w:val="000000" w:themeColor="text1"/>
          <w:u w:val="single"/>
        </w:rPr>
        <w:t>dictámenes y peritajes que emita la Comisión</w:t>
      </w:r>
      <w:r w:rsidR="00FF35F5">
        <w:rPr>
          <w:rFonts w:ascii="Palatino Linotype" w:hAnsi="Palatino Linotype"/>
          <w:b/>
          <w:color w:val="000000" w:themeColor="text1"/>
        </w:rPr>
        <w:t>.</w:t>
      </w:r>
    </w:p>
    <w:p w14:paraId="03CD997E" w14:textId="77777777" w:rsidR="00E02DA3" w:rsidRDefault="00E02DA3"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238242F9" w14:textId="62D52443" w:rsidR="00E02DA3" w:rsidRDefault="00FF35F5"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Luego entonces, se advierte que </w:t>
      </w:r>
      <w:r w:rsidRPr="00C465BE">
        <w:rPr>
          <w:rFonts w:ascii="Palatino Linotype" w:hAnsi="Palatino Linotype"/>
          <w:b/>
          <w:color w:val="000000" w:themeColor="text1"/>
          <w:u w:val="double"/>
        </w:rPr>
        <w:t>el SUJETO OBLIGADO</w:t>
      </w:r>
      <w:r>
        <w:rPr>
          <w:rFonts w:ascii="Palatino Linotype" w:hAnsi="Palatino Linotype"/>
          <w:color w:val="000000" w:themeColor="text1"/>
        </w:rPr>
        <w:t xml:space="preserve"> a través de dos áreas administrativas que lo conforman, </w:t>
      </w:r>
      <w:r w:rsidRPr="00C465BE">
        <w:rPr>
          <w:rFonts w:ascii="Palatino Linotype" w:hAnsi="Palatino Linotype"/>
          <w:b/>
          <w:color w:val="000000" w:themeColor="text1"/>
          <w:u w:val="double"/>
        </w:rPr>
        <w:t>tiene el deber de difundir sus</w:t>
      </w:r>
      <w:r>
        <w:rPr>
          <w:rFonts w:ascii="Palatino Linotype" w:hAnsi="Palatino Linotype"/>
          <w:color w:val="000000" w:themeColor="text1"/>
        </w:rPr>
        <w:t xml:space="preserve"> determinaciones seguidas en forma de laudos, </w:t>
      </w:r>
      <w:r w:rsidRPr="00C465BE">
        <w:rPr>
          <w:rFonts w:ascii="Palatino Linotype" w:hAnsi="Palatino Linotype"/>
          <w:b/>
          <w:color w:val="000000" w:themeColor="text1"/>
          <w:u w:val="double"/>
        </w:rPr>
        <w:t>dictámenes</w:t>
      </w:r>
      <w:r>
        <w:rPr>
          <w:rFonts w:ascii="Palatino Linotype" w:hAnsi="Palatino Linotype"/>
          <w:color w:val="000000" w:themeColor="text1"/>
        </w:rPr>
        <w:t xml:space="preserve"> y/o peritajes</w:t>
      </w:r>
      <w:r w:rsidR="00BB4F26">
        <w:rPr>
          <w:rFonts w:ascii="Palatino Linotype" w:hAnsi="Palatino Linotype"/>
          <w:color w:val="000000" w:themeColor="text1"/>
        </w:rPr>
        <w:t>; lo cual deberá hacer, lógicamente, a través de versiones públicas de estos documentos.</w:t>
      </w:r>
    </w:p>
    <w:p w14:paraId="01863BB6" w14:textId="77777777" w:rsidR="00E02DA3" w:rsidRDefault="00E02DA3" w:rsidP="00E02DA3">
      <w:pPr>
        <w:pStyle w:val="Prrafodelista"/>
        <w:tabs>
          <w:tab w:val="left" w:pos="426"/>
        </w:tabs>
        <w:spacing w:before="240" w:after="240" w:line="360" w:lineRule="auto"/>
        <w:ind w:left="0" w:right="51"/>
        <w:jc w:val="both"/>
        <w:rPr>
          <w:rFonts w:ascii="Palatino Linotype" w:hAnsi="Palatino Linotype"/>
          <w:color w:val="000000" w:themeColor="text1"/>
        </w:rPr>
      </w:pPr>
    </w:p>
    <w:p w14:paraId="57F52CA8" w14:textId="30C11E4B" w:rsidR="003A63D9" w:rsidRDefault="00B74D4D"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638FA">
        <w:rPr>
          <w:rFonts w:ascii="Palatino Linotype" w:hAnsi="Palatino Linotype"/>
          <w:color w:val="000000" w:themeColor="text1"/>
        </w:rPr>
        <w:t xml:space="preserve">En conclusión de lo anterior, </w:t>
      </w:r>
      <w:r w:rsidR="00566BC5">
        <w:rPr>
          <w:rFonts w:ascii="Palatino Linotype" w:hAnsi="Palatino Linotype"/>
          <w:color w:val="000000" w:themeColor="text1"/>
        </w:rPr>
        <w:t>este Órgano Garante</w:t>
      </w:r>
      <w:r w:rsidRPr="004638FA">
        <w:rPr>
          <w:rFonts w:ascii="Palatino Linotype" w:hAnsi="Palatino Linotype"/>
          <w:color w:val="000000" w:themeColor="text1"/>
        </w:rPr>
        <w:t xml:space="preserve"> encuentra conforme a derecho el </w:t>
      </w:r>
      <w:r w:rsidRPr="004638FA">
        <w:rPr>
          <w:rFonts w:ascii="Palatino Linotype" w:hAnsi="Palatino Linotype"/>
          <w:b/>
          <w:color w:val="000000" w:themeColor="text1"/>
        </w:rPr>
        <w:t>revocar</w:t>
      </w:r>
      <w:r w:rsidRPr="004638FA">
        <w:rPr>
          <w:rFonts w:ascii="Palatino Linotype" w:hAnsi="Palatino Linotype"/>
          <w:color w:val="000000" w:themeColor="text1"/>
        </w:rPr>
        <w:t xml:space="preserve"> la respuesta del </w:t>
      </w:r>
      <w:r w:rsidRPr="004638FA">
        <w:rPr>
          <w:rFonts w:ascii="Palatino Linotype" w:hAnsi="Palatino Linotype"/>
          <w:b/>
          <w:color w:val="000000" w:themeColor="text1"/>
        </w:rPr>
        <w:t>SUJETO OBLIGADO</w:t>
      </w:r>
      <w:r w:rsidRPr="004638FA">
        <w:rPr>
          <w:rFonts w:ascii="Palatino Linotype" w:hAnsi="Palatino Linotype"/>
          <w:color w:val="000000" w:themeColor="text1"/>
        </w:rPr>
        <w:t xml:space="preserve"> a la solicitud </w:t>
      </w:r>
      <w:r w:rsidRPr="004638FA">
        <w:rPr>
          <w:rFonts w:ascii="Palatino Linotype" w:hAnsi="Palatino Linotype"/>
          <w:b/>
          <w:color w:val="000000" w:themeColor="text1"/>
        </w:rPr>
        <w:t>00227/CAMEM/IP/2021</w:t>
      </w:r>
      <w:r w:rsidRPr="004638FA">
        <w:rPr>
          <w:rFonts w:ascii="Palatino Linotype" w:hAnsi="Palatino Linotype"/>
          <w:color w:val="000000" w:themeColor="text1"/>
        </w:rPr>
        <w:t xml:space="preserve">, y se </w:t>
      </w:r>
      <w:r w:rsidRPr="004638FA">
        <w:rPr>
          <w:rFonts w:ascii="Palatino Linotype" w:hAnsi="Palatino Linotype"/>
          <w:b/>
          <w:color w:val="000000" w:themeColor="text1"/>
        </w:rPr>
        <w:t>ordena</w:t>
      </w:r>
      <w:r w:rsidRPr="004638FA">
        <w:rPr>
          <w:rFonts w:ascii="Palatino Linotype" w:hAnsi="Palatino Linotype"/>
          <w:color w:val="000000" w:themeColor="text1"/>
        </w:rPr>
        <w:t xml:space="preserve"> entregar, en </w:t>
      </w:r>
      <w:r w:rsidRPr="004638FA">
        <w:rPr>
          <w:rFonts w:ascii="Palatino Linotype" w:hAnsi="Palatino Linotype"/>
          <w:b/>
          <w:color w:val="000000" w:themeColor="text1"/>
        </w:rPr>
        <w:t>versión pública</w:t>
      </w:r>
      <w:r w:rsidRPr="004638FA">
        <w:rPr>
          <w:rFonts w:ascii="Palatino Linotype" w:hAnsi="Palatino Linotype"/>
          <w:color w:val="000000" w:themeColor="text1"/>
        </w:rPr>
        <w:t xml:space="preserve">, el Dictamen </w:t>
      </w:r>
      <w:r w:rsidRPr="004638FA">
        <w:rPr>
          <w:rFonts w:ascii="Palatino Linotype" w:hAnsi="Palatino Linotype"/>
          <w:color w:val="000000" w:themeColor="text1"/>
        </w:rPr>
        <w:lastRenderedPageBreak/>
        <w:t>Técnico—Médico Institucional, emitido por la Comisión de Conciliación y Arbitraje Médico del Estado de México, en el expediente CCAMEM/TOL/D/1218/2019, atendiendo las puntualizaciones vertidas en el presente estudio y en el Considerando QUINTO de esta resolución.</w:t>
      </w:r>
    </w:p>
    <w:p w14:paraId="45429F46" w14:textId="77777777" w:rsidR="00232110" w:rsidRDefault="00232110" w:rsidP="00232110">
      <w:pPr>
        <w:pStyle w:val="Prrafodelista"/>
        <w:tabs>
          <w:tab w:val="left" w:pos="426"/>
        </w:tabs>
        <w:spacing w:before="240" w:after="240" w:line="360" w:lineRule="auto"/>
        <w:ind w:left="0" w:right="51"/>
        <w:jc w:val="both"/>
        <w:rPr>
          <w:rFonts w:ascii="Palatino Linotype" w:hAnsi="Palatino Linotype"/>
          <w:color w:val="000000" w:themeColor="text1"/>
        </w:rPr>
      </w:pPr>
    </w:p>
    <w:p w14:paraId="622B2A46" w14:textId="59AC3048" w:rsidR="005773AC" w:rsidRPr="00BD0F9E" w:rsidRDefault="005773AC" w:rsidP="005773AC">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3" w:name="_Toc88071788"/>
      <w:r w:rsidRPr="00BD0F9E">
        <w:rPr>
          <w:rFonts w:ascii="Palatino Linotype" w:hAnsi="Palatino Linotype"/>
          <w:b/>
          <w:color w:val="000000" w:themeColor="text1"/>
        </w:rPr>
        <w:t>V</w:t>
      </w:r>
      <w:r w:rsidR="001C7733">
        <w:rPr>
          <w:rFonts w:ascii="Palatino Linotype" w:hAnsi="Palatino Linotype"/>
          <w:b/>
          <w:color w:val="000000" w:themeColor="text1"/>
        </w:rPr>
        <w:t>I</w:t>
      </w:r>
      <w:r w:rsidRPr="00BD0F9E">
        <w:rPr>
          <w:rFonts w:ascii="Palatino Linotype" w:hAnsi="Palatino Linotype"/>
          <w:b/>
          <w:color w:val="000000" w:themeColor="text1"/>
        </w:rPr>
        <w:t>I. Del cambio de modalidad en la entrega del expediente</w:t>
      </w:r>
      <w:r w:rsidR="00BD0F9E" w:rsidRPr="00BD0F9E">
        <w:rPr>
          <w:rFonts w:ascii="Palatino Linotype" w:hAnsi="Palatino Linotype"/>
          <w:b/>
          <w:color w:val="000000" w:themeColor="text1"/>
        </w:rPr>
        <w:t xml:space="preserve"> CCAMEM/TOL/D/1218/2019</w:t>
      </w:r>
      <w:r w:rsidRPr="00BD0F9E">
        <w:rPr>
          <w:rFonts w:ascii="Palatino Linotype" w:hAnsi="Palatino Linotype"/>
          <w:b/>
          <w:color w:val="000000" w:themeColor="text1"/>
        </w:rPr>
        <w:t>.</w:t>
      </w:r>
      <w:bookmarkEnd w:id="33"/>
    </w:p>
    <w:p w14:paraId="2D01B54B" w14:textId="77777777" w:rsidR="005773AC" w:rsidRDefault="005773AC" w:rsidP="00232110">
      <w:pPr>
        <w:pStyle w:val="Prrafodelista"/>
        <w:tabs>
          <w:tab w:val="left" w:pos="426"/>
        </w:tabs>
        <w:spacing w:before="240" w:after="240" w:line="360" w:lineRule="auto"/>
        <w:ind w:left="0" w:right="51"/>
        <w:jc w:val="both"/>
        <w:rPr>
          <w:rFonts w:ascii="Palatino Linotype" w:hAnsi="Palatino Linotype"/>
          <w:color w:val="000000" w:themeColor="text1"/>
        </w:rPr>
      </w:pPr>
    </w:p>
    <w:p w14:paraId="648A6D7E" w14:textId="73BE31F3" w:rsidR="00232110" w:rsidRDefault="00D67B28"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Hasta este </w:t>
      </w:r>
      <w:r w:rsidRPr="00FA17C2">
        <w:rPr>
          <w:rFonts w:ascii="Palatino Linotype" w:eastAsia="Times New Roman" w:hAnsi="Palatino Linotype" w:cs="Arial"/>
          <w:bCs/>
          <w:iCs/>
        </w:rPr>
        <w:t>momento hemos establecido el procedimiento básico que los Sujetos Obligados deben seguir para atender las solicitudes de a</w:t>
      </w:r>
      <w:r>
        <w:rPr>
          <w:rFonts w:ascii="Palatino Linotype" w:eastAsia="Times New Roman" w:hAnsi="Palatino Linotype" w:cs="Arial"/>
          <w:bCs/>
          <w:iCs/>
        </w:rPr>
        <w:t xml:space="preserve">cceso a la información pública, así como el procedimiento de clasificación que deben seguir cuando se actualice alguna de las causales de reserva o confidencialidad reconocidas en la Ley de Transparencia y Acceso a la Información Pública del Estado de México y Municipios; </w:t>
      </w:r>
      <w:r w:rsidRPr="00FA17C2">
        <w:rPr>
          <w:rFonts w:ascii="Palatino Linotype" w:eastAsia="Times New Roman" w:hAnsi="Palatino Linotype" w:cs="Arial"/>
          <w:bCs/>
          <w:iCs/>
        </w:rPr>
        <w:t>empero, para atender escenarios particulares, como puede ser la imposibilidad de entregar la información en la modalidad elegida por los particulares, deberán adecuarse a lo establecido por la Ley de la materia.</w:t>
      </w:r>
    </w:p>
    <w:p w14:paraId="0E755E11" w14:textId="77777777" w:rsidR="00232110" w:rsidRDefault="00232110" w:rsidP="00232110">
      <w:pPr>
        <w:pStyle w:val="Prrafodelista"/>
        <w:tabs>
          <w:tab w:val="left" w:pos="426"/>
        </w:tabs>
        <w:spacing w:before="240" w:after="240" w:line="360" w:lineRule="auto"/>
        <w:ind w:left="0" w:right="51"/>
        <w:jc w:val="both"/>
        <w:rPr>
          <w:rFonts w:ascii="Palatino Linotype" w:hAnsi="Palatino Linotype"/>
          <w:color w:val="000000" w:themeColor="text1"/>
        </w:rPr>
      </w:pPr>
    </w:p>
    <w:p w14:paraId="67F06FF4" w14:textId="6411E856" w:rsidR="00232110" w:rsidRDefault="00D67B28"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respecto, la </w:t>
      </w:r>
      <w:r w:rsidRPr="00FA17C2">
        <w:rPr>
          <w:rFonts w:ascii="Palatino Linotype" w:eastAsia="Times New Roman" w:hAnsi="Palatino Linotype" w:cs="Arial"/>
          <w:bCs/>
          <w:iCs/>
        </w:rPr>
        <w:t xml:space="preserve">Ley de Transparencia y Acceso a la Información Pública del Estado de México y Municipios establece que el </w:t>
      </w:r>
      <w:r w:rsidRPr="00FA17C2">
        <w:rPr>
          <w:rFonts w:ascii="Palatino Linotype" w:eastAsia="Times New Roman" w:hAnsi="Palatino Linotype" w:cs="Arial"/>
          <w:b/>
          <w:bCs/>
          <w:iCs/>
        </w:rPr>
        <w:t>recurso de revisión</w:t>
      </w:r>
      <w:r w:rsidRPr="00FA17C2">
        <w:rPr>
          <w:rFonts w:ascii="Palatino Linotype" w:eastAsia="Times New Roman" w:hAnsi="Palatino Linotype" w:cs="Arial"/>
          <w:bCs/>
          <w:iCs/>
        </w:rPr>
        <w:t xml:space="preserve"> es la garantía secundaria mediante la cual se pretende reparar cualquier posible afectación al derecho de acceso a la información pública</w:t>
      </w:r>
      <w:r w:rsidRPr="00FA17C2">
        <w:rPr>
          <w:rFonts w:ascii="Palatino Linotype" w:eastAsia="Times New Roman" w:hAnsi="Palatino Linotype" w:cs="Arial"/>
          <w:bCs/>
          <w:iCs/>
          <w:vertAlign w:val="superscript"/>
        </w:rPr>
        <w:footnoteReference w:id="25"/>
      </w:r>
      <w:r w:rsidRPr="00FA17C2">
        <w:rPr>
          <w:rFonts w:ascii="Palatino Linotype" w:eastAsia="Times New Roman" w:hAnsi="Palatino Linotype" w:cs="Arial"/>
          <w:bCs/>
          <w:iCs/>
        </w:rPr>
        <w:t xml:space="preserve">; y </w:t>
      </w:r>
      <w:r w:rsidRPr="00FA17C2">
        <w:rPr>
          <w:rFonts w:ascii="Palatino Linotype" w:eastAsia="Times New Roman" w:hAnsi="Palatino Linotype" w:cs="Arial"/>
          <w:b/>
          <w:bCs/>
          <w:iCs/>
        </w:rPr>
        <w:t>procederá</w:t>
      </w:r>
      <w:r w:rsidRPr="00FA17C2">
        <w:rPr>
          <w:rFonts w:ascii="Palatino Linotype" w:eastAsia="Times New Roman" w:hAnsi="Palatino Linotype" w:cs="Arial"/>
          <w:bCs/>
          <w:iCs/>
        </w:rPr>
        <w:t xml:space="preserve">, entre otras, </w:t>
      </w:r>
      <w:r w:rsidRPr="00FA17C2">
        <w:rPr>
          <w:rFonts w:ascii="Palatino Linotype" w:eastAsia="Times New Roman" w:hAnsi="Palatino Linotype" w:cs="Arial"/>
          <w:b/>
          <w:bCs/>
          <w:iCs/>
        </w:rPr>
        <w:t xml:space="preserve">en contra de </w:t>
      </w:r>
      <w:r w:rsidRPr="00FA17C2">
        <w:rPr>
          <w:rFonts w:ascii="Palatino Linotype" w:eastAsia="Times New Roman" w:hAnsi="Palatino Linotype" w:cs="Arial"/>
          <w:b/>
          <w:bCs/>
          <w:iCs/>
        </w:rPr>
        <w:lastRenderedPageBreak/>
        <w:t>la</w:t>
      </w:r>
      <w:r w:rsidRPr="00FA17C2">
        <w:rPr>
          <w:rFonts w:ascii="Palatino Linotype" w:eastAsia="Times New Roman" w:hAnsi="Palatino Linotype" w:cs="Arial"/>
          <w:bCs/>
          <w:iCs/>
        </w:rPr>
        <w:t xml:space="preserve"> notificación, </w:t>
      </w:r>
      <w:r w:rsidRPr="00FA17C2">
        <w:rPr>
          <w:rFonts w:ascii="Palatino Linotype" w:eastAsia="Times New Roman" w:hAnsi="Palatino Linotype" w:cs="Arial"/>
          <w:b/>
          <w:bCs/>
          <w:iCs/>
        </w:rPr>
        <w:t>entrega o puesta a disposición de información en una modalidad o formato distinto al solicitado</w:t>
      </w:r>
      <w:r w:rsidRPr="00FA17C2">
        <w:rPr>
          <w:rFonts w:ascii="Palatino Linotype" w:eastAsia="Times New Roman" w:hAnsi="Palatino Linotype" w:cs="Arial"/>
          <w:bCs/>
          <w:iCs/>
          <w:vertAlign w:val="superscript"/>
        </w:rPr>
        <w:footnoteReference w:id="26"/>
      </w:r>
      <w:r w:rsidRPr="00FA17C2">
        <w:rPr>
          <w:rFonts w:ascii="Palatino Linotype" w:eastAsia="Times New Roman" w:hAnsi="Palatino Linotype" w:cs="Arial"/>
          <w:bCs/>
          <w:iCs/>
        </w:rPr>
        <w:t>.</w:t>
      </w:r>
    </w:p>
    <w:p w14:paraId="47A66BCC" w14:textId="77777777" w:rsidR="00232110" w:rsidRDefault="00232110" w:rsidP="00232110">
      <w:pPr>
        <w:pStyle w:val="Prrafodelista"/>
        <w:tabs>
          <w:tab w:val="left" w:pos="426"/>
        </w:tabs>
        <w:spacing w:before="240" w:after="240" w:line="360" w:lineRule="auto"/>
        <w:ind w:left="0" w:right="51"/>
        <w:jc w:val="both"/>
        <w:rPr>
          <w:rFonts w:ascii="Palatino Linotype" w:hAnsi="Palatino Linotype"/>
          <w:color w:val="000000" w:themeColor="text1"/>
        </w:rPr>
      </w:pPr>
    </w:p>
    <w:p w14:paraId="07647E37" w14:textId="5119ADC0" w:rsidR="00232110" w:rsidRDefault="00C465BE"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su parte, el</w:t>
      </w:r>
      <w:r w:rsidR="00D67B28">
        <w:rPr>
          <w:rFonts w:ascii="Palatino Linotype" w:hAnsi="Palatino Linotype"/>
          <w:color w:val="000000" w:themeColor="text1"/>
        </w:rPr>
        <w:t xml:space="preserve"> </w:t>
      </w:r>
      <w:r w:rsidR="00D67B28" w:rsidRPr="00FA17C2">
        <w:rPr>
          <w:rFonts w:ascii="Palatino Linotype" w:eastAsia="Times New Roman" w:hAnsi="Palatino Linotype" w:cs="Arial"/>
          <w:bCs/>
          <w:iCs/>
        </w:rPr>
        <w:t>artículo 164 de la Ley de Transparencia y Acceso a la Información Pública del Estado de México y Municipios establece lo siguiente:</w:t>
      </w:r>
    </w:p>
    <w:p w14:paraId="56823EBC" w14:textId="77777777" w:rsidR="00232110" w:rsidRDefault="00232110" w:rsidP="00232110">
      <w:pPr>
        <w:pStyle w:val="Prrafodelista"/>
        <w:tabs>
          <w:tab w:val="left" w:pos="426"/>
        </w:tabs>
        <w:spacing w:before="240" w:after="240" w:line="360" w:lineRule="auto"/>
        <w:ind w:left="0" w:right="51"/>
        <w:jc w:val="both"/>
        <w:rPr>
          <w:rFonts w:ascii="Palatino Linotype" w:hAnsi="Palatino Linotype"/>
          <w:color w:val="000000" w:themeColor="text1"/>
        </w:rPr>
      </w:pPr>
    </w:p>
    <w:p w14:paraId="2A3BF103" w14:textId="77777777" w:rsidR="00D67B28" w:rsidRPr="00FA17C2" w:rsidRDefault="00D67B28" w:rsidP="00D67B28">
      <w:pPr>
        <w:pStyle w:val="Prrafodelista"/>
        <w:tabs>
          <w:tab w:val="left" w:pos="426"/>
        </w:tabs>
        <w:spacing w:before="240" w:after="240" w:line="276" w:lineRule="auto"/>
        <w:ind w:left="567" w:right="567"/>
        <w:jc w:val="both"/>
        <w:rPr>
          <w:rFonts w:ascii="Palatino Linotype" w:hAnsi="Palatino Linotype"/>
          <w:bCs/>
          <w:i/>
          <w:iCs/>
          <w:color w:val="000000" w:themeColor="text1"/>
          <w:sz w:val="22"/>
          <w:szCs w:val="22"/>
        </w:rPr>
      </w:pPr>
      <w:r w:rsidRPr="00FA17C2">
        <w:rPr>
          <w:rFonts w:ascii="Palatino Linotype" w:hAnsi="Palatino Linotype"/>
          <w:bCs/>
          <w:i/>
          <w:iCs/>
          <w:color w:val="000000" w:themeColor="text1"/>
          <w:sz w:val="22"/>
          <w:szCs w:val="22"/>
        </w:rPr>
        <w:t>“</w:t>
      </w:r>
      <w:r w:rsidRPr="00FA17C2">
        <w:rPr>
          <w:rFonts w:ascii="Palatino Linotype" w:hAnsi="Palatino Linotype"/>
          <w:b/>
          <w:bCs/>
          <w:i/>
          <w:iCs/>
          <w:color w:val="000000" w:themeColor="text1"/>
          <w:sz w:val="22"/>
          <w:szCs w:val="22"/>
        </w:rPr>
        <w:t>Artículo 164.</w:t>
      </w:r>
      <w:r w:rsidRPr="00FA17C2">
        <w:rPr>
          <w:rFonts w:ascii="Palatino Linotype" w:hAnsi="Palatino Linotype"/>
          <w:bCs/>
          <w:i/>
          <w:iCs/>
          <w:color w:val="000000" w:themeColor="text1"/>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5899DC07" w14:textId="77777777" w:rsidR="00D67B28" w:rsidRPr="00FA17C2" w:rsidRDefault="00D67B28" w:rsidP="00D67B28">
      <w:pPr>
        <w:pStyle w:val="Prrafodelista"/>
        <w:tabs>
          <w:tab w:val="left" w:pos="426"/>
        </w:tabs>
        <w:spacing w:before="240" w:after="240" w:line="276" w:lineRule="auto"/>
        <w:ind w:left="567" w:right="567"/>
        <w:jc w:val="both"/>
        <w:rPr>
          <w:rFonts w:ascii="Palatino Linotype" w:hAnsi="Palatino Linotype"/>
          <w:bCs/>
          <w:iCs/>
          <w:color w:val="000000" w:themeColor="text1"/>
          <w:sz w:val="22"/>
          <w:szCs w:val="22"/>
        </w:rPr>
      </w:pPr>
      <w:r w:rsidRPr="00FA17C2">
        <w:rPr>
          <w:rFonts w:ascii="Palatino Linotype" w:hAnsi="Palatino Linotype"/>
          <w:bCs/>
          <w:i/>
          <w:iCs/>
          <w:color w:val="000000" w:themeColor="text1"/>
          <w:sz w:val="22"/>
          <w:szCs w:val="22"/>
        </w:rPr>
        <w:t xml:space="preserve">En cualquier caso, </w:t>
      </w:r>
      <w:r w:rsidRPr="00FA17C2">
        <w:rPr>
          <w:rFonts w:ascii="Palatino Linotype" w:hAnsi="Palatino Linotype"/>
          <w:b/>
          <w:bCs/>
          <w:i/>
          <w:iCs/>
          <w:color w:val="000000" w:themeColor="text1"/>
          <w:sz w:val="22"/>
          <w:szCs w:val="22"/>
        </w:rPr>
        <w:t>se deberá fundar y motivar la necesidad de ofrecer otras modalidades</w:t>
      </w:r>
      <w:r w:rsidRPr="00FA17C2">
        <w:rPr>
          <w:rFonts w:ascii="Palatino Linotype" w:hAnsi="Palatino Linotype"/>
          <w:bCs/>
          <w:i/>
          <w:iCs/>
          <w:color w:val="000000" w:themeColor="text1"/>
          <w:sz w:val="22"/>
          <w:szCs w:val="22"/>
        </w:rPr>
        <w:t>.”</w:t>
      </w:r>
    </w:p>
    <w:p w14:paraId="219ACD84" w14:textId="77777777" w:rsidR="00D67B28" w:rsidRPr="00FA17C2" w:rsidRDefault="00D67B28" w:rsidP="00D67B28">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FA17C2">
        <w:rPr>
          <w:rFonts w:ascii="Palatino Linotype" w:hAnsi="Palatino Linotype"/>
          <w:bCs/>
          <w:iCs/>
          <w:color w:val="000000" w:themeColor="text1"/>
          <w:sz w:val="22"/>
          <w:szCs w:val="22"/>
        </w:rPr>
        <w:t>(Énfasis añadido)</w:t>
      </w:r>
    </w:p>
    <w:p w14:paraId="00E6E687" w14:textId="77777777" w:rsidR="00D67B28" w:rsidRDefault="00D67B28" w:rsidP="00232110">
      <w:pPr>
        <w:pStyle w:val="Prrafodelista"/>
        <w:tabs>
          <w:tab w:val="left" w:pos="426"/>
        </w:tabs>
        <w:spacing w:before="240" w:after="240" w:line="360" w:lineRule="auto"/>
        <w:ind w:left="0" w:right="51"/>
        <w:jc w:val="both"/>
        <w:rPr>
          <w:rFonts w:ascii="Palatino Linotype" w:hAnsi="Palatino Linotype"/>
          <w:color w:val="000000" w:themeColor="text1"/>
        </w:rPr>
      </w:pPr>
    </w:p>
    <w:p w14:paraId="56627F5B" w14:textId="6B347BE4" w:rsidR="00232110" w:rsidRDefault="00D67B28"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Del </w:t>
      </w:r>
      <w:r>
        <w:rPr>
          <w:rFonts w:ascii="Palatino Linotype" w:hAnsi="Palatino Linotype"/>
          <w:bCs/>
          <w:iCs/>
          <w:color w:val="000000" w:themeColor="text1"/>
        </w:rPr>
        <w:t xml:space="preserve">transcrito </w:t>
      </w:r>
      <w:r>
        <w:rPr>
          <w:rFonts w:ascii="Palatino Linotype" w:hAnsi="Palatino Linotype"/>
          <w:bCs/>
          <w:i/>
          <w:iCs/>
          <w:color w:val="000000" w:themeColor="text1"/>
        </w:rPr>
        <w:t>supra</w:t>
      </w:r>
      <w:r w:rsidRPr="00FA17C2">
        <w:rPr>
          <w:rFonts w:ascii="Palatino Linotype" w:hAnsi="Palatino Linotype"/>
          <w:bCs/>
          <w:iCs/>
          <w:color w:val="000000" w:themeColor="text1"/>
        </w:rPr>
        <w:t xml:space="preserve"> se desprende que el </w:t>
      </w:r>
      <w:r w:rsidRPr="00FA17C2">
        <w:rPr>
          <w:rFonts w:ascii="Palatino Linotype" w:hAnsi="Palatino Linotype"/>
          <w:b/>
          <w:bCs/>
          <w:iCs/>
          <w:color w:val="000000" w:themeColor="text1"/>
        </w:rPr>
        <w:t>SUJETO OBLIGADO</w:t>
      </w:r>
      <w:r w:rsidRPr="00FA17C2">
        <w:rPr>
          <w:rFonts w:ascii="Palatino Linotype" w:hAnsi="Palatino Linotype"/>
          <w:bCs/>
          <w:iCs/>
          <w:color w:val="000000" w:themeColor="text1"/>
        </w:rPr>
        <w:t xml:space="preserve"> sí puede ofrecer cambiar la modalidad de entrega de la información cuando</w:t>
      </w:r>
      <w:r>
        <w:rPr>
          <w:rFonts w:ascii="Palatino Linotype" w:hAnsi="Palatino Linotype"/>
          <w:bCs/>
          <w:iCs/>
          <w:color w:val="000000" w:themeColor="text1"/>
        </w:rPr>
        <w:t>,</w:t>
      </w:r>
      <w:r w:rsidRPr="00FA17C2">
        <w:rPr>
          <w:rFonts w:ascii="Palatino Linotype" w:hAnsi="Palatino Linotype"/>
          <w:bCs/>
          <w:iCs/>
          <w:color w:val="000000" w:themeColor="text1"/>
        </w:rPr>
        <w:t xml:space="preserve"> por cualquier motivo</w:t>
      </w:r>
      <w:r>
        <w:rPr>
          <w:rFonts w:ascii="Palatino Linotype" w:hAnsi="Palatino Linotype"/>
          <w:bCs/>
          <w:iCs/>
          <w:color w:val="000000" w:themeColor="text1"/>
        </w:rPr>
        <w:t>,</w:t>
      </w:r>
      <w:r w:rsidRPr="00FA17C2">
        <w:rPr>
          <w:rFonts w:ascii="Palatino Linotype" w:hAnsi="Palatino Linotype"/>
          <w:bCs/>
          <w:iCs/>
          <w:color w:val="000000" w:themeColor="text1"/>
        </w:rPr>
        <w:t xml:space="preserve"> no pueda entregarse en la originalmente señalada, sin embargo, </w:t>
      </w:r>
      <w:r w:rsidRPr="00FA17C2">
        <w:rPr>
          <w:rFonts w:ascii="Palatino Linotype" w:hAnsi="Palatino Linotype"/>
          <w:b/>
          <w:bCs/>
          <w:iCs/>
          <w:color w:val="000000" w:themeColor="text1"/>
        </w:rPr>
        <w:t>deberá fundar y motivar las razones por las que no sea posible entregar la misma en el medio elegido por el particular</w:t>
      </w:r>
      <w:r w:rsidRPr="00FA17C2">
        <w:rPr>
          <w:rFonts w:ascii="Palatino Linotype" w:hAnsi="Palatino Linotype"/>
          <w:bCs/>
          <w:iCs/>
          <w:color w:val="000000" w:themeColor="text1"/>
        </w:rPr>
        <w:t>.</w:t>
      </w:r>
    </w:p>
    <w:p w14:paraId="5DAD9307" w14:textId="77777777" w:rsidR="00232110" w:rsidRDefault="00232110" w:rsidP="00232110">
      <w:pPr>
        <w:pStyle w:val="Prrafodelista"/>
        <w:tabs>
          <w:tab w:val="left" w:pos="426"/>
        </w:tabs>
        <w:spacing w:before="240" w:after="240" w:line="360" w:lineRule="auto"/>
        <w:ind w:left="0" w:right="51"/>
        <w:jc w:val="both"/>
        <w:rPr>
          <w:rFonts w:ascii="Palatino Linotype" w:hAnsi="Palatino Linotype"/>
          <w:color w:val="000000" w:themeColor="text1"/>
        </w:rPr>
      </w:pPr>
    </w:p>
    <w:p w14:paraId="774D959D" w14:textId="5F98481C" w:rsidR="00232110" w:rsidRDefault="00D67B28"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Aunado </w:t>
      </w:r>
      <w:r w:rsidRPr="00FA17C2">
        <w:rPr>
          <w:rFonts w:ascii="Palatino Linotype" w:eastAsia="Times New Roman" w:hAnsi="Palatino Linotype" w:cs="Arial"/>
          <w:bCs/>
          <w:iCs/>
        </w:rPr>
        <w:t xml:space="preserve">a lo anterior, </w:t>
      </w:r>
      <w:r w:rsidRPr="00FA17C2">
        <w:rPr>
          <w:rFonts w:ascii="Palatino Linotype" w:eastAsia="Times New Roman" w:hAnsi="Palatino Linotype" w:cs="Arial"/>
          <w:b/>
          <w:bCs/>
          <w:iCs/>
        </w:rPr>
        <w:t>el Instituto Nacional de Transparencia, Acceso a la Información y Protección de Datos Personales ha establecido que,</w:t>
      </w:r>
      <w:r w:rsidRPr="00FA17C2">
        <w:rPr>
          <w:rFonts w:ascii="Palatino Linotype" w:eastAsia="Times New Roman" w:hAnsi="Palatino Linotype" w:cs="Arial"/>
          <w:bCs/>
          <w:iCs/>
        </w:rPr>
        <w:t xml:space="preserve"> </w:t>
      </w:r>
      <w:r w:rsidRPr="00FA17C2">
        <w:rPr>
          <w:rFonts w:ascii="Palatino Linotype" w:eastAsia="Times New Roman" w:hAnsi="Palatino Linotype" w:cs="Arial"/>
          <w:b/>
          <w:bCs/>
          <w:iCs/>
        </w:rPr>
        <w:t xml:space="preserve">para justificar un cambio en la modalidad de entrega de la información debe existir un obstáculo </w:t>
      </w:r>
      <w:r w:rsidRPr="00FA17C2">
        <w:rPr>
          <w:rFonts w:ascii="Palatino Linotype" w:eastAsia="Times New Roman" w:hAnsi="Palatino Linotype" w:cs="Arial"/>
          <w:b/>
          <w:bCs/>
          <w:iCs/>
        </w:rPr>
        <w:lastRenderedPageBreak/>
        <w:t>infranqueable o de difícil superación para atenderla</w:t>
      </w:r>
      <w:r w:rsidRPr="00FA17C2">
        <w:rPr>
          <w:rFonts w:ascii="Palatino Linotype" w:eastAsia="Times New Roman" w:hAnsi="Palatino Linotype" w:cs="Arial"/>
          <w:b/>
          <w:bCs/>
          <w:iCs/>
          <w:vertAlign w:val="superscript"/>
        </w:rPr>
        <w:footnoteReference w:id="27"/>
      </w:r>
      <w:r w:rsidRPr="00FA17C2">
        <w:rPr>
          <w:rFonts w:ascii="Palatino Linotype" w:eastAsia="Times New Roman" w:hAnsi="Palatino Linotype" w:cs="Arial"/>
          <w:bCs/>
          <w:iCs/>
        </w:rPr>
        <w:t>, como lo es que la información solicitada se encuentre en un formato diverso al solicitado, que atendiendo a las características de la misma sea imposible su reproducción en el medio elegido por el particular, o bien, que la información que dé atención a la solicitud amerite un cruce de información en los sistemas de datos, entre otros.</w:t>
      </w:r>
    </w:p>
    <w:p w14:paraId="66EE607D" w14:textId="77777777" w:rsidR="00232110" w:rsidRDefault="00232110" w:rsidP="00232110">
      <w:pPr>
        <w:pStyle w:val="Prrafodelista"/>
        <w:tabs>
          <w:tab w:val="left" w:pos="426"/>
        </w:tabs>
        <w:spacing w:before="240" w:after="240" w:line="360" w:lineRule="auto"/>
        <w:ind w:left="0" w:right="51"/>
        <w:jc w:val="both"/>
        <w:rPr>
          <w:rFonts w:ascii="Palatino Linotype" w:hAnsi="Palatino Linotype"/>
          <w:color w:val="000000" w:themeColor="text1"/>
        </w:rPr>
      </w:pPr>
    </w:p>
    <w:p w14:paraId="341CE839" w14:textId="7603AC2A" w:rsidR="00232110" w:rsidRDefault="00D67B28"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Establecido lo anterior, por cuanto hace a la solicitud de información </w:t>
      </w:r>
      <w:r>
        <w:rPr>
          <w:rFonts w:ascii="Palatino Linotype" w:hAnsi="Palatino Linotype"/>
          <w:b/>
          <w:color w:val="000000" w:themeColor="text1"/>
        </w:rPr>
        <w:t>00226/CAMEM/IP/2021</w:t>
      </w:r>
      <w:r>
        <w:rPr>
          <w:rFonts w:ascii="Palatino Linotype" w:hAnsi="Palatino Linotype"/>
          <w:color w:val="000000" w:themeColor="text1"/>
        </w:rPr>
        <w:t xml:space="preserve">, como fuera señalado en el apartado de </w:t>
      </w:r>
      <w:r>
        <w:rPr>
          <w:rFonts w:ascii="Palatino Linotype" w:hAnsi="Palatino Linotype"/>
          <w:i/>
          <w:color w:val="000000" w:themeColor="text1"/>
        </w:rPr>
        <w:t>Antecedentes</w:t>
      </w:r>
      <w:r>
        <w:rPr>
          <w:rFonts w:ascii="Palatino Linotype" w:hAnsi="Palatino Linotype"/>
          <w:color w:val="000000" w:themeColor="text1"/>
        </w:rPr>
        <w:t xml:space="preserve"> de la presente resolución, se advierte que el </w:t>
      </w:r>
      <w:r>
        <w:rPr>
          <w:rFonts w:ascii="Palatino Linotype" w:hAnsi="Palatino Linotype"/>
          <w:b/>
          <w:color w:val="000000" w:themeColor="text1"/>
        </w:rPr>
        <w:t>RECURRENTE</w:t>
      </w:r>
      <w:r>
        <w:rPr>
          <w:rFonts w:ascii="Palatino Linotype" w:hAnsi="Palatino Linotype"/>
          <w:color w:val="000000" w:themeColor="text1"/>
        </w:rPr>
        <w:t xml:space="preserve"> solicitó acceder a </w:t>
      </w:r>
      <w:r>
        <w:rPr>
          <w:rFonts w:ascii="Palatino Linotype" w:hAnsi="Palatino Linotype"/>
          <w:i/>
          <w:color w:val="000000" w:themeColor="text1"/>
        </w:rPr>
        <w:t>“todas y cada una de las p</w:t>
      </w:r>
      <w:r>
        <w:rPr>
          <w:rFonts w:ascii="Palatino Linotype" w:hAnsi="Palatino Linotype"/>
          <w:color w:val="000000" w:themeColor="text1"/>
        </w:rPr>
        <w:t>[á]</w:t>
      </w:r>
      <w:r>
        <w:rPr>
          <w:rFonts w:ascii="Palatino Linotype" w:hAnsi="Palatino Linotype"/>
          <w:i/>
          <w:color w:val="000000" w:themeColor="text1"/>
        </w:rPr>
        <w:t>ginas que integran el expediente (…) CCAMEM/TOL/D/1218/2019</w:t>
      </w:r>
      <w:r>
        <w:rPr>
          <w:rFonts w:ascii="Palatino Linotype" w:hAnsi="Palatino Linotype"/>
          <w:color w:val="000000" w:themeColor="text1"/>
        </w:rPr>
        <w:t>”.</w:t>
      </w:r>
    </w:p>
    <w:p w14:paraId="61F8794B" w14:textId="77777777" w:rsidR="00232110" w:rsidRDefault="00232110" w:rsidP="00232110">
      <w:pPr>
        <w:pStyle w:val="Prrafodelista"/>
        <w:tabs>
          <w:tab w:val="left" w:pos="426"/>
        </w:tabs>
        <w:spacing w:before="240" w:after="240" w:line="360" w:lineRule="auto"/>
        <w:ind w:left="0" w:right="51"/>
        <w:jc w:val="both"/>
        <w:rPr>
          <w:rFonts w:ascii="Palatino Linotype" w:hAnsi="Palatino Linotype"/>
          <w:color w:val="000000" w:themeColor="text1"/>
        </w:rPr>
      </w:pPr>
    </w:p>
    <w:p w14:paraId="7E33C650" w14:textId="266BFB6F" w:rsidR="00232110" w:rsidRDefault="00D67B28" w:rsidP="00D67B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atención a la solicitud, el </w:t>
      </w:r>
      <w:r>
        <w:rPr>
          <w:rFonts w:ascii="Palatino Linotype" w:hAnsi="Palatino Linotype"/>
          <w:b/>
          <w:color w:val="000000" w:themeColor="text1"/>
        </w:rPr>
        <w:t>SUJETO OBLIGADO</w:t>
      </w:r>
      <w:r>
        <w:rPr>
          <w:rFonts w:ascii="Palatino Linotype" w:hAnsi="Palatino Linotype"/>
          <w:color w:val="000000" w:themeColor="text1"/>
        </w:rPr>
        <w:t xml:space="preserve">, a través del Titular de la Unidad de Transparencia, informó al particular que </w:t>
      </w:r>
      <w:r>
        <w:rPr>
          <w:rFonts w:ascii="Palatino Linotype" w:hAnsi="Palatino Linotype"/>
          <w:i/>
          <w:color w:val="000000" w:themeColor="text1"/>
        </w:rPr>
        <w:t xml:space="preserve">“al ser mucha la </w:t>
      </w:r>
      <w:r w:rsidRPr="00D67B28">
        <w:rPr>
          <w:rFonts w:ascii="Palatino Linotype" w:hAnsi="Palatino Linotype"/>
          <w:i/>
          <w:color w:val="000000" w:themeColor="text1"/>
        </w:rPr>
        <w:t>información y al no contar con personal suficiente para el procesamiento de ésta, se ponen a su disposición el expediente solicitado para consulta dentro de las instalaciones de est</w:t>
      </w:r>
      <w:r>
        <w:rPr>
          <w:rFonts w:ascii="Palatino Linotype" w:hAnsi="Palatino Linotype"/>
          <w:i/>
          <w:color w:val="000000" w:themeColor="text1"/>
        </w:rPr>
        <w:t>a Comisión, previa acreditación</w:t>
      </w:r>
      <w:r>
        <w:rPr>
          <w:rFonts w:ascii="Palatino Linotype" w:hAnsi="Palatino Linotype"/>
          <w:color w:val="000000" w:themeColor="text1"/>
        </w:rPr>
        <w:t xml:space="preserve"> (Sic)”.</w:t>
      </w:r>
    </w:p>
    <w:p w14:paraId="145222F1" w14:textId="77777777" w:rsidR="00232110" w:rsidRDefault="00232110" w:rsidP="00232110">
      <w:pPr>
        <w:pStyle w:val="Prrafodelista"/>
        <w:tabs>
          <w:tab w:val="left" w:pos="426"/>
        </w:tabs>
        <w:spacing w:before="240" w:after="240" w:line="360" w:lineRule="auto"/>
        <w:ind w:left="0" w:right="51"/>
        <w:jc w:val="both"/>
        <w:rPr>
          <w:rFonts w:ascii="Palatino Linotype" w:hAnsi="Palatino Linotype"/>
          <w:color w:val="000000" w:themeColor="text1"/>
        </w:rPr>
      </w:pPr>
    </w:p>
    <w:p w14:paraId="39105711" w14:textId="2392B03E" w:rsidR="00232110" w:rsidRDefault="00D67B28"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Razón de lo anterior, en el presente asunto no se </w:t>
      </w:r>
      <w:r w:rsidRPr="00FA17C2">
        <w:rPr>
          <w:rFonts w:ascii="Palatino Linotype" w:eastAsia="Times New Roman" w:hAnsi="Palatino Linotype" w:cs="Arial"/>
          <w:bCs/>
          <w:iCs/>
        </w:rPr>
        <w:t xml:space="preserve">advierte que el </w:t>
      </w:r>
      <w:r w:rsidRPr="00FA17C2">
        <w:rPr>
          <w:rFonts w:ascii="Palatino Linotype" w:eastAsia="Times New Roman" w:hAnsi="Palatino Linotype" w:cs="Arial"/>
          <w:b/>
          <w:bCs/>
          <w:iCs/>
        </w:rPr>
        <w:t>SUJETO OBLIGADO</w:t>
      </w:r>
      <w:r w:rsidRPr="00FA17C2">
        <w:rPr>
          <w:rFonts w:ascii="Palatino Linotype" w:eastAsia="Times New Roman" w:hAnsi="Palatino Linotype" w:cs="Arial"/>
          <w:bCs/>
          <w:iCs/>
        </w:rPr>
        <w:t xml:space="preserve"> haya fundado ni motivado las razones que lo orillaron a determinar el cambio de modalidad de entrega de la información, toda vez que como se señaló previamente, </w:t>
      </w:r>
      <w:r w:rsidRPr="00FA17C2">
        <w:rPr>
          <w:rFonts w:ascii="Palatino Linotype" w:eastAsia="Times New Roman" w:hAnsi="Palatino Linotype" w:cs="Arial"/>
          <w:b/>
          <w:bCs/>
          <w:iCs/>
        </w:rPr>
        <w:t xml:space="preserve">el </w:t>
      </w:r>
      <w:r>
        <w:rPr>
          <w:rFonts w:ascii="Palatino Linotype" w:eastAsia="Times New Roman" w:hAnsi="Palatino Linotype" w:cs="Arial"/>
          <w:b/>
          <w:bCs/>
          <w:iCs/>
        </w:rPr>
        <w:t>Titular de la Unidad de Transparencia</w:t>
      </w:r>
      <w:r w:rsidRPr="00FA17C2">
        <w:rPr>
          <w:rFonts w:ascii="Palatino Linotype" w:eastAsia="Times New Roman" w:hAnsi="Palatino Linotype" w:cs="Arial"/>
          <w:b/>
          <w:bCs/>
          <w:iCs/>
        </w:rPr>
        <w:t xml:space="preserve"> únicamente se limitó a </w:t>
      </w:r>
      <w:r w:rsidRPr="00FA17C2">
        <w:rPr>
          <w:rFonts w:ascii="Palatino Linotype" w:eastAsia="Times New Roman" w:hAnsi="Palatino Linotype" w:cs="Arial"/>
          <w:b/>
          <w:bCs/>
          <w:iCs/>
        </w:rPr>
        <w:lastRenderedPageBreak/>
        <w:t xml:space="preserve">referir </w:t>
      </w:r>
      <w:r>
        <w:rPr>
          <w:rFonts w:ascii="Palatino Linotype" w:eastAsia="Times New Roman" w:hAnsi="Palatino Linotype" w:cs="Arial"/>
          <w:b/>
          <w:bCs/>
          <w:iCs/>
        </w:rPr>
        <w:t>que la información que conformaba el expediente solicitado era mucha y que no tenían el personal suficiente para procesarla</w:t>
      </w:r>
      <w:r>
        <w:rPr>
          <w:rFonts w:ascii="Palatino Linotype" w:eastAsia="Times New Roman" w:hAnsi="Palatino Linotype" w:cs="Arial"/>
          <w:bCs/>
          <w:iCs/>
        </w:rPr>
        <w:t>;</w:t>
      </w:r>
      <w:r w:rsidRPr="00FA17C2">
        <w:rPr>
          <w:rFonts w:ascii="Palatino Linotype" w:eastAsia="Times New Roman" w:hAnsi="Palatino Linotype" w:cs="Arial"/>
          <w:bCs/>
          <w:iCs/>
        </w:rPr>
        <w:t xml:space="preserve"> y</w:t>
      </w:r>
      <w:r>
        <w:rPr>
          <w:rFonts w:ascii="Palatino Linotype" w:eastAsia="Times New Roman" w:hAnsi="Palatino Linotype" w:cs="Arial"/>
          <w:bCs/>
          <w:iCs/>
        </w:rPr>
        <w:t>,</w:t>
      </w:r>
      <w:r w:rsidRPr="00FA17C2">
        <w:rPr>
          <w:rFonts w:ascii="Palatino Linotype" w:eastAsia="Times New Roman" w:hAnsi="Palatino Linotype" w:cs="Arial"/>
          <w:bCs/>
          <w:iCs/>
        </w:rPr>
        <w:t xml:space="preserve"> con base en ese débil y perceptiblemente </w:t>
      </w:r>
      <w:r w:rsidRPr="00FA17C2">
        <w:rPr>
          <w:rFonts w:ascii="Palatino Linotype" w:eastAsia="Times New Roman" w:hAnsi="Palatino Linotype" w:cs="Arial"/>
          <w:b/>
          <w:bCs/>
          <w:iCs/>
        </w:rPr>
        <w:t>negligente</w:t>
      </w:r>
      <w:r w:rsidRPr="00FA17C2">
        <w:rPr>
          <w:rFonts w:ascii="Palatino Linotype" w:eastAsia="Times New Roman" w:hAnsi="Palatino Linotype" w:cs="Arial"/>
          <w:bCs/>
          <w:iCs/>
        </w:rPr>
        <w:t xml:space="preserve"> axioma</w:t>
      </w:r>
      <w:r>
        <w:rPr>
          <w:rFonts w:ascii="Palatino Linotype" w:eastAsia="Times New Roman" w:hAnsi="Palatino Linotype" w:cs="Arial"/>
          <w:bCs/>
          <w:iCs/>
        </w:rPr>
        <w:t>,</w:t>
      </w:r>
      <w:r w:rsidRPr="00FA17C2">
        <w:rPr>
          <w:rFonts w:ascii="Palatino Linotype" w:eastAsia="Times New Roman" w:hAnsi="Palatino Linotype" w:cs="Arial"/>
          <w:bCs/>
          <w:iCs/>
        </w:rPr>
        <w:t xml:space="preserve"> determinó </w:t>
      </w:r>
      <w:r>
        <w:rPr>
          <w:rFonts w:ascii="Palatino Linotype" w:eastAsia="Times New Roman" w:hAnsi="Palatino Linotype" w:cs="Arial"/>
          <w:b/>
          <w:bCs/>
          <w:iCs/>
        </w:rPr>
        <w:t>arbitrariamente</w:t>
      </w:r>
      <w:r>
        <w:rPr>
          <w:rFonts w:ascii="Palatino Linotype" w:eastAsia="Times New Roman" w:hAnsi="Palatino Linotype" w:cs="Arial"/>
          <w:bCs/>
          <w:iCs/>
        </w:rPr>
        <w:t xml:space="preserve"> cambiar la modalidad de entrega a Consulta Directa.</w:t>
      </w:r>
    </w:p>
    <w:p w14:paraId="2E133239" w14:textId="77777777" w:rsidR="00232110" w:rsidRDefault="00232110" w:rsidP="00232110">
      <w:pPr>
        <w:pStyle w:val="Prrafodelista"/>
        <w:tabs>
          <w:tab w:val="left" w:pos="426"/>
        </w:tabs>
        <w:spacing w:before="240" w:after="240" w:line="360" w:lineRule="auto"/>
        <w:ind w:left="0" w:right="51"/>
        <w:jc w:val="both"/>
        <w:rPr>
          <w:rFonts w:ascii="Palatino Linotype" w:hAnsi="Palatino Linotype"/>
          <w:color w:val="000000" w:themeColor="text1"/>
        </w:rPr>
      </w:pPr>
    </w:p>
    <w:p w14:paraId="741235D2" w14:textId="41F5B2B1" w:rsidR="00232110" w:rsidRDefault="00D67B28"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 </w:t>
      </w:r>
      <w:r w:rsidRPr="00FA17C2">
        <w:rPr>
          <w:rFonts w:ascii="Palatino Linotype" w:eastAsia="Times New Roman" w:hAnsi="Palatino Linotype" w:cs="Arial"/>
          <w:bCs/>
          <w:iCs/>
        </w:rPr>
        <w:t xml:space="preserve">pesar de lo anterior, para mejor proveer, </w:t>
      </w:r>
      <w:r w:rsidR="00566BC5">
        <w:rPr>
          <w:rFonts w:ascii="Palatino Linotype" w:eastAsia="Times New Roman" w:hAnsi="Palatino Linotype" w:cs="Arial"/>
          <w:bCs/>
          <w:iCs/>
        </w:rPr>
        <w:t>este Órgano Garante</w:t>
      </w:r>
      <w:r w:rsidRPr="00FA17C2">
        <w:rPr>
          <w:rFonts w:ascii="Palatino Linotype" w:eastAsia="Times New Roman" w:hAnsi="Palatino Linotype" w:cs="Arial"/>
          <w:bCs/>
          <w:iCs/>
        </w:rPr>
        <w:t xml:space="preserve"> se acercó a la Dirección de Informática del propio Instituto de Transparencia, Acceso a la Información Pública y Protección de Datos Personales del Estado de México y Municipios, a efecto de comprobar si existía algún reporte de incidencia manifestado por el </w:t>
      </w:r>
      <w:r w:rsidRPr="00FA17C2">
        <w:rPr>
          <w:rFonts w:ascii="Palatino Linotype" w:eastAsia="Times New Roman" w:hAnsi="Palatino Linotype" w:cs="Arial"/>
          <w:b/>
          <w:bCs/>
          <w:iCs/>
        </w:rPr>
        <w:t>SUJETO OBLIGADO</w:t>
      </w:r>
      <w:r w:rsidRPr="00FA17C2">
        <w:rPr>
          <w:rFonts w:ascii="Palatino Linotype" w:eastAsia="Times New Roman" w:hAnsi="Palatino Linotype" w:cs="Arial"/>
          <w:bCs/>
          <w:iCs/>
        </w:rPr>
        <w:t xml:space="preserve"> que comunicara alguna dificultad o imposibilidad para entregar los archivos al particular vía SAIMEX; sin embargo, </w:t>
      </w:r>
      <w:r w:rsidRPr="00FA17C2">
        <w:rPr>
          <w:rFonts w:ascii="Palatino Linotype" w:eastAsia="Times New Roman" w:hAnsi="Palatino Linotype" w:cs="Arial"/>
          <w:b/>
          <w:iCs/>
        </w:rPr>
        <w:t xml:space="preserve">no se cuenta con ningún reporte, oficio de comunicación o soporte </w:t>
      </w:r>
      <w:r w:rsidR="00A4217B">
        <w:rPr>
          <w:rFonts w:ascii="Palatino Linotype" w:eastAsia="Times New Roman" w:hAnsi="Palatino Linotype" w:cs="Arial"/>
          <w:b/>
          <w:iCs/>
        </w:rPr>
        <w:t>de la Comisión de Conciliación y Arbitraje del Estado de México</w:t>
      </w:r>
      <w:r w:rsidRPr="00FA17C2">
        <w:rPr>
          <w:rFonts w:ascii="Palatino Linotype" w:eastAsia="Times New Roman" w:hAnsi="Palatino Linotype" w:cs="Arial"/>
          <w:b/>
          <w:iCs/>
        </w:rPr>
        <w:t xml:space="preserve"> que acredite las razones por las que no puede entregar la información vía digital</w:t>
      </w:r>
      <w:r w:rsidR="00A4217B">
        <w:rPr>
          <w:rFonts w:ascii="Palatino Linotype" w:eastAsia="Times New Roman" w:hAnsi="Palatino Linotype" w:cs="Arial"/>
          <w:bCs/>
          <w:iCs/>
        </w:rPr>
        <w:t>. Se adjunta</w:t>
      </w:r>
      <w:r w:rsidRPr="00FA17C2">
        <w:rPr>
          <w:rFonts w:ascii="Palatino Linotype" w:eastAsia="Times New Roman" w:hAnsi="Palatino Linotype" w:cs="Arial"/>
          <w:bCs/>
          <w:iCs/>
        </w:rPr>
        <w:t xml:space="preserve"> a continuación </w:t>
      </w:r>
      <w:r w:rsidR="00A4217B">
        <w:rPr>
          <w:rFonts w:ascii="Palatino Linotype" w:eastAsia="Times New Roman" w:hAnsi="Palatino Linotype" w:cs="Arial"/>
          <w:bCs/>
          <w:iCs/>
        </w:rPr>
        <w:t>el fragmento del correo enviado por la Dirección de Informática, por el que se señala que no existe ningún registro de incidencia</w:t>
      </w:r>
      <w:r w:rsidRPr="00FA17C2">
        <w:rPr>
          <w:rFonts w:ascii="Palatino Linotype" w:eastAsia="Times New Roman" w:hAnsi="Palatino Linotype" w:cs="Arial"/>
          <w:bCs/>
          <w:iCs/>
        </w:rPr>
        <w:t>:</w:t>
      </w:r>
    </w:p>
    <w:p w14:paraId="317A70CD" w14:textId="77777777" w:rsidR="00232110" w:rsidRDefault="00232110" w:rsidP="00A4217B">
      <w:pPr>
        <w:pStyle w:val="Prrafodelista"/>
        <w:tabs>
          <w:tab w:val="left" w:pos="426"/>
        </w:tabs>
        <w:spacing w:before="240" w:line="360" w:lineRule="auto"/>
        <w:ind w:left="0" w:right="51"/>
        <w:jc w:val="both"/>
        <w:rPr>
          <w:rFonts w:ascii="Palatino Linotype" w:hAnsi="Palatino Linotype"/>
          <w:color w:val="000000" w:themeColor="text1"/>
        </w:rPr>
      </w:pPr>
    </w:p>
    <w:p w14:paraId="47CC184C" w14:textId="5ADAF4BE" w:rsidR="00A4217B" w:rsidRDefault="00C465BE" w:rsidP="00A4217B">
      <w:pPr>
        <w:pStyle w:val="Prrafodelista"/>
        <w:tabs>
          <w:tab w:val="left" w:pos="426"/>
        </w:tabs>
        <w:spacing w:before="240" w:after="240" w:line="360" w:lineRule="auto"/>
        <w:ind w:left="0" w:right="51"/>
        <w:jc w:val="center"/>
        <w:rPr>
          <w:rFonts w:ascii="Palatino Linotype" w:hAnsi="Palatino Linotype"/>
          <w:color w:val="000000" w:themeColor="text1"/>
        </w:rPr>
      </w:pPr>
      <w:r>
        <w:rPr>
          <w:noProof/>
          <w:lang w:eastAsia="es-MX"/>
        </w:rPr>
        <mc:AlternateContent>
          <mc:Choice Requires="wps">
            <w:drawing>
              <wp:anchor distT="0" distB="0" distL="114300" distR="114300" simplePos="0" relativeHeight="251664384" behindDoc="0" locked="0" layoutInCell="1" allowOverlap="1" wp14:anchorId="1CEC0913" wp14:editId="33810536">
                <wp:simplePos x="0" y="0"/>
                <wp:positionH relativeFrom="column">
                  <wp:posOffset>1540235</wp:posOffset>
                </wp:positionH>
                <wp:positionV relativeFrom="paragraph">
                  <wp:posOffset>417982</wp:posOffset>
                </wp:positionV>
                <wp:extent cx="3098042" cy="13647"/>
                <wp:effectExtent l="38100" t="38100" r="64770" b="81915"/>
                <wp:wrapNone/>
                <wp:docPr id="7" name="Conector recto 7"/>
                <wp:cNvGraphicFramePr/>
                <a:graphic xmlns:a="http://schemas.openxmlformats.org/drawingml/2006/main">
                  <a:graphicData uri="http://schemas.microsoft.com/office/word/2010/wordprocessingShape">
                    <wps:wsp>
                      <wps:cNvCnPr/>
                      <wps:spPr>
                        <a:xfrm flipV="1">
                          <a:off x="0" y="0"/>
                          <a:ext cx="3098042" cy="13647"/>
                        </a:xfrm>
                        <a:prstGeom prst="line">
                          <a:avLst/>
                        </a:prstGeom>
                        <a:ln w="1270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9FFC51" id="Conector recto 7"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21.3pt,32.9pt" to="365.2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" strokecolor="red" strokeweight="1pt">
                <v:shadow on="t" color="black" opacity="24903f" origin=",.5" offset="0,.55556mm"/>
              </v:line>
            </w:pict>
          </mc:Fallback>
        </mc:AlternateContent>
      </w:r>
      <w:r w:rsidR="00A4217B">
        <w:rPr>
          <w:noProof/>
          <w:lang w:eastAsia="es-MX"/>
        </w:rPr>
        <w:drawing>
          <wp:inline distT="0" distB="0" distL="0" distR="0" wp14:anchorId="42E61A2E" wp14:editId="407CAFE3">
            <wp:extent cx="4813508" cy="1293261"/>
            <wp:effectExtent l="57150" t="57150" r="120650" b="1168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612" t="42682" r="5274" b="39972"/>
                    <a:stretch/>
                  </pic:blipFill>
                  <pic:spPr bwMode="auto">
                    <a:xfrm>
                      <a:off x="0" y="0"/>
                      <a:ext cx="4831658" cy="129813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BCD09AD" w14:textId="77777777" w:rsidR="00A4217B" w:rsidRDefault="00A4217B" w:rsidP="00232110">
      <w:pPr>
        <w:pStyle w:val="Prrafodelista"/>
        <w:tabs>
          <w:tab w:val="left" w:pos="426"/>
        </w:tabs>
        <w:spacing w:before="240" w:after="240" w:line="360" w:lineRule="auto"/>
        <w:ind w:left="0" w:right="51"/>
        <w:jc w:val="both"/>
        <w:rPr>
          <w:rFonts w:ascii="Palatino Linotype" w:hAnsi="Palatino Linotype"/>
          <w:color w:val="000000" w:themeColor="text1"/>
        </w:rPr>
      </w:pPr>
    </w:p>
    <w:p w14:paraId="7B5D507F" w14:textId="4CD61A0B" w:rsidR="00232110" w:rsidRPr="00B14ED7" w:rsidRDefault="00A4217B"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En </w:t>
      </w:r>
      <w:r w:rsidR="00B14ED7">
        <w:rPr>
          <w:rFonts w:ascii="Palatino Linotype" w:hAnsi="Palatino Linotype"/>
          <w:color w:val="000000" w:themeColor="text1"/>
        </w:rPr>
        <w:t>conclusión de lo anterior</w:t>
      </w:r>
      <w:r>
        <w:rPr>
          <w:rFonts w:ascii="Palatino Linotype" w:hAnsi="Palatino Linotype"/>
          <w:color w:val="000000" w:themeColor="text1"/>
        </w:rPr>
        <w:t xml:space="preserve">, </w:t>
      </w:r>
      <w:r w:rsidRPr="00044DB9">
        <w:rPr>
          <w:rFonts w:ascii="Palatino Linotype" w:eastAsia="Times New Roman" w:hAnsi="Palatino Linotype" w:cs="Arial"/>
          <w:bCs/>
          <w:iCs/>
        </w:rPr>
        <w:t xml:space="preserve">toda vez que el </w:t>
      </w:r>
      <w:r w:rsidRPr="00044DB9">
        <w:rPr>
          <w:rFonts w:ascii="Palatino Linotype" w:eastAsia="Times New Roman" w:hAnsi="Palatino Linotype" w:cs="Arial"/>
          <w:b/>
          <w:bCs/>
          <w:iCs/>
        </w:rPr>
        <w:t>SUJETO OBLIGADO</w:t>
      </w:r>
      <w:r w:rsidRPr="00044DB9">
        <w:rPr>
          <w:rFonts w:ascii="Palatino Linotype" w:eastAsia="Times New Roman" w:hAnsi="Palatino Linotype" w:cs="Arial"/>
          <w:bCs/>
          <w:iCs/>
        </w:rPr>
        <w:t xml:space="preserve"> fue omiso en señalar de manera puntual, detallada y precisa las razones por las que no puede entregar la información solicitada vía SAIMEX, </w:t>
      </w:r>
      <w:r w:rsidR="00566BC5">
        <w:rPr>
          <w:rFonts w:ascii="Palatino Linotype" w:eastAsia="Times New Roman" w:hAnsi="Palatino Linotype" w:cs="Arial"/>
          <w:b/>
          <w:iCs/>
        </w:rPr>
        <w:t>este Órgano Garante</w:t>
      </w:r>
      <w:r w:rsidRPr="00044DB9">
        <w:rPr>
          <w:rFonts w:ascii="Palatino Linotype" w:eastAsia="Times New Roman" w:hAnsi="Palatino Linotype" w:cs="Arial"/>
          <w:b/>
          <w:iCs/>
        </w:rPr>
        <w:t xml:space="preserve"> determina ajeno a toda legalidad la pretensión </w:t>
      </w:r>
      <w:r>
        <w:rPr>
          <w:rFonts w:ascii="Palatino Linotype" w:eastAsia="Times New Roman" w:hAnsi="Palatino Linotype" w:cs="Arial"/>
          <w:b/>
          <w:iCs/>
        </w:rPr>
        <w:t>de la Comisión de Conciliación y Arbitraje Médico del Estado de México</w:t>
      </w:r>
      <w:r w:rsidRPr="00044DB9">
        <w:rPr>
          <w:rFonts w:ascii="Palatino Linotype" w:eastAsia="Times New Roman" w:hAnsi="Palatino Linotype" w:cs="Arial"/>
          <w:b/>
          <w:iCs/>
        </w:rPr>
        <w:t xml:space="preserve"> de cambiar la modalidad de entrega a vía </w:t>
      </w:r>
      <w:r w:rsidRPr="00044DB9">
        <w:rPr>
          <w:rFonts w:ascii="Palatino Linotype" w:eastAsia="Times New Roman" w:hAnsi="Palatino Linotype" w:cs="Arial"/>
          <w:b/>
          <w:i/>
          <w:iCs/>
        </w:rPr>
        <w:t>in situ</w:t>
      </w:r>
      <w:r w:rsidRPr="00044DB9">
        <w:rPr>
          <w:rFonts w:ascii="Palatino Linotype" w:eastAsia="Times New Roman" w:hAnsi="Palatino Linotype" w:cs="Arial"/>
          <w:b/>
          <w:iCs/>
        </w:rPr>
        <w:t xml:space="preserve"> o consulta directa</w:t>
      </w:r>
      <w:r w:rsidR="00B14ED7">
        <w:rPr>
          <w:rFonts w:ascii="Palatino Linotype" w:eastAsia="Times New Roman" w:hAnsi="Palatino Linotype" w:cs="Arial"/>
          <w:bCs/>
          <w:iCs/>
        </w:rPr>
        <w:t xml:space="preserve">; por lo tanto, deberá entregar el expediente formado número </w:t>
      </w:r>
      <w:r w:rsidR="00B14ED7" w:rsidRPr="00B14ED7">
        <w:rPr>
          <w:rFonts w:ascii="Palatino Linotype" w:eastAsia="Times New Roman" w:hAnsi="Palatino Linotype" w:cs="Arial"/>
          <w:bCs/>
          <w:iCs/>
        </w:rPr>
        <w:t>CCAMEM/TOL/D/1218/2019</w:t>
      </w:r>
      <w:r w:rsidR="00B14ED7">
        <w:rPr>
          <w:rFonts w:ascii="Palatino Linotype" w:eastAsia="Times New Roman" w:hAnsi="Palatino Linotype" w:cs="Arial"/>
          <w:bCs/>
          <w:iCs/>
        </w:rPr>
        <w:t xml:space="preserve"> en versión pública, y bajo la modalidad originalmente señalada por el </w:t>
      </w:r>
      <w:r w:rsidR="00B14ED7">
        <w:rPr>
          <w:rFonts w:ascii="Palatino Linotype" w:eastAsia="Times New Roman" w:hAnsi="Palatino Linotype" w:cs="Arial"/>
          <w:b/>
          <w:bCs/>
          <w:iCs/>
        </w:rPr>
        <w:t>RECURRENTE</w:t>
      </w:r>
      <w:r w:rsidR="00B14ED7">
        <w:rPr>
          <w:rFonts w:ascii="Palatino Linotype" w:eastAsia="Times New Roman" w:hAnsi="Palatino Linotype" w:cs="Arial"/>
          <w:bCs/>
          <w:iCs/>
        </w:rPr>
        <w:t xml:space="preserve"> en su solicitud inicial, esto es, </w:t>
      </w:r>
      <w:r w:rsidR="00B14ED7">
        <w:rPr>
          <w:rFonts w:ascii="Palatino Linotype" w:eastAsia="Times New Roman" w:hAnsi="Palatino Linotype" w:cs="Arial"/>
          <w:b/>
          <w:bCs/>
          <w:iCs/>
        </w:rPr>
        <w:t>a través del SAIMEX</w:t>
      </w:r>
      <w:r w:rsidR="00B14ED7">
        <w:rPr>
          <w:rFonts w:ascii="Palatino Linotype" w:eastAsia="Times New Roman" w:hAnsi="Palatino Linotype" w:cs="Arial"/>
          <w:bCs/>
          <w:iCs/>
        </w:rPr>
        <w:t>.</w:t>
      </w:r>
    </w:p>
    <w:p w14:paraId="414635E0" w14:textId="77777777" w:rsidR="00232110" w:rsidRDefault="00232110" w:rsidP="00232110">
      <w:pPr>
        <w:pStyle w:val="Prrafodelista"/>
        <w:tabs>
          <w:tab w:val="left" w:pos="426"/>
        </w:tabs>
        <w:spacing w:before="240" w:after="240" w:line="360" w:lineRule="auto"/>
        <w:ind w:left="0" w:right="51"/>
        <w:jc w:val="both"/>
        <w:rPr>
          <w:rFonts w:ascii="Palatino Linotype" w:hAnsi="Palatino Linotype"/>
          <w:color w:val="000000" w:themeColor="text1"/>
        </w:rPr>
      </w:pPr>
    </w:p>
    <w:p w14:paraId="00A6CE4F" w14:textId="5DC157FE" w:rsidR="00232110" w:rsidRDefault="006A4617"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No </w:t>
      </w:r>
      <w:r>
        <w:rPr>
          <w:rFonts w:ascii="Palatino Linotype" w:eastAsia="Calibri" w:hAnsi="Palatino Linotype"/>
          <w:lang w:eastAsia="en-US"/>
        </w:rPr>
        <w:t xml:space="preserve">se omite comentar que, de ser el caso de que el expediente </w:t>
      </w:r>
      <w:r w:rsidRPr="00B14ED7">
        <w:rPr>
          <w:rFonts w:ascii="Palatino Linotype" w:eastAsia="Times New Roman" w:hAnsi="Palatino Linotype" w:cs="Arial"/>
          <w:bCs/>
          <w:iCs/>
        </w:rPr>
        <w:t>CCAMEM/TOL/D/1218/2019</w:t>
      </w:r>
      <w:r w:rsidR="001C7733">
        <w:rPr>
          <w:rFonts w:ascii="Palatino Linotype" w:eastAsia="Times New Roman" w:hAnsi="Palatino Linotype" w:cs="Arial"/>
          <w:bCs/>
          <w:iCs/>
        </w:rPr>
        <w:t xml:space="preserve"> esté</w:t>
      </w:r>
      <w:r>
        <w:rPr>
          <w:rFonts w:ascii="Palatino Linotype" w:eastAsia="Calibri" w:hAnsi="Palatino Linotype"/>
          <w:lang w:eastAsia="en-US"/>
        </w:rPr>
        <w:t xml:space="preserve"> totalmente concluido</w:t>
      </w:r>
      <w:r w:rsidR="001C7733">
        <w:rPr>
          <w:rFonts w:ascii="Palatino Linotype" w:eastAsia="Calibri" w:hAnsi="Palatino Linotype"/>
          <w:lang w:eastAsia="en-US"/>
        </w:rPr>
        <w:t>,</w:t>
      </w:r>
      <w:r>
        <w:rPr>
          <w:rFonts w:ascii="Palatino Linotype" w:eastAsia="Calibri" w:hAnsi="Palatino Linotype"/>
          <w:lang w:eastAsia="en-US"/>
        </w:rPr>
        <w:t xml:space="preserve"> podrá entregarse en versión pública en términos de lo señalado por el </w:t>
      </w:r>
      <w:r w:rsidR="001C7733">
        <w:rPr>
          <w:rFonts w:ascii="Palatino Linotype" w:eastAsia="Calibri" w:hAnsi="Palatino Linotype"/>
          <w:lang w:eastAsia="en-US"/>
        </w:rPr>
        <w:t xml:space="preserve">Considerando Quinto </w:t>
      </w:r>
      <w:r>
        <w:rPr>
          <w:rFonts w:ascii="Palatino Linotype" w:eastAsia="Calibri" w:hAnsi="Palatino Linotype"/>
          <w:lang w:eastAsia="en-US"/>
        </w:rPr>
        <w:t>de</w:t>
      </w:r>
      <w:r w:rsidR="001C7733">
        <w:rPr>
          <w:rFonts w:ascii="Palatino Linotype" w:eastAsia="Calibri" w:hAnsi="Palatino Linotype"/>
          <w:lang w:eastAsia="en-US"/>
        </w:rPr>
        <w:t xml:space="preserve"> </w:t>
      </w:r>
      <w:r>
        <w:rPr>
          <w:rFonts w:ascii="Palatino Linotype" w:eastAsia="Calibri" w:hAnsi="Palatino Linotype"/>
          <w:lang w:eastAsia="en-US"/>
        </w:rPr>
        <w:t>l</w:t>
      </w:r>
      <w:r w:rsidR="001C7733">
        <w:rPr>
          <w:rFonts w:ascii="Palatino Linotype" w:eastAsia="Calibri" w:hAnsi="Palatino Linotype"/>
          <w:lang w:eastAsia="en-US"/>
        </w:rPr>
        <w:t>a presente resolución;</w:t>
      </w:r>
      <w:r>
        <w:rPr>
          <w:rFonts w:ascii="Palatino Linotype" w:eastAsia="Calibri" w:hAnsi="Palatino Linotype"/>
          <w:lang w:eastAsia="en-US"/>
        </w:rPr>
        <w:t xml:space="preserve"> con la excepción que dentro de dicho expediente obren documentos que</w:t>
      </w:r>
      <w:r w:rsidR="001C7733">
        <w:rPr>
          <w:rFonts w:ascii="Palatino Linotype" w:eastAsia="Calibri" w:hAnsi="Palatino Linotype"/>
          <w:lang w:eastAsia="en-US"/>
        </w:rPr>
        <w:t>,</w:t>
      </w:r>
      <w:r>
        <w:rPr>
          <w:rFonts w:ascii="Palatino Linotype" w:eastAsia="Calibri" w:hAnsi="Palatino Linotype"/>
          <w:lang w:eastAsia="en-US"/>
        </w:rPr>
        <w:t xml:space="preserve"> por su propia naturaleza</w:t>
      </w:r>
      <w:r w:rsidR="001C7733">
        <w:rPr>
          <w:rFonts w:ascii="Palatino Linotype" w:eastAsia="Calibri" w:hAnsi="Palatino Linotype"/>
          <w:lang w:eastAsia="en-US"/>
        </w:rPr>
        <w:t>,</w:t>
      </w:r>
      <w:r>
        <w:rPr>
          <w:rFonts w:ascii="Palatino Linotype" w:eastAsia="Calibri" w:hAnsi="Palatino Linotype"/>
          <w:lang w:eastAsia="en-US"/>
        </w:rPr>
        <w:t xml:space="preserve"> </w:t>
      </w:r>
      <w:r>
        <w:rPr>
          <w:rFonts w:ascii="Palatino Linotype" w:hAnsi="Palatino Linotype" w:cs="Arial"/>
        </w:rPr>
        <w:t xml:space="preserve">se deban clasificar en su totalidad como confidenciales, </w:t>
      </w:r>
      <w:r w:rsidR="001C7733">
        <w:rPr>
          <w:rFonts w:ascii="Palatino Linotype" w:hAnsi="Palatino Linotype" w:cs="Arial"/>
        </w:rPr>
        <w:t xml:space="preserve">sobre los cuales el </w:t>
      </w:r>
      <w:r w:rsidR="001C7733">
        <w:rPr>
          <w:rFonts w:ascii="Palatino Linotype" w:hAnsi="Palatino Linotype" w:cs="Arial"/>
          <w:b/>
        </w:rPr>
        <w:t>SUJETO OBLIGADO</w:t>
      </w:r>
      <w:r w:rsidR="001C7733">
        <w:rPr>
          <w:rFonts w:ascii="Palatino Linotype" w:hAnsi="Palatino Linotype" w:cs="Arial"/>
        </w:rPr>
        <w:t xml:space="preserve"> deberá atender </w:t>
      </w:r>
      <w:r>
        <w:rPr>
          <w:rFonts w:ascii="Palatino Linotype" w:hAnsi="Palatino Linotype" w:cs="Arial"/>
        </w:rPr>
        <w:t xml:space="preserve">lo señalado por el </w:t>
      </w:r>
      <w:r w:rsidR="001C7733">
        <w:rPr>
          <w:rFonts w:ascii="Palatino Linotype" w:hAnsi="Palatino Linotype" w:cs="Arial"/>
        </w:rPr>
        <w:t xml:space="preserve">Considerando </w:t>
      </w:r>
      <w:r>
        <w:rPr>
          <w:rFonts w:ascii="Palatino Linotype" w:hAnsi="Palatino Linotype" w:cs="Arial"/>
        </w:rPr>
        <w:t>alusivo.</w:t>
      </w:r>
    </w:p>
    <w:p w14:paraId="3D8D9E34" w14:textId="77777777" w:rsidR="00232110" w:rsidRDefault="00232110" w:rsidP="00232110">
      <w:pPr>
        <w:pStyle w:val="Prrafodelista"/>
        <w:tabs>
          <w:tab w:val="left" w:pos="426"/>
        </w:tabs>
        <w:spacing w:before="240" w:after="240" w:line="360" w:lineRule="auto"/>
        <w:ind w:left="0" w:right="51"/>
        <w:jc w:val="both"/>
        <w:rPr>
          <w:rFonts w:ascii="Palatino Linotype" w:hAnsi="Palatino Linotype"/>
          <w:color w:val="000000" w:themeColor="text1"/>
        </w:rPr>
      </w:pPr>
    </w:p>
    <w:p w14:paraId="2CA83817" w14:textId="0B253A32" w:rsidR="00F15794" w:rsidRDefault="00C465BE" w:rsidP="00F157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i/>
          <w:color w:val="000000" w:themeColor="text1"/>
        </w:rPr>
        <w:t>A c</w:t>
      </w:r>
      <w:r w:rsidR="001C7733">
        <w:rPr>
          <w:rFonts w:ascii="Palatino Linotype" w:hAnsi="Palatino Linotype"/>
          <w:i/>
          <w:color w:val="000000" w:themeColor="text1"/>
        </w:rPr>
        <w:t>ontrario sensu</w:t>
      </w:r>
      <w:r w:rsidR="001C7733">
        <w:rPr>
          <w:rFonts w:ascii="Palatino Linotype" w:hAnsi="Palatino Linotype"/>
          <w:color w:val="000000" w:themeColor="text1"/>
        </w:rPr>
        <w:t xml:space="preserve">, de ser </w:t>
      </w:r>
      <w:r w:rsidR="001C7733">
        <w:rPr>
          <w:rFonts w:ascii="Palatino Linotype" w:hAnsi="Palatino Linotype" w:cs="Arial"/>
        </w:rPr>
        <w:t xml:space="preserve">el caso del que el expediente de mérito aún se encuentre en trámite y no haya recibido un laudo o sentencia firme, deberá demostrarse la acreditación de la causal de reserva correspondiente y prevista en el artículo 140 de la </w:t>
      </w:r>
      <w:r w:rsidR="001C7733" w:rsidRPr="00255CC3">
        <w:rPr>
          <w:rFonts w:ascii="Palatino Linotype" w:hAnsi="Palatino Linotype" w:cs="Arial"/>
        </w:rPr>
        <w:t>Ley de Transparencia y Acceso a la Información Pública del Estado de México y Municipios</w:t>
      </w:r>
      <w:r w:rsidR="001C7733">
        <w:rPr>
          <w:rFonts w:ascii="Palatino Linotype" w:hAnsi="Palatino Linotype" w:cs="Arial"/>
        </w:rPr>
        <w:t xml:space="preserve">, fundada y motivada mediante la aplicación de la prueba de daño, conforme al acuerdo aprobado por el Comité de Transparencia del </w:t>
      </w:r>
      <w:r w:rsidR="001C7733" w:rsidRPr="001C7733">
        <w:rPr>
          <w:rFonts w:ascii="Palatino Linotype" w:hAnsi="Palatino Linotype" w:cs="Arial"/>
          <w:b/>
        </w:rPr>
        <w:t xml:space="preserve">SUJETO </w:t>
      </w:r>
      <w:r w:rsidR="001C7733" w:rsidRPr="001C7733">
        <w:rPr>
          <w:rFonts w:ascii="Palatino Linotype" w:hAnsi="Palatino Linotype" w:cs="Arial"/>
          <w:b/>
        </w:rPr>
        <w:lastRenderedPageBreak/>
        <w:t>OBLIGADO</w:t>
      </w:r>
      <w:r w:rsidR="001C7733">
        <w:rPr>
          <w:rFonts w:ascii="Palatino Linotype" w:hAnsi="Palatino Linotype" w:cs="Arial"/>
          <w:b/>
        </w:rPr>
        <w:t>;</w:t>
      </w:r>
      <w:r w:rsidR="001C7733">
        <w:rPr>
          <w:rFonts w:ascii="Palatino Linotype" w:hAnsi="Palatino Linotype" w:cs="Arial"/>
        </w:rPr>
        <w:t xml:space="preserve"> lo anterior en términos de los artículos 49, fracciones II y VIII </w:t>
      </w:r>
      <w:r w:rsidR="001C7733" w:rsidRPr="008048B1">
        <w:rPr>
          <w:rFonts w:ascii="Palatino Linotype" w:hAnsi="Palatino Linotype" w:cs="Arial"/>
        </w:rPr>
        <w:t xml:space="preserve">y 141 de la Ley de </w:t>
      </w:r>
      <w:r w:rsidR="001C7733">
        <w:rPr>
          <w:rFonts w:ascii="Palatino Linotype" w:hAnsi="Palatino Linotype" w:cs="Arial"/>
        </w:rPr>
        <w:t>la Materia.</w:t>
      </w:r>
    </w:p>
    <w:p w14:paraId="7CFB03D5" w14:textId="77777777" w:rsidR="00232110" w:rsidRDefault="00232110" w:rsidP="00232110">
      <w:pPr>
        <w:pStyle w:val="Prrafodelista"/>
        <w:tabs>
          <w:tab w:val="left" w:pos="426"/>
        </w:tabs>
        <w:spacing w:before="240" w:after="240" w:line="360" w:lineRule="auto"/>
        <w:ind w:left="0" w:right="51"/>
        <w:jc w:val="both"/>
        <w:rPr>
          <w:rFonts w:ascii="Palatino Linotype" w:hAnsi="Palatino Linotype"/>
          <w:color w:val="000000" w:themeColor="text1"/>
        </w:rPr>
      </w:pPr>
    </w:p>
    <w:p w14:paraId="5102F5EC" w14:textId="3CF0CBCD" w:rsidR="00232110" w:rsidRDefault="001C7733"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Finalmente, </w:t>
      </w:r>
      <w:r>
        <w:rPr>
          <w:rFonts w:ascii="Palatino Linotype" w:hAnsi="Palatino Linotype" w:cs="Arial"/>
        </w:rPr>
        <w:t xml:space="preserve">sobre los motivos de inconformidad esgrimidos por el particular en los recursos de revisión </w:t>
      </w:r>
      <w:r>
        <w:rPr>
          <w:rFonts w:ascii="Palatino Linotype" w:hAnsi="Palatino Linotype" w:cs="Arial"/>
          <w:b/>
        </w:rPr>
        <w:t>04343/INFOEM/IP/RR/2021</w:t>
      </w:r>
      <w:r>
        <w:rPr>
          <w:rFonts w:ascii="Palatino Linotype" w:hAnsi="Palatino Linotype" w:cs="Arial"/>
        </w:rPr>
        <w:t xml:space="preserve"> y </w:t>
      </w:r>
      <w:r>
        <w:rPr>
          <w:rFonts w:ascii="Palatino Linotype" w:hAnsi="Palatino Linotype" w:cs="Arial"/>
          <w:b/>
        </w:rPr>
        <w:t>04344/INFOEM/IP/RR/2021</w:t>
      </w:r>
      <w:r>
        <w:rPr>
          <w:rFonts w:ascii="Palatino Linotype" w:hAnsi="Palatino Linotype" w:cs="Arial"/>
        </w:rPr>
        <w:t xml:space="preserve"> en donde señala: </w:t>
      </w:r>
      <w:r w:rsidRPr="00F30EDB">
        <w:rPr>
          <w:rFonts w:ascii="Palatino Linotype" w:hAnsi="Palatino Linotype" w:cs="Arial"/>
        </w:rPr>
        <w:t>“</w:t>
      </w:r>
      <w:r w:rsidRPr="00F30EDB">
        <w:rPr>
          <w:rFonts w:ascii="Palatino Linotype" w:hAnsi="Palatino Linotype"/>
          <w:i/>
          <w:color w:val="000000"/>
        </w:rPr>
        <w:t>solicitamos dar vista a la Contraloría Interna del Gobierno del Estado de México, para proceda a la investigación del ocultamiento doloso de la información, para evitar esta práctica reiterada del titular de la unidad de enl</w:t>
      </w:r>
      <w:r>
        <w:rPr>
          <w:rFonts w:ascii="Palatino Linotype" w:hAnsi="Palatino Linotype"/>
          <w:i/>
          <w:color w:val="000000"/>
        </w:rPr>
        <w:t xml:space="preserve">ace, </w:t>
      </w:r>
      <w:r>
        <w:rPr>
          <w:rFonts w:ascii="Palatino Linotype" w:hAnsi="Palatino Linotype"/>
          <w:color w:val="000000"/>
        </w:rPr>
        <w:t xml:space="preserve">es necesario señalar que el recurso de revisión en materia de acceso a la información pública no es la vía para interponer quejas y/o denuncias ante la Contraloría del Estado de México, al existir herramientas y trámites específicos destinados para ello; por lo tanto, se dejan a salvo los derechos del </w:t>
      </w:r>
      <w:r>
        <w:rPr>
          <w:rFonts w:ascii="Palatino Linotype" w:hAnsi="Palatino Linotype"/>
          <w:b/>
          <w:color w:val="000000"/>
        </w:rPr>
        <w:t>RECURRENTE</w:t>
      </w:r>
      <w:r>
        <w:rPr>
          <w:rFonts w:ascii="Palatino Linotype" w:hAnsi="Palatino Linotype"/>
          <w:color w:val="000000"/>
        </w:rPr>
        <w:t xml:space="preserve"> para que, de considerarlo conveniente, interponga su inconformidad ante las instancias competentes.</w:t>
      </w:r>
    </w:p>
    <w:p w14:paraId="03351C41" w14:textId="77777777" w:rsidR="004638FA" w:rsidRDefault="004638FA" w:rsidP="004638FA">
      <w:pPr>
        <w:pStyle w:val="Prrafodelista"/>
        <w:tabs>
          <w:tab w:val="left" w:pos="426"/>
        </w:tabs>
        <w:spacing w:before="240" w:after="240" w:line="360" w:lineRule="auto"/>
        <w:ind w:left="0" w:right="51"/>
        <w:jc w:val="both"/>
        <w:rPr>
          <w:rFonts w:ascii="Palatino Linotype" w:hAnsi="Palatino Linotype"/>
          <w:color w:val="000000" w:themeColor="text1"/>
        </w:rPr>
      </w:pPr>
    </w:p>
    <w:p w14:paraId="6A033E6E" w14:textId="77777777" w:rsidR="004638FA" w:rsidRPr="00165DC8" w:rsidRDefault="004638FA" w:rsidP="004638FA">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bookmarkStart w:id="34" w:name="_Toc88071789"/>
      <w:r>
        <w:rPr>
          <w:rFonts w:ascii="Palatino Linotype" w:hAnsi="Palatino Linotype"/>
          <w:b/>
          <w:color w:val="000000" w:themeColor="text1"/>
        </w:rPr>
        <w:t>QUINTO. De la versión pública.</w:t>
      </w:r>
      <w:bookmarkEnd w:id="34"/>
    </w:p>
    <w:p w14:paraId="056C2923" w14:textId="77777777" w:rsidR="004638FA" w:rsidRDefault="004638FA" w:rsidP="004638FA">
      <w:pPr>
        <w:pStyle w:val="Prrafodelista"/>
        <w:tabs>
          <w:tab w:val="left" w:pos="426"/>
        </w:tabs>
        <w:spacing w:before="240" w:after="240" w:line="360" w:lineRule="auto"/>
        <w:ind w:left="0" w:right="51"/>
        <w:jc w:val="both"/>
        <w:rPr>
          <w:rFonts w:ascii="Palatino Linotype" w:hAnsi="Palatino Linotype"/>
          <w:color w:val="000000" w:themeColor="text1"/>
        </w:rPr>
      </w:pPr>
    </w:p>
    <w:p w14:paraId="398AB753" w14:textId="5B1A1798" w:rsidR="00165DC8" w:rsidRDefault="004638FA"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Debe </w:t>
      </w:r>
      <w:r w:rsidRPr="004638FA">
        <w:rPr>
          <w:rFonts w:ascii="Palatino Linotype" w:hAnsi="Palatino Linotype"/>
          <w:color w:val="000000" w:themeColor="text1"/>
        </w:rPr>
        <w:t xml:space="preserve">destacarse que, debido a la naturaleza de la información solicitada, eventualmente pudiera obrar datos personales susceptibles de protegerse, el </w:t>
      </w:r>
      <w:r w:rsidRPr="004638FA">
        <w:rPr>
          <w:rFonts w:ascii="Palatino Linotype" w:hAnsi="Palatino Linotype"/>
          <w:b/>
          <w:color w:val="000000" w:themeColor="text1"/>
        </w:rPr>
        <w:t>SUJETO OBLIGADO</w:t>
      </w:r>
      <w:r w:rsidRPr="004638FA">
        <w:rPr>
          <w:rFonts w:ascii="Palatino Linotype" w:hAnsi="Palatino Linotype"/>
          <w:color w:val="000000" w:themeColor="text1"/>
        </w:rPr>
        <w:t xml:space="preserve"> deberá de hacer la adecuada versión pública, protegiendo los datos que no son susceptibles de ser proporcionados.</w:t>
      </w:r>
    </w:p>
    <w:p w14:paraId="5818746B" w14:textId="77777777" w:rsidR="004638FA" w:rsidRDefault="004638FA" w:rsidP="004638FA">
      <w:pPr>
        <w:pStyle w:val="Prrafodelista"/>
        <w:tabs>
          <w:tab w:val="left" w:pos="426"/>
        </w:tabs>
        <w:spacing w:before="240" w:after="240" w:line="360" w:lineRule="auto"/>
        <w:ind w:left="0" w:right="51"/>
        <w:jc w:val="both"/>
        <w:rPr>
          <w:rFonts w:ascii="Palatino Linotype" w:hAnsi="Palatino Linotype"/>
          <w:color w:val="000000" w:themeColor="text1"/>
        </w:rPr>
      </w:pPr>
    </w:p>
    <w:p w14:paraId="6ED412C2" w14:textId="779BA8EB" w:rsidR="004638FA" w:rsidRDefault="00094B41"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No es ocioso mencionar que </w:t>
      </w:r>
      <w:r w:rsidRPr="005D50F9">
        <w:rPr>
          <w:rFonts w:ascii="Palatino Linotype" w:hAnsi="Palatino Linotype" w:cs="Arial"/>
          <w:color w:val="000000"/>
        </w:rPr>
        <w:t xml:space="preserve">los </w:t>
      </w:r>
      <w:r w:rsidRPr="00094B41">
        <w:rPr>
          <w:rFonts w:ascii="Palatino Linotype" w:hAnsi="Palatino Linotype" w:cs="Arial"/>
          <w:b/>
          <w:bCs/>
          <w:color w:val="000000"/>
        </w:rPr>
        <w:t>SUJETOS OBLIGADOS</w:t>
      </w:r>
      <w:r w:rsidRPr="005D50F9">
        <w:rPr>
          <w:rFonts w:ascii="Palatino Linotype" w:hAnsi="Palatino Linotype" w:cs="Arial"/>
          <w:b/>
          <w:bCs/>
          <w:color w:val="000000"/>
        </w:rPr>
        <w:t xml:space="preserve"> </w:t>
      </w:r>
      <w:r w:rsidRPr="005D50F9">
        <w:rPr>
          <w:rFonts w:ascii="Palatino Linotype" w:hAnsi="Palatino Linotype" w:cs="Arial"/>
          <w:color w:val="000000"/>
        </w:rPr>
        <w:t xml:space="preserve">serán responsables de los datos personales en su posesión y que, en caso de localizarse datos concernientes </w:t>
      </w:r>
      <w:r w:rsidRPr="005D50F9">
        <w:rPr>
          <w:rFonts w:ascii="Palatino Linotype" w:hAnsi="Palatino Linotype" w:cs="Arial"/>
          <w:color w:val="000000"/>
        </w:rPr>
        <w:lastRenderedPageBreak/>
        <w:t>a terceros, éstos no podrán difundir, distribuir o comercializar</w:t>
      </w:r>
      <w:r>
        <w:rPr>
          <w:rFonts w:ascii="Palatino Linotype" w:hAnsi="Palatino Linotype" w:cs="Arial"/>
          <w:color w:val="000000"/>
        </w:rPr>
        <w:t>los</w:t>
      </w:r>
      <w:r w:rsidRPr="005D50F9">
        <w:rPr>
          <w:rFonts w:ascii="Palatino Linotype" w:hAnsi="Palatino Linotype" w:cs="Arial"/>
          <w:color w:val="000000"/>
        </w:rPr>
        <w:t xml:space="preserve">.  Cabe destacar que, para la realización de la clasificación de la información, se deben seguir una serie de pasos y procedimientos, </w:t>
      </w:r>
      <w:r>
        <w:rPr>
          <w:rFonts w:ascii="Palatino Linotype" w:hAnsi="Palatino Linotype" w:cs="Arial"/>
          <w:color w:val="000000"/>
        </w:rPr>
        <w:t xml:space="preserve">mismos que se han abordado en esencial en el Considerando anterior </w:t>
      </w:r>
      <w:r w:rsidRPr="005D50F9">
        <w:rPr>
          <w:rFonts w:ascii="Palatino Linotype" w:hAnsi="Palatino Linotype" w:cs="Arial"/>
          <w:color w:val="000000"/>
        </w:rPr>
        <w:t xml:space="preserve">por lo que </w:t>
      </w:r>
      <w:r>
        <w:rPr>
          <w:rFonts w:ascii="Palatino Linotype" w:hAnsi="Palatino Linotype" w:cs="Arial"/>
          <w:color w:val="000000"/>
        </w:rPr>
        <w:t>es procedente sintetizarlos de la siguiente manera</w:t>
      </w:r>
      <w:r w:rsidRPr="005D50F9">
        <w:rPr>
          <w:rFonts w:ascii="Palatino Linotype" w:hAnsi="Palatino Linotype" w:cs="Arial"/>
          <w:color w:val="000000"/>
        </w:rPr>
        <w:t>:</w:t>
      </w:r>
    </w:p>
    <w:p w14:paraId="3D370031" w14:textId="77777777" w:rsidR="004638FA" w:rsidRDefault="004638FA" w:rsidP="004638FA">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normal1"/>
        <w:tblW w:w="0" w:type="auto"/>
        <w:tblLook w:val="04A0" w:firstRow="1" w:lastRow="0" w:firstColumn="1" w:lastColumn="0" w:noHBand="0" w:noVBand="1"/>
      </w:tblPr>
      <w:tblGrid>
        <w:gridCol w:w="1838"/>
        <w:gridCol w:w="6990"/>
      </w:tblGrid>
      <w:tr w:rsidR="00094B41" w:rsidRPr="000D77A7" w14:paraId="7DEAFFAE" w14:textId="77777777" w:rsidTr="005B4B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C316FAD" w14:textId="77777777" w:rsidR="00094B41" w:rsidRPr="008A44D6" w:rsidRDefault="00094B41" w:rsidP="00AF615F">
            <w:pPr>
              <w:spacing w:line="276" w:lineRule="auto"/>
              <w:rPr>
                <w:rFonts w:ascii="Palatino Linotype" w:hAnsi="Palatino Linotype"/>
                <w:bCs w:val="0"/>
              </w:rPr>
            </w:pPr>
            <w:r w:rsidRPr="008A44D6">
              <w:rPr>
                <w:rFonts w:ascii="Palatino Linotype" w:hAnsi="Palatino Linotype" w:cstheme="majorBidi"/>
                <w:bCs w:val="0"/>
              </w:rPr>
              <w:t>a) Requisitos previos.</w:t>
            </w:r>
          </w:p>
        </w:tc>
        <w:tc>
          <w:tcPr>
            <w:tcW w:w="6990" w:type="dxa"/>
            <w:hideMark/>
          </w:tcPr>
          <w:p w14:paraId="6F961ACF" w14:textId="77777777" w:rsidR="00094B41" w:rsidRDefault="00094B41" w:rsidP="00AF615F">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9AD0048" w14:textId="77777777" w:rsidR="00AF615F" w:rsidRPr="008A44D6" w:rsidRDefault="00AF615F" w:rsidP="00AF615F">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p>
          <w:p w14:paraId="6C8F64AB" w14:textId="77777777" w:rsidR="00094B41" w:rsidRDefault="00094B41" w:rsidP="00AF615F">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Al hacerlo tienen que precisar de qué información se trata, señalando el supuesto de clasificación (confidencialidad o reserva).</w:t>
            </w:r>
          </w:p>
          <w:p w14:paraId="7CF0C15D" w14:textId="77777777" w:rsidR="00AF615F" w:rsidRPr="008A44D6" w:rsidRDefault="00AF615F" w:rsidP="00AF615F">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p>
          <w:p w14:paraId="5415DC7F" w14:textId="77777777" w:rsidR="00094B41" w:rsidRDefault="00094B41" w:rsidP="00AF615F">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Además, se debe señalar el procedimiento, de los tres que establecen los artículos 132 y 106 de la Ley Estatal y General, respectivamente.</w:t>
            </w:r>
          </w:p>
          <w:p w14:paraId="3B370CB0" w14:textId="77777777" w:rsidR="00AF615F" w:rsidRPr="008A44D6" w:rsidRDefault="00AF615F" w:rsidP="00AF615F">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p>
          <w:p w14:paraId="65B8CF06" w14:textId="77777777" w:rsidR="00094B41" w:rsidRPr="008A44D6" w:rsidRDefault="00094B41" w:rsidP="00AF615F">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b w:val="0"/>
                <w:bCs w:val="0"/>
                <w:color w:val="000000"/>
              </w:rPr>
              <w:t xml:space="preserve">El último de estos requisitos previos consiste en que no se pueden emitir acuerdos de carácter general ni particular, esto es, </w:t>
            </w:r>
            <w:r w:rsidRPr="008A44D6">
              <w:rPr>
                <w:rFonts w:ascii="Palatino Linotype" w:hAnsi="Palatino Linotype" w:cs="Arial"/>
                <w:b w:val="0"/>
                <w:bCs w:val="0"/>
                <w:color w:val="000000"/>
                <w:u w:val="single"/>
              </w:rPr>
              <w:t>no se puede hacer un acuerdo para clasificar de manera general todos los documentos de un expediente o área, sin</w:t>
            </w:r>
            <w:r w:rsidRPr="008A44D6">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094B41" w:rsidRPr="000D77A7" w14:paraId="3B8B1806" w14:textId="77777777" w:rsidTr="005B4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B5FA2A2" w14:textId="77777777" w:rsidR="00094B41" w:rsidRPr="008A44D6" w:rsidRDefault="00094B41" w:rsidP="00AF615F">
            <w:pPr>
              <w:spacing w:line="276" w:lineRule="auto"/>
              <w:rPr>
                <w:rFonts w:ascii="Palatino Linotype" w:hAnsi="Palatino Linotype"/>
                <w:bCs w:val="0"/>
              </w:rPr>
            </w:pPr>
            <w:r w:rsidRPr="008A44D6">
              <w:rPr>
                <w:rFonts w:ascii="Palatino Linotype" w:hAnsi="Palatino Linotype" w:cstheme="majorBidi"/>
                <w:bCs w:val="0"/>
              </w:rPr>
              <w:t>b) Supuestos de clasificación.</w:t>
            </w:r>
          </w:p>
        </w:tc>
        <w:tc>
          <w:tcPr>
            <w:tcW w:w="6990" w:type="dxa"/>
            <w:hideMark/>
          </w:tcPr>
          <w:p w14:paraId="5EEEF465" w14:textId="77777777" w:rsidR="00094B41" w:rsidRDefault="00094B41" w:rsidP="00AF615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49EE982D" w14:textId="77777777" w:rsidR="00AF615F" w:rsidRPr="008A44D6" w:rsidRDefault="00AF615F" w:rsidP="00AF615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p>
          <w:p w14:paraId="1022B4D7" w14:textId="77777777" w:rsidR="00094B41" w:rsidRDefault="00094B41" w:rsidP="00AF615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150C0D3" w14:textId="77777777" w:rsidR="00AF615F" w:rsidRPr="008A44D6" w:rsidRDefault="00AF615F" w:rsidP="00AF615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p>
          <w:p w14:paraId="1E805008" w14:textId="77777777" w:rsidR="00094B41" w:rsidRPr="008A44D6" w:rsidRDefault="00094B41" w:rsidP="00AF615F">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 xml:space="preserve">El </w:t>
            </w:r>
            <w:r w:rsidRPr="008A44D6">
              <w:rPr>
                <w:rFonts w:ascii="Palatino Linotype" w:hAnsi="Palatino Linotype" w:cs="Arial"/>
                <w:b/>
                <w:color w:val="000000"/>
              </w:rPr>
              <w:t>Sujeto Obligado</w:t>
            </w:r>
            <w:r w:rsidRPr="008A44D6">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94B41" w:rsidRPr="000D77A7" w14:paraId="5DE95EB9" w14:textId="77777777" w:rsidTr="005B4B08">
        <w:tc>
          <w:tcPr>
            <w:cnfStyle w:val="001000000000" w:firstRow="0" w:lastRow="0" w:firstColumn="1" w:lastColumn="0" w:oddVBand="0" w:evenVBand="0" w:oddHBand="0" w:evenHBand="0" w:firstRowFirstColumn="0" w:firstRowLastColumn="0" w:lastRowFirstColumn="0" w:lastRowLastColumn="0"/>
            <w:tcW w:w="1838" w:type="dxa"/>
            <w:hideMark/>
          </w:tcPr>
          <w:p w14:paraId="62258534" w14:textId="77777777" w:rsidR="00094B41" w:rsidRPr="008A44D6" w:rsidRDefault="00094B41" w:rsidP="00AF615F">
            <w:pPr>
              <w:spacing w:line="276" w:lineRule="auto"/>
              <w:rPr>
                <w:rFonts w:ascii="Palatino Linotype" w:hAnsi="Palatino Linotype"/>
                <w:bCs w:val="0"/>
              </w:rPr>
            </w:pPr>
            <w:r w:rsidRPr="008A44D6">
              <w:rPr>
                <w:rFonts w:ascii="Palatino Linotype" w:hAnsi="Palatino Linotype" w:cstheme="majorBidi"/>
                <w:bCs w:val="0"/>
              </w:rPr>
              <w:lastRenderedPageBreak/>
              <w:t>c) Formalidades para emitir el acuerdo de clasificación.</w:t>
            </w:r>
          </w:p>
        </w:tc>
        <w:tc>
          <w:tcPr>
            <w:tcW w:w="6990" w:type="dxa"/>
            <w:hideMark/>
          </w:tcPr>
          <w:p w14:paraId="547412BA" w14:textId="77777777" w:rsidR="00094B41" w:rsidRDefault="00094B41" w:rsidP="00AF615F">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72024D9E" w14:textId="77777777" w:rsidR="00AF615F" w:rsidRPr="008A44D6" w:rsidRDefault="00AF615F" w:rsidP="00AF615F">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p>
          <w:p w14:paraId="03FF468F" w14:textId="77777777" w:rsidR="00094B41" w:rsidRDefault="00094B41" w:rsidP="00AF615F">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Es necesario que </w:t>
            </w:r>
            <w:r w:rsidRPr="008A44D6">
              <w:rPr>
                <w:rFonts w:ascii="Palatino Linotype" w:hAnsi="Palatino Linotype" w:cs="Arial"/>
                <w:b/>
                <w:color w:val="000000"/>
                <w:u w:val="single"/>
              </w:rPr>
              <w:t>el acto reúna con los requisitos elementales</w:t>
            </w:r>
            <w:r w:rsidRPr="008A44D6">
              <w:rPr>
                <w:rFonts w:ascii="Palatino Linotype" w:hAnsi="Palatino Linotype" w:cs="Arial"/>
                <w:color w:val="000000"/>
              </w:rPr>
              <w:t>, entre ellos, que la autoridad que va a emitir el acto de autoridad sea la legalmente facultada para ello.</w:t>
            </w:r>
          </w:p>
          <w:p w14:paraId="5D68A6F9" w14:textId="77777777" w:rsidR="00AF615F" w:rsidRPr="008A44D6" w:rsidRDefault="00AF615F" w:rsidP="00AF615F">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p>
          <w:p w14:paraId="73429F62" w14:textId="77777777" w:rsidR="00094B41" w:rsidRPr="008A44D6" w:rsidRDefault="00094B41" w:rsidP="00AF615F">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94B41" w:rsidRPr="000D77A7" w14:paraId="1C26E316" w14:textId="77777777" w:rsidTr="005B4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CE3BD3E" w14:textId="77777777" w:rsidR="00094B41" w:rsidRPr="008A44D6" w:rsidRDefault="00094B41" w:rsidP="00AF615F">
            <w:pPr>
              <w:spacing w:line="276" w:lineRule="auto"/>
              <w:rPr>
                <w:rFonts w:ascii="Palatino Linotype" w:hAnsi="Palatino Linotype"/>
                <w:b w:val="0"/>
              </w:rPr>
            </w:pPr>
          </w:p>
          <w:p w14:paraId="27DFCBCA" w14:textId="77777777" w:rsidR="00094B41" w:rsidRPr="008A44D6" w:rsidRDefault="00094B41" w:rsidP="00AF615F">
            <w:pPr>
              <w:spacing w:line="276" w:lineRule="auto"/>
              <w:jc w:val="both"/>
              <w:rPr>
                <w:rFonts w:ascii="Palatino Linotype" w:hAnsi="Palatino Linotype"/>
                <w:bCs w:val="0"/>
              </w:rPr>
            </w:pPr>
            <w:r w:rsidRPr="008A44D6">
              <w:rPr>
                <w:rFonts w:ascii="Palatino Linotype" w:hAnsi="Palatino Linotype" w:cs="Arial"/>
                <w:bCs w:val="0"/>
                <w:color w:val="000000"/>
              </w:rPr>
              <w:lastRenderedPageBreak/>
              <w:t xml:space="preserve">d) Requisitos de fondo del acuerdo de clasificación. </w:t>
            </w:r>
          </w:p>
        </w:tc>
        <w:tc>
          <w:tcPr>
            <w:tcW w:w="6990" w:type="dxa"/>
            <w:hideMark/>
          </w:tcPr>
          <w:p w14:paraId="4F99DD2C" w14:textId="77777777" w:rsidR="00094B41" w:rsidRDefault="00094B41" w:rsidP="00AF615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lastRenderedPageBreak/>
              <w:t xml:space="preserve">Como se ha señalado antes, al hacer el juicio de subsunción o encaje entre el supuesto de hecho y la hipótesis jurídica, se debe acreditar la </w:t>
            </w:r>
            <w:r w:rsidRPr="008A44D6">
              <w:rPr>
                <w:rFonts w:ascii="Palatino Linotype" w:hAnsi="Palatino Linotype" w:cs="Arial"/>
                <w:color w:val="000000"/>
              </w:rPr>
              <w:lastRenderedPageBreak/>
              <w:t xml:space="preserve">estricta correspondencia entre un elemento y otro. Ahora, en esta parte del procedimiento, que se desahoga en sede del Comité de Transparencia, la ley señala que la carga de la prueba, para justificar las restricciones, corresponde a los </w:t>
            </w:r>
            <w:r w:rsidRPr="008A44D6">
              <w:rPr>
                <w:rFonts w:ascii="Palatino Linotype" w:hAnsi="Palatino Linotype" w:cs="Arial"/>
                <w:b/>
                <w:color w:val="000000"/>
              </w:rPr>
              <w:t>Sujetos Obligados</w:t>
            </w:r>
            <w:r w:rsidRPr="008A44D6">
              <w:rPr>
                <w:rFonts w:ascii="Palatino Linotype" w:hAnsi="Palatino Linotype" w:cs="Arial"/>
                <w:color w:val="000000"/>
              </w:rPr>
              <w:t xml:space="preserve">, por lo que deberán fundar y motivar debidamente la clasificación. </w:t>
            </w:r>
          </w:p>
          <w:p w14:paraId="12DA92F9" w14:textId="77777777" w:rsidR="00AF615F" w:rsidRPr="008A44D6" w:rsidRDefault="00AF615F" w:rsidP="00AF615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p>
          <w:p w14:paraId="5CC6C430" w14:textId="77777777" w:rsidR="00094B41" w:rsidRDefault="00094B41" w:rsidP="00AF615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De lo anterior, se desprende que para una correcta </w:t>
            </w:r>
            <w:r w:rsidRPr="008A44D6">
              <w:rPr>
                <w:rFonts w:ascii="Palatino Linotype" w:hAnsi="Palatino Linotype" w:cs="Arial"/>
                <w:b/>
                <w:color w:val="000000"/>
              </w:rPr>
              <w:t>clasificación total o parcial</w:t>
            </w:r>
            <w:r w:rsidRPr="008A44D6">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6451F3D" w14:textId="77777777" w:rsidR="00AF615F" w:rsidRPr="008A44D6" w:rsidRDefault="00AF615F" w:rsidP="00AF615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p>
          <w:p w14:paraId="50615228" w14:textId="77777777" w:rsidR="00094B41" w:rsidRDefault="00094B41" w:rsidP="00AF615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4CC5DA0" w14:textId="77777777" w:rsidR="00AF615F" w:rsidRPr="008A44D6" w:rsidRDefault="00AF615F" w:rsidP="00AF615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p>
          <w:p w14:paraId="4099B7E0" w14:textId="77777777" w:rsidR="00094B41" w:rsidRDefault="00094B41" w:rsidP="00AF615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2F307D45" w14:textId="77777777" w:rsidR="00AF615F" w:rsidRPr="008A44D6" w:rsidRDefault="00AF615F" w:rsidP="00AF615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p>
          <w:p w14:paraId="642FE311" w14:textId="77777777" w:rsidR="00094B41" w:rsidRPr="008A44D6" w:rsidRDefault="00094B41" w:rsidP="00AF615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Ahora bien, </w:t>
            </w:r>
            <w:r w:rsidRPr="008A44D6">
              <w:rPr>
                <w:rFonts w:ascii="Palatino Linotype" w:hAnsi="Palatino Linotype" w:cs="Arial"/>
                <w:b/>
                <w:color w:val="000000"/>
                <w:u w:val="single"/>
              </w:rPr>
              <w:t>para cada caso además de fundar y motivar</w:t>
            </w:r>
            <w:r w:rsidRPr="008A44D6">
              <w:rPr>
                <w:rFonts w:ascii="Palatino Linotype" w:hAnsi="Palatino Linotype" w:cs="Arial"/>
                <w:color w:val="000000"/>
              </w:rPr>
              <w:t xml:space="preserve">, se debe identificar con claridad que datos contenidos en las documentales que son susceptibles de suprimirse, por ejemplo; </w:t>
            </w:r>
            <w:r w:rsidRPr="008A44D6">
              <w:rPr>
                <w:rFonts w:ascii="Palatino Linotype" w:hAnsi="Palatino Linotype" w:cs="Arial"/>
                <w:color w:val="000000"/>
                <w:lang w:val="es-ES"/>
              </w:rPr>
              <w:t xml:space="preserve">Clave Única de Registro de Población (CURP), Registro Federal de Contribuyentes (R.F.C.), claves de seguros, préstamos o descuentos personales, secretos </w:t>
            </w:r>
            <w:r w:rsidRPr="008A44D6">
              <w:rPr>
                <w:rFonts w:ascii="Palatino Linotype" w:hAnsi="Palatino Linotype" w:cs="Arial"/>
                <w:color w:val="000000"/>
                <w:lang w:val="es-ES"/>
              </w:rPr>
              <w:lastRenderedPageBreak/>
              <w:t>bancario, fiduciario, industrial, comercial, fiscal, bursátil y postal, cuya titularidad corresponda a particulares, entre otros.</w:t>
            </w:r>
          </w:p>
        </w:tc>
      </w:tr>
      <w:tr w:rsidR="00094B41" w:rsidRPr="000D77A7" w14:paraId="1CBB8D01" w14:textId="77777777" w:rsidTr="005B4B08">
        <w:tc>
          <w:tcPr>
            <w:cnfStyle w:val="001000000000" w:firstRow="0" w:lastRow="0" w:firstColumn="1" w:lastColumn="0" w:oddVBand="0" w:evenVBand="0" w:oddHBand="0" w:evenHBand="0" w:firstRowFirstColumn="0" w:firstRowLastColumn="0" w:lastRowFirstColumn="0" w:lastRowLastColumn="0"/>
            <w:tcW w:w="1838" w:type="dxa"/>
          </w:tcPr>
          <w:p w14:paraId="1AE289A7" w14:textId="77777777" w:rsidR="00094B41" w:rsidRPr="008A44D6" w:rsidRDefault="00094B41" w:rsidP="00AF615F">
            <w:pPr>
              <w:spacing w:line="276" w:lineRule="auto"/>
              <w:ind w:right="49"/>
              <w:jc w:val="both"/>
              <w:rPr>
                <w:rFonts w:ascii="Palatino Linotype" w:hAnsi="Palatino Linotype" w:cs="Arial"/>
                <w:bCs w:val="0"/>
              </w:rPr>
            </w:pPr>
            <w:r w:rsidRPr="008A44D6">
              <w:rPr>
                <w:rFonts w:ascii="Palatino Linotype" w:eastAsia="MS Gothic" w:hAnsi="Palatino Linotype" w:cs="Times New Roman"/>
                <w:b w:val="0"/>
              </w:rPr>
              <w:lastRenderedPageBreak/>
              <w:t>e</w:t>
            </w:r>
            <w:r w:rsidRPr="008A44D6">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14:paraId="7FC78A28" w14:textId="77777777" w:rsidR="00094B41" w:rsidRDefault="00094B41" w:rsidP="00AF615F">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7242981B" w14:textId="77777777" w:rsidR="00AF615F" w:rsidRPr="008A44D6" w:rsidRDefault="00AF615F" w:rsidP="00AF615F">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p>
          <w:p w14:paraId="250C0D1B" w14:textId="77777777" w:rsidR="00094B41" w:rsidRDefault="00094B41" w:rsidP="00AF615F">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FD22E0E" w14:textId="77777777" w:rsidR="00AF615F" w:rsidRPr="008A44D6" w:rsidRDefault="00AF615F" w:rsidP="00AF615F">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p>
          <w:p w14:paraId="5A5F7FED" w14:textId="2D7349AC" w:rsidR="00125595" w:rsidRPr="00125595" w:rsidRDefault="00094B41" w:rsidP="00AF615F">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Pero si la información que se pretende clasificar como confidencial no se encuentra en los supuestos de los artículos señalados y es posible, se deberá consultar al titular de los datos si permite o </w:t>
            </w:r>
            <w:r w:rsidR="00A13400">
              <w:rPr>
                <w:rFonts w:ascii="Palatino Linotype" w:hAnsi="Palatino Linotype" w:cs="Arial"/>
                <w:color w:val="000000"/>
              </w:rPr>
              <w:t>no el acceso. De no ser posible</w:t>
            </w:r>
            <w:r w:rsidRPr="008A44D6">
              <w:rPr>
                <w:rFonts w:ascii="Palatino Linotype" w:hAnsi="Palatino Linotype" w:cs="Arial"/>
                <w:color w:val="000000"/>
              </w:rPr>
              <w:t xml:space="preserve"> la realización de la consulta, procede, fundando y motivando, la clasificación.</w:t>
            </w:r>
          </w:p>
        </w:tc>
      </w:tr>
    </w:tbl>
    <w:p w14:paraId="51296F79" w14:textId="77777777" w:rsidR="00094B41" w:rsidRDefault="00094B41" w:rsidP="004638FA">
      <w:pPr>
        <w:pStyle w:val="Prrafodelista"/>
        <w:tabs>
          <w:tab w:val="left" w:pos="426"/>
        </w:tabs>
        <w:spacing w:before="240" w:after="240" w:line="360" w:lineRule="auto"/>
        <w:ind w:left="0" w:right="51"/>
        <w:jc w:val="both"/>
        <w:rPr>
          <w:rFonts w:ascii="Palatino Linotype" w:hAnsi="Palatino Linotype"/>
          <w:color w:val="000000" w:themeColor="text1"/>
        </w:rPr>
      </w:pPr>
    </w:p>
    <w:p w14:paraId="58E07CAF" w14:textId="6A9DE0E3" w:rsidR="004638FA" w:rsidRPr="00125595" w:rsidRDefault="00094B41"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Derivado de lo anterior, si </w:t>
      </w:r>
      <w:r w:rsidRPr="00EF4CD1">
        <w:rPr>
          <w:rFonts w:ascii="Palatino Linotype" w:hAnsi="Palatino Linotype" w:cs="Arial"/>
          <w:lang w:eastAsia="en-US"/>
        </w:rPr>
        <w:t xml:space="preserve">el servidor público incumple con estas formalidades y entrega la información sin proteger los datos personales incumple con lo que estipula las disposiciones legales establecidas, asimismo que si entrega un documento testado </w:t>
      </w:r>
      <w:r w:rsidRPr="00094B41">
        <w:rPr>
          <w:rFonts w:ascii="Palatino Linotype" w:hAnsi="Palatino Linotype" w:cs="Arial"/>
          <w:b/>
          <w:lang w:eastAsia="en-US"/>
        </w:rPr>
        <w:t>sin el debido Acuerdo de Clasificación</w:t>
      </w:r>
      <w:r w:rsidRPr="00EF4CD1">
        <w:rPr>
          <w:rFonts w:ascii="Palatino Linotype" w:hAnsi="Palatino Linotype" w:cs="Arial"/>
          <w:lang w:eastAsia="en-US"/>
        </w:rPr>
        <w:t>.</w:t>
      </w:r>
    </w:p>
    <w:p w14:paraId="35665F01" w14:textId="77777777" w:rsidR="00125595" w:rsidRPr="00125595" w:rsidRDefault="00125595" w:rsidP="00125595">
      <w:pPr>
        <w:pStyle w:val="Prrafodelista"/>
        <w:tabs>
          <w:tab w:val="left" w:pos="426"/>
        </w:tabs>
        <w:spacing w:before="240" w:after="240" w:line="360" w:lineRule="auto"/>
        <w:ind w:left="0" w:right="51"/>
        <w:jc w:val="both"/>
        <w:rPr>
          <w:rFonts w:ascii="Palatino Linotype" w:hAnsi="Palatino Linotype"/>
          <w:color w:val="000000" w:themeColor="text1"/>
        </w:rPr>
      </w:pPr>
    </w:p>
    <w:p w14:paraId="3ADE0960" w14:textId="08EA6B3C" w:rsidR="00125595" w:rsidRPr="00125595" w:rsidRDefault="00125595"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lang w:eastAsia="en-US"/>
        </w:rPr>
        <w:t xml:space="preserve">Por otro lado, de la consulta al portal oficial de la Comisión de Conciliación y Arbitraje Médico del Estado de México, específicamente en su sección de Trámites </w:t>
      </w:r>
      <w:r>
        <w:rPr>
          <w:rFonts w:ascii="Palatino Linotype" w:hAnsi="Palatino Linotype" w:cs="Arial"/>
          <w:lang w:eastAsia="en-US"/>
        </w:rPr>
        <w:lastRenderedPageBreak/>
        <w:t>y Servicios</w:t>
      </w:r>
      <w:r>
        <w:rPr>
          <w:rStyle w:val="Refdenotaalpie"/>
          <w:rFonts w:ascii="Palatino Linotype" w:hAnsi="Palatino Linotype" w:cs="Arial"/>
          <w:lang w:eastAsia="en-US"/>
        </w:rPr>
        <w:footnoteReference w:id="28"/>
      </w:r>
      <w:r>
        <w:rPr>
          <w:rFonts w:ascii="Palatino Linotype" w:hAnsi="Palatino Linotype" w:cs="Arial"/>
          <w:lang w:eastAsia="en-US"/>
        </w:rPr>
        <w:t xml:space="preserve">, se advierten diversos procedimientos que pueden sustanciarse ante el </w:t>
      </w:r>
      <w:r>
        <w:rPr>
          <w:rFonts w:ascii="Palatino Linotype" w:hAnsi="Palatino Linotype" w:cs="Arial"/>
          <w:b/>
          <w:lang w:eastAsia="en-US"/>
        </w:rPr>
        <w:t>SUJETO OBLIGADO</w:t>
      </w:r>
      <w:r>
        <w:rPr>
          <w:rFonts w:ascii="Palatino Linotype" w:hAnsi="Palatino Linotype" w:cs="Arial"/>
          <w:lang w:eastAsia="en-US"/>
        </w:rPr>
        <w:t xml:space="preserve">, siendo de especial interés el denominado </w:t>
      </w:r>
      <w:r>
        <w:rPr>
          <w:rFonts w:ascii="Palatino Linotype" w:hAnsi="Palatino Linotype" w:cs="Arial"/>
          <w:i/>
          <w:lang w:eastAsia="en-US"/>
        </w:rPr>
        <w:t>Recepción y trámite de quejas derivadas de la prestación de servicios médicos</w:t>
      </w:r>
      <w:r>
        <w:rPr>
          <w:rStyle w:val="Refdenotaalpie"/>
          <w:rFonts w:ascii="Palatino Linotype" w:hAnsi="Palatino Linotype" w:cs="Arial"/>
          <w:i/>
          <w:lang w:eastAsia="en-US"/>
        </w:rPr>
        <w:footnoteReference w:id="29"/>
      </w:r>
      <w:r>
        <w:rPr>
          <w:rFonts w:ascii="Palatino Linotype" w:hAnsi="Palatino Linotype" w:cs="Arial"/>
          <w:lang w:eastAsia="en-US"/>
        </w:rPr>
        <w:t>, cuyos pasos a seguir señalan lo siguiente:</w:t>
      </w:r>
    </w:p>
    <w:p w14:paraId="2420A029" w14:textId="77777777" w:rsidR="00125595" w:rsidRDefault="00125595" w:rsidP="00125595">
      <w:pPr>
        <w:pStyle w:val="Prrafodelista"/>
        <w:tabs>
          <w:tab w:val="left" w:pos="426"/>
        </w:tabs>
        <w:spacing w:before="240" w:after="240" w:line="360" w:lineRule="auto"/>
        <w:ind w:left="0" w:right="51"/>
        <w:jc w:val="both"/>
        <w:rPr>
          <w:rFonts w:ascii="Palatino Linotype" w:hAnsi="Palatino Linotype" w:cs="Arial"/>
          <w:lang w:eastAsia="en-US"/>
        </w:rPr>
      </w:pPr>
    </w:p>
    <w:p w14:paraId="063CCC9C" w14:textId="77777777" w:rsidR="00125595" w:rsidRPr="00125595" w:rsidRDefault="00125595" w:rsidP="00125595">
      <w:pPr>
        <w:pStyle w:val="Prrafodelista"/>
        <w:tabs>
          <w:tab w:val="left" w:pos="426"/>
        </w:tabs>
        <w:spacing w:before="240" w:after="240" w:line="276" w:lineRule="auto"/>
        <w:ind w:left="567" w:right="567"/>
        <w:jc w:val="both"/>
        <w:rPr>
          <w:rFonts w:ascii="Palatino Linotype" w:hAnsi="Palatino Linotype" w:cs="Arial"/>
          <w:i/>
          <w:sz w:val="22"/>
          <w:lang w:eastAsia="en-US"/>
        </w:rPr>
      </w:pPr>
      <w:r>
        <w:rPr>
          <w:rFonts w:ascii="Palatino Linotype" w:hAnsi="Palatino Linotype" w:cs="Arial"/>
          <w:i/>
          <w:sz w:val="22"/>
          <w:lang w:eastAsia="en-US"/>
        </w:rPr>
        <w:t xml:space="preserve">“1.- Acuda personalmente </w:t>
      </w:r>
      <w:r w:rsidRPr="00125595">
        <w:rPr>
          <w:rFonts w:ascii="Palatino Linotype" w:hAnsi="Palatino Linotype" w:cs="Arial"/>
          <w:i/>
          <w:sz w:val="22"/>
          <w:lang w:eastAsia="en-US"/>
        </w:rPr>
        <w:t>o remita su queja por escrito, de no ser posible, designe a un familiar o persona de confianza para que lo haga.</w:t>
      </w:r>
    </w:p>
    <w:p w14:paraId="65821FBD" w14:textId="77777777" w:rsidR="00125595" w:rsidRPr="00125595" w:rsidRDefault="00125595" w:rsidP="00125595">
      <w:pPr>
        <w:pStyle w:val="Prrafodelista"/>
        <w:tabs>
          <w:tab w:val="left" w:pos="426"/>
        </w:tabs>
        <w:spacing w:before="240" w:after="240" w:line="276" w:lineRule="auto"/>
        <w:ind w:left="567" w:right="567"/>
        <w:jc w:val="both"/>
        <w:rPr>
          <w:rFonts w:ascii="Palatino Linotype" w:hAnsi="Palatino Linotype" w:cs="Arial"/>
          <w:i/>
          <w:sz w:val="22"/>
          <w:lang w:eastAsia="en-US"/>
        </w:rPr>
      </w:pPr>
      <w:r w:rsidRPr="00125595">
        <w:rPr>
          <w:rFonts w:ascii="Palatino Linotype" w:hAnsi="Palatino Linotype" w:cs="Arial"/>
          <w:i/>
          <w:sz w:val="22"/>
          <w:lang w:eastAsia="en-US"/>
        </w:rPr>
        <w:t xml:space="preserve">2.- Traiga consigo una </w:t>
      </w:r>
      <w:r w:rsidRPr="00125595">
        <w:rPr>
          <w:rFonts w:ascii="Palatino Linotype" w:hAnsi="Palatino Linotype" w:cs="Arial"/>
          <w:b/>
          <w:i/>
          <w:sz w:val="22"/>
          <w:lang w:eastAsia="en-US"/>
        </w:rPr>
        <w:t>identificación oficial con fotografía</w:t>
      </w:r>
      <w:r w:rsidRPr="00125595">
        <w:rPr>
          <w:rFonts w:ascii="Palatino Linotype" w:hAnsi="Palatino Linotype" w:cs="Arial"/>
          <w:i/>
          <w:sz w:val="22"/>
          <w:lang w:eastAsia="en-US"/>
        </w:rPr>
        <w:t>.</w:t>
      </w:r>
    </w:p>
    <w:p w14:paraId="4C086FCC" w14:textId="77777777" w:rsidR="00125595" w:rsidRPr="00125595" w:rsidRDefault="00125595" w:rsidP="00125595">
      <w:pPr>
        <w:pStyle w:val="Prrafodelista"/>
        <w:tabs>
          <w:tab w:val="left" w:pos="426"/>
        </w:tabs>
        <w:spacing w:before="240" w:after="240" w:line="276" w:lineRule="auto"/>
        <w:ind w:left="567" w:right="567"/>
        <w:jc w:val="both"/>
        <w:rPr>
          <w:rFonts w:ascii="Palatino Linotype" w:hAnsi="Palatino Linotype" w:cs="Arial"/>
          <w:i/>
          <w:sz w:val="22"/>
          <w:lang w:eastAsia="en-US"/>
        </w:rPr>
      </w:pPr>
      <w:r w:rsidRPr="00125595">
        <w:rPr>
          <w:rFonts w:ascii="Palatino Linotype" w:hAnsi="Palatino Linotype" w:cs="Arial"/>
          <w:i/>
          <w:sz w:val="22"/>
          <w:lang w:eastAsia="en-US"/>
        </w:rPr>
        <w:t xml:space="preserve">3.- </w:t>
      </w:r>
      <w:r w:rsidRPr="00125595">
        <w:rPr>
          <w:rFonts w:ascii="Palatino Linotype" w:hAnsi="Palatino Linotype" w:cs="Arial"/>
          <w:b/>
          <w:i/>
          <w:sz w:val="22"/>
          <w:lang w:eastAsia="en-US"/>
        </w:rPr>
        <w:t>Incluya en su queja los documentos que ayuden a precisar los hechos, como pueden ser notas médicas, análisis clínicos y radiografías, entre otros</w:t>
      </w:r>
      <w:r w:rsidRPr="00125595">
        <w:rPr>
          <w:rFonts w:ascii="Palatino Linotype" w:hAnsi="Palatino Linotype" w:cs="Arial"/>
          <w:i/>
          <w:sz w:val="22"/>
          <w:lang w:eastAsia="en-US"/>
        </w:rPr>
        <w:t>.</w:t>
      </w:r>
    </w:p>
    <w:p w14:paraId="12AD03B0" w14:textId="629A138B" w:rsidR="00125595" w:rsidRDefault="00125595" w:rsidP="00125595">
      <w:pPr>
        <w:pStyle w:val="Prrafodelista"/>
        <w:tabs>
          <w:tab w:val="left" w:pos="426"/>
        </w:tabs>
        <w:spacing w:before="240" w:after="240" w:line="276" w:lineRule="auto"/>
        <w:ind w:left="567" w:right="567"/>
        <w:jc w:val="both"/>
        <w:rPr>
          <w:rFonts w:ascii="Palatino Linotype" w:hAnsi="Palatino Linotype" w:cs="Arial"/>
          <w:sz w:val="22"/>
          <w:lang w:eastAsia="en-US"/>
        </w:rPr>
      </w:pPr>
      <w:r w:rsidRPr="00125595">
        <w:rPr>
          <w:rFonts w:ascii="Palatino Linotype" w:hAnsi="Palatino Linotype" w:cs="Arial"/>
          <w:i/>
          <w:sz w:val="22"/>
          <w:lang w:eastAsia="en-US"/>
        </w:rPr>
        <w:t xml:space="preserve">4.- Si envía su queja por escrito, </w:t>
      </w:r>
      <w:r w:rsidRPr="00125595">
        <w:rPr>
          <w:rFonts w:ascii="Palatino Linotype" w:hAnsi="Palatino Linotype" w:cs="Arial"/>
          <w:b/>
          <w:i/>
          <w:sz w:val="22"/>
          <w:lang w:eastAsia="en-US"/>
        </w:rPr>
        <w:t>acompáñela de una copia fotostática de su identificación y comprobante domiciliario</w:t>
      </w:r>
      <w:r w:rsidRPr="00125595">
        <w:rPr>
          <w:rFonts w:ascii="Palatino Linotype" w:hAnsi="Palatino Linotype" w:cs="Arial"/>
          <w:i/>
          <w:sz w:val="22"/>
          <w:lang w:eastAsia="en-US"/>
        </w:rPr>
        <w:t>.</w:t>
      </w:r>
      <w:r>
        <w:rPr>
          <w:rFonts w:ascii="Palatino Linotype" w:hAnsi="Palatino Linotype" w:cs="Arial"/>
          <w:i/>
          <w:sz w:val="22"/>
          <w:lang w:eastAsia="en-US"/>
        </w:rPr>
        <w:t>”</w:t>
      </w:r>
    </w:p>
    <w:p w14:paraId="4BECA405" w14:textId="28D49BEB" w:rsidR="00125595" w:rsidRPr="00125595" w:rsidRDefault="00125595" w:rsidP="00125595">
      <w:pPr>
        <w:pStyle w:val="Prrafodelista"/>
        <w:tabs>
          <w:tab w:val="left" w:pos="426"/>
        </w:tabs>
        <w:spacing w:before="240" w:after="240" w:line="276" w:lineRule="auto"/>
        <w:ind w:left="567" w:right="567"/>
        <w:jc w:val="both"/>
        <w:rPr>
          <w:rFonts w:ascii="Palatino Linotype" w:hAnsi="Palatino Linotype"/>
          <w:color w:val="000000" w:themeColor="text1"/>
          <w:sz w:val="22"/>
        </w:rPr>
      </w:pPr>
      <w:r>
        <w:rPr>
          <w:rFonts w:ascii="Palatino Linotype" w:hAnsi="Palatino Linotype" w:cs="Arial"/>
          <w:sz w:val="22"/>
          <w:lang w:eastAsia="en-US"/>
        </w:rPr>
        <w:t>(Énfasis añadido)</w:t>
      </w:r>
    </w:p>
    <w:p w14:paraId="33577CE9" w14:textId="77777777" w:rsidR="00125595" w:rsidRPr="00125595" w:rsidRDefault="00125595" w:rsidP="00125595">
      <w:pPr>
        <w:pStyle w:val="Prrafodelista"/>
        <w:tabs>
          <w:tab w:val="left" w:pos="426"/>
        </w:tabs>
        <w:spacing w:before="240" w:after="240" w:line="360" w:lineRule="auto"/>
        <w:ind w:left="0" w:right="51"/>
        <w:jc w:val="both"/>
        <w:rPr>
          <w:rFonts w:ascii="Palatino Linotype" w:hAnsi="Palatino Linotype"/>
          <w:color w:val="000000" w:themeColor="text1"/>
        </w:rPr>
      </w:pPr>
    </w:p>
    <w:p w14:paraId="74D7FABD" w14:textId="1E0B7C26" w:rsidR="00125595" w:rsidRPr="00125595" w:rsidRDefault="00125595" w:rsidP="001E067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25595">
        <w:rPr>
          <w:rFonts w:ascii="Palatino Linotype" w:hAnsi="Palatino Linotype" w:cs="Arial"/>
          <w:lang w:eastAsia="en-US"/>
        </w:rPr>
        <w:t xml:space="preserve">Así las cosas, se advierte que para remitir una queja derivada de la prestación de servicios médicos, los particulares deberán acompañarla con los documentos que ayuden a precisar los hechos, esto es, las pruebas necesarias que demuestren la culminación de una mala </w:t>
      </w:r>
      <w:r w:rsidRPr="00125595">
        <w:rPr>
          <w:rFonts w:ascii="Palatino Linotype" w:hAnsi="Palatino Linotype" w:cs="Arial"/>
          <w:i/>
          <w:lang w:eastAsia="en-US"/>
        </w:rPr>
        <w:t>praxis</w:t>
      </w:r>
      <w:r w:rsidRPr="00125595">
        <w:rPr>
          <w:rFonts w:ascii="Palatino Linotype" w:hAnsi="Palatino Linotype" w:cs="Arial"/>
          <w:lang w:eastAsia="en-US"/>
        </w:rPr>
        <w:t xml:space="preserve"> durante la atención médica, tales como notas médicas, análisis clínicos, radiografías, etc</w:t>
      </w:r>
      <w:r w:rsidR="003401F8">
        <w:rPr>
          <w:rFonts w:ascii="Palatino Linotype" w:hAnsi="Palatino Linotype" w:cs="Arial"/>
          <w:lang w:eastAsia="en-US"/>
        </w:rPr>
        <w:t>étera; m</w:t>
      </w:r>
      <w:r>
        <w:rPr>
          <w:rFonts w:ascii="Palatino Linotype" w:hAnsi="Palatino Linotype" w:cs="Arial"/>
          <w:lang w:eastAsia="en-US"/>
        </w:rPr>
        <w:t>ientras que para acreditar su identidad</w:t>
      </w:r>
      <w:r w:rsidRPr="00125595">
        <w:rPr>
          <w:rFonts w:ascii="Palatino Linotype" w:hAnsi="Palatino Linotype" w:cs="Arial"/>
          <w:lang w:eastAsia="en-US"/>
        </w:rPr>
        <w:t>, los particulares también deber</w:t>
      </w:r>
      <w:r w:rsidR="00697B44">
        <w:rPr>
          <w:rFonts w:ascii="Palatino Linotype" w:hAnsi="Palatino Linotype" w:cs="Arial"/>
          <w:lang w:eastAsia="en-US"/>
        </w:rPr>
        <w:t xml:space="preserve">án presentar </w:t>
      </w:r>
      <w:r w:rsidRPr="00125595">
        <w:rPr>
          <w:rFonts w:ascii="Palatino Linotype" w:hAnsi="Palatino Linotype" w:cs="Arial"/>
          <w:lang w:eastAsia="en-US"/>
        </w:rPr>
        <w:t>su identificación ofi</w:t>
      </w:r>
      <w:r w:rsidR="003401F8">
        <w:rPr>
          <w:rFonts w:ascii="Palatino Linotype" w:hAnsi="Palatino Linotype" w:cs="Arial"/>
          <w:lang w:eastAsia="en-US"/>
        </w:rPr>
        <w:t>cial y comprobante de domicilio</w:t>
      </w:r>
      <w:r w:rsidR="00A0191E">
        <w:rPr>
          <w:rFonts w:ascii="Palatino Linotype" w:hAnsi="Palatino Linotype" w:cs="Arial"/>
          <w:lang w:eastAsia="en-US"/>
        </w:rPr>
        <w:t>.</w:t>
      </w:r>
    </w:p>
    <w:p w14:paraId="7A1935E2" w14:textId="77777777" w:rsidR="00125595" w:rsidRPr="00125595" w:rsidRDefault="00125595" w:rsidP="00125595">
      <w:pPr>
        <w:pStyle w:val="Prrafodelista"/>
        <w:tabs>
          <w:tab w:val="left" w:pos="426"/>
        </w:tabs>
        <w:spacing w:before="240" w:after="240" w:line="360" w:lineRule="auto"/>
        <w:ind w:left="0" w:right="51"/>
        <w:jc w:val="both"/>
        <w:rPr>
          <w:rFonts w:ascii="Palatino Linotype" w:hAnsi="Palatino Linotype"/>
          <w:color w:val="000000" w:themeColor="text1"/>
        </w:rPr>
      </w:pPr>
    </w:p>
    <w:p w14:paraId="274FE8E0" w14:textId="0AB98106" w:rsidR="00125595" w:rsidRPr="00125595" w:rsidRDefault="00A0191E"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lang w:eastAsia="en-US"/>
        </w:rPr>
        <w:lastRenderedPageBreak/>
        <w:t xml:space="preserve">Así </w:t>
      </w:r>
      <w:r w:rsidRPr="00A0191E">
        <w:rPr>
          <w:rFonts w:ascii="Palatino Linotype" w:hAnsi="Palatino Linotype" w:cs="Arial"/>
          <w:iCs/>
          <w:lang w:eastAsia="en-US"/>
        </w:rPr>
        <w:t xml:space="preserve">las cosas, en aras de salvaguardar el derecho a la protección de datos personales </w:t>
      </w:r>
      <w:r>
        <w:rPr>
          <w:rFonts w:ascii="Palatino Linotype" w:hAnsi="Palatino Linotype" w:cs="Arial"/>
          <w:iCs/>
          <w:lang w:eastAsia="en-US"/>
        </w:rPr>
        <w:t>del o los particulares que presentaron la queja o denuncia que derivó en la formación del expediente CCAMEM/TOL/D/1218/2019</w:t>
      </w:r>
      <w:r w:rsidRPr="00A0191E">
        <w:rPr>
          <w:rFonts w:ascii="Palatino Linotype" w:hAnsi="Palatino Linotype" w:cs="Arial"/>
          <w:iCs/>
          <w:lang w:eastAsia="en-US"/>
        </w:rPr>
        <w:t xml:space="preserve">, y como criterio mayoritario del Pleno, se determina que </w:t>
      </w:r>
      <w:r w:rsidRPr="00A0191E">
        <w:rPr>
          <w:rFonts w:ascii="Palatino Linotype" w:hAnsi="Palatino Linotype" w:cs="Arial"/>
          <w:b/>
          <w:bCs/>
          <w:iCs/>
          <w:lang w:eastAsia="en-US"/>
        </w:rPr>
        <w:t xml:space="preserve">los documentos con los que se acredite </w:t>
      </w:r>
      <w:r>
        <w:rPr>
          <w:rFonts w:ascii="Palatino Linotype" w:hAnsi="Palatino Linotype" w:cs="Arial"/>
          <w:b/>
          <w:bCs/>
          <w:iCs/>
          <w:lang w:eastAsia="en-US"/>
        </w:rPr>
        <w:t>la identidad, así como los que ayuden a precisar los hechos particulares que motivaron la inconformidad</w:t>
      </w:r>
      <w:r w:rsidRPr="00A0191E">
        <w:rPr>
          <w:rFonts w:ascii="Palatino Linotype" w:hAnsi="Palatino Linotype" w:cs="Arial"/>
          <w:b/>
          <w:bCs/>
          <w:iCs/>
          <w:lang w:eastAsia="en-US"/>
        </w:rPr>
        <w:t xml:space="preserve"> deberán clasificarse en su totalidad</w:t>
      </w:r>
      <w:r w:rsidRPr="00A0191E">
        <w:rPr>
          <w:rFonts w:ascii="Palatino Linotype" w:hAnsi="Palatino Linotype" w:cs="Arial"/>
          <w:iCs/>
          <w:lang w:eastAsia="en-US"/>
        </w:rPr>
        <w:t xml:space="preserve"> pues su contenido no es de interés para la población en general.</w:t>
      </w:r>
    </w:p>
    <w:p w14:paraId="34351A96" w14:textId="77777777" w:rsidR="00125595" w:rsidRPr="00125595" w:rsidRDefault="00125595" w:rsidP="00125595">
      <w:pPr>
        <w:pStyle w:val="Prrafodelista"/>
        <w:tabs>
          <w:tab w:val="left" w:pos="426"/>
        </w:tabs>
        <w:spacing w:before="240" w:after="240" w:line="360" w:lineRule="auto"/>
        <w:ind w:left="0" w:right="51"/>
        <w:jc w:val="both"/>
        <w:rPr>
          <w:rFonts w:ascii="Palatino Linotype" w:hAnsi="Palatino Linotype"/>
          <w:color w:val="000000" w:themeColor="text1"/>
        </w:rPr>
      </w:pPr>
    </w:p>
    <w:p w14:paraId="633F44B0" w14:textId="2D2771AD" w:rsidR="00125595" w:rsidRPr="00357CC7" w:rsidRDefault="00A0191E" w:rsidP="005B4B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lang w:eastAsia="en-US"/>
        </w:rPr>
        <w:t xml:space="preserve">Por </w:t>
      </w:r>
      <w:r w:rsidRPr="003F047F">
        <w:rPr>
          <w:rFonts w:ascii="Palatino Linotype" w:hAnsi="Palatino Linotype"/>
          <w:color w:val="000000"/>
          <w:lang w:val="es-ES_tradnl"/>
        </w:rPr>
        <w:t>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DE914C6" w14:textId="77777777" w:rsidR="00167813" w:rsidRDefault="00167813" w:rsidP="00167813">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55F87BA8" w:rsidR="00953B03" w:rsidRPr="00953B03" w:rsidRDefault="004638FA"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5" w:name="_Toc88071790"/>
      <w:r>
        <w:rPr>
          <w:rFonts w:ascii="Palatino Linotype" w:hAnsi="Palatino Linotype"/>
          <w:b/>
          <w:bCs/>
          <w:color w:val="000000" w:themeColor="text1"/>
        </w:rPr>
        <w:t>SEXTO</w:t>
      </w:r>
      <w:r w:rsidR="00953B03" w:rsidRPr="00953B03">
        <w:rPr>
          <w:rFonts w:ascii="Palatino Linotype" w:hAnsi="Palatino Linotype"/>
          <w:b/>
          <w:bCs/>
          <w:color w:val="000000" w:themeColor="text1"/>
        </w:rPr>
        <w:t>. Decisión</w:t>
      </w:r>
      <w:bookmarkEnd w:id="35"/>
    </w:p>
    <w:p w14:paraId="2B8DED45" w14:textId="77777777" w:rsidR="00953B03"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6A0680E" w14:textId="2E364657" w:rsidR="00953B03" w:rsidRDefault="003B123F"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Luego de analizar el</w:t>
      </w:r>
      <w:r w:rsidR="00094B41">
        <w:rPr>
          <w:rFonts w:ascii="Palatino Linotype" w:hAnsi="Palatino Linotype"/>
          <w:color w:val="000000" w:themeColor="text1"/>
        </w:rPr>
        <w:t xml:space="preserve"> contenido del Dictamen Técnico-Médico Institucional presentado por el </w:t>
      </w:r>
      <w:r w:rsidR="00094B41">
        <w:rPr>
          <w:rFonts w:ascii="Palatino Linotype" w:hAnsi="Palatino Linotype"/>
          <w:b/>
          <w:color w:val="000000" w:themeColor="text1"/>
        </w:rPr>
        <w:t>SUJETO OBLIGADO</w:t>
      </w:r>
      <w:r w:rsidR="00094B41">
        <w:rPr>
          <w:rFonts w:ascii="Palatino Linotype" w:hAnsi="Palatino Linotype"/>
          <w:color w:val="000000" w:themeColor="text1"/>
        </w:rPr>
        <w:t>, se estableció que éste no lograba colmar el derecho de acceso a la información ejercido por el particular al consistir en un documento testado en exceso y que, al no haberse acompañado del debido Acuerdo de Clasificación, no representaba una respuesta formal, sino s</w:t>
      </w:r>
      <w:r w:rsidR="00AF615F">
        <w:rPr>
          <w:rFonts w:ascii="Palatino Linotype" w:hAnsi="Palatino Linotype"/>
          <w:color w:val="000000" w:themeColor="text1"/>
        </w:rPr>
        <w:t>ó</w:t>
      </w:r>
      <w:r w:rsidR="00094B41">
        <w:rPr>
          <w:rFonts w:ascii="Palatino Linotype" w:hAnsi="Palatino Linotype"/>
          <w:color w:val="000000" w:themeColor="text1"/>
        </w:rPr>
        <w:t xml:space="preserve">lo una copia </w:t>
      </w:r>
      <w:r w:rsidR="00094B41">
        <w:rPr>
          <w:rFonts w:ascii="Palatino Linotype" w:hAnsi="Palatino Linotype"/>
          <w:color w:val="000000" w:themeColor="text1"/>
        </w:rPr>
        <w:lastRenderedPageBreak/>
        <w:t>digitalizada tachada</w:t>
      </w:r>
      <w:r w:rsidR="00AF615F">
        <w:rPr>
          <w:rFonts w:ascii="Palatino Linotype" w:hAnsi="Palatino Linotype"/>
          <w:color w:val="000000" w:themeColor="text1"/>
        </w:rPr>
        <w:t xml:space="preserve"> en la mayoría de su contenido</w:t>
      </w:r>
      <w:r w:rsidR="00094B41">
        <w:rPr>
          <w:rFonts w:ascii="Palatino Linotype" w:hAnsi="Palatino Linotype"/>
          <w:color w:val="000000" w:themeColor="text1"/>
        </w:rPr>
        <w:t xml:space="preserve">. Por ello, se determinó </w:t>
      </w:r>
      <w:r w:rsidR="00094B41">
        <w:rPr>
          <w:rFonts w:ascii="Palatino Linotype" w:hAnsi="Palatino Linotype"/>
          <w:b/>
          <w:color w:val="000000" w:themeColor="text1"/>
        </w:rPr>
        <w:t>ordenar</w:t>
      </w:r>
      <w:r w:rsidR="00094B41">
        <w:rPr>
          <w:rFonts w:ascii="Palatino Linotype" w:hAnsi="Palatino Linotype"/>
          <w:color w:val="000000" w:themeColor="text1"/>
        </w:rPr>
        <w:t xml:space="preserve"> al </w:t>
      </w:r>
      <w:r w:rsidR="00094B41">
        <w:rPr>
          <w:rFonts w:ascii="Palatino Linotype" w:hAnsi="Palatino Linotype"/>
          <w:b/>
          <w:color w:val="000000" w:themeColor="text1"/>
        </w:rPr>
        <w:t>SUJETO OBLIGADO</w:t>
      </w:r>
      <w:r w:rsidR="00094B41">
        <w:rPr>
          <w:rFonts w:ascii="Palatino Linotype" w:hAnsi="Palatino Linotype"/>
          <w:color w:val="000000" w:themeColor="text1"/>
        </w:rPr>
        <w:t xml:space="preserve"> entregue nuevamente el Dictamen, en versión pública, atendiendo las consideraciones establecidas en la Ley de Transparencia y Acceso a la Información Pública del Estado de México y Municipios para realizar una correcta clasificación de la información.</w:t>
      </w:r>
    </w:p>
    <w:p w14:paraId="0C9120CE" w14:textId="77777777" w:rsidR="00B67BD4" w:rsidRDefault="00B67BD4" w:rsidP="00B67BD4">
      <w:pPr>
        <w:pStyle w:val="Prrafodelista"/>
        <w:tabs>
          <w:tab w:val="left" w:pos="426"/>
        </w:tabs>
        <w:spacing w:before="240" w:after="240" w:line="360" w:lineRule="auto"/>
        <w:ind w:left="0" w:right="51"/>
        <w:jc w:val="both"/>
        <w:rPr>
          <w:rFonts w:ascii="Palatino Linotype" w:hAnsi="Palatino Linotype"/>
          <w:color w:val="000000" w:themeColor="text1"/>
        </w:rPr>
      </w:pPr>
    </w:p>
    <w:p w14:paraId="48F586FD" w14:textId="5F3C5844" w:rsidR="00B67BD4" w:rsidRPr="00EF75DE" w:rsidRDefault="00B67BD4"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otro lado, se demostró que la determinación del </w:t>
      </w:r>
      <w:r>
        <w:rPr>
          <w:rFonts w:ascii="Palatino Linotype" w:hAnsi="Palatino Linotype"/>
          <w:b/>
          <w:color w:val="000000" w:themeColor="text1"/>
        </w:rPr>
        <w:t>SUJETO OBLIGADO</w:t>
      </w:r>
      <w:r>
        <w:rPr>
          <w:rFonts w:ascii="Palatino Linotype" w:hAnsi="Palatino Linotype"/>
          <w:color w:val="000000" w:themeColor="text1"/>
        </w:rPr>
        <w:t xml:space="preserve"> de cambiar la modalidad de entrega del expediente </w:t>
      </w:r>
      <w:r w:rsidR="00F5372F">
        <w:rPr>
          <w:rFonts w:ascii="Palatino Linotype" w:hAnsi="Palatino Linotype"/>
          <w:color w:val="000000" w:themeColor="text1"/>
        </w:rPr>
        <w:t xml:space="preserve">CCAMEM/TOL/D/1218/2019, no estaba ni fundada ni motivada, por lo que se </w:t>
      </w:r>
      <w:r w:rsidR="00F5372F">
        <w:rPr>
          <w:rFonts w:ascii="Palatino Linotype" w:hAnsi="Palatino Linotype"/>
          <w:b/>
          <w:color w:val="000000" w:themeColor="text1"/>
        </w:rPr>
        <w:t>ordenó</w:t>
      </w:r>
      <w:r w:rsidR="00F5372F">
        <w:rPr>
          <w:rFonts w:ascii="Palatino Linotype" w:hAnsi="Palatino Linotype"/>
          <w:color w:val="000000" w:themeColor="text1"/>
        </w:rPr>
        <w:t xml:space="preserve"> su entrega en versión pública.</w:t>
      </w:r>
    </w:p>
    <w:p w14:paraId="07E67D9C" w14:textId="306D7B6D" w:rsidR="00F6300E" w:rsidRDefault="00F6300E" w:rsidP="00F6300E">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2DBEF059" w:rsidR="00F01443"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28241C">
        <w:rPr>
          <w:rFonts w:ascii="Palatino Linotype" w:eastAsia="MS Mincho" w:hAnsi="Palatino Linotype" w:cstheme="majorBidi"/>
        </w:rPr>
        <w:t>lo tanto,</w:t>
      </w:r>
      <w:r w:rsidRPr="0028241C">
        <w:rPr>
          <w:rFonts w:ascii="Palatino Linotype" w:eastAsia="MS Mincho" w:hAnsi="Palatino Linotype" w:cstheme="majorBidi"/>
          <w:lang w:val="es-ES"/>
        </w:rPr>
        <w:t xml:space="preserve"> en consecuencia y en mérito de lo expuesto en líneas anteriores, resultan</w:t>
      </w:r>
      <w:r w:rsidR="00094B41">
        <w:rPr>
          <w:rFonts w:ascii="Palatino Linotype" w:eastAsia="MS Mincho" w:hAnsi="Palatino Linotype" w:cstheme="majorBidi"/>
          <w:lang w:val="es-ES"/>
        </w:rPr>
        <w:t xml:space="preserve"> parcialmente</w:t>
      </w:r>
      <w:r>
        <w:rPr>
          <w:rFonts w:ascii="Palatino Linotype" w:eastAsia="MS Mincho" w:hAnsi="Palatino Linotype" w:cstheme="majorBidi"/>
          <w:lang w:val="es-ES"/>
        </w:rPr>
        <w:t xml:space="preserve"> </w:t>
      </w:r>
      <w:r w:rsidRPr="0028241C">
        <w:rPr>
          <w:rFonts w:ascii="Palatino Linotype" w:eastAsia="MS Mincho" w:hAnsi="Palatino Linotype" w:cstheme="majorBidi"/>
          <w:lang w:val="es-ES"/>
        </w:rPr>
        <w:t xml:space="preserve">fundadas las razones o motivos de inconformidad hechos valer por el </w:t>
      </w:r>
      <w:r w:rsidRPr="0028241C">
        <w:rPr>
          <w:rFonts w:ascii="Palatino Linotype" w:eastAsia="MS Mincho" w:hAnsi="Palatino Linotype" w:cstheme="majorBidi"/>
          <w:b/>
          <w:lang w:val="es-ES"/>
        </w:rPr>
        <w:t>RECURRENTE</w:t>
      </w:r>
      <w:r w:rsidRPr="0028241C">
        <w:rPr>
          <w:rFonts w:ascii="Palatino Linotype" w:eastAsia="MS Mincho" w:hAnsi="Palatino Linotype" w:cstheme="majorBidi"/>
          <w:lang w:val="es-ES"/>
        </w:rPr>
        <w:t xml:space="preserve"> dentro de</w:t>
      </w:r>
      <w:r w:rsidR="00F5372F">
        <w:rPr>
          <w:rFonts w:ascii="Palatino Linotype" w:eastAsia="MS Mincho" w:hAnsi="Palatino Linotype" w:cstheme="majorBidi"/>
          <w:lang w:val="es-ES"/>
        </w:rPr>
        <w:t xml:space="preserve"> </w:t>
      </w:r>
      <w:r w:rsidRPr="0028241C">
        <w:rPr>
          <w:rFonts w:ascii="Palatino Linotype" w:eastAsia="MS Mincho" w:hAnsi="Palatino Linotype" w:cstheme="majorBidi"/>
          <w:lang w:val="es-ES"/>
        </w:rPr>
        <w:t>l</w:t>
      </w:r>
      <w:r w:rsidR="00F5372F">
        <w:rPr>
          <w:rFonts w:ascii="Palatino Linotype" w:eastAsia="MS Mincho" w:hAnsi="Palatino Linotype" w:cstheme="majorBidi"/>
          <w:lang w:val="es-ES"/>
        </w:rPr>
        <w:t>os</w:t>
      </w:r>
      <w:r w:rsidRPr="0028241C">
        <w:rPr>
          <w:rFonts w:ascii="Palatino Linotype" w:eastAsia="MS Mincho" w:hAnsi="Palatino Linotype" w:cstheme="majorBidi"/>
          <w:lang w:val="es-ES"/>
        </w:rPr>
        <w:t xml:space="preserve"> recurso</w:t>
      </w:r>
      <w:r w:rsidR="00F5372F">
        <w:rPr>
          <w:rFonts w:ascii="Palatino Linotype" w:eastAsia="MS Mincho" w:hAnsi="Palatino Linotype" w:cstheme="majorBidi"/>
          <w:lang w:val="es-ES"/>
        </w:rPr>
        <w:t>s</w:t>
      </w:r>
      <w:r w:rsidRPr="0028241C">
        <w:rPr>
          <w:rFonts w:ascii="Palatino Linotype" w:eastAsia="MS Mincho" w:hAnsi="Palatino Linotype" w:cstheme="majorBidi"/>
          <w:lang w:val="es-ES"/>
        </w:rPr>
        <w:t xml:space="preserve"> de revisión </w:t>
      </w:r>
      <w:r w:rsidR="00B67B60">
        <w:rPr>
          <w:rFonts w:ascii="Palatino Linotype" w:eastAsia="MS Mincho" w:hAnsi="Palatino Linotype" w:cstheme="majorBidi"/>
          <w:b/>
          <w:bCs/>
          <w:lang w:val="es-ES"/>
        </w:rPr>
        <w:t>04343/INFOEM/IP/RR/2021</w:t>
      </w:r>
      <w:r w:rsidR="00F5372F">
        <w:rPr>
          <w:rFonts w:ascii="Palatino Linotype" w:eastAsia="MS Mincho" w:hAnsi="Palatino Linotype" w:cstheme="majorBidi"/>
          <w:b/>
          <w:bCs/>
          <w:lang w:val="es-ES"/>
        </w:rPr>
        <w:t xml:space="preserve"> </w:t>
      </w:r>
      <w:r w:rsidR="00F5372F">
        <w:rPr>
          <w:rFonts w:ascii="Palatino Linotype" w:eastAsia="MS Mincho" w:hAnsi="Palatino Linotype" w:cstheme="majorBidi"/>
          <w:bCs/>
          <w:lang w:val="es-ES"/>
        </w:rPr>
        <w:t xml:space="preserve">y </w:t>
      </w:r>
      <w:r w:rsidR="00F5372F">
        <w:rPr>
          <w:rFonts w:ascii="Palatino Linotype" w:eastAsia="MS Mincho" w:hAnsi="Palatino Linotype" w:cstheme="majorBidi"/>
          <w:b/>
          <w:bCs/>
          <w:lang w:val="es-ES"/>
        </w:rPr>
        <w:t>04344/INFOEM/IP/RR/2021</w:t>
      </w:r>
      <w:r w:rsidRPr="0028241C">
        <w:rPr>
          <w:rFonts w:ascii="Palatino Linotype" w:eastAsia="MS Mincho" w:hAnsi="Palatino Linotype" w:cstheme="majorBidi"/>
          <w:lang w:val="es-ES"/>
        </w:rPr>
        <w:t xml:space="preserve">; por ello, y con fundamento en la fracción II del numeral 186 de la Ley de Transparencia y Acceso a la Información Pública del Estado de México y Municipios, se </w:t>
      </w:r>
      <w:r w:rsidR="00094B41">
        <w:rPr>
          <w:rFonts w:ascii="Palatino Linotype" w:eastAsia="MS Mincho" w:hAnsi="Palatino Linotype" w:cstheme="majorBidi"/>
          <w:b/>
          <w:lang w:val="es-ES"/>
        </w:rPr>
        <w:t>REVOCA</w:t>
      </w:r>
      <w:r w:rsidR="00F5372F">
        <w:rPr>
          <w:rFonts w:ascii="Palatino Linotype" w:eastAsia="MS Mincho" w:hAnsi="Palatino Linotype" w:cstheme="majorBidi"/>
          <w:b/>
          <w:lang w:val="es-ES"/>
        </w:rPr>
        <w:t>N</w:t>
      </w:r>
      <w:r w:rsidRPr="0028241C">
        <w:rPr>
          <w:rFonts w:ascii="Palatino Linotype" w:eastAsia="MS Mincho" w:hAnsi="Palatino Linotype" w:cstheme="majorBidi"/>
          <w:lang w:val="es-ES"/>
        </w:rPr>
        <w:t xml:space="preserve"> la</w:t>
      </w:r>
      <w:r w:rsidR="00F5372F">
        <w:rPr>
          <w:rFonts w:ascii="Palatino Linotype" w:eastAsia="MS Mincho" w:hAnsi="Palatino Linotype" w:cstheme="majorBidi"/>
          <w:lang w:val="es-ES"/>
        </w:rPr>
        <w:t>s</w:t>
      </w:r>
      <w:r w:rsidRPr="0028241C">
        <w:rPr>
          <w:rFonts w:ascii="Palatino Linotype" w:eastAsia="MS Mincho" w:hAnsi="Palatino Linotype" w:cstheme="majorBidi"/>
          <w:lang w:val="es-ES"/>
        </w:rPr>
        <w:t xml:space="preserve"> respuesta</w:t>
      </w:r>
      <w:r w:rsidR="00F5372F">
        <w:rPr>
          <w:rFonts w:ascii="Palatino Linotype" w:eastAsia="MS Mincho" w:hAnsi="Palatino Linotype" w:cstheme="majorBidi"/>
          <w:lang w:val="es-ES"/>
        </w:rPr>
        <w:t>s</w:t>
      </w:r>
      <w:r w:rsidRPr="0028241C">
        <w:rPr>
          <w:rFonts w:ascii="Palatino Linotype" w:eastAsia="MS Mincho" w:hAnsi="Palatino Linotype" w:cstheme="majorBidi"/>
          <w:lang w:val="es-ES"/>
        </w:rPr>
        <w:t xml:space="preserve"> a la</w:t>
      </w:r>
      <w:r w:rsidR="00F5372F">
        <w:rPr>
          <w:rFonts w:ascii="Palatino Linotype" w:eastAsia="MS Mincho" w:hAnsi="Palatino Linotype" w:cstheme="majorBidi"/>
          <w:lang w:val="es-ES"/>
        </w:rPr>
        <w:t>s</w:t>
      </w:r>
      <w:r w:rsidRPr="0028241C">
        <w:rPr>
          <w:rFonts w:ascii="Palatino Linotype" w:eastAsia="MS Mincho" w:hAnsi="Palatino Linotype" w:cstheme="majorBidi"/>
          <w:lang w:val="es-ES"/>
        </w:rPr>
        <w:t xml:space="preserve"> solicitud</w:t>
      </w:r>
      <w:r w:rsidR="00F5372F">
        <w:rPr>
          <w:rFonts w:ascii="Palatino Linotype" w:eastAsia="MS Mincho" w:hAnsi="Palatino Linotype" w:cstheme="majorBidi"/>
          <w:lang w:val="es-ES"/>
        </w:rPr>
        <w:t>es</w:t>
      </w:r>
      <w:r w:rsidRPr="0028241C">
        <w:rPr>
          <w:rFonts w:ascii="Palatino Linotype" w:eastAsia="MS Mincho" w:hAnsi="Palatino Linotype" w:cstheme="majorBidi"/>
          <w:lang w:val="es-ES"/>
        </w:rPr>
        <w:t xml:space="preserve"> de información número </w:t>
      </w:r>
      <w:r w:rsidR="00F5372F" w:rsidRPr="00F5372F">
        <w:rPr>
          <w:rFonts w:ascii="Palatino Linotype" w:eastAsia="MS Mincho" w:hAnsi="Palatino Linotype" w:cstheme="majorBidi"/>
          <w:b/>
          <w:lang w:val="es-ES"/>
        </w:rPr>
        <w:t>0022</w:t>
      </w:r>
      <w:r w:rsidR="00F5372F">
        <w:rPr>
          <w:rFonts w:ascii="Palatino Linotype" w:eastAsia="MS Mincho" w:hAnsi="Palatino Linotype" w:cstheme="majorBidi"/>
          <w:b/>
          <w:lang w:val="es-ES"/>
        </w:rPr>
        <w:t>6</w:t>
      </w:r>
      <w:r w:rsidR="00F5372F" w:rsidRPr="00F5372F">
        <w:rPr>
          <w:rFonts w:ascii="Palatino Linotype" w:eastAsia="MS Mincho" w:hAnsi="Palatino Linotype" w:cstheme="majorBidi"/>
          <w:b/>
          <w:lang w:val="es-ES"/>
        </w:rPr>
        <w:t>/CAMEM/IP/2021</w:t>
      </w:r>
      <w:r w:rsidR="00F5372F">
        <w:rPr>
          <w:rFonts w:ascii="Palatino Linotype" w:eastAsia="MS Mincho" w:hAnsi="Palatino Linotype" w:cstheme="majorBidi"/>
          <w:lang w:val="es-ES"/>
        </w:rPr>
        <w:t xml:space="preserve"> y </w:t>
      </w:r>
      <w:r w:rsidR="00B67B60">
        <w:rPr>
          <w:rFonts w:ascii="Palatino Linotype" w:eastAsia="MS Mincho" w:hAnsi="Palatino Linotype" w:cstheme="majorBidi"/>
          <w:b/>
          <w:lang w:val="es-ES"/>
        </w:rPr>
        <w:t>00227/CAMEM/IP/2021</w:t>
      </w:r>
      <w:r w:rsidRPr="0028241C">
        <w:rPr>
          <w:rFonts w:ascii="Palatino Linotype" w:eastAsia="MS Mincho" w:hAnsi="Palatino Linotype" w:cstheme="majorBidi"/>
          <w:lang w:val="es-ES"/>
        </w:rPr>
        <w:t>.</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895335">
        <w:rPr>
          <w:rFonts w:ascii="Palatino Linotype" w:hAnsi="Palatino Linotype"/>
          <w:color w:val="000000" w:themeColor="text1"/>
        </w:rPr>
        <w:t>--</w:t>
      </w:r>
    </w:p>
    <w:p w14:paraId="18C7D92B" w14:textId="5927CC5A" w:rsidR="009959DB" w:rsidRDefault="009959DB" w:rsidP="009959DB">
      <w:pPr>
        <w:pStyle w:val="Ttulo1"/>
        <w:spacing w:line="360" w:lineRule="auto"/>
        <w:jc w:val="center"/>
        <w:rPr>
          <w:b/>
          <w:color w:val="000000" w:themeColor="text1"/>
          <w:szCs w:val="24"/>
        </w:rPr>
      </w:pPr>
      <w:bookmarkStart w:id="36" w:name="_Toc495427547"/>
      <w:bookmarkStart w:id="37" w:name="_Toc497905366"/>
      <w:bookmarkStart w:id="38" w:name="_Toc88071791"/>
      <w:r w:rsidRPr="008C6062">
        <w:rPr>
          <w:b/>
          <w:color w:val="000000" w:themeColor="text1"/>
          <w:szCs w:val="24"/>
        </w:rPr>
        <w:lastRenderedPageBreak/>
        <w:t>R E S O L U T I V O S</w:t>
      </w:r>
      <w:bookmarkEnd w:id="25"/>
      <w:bookmarkEnd w:id="26"/>
      <w:bookmarkEnd w:id="36"/>
      <w:bookmarkEnd w:id="37"/>
      <w:bookmarkEnd w:id="38"/>
    </w:p>
    <w:p w14:paraId="6741E110" w14:textId="2AB070A7" w:rsidR="002578EE" w:rsidRPr="00D020D3" w:rsidRDefault="002578EE" w:rsidP="002578EE">
      <w:pPr>
        <w:spacing w:line="360" w:lineRule="auto"/>
        <w:jc w:val="both"/>
        <w:rPr>
          <w:rFonts w:ascii="Palatino Linotype" w:eastAsia="Times New Roman" w:hAnsi="Palatino Linotype" w:cs="Times New Roman"/>
        </w:rPr>
      </w:pPr>
      <w:r w:rsidRPr="00CA0640">
        <w:rPr>
          <w:rFonts w:ascii="Palatino Linotype" w:eastAsia="Times New Roman" w:hAnsi="Palatino Linotype" w:cs="Arial"/>
          <w:b/>
          <w:sz w:val="28"/>
          <w:szCs w:val="28"/>
        </w:rPr>
        <w:t>PRIMERO</w:t>
      </w:r>
      <w:r w:rsidRPr="007B222D">
        <w:rPr>
          <w:rFonts w:ascii="Palatino Linotype" w:eastAsia="Times New Roman" w:hAnsi="Palatino Linotype" w:cs="Arial"/>
          <w:b/>
        </w:rPr>
        <w:t xml:space="preserve">. </w:t>
      </w:r>
      <w:r>
        <w:rPr>
          <w:rFonts w:ascii="Palatino Linotype" w:eastAsia="Times New Roman" w:hAnsi="Palatino Linotype" w:cs="Arial"/>
        </w:rPr>
        <w:t xml:space="preserve">Resultan </w:t>
      </w:r>
      <w:r w:rsidR="00AF615F">
        <w:rPr>
          <w:rFonts w:ascii="Palatino Linotype" w:eastAsia="Times New Roman" w:hAnsi="Palatino Linotype" w:cs="Arial"/>
        </w:rPr>
        <w:t xml:space="preserve">parcialmente </w:t>
      </w:r>
      <w:r>
        <w:rPr>
          <w:rFonts w:ascii="Palatino Linotype" w:eastAsia="Times New Roman" w:hAnsi="Palatino Linotype" w:cs="Arial"/>
        </w:rPr>
        <w:t>fundadas</w:t>
      </w:r>
      <w:r w:rsidRPr="007B222D">
        <w:rPr>
          <w:rFonts w:ascii="Palatino Linotype" w:eastAsia="Times New Roman" w:hAnsi="Palatino Linotype" w:cs="Arial"/>
        </w:rPr>
        <w:t xml:space="preserve"> las</w:t>
      </w:r>
      <w:r w:rsidRPr="007B222D">
        <w:rPr>
          <w:rFonts w:ascii="Palatino Linotype" w:eastAsia="Times New Roman" w:hAnsi="Palatino Linotype" w:cs="Arial"/>
          <w:b/>
        </w:rPr>
        <w:t xml:space="preserve"> </w:t>
      </w:r>
      <w:r w:rsidRPr="007B222D">
        <w:rPr>
          <w:rFonts w:ascii="Palatino Linotype" w:eastAsia="Times New Roman" w:hAnsi="Palatino Linotype" w:cs="Arial"/>
          <w:lang w:val="es-ES"/>
        </w:rPr>
        <w:t xml:space="preserve">razones o motivos de inconformidad hechos valer </w:t>
      </w:r>
      <w:r>
        <w:rPr>
          <w:rFonts w:ascii="Palatino Linotype" w:eastAsia="Calibri" w:hAnsi="Palatino Linotype" w:cs="Arial"/>
          <w:lang w:val="es-ES"/>
        </w:rPr>
        <w:t xml:space="preserve">en </w:t>
      </w:r>
      <w:r w:rsidR="00A13400">
        <w:rPr>
          <w:rFonts w:ascii="Palatino Linotype" w:eastAsia="Calibri" w:hAnsi="Palatino Linotype" w:cs="Arial"/>
          <w:lang w:val="es-ES"/>
        </w:rPr>
        <w:t>los</w:t>
      </w:r>
      <w:r w:rsidRPr="007B222D">
        <w:rPr>
          <w:rFonts w:ascii="Palatino Linotype" w:eastAsia="Calibri" w:hAnsi="Palatino Linotype" w:cs="Arial"/>
          <w:lang w:val="es-ES"/>
        </w:rPr>
        <w:t xml:space="preserve"> </w:t>
      </w:r>
      <w:r w:rsidRPr="001607E7">
        <w:rPr>
          <w:rFonts w:ascii="Palatino Linotype" w:eastAsia="Calibri" w:hAnsi="Palatino Linotype" w:cs="Arial"/>
          <w:lang w:val="es-ES"/>
        </w:rPr>
        <w:t>recurso</w:t>
      </w:r>
      <w:r w:rsidR="00A13400">
        <w:rPr>
          <w:rFonts w:ascii="Palatino Linotype" w:eastAsia="Calibri" w:hAnsi="Palatino Linotype" w:cs="Arial"/>
          <w:lang w:val="es-ES"/>
        </w:rPr>
        <w:t>s</w:t>
      </w:r>
      <w:r w:rsidRPr="001607E7">
        <w:rPr>
          <w:rFonts w:ascii="Palatino Linotype" w:eastAsia="Calibri" w:hAnsi="Palatino Linotype" w:cs="Arial"/>
          <w:lang w:val="es-ES"/>
        </w:rPr>
        <w:t xml:space="preserve"> de revisión </w:t>
      </w:r>
      <w:r w:rsidR="00B67B60">
        <w:rPr>
          <w:rFonts w:ascii="Palatino Linotype" w:eastAsia="Times New Roman" w:hAnsi="Palatino Linotype" w:cs="Times New Roman"/>
          <w:b/>
        </w:rPr>
        <w:t>04343/INFOEM/IP/RR/</w:t>
      </w:r>
      <w:r w:rsidR="00B67B60" w:rsidRPr="00A13400">
        <w:rPr>
          <w:rFonts w:ascii="Palatino Linotype" w:eastAsia="Times New Roman" w:hAnsi="Palatino Linotype" w:cs="Times New Roman"/>
          <w:b/>
        </w:rPr>
        <w:t>2021</w:t>
      </w:r>
      <w:r w:rsidR="00A13400">
        <w:rPr>
          <w:rFonts w:ascii="Palatino Linotype" w:eastAsia="Times New Roman" w:hAnsi="Palatino Linotype" w:cs="Times New Roman"/>
        </w:rPr>
        <w:t xml:space="preserve"> y </w:t>
      </w:r>
      <w:r w:rsidR="00A13400">
        <w:rPr>
          <w:rFonts w:ascii="Palatino Linotype" w:eastAsia="Times New Roman" w:hAnsi="Palatino Linotype" w:cs="Times New Roman"/>
          <w:b/>
        </w:rPr>
        <w:t xml:space="preserve">04344/INFOEM/IP/RR/2021 </w:t>
      </w:r>
      <w:r w:rsidRPr="00A13400">
        <w:rPr>
          <w:rFonts w:ascii="Palatino Linotype" w:eastAsia="Times New Roman" w:hAnsi="Palatino Linotype" w:cs="Times New Roman"/>
        </w:rPr>
        <w:t>en</w:t>
      </w:r>
      <w:r w:rsidRPr="001607E7">
        <w:rPr>
          <w:rFonts w:ascii="Palatino Linotype" w:eastAsia="Times New Roman" w:hAnsi="Palatino Linotype" w:cs="Times New Roman"/>
        </w:rPr>
        <w:t xml:space="preserve"> términos de</w:t>
      </w:r>
      <w:r>
        <w:rPr>
          <w:rFonts w:ascii="Palatino Linotype" w:eastAsia="Times New Roman" w:hAnsi="Palatino Linotype" w:cs="Times New Roman"/>
        </w:rPr>
        <w:t xml:space="preserve"> </w:t>
      </w:r>
      <w:r w:rsidRPr="001607E7">
        <w:rPr>
          <w:rFonts w:ascii="Palatino Linotype" w:eastAsia="Times New Roman" w:hAnsi="Palatino Linotype" w:cs="Times New Roman"/>
        </w:rPr>
        <w:t>l</w:t>
      </w:r>
      <w:r>
        <w:rPr>
          <w:rFonts w:ascii="Palatino Linotype" w:eastAsia="Times New Roman" w:hAnsi="Palatino Linotype" w:cs="Times New Roman"/>
        </w:rPr>
        <w:t>os</w:t>
      </w:r>
      <w:r w:rsidRPr="001607E7">
        <w:rPr>
          <w:rFonts w:ascii="Palatino Linotype" w:eastAsia="Times New Roman" w:hAnsi="Palatino Linotype" w:cs="Times New Roman"/>
          <w:b/>
          <w:bCs/>
        </w:rPr>
        <w:t xml:space="preserve"> Considerando</w:t>
      </w:r>
      <w:r>
        <w:rPr>
          <w:rFonts w:ascii="Palatino Linotype" w:eastAsia="Times New Roman" w:hAnsi="Palatino Linotype" w:cs="Times New Roman"/>
          <w:b/>
          <w:bCs/>
        </w:rPr>
        <w:t>s</w:t>
      </w:r>
      <w:r w:rsidRPr="001607E7">
        <w:rPr>
          <w:rFonts w:ascii="Palatino Linotype" w:eastAsia="Times New Roman" w:hAnsi="Palatino Linotype" w:cs="Times New Roman"/>
        </w:rPr>
        <w:t xml:space="preserve"> </w:t>
      </w:r>
      <w:r w:rsidR="00094B41">
        <w:rPr>
          <w:rFonts w:ascii="Palatino Linotype" w:eastAsia="Times New Roman" w:hAnsi="Palatino Linotype" w:cs="Times New Roman"/>
          <w:b/>
        </w:rPr>
        <w:t>CUARTO</w:t>
      </w:r>
      <w:r>
        <w:rPr>
          <w:rFonts w:ascii="Palatino Linotype" w:eastAsia="Times New Roman" w:hAnsi="Palatino Linotype" w:cs="Times New Roman"/>
          <w:b/>
        </w:rPr>
        <w:t xml:space="preserve"> </w:t>
      </w:r>
      <w:r>
        <w:rPr>
          <w:rFonts w:ascii="Palatino Linotype" w:eastAsia="Times New Roman" w:hAnsi="Palatino Linotype" w:cs="Times New Roman"/>
          <w:bCs/>
        </w:rPr>
        <w:t xml:space="preserve">y </w:t>
      </w:r>
      <w:r w:rsidR="00094B41">
        <w:rPr>
          <w:rFonts w:ascii="Palatino Linotype" w:eastAsia="Times New Roman" w:hAnsi="Palatino Linotype" w:cs="Times New Roman"/>
          <w:b/>
        </w:rPr>
        <w:t>QUINTO</w:t>
      </w:r>
      <w:r w:rsidRPr="001607E7">
        <w:rPr>
          <w:rFonts w:ascii="Palatino Linotype" w:eastAsia="Times New Roman" w:hAnsi="Palatino Linotype" w:cs="Times New Roman"/>
          <w:b/>
        </w:rPr>
        <w:t xml:space="preserve"> </w:t>
      </w:r>
      <w:r w:rsidRPr="001607E7">
        <w:rPr>
          <w:rFonts w:ascii="Palatino Linotype" w:eastAsia="Times New Roman" w:hAnsi="Palatino Linotype" w:cs="Times New Roman"/>
        </w:rPr>
        <w:t>de la presente resolución.</w:t>
      </w:r>
    </w:p>
    <w:p w14:paraId="6564027E" w14:textId="77777777" w:rsidR="002578EE" w:rsidRDefault="002578EE" w:rsidP="002578EE">
      <w:pPr>
        <w:spacing w:line="360" w:lineRule="auto"/>
        <w:contextualSpacing/>
        <w:jc w:val="both"/>
        <w:rPr>
          <w:rFonts w:ascii="Palatino Linotype" w:eastAsia="Calibri" w:hAnsi="Palatino Linotype" w:cs="Arial"/>
          <w:b/>
          <w:bCs/>
          <w:lang w:val="es-ES"/>
        </w:rPr>
      </w:pPr>
    </w:p>
    <w:p w14:paraId="48C09A41" w14:textId="3D921B0E" w:rsidR="002578EE" w:rsidRDefault="002578EE" w:rsidP="002578EE">
      <w:pPr>
        <w:spacing w:line="360" w:lineRule="auto"/>
        <w:contextualSpacing/>
        <w:jc w:val="both"/>
        <w:rPr>
          <w:rFonts w:ascii="Palatino Linotype" w:eastAsia="Times New Roman" w:hAnsi="Palatino Linotype" w:cs="Arial"/>
          <w:color w:val="000000"/>
        </w:rPr>
      </w:pPr>
      <w:r w:rsidRPr="00CA0640">
        <w:rPr>
          <w:rFonts w:ascii="Palatino Linotype" w:eastAsia="Calibri" w:hAnsi="Palatino Linotype" w:cs="Arial"/>
          <w:b/>
          <w:bCs/>
          <w:sz w:val="28"/>
          <w:szCs w:val="28"/>
          <w:lang w:val="es-ES"/>
        </w:rPr>
        <w:t>SEGUNDO</w:t>
      </w:r>
      <w:r w:rsidRPr="00D92794">
        <w:rPr>
          <w:rFonts w:ascii="Palatino Linotype" w:eastAsia="Calibri" w:hAnsi="Palatino Linotype" w:cs="Arial"/>
          <w:b/>
          <w:bCs/>
          <w:lang w:val="es-ES"/>
        </w:rPr>
        <w:t xml:space="preserve">. </w:t>
      </w:r>
      <w:r w:rsidRPr="00D92794">
        <w:rPr>
          <w:rFonts w:ascii="Palatino Linotype" w:eastAsia="Calibri" w:hAnsi="Palatino Linotype" w:cs="Arial"/>
          <w:lang w:val="es-ES"/>
        </w:rPr>
        <w:t xml:space="preserve">Se </w:t>
      </w:r>
      <w:r w:rsidR="00094B41">
        <w:rPr>
          <w:rFonts w:ascii="Palatino Linotype" w:eastAsia="Calibri" w:hAnsi="Palatino Linotype" w:cs="Arial"/>
          <w:b/>
          <w:lang w:val="es-ES"/>
        </w:rPr>
        <w:t>REVOCA</w:t>
      </w:r>
      <w:r w:rsidR="0010409E">
        <w:rPr>
          <w:rFonts w:ascii="Palatino Linotype" w:eastAsia="Calibri" w:hAnsi="Palatino Linotype" w:cs="Arial"/>
          <w:b/>
          <w:lang w:val="es-ES"/>
        </w:rPr>
        <w:t>N</w:t>
      </w:r>
      <w:r w:rsidRPr="00D92794">
        <w:rPr>
          <w:rFonts w:ascii="Palatino Linotype" w:eastAsia="Calibri" w:hAnsi="Palatino Linotype" w:cs="Arial"/>
          <w:lang w:val="es-ES"/>
        </w:rPr>
        <w:t xml:space="preserve"> la</w:t>
      </w:r>
      <w:r w:rsidR="0010409E">
        <w:rPr>
          <w:rFonts w:ascii="Palatino Linotype" w:eastAsia="Calibri" w:hAnsi="Palatino Linotype" w:cs="Arial"/>
          <w:lang w:val="es-ES"/>
        </w:rPr>
        <w:t>s</w:t>
      </w:r>
      <w:r w:rsidRPr="00D92794">
        <w:rPr>
          <w:rFonts w:ascii="Palatino Linotype" w:eastAsia="Calibri" w:hAnsi="Palatino Linotype" w:cs="Arial"/>
          <w:lang w:val="es-ES"/>
        </w:rPr>
        <w:t xml:space="preserve"> respuesta</w:t>
      </w:r>
      <w:r w:rsidR="0010409E">
        <w:rPr>
          <w:rFonts w:ascii="Palatino Linotype" w:eastAsia="Calibri" w:hAnsi="Palatino Linotype" w:cs="Arial"/>
          <w:lang w:val="es-ES"/>
        </w:rPr>
        <w:t>s</w:t>
      </w:r>
      <w:r w:rsidRPr="00D92794">
        <w:rPr>
          <w:rFonts w:ascii="Palatino Linotype" w:eastAsia="Calibri" w:hAnsi="Palatino Linotype" w:cs="Arial"/>
          <w:lang w:val="es-ES"/>
        </w:rPr>
        <w:t xml:space="preserve"> </w:t>
      </w:r>
      <w:r>
        <w:rPr>
          <w:rFonts w:ascii="Palatino Linotype" w:eastAsia="Calibri" w:hAnsi="Palatino Linotype" w:cs="Arial"/>
          <w:lang w:val="es-ES"/>
        </w:rPr>
        <w:t>emitida</w:t>
      </w:r>
      <w:r w:rsidR="0010409E">
        <w:rPr>
          <w:rFonts w:ascii="Palatino Linotype" w:eastAsia="Calibri" w:hAnsi="Palatino Linotype" w:cs="Arial"/>
          <w:lang w:val="es-ES"/>
        </w:rPr>
        <w:t>s</w:t>
      </w:r>
      <w:r>
        <w:rPr>
          <w:rFonts w:ascii="Palatino Linotype" w:eastAsia="Calibri" w:hAnsi="Palatino Linotype" w:cs="Arial"/>
          <w:lang w:val="es-ES"/>
        </w:rPr>
        <w:t xml:space="preserve"> por la</w:t>
      </w:r>
      <w:r w:rsidRPr="00D92794">
        <w:rPr>
          <w:rFonts w:ascii="Palatino Linotype" w:eastAsia="Calibri" w:hAnsi="Palatino Linotype" w:cs="Arial"/>
          <w:lang w:val="es-ES"/>
        </w:rPr>
        <w:t xml:space="preserve"> </w:t>
      </w:r>
      <w:r w:rsidR="00B67B60">
        <w:rPr>
          <w:rFonts w:ascii="Palatino Linotype" w:eastAsia="Calibri" w:hAnsi="Palatino Linotype" w:cs="Arial"/>
          <w:b/>
        </w:rPr>
        <w:t>Comisión de Conciliación y Arbitraje Médico del Estado de México</w:t>
      </w:r>
      <w:r>
        <w:rPr>
          <w:rFonts w:ascii="Palatino Linotype" w:eastAsia="Calibri" w:hAnsi="Palatino Linotype" w:cs="Arial"/>
          <w:bCs/>
        </w:rPr>
        <w:t xml:space="preserve"> a la</w:t>
      </w:r>
      <w:r w:rsidR="0010409E">
        <w:rPr>
          <w:rFonts w:ascii="Palatino Linotype" w:eastAsia="Calibri" w:hAnsi="Palatino Linotype" w:cs="Arial"/>
          <w:bCs/>
        </w:rPr>
        <w:t>s</w:t>
      </w:r>
      <w:r>
        <w:rPr>
          <w:rFonts w:ascii="Palatino Linotype" w:eastAsia="Calibri" w:hAnsi="Palatino Linotype" w:cs="Arial"/>
          <w:bCs/>
        </w:rPr>
        <w:t xml:space="preserve"> solicitud</w:t>
      </w:r>
      <w:r w:rsidR="0010409E">
        <w:rPr>
          <w:rFonts w:ascii="Palatino Linotype" w:eastAsia="Calibri" w:hAnsi="Palatino Linotype" w:cs="Arial"/>
          <w:bCs/>
        </w:rPr>
        <w:t>es</w:t>
      </w:r>
      <w:r>
        <w:rPr>
          <w:rFonts w:ascii="Palatino Linotype" w:eastAsia="Calibri" w:hAnsi="Palatino Linotype" w:cs="Arial"/>
          <w:bCs/>
        </w:rPr>
        <w:t xml:space="preserve"> </w:t>
      </w:r>
      <w:r w:rsidR="0010409E" w:rsidRPr="0010409E">
        <w:rPr>
          <w:rFonts w:ascii="Palatino Linotype" w:eastAsia="Calibri" w:hAnsi="Palatino Linotype" w:cs="Arial"/>
          <w:b/>
          <w:bCs/>
        </w:rPr>
        <w:t>002</w:t>
      </w:r>
      <w:r w:rsidR="0010409E">
        <w:rPr>
          <w:rFonts w:ascii="Palatino Linotype" w:eastAsia="Calibri" w:hAnsi="Palatino Linotype" w:cs="Arial"/>
          <w:b/>
          <w:bCs/>
        </w:rPr>
        <w:t>26/CAMEM/IP/2021</w:t>
      </w:r>
      <w:r w:rsidR="0010409E">
        <w:rPr>
          <w:rFonts w:ascii="Palatino Linotype" w:eastAsia="Calibri" w:hAnsi="Palatino Linotype" w:cs="Arial"/>
          <w:bCs/>
        </w:rPr>
        <w:t xml:space="preserve"> y </w:t>
      </w:r>
      <w:r w:rsidR="00B67B60">
        <w:rPr>
          <w:rFonts w:ascii="Palatino Linotype" w:eastAsia="Calibri" w:hAnsi="Palatino Linotype" w:cs="Arial"/>
          <w:b/>
        </w:rPr>
        <w:t>00227/CAMEM/IP/2021</w:t>
      </w:r>
      <w:r>
        <w:rPr>
          <w:rFonts w:ascii="Palatino Linotype" w:eastAsia="Calibri" w:hAnsi="Palatino Linotype" w:cs="Arial"/>
          <w:b/>
        </w:rPr>
        <w:t xml:space="preserve"> </w:t>
      </w:r>
      <w:r w:rsidRPr="00D92794">
        <w:rPr>
          <w:rFonts w:ascii="Palatino Linotype" w:eastAsia="Calibri" w:hAnsi="Palatino Linotype" w:cs="Arial"/>
        </w:rPr>
        <w:t xml:space="preserve">y se </w:t>
      </w:r>
      <w:r w:rsidRPr="00D92794">
        <w:rPr>
          <w:rFonts w:ascii="Palatino Linotype" w:eastAsia="Calibri" w:hAnsi="Palatino Linotype" w:cs="Arial"/>
          <w:b/>
        </w:rPr>
        <w:t>ORDENA</w:t>
      </w:r>
      <w:r w:rsidRPr="00D92794">
        <w:rPr>
          <w:rFonts w:ascii="Palatino Linotype" w:eastAsia="Calibri" w:hAnsi="Palatino Linotype" w:cs="Arial"/>
          <w:b/>
          <w:lang w:val="es-ES"/>
        </w:rPr>
        <w:t xml:space="preserve"> </w:t>
      </w:r>
      <w:r w:rsidRPr="00D92794">
        <w:rPr>
          <w:rFonts w:ascii="Palatino Linotype" w:eastAsia="Calibri" w:hAnsi="Palatino Linotype" w:cs="Arial"/>
          <w:lang w:val="es-ES"/>
        </w:rPr>
        <w:t>entregar</w:t>
      </w:r>
      <w:r>
        <w:rPr>
          <w:rFonts w:ascii="Palatino Linotype" w:eastAsia="Calibri" w:hAnsi="Palatino Linotype" w:cs="Arial"/>
          <w:lang w:val="es-ES"/>
        </w:rPr>
        <w:t>,</w:t>
      </w:r>
      <w:r w:rsidRPr="00D92794">
        <w:rPr>
          <w:rFonts w:ascii="Palatino Linotype" w:eastAsia="Calibri" w:hAnsi="Palatino Linotype" w:cs="Arial"/>
          <w:lang w:val="es-ES"/>
        </w:rPr>
        <w:t xml:space="preserve"> </w:t>
      </w:r>
      <w:bookmarkStart w:id="39" w:name="_Toc460947013"/>
      <w:r>
        <w:rPr>
          <w:rFonts w:ascii="Palatino Linotype" w:eastAsia="Calibri" w:hAnsi="Palatino Linotype" w:cs="Arial"/>
          <w:lang w:val="es-ES"/>
        </w:rPr>
        <w:t>a través del Sistema de Acceso a la Información Pública Mexiquense (SAIMEX)</w:t>
      </w:r>
      <w:r w:rsidR="005B4B08">
        <w:rPr>
          <w:rFonts w:ascii="Palatino Linotype" w:eastAsia="Calibri" w:hAnsi="Palatino Linotype" w:cs="Arial"/>
          <w:lang w:val="es-ES"/>
        </w:rPr>
        <w:t xml:space="preserve"> y correo electrónico</w:t>
      </w:r>
      <w:r>
        <w:rPr>
          <w:rFonts w:ascii="Palatino Linotype" w:eastAsia="Times New Roman" w:hAnsi="Palatino Linotype" w:cs="Arial"/>
          <w:color w:val="000000"/>
        </w:rPr>
        <w:t xml:space="preserve">, en versión pública, la siguiente información: </w:t>
      </w:r>
    </w:p>
    <w:p w14:paraId="4DDE7F59" w14:textId="77777777" w:rsidR="00A13400" w:rsidRPr="00A13400" w:rsidRDefault="00A13400" w:rsidP="002578EE">
      <w:pPr>
        <w:spacing w:line="360" w:lineRule="auto"/>
        <w:contextualSpacing/>
        <w:jc w:val="both"/>
        <w:rPr>
          <w:rFonts w:ascii="Palatino Linotype" w:eastAsia="Times New Roman" w:hAnsi="Palatino Linotype" w:cs="Arial"/>
          <w:color w:val="000000"/>
        </w:rPr>
      </w:pPr>
    </w:p>
    <w:p w14:paraId="15221B41" w14:textId="3BBE1BCA" w:rsidR="00094B41" w:rsidRDefault="00094B41" w:rsidP="00577C3F">
      <w:pPr>
        <w:pStyle w:val="Prrafodelista"/>
        <w:numPr>
          <w:ilvl w:val="0"/>
          <w:numId w:val="2"/>
        </w:numPr>
        <w:spacing w:after="240" w:line="360" w:lineRule="auto"/>
        <w:ind w:left="1134" w:right="567" w:hanging="284"/>
        <w:jc w:val="both"/>
        <w:rPr>
          <w:rFonts w:ascii="Palatino Linotype" w:hAnsi="Palatino Linotype"/>
          <w:b/>
          <w:bCs/>
          <w:color w:val="000000"/>
        </w:rPr>
      </w:pPr>
      <w:r>
        <w:rPr>
          <w:rFonts w:ascii="Palatino Linotype" w:hAnsi="Palatino Linotype"/>
          <w:b/>
          <w:bCs/>
          <w:color w:val="000000"/>
        </w:rPr>
        <w:t>Dictamen Técnico</w:t>
      </w:r>
      <w:r w:rsidR="00AF615F">
        <w:rPr>
          <w:rFonts w:ascii="Palatino Linotype" w:hAnsi="Palatino Linotype"/>
          <w:b/>
          <w:bCs/>
          <w:color w:val="000000"/>
        </w:rPr>
        <w:t xml:space="preserve"> </w:t>
      </w:r>
      <w:r>
        <w:rPr>
          <w:rFonts w:ascii="Palatino Linotype" w:hAnsi="Palatino Linotype"/>
          <w:b/>
          <w:bCs/>
          <w:color w:val="000000"/>
        </w:rPr>
        <w:t>-</w:t>
      </w:r>
      <w:r w:rsidR="00AF615F">
        <w:rPr>
          <w:rFonts w:ascii="Palatino Linotype" w:hAnsi="Palatino Linotype"/>
          <w:b/>
          <w:bCs/>
          <w:color w:val="000000"/>
        </w:rPr>
        <w:t xml:space="preserve"> </w:t>
      </w:r>
      <w:r>
        <w:rPr>
          <w:rFonts w:ascii="Palatino Linotype" w:hAnsi="Palatino Linotype"/>
          <w:b/>
          <w:bCs/>
          <w:color w:val="000000"/>
        </w:rPr>
        <w:t xml:space="preserve">Médico Institucional, solicitado por la Visitaduría General, con sede Ecatepec, de la Comisión de Derechos Humanos del Estado de México, en el </w:t>
      </w:r>
      <w:r w:rsidR="005B4B08">
        <w:rPr>
          <w:rFonts w:ascii="Palatino Linotype" w:hAnsi="Palatino Linotype"/>
          <w:b/>
          <w:bCs/>
          <w:color w:val="000000"/>
        </w:rPr>
        <w:t>ex</w:t>
      </w:r>
      <w:r w:rsidR="0010409E">
        <w:rPr>
          <w:rFonts w:ascii="Palatino Linotype" w:hAnsi="Palatino Linotype"/>
          <w:b/>
          <w:bCs/>
          <w:color w:val="000000"/>
        </w:rPr>
        <w:t>pediente CCAMEM/TOL/D/1218/2019; y</w:t>
      </w:r>
    </w:p>
    <w:p w14:paraId="2924C9CB" w14:textId="46BA25C6" w:rsidR="0010409E" w:rsidRDefault="0010409E" w:rsidP="00577C3F">
      <w:pPr>
        <w:pStyle w:val="Prrafodelista"/>
        <w:numPr>
          <w:ilvl w:val="0"/>
          <w:numId w:val="2"/>
        </w:numPr>
        <w:spacing w:after="240" w:line="360" w:lineRule="auto"/>
        <w:ind w:left="1134" w:right="567" w:hanging="284"/>
        <w:jc w:val="both"/>
        <w:rPr>
          <w:rFonts w:ascii="Palatino Linotype" w:hAnsi="Palatino Linotype"/>
          <w:b/>
          <w:bCs/>
          <w:color w:val="000000"/>
        </w:rPr>
      </w:pPr>
      <w:r>
        <w:rPr>
          <w:rFonts w:ascii="Palatino Linotype" w:hAnsi="Palatino Linotype"/>
          <w:b/>
          <w:bCs/>
          <w:color w:val="000000"/>
        </w:rPr>
        <w:t>Expediente completo identificado con el número CCAMEM/TOL/D/1218/2019.</w:t>
      </w:r>
    </w:p>
    <w:p w14:paraId="79F14550" w14:textId="77777777" w:rsidR="00094B41" w:rsidRDefault="00094B41" w:rsidP="002578EE">
      <w:pPr>
        <w:tabs>
          <w:tab w:val="left" w:pos="993"/>
        </w:tabs>
        <w:spacing w:line="360" w:lineRule="auto"/>
        <w:jc w:val="both"/>
        <w:rPr>
          <w:rFonts w:ascii="Palatino Linotype" w:hAnsi="Palatino Linotype"/>
          <w:color w:val="000000"/>
        </w:rPr>
      </w:pPr>
    </w:p>
    <w:p w14:paraId="728BDEF3" w14:textId="0A468F08" w:rsidR="002578EE" w:rsidRDefault="002578EE" w:rsidP="002578EE">
      <w:pPr>
        <w:tabs>
          <w:tab w:val="left" w:pos="993"/>
        </w:tabs>
        <w:spacing w:line="360" w:lineRule="auto"/>
        <w:jc w:val="both"/>
        <w:rPr>
          <w:rFonts w:ascii="Palatino Linotype" w:eastAsia="Calibri" w:hAnsi="Palatino Linotype" w:cs="Arial"/>
        </w:rPr>
      </w:pPr>
      <w:r>
        <w:rPr>
          <w:rFonts w:ascii="Palatino Linotype" w:hAnsi="Palatino Linotype"/>
          <w:color w:val="000000"/>
        </w:rPr>
        <w:t xml:space="preserve">Para </w:t>
      </w:r>
      <w:r w:rsidRPr="00EF01CE">
        <w:rPr>
          <w:rFonts w:ascii="Palatino Linotype" w:eastAsia="Calibri" w:hAnsi="Palatino Linotype" w:cs="Arial"/>
        </w:rPr>
        <w:t>efectos de lo anterior se deberá emitir el Acuerdo del Comité de Transparencia</w:t>
      </w:r>
      <w:r w:rsidR="00A0191E">
        <w:rPr>
          <w:rFonts w:ascii="Palatino Linotype" w:eastAsia="Calibri" w:hAnsi="Palatino Linotype" w:cs="Arial"/>
        </w:rPr>
        <w:t>,</w:t>
      </w:r>
      <w:r w:rsidRPr="00EF01CE">
        <w:rPr>
          <w:rFonts w:ascii="Palatino Linotype" w:eastAsia="Calibri" w:hAnsi="Palatino Linotype" w:cs="Arial"/>
        </w:rPr>
        <w:t xml:space="preserve"> en términos de los artículos 49</w:t>
      </w:r>
      <w:r w:rsidR="00A0191E">
        <w:rPr>
          <w:rFonts w:ascii="Palatino Linotype" w:eastAsia="Calibri" w:hAnsi="Palatino Linotype" w:cs="Arial"/>
        </w:rPr>
        <w:t>,</w:t>
      </w:r>
      <w:r w:rsidRPr="00EF01CE">
        <w:rPr>
          <w:rFonts w:ascii="Palatino Linotype" w:eastAsia="Calibri" w:hAnsi="Palatino Linotype" w:cs="Arial"/>
        </w:rPr>
        <w:t xml:space="preserve"> fracción VIII</w:t>
      </w:r>
      <w:r w:rsidR="00A0191E">
        <w:rPr>
          <w:rFonts w:ascii="Palatino Linotype" w:eastAsia="Calibri" w:hAnsi="Palatino Linotype" w:cs="Arial"/>
        </w:rPr>
        <w:t>,</w:t>
      </w:r>
      <w:r w:rsidRPr="00EF01CE">
        <w:rPr>
          <w:rFonts w:ascii="Palatino Linotype" w:eastAsia="Calibri" w:hAnsi="Palatino Linotype" w:cs="Arial"/>
        </w:rPr>
        <w:t xml:space="preserve"> y 132</w:t>
      </w:r>
      <w:r w:rsidR="00A0191E">
        <w:rPr>
          <w:rFonts w:ascii="Palatino Linotype" w:eastAsia="Calibri" w:hAnsi="Palatino Linotype" w:cs="Arial"/>
        </w:rPr>
        <w:t>,</w:t>
      </w:r>
      <w:r w:rsidRPr="00EF01CE">
        <w:rPr>
          <w:rFonts w:ascii="Palatino Linotype" w:eastAsia="Calibri" w:hAnsi="Palatino Linotype" w:cs="Arial"/>
        </w:rPr>
        <w:t xml:space="preserve"> fracción II</w:t>
      </w:r>
      <w:r w:rsidR="00A0191E">
        <w:rPr>
          <w:rFonts w:ascii="Palatino Linotype" w:eastAsia="Calibri" w:hAnsi="Palatino Linotype" w:cs="Arial"/>
        </w:rPr>
        <w:t>,</w:t>
      </w:r>
      <w:r w:rsidRPr="00EF01CE">
        <w:rPr>
          <w:rFonts w:ascii="Palatino Linotype" w:eastAsia="Calibri" w:hAnsi="Palatino Linotype" w:cs="Arial"/>
        </w:rPr>
        <w:t xml:space="preserve"> de la Ley de Transparencia y Acceso a la Información Pública del Estado de México y Municipios, </w:t>
      </w:r>
      <w:r w:rsidRPr="00EF01CE">
        <w:rPr>
          <w:rFonts w:ascii="Palatino Linotype" w:eastAsia="Calibri" w:hAnsi="Palatino Linotype" w:cs="Arial"/>
        </w:rPr>
        <w:lastRenderedPageBreak/>
        <w:t>en el que funde y motive las razones sobre los datos que se supriman o eliminen dentro del soporte documental respectivo objeto de las versiones públicas que se formulen</w:t>
      </w:r>
      <w:r>
        <w:rPr>
          <w:rFonts w:ascii="Palatino Linotype" w:eastAsia="Calibri" w:hAnsi="Palatino Linotype" w:cs="Arial"/>
        </w:rPr>
        <w:t xml:space="preserve"> y se ponga a disposición del </w:t>
      </w:r>
      <w:r>
        <w:rPr>
          <w:rFonts w:ascii="Palatino Linotype" w:eastAsia="Calibri" w:hAnsi="Palatino Linotype" w:cs="Arial"/>
          <w:b/>
        </w:rPr>
        <w:t>RECURRENTE</w:t>
      </w:r>
      <w:r w:rsidRPr="00EF01CE">
        <w:rPr>
          <w:rFonts w:ascii="Palatino Linotype" w:eastAsia="Calibri" w:hAnsi="Palatino Linotype" w:cs="Arial"/>
        </w:rPr>
        <w:t>.</w:t>
      </w:r>
    </w:p>
    <w:p w14:paraId="073CE815" w14:textId="77777777" w:rsidR="0010409E" w:rsidRDefault="0010409E" w:rsidP="002578EE">
      <w:pPr>
        <w:tabs>
          <w:tab w:val="left" w:pos="993"/>
        </w:tabs>
        <w:spacing w:line="360" w:lineRule="auto"/>
        <w:jc w:val="both"/>
        <w:rPr>
          <w:rFonts w:ascii="Palatino Linotype" w:eastAsia="Calibri" w:hAnsi="Palatino Linotype" w:cs="Arial"/>
        </w:rPr>
      </w:pPr>
    </w:p>
    <w:p w14:paraId="74BE47E0" w14:textId="7592BC44" w:rsidR="002578EE" w:rsidRDefault="0010409E" w:rsidP="0010409E">
      <w:pPr>
        <w:tabs>
          <w:tab w:val="left" w:pos="993"/>
        </w:tabs>
        <w:spacing w:line="360" w:lineRule="auto"/>
        <w:jc w:val="both"/>
        <w:rPr>
          <w:rFonts w:ascii="Palatino Linotype" w:hAnsi="Palatino Linotype"/>
          <w:color w:val="222222"/>
          <w:shd w:val="clear" w:color="auto" w:fill="FFFFFF"/>
        </w:rPr>
      </w:pPr>
      <w:r>
        <w:rPr>
          <w:rFonts w:ascii="Palatino Linotype" w:eastAsia="Calibri" w:hAnsi="Palatino Linotype" w:cs="Arial"/>
        </w:rPr>
        <w:t xml:space="preserve">Por otro lado, en el </w:t>
      </w:r>
      <w:r>
        <w:rPr>
          <w:rFonts w:ascii="Palatino Linotype" w:hAnsi="Palatino Linotype"/>
          <w:color w:val="222222"/>
          <w:shd w:val="clear" w:color="auto" w:fill="FFFFFF"/>
        </w:rPr>
        <w:t>caso de que dentro del expediente</w:t>
      </w:r>
      <w:r w:rsidR="001E0672">
        <w:rPr>
          <w:rFonts w:ascii="Palatino Linotype" w:hAnsi="Palatino Linotype"/>
          <w:color w:val="222222"/>
          <w:shd w:val="clear" w:color="auto" w:fill="FFFFFF"/>
        </w:rPr>
        <w:t xml:space="preserve"> que se ordena entregar</w:t>
      </w:r>
      <w:r>
        <w:rPr>
          <w:rFonts w:ascii="Palatino Linotype" w:hAnsi="Palatino Linotype"/>
          <w:color w:val="222222"/>
          <w:shd w:val="clear" w:color="auto" w:fill="FFFFFF"/>
        </w:rPr>
        <w:t xml:space="preserve"> se</w:t>
      </w:r>
      <w:r>
        <w:rPr>
          <w:rFonts w:ascii="Palatino Linotype" w:hAnsi="Palatino Linotype"/>
        </w:rPr>
        <w:t xml:space="preserve"> contengan documentos completos susceptibles de ser clasificados como confidenciales</w:t>
      </w:r>
      <w:r w:rsidRPr="00F8739B">
        <w:rPr>
          <w:rFonts w:ascii="Palatino Linotype" w:hAnsi="Palatino Linotype"/>
        </w:rPr>
        <w:t xml:space="preserve">, </w:t>
      </w:r>
      <w:r>
        <w:rPr>
          <w:rFonts w:ascii="Palatino Linotype" w:hAnsi="Palatino Linotype"/>
        </w:rPr>
        <w:t xml:space="preserve">el </w:t>
      </w:r>
      <w:r>
        <w:rPr>
          <w:rFonts w:ascii="Palatino Linotype" w:hAnsi="Palatino Linotype"/>
          <w:b/>
        </w:rPr>
        <w:t xml:space="preserve">SUJETO OBLIGADO </w:t>
      </w:r>
      <w:r w:rsidRPr="00F8739B">
        <w:rPr>
          <w:rFonts w:ascii="Palatino Linotype" w:hAnsi="Palatino Linotype"/>
          <w:color w:val="222222"/>
          <w:shd w:val="clear" w:color="auto" w:fill="FFFFFF"/>
        </w:rPr>
        <w:t xml:space="preserve">deberá emitir y notificar el Acuerdo del Comité de Transparencia en términos del artículo </w:t>
      </w:r>
      <w:r>
        <w:rPr>
          <w:rFonts w:ascii="Palatino Linotype" w:hAnsi="Palatino Linotype"/>
          <w:color w:val="222222"/>
          <w:shd w:val="clear" w:color="auto" w:fill="FFFFFF"/>
        </w:rPr>
        <w:t>143</w:t>
      </w:r>
      <w:r w:rsidRPr="00F8739B">
        <w:rPr>
          <w:rFonts w:ascii="Palatino Linotype" w:hAnsi="Palatino Linotype"/>
          <w:color w:val="222222"/>
          <w:shd w:val="clear" w:color="auto" w:fill="FFFFFF"/>
        </w:rPr>
        <w:t xml:space="preserve"> y demás aplicables de la Ley de Transparencia y Acceso a la Información Pública del Estado de México y Municipios, en el que funde y motive las razones por las cuales </w:t>
      </w:r>
      <w:r>
        <w:rPr>
          <w:rFonts w:ascii="Palatino Linotype" w:hAnsi="Palatino Linotype"/>
          <w:color w:val="222222"/>
          <w:shd w:val="clear" w:color="auto" w:fill="FFFFFF"/>
        </w:rPr>
        <w:t>se restringa su acceso</w:t>
      </w:r>
      <w:r w:rsidRPr="00F8739B">
        <w:rPr>
          <w:rFonts w:ascii="Palatino Linotype" w:hAnsi="Palatino Linotype"/>
          <w:color w:val="222222"/>
          <w:shd w:val="clear" w:color="auto" w:fill="FFFFFF"/>
        </w:rPr>
        <w:t>.</w:t>
      </w:r>
    </w:p>
    <w:p w14:paraId="4F6C29DA" w14:textId="77777777" w:rsidR="0010409E" w:rsidRDefault="0010409E" w:rsidP="0010409E">
      <w:pPr>
        <w:tabs>
          <w:tab w:val="left" w:pos="993"/>
        </w:tabs>
        <w:spacing w:line="360" w:lineRule="auto"/>
        <w:jc w:val="both"/>
        <w:rPr>
          <w:rFonts w:ascii="Palatino Linotype" w:eastAsia="Calibri" w:hAnsi="Palatino Linotype" w:cs="Arial"/>
        </w:rPr>
      </w:pPr>
    </w:p>
    <w:p w14:paraId="42D85AB5" w14:textId="7C7BE52F" w:rsidR="002578EE" w:rsidRDefault="002578EE" w:rsidP="002578EE">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TERCERO</w:t>
      </w:r>
      <w:r w:rsidRPr="00C07697">
        <w:rPr>
          <w:rFonts w:ascii="Palatino Linotype" w:eastAsia="MS Mincho" w:hAnsi="Palatino Linotype" w:cs="Times New Roman"/>
          <w:b/>
          <w:color w:val="000000"/>
        </w:rPr>
        <w:t>.</w:t>
      </w:r>
      <w:r w:rsidRPr="007B222D">
        <w:rPr>
          <w:rFonts w:ascii="Palatino Linotype" w:eastAsia="MS Mincho" w:hAnsi="Palatino Linotype" w:cs="Times New Roman"/>
          <w:color w:val="000000"/>
        </w:rPr>
        <w:t xml:space="preserve"> Notifíquese al Titular de la Unidad de Transparencia del</w:t>
      </w:r>
      <w:r w:rsidRPr="007B222D">
        <w:rPr>
          <w:rFonts w:ascii="Palatino Linotype" w:eastAsia="MS Mincho" w:hAnsi="Palatino Linotype" w:cs="Times New Roman"/>
          <w:b/>
          <w:color w:val="000000"/>
        </w:rPr>
        <w:t xml:space="preserve"> </w:t>
      </w:r>
      <w:r w:rsidRPr="00EF4DE0">
        <w:rPr>
          <w:rFonts w:ascii="Palatino Linotype" w:eastAsia="MS Mincho" w:hAnsi="Palatino Linotype" w:cs="Times New Roman"/>
          <w:b/>
          <w:color w:val="000000"/>
        </w:rPr>
        <w:t>SUJETO OBLIGADO</w:t>
      </w:r>
      <w:r w:rsidRPr="007B222D">
        <w:rPr>
          <w:rFonts w:ascii="Palatino Linotype" w:eastAsia="MS Mincho" w:hAnsi="Palatino Linotype" w:cs="Times New Roman"/>
          <w:color w:val="000000"/>
        </w:rPr>
        <w:t xml:space="preserve">, para que conforme a los artículos 186 último párrafo, 189 párrafo segundo y 199 de la Ley de Transparencia y Acceso a la Información Pública del Estado de México y Municipios, vigente, dé cumplimiento a lo ordenado dentro del plazo de </w:t>
      </w:r>
      <w:r w:rsidR="005B4B08">
        <w:rPr>
          <w:rFonts w:ascii="Palatino Linotype" w:eastAsia="MS Mincho" w:hAnsi="Palatino Linotype" w:cs="Times New Roman"/>
          <w:color w:val="000000"/>
        </w:rPr>
        <w:t>diez</w:t>
      </w:r>
      <w:r w:rsidRPr="007B222D">
        <w:rPr>
          <w:rFonts w:ascii="Palatino Linotype" w:eastAsia="MS Mincho" w:hAnsi="Palatino Linotype" w:cs="Times New Roman"/>
          <w:color w:val="000000"/>
        </w:rPr>
        <w:t xml:space="preserve"> días hábiles, debiendo rendir a este Instituto el informe de cumplimiento de la resolución en un plazo de tres días hábiles posteriores.</w:t>
      </w:r>
    </w:p>
    <w:p w14:paraId="011C9A37" w14:textId="77777777" w:rsidR="002578EE" w:rsidRDefault="002578EE" w:rsidP="002578EE">
      <w:pPr>
        <w:spacing w:line="360" w:lineRule="auto"/>
        <w:jc w:val="both"/>
        <w:rPr>
          <w:rFonts w:ascii="Palatino Linotype" w:eastAsia="MS Mincho" w:hAnsi="Palatino Linotype" w:cs="Times New Roman"/>
          <w:color w:val="000000"/>
        </w:rPr>
      </w:pPr>
    </w:p>
    <w:p w14:paraId="4154D5E5" w14:textId="77777777" w:rsidR="002578EE" w:rsidRDefault="002578EE" w:rsidP="002578EE">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bCs/>
          <w:color w:val="000000"/>
          <w:sz w:val="28"/>
          <w:szCs w:val="28"/>
        </w:rPr>
        <w:t>CUARTO</w:t>
      </w:r>
      <w:r w:rsidRPr="005142A8">
        <w:rPr>
          <w:rFonts w:ascii="Palatino Linotype" w:eastAsia="MS Mincho" w:hAnsi="Palatino Linotype" w:cs="Times New Roman"/>
          <w:b/>
          <w:bCs/>
          <w:color w:val="000000"/>
        </w:rPr>
        <w:t>.</w:t>
      </w:r>
      <w:r>
        <w:rPr>
          <w:rFonts w:ascii="Palatino Linotype" w:eastAsia="MS Mincho" w:hAnsi="Palatino Linotype" w:cs="Times New Roman"/>
          <w:color w:val="000000"/>
        </w:rPr>
        <w:t xml:space="preserve"> </w:t>
      </w:r>
      <w:r w:rsidRPr="005142A8">
        <w:rPr>
          <w:rFonts w:ascii="Palatino Linotype" w:eastAsia="MS Mincho" w:hAnsi="Palatino Linotype" w:cs="Times New Roman"/>
          <w:color w:val="000000"/>
        </w:rPr>
        <w:t xml:space="preserve">De </w:t>
      </w:r>
      <w:r w:rsidRPr="005142A8">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w:t>
      </w:r>
      <w:r w:rsidRPr="005142A8">
        <w:rPr>
          <w:rFonts w:ascii="Palatino Linotype" w:eastAsia="MS Mincho" w:hAnsi="Palatino Linotype" w:cs="Times New Roman"/>
          <w:bCs/>
          <w:color w:val="000000"/>
        </w:rPr>
        <w:lastRenderedPageBreak/>
        <w:t xml:space="preserve">procedente, el </w:t>
      </w:r>
      <w:r w:rsidRPr="005142A8">
        <w:rPr>
          <w:rFonts w:ascii="Palatino Linotype" w:eastAsia="MS Mincho" w:hAnsi="Palatino Linotype" w:cs="Times New Roman"/>
          <w:b/>
          <w:color w:val="000000"/>
        </w:rPr>
        <w:t>SUJETO OBLIGADO,</w:t>
      </w:r>
      <w:r w:rsidRPr="005142A8">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6E9E8895" w14:textId="77777777" w:rsidR="002578EE" w:rsidRPr="007B222D" w:rsidRDefault="002578EE" w:rsidP="002578EE">
      <w:pPr>
        <w:spacing w:line="360" w:lineRule="auto"/>
        <w:jc w:val="both"/>
        <w:rPr>
          <w:rFonts w:ascii="Palatino Linotype" w:eastAsia="MS Mincho" w:hAnsi="Palatino Linotype" w:cs="Times New Roman"/>
          <w:color w:val="000000"/>
        </w:rPr>
      </w:pPr>
    </w:p>
    <w:p w14:paraId="52EAB1FE" w14:textId="77777777" w:rsidR="002578EE" w:rsidRDefault="002578EE" w:rsidP="002578EE">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QUINTO</w:t>
      </w:r>
      <w:r w:rsidRPr="007B222D">
        <w:rPr>
          <w:rFonts w:ascii="Palatino Linotype" w:eastAsia="MS Mincho" w:hAnsi="Palatino Linotype" w:cs="Times New Roman"/>
          <w:b/>
          <w:color w:val="000000"/>
        </w:rPr>
        <w:t xml:space="preserve">. </w:t>
      </w:r>
      <w:r w:rsidRPr="007B222D">
        <w:rPr>
          <w:rFonts w:ascii="Palatino Linotype" w:eastAsia="MS Mincho" w:hAnsi="Palatino Linotype" w:cs="Times New Roman"/>
          <w:color w:val="000000"/>
        </w:rPr>
        <w:t xml:space="preserve">Notifíquese </w:t>
      </w:r>
      <w:r>
        <w:rPr>
          <w:rFonts w:ascii="Palatino Linotype" w:eastAsia="MS Mincho" w:hAnsi="Palatino Linotype" w:cs="Times New Roman"/>
          <w:color w:val="000000"/>
        </w:rPr>
        <w:t xml:space="preserve">al </w:t>
      </w:r>
      <w:r>
        <w:rPr>
          <w:rFonts w:ascii="Palatino Linotype" w:eastAsia="MS Mincho" w:hAnsi="Palatino Linotype" w:cs="Times New Roman"/>
          <w:b/>
          <w:bCs/>
          <w:color w:val="000000"/>
        </w:rPr>
        <w:t>RECURRENTE</w:t>
      </w:r>
      <w:r>
        <w:rPr>
          <w:rFonts w:ascii="Palatino Linotype" w:eastAsia="MS Mincho" w:hAnsi="Palatino Linotype" w:cs="Times New Roman"/>
          <w:color w:val="000000"/>
        </w:rPr>
        <w:t xml:space="preserve"> la p</w:t>
      </w:r>
      <w:r w:rsidRPr="007B222D">
        <w:rPr>
          <w:rFonts w:ascii="Palatino Linotype" w:eastAsia="MS Mincho" w:hAnsi="Palatino Linotype" w:cs="Times New Roman"/>
          <w:color w:val="000000"/>
        </w:rPr>
        <w:t>resente resolución</w:t>
      </w:r>
      <w:r>
        <w:rPr>
          <w:rFonts w:ascii="Palatino Linotype" w:eastAsia="MS Mincho" w:hAnsi="Palatino Linotype" w:cs="Times New Roman"/>
          <w:color w:val="000000"/>
        </w:rPr>
        <w:t>.</w:t>
      </w:r>
    </w:p>
    <w:p w14:paraId="10BB2C7A" w14:textId="77777777" w:rsidR="002578EE" w:rsidRPr="00970362" w:rsidRDefault="002578EE" w:rsidP="002578EE">
      <w:pPr>
        <w:spacing w:line="360" w:lineRule="auto"/>
        <w:jc w:val="both"/>
        <w:rPr>
          <w:rFonts w:ascii="Palatino Linotype" w:hAnsi="Palatino Linotype"/>
          <w:b/>
        </w:rPr>
      </w:pPr>
    </w:p>
    <w:p w14:paraId="77A5F791" w14:textId="0BC77ABA" w:rsidR="002578EE" w:rsidRDefault="002578EE" w:rsidP="002578EE">
      <w:pPr>
        <w:spacing w:line="360" w:lineRule="auto"/>
        <w:jc w:val="both"/>
        <w:rPr>
          <w:rFonts w:ascii="Palatino Linotype" w:eastAsia="MS Mincho" w:hAnsi="Palatino Linotype" w:cs="Times New Roman"/>
          <w:color w:val="000000"/>
          <w:lang w:val="es-ES"/>
        </w:rPr>
      </w:pPr>
      <w:r w:rsidRPr="00CA0640">
        <w:rPr>
          <w:rFonts w:ascii="Palatino Linotype" w:eastAsia="MS Mincho" w:hAnsi="Palatino Linotype" w:cs="Times New Roman"/>
          <w:b/>
          <w:sz w:val="28"/>
          <w:szCs w:val="28"/>
        </w:rPr>
        <w:t>SEXTO</w:t>
      </w:r>
      <w:r w:rsidRPr="007B222D">
        <w:rPr>
          <w:rFonts w:ascii="Palatino Linotype" w:eastAsia="MS Mincho" w:hAnsi="Palatino Linotype" w:cs="Times New Roman"/>
          <w:b/>
          <w:color w:val="000000"/>
        </w:rPr>
        <w:t xml:space="preserve">. </w:t>
      </w:r>
      <w:r w:rsidRPr="007B222D">
        <w:rPr>
          <w:rFonts w:ascii="Palatino Linotype" w:eastAsia="MS Mincho" w:hAnsi="Palatino Linotype" w:cs="Times New Roman"/>
          <w:color w:val="000000"/>
        </w:rPr>
        <w:t xml:space="preserve">Se hace del conocimiento </w:t>
      </w:r>
      <w:r>
        <w:rPr>
          <w:rFonts w:ascii="Palatino Linotype" w:eastAsia="MS Mincho" w:hAnsi="Palatino Linotype" w:cs="Times New Roman"/>
          <w:color w:val="000000"/>
        </w:rPr>
        <w:t xml:space="preserve">del </w:t>
      </w:r>
      <w:r>
        <w:rPr>
          <w:rFonts w:ascii="Palatino Linotype" w:eastAsia="MS Mincho" w:hAnsi="Palatino Linotype" w:cs="Times New Roman"/>
          <w:b/>
          <w:bCs/>
          <w:color w:val="000000"/>
        </w:rPr>
        <w:t>RECURRENTE</w:t>
      </w:r>
      <w:r>
        <w:rPr>
          <w:rFonts w:ascii="Palatino Linotype" w:hAnsi="Palatino Linotype"/>
          <w:b/>
        </w:rPr>
        <w:t xml:space="preserve"> </w:t>
      </w:r>
      <w:r w:rsidRPr="007B222D">
        <w:rPr>
          <w:rFonts w:ascii="Palatino Linotype" w:eastAsia="MS Mincho" w:hAnsi="Palatino Linotype" w:cs="Times New Roman"/>
          <w:color w:val="000000"/>
        </w:rPr>
        <w:t>que</w:t>
      </w:r>
      <w:r>
        <w:rPr>
          <w:rFonts w:ascii="Palatino Linotype" w:eastAsia="MS Mincho" w:hAnsi="Palatino Linotype" w:cs="Times New Roman"/>
          <w:color w:val="000000"/>
        </w:rPr>
        <w:t>,</w:t>
      </w:r>
      <w:r w:rsidRPr="007B222D">
        <w:rPr>
          <w:rFonts w:ascii="Palatino Linotype" w:eastAsia="MS Mincho" w:hAnsi="Palatino Linotype" w:cs="Times New Roman"/>
          <w:color w:val="000000"/>
        </w:rPr>
        <w:t xml:space="preserve"> </w:t>
      </w:r>
      <w:bookmarkEnd w:id="39"/>
      <w:r w:rsidRPr="007B222D">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w:t>
      </w:r>
      <w:r w:rsidRPr="009339CF">
        <w:rPr>
          <w:rFonts w:ascii="Palatino Linotype" w:eastAsia="MS Mincho" w:hAnsi="Palatino Linotype" w:cs="Times New Roman"/>
          <w:color w:val="000000"/>
        </w:rPr>
        <w:t xml:space="preserve">en caso de que considere que la resolución le cause algún perjuicio podrá impugnarla vía </w:t>
      </w:r>
      <w:r w:rsidRPr="009339CF">
        <w:rPr>
          <w:rFonts w:ascii="Palatino Linotype" w:eastAsia="MS Mincho" w:hAnsi="Palatino Linotype" w:cs="Times New Roman"/>
          <w:bCs/>
          <w:color w:val="000000"/>
          <w:lang w:val="es-ES"/>
        </w:rPr>
        <w:t>juicio de amparo</w:t>
      </w:r>
      <w:r>
        <w:rPr>
          <w:rFonts w:ascii="Palatino Linotype" w:eastAsia="MS Mincho" w:hAnsi="Palatino Linotype" w:cs="Times New Roman"/>
          <w:bCs/>
          <w:color w:val="000000"/>
          <w:lang w:val="es-ES"/>
        </w:rPr>
        <w:t xml:space="preserve"> </w:t>
      </w:r>
      <w:r w:rsidRPr="009339CF">
        <w:rPr>
          <w:rFonts w:ascii="Palatino Linotype" w:eastAsia="MS Mincho" w:hAnsi="Palatino Linotype" w:cs="Times New Roman"/>
          <w:color w:val="000000"/>
          <w:lang w:val="es-ES"/>
        </w:rPr>
        <w:t>en los términos de las Leyes aplicables.</w:t>
      </w:r>
    </w:p>
    <w:p w14:paraId="35177F2C" w14:textId="77777777" w:rsidR="002578EE" w:rsidRDefault="002578EE" w:rsidP="002578EE">
      <w:pPr>
        <w:spacing w:line="360" w:lineRule="auto"/>
        <w:jc w:val="both"/>
        <w:rPr>
          <w:rFonts w:ascii="Palatino Linotype" w:eastAsia="MS Mincho" w:hAnsi="Palatino Linotype" w:cs="Times New Roman"/>
          <w:color w:val="000000"/>
          <w:lang w:val="es-ES"/>
        </w:rPr>
      </w:pPr>
    </w:p>
    <w:p w14:paraId="326A712A" w14:textId="0094E90F" w:rsidR="00895335" w:rsidRDefault="00025266" w:rsidP="00025266">
      <w:pPr>
        <w:pStyle w:val="Prrafodelista"/>
        <w:spacing w:line="360" w:lineRule="auto"/>
        <w:ind w:left="0"/>
        <w:jc w:val="both"/>
        <w:rPr>
          <w:rFonts w:ascii="Palatino Linotype" w:hAnsi="Palatino Linotype" w:cs="Arial"/>
          <w:color w:val="000000" w:themeColor="text1"/>
        </w:rPr>
      </w:pPr>
      <w:r w:rsidRPr="002D6F4B">
        <w:rPr>
          <w:rFonts w:ascii="Palatino Linotype" w:hAnsi="Palatino Linotype"/>
          <w:color w:val="000000" w:themeColor="text1"/>
        </w:rPr>
        <w:t xml:space="preserve">ASÍ LO </w:t>
      </w:r>
      <w:r w:rsidRPr="002B0692">
        <w:rPr>
          <w:rFonts w:ascii="Palatino Linotype" w:hAnsi="Palatino Linotype"/>
          <w:color w:val="000000" w:themeColor="text1"/>
        </w:rPr>
        <w:t>RESUELVE, POR UNANIMIDAD DE VOTOS</w:t>
      </w:r>
      <w:r w:rsidRPr="002D6F4B">
        <w:rPr>
          <w:rFonts w:ascii="Palatino Linotype" w:hAnsi="Palatino Linotype"/>
          <w:color w:val="000000" w:themeColor="text1"/>
        </w:rPr>
        <w:t xml:space="preserve">, EL PLENO DEL INSTITUTO DE TRANSPARENCIA, ACCESO A LA INFORMACIÓN PÚBLICA Y PROTECCIÓN DE DATOS PERSONALES DEL ESTADO DE MÉXICO Y MUNICIPIOS, </w:t>
      </w:r>
      <w:r w:rsidRPr="002B0692">
        <w:rPr>
          <w:rFonts w:ascii="Palatino Linotype" w:hAnsi="Palatino Linotype"/>
          <w:color w:val="000000" w:themeColor="text1"/>
        </w:rPr>
        <w:t xml:space="preserve">CONFORMADO POR LOS COMISIONADOS </w:t>
      </w:r>
      <w:r w:rsidR="00A24131" w:rsidRPr="002B0692">
        <w:rPr>
          <w:rFonts w:ascii="Palatino Linotype" w:hAnsi="Palatino Linotype"/>
          <w:color w:val="000000" w:themeColor="text1"/>
        </w:rPr>
        <w:t>JOSÉ MARTÍNEZ VILCHIS, MARÍA DEL ROSARIO MEJÍA AYALA, SHARON MORALES MARTÍNEZ, LUIS GUSTAVO PARRA NORIEGA Y GUADALUPE RAMÍREZ PEÑA</w:t>
      </w:r>
      <w:r w:rsidRPr="002B0692">
        <w:rPr>
          <w:rFonts w:ascii="Palatino Linotype" w:hAnsi="Palatino Linotype"/>
          <w:color w:val="000000" w:themeColor="text1"/>
        </w:rPr>
        <w:t xml:space="preserve">; EN LA </w:t>
      </w:r>
      <w:r w:rsidR="00C6199A">
        <w:rPr>
          <w:rFonts w:ascii="Palatino Linotype" w:hAnsi="Palatino Linotype"/>
          <w:color w:val="000000" w:themeColor="text1"/>
        </w:rPr>
        <w:t>CUADRAGÉSIMA</w:t>
      </w:r>
      <w:r w:rsidR="00A13400" w:rsidRPr="002B0692">
        <w:rPr>
          <w:rFonts w:ascii="Palatino Linotype" w:hAnsi="Palatino Linotype"/>
          <w:color w:val="000000" w:themeColor="text1"/>
        </w:rPr>
        <w:t xml:space="preserve"> SEGUNDA</w:t>
      </w:r>
      <w:r w:rsidRPr="002B0692">
        <w:rPr>
          <w:rFonts w:ascii="Palatino Linotype" w:hAnsi="Palatino Linotype"/>
          <w:color w:val="000000" w:themeColor="text1"/>
        </w:rPr>
        <w:t xml:space="preserve"> SESIÓN ORDINARIA CELEBRADA EL </w:t>
      </w:r>
      <w:r w:rsidR="00A13400" w:rsidRPr="002B0692">
        <w:rPr>
          <w:rFonts w:ascii="Palatino Linotype" w:hAnsi="Palatino Linotype"/>
          <w:color w:val="000000" w:themeColor="text1"/>
        </w:rPr>
        <w:t>VEINTICUATRO (24</w:t>
      </w:r>
      <w:r w:rsidR="005B4B08" w:rsidRPr="002B0692">
        <w:rPr>
          <w:rFonts w:ascii="Palatino Linotype" w:hAnsi="Palatino Linotype"/>
          <w:color w:val="000000" w:themeColor="text1"/>
        </w:rPr>
        <w:t>) DE NOVIEMBRE</w:t>
      </w:r>
      <w:r w:rsidR="00A24131" w:rsidRPr="002B0692">
        <w:rPr>
          <w:rFonts w:ascii="Palatino Linotype" w:hAnsi="Palatino Linotype"/>
          <w:color w:val="000000" w:themeColor="text1"/>
        </w:rPr>
        <w:t xml:space="preserve"> </w:t>
      </w:r>
      <w:r w:rsidR="0072445A" w:rsidRPr="002B0692">
        <w:rPr>
          <w:rFonts w:ascii="Palatino Linotype" w:hAnsi="Palatino Linotype"/>
          <w:color w:val="000000" w:themeColor="text1"/>
        </w:rPr>
        <w:t>DE DOS MIL VEINTIUNO</w:t>
      </w:r>
      <w:r w:rsidRPr="002B0692">
        <w:rPr>
          <w:rFonts w:ascii="Palatino Linotype" w:hAnsi="Palatino Linotype"/>
          <w:color w:val="000000" w:themeColor="text1"/>
        </w:rPr>
        <w:t>, ANTE EL SECRETARIO TÉCNICO DEL PLENO ALEXIS TAPIA RAMÍREZ.</w:t>
      </w:r>
      <w:r w:rsidRPr="002D6F4B">
        <w:rPr>
          <w:rFonts w:ascii="Palatino Linotype" w:hAnsi="Palatino Linotype" w:cs="Arial"/>
          <w:color w:val="000000" w:themeColor="text1"/>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24"/>
      <w:footerReference w:type="default" r:id="rId25"/>
      <w:headerReference w:type="first" r:id="rId26"/>
      <w:footerReference w:type="first" r:id="rId2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A6905C" w14:textId="77777777" w:rsidR="005C7CA9" w:rsidRDefault="005C7CA9" w:rsidP="00587366">
      <w:r>
        <w:separator/>
      </w:r>
    </w:p>
  </w:endnote>
  <w:endnote w:type="continuationSeparator" w:id="0">
    <w:p w14:paraId="49E156E9" w14:textId="77777777" w:rsidR="005C7CA9" w:rsidRDefault="005C7CA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5C7CA9" w:rsidRPr="00883450" w:rsidRDefault="005C7CA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E0825">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E0825">
              <w:rPr>
                <w:rFonts w:ascii="Palatino Linotype" w:hAnsi="Palatino Linotype"/>
                <w:b/>
                <w:bCs/>
                <w:noProof/>
                <w:sz w:val="22"/>
                <w:szCs w:val="20"/>
              </w:rPr>
              <w:t>71</w:t>
            </w:r>
            <w:r w:rsidRPr="00883450">
              <w:rPr>
                <w:rFonts w:ascii="Palatino Linotype" w:hAnsi="Palatino Linotype"/>
                <w:b/>
                <w:bCs/>
                <w:sz w:val="22"/>
                <w:szCs w:val="20"/>
              </w:rPr>
              <w:fldChar w:fldCharType="end"/>
            </w:r>
          </w:p>
        </w:sdtContent>
      </w:sdt>
    </w:sdtContent>
  </w:sdt>
  <w:p w14:paraId="6243EC1B" w14:textId="47B193F0" w:rsidR="005C7CA9" w:rsidRDefault="005C7CA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5C7CA9" w:rsidRPr="00883450" w:rsidRDefault="005C7CA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E0825" w:rsidRPr="002E082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E0825" w:rsidRPr="002E0825">
      <w:rPr>
        <w:rFonts w:ascii="Palatino Linotype" w:hAnsi="Palatino Linotype"/>
        <w:noProof/>
        <w:sz w:val="22"/>
        <w:szCs w:val="22"/>
        <w:lang w:val="es-ES"/>
      </w:rPr>
      <w:t>71</w:t>
    </w:r>
    <w:r w:rsidRPr="00883450">
      <w:rPr>
        <w:rFonts w:ascii="Palatino Linotype" w:hAnsi="Palatino Linotype"/>
        <w:sz w:val="22"/>
        <w:szCs w:val="22"/>
      </w:rPr>
      <w:fldChar w:fldCharType="end"/>
    </w:r>
  </w:p>
  <w:p w14:paraId="5F5C4865" w14:textId="0A9A2B26" w:rsidR="005C7CA9" w:rsidRPr="00883450" w:rsidRDefault="005C7CA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8A72C2" w14:textId="77777777" w:rsidR="005C7CA9" w:rsidRDefault="005C7CA9" w:rsidP="00587366">
      <w:r>
        <w:separator/>
      </w:r>
    </w:p>
  </w:footnote>
  <w:footnote w:type="continuationSeparator" w:id="0">
    <w:p w14:paraId="5AF40AB1" w14:textId="77777777" w:rsidR="005C7CA9" w:rsidRDefault="005C7CA9" w:rsidP="00587366">
      <w:r>
        <w:continuationSeparator/>
      </w:r>
    </w:p>
  </w:footnote>
  <w:footnote w:id="1">
    <w:p w14:paraId="5C54E327" w14:textId="77777777" w:rsidR="005C7CA9" w:rsidRPr="00F75272" w:rsidRDefault="005C7CA9" w:rsidP="005C7898">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CFF1D76" w14:textId="77777777" w:rsidR="005C7CA9" w:rsidRPr="009C43C2" w:rsidRDefault="005C7CA9"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621A220A" w14:textId="77777777" w:rsidR="005C7CA9" w:rsidRPr="009C43C2" w:rsidRDefault="005C7CA9"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1F98C24F" w14:textId="77777777" w:rsidR="005C7CA9" w:rsidRPr="009C43C2" w:rsidRDefault="005C7CA9"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42632106" w14:textId="77777777" w:rsidR="005C7CA9" w:rsidRDefault="005C7CA9"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6">
    <w:p w14:paraId="056DCF72" w14:textId="77777777" w:rsidR="005C7CA9" w:rsidRDefault="005C7CA9" w:rsidP="0010409E">
      <w:pPr>
        <w:pStyle w:val="Textonotapie"/>
      </w:pPr>
      <w:r>
        <w:rPr>
          <w:rStyle w:val="Refdenotaalpie"/>
        </w:rPr>
        <w:footnoteRef/>
      </w:r>
      <w:r>
        <w:t xml:space="preserve"> Artículo 3, fracción XI, Ley de Transparencia y Acceso a la Información Pública del Estado de México y Municipios.</w:t>
      </w:r>
    </w:p>
  </w:footnote>
  <w:footnote w:id="7">
    <w:p w14:paraId="771F65C2" w14:textId="77777777" w:rsidR="005C7CA9" w:rsidRDefault="005C7CA9" w:rsidP="0010409E">
      <w:pPr>
        <w:pStyle w:val="Textonotapie"/>
      </w:pPr>
      <w:r>
        <w:rPr>
          <w:rStyle w:val="Refdenotaalpie"/>
        </w:rPr>
        <w:footnoteRef/>
      </w:r>
      <w:r>
        <w:t xml:space="preserve"> Artículo 11, Ley de Transparencia y Acceso a la Información Pública del Estado de México y Municipios.</w:t>
      </w:r>
    </w:p>
  </w:footnote>
  <w:footnote w:id="8">
    <w:p w14:paraId="0A8FAA5B" w14:textId="77777777" w:rsidR="005C7CA9" w:rsidRDefault="005C7CA9" w:rsidP="0010409E">
      <w:pPr>
        <w:pStyle w:val="Textonotapie"/>
        <w:rPr>
          <w:rFonts w:ascii="Palatino Linotype" w:hAnsi="Palatino Linotype"/>
          <w:sz w:val="18"/>
        </w:rPr>
      </w:pPr>
      <w:r>
        <w:rPr>
          <w:rStyle w:val="Refdenotaalpie"/>
        </w:rPr>
        <w:footnoteRef/>
      </w:r>
      <w:r>
        <w:t xml:space="preserve"> </w:t>
      </w:r>
      <w:r w:rsidRPr="008E29C5">
        <w:rPr>
          <w:rFonts w:ascii="Palatino Linotype" w:hAnsi="Palatino Linotype"/>
          <w:sz w:val="18"/>
        </w:rPr>
        <w:t xml:space="preserve">Ley de Transparencia y Acceso a la Información Pública del Estado de México y Municipios. </w:t>
      </w:r>
    </w:p>
    <w:p w14:paraId="448727AB" w14:textId="77777777" w:rsidR="005C7CA9" w:rsidRPr="008E29C5" w:rsidRDefault="005C7CA9" w:rsidP="0010409E">
      <w:pPr>
        <w:pStyle w:val="Textonotapie"/>
        <w:rPr>
          <w:rFonts w:ascii="Palatino Linotype" w:hAnsi="Palatino Linotype"/>
          <w:sz w:val="18"/>
        </w:rPr>
      </w:pPr>
      <w:r>
        <w:rPr>
          <w:rFonts w:ascii="Palatino Linotype" w:hAnsi="Palatino Linotype"/>
          <w:sz w:val="18"/>
        </w:rPr>
        <w:t>“Artículo 9.(…)</w:t>
      </w:r>
    </w:p>
    <w:p w14:paraId="1009B752" w14:textId="77777777" w:rsidR="005C7CA9" w:rsidRPr="008E29C5" w:rsidRDefault="005C7CA9" w:rsidP="0010409E">
      <w:pPr>
        <w:pStyle w:val="Textonotapie"/>
        <w:rPr>
          <w:rFonts w:ascii="Palatino Linotype" w:hAnsi="Palatino Linotype"/>
          <w:sz w:val="18"/>
        </w:rPr>
      </w:pPr>
      <w:r w:rsidRPr="008E29C5">
        <w:rPr>
          <w:rFonts w:ascii="Palatino Linotype" w:hAnsi="Palatino Linotype"/>
          <w:sz w:val="18"/>
        </w:rPr>
        <w:t>II. Eficacia: Obligación del Instituto para tutelar, de manera efectiva, el derecho de acceso a la información;</w:t>
      </w:r>
    </w:p>
    <w:p w14:paraId="5FCA835A" w14:textId="77777777" w:rsidR="005C7CA9" w:rsidRDefault="005C7CA9" w:rsidP="0010409E">
      <w:pPr>
        <w:pStyle w:val="Textonotapie"/>
      </w:pPr>
      <w:r>
        <w:t>(…)”</w:t>
      </w:r>
    </w:p>
  </w:footnote>
  <w:footnote w:id="9">
    <w:p w14:paraId="3061DF36" w14:textId="6F62EA2D" w:rsidR="005C7CA9" w:rsidRDefault="005C7CA9">
      <w:pPr>
        <w:pStyle w:val="Textonotapie"/>
      </w:pPr>
      <w:r>
        <w:rPr>
          <w:rStyle w:val="Refdenotaalpie"/>
        </w:rPr>
        <w:footnoteRef/>
      </w:r>
      <w:r>
        <w:t xml:space="preserve"> Artículo 2.26, Código Administrativo del Estado de México.</w:t>
      </w:r>
    </w:p>
  </w:footnote>
  <w:footnote w:id="10">
    <w:p w14:paraId="1B7B97C2" w14:textId="5B58FEC8" w:rsidR="005C7CA9" w:rsidRDefault="005C7CA9">
      <w:pPr>
        <w:pStyle w:val="Textonotapie"/>
      </w:pPr>
      <w:r>
        <w:rPr>
          <w:rStyle w:val="Refdenotaalpie"/>
        </w:rPr>
        <w:footnoteRef/>
      </w:r>
      <w:r>
        <w:t xml:space="preserve"> Registro 217C10002, </w:t>
      </w:r>
      <w:r w:rsidRPr="00AC3E08">
        <w:t>Manual General de Organización de la Comisión de Conciliación y Arbitraje Médico del Estado de México</w:t>
      </w:r>
      <w:r>
        <w:t>.</w:t>
      </w:r>
    </w:p>
  </w:footnote>
  <w:footnote w:id="11">
    <w:p w14:paraId="44818353" w14:textId="5C2390E3" w:rsidR="005C7CA9" w:rsidRDefault="005C7CA9">
      <w:pPr>
        <w:pStyle w:val="Textonotapie"/>
      </w:pPr>
      <w:r>
        <w:rPr>
          <w:rStyle w:val="Refdenotaalpie"/>
        </w:rPr>
        <w:footnoteRef/>
      </w:r>
      <w:r>
        <w:t xml:space="preserve"> Registro 217C10100, </w:t>
      </w:r>
      <w:r w:rsidRPr="00AC3E08">
        <w:t>Manual General de Organización de la Comisión de Conciliación y Arbitraje Médico del Estado de México</w:t>
      </w:r>
      <w:r>
        <w:t>.</w:t>
      </w:r>
    </w:p>
  </w:footnote>
  <w:footnote w:id="12">
    <w:p w14:paraId="21397E30" w14:textId="7A055A6B" w:rsidR="005C7CA9" w:rsidRDefault="005C7CA9">
      <w:pPr>
        <w:pStyle w:val="Textonotapie"/>
      </w:pPr>
      <w:r>
        <w:rPr>
          <w:rStyle w:val="Refdenotaalpie"/>
        </w:rPr>
        <w:footnoteRef/>
      </w:r>
      <w:r>
        <w:t xml:space="preserve"> Registro 217C10200, Ídem.</w:t>
      </w:r>
    </w:p>
  </w:footnote>
  <w:footnote w:id="13">
    <w:p w14:paraId="2CDD57FC" w14:textId="77777777" w:rsidR="005C7CA9" w:rsidRDefault="005C7CA9" w:rsidP="006B4585">
      <w:pPr>
        <w:pStyle w:val="Textonotapie"/>
      </w:pPr>
      <w:r>
        <w:rPr>
          <w:rStyle w:val="Refdenotaalpie"/>
        </w:rPr>
        <w:footnoteRef/>
      </w:r>
      <w:r>
        <w:t xml:space="preserve"> Artículo 50, Ley de Transparencia y Acceso a la Información Pública del Estado de México y Municipios.</w:t>
      </w:r>
    </w:p>
  </w:footnote>
  <w:footnote w:id="14">
    <w:p w14:paraId="42852175" w14:textId="77777777" w:rsidR="005C7CA9" w:rsidRDefault="005C7CA9" w:rsidP="006B4585">
      <w:pPr>
        <w:pStyle w:val="Textonotapie"/>
      </w:pPr>
      <w:r>
        <w:rPr>
          <w:rStyle w:val="Refdenotaalpie"/>
        </w:rPr>
        <w:footnoteRef/>
      </w:r>
      <w:r>
        <w:t xml:space="preserve"> Artículo 51, Ídem.</w:t>
      </w:r>
    </w:p>
  </w:footnote>
  <w:footnote w:id="15">
    <w:p w14:paraId="453A47C5" w14:textId="77777777" w:rsidR="005C7CA9" w:rsidRDefault="005C7CA9" w:rsidP="006B4585">
      <w:pPr>
        <w:pStyle w:val="Textonotapie"/>
      </w:pPr>
      <w:r>
        <w:rPr>
          <w:rStyle w:val="Refdenotaalpie"/>
        </w:rPr>
        <w:footnoteRef/>
      </w:r>
      <w:r>
        <w:t xml:space="preserve"> Artículo 58, Ley de Transparencia y Acceso a la Información Pública del Estado de México y Municipios.</w:t>
      </w:r>
    </w:p>
  </w:footnote>
  <w:footnote w:id="16">
    <w:p w14:paraId="67E02216" w14:textId="77777777" w:rsidR="005C7CA9" w:rsidRDefault="005C7CA9" w:rsidP="006B4585">
      <w:pPr>
        <w:pStyle w:val="Textonotapie"/>
      </w:pPr>
      <w:r>
        <w:rPr>
          <w:rStyle w:val="Refdenotaalpie"/>
        </w:rPr>
        <w:footnoteRef/>
      </w:r>
      <w:r>
        <w:t xml:space="preserve"> Artículo 59, Ídem.</w:t>
      </w:r>
    </w:p>
  </w:footnote>
  <w:footnote w:id="17">
    <w:p w14:paraId="6D200129" w14:textId="5A484DB5" w:rsidR="005C7CA9" w:rsidRDefault="005C7CA9">
      <w:pPr>
        <w:pStyle w:val="Textonotapie"/>
      </w:pPr>
      <w:r>
        <w:rPr>
          <w:rStyle w:val="Refdenotaalpie"/>
        </w:rPr>
        <w:footnoteRef/>
      </w:r>
      <w:r>
        <w:t xml:space="preserve"> Artículo 162, Ídem.</w:t>
      </w:r>
    </w:p>
  </w:footnote>
  <w:footnote w:id="18">
    <w:p w14:paraId="6F1B95CF" w14:textId="14A3E31C" w:rsidR="005C7CA9" w:rsidRDefault="005C7CA9">
      <w:pPr>
        <w:pStyle w:val="Textonotapie"/>
      </w:pPr>
      <w:r>
        <w:rPr>
          <w:rStyle w:val="Refdenotaalpie"/>
        </w:rPr>
        <w:footnoteRef/>
      </w:r>
      <w:r>
        <w:t xml:space="preserve"> Consultable en </w:t>
      </w:r>
      <w:r w:rsidRPr="00E46BF7">
        <w:t>https://www.ipomex.org.mx/ipo3/lgt/indice/CCAMEM/art_92_vii/3.web</w:t>
      </w:r>
    </w:p>
  </w:footnote>
  <w:footnote w:id="19">
    <w:p w14:paraId="4B15DE79" w14:textId="77777777" w:rsidR="005C7CA9" w:rsidRDefault="005C7CA9" w:rsidP="00056317">
      <w:pPr>
        <w:pStyle w:val="Textonotapie"/>
      </w:pPr>
      <w:r>
        <w:rPr>
          <w:rStyle w:val="Refdenotaalpie"/>
        </w:rPr>
        <w:footnoteRef/>
      </w:r>
      <w:r>
        <w:t xml:space="preserve"> Artículo 132, Ley de Transparencia y Acceso a la Información Pública del Estado de México y Municipios.</w:t>
      </w:r>
    </w:p>
  </w:footnote>
  <w:footnote w:id="20">
    <w:p w14:paraId="5611F5D0" w14:textId="234A27E8" w:rsidR="005C7CA9" w:rsidRDefault="005C7CA9">
      <w:pPr>
        <w:pStyle w:val="Textonotapie"/>
      </w:pPr>
      <w:r>
        <w:rPr>
          <w:rStyle w:val="Refdenotaalpie"/>
        </w:rPr>
        <w:footnoteRef/>
      </w:r>
      <w:r>
        <w:t xml:space="preserve"> Artículo 129, Ley de Transparencia y Acceso a la Información Pública del Estado de México y Municipios.</w:t>
      </w:r>
    </w:p>
  </w:footnote>
  <w:footnote w:id="21">
    <w:p w14:paraId="2104AC5D" w14:textId="77777777" w:rsidR="005C7CA9" w:rsidRDefault="005C7CA9" w:rsidP="00056317">
      <w:pPr>
        <w:pStyle w:val="Textonotapie"/>
      </w:pPr>
      <w:r>
        <w:rPr>
          <w:rStyle w:val="Refdenotaalpie"/>
        </w:rPr>
        <w:footnoteRef/>
      </w:r>
      <w:r>
        <w:t xml:space="preserve"> Artículo 134, Ley de Transparencia y Acceso a la Información Pública del Estado de México y Municipios.</w:t>
      </w:r>
    </w:p>
  </w:footnote>
  <w:footnote w:id="22">
    <w:p w14:paraId="0924D1D4" w14:textId="36563099" w:rsidR="005C7CA9" w:rsidRDefault="005C7CA9">
      <w:pPr>
        <w:pStyle w:val="Textonotapie"/>
      </w:pPr>
      <w:r>
        <w:rPr>
          <w:rStyle w:val="Refdenotaalpie"/>
        </w:rPr>
        <w:footnoteRef/>
      </w:r>
      <w:r>
        <w:t xml:space="preserve"> Artículo 130, Ley de Transparencia y Acceso a la Información Pública del Estado de México y Municipios.</w:t>
      </w:r>
    </w:p>
  </w:footnote>
  <w:footnote w:id="23">
    <w:p w14:paraId="261F1CA2" w14:textId="77777777" w:rsidR="005C7CA9" w:rsidRDefault="005C7CA9" w:rsidP="004638FA">
      <w:pPr>
        <w:pStyle w:val="Textonotapie"/>
      </w:pPr>
      <w:r>
        <w:rPr>
          <w:rStyle w:val="Refdenotaalpie"/>
        </w:rPr>
        <w:footnoteRef/>
      </w:r>
      <w:r>
        <w:t xml:space="preserve"> Jurisprudencia 203143, Segundo Tribunal Colegiado del Sexto Circuito, Novena Época.</w:t>
      </w:r>
    </w:p>
  </w:footnote>
  <w:footnote w:id="24">
    <w:p w14:paraId="69582B5E" w14:textId="41820CD8" w:rsidR="005C7CA9" w:rsidRDefault="005C7CA9">
      <w:pPr>
        <w:pStyle w:val="Textonotapie"/>
      </w:pPr>
      <w:r>
        <w:rPr>
          <w:rStyle w:val="Refdenotaalpie"/>
        </w:rPr>
        <w:footnoteRef/>
      </w:r>
      <w:r>
        <w:t xml:space="preserve"> Artículo 2, fracción IX, Reglamento Interno de la Comisión de Conciliación y Arbitraje Médico del Estado de México.</w:t>
      </w:r>
    </w:p>
  </w:footnote>
  <w:footnote w:id="25">
    <w:p w14:paraId="1E0B078E" w14:textId="77777777" w:rsidR="005C7CA9" w:rsidRDefault="005C7CA9" w:rsidP="00D67B28">
      <w:pPr>
        <w:pStyle w:val="Textonotapie"/>
      </w:pPr>
      <w:r>
        <w:rPr>
          <w:rStyle w:val="Refdenotaalpie"/>
        </w:rPr>
        <w:footnoteRef/>
      </w:r>
      <w:r>
        <w:t xml:space="preserve"> Artículo 176, Ley de Transparencia y Acceso a la Información Pública del Estado de México y Municipios.</w:t>
      </w:r>
    </w:p>
  </w:footnote>
  <w:footnote w:id="26">
    <w:p w14:paraId="282DA409" w14:textId="77777777" w:rsidR="005C7CA9" w:rsidRDefault="005C7CA9" w:rsidP="00D67B28">
      <w:pPr>
        <w:pStyle w:val="Textonotapie"/>
      </w:pPr>
      <w:r>
        <w:rPr>
          <w:rStyle w:val="Refdenotaalpie"/>
        </w:rPr>
        <w:footnoteRef/>
      </w:r>
      <w:r>
        <w:t xml:space="preserve"> Artículo 179, fracción VIII, Ídem.</w:t>
      </w:r>
    </w:p>
  </w:footnote>
  <w:footnote w:id="27">
    <w:p w14:paraId="70134C49" w14:textId="77777777" w:rsidR="005C7CA9" w:rsidRDefault="005C7CA9" w:rsidP="00D67B28">
      <w:pPr>
        <w:pStyle w:val="Textonotapie"/>
      </w:pPr>
      <w:r>
        <w:rPr>
          <w:rStyle w:val="Refdenotaalpie"/>
        </w:rPr>
        <w:footnoteRef/>
      </w:r>
      <w:r>
        <w:t xml:space="preserve"> RIA 155/20 y RIA 167/20</w:t>
      </w:r>
    </w:p>
  </w:footnote>
  <w:footnote w:id="28">
    <w:p w14:paraId="4532851D" w14:textId="7BE5DC3B" w:rsidR="005C7CA9" w:rsidRDefault="005C7CA9">
      <w:pPr>
        <w:pStyle w:val="Textonotapie"/>
      </w:pPr>
      <w:r>
        <w:rPr>
          <w:rStyle w:val="Refdenotaalpie"/>
        </w:rPr>
        <w:footnoteRef/>
      </w:r>
      <w:r>
        <w:t xml:space="preserve"> Consultable en: </w:t>
      </w:r>
      <w:r w:rsidRPr="00125595">
        <w:t>https://salud.edomex.gob.mx/ccamem/tramites_servicios</w:t>
      </w:r>
    </w:p>
  </w:footnote>
  <w:footnote w:id="29">
    <w:p w14:paraId="5462D804" w14:textId="1747C984" w:rsidR="005C7CA9" w:rsidRDefault="005C7CA9">
      <w:pPr>
        <w:pStyle w:val="Textonotapie"/>
      </w:pPr>
      <w:r>
        <w:rPr>
          <w:rStyle w:val="Refdenotaalpie"/>
        </w:rPr>
        <w:footnoteRef/>
      </w:r>
      <w:r>
        <w:t xml:space="preserve"> Consultable en: </w:t>
      </w:r>
      <w:r w:rsidRPr="00125595">
        <w:t>https://sistemas2.edomex.gob.mx/TramitesyServicios/Tramite?tram=428&amp;cont=0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285393B" w:rsidR="005C7CA9" w:rsidRDefault="005C7CA9" w:rsidP="001C6012">
    <w:pPr>
      <w:pStyle w:val="Encabezado"/>
      <w:tabs>
        <w:tab w:val="clear" w:pos="4252"/>
        <w:tab w:val="clear" w:pos="8504"/>
        <w:tab w:val="left" w:pos="8460"/>
      </w:tabs>
    </w:pPr>
    <w:r>
      <w:rPr>
        <w:noProof/>
        <w:lang w:eastAsia="es-MX"/>
      </w:rPr>
      <w:drawing>
        <wp:anchor distT="0" distB="0" distL="114300" distR="114300" simplePos="0" relativeHeight="251657216" behindDoc="1" locked="0" layoutInCell="0" allowOverlap="1" wp14:anchorId="1A29E15A" wp14:editId="536F85C4">
          <wp:simplePos x="0" y="0"/>
          <wp:positionH relativeFrom="margin">
            <wp:posOffset>-1043750</wp:posOffset>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r>
      <w:tab/>
    </w:r>
  </w:p>
  <w:p w14:paraId="64F5F23E" w14:textId="2158ACFE" w:rsidR="005C7CA9" w:rsidRDefault="005C7CA9">
    <w:pPr>
      <w:pStyle w:val="Encabezado"/>
    </w:pP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5C7CA9" w:rsidRPr="00025127" w14:paraId="07F2896E" w14:textId="77777777" w:rsidTr="00FA0F09">
      <w:trPr>
        <w:trHeight w:val="138"/>
        <w:jc w:val="right"/>
      </w:trPr>
      <w:tc>
        <w:tcPr>
          <w:tcW w:w="3260" w:type="dxa"/>
          <w:vAlign w:val="center"/>
        </w:tcPr>
        <w:p w14:paraId="4A5B1974" w14:textId="3B2AB4E0" w:rsidR="005C7CA9" w:rsidRPr="00025127" w:rsidRDefault="005C7CA9"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0686CEA5" w:rsidR="005C7CA9" w:rsidRPr="00025127" w:rsidRDefault="005C7CA9" w:rsidP="005F1362">
          <w:pPr>
            <w:pStyle w:val="Encabezado"/>
            <w:jc w:val="both"/>
            <w:rPr>
              <w:rFonts w:ascii="Palatino Linotype" w:hAnsi="Palatino Linotype"/>
              <w:b/>
              <w:sz w:val="22"/>
              <w:szCs w:val="22"/>
            </w:rPr>
          </w:pPr>
          <w:r>
            <w:rPr>
              <w:rFonts w:ascii="Palatino Linotype" w:hAnsi="Palatino Linotype"/>
              <w:b/>
              <w:sz w:val="22"/>
              <w:szCs w:val="22"/>
            </w:rPr>
            <w:t>04343</w:t>
          </w:r>
          <w:r w:rsidRPr="00025127">
            <w:rPr>
              <w:rFonts w:ascii="Palatino Linotype" w:hAnsi="Palatino Linotype"/>
              <w:b/>
              <w:sz w:val="22"/>
              <w:szCs w:val="22"/>
            </w:rPr>
            <w:t>/INFOEM/IP/RR/</w:t>
          </w:r>
          <w:r>
            <w:rPr>
              <w:rFonts w:ascii="Palatino Linotype" w:hAnsi="Palatino Linotype"/>
              <w:b/>
              <w:sz w:val="22"/>
              <w:szCs w:val="22"/>
            </w:rPr>
            <w:t>2021 y acumulado</w:t>
          </w:r>
        </w:p>
      </w:tc>
    </w:tr>
    <w:tr w:rsidR="005C7CA9" w:rsidRPr="00025127" w14:paraId="1B5D8690" w14:textId="77777777" w:rsidTr="00FA0F09">
      <w:trPr>
        <w:trHeight w:val="233"/>
        <w:jc w:val="right"/>
      </w:trPr>
      <w:tc>
        <w:tcPr>
          <w:tcW w:w="3260" w:type="dxa"/>
          <w:vAlign w:val="center"/>
        </w:tcPr>
        <w:p w14:paraId="3903F2C6" w14:textId="22D569F8" w:rsidR="005C7CA9" w:rsidRPr="00025127" w:rsidRDefault="005C7CA9" w:rsidP="00B67B60">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5341345F" w:rsidR="005C7CA9" w:rsidRPr="00025127" w:rsidRDefault="005C7CA9" w:rsidP="00B67B60">
          <w:pPr>
            <w:pStyle w:val="Encabezado"/>
            <w:rPr>
              <w:rFonts w:ascii="Palatino Linotype" w:hAnsi="Palatino Linotype"/>
              <w:b/>
              <w:sz w:val="22"/>
              <w:szCs w:val="22"/>
            </w:rPr>
          </w:pPr>
          <w:r>
            <w:rPr>
              <w:rFonts w:ascii="Palatino Linotype" w:hAnsi="Palatino Linotype"/>
              <w:b/>
              <w:bCs/>
              <w:color w:val="000000"/>
              <w:sz w:val="22"/>
              <w:szCs w:val="22"/>
            </w:rPr>
            <w:t>Comisión de Conciliación y Arbitraje Médico del Estado de México</w:t>
          </w:r>
        </w:p>
      </w:tc>
    </w:tr>
    <w:tr w:rsidR="005C7CA9" w:rsidRPr="00025127" w14:paraId="095EB01B" w14:textId="77777777" w:rsidTr="00FA0F09">
      <w:trPr>
        <w:trHeight w:val="321"/>
        <w:jc w:val="right"/>
      </w:trPr>
      <w:tc>
        <w:tcPr>
          <w:tcW w:w="3260" w:type="dxa"/>
          <w:vAlign w:val="center"/>
        </w:tcPr>
        <w:p w14:paraId="6E000A51" w14:textId="05E1861A" w:rsidR="005C7CA9" w:rsidRPr="00025127" w:rsidRDefault="005C7CA9"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5C7CA9" w:rsidRPr="00025127" w:rsidRDefault="005C7CA9"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5C7CA9" w:rsidRDefault="005C7CA9"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5C7CA9" w:rsidRDefault="002E0825"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5C7CA9">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5C7CA9" w:rsidRPr="00025127" w14:paraId="0A3256F2" w14:textId="77777777" w:rsidTr="006E6B65">
      <w:trPr>
        <w:trHeight w:val="138"/>
        <w:jc w:val="right"/>
      </w:trPr>
      <w:tc>
        <w:tcPr>
          <w:tcW w:w="3261" w:type="dxa"/>
          <w:vAlign w:val="center"/>
        </w:tcPr>
        <w:p w14:paraId="3D80769D" w14:textId="316F11F8" w:rsidR="005C7CA9" w:rsidRPr="00025127" w:rsidRDefault="005C7CA9"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13678C87" w:rsidR="005C7CA9" w:rsidRPr="00025127" w:rsidRDefault="005C7CA9" w:rsidP="005F1362">
          <w:pPr>
            <w:pStyle w:val="Encabezado"/>
            <w:rPr>
              <w:rFonts w:ascii="Palatino Linotype" w:hAnsi="Palatino Linotype"/>
              <w:b/>
              <w:sz w:val="22"/>
              <w:szCs w:val="22"/>
            </w:rPr>
          </w:pPr>
          <w:r>
            <w:rPr>
              <w:rFonts w:ascii="Palatino Linotype" w:hAnsi="Palatino Linotype"/>
              <w:b/>
              <w:sz w:val="22"/>
              <w:szCs w:val="22"/>
            </w:rPr>
            <w:t>04343</w:t>
          </w:r>
          <w:r w:rsidRPr="00025127">
            <w:rPr>
              <w:rFonts w:ascii="Palatino Linotype" w:hAnsi="Palatino Linotype"/>
              <w:b/>
              <w:sz w:val="22"/>
              <w:szCs w:val="22"/>
            </w:rPr>
            <w:t>/INFOEM/IP/RR/</w:t>
          </w:r>
          <w:r>
            <w:rPr>
              <w:rFonts w:ascii="Palatino Linotype" w:hAnsi="Palatino Linotype"/>
              <w:b/>
              <w:sz w:val="22"/>
              <w:szCs w:val="22"/>
            </w:rPr>
            <w:t>2021 y acumulado</w:t>
          </w:r>
        </w:p>
      </w:tc>
    </w:tr>
    <w:tr w:rsidR="005C7CA9" w:rsidRPr="00025127" w14:paraId="128C8B3C" w14:textId="77777777" w:rsidTr="006E6B65">
      <w:trPr>
        <w:trHeight w:val="233"/>
        <w:jc w:val="right"/>
      </w:trPr>
      <w:tc>
        <w:tcPr>
          <w:tcW w:w="3261" w:type="dxa"/>
          <w:vAlign w:val="center"/>
        </w:tcPr>
        <w:p w14:paraId="483E3371" w14:textId="66B1BC74" w:rsidR="005C7CA9" w:rsidRPr="00025127" w:rsidRDefault="005C7CA9"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0800539B" w:rsidR="005C7CA9" w:rsidRPr="00025127" w:rsidRDefault="005C7CA9" w:rsidP="0058757A">
          <w:pPr>
            <w:pStyle w:val="Encabezado"/>
            <w:rPr>
              <w:rFonts w:ascii="Palatino Linotype" w:hAnsi="Palatino Linotype"/>
              <w:b/>
              <w:sz w:val="22"/>
              <w:szCs w:val="22"/>
            </w:rPr>
          </w:pPr>
          <w:r>
            <w:rPr>
              <w:rFonts w:ascii="Palatino Linotype" w:hAnsi="Palatino Linotype"/>
              <w:b/>
              <w:sz w:val="22"/>
              <w:szCs w:val="22"/>
            </w:rPr>
            <w:t>XXXXXXX XX XX XXX XXXXXXX XX XX XXX XXXXXXX XX XX XXX</w:t>
          </w:r>
        </w:p>
      </w:tc>
    </w:tr>
    <w:tr w:rsidR="005C7CA9" w:rsidRPr="00025127" w14:paraId="41BE0704" w14:textId="77777777" w:rsidTr="006E6B65">
      <w:trPr>
        <w:trHeight w:val="321"/>
        <w:jc w:val="right"/>
      </w:trPr>
      <w:tc>
        <w:tcPr>
          <w:tcW w:w="3261" w:type="dxa"/>
          <w:vAlign w:val="center"/>
        </w:tcPr>
        <w:p w14:paraId="34C64148" w14:textId="10C6C8A9" w:rsidR="005C7CA9" w:rsidRPr="00025127" w:rsidRDefault="005C7CA9"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01F4C0F3" w:rsidR="005C7CA9" w:rsidRPr="00025127" w:rsidRDefault="005C7CA9" w:rsidP="009B0E35">
          <w:pPr>
            <w:pStyle w:val="Encabezado"/>
            <w:rPr>
              <w:rFonts w:ascii="Palatino Linotype" w:hAnsi="Palatino Linotype"/>
              <w:b/>
              <w:sz w:val="22"/>
              <w:szCs w:val="22"/>
            </w:rPr>
          </w:pPr>
          <w:r>
            <w:rPr>
              <w:rFonts w:ascii="Palatino Linotype" w:hAnsi="Palatino Linotype"/>
              <w:b/>
              <w:bCs/>
              <w:color w:val="000000"/>
              <w:sz w:val="22"/>
              <w:szCs w:val="22"/>
            </w:rPr>
            <w:t>Comisión de Conciliación y Arbitraje Médico del Estado de México</w:t>
          </w:r>
        </w:p>
      </w:tc>
    </w:tr>
    <w:tr w:rsidR="005C7CA9" w:rsidRPr="00025127" w14:paraId="0C8B6193" w14:textId="77777777" w:rsidTr="006E6B65">
      <w:trPr>
        <w:trHeight w:val="321"/>
        <w:jc w:val="right"/>
      </w:trPr>
      <w:tc>
        <w:tcPr>
          <w:tcW w:w="3261" w:type="dxa"/>
          <w:vAlign w:val="center"/>
        </w:tcPr>
        <w:p w14:paraId="321FFAFF" w14:textId="0E8C2CE7" w:rsidR="005C7CA9" w:rsidRPr="00025127" w:rsidRDefault="005C7CA9"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5C7CA9" w:rsidRPr="00025127" w:rsidRDefault="005C7CA9"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5C7CA9" w:rsidRDefault="005C7CA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22320A89"/>
    <w:multiLevelType w:val="hybridMultilevel"/>
    <w:tmpl w:val="02E45D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C9FA37C8">
      <w:start w:val="5"/>
      <w:numFmt w:val="bullet"/>
      <w:lvlText w:val="-"/>
      <w:lvlJc w:val="left"/>
      <w:pPr>
        <w:ind w:left="2880" w:hanging="360"/>
      </w:pPr>
      <w:rPr>
        <w:rFonts w:ascii="Palatino Linotype" w:eastAsiaTheme="minorEastAsia" w:hAnsi="Palatino Linotype" w:cstheme="minorBid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A14B6F"/>
    <w:multiLevelType w:val="hybridMultilevel"/>
    <w:tmpl w:val="A5A07DD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F3AA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15101D"/>
    <w:multiLevelType w:val="hybridMultilevel"/>
    <w:tmpl w:val="C682077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C916E00"/>
    <w:multiLevelType w:val="hybridMultilevel"/>
    <w:tmpl w:val="A57AA72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8B6099"/>
    <w:multiLevelType w:val="hybridMultilevel"/>
    <w:tmpl w:val="4AD08F1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FA65168"/>
    <w:multiLevelType w:val="hybridMultilevel"/>
    <w:tmpl w:val="6FD8105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6"/>
  </w:num>
  <w:num w:numId="5">
    <w:abstractNumId w:val="7"/>
  </w:num>
  <w:num w:numId="6">
    <w:abstractNumId w:val="1"/>
  </w:num>
  <w:num w:numId="7">
    <w:abstractNumId w:val="3"/>
  </w:num>
  <w:num w:numId="8">
    <w:abstractNumId w:val="8"/>
  </w:num>
  <w:num w:numId="9">
    <w:abstractNumId w:val="9"/>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317"/>
    <w:rsid w:val="00012472"/>
    <w:rsid w:val="0001398B"/>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1E2"/>
    <w:rsid w:val="0004193F"/>
    <w:rsid w:val="00042380"/>
    <w:rsid w:val="00044DB9"/>
    <w:rsid w:val="0004686A"/>
    <w:rsid w:val="000468E2"/>
    <w:rsid w:val="00046CEE"/>
    <w:rsid w:val="000478BA"/>
    <w:rsid w:val="0005237C"/>
    <w:rsid w:val="00052A3C"/>
    <w:rsid w:val="00054A03"/>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70361"/>
    <w:rsid w:val="0007221E"/>
    <w:rsid w:val="00074573"/>
    <w:rsid w:val="000770CE"/>
    <w:rsid w:val="000800AC"/>
    <w:rsid w:val="0008230A"/>
    <w:rsid w:val="00082D11"/>
    <w:rsid w:val="00082E28"/>
    <w:rsid w:val="000834FE"/>
    <w:rsid w:val="0008465D"/>
    <w:rsid w:val="00084E31"/>
    <w:rsid w:val="0008542A"/>
    <w:rsid w:val="00090D6F"/>
    <w:rsid w:val="00091C2C"/>
    <w:rsid w:val="00093FB4"/>
    <w:rsid w:val="00093FC7"/>
    <w:rsid w:val="00094B41"/>
    <w:rsid w:val="000953E2"/>
    <w:rsid w:val="00095BB9"/>
    <w:rsid w:val="0009700A"/>
    <w:rsid w:val="000A26B8"/>
    <w:rsid w:val="000A3F90"/>
    <w:rsid w:val="000A4554"/>
    <w:rsid w:val="000A45FD"/>
    <w:rsid w:val="000A4E44"/>
    <w:rsid w:val="000A556A"/>
    <w:rsid w:val="000A77ED"/>
    <w:rsid w:val="000B0370"/>
    <w:rsid w:val="000B2BA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2C9"/>
    <w:rsid w:val="000D7369"/>
    <w:rsid w:val="000D7394"/>
    <w:rsid w:val="000E07DC"/>
    <w:rsid w:val="000E096F"/>
    <w:rsid w:val="000E1389"/>
    <w:rsid w:val="000E2665"/>
    <w:rsid w:val="000E2A46"/>
    <w:rsid w:val="000E5176"/>
    <w:rsid w:val="000E67FC"/>
    <w:rsid w:val="000E77B8"/>
    <w:rsid w:val="000F1731"/>
    <w:rsid w:val="000F1B9F"/>
    <w:rsid w:val="000F2739"/>
    <w:rsid w:val="000F2EDD"/>
    <w:rsid w:val="000F3457"/>
    <w:rsid w:val="000F37A8"/>
    <w:rsid w:val="000F6D7E"/>
    <w:rsid w:val="00100187"/>
    <w:rsid w:val="00100C6D"/>
    <w:rsid w:val="00100DDD"/>
    <w:rsid w:val="001015CE"/>
    <w:rsid w:val="00102D65"/>
    <w:rsid w:val="00103662"/>
    <w:rsid w:val="00103888"/>
    <w:rsid w:val="0010409E"/>
    <w:rsid w:val="00107499"/>
    <w:rsid w:val="00107557"/>
    <w:rsid w:val="0011167C"/>
    <w:rsid w:val="00111F02"/>
    <w:rsid w:val="0011279B"/>
    <w:rsid w:val="00112B02"/>
    <w:rsid w:val="00112F09"/>
    <w:rsid w:val="00114A21"/>
    <w:rsid w:val="00115F2B"/>
    <w:rsid w:val="00117441"/>
    <w:rsid w:val="0012006D"/>
    <w:rsid w:val="00121F4A"/>
    <w:rsid w:val="00122948"/>
    <w:rsid w:val="00122E4B"/>
    <w:rsid w:val="0012380D"/>
    <w:rsid w:val="00124015"/>
    <w:rsid w:val="00124CF1"/>
    <w:rsid w:val="001250B4"/>
    <w:rsid w:val="001253D1"/>
    <w:rsid w:val="00125595"/>
    <w:rsid w:val="00126C46"/>
    <w:rsid w:val="00127E68"/>
    <w:rsid w:val="001318D2"/>
    <w:rsid w:val="00132C06"/>
    <w:rsid w:val="00133B79"/>
    <w:rsid w:val="00133CE5"/>
    <w:rsid w:val="00134AEC"/>
    <w:rsid w:val="001352E5"/>
    <w:rsid w:val="00135DD5"/>
    <w:rsid w:val="0013663C"/>
    <w:rsid w:val="0013673A"/>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5DC8"/>
    <w:rsid w:val="00166794"/>
    <w:rsid w:val="00167813"/>
    <w:rsid w:val="00172471"/>
    <w:rsid w:val="0017273C"/>
    <w:rsid w:val="001732E3"/>
    <w:rsid w:val="00174E02"/>
    <w:rsid w:val="0017653A"/>
    <w:rsid w:val="001775DF"/>
    <w:rsid w:val="001848C0"/>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845"/>
    <w:rsid w:val="001C09E0"/>
    <w:rsid w:val="001C0AED"/>
    <w:rsid w:val="001C13B1"/>
    <w:rsid w:val="001C1C2A"/>
    <w:rsid w:val="001C1CDE"/>
    <w:rsid w:val="001C20E8"/>
    <w:rsid w:val="001C263B"/>
    <w:rsid w:val="001C2713"/>
    <w:rsid w:val="001C2EF3"/>
    <w:rsid w:val="001C34D6"/>
    <w:rsid w:val="001C54A9"/>
    <w:rsid w:val="001C6012"/>
    <w:rsid w:val="001C67B0"/>
    <w:rsid w:val="001C7733"/>
    <w:rsid w:val="001C77F5"/>
    <w:rsid w:val="001C79FA"/>
    <w:rsid w:val="001D07C9"/>
    <w:rsid w:val="001D3AB5"/>
    <w:rsid w:val="001D7D8F"/>
    <w:rsid w:val="001D7DF0"/>
    <w:rsid w:val="001D7E82"/>
    <w:rsid w:val="001E018C"/>
    <w:rsid w:val="001E0672"/>
    <w:rsid w:val="001E0AD2"/>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31F3"/>
    <w:rsid w:val="002058A7"/>
    <w:rsid w:val="00205A1A"/>
    <w:rsid w:val="00207665"/>
    <w:rsid w:val="00211229"/>
    <w:rsid w:val="00211E8C"/>
    <w:rsid w:val="00212C9C"/>
    <w:rsid w:val="00212FCA"/>
    <w:rsid w:val="00213108"/>
    <w:rsid w:val="0021453E"/>
    <w:rsid w:val="0021475E"/>
    <w:rsid w:val="002179AC"/>
    <w:rsid w:val="00217B86"/>
    <w:rsid w:val="00220ADB"/>
    <w:rsid w:val="002217BA"/>
    <w:rsid w:val="00221E74"/>
    <w:rsid w:val="00223507"/>
    <w:rsid w:val="00223ACC"/>
    <w:rsid w:val="0022448D"/>
    <w:rsid w:val="002275DE"/>
    <w:rsid w:val="00230170"/>
    <w:rsid w:val="002305CF"/>
    <w:rsid w:val="00232110"/>
    <w:rsid w:val="00233E08"/>
    <w:rsid w:val="002345FF"/>
    <w:rsid w:val="00235DF2"/>
    <w:rsid w:val="00237611"/>
    <w:rsid w:val="002408D7"/>
    <w:rsid w:val="002426EA"/>
    <w:rsid w:val="00244476"/>
    <w:rsid w:val="002457CF"/>
    <w:rsid w:val="002507D8"/>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71B06"/>
    <w:rsid w:val="00272FEC"/>
    <w:rsid w:val="00273013"/>
    <w:rsid w:val="00273C37"/>
    <w:rsid w:val="0027430D"/>
    <w:rsid w:val="002746D9"/>
    <w:rsid w:val="00274ED2"/>
    <w:rsid w:val="002754FC"/>
    <w:rsid w:val="002765F2"/>
    <w:rsid w:val="00277A35"/>
    <w:rsid w:val="00280994"/>
    <w:rsid w:val="00280E3F"/>
    <w:rsid w:val="00280F05"/>
    <w:rsid w:val="0028248C"/>
    <w:rsid w:val="00286DDB"/>
    <w:rsid w:val="002871EB"/>
    <w:rsid w:val="002948C4"/>
    <w:rsid w:val="00297E45"/>
    <w:rsid w:val="002A2099"/>
    <w:rsid w:val="002A229B"/>
    <w:rsid w:val="002A35B6"/>
    <w:rsid w:val="002A4172"/>
    <w:rsid w:val="002A4516"/>
    <w:rsid w:val="002A54DE"/>
    <w:rsid w:val="002A7FAB"/>
    <w:rsid w:val="002B0692"/>
    <w:rsid w:val="002B085C"/>
    <w:rsid w:val="002B1AE9"/>
    <w:rsid w:val="002B2278"/>
    <w:rsid w:val="002B284F"/>
    <w:rsid w:val="002B2A2E"/>
    <w:rsid w:val="002B2F59"/>
    <w:rsid w:val="002B309C"/>
    <w:rsid w:val="002B4D21"/>
    <w:rsid w:val="002B6781"/>
    <w:rsid w:val="002B6AC2"/>
    <w:rsid w:val="002C0074"/>
    <w:rsid w:val="002C0159"/>
    <w:rsid w:val="002C0804"/>
    <w:rsid w:val="002C0DC5"/>
    <w:rsid w:val="002C1007"/>
    <w:rsid w:val="002C2D44"/>
    <w:rsid w:val="002C4715"/>
    <w:rsid w:val="002C4780"/>
    <w:rsid w:val="002C47ED"/>
    <w:rsid w:val="002C484A"/>
    <w:rsid w:val="002C5692"/>
    <w:rsid w:val="002C570D"/>
    <w:rsid w:val="002C6561"/>
    <w:rsid w:val="002C6DB3"/>
    <w:rsid w:val="002C76A0"/>
    <w:rsid w:val="002D0E3D"/>
    <w:rsid w:val="002D10C8"/>
    <w:rsid w:val="002D1A38"/>
    <w:rsid w:val="002D1AA7"/>
    <w:rsid w:val="002D1C2C"/>
    <w:rsid w:val="002D28CB"/>
    <w:rsid w:val="002D2E16"/>
    <w:rsid w:val="002D35AE"/>
    <w:rsid w:val="002D373C"/>
    <w:rsid w:val="002E0825"/>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BEF"/>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181"/>
    <w:rsid w:val="00321AA3"/>
    <w:rsid w:val="00321AE9"/>
    <w:rsid w:val="00321EEE"/>
    <w:rsid w:val="00323895"/>
    <w:rsid w:val="0032586C"/>
    <w:rsid w:val="00326579"/>
    <w:rsid w:val="00327D79"/>
    <w:rsid w:val="00330E47"/>
    <w:rsid w:val="00332E6B"/>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5104F"/>
    <w:rsid w:val="0035199B"/>
    <w:rsid w:val="003522BF"/>
    <w:rsid w:val="00352901"/>
    <w:rsid w:val="00355AEE"/>
    <w:rsid w:val="00355D3B"/>
    <w:rsid w:val="0035606B"/>
    <w:rsid w:val="00357CC7"/>
    <w:rsid w:val="0036073F"/>
    <w:rsid w:val="003615A3"/>
    <w:rsid w:val="003629EE"/>
    <w:rsid w:val="003643B3"/>
    <w:rsid w:val="003708DD"/>
    <w:rsid w:val="00370B8E"/>
    <w:rsid w:val="00370BB1"/>
    <w:rsid w:val="003721B2"/>
    <w:rsid w:val="00372328"/>
    <w:rsid w:val="00374CE8"/>
    <w:rsid w:val="003762FD"/>
    <w:rsid w:val="00376FD2"/>
    <w:rsid w:val="00377278"/>
    <w:rsid w:val="00377A76"/>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1B01"/>
    <w:rsid w:val="003A2029"/>
    <w:rsid w:val="003A63D9"/>
    <w:rsid w:val="003A6417"/>
    <w:rsid w:val="003A65FE"/>
    <w:rsid w:val="003A6A5A"/>
    <w:rsid w:val="003A7221"/>
    <w:rsid w:val="003A730E"/>
    <w:rsid w:val="003B123F"/>
    <w:rsid w:val="003B1CEE"/>
    <w:rsid w:val="003B2199"/>
    <w:rsid w:val="003B2856"/>
    <w:rsid w:val="003B2A0D"/>
    <w:rsid w:val="003B31FA"/>
    <w:rsid w:val="003B55AD"/>
    <w:rsid w:val="003B7EC4"/>
    <w:rsid w:val="003C183D"/>
    <w:rsid w:val="003C7282"/>
    <w:rsid w:val="003D00D5"/>
    <w:rsid w:val="003D0A29"/>
    <w:rsid w:val="003D0BC7"/>
    <w:rsid w:val="003D181D"/>
    <w:rsid w:val="003D20C4"/>
    <w:rsid w:val="003D4163"/>
    <w:rsid w:val="003D46D0"/>
    <w:rsid w:val="003D5661"/>
    <w:rsid w:val="003D65BF"/>
    <w:rsid w:val="003D792A"/>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900"/>
    <w:rsid w:val="003F70CA"/>
    <w:rsid w:val="003F7823"/>
    <w:rsid w:val="00400E76"/>
    <w:rsid w:val="0040137F"/>
    <w:rsid w:val="00402179"/>
    <w:rsid w:val="0040278D"/>
    <w:rsid w:val="00403249"/>
    <w:rsid w:val="004078C8"/>
    <w:rsid w:val="004102DE"/>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3115"/>
    <w:rsid w:val="004738D8"/>
    <w:rsid w:val="00473BD2"/>
    <w:rsid w:val="00473F11"/>
    <w:rsid w:val="00474477"/>
    <w:rsid w:val="004764CB"/>
    <w:rsid w:val="00476730"/>
    <w:rsid w:val="004769A5"/>
    <w:rsid w:val="004773A3"/>
    <w:rsid w:val="004773E6"/>
    <w:rsid w:val="00477710"/>
    <w:rsid w:val="00481A7B"/>
    <w:rsid w:val="0048386B"/>
    <w:rsid w:val="00483C14"/>
    <w:rsid w:val="00484EDE"/>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A7D4A"/>
    <w:rsid w:val="004B05A5"/>
    <w:rsid w:val="004B0EB6"/>
    <w:rsid w:val="004B176B"/>
    <w:rsid w:val="004B293C"/>
    <w:rsid w:val="004B35A4"/>
    <w:rsid w:val="004B3A2A"/>
    <w:rsid w:val="004B3D59"/>
    <w:rsid w:val="004B4713"/>
    <w:rsid w:val="004B4BE7"/>
    <w:rsid w:val="004B50F8"/>
    <w:rsid w:val="004B58EA"/>
    <w:rsid w:val="004B73EF"/>
    <w:rsid w:val="004B7992"/>
    <w:rsid w:val="004C09B4"/>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555"/>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6CE8"/>
    <w:rsid w:val="00546FBD"/>
    <w:rsid w:val="00550671"/>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55A"/>
    <w:rsid w:val="005669D6"/>
    <w:rsid w:val="00566BC5"/>
    <w:rsid w:val="0056788F"/>
    <w:rsid w:val="00567998"/>
    <w:rsid w:val="00570911"/>
    <w:rsid w:val="00573BC6"/>
    <w:rsid w:val="005759CD"/>
    <w:rsid w:val="00575D39"/>
    <w:rsid w:val="00575F2C"/>
    <w:rsid w:val="005773AC"/>
    <w:rsid w:val="00577884"/>
    <w:rsid w:val="00577C3F"/>
    <w:rsid w:val="00581C0F"/>
    <w:rsid w:val="00582919"/>
    <w:rsid w:val="0058374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D1"/>
    <w:rsid w:val="005B3A49"/>
    <w:rsid w:val="005B4B08"/>
    <w:rsid w:val="005B6ADF"/>
    <w:rsid w:val="005B773D"/>
    <w:rsid w:val="005B7C5D"/>
    <w:rsid w:val="005C02B5"/>
    <w:rsid w:val="005C0821"/>
    <w:rsid w:val="005C1A74"/>
    <w:rsid w:val="005C3294"/>
    <w:rsid w:val="005C347F"/>
    <w:rsid w:val="005C3B63"/>
    <w:rsid w:val="005C450C"/>
    <w:rsid w:val="005C6961"/>
    <w:rsid w:val="005C6F55"/>
    <w:rsid w:val="005C7898"/>
    <w:rsid w:val="005C7CA9"/>
    <w:rsid w:val="005D0EB4"/>
    <w:rsid w:val="005D18A6"/>
    <w:rsid w:val="005D27DD"/>
    <w:rsid w:val="005D3493"/>
    <w:rsid w:val="005D42F5"/>
    <w:rsid w:val="005D622E"/>
    <w:rsid w:val="005D6617"/>
    <w:rsid w:val="005D6FF0"/>
    <w:rsid w:val="005E11D5"/>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715E"/>
    <w:rsid w:val="006010DA"/>
    <w:rsid w:val="006017AB"/>
    <w:rsid w:val="00604AC3"/>
    <w:rsid w:val="00605865"/>
    <w:rsid w:val="00611DC1"/>
    <w:rsid w:val="00613655"/>
    <w:rsid w:val="006144EE"/>
    <w:rsid w:val="00617125"/>
    <w:rsid w:val="00617813"/>
    <w:rsid w:val="006206CC"/>
    <w:rsid w:val="00622B06"/>
    <w:rsid w:val="00623C15"/>
    <w:rsid w:val="00624425"/>
    <w:rsid w:val="006257C2"/>
    <w:rsid w:val="00627163"/>
    <w:rsid w:val="0063034E"/>
    <w:rsid w:val="00632E24"/>
    <w:rsid w:val="00634476"/>
    <w:rsid w:val="00637475"/>
    <w:rsid w:val="0064393B"/>
    <w:rsid w:val="006439A1"/>
    <w:rsid w:val="00644375"/>
    <w:rsid w:val="00644A5C"/>
    <w:rsid w:val="00646A08"/>
    <w:rsid w:val="00650392"/>
    <w:rsid w:val="0065061D"/>
    <w:rsid w:val="00651701"/>
    <w:rsid w:val="00652854"/>
    <w:rsid w:val="00655146"/>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617"/>
    <w:rsid w:val="006A79C3"/>
    <w:rsid w:val="006B004E"/>
    <w:rsid w:val="006B0198"/>
    <w:rsid w:val="006B12E8"/>
    <w:rsid w:val="006B1C19"/>
    <w:rsid w:val="006B31E7"/>
    <w:rsid w:val="006B4585"/>
    <w:rsid w:val="006B53EE"/>
    <w:rsid w:val="006B65D4"/>
    <w:rsid w:val="006B7A58"/>
    <w:rsid w:val="006C26B3"/>
    <w:rsid w:val="006C2FEE"/>
    <w:rsid w:val="006C50B1"/>
    <w:rsid w:val="006C50C2"/>
    <w:rsid w:val="006C563A"/>
    <w:rsid w:val="006C6C8C"/>
    <w:rsid w:val="006C6E1A"/>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3D4"/>
    <w:rsid w:val="006E7CC5"/>
    <w:rsid w:val="006F1E31"/>
    <w:rsid w:val="006F2C12"/>
    <w:rsid w:val="006F2F92"/>
    <w:rsid w:val="006F3266"/>
    <w:rsid w:val="006F51AA"/>
    <w:rsid w:val="006F69E5"/>
    <w:rsid w:val="00701218"/>
    <w:rsid w:val="007050B1"/>
    <w:rsid w:val="00705527"/>
    <w:rsid w:val="00707096"/>
    <w:rsid w:val="00710B50"/>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9D8"/>
    <w:rsid w:val="00740BA4"/>
    <w:rsid w:val="00742486"/>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2245"/>
    <w:rsid w:val="0077277D"/>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D0C01"/>
    <w:rsid w:val="007D26D2"/>
    <w:rsid w:val="007D3356"/>
    <w:rsid w:val="007D3FBD"/>
    <w:rsid w:val="007D49A0"/>
    <w:rsid w:val="007D7EF3"/>
    <w:rsid w:val="007E0553"/>
    <w:rsid w:val="007E5125"/>
    <w:rsid w:val="007E5A30"/>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F94"/>
    <w:rsid w:val="008118AF"/>
    <w:rsid w:val="00814A17"/>
    <w:rsid w:val="00815FC2"/>
    <w:rsid w:val="008167F5"/>
    <w:rsid w:val="0081794B"/>
    <w:rsid w:val="00817D8E"/>
    <w:rsid w:val="008200A3"/>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3125"/>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5335"/>
    <w:rsid w:val="00895536"/>
    <w:rsid w:val="008965EF"/>
    <w:rsid w:val="00896AD4"/>
    <w:rsid w:val="00897752"/>
    <w:rsid w:val="008A2811"/>
    <w:rsid w:val="008A3FC8"/>
    <w:rsid w:val="008A52F3"/>
    <w:rsid w:val="008A5456"/>
    <w:rsid w:val="008A74F2"/>
    <w:rsid w:val="008A7536"/>
    <w:rsid w:val="008A7F7D"/>
    <w:rsid w:val="008B1A5A"/>
    <w:rsid w:val="008B382F"/>
    <w:rsid w:val="008B38BC"/>
    <w:rsid w:val="008B4590"/>
    <w:rsid w:val="008B5AB4"/>
    <w:rsid w:val="008B66A6"/>
    <w:rsid w:val="008B6849"/>
    <w:rsid w:val="008B7FFE"/>
    <w:rsid w:val="008C0446"/>
    <w:rsid w:val="008C2B3C"/>
    <w:rsid w:val="008C33F9"/>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927"/>
    <w:rsid w:val="008F5F96"/>
    <w:rsid w:val="008F7752"/>
    <w:rsid w:val="0090174A"/>
    <w:rsid w:val="00902E52"/>
    <w:rsid w:val="009036B3"/>
    <w:rsid w:val="0090620F"/>
    <w:rsid w:val="009071FE"/>
    <w:rsid w:val="00907761"/>
    <w:rsid w:val="00907A46"/>
    <w:rsid w:val="00910076"/>
    <w:rsid w:val="0091242A"/>
    <w:rsid w:val="00912E53"/>
    <w:rsid w:val="0091395C"/>
    <w:rsid w:val="00913AA4"/>
    <w:rsid w:val="00915778"/>
    <w:rsid w:val="009164DD"/>
    <w:rsid w:val="009210C9"/>
    <w:rsid w:val="00921CF4"/>
    <w:rsid w:val="00925C68"/>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467D2"/>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E9E"/>
    <w:rsid w:val="009A28A2"/>
    <w:rsid w:val="009A2D33"/>
    <w:rsid w:val="009A3F10"/>
    <w:rsid w:val="009A5191"/>
    <w:rsid w:val="009A593A"/>
    <w:rsid w:val="009A5FBB"/>
    <w:rsid w:val="009B0E35"/>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9BF"/>
    <w:rsid w:val="009E0AB4"/>
    <w:rsid w:val="009E10C7"/>
    <w:rsid w:val="009E260E"/>
    <w:rsid w:val="009E360A"/>
    <w:rsid w:val="009E38A4"/>
    <w:rsid w:val="009E3D82"/>
    <w:rsid w:val="009E4942"/>
    <w:rsid w:val="009E6E48"/>
    <w:rsid w:val="009F0B67"/>
    <w:rsid w:val="009F1566"/>
    <w:rsid w:val="009F1E4B"/>
    <w:rsid w:val="009F307E"/>
    <w:rsid w:val="009F37D5"/>
    <w:rsid w:val="009F50DE"/>
    <w:rsid w:val="009F5F3E"/>
    <w:rsid w:val="009F6D34"/>
    <w:rsid w:val="009F74A2"/>
    <w:rsid w:val="009F7BB0"/>
    <w:rsid w:val="00A0179F"/>
    <w:rsid w:val="00A0191E"/>
    <w:rsid w:val="00A01B7D"/>
    <w:rsid w:val="00A036C5"/>
    <w:rsid w:val="00A03AD2"/>
    <w:rsid w:val="00A05DA0"/>
    <w:rsid w:val="00A073A0"/>
    <w:rsid w:val="00A07D84"/>
    <w:rsid w:val="00A10336"/>
    <w:rsid w:val="00A10CE2"/>
    <w:rsid w:val="00A13400"/>
    <w:rsid w:val="00A13703"/>
    <w:rsid w:val="00A13811"/>
    <w:rsid w:val="00A15C42"/>
    <w:rsid w:val="00A16DF1"/>
    <w:rsid w:val="00A17302"/>
    <w:rsid w:val="00A17A17"/>
    <w:rsid w:val="00A2069D"/>
    <w:rsid w:val="00A20B1F"/>
    <w:rsid w:val="00A21050"/>
    <w:rsid w:val="00A235D0"/>
    <w:rsid w:val="00A24131"/>
    <w:rsid w:val="00A27A7F"/>
    <w:rsid w:val="00A3276A"/>
    <w:rsid w:val="00A349D2"/>
    <w:rsid w:val="00A34C05"/>
    <w:rsid w:val="00A35492"/>
    <w:rsid w:val="00A4044E"/>
    <w:rsid w:val="00A4217B"/>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5D2B"/>
    <w:rsid w:val="00A572BC"/>
    <w:rsid w:val="00A57A82"/>
    <w:rsid w:val="00A62B7B"/>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08"/>
    <w:rsid w:val="00AC3E65"/>
    <w:rsid w:val="00AC535B"/>
    <w:rsid w:val="00AC5F6A"/>
    <w:rsid w:val="00AD0B3C"/>
    <w:rsid w:val="00AD0FC3"/>
    <w:rsid w:val="00AD1CC0"/>
    <w:rsid w:val="00AD22B5"/>
    <w:rsid w:val="00AD2718"/>
    <w:rsid w:val="00AD33D3"/>
    <w:rsid w:val="00AD3DB4"/>
    <w:rsid w:val="00AD5133"/>
    <w:rsid w:val="00AD5712"/>
    <w:rsid w:val="00AD6AC5"/>
    <w:rsid w:val="00AD76A1"/>
    <w:rsid w:val="00AE48E8"/>
    <w:rsid w:val="00AE7F20"/>
    <w:rsid w:val="00AF0E7C"/>
    <w:rsid w:val="00AF1F04"/>
    <w:rsid w:val="00AF3B55"/>
    <w:rsid w:val="00AF3D59"/>
    <w:rsid w:val="00AF615F"/>
    <w:rsid w:val="00AF6794"/>
    <w:rsid w:val="00AF6F48"/>
    <w:rsid w:val="00AF717E"/>
    <w:rsid w:val="00B016F7"/>
    <w:rsid w:val="00B02BDD"/>
    <w:rsid w:val="00B04E10"/>
    <w:rsid w:val="00B055B9"/>
    <w:rsid w:val="00B13243"/>
    <w:rsid w:val="00B13511"/>
    <w:rsid w:val="00B13D85"/>
    <w:rsid w:val="00B14ED7"/>
    <w:rsid w:val="00B16296"/>
    <w:rsid w:val="00B16CC7"/>
    <w:rsid w:val="00B1786A"/>
    <w:rsid w:val="00B206D8"/>
    <w:rsid w:val="00B20C75"/>
    <w:rsid w:val="00B230E5"/>
    <w:rsid w:val="00B23E88"/>
    <w:rsid w:val="00B267A4"/>
    <w:rsid w:val="00B312C7"/>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6723D"/>
    <w:rsid w:val="00B67B60"/>
    <w:rsid w:val="00B67BD4"/>
    <w:rsid w:val="00B71F08"/>
    <w:rsid w:val="00B73838"/>
    <w:rsid w:val="00B7421A"/>
    <w:rsid w:val="00B74366"/>
    <w:rsid w:val="00B74D4D"/>
    <w:rsid w:val="00B75F20"/>
    <w:rsid w:val="00B762FD"/>
    <w:rsid w:val="00B76C73"/>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4101"/>
    <w:rsid w:val="00C24B25"/>
    <w:rsid w:val="00C24FF3"/>
    <w:rsid w:val="00C2575E"/>
    <w:rsid w:val="00C26121"/>
    <w:rsid w:val="00C27ABF"/>
    <w:rsid w:val="00C3086E"/>
    <w:rsid w:val="00C315FB"/>
    <w:rsid w:val="00C31713"/>
    <w:rsid w:val="00C317BD"/>
    <w:rsid w:val="00C33279"/>
    <w:rsid w:val="00C34B8F"/>
    <w:rsid w:val="00C35332"/>
    <w:rsid w:val="00C37421"/>
    <w:rsid w:val="00C37D4F"/>
    <w:rsid w:val="00C41015"/>
    <w:rsid w:val="00C41131"/>
    <w:rsid w:val="00C411C1"/>
    <w:rsid w:val="00C422BD"/>
    <w:rsid w:val="00C42ED3"/>
    <w:rsid w:val="00C43A3B"/>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199A"/>
    <w:rsid w:val="00C6220B"/>
    <w:rsid w:val="00C62658"/>
    <w:rsid w:val="00C634D6"/>
    <w:rsid w:val="00C63CF2"/>
    <w:rsid w:val="00C6440A"/>
    <w:rsid w:val="00C648FC"/>
    <w:rsid w:val="00C65EDE"/>
    <w:rsid w:val="00C663BE"/>
    <w:rsid w:val="00C70AB7"/>
    <w:rsid w:val="00C71858"/>
    <w:rsid w:val="00C722C5"/>
    <w:rsid w:val="00C74346"/>
    <w:rsid w:val="00C744AE"/>
    <w:rsid w:val="00C74781"/>
    <w:rsid w:val="00C76B87"/>
    <w:rsid w:val="00C80034"/>
    <w:rsid w:val="00C80729"/>
    <w:rsid w:val="00C828E8"/>
    <w:rsid w:val="00C83579"/>
    <w:rsid w:val="00C83EA7"/>
    <w:rsid w:val="00C84559"/>
    <w:rsid w:val="00C84E31"/>
    <w:rsid w:val="00C862C4"/>
    <w:rsid w:val="00C86977"/>
    <w:rsid w:val="00C86B34"/>
    <w:rsid w:val="00C86FFF"/>
    <w:rsid w:val="00C871C7"/>
    <w:rsid w:val="00C91060"/>
    <w:rsid w:val="00C928FD"/>
    <w:rsid w:val="00C95593"/>
    <w:rsid w:val="00CA0640"/>
    <w:rsid w:val="00CA2022"/>
    <w:rsid w:val="00CA4741"/>
    <w:rsid w:val="00CA4CF0"/>
    <w:rsid w:val="00CA5465"/>
    <w:rsid w:val="00CA62D4"/>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7E6A"/>
    <w:rsid w:val="00CF030B"/>
    <w:rsid w:val="00CF23A2"/>
    <w:rsid w:val="00CF5D77"/>
    <w:rsid w:val="00CF6EB2"/>
    <w:rsid w:val="00D00269"/>
    <w:rsid w:val="00D02F72"/>
    <w:rsid w:val="00D07CFB"/>
    <w:rsid w:val="00D10AB0"/>
    <w:rsid w:val="00D12402"/>
    <w:rsid w:val="00D12927"/>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25E2"/>
    <w:rsid w:val="00D5750C"/>
    <w:rsid w:val="00D60582"/>
    <w:rsid w:val="00D61222"/>
    <w:rsid w:val="00D63800"/>
    <w:rsid w:val="00D63990"/>
    <w:rsid w:val="00D63D90"/>
    <w:rsid w:val="00D65068"/>
    <w:rsid w:val="00D65243"/>
    <w:rsid w:val="00D658A1"/>
    <w:rsid w:val="00D65BBD"/>
    <w:rsid w:val="00D67B28"/>
    <w:rsid w:val="00D67E99"/>
    <w:rsid w:val="00D71057"/>
    <w:rsid w:val="00D730F6"/>
    <w:rsid w:val="00D738F0"/>
    <w:rsid w:val="00D75E6C"/>
    <w:rsid w:val="00D82CB3"/>
    <w:rsid w:val="00D82FC0"/>
    <w:rsid w:val="00D8322A"/>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4CB"/>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6BF7"/>
    <w:rsid w:val="00E47A5F"/>
    <w:rsid w:val="00E50385"/>
    <w:rsid w:val="00E506E7"/>
    <w:rsid w:val="00E507A5"/>
    <w:rsid w:val="00E51A57"/>
    <w:rsid w:val="00E528D2"/>
    <w:rsid w:val="00E54E89"/>
    <w:rsid w:val="00E56DBA"/>
    <w:rsid w:val="00E57E0F"/>
    <w:rsid w:val="00E601CE"/>
    <w:rsid w:val="00E602CF"/>
    <w:rsid w:val="00E60B1D"/>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2215"/>
    <w:rsid w:val="00E937B5"/>
    <w:rsid w:val="00E9442F"/>
    <w:rsid w:val="00E94495"/>
    <w:rsid w:val="00E9486B"/>
    <w:rsid w:val="00E95534"/>
    <w:rsid w:val="00E96326"/>
    <w:rsid w:val="00E969D2"/>
    <w:rsid w:val="00E97D83"/>
    <w:rsid w:val="00EA0CA1"/>
    <w:rsid w:val="00EA1D8B"/>
    <w:rsid w:val="00EA289E"/>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743F"/>
    <w:rsid w:val="00EC064C"/>
    <w:rsid w:val="00EC0BFA"/>
    <w:rsid w:val="00EC0D38"/>
    <w:rsid w:val="00EC115D"/>
    <w:rsid w:val="00EC152A"/>
    <w:rsid w:val="00EC23AC"/>
    <w:rsid w:val="00EC3328"/>
    <w:rsid w:val="00EC34A9"/>
    <w:rsid w:val="00EC3934"/>
    <w:rsid w:val="00EC6F0E"/>
    <w:rsid w:val="00EC7352"/>
    <w:rsid w:val="00ED2270"/>
    <w:rsid w:val="00ED3818"/>
    <w:rsid w:val="00ED3B1D"/>
    <w:rsid w:val="00ED512E"/>
    <w:rsid w:val="00EE0293"/>
    <w:rsid w:val="00EE03EC"/>
    <w:rsid w:val="00EE048D"/>
    <w:rsid w:val="00EE0ACB"/>
    <w:rsid w:val="00EE107C"/>
    <w:rsid w:val="00EE123D"/>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C08"/>
    <w:rsid w:val="00F12CDC"/>
    <w:rsid w:val="00F13E45"/>
    <w:rsid w:val="00F147C6"/>
    <w:rsid w:val="00F15794"/>
    <w:rsid w:val="00F17EFA"/>
    <w:rsid w:val="00F20933"/>
    <w:rsid w:val="00F21705"/>
    <w:rsid w:val="00F231FC"/>
    <w:rsid w:val="00F24AB7"/>
    <w:rsid w:val="00F2567E"/>
    <w:rsid w:val="00F25E84"/>
    <w:rsid w:val="00F26068"/>
    <w:rsid w:val="00F2706D"/>
    <w:rsid w:val="00F2723F"/>
    <w:rsid w:val="00F27ADB"/>
    <w:rsid w:val="00F31178"/>
    <w:rsid w:val="00F3117D"/>
    <w:rsid w:val="00F325F9"/>
    <w:rsid w:val="00F32971"/>
    <w:rsid w:val="00F3400B"/>
    <w:rsid w:val="00F35C44"/>
    <w:rsid w:val="00F37B6F"/>
    <w:rsid w:val="00F40C05"/>
    <w:rsid w:val="00F40E86"/>
    <w:rsid w:val="00F42168"/>
    <w:rsid w:val="00F425B3"/>
    <w:rsid w:val="00F44C78"/>
    <w:rsid w:val="00F44F38"/>
    <w:rsid w:val="00F452C0"/>
    <w:rsid w:val="00F45502"/>
    <w:rsid w:val="00F459E6"/>
    <w:rsid w:val="00F53104"/>
    <w:rsid w:val="00F5372F"/>
    <w:rsid w:val="00F53C70"/>
    <w:rsid w:val="00F55309"/>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FEB"/>
    <w:rsid w:val="00F94E43"/>
    <w:rsid w:val="00F96156"/>
    <w:rsid w:val="00F96460"/>
    <w:rsid w:val="00F97AFE"/>
    <w:rsid w:val="00F97E65"/>
    <w:rsid w:val="00FA0128"/>
    <w:rsid w:val="00FA0F09"/>
    <w:rsid w:val="00FA1786"/>
    <w:rsid w:val="00FA17C2"/>
    <w:rsid w:val="00FA215F"/>
    <w:rsid w:val="00FA2406"/>
    <w:rsid w:val="00FA3191"/>
    <w:rsid w:val="00FA5AE3"/>
    <w:rsid w:val="00FA73DD"/>
    <w:rsid w:val="00FB13C2"/>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7996"/>
    <w:rsid w:val="00FD7B5E"/>
    <w:rsid w:val="00FD7EF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73"/>
    <w:rsid w:val="00FF35F5"/>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UnresolvedMention">
    <w:name w:val="Unresolved Mention"/>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434F0-32CD-44ED-8DBD-383E6E1D4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15772</Words>
  <Characters>86746</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2019-12-11T01:19:00Z</cp:lastPrinted>
  <dcterms:created xsi:type="dcterms:W3CDTF">2021-12-03T01:39:00Z</dcterms:created>
  <dcterms:modified xsi:type="dcterms:W3CDTF">2021-12-03T01:39:00Z</dcterms:modified>
</cp:coreProperties>
</file>