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Default="009F09BC" w:rsidP="009F09BC">
      <w:pPr>
        <w:spacing w:line="360" w:lineRule="auto"/>
        <w:jc w:val="center"/>
        <w:rPr>
          <w:rFonts w:ascii="Palatino Linotype" w:eastAsia="Times New Roman" w:hAnsi="Palatino Linotype" w:cs="Times New Roman"/>
          <w:b/>
          <w:u w:val="single"/>
        </w:rPr>
      </w:pPr>
      <w:r w:rsidRPr="00D707F7">
        <w:rPr>
          <w:rFonts w:ascii="Palatino Linotype" w:eastAsia="Times New Roman" w:hAnsi="Palatino Linotype" w:cs="Times New Roman"/>
          <w:b/>
          <w:u w:val="single"/>
        </w:rPr>
        <w:t>ÍNDICE</w:t>
      </w:r>
    </w:p>
    <w:sdt>
      <w:sdtPr>
        <w:rPr>
          <w:rFonts w:ascii="Palatino Linotype" w:hAnsi="Palatino Linotype" w:cstheme="minorBidi"/>
          <w:lang w:val="es-ES" w:eastAsia="es-ES"/>
        </w:rPr>
        <w:id w:val="-1245946457"/>
        <w:docPartObj>
          <w:docPartGallery w:val="Table of Contents"/>
          <w:docPartUnique/>
        </w:docPartObj>
      </w:sdtPr>
      <w:sdtEndPr>
        <w:rPr>
          <w:b/>
          <w:bCs/>
        </w:rPr>
      </w:sdtEndPr>
      <w:sdtContent>
        <w:p w:rsidR="00AE4108" w:rsidRPr="00AE4108" w:rsidRDefault="009F09BC" w:rsidP="00AE4108">
          <w:pPr>
            <w:pStyle w:val="TDC1"/>
            <w:spacing w:line="480" w:lineRule="auto"/>
            <w:ind w:firstLine="0"/>
            <w:rPr>
              <w:rFonts w:ascii="Palatino Linotype" w:hAnsi="Palatino Linotype" w:cstheme="minorBidi"/>
              <w:noProof/>
              <w:sz w:val="22"/>
              <w:szCs w:val="22"/>
              <w:lang w:val="es-MX"/>
            </w:rPr>
          </w:pPr>
          <w:r w:rsidRPr="00AE4108">
            <w:rPr>
              <w:rFonts w:ascii="Palatino Linotype" w:eastAsiaTheme="majorEastAsia" w:hAnsi="Palatino Linotype" w:cstheme="majorBidi"/>
              <w:b/>
              <w:lang w:val="es-MX"/>
            </w:rPr>
            <w:fldChar w:fldCharType="begin"/>
          </w:r>
          <w:r w:rsidRPr="00AE4108">
            <w:rPr>
              <w:rFonts w:ascii="Palatino Linotype" w:hAnsi="Palatino Linotype"/>
              <w:b/>
            </w:rPr>
            <w:instrText xml:space="preserve"> TOC \o "1-3" \h \z \u </w:instrText>
          </w:r>
          <w:r w:rsidRPr="00AE4108">
            <w:rPr>
              <w:rFonts w:ascii="Palatino Linotype" w:eastAsiaTheme="majorEastAsia" w:hAnsi="Palatino Linotype" w:cstheme="majorBidi"/>
              <w:b/>
              <w:lang w:val="es-MX"/>
            </w:rPr>
            <w:fldChar w:fldCharType="separate"/>
          </w:r>
          <w:hyperlink w:anchor="_Toc83921789" w:history="1">
            <w:r w:rsidR="00AE4108" w:rsidRPr="00AE4108">
              <w:rPr>
                <w:rStyle w:val="Hipervnculo"/>
                <w:rFonts w:ascii="Palatino Linotype" w:hAnsi="Palatino Linotype"/>
                <w:b/>
                <w:noProof/>
              </w:rPr>
              <w:t>ANTECEDENTES</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_Toc83921789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2</w:t>
            </w:r>
            <w:r w:rsidR="00AE4108" w:rsidRPr="00AE4108">
              <w:rPr>
                <w:rFonts w:ascii="Palatino Linotype" w:hAnsi="Palatino Linotype"/>
                <w:noProof/>
                <w:webHidden/>
              </w:rPr>
              <w:fldChar w:fldCharType="end"/>
            </w:r>
          </w:hyperlink>
        </w:p>
        <w:p w:rsidR="00AE4108" w:rsidRPr="00AE4108" w:rsidRDefault="00AF55C1" w:rsidP="00AE4108">
          <w:pPr>
            <w:pStyle w:val="TDC2"/>
            <w:tabs>
              <w:tab w:val="right" w:leader="dot" w:pos="8828"/>
            </w:tabs>
            <w:spacing w:after="0" w:line="480" w:lineRule="auto"/>
            <w:rPr>
              <w:rFonts w:ascii="Palatino Linotype" w:hAnsi="Palatino Linotype" w:cstheme="minorBidi"/>
              <w:noProof/>
              <w:sz w:val="22"/>
              <w:szCs w:val="22"/>
              <w:lang w:val="es-MX"/>
            </w:rPr>
          </w:pPr>
          <w:hyperlink w:anchor="_Toc83921792" w:history="1">
            <w:r w:rsidR="00AE4108" w:rsidRPr="00AE4108">
              <w:rPr>
                <w:rStyle w:val="Hipervnculo"/>
                <w:rFonts w:ascii="Palatino Linotype" w:hAnsi="Palatino Linotype"/>
                <w:b/>
                <w:noProof/>
              </w:rPr>
              <w:t>PRIMERO. De la competencia</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_Toc83921792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12</w:t>
            </w:r>
            <w:r w:rsidR="00AE4108" w:rsidRPr="00AE4108">
              <w:rPr>
                <w:rFonts w:ascii="Palatino Linotype" w:hAnsi="Palatino Linotype"/>
                <w:noProof/>
                <w:webHidden/>
              </w:rPr>
              <w:fldChar w:fldCharType="end"/>
            </w:r>
          </w:hyperlink>
        </w:p>
        <w:p w:rsidR="00AE4108" w:rsidRPr="00AE4108" w:rsidRDefault="00AF55C1" w:rsidP="00AE4108">
          <w:pPr>
            <w:pStyle w:val="TDC2"/>
            <w:tabs>
              <w:tab w:val="right" w:leader="dot" w:pos="8828"/>
            </w:tabs>
            <w:spacing w:after="0" w:line="480" w:lineRule="auto"/>
            <w:rPr>
              <w:rFonts w:ascii="Palatino Linotype" w:hAnsi="Palatino Linotype" w:cstheme="minorBidi"/>
              <w:noProof/>
              <w:sz w:val="22"/>
              <w:szCs w:val="22"/>
              <w:lang w:val="es-MX"/>
            </w:rPr>
          </w:pPr>
          <w:hyperlink w:anchor="_Toc83921793" w:history="1">
            <w:r w:rsidR="00AE4108" w:rsidRPr="00AE4108">
              <w:rPr>
                <w:rStyle w:val="Hipervnculo"/>
                <w:rFonts w:ascii="Palatino Linotype" w:hAnsi="Palatino Linotype"/>
                <w:b/>
                <w:noProof/>
              </w:rPr>
              <w:t>SEGUNDO. De la oportunidad y procedencia.</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_Toc83921793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12</w:t>
            </w:r>
            <w:r w:rsidR="00AE4108" w:rsidRPr="00AE4108">
              <w:rPr>
                <w:rFonts w:ascii="Palatino Linotype" w:hAnsi="Palatino Linotype"/>
                <w:noProof/>
                <w:webHidden/>
              </w:rPr>
              <w:fldChar w:fldCharType="end"/>
            </w:r>
          </w:hyperlink>
        </w:p>
        <w:p w:rsidR="00AE4108" w:rsidRPr="00AE4108" w:rsidRDefault="00AF55C1" w:rsidP="00AE4108">
          <w:pPr>
            <w:pStyle w:val="TDC1"/>
            <w:spacing w:line="480" w:lineRule="auto"/>
            <w:rPr>
              <w:rFonts w:ascii="Palatino Linotype" w:hAnsi="Palatino Linotype" w:cstheme="minorBidi"/>
              <w:noProof/>
              <w:sz w:val="22"/>
              <w:szCs w:val="22"/>
              <w:lang w:val="es-MX"/>
            </w:rPr>
          </w:pPr>
          <w:hyperlink w:anchor="_Toc83921794" w:history="1">
            <w:r w:rsidR="00AE4108" w:rsidRPr="00AE4108">
              <w:rPr>
                <w:rStyle w:val="Hipervnculo"/>
                <w:rFonts w:ascii="Palatino Linotype" w:hAnsi="Palatino Linotype"/>
                <w:b/>
                <w:noProof/>
              </w:rPr>
              <w:t xml:space="preserve">TERCERO. Del planteamiento de la </w:t>
            </w:r>
            <w:r w:rsidR="00AE4108" w:rsidRPr="00AE4108">
              <w:rPr>
                <w:rStyle w:val="Hipervnculo"/>
                <w:rFonts w:ascii="Palatino Linotype" w:hAnsi="Palatino Linotype"/>
                <w:b/>
                <w:i/>
                <w:noProof/>
              </w:rPr>
              <w:t>Litis</w:t>
            </w:r>
            <w:r w:rsidR="00AE4108" w:rsidRPr="00AE4108">
              <w:rPr>
                <w:rStyle w:val="Hipervnculo"/>
                <w:rFonts w:ascii="Palatino Linotype" w:hAnsi="Palatino Linotype"/>
                <w:b/>
                <w:noProof/>
              </w:rPr>
              <w:t>.</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_Toc83921794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13</w:t>
            </w:r>
            <w:r w:rsidR="00AE4108" w:rsidRPr="00AE4108">
              <w:rPr>
                <w:rFonts w:ascii="Palatino Linotype" w:hAnsi="Palatino Linotype"/>
                <w:noProof/>
                <w:webHidden/>
              </w:rPr>
              <w:fldChar w:fldCharType="end"/>
            </w:r>
          </w:hyperlink>
        </w:p>
        <w:p w:rsidR="00AE4108" w:rsidRPr="00AE4108" w:rsidRDefault="00AF55C1" w:rsidP="00AE4108">
          <w:pPr>
            <w:pStyle w:val="TDC2"/>
            <w:tabs>
              <w:tab w:val="right" w:leader="dot" w:pos="8828"/>
            </w:tabs>
            <w:spacing w:after="0" w:line="480" w:lineRule="auto"/>
            <w:rPr>
              <w:rFonts w:ascii="Palatino Linotype" w:hAnsi="Palatino Linotype" w:cstheme="minorBidi"/>
              <w:noProof/>
              <w:sz w:val="22"/>
              <w:szCs w:val="22"/>
              <w:lang w:val="es-MX"/>
            </w:rPr>
          </w:pPr>
          <w:hyperlink w:anchor="_Toc83921795" w:history="1">
            <w:r w:rsidR="00AE4108" w:rsidRPr="00AE4108">
              <w:rPr>
                <w:rStyle w:val="Hipervnculo"/>
                <w:rFonts w:ascii="Palatino Linotype" w:hAnsi="Palatino Linotype"/>
                <w:b/>
                <w:noProof/>
              </w:rPr>
              <w:t>CUARTO. Del estudio y resolución del asunto.</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_Toc83921795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14</w:t>
            </w:r>
            <w:r w:rsidR="00AE4108" w:rsidRPr="00AE4108">
              <w:rPr>
                <w:rFonts w:ascii="Palatino Linotype" w:hAnsi="Palatino Linotype"/>
                <w:noProof/>
                <w:webHidden/>
              </w:rPr>
              <w:fldChar w:fldCharType="end"/>
            </w:r>
          </w:hyperlink>
        </w:p>
        <w:p w:rsidR="00AE4108" w:rsidRPr="00AE4108" w:rsidRDefault="00AF55C1" w:rsidP="00AE4108">
          <w:pPr>
            <w:pStyle w:val="TDC2"/>
            <w:tabs>
              <w:tab w:val="right" w:leader="dot" w:pos="8828"/>
            </w:tabs>
            <w:spacing w:after="0" w:line="480" w:lineRule="auto"/>
            <w:rPr>
              <w:rFonts w:ascii="Palatino Linotype" w:hAnsi="Palatino Linotype" w:cstheme="minorBidi"/>
              <w:noProof/>
              <w:sz w:val="22"/>
              <w:szCs w:val="22"/>
              <w:lang w:val="es-MX"/>
            </w:rPr>
          </w:pPr>
          <w:hyperlink w:anchor="_Toc83921798" w:history="1">
            <w:r w:rsidR="00AE4108" w:rsidRPr="00AE4108">
              <w:rPr>
                <w:rStyle w:val="Hipervnculo"/>
                <w:rFonts w:ascii="Palatino Linotype" w:hAnsi="Palatino Linotype"/>
                <w:b/>
                <w:noProof/>
              </w:rPr>
              <w:t>QUINTO. De la versión pública</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_Toc83921798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70</w:t>
            </w:r>
            <w:r w:rsidR="00AE4108" w:rsidRPr="00AE4108">
              <w:rPr>
                <w:rFonts w:ascii="Palatino Linotype" w:hAnsi="Palatino Linotype"/>
                <w:noProof/>
                <w:webHidden/>
              </w:rPr>
              <w:fldChar w:fldCharType="end"/>
            </w:r>
          </w:hyperlink>
        </w:p>
        <w:p w:rsidR="00AE4108" w:rsidRPr="00AE4108" w:rsidRDefault="00AF55C1" w:rsidP="00AE4108">
          <w:pPr>
            <w:pStyle w:val="TDC1"/>
            <w:spacing w:line="480" w:lineRule="auto"/>
            <w:rPr>
              <w:rFonts w:ascii="Palatino Linotype" w:hAnsi="Palatino Linotype" w:cstheme="minorBidi"/>
              <w:noProof/>
              <w:sz w:val="22"/>
              <w:szCs w:val="22"/>
              <w:lang w:val="es-MX"/>
            </w:rPr>
          </w:pPr>
          <w:hyperlink w:anchor="_Toc83921803" w:history="1">
            <w:r w:rsidR="00AE4108" w:rsidRPr="00AE4108">
              <w:rPr>
                <w:rStyle w:val="Hipervnculo"/>
                <w:rFonts w:ascii="Palatino Linotype" w:eastAsia="Calibri" w:hAnsi="Palatino Linotype"/>
                <w:b/>
                <w:noProof/>
                <w:lang w:val="es-ES"/>
              </w:rPr>
              <w:t>R E S O L U T I V O S</w:t>
            </w:r>
            <w:r w:rsidR="00AE4108" w:rsidRPr="00AE4108">
              <w:rPr>
                <w:rFonts w:ascii="Palatino Linotype" w:hAnsi="Palatino Linotype"/>
                <w:noProof/>
                <w:webHidden/>
              </w:rPr>
              <w:tab/>
            </w:r>
            <w:r w:rsidR="00AE4108" w:rsidRPr="00AE4108">
              <w:rPr>
                <w:rFonts w:ascii="Palatino Linotype" w:hAnsi="Palatino Linotype"/>
                <w:noProof/>
                <w:webHidden/>
              </w:rPr>
              <w:fldChar w:fldCharType="begin"/>
            </w:r>
            <w:r w:rsidR="00AE4108" w:rsidRPr="00AE4108">
              <w:rPr>
                <w:rFonts w:ascii="Palatino Linotype" w:hAnsi="Palatino Linotype"/>
                <w:noProof/>
                <w:webHidden/>
              </w:rPr>
              <w:instrText xml:space="preserve"> PAGEREF _Toc83921803 \h </w:instrText>
            </w:r>
            <w:r w:rsidR="00AE4108" w:rsidRPr="00AE4108">
              <w:rPr>
                <w:rFonts w:ascii="Palatino Linotype" w:hAnsi="Palatino Linotype"/>
                <w:noProof/>
                <w:webHidden/>
              </w:rPr>
            </w:r>
            <w:r w:rsidR="00AE4108" w:rsidRPr="00AE4108">
              <w:rPr>
                <w:rFonts w:ascii="Palatino Linotype" w:hAnsi="Palatino Linotype"/>
                <w:noProof/>
                <w:webHidden/>
              </w:rPr>
              <w:fldChar w:fldCharType="separate"/>
            </w:r>
            <w:r w:rsidR="00A556EB">
              <w:rPr>
                <w:rFonts w:ascii="Palatino Linotype" w:hAnsi="Palatino Linotype"/>
                <w:noProof/>
                <w:webHidden/>
              </w:rPr>
              <w:t>82</w:t>
            </w:r>
            <w:r w:rsidR="00AE4108" w:rsidRPr="00AE4108">
              <w:rPr>
                <w:rFonts w:ascii="Palatino Linotype" w:hAnsi="Palatino Linotype"/>
                <w:noProof/>
                <w:webHidden/>
              </w:rPr>
              <w:fldChar w:fldCharType="end"/>
            </w:r>
          </w:hyperlink>
        </w:p>
        <w:p w:rsidR="009F09BC" w:rsidRPr="00D707F7" w:rsidRDefault="009F09BC" w:rsidP="00AE4108">
          <w:pPr>
            <w:spacing w:line="480" w:lineRule="auto"/>
            <w:rPr>
              <w:rFonts w:ascii="Palatino Linotype" w:hAnsi="Palatino Linotype"/>
            </w:rPr>
          </w:pPr>
          <w:r w:rsidRPr="00AE4108">
            <w:rPr>
              <w:rFonts w:ascii="Palatino Linotype" w:hAnsi="Palatino Linotype"/>
              <w:b/>
              <w:bCs/>
              <w:lang w:val="es-ES"/>
            </w:rPr>
            <w:fldChar w:fldCharType="end"/>
          </w:r>
        </w:p>
      </w:sdtContent>
    </w:sdt>
    <w:p w:rsidR="00E230C8" w:rsidRDefault="00E230C8" w:rsidP="007724FF">
      <w:pPr>
        <w:tabs>
          <w:tab w:val="left" w:pos="3465"/>
        </w:tabs>
        <w:spacing w:line="360" w:lineRule="auto"/>
        <w:jc w:val="both"/>
        <w:rPr>
          <w:rFonts w:ascii="Palatino Linotype" w:hAnsi="Palatino Linotype"/>
        </w:rPr>
      </w:pPr>
    </w:p>
    <w:p w:rsidR="00E230C8" w:rsidRDefault="003023D1" w:rsidP="007724FF">
      <w:pPr>
        <w:tabs>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8688</wp:posOffset>
                </wp:positionH>
                <wp:positionV relativeFrom="paragraph">
                  <wp:posOffset>121997</wp:posOffset>
                </wp:positionV>
                <wp:extent cx="5607968" cy="264806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5607968" cy="26480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FB3924" id="Conector recto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pt,9.6pt" to="442.25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" strokecolor="black [3200]" strokeweight="1.5pt">
                <v:stroke joinstyle="miter"/>
              </v:line>
            </w:pict>
          </mc:Fallback>
        </mc:AlternateContent>
      </w:r>
    </w:p>
    <w:p w:rsidR="00E230C8" w:rsidRDefault="00E230C8" w:rsidP="007724FF">
      <w:pPr>
        <w:tabs>
          <w:tab w:val="left" w:pos="3465"/>
        </w:tabs>
        <w:spacing w:line="360" w:lineRule="auto"/>
        <w:jc w:val="both"/>
        <w:rPr>
          <w:rFonts w:ascii="Palatino Linotype" w:hAnsi="Palatino Linotype"/>
        </w:rPr>
      </w:pPr>
    </w:p>
    <w:p w:rsidR="00E230C8" w:rsidRDefault="00E230C8" w:rsidP="007724FF">
      <w:pPr>
        <w:tabs>
          <w:tab w:val="left" w:pos="3465"/>
        </w:tabs>
        <w:spacing w:line="360" w:lineRule="auto"/>
        <w:jc w:val="both"/>
        <w:rPr>
          <w:rFonts w:ascii="Palatino Linotype" w:hAnsi="Palatino Linotype"/>
        </w:rPr>
      </w:pPr>
    </w:p>
    <w:p w:rsidR="00E230C8" w:rsidRDefault="00E230C8" w:rsidP="007724FF">
      <w:pPr>
        <w:tabs>
          <w:tab w:val="left" w:pos="3465"/>
        </w:tabs>
        <w:spacing w:line="360" w:lineRule="auto"/>
        <w:jc w:val="both"/>
        <w:rPr>
          <w:rFonts w:ascii="Palatino Linotype" w:hAnsi="Palatino Linotype"/>
        </w:rPr>
      </w:pPr>
    </w:p>
    <w:p w:rsidR="00E230C8" w:rsidRDefault="00E230C8" w:rsidP="007724FF">
      <w:pPr>
        <w:tabs>
          <w:tab w:val="left" w:pos="3465"/>
        </w:tabs>
        <w:spacing w:line="360" w:lineRule="auto"/>
        <w:jc w:val="both"/>
        <w:rPr>
          <w:rFonts w:ascii="Palatino Linotype" w:hAnsi="Palatino Linotype"/>
        </w:rPr>
      </w:pPr>
    </w:p>
    <w:p w:rsidR="00E230C8" w:rsidRDefault="00E230C8" w:rsidP="007724FF">
      <w:pPr>
        <w:tabs>
          <w:tab w:val="left" w:pos="3465"/>
        </w:tabs>
        <w:spacing w:line="360" w:lineRule="auto"/>
        <w:jc w:val="both"/>
        <w:rPr>
          <w:rFonts w:ascii="Palatino Linotype" w:hAnsi="Palatino Linotype"/>
        </w:rPr>
      </w:pPr>
    </w:p>
    <w:p w:rsidR="00E230C8" w:rsidRDefault="00E230C8" w:rsidP="007724FF">
      <w:pPr>
        <w:tabs>
          <w:tab w:val="left" w:pos="3465"/>
        </w:tabs>
        <w:spacing w:line="360" w:lineRule="auto"/>
        <w:jc w:val="both"/>
        <w:rPr>
          <w:rFonts w:ascii="Palatino Linotype" w:hAnsi="Palatino Linotype"/>
        </w:rPr>
      </w:pPr>
    </w:p>
    <w:p w:rsidR="00AE4108" w:rsidRDefault="00AE4108" w:rsidP="007724FF">
      <w:pPr>
        <w:tabs>
          <w:tab w:val="left" w:pos="3465"/>
        </w:tabs>
        <w:spacing w:line="360" w:lineRule="auto"/>
        <w:jc w:val="both"/>
        <w:rPr>
          <w:rFonts w:ascii="Palatino Linotype" w:hAnsi="Palatino Linotype"/>
        </w:rPr>
      </w:pPr>
    </w:p>
    <w:p w:rsidR="00AE4108" w:rsidRDefault="00AE4108" w:rsidP="007724FF">
      <w:pPr>
        <w:tabs>
          <w:tab w:val="left" w:pos="3465"/>
        </w:tabs>
        <w:spacing w:line="360" w:lineRule="auto"/>
        <w:jc w:val="both"/>
        <w:rPr>
          <w:rFonts w:ascii="Palatino Linotype" w:hAnsi="Palatino Linotype"/>
        </w:rPr>
      </w:pPr>
    </w:p>
    <w:p w:rsidR="009F09BC" w:rsidRDefault="009F09BC" w:rsidP="007724FF">
      <w:pPr>
        <w:tabs>
          <w:tab w:val="left" w:pos="3465"/>
        </w:tabs>
        <w:spacing w:line="360" w:lineRule="auto"/>
        <w:jc w:val="both"/>
        <w:rPr>
          <w:rFonts w:ascii="Palatino Linotype" w:hAnsi="Palatino Linotype"/>
        </w:rPr>
      </w:pPr>
      <w:r w:rsidRPr="007724FF">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391A99" w:rsidRPr="007724FF">
        <w:rPr>
          <w:rFonts w:ascii="Palatino Linotype" w:hAnsi="Palatino Linotype"/>
        </w:rPr>
        <w:t>seis (06</w:t>
      </w:r>
      <w:r w:rsidRPr="007724FF">
        <w:rPr>
          <w:rFonts w:ascii="Palatino Linotype" w:hAnsi="Palatino Linotype"/>
        </w:rPr>
        <w:t xml:space="preserve">) de </w:t>
      </w:r>
      <w:r w:rsidR="00391A99" w:rsidRPr="007724FF">
        <w:rPr>
          <w:rFonts w:ascii="Palatino Linotype" w:hAnsi="Palatino Linotype"/>
        </w:rPr>
        <w:t>octu</w:t>
      </w:r>
      <w:r w:rsidRPr="007724FF">
        <w:rPr>
          <w:rFonts w:ascii="Palatino Linotype" w:hAnsi="Palatino Linotype"/>
        </w:rPr>
        <w:t>bre de dos mil veintiuno.</w:t>
      </w:r>
    </w:p>
    <w:p w:rsidR="00C9632E" w:rsidRPr="007724FF" w:rsidRDefault="00C9632E" w:rsidP="007724FF">
      <w:pPr>
        <w:tabs>
          <w:tab w:val="left" w:pos="3465"/>
        </w:tabs>
        <w:spacing w:line="360" w:lineRule="auto"/>
        <w:jc w:val="both"/>
        <w:rPr>
          <w:rFonts w:ascii="Palatino Linotype" w:hAnsi="Palatino Linotype"/>
        </w:rPr>
      </w:pPr>
    </w:p>
    <w:p w:rsidR="009F09BC" w:rsidRPr="007724FF" w:rsidRDefault="009F09BC" w:rsidP="007724FF">
      <w:pPr>
        <w:spacing w:line="360" w:lineRule="auto"/>
        <w:jc w:val="both"/>
        <w:rPr>
          <w:rFonts w:ascii="Palatino Linotype" w:hAnsi="Palatino Linotype"/>
          <w:b/>
        </w:rPr>
      </w:pPr>
      <w:r w:rsidRPr="007724FF">
        <w:rPr>
          <w:rFonts w:ascii="Palatino Linotype" w:hAnsi="Palatino Linotype"/>
          <w:b/>
        </w:rPr>
        <w:t>VISTOS</w:t>
      </w:r>
      <w:r w:rsidRPr="007724FF">
        <w:rPr>
          <w:rFonts w:ascii="Palatino Linotype" w:hAnsi="Palatino Linotype"/>
        </w:rPr>
        <w:t xml:space="preserve"> los expedientes electrónicos formados con motivo de los recursos de revisión acumulados </w:t>
      </w:r>
      <w:r w:rsidR="00391A99" w:rsidRPr="007724FF">
        <w:rPr>
          <w:rFonts w:ascii="Palatino Linotype" w:hAnsi="Palatino Linotype"/>
          <w:b/>
        </w:rPr>
        <w:t>03793/INFOEM/IP/RR/2021, 03794/INFOEM/IP/RR/2021, 03795</w:t>
      </w:r>
      <w:r w:rsidR="006D15D0" w:rsidRPr="007724FF">
        <w:rPr>
          <w:rFonts w:ascii="Palatino Linotype" w:hAnsi="Palatino Linotype"/>
          <w:b/>
        </w:rPr>
        <w:t>/INFOEM/IP/RR/2021</w:t>
      </w:r>
      <w:r w:rsidR="00391A99" w:rsidRPr="007724FF">
        <w:rPr>
          <w:rFonts w:ascii="Palatino Linotype" w:hAnsi="Palatino Linotype"/>
          <w:b/>
        </w:rPr>
        <w:t>, 03796/INFOEM/IP/RR/2021, 03797/INFOEM/IP/RR/2021, 03798/INFOEM/IP/RR/2021</w:t>
      </w:r>
      <w:r w:rsidR="008D1B80" w:rsidRPr="007724FF">
        <w:rPr>
          <w:rFonts w:ascii="Palatino Linotype" w:hAnsi="Palatino Linotype"/>
          <w:b/>
        </w:rPr>
        <w:t xml:space="preserve">, </w:t>
      </w:r>
      <w:r w:rsidR="006D15D0" w:rsidRPr="007724FF">
        <w:rPr>
          <w:rFonts w:ascii="Palatino Linotype" w:hAnsi="Palatino Linotype"/>
          <w:b/>
        </w:rPr>
        <w:t xml:space="preserve"> 03</w:t>
      </w:r>
      <w:r w:rsidR="00391A99" w:rsidRPr="007724FF">
        <w:rPr>
          <w:rFonts w:ascii="Palatino Linotype" w:hAnsi="Palatino Linotype"/>
          <w:b/>
        </w:rPr>
        <w:t>799</w:t>
      </w:r>
      <w:r w:rsidR="006D15D0" w:rsidRPr="007724FF">
        <w:rPr>
          <w:rFonts w:ascii="Palatino Linotype" w:hAnsi="Palatino Linotype"/>
          <w:b/>
        </w:rPr>
        <w:t>/INFOEM/IP/RR/2021</w:t>
      </w:r>
      <w:r w:rsidR="008D1B80" w:rsidRPr="007724FF">
        <w:rPr>
          <w:rFonts w:ascii="Palatino Linotype" w:hAnsi="Palatino Linotype"/>
        </w:rPr>
        <w:t xml:space="preserve"> y </w:t>
      </w:r>
      <w:r w:rsidR="008D1B80" w:rsidRPr="007724FF">
        <w:rPr>
          <w:rFonts w:ascii="Palatino Linotype" w:hAnsi="Palatino Linotype"/>
          <w:b/>
        </w:rPr>
        <w:t>03800/INFOEM/IP/RR/2021</w:t>
      </w:r>
      <w:r w:rsidRPr="007724FF">
        <w:rPr>
          <w:rFonts w:ascii="Palatino Linotype" w:hAnsi="Palatino Linotype" w:cs="Arial"/>
          <w:b/>
          <w:bCs/>
        </w:rPr>
        <w:t xml:space="preserve"> </w:t>
      </w:r>
      <w:r w:rsidRPr="007724FF">
        <w:rPr>
          <w:rFonts w:ascii="Palatino Linotype" w:hAnsi="Palatino Linotype"/>
        </w:rPr>
        <w:t xml:space="preserve">promovidos por </w:t>
      </w:r>
      <w:proofErr w:type="spellStart"/>
      <w:r w:rsidR="001C6CC6">
        <w:rPr>
          <w:rFonts w:ascii="Palatino Linotype" w:hAnsi="Palatino Linotype"/>
          <w:b/>
        </w:rPr>
        <w:t>Xxxx</w:t>
      </w:r>
      <w:proofErr w:type="spellEnd"/>
      <w:r w:rsidR="001C6CC6">
        <w:rPr>
          <w:rFonts w:ascii="Palatino Linotype" w:hAnsi="Palatino Linotype"/>
          <w:b/>
        </w:rPr>
        <w:t xml:space="preserve"> </w:t>
      </w:r>
      <w:proofErr w:type="spellStart"/>
      <w:r w:rsidR="001C6CC6">
        <w:rPr>
          <w:rFonts w:ascii="Palatino Linotype" w:hAnsi="Palatino Linotype"/>
          <w:b/>
        </w:rPr>
        <w:t>Xxxxx</w:t>
      </w:r>
      <w:proofErr w:type="spellEnd"/>
      <w:r w:rsidR="001C6CC6">
        <w:rPr>
          <w:rFonts w:ascii="Palatino Linotype" w:hAnsi="Palatino Linotype"/>
          <w:b/>
        </w:rPr>
        <w:t xml:space="preserve"> </w:t>
      </w:r>
      <w:proofErr w:type="spellStart"/>
      <w:r w:rsidR="001C6CC6">
        <w:rPr>
          <w:rFonts w:ascii="Palatino Linotype" w:hAnsi="Palatino Linotype"/>
          <w:b/>
        </w:rPr>
        <w:t>Xxxx</w:t>
      </w:r>
      <w:proofErr w:type="spellEnd"/>
      <w:r w:rsidR="001C6CC6">
        <w:rPr>
          <w:rFonts w:ascii="Palatino Linotype" w:hAnsi="Palatino Linotype"/>
          <w:b/>
        </w:rPr>
        <w:t xml:space="preserve"> </w:t>
      </w:r>
      <w:proofErr w:type="spellStart"/>
      <w:r w:rsidR="001C6CC6">
        <w:rPr>
          <w:rFonts w:ascii="Palatino Linotype" w:hAnsi="Palatino Linotype"/>
          <w:b/>
        </w:rPr>
        <w:t>Xxxx</w:t>
      </w:r>
      <w:proofErr w:type="spellEnd"/>
      <w:r w:rsidRPr="007724FF">
        <w:rPr>
          <w:rFonts w:ascii="Palatino Linotype" w:hAnsi="Palatino Linotype"/>
        </w:rPr>
        <w:t xml:space="preserve">, a quien en lo sucesivo se le identificará como </w:t>
      </w:r>
      <w:r w:rsidRPr="007724FF">
        <w:rPr>
          <w:rFonts w:ascii="Palatino Linotype" w:hAnsi="Palatino Linotype"/>
          <w:b/>
        </w:rPr>
        <w:t>EL RECURRENTE</w:t>
      </w:r>
      <w:r w:rsidRPr="007724FF">
        <w:rPr>
          <w:rFonts w:ascii="Palatino Linotype" w:hAnsi="Palatino Linotype" w:cs="Arial"/>
        </w:rPr>
        <w:t xml:space="preserve">, en contra de las respuestas del </w:t>
      </w:r>
      <w:r w:rsidR="00391A99" w:rsidRPr="007724FF">
        <w:rPr>
          <w:rFonts w:ascii="Palatino Linotype" w:hAnsi="Palatino Linotype" w:cs="Arial"/>
          <w:b/>
        </w:rPr>
        <w:t>Ayuntamiento de Teoloyucan</w:t>
      </w:r>
      <w:r w:rsidRPr="007724FF">
        <w:rPr>
          <w:rFonts w:ascii="Palatino Linotype" w:hAnsi="Palatino Linotype" w:cs="Arial"/>
          <w:b/>
        </w:rPr>
        <w:t>,</w:t>
      </w:r>
      <w:r w:rsidRPr="007724FF">
        <w:rPr>
          <w:rFonts w:ascii="Palatino Linotype" w:hAnsi="Palatino Linotype"/>
          <w:b/>
        </w:rPr>
        <w:t xml:space="preserve"> </w:t>
      </w:r>
      <w:r w:rsidRPr="007724FF">
        <w:rPr>
          <w:rFonts w:ascii="Palatino Linotype" w:hAnsi="Palatino Linotype"/>
        </w:rPr>
        <w:t>en lo sucesivo el</w:t>
      </w:r>
      <w:r w:rsidRPr="007724FF">
        <w:rPr>
          <w:rFonts w:ascii="Palatino Linotype" w:hAnsi="Palatino Linotype"/>
          <w:b/>
        </w:rPr>
        <w:t xml:space="preserve"> SUJETO OBLIGADO</w:t>
      </w:r>
      <w:r w:rsidRPr="007724FF">
        <w:rPr>
          <w:rFonts w:ascii="Palatino Linotype" w:hAnsi="Palatino Linotype"/>
        </w:rPr>
        <w:t>, se procede a dictar la presente resolución, con base en los siguientes:</w:t>
      </w:r>
    </w:p>
    <w:p w:rsidR="009F09BC" w:rsidRDefault="009F09BC" w:rsidP="007724FF">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921789"/>
      <w:r w:rsidRPr="007724FF">
        <w:rPr>
          <w:rFonts w:ascii="Palatino Linotype" w:hAnsi="Palatino Linotype"/>
          <w:b/>
          <w:color w:val="000000" w:themeColor="text1"/>
          <w:sz w:val="24"/>
          <w:szCs w:val="24"/>
        </w:rPr>
        <w:t>ANTECEDENTES</w:t>
      </w:r>
      <w:bookmarkEnd w:id="0"/>
      <w:bookmarkEnd w:id="1"/>
      <w:bookmarkEnd w:id="2"/>
    </w:p>
    <w:p w:rsidR="003023D1" w:rsidRPr="003023D1" w:rsidRDefault="003023D1" w:rsidP="003023D1"/>
    <w:p w:rsidR="009F09BC" w:rsidRDefault="00391A99" w:rsidP="005A7F80">
      <w:pPr>
        <w:pStyle w:val="Prrafodelista"/>
        <w:numPr>
          <w:ilvl w:val="0"/>
          <w:numId w:val="1"/>
        </w:numPr>
        <w:spacing w:line="360" w:lineRule="auto"/>
        <w:ind w:left="0" w:firstLine="0"/>
        <w:jc w:val="both"/>
        <w:rPr>
          <w:rFonts w:ascii="Palatino Linotype" w:eastAsia="Calibri" w:hAnsi="Palatino Linotype" w:cs="Arial"/>
          <w:lang w:val="es-ES"/>
        </w:rPr>
      </w:pPr>
      <w:r w:rsidRPr="007724FF">
        <w:rPr>
          <w:rFonts w:ascii="Palatino Linotype" w:eastAsia="Calibri" w:hAnsi="Palatino Linotype" w:cs="Arial"/>
          <w:lang w:val="es-ES"/>
        </w:rPr>
        <w:t xml:space="preserve">Los días </w:t>
      </w:r>
      <w:r w:rsidR="00D469F5" w:rsidRPr="007724FF">
        <w:rPr>
          <w:rFonts w:ascii="Palatino Linotype" w:eastAsia="Calibri" w:hAnsi="Palatino Linotype" w:cs="Arial"/>
          <w:lang w:val="es-ES"/>
        </w:rPr>
        <w:t xml:space="preserve">veintiocho (28), </w:t>
      </w:r>
      <w:r w:rsidRPr="007724FF">
        <w:rPr>
          <w:rFonts w:ascii="Palatino Linotype" w:eastAsia="Calibri" w:hAnsi="Palatino Linotype" w:cs="Arial"/>
          <w:lang w:val="es-ES"/>
        </w:rPr>
        <w:t xml:space="preserve">veintinueve (29) y treinta (30) de junio, y uno (01) y dos (02) de julio </w:t>
      </w:r>
      <w:r w:rsidR="009F09BC" w:rsidRPr="007724FF">
        <w:rPr>
          <w:rFonts w:ascii="Palatino Linotype" w:eastAsia="Calibri" w:hAnsi="Palatino Linotype" w:cs="Arial"/>
          <w:lang w:val="es-ES"/>
        </w:rPr>
        <w:t>de dos mil veintiuno</w:t>
      </w:r>
      <w:r w:rsidR="009F09BC" w:rsidRPr="007724FF">
        <w:rPr>
          <w:rFonts w:ascii="Palatino Linotype" w:hAnsi="Palatino Linotype"/>
          <w:b/>
        </w:rPr>
        <w:t xml:space="preserve">, </w:t>
      </w:r>
      <w:r w:rsidR="009F09BC" w:rsidRPr="007724FF">
        <w:rPr>
          <w:rFonts w:ascii="Palatino Linotype" w:eastAsia="Calibri" w:hAnsi="Palatino Linotype" w:cs="Arial"/>
          <w:lang w:val="es-ES"/>
        </w:rPr>
        <w:t xml:space="preserve">se presentó ante el </w:t>
      </w:r>
      <w:r w:rsidR="009F09BC" w:rsidRPr="007724FF">
        <w:rPr>
          <w:rFonts w:ascii="Palatino Linotype" w:eastAsia="Calibri" w:hAnsi="Palatino Linotype" w:cs="Arial"/>
          <w:b/>
          <w:lang w:val="es-ES"/>
        </w:rPr>
        <w:t>SUJETO OBLIGADO</w:t>
      </w:r>
      <w:r w:rsidR="009F09BC" w:rsidRPr="007724FF">
        <w:rPr>
          <w:rFonts w:ascii="Palatino Linotype" w:eastAsia="Calibri" w:hAnsi="Palatino Linotype" w:cs="Arial"/>
        </w:rPr>
        <w:t xml:space="preserve"> vía</w:t>
      </w:r>
      <w:r w:rsidR="001C6E9B" w:rsidRPr="007724FF">
        <w:rPr>
          <w:rFonts w:ascii="Palatino Linotype" w:eastAsia="Calibri" w:hAnsi="Palatino Linotype" w:cs="Arial"/>
        </w:rPr>
        <w:t xml:space="preserve"> Sistema de Acceso a la Información Mexiquense</w:t>
      </w:r>
      <w:r w:rsidR="009F09BC" w:rsidRPr="007724FF">
        <w:rPr>
          <w:rFonts w:ascii="Palatino Linotype" w:eastAsia="Calibri" w:hAnsi="Palatino Linotype" w:cs="Arial"/>
        </w:rPr>
        <w:t xml:space="preserve"> </w:t>
      </w:r>
      <w:r w:rsidR="001C6E9B" w:rsidRPr="007724FF">
        <w:rPr>
          <w:rFonts w:ascii="Palatino Linotype" w:eastAsia="Calibri" w:hAnsi="Palatino Linotype" w:cs="Arial"/>
          <w:b/>
        </w:rPr>
        <w:t>(</w:t>
      </w:r>
      <w:r w:rsidR="009F09BC" w:rsidRPr="007724FF">
        <w:rPr>
          <w:rFonts w:ascii="Palatino Linotype" w:eastAsia="Calibri" w:hAnsi="Palatino Linotype" w:cs="Arial"/>
          <w:b/>
          <w:lang w:val="es-ES"/>
        </w:rPr>
        <w:t>SAIMEX</w:t>
      </w:r>
      <w:r w:rsidR="001C6E9B" w:rsidRPr="007724FF">
        <w:rPr>
          <w:rFonts w:ascii="Palatino Linotype" w:eastAsia="Calibri" w:hAnsi="Palatino Linotype" w:cs="Arial"/>
          <w:b/>
          <w:lang w:val="es-ES"/>
        </w:rPr>
        <w:t>)</w:t>
      </w:r>
      <w:r w:rsidR="009F09BC" w:rsidRPr="007724FF">
        <w:rPr>
          <w:rFonts w:ascii="Palatino Linotype" w:eastAsia="Calibri" w:hAnsi="Palatino Linotype" w:cs="Arial"/>
          <w:lang w:val="es-ES"/>
        </w:rPr>
        <w:t>, las solicitudes de información públicas registradas con números</w:t>
      </w:r>
      <w:r w:rsidR="009F09BC" w:rsidRPr="007724FF">
        <w:rPr>
          <w:rFonts w:ascii="Palatino Linotype" w:hAnsi="Palatino Linotype"/>
          <w:b/>
          <w:bCs/>
          <w:color w:val="000000" w:themeColor="text1"/>
        </w:rPr>
        <w:t xml:space="preserve">  </w:t>
      </w:r>
      <w:r w:rsidRPr="007724FF">
        <w:rPr>
          <w:rFonts w:ascii="Palatino Linotype" w:hAnsi="Palatino Linotype"/>
          <w:b/>
          <w:bCs/>
          <w:color w:val="000000" w:themeColor="text1"/>
        </w:rPr>
        <w:t xml:space="preserve">00239/TEOLOYU/IP/2021, </w:t>
      </w:r>
      <w:r w:rsidR="008D1B80" w:rsidRPr="007724FF">
        <w:rPr>
          <w:rFonts w:ascii="Palatino Linotype" w:hAnsi="Palatino Linotype"/>
          <w:b/>
          <w:bCs/>
          <w:color w:val="000000" w:themeColor="text1"/>
        </w:rPr>
        <w:t xml:space="preserve">00237/TEOLOYU/IP/2021, </w:t>
      </w:r>
      <w:r w:rsidRPr="007724FF">
        <w:rPr>
          <w:rFonts w:ascii="Palatino Linotype" w:hAnsi="Palatino Linotype"/>
          <w:b/>
          <w:bCs/>
          <w:color w:val="000000" w:themeColor="text1"/>
        </w:rPr>
        <w:t>00240/TEOLOYU/IP/2021, 00241/TEOLOYU/IP/2021, 00248/TEOLOYU/IP/2021, 00249/TEOLOYU/IP/2021, 00263/TEOLOYU/IP/2021 y 00264/TEOLOYU/IP/2021</w:t>
      </w:r>
      <w:r w:rsidR="009F09BC" w:rsidRPr="00A53282">
        <w:rPr>
          <w:rFonts w:ascii="Palatino Linotype" w:hAnsi="Palatino Linotype"/>
          <w:bCs/>
          <w:color w:val="000000" w:themeColor="text1"/>
        </w:rPr>
        <w:t>;</w:t>
      </w:r>
      <w:r w:rsidR="009F09BC" w:rsidRPr="007724FF">
        <w:rPr>
          <w:rFonts w:ascii="Palatino Linotype" w:hAnsi="Palatino Linotype"/>
          <w:b/>
          <w:bCs/>
          <w:color w:val="000000" w:themeColor="text1"/>
        </w:rPr>
        <w:t xml:space="preserve"> </w:t>
      </w:r>
      <w:r w:rsidR="009F09BC" w:rsidRPr="007724FF">
        <w:rPr>
          <w:rFonts w:ascii="Palatino Linotype" w:eastAsia="Calibri" w:hAnsi="Palatino Linotype" w:cs="Arial"/>
          <w:lang w:val="es-ES"/>
        </w:rPr>
        <w:t>mediante las cuales se solicitó la siguiente información:</w:t>
      </w:r>
    </w:p>
    <w:p w:rsidR="00901A69" w:rsidRDefault="00901A69" w:rsidP="00901A69">
      <w:pPr>
        <w:pStyle w:val="Prrafodelista"/>
        <w:spacing w:line="360" w:lineRule="auto"/>
        <w:ind w:left="0"/>
        <w:jc w:val="both"/>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2559</wp:posOffset>
                </wp:positionH>
                <wp:positionV relativeFrom="paragraph">
                  <wp:posOffset>69281</wp:posOffset>
                </wp:positionV>
                <wp:extent cx="5609816" cy="914400"/>
                <wp:effectExtent l="0" t="0" r="29210" b="19050"/>
                <wp:wrapNone/>
                <wp:docPr id="19" name="Conector recto 19"/>
                <wp:cNvGraphicFramePr/>
                <a:graphic xmlns:a="http://schemas.openxmlformats.org/drawingml/2006/main">
                  <a:graphicData uri="http://schemas.microsoft.com/office/word/2010/wordprocessingShape">
                    <wps:wsp>
                      <wps:cNvCnPr/>
                      <wps:spPr>
                        <a:xfrm>
                          <a:off x="0" y="0"/>
                          <a:ext cx="5609816" cy="914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08D426" id="Conector recto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5.45pt" to="441.9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" strokecolor="black [3200]" strokeweight="1.5pt">
                <v:stroke joinstyle="miter"/>
              </v:line>
            </w:pict>
          </mc:Fallback>
        </mc:AlternateContent>
      </w:r>
    </w:p>
    <w:p w:rsidR="00901A69" w:rsidRDefault="00901A69" w:rsidP="00901A69">
      <w:pPr>
        <w:pStyle w:val="Prrafodelista"/>
        <w:spacing w:line="360" w:lineRule="auto"/>
        <w:ind w:left="0"/>
        <w:jc w:val="both"/>
        <w:rPr>
          <w:rFonts w:ascii="Palatino Linotype" w:eastAsia="Calibri" w:hAnsi="Palatino Linotype" w:cs="Arial"/>
          <w:lang w:val="es-ES"/>
        </w:rPr>
      </w:pPr>
    </w:p>
    <w:p w:rsidR="00901A69" w:rsidRDefault="00901A69" w:rsidP="00901A69">
      <w:pPr>
        <w:pStyle w:val="Prrafodelista"/>
        <w:spacing w:line="360" w:lineRule="auto"/>
        <w:ind w:left="0"/>
        <w:jc w:val="both"/>
        <w:rPr>
          <w:rFonts w:ascii="Palatino Linotype" w:eastAsia="Calibri" w:hAnsi="Palatino Linotype" w:cs="Arial"/>
          <w:lang w:val="es-ES"/>
        </w:rPr>
      </w:pPr>
    </w:p>
    <w:p w:rsidR="00901A69" w:rsidRPr="007724FF" w:rsidRDefault="00901A69" w:rsidP="00901A69">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7724FF" w:rsidTr="006A04B6">
        <w:tc>
          <w:tcPr>
            <w:tcW w:w="3402" w:type="dxa"/>
          </w:tcPr>
          <w:p w:rsidR="009F09BC" w:rsidRPr="007724FF" w:rsidRDefault="009F09BC" w:rsidP="007724FF">
            <w:pPr>
              <w:spacing w:line="360" w:lineRule="auto"/>
              <w:ind w:right="333"/>
              <w:jc w:val="center"/>
              <w:rPr>
                <w:rFonts w:ascii="Palatino Linotype" w:hAnsi="Palatino Linotype"/>
                <w:b/>
                <w:color w:val="000000"/>
                <w:lang w:val="es-ES"/>
              </w:rPr>
            </w:pPr>
            <w:r w:rsidRPr="007724FF">
              <w:rPr>
                <w:rFonts w:ascii="Palatino Linotype" w:hAnsi="Palatino Linotype"/>
                <w:b/>
                <w:color w:val="000000"/>
                <w:lang w:val="es-ES"/>
              </w:rPr>
              <w:t>Solicitud de información</w:t>
            </w:r>
          </w:p>
        </w:tc>
        <w:tc>
          <w:tcPr>
            <w:tcW w:w="5544" w:type="dxa"/>
          </w:tcPr>
          <w:p w:rsidR="009F09BC" w:rsidRPr="007724FF" w:rsidRDefault="009F09BC" w:rsidP="007724FF">
            <w:pPr>
              <w:spacing w:line="360" w:lineRule="auto"/>
              <w:ind w:right="333"/>
              <w:jc w:val="center"/>
              <w:rPr>
                <w:rFonts w:ascii="Palatino Linotype" w:hAnsi="Palatino Linotype"/>
                <w:b/>
                <w:color w:val="000000"/>
                <w:lang w:val="es-ES"/>
              </w:rPr>
            </w:pPr>
            <w:r w:rsidRPr="007724FF">
              <w:rPr>
                <w:rFonts w:ascii="Palatino Linotype" w:hAnsi="Palatino Linotype"/>
                <w:b/>
                <w:color w:val="000000"/>
                <w:lang w:val="es-ES"/>
              </w:rPr>
              <w:t>Información solicitada</w:t>
            </w:r>
          </w:p>
        </w:tc>
      </w:tr>
      <w:tr w:rsidR="009F09BC" w:rsidRPr="007724FF" w:rsidTr="006A04B6">
        <w:tc>
          <w:tcPr>
            <w:tcW w:w="3402" w:type="dxa"/>
          </w:tcPr>
          <w:p w:rsidR="009F09BC" w:rsidRPr="007724FF" w:rsidRDefault="00391A99" w:rsidP="007724FF">
            <w:pPr>
              <w:spacing w:line="360" w:lineRule="auto"/>
              <w:ind w:right="333"/>
              <w:jc w:val="both"/>
              <w:rPr>
                <w:rFonts w:ascii="Palatino Linotype" w:hAnsi="Palatino Linotype"/>
                <w:b/>
                <w:color w:val="000000"/>
                <w:sz w:val="20"/>
                <w:lang w:val="es-ES"/>
              </w:rPr>
            </w:pPr>
            <w:r w:rsidRPr="007724FF">
              <w:rPr>
                <w:rFonts w:ascii="Palatino Linotype" w:hAnsi="Palatino Linotype"/>
                <w:b/>
                <w:bCs/>
                <w:color w:val="000000" w:themeColor="text1"/>
              </w:rPr>
              <w:t>00239/TEOLOYU/IP/2021</w:t>
            </w:r>
          </w:p>
        </w:tc>
        <w:tc>
          <w:tcPr>
            <w:tcW w:w="5544" w:type="dxa"/>
          </w:tcPr>
          <w:p w:rsidR="008E6574" w:rsidRPr="007724FF" w:rsidRDefault="00391A99" w:rsidP="007724FF">
            <w:pPr>
              <w:pStyle w:val="Prrafodelista"/>
              <w:spacing w:line="360" w:lineRule="auto"/>
              <w:ind w:left="0"/>
              <w:jc w:val="both"/>
              <w:rPr>
                <w:rFonts w:ascii="Palatino Linotype" w:hAnsi="Palatino Linotype"/>
                <w:i/>
                <w:color w:val="000000"/>
              </w:rPr>
            </w:pPr>
            <w:r w:rsidRPr="007724FF">
              <w:rPr>
                <w:rFonts w:ascii="Palatino Linotype" w:hAnsi="Palatino Linotype"/>
                <w:i/>
                <w:color w:val="000000"/>
              </w:rPr>
              <w:t xml:space="preserve">Con fundamento por lo establecido en el </w:t>
            </w:r>
            <w:proofErr w:type="spellStart"/>
            <w:r w:rsidRPr="007724FF">
              <w:rPr>
                <w:rFonts w:ascii="Palatino Linotype" w:hAnsi="Palatino Linotype"/>
                <w:i/>
                <w:color w:val="000000"/>
              </w:rPr>
              <w:t>articulo</w:t>
            </w:r>
            <w:proofErr w:type="spellEnd"/>
            <w:r w:rsidRPr="007724FF">
              <w:rPr>
                <w:rFonts w:ascii="Palatino Linotype" w:hAnsi="Palatino Linotype"/>
                <w:i/>
                <w:color w:val="000000"/>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rPr>
              <w:t>Comision</w:t>
            </w:r>
            <w:proofErr w:type="spellEnd"/>
            <w:r w:rsidRPr="007724FF">
              <w:rPr>
                <w:rFonts w:ascii="Palatino Linotype" w:hAnsi="Palatino Linotype"/>
                <w:i/>
                <w:color w:val="000000"/>
              </w:rPr>
              <w:t xml:space="preserve"> Edilicia de </w:t>
            </w:r>
            <w:proofErr w:type="spellStart"/>
            <w:r w:rsidRPr="007724FF">
              <w:rPr>
                <w:rFonts w:ascii="Palatino Linotype" w:hAnsi="Palatino Linotype"/>
                <w:i/>
                <w:color w:val="000000"/>
              </w:rPr>
              <w:t>Limites</w:t>
            </w:r>
            <w:proofErr w:type="spellEnd"/>
            <w:r w:rsidRPr="007724FF">
              <w:rPr>
                <w:rFonts w:ascii="Palatino Linotype" w:hAnsi="Palatino Linotype"/>
                <w:i/>
                <w:color w:val="000000"/>
              </w:rPr>
              <w:t xml:space="preserve"> Territoriales del Ayuntamiento de Teoloyucan, me proporcione en </w:t>
            </w:r>
            <w:proofErr w:type="spellStart"/>
            <w:r w:rsidRPr="007724FF">
              <w:rPr>
                <w:rFonts w:ascii="Palatino Linotype" w:hAnsi="Palatino Linotype"/>
                <w:i/>
                <w:color w:val="000000"/>
              </w:rPr>
              <w:t>version</w:t>
            </w:r>
            <w:proofErr w:type="spellEnd"/>
            <w:r w:rsidRPr="007724FF">
              <w:rPr>
                <w:rFonts w:ascii="Palatino Linotype" w:hAnsi="Palatino Linotype"/>
                <w:i/>
                <w:color w:val="000000"/>
              </w:rPr>
              <w:t xml:space="preserve"> publica, toda la </w:t>
            </w:r>
            <w:proofErr w:type="spellStart"/>
            <w:r w:rsidRPr="007724FF">
              <w:rPr>
                <w:rFonts w:ascii="Palatino Linotype" w:hAnsi="Palatino Linotype"/>
                <w:i/>
                <w:color w:val="000000"/>
              </w:rPr>
              <w:t>informacion</w:t>
            </w:r>
            <w:proofErr w:type="spellEnd"/>
            <w:r w:rsidRPr="007724FF">
              <w:rPr>
                <w:rFonts w:ascii="Palatino Linotype" w:hAnsi="Palatino Linotype"/>
                <w:i/>
                <w:color w:val="000000"/>
              </w:rPr>
              <w:t xml:space="preserve"> relativa a la Controversia Constitucional 28/2020. 2.-Todos y cada uno de los documentos considerados como anexos de la presente solicitud de acceso a la información pública.</w:t>
            </w:r>
          </w:p>
          <w:p w:rsidR="00391A99" w:rsidRPr="007724FF" w:rsidRDefault="00391A99" w:rsidP="007724FF">
            <w:pPr>
              <w:pStyle w:val="Prrafodelista"/>
              <w:spacing w:line="360" w:lineRule="auto"/>
              <w:ind w:left="0"/>
              <w:jc w:val="both"/>
              <w:rPr>
                <w:rFonts w:ascii="Palatino Linotype" w:hAnsi="Palatino Linotype"/>
                <w:i/>
                <w:color w:val="000000"/>
              </w:rPr>
            </w:pPr>
          </w:p>
        </w:tc>
      </w:tr>
      <w:tr w:rsidR="009F09BC" w:rsidRPr="007724FF" w:rsidTr="006A04B6">
        <w:tc>
          <w:tcPr>
            <w:tcW w:w="3402" w:type="dxa"/>
          </w:tcPr>
          <w:p w:rsidR="009F09BC" w:rsidRPr="007724FF" w:rsidRDefault="00391A99" w:rsidP="007724FF">
            <w:pPr>
              <w:spacing w:line="360" w:lineRule="auto"/>
              <w:ind w:right="333"/>
              <w:rPr>
                <w:rFonts w:ascii="Palatino Linotype" w:hAnsi="Palatino Linotype"/>
                <w:b/>
                <w:color w:val="000000"/>
                <w:sz w:val="20"/>
                <w:lang w:val="es-ES"/>
              </w:rPr>
            </w:pPr>
            <w:r w:rsidRPr="007724FF">
              <w:rPr>
                <w:rFonts w:ascii="Palatino Linotype" w:hAnsi="Palatino Linotype"/>
                <w:b/>
                <w:bCs/>
                <w:color w:val="000000" w:themeColor="text1"/>
              </w:rPr>
              <w:t>00240/TEOLOYU/IP/2021</w:t>
            </w:r>
          </w:p>
        </w:tc>
        <w:tc>
          <w:tcPr>
            <w:tcW w:w="5544" w:type="dxa"/>
          </w:tcPr>
          <w:p w:rsidR="008E6574"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al diferendo </w:t>
            </w:r>
            <w:proofErr w:type="spellStart"/>
            <w:r w:rsidRPr="007724FF">
              <w:rPr>
                <w:rFonts w:ascii="Palatino Linotype" w:hAnsi="Palatino Linotype"/>
                <w:i/>
                <w:color w:val="000000"/>
                <w:lang w:val="es-ES"/>
              </w:rPr>
              <w:t>limitrofe</w:t>
            </w:r>
            <w:proofErr w:type="spellEnd"/>
            <w:r w:rsidRPr="007724FF">
              <w:rPr>
                <w:rFonts w:ascii="Palatino Linotype" w:hAnsi="Palatino Linotype"/>
                <w:i/>
                <w:color w:val="000000"/>
                <w:lang w:val="es-ES"/>
              </w:rPr>
              <w:t xml:space="preserve"> del Municipio de Teoloyucan vs Municipio de Tepotzotlán. 2.-Todos y cada uno de los documentos considerados como anexos </w:t>
            </w:r>
            <w:r w:rsidRPr="007724FF">
              <w:rPr>
                <w:rFonts w:ascii="Palatino Linotype" w:hAnsi="Palatino Linotype"/>
                <w:i/>
                <w:color w:val="000000"/>
                <w:lang w:val="es-ES"/>
              </w:rPr>
              <w:lastRenderedPageBreak/>
              <w:t>de la presente solicitud de acceso a la información pública.</w:t>
            </w:r>
          </w:p>
          <w:p w:rsidR="00391A99" w:rsidRPr="007724FF" w:rsidRDefault="00391A99" w:rsidP="007724FF">
            <w:pPr>
              <w:spacing w:line="360" w:lineRule="auto"/>
              <w:jc w:val="both"/>
              <w:rPr>
                <w:rFonts w:ascii="Palatino Linotype" w:hAnsi="Palatino Linotype"/>
                <w:i/>
                <w:color w:val="000000"/>
                <w:lang w:val="es-ES"/>
              </w:rPr>
            </w:pPr>
          </w:p>
        </w:tc>
      </w:tr>
      <w:tr w:rsidR="009F09BC" w:rsidRPr="007724FF" w:rsidTr="006A04B6">
        <w:tc>
          <w:tcPr>
            <w:tcW w:w="3402" w:type="dxa"/>
          </w:tcPr>
          <w:p w:rsidR="009F09BC" w:rsidRPr="007724FF" w:rsidRDefault="00391A99"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lastRenderedPageBreak/>
              <w:t>00241/TEOLOYU/IP/2021</w:t>
            </w:r>
          </w:p>
        </w:tc>
        <w:tc>
          <w:tcPr>
            <w:tcW w:w="5544" w:type="dxa"/>
          </w:tcPr>
          <w:p w:rsidR="008E6574"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 la Controversia Constitucional 28/2020. 2.-Todos y cada uno de los documentos considerados como anexos de la presente solicitud de acceso a la información pública.</w:t>
            </w:r>
          </w:p>
          <w:p w:rsidR="00391A99" w:rsidRPr="007724FF" w:rsidRDefault="00391A99" w:rsidP="007724FF">
            <w:pPr>
              <w:spacing w:line="360" w:lineRule="auto"/>
              <w:jc w:val="both"/>
              <w:rPr>
                <w:rFonts w:ascii="Palatino Linotype" w:hAnsi="Palatino Linotype"/>
                <w:i/>
                <w:color w:val="000000"/>
                <w:lang w:val="es-ES"/>
              </w:rPr>
            </w:pPr>
          </w:p>
        </w:tc>
      </w:tr>
      <w:tr w:rsidR="009F09BC" w:rsidRPr="007724FF" w:rsidTr="006A04B6">
        <w:tc>
          <w:tcPr>
            <w:tcW w:w="3402" w:type="dxa"/>
          </w:tcPr>
          <w:p w:rsidR="009F09BC" w:rsidRPr="007724FF" w:rsidRDefault="00391A99"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t>00248/TEOLOYU/IP/2021</w:t>
            </w:r>
          </w:p>
        </w:tc>
        <w:tc>
          <w:tcPr>
            <w:tcW w:w="5544" w:type="dxa"/>
          </w:tcPr>
          <w:p w:rsidR="009F09BC"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 la Controversia Constitucional 28/2020. 2.-Todos y cada uno de los documentos considerados como </w:t>
            </w:r>
            <w:r w:rsidRPr="007724FF">
              <w:rPr>
                <w:rFonts w:ascii="Palatino Linotype" w:hAnsi="Palatino Linotype"/>
                <w:i/>
                <w:color w:val="000000"/>
                <w:lang w:val="es-ES"/>
              </w:rPr>
              <w:lastRenderedPageBreak/>
              <w:t>anexos de la presente solicitud de acceso a la información pública.</w:t>
            </w:r>
          </w:p>
          <w:p w:rsidR="00391A99" w:rsidRPr="007724FF" w:rsidRDefault="00391A99" w:rsidP="007724FF">
            <w:pPr>
              <w:spacing w:line="360" w:lineRule="auto"/>
              <w:jc w:val="both"/>
              <w:rPr>
                <w:rFonts w:ascii="Palatino Linotype" w:hAnsi="Palatino Linotype"/>
                <w:i/>
                <w:color w:val="000000"/>
                <w:lang w:val="es-ES"/>
              </w:rPr>
            </w:pPr>
          </w:p>
        </w:tc>
      </w:tr>
      <w:tr w:rsidR="00391A99" w:rsidRPr="007724FF" w:rsidTr="006A04B6">
        <w:tc>
          <w:tcPr>
            <w:tcW w:w="3402" w:type="dxa"/>
          </w:tcPr>
          <w:p w:rsidR="00391A99" w:rsidRPr="007724FF" w:rsidRDefault="00391A99"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lastRenderedPageBreak/>
              <w:t>00249/TEOLOYU/IP/2021</w:t>
            </w:r>
          </w:p>
        </w:tc>
        <w:tc>
          <w:tcPr>
            <w:tcW w:w="5544" w:type="dxa"/>
          </w:tcPr>
          <w:p w:rsidR="00391A99"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al diferendo </w:t>
            </w:r>
            <w:proofErr w:type="spellStart"/>
            <w:r w:rsidRPr="007724FF">
              <w:rPr>
                <w:rFonts w:ascii="Palatino Linotype" w:hAnsi="Palatino Linotype"/>
                <w:i/>
                <w:color w:val="000000"/>
                <w:lang w:val="es-ES"/>
              </w:rPr>
              <w:t>limitrofe</w:t>
            </w:r>
            <w:proofErr w:type="spellEnd"/>
            <w:r w:rsidRPr="007724FF">
              <w:rPr>
                <w:rFonts w:ascii="Palatino Linotype" w:hAnsi="Palatino Linotype"/>
                <w:i/>
                <w:color w:val="000000"/>
                <w:lang w:val="es-ES"/>
              </w:rPr>
              <w:t xml:space="preserve"> del Municipio de Teoloyucan vs Municipio de Tepotzotlán. 2.-Todos y cada uno de los documentos considerados como anexos de la presente solicitud de acceso a la información pública.</w:t>
            </w:r>
          </w:p>
          <w:p w:rsidR="00391A99" w:rsidRPr="007724FF" w:rsidRDefault="00391A99" w:rsidP="007724FF">
            <w:pPr>
              <w:spacing w:line="360" w:lineRule="auto"/>
              <w:jc w:val="both"/>
              <w:rPr>
                <w:rFonts w:ascii="Palatino Linotype" w:hAnsi="Palatino Linotype"/>
                <w:i/>
                <w:color w:val="000000"/>
                <w:lang w:val="es-ES"/>
              </w:rPr>
            </w:pPr>
          </w:p>
        </w:tc>
      </w:tr>
      <w:tr w:rsidR="00391A99" w:rsidRPr="007724FF" w:rsidTr="006A04B6">
        <w:tc>
          <w:tcPr>
            <w:tcW w:w="3402" w:type="dxa"/>
          </w:tcPr>
          <w:p w:rsidR="00391A99" w:rsidRPr="007724FF" w:rsidRDefault="00391A99"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t>00263/TEOLOYU/IP/2021</w:t>
            </w:r>
          </w:p>
        </w:tc>
        <w:tc>
          <w:tcPr>
            <w:tcW w:w="5544" w:type="dxa"/>
          </w:tcPr>
          <w:p w:rsidR="00391A99"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al diferendo </w:t>
            </w:r>
            <w:proofErr w:type="spellStart"/>
            <w:r w:rsidRPr="007724FF">
              <w:rPr>
                <w:rFonts w:ascii="Palatino Linotype" w:hAnsi="Palatino Linotype"/>
                <w:i/>
                <w:color w:val="000000"/>
                <w:lang w:val="es-ES"/>
              </w:rPr>
              <w:t>limitrofe</w:t>
            </w:r>
            <w:proofErr w:type="spellEnd"/>
            <w:r w:rsidRPr="007724FF">
              <w:rPr>
                <w:rFonts w:ascii="Palatino Linotype" w:hAnsi="Palatino Linotype"/>
                <w:i/>
                <w:color w:val="000000"/>
                <w:lang w:val="es-ES"/>
              </w:rPr>
              <w:t xml:space="preserve"> del Municipio de </w:t>
            </w:r>
            <w:r w:rsidRPr="007724FF">
              <w:rPr>
                <w:rFonts w:ascii="Palatino Linotype" w:hAnsi="Palatino Linotype"/>
                <w:i/>
                <w:color w:val="000000"/>
                <w:lang w:val="es-ES"/>
              </w:rPr>
              <w:lastRenderedPageBreak/>
              <w:t xml:space="preserve">Teoloyucan vs Municipios de </w:t>
            </w:r>
            <w:proofErr w:type="spellStart"/>
            <w:r w:rsidRPr="007724FF">
              <w:rPr>
                <w:rFonts w:ascii="Palatino Linotype" w:hAnsi="Palatino Linotype"/>
                <w:i/>
                <w:color w:val="000000"/>
                <w:lang w:val="es-ES"/>
              </w:rPr>
              <w:t>Cuautitlan</w:t>
            </w:r>
            <w:proofErr w:type="spellEnd"/>
            <w:r w:rsidRPr="007724FF">
              <w:rPr>
                <w:rFonts w:ascii="Palatino Linotype" w:hAnsi="Palatino Linotype"/>
                <w:i/>
                <w:color w:val="000000"/>
                <w:lang w:val="es-ES"/>
              </w:rPr>
              <w:t xml:space="preserve"> y </w:t>
            </w:r>
            <w:proofErr w:type="spellStart"/>
            <w:r w:rsidRPr="007724FF">
              <w:rPr>
                <w:rFonts w:ascii="Palatino Linotype" w:hAnsi="Palatino Linotype"/>
                <w:i/>
                <w:color w:val="000000"/>
                <w:lang w:val="es-ES"/>
              </w:rPr>
              <w:t>Cuautitlan</w:t>
            </w:r>
            <w:proofErr w:type="spellEnd"/>
            <w:r w:rsidRPr="007724FF">
              <w:rPr>
                <w:rFonts w:ascii="Palatino Linotype" w:hAnsi="Palatino Linotype"/>
                <w:i/>
                <w:color w:val="000000"/>
                <w:lang w:val="es-ES"/>
              </w:rPr>
              <w:t xml:space="preserve"> Izcalli. 2.-Todos y cada uno de los documentos considerados como anexos de la presente solicitud de acceso a la información pública.</w:t>
            </w:r>
          </w:p>
          <w:p w:rsidR="00391A99" w:rsidRPr="007724FF" w:rsidRDefault="00391A99" w:rsidP="007724FF">
            <w:pPr>
              <w:spacing w:line="360" w:lineRule="auto"/>
              <w:jc w:val="both"/>
              <w:rPr>
                <w:rFonts w:ascii="Palatino Linotype" w:hAnsi="Palatino Linotype"/>
                <w:i/>
                <w:color w:val="000000"/>
                <w:lang w:val="es-ES"/>
              </w:rPr>
            </w:pPr>
          </w:p>
        </w:tc>
      </w:tr>
      <w:tr w:rsidR="00391A99" w:rsidRPr="007724FF" w:rsidTr="006A04B6">
        <w:tc>
          <w:tcPr>
            <w:tcW w:w="3402" w:type="dxa"/>
          </w:tcPr>
          <w:p w:rsidR="00391A99" w:rsidRPr="007724FF" w:rsidRDefault="00391A99"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lastRenderedPageBreak/>
              <w:t>00264/TEOLOYU/IP/2021</w:t>
            </w:r>
          </w:p>
        </w:tc>
        <w:tc>
          <w:tcPr>
            <w:tcW w:w="5544" w:type="dxa"/>
          </w:tcPr>
          <w:p w:rsidR="00391A99" w:rsidRPr="007724FF" w:rsidRDefault="00391A99"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Mexicanos y con fundamento en la </w:t>
            </w:r>
            <w:proofErr w:type="spellStart"/>
            <w:r w:rsidRPr="007724FF">
              <w:rPr>
                <w:rFonts w:ascii="Palatino Linotype" w:hAnsi="Palatino Linotype"/>
                <w:i/>
                <w:color w:val="000000"/>
                <w:lang w:val="es-ES"/>
              </w:rPr>
              <w:t>Resolucion</w:t>
            </w:r>
            <w:proofErr w:type="spellEnd"/>
            <w:r w:rsidRPr="007724FF">
              <w:rPr>
                <w:rFonts w:ascii="Palatino Linotype" w:hAnsi="Palatino Linotype"/>
                <w:i/>
                <w:color w:val="000000"/>
                <w:lang w:val="es-ES"/>
              </w:rPr>
              <w:t xml:space="preserve"> del Recurso de Revisión: 00284/INFOEM/IP/RR/2021;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al diferendo </w:t>
            </w:r>
            <w:proofErr w:type="spellStart"/>
            <w:r w:rsidRPr="007724FF">
              <w:rPr>
                <w:rFonts w:ascii="Palatino Linotype" w:hAnsi="Palatino Linotype"/>
                <w:i/>
                <w:color w:val="000000"/>
                <w:lang w:val="es-ES"/>
              </w:rPr>
              <w:t>limitrofe</w:t>
            </w:r>
            <w:proofErr w:type="spellEnd"/>
            <w:r w:rsidRPr="007724FF">
              <w:rPr>
                <w:rFonts w:ascii="Palatino Linotype" w:hAnsi="Palatino Linotype"/>
                <w:i/>
                <w:color w:val="000000"/>
                <w:lang w:val="es-ES"/>
              </w:rPr>
              <w:t xml:space="preserve"> del Municipio de Teoloyucan vs Municipio de Tepotzotlán. 2.-Todos y cada uno de los documentos considerados como anexos de la presente solicitud de acceso a la información pública. Pido sean reservados mi datos personales y se notifique al </w:t>
            </w:r>
            <w:proofErr w:type="spellStart"/>
            <w:r w:rsidRPr="007724FF">
              <w:rPr>
                <w:rFonts w:ascii="Palatino Linotype" w:hAnsi="Palatino Linotype"/>
                <w:i/>
                <w:color w:val="000000"/>
                <w:lang w:val="es-ES"/>
              </w:rPr>
              <w:t>Sindico</w:t>
            </w:r>
            <w:proofErr w:type="spellEnd"/>
            <w:r w:rsidRPr="007724FF">
              <w:rPr>
                <w:rFonts w:ascii="Palatino Linotype" w:hAnsi="Palatino Linotype"/>
                <w:i/>
                <w:color w:val="000000"/>
                <w:lang w:val="es-ES"/>
              </w:rPr>
              <w:t xml:space="preserve"> Municipal de Teoloyucan, la </w:t>
            </w:r>
            <w:proofErr w:type="spellStart"/>
            <w:r w:rsidRPr="007724FF">
              <w:rPr>
                <w:rFonts w:ascii="Palatino Linotype" w:hAnsi="Palatino Linotype"/>
                <w:i/>
                <w:color w:val="000000"/>
                <w:lang w:val="es-ES"/>
              </w:rPr>
              <w:t>resolucion</w:t>
            </w:r>
            <w:proofErr w:type="spellEnd"/>
            <w:r w:rsidRPr="007724FF">
              <w:rPr>
                <w:rFonts w:ascii="Palatino Linotype" w:hAnsi="Palatino Linotype"/>
                <w:i/>
                <w:color w:val="000000"/>
                <w:lang w:val="es-ES"/>
              </w:rPr>
              <w:t xml:space="preserve"> que adjunto a la presente solicitud.</w:t>
            </w:r>
          </w:p>
          <w:p w:rsidR="00D469F5" w:rsidRPr="007724FF" w:rsidRDefault="00D469F5" w:rsidP="007724FF">
            <w:pPr>
              <w:spacing w:line="360" w:lineRule="auto"/>
              <w:jc w:val="both"/>
              <w:rPr>
                <w:rFonts w:ascii="Palatino Linotype" w:hAnsi="Palatino Linotype"/>
                <w:i/>
                <w:color w:val="000000"/>
                <w:lang w:val="es-ES"/>
              </w:rPr>
            </w:pPr>
          </w:p>
        </w:tc>
      </w:tr>
      <w:tr w:rsidR="008D1B80" w:rsidRPr="007724FF" w:rsidTr="006A04B6">
        <w:tc>
          <w:tcPr>
            <w:tcW w:w="3402" w:type="dxa"/>
          </w:tcPr>
          <w:p w:rsidR="008D1B80" w:rsidRPr="007724FF" w:rsidRDefault="008D1B80" w:rsidP="007724FF">
            <w:pPr>
              <w:spacing w:line="360" w:lineRule="auto"/>
              <w:ind w:right="333"/>
              <w:rPr>
                <w:rFonts w:ascii="Palatino Linotype" w:hAnsi="Palatino Linotype"/>
                <w:b/>
                <w:bCs/>
                <w:color w:val="000000" w:themeColor="text1"/>
              </w:rPr>
            </w:pPr>
            <w:r w:rsidRPr="007724FF">
              <w:rPr>
                <w:rFonts w:ascii="Palatino Linotype" w:hAnsi="Palatino Linotype"/>
                <w:b/>
                <w:bCs/>
                <w:color w:val="000000" w:themeColor="text1"/>
              </w:rPr>
              <w:t>00237/TEOLOYU/IP/2021</w:t>
            </w:r>
          </w:p>
        </w:tc>
        <w:tc>
          <w:tcPr>
            <w:tcW w:w="5544" w:type="dxa"/>
          </w:tcPr>
          <w:p w:rsidR="008D1B80" w:rsidRPr="007724FF" w:rsidRDefault="008D1B80" w:rsidP="007724FF">
            <w:pPr>
              <w:spacing w:line="360" w:lineRule="auto"/>
              <w:jc w:val="both"/>
              <w:rPr>
                <w:rFonts w:ascii="Palatino Linotype" w:hAnsi="Palatino Linotype"/>
                <w:i/>
                <w:color w:val="000000"/>
                <w:lang w:val="es-ES"/>
              </w:rPr>
            </w:pPr>
            <w:r w:rsidRPr="007724FF">
              <w:rPr>
                <w:rFonts w:ascii="Palatino Linotype" w:hAnsi="Palatino Linotype"/>
                <w:i/>
                <w:color w:val="000000"/>
                <w:lang w:val="es-ES"/>
              </w:rPr>
              <w:t xml:space="preserve">“Con fundamento por lo establecido en el </w:t>
            </w:r>
            <w:proofErr w:type="spellStart"/>
            <w:r w:rsidRPr="007724FF">
              <w:rPr>
                <w:rFonts w:ascii="Palatino Linotype" w:hAnsi="Palatino Linotype"/>
                <w:i/>
                <w:color w:val="000000"/>
                <w:lang w:val="es-ES"/>
              </w:rPr>
              <w:t>articulo</w:t>
            </w:r>
            <w:proofErr w:type="spellEnd"/>
            <w:r w:rsidRPr="007724FF">
              <w:rPr>
                <w:rFonts w:ascii="Palatino Linotype" w:hAnsi="Palatino Linotype"/>
                <w:i/>
                <w:color w:val="000000"/>
                <w:lang w:val="es-ES"/>
              </w:rPr>
              <w:t xml:space="preserve"> sexto de la Constitución Política de los Estados Unidos </w:t>
            </w:r>
            <w:r w:rsidRPr="007724FF">
              <w:rPr>
                <w:rFonts w:ascii="Palatino Linotype" w:hAnsi="Palatino Linotype"/>
                <w:i/>
                <w:color w:val="000000"/>
                <w:lang w:val="es-ES"/>
              </w:rPr>
              <w:lastRenderedPageBreak/>
              <w:t xml:space="preserve">Mexicanos, respetuosamente solicito del Ayuntamiento de Teoloyucan, la siguiente información pública: 1.- Solicito del Presidente de la </w:t>
            </w:r>
            <w:proofErr w:type="spellStart"/>
            <w:r w:rsidRPr="007724FF">
              <w:rPr>
                <w:rFonts w:ascii="Palatino Linotype" w:hAnsi="Palatino Linotype"/>
                <w:i/>
                <w:color w:val="000000"/>
                <w:lang w:val="es-ES"/>
              </w:rPr>
              <w:t>Comision</w:t>
            </w:r>
            <w:proofErr w:type="spellEnd"/>
            <w:r w:rsidRPr="007724FF">
              <w:rPr>
                <w:rFonts w:ascii="Palatino Linotype" w:hAnsi="Palatino Linotype"/>
                <w:i/>
                <w:color w:val="000000"/>
                <w:lang w:val="es-ES"/>
              </w:rPr>
              <w:t xml:space="preserve"> Edilicia de </w:t>
            </w:r>
            <w:proofErr w:type="spellStart"/>
            <w:r w:rsidRPr="007724FF">
              <w:rPr>
                <w:rFonts w:ascii="Palatino Linotype" w:hAnsi="Palatino Linotype"/>
                <w:i/>
                <w:color w:val="000000"/>
                <w:lang w:val="es-ES"/>
              </w:rPr>
              <w:t>Limites</w:t>
            </w:r>
            <w:proofErr w:type="spellEnd"/>
            <w:r w:rsidRPr="007724FF">
              <w:rPr>
                <w:rFonts w:ascii="Palatino Linotype" w:hAnsi="Palatino Linotype"/>
                <w:i/>
                <w:color w:val="000000"/>
                <w:lang w:val="es-ES"/>
              </w:rPr>
              <w:t xml:space="preserve"> Territoriales del Ayuntamiento de Teoloyucan, me proporcione en </w:t>
            </w:r>
            <w:proofErr w:type="spellStart"/>
            <w:r w:rsidRPr="007724FF">
              <w:rPr>
                <w:rFonts w:ascii="Palatino Linotype" w:hAnsi="Palatino Linotype"/>
                <w:i/>
                <w:color w:val="000000"/>
                <w:lang w:val="es-ES"/>
              </w:rPr>
              <w:t>version</w:t>
            </w:r>
            <w:proofErr w:type="spellEnd"/>
            <w:r w:rsidRPr="007724FF">
              <w:rPr>
                <w:rFonts w:ascii="Palatino Linotype" w:hAnsi="Palatino Linotype"/>
                <w:i/>
                <w:color w:val="000000"/>
                <w:lang w:val="es-ES"/>
              </w:rPr>
              <w:t xml:space="preserve"> publica, toda la </w:t>
            </w:r>
            <w:proofErr w:type="spellStart"/>
            <w:r w:rsidRPr="007724FF">
              <w:rPr>
                <w:rFonts w:ascii="Palatino Linotype" w:hAnsi="Palatino Linotype"/>
                <w:i/>
                <w:color w:val="000000"/>
                <w:lang w:val="es-ES"/>
              </w:rPr>
              <w:t>informacion</w:t>
            </w:r>
            <w:proofErr w:type="spellEnd"/>
            <w:r w:rsidRPr="007724FF">
              <w:rPr>
                <w:rFonts w:ascii="Palatino Linotype" w:hAnsi="Palatino Linotype"/>
                <w:i/>
                <w:color w:val="000000"/>
                <w:lang w:val="es-ES"/>
              </w:rPr>
              <w:t xml:space="preserve"> relativa al diferendo </w:t>
            </w:r>
            <w:proofErr w:type="spellStart"/>
            <w:r w:rsidRPr="007724FF">
              <w:rPr>
                <w:rFonts w:ascii="Palatino Linotype" w:hAnsi="Palatino Linotype"/>
                <w:i/>
                <w:color w:val="000000"/>
                <w:lang w:val="es-ES"/>
              </w:rPr>
              <w:t>limitrofe</w:t>
            </w:r>
            <w:proofErr w:type="spellEnd"/>
            <w:r w:rsidRPr="007724FF">
              <w:rPr>
                <w:rFonts w:ascii="Palatino Linotype" w:hAnsi="Palatino Linotype"/>
                <w:i/>
                <w:color w:val="000000"/>
                <w:lang w:val="es-ES"/>
              </w:rPr>
              <w:t xml:space="preserve"> del Municipio de Teoloyucan vs Municipio de Tepotzotlán. 2.-Todos y cada uno de los documentos considerados como anexos de la presente solicitud de acceso a la información pública.”</w:t>
            </w:r>
          </w:p>
        </w:tc>
      </w:tr>
    </w:tbl>
    <w:p w:rsidR="009F09BC" w:rsidRPr="007724FF" w:rsidRDefault="009F09BC" w:rsidP="007724FF">
      <w:pPr>
        <w:pStyle w:val="Prrafodelista"/>
        <w:spacing w:line="360" w:lineRule="auto"/>
        <w:ind w:left="851" w:right="34"/>
        <w:jc w:val="both"/>
        <w:rPr>
          <w:rFonts w:ascii="Palatino Linotype" w:hAnsi="Palatino Linotype"/>
        </w:rPr>
      </w:pPr>
    </w:p>
    <w:p w:rsidR="009F09BC" w:rsidRPr="007724FF" w:rsidRDefault="009F09BC" w:rsidP="005A7F80">
      <w:pPr>
        <w:pStyle w:val="Prrafodelista"/>
        <w:numPr>
          <w:ilvl w:val="0"/>
          <w:numId w:val="2"/>
        </w:numPr>
        <w:spacing w:line="360" w:lineRule="auto"/>
        <w:ind w:left="851" w:right="34"/>
        <w:jc w:val="both"/>
        <w:rPr>
          <w:rFonts w:ascii="Palatino Linotype" w:hAnsi="Palatino Linotype"/>
        </w:rPr>
      </w:pPr>
      <w:r w:rsidRPr="007724FF">
        <w:rPr>
          <w:rFonts w:ascii="Palatino Linotype" w:eastAsia="Times New Roman" w:hAnsi="Palatino Linotype" w:cs="Arial"/>
          <w:lang w:val="es-ES"/>
        </w:rPr>
        <w:t>Se eligió como modalidad de entrega de la información</w:t>
      </w:r>
      <w:r w:rsidRPr="007724FF">
        <w:rPr>
          <w:rFonts w:ascii="Palatino Linotype" w:hAnsi="Palatino Linotype"/>
        </w:rPr>
        <w:t xml:space="preserve">: A través del </w:t>
      </w:r>
      <w:r w:rsidRPr="007724FF">
        <w:rPr>
          <w:rFonts w:ascii="Palatino Linotype" w:hAnsi="Palatino Linotype"/>
          <w:b/>
        </w:rPr>
        <w:t>SAIMEX</w:t>
      </w:r>
    </w:p>
    <w:p w:rsidR="00BE7B17" w:rsidRPr="007724FF" w:rsidRDefault="00BE7B17" w:rsidP="007724FF">
      <w:pPr>
        <w:pStyle w:val="Prrafodelista"/>
        <w:spacing w:line="360" w:lineRule="auto"/>
        <w:ind w:left="851" w:right="34"/>
        <w:jc w:val="both"/>
        <w:rPr>
          <w:rFonts w:ascii="Palatino Linotype" w:hAnsi="Palatino Linotype"/>
        </w:rPr>
      </w:pPr>
    </w:p>
    <w:p w:rsidR="009F09BC" w:rsidRPr="007724FF" w:rsidRDefault="00554E6F" w:rsidP="005A7F8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24FF">
        <w:rPr>
          <w:rFonts w:ascii="Palatino Linotype" w:hAnsi="Palatino Linotype" w:cs="Arial"/>
          <w:color w:val="000000" w:themeColor="text1"/>
        </w:rPr>
        <w:t>El día veintidós (22)</w:t>
      </w:r>
      <w:r w:rsidR="009F09BC" w:rsidRPr="007724FF">
        <w:rPr>
          <w:rFonts w:ascii="Palatino Linotype" w:hAnsi="Palatino Linotype" w:cs="Arial"/>
          <w:color w:val="000000" w:themeColor="text1"/>
        </w:rPr>
        <w:t xml:space="preserve"> de julio de dos mil veintiuno, el </w:t>
      </w:r>
      <w:r w:rsidR="009F09BC" w:rsidRPr="007724FF">
        <w:rPr>
          <w:rFonts w:ascii="Palatino Linotype" w:hAnsi="Palatino Linotype" w:cs="Arial"/>
          <w:b/>
          <w:color w:val="000000" w:themeColor="text1"/>
        </w:rPr>
        <w:t>SUJETO OBLIGADO,</w:t>
      </w:r>
      <w:r w:rsidR="009F09BC" w:rsidRPr="007724FF">
        <w:rPr>
          <w:rFonts w:ascii="Palatino Linotype" w:hAnsi="Palatino Linotype" w:cs="Arial"/>
          <w:color w:val="000000" w:themeColor="text1"/>
        </w:rPr>
        <w:t xml:space="preserve"> dio respuesta a cada una de las solicitudes de información</w:t>
      </w:r>
      <w:r w:rsidRPr="007724FF">
        <w:rPr>
          <w:rFonts w:ascii="Palatino Linotype" w:hAnsi="Palatino Linotype" w:cs="Arial"/>
          <w:color w:val="000000" w:themeColor="text1"/>
        </w:rPr>
        <w:t xml:space="preserve"> mediante diversos archivos que al ya ser del conocimiento de las partes, y en obvio de repeticiones innecesarias, se </w:t>
      </w:r>
      <w:r w:rsidR="00857695" w:rsidRPr="007724FF">
        <w:rPr>
          <w:rFonts w:ascii="Palatino Linotype" w:hAnsi="Palatino Linotype" w:cs="Arial"/>
          <w:color w:val="000000" w:themeColor="text1"/>
        </w:rPr>
        <w:t xml:space="preserve">expone que </w:t>
      </w:r>
      <w:r w:rsidR="001C6E9B" w:rsidRPr="007724FF">
        <w:rPr>
          <w:rFonts w:ascii="Palatino Linotype" w:hAnsi="Palatino Linotype" w:cs="Arial"/>
          <w:color w:val="000000" w:themeColor="text1"/>
        </w:rPr>
        <w:t>fueron</w:t>
      </w:r>
      <w:r w:rsidR="00857695" w:rsidRPr="007724FF">
        <w:rPr>
          <w:rFonts w:ascii="Palatino Linotype" w:hAnsi="Palatino Linotype" w:cs="Arial"/>
          <w:color w:val="000000" w:themeColor="text1"/>
        </w:rPr>
        <w:t xml:space="preserve"> </w:t>
      </w:r>
      <w:r w:rsidR="00857695" w:rsidRPr="007724FF">
        <w:rPr>
          <w:rFonts w:ascii="Palatino Linotype" w:hAnsi="Palatino Linotype" w:cs="Arial"/>
          <w:i/>
          <w:color w:val="000000" w:themeColor="text1"/>
        </w:rPr>
        <w:t>grosso modo</w:t>
      </w:r>
      <w:r w:rsidR="00857695" w:rsidRPr="007724FF">
        <w:rPr>
          <w:rFonts w:ascii="Palatino Linotype" w:hAnsi="Palatino Linotype" w:cs="Arial"/>
          <w:color w:val="000000" w:themeColor="text1"/>
        </w:rPr>
        <w:t xml:space="preserve"> en</w:t>
      </w:r>
      <w:r w:rsidR="009F09BC" w:rsidRPr="007724FF">
        <w:rPr>
          <w:rFonts w:ascii="Palatino Linotype" w:hAnsi="Palatino Linotype" w:cs="Arial"/>
          <w:color w:val="000000" w:themeColor="text1"/>
        </w:rPr>
        <w:t xml:space="preserve"> los </w:t>
      </w:r>
      <w:r w:rsidRPr="007724FF">
        <w:rPr>
          <w:rFonts w:ascii="Palatino Linotype" w:hAnsi="Palatino Linotype" w:cs="Arial"/>
          <w:color w:val="000000" w:themeColor="text1"/>
        </w:rPr>
        <w:t>siguientes</w:t>
      </w:r>
      <w:r w:rsidR="009F09BC" w:rsidRPr="007724FF">
        <w:rPr>
          <w:rFonts w:ascii="Palatino Linotype" w:hAnsi="Palatino Linotype" w:cs="Arial"/>
          <w:color w:val="000000" w:themeColor="text1"/>
        </w:rPr>
        <w:t xml:space="preserve"> términos</w:t>
      </w:r>
      <w:r w:rsidRPr="007724FF">
        <w:rPr>
          <w:rFonts w:ascii="Palatino Linotype" w:hAnsi="Palatino Linotype" w:cs="Arial"/>
          <w:color w:val="000000" w:themeColor="text1"/>
        </w:rPr>
        <w:t>:</w:t>
      </w:r>
    </w:p>
    <w:p w:rsidR="009F09BC" w:rsidRPr="007724FF" w:rsidRDefault="009F09BC" w:rsidP="007724FF">
      <w:pPr>
        <w:pStyle w:val="Prrafodelista"/>
        <w:tabs>
          <w:tab w:val="left" w:pos="0"/>
        </w:tabs>
        <w:spacing w:line="360" w:lineRule="auto"/>
        <w:ind w:left="0" w:right="49"/>
        <w:jc w:val="both"/>
        <w:rPr>
          <w:rFonts w:ascii="Palatino Linotype" w:hAnsi="Palatino Linotype" w:cs="Arial"/>
          <w:color w:val="000000" w:themeColor="text1"/>
        </w:rPr>
      </w:pPr>
    </w:p>
    <w:p w:rsidR="00857695" w:rsidRPr="007724FF" w:rsidRDefault="00176A25" w:rsidP="005A7F80">
      <w:pPr>
        <w:pStyle w:val="Prrafodelista"/>
        <w:numPr>
          <w:ilvl w:val="0"/>
          <w:numId w:val="2"/>
        </w:numPr>
        <w:tabs>
          <w:tab w:val="left" w:pos="0"/>
        </w:tabs>
        <w:spacing w:line="360" w:lineRule="auto"/>
        <w:ind w:left="709" w:right="49"/>
        <w:jc w:val="both"/>
        <w:rPr>
          <w:rFonts w:ascii="Palatino Linotype" w:hAnsi="Palatino Linotype" w:cs="Arial"/>
          <w:color w:val="000000" w:themeColor="text1"/>
        </w:rPr>
      </w:pPr>
      <w:r w:rsidRPr="007724FF">
        <w:rPr>
          <w:rFonts w:ascii="Palatino Linotype" w:hAnsi="Palatino Linotype" w:cs="Arial"/>
          <w:color w:val="000000" w:themeColor="text1"/>
        </w:rPr>
        <w:t>Se clasifica la información requerida como reservada por un periodo de tres años; toda vez que se encuentra en una controversia constitucional y el daño que pueda producirse con la divulgación puede lesionar la estrategia procesal y el interés jurídico del Municipio de Teoloyucan.</w:t>
      </w:r>
    </w:p>
    <w:p w:rsidR="009F09BC" w:rsidRPr="007724FF" w:rsidRDefault="009F09BC" w:rsidP="007724FF">
      <w:pPr>
        <w:pStyle w:val="Prrafodelista"/>
        <w:tabs>
          <w:tab w:val="left" w:pos="0"/>
        </w:tabs>
        <w:spacing w:line="360" w:lineRule="auto"/>
        <w:ind w:left="0" w:right="49"/>
        <w:jc w:val="both"/>
        <w:rPr>
          <w:rFonts w:ascii="Palatino Linotype" w:hAnsi="Palatino Linotype" w:cs="Arial"/>
          <w:color w:val="000000" w:themeColor="text1"/>
        </w:rPr>
      </w:pPr>
    </w:p>
    <w:p w:rsidR="009F09BC" w:rsidRPr="007724FF" w:rsidRDefault="009F09BC" w:rsidP="005A7F8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24FF">
        <w:rPr>
          <w:rFonts w:ascii="Palatino Linotype" w:eastAsia="Times New Roman" w:hAnsi="Palatino Linotype" w:cs="Arial"/>
          <w:color w:val="000000" w:themeColor="text1"/>
          <w:lang w:val="es-ES"/>
        </w:rPr>
        <w:lastRenderedPageBreak/>
        <w:t xml:space="preserve">En fecha </w:t>
      </w:r>
      <w:r w:rsidR="00176A25" w:rsidRPr="007724FF">
        <w:rPr>
          <w:rFonts w:ascii="Palatino Linotype" w:eastAsia="Times New Roman" w:hAnsi="Palatino Linotype" w:cs="Arial"/>
          <w:color w:val="000000" w:themeColor="text1"/>
          <w:lang w:val="es-ES"/>
        </w:rPr>
        <w:t xml:space="preserve">veintitrés </w:t>
      </w:r>
      <w:r w:rsidRPr="007724FF">
        <w:rPr>
          <w:rFonts w:ascii="Palatino Linotype" w:eastAsia="Times New Roman" w:hAnsi="Palatino Linotype" w:cs="Arial"/>
          <w:color w:val="000000" w:themeColor="text1"/>
          <w:lang w:val="es-ES"/>
        </w:rPr>
        <w:t>(</w:t>
      </w:r>
      <w:r w:rsidR="00176A25" w:rsidRPr="007724FF">
        <w:rPr>
          <w:rFonts w:ascii="Palatino Linotype" w:eastAsia="Times New Roman" w:hAnsi="Palatino Linotype" w:cs="Arial"/>
          <w:color w:val="000000" w:themeColor="text1"/>
          <w:lang w:val="es-ES"/>
        </w:rPr>
        <w:t>23</w:t>
      </w:r>
      <w:r w:rsidRPr="007724FF">
        <w:rPr>
          <w:rFonts w:ascii="Palatino Linotype" w:eastAsia="Times New Roman" w:hAnsi="Palatino Linotype" w:cs="Arial"/>
          <w:color w:val="000000" w:themeColor="text1"/>
          <w:lang w:val="es-ES"/>
        </w:rPr>
        <w:t xml:space="preserve">) de </w:t>
      </w:r>
      <w:r w:rsidR="00176A25" w:rsidRPr="007724FF">
        <w:rPr>
          <w:rFonts w:ascii="Palatino Linotype" w:eastAsia="Times New Roman" w:hAnsi="Palatino Linotype" w:cs="Arial"/>
          <w:color w:val="000000" w:themeColor="text1"/>
          <w:lang w:val="es-ES"/>
        </w:rPr>
        <w:t>juli</w:t>
      </w:r>
      <w:r w:rsidRPr="007724FF">
        <w:rPr>
          <w:rFonts w:ascii="Palatino Linotype" w:eastAsia="Times New Roman" w:hAnsi="Palatino Linotype" w:cs="Arial"/>
          <w:color w:val="000000" w:themeColor="text1"/>
          <w:lang w:val="es-ES"/>
        </w:rPr>
        <w:t>o de dos mil veintiuno, el particular interpuso los recursos de revisión en contra de las respuestas, manifestando en todos y cada uno, las mismas razones o motivos de inconformidad, a saber:</w:t>
      </w:r>
    </w:p>
    <w:p w:rsidR="009F09BC" w:rsidRPr="007724FF" w:rsidRDefault="009F09BC" w:rsidP="007724FF">
      <w:pPr>
        <w:pStyle w:val="Prrafodelista"/>
        <w:tabs>
          <w:tab w:val="left" w:pos="0"/>
        </w:tabs>
        <w:spacing w:line="360" w:lineRule="auto"/>
        <w:ind w:left="0" w:right="49"/>
        <w:jc w:val="both"/>
        <w:rPr>
          <w:rFonts w:ascii="Palatino Linotype" w:hAnsi="Palatino Linotype" w:cs="Arial"/>
          <w:i/>
          <w:color w:val="000000" w:themeColor="text1"/>
        </w:rPr>
      </w:pPr>
    </w:p>
    <w:p w:rsidR="009F09BC" w:rsidRPr="007724FF" w:rsidRDefault="009F09BC" w:rsidP="005A7F80">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83918248"/>
      <w:bookmarkStart w:id="12" w:name="_Toc83921790"/>
      <w:bookmarkStart w:id="13" w:name="_Toc27589208"/>
      <w:bookmarkStart w:id="14" w:name="_Toc29395022"/>
      <w:bookmarkStart w:id="15" w:name="_Toc29481467"/>
      <w:bookmarkStart w:id="16" w:name="_Toc33113911"/>
      <w:bookmarkStart w:id="17" w:name="_Toc33643059"/>
      <w:bookmarkStart w:id="18" w:name="_Toc33724991"/>
      <w:bookmarkStart w:id="19" w:name="_Toc33726434"/>
      <w:bookmarkStart w:id="20" w:name="_Toc34157662"/>
      <w:bookmarkStart w:id="21" w:name="_Toc35003615"/>
      <w:bookmarkStart w:id="22" w:name="_Toc35535691"/>
      <w:bookmarkStart w:id="23" w:name="_Toc5126252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r w:rsidRPr="007724FF">
        <w:rPr>
          <w:rStyle w:val="Ttulo2Car"/>
          <w:rFonts w:ascii="Palatino Linotype" w:hAnsi="Palatino Linotype"/>
          <w:b/>
          <w:color w:val="auto"/>
          <w:sz w:val="24"/>
          <w:szCs w:val="24"/>
        </w:rPr>
        <w:t>Acto impugnado</w:t>
      </w:r>
      <w:bookmarkEnd w:id="3"/>
      <w:r w:rsidRPr="007724FF">
        <w:rPr>
          <w:rStyle w:val="Ttulo2Car"/>
          <w:rFonts w:ascii="Palatino Linotype" w:hAnsi="Palatino Linotype"/>
          <w:b/>
          <w:color w:val="000000" w:themeColor="text1"/>
          <w:sz w:val="24"/>
          <w:szCs w:val="24"/>
        </w:rPr>
        <w:t xml:space="preserve">: </w:t>
      </w:r>
      <w:r w:rsidRPr="007724FF">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76A25" w:rsidRPr="007724FF">
        <w:rPr>
          <w:rStyle w:val="Ttulo2Car"/>
          <w:rFonts w:ascii="Palatino Linotype" w:hAnsi="Palatino Linotype"/>
          <w:i/>
          <w:color w:val="000000" w:themeColor="text1"/>
          <w:sz w:val="24"/>
          <w:szCs w:val="24"/>
        </w:rPr>
        <w:t>La respuesta del sujeto obligado.</w:t>
      </w:r>
      <w:bookmarkEnd w:id="11"/>
      <w:bookmarkEnd w:id="12"/>
      <w:r w:rsidRPr="007724FF">
        <w:rPr>
          <w:rFonts w:ascii="Palatino Linotype" w:hAnsi="Palatino Linotype"/>
        </w:rPr>
        <w:t>”</w:t>
      </w:r>
      <w:bookmarkStart w:id="70" w:name="_Toc466982515"/>
      <w:bookmarkStart w:id="71" w:name="_Toc27589209"/>
      <w:bookmarkStart w:id="72" w:name="_Toc29395023"/>
      <w:bookmarkStart w:id="73" w:name="_Toc29481468"/>
      <w:bookmarkStart w:id="74" w:name="_Toc33113912"/>
      <w:bookmarkStart w:id="75" w:name="_Toc33643060"/>
      <w:bookmarkStart w:id="76" w:name="_Toc33724992"/>
      <w:bookmarkStart w:id="77" w:name="_Toc33726435"/>
      <w:bookmarkStart w:id="78" w:name="_Toc34157663"/>
      <w:bookmarkStart w:id="79" w:name="_Toc35003616"/>
      <w:bookmarkStart w:id="80" w:name="_Toc35535692"/>
      <w:bookmarkStart w:id="81" w:name="_Toc51262526"/>
      <w:bookmarkStart w:id="82" w:name="_Toc471908127"/>
      <w:bookmarkStart w:id="83" w:name="_Toc491791301"/>
      <w:bookmarkStart w:id="84" w:name="_Toc496726171"/>
      <w:bookmarkStart w:id="85" w:name="_Toc497242135"/>
      <w:bookmarkStart w:id="86" w:name="_Toc497292518"/>
      <w:bookmarkStart w:id="87" w:name="_Toc498503717"/>
      <w:bookmarkStart w:id="88" w:name="_Toc499568661"/>
      <w:bookmarkStart w:id="89" w:name="_Toc499568694"/>
      <w:bookmarkStart w:id="90" w:name="_Toc499665453"/>
      <w:bookmarkStart w:id="91" w:name="_Toc499729820"/>
      <w:bookmarkStart w:id="92" w:name="_Toc499835025"/>
      <w:bookmarkStart w:id="93" w:name="_Toc499835836"/>
      <w:bookmarkStart w:id="94" w:name="_Toc499835859"/>
      <w:bookmarkStart w:id="95" w:name="_Toc500264538"/>
      <w:bookmarkStart w:id="96" w:name="_Toc503290276"/>
      <w:bookmarkStart w:id="97" w:name="_Toc524009638"/>
      <w:bookmarkStart w:id="98" w:name="_Toc524009673"/>
      <w:bookmarkStart w:id="99" w:name="_Toc524602721"/>
      <w:bookmarkStart w:id="100" w:name="_Toc526365280"/>
      <w:bookmarkStart w:id="101" w:name="_Toc526365338"/>
      <w:bookmarkStart w:id="102" w:name="_Toc530067665"/>
      <w:bookmarkStart w:id="103" w:name="_Toc530067693"/>
      <w:bookmarkStart w:id="104" w:name="_Toc530067940"/>
      <w:bookmarkStart w:id="105" w:name="_Toc530590421"/>
      <w:bookmarkStart w:id="106" w:name="_Toc530593952"/>
      <w:bookmarkStart w:id="107" w:name="_Toc531190249"/>
      <w:bookmarkStart w:id="108" w:name="_Toc531190296"/>
      <w:bookmarkStart w:id="109" w:name="_Toc534908209"/>
      <w:bookmarkStart w:id="110" w:name="_Toc534909345"/>
      <w:bookmarkStart w:id="111" w:name="_Toc535353306"/>
      <w:bookmarkStart w:id="112" w:name="_Toc535353792"/>
      <w:bookmarkStart w:id="113" w:name="_Toc18436352"/>
      <w:bookmarkStart w:id="114" w:name="_Toc18436386"/>
      <w:bookmarkStart w:id="115" w:name="_Toc18513478"/>
      <w:bookmarkStart w:id="116" w:name="_Toc18513504"/>
      <w:bookmarkStart w:id="117" w:name="_Toc18606802"/>
      <w:bookmarkStart w:id="118" w:name="_Toc19723537"/>
      <w:bookmarkStart w:id="119" w:name="_Toc20322796"/>
      <w:bookmarkStart w:id="120" w:name="_Toc20323053"/>
      <w:bookmarkStart w:id="121" w:name="_Toc20323182"/>
      <w:bookmarkStart w:id="122" w:name="_Toc20420592"/>
      <w:bookmarkStart w:id="123" w:name="_Toc20421580"/>
      <w:bookmarkStart w:id="124" w:name="_Toc21027317"/>
      <w:bookmarkStart w:id="125" w:name="_Toc22660653"/>
      <w:bookmarkStart w:id="126" w:name="_Toc22811624"/>
      <w:bookmarkStart w:id="127" w:name="_Toc26436016"/>
      <w:bookmarkStart w:id="128" w:name="_Toc5185430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9F09BC" w:rsidRPr="007724FF" w:rsidRDefault="009F09BC" w:rsidP="007724FF">
      <w:pPr>
        <w:pStyle w:val="Prrafodelista"/>
        <w:spacing w:line="360" w:lineRule="auto"/>
        <w:ind w:left="1004"/>
        <w:jc w:val="both"/>
        <w:rPr>
          <w:rFonts w:ascii="Palatino Linotype" w:hAnsi="Palatino Linotype"/>
          <w:i/>
          <w:color w:val="000000" w:themeColor="text1"/>
        </w:rPr>
      </w:pPr>
    </w:p>
    <w:p w:rsidR="009F09BC" w:rsidRPr="007724FF" w:rsidRDefault="009F09BC" w:rsidP="005A7F80">
      <w:pPr>
        <w:pStyle w:val="Prrafodelista"/>
        <w:numPr>
          <w:ilvl w:val="0"/>
          <w:numId w:val="2"/>
        </w:numPr>
        <w:spacing w:line="360" w:lineRule="auto"/>
        <w:jc w:val="both"/>
        <w:rPr>
          <w:rFonts w:ascii="Palatino Linotype" w:hAnsi="Palatino Linotype"/>
          <w:i/>
          <w:color w:val="000000" w:themeColor="text1"/>
        </w:rPr>
      </w:pPr>
      <w:bookmarkStart w:id="129" w:name="_Toc53584977"/>
      <w:bookmarkStart w:id="130" w:name="_Toc60925404"/>
      <w:bookmarkStart w:id="131" w:name="_Toc81364834"/>
      <w:bookmarkStart w:id="132" w:name="_Toc81390611"/>
      <w:bookmarkStart w:id="133" w:name="_Toc82611034"/>
      <w:bookmarkStart w:id="134" w:name="_Toc83128577"/>
      <w:bookmarkStart w:id="135" w:name="_Toc83918249"/>
      <w:bookmarkStart w:id="136" w:name="_Toc83921791"/>
      <w:r w:rsidRPr="007724FF">
        <w:rPr>
          <w:rStyle w:val="Ttulo2Car"/>
          <w:rFonts w:ascii="Palatino Linotype" w:hAnsi="Palatino Linotype"/>
          <w:b/>
          <w:color w:val="000000" w:themeColor="text1"/>
          <w:sz w:val="24"/>
          <w:szCs w:val="24"/>
        </w:rPr>
        <w:t>Razones o Motivos de inconformidad:</w:t>
      </w:r>
      <w:bookmarkEnd w:id="70"/>
      <w:bookmarkEnd w:id="129"/>
      <w:bookmarkEnd w:id="130"/>
      <w:bookmarkEnd w:id="131"/>
      <w:bookmarkEnd w:id="132"/>
      <w:bookmarkEnd w:id="133"/>
      <w:bookmarkEnd w:id="134"/>
      <w:bookmarkEnd w:id="135"/>
      <w:bookmarkEnd w:id="136"/>
      <w:r w:rsidRPr="007724FF">
        <w:rPr>
          <w:rFonts w:ascii="Palatino Linotype" w:hAnsi="Palatino Linotype"/>
          <w:b/>
          <w:color w:val="000000" w:themeColor="text1"/>
        </w:rPr>
        <w:t xml:space="preserve"> </w:t>
      </w:r>
      <w:r w:rsidRPr="007724FF">
        <w:rPr>
          <w:rFonts w:ascii="Palatino Linotype" w:hAnsi="Palatino Linotype"/>
          <w:i/>
          <w:color w:val="000000" w:themeColor="text1"/>
        </w:rPr>
        <w:t>“</w:t>
      </w:r>
      <w:r w:rsidR="00176A25" w:rsidRPr="007724FF">
        <w:rPr>
          <w:rFonts w:ascii="Palatino Linotype" w:hAnsi="Palatino Linotype"/>
          <w:i/>
          <w:color w:val="000000" w:themeColor="text1"/>
        </w:rPr>
        <w:t xml:space="preserve">El sujeto obligado realizo la reserva de la </w:t>
      </w:r>
      <w:proofErr w:type="spellStart"/>
      <w:r w:rsidR="00176A25" w:rsidRPr="007724FF">
        <w:rPr>
          <w:rFonts w:ascii="Palatino Linotype" w:hAnsi="Palatino Linotype"/>
          <w:i/>
          <w:color w:val="000000" w:themeColor="text1"/>
        </w:rPr>
        <w:t>informacion</w:t>
      </w:r>
      <w:proofErr w:type="spellEnd"/>
      <w:r w:rsidR="00176A25" w:rsidRPr="007724FF">
        <w:rPr>
          <w:rFonts w:ascii="Palatino Linotype" w:hAnsi="Palatino Linotype"/>
          <w:i/>
          <w:color w:val="000000" w:themeColor="text1"/>
        </w:rPr>
        <w:t xml:space="preserve"> y no analizo la </w:t>
      </w:r>
      <w:proofErr w:type="spellStart"/>
      <w:r w:rsidR="00176A25" w:rsidRPr="007724FF">
        <w:rPr>
          <w:rFonts w:ascii="Palatino Linotype" w:hAnsi="Palatino Linotype"/>
          <w:i/>
          <w:color w:val="000000" w:themeColor="text1"/>
        </w:rPr>
        <w:t>realizacion</w:t>
      </w:r>
      <w:proofErr w:type="spellEnd"/>
      <w:r w:rsidR="00176A25" w:rsidRPr="007724FF">
        <w:rPr>
          <w:rFonts w:ascii="Palatino Linotype" w:hAnsi="Palatino Linotype"/>
          <w:i/>
          <w:color w:val="000000" w:themeColor="text1"/>
        </w:rPr>
        <w:t xml:space="preserve"> de una </w:t>
      </w:r>
      <w:proofErr w:type="spellStart"/>
      <w:r w:rsidR="00176A25" w:rsidRPr="007724FF">
        <w:rPr>
          <w:rFonts w:ascii="Palatino Linotype" w:hAnsi="Palatino Linotype"/>
          <w:i/>
          <w:color w:val="000000" w:themeColor="text1"/>
        </w:rPr>
        <w:t>version</w:t>
      </w:r>
      <w:proofErr w:type="spellEnd"/>
      <w:r w:rsidR="00176A25" w:rsidRPr="007724FF">
        <w:rPr>
          <w:rFonts w:ascii="Palatino Linotype" w:hAnsi="Palatino Linotype"/>
          <w:i/>
          <w:color w:val="000000" w:themeColor="text1"/>
        </w:rPr>
        <w:t xml:space="preserve"> pública.</w:t>
      </w:r>
      <w:r w:rsidRPr="007724FF">
        <w:rPr>
          <w:rFonts w:ascii="Palatino Linotype" w:hAnsi="Palatino Linotype"/>
          <w:i/>
          <w:color w:val="000000" w:themeColor="text1"/>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176A25" w:rsidRPr="007724FF" w:rsidRDefault="00176A25" w:rsidP="007724FF">
      <w:pPr>
        <w:pStyle w:val="Prrafodelista"/>
        <w:spacing w:line="360" w:lineRule="auto"/>
        <w:rPr>
          <w:rFonts w:ascii="Palatino Linotype" w:hAnsi="Palatino Linotype"/>
          <w:i/>
          <w:color w:val="000000" w:themeColor="text1"/>
        </w:rPr>
      </w:pPr>
    </w:p>
    <w:p w:rsidR="00176A25" w:rsidRPr="007724FF" w:rsidRDefault="00176A25" w:rsidP="005A7F80">
      <w:pPr>
        <w:pStyle w:val="Prrafodelista"/>
        <w:numPr>
          <w:ilvl w:val="0"/>
          <w:numId w:val="2"/>
        </w:numPr>
        <w:spacing w:line="360" w:lineRule="auto"/>
        <w:jc w:val="both"/>
        <w:rPr>
          <w:rFonts w:ascii="Palatino Linotype" w:hAnsi="Palatino Linotype"/>
          <w:i/>
          <w:color w:val="000000" w:themeColor="text1"/>
        </w:rPr>
      </w:pPr>
      <w:r w:rsidRPr="007724FF">
        <w:rPr>
          <w:rFonts w:ascii="Palatino Linotype" w:hAnsi="Palatino Linotype"/>
          <w:i/>
          <w:color w:val="000000" w:themeColor="text1"/>
        </w:rPr>
        <w:t xml:space="preserve">“Se clasifico la </w:t>
      </w:r>
      <w:proofErr w:type="spellStart"/>
      <w:r w:rsidRPr="007724FF">
        <w:rPr>
          <w:rFonts w:ascii="Palatino Linotype" w:hAnsi="Palatino Linotype"/>
          <w:i/>
          <w:color w:val="000000" w:themeColor="text1"/>
        </w:rPr>
        <w:t>informacion</w:t>
      </w:r>
      <w:proofErr w:type="spellEnd"/>
      <w:r w:rsidRPr="007724FF">
        <w:rPr>
          <w:rFonts w:ascii="Palatino Linotype" w:hAnsi="Palatino Linotype"/>
          <w:i/>
          <w:color w:val="000000" w:themeColor="text1"/>
        </w:rPr>
        <w:t xml:space="preserve"> como reservada por un </w:t>
      </w:r>
      <w:proofErr w:type="spellStart"/>
      <w:r w:rsidRPr="007724FF">
        <w:rPr>
          <w:rFonts w:ascii="Palatino Linotype" w:hAnsi="Palatino Linotype"/>
          <w:i/>
          <w:color w:val="000000" w:themeColor="text1"/>
        </w:rPr>
        <w:t>priodo</w:t>
      </w:r>
      <w:proofErr w:type="spellEnd"/>
      <w:r w:rsidRPr="007724FF">
        <w:rPr>
          <w:rFonts w:ascii="Palatino Linotype" w:hAnsi="Palatino Linotype"/>
          <w:i/>
          <w:color w:val="000000" w:themeColor="text1"/>
        </w:rPr>
        <w:t xml:space="preserve"> de tres años, cuando se </w:t>
      </w:r>
      <w:proofErr w:type="spellStart"/>
      <w:r w:rsidRPr="007724FF">
        <w:rPr>
          <w:rFonts w:ascii="Palatino Linotype" w:hAnsi="Palatino Linotype"/>
          <w:i/>
          <w:color w:val="000000" w:themeColor="text1"/>
        </w:rPr>
        <w:t>debio</w:t>
      </w:r>
      <w:proofErr w:type="spellEnd"/>
      <w:r w:rsidRPr="007724FF">
        <w:rPr>
          <w:rFonts w:ascii="Palatino Linotype" w:hAnsi="Palatino Linotype"/>
          <w:i/>
          <w:color w:val="000000" w:themeColor="text1"/>
        </w:rPr>
        <w:t xml:space="preserve"> </w:t>
      </w:r>
      <w:proofErr w:type="spellStart"/>
      <w:r w:rsidRPr="007724FF">
        <w:rPr>
          <w:rFonts w:ascii="Palatino Linotype" w:hAnsi="Palatino Linotype"/>
          <w:i/>
          <w:color w:val="000000" w:themeColor="text1"/>
        </w:rPr>
        <w:t>elaboarar</w:t>
      </w:r>
      <w:proofErr w:type="spellEnd"/>
      <w:r w:rsidRPr="007724FF">
        <w:rPr>
          <w:rFonts w:ascii="Palatino Linotype" w:hAnsi="Palatino Linotype"/>
          <w:i/>
          <w:color w:val="000000" w:themeColor="text1"/>
        </w:rPr>
        <w:t xml:space="preserve"> una </w:t>
      </w:r>
      <w:proofErr w:type="spellStart"/>
      <w:r w:rsidRPr="007724FF">
        <w:rPr>
          <w:rFonts w:ascii="Palatino Linotype" w:hAnsi="Palatino Linotype"/>
          <w:i/>
          <w:color w:val="000000" w:themeColor="text1"/>
        </w:rPr>
        <w:t>version</w:t>
      </w:r>
      <w:proofErr w:type="spellEnd"/>
      <w:r w:rsidRPr="007724FF">
        <w:rPr>
          <w:rFonts w:ascii="Palatino Linotype" w:hAnsi="Palatino Linotype"/>
          <w:i/>
          <w:color w:val="000000" w:themeColor="text1"/>
        </w:rPr>
        <w:t xml:space="preserve"> pública.”</w:t>
      </w:r>
    </w:p>
    <w:p w:rsidR="00176A25" w:rsidRPr="007724FF" w:rsidRDefault="00176A25" w:rsidP="007724FF">
      <w:pPr>
        <w:pStyle w:val="Prrafodelista"/>
        <w:spacing w:line="360" w:lineRule="auto"/>
        <w:rPr>
          <w:rFonts w:ascii="Palatino Linotype" w:hAnsi="Palatino Linotype"/>
          <w:i/>
          <w:color w:val="000000" w:themeColor="text1"/>
        </w:rPr>
      </w:pPr>
    </w:p>
    <w:p w:rsidR="00176A25" w:rsidRPr="007724FF" w:rsidRDefault="00176A25" w:rsidP="005A7F80">
      <w:pPr>
        <w:pStyle w:val="Prrafodelista"/>
        <w:numPr>
          <w:ilvl w:val="0"/>
          <w:numId w:val="2"/>
        </w:numPr>
        <w:spacing w:line="360" w:lineRule="auto"/>
        <w:jc w:val="both"/>
        <w:rPr>
          <w:rFonts w:ascii="Palatino Linotype" w:hAnsi="Palatino Linotype"/>
          <w:i/>
          <w:color w:val="000000" w:themeColor="text1"/>
        </w:rPr>
      </w:pPr>
      <w:r w:rsidRPr="007724FF">
        <w:rPr>
          <w:rFonts w:ascii="Palatino Linotype" w:hAnsi="Palatino Linotype"/>
          <w:i/>
          <w:color w:val="000000" w:themeColor="text1"/>
        </w:rPr>
        <w:t xml:space="preserve">“se clasifico la </w:t>
      </w:r>
      <w:proofErr w:type="spellStart"/>
      <w:r w:rsidRPr="007724FF">
        <w:rPr>
          <w:rFonts w:ascii="Palatino Linotype" w:hAnsi="Palatino Linotype"/>
          <w:i/>
          <w:color w:val="000000" w:themeColor="text1"/>
        </w:rPr>
        <w:t>informacion</w:t>
      </w:r>
      <w:proofErr w:type="spellEnd"/>
      <w:r w:rsidRPr="007724FF">
        <w:rPr>
          <w:rFonts w:ascii="Palatino Linotype" w:hAnsi="Palatino Linotype"/>
          <w:i/>
          <w:color w:val="000000" w:themeColor="text1"/>
        </w:rPr>
        <w:t xml:space="preserve"> como </w:t>
      </w:r>
      <w:proofErr w:type="spellStart"/>
      <w:r w:rsidRPr="007724FF">
        <w:rPr>
          <w:rFonts w:ascii="Palatino Linotype" w:hAnsi="Palatino Linotype"/>
          <w:i/>
          <w:color w:val="000000" w:themeColor="text1"/>
        </w:rPr>
        <w:t>reservadaqy</w:t>
      </w:r>
      <w:proofErr w:type="spellEnd"/>
      <w:r w:rsidRPr="007724FF">
        <w:rPr>
          <w:rFonts w:ascii="Palatino Linotype" w:hAnsi="Palatino Linotype"/>
          <w:i/>
          <w:color w:val="000000" w:themeColor="text1"/>
        </w:rPr>
        <w:t xml:space="preserve"> no se elaboraron versiones públicas.”</w:t>
      </w:r>
    </w:p>
    <w:p w:rsidR="00BE7B17" w:rsidRPr="007724FF" w:rsidRDefault="00BE7B17" w:rsidP="007724FF">
      <w:pPr>
        <w:pStyle w:val="Prrafodelista"/>
        <w:spacing w:line="360" w:lineRule="auto"/>
        <w:rPr>
          <w:rFonts w:ascii="Palatino Linotype" w:hAnsi="Palatino Linotype"/>
          <w:i/>
          <w:color w:val="000000" w:themeColor="text1"/>
        </w:rPr>
      </w:pPr>
    </w:p>
    <w:p w:rsidR="005D22CE" w:rsidRPr="007724FF" w:rsidRDefault="009F09BC" w:rsidP="005A7F80">
      <w:pPr>
        <w:pStyle w:val="Prrafodelista"/>
        <w:numPr>
          <w:ilvl w:val="0"/>
          <w:numId w:val="1"/>
        </w:numPr>
        <w:tabs>
          <w:tab w:val="left" w:pos="0"/>
        </w:tabs>
        <w:spacing w:line="360" w:lineRule="auto"/>
        <w:ind w:left="0" w:right="49" w:firstLine="0"/>
        <w:jc w:val="both"/>
        <w:rPr>
          <w:rFonts w:ascii="Palatino Linotype" w:hAnsi="Palatino Linotype"/>
        </w:rPr>
      </w:pPr>
      <w:r w:rsidRPr="007724FF">
        <w:rPr>
          <w:rFonts w:ascii="Palatino Linotype" w:hAnsi="Palatino Linotype"/>
        </w:rPr>
        <w:t>Consecutivamente</w:t>
      </w:r>
      <w:r w:rsidRPr="007724FF">
        <w:rPr>
          <w:rFonts w:ascii="Palatino Linotype" w:hAnsi="Palatino Linotype"/>
          <w:i/>
        </w:rPr>
        <w:t xml:space="preserve">, </w:t>
      </w:r>
      <w:r w:rsidRPr="007724FF">
        <w:rPr>
          <w:rFonts w:ascii="Palatino Linotype" w:hAnsi="Palatino Linotype"/>
        </w:rPr>
        <w:t xml:space="preserve">con fundamento en lo dispuesto por el artículo 185 fracción I de la Ley de Transparencia y Acceso a la Información Pública del Estado de </w:t>
      </w:r>
      <w:r w:rsidRPr="007724FF">
        <w:rPr>
          <w:rFonts w:ascii="Palatino Linotype" w:hAnsi="Palatino Linotype"/>
          <w:lang w:val="es-ES"/>
        </w:rPr>
        <w:t xml:space="preserve">México y Municipios, </w:t>
      </w:r>
      <w:r w:rsidRPr="007724FF">
        <w:rPr>
          <w:rFonts w:ascii="Palatino Linotype" w:hAnsi="Palatino Linotype"/>
        </w:rPr>
        <w:t>los recursos de referencia, fueron turnados</w:t>
      </w:r>
      <w:r w:rsidRPr="007724FF">
        <w:rPr>
          <w:rFonts w:ascii="Palatino Linotype" w:hAnsi="Palatino Linotype"/>
          <w:b/>
          <w:lang w:val="es-ES"/>
        </w:rPr>
        <w:t xml:space="preserve"> </w:t>
      </w:r>
      <w:r w:rsidRPr="007724FF">
        <w:rPr>
          <w:rFonts w:ascii="Palatino Linotype" w:hAnsi="Palatino Linotype"/>
          <w:lang w:val="es-ES"/>
        </w:rPr>
        <w:t>a l</w:t>
      </w:r>
      <w:r w:rsidR="00ED3A35" w:rsidRPr="007724FF">
        <w:rPr>
          <w:rFonts w:ascii="Palatino Linotype" w:hAnsi="Palatino Linotype"/>
          <w:lang w:val="es-ES"/>
        </w:rPr>
        <w:t>o</w:t>
      </w:r>
      <w:r w:rsidRPr="007724FF">
        <w:rPr>
          <w:rFonts w:ascii="Palatino Linotype" w:hAnsi="Palatino Linotype"/>
          <w:lang w:val="es-ES"/>
        </w:rPr>
        <w:t>s</w:t>
      </w:r>
      <w:r w:rsidR="00CC5B2F" w:rsidRPr="007724FF">
        <w:rPr>
          <w:rFonts w:ascii="Palatino Linotype" w:hAnsi="Palatino Linotype"/>
          <w:lang w:val="es-ES"/>
        </w:rPr>
        <w:t xml:space="preserve"> entonces</w:t>
      </w:r>
      <w:r w:rsidRPr="007724FF">
        <w:rPr>
          <w:rFonts w:ascii="Palatino Linotype" w:hAnsi="Palatino Linotype"/>
          <w:lang w:val="es-ES"/>
        </w:rPr>
        <w:t xml:space="preserve"> </w:t>
      </w:r>
      <w:r w:rsidRPr="007724FF">
        <w:rPr>
          <w:rFonts w:ascii="Palatino Linotype" w:hAnsi="Palatino Linotype"/>
          <w:b/>
          <w:lang w:val="es-ES"/>
        </w:rPr>
        <w:t>Comi</w:t>
      </w:r>
      <w:r w:rsidR="00ED3A35" w:rsidRPr="007724FF">
        <w:rPr>
          <w:rFonts w:ascii="Palatino Linotype" w:hAnsi="Palatino Linotype"/>
          <w:b/>
          <w:lang w:val="es-ES"/>
        </w:rPr>
        <w:t>s</w:t>
      </w:r>
      <w:r w:rsidRPr="007724FF">
        <w:rPr>
          <w:rFonts w:ascii="Palatino Linotype" w:hAnsi="Palatino Linotype"/>
          <w:b/>
          <w:lang w:val="es-ES"/>
        </w:rPr>
        <w:t xml:space="preserve">ionados Zulema Martínez Sánchez, Eva </w:t>
      </w:r>
      <w:proofErr w:type="spellStart"/>
      <w:r w:rsidRPr="007724FF">
        <w:rPr>
          <w:rFonts w:ascii="Palatino Linotype" w:hAnsi="Palatino Linotype"/>
          <w:b/>
          <w:lang w:val="es-ES"/>
        </w:rPr>
        <w:t>Abaid</w:t>
      </w:r>
      <w:proofErr w:type="spellEnd"/>
      <w:r w:rsidRPr="007724FF">
        <w:rPr>
          <w:rFonts w:ascii="Palatino Linotype" w:hAnsi="Palatino Linotype"/>
          <w:b/>
          <w:lang w:val="es-ES"/>
        </w:rPr>
        <w:t xml:space="preserve"> </w:t>
      </w:r>
      <w:proofErr w:type="spellStart"/>
      <w:r w:rsidRPr="007724FF">
        <w:rPr>
          <w:rFonts w:ascii="Palatino Linotype" w:hAnsi="Palatino Linotype"/>
          <w:b/>
          <w:lang w:val="es-ES"/>
        </w:rPr>
        <w:t>Yapur</w:t>
      </w:r>
      <w:proofErr w:type="spellEnd"/>
      <w:r w:rsidRPr="007724FF">
        <w:rPr>
          <w:rFonts w:ascii="Palatino Linotype" w:hAnsi="Palatino Linotype"/>
          <w:b/>
          <w:lang w:val="es-ES"/>
        </w:rPr>
        <w:t xml:space="preserve"> </w:t>
      </w:r>
      <w:r w:rsidRPr="007724FF">
        <w:rPr>
          <w:rFonts w:ascii="Palatino Linotype" w:hAnsi="Palatino Linotype"/>
          <w:lang w:val="es-ES"/>
        </w:rPr>
        <w:t>y</w:t>
      </w:r>
      <w:r w:rsidRPr="007724FF">
        <w:rPr>
          <w:rFonts w:ascii="Palatino Linotype" w:hAnsi="Palatino Linotype"/>
          <w:b/>
          <w:lang w:val="es-ES"/>
        </w:rPr>
        <w:t xml:space="preserve"> Javier Martínez Cruz</w:t>
      </w:r>
      <w:r w:rsidR="00176A25" w:rsidRPr="007724FF">
        <w:rPr>
          <w:rFonts w:ascii="Palatino Linotype" w:hAnsi="Palatino Linotype"/>
          <w:b/>
          <w:lang w:val="es-ES"/>
        </w:rPr>
        <w:t>;</w:t>
      </w:r>
      <w:r w:rsidR="00176A25" w:rsidRPr="007724FF">
        <w:rPr>
          <w:rFonts w:ascii="Palatino Linotype" w:hAnsi="Palatino Linotype"/>
          <w:lang w:val="es-ES"/>
        </w:rPr>
        <w:t xml:space="preserve"> así como al </w:t>
      </w:r>
      <w:r w:rsidR="00176A25" w:rsidRPr="007724FF">
        <w:rPr>
          <w:rFonts w:ascii="Palatino Linotype" w:hAnsi="Palatino Linotype"/>
          <w:b/>
          <w:lang w:val="es-ES"/>
        </w:rPr>
        <w:t>Comisionado Luis Gustavo Parra Noriega</w:t>
      </w:r>
      <w:r w:rsidRPr="007724FF">
        <w:rPr>
          <w:rFonts w:ascii="Palatino Linotype" w:hAnsi="Palatino Linotype"/>
          <w:lang w:val="es-ES"/>
        </w:rPr>
        <w:t xml:space="preserve"> respectivamente,</w:t>
      </w:r>
      <w:r w:rsidRPr="007724FF">
        <w:rPr>
          <w:rFonts w:ascii="Palatino Linotype" w:hAnsi="Palatino Linotype"/>
          <w:b/>
          <w:lang w:val="es-ES"/>
        </w:rPr>
        <w:t xml:space="preserve"> </w:t>
      </w:r>
      <w:r w:rsidRPr="007724FF">
        <w:rPr>
          <w:rFonts w:ascii="Palatino Linotype" w:hAnsi="Palatino Linotype"/>
          <w:lang w:val="es-ES"/>
        </w:rPr>
        <w:t>con el ob</w:t>
      </w:r>
      <w:r w:rsidR="00CC5B2F" w:rsidRPr="007724FF">
        <w:rPr>
          <w:rFonts w:ascii="Palatino Linotype" w:hAnsi="Palatino Linotype"/>
          <w:lang w:val="es-ES"/>
        </w:rPr>
        <w:t>jeto de su análisis</w:t>
      </w:r>
      <w:r w:rsidR="005D22CE" w:rsidRPr="007724FF">
        <w:rPr>
          <w:rFonts w:ascii="Palatino Linotype" w:hAnsi="Palatino Linotype"/>
          <w:lang w:val="es-ES"/>
        </w:rPr>
        <w:t>.</w:t>
      </w:r>
    </w:p>
    <w:p w:rsidR="005D22CE" w:rsidRPr="007724FF" w:rsidRDefault="005D22CE" w:rsidP="007724FF">
      <w:pPr>
        <w:pStyle w:val="Prrafodelista"/>
        <w:tabs>
          <w:tab w:val="left" w:pos="0"/>
        </w:tabs>
        <w:spacing w:line="360" w:lineRule="auto"/>
        <w:ind w:left="0" w:right="49"/>
        <w:jc w:val="both"/>
        <w:rPr>
          <w:rFonts w:ascii="Palatino Linotype" w:hAnsi="Palatino Linotype"/>
        </w:rPr>
      </w:pPr>
    </w:p>
    <w:p w:rsidR="005D22CE" w:rsidRPr="007724FF" w:rsidRDefault="005D22CE" w:rsidP="005A7F80">
      <w:pPr>
        <w:pStyle w:val="Prrafodelista"/>
        <w:numPr>
          <w:ilvl w:val="0"/>
          <w:numId w:val="1"/>
        </w:numPr>
        <w:spacing w:line="360" w:lineRule="auto"/>
        <w:ind w:left="0" w:firstLine="0"/>
        <w:jc w:val="both"/>
        <w:rPr>
          <w:rFonts w:ascii="Palatino Linotype" w:hAnsi="Palatino Linotype"/>
          <w:i/>
        </w:rPr>
      </w:pPr>
      <w:r w:rsidRPr="007724FF">
        <w:rPr>
          <w:rFonts w:ascii="Palatino Linotype" w:eastAsia="Calibri" w:hAnsi="Palatino Linotype" w:cs="Arial"/>
          <w:lang w:val="es-ES"/>
        </w:rPr>
        <w:t>Los entonces Comisionados Ponentes con fundamento en lo dispuesto por el artículo 185 fracción II de la ley de la materia, a través de los acuerdos de admisión de fecha</w:t>
      </w:r>
      <w:r w:rsidR="00D469F5" w:rsidRPr="007724FF">
        <w:rPr>
          <w:rFonts w:ascii="Palatino Linotype" w:eastAsia="Calibri" w:hAnsi="Palatino Linotype" w:cs="Arial"/>
          <w:lang w:val="es-ES"/>
        </w:rPr>
        <w:t>s cuatro (04) cinco (05),</w:t>
      </w:r>
      <w:r w:rsidRPr="007724FF">
        <w:rPr>
          <w:rFonts w:ascii="Palatino Linotype" w:eastAsia="Calibri" w:hAnsi="Palatino Linotype" w:cs="Arial"/>
          <w:lang w:val="es-ES"/>
        </w:rPr>
        <w:t xml:space="preserve"> seis (06)</w:t>
      </w:r>
      <w:r w:rsidR="00D469F5" w:rsidRPr="007724FF">
        <w:rPr>
          <w:rFonts w:ascii="Palatino Linotype" w:eastAsia="Calibri" w:hAnsi="Palatino Linotype" w:cs="Arial"/>
          <w:lang w:val="es-ES"/>
        </w:rPr>
        <w:t xml:space="preserve"> y diez (10)</w:t>
      </w:r>
      <w:r w:rsidRPr="007724FF">
        <w:rPr>
          <w:rFonts w:ascii="Palatino Linotype" w:eastAsia="Calibri" w:hAnsi="Palatino Linotype" w:cs="Arial"/>
          <w:lang w:val="es-ES"/>
        </w:rPr>
        <w:t xml:space="preserve"> de agosto</w:t>
      </w:r>
      <w:r w:rsidR="001C6E9B" w:rsidRPr="007724FF">
        <w:rPr>
          <w:rFonts w:ascii="Palatino Linotype" w:eastAsia="Calibri" w:hAnsi="Palatino Linotype" w:cs="Arial"/>
          <w:lang w:val="es-ES"/>
        </w:rPr>
        <w:t xml:space="preserve"> del año en curso, pusieron</w:t>
      </w:r>
      <w:r w:rsidRPr="007724FF">
        <w:rPr>
          <w:rFonts w:ascii="Palatino Linotype" w:eastAsia="Calibri" w:hAnsi="Palatino Linotype" w:cs="Arial"/>
          <w:lang w:val="es-ES"/>
        </w:rPr>
        <w:t xml:space="preserve"> a disposición de las partes l</w:t>
      </w:r>
      <w:r w:rsidR="007724FF" w:rsidRPr="007724FF">
        <w:rPr>
          <w:rFonts w:ascii="Palatino Linotype" w:eastAsia="Calibri" w:hAnsi="Palatino Linotype" w:cs="Arial"/>
          <w:lang w:val="es-ES"/>
        </w:rPr>
        <w:t>os</w:t>
      </w:r>
      <w:r w:rsidRPr="007724FF">
        <w:rPr>
          <w:rFonts w:ascii="Palatino Linotype" w:eastAsia="Calibri" w:hAnsi="Palatino Linotype" w:cs="Arial"/>
          <w:lang w:val="es-ES"/>
        </w:rPr>
        <w:t xml:space="preserve"> expediente</w:t>
      </w:r>
      <w:r w:rsidR="007724FF" w:rsidRPr="007724FF">
        <w:rPr>
          <w:rFonts w:ascii="Palatino Linotype" w:eastAsia="Calibri" w:hAnsi="Palatino Linotype" w:cs="Arial"/>
          <w:lang w:val="es-ES"/>
        </w:rPr>
        <w:t>s</w:t>
      </w:r>
      <w:r w:rsidRPr="007724FF">
        <w:rPr>
          <w:rFonts w:ascii="Palatino Linotype" w:eastAsia="Calibri" w:hAnsi="Palatino Linotype" w:cs="Arial"/>
          <w:lang w:val="es-ES"/>
        </w:rPr>
        <w:t xml:space="preserve"> electrónico</w:t>
      </w:r>
      <w:r w:rsidR="007724FF" w:rsidRPr="007724FF">
        <w:rPr>
          <w:rFonts w:ascii="Palatino Linotype" w:eastAsia="Calibri" w:hAnsi="Palatino Linotype" w:cs="Arial"/>
          <w:lang w:val="es-ES"/>
        </w:rPr>
        <w:t>s</w:t>
      </w:r>
      <w:r w:rsidRPr="007724FF">
        <w:rPr>
          <w:rFonts w:ascii="Palatino Linotype" w:eastAsia="Calibri" w:hAnsi="Palatino Linotype" w:cs="Arial"/>
          <w:lang w:val="es-ES"/>
        </w:rPr>
        <w:t xml:space="preserve"> </w:t>
      </w:r>
      <w:r w:rsidRPr="007724FF">
        <w:rPr>
          <w:rFonts w:ascii="Palatino Linotype" w:eastAsia="Calibri" w:hAnsi="Palatino Linotype" w:cs="Arial"/>
        </w:rPr>
        <w:t xml:space="preserve">vía </w:t>
      </w:r>
      <w:r w:rsidRPr="007724FF">
        <w:rPr>
          <w:rFonts w:ascii="Palatino Linotype" w:eastAsia="Calibri" w:hAnsi="Palatino Linotype" w:cs="Arial"/>
          <w:b/>
          <w:lang w:val="es-ES"/>
        </w:rPr>
        <w:t xml:space="preserve">SAIMEX </w:t>
      </w:r>
      <w:r w:rsidRPr="007724FF">
        <w:rPr>
          <w:rFonts w:ascii="Palatino Linotype" w:eastAsia="Calibri" w:hAnsi="Palatino Linotype" w:cs="Arial"/>
          <w:lang w:val="es-ES"/>
        </w:rPr>
        <w:t xml:space="preserve">a </w:t>
      </w:r>
      <w:r w:rsidRPr="007724FF">
        <w:rPr>
          <w:rFonts w:ascii="Palatino Linotype" w:eastAsia="Calibri" w:hAnsi="Palatino Linotype" w:cs="Arial"/>
          <w:lang w:val="es-ES"/>
        </w:rPr>
        <w:lastRenderedPageBreak/>
        <w:t>efecto de que en un plazo máximo de siete</w:t>
      </w:r>
      <w:r w:rsidR="001C6E9B" w:rsidRPr="007724FF">
        <w:rPr>
          <w:rFonts w:ascii="Palatino Linotype" w:eastAsia="Calibri" w:hAnsi="Palatino Linotype" w:cs="Arial"/>
          <w:lang w:val="es-ES"/>
        </w:rPr>
        <w:t xml:space="preserve"> (07)</w:t>
      </w:r>
      <w:r w:rsidRPr="007724FF">
        <w:rPr>
          <w:rFonts w:ascii="Palatino Linotype" w:eastAsia="Calibri" w:hAnsi="Palatino Linotype" w:cs="Arial"/>
          <w:lang w:val="es-ES"/>
        </w:rPr>
        <w:t xml:space="preserve"> días manifestaran lo que a su derecho conviniera, ofrecieran pruebas y alegatos según corresponda a los casos concretos, y el </w:t>
      </w:r>
      <w:r w:rsidRPr="007724FF">
        <w:rPr>
          <w:rFonts w:ascii="Palatino Linotype" w:eastAsia="Calibri" w:hAnsi="Palatino Linotype" w:cs="Arial"/>
          <w:b/>
          <w:lang w:val="es-ES"/>
        </w:rPr>
        <w:t>SUJETO OBLIGADO</w:t>
      </w:r>
      <w:r w:rsidRPr="007724FF">
        <w:rPr>
          <w:rFonts w:ascii="Palatino Linotype" w:eastAsia="Calibri" w:hAnsi="Palatino Linotype" w:cs="Arial"/>
          <w:lang w:val="es-ES"/>
        </w:rPr>
        <w:t xml:space="preserve"> presentará los Informes Justificados procedentes.</w:t>
      </w:r>
    </w:p>
    <w:p w:rsidR="00DC753F" w:rsidRPr="007724FF" w:rsidRDefault="00DC753F" w:rsidP="007724FF">
      <w:pPr>
        <w:pStyle w:val="Prrafodelista"/>
        <w:spacing w:line="360" w:lineRule="auto"/>
        <w:rPr>
          <w:rFonts w:ascii="Palatino Linotype" w:hAnsi="Palatino Linotype"/>
          <w:i/>
        </w:rPr>
      </w:pPr>
    </w:p>
    <w:p w:rsidR="00DC753F" w:rsidRPr="007724FF" w:rsidRDefault="00DC753F" w:rsidP="005A7F80">
      <w:pPr>
        <w:pStyle w:val="Prrafodelista"/>
        <w:numPr>
          <w:ilvl w:val="0"/>
          <w:numId w:val="1"/>
        </w:numPr>
        <w:spacing w:line="360" w:lineRule="auto"/>
        <w:ind w:left="0" w:firstLine="0"/>
        <w:jc w:val="both"/>
        <w:rPr>
          <w:rFonts w:ascii="Palatino Linotype" w:hAnsi="Palatino Linotype"/>
        </w:rPr>
      </w:pPr>
      <w:r w:rsidRPr="007724FF">
        <w:rPr>
          <w:rFonts w:ascii="Palatino Linotype" w:hAnsi="Palatino Linotype"/>
          <w:color w:val="000000"/>
        </w:rPr>
        <w:t xml:space="preserve">El </w:t>
      </w:r>
      <w:r w:rsidRPr="007724FF">
        <w:rPr>
          <w:rFonts w:ascii="Palatino Linotype" w:hAnsi="Palatino Linotype"/>
          <w:b/>
          <w:color w:val="000000"/>
        </w:rPr>
        <w:t>SUJETO OBLIGADO</w:t>
      </w:r>
      <w:r w:rsidRPr="007724FF">
        <w:rPr>
          <w:rFonts w:ascii="Palatino Linotype" w:hAnsi="Palatino Linotype"/>
          <w:color w:val="000000"/>
        </w:rPr>
        <w:t xml:space="preserve"> fue omiso en rendir los informes justificados correspondientes; por su parte </w:t>
      </w:r>
      <w:r w:rsidRPr="007724FF">
        <w:rPr>
          <w:rFonts w:ascii="Palatino Linotype" w:hAnsi="Palatino Linotype"/>
          <w:b/>
          <w:color w:val="000000"/>
        </w:rPr>
        <w:t xml:space="preserve">EL PARTICULAR </w:t>
      </w:r>
      <w:r w:rsidRPr="007724FF">
        <w:rPr>
          <w:rFonts w:ascii="Palatino Linotype" w:hAnsi="Palatino Linotype"/>
          <w:color w:val="000000"/>
        </w:rPr>
        <w:t>dejó de realizar manifestaciones que a su derecho conviniera y asistiera.</w:t>
      </w:r>
    </w:p>
    <w:p w:rsidR="005D22CE" w:rsidRPr="007724FF" w:rsidRDefault="005D22CE" w:rsidP="007724FF">
      <w:pPr>
        <w:pStyle w:val="Prrafodelista"/>
        <w:tabs>
          <w:tab w:val="left" w:pos="0"/>
        </w:tabs>
        <w:spacing w:line="360" w:lineRule="auto"/>
        <w:ind w:left="0" w:right="49"/>
        <w:jc w:val="both"/>
        <w:rPr>
          <w:rFonts w:ascii="Palatino Linotype" w:hAnsi="Palatino Linotype"/>
        </w:rPr>
      </w:pPr>
    </w:p>
    <w:p w:rsidR="009F09BC" w:rsidRPr="007724FF" w:rsidRDefault="005D22CE" w:rsidP="005A7F80">
      <w:pPr>
        <w:pStyle w:val="Prrafodelista"/>
        <w:numPr>
          <w:ilvl w:val="0"/>
          <w:numId w:val="1"/>
        </w:numPr>
        <w:tabs>
          <w:tab w:val="left" w:pos="0"/>
        </w:tabs>
        <w:spacing w:line="360" w:lineRule="auto"/>
        <w:ind w:left="0" w:right="49" w:firstLine="0"/>
        <w:jc w:val="both"/>
        <w:rPr>
          <w:rFonts w:ascii="Palatino Linotype" w:hAnsi="Palatino Linotype"/>
        </w:rPr>
      </w:pPr>
      <w:r w:rsidRPr="007724FF">
        <w:rPr>
          <w:rFonts w:ascii="Palatino Linotype" w:hAnsi="Palatino Linotype"/>
        </w:rPr>
        <w:t>El</w:t>
      </w:r>
      <w:r w:rsidR="009F09BC" w:rsidRPr="007724FF">
        <w:rPr>
          <w:rFonts w:ascii="Palatino Linotype" w:hAnsi="Palatino Linotype"/>
        </w:rPr>
        <w:t xml:space="preserve"> Pleno de este Órgano Autónomo, en la</w:t>
      </w:r>
      <w:r w:rsidR="009F09BC" w:rsidRPr="007724FF">
        <w:rPr>
          <w:rFonts w:ascii="Palatino Linotype" w:hAnsi="Palatino Linotype"/>
          <w:b/>
        </w:rPr>
        <w:t xml:space="preserve"> </w:t>
      </w:r>
      <w:r w:rsidR="00ED3A35" w:rsidRPr="007724FF">
        <w:rPr>
          <w:rFonts w:ascii="Palatino Linotype" w:hAnsi="Palatino Linotype"/>
          <w:b/>
        </w:rPr>
        <w:t xml:space="preserve">Vigésimo </w:t>
      </w:r>
      <w:r w:rsidRPr="007724FF">
        <w:rPr>
          <w:rFonts w:ascii="Palatino Linotype" w:hAnsi="Palatino Linotype"/>
          <w:b/>
        </w:rPr>
        <w:t>Séptima</w:t>
      </w:r>
      <w:r w:rsidR="009F09BC" w:rsidRPr="007724FF">
        <w:rPr>
          <w:rFonts w:ascii="Palatino Linotype" w:hAnsi="Palatino Linotype"/>
          <w:b/>
        </w:rPr>
        <w:t xml:space="preserve"> Sesión Ordinaria </w:t>
      </w:r>
      <w:r w:rsidR="009F09BC" w:rsidRPr="007724FF">
        <w:rPr>
          <w:rFonts w:ascii="Palatino Linotype" w:hAnsi="Palatino Linotype"/>
        </w:rPr>
        <w:t>de fecha</w:t>
      </w:r>
      <w:r w:rsidR="009F09BC" w:rsidRPr="007724FF">
        <w:rPr>
          <w:rFonts w:ascii="Palatino Linotype" w:hAnsi="Palatino Linotype"/>
          <w:b/>
        </w:rPr>
        <w:t xml:space="preserve"> </w:t>
      </w:r>
      <w:r w:rsidRPr="007724FF">
        <w:rPr>
          <w:rFonts w:ascii="Palatino Linotype" w:hAnsi="Palatino Linotype"/>
          <w:b/>
        </w:rPr>
        <w:t>once</w:t>
      </w:r>
      <w:r w:rsidR="009F09BC" w:rsidRPr="007724FF">
        <w:rPr>
          <w:rFonts w:ascii="Palatino Linotype" w:hAnsi="Palatino Linotype"/>
          <w:b/>
        </w:rPr>
        <w:t xml:space="preserve"> (</w:t>
      </w:r>
      <w:r w:rsidRPr="007724FF">
        <w:rPr>
          <w:rFonts w:ascii="Palatino Linotype" w:hAnsi="Palatino Linotype"/>
          <w:b/>
        </w:rPr>
        <w:t>11</w:t>
      </w:r>
      <w:r w:rsidR="009F09BC" w:rsidRPr="007724FF">
        <w:rPr>
          <w:rFonts w:ascii="Palatino Linotype" w:hAnsi="Palatino Linotype"/>
          <w:b/>
        </w:rPr>
        <w:t>) de agosto</w:t>
      </w:r>
      <w:r w:rsidR="009F09BC" w:rsidRPr="007724FF">
        <w:rPr>
          <w:rFonts w:ascii="Palatino Linotype" w:hAnsi="Palatino Linotype"/>
        </w:rPr>
        <w:t xml:space="preserve"> </w:t>
      </w:r>
      <w:r w:rsidR="009F09BC" w:rsidRPr="007724FF">
        <w:rPr>
          <w:rFonts w:ascii="Palatino Linotype" w:hAnsi="Palatino Linotype"/>
          <w:b/>
        </w:rPr>
        <w:t>de dos mil veintiuno</w:t>
      </w:r>
      <w:r w:rsidR="009F09BC" w:rsidRPr="007724FF">
        <w:rPr>
          <w:rFonts w:ascii="Palatino Linotype" w:hAnsi="Palatino Linotype"/>
        </w:rPr>
        <w:t xml:space="preserve">; ordenó la acumulación de los recursos de revisión </w:t>
      </w:r>
      <w:r w:rsidR="00660C5A" w:rsidRPr="007724FF">
        <w:rPr>
          <w:rFonts w:ascii="Palatino Linotype" w:hAnsi="Palatino Linotype"/>
          <w:b/>
        </w:rPr>
        <w:t>03793/INFOEM/IP/RR/2021, 03794/INFOEM/IP/RR/2021, 03795/INFOEM/IP/RR/2021, 03796/INFOEM/IP/RR/2021, 03797/INFOEM/IP/RR/2021, 03798/INFOEM/IP/RR/2021</w:t>
      </w:r>
      <w:r w:rsidR="00660C5A">
        <w:rPr>
          <w:rFonts w:ascii="Palatino Linotype" w:hAnsi="Palatino Linotype"/>
          <w:b/>
        </w:rPr>
        <w:t xml:space="preserve"> </w:t>
      </w:r>
      <w:r w:rsidR="00660C5A" w:rsidRPr="00052F6E">
        <w:rPr>
          <w:rFonts w:ascii="Palatino Linotype" w:hAnsi="Palatino Linotype"/>
        </w:rPr>
        <w:t xml:space="preserve">y </w:t>
      </w:r>
      <w:r w:rsidR="00660C5A" w:rsidRPr="007724FF">
        <w:rPr>
          <w:rFonts w:ascii="Palatino Linotype" w:hAnsi="Palatino Linotype"/>
          <w:b/>
        </w:rPr>
        <w:t xml:space="preserve"> 03799/INFOEM/IP/RR/2021</w:t>
      </w:r>
      <w:r w:rsidR="009F09BC" w:rsidRPr="007724FF">
        <w:rPr>
          <w:rFonts w:ascii="Palatino Linotype" w:hAnsi="Palatino Linotype"/>
        </w:rPr>
        <w:t>, a efecto de que la Ponencia de</w:t>
      </w:r>
      <w:r w:rsidR="00ED3A35" w:rsidRPr="007724FF">
        <w:rPr>
          <w:rFonts w:ascii="Palatino Linotype" w:hAnsi="Palatino Linotype"/>
        </w:rPr>
        <w:t xml:space="preserve"> </w:t>
      </w:r>
      <w:r w:rsidR="009F09BC" w:rsidRPr="007724FF">
        <w:rPr>
          <w:rFonts w:ascii="Palatino Linotype" w:hAnsi="Palatino Linotype"/>
        </w:rPr>
        <w:t>l</w:t>
      </w:r>
      <w:r w:rsidR="00ED3A35" w:rsidRPr="007724FF">
        <w:rPr>
          <w:rFonts w:ascii="Palatino Linotype" w:hAnsi="Palatino Linotype"/>
        </w:rPr>
        <w:t>a</w:t>
      </w:r>
      <w:r w:rsidRPr="007724FF">
        <w:rPr>
          <w:rFonts w:ascii="Palatino Linotype" w:hAnsi="Palatino Linotype"/>
        </w:rPr>
        <w:t xml:space="preserve"> entonces</w:t>
      </w:r>
      <w:r w:rsidR="009F09BC" w:rsidRPr="007724FF">
        <w:rPr>
          <w:rFonts w:ascii="Palatino Linotype" w:hAnsi="Palatino Linotype"/>
        </w:rPr>
        <w:t xml:space="preserve"> </w:t>
      </w:r>
      <w:r w:rsidR="009F09BC" w:rsidRPr="007724FF">
        <w:rPr>
          <w:rFonts w:ascii="Palatino Linotype" w:hAnsi="Palatino Linotype"/>
          <w:b/>
        </w:rPr>
        <w:t>Com</w:t>
      </w:r>
      <w:r w:rsidR="00ED3A35" w:rsidRPr="007724FF">
        <w:rPr>
          <w:rFonts w:ascii="Palatino Linotype" w:hAnsi="Palatino Linotype"/>
          <w:b/>
        </w:rPr>
        <w:t>isionada</w:t>
      </w:r>
      <w:r w:rsidR="009F09BC" w:rsidRPr="007724FF">
        <w:rPr>
          <w:rFonts w:ascii="Palatino Linotype" w:hAnsi="Palatino Linotype"/>
          <w:b/>
        </w:rPr>
        <w:t xml:space="preserve"> </w:t>
      </w:r>
      <w:r w:rsidRPr="007724FF">
        <w:rPr>
          <w:rFonts w:ascii="Palatino Linotype" w:hAnsi="Palatino Linotype"/>
          <w:b/>
        </w:rPr>
        <w:t xml:space="preserve">Eva </w:t>
      </w:r>
      <w:proofErr w:type="spellStart"/>
      <w:r w:rsidRPr="007724FF">
        <w:rPr>
          <w:rFonts w:ascii="Palatino Linotype" w:hAnsi="Palatino Linotype"/>
          <w:b/>
        </w:rPr>
        <w:t>Abaid</w:t>
      </w:r>
      <w:proofErr w:type="spellEnd"/>
      <w:r w:rsidRPr="007724FF">
        <w:rPr>
          <w:rFonts w:ascii="Palatino Linotype" w:hAnsi="Palatino Linotype"/>
          <w:b/>
        </w:rPr>
        <w:t xml:space="preserve"> </w:t>
      </w:r>
      <w:proofErr w:type="spellStart"/>
      <w:r w:rsidRPr="007724FF">
        <w:rPr>
          <w:rFonts w:ascii="Palatino Linotype" w:hAnsi="Palatino Linotype"/>
          <w:b/>
        </w:rPr>
        <w:t>Yapur</w:t>
      </w:r>
      <w:proofErr w:type="spellEnd"/>
      <w:r w:rsidR="009F09BC" w:rsidRPr="007724FF">
        <w:rPr>
          <w:rFonts w:ascii="Palatino Linotype" w:hAnsi="Palatino Linotype"/>
          <w:b/>
        </w:rPr>
        <w:t xml:space="preserve"> </w:t>
      </w:r>
      <w:r w:rsidR="009F09BC" w:rsidRPr="007724FF">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9F09BC" w:rsidRPr="007724FF">
        <w:rPr>
          <w:rFonts w:ascii="Palatino Linotype" w:hAnsi="Palatino Linotype"/>
          <w:i/>
          <w:vertAlign w:val="superscript"/>
        </w:rPr>
        <w:footnoteReference w:id="1"/>
      </w:r>
      <w:r w:rsidR="009F09BC" w:rsidRPr="007724FF">
        <w:rPr>
          <w:rFonts w:ascii="Palatino Linotype" w:hAnsi="Palatino Linotype"/>
        </w:rPr>
        <w:t>, que señala:</w:t>
      </w:r>
    </w:p>
    <w:p w:rsidR="009F09BC" w:rsidRPr="007724FF" w:rsidRDefault="009F09BC" w:rsidP="007724FF">
      <w:pPr>
        <w:pStyle w:val="Prrafodelista"/>
        <w:tabs>
          <w:tab w:val="left" w:pos="0"/>
        </w:tabs>
        <w:spacing w:line="360" w:lineRule="auto"/>
        <w:ind w:left="0" w:right="49"/>
        <w:jc w:val="both"/>
        <w:rPr>
          <w:rFonts w:ascii="Palatino Linotype" w:hAnsi="Palatino Linotype"/>
        </w:rPr>
      </w:pPr>
    </w:p>
    <w:p w:rsidR="009F09BC" w:rsidRPr="007724FF" w:rsidRDefault="009F09BC" w:rsidP="007724FF">
      <w:pPr>
        <w:pStyle w:val="Prrafodelista"/>
        <w:tabs>
          <w:tab w:val="left" w:pos="426"/>
        </w:tabs>
        <w:spacing w:line="360" w:lineRule="auto"/>
        <w:ind w:left="567" w:right="616"/>
        <w:jc w:val="both"/>
        <w:rPr>
          <w:rFonts w:ascii="Palatino Linotype" w:hAnsi="Palatino Linotype"/>
          <w:i/>
          <w:lang w:val="es-ES"/>
        </w:rPr>
      </w:pPr>
      <w:r w:rsidRPr="007724FF">
        <w:rPr>
          <w:rFonts w:ascii="Palatino Linotype" w:hAnsi="Palatino Linotype"/>
          <w:b/>
          <w:i/>
          <w:lang w:val="es-ES"/>
        </w:rPr>
        <w:lastRenderedPageBreak/>
        <w:t>“ONCE.</w:t>
      </w:r>
      <w:r w:rsidRPr="007724FF">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7724FF" w:rsidRDefault="009F09BC" w:rsidP="007724FF">
      <w:pPr>
        <w:pStyle w:val="Prrafodelista"/>
        <w:tabs>
          <w:tab w:val="left" w:pos="426"/>
        </w:tabs>
        <w:spacing w:line="360" w:lineRule="auto"/>
        <w:ind w:left="567" w:right="616"/>
        <w:jc w:val="both"/>
        <w:rPr>
          <w:rFonts w:ascii="Palatino Linotype" w:hAnsi="Palatino Linotype"/>
          <w:i/>
          <w:lang w:val="es-ES"/>
        </w:rPr>
      </w:pPr>
      <w:r w:rsidRPr="007724FF">
        <w:rPr>
          <w:rFonts w:ascii="Palatino Linotype" w:hAnsi="Palatino Linotype"/>
          <w:i/>
          <w:lang w:val="es-ES"/>
        </w:rPr>
        <w:t>…</w:t>
      </w:r>
      <w:r w:rsidRPr="007724FF">
        <w:rPr>
          <w:rFonts w:ascii="Palatino Linotype" w:hAnsi="Palatino Linotype"/>
          <w:i/>
          <w:lang w:val="es-ES"/>
        </w:rPr>
        <w:tab/>
      </w:r>
    </w:p>
    <w:p w:rsidR="009F09BC" w:rsidRPr="007724FF" w:rsidRDefault="009F09BC" w:rsidP="007724FF">
      <w:pPr>
        <w:pStyle w:val="Prrafodelista"/>
        <w:tabs>
          <w:tab w:val="left" w:pos="426"/>
        </w:tabs>
        <w:spacing w:line="360" w:lineRule="auto"/>
        <w:ind w:left="567" w:right="616"/>
        <w:jc w:val="both"/>
        <w:rPr>
          <w:rFonts w:ascii="Palatino Linotype" w:hAnsi="Palatino Linotype"/>
          <w:i/>
          <w:lang w:val="es-ES"/>
        </w:rPr>
      </w:pPr>
      <w:r w:rsidRPr="007724FF">
        <w:rPr>
          <w:rFonts w:ascii="Palatino Linotype" w:hAnsi="Palatino Linotype"/>
          <w:i/>
          <w:lang w:val="es-ES"/>
        </w:rPr>
        <w:t>b) Las partes o los actos impugnados sean iguales</w:t>
      </w:r>
    </w:p>
    <w:p w:rsidR="009F09BC" w:rsidRPr="007724FF" w:rsidRDefault="009F09BC" w:rsidP="007724FF">
      <w:pPr>
        <w:pStyle w:val="Prrafodelista"/>
        <w:tabs>
          <w:tab w:val="left" w:pos="426"/>
        </w:tabs>
        <w:spacing w:line="360" w:lineRule="auto"/>
        <w:ind w:left="567" w:right="616"/>
        <w:jc w:val="both"/>
        <w:rPr>
          <w:rFonts w:ascii="Palatino Linotype" w:hAnsi="Palatino Linotype"/>
          <w:i/>
          <w:lang w:val="es-ES"/>
        </w:rPr>
      </w:pPr>
      <w:r w:rsidRPr="007724FF">
        <w:rPr>
          <w:rFonts w:ascii="Palatino Linotype" w:hAnsi="Palatino Linotype"/>
          <w:i/>
          <w:lang w:val="es-ES"/>
        </w:rPr>
        <w:t>c) Cuando se trate del mismo solicitante, el mismo SUJETO OBLIGADO, aunque se trate de solicitudes diversas;</w:t>
      </w:r>
    </w:p>
    <w:p w:rsidR="009F09BC" w:rsidRPr="007724FF" w:rsidRDefault="009F09BC" w:rsidP="007724FF">
      <w:pPr>
        <w:pStyle w:val="Prrafodelista"/>
        <w:tabs>
          <w:tab w:val="left" w:pos="426"/>
        </w:tabs>
        <w:spacing w:line="360" w:lineRule="auto"/>
        <w:ind w:left="567" w:right="616"/>
        <w:jc w:val="both"/>
        <w:rPr>
          <w:rFonts w:ascii="Palatino Linotype" w:hAnsi="Palatino Linotype"/>
          <w:i/>
          <w:lang w:val="es-ES"/>
        </w:rPr>
      </w:pPr>
      <w:r w:rsidRPr="007724FF">
        <w:rPr>
          <w:rFonts w:ascii="Palatino Linotype" w:hAnsi="Palatino Linotype"/>
          <w:i/>
          <w:lang w:val="es-ES"/>
        </w:rPr>
        <w:t>(…)”</w:t>
      </w:r>
    </w:p>
    <w:p w:rsidR="009F09BC" w:rsidRPr="007724FF" w:rsidRDefault="009F09BC" w:rsidP="007724FF">
      <w:pPr>
        <w:pStyle w:val="Prrafodelista"/>
        <w:tabs>
          <w:tab w:val="left" w:pos="426"/>
        </w:tabs>
        <w:spacing w:line="360" w:lineRule="auto"/>
        <w:ind w:left="567" w:right="616"/>
        <w:jc w:val="both"/>
        <w:rPr>
          <w:rFonts w:ascii="Palatino Linotype" w:hAnsi="Palatino Linotype"/>
          <w:lang w:val="es-ES"/>
        </w:rPr>
      </w:pPr>
      <w:r w:rsidRPr="007724FF">
        <w:rPr>
          <w:rFonts w:ascii="Palatino Linotype" w:hAnsi="Palatino Linotype"/>
          <w:lang w:val="es-ES"/>
        </w:rPr>
        <w:t>(Énfasis añadido)</w:t>
      </w:r>
    </w:p>
    <w:p w:rsidR="009F09BC" w:rsidRPr="007724FF" w:rsidRDefault="009F09BC" w:rsidP="007724FF">
      <w:pPr>
        <w:pStyle w:val="Prrafodelista"/>
        <w:tabs>
          <w:tab w:val="left" w:pos="426"/>
        </w:tabs>
        <w:spacing w:line="360" w:lineRule="auto"/>
        <w:ind w:left="567" w:right="616"/>
        <w:jc w:val="both"/>
        <w:rPr>
          <w:rFonts w:ascii="Palatino Linotype" w:hAnsi="Palatino Linotype"/>
          <w:lang w:val="es-ES"/>
        </w:rPr>
      </w:pPr>
    </w:p>
    <w:p w:rsidR="009F09BC" w:rsidRPr="007724FF" w:rsidRDefault="009F09BC" w:rsidP="005A7F80">
      <w:pPr>
        <w:pStyle w:val="Prrafodelista"/>
        <w:numPr>
          <w:ilvl w:val="0"/>
          <w:numId w:val="1"/>
        </w:numPr>
        <w:tabs>
          <w:tab w:val="left" w:pos="0"/>
        </w:tabs>
        <w:spacing w:line="360" w:lineRule="auto"/>
        <w:ind w:left="0" w:right="49" w:firstLine="0"/>
        <w:jc w:val="both"/>
        <w:rPr>
          <w:rFonts w:ascii="Palatino Linotype" w:hAnsi="Palatino Linotype"/>
        </w:rPr>
      </w:pPr>
      <w:r w:rsidRPr="007724FF">
        <w:rPr>
          <w:rFonts w:ascii="Palatino Linotype" w:hAnsi="Palatino Linotype"/>
        </w:rPr>
        <w:t>Es así que,</w:t>
      </w:r>
      <w:r w:rsidRPr="007724FF">
        <w:rPr>
          <w:rFonts w:ascii="Palatino Linotype" w:hAnsi="Palatino Linotype"/>
          <w:i/>
        </w:rPr>
        <w:t xml:space="preserve"> </w:t>
      </w:r>
      <w:r w:rsidRPr="007724FF">
        <w:rPr>
          <w:rFonts w:ascii="Palatino Linotype" w:hAnsi="Palatino Linotype"/>
        </w:rPr>
        <w:t>result</w:t>
      </w:r>
      <w:r w:rsidR="005D22CE" w:rsidRPr="007724FF">
        <w:rPr>
          <w:rFonts w:ascii="Palatino Linotype" w:hAnsi="Palatino Linotype"/>
        </w:rPr>
        <w:t>ó</w:t>
      </w:r>
      <w:r w:rsidRPr="007724FF">
        <w:rPr>
          <w:rFonts w:ascii="Palatino Linotype" w:hAnsi="Palatino Linotype"/>
        </w:rPr>
        <w:t xml:space="preserve">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7724FF" w:rsidRDefault="009F09BC" w:rsidP="007724FF">
      <w:pPr>
        <w:tabs>
          <w:tab w:val="left" w:pos="567"/>
        </w:tabs>
        <w:spacing w:line="360" w:lineRule="auto"/>
        <w:ind w:left="567" w:right="616"/>
        <w:jc w:val="both"/>
        <w:rPr>
          <w:rFonts w:ascii="Palatino Linotype" w:hAnsi="Palatino Linotype"/>
          <w:b/>
          <w:i/>
          <w:sz w:val="18"/>
        </w:rPr>
      </w:pPr>
    </w:p>
    <w:p w:rsidR="009F09BC" w:rsidRPr="007724FF" w:rsidRDefault="009F09BC" w:rsidP="007724FF">
      <w:pPr>
        <w:tabs>
          <w:tab w:val="left" w:pos="567"/>
        </w:tabs>
        <w:spacing w:line="360" w:lineRule="auto"/>
        <w:ind w:left="567" w:right="616"/>
        <w:jc w:val="center"/>
        <w:rPr>
          <w:rFonts w:ascii="Palatino Linotype" w:hAnsi="Palatino Linotype"/>
          <w:b/>
          <w:i/>
        </w:rPr>
      </w:pPr>
      <w:r w:rsidRPr="007724FF">
        <w:rPr>
          <w:rFonts w:ascii="Palatino Linotype" w:hAnsi="Palatino Linotype"/>
          <w:b/>
          <w:i/>
        </w:rPr>
        <w:t>Código de Procedimientos Administrativos del Estado de México.</w:t>
      </w:r>
    </w:p>
    <w:p w:rsidR="009F09BC" w:rsidRPr="007724FF" w:rsidRDefault="009F09BC" w:rsidP="00984EC4">
      <w:pPr>
        <w:spacing w:line="360" w:lineRule="auto"/>
        <w:ind w:left="567" w:right="616"/>
        <w:jc w:val="both"/>
        <w:rPr>
          <w:rFonts w:ascii="Palatino Linotype" w:hAnsi="Palatino Linotype"/>
          <w:i/>
        </w:rPr>
      </w:pPr>
      <w:r w:rsidRPr="007724FF">
        <w:rPr>
          <w:rFonts w:ascii="Palatino Linotype" w:hAnsi="Palatino Linotype"/>
          <w:b/>
          <w:i/>
        </w:rPr>
        <w:t>“Artículo 18.-</w:t>
      </w:r>
      <w:r w:rsidRPr="007724FF">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7724FF">
        <w:rPr>
          <w:rFonts w:ascii="Palatino Linotype" w:hAnsi="Palatino Linotype"/>
          <w:i/>
        </w:rPr>
        <w:lastRenderedPageBreak/>
        <w:t>contradictorias. La misma regla se aplicará, en lo conducente, para la separación de los expedientes.”</w:t>
      </w:r>
    </w:p>
    <w:p w:rsidR="009F09BC" w:rsidRPr="007724FF" w:rsidRDefault="009F09BC" w:rsidP="007724FF">
      <w:pPr>
        <w:tabs>
          <w:tab w:val="left" w:pos="567"/>
        </w:tabs>
        <w:spacing w:line="360" w:lineRule="auto"/>
        <w:ind w:right="616"/>
        <w:jc w:val="both"/>
        <w:rPr>
          <w:rFonts w:ascii="Palatino Linotype" w:hAnsi="Palatino Linotype"/>
          <w:i/>
        </w:rPr>
      </w:pPr>
    </w:p>
    <w:p w:rsidR="009F09BC" w:rsidRPr="007724FF" w:rsidRDefault="009F09BC" w:rsidP="00984EC4">
      <w:pPr>
        <w:spacing w:line="360" w:lineRule="auto"/>
        <w:ind w:left="567" w:right="618"/>
        <w:jc w:val="both"/>
        <w:rPr>
          <w:rFonts w:ascii="Palatino Linotype" w:hAnsi="Palatino Linotype"/>
          <w:b/>
          <w:i/>
        </w:rPr>
      </w:pPr>
      <w:r w:rsidRPr="007724FF">
        <w:rPr>
          <w:rFonts w:ascii="Palatino Linotype" w:hAnsi="Palatino Linotype"/>
          <w:b/>
          <w:i/>
        </w:rPr>
        <w:t>Ley de Transparencia y Acceso a la Información Pública del Estado de México y Municipios</w:t>
      </w:r>
    </w:p>
    <w:p w:rsidR="009F09BC" w:rsidRPr="007724FF" w:rsidRDefault="009F09BC" w:rsidP="00984EC4">
      <w:pPr>
        <w:spacing w:line="360" w:lineRule="auto"/>
        <w:ind w:left="567" w:right="618"/>
        <w:jc w:val="both"/>
        <w:rPr>
          <w:rFonts w:ascii="Palatino Linotype" w:hAnsi="Palatino Linotype"/>
          <w:i/>
        </w:rPr>
      </w:pPr>
      <w:r w:rsidRPr="007724FF">
        <w:rPr>
          <w:rFonts w:ascii="Palatino Linotype" w:hAnsi="Palatino Linotype"/>
          <w:b/>
          <w:i/>
        </w:rPr>
        <w:t>“Artículo 195.</w:t>
      </w:r>
      <w:r w:rsidRPr="007724FF">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Default="009F09BC" w:rsidP="00984EC4">
      <w:pPr>
        <w:spacing w:line="360" w:lineRule="auto"/>
        <w:ind w:left="567" w:right="-142"/>
        <w:contextualSpacing/>
        <w:jc w:val="both"/>
        <w:rPr>
          <w:rFonts w:ascii="Palatino Linotype" w:hAnsi="Palatino Linotype"/>
        </w:rPr>
      </w:pPr>
      <w:r w:rsidRPr="007724FF">
        <w:rPr>
          <w:rFonts w:ascii="Palatino Linotype" w:hAnsi="Palatino Linotype"/>
        </w:rPr>
        <w:t>(Énfasis añadido)</w:t>
      </w:r>
    </w:p>
    <w:p w:rsidR="00660C5A" w:rsidRPr="007724FF" w:rsidRDefault="00660C5A" w:rsidP="007724FF">
      <w:pPr>
        <w:spacing w:line="360" w:lineRule="auto"/>
        <w:ind w:left="851" w:right="-142"/>
        <w:contextualSpacing/>
        <w:jc w:val="both"/>
        <w:rPr>
          <w:rFonts w:ascii="Palatino Linotype" w:hAnsi="Palatino Linotype"/>
        </w:rPr>
      </w:pPr>
    </w:p>
    <w:p w:rsidR="004150A6" w:rsidRPr="007724FF" w:rsidRDefault="004150A6" w:rsidP="005A7F80">
      <w:pPr>
        <w:pStyle w:val="Prrafodelista"/>
        <w:numPr>
          <w:ilvl w:val="0"/>
          <w:numId w:val="1"/>
        </w:numPr>
        <w:spacing w:line="360" w:lineRule="auto"/>
        <w:ind w:left="0" w:firstLine="0"/>
        <w:jc w:val="both"/>
        <w:rPr>
          <w:rFonts w:ascii="Palatino Linotype" w:hAnsi="Palatino Linotype"/>
        </w:rPr>
      </w:pPr>
      <w:r w:rsidRPr="007724FF">
        <w:rPr>
          <w:rFonts w:ascii="Palatino Linotype" w:hAnsi="Palatino Linotype"/>
        </w:rPr>
        <w:t>El día diecisiete (17) de agosto del año en curso, se notificó a las partes, el Acuerdo mediante el cual se informó de la acumulación de los recursos de revisión de referencia.</w:t>
      </w:r>
      <w:r w:rsidR="007724FF" w:rsidRPr="007724FF">
        <w:rPr>
          <w:rFonts w:ascii="Palatino Linotype" w:hAnsi="Palatino Linotype"/>
        </w:rPr>
        <w:t xml:space="preserve"> </w:t>
      </w:r>
    </w:p>
    <w:p w:rsidR="007724FF" w:rsidRPr="007724FF" w:rsidRDefault="007724FF" w:rsidP="007724FF">
      <w:pPr>
        <w:pStyle w:val="Prrafodelista"/>
        <w:spacing w:line="360" w:lineRule="auto"/>
        <w:ind w:left="0"/>
        <w:jc w:val="both"/>
        <w:rPr>
          <w:rFonts w:ascii="Palatino Linotype" w:hAnsi="Palatino Linotype"/>
        </w:rPr>
      </w:pPr>
    </w:p>
    <w:p w:rsidR="00627ED1" w:rsidRPr="00660C5A" w:rsidRDefault="004150A6" w:rsidP="005A7F80">
      <w:pPr>
        <w:pStyle w:val="Prrafodelista"/>
        <w:numPr>
          <w:ilvl w:val="0"/>
          <w:numId w:val="1"/>
        </w:numPr>
        <w:spacing w:line="360" w:lineRule="auto"/>
        <w:ind w:left="0" w:firstLine="0"/>
        <w:contextualSpacing w:val="0"/>
        <w:jc w:val="both"/>
        <w:rPr>
          <w:rFonts w:ascii="Palatino Linotype" w:hAnsi="Palatino Linotype"/>
          <w:b/>
          <w:color w:val="000000" w:themeColor="text1"/>
          <w:sz w:val="28"/>
        </w:rPr>
      </w:pPr>
      <w:r w:rsidRPr="007724FF">
        <w:rPr>
          <w:rFonts w:ascii="Palatino Linotype" w:hAnsi="Palatino Linotype" w:cs="Arial"/>
        </w:rPr>
        <w:t xml:space="preserve">El Pleno de este Órgano Autónomo, en la </w:t>
      </w:r>
      <w:r w:rsidRPr="007724FF">
        <w:rPr>
          <w:rFonts w:ascii="Palatino Linotype" w:hAnsi="Palatino Linotype"/>
        </w:rPr>
        <w:t xml:space="preserve">Segunda Sesión Extraordinaria, de fecha veintitrés (23) de agosto de dos mil veintiuno, ordenó el </w:t>
      </w:r>
      <w:proofErr w:type="spellStart"/>
      <w:r w:rsidRPr="007724FF">
        <w:rPr>
          <w:rFonts w:ascii="Palatino Linotype" w:hAnsi="Palatino Linotype"/>
        </w:rPr>
        <w:t>returno</w:t>
      </w:r>
      <w:proofErr w:type="spellEnd"/>
      <w:r w:rsidRPr="007724FF">
        <w:rPr>
          <w:rFonts w:ascii="Palatino Linotype" w:hAnsi="Palatino Linotype"/>
        </w:rPr>
        <w:t xml:space="preserve"> de los Recursos de Revisión a la </w:t>
      </w:r>
      <w:r w:rsidRPr="007724FF">
        <w:rPr>
          <w:rFonts w:ascii="Palatino Linotype" w:hAnsi="Palatino Linotype"/>
          <w:b/>
        </w:rPr>
        <w:t>Comisionada María del Rosario Mejía Ayala</w:t>
      </w:r>
      <w:r w:rsidRPr="007724FF">
        <w:rPr>
          <w:rFonts w:ascii="Palatino Linotype" w:hAnsi="Palatino Linotype"/>
        </w:rPr>
        <w:t>, a fin de que presentara el proyecto de resolución correspondiente.</w:t>
      </w:r>
    </w:p>
    <w:p w:rsidR="00660C5A" w:rsidRPr="00660C5A" w:rsidRDefault="00660C5A" w:rsidP="00660C5A">
      <w:pPr>
        <w:pStyle w:val="Prrafodelista"/>
        <w:rPr>
          <w:rFonts w:ascii="Palatino Linotype" w:hAnsi="Palatino Linotype"/>
          <w:b/>
          <w:color w:val="000000" w:themeColor="text1"/>
          <w:sz w:val="28"/>
        </w:rPr>
      </w:pPr>
    </w:p>
    <w:p w:rsidR="00660C5A" w:rsidRPr="00660C5A" w:rsidRDefault="007724FF" w:rsidP="005A7F80">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7724FF">
        <w:rPr>
          <w:rFonts w:ascii="Palatino Linotype" w:hAnsi="Palatino Linotype" w:cs="Arial"/>
        </w:rPr>
        <w:t>Los</w:t>
      </w:r>
      <w:r w:rsidRPr="007724FF">
        <w:rPr>
          <w:rFonts w:ascii="Palatino Linotype" w:hAnsi="Palatino Linotype"/>
        </w:rPr>
        <w:t xml:space="preserve"> días</w:t>
      </w:r>
      <w:r w:rsidR="004150A6" w:rsidRPr="007724FF">
        <w:rPr>
          <w:rFonts w:ascii="Palatino Linotype" w:hAnsi="Palatino Linotype"/>
        </w:rPr>
        <w:t xml:space="preserve"> </w:t>
      </w:r>
      <w:r w:rsidRPr="007724FF">
        <w:rPr>
          <w:rFonts w:ascii="Palatino Linotype" w:hAnsi="Palatino Linotype"/>
        </w:rPr>
        <w:t xml:space="preserve">dieciocho (18) y </w:t>
      </w:r>
      <w:r w:rsidR="004150A6" w:rsidRPr="007724FF">
        <w:rPr>
          <w:rFonts w:ascii="Palatino Linotype" w:hAnsi="Palatino Linotype"/>
        </w:rPr>
        <w:t xml:space="preserve">veintiséis (26) de agosto de dos mil veintiuno, </w:t>
      </w:r>
      <w:r w:rsidR="0001674C" w:rsidRPr="007724FF">
        <w:rPr>
          <w:rFonts w:ascii="Palatino Linotype" w:hAnsi="Palatino Linotype"/>
        </w:rPr>
        <w:t xml:space="preserve">se decretó el cierre de instrucción de </w:t>
      </w:r>
      <w:r w:rsidR="004150A6" w:rsidRPr="007724FF">
        <w:rPr>
          <w:rFonts w:ascii="Palatino Linotype" w:hAnsi="Palatino Linotype"/>
        </w:rPr>
        <w:t xml:space="preserve">los recursos de </w:t>
      </w:r>
      <w:r w:rsidR="0001674C" w:rsidRPr="007724FF">
        <w:rPr>
          <w:rFonts w:ascii="Palatino Linotype" w:hAnsi="Palatino Linotype"/>
        </w:rPr>
        <w:t>revisión acumulados</w:t>
      </w:r>
      <w:r w:rsidRPr="007724FF">
        <w:rPr>
          <w:rFonts w:ascii="Palatino Linotype" w:hAnsi="Palatino Linotype"/>
        </w:rPr>
        <w:t>. Finalmente</w:t>
      </w:r>
      <w:r w:rsidR="0001674C" w:rsidRPr="007724FF">
        <w:rPr>
          <w:rFonts w:ascii="Palatino Linotype" w:hAnsi="Palatino Linotype"/>
        </w:rPr>
        <w:t xml:space="preserve"> </w:t>
      </w:r>
      <w:r w:rsidRPr="007724FF">
        <w:rPr>
          <w:rFonts w:ascii="Palatino Linotype" w:hAnsi="Palatino Linotype"/>
        </w:rPr>
        <w:t xml:space="preserve">en </w:t>
      </w:r>
      <w:r w:rsidRPr="00052F6E">
        <w:rPr>
          <w:rFonts w:ascii="Palatino Linotype" w:hAnsi="Palatino Linotype"/>
          <w:b/>
        </w:rPr>
        <w:t>la Trigésima Cuarta Sesión Ordinaria</w:t>
      </w:r>
      <w:r w:rsidRPr="007724FF">
        <w:rPr>
          <w:rFonts w:ascii="Palatino Linotype" w:hAnsi="Palatino Linotype"/>
        </w:rPr>
        <w:t xml:space="preserve"> de fecha veintinueve (29) de septiembre de dos mil veintiuno, se ordenó agregar a la acumulación inicialmente propuesta, el Recurso de Revisión </w:t>
      </w:r>
      <w:r w:rsidRPr="00660C5A">
        <w:rPr>
          <w:rFonts w:ascii="Palatino Linotype" w:hAnsi="Palatino Linotype"/>
          <w:b/>
        </w:rPr>
        <w:t>03800/INFOEM/IP/RR/2020</w:t>
      </w:r>
      <w:r w:rsidR="00660C5A">
        <w:rPr>
          <w:rFonts w:ascii="Palatino Linotype" w:hAnsi="Palatino Linotype"/>
        </w:rPr>
        <w:t xml:space="preserve">; </w:t>
      </w:r>
      <w:r w:rsidR="009F09BC" w:rsidRPr="007724FF">
        <w:rPr>
          <w:rFonts w:ascii="Palatino Linotype" w:hAnsi="Palatino Linotype" w:cs="Arial"/>
        </w:rPr>
        <w:t>por lo que no habiendo más que hacer constar, y --------------</w:t>
      </w:r>
      <w:r w:rsidRPr="007724FF">
        <w:rPr>
          <w:rFonts w:ascii="Palatino Linotype" w:hAnsi="Palatino Linotype" w:cs="Arial"/>
        </w:rPr>
        <w:t>----------------------------------</w:t>
      </w:r>
      <w:r w:rsidR="009F09BC" w:rsidRPr="007724FF">
        <w:rPr>
          <w:rFonts w:ascii="Palatino Linotype" w:hAnsi="Palatino Linotype" w:cs="Arial"/>
        </w:rPr>
        <w:t>------------</w:t>
      </w:r>
      <w:bookmarkStart w:id="137" w:name="_Toc491791302"/>
      <w:r w:rsidRPr="007724FF">
        <w:rPr>
          <w:rFonts w:ascii="Palatino Linotype" w:hAnsi="Palatino Linotype" w:cs="Arial"/>
        </w:rPr>
        <w:t>-----------------------</w:t>
      </w:r>
      <w:r w:rsidR="00660C5A">
        <w:rPr>
          <w:rFonts w:ascii="Palatino Linotype" w:hAnsi="Palatino Linotype" w:cs="Arial"/>
        </w:rPr>
        <w:t>------</w:t>
      </w:r>
    </w:p>
    <w:p w:rsidR="007724FF" w:rsidRPr="007724FF" w:rsidRDefault="007724FF" w:rsidP="00660C5A">
      <w:pPr>
        <w:pStyle w:val="Prrafodelista"/>
        <w:spacing w:line="360" w:lineRule="auto"/>
        <w:ind w:left="0"/>
        <w:contextualSpacing w:val="0"/>
        <w:jc w:val="both"/>
        <w:rPr>
          <w:rFonts w:ascii="Palatino Linotype" w:hAnsi="Palatino Linotype"/>
          <w:b/>
          <w:color w:val="000000" w:themeColor="text1"/>
        </w:rPr>
      </w:pPr>
      <w:bookmarkStart w:id="138" w:name="_Toc491791303"/>
      <w:bookmarkEnd w:id="137"/>
      <w:r w:rsidRPr="007724FF">
        <w:rPr>
          <w:rFonts w:ascii="Palatino Linotype" w:hAnsi="Palatino Linotype"/>
          <w:b/>
          <w:color w:val="FFFFFF" w:themeColor="background1"/>
          <w:sz w:val="2"/>
        </w:rPr>
        <w:t>.</w:t>
      </w:r>
    </w:p>
    <w:p w:rsidR="007724FF" w:rsidRDefault="007724FF" w:rsidP="007724FF">
      <w:pPr>
        <w:pStyle w:val="Prrafodelista"/>
        <w:spacing w:line="360" w:lineRule="auto"/>
        <w:ind w:left="0"/>
        <w:contextualSpacing w:val="0"/>
        <w:jc w:val="center"/>
        <w:rPr>
          <w:rFonts w:ascii="Palatino Linotype" w:hAnsi="Palatino Linotype"/>
          <w:b/>
          <w:color w:val="000000" w:themeColor="text1"/>
        </w:rPr>
      </w:pPr>
      <w:r w:rsidRPr="007724FF">
        <w:rPr>
          <w:rFonts w:ascii="Palatino Linotype" w:hAnsi="Palatino Linotype"/>
          <w:b/>
          <w:color w:val="000000" w:themeColor="text1"/>
        </w:rPr>
        <w:lastRenderedPageBreak/>
        <w:t>CONSIDERANDO</w:t>
      </w:r>
    </w:p>
    <w:p w:rsidR="00660C5A" w:rsidRPr="007724FF" w:rsidRDefault="00660C5A" w:rsidP="007724FF">
      <w:pPr>
        <w:pStyle w:val="Prrafodelista"/>
        <w:spacing w:line="360" w:lineRule="auto"/>
        <w:ind w:left="0"/>
        <w:contextualSpacing w:val="0"/>
        <w:jc w:val="center"/>
        <w:rPr>
          <w:rFonts w:ascii="Palatino Linotype" w:hAnsi="Palatino Linotype"/>
          <w:b/>
          <w:color w:val="000000" w:themeColor="text1"/>
        </w:rPr>
      </w:pPr>
    </w:p>
    <w:p w:rsidR="009F09BC" w:rsidRPr="00E230C8" w:rsidRDefault="009F09BC" w:rsidP="00E230C8">
      <w:pPr>
        <w:pStyle w:val="Ttulo2"/>
        <w:rPr>
          <w:rFonts w:ascii="Palatino Linotype" w:hAnsi="Palatino Linotype"/>
          <w:b/>
          <w:color w:val="000000" w:themeColor="text1"/>
          <w:sz w:val="24"/>
          <w:szCs w:val="24"/>
        </w:rPr>
      </w:pPr>
      <w:bookmarkStart w:id="139" w:name="_Toc83921792"/>
      <w:r w:rsidRPr="00E230C8">
        <w:rPr>
          <w:rFonts w:ascii="Palatino Linotype" w:hAnsi="Palatino Linotype"/>
          <w:b/>
          <w:color w:val="000000" w:themeColor="text1"/>
          <w:sz w:val="24"/>
          <w:szCs w:val="24"/>
        </w:rPr>
        <w:t>PRIMERO. De la competencia</w:t>
      </w:r>
      <w:bookmarkEnd w:id="138"/>
      <w:bookmarkEnd w:id="139"/>
    </w:p>
    <w:p w:rsidR="009F09BC" w:rsidRPr="007724FF" w:rsidRDefault="009F09BC" w:rsidP="007724FF">
      <w:pPr>
        <w:spacing w:line="360" w:lineRule="auto"/>
        <w:rPr>
          <w:rFonts w:ascii="Palatino Linotype" w:hAnsi="Palatino Linotype"/>
          <w:lang w:val="es-MX" w:eastAsia="en-US"/>
        </w:rPr>
      </w:pPr>
    </w:p>
    <w:p w:rsidR="00353F1D" w:rsidRPr="007724FF" w:rsidRDefault="00353F1D" w:rsidP="005A7F80">
      <w:pPr>
        <w:pStyle w:val="Prrafodelista"/>
        <w:numPr>
          <w:ilvl w:val="0"/>
          <w:numId w:val="1"/>
        </w:numPr>
        <w:spacing w:line="360" w:lineRule="auto"/>
        <w:ind w:left="0" w:firstLine="0"/>
        <w:jc w:val="both"/>
        <w:rPr>
          <w:rFonts w:ascii="Palatino Linotype" w:hAnsi="Palatino Linotype"/>
          <w:color w:val="000000" w:themeColor="text1"/>
        </w:rPr>
      </w:pPr>
      <w:r w:rsidRPr="007724FF">
        <w:rPr>
          <w:rFonts w:ascii="Palatino Linotype" w:hAnsi="Palatino Linotype"/>
          <w:color w:val="000000" w:themeColor="text1"/>
        </w:rPr>
        <w:t xml:space="preserve">El </w:t>
      </w:r>
      <w:r w:rsidRPr="007724FF">
        <w:rPr>
          <w:rFonts w:ascii="Palatino Linotype" w:hAnsi="Palatino Linotype"/>
        </w:rPr>
        <w:t>Instituto</w:t>
      </w:r>
      <w:r w:rsidRPr="007724FF">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7724FF" w:rsidRDefault="009F09BC" w:rsidP="007724FF">
      <w:pPr>
        <w:pStyle w:val="Prrafodelista"/>
        <w:spacing w:line="360" w:lineRule="auto"/>
        <w:ind w:left="0"/>
        <w:jc w:val="both"/>
        <w:rPr>
          <w:rFonts w:ascii="Palatino Linotype" w:eastAsia="Calibri" w:hAnsi="Palatino Linotype" w:cs="Times New Roman"/>
          <w:b/>
          <w:lang w:val="es-ES"/>
        </w:rPr>
      </w:pPr>
    </w:p>
    <w:p w:rsidR="009F09BC" w:rsidRPr="007724FF" w:rsidRDefault="009F09BC" w:rsidP="007724FF">
      <w:pPr>
        <w:pStyle w:val="Ttulo2"/>
        <w:spacing w:before="0" w:line="360" w:lineRule="auto"/>
        <w:rPr>
          <w:rFonts w:ascii="Palatino Linotype" w:hAnsi="Palatino Linotype"/>
          <w:b/>
          <w:color w:val="auto"/>
          <w:sz w:val="24"/>
          <w:szCs w:val="24"/>
        </w:rPr>
      </w:pPr>
      <w:bookmarkStart w:id="140" w:name="_Toc491791304"/>
      <w:bookmarkStart w:id="141" w:name="_Toc83921793"/>
      <w:r w:rsidRPr="007724FF">
        <w:rPr>
          <w:rFonts w:ascii="Palatino Linotype" w:hAnsi="Palatino Linotype"/>
          <w:b/>
          <w:color w:val="auto"/>
          <w:sz w:val="24"/>
          <w:szCs w:val="24"/>
        </w:rPr>
        <w:t>SEGUNDO. De la oportunidad y procedencia.</w:t>
      </w:r>
      <w:bookmarkEnd w:id="140"/>
      <w:bookmarkEnd w:id="141"/>
    </w:p>
    <w:p w:rsidR="009F09BC" w:rsidRPr="007724FF" w:rsidRDefault="009F09BC" w:rsidP="007724FF">
      <w:pPr>
        <w:spacing w:line="360" w:lineRule="auto"/>
        <w:rPr>
          <w:rFonts w:ascii="Palatino Linotype" w:hAnsi="Palatino Linotype"/>
          <w:lang w:val="es-MX" w:eastAsia="en-US"/>
        </w:rPr>
      </w:pPr>
    </w:p>
    <w:p w:rsidR="009F09BC" w:rsidRPr="007A4551" w:rsidRDefault="00AD63B4" w:rsidP="005A7F80">
      <w:pPr>
        <w:pStyle w:val="Prrafodelista"/>
        <w:numPr>
          <w:ilvl w:val="0"/>
          <w:numId w:val="1"/>
        </w:numPr>
        <w:spacing w:line="360" w:lineRule="auto"/>
        <w:ind w:left="0" w:firstLine="0"/>
        <w:jc w:val="both"/>
        <w:rPr>
          <w:rFonts w:ascii="Palatino Linotype" w:hAnsi="Palatino Linotype"/>
        </w:rPr>
      </w:pPr>
      <w:r w:rsidRPr="007724FF">
        <w:rPr>
          <w:rFonts w:ascii="Palatino Linotype" w:eastAsia="Calibri" w:hAnsi="Palatino Linotype" w:cs="Arial"/>
        </w:rPr>
        <w:t xml:space="preserve">Los </w:t>
      </w:r>
      <w:r w:rsidR="009F09BC" w:rsidRPr="007724FF">
        <w:rPr>
          <w:rFonts w:ascii="Palatino Linotype" w:eastAsia="Calibri" w:hAnsi="Palatino Linotype" w:cs="Arial"/>
        </w:rPr>
        <w:t>medio</w:t>
      </w:r>
      <w:r w:rsidRPr="007724FF">
        <w:rPr>
          <w:rFonts w:ascii="Palatino Linotype" w:eastAsia="Calibri" w:hAnsi="Palatino Linotype" w:cs="Arial"/>
        </w:rPr>
        <w:t>s</w:t>
      </w:r>
      <w:r w:rsidR="009F09BC" w:rsidRPr="007724FF">
        <w:rPr>
          <w:rFonts w:ascii="Palatino Linotype" w:eastAsia="Calibri" w:hAnsi="Palatino Linotype" w:cs="Arial"/>
        </w:rPr>
        <w:t xml:space="preserve"> de impugnación fue</w:t>
      </w:r>
      <w:r w:rsidRPr="007724FF">
        <w:rPr>
          <w:rFonts w:ascii="Palatino Linotype" w:eastAsia="Calibri" w:hAnsi="Palatino Linotype" w:cs="Arial"/>
        </w:rPr>
        <w:t>ron</w:t>
      </w:r>
      <w:r w:rsidR="009F09BC" w:rsidRPr="007724FF">
        <w:rPr>
          <w:rFonts w:ascii="Palatino Linotype" w:eastAsia="Calibri" w:hAnsi="Palatino Linotype" w:cs="Arial"/>
        </w:rPr>
        <w:t xml:space="preserve"> presentado</w:t>
      </w:r>
      <w:r w:rsidRPr="007724FF">
        <w:rPr>
          <w:rFonts w:ascii="Palatino Linotype" w:eastAsia="Calibri" w:hAnsi="Palatino Linotype" w:cs="Arial"/>
        </w:rPr>
        <w:t>s</w:t>
      </w:r>
      <w:r w:rsidR="009F09BC" w:rsidRPr="007724FF">
        <w:rPr>
          <w:rFonts w:ascii="Palatino Linotype" w:eastAsia="Calibri" w:hAnsi="Palatino Linotype" w:cs="Arial"/>
        </w:rPr>
        <w:t xml:space="preserve"> a través del </w:t>
      </w:r>
      <w:r w:rsidR="009F09BC" w:rsidRPr="007724FF">
        <w:rPr>
          <w:rFonts w:ascii="Palatino Linotype" w:eastAsia="Calibri" w:hAnsi="Palatino Linotype" w:cs="Arial"/>
          <w:b/>
        </w:rPr>
        <w:t>SAIMEX,</w:t>
      </w:r>
      <w:r w:rsidR="009F09BC" w:rsidRPr="007724F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7724FF">
        <w:rPr>
          <w:rFonts w:ascii="Palatino Linotype" w:eastAsia="Calibri" w:hAnsi="Palatino Linotype" w:cs="Arial"/>
          <w:b/>
        </w:rPr>
        <w:t>SUJETO OBLIGADO</w:t>
      </w:r>
      <w:r w:rsidR="00BE7B17" w:rsidRPr="007724FF">
        <w:rPr>
          <w:rFonts w:ascii="Palatino Linotype" w:eastAsia="Calibri" w:hAnsi="Palatino Linotype" w:cs="Arial"/>
        </w:rPr>
        <w:t xml:space="preserve"> entregó su</w:t>
      </w:r>
      <w:r w:rsidR="009F09BC" w:rsidRPr="007724FF">
        <w:rPr>
          <w:rFonts w:ascii="Palatino Linotype" w:eastAsia="Calibri" w:hAnsi="Palatino Linotype" w:cs="Arial"/>
        </w:rPr>
        <w:t xml:space="preserve"> respuesta </w:t>
      </w:r>
      <w:r w:rsidR="00BE7B17" w:rsidRPr="007724FF">
        <w:rPr>
          <w:rFonts w:ascii="Palatino Linotype" w:eastAsia="Calibri" w:hAnsi="Palatino Linotype" w:cs="Arial"/>
        </w:rPr>
        <w:t>e</w:t>
      </w:r>
      <w:r w:rsidR="009F09BC" w:rsidRPr="007724FF">
        <w:rPr>
          <w:rFonts w:ascii="Palatino Linotype" w:eastAsia="Calibri" w:hAnsi="Palatino Linotype" w:cs="Arial"/>
        </w:rPr>
        <w:t>l día</w:t>
      </w:r>
      <w:r w:rsidR="00BE7B17" w:rsidRPr="007724FF">
        <w:rPr>
          <w:rFonts w:ascii="Palatino Linotype" w:eastAsia="Calibri" w:hAnsi="Palatino Linotype" w:cs="Arial"/>
        </w:rPr>
        <w:t xml:space="preserve"> veintidós</w:t>
      </w:r>
      <w:r w:rsidR="009F09BC" w:rsidRPr="007724FF">
        <w:rPr>
          <w:rFonts w:ascii="Palatino Linotype" w:eastAsia="Calibri" w:hAnsi="Palatino Linotype" w:cs="Arial"/>
        </w:rPr>
        <w:t xml:space="preserve"> (</w:t>
      </w:r>
      <w:r w:rsidR="00BE7B17" w:rsidRPr="007724FF">
        <w:rPr>
          <w:rFonts w:ascii="Palatino Linotype" w:eastAsia="Calibri" w:hAnsi="Palatino Linotype" w:cs="Arial"/>
        </w:rPr>
        <w:t>22</w:t>
      </w:r>
      <w:r w:rsidR="009F09BC" w:rsidRPr="007724FF">
        <w:rPr>
          <w:rFonts w:ascii="Palatino Linotype" w:eastAsia="Calibri" w:hAnsi="Palatino Linotype" w:cs="Arial"/>
        </w:rPr>
        <w:t xml:space="preserve">) de julio de dos mil veintiuno, </w:t>
      </w:r>
      <w:r w:rsidR="009F09BC" w:rsidRPr="007724FF">
        <w:rPr>
          <w:rFonts w:ascii="Palatino Linotype" w:hAnsi="Palatino Linotype" w:cs="Arial"/>
        </w:rPr>
        <w:t xml:space="preserve">de tal forma que los plazos para interponer los recursos de revisión transcurrieron </w:t>
      </w:r>
      <w:r w:rsidR="009F09BC" w:rsidRPr="007724FF">
        <w:rPr>
          <w:rFonts w:ascii="Palatino Linotype" w:hAnsi="Palatino Linotype" w:cs="Arial"/>
        </w:rPr>
        <w:lastRenderedPageBreak/>
        <w:t xml:space="preserve">del día </w:t>
      </w:r>
      <w:r w:rsidR="00BE7B17" w:rsidRPr="007724FF">
        <w:rPr>
          <w:rFonts w:ascii="Palatino Linotype" w:hAnsi="Palatino Linotype" w:cs="Arial"/>
        </w:rPr>
        <w:t>dos</w:t>
      </w:r>
      <w:r w:rsidR="009F09BC" w:rsidRPr="007724FF">
        <w:rPr>
          <w:rFonts w:ascii="Palatino Linotype" w:hAnsi="Palatino Linotype" w:cs="Arial"/>
        </w:rPr>
        <w:t xml:space="preserve"> (0</w:t>
      </w:r>
      <w:r w:rsidR="00BE7B17" w:rsidRPr="007724FF">
        <w:rPr>
          <w:rFonts w:ascii="Palatino Linotype" w:hAnsi="Palatino Linotype" w:cs="Arial"/>
        </w:rPr>
        <w:t>2</w:t>
      </w:r>
      <w:r w:rsidR="009F09BC" w:rsidRPr="007724FF">
        <w:rPr>
          <w:rFonts w:ascii="Palatino Linotype" w:hAnsi="Palatino Linotype" w:cs="Arial"/>
        </w:rPr>
        <w:t>) al (</w:t>
      </w:r>
      <w:r w:rsidR="00BE7B17" w:rsidRPr="007724FF">
        <w:rPr>
          <w:rFonts w:ascii="Palatino Linotype" w:hAnsi="Palatino Linotype" w:cs="Arial"/>
        </w:rPr>
        <w:t>20</w:t>
      </w:r>
      <w:r w:rsidR="009F09BC" w:rsidRPr="007724FF">
        <w:rPr>
          <w:rFonts w:ascii="Palatino Linotype" w:hAnsi="Palatino Linotype" w:cs="Arial"/>
        </w:rPr>
        <w:t>)</w:t>
      </w:r>
      <w:r w:rsidR="0001674C" w:rsidRPr="007724FF">
        <w:rPr>
          <w:rFonts w:ascii="Palatino Linotype" w:hAnsi="Palatino Linotype" w:cs="Arial"/>
        </w:rPr>
        <w:t xml:space="preserve"> de agosto de dos mil veintiuno; e</w:t>
      </w:r>
      <w:r w:rsidR="009F09BC" w:rsidRPr="007724FF">
        <w:rPr>
          <w:rFonts w:ascii="Palatino Linotype" w:hAnsi="Palatino Linotype" w:cs="Arial"/>
        </w:rPr>
        <w:t xml:space="preserve">n consecuencia, el ahora </w:t>
      </w:r>
      <w:r w:rsidR="009F09BC" w:rsidRPr="007724FF">
        <w:rPr>
          <w:rFonts w:ascii="Palatino Linotype" w:hAnsi="Palatino Linotype" w:cs="Arial"/>
          <w:b/>
        </w:rPr>
        <w:t>RECURRENTE</w:t>
      </w:r>
      <w:r w:rsidR="009F09BC" w:rsidRPr="007724FF">
        <w:rPr>
          <w:rFonts w:ascii="Palatino Linotype" w:hAnsi="Palatino Linotype" w:cs="Arial"/>
        </w:rPr>
        <w:t xml:space="preserve"> presentó </w:t>
      </w:r>
      <w:r w:rsidR="00CA1063" w:rsidRPr="007724FF">
        <w:rPr>
          <w:rFonts w:ascii="Palatino Linotype" w:hAnsi="Palatino Linotype" w:cs="Arial"/>
        </w:rPr>
        <w:t xml:space="preserve">sus inconformidades el día </w:t>
      </w:r>
      <w:r w:rsidR="00BE7B17" w:rsidRPr="007724FF">
        <w:rPr>
          <w:rFonts w:ascii="Palatino Linotype" w:hAnsi="Palatino Linotype" w:cs="Arial"/>
        </w:rPr>
        <w:t>dos</w:t>
      </w:r>
      <w:r w:rsidR="009F09BC" w:rsidRPr="007724FF">
        <w:rPr>
          <w:rFonts w:ascii="Palatino Linotype" w:hAnsi="Palatino Linotype" w:cs="Arial"/>
        </w:rPr>
        <w:t xml:space="preserve"> (0</w:t>
      </w:r>
      <w:r w:rsidR="00BE7B17" w:rsidRPr="007724FF">
        <w:rPr>
          <w:rFonts w:ascii="Palatino Linotype" w:hAnsi="Palatino Linotype" w:cs="Arial"/>
        </w:rPr>
        <w:t>2</w:t>
      </w:r>
      <w:r w:rsidR="009F09BC" w:rsidRPr="007724FF">
        <w:rPr>
          <w:rFonts w:ascii="Palatino Linotype" w:hAnsi="Palatino Linotype" w:cs="Arial"/>
        </w:rPr>
        <w:t xml:space="preserve">) de </w:t>
      </w:r>
      <w:r w:rsidR="00CA1063" w:rsidRPr="007724FF">
        <w:rPr>
          <w:rFonts w:ascii="Palatino Linotype" w:hAnsi="Palatino Linotype" w:cs="Arial"/>
        </w:rPr>
        <w:t>agost</w:t>
      </w:r>
      <w:r w:rsidR="009F09BC" w:rsidRPr="007724FF">
        <w:rPr>
          <w:rFonts w:ascii="Palatino Linotype" w:hAnsi="Palatino Linotype" w:cs="Arial"/>
        </w:rPr>
        <w:t>o de dos mil veintiuno</w:t>
      </w:r>
      <w:r w:rsidR="00BE7B17" w:rsidRPr="007724FF">
        <w:rPr>
          <w:rFonts w:ascii="Palatino Linotype" w:hAnsi="Palatino Linotype" w:cs="Arial"/>
        </w:rPr>
        <w:t xml:space="preserve">, de acuerdo a los registros del </w:t>
      </w:r>
      <w:r w:rsidR="00BE7B17" w:rsidRPr="007724FF">
        <w:rPr>
          <w:rFonts w:ascii="Palatino Linotype" w:hAnsi="Palatino Linotype" w:cs="Arial"/>
          <w:b/>
        </w:rPr>
        <w:t>SAIMEX</w:t>
      </w:r>
      <w:r w:rsidR="009F09BC" w:rsidRPr="007724FF">
        <w:rPr>
          <w:rFonts w:ascii="Palatino Linotype" w:hAnsi="Palatino Linotype" w:cs="Arial"/>
        </w:rPr>
        <w:t>; por lo que l</w:t>
      </w:r>
      <w:r w:rsidR="00A53282">
        <w:rPr>
          <w:rFonts w:ascii="Palatino Linotype" w:hAnsi="Palatino Linotype" w:cs="Arial"/>
        </w:rPr>
        <w:t>os</w:t>
      </w:r>
      <w:r w:rsidR="009F09BC" w:rsidRPr="007724FF">
        <w:rPr>
          <w:rFonts w:ascii="Palatino Linotype" w:hAnsi="Palatino Linotype" w:cs="Arial"/>
        </w:rPr>
        <w:t xml:space="preserve"> medio</w:t>
      </w:r>
      <w:r w:rsidR="00A53282">
        <w:rPr>
          <w:rFonts w:ascii="Palatino Linotype" w:hAnsi="Palatino Linotype" w:cs="Arial"/>
        </w:rPr>
        <w:t>s</w:t>
      </w:r>
      <w:r w:rsidR="009F09BC" w:rsidRPr="007724FF">
        <w:rPr>
          <w:rFonts w:ascii="Palatino Linotype" w:hAnsi="Palatino Linotype" w:cs="Arial"/>
        </w:rPr>
        <w:t xml:space="preserve"> de impugnación se encuentran dentro del lapso legalmente establecido para tal efecto.</w:t>
      </w:r>
    </w:p>
    <w:p w:rsidR="007A4551" w:rsidRPr="007724FF" w:rsidRDefault="007A4551" w:rsidP="007A4551">
      <w:pPr>
        <w:pStyle w:val="Prrafodelista"/>
        <w:spacing w:line="360" w:lineRule="auto"/>
        <w:ind w:left="0"/>
        <w:jc w:val="both"/>
        <w:rPr>
          <w:rFonts w:ascii="Palatino Linotype" w:hAnsi="Palatino Linotype"/>
        </w:rPr>
      </w:pPr>
    </w:p>
    <w:p w:rsidR="009F09BC" w:rsidRPr="007724FF" w:rsidRDefault="009F09BC" w:rsidP="005A7F80">
      <w:pPr>
        <w:pStyle w:val="Prrafodelista"/>
        <w:numPr>
          <w:ilvl w:val="0"/>
          <w:numId w:val="1"/>
        </w:numPr>
        <w:spacing w:line="360" w:lineRule="auto"/>
        <w:ind w:left="0" w:firstLine="0"/>
        <w:jc w:val="both"/>
        <w:rPr>
          <w:rFonts w:ascii="Palatino Linotype" w:hAnsi="Palatino Linotype"/>
        </w:rPr>
      </w:pPr>
      <w:r w:rsidRPr="007724FF">
        <w:rPr>
          <w:rFonts w:ascii="Palatino Linotype" w:eastAsia="Calibri" w:hAnsi="Palatino Linotype" w:cs="Arial"/>
        </w:rPr>
        <w:t xml:space="preserve">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A53282">
        <w:rPr>
          <w:rFonts w:ascii="Palatino Linotype" w:eastAsia="Calibri" w:hAnsi="Palatino Linotype" w:cs="Arial"/>
        </w:rPr>
        <w:t>los recursos de revisión</w:t>
      </w:r>
      <w:r w:rsidRPr="007724FF">
        <w:rPr>
          <w:rFonts w:ascii="Palatino Linotype" w:eastAsia="Calibri" w:hAnsi="Palatino Linotype" w:cs="Arial"/>
        </w:rPr>
        <w:t>.</w:t>
      </w:r>
    </w:p>
    <w:p w:rsidR="00174705" w:rsidRPr="007724FF" w:rsidRDefault="00174705" w:rsidP="007724FF">
      <w:pPr>
        <w:pStyle w:val="Prrafodelista"/>
        <w:spacing w:line="360" w:lineRule="auto"/>
        <w:rPr>
          <w:rFonts w:ascii="Palatino Linotype" w:hAnsi="Palatino Linotype"/>
        </w:rPr>
      </w:pPr>
    </w:p>
    <w:p w:rsidR="009F09BC" w:rsidRPr="007724FF" w:rsidRDefault="009F09BC" w:rsidP="007724FF">
      <w:pPr>
        <w:pStyle w:val="Ttulo1"/>
        <w:spacing w:before="0" w:line="360" w:lineRule="auto"/>
        <w:rPr>
          <w:rFonts w:ascii="Palatino Linotype" w:hAnsi="Palatino Linotype"/>
          <w:b/>
          <w:color w:val="000000" w:themeColor="text1"/>
          <w:sz w:val="24"/>
          <w:szCs w:val="24"/>
        </w:rPr>
      </w:pPr>
      <w:bookmarkStart w:id="142" w:name="_Toc34246179"/>
      <w:bookmarkStart w:id="143" w:name="_Toc50033991"/>
      <w:bookmarkStart w:id="144" w:name="_Toc51259588"/>
      <w:bookmarkStart w:id="145" w:name="_Toc83921794"/>
      <w:r w:rsidRPr="007724FF">
        <w:rPr>
          <w:rFonts w:ascii="Palatino Linotype" w:hAnsi="Palatino Linotype"/>
          <w:b/>
          <w:color w:val="000000" w:themeColor="text1"/>
          <w:sz w:val="24"/>
          <w:szCs w:val="24"/>
        </w:rPr>
        <w:t xml:space="preserve">TERCERO. </w:t>
      </w:r>
      <w:bookmarkStart w:id="146" w:name="_Toc501021589"/>
      <w:r w:rsidRPr="007724FF">
        <w:rPr>
          <w:rFonts w:ascii="Palatino Linotype" w:hAnsi="Palatino Linotype"/>
          <w:b/>
          <w:color w:val="000000" w:themeColor="text1"/>
          <w:sz w:val="24"/>
          <w:szCs w:val="24"/>
        </w:rPr>
        <w:t xml:space="preserve">Del planteamiento de la </w:t>
      </w:r>
      <w:r w:rsidRPr="007724FF">
        <w:rPr>
          <w:rFonts w:ascii="Palatino Linotype" w:hAnsi="Palatino Linotype"/>
          <w:b/>
          <w:i/>
          <w:color w:val="000000" w:themeColor="text1"/>
          <w:sz w:val="24"/>
          <w:szCs w:val="24"/>
        </w:rPr>
        <w:t>Litis</w:t>
      </w:r>
      <w:r w:rsidRPr="007724FF">
        <w:rPr>
          <w:rFonts w:ascii="Palatino Linotype" w:hAnsi="Palatino Linotype"/>
          <w:b/>
          <w:color w:val="000000" w:themeColor="text1"/>
          <w:sz w:val="24"/>
          <w:szCs w:val="24"/>
        </w:rPr>
        <w:t>.</w:t>
      </w:r>
      <w:bookmarkEnd w:id="142"/>
      <w:bookmarkEnd w:id="143"/>
      <w:bookmarkEnd w:id="144"/>
      <w:bookmarkEnd w:id="145"/>
      <w:bookmarkEnd w:id="146"/>
    </w:p>
    <w:p w:rsidR="009F09BC" w:rsidRPr="007724FF" w:rsidRDefault="009F09BC" w:rsidP="007724FF">
      <w:pPr>
        <w:spacing w:line="360" w:lineRule="auto"/>
        <w:rPr>
          <w:rFonts w:ascii="Palatino Linotype" w:hAnsi="Palatino Linotype"/>
          <w:lang w:val="es-MX" w:eastAsia="en-US"/>
        </w:rPr>
      </w:pPr>
    </w:p>
    <w:p w:rsidR="009F09BC" w:rsidRPr="007724FF" w:rsidRDefault="009F09BC" w:rsidP="005A7F80">
      <w:pPr>
        <w:pStyle w:val="Prrafodelista"/>
        <w:numPr>
          <w:ilvl w:val="0"/>
          <w:numId w:val="1"/>
        </w:numPr>
        <w:spacing w:line="360" w:lineRule="auto"/>
        <w:ind w:left="0" w:firstLine="0"/>
        <w:jc w:val="both"/>
        <w:rPr>
          <w:rFonts w:ascii="Palatino Linotype" w:hAnsi="Palatino Linotype" w:cs="Arial"/>
        </w:rPr>
      </w:pPr>
      <w:r w:rsidRPr="007724FF">
        <w:rPr>
          <w:rFonts w:ascii="Palatino Linotype" w:hAnsi="Palatino Linotype" w:cs="Arial"/>
        </w:rPr>
        <w:t xml:space="preserve">Se </w:t>
      </w:r>
      <w:r w:rsidRPr="007724FF">
        <w:rPr>
          <w:rFonts w:ascii="Palatino Linotype" w:eastAsia="Calibri" w:hAnsi="Palatino Linotype" w:cs="Arial"/>
        </w:rPr>
        <w:t>solicitó</w:t>
      </w:r>
      <w:r w:rsidRPr="007724FF">
        <w:rPr>
          <w:rFonts w:ascii="Palatino Linotype" w:hAnsi="Palatino Linotype" w:cs="Arial"/>
        </w:rPr>
        <w:t xml:space="preserve"> </w:t>
      </w:r>
      <w:r w:rsidR="00052F6E">
        <w:rPr>
          <w:rFonts w:ascii="Palatino Linotype" w:hAnsi="Palatino Linotype" w:cs="Arial"/>
        </w:rPr>
        <w:t>tener acceso</w:t>
      </w:r>
      <w:r w:rsidR="00AD63B4" w:rsidRPr="007724FF">
        <w:rPr>
          <w:rFonts w:ascii="Palatino Linotype" w:hAnsi="Palatino Linotype" w:cs="Arial"/>
        </w:rPr>
        <w:t xml:space="preserve"> a la </w:t>
      </w:r>
      <w:r w:rsidRPr="007724FF">
        <w:rPr>
          <w:rFonts w:ascii="Palatino Linotype" w:hAnsi="Palatino Linotype" w:cs="Arial"/>
        </w:rPr>
        <w:t>información que a continuación se desagrega:</w:t>
      </w:r>
    </w:p>
    <w:p w:rsidR="009F09BC" w:rsidRPr="007724FF" w:rsidRDefault="009F09BC" w:rsidP="007724FF">
      <w:pPr>
        <w:pStyle w:val="Prrafodelista"/>
        <w:spacing w:line="360" w:lineRule="auto"/>
        <w:ind w:left="0"/>
        <w:jc w:val="both"/>
        <w:rPr>
          <w:rFonts w:ascii="Palatino Linotype" w:hAnsi="Palatino Linotype" w:cs="Arial"/>
        </w:rPr>
      </w:pPr>
    </w:p>
    <w:p w:rsidR="00A734E2" w:rsidRPr="007724FF" w:rsidRDefault="00A734E2" w:rsidP="005A7F80">
      <w:pPr>
        <w:pStyle w:val="Prrafodelista"/>
        <w:numPr>
          <w:ilvl w:val="0"/>
          <w:numId w:val="7"/>
        </w:numPr>
        <w:spacing w:line="360" w:lineRule="auto"/>
        <w:jc w:val="both"/>
        <w:rPr>
          <w:rFonts w:ascii="Palatino Linotype" w:hAnsi="Palatino Linotype"/>
          <w:color w:val="000000" w:themeColor="text1"/>
        </w:rPr>
      </w:pPr>
      <w:r w:rsidRPr="007724FF">
        <w:rPr>
          <w:rFonts w:ascii="Palatino Linotype" w:hAnsi="Palatino Linotype"/>
          <w:color w:val="000000" w:themeColor="text1"/>
        </w:rPr>
        <w:t>Toda la información relativa a la Controversia Constitucional 28/2020 y sus anexos;</w:t>
      </w:r>
    </w:p>
    <w:p w:rsidR="00A734E2" w:rsidRPr="007724FF" w:rsidRDefault="00A734E2" w:rsidP="007724FF">
      <w:pPr>
        <w:spacing w:line="360" w:lineRule="auto"/>
        <w:jc w:val="both"/>
        <w:rPr>
          <w:rFonts w:ascii="Palatino Linotype" w:hAnsi="Palatino Linotype"/>
          <w:color w:val="000000" w:themeColor="text1"/>
        </w:rPr>
      </w:pPr>
    </w:p>
    <w:p w:rsidR="00A734E2" w:rsidRPr="007724FF" w:rsidRDefault="00A734E2" w:rsidP="005A7F80">
      <w:pPr>
        <w:pStyle w:val="Prrafodelista"/>
        <w:numPr>
          <w:ilvl w:val="0"/>
          <w:numId w:val="7"/>
        </w:numPr>
        <w:spacing w:line="360" w:lineRule="auto"/>
        <w:jc w:val="both"/>
        <w:rPr>
          <w:rFonts w:ascii="Palatino Linotype" w:hAnsi="Palatino Linotype"/>
          <w:color w:val="000000" w:themeColor="text1"/>
        </w:rPr>
      </w:pPr>
      <w:r w:rsidRPr="007724FF">
        <w:rPr>
          <w:rFonts w:ascii="Palatino Linotype" w:hAnsi="Palatino Linotype"/>
          <w:color w:val="000000" w:themeColor="text1"/>
        </w:rPr>
        <w:t>Toda la información relativa al diferendo limítrofe del Municipio de Teoloyucan vs Municipio de Tepotzotlán y sus anexos</w:t>
      </w:r>
      <w:r w:rsidR="005246D9" w:rsidRPr="007724FF">
        <w:rPr>
          <w:rFonts w:ascii="Palatino Linotype" w:hAnsi="Palatino Linotype"/>
          <w:color w:val="000000" w:themeColor="text1"/>
        </w:rPr>
        <w:t xml:space="preserve">; </w:t>
      </w:r>
    </w:p>
    <w:p w:rsidR="00A734E2" w:rsidRPr="007724FF" w:rsidRDefault="00A734E2" w:rsidP="007724FF">
      <w:pPr>
        <w:spacing w:line="360" w:lineRule="auto"/>
        <w:jc w:val="both"/>
        <w:rPr>
          <w:rFonts w:ascii="Palatino Linotype" w:hAnsi="Palatino Linotype"/>
          <w:color w:val="000000" w:themeColor="text1"/>
        </w:rPr>
      </w:pPr>
    </w:p>
    <w:p w:rsidR="00A734E2" w:rsidRDefault="00A734E2" w:rsidP="005A7F80">
      <w:pPr>
        <w:pStyle w:val="Prrafodelista"/>
        <w:numPr>
          <w:ilvl w:val="0"/>
          <w:numId w:val="7"/>
        </w:numPr>
        <w:spacing w:line="360" w:lineRule="auto"/>
        <w:jc w:val="both"/>
        <w:rPr>
          <w:rFonts w:ascii="Palatino Linotype" w:hAnsi="Palatino Linotype"/>
          <w:color w:val="000000" w:themeColor="text1"/>
        </w:rPr>
      </w:pPr>
      <w:r w:rsidRPr="007724FF">
        <w:rPr>
          <w:rFonts w:ascii="Palatino Linotype" w:hAnsi="Palatino Linotype"/>
          <w:color w:val="000000" w:themeColor="text1"/>
        </w:rPr>
        <w:t>Toda la información relativa al diferendo limítrofe del Municipio de Teoloyucan vs Municipios de Cuautitlán y sus anexos.</w:t>
      </w:r>
    </w:p>
    <w:p w:rsidR="00660C5A" w:rsidRPr="00660C5A" w:rsidRDefault="00660C5A" w:rsidP="00660C5A">
      <w:pPr>
        <w:pStyle w:val="Prrafodelista"/>
        <w:rPr>
          <w:rFonts w:ascii="Palatino Linotype" w:hAnsi="Palatino Linotype"/>
          <w:color w:val="000000" w:themeColor="text1"/>
        </w:rPr>
      </w:pPr>
    </w:p>
    <w:p w:rsidR="00660C5A" w:rsidRPr="007724FF" w:rsidRDefault="00660C5A" w:rsidP="005A7F80">
      <w:pPr>
        <w:pStyle w:val="Prrafodelista"/>
        <w:numPr>
          <w:ilvl w:val="0"/>
          <w:numId w:val="7"/>
        </w:numPr>
        <w:spacing w:line="360" w:lineRule="auto"/>
        <w:jc w:val="both"/>
        <w:rPr>
          <w:rFonts w:ascii="Palatino Linotype" w:hAnsi="Palatino Linotype"/>
          <w:color w:val="000000" w:themeColor="text1"/>
        </w:rPr>
      </w:pPr>
      <w:r w:rsidRPr="007724FF">
        <w:rPr>
          <w:rFonts w:ascii="Palatino Linotype" w:hAnsi="Palatino Linotype"/>
          <w:color w:val="000000" w:themeColor="text1"/>
        </w:rPr>
        <w:lastRenderedPageBreak/>
        <w:t>Toda la información relativa al diferendo limítrofe del Municipio de Teoloyucan vs Municipios de Cuautitlán Izcalli y sus anexos.</w:t>
      </w:r>
    </w:p>
    <w:p w:rsidR="00BE7B17" w:rsidRPr="007724FF" w:rsidRDefault="00BE7B17" w:rsidP="007724FF">
      <w:pPr>
        <w:spacing w:line="360" w:lineRule="auto"/>
        <w:jc w:val="both"/>
        <w:rPr>
          <w:rFonts w:ascii="Palatino Linotype" w:hAnsi="Palatino Linotype" w:cs="Arial"/>
          <w:b/>
        </w:rPr>
      </w:pPr>
    </w:p>
    <w:p w:rsidR="00A53282" w:rsidRPr="00A53282" w:rsidRDefault="009F09BC" w:rsidP="005A7F80">
      <w:pPr>
        <w:numPr>
          <w:ilvl w:val="0"/>
          <w:numId w:val="1"/>
        </w:numPr>
        <w:spacing w:line="360" w:lineRule="auto"/>
        <w:ind w:left="0" w:firstLine="0"/>
        <w:contextualSpacing/>
        <w:jc w:val="both"/>
        <w:rPr>
          <w:rFonts w:ascii="Palatino Linotype" w:eastAsia="MS Mincho" w:hAnsi="Palatino Linotype" w:cs="Arial"/>
        </w:rPr>
      </w:pPr>
      <w:r w:rsidRPr="00A53282">
        <w:rPr>
          <w:rFonts w:ascii="Palatino Linotype" w:hAnsi="Palatino Linotype" w:cs="Arial"/>
          <w:b/>
        </w:rPr>
        <w:t xml:space="preserve">EL PARTICULAR </w:t>
      </w:r>
      <w:r w:rsidRPr="00A53282">
        <w:rPr>
          <w:rFonts w:ascii="Palatino Linotype" w:hAnsi="Palatino Linotype" w:cs="Arial"/>
        </w:rPr>
        <w:t xml:space="preserve">inconforme con las respuestas, expuso su desacuerdo con </w:t>
      </w:r>
      <w:r w:rsidR="005246D9" w:rsidRPr="00A53282">
        <w:rPr>
          <w:rFonts w:ascii="Palatino Linotype" w:hAnsi="Palatino Linotype" w:cs="Arial"/>
        </w:rPr>
        <w:t>la clasificación de la información</w:t>
      </w:r>
      <w:r w:rsidRPr="00A53282">
        <w:rPr>
          <w:rFonts w:ascii="Palatino Linotype" w:hAnsi="Palatino Linotype" w:cs="Arial"/>
        </w:rPr>
        <w:t>.</w:t>
      </w:r>
      <w:r w:rsidR="00A53282">
        <w:rPr>
          <w:rFonts w:ascii="Palatino Linotype" w:hAnsi="Palatino Linotype" w:cs="Arial"/>
        </w:rPr>
        <w:t xml:space="preserve"> </w:t>
      </w:r>
      <w:r w:rsidRPr="00A53282">
        <w:rPr>
          <w:rFonts w:ascii="Palatino Linotype" w:eastAsia="MS Mincho" w:hAnsi="Palatino Linotype" w:cs="Arial"/>
        </w:rPr>
        <w:t xml:space="preserve">En </w:t>
      </w:r>
      <w:r w:rsidRPr="00A53282">
        <w:rPr>
          <w:rFonts w:ascii="Palatino Linotype" w:hAnsi="Palatino Linotype" w:cs="Arial"/>
          <w:lang w:eastAsia="es-MX"/>
        </w:rPr>
        <w:t>dichas</w:t>
      </w:r>
      <w:r w:rsidRPr="00A53282">
        <w:rPr>
          <w:rFonts w:ascii="Palatino Linotype" w:eastAsia="Times New Roman" w:hAnsi="Palatino Linotype" w:cs="Arial"/>
        </w:rPr>
        <w:t xml:space="preserve"> condiciones, la </w:t>
      </w:r>
      <w:r w:rsidRPr="00A53282">
        <w:rPr>
          <w:rFonts w:ascii="Palatino Linotype" w:eastAsia="Times New Roman" w:hAnsi="Palatino Linotype" w:cs="Arial"/>
          <w:i/>
        </w:rPr>
        <w:t>Litis</w:t>
      </w:r>
      <w:r w:rsidRPr="00A53282">
        <w:rPr>
          <w:rFonts w:ascii="Palatino Linotype" w:eastAsia="Times New Roman" w:hAnsi="Palatino Linotype" w:cs="Arial"/>
        </w:rPr>
        <w:t xml:space="preserve"> a resolver en </w:t>
      </w:r>
      <w:r w:rsidR="00A53282">
        <w:rPr>
          <w:rFonts w:ascii="Palatino Linotype" w:eastAsia="Times New Roman" w:hAnsi="Palatino Linotype" w:cs="Arial"/>
        </w:rPr>
        <w:t xml:space="preserve">la presente resolución </w:t>
      </w:r>
      <w:r w:rsidRPr="00A53282">
        <w:rPr>
          <w:rFonts w:ascii="Palatino Linotype" w:eastAsia="Times New Roman" w:hAnsi="Palatino Linotype" w:cs="Arial"/>
        </w:rPr>
        <w:t xml:space="preserve">se circunscribe a determinar si </w:t>
      </w:r>
      <w:r w:rsidRPr="00A53282">
        <w:rPr>
          <w:rFonts w:ascii="Palatino Linotype" w:eastAsia="MS Mincho" w:hAnsi="Palatino Linotype" w:cs="Arial"/>
        </w:rPr>
        <w:t xml:space="preserve">se actualizan la causales de procedencia prevista en el artículo 179, fracción II de la </w:t>
      </w:r>
      <w:r w:rsidRPr="00A53282">
        <w:rPr>
          <w:rFonts w:ascii="Palatino Linotype" w:eastAsia="MS Mincho" w:hAnsi="Palatino Linotype" w:cs="Arial"/>
          <w:b/>
        </w:rPr>
        <w:t>Ley de Transparencia y Acceso a la Información Pública del Estado de México y Municipios</w:t>
      </w:r>
      <w:r w:rsidRPr="00A53282">
        <w:rPr>
          <w:rFonts w:ascii="Palatino Linotype" w:eastAsia="MS Mincho" w:hAnsi="Palatino Linotype" w:cs="Arial"/>
        </w:rPr>
        <w:t xml:space="preserve">; </w:t>
      </w:r>
      <w:r w:rsidRPr="00A53282">
        <w:rPr>
          <w:rFonts w:ascii="Palatino Linotype" w:eastAsia="Times New Roman" w:hAnsi="Palatino Linotype" w:cs="Arial"/>
          <w:color w:val="000000" w:themeColor="text1"/>
          <w:lang w:val="es-ES" w:eastAsia="es-MX"/>
        </w:rPr>
        <w:t xml:space="preserve">fracción que determina las hipótesis jurídica relativa a </w:t>
      </w:r>
      <w:r w:rsidR="005246D9" w:rsidRPr="00A53282">
        <w:rPr>
          <w:rFonts w:ascii="Palatino Linotype" w:eastAsia="Times New Roman" w:hAnsi="Palatino Linotype" w:cs="Arial"/>
          <w:color w:val="000000" w:themeColor="text1"/>
          <w:lang w:val="es-ES" w:eastAsia="es-MX"/>
        </w:rPr>
        <w:t>la clasificación de la información</w:t>
      </w:r>
      <w:r w:rsidRPr="00A53282">
        <w:rPr>
          <w:rFonts w:ascii="Palatino Linotype" w:eastAsia="Times New Roman" w:hAnsi="Palatino Linotype" w:cs="Arial"/>
          <w:color w:val="000000" w:themeColor="text1"/>
          <w:lang w:val="es-ES" w:eastAsia="es-MX"/>
        </w:rPr>
        <w:t xml:space="preserve">; </w:t>
      </w:r>
      <w:r w:rsidRPr="00A53282">
        <w:rPr>
          <w:rFonts w:ascii="Palatino Linotype" w:eastAsia="MS Mincho" w:hAnsi="Palatino Linotype" w:cs="Arial"/>
        </w:rPr>
        <w:t xml:space="preserve">contexto del cual se dolió </w:t>
      </w:r>
      <w:r w:rsidRPr="00A53282">
        <w:rPr>
          <w:rFonts w:ascii="Palatino Linotype" w:eastAsia="MS Mincho" w:hAnsi="Palatino Linotype" w:cs="Arial"/>
          <w:b/>
        </w:rPr>
        <w:t xml:space="preserve">EL RECURRENTE </w:t>
      </w:r>
      <w:r w:rsidRPr="00A53282">
        <w:rPr>
          <w:rFonts w:ascii="Palatino Linotype" w:eastAsia="MS Mincho" w:hAnsi="Palatino Linotype" w:cs="Arial"/>
        </w:rPr>
        <w:t>al momento de interponer su inconformidad.</w:t>
      </w:r>
    </w:p>
    <w:p w:rsidR="00A53282" w:rsidRPr="00A53282" w:rsidRDefault="00A53282" w:rsidP="00A53282">
      <w:pPr>
        <w:spacing w:line="360" w:lineRule="auto"/>
        <w:contextualSpacing/>
        <w:jc w:val="both"/>
        <w:rPr>
          <w:rFonts w:ascii="Palatino Linotype" w:eastAsia="MS Mincho" w:hAnsi="Palatino Linotype" w:cs="Arial"/>
        </w:rPr>
      </w:pPr>
    </w:p>
    <w:p w:rsidR="009F09BC" w:rsidRPr="00A53282" w:rsidRDefault="009F09BC" w:rsidP="005A7F80">
      <w:pPr>
        <w:numPr>
          <w:ilvl w:val="0"/>
          <w:numId w:val="1"/>
        </w:numPr>
        <w:spacing w:line="360" w:lineRule="auto"/>
        <w:ind w:left="0" w:firstLine="0"/>
        <w:contextualSpacing/>
        <w:jc w:val="both"/>
        <w:rPr>
          <w:rFonts w:ascii="Palatino Linotype" w:eastAsia="MS Mincho" w:hAnsi="Palatino Linotype" w:cs="Arial"/>
        </w:rPr>
      </w:pPr>
      <w:r w:rsidRPr="00A53282">
        <w:rPr>
          <w:rFonts w:ascii="Palatino Linotype" w:eastAsia="Times New Roman" w:hAnsi="Palatino Linotype" w:cs="Arial"/>
          <w:color w:val="000000" w:themeColor="text1"/>
          <w:lang w:val="es-ES" w:eastAsia="es-MX"/>
        </w:rPr>
        <w:t xml:space="preserve">De modo tal </w:t>
      </w:r>
      <w:r w:rsidRPr="00A53282">
        <w:rPr>
          <w:rFonts w:ascii="Palatino Linotype" w:hAnsi="Palatino Linotype" w:cs="Arial"/>
          <w:color w:val="000000" w:themeColor="text1"/>
          <w:szCs w:val="23"/>
        </w:rPr>
        <w:t xml:space="preserve">que el presente recurso de revisión se abocara en determinar si el </w:t>
      </w:r>
      <w:r w:rsidRPr="00A53282">
        <w:rPr>
          <w:rFonts w:ascii="Palatino Linotype" w:hAnsi="Palatino Linotype" w:cs="Arial"/>
          <w:b/>
          <w:color w:val="000000" w:themeColor="text1"/>
          <w:szCs w:val="23"/>
        </w:rPr>
        <w:t>SUJETO</w:t>
      </w:r>
      <w:r w:rsidRPr="00A53282">
        <w:rPr>
          <w:rFonts w:ascii="Palatino Linotype" w:hAnsi="Palatino Linotype" w:cs="Arial"/>
          <w:color w:val="000000" w:themeColor="text1"/>
          <w:szCs w:val="23"/>
        </w:rPr>
        <w:t xml:space="preserve"> </w:t>
      </w:r>
      <w:r w:rsidRPr="00A53282">
        <w:rPr>
          <w:rFonts w:ascii="Palatino Linotype" w:hAnsi="Palatino Linotype" w:cs="Arial"/>
          <w:b/>
          <w:color w:val="000000" w:themeColor="text1"/>
          <w:szCs w:val="23"/>
        </w:rPr>
        <w:t>OBLIGADO</w:t>
      </w:r>
      <w:r w:rsidRPr="00A53282">
        <w:rPr>
          <w:rFonts w:ascii="Palatino Linotype" w:hAnsi="Palatino Linotype" w:cs="Arial"/>
          <w:color w:val="000000" w:themeColor="text1"/>
          <w:szCs w:val="23"/>
        </w:rPr>
        <w:t xml:space="preserve"> con su respuesta ciertamente </w:t>
      </w:r>
      <w:r w:rsidRPr="00A53282">
        <w:rPr>
          <w:rFonts w:ascii="Palatino Linotype" w:eastAsia="Times New Roman" w:hAnsi="Palatino Linotype"/>
          <w:color w:val="000000" w:themeColor="text1"/>
        </w:rPr>
        <w:t>actualiza la causal de procedencia</w:t>
      </w:r>
      <w:r w:rsidRPr="00A53282">
        <w:rPr>
          <w:rFonts w:ascii="Palatino Linotype" w:eastAsia="Times New Roman" w:hAnsi="Palatino Linotype"/>
          <w:b/>
          <w:color w:val="000000" w:themeColor="text1"/>
        </w:rPr>
        <w:t xml:space="preserve"> </w:t>
      </w:r>
      <w:r w:rsidRPr="00A53282">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7724FF" w:rsidRDefault="009F09BC" w:rsidP="007724FF">
      <w:pPr>
        <w:pStyle w:val="Prrafodelista"/>
        <w:spacing w:line="360" w:lineRule="auto"/>
        <w:rPr>
          <w:rFonts w:ascii="Palatino Linotype" w:eastAsia="MS Mincho" w:hAnsi="Palatino Linotype" w:cs="Arial"/>
        </w:rPr>
      </w:pPr>
    </w:p>
    <w:p w:rsidR="009F09BC" w:rsidRPr="007724FF" w:rsidRDefault="009F09BC" w:rsidP="007724FF">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921795"/>
      <w:r w:rsidRPr="007724FF">
        <w:rPr>
          <w:rFonts w:ascii="Palatino Linotype" w:hAnsi="Palatino Linotype"/>
          <w:b/>
          <w:color w:val="000000" w:themeColor="text1"/>
          <w:sz w:val="24"/>
          <w:szCs w:val="24"/>
        </w:rPr>
        <w:t>CUARTO. Del estudio y resolución del asunto.</w:t>
      </w:r>
      <w:bookmarkEnd w:id="147"/>
      <w:bookmarkEnd w:id="148"/>
      <w:bookmarkEnd w:id="149"/>
      <w:bookmarkEnd w:id="150"/>
      <w:bookmarkEnd w:id="151"/>
    </w:p>
    <w:p w:rsidR="009F09BC" w:rsidRPr="007724FF" w:rsidRDefault="009F09BC" w:rsidP="007724FF">
      <w:pPr>
        <w:spacing w:line="360" w:lineRule="auto"/>
        <w:rPr>
          <w:rFonts w:ascii="Palatino Linotype" w:hAnsi="Palatino Linotype"/>
          <w:lang w:val="es-MX" w:eastAsia="en-US"/>
        </w:rPr>
      </w:pPr>
    </w:p>
    <w:p w:rsidR="000F4422" w:rsidRPr="007724FF" w:rsidRDefault="000F4422" w:rsidP="005A7F8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24FF">
        <w:rPr>
          <w:rFonts w:ascii="Palatino Linotype" w:eastAsia="MS Mincho" w:hAnsi="Palatino Linotype" w:cs="Times New Roman"/>
          <w:color w:val="000000"/>
        </w:rPr>
        <w:t xml:space="preserve">Derivado del </w:t>
      </w:r>
      <w:r w:rsidRPr="007724FF">
        <w:rPr>
          <w:rFonts w:ascii="Palatino Linotype" w:hAnsi="Palatino Linotype" w:cs="Arial"/>
          <w:szCs w:val="23"/>
        </w:rPr>
        <w:t xml:space="preserve">planteamiento de la </w:t>
      </w:r>
      <w:r w:rsidRPr="007724FF">
        <w:rPr>
          <w:rFonts w:ascii="Palatino Linotype" w:hAnsi="Palatino Linotype" w:cs="Arial"/>
          <w:i/>
          <w:szCs w:val="23"/>
        </w:rPr>
        <w:t>Litis</w:t>
      </w:r>
      <w:r w:rsidRPr="007724FF">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7724FF">
        <w:rPr>
          <w:rFonts w:ascii="Palatino Linotype" w:eastAsia="Calibri" w:hAnsi="Palatino Linotype" w:cs="Arial"/>
          <w:b/>
          <w:lang w:val="es-ES"/>
        </w:rPr>
        <w:t>Ley de Transparencia y Acceso a la Información Pública del Estado de México y Municipios</w:t>
      </w:r>
      <w:r w:rsidRPr="007724FF">
        <w:rPr>
          <w:rFonts w:ascii="Palatino Linotype" w:eastAsia="Times New Roman" w:hAnsi="Palatino Linotype" w:cs="Arial"/>
          <w:lang w:val="es-ES" w:eastAsia="es-MX"/>
        </w:rPr>
        <w:t>.</w:t>
      </w:r>
    </w:p>
    <w:p w:rsidR="000F4422" w:rsidRPr="007724FF" w:rsidRDefault="000F4422" w:rsidP="005A7F8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7724FF">
        <w:rPr>
          <w:rFonts w:ascii="Palatino Linotype" w:eastAsia="MS Mincho" w:hAnsi="Palatino Linotype" w:cs="Times New Roman"/>
          <w:color w:val="000000"/>
        </w:rPr>
        <w:lastRenderedPageBreak/>
        <w:t xml:space="preserve">Es </w:t>
      </w:r>
      <w:r w:rsidRPr="007724FF">
        <w:rPr>
          <w:rFonts w:ascii="Palatino Linotype" w:hAnsi="Palatino Linotype"/>
        </w:rPr>
        <w:t xml:space="preserve">menester precisar que este </w:t>
      </w:r>
      <w:r w:rsidRPr="007724FF">
        <w:rPr>
          <w:rFonts w:ascii="Palatino Linotype" w:eastAsia="MS Mincho" w:hAnsi="Palatino Linotype" w:cs="Times New Roman"/>
          <w:color w:val="000000"/>
        </w:rPr>
        <w:t xml:space="preserve">Órgano Garante parte de que </w:t>
      </w:r>
      <w:r w:rsidRPr="007724F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724FF">
        <w:rPr>
          <w:rFonts w:ascii="Palatino Linotype" w:eastAsia="Times New Roman" w:hAnsi="Palatino Linotype" w:cs="Arial"/>
          <w:color w:val="000000"/>
        </w:rPr>
        <w:t xml:space="preserve"> </w:t>
      </w:r>
      <w:r w:rsidRPr="007724FF">
        <w:rPr>
          <w:rFonts w:ascii="Palatino Linotype" w:eastAsia="Times New Roman" w:hAnsi="Palatino Linotype" w:cs="Arial"/>
          <w:b/>
          <w:color w:val="000000"/>
        </w:rPr>
        <w:t>SUJETO OBLIGADO</w:t>
      </w:r>
      <w:r w:rsidRPr="007724F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24FF">
        <w:rPr>
          <w:rFonts w:ascii="Palatino Linotype" w:eastAsia="Times New Roman" w:hAnsi="Palatino Linotype" w:cs="Arial"/>
          <w:b/>
          <w:color w:val="000000"/>
        </w:rPr>
        <w:t xml:space="preserve">Constitución Política de los Estados Unidos Mexicanos </w:t>
      </w:r>
      <w:r w:rsidRPr="007724FF">
        <w:rPr>
          <w:rFonts w:ascii="Palatino Linotype" w:eastAsia="Times New Roman" w:hAnsi="Palatino Linotype" w:cs="Arial"/>
          <w:color w:val="000000"/>
        </w:rPr>
        <w:t xml:space="preserve">al señalar la obligación de “promover, </w:t>
      </w:r>
      <w:r w:rsidRPr="007724FF">
        <w:rPr>
          <w:rFonts w:ascii="Palatino Linotype" w:eastAsia="Times New Roman" w:hAnsi="Palatino Linotype" w:cs="Arial"/>
          <w:b/>
          <w:color w:val="000000"/>
        </w:rPr>
        <w:t>respetar</w:t>
      </w:r>
      <w:r w:rsidRPr="007724FF">
        <w:rPr>
          <w:rFonts w:ascii="Palatino Linotype" w:eastAsia="Times New Roman" w:hAnsi="Palatino Linotype" w:cs="Arial"/>
          <w:color w:val="000000"/>
        </w:rPr>
        <w:t xml:space="preserve">, proteger y </w:t>
      </w:r>
      <w:r w:rsidRPr="007724FF">
        <w:rPr>
          <w:rFonts w:ascii="Palatino Linotype" w:eastAsia="Times New Roman" w:hAnsi="Palatino Linotype" w:cs="Arial"/>
          <w:b/>
          <w:color w:val="000000"/>
        </w:rPr>
        <w:t>garantizar</w:t>
      </w:r>
      <w:r w:rsidRPr="007724FF">
        <w:rPr>
          <w:rFonts w:ascii="Palatino Linotype" w:eastAsia="Times New Roman" w:hAnsi="Palatino Linotype" w:cs="Arial"/>
          <w:color w:val="000000"/>
        </w:rPr>
        <w:t xml:space="preserve"> los derechos humanos”, entre los cuales se encuentra dicho derecho. </w:t>
      </w:r>
    </w:p>
    <w:p w:rsidR="000F4422" w:rsidRPr="007724FF" w:rsidRDefault="000F4422" w:rsidP="007724FF">
      <w:pPr>
        <w:tabs>
          <w:tab w:val="left" w:pos="0"/>
        </w:tabs>
        <w:spacing w:line="360" w:lineRule="auto"/>
        <w:ind w:right="49"/>
        <w:jc w:val="both"/>
        <w:rPr>
          <w:rFonts w:ascii="Palatino Linotype" w:eastAsia="MS Mincho" w:hAnsi="Palatino Linotype" w:cs="Times New Roman"/>
          <w:color w:val="000000"/>
        </w:rPr>
      </w:pPr>
    </w:p>
    <w:p w:rsidR="000F4422" w:rsidRPr="007724FF" w:rsidRDefault="000F4422" w:rsidP="005A7F8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24FF">
        <w:rPr>
          <w:rFonts w:ascii="Palatino Linotype" w:eastAsia="MS Mincho" w:hAnsi="Palatino Linotype" w:cs="Times New Roman"/>
          <w:color w:val="000000"/>
        </w:rPr>
        <w:t xml:space="preserve">Por </w:t>
      </w:r>
      <w:r w:rsidRPr="007724FF">
        <w:rPr>
          <w:rFonts w:ascii="Palatino Linotype" w:eastAsia="Times New Roman" w:hAnsi="Palatino Linotype"/>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0F4422" w:rsidRPr="007724FF" w:rsidRDefault="000F4422" w:rsidP="007724FF">
      <w:pPr>
        <w:pStyle w:val="Prrafodelista"/>
        <w:spacing w:line="360" w:lineRule="auto"/>
        <w:rPr>
          <w:rFonts w:ascii="Palatino Linotype" w:eastAsia="MS Mincho" w:hAnsi="Palatino Linotype" w:cs="Times New Roman"/>
          <w:color w:val="000000"/>
        </w:rPr>
      </w:pPr>
    </w:p>
    <w:p w:rsidR="000F4422" w:rsidRPr="007724FF" w:rsidRDefault="000F4422" w:rsidP="005A7F8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24FF">
        <w:rPr>
          <w:rFonts w:ascii="Palatino Linotype" w:eastAsia="MS Mincho" w:hAnsi="Palatino Linotype" w:cs="Times New Roman"/>
          <w:color w:val="000000"/>
        </w:rPr>
        <w:t xml:space="preserve">Además de la obligación de promover, </w:t>
      </w:r>
      <w:r w:rsidRPr="007724FF">
        <w:rPr>
          <w:rFonts w:ascii="Palatino Linotype" w:eastAsia="MS Mincho" w:hAnsi="Palatino Linotype" w:cs="Times New Roman"/>
          <w:b/>
          <w:color w:val="000000"/>
          <w:u w:val="single"/>
        </w:rPr>
        <w:t>respetar, proteger</w:t>
      </w:r>
      <w:r w:rsidRPr="007724FF">
        <w:rPr>
          <w:rFonts w:ascii="Palatino Linotype" w:eastAsia="MS Mincho" w:hAnsi="Palatino Linotype" w:cs="Times New Roman"/>
          <w:color w:val="000000"/>
        </w:rPr>
        <w:t xml:space="preserve"> y garantizar el derecho de acceso a la información, la </w:t>
      </w:r>
      <w:r w:rsidRPr="007724FF">
        <w:rPr>
          <w:rFonts w:ascii="Palatino Linotype" w:eastAsia="MS Mincho" w:hAnsi="Palatino Linotype" w:cs="Times New Roman"/>
          <w:b/>
          <w:color w:val="000000"/>
        </w:rPr>
        <w:t xml:space="preserve">Ley General de Trasparencia y Acceso a la Información Pública del Estado de México y Municipios </w:t>
      </w:r>
      <w:r w:rsidRPr="007724FF">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7724FF">
        <w:rPr>
          <w:rFonts w:ascii="Palatino Linotype" w:eastAsia="MS Mincho" w:hAnsi="Palatino Linotype" w:cs="Times New Roman"/>
          <w:b/>
          <w:color w:val="000000"/>
        </w:rPr>
        <w:t>simplicidad y rapidez</w:t>
      </w:r>
      <w:r w:rsidRPr="007724FF">
        <w:rPr>
          <w:rFonts w:ascii="Palatino Linotype" w:eastAsia="MS Mincho" w:hAnsi="Palatino Linotype" w:cs="Times New Roman"/>
          <w:color w:val="000000"/>
        </w:rPr>
        <w:t>.</w:t>
      </w:r>
    </w:p>
    <w:p w:rsidR="000F4422" w:rsidRPr="007724FF" w:rsidRDefault="000F4422" w:rsidP="005A7F8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24FF">
        <w:rPr>
          <w:rFonts w:ascii="Palatino Linotype" w:eastAsia="MS Mincho" w:hAnsi="Palatino Linotype" w:cs="Times New Roman"/>
          <w:color w:val="000000"/>
        </w:rPr>
        <w:lastRenderedPageBreak/>
        <w:t xml:space="preserve">Asimismo, </w:t>
      </w:r>
      <w:r w:rsidRPr="007724FF">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7724FF">
        <w:rPr>
          <w:rFonts w:ascii="Palatino Linotype" w:eastAsia="Calibri" w:hAnsi="Palatino Linotype" w:cs="Arial"/>
        </w:rPr>
        <w:t>Transparencia, Acceso a la Información Pública del Estado de México y Municipios</w:t>
      </w:r>
      <w:r w:rsidRPr="007724FF">
        <w:rPr>
          <w:rFonts w:ascii="Palatino Linotype" w:hAnsi="Palatino Linotype" w:cs="Arial"/>
        </w:rPr>
        <w:t xml:space="preserve">, y determinar la confirmación; revocación o modificación; </w:t>
      </w:r>
      <w:proofErr w:type="spellStart"/>
      <w:r w:rsidRPr="007724FF">
        <w:rPr>
          <w:rFonts w:ascii="Palatino Linotype" w:hAnsi="Palatino Linotype" w:cs="Arial"/>
        </w:rPr>
        <w:t>desechamiento</w:t>
      </w:r>
      <w:proofErr w:type="spellEnd"/>
      <w:r w:rsidRPr="007724FF">
        <w:rPr>
          <w:rFonts w:ascii="Palatino Linotype" w:hAnsi="Palatino Linotype" w:cs="Arial"/>
        </w:rPr>
        <w:t xml:space="preserve"> o sobreseimiento; y en su caso ordenar la entrega de la información con respecto a la respuesta emitida por el </w:t>
      </w:r>
      <w:r w:rsidRPr="007724FF">
        <w:rPr>
          <w:rFonts w:ascii="Palatino Linotype" w:hAnsi="Palatino Linotype" w:cs="Arial"/>
          <w:b/>
        </w:rPr>
        <w:t>SUJETO</w:t>
      </w:r>
      <w:r w:rsidRPr="007724FF">
        <w:rPr>
          <w:rFonts w:ascii="Palatino Linotype" w:hAnsi="Palatino Linotype" w:cs="Arial"/>
        </w:rPr>
        <w:t xml:space="preserve"> </w:t>
      </w:r>
      <w:r w:rsidRPr="007724FF">
        <w:rPr>
          <w:rFonts w:ascii="Palatino Linotype" w:hAnsi="Palatino Linotype" w:cs="Arial"/>
          <w:b/>
        </w:rPr>
        <w:t>OBLIGADO</w:t>
      </w:r>
      <w:r w:rsidRPr="007724FF">
        <w:rPr>
          <w:rFonts w:ascii="Palatino Linotype" w:hAnsi="Palatino Linotype" w:cs="Arial"/>
        </w:rPr>
        <w:t>.</w:t>
      </w:r>
    </w:p>
    <w:p w:rsidR="000F4422" w:rsidRPr="007724FF" w:rsidRDefault="000F4422" w:rsidP="007724FF">
      <w:pPr>
        <w:pStyle w:val="Prrafodelista"/>
        <w:tabs>
          <w:tab w:val="left" w:pos="0"/>
        </w:tabs>
        <w:spacing w:line="360" w:lineRule="auto"/>
        <w:ind w:left="0" w:right="49"/>
        <w:jc w:val="both"/>
        <w:rPr>
          <w:rFonts w:ascii="Palatino Linotype" w:eastAsia="MS Mincho" w:hAnsi="Palatino Linotype" w:cs="Times New Roman"/>
          <w:color w:val="000000"/>
        </w:rPr>
      </w:pPr>
    </w:p>
    <w:p w:rsidR="00F24572" w:rsidRPr="007724FF" w:rsidRDefault="000F4422" w:rsidP="005A7F80">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7724FF">
        <w:rPr>
          <w:rFonts w:ascii="Palatino Linotype" w:eastAsia="MS Mincho" w:hAnsi="Palatino Linotype" w:cs="Times New Roman"/>
          <w:color w:val="000000"/>
        </w:rPr>
        <w:t xml:space="preserve">Ahora bien, </w:t>
      </w:r>
      <w:r w:rsidR="00DC753F" w:rsidRPr="007724FF">
        <w:rPr>
          <w:rFonts w:ascii="Palatino Linotype" w:eastAsia="MS Mincho" w:hAnsi="Palatino Linotype" w:cs="Times New Roman"/>
          <w:color w:val="000000"/>
        </w:rPr>
        <w:t>establecida</w:t>
      </w:r>
      <w:r w:rsidR="009F09BC" w:rsidRPr="007724FF">
        <w:rPr>
          <w:rFonts w:ascii="Palatino Linotype" w:hAnsi="Palatino Linotype"/>
          <w:lang w:val="es-MX" w:eastAsia="en-US"/>
        </w:rPr>
        <w:t xml:space="preserve"> la </w:t>
      </w:r>
      <w:r w:rsidR="009F09BC" w:rsidRPr="007724FF">
        <w:rPr>
          <w:rFonts w:ascii="Palatino Linotype" w:hAnsi="Palatino Linotype"/>
          <w:i/>
          <w:lang w:val="es-MX" w:eastAsia="en-US"/>
        </w:rPr>
        <w:t>Litis</w:t>
      </w:r>
      <w:r w:rsidR="009F09BC" w:rsidRPr="007724FF">
        <w:rPr>
          <w:rFonts w:ascii="Palatino Linotype" w:hAnsi="Palatino Linotype"/>
          <w:lang w:val="es-MX" w:eastAsia="en-US"/>
        </w:rPr>
        <w:t xml:space="preserve"> sobre la cual versará el presente estudio, se estima importante primeramente referir</w:t>
      </w:r>
      <w:r w:rsidR="00F24572" w:rsidRPr="007724FF">
        <w:rPr>
          <w:rFonts w:ascii="Palatino Linotype" w:hAnsi="Palatino Linotype"/>
          <w:lang w:val="es-ES"/>
        </w:rPr>
        <w:t>, que la información solicitada corresponde a soporte documental ciertamente p</w:t>
      </w:r>
      <w:r w:rsidR="00DC753F" w:rsidRPr="007724FF">
        <w:rPr>
          <w:rFonts w:ascii="Palatino Linotype" w:hAnsi="Palatino Linotype"/>
          <w:lang w:val="es-ES"/>
        </w:rPr>
        <w:t>erteneciente a dos procesos legales:</w:t>
      </w:r>
      <w:r w:rsidR="00F24572" w:rsidRPr="007724FF">
        <w:rPr>
          <w:rFonts w:ascii="Palatino Linotype" w:hAnsi="Palatino Linotype"/>
          <w:lang w:val="es-ES"/>
        </w:rPr>
        <w:t xml:space="preserve"> controversia constitucional y diferendo territorial.</w:t>
      </w:r>
    </w:p>
    <w:p w:rsidR="000F4422" w:rsidRPr="007724FF" w:rsidRDefault="000F4422" w:rsidP="007724FF">
      <w:pPr>
        <w:pStyle w:val="Prrafodelista"/>
        <w:spacing w:line="360" w:lineRule="auto"/>
        <w:rPr>
          <w:rFonts w:ascii="Palatino Linotype" w:hAnsi="Palatino Linotype"/>
          <w:lang w:val="es-ES"/>
        </w:rPr>
      </w:pPr>
    </w:p>
    <w:p w:rsidR="00F24572" w:rsidRPr="007724FF" w:rsidRDefault="00F24572" w:rsidP="005A7F80">
      <w:pPr>
        <w:numPr>
          <w:ilvl w:val="0"/>
          <w:numId w:val="1"/>
        </w:numPr>
        <w:spacing w:line="360" w:lineRule="auto"/>
        <w:ind w:left="0" w:firstLine="0"/>
        <w:contextualSpacing/>
        <w:jc w:val="both"/>
        <w:rPr>
          <w:rFonts w:ascii="Palatino Linotype" w:hAnsi="Palatino Linotype"/>
          <w:i/>
          <w:lang w:val="es-ES"/>
        </w:rPr>
      </w:pPr>
      <w:r w:rsidRPr="007724FF">
        <w:rPr>
          <w:rFonts w:ascii="Palatino Linotype" w:hAnsi="Palatino Linotype"/>
          <w:lang w:val="es-ES"/>
        </w:rPr>
        <w:t xml:space="preserve">Del primero de ellos se entiende como aquel </w:t>
      </w:r>
      <w:r w:rsidRPr="007724FF">
        <w:rPr>
          <w:rFonts w:ascii="Palatino Linotype" w:hAnsi="Palatino Linotype"/>
          <w:i/>
          <w:lang w:val="es-ES"/>
        </w:rPr>
        <w:t>juicio que se promueve ante la Suprema Corte de Justicia de la Nación para resolver los conflictos que surjan entre poderes federales, poderes de los estados, órganos de gobierno del Distrito Federal (hoy Ciudad de México), o entre los órdenes de gobierno federal, estatal, municipal o de la Ciudad de México, por invasión de competencias o por cualquier tipo de violación a la Constitución Federal, por parte de los órganos señalados. Se le considera un procedimiento de control de la regularidad constitucional.</w:t>
      </w:r>
      <w:r w:rsidRPr="007724FF">
        <w:rPr>
          <w:rStyle w:val="Refdenotaalpie"/>
          <w:rFonts w:ascii="Palatino Linotype" w:hAnsi="Palatino Linotype"/>
          <w:i/>
          <w:lang w:val="es-ES"/>
        </w:rPr>
        <w:footnoteReference w:id="2"/>
      </w:r>
    </w:p>
    <w:p w:rsidR="004C4D8C" w:rsidRPr="007724FF" w:rsidRDefault="004C4D8C" w:rsidP="007724FF">
      <w:pPr>
        <w:pStyle w:val="Prrafodelista"/>
        <w:spacing w:line="360" w:lineRule="auto"/>
        <w:rPr>
          <w:rFonts w:ascii="Palatino Linotype" w:hAnsi="Palatino Linotype"/>
          <w:i/>
          <w:lang w:val="es-ES"/>
        </w:rPr>
      </w:pPr>
    </w:p>
    <w:p w:rsidR="00F24572" w:rsidRPr="007724FF" w:rsidRDefault="00F35674" w:rsidP="005A7F80">
      <w:pPr>
        <w:numPr>
          <w:ilvl w:val="0"/>
          <w:numId w:val="1"/>
        </w:numPr>
        <w:spacing w:line="360" w:lineRule="auto"/>
        <w:ind w:left="0" w:firstLine="0"/>
        <w:contextualSpacing/>
        <w:jc w:val="both"/>
        <w:rPr>
          <w:rFonts w:ascii="Palatino Linotype" w:hAnsi="Palatino Linotype"/>
          <w:lang w:val="es-ES"/>
        </w:rPr>
      </w:pPr>
      <w:r>
        <w:rPr>
          <w:rFonts w:ascii="Palatino Linotype" w:hAnsi="Palatino Linotype"/>
          <w:lang w:val="es-ES"/>
        </w:rPr>
        <w:t>Dentro de la controversia</w:t>
      </w:r>
      <w:r w:rsidR="00417409" w:rsidRPr="007724FF">
        <w:rPr>
          <w:rFonts w:ascii="Palatino Linotype" w:hAnsi="Palatino Linotype"/>
          <w:lang w:val="es-ES"/>
        </w:rPr>
        <w:t xml:space="preserve">, tendrán el carácter de parte, como actor, la entidad, poder u órgano que promueva la controversia, como demandado, la entidad, poder u órgano que hubiere emitido y promulgado la norma general o pronunciado el acto </w:t>
      </w:r>
      <w:r w:rsidR="00417409" w:rsidRPr="007724FF">
        <w:rPr>
          <w:rFonts w:ascii="Palatino Linotype" w:hAnsi="Palatino Linotype"/>
          <w:lang w:val="es-ES"/>
        </w:rPr>
        <w:lastRenderedPageBreak/>
        <w:t>que sea objeto de la controversia y como tercero o terceros interesados, las entidades, poderes u órganos a que se refiere la fracción I del artículo 105 de la Constitución Política de los Estados Unidos Mexicanos, que sin tener el carácter de actores o demandados, pudieran resultar afectados por la sentencia que llegare a dictarse.</w:t>
      </w:r>
    </w:p>
    <w:p w:rsidR="00C47707" w:rsidRPr="007724FF" w:rsidRDefault="00C47707" w:rsidP="007724FF">
      <w:pPr>
        <w:spacing w:line="360" w:lineRule="auto"/>
        <w:contextualSpacing/>
        <w:jc w:val="both"/>
        <w:rPr>
          <w:rFonts w:ascii="Palatino Linotype" w:hAnsi="Palatino Linotype"/>
          <w:lang w:val="es-ES"/>
        </w:rPr>
      </w:pPr>
    </w:p>
    <w:p w:rsidR="00916911" w:rsidRPr="007724FF" w:rsidRDefault="00916911" w:rsidP="005A7F80">
      <w:pPr>
        <w:numPr>
          <w:ilvl w:val="0"/>
          <w:numId w:val="1"/>
        </w:numPr>
        <w:spacing w:line="360" w:lineRule="auto"/>
        <w:ind w:left="0" w:firstLine="0"/>
        <w:contextualSpacing/>
        <w:jc w:val="both"/>
        <w:rPr>
          <w:rFonts w:ascii="Palatino Linotype" w:hAnsi="Palatino Linotype"/>
          <w:b/>
          <w:lang w:val="es-ES"/>
        </w:rPr>
      </w:pPr>
      <w:r w:rsidRPr="007724FF">
        <w:rPr>
          <w:rFonts w:ascii="Palatino Linotype" w:hAnsi="Palatino Linotype"/>
          <w:lang w:val="es-ES"/>
        </w:rPr>
        <w:t>Atento a lo anterior</w:t>
      </w:r>
      <w:r w:rsidR="00417409" w:rsidRPr="007724FF">
        <w:rPr>
          <w:rFonts w:ascii="Palatino Linotype" w:hAnsi="Palatino Linotype"/>
          <w:lang w:val="es-ES"/>
        </w:rPr>
        <w:t xml:space="preserve"> se concluye</w:t>
      </w:r>
      <w:r w:rsidR="00E230C8">
        <w:rPr>
          <w:rFonts w:ascii="Palatino Linotype" w:hAnsi="Palatino Linotype"/>
          <w:lang w:val="es-ES"/>
        </w:rPr>
        <w:t>,</w:t>
      </w:r>
      <w:r w:rsidR="00417409" w:rsidRPr="007724FF">
        <w:rPr>
          <w:rFonts w:ascii="Palatino Linotype" w:hAnsi="Palatino Linotype"/>
          <w:lang w:val="es-ES"/>
        </w:rPr>
        <w:t xml:space="preserve"> que </w:t>
      </w:r>
      <w:r w:rsidR="00F35674">
        <w:rPr>
          <w:rFonts w:ascii="Palatino Linotype" w:hAnsi="Palatino Linotype"/>
          <w:lang w:val="es-ES"/>
        </w:rPr>
        <w:t xml:space="preserve">si se está sustanciando </w:t>
      </w:r>
      <w:r w:rsidR="00E230C8">
        <w:rPr>
          <w:rFonts w:ascii="Palatino Linotype" w:hAnsi="Palatino Linotype"/>
          <w:lang w:val="es-ES"/>
        </w:rPr>
        <w:t>una controversia constitucional</w:t>
      </w:r>
      <w:r w:rsidR="00417409" w:rsidRPr="007724FF">
        <w:rPr>
          <w:rFonts w:ascii="Palatino Linotype" w:hAnsi="Palatino Linotype"/>
          <w:lang w:val="es-ES"/>
        </w:rPr>
        <w:t xml:space="preserve"> para reso</w:t>
      </w:r>
      <w:r w:rsidR="00F35674">
        <w:rPr>
          <w:rFonts w:ascii="Palatino Linotype" w:hAnsi="Palatino Linotype"/>
          <w:lang w:val="es-ES"/>
        </w:rPr>
        <w:t>lver un conflicto del cual forme</w:t>
      </w:r>
      <w:r w:rsidR="00417409" w:rsidRPr="007724FF">
        <w:rPr>
          <w:rFonts w:ascii="Palatino Linotype" w:hAnsi="Palatino Linotype"/>
          <w:lang w:val="es-ES"/>
        </w:rPr>
        <w:t xml:space="preserve"> p</w:t>
      </w:r>
      <w:r w:rsidRPr="007724FF">
        <w:rPr>
          <w:rFonts w:ascii="Palatino Linotype" w:hAnsi="Palatino Linotype"/>
          <w:lang w:val="es-ES"/>
        </w:rPr>
        <w:t>arte el Municipio de Teoloyucan</w:t>
      </w:r>
      <w:r w:rsidR="00F35674">
        <w:rPr>
          <w:rFonts w:ascii="Palatino Linotype" w:hAnsi="Palatino Linotype"/>
          <w:lang w:val="es-ES"/>
        </w:rPr>
        <w:t xml:space="preserve"> y que este </w:t>
      </w:r>
      <w:r w:rsidRPr="007724FF">
        <w:rPr>
          <w:rFonts w:ascii="Palatino Linotype" w:hAnsi="Palatino Linotype"/>
          <w:lang w:val="es-ES"/>
        </w:rPr>
        <w:t xml:space="preserve"> aún </w:t>
      </w:r>
      <w:r w:rsidR="00F35674">
        <w:rPr>
          <w:rFonts w:ascii="Palatino Linotype" w:hAnsi="Palatino Linotype"/>
          <w:lang w:val="es-ES"/>
        </w:rPr>
        <w:t xml:space="preserve">no se encuentre </w:t>
      </w:r>
      <w:r w:rsidRPr="007724FF">
        <w:rPr>
          <w:rFonts w:ascii="Palatino Linotype" w:hAnsi="Palatino Linotype"/>
          <w:lang w:val="es-ES"/>
        </w:rPr>
        <w:t xml:space="preserve">firme como alegó </w:t>
      </w:r>
      <w:r w:rsidR="00DC753F" w:rsidRPr="007724FF">
        <w:rPr>
          <w:rFonts w:ascii="Palatino Linotype" w:hAnsi="Palatino Linotype"/>
          <w:lang w:val="es-ES"/>
        </w:rPr>
        <w:t xml:space="preserve">en su respuesta </w:t>
      </w:r>
      <w:r w:rsidRPr="007724FF">
        <w:rPr>
          <w:rFonts w:ascii="Palatino Linotype" w:hAnsi="Palatino Linotype"/>
          <w:lang w:val="es-ES"/>
        </w:rPr>
        <w:t xml:space="preserve">el </w:t>
      </w:r>
      <w:r w:rsidRPr="007724FF">
        <w:rPr>
          <w:rFonts w:ascii="Palatino Linotype" w:hAnsi="Palatino Linotype"/>
          <w:b/>
          <w:lang w:val="es-ES"/>
        </w:rPr>
        <w:t>SUJETO OBLIGADO</w:t>
      </w:r>
      <w:r w:rsidR="003E5AC0" w:rsidRPr="007724FF">
        <w:rPr>
          <w:rFonts w:ascii="Palatino Linotype" w:hAnsi="Palatino Linotype"/>
          <w:b/>
          <w:lang w:val="es-ES"/>
        </w:rPr>
        <w:t>,</w:t>
      </w:r>
      <w:r w:rsidRPr="007724FF">
        <w:rPr>
          <w:rFonts w:ascii="Palatino Linotype" w:hAnsi="Palatino Linotype"/>
          <w:b/>
          <w:lang w:val="es-ES"/>
        </w:rPr>
        <w:t xml:space="preserve"> </w:t>
      </w:r>
      <w:r w:rsidRPr="007724FF">
        <w:rPr>
          <w:rFonts w:ascii="Palatino Linotype" w:hAnsi="Palatino Linotype"/>
          <w:lang w:val="es-ES"/>
        </w:rPr>
        <w:t>ciertamente corresponde a información</w:t>
      </w:r>
      <w:r w:rsidR="0012189D">
        <w:rPr>
          <w:rFonts w:ascii="Palatino Linotype" w:hAnsi="Palatino Linotype"/>
          <w:lang w:val="es-ES"/>
        </w:rPr>
        <w:t xml:space="preserve"> susceptible de ser clasificada; </w:t>
      </w:r>
      <w:r w:rsidR="0012189D" w:rsidRPr="0012189D">
        <w:rPr>
          <w:rFonts w:ascii="Palatino Linotype" w:hAnsi="Palatino Linotype"/>
          <w:b/>
          <w:lang w:val="es-ES"/>
        </w:rPr>
        <w:t>ya que en dicho proceso constitucional, constan etapas de desahogo, como la presentación de pruebas y alegatos, por lo que la divulgación de documentos relacionados con el tema, puede afectar derechos procesales, como la conducción del debido proceso, generar inconformidades en las partes, y el desacato a lo ordenado por la autoridad a cargo de la Controversia.</w:t>
      </w:r>
    </w:p>
    <w:p w:rsidR="00916911" w:rsidRPr="007724FF" w:rsidRDefault="00916911" w:rsidP="007724FF">
      <w:pPr>
        <w:spacing w:line="360" w:lineRule="auto"/>
        <w:contextualSpacing/>
        <w:jc w:val="both"/>
        <w:rPr>
          <w:rFonts w:ascii="Palatino Linotype" w:hAnsi="Palatino Linotype"/>
          <w:b/>
          <w:lang w:val="es-ES"/>
        </w:rPr>
      </w:pPr>
    </w:p>
    <w:p w:rsidR="00916911" w:rsidRPr="00F35674" w:rsidRDefault="00916911" w:rsidP="005A7F80">
      <w:pPr>
        <w:numPr>
          <w:ilvl w:val="0"/>
          <w:numId w:val="1"/>
        </w:numPr>
        <w:spacing w:line="360" w:lineRule="auto"/>
        <w:ind w:left="0" w:firstLine="0"/>
        <w:contextualSpacing/>
        <w:jc w:val="both"/>
        <w:rPr>
          <w:rFonts w:ascii="Palatino Linotype" w:hAnsi="Palatino Linotype"/>
          <w:lang w:val="es-ES"/>
        </w:rPr>
      </w:pPr>
      <w:r w:rsidRPr="00F35674">
        <w:rPr>
          <w:rFonts w:ascii="Palatino Linotype" w:hAnsi="Palatino Linotype"/>
          <w:lang w:val="es-ES"/>
        </w:rPr>
        <w:t xml:space="preserve">No obstante lo anterior, es importante señalar que la información relativa a los proveídos dictados durante la tramitación de </w:t>
      </w:r>
      <w:r w:rsidR="0048081D">
        <w:rPr>
          <w:rFonts w:ascii="Palatino Linotype" w:hAnsi="Palatino Linotype"/>
          <w:lang w:val="es-ES"/>
        </w:rPr>
        <w:t>controversias constitucionales</w:t>
      </w:r>
      <w:r w:rsidRPr="00F35674">
        <w:rPr>
          <w:rFonts w:ascii="Palatino Linotype" w:hAnsi="Palatino Linotype"/>
          <w:lang w:val="es-ES"/>
        </w:rPr>
        <w:t xml:space="preserve"> </w:t>
      </w:r>
      <w:r w:rsidR="0048081D">
        <w:rPr>
          <w:rFonts w:ascii="Palatino Linotype" w:hAnsi="Palatino Linotype"/>
          <w:lang w:val="es-ES"/>
        </w:rPr>
        <w:t>son</w:t>
      </w:r>
      <w:r w:rsidRPr="00F35674">
        <w:rPr>
          <w:rFonts w:ascii="Palatino Linotype" w:hAnsi="Palatino Linotype"/>
          <w:lang w:val="es-ES"/>
        </w:rPr>
        <w:t xml:space="preserve"> de carácter público, por tratarse de resoluci</w:t>
      </w:r>
      <w:r w:rsidR="0048081D">
        <w:rPr>
          <w:rFonts w:ascii="Palatino Linotype" w:hAnsi="Palatino Linotype"/>
          <w:lang w:val="es-ES"/>
        </w:rPr>
        <w:t>ones intermedias dictadas en los</w:t>
      </w:r>
      <w:r w:rsidRPr="00F35674">
        <w:rPr>
          <w:rFonts w:ascii="Palatino Linotype" w:hAnsi="Palatino Linotype"/>
          <w:lang w:val="es-ES"/>
        </w:rPr>
        <w:t xml:space="preserve"> asunto</w:t>
      </w:r>
      <w:r w:rsidR="0048081D">
        <w:rPr>
          <w:rFonts w:ascii="Palatino Linotype" w:hAnsi="Palatino Linotype"/>
          <w:lang w:val="es-ES"/>
        </w:rPr>
        <w:t>s</w:t>
      </w:r>
      <w:r w:rsidRPr="00F35674">
        <w:rPr>
          <w:rFonts w:ascii="Palatino Linotype" w:hAnsi="Palatino Linotype"/>
          <w:lang w:val="es-ES"/>
        </w:rPr>
        <w:t xml:space="preserve">, </w:t>
      </w:r>
      <w:r w:rsidR="00FF2FD9">
        <w:rPr>
          <w:rFonts w:ascii="Palatino Linotype" w:hAnsi="Palatino Linotype"/>
          <w:lang w:val="es-ES"/>
        </w:rPr>
        <w:t>mismas que también</w:t>
      </w:r>
      <w:r w:rsidRPr="00F35674">
        <w:rPr>
          <w:rFonts w:ascii="Palatino Linotype" w:hAnsi="Palatino Linotype"/>
          <w:lang w:val="es-ES"/>
        </w:rPr>
        <w:t xml:space="preserve"> se encuentran pub</w:t>
      </w:r>
      <w:r w:rsidR="00E230C8">
        <w:rPr>
          <w:rFonts w:ascii="Palatino Linotype" w:hAnsi="Palatino Linotype"/>
          <w:lang w:val="es-ES"/>
        </w:rPr>
        <w:t>licadas en el sitio oficial de I</w:t>
      </w:r>
      <w:r w:rsidRPr="00F35674">
        <w:rPr>
          <w:rFonts w:ascii="Palatino Linotype" w:hAnsi="Palatino Linotype"/>
          <w:lang w:val="es-ES"/>
        </w:rPr>
        <w:t>nternet del más Alto Tribunal del País (www.scjn.gob.mx), por lo que –</w:t>
      </w:r>
      <w:r w:rsidR="003E5AC0" w:rsidRPr="00F35674">
        <w:rPr>
          <w:rFonts w:ascii="Palatino Linotype" w:hAnsi="Palatino Linotype"/>
          <w:lang w:val="es-ES"/>
        </w:rPr>
        <w:t>incluso</w:t>
      </w:r>
      <w:r w:rsidRPr="00F35674">
        <w:rPr>
          <w:rFonts w:ascii="Palatino Linotype" w:hAnsi="Palatino Linotype"/>
          <w:lang w:val="es-ES"/>
        </w:rPr>
        <w:t xml:space="preserve">– puede ser obtenida por </w:t>
      </w:r>
      <w:r w:rsidR="003E5AC0" w:rsidRPr="00F35674">
        <w:rPr>
          <w:rFonts w:ascii="Palatino Linotype" w:hAnsi="Palatino Linotype"/>
          <w:lang w:val="es-ES"/>
        </w:rPr>
        <w:t xml:space="preserve">cualquier persona </w:t>
      </w:r>
      <w:r w:rsidR="00D35301" w:rsidRPr="00F35674">
        <w:rPr>
          <w:rFonts w:ascii="Palatino Linotype" w:hAnsi="Palatino Linotype"/>
          <w:lang w:val="es-ES"/>
        </w:rPr>
        <w:t>por ser una</w:t>
      </w:r>
      <w:r w:rsidR="003E5AC0" w:rsidRPr="00F35674">
        <w:rPr>
          <w:rFonts w:ascii="Palatino Linotype" w:hAnsi="Palatino Linotype"/>
          <w:lang w:val="es-ES"/>
        </w:rPr>
        <w:t xml:space="preserve"> </w:t>
      </w:r>
      <w:r w:rsidR="003E5AC0" w:rsidRPr="00F35674">
        <w:rPr>
          <w:rFonts w:ascii="Palatino Linotype" w:hAnsi="Palatino Linotype"/>
          <w:b/>
          <w:lang w:val="es-ES"/>
        </w:rPr>
        <w:t>fuente de acceso público</w:t>
      </w:r>
      <w:r w:rsidR="00D35301" w:rsidRPr="00F35674">
        <w:rPr>
          <w:rFonts w:ascii="Palatino Linotype" w:hAnsi="Palatino Linotype"/>
          <w:lang w:val="es-ES"/>
        </w:rPr>
        <w:t xml:space="preserve">; cuyo concepto se determina que corresponde a los sistemas y bases de datos que por disposición de Ley pueden ser consultados públicamente, cuando no exista impedimento por una norma limitativa. </w:t>
      </w:r>
    </w:p>
    <w:p w:rsidR="0048081D" w:rsidRPr="00E230C8" w:rsidRDefault="004960F6" w:rsidP="005A7F80">
      <w:pPr>
        <w:numPr>
          <w:ilvl w:val="0"/>
          <w:numId w:val="1"/>
        </w:numPr>
        <w:spacing w:line="360" w:lineRule="auto"/>
        <w:ind w:left="0" w:firstLine="0"/>
        <w:contextualSpacing/>
        <w:jc w:val="both"/>
        <w:rPr>
          <w:rFonts w:ascii="Palatino Linotype" w:eastAsia="MS Mincho" w:hAnsi="Palatino Linotype" w:cstheme="majorBidi"/>
          <w:lang w:val="es-ES"/>
        </w:rPr>
      </w:pPr>
      <w:r w:rsidRPr="007724FF">
        <w:rPr>
          <w:rFonts w:ascii="Palatino Linotype" w:hAnsi="Palatino Linotype"/>
          <w:lang w:val="es-ES"/>
        </w:rPr>
        <w:lastRenderedPageBreak/>
        <w:t xml:space="preserve">Por lo que se concluye que </w:t>
      </w:r>
      <w:r w:rsidRPr="007724FF">
        <w:rPr>
          <w:rFonts w:ascii="Palatino Linotype" w:hAnsi="Palatino Linotype"/>
          <w:b/>
          <w:lang w:val="es-ES"/>
        </w:rPr>
        <w:t>el contenido del expediente es reservado</w:t>
      </w:r>
      <w:r w:rsidRPr="007724FF">
        <w:rPr>
          <w:rFonts w:ascii="Palatino Linotype" w:hAnsi="Palatino Linotype"/>
          <w:lang w:val="es-ES"/>
        </w:rPr>
        <w:t xml:space="preserve">, con excepción de los </w:t>
      </w:r>
      <w:r w:rsidRPr="007724FF">
        <w:rPr>
          <w:rFonts w:ascii="Palatino Linotype" w:hAnsi="Palatino Linotype"/>
          <w:b/>
          <w:lang w:val="es-ES"/>
        </w:rPr>
        <w:t>acuerdos dictados</w:t>
      </w:r>
      <w:r w:rsidRPr="007724FF">
        <w:rPr>
          <w:rFonts w:ascii="Palatino Linotype" w:hAnsi="Palatino Linotype"/>
          <w:lang w:val="es-ES"/>
        </w:rPr>
        <w:t xml:space="preserve"> en el expediente princip</w:t>
      </w:r>
      <w:r w:rsidR="0048081D">
        <w:rPr>
          <w:rFonts w:ascii="Palatino Linotype" w:hAnsi="Palatino Linotype"/>
          <w:lang w:val="es-ES"/>
        </w:rPr>
        <w:t xml:space="preserve">al que son de carácter </w:t>
      </w:r>
      <w:r w:rsidR="0048081D" w:rsidRPr="00E230C8">
        <w:rPr>
          <w:rFonts w:ascii="Palatino Linotype" w:hAnsi="Palatino Linotype"/>
          <w:lang w:val="es-ES"/>
        </w:rPr>
        <w:t>público.</w:t>
      </w:r>
    </w:p>
    <w:p w:rsidR="0048081D" w:rsidRPr="00E230C8" w:rsidRDefault="0048081D" w:rsidP="0048081D">
      <w:pPr>
        <w:spacing w:line="360" w:lineRule="auto"/>
        <w:contextualSpacing/>
        <w:jc w:val="both"/>
        <w:rPr>
          <w:rFonts w:ascii="Palatino Linotype" w:eastAsia="MS Mincho" w:hAnsi="Palatino Linotype" w:cstheme="majorBidi"/>
          <w:lang w:val="es-ES"/>
        </w:rPr>
      </w:pPr>
    </w:p>
    <w:p w:rsidR="004960F6" w:rsidRPr="007724FF" w:rsidRDefault="0048081D" w:rsidP="005A7F80">
      <w:pPr>
        <w:numPr>
          <w:ilvl w:val="0"/>
          <w:numId w:val="1"/>
        </w:numPr>
        <w:spacing w:line="360" w:lineRule="auto"/>
        <w:ind w:left="0" w:firstLine="0"/>
        <w:contextualSpacing/>
        <w:jc w:val="both"/>
        <w:rPr>
          <w:rFonts w:ascii="Palatino Linotype" w:eastAsia="MS Mincho" w:hAnsi="Palatino Linotype" w:cstheme="majorBidi"/>
          <w:lang w:val="es-ES"/>
        </w:rPr>
      </w:pPr>
      <w:r w:rsidRPr="00E230C8">
        <w:rPr>
          <w:rFonts w:ascii="Palatino Linotype" w:hAnsi="Palatino Linotype"/>
          <w:lang w:val="es-ES"/>
        </w:rPr>
        <w:t>Ahora bien</w:t>
      </w:r>
      <w:r w:rsidR="00541F7E" w:rsidRPr="00E230C8">
        <w:rPr>
          <w:rFonts w:ascii="Palatino Linotype" w:hAnsi="Palatino Linotype"/>
          <w:lang w:val="es-ES"/>
        </w:rPr>
        <w:t>,</w:t>
      </w:r>
      <w:r w:rsidR="004960F6" w:rsidRPr="00E230C8">
        <w:rPr>
          <w:rFonts w:ascii="Palatino Linotype" w:eastAsia="MS Mincho" w:hAnsi="Palatino Linotype" w:cstheme="majorBidi"/>
          <w:lang w:val="es-ES"/>
        </w:rPr>
        <w:t xml:space="preserve"> la constitución local y la Ley de Transparencia y Acceso a la Información Pública del Estado de México y Municipios establece las únicas dos limitantes que se pueden actualizar para restringir el acceso a los documentos en posesión de los entes públicos, así como un</w:t>
      </w:r>
      <w:r w:rsidR="004960F6" w:rsidRPr="007724FF">
        <w:rPr>
          <w:rFonts w:ascii="Palatino Linotype" w:eastAsia="MS Mincho" w:hAnsi="Palatino Linotype" w:cstheme="majorBidi"/>
          <w:lang w:val="es-ES"/>
        </w:rPr>
        <w:t xml:space="preserve"> catálogo limitado de premisas para que la información sea reservada por causas de interés público:</w:t>
      </w:r>
    </w:p>
    <w:p w:rsidR="004960F6" w:rsidRPr="007724FF" w:rsidRDefault="004960F6" w:rsidP="007724FF">
      <w:pPr>
        <w:spacing w:line="360" w:lineRule="auto"/>
        <w:ind w:left="360"/>
        <w:contextualSpacing/>
        <w:jc w:val="both"/>
        <w:rPr>
          <w:rFonts w:ascii="Palatino Linotype" w:eastAsia="MS Mincho" w:hAnsi="Palatino Linotype" w:cstheme="majorBidi"/>
          <w:lang w:val="es-ES"/>
        </w:rPr>
      </w:pP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b/>
          <w:i/>
        </w:rPr>
        <w:t>“Artículo 4.</w:t>
      </w:r>
      <w:r w:rsidRPr="007724FF">
        <w:rPr>
          <w:rFonts w:ascii="Palatino Linotype" w:eastAsia="MS Mincho" w:hAnsi="Palatino Linotype" w:cstheme="majorBidi"/>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960F6" w:rsidRPr="007724FF" w:rsidRDefault="004960F6" w:rsidP="007724FF">
      <w:pPr>
        <w:spacing w:line="360" w:lineRule="auto"/>
        <w:ind w:left="567" w:right="615"/>
        <w:contextualSpacing/>
        <w:jc w:val="both"/>
        <w:rPr>
          <w:rFonts w:ascii="Palatino Linotype" w:eastAsia="MS Mincho" w:hAnsi="Palatino Linotype" w:cstheme="majorBidi"/>
          <w:b/>
          <w:i/>
        </w:rPr>
      </w:pPr>
      <w:r w:rsidRPr="007724FF">
        <w:rPr>
          <w:rFonts w:ascii="Palatino Linotype" w:eastAsia="MS Mincho" w:hAnsi="Palatino Linotype" w:cstheme="majorBidi"/>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7724FF">
        <w:rPr>
          <w:rFonts w:ascii="Palatino Linotype" w:eastAsia="MS Mincho" w:hAnsi="Palatino Linotype" w:cstheme="majorBidi"/>
          <w:b/>
          <w:i/>
        </w:rPr>
        <w:t>Solo podrá ser clasificada excepcionalmente como reservada temporalmente por razones de interés público, en los términos de las causas legítimas y estrictamente necesarias previstas por esta Ley.</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lastRenderedPageBreak/>
        <w:t>Los sujetos obligados deben poner en práctica, políticas y programas de acceso a la información que se apeguen a criterios de publicidad, veracidad, oportunidad, precisión y suficiencia en beneficio de los solicitantes.</w:t>
      </w:r>
    </w:p>
    <w:p w:rsidR="004960F6"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w:t>
      </w:r>
    </w:p>
    <w:p w:rsidR="0048081D" w:rsidRPr="007724FF" w:rsidRDefault="0048081D" w:rsidP="007724FF">
      <w:pPr>
        <w:spacing w:line="360" w:lineRule="auto"/>
        <w:ind w:left="567" w:right="615"/>
        <w:contextualSpacing/>
        <w:jc w:val="both"/>
        <w:rPr>
          <w:rFonts w:ascii="Palatino Linotype" w:eastAsia="MS Mincho" w:hAnsi="Palatino Linotype" w:cstheme="majorBidi"/>
          <w:i/>
        </w:rPr>
      </w:pP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w:t>
      </w:r>
      <w:r w:rsidRPr="007724FF">
        <w:rPr>
          <w:rFonts w:ascii="Palatino Linotype" w:eastAsia="MS Mincho" w:hAnsi="Palatino Linotype" w:cstheme="majorBidi"/>
          <w:b/>
          <w:i/>
        </w:rPr>
        <w:t>Artículo 122.</w:t>
      </w:r>
      <w:r w:rsidRPr="007724FF">
        <w:rPr>
          <w:rFonts w:ascii="Palatino Linotype" w:eastAsia="MS Mincho" w:hAnsi="Palatino Linotype" w:cstheme="majorBidi"/>
          <w:i/>
        </w:rPr>
        <w:t xml:space="preserve"> La clasificación es el proceso mediante el cual el sujeto obligado determina que la información en su poder</w:t>
      </w:r>
      <w:r w:rsidRPr="007724FF">
        <w:rPr>
          <w:rFonts w:ascii="Palatino Linotype" w:eastAsia="MS Mincho" w:hAnsi="Palatino Linotype" w:cstheme="majorBidi"/>
          <w:b/>
          <w:i/>
        </w:rPr>
        <w:t xml:space="preserve"> </w:t>
      </w:r>
      <w:proofErr w:type="spellStart"/>
      <w:r w:rsidRPr="007724FF">
        <w:rPr>
          <w:rFonts w:ascii="Palatino Linotype" w:eastAsia="MS Mincho" w:hAnsi="Palatino Linotype" w:cstheme="majorBidi"/>
          <w:b/>
          <w:i/>
        </w:rPr>
        <w:t>actualiza</w:t>
      </w:r>
      <w:proofErr w:type="spellEnd"/>
      <w:r w:rsidRPr="007724FF">
        <w:rPr>
          <w:rFonts w:ascii="Palatino Linotype" w:eastAsia="MS Mincho" w:hAnsi="Palatino Linotype" w:cstheme="majorBidi"/>
          <w:b/>
          <w:i/>
        </w:rPr>
        <w:t xml:space="preserve"> alguno de los supuestos de reserva o confidencialidad</w:t>
      </w:r>
      <w:r w:rsidRPr="007724FF">
        <w:rPr>
          <w:rFonts w:ascii="Palatino Linotype" w:eastAsia="MS Mincho" w:hAnsi="Palatino Linotype" w:cstheme="majorBidi"/>
          <w:i/>
        </w:rPr>
        <w:t>, de conformidad con lo dispuesto en el presente título.</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Los supuestos de reserva o confidencialidad previstos en las leyes deberán ser acordes con las bases, principios y disposiciones establecidos en la Ley General y, en ningún caso, podrán contravenirla.</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Los titulares de las áreas de los sujetos obligados serán los responsables de clasificar la información, de conformidad con lo dispuesto en la presente Ley y demás disposiciones jurídicas aplicables.</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w:t>
      </w:r>
    </w:p>
    <w:p w:rsidR="00C47707" w:rsidRPr="007724FF" w:rsidRDefault="00C47707" w:rsidP="007724FF">
      <w:pPr>
        <w:spacing w:line="360" w:lineRule="auto"/>
        <w:ind w:left="567" w:right="615"/>
        <w:contextualSpacing/>
        <w:jc w:val="both"/>
        <w:rPr>
          <w:rFonts w:ascii="Palatino Linotype" w:eastAsia="MS Mincho" w:hAnsi="Palatino Linotype" w:cstheme="majorBidi"/>
          <w:i/>
        </w:rPr>
      </w:pP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w:t>
      </w:r>
      <w:r w:rsidRPr="007724FF">
        <w:rPr>
          <w:rFonts w:ascii="Palatino Linotype" w:eastAsia="MS Mincho" w:hAnsi="Palatino Linotype" w:cstheme="majorBidi"/>
          <w:b/>
          <w:i/>
        </w:rPr>
        <w:t>Artículo 140.</w:t>
      </w:r>
      <w:r w:rsidRPr="007724FF">
        <w:rPr>
          <w:rFonts w:ascii="Palatino Linotype" w:eastAsia="MS Mincho" w:hAnsi="Palatino Linotype" w:cstheme="majorBidi"/>
          <w:i/>
        </w:rPr>
        <w:t xml:space="preserve"> </w:t>
      </w:r>
      <w:r w:rsidRPr="007724FF">
        <w:rPr>
          <w:rFonts w:ascii="Palatino Linotype" w:eastAsia="MS Mincho" w:hAnsi="Palatino Linotype" w:cstheme="majorBidi"/>
          <w:b/>
          <w:i/>
        </w:rPr>
        <w:t>El acceso a la información pública será restringido excepcionalmente, cuando por razones de interés público, ésta sea clasificada como reservada</w:t>
      </w:r>
      <w:r w:rsidRPr="007724FF">
        <w:rPr>
          <w:rFonts w:ascii="Palatino Linotype" w:eastAsia="MS Mincho" w:hAnsi="Palatino Linotype" w:cstheme="majorBidi"/>
          <w:i/>
        </w:rPr>
        <w:t>, conforme a los criterios siguientes:</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 xml:space="preserve">VIII. </w:t>
      </w:r>
      <w:r w:rsidRPr="00E230C8">
        <w:rPr>
          <w:rFonts w:ascii="Palatino Linotype" w:eastAsia="MS Mincho" w:hAnsi="Palatino Linotype" w:cstheme="majorBidi"/>
          <w:b/>
          <w:i/>
        </w:rPr>
        <w:t>Vulnere la conducción de los expedientes judiciales o de los procedimientos administrativos seguidos en forma de juicio, en tanto no hayan quedado firmes;</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lastRenderedPageBreak/>
        <w:t>IX. Se encuentre contenida dentro de las investigaciones de hechos que la Ley señale como delitos y se tramiten ante el Ministerio Público;</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r w:rsidRPr="007724FF">
        <w:rPr>
          <w:rFonts w:ascii="Palatino Linotype" w:eastAsia="MS Mincho" w:hAnsi="Palatino Linotype" w:cstheme="majorBidi"/>
          <w:i/>
        </w:rPr>
        <w:t xml:space="preserve">X. El daño que pueda producirse con la publicación de la información sea mayor que el interés público de conocer la información de referencia, siempre que esté </w:t>
      </w:r>
      <w:r w:rsidRPr="00E230C8">
        <w:rPr>
          <w:rFonts w:ascii="Palatino Linotype" w:eastAsia="MS Mincho" w:hAnsi="Palatino Linotype" w:cstheme="majorBidi"/>
          <w:b/>
          <w:i/>
        </w:rPr>
        <w:t>directamente relacionado con procesos o procedimientos administrativos o judiciales que no hayan quedado firmes;</w:t>
      </w:r>
    </w:p>
    <w:p w:rsidR="004960F6" w:rsidRPr="007724FF" w:rsidRDefault="00E230C8" w:rsidP="007724FF">
      <w:pPr>
        <w:spacing w:line="360" w:lineRule="auto"/>
        <w:ind w:left="567" w:right="615"/>
        <w:contextualSpacing/>
        <w:jc w:val="both"/>
        <w:rPr>
          <w:rFonts w:ascii="Palatino Linotype" w:eastAsia="MS Mincho" w:hAnsi="Palatino Linotype" w:cstheme="majorBidi"/>
          <w:i/>
        </w:rPr>
      </w:pPr>
      <w:r>
        <w:rPr>
          <w:rFonts w:ascii="Palatino Linotype" w:eastAsia="MS Mincho" w:hAnsi="Palatino Linotype" w:cstheme="majorBidi"/>
          <w:i/>
        </w:rPr>
        <w:t>…</w:t>
      </w:r>
      <w:r w:rsidR="004960F6" w:rsidRPr="007724FF">
        <w:rPr>
          <w:rFonts w:ascii="Palatino Linotype" w:eastAsia="MS Mincho" w:hAnsi="Palatino Linotype" w:cstheme="majorBidi"/>
          <w:i/>
        </w:rPr>
        <w:t>”</w:t>
      </w:r>
    </w:p>
    <w:p w:rsidR="004960F6" w:rsidRPr="007724FF" w:rsidRDefault="004960F6" w:rsidP="007724FF">
      <w:pPr>
        <w:spacing w:line="360" w:lineRule="auto"/>
        <w:ind w:left="567" w:right="615"/>
        <w:contextualSpacing/>
        <w:jc w:val="both"/>
        <w:rPr>
          <w:rFonts w:ascii="Palatino Linotype" w:eastAsia="MS Mincho" w:hAnsi="Palatino Linotype" w:cstheme="majorBidi"/>
          <w:i/>
        </w:rPr>
      </w:pPr>
    </w:p>
    <w:p w:rsidR="004960F6" w:rsidRPr="007724FF" w:rsidRDefault="004960F6" w:rsidP="007724FF">
      <w:pPr>
        <w:spacing w:line="360" w:lineRule="auto"/>
        <w:ind w:left="567" w:right="615"/>
        <w:contextualSpacing/>
        <w:jc w:val="both"/>
        <w:rPr>
          <w:rFonts w:ascii="Palatino Linotype" w:eastAsia="MS Mincho" w:hAnsi="Palatino Linotype" w:cstheme="majorBidi"/>
          <w:b/>
          <w:i/>
        </w:rPr>
      </w:pPr>
      <w:r w:rsidRPr="007724FF">
        <w:rPr>
          <w:rFonts w:ascii="Palatino Linotype" w:eastAsia="MS Mincho" w:hAnsi="Palatino Linotype" w:cstheme="majorBidi"/>
          <w:i/>
        </w:rPr>
        <w:t>“</w:t>
      </w:r>
      <w:r w:rsidRPr="00FC28F5">
        <w:rPr>
          <w:rFonts w:ascii="Palatino Linotype" w:eastAsia="MS Mincho" w:hAnsi="Palatino Linotype" w:cstheme="majorBidi"/>
          <w:i/>
        </w:rPr>
        <w:t>Artículo 141. Las causales de reserva previstas en este Capítulo se</w:t>
      </w:r>
      <w:r w:rsidRPr="007724FF">
        <w:rPr>
          <w:rFonts w:ascii="Palatino Linotype" w:eastAsia="MS Mincho" w:hAnsi="Palatino Linotype" w:cstheme="majorBidi"/>
          <w:b/>
          <w:i/>
        </w:rPr>
        <w:t xml:space="preserve"> deberán fundar y motivar, a través de la aplicación de la prueba de daño </w:t>
      </w:r>
      <w:r w:rsidRPr="00FC28F5">
        <w:rPr>
          <w:rFonts w:ascii="Palatino Linotype" w:eastAsia="MS Mincho" w:hAnsi="Palatino Linotype" w:cstheme="majorBidi"/>
          <w:i/>
        </w:rPr>
        <w:t>a la que se hace referencia en el presente Título.”</w:t>
      </w:r>
    </w:p>
    <w:p w:rsidR="004960F6" w:rsidRPr="007724FF" w:rsidRDefault="004960F6" w:rsidP="007724FF">
      <w:pPr>
        <w:spacing w:line="360" w:lineRule="auto"/>
        <w:ind w:left="567" w:right="615"/>
        <w:contextualSpacing/>
        <w:jc w:val="both"/>
        <w:rPr>
          <w:rFonts w:ascii="Palatino Linotype" w:eastAsia="MS Mincho" w:hAnsi="Palatino Linotype" w:cstheme="majorBidi"/>
        </w:rPr>
      </w:pPr>
      <w:r w:rsidRPr="007724FF">
        <w:rPr>
          <w:rFonts w:ascii="Palatino Linotype" w:eastAsia="MS Mincho" w:hAnsi="Palatino Linotype" w:cstheme="majorBidi"/>
        </w:rPr>
        <w:t xml:space="preserve">(Énfasis añadido) </w:t>
      </w:r>
    </w:p>
    <w:p w:rsidR="00C47707" w:rsidRPr="007724FF" w:rsidRDefault="00C47707" w:rsidP="007724FF">
      <w:pPr>
        <w:spacing w:line="360" w:lineRule="auto"/>
        <w:ind w:left="567" w:right="615"/>
        <w:contextualSpacing/>
        <w:jc w:val="both"/>
        <w:rPr>
          <w:rFonts w:ascii="Palatino Linotype" w:eastAsia="MS Mincho" w:hAnsi="Palatino Linotype" w:cstheme="majorBidi"/>
          <w:b/>
          <w:i/>
        </w:rPr>
      </w:pPr>
    </w:p>
    <w:p w:rsidR="00FC28F5" w:rsidRPr="0048081D" w:rsidRDefault="0048081D" w:rsidP="005A7F80">
      <w:pPr>
        <w:numPr>
          <w:ilvl w:val="0"/>
          <w:numId w:val="1"/>
        </w:numPr>
        <w:spacing w:line="360" w:lineRule="auto"/>
        <w:ind w:left="0" w:firstLine="0"/>
        <w:contextualSpacing/>
        <w:jc w:val="both"/>
        <w:rPr>
          <w:rFonts w:ascii="Palatino Linotype" w:eastAsia="MS Mincho" w:hAnsi="Palatino Linotype" w:cstheme="majorBidi"/>
        </w:rPr>
      </w:pPr>
      <w:r w:rsidRPr="0048081D">
        <w:rPr>
          <w:rFonts w:ascii="Palatino Linotype" w:eastAsia="MS Mincho" w:hAnsi="Palatino Linotype" w:cstheme="majorBidi"/>
        </w:rPr>
        <w:t>De</w:t>
      </w:r>
      <w:r w:rsidR="00FC28F5" w:rsidRPr="0048081D">
        <w:rPr>
          <w:rFonts w:ascii="Palatino Linotype" w:eastAsia="MS Mincho" w:hAnsi="Palatino Linotype" w:cstheme="majorBidi"/>
        </w:rPr>
        <w:t xml:space="preserve"> la causal de reserva en mención, debe señalarse –de manera análoga- que los Lineamientos generales en materia de clasificación y desclasificación de la información, así como para la elaboración de versiones públicas, prevén lo siguiente:</w:t>
      </w:r>
    </w:p>
    <w:p w:rsidR="00FC28F5" w:rsidRDefault="00FC28F5" w:rsidP="00FC28F5">
      <w:pPr>
        <w:spacing w:line="360" w:lineRule="auto"/>
        <w:contextualSpacing/>
        <w:jc w:val="both"/>
        <w:rPr>
          <w:rFonts w:ascii="Palatino Linotype" w:eastAsia="MS Mincho" w:hAnsi="Palatino Linotype" w:cstheme="majorBidi"/>
        </w:rPr>
      </w:pPr>
    </w:p>
    <w:p w:rsidR="0048081D" w:rsidRPr="003023D1" w:rsidRDefault="00F35674" w:rsidP="00F35674">
      <w:pPr>
        <w:spacing w:line="360" w:lineRule="auto"/>
        <w:ind w:left="284" w:right="333"/>
        <w:jc w:val="both"/>
        <w:rPr>
          <w:rFonts w:ascii="Palatino Linotype" w:hAnsi="Palatino Linotype"/>
          <w:i/>
        </w:rPr>
      </w:pPr>
      <w:r w:rsidRPr="003023D1">
        <w:rPr>
          <w:rFonts w:ascii="Palatino Linotype" w:hAnsi="Palatino Linotype"/>
          <w:i/>
        </w:rPr>
        <w:t>“</w:t>
      </w:r>
      <w:r w:rsidRPr="003023D1">
        <w:rPr>
          <w:rFonts w:ascii="Palatino Linotype" w:hAnsi="Palatino Linotype"/>
          <w:b/>
          <w:i/>
        </w:rPr>
        <w:t>TRIGÉSIMO</w:t>
      </w:r>
      <w:r w:rsidRPr="003023D1">
        <w:rPr>
          <w:rFonts w:ascii="Palatino Linotype" w:hAnsi="Palatino Linotype"/>
          <w:i/>
        </w:rPr>
        <w:t xml:space="preserve">. De conformidad con el artículo 113, fracción XI de la Ley General, </w:t>
      </w:r>
      <w:r w:rsidRPr="003023D1">
        <w:rPr>
          <w:rFonts w:ascii="Palatino Linotype" w:hAnsi="Palatino Linotype"/>
          <w:b/>
          <w:i/>
        </w:rPr>
        <w:t>podrá considerarse como información reservada, aquella que vulnere la conducción de los expedientes judiciales o de los procedimientos administrativos seguidos en forma de juicio</w:t>
      </w:r>
      <w:r w:rsidRPr="003023D1">
        <w:rPr>
          <w:rFonts w:ascii="Palatino Linotype" w:hAnsi="Palatino Linotype"/>
          <w:i/>
        </w:rPr>
        <w:t xml:space="preserve">, siempre y cuando se acrediten </w:t>
      </w:r>
      <w:r w:rsidR="0048081D" w:rsidRPr="003023D1">
        <w:rPr>
          <w:rFonts w:ascii="Palatino Linotype" w:hAnsi="Palatino Linotype"/>
          <w:i/>
        </w:rPr>
        <w:t>los siguientes elementos:</w:t>
      </w:r>
    </w:p>
    <w:p w:rsidR="00F35674" w:rsidRPr="003023D1" w:rsidRDefault="00F35674" w:rsidP="00F35674">
      <w:pPr>
        <w:spacing w:line="360" w:lineRule="auto"/>
        <w:ind w:left="284" w:right="333"/>
        <w:jc w:val="both"/>
        <w:rPr>
          <w:rFonts w:ascii="Palatino Linotype" w:hAnsi="Palatino Linotype"/>
          <w:i/>
        </w:rPr>
      </w:pPr>
      <w:r w:rsidRPr="003023D1">
        <w:rPr>
          <w:rFonts w:ascii="Palatino Linotype" w:hAnsi="Palatino Linotype"/>
          <w:i/>
        </w:rPr>
        <w:t>I. La existencia de un juicio o procedimiento administrativo materialmente jurisdiccional, que se encuentre en trámite, y II. Que la información solicitada se refiera a actuaciones, diligencias o constancias propias del procedimiento.</w:t>
      </w:r>
    </w:p>
    <w:p w:rsidR="00F35674" w:rsidRPr="003023D1" w:rsidRDefault="00F35674" w:rsidP="00F35674">
      <w:pPr>
        <w:spacing w:line="360" w:lineRule="auto"/>
        <w:ind w:left="284" w:right="333"/>
        <w:jc w:val="both"/>
        <w:rPr>
          <w:rFonts w:ascii="Palatino Linotype" w:hAnsi="Palatino Linotype"/>
          <w:i/>
        </w:rPr>
      </w:pPr>
      <w:r w:rsidRPr="003023D1">
        <w:rPr>
          <w:rFonts w:ascii="Palatino Linotype" w:hAnsi="Palatino Linotype"/>
          <w:i/>
        </w:rPr>
        <w:lastRenderedPageBreak/>
        <w:t>Para los efectos del primer párrafo de este numeral, se considera procedimiento seguido en forma de juicio a aquel formalmente administrativo, pero materialmente jurisdiccional; esto es, en el que concurran los siguientes elementos:</w:t>
      </w:r>
    </w:p>
    <w:p w:rsidR="00F35674" w:rsidRPr="003023D1" w:rsidRDefault="00F35674" w:rsidP="00F35674">
      <w:pPr>
        <w:spacing w:line="360" w:lineRule="auto"/>
        <w:ind w:left="284" w:right="333"/>
        <w:jc w:val="both"/>
        <w:rPr>
          <w:rFonts w:ascii="Palatino Linotype" w:hAnsi="Palatino Linotype"/>
          <w:i/>
        </w:rPr>
      </w:pPr>
    </w:p>
    <w:p w:rsidR="00F35674" w:rsidRPr="003023D1" w:rsidRDefault="00F35674" w:rsidP="005A7F80">
      <w:pPr>
        <w:pStyle w:val="Prrafodelista"/>
        <w:numPr>
          <w:ilvl w:val="0"/>
          <w:numId w:val="10"/>
        </w:numPr>
        <w:spacing w:line="360" w:lineRule="auto"/>
        <w:ind w:right="333"/>
        <w:jc w:val="both"/>
        <w:rPr>
          <w:rFonts w:ascii="Palatino Linotype" w:hAnsi="Palatino Linotype"/>
          <w:i/>
        </w:rPr>
      </w:pPr>
      <w:r w:rsidRPr="003023D1">
        <w:rPr>
          <w:rFonts w:ascii="Palatino Linotype" w:hAnsi="Palatino Linotype"/>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F35674" w:rsidRPr="003023D1" w:rsidRDefault="00F35674" w:rsidP="00F35674">
      <w:pPr>
        <w:spacing w:line="360" w:lineRule="auto"/>
        <w:ind w:left="284" w:right="333"/>
        <w:jc w:val="both"/>
        <w:rPr>
          <w:rFonts w:ascii="Palatino Linotype" w:hAnsi="Palatino Linotype"/>
          <w:i/>
        </w:rPr>
      </w:pPr>
    </w:p>
    <w:p w:rsidR="00F35674" w:rsidRPr="003023D1" w:rsidRDefault="00F35674" w:rsidP="005A7F80">
      <w:pPr>
        <w:pStyle w:val="Prrafodelista"/>
        <w:numPr>
          <w:ilvl w:val="0"/>
          <w:numId w:val="10"/>
        </w:numPr>
        <w:spacing w:line="360" w:lineRule="auto"/>
        <w:ind w:right="333"/>
        <w:jc w:val="both"/>
        <w:rPr>
          <w:rFonts w:ascii="Palatino Linotype" w:hAnsi="Palatino Linotype"/>
          <w:i/>
        </w:rPr>
      </w:pPr>
      <w:r w:rsidRPr="003023D1">
        <w:rPr>
          <w:rFonts w:ascii="Palatino Linotype" w:hAnsi="Palatino Linotype"/>
          <w:i/>
        </w:rPr>
        <w:t xml:space="preserve">Que se cumplan las formalidades esenciales del procedimiento. </w:t>
      </w:r>
      <w:r w:rsidRPr="003023D1">
        <w:rPr>
          <w:rFonts w:ascii="Palatino Linotype" w:hAnsi="Palatino Linotype"/>
          <w:b/>
          <w:i/>
        </w:rPr>
        <w:t>No serán objeto de reserva las resoluciones interlocutorias o definitivas que se dicten dentro de los procedimientos o con las que se concluya el mismo. En estos casos deberá otorgarse acceso a la resolución en versión pública</w:t>
      </w:r>
      <w:r w:rsidRPr="003023D1">
        <w:rPr>
          <w:rFonts w:ascii="Palatino Linotype" w:hAnsi="Palatino Linotype"/>
          <w:i/>
        </w:rPr>
        <w:t>, testando la información clasificada.”</w:t>
      </w:r>
    </w:p>
    <w:p w:rsidR="00F35674" w:rsidRPr="00191F44" w:rsidRDefault="00F35674" w:rsidP="00F35674">
      <w:pPr>
        <w:spacing w:line="360" w:lineRule="auto"/>
        <w:jc w:val="both"/>
        <w:rPr>
          <w:rFonts w:ascii="Palatino Linotype" w:hAnsi="Palatino Linotype"/>
        </w:rPr>
      </w:pPr>
    </w:p>
    <w:p w:rsidR="00F35674"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Es decir, para que se actualice el supuesto de reserva que se analiza, deben acreditarse los siguientes elementos:</w:t>
      </w:r>
    </w:p>
    <w:p w:rsidR="00F35674" w:rsidRPr="00191F44" w:rsidRDefault="00F35674" w:rsidP="00F35674">
      <w:pPr>
        <w:spacing w:line="360" w:lineRule="auto"/>
        <w:jc w:val="both"/>
        <w:rPr>
          <w:rFonts w:ascii="Palatino Linotype" w:hAnsi="Palatino Linotype"/>
        </w:rPr>
      </w:pPr>
    </w:p>
    <w:p w:rsidR="00F35674" w:rsidRPr="00113DF1" w:rsidRDefault="00F35674" w:rsidP="005A7F80">
      <w:pPr>
        <w:pStyle w:val="Prrafodelista"/>
        <w:numPr>
          <w:ilvl w:val="0"/>
          <w:numId w:val="8"/>
        </w:numPr>
        <w:spacing w:line="360" w:lineRule="auto"/>
        <w:jc w:val="both"/>
        <w:rPr>
          <w:rFonts w:ascii="Palatino Linotype" w:hAnsi="Palatino Linotype"/>
          <w:b/>
        </w:rPr>
      </w:pPr>
      <w:r w:rsidRPr="00113DF1">
        <w:rPr>
          <w:rFonts w:ascii="Palatino Linotype" w:hAnsi="Palatino Linotype"/>
          <w:b/>
        </w:rPr>
        <w:t>La existencia de un juicio o procedimiento administrativo materialmente jurisdiccional.</w:t>
      </w:r>
    </w:p>
    <w:p w:rsidR="00F35674" w:rsidRPr="00113DF1" w:rsidRDefault="00F35674" w:rsidP="00F35674">
      <w:pPr>
        <w:spacing w:line="360" w:lineRule="auto"/>
        <w:jc w:val="both"/>
        <w:rPr>
          <w:rFonts w:ascii="Palatino Linotype" w:hAnsi="Palatino Linotype"/>
          <w:b/>
        </w:rPr>
      </w:pPr>
    </w:p>
    <w:p w:rsidR="00F35674" w:rsidRPr="00113DF1" w:rsidRDefault="00F35674" w:rsidP="005A7F80">
      <w:pPr>
        <w:pStyle w:val="Prrafodelista"/>
        <w:numPr>
          <w:ilvl w:val="0"/>
          <w:numId w:val="8"/>
        </w:numPr>
        <w:spacing w:line="360" w:lineRule="auto"/>
        <w:jc w:val="both"/>
        <w:rPr>
          <w:rFonts w:ascii="Palatino Linotype" w:hAnsi="Palatino Linotype"/>
          <w:b/>
        </w:rPr>
      </w:pPr>
      <w:r w:rsidRPr="00113DF1">
        <w:rPr>
          <w:rFonts w:ascii="Palatino Linotype" w:hAnsi="Palatino Linotype"/>
          <w:b/>
        </w:rPr>
        <w:t>Que el procedimiento respectivo no haya causado estado.</w:t>
      </w:r>
    </w:p>
    <w:p w:rsidR="00F35674" w:rsidRPr="00113DF1" w:rsidRDefault="00F35674" w:rsidP="00F35674">
      <w:pPr>
        <w:spacing w:line="360" w:lineRule="auto"/>
        <w:jc w:val="both"/>
        <w:rPr>
          <w:rFonts w:ascii="Palatino Linotype" w:hAnsi="Palatino Linotype"/>
          <w:b/>
        </w:rPr>
      </w:pPr>
    </w:p>
    <w:p w:rsidR="00F35674" w:rsidRPr="00113DF1" w:rsidRDefault="00F35674" w:rsidP="005A7F80">
      <w:pPr>
        <w:pStyle w:val="Prrafodelista"/>
        <w:numPr>
          <w:ilvl w:val="0"/>
          <w:numId w:val="8"/>
        </w:numPr>
        <w:spacing w:line="360" w:lineRule="auto"/>
        <w:jc w:val="both"/>
        <w:rPr>
          <w:rFonts w:ascii="Palatino Linotype" w:hAnsi="Palatino Linotype"/>
          <w:b/>
        </w:rPr>
      </w:pPr>
      <w:r w:rsidRPr="00113DF1">
        <w:rPr>
          <w:rFonts w:ascii="Palatino Linotype" w:hAnsi="Palatino Linotype"/>
          <w:b/>
        </w:rPr>
        <w:t>Que la información solicitada se refiera a actuaciones, diligencias o constancias propias del procedimiento.</w:t>
      </w:r>
    </w:p>
    <w:p w:rsidR="00F35674" w:rsidRPr="00191F44" w:rsidRDefault="00F35674" w:rsidP="00F35674">
      <w:pPr>
        <w:spacing w:line="360" w:lineRule="auto"/>
        <w:jc w:val="both"/>
        <w:rPr>
          <w:rFonts w:ascii="Palatino Linotype" w:hAnsi="Palatino Linotype"/>
        </w:rPr>
      </w:pPr>
    </w:p>
    <w:p w:rsidR="00113DF1" w:rsidRDefault="00113DF1" w:rsidP="005A7F80">
      <w:pPr>
        <w:numPr>
          <w:ilvl w:val="0"/>
          <w:numId w:val="1"/>
        </w:numPr>
        <w:spacing w:line="360" w:lineRule="auto"/>
        <w:ind w:left="0" w:firstLine="0"/>
        <w:contextualSpacing/>
        <w:jc w:val="both"/>
        <w:rPr>
          <w:rFonts w:ascii="Palatino Linotype" w:hAnsi="Palatino Linotype"/>
        </w:rPr>
      </w:pPr>
      <w:r>
        <w:rPr>
          <w:rFonts w:ascii="Palatino Linotype" w:hAnsi="Palatino Linotype"/>
        </w:rPr>
        <w:t xml:space="preserve">Al respecto, </w:t>
      </w:r>
      <w:r w:rsidRPr="003023D1">
        <w:rPr>
          <w:rFonts w:ascii="Palatino Linotype" w:hAnsi="Palatino Linotype"/>
          <w:b/>
        </w:rPr>
        <w:t>nuevamente subrayar que n</w:t>
      </w:r>
      <w:r w:rsidR="00F35674" w:rsidRPr="003023D1">
        <w:rPr>
          <w:rFonts w:ascii="Palatino Linotype" w:hAnsi="Palatino Linotype"/>
          <w:b/>
        </w:rPr>
        <w:t>o serán objeto de reserva las resoluciones interlocutorias o definitivas que se dicten dentro de los procedimientos o con las que se concluya el mismo. En estos casos deberá otorgarse acceso a la resolución en versión pública, testa</w:t>
      </w:r>
      <w:r w:rsidRPr="003023D1">
        <w:rPr>
          <w:rFonts w:ascii="Palatino Linotype" w:hAnsi="Palatino Linotype"/>
          <w:b/>
        </w:rPr>
        <w:t>ndo la información clasificada</w:t>
      </w:r>
      <w:r>
        <w:rPr>
          <w:rFonts w:ascii="Palatino Linotype" w:hAnsi="Palatino Linotype"/>
        </w:rPr>
        <w:t>.</w:t>
      </w:r>
    </w:p>
    <w:p w:rsidR="00113DF1" w:rsidRDefault="00113DF1" w:rsidP="00F35674">
      <w:pPr>
        <w:spacing w:line="360" w:lineRule="auto"/>
        <w:jc w:val="both"/>
        <w:rPr>
          <w:rFonts w:ascii="Palatino Linotype" w:hAnsi="Palatino Linotype"/>
        </w:rPr>
      </w:pPr>
    </w:p>
    <w:p w:rsidR="00F35674"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Por tanto, a efecto de determinar la procedencia de la clasificación de la información solicitada con base en la fracción VIII, del artículo 140 de la Ley local de la materia, es indispensable acreditar que la misma forma parte de algún expediente judicial o procedimiento administrativo seguido en forma de juicio, que no haya causado estado y que se refiera a las actuaciones y diligencias propias del juicio o del procedimiento administrativo respectivo</w:t>
      </w:r>
      <w:r w:rsidR="0048081D">
        <w:rPr>
          <w:rFonts w:ascii="Palatino Linotype" w:hAnsi="Palatino Linotype"/>
        </w:rPr>
        <w:t>.</w:t>
      </w:r>
    </w:p>
    <w:p w:rsidR="00F35674" w:rsidRPr="00191F44" w:rsidRDefault="00F35674" w:rsidP="00F35674">
      <w:pPr>
        <w:spacing w:line="360" w:lineRule="auto"/>
        <w:jc w:val="both"/>
        <w:rPr>
          <w:rFonts w:ascii="Palatino Linotype" w:hAnsi="Palatino Linotype"/>
        </w:rPr>
      </w:pPr>
    </w:p>
    <w:p w:rsidR="00F35674"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De esta suerte, se estima que dicha causal de clasificación tiene como propósito evitar injerencias externas que vulneren la objetividad de la autoridad que sustancia el procedimiento de que se trate, es decir, propiciar el buen curso del procedimiento.</w:t>
      </w:r>
    </w:p>
    <w:p w:rsidR="00F35674" w:rsidRPr="00191F44" w:rsidRDefault="00F35674" w:rsidP="00F35674">
      <w:pPr>
        <w:spacing w:line="360" w:lineRule="auto"/>
        <w:jc w:val="both"/>
        <w:rPr>
          <w:rFonts w:ascii="Palatino Linotype" w:hAnsi="Palatino Linotype"/>
        </w:rPr>
      </w:pPr>
    </w:p>
    <w:p w:rsidR="00F35674" w:rsidRPr="00191F44" w:rsidRDefault="00FF2FD9" w:rsidP="005A7F80">
      <w:pPr>
        <w:numPr>
          <w:ilvl w:val="0"/>
          <w:numId w:val="1"/>
        </w:numPr>
        <w:spacing w:line="360" w:lineRule="auto"/>
        <w:ind w:left="0" w:firstLine="0"/>
        <w:contextualSpacing/>
        <w:jc w:val="both"/>
        <w:rPr>
          <w:rFonts w:ascii="Palatino Linotype" w:hAnsi="Palatino Linotype"/>
        </w:rPr>
      </w:pPr>
      <w:r>
        <w:rPr>
          <w:rFonts w:ascii="Palatino Linotype" w:hAnsi="Palatino Linotype"/>
        </w:rPr>
        <w:t>L</w:t>
      </w:r>
      <w:r w:rsidR="00F35674" w:rsidRPr="00191F44">
        <w:rPr>
          <w:rFonts w:ascii="Palatino Linotype" w:hAnsi="Palatino Linotype"/>
        </w:rPr>
        <w:t xml:space="preserve">a razón legal del precepto legal en cita consiste en proteger la capacidad juzgadora de la autoridad encargada de resolver el procedimiento judicial o administrativo seguido en forma de juicio, de tal manera que deben ser consideradas como reservadas aquellas constancias propias del expediente del juicio o del procedimiento administrativo respectivo, cuya difusión pudiera causar un perjuicio a la substanciación del juicio; por ejemplo, a la deliberación que realiza la autoridad </w:t>
      </w:r>
      <w:r w:rsidR="00F35674" w:rsidRPr="00191F44">
        <w:rPr>
          <w:rFonts w:ascii="Palatino Linotype" w:hAnsi="Palatino Linotype"/>
        </w:rPr>
        <w:lastRenderedPageBreak/>
        <w:t>competente para resolver, conforme a derecho, la controversia planteada, en tanto que la difusión de las mismas, podría afectar su convicción respecto a la Litis de las partes que intervienen en el mismo.</w:t>
      </w:r>
    </w:p>
    <w:p w:rsidR="00F35674" w:rsidRPr="00191F44" w:rsidRDefault="00F35674" w:rsidP="00F35674">
      <w:pPr>
        <w:spacing w:line="360" w:lineRule="auto"/>
        <w:jc w:val="both"/>
        <w:rPr>
          <w:rFonts w:ascii="Palatino Linotype" w:hAnsi="Palatino Linotype"/>
        </w:rPr>
      </w:pPr>
    </w:p>
    <w:p w:rsidR="00F35674" w:rsidRDefault="004B1D00" w:rsidP="005A7F80">
      <w:pPr>
        <w:numPr>
          <w:ilvl w:val="0"/>
          <w:numId w:val="1"/>
        </w:numPr>
        <w:spacing w:line="360" w:lineRule="auto"/>
        <w:ind w:left="0" w:firstLine="0"/>
        <w:contextualSpacing/>
        <w:jc w:val="both"/>
        <w:rPr>
          <w:rFonts w:ascii="Palatino Linotype" w:hAnsi="Palatino Linotype"/>
          <w:lang w:val="es-ES"/>
        </w:rPr>
      </w:pPr>
      <w:r>
        <w:rPr>
          <w:rFonts w:ascii="Palatino Linotype" w:hAnsi="Palatino Linotype"/>
          <w:lang w:val="es-ES"/>
        </w:rPr>
        <w:t>Ahora bien, c</w:t>
      </w:r>
      <w:r w:rsidR="00F35674" w:rsidRPr="00191F44">
        <w:rPr>
          <w:rFonts w:ascii="Palatino Linotype" w:hAnsi="Palatino Linotype"/>
          <w:lang w:val="es-ES"/>
        </w:rPr>
        <w:t xml:space="preserve">on base en la controversia señalada por el hoy </w:t>
      </w:r>
      <w:r w:rsidR="00F35674" w:rsidRPr="00191F44">
        <w:rPr>
          <w:rFonts w:ascii="Palatino Linotype" w:hAnsi="Palatino Linotype"/>
          <w:b/>
          <w:lang w:val="es-ES"/>
        </w:rPr>
        <w:t>RECURRENTE</w:t>
      </w:r>
      <w:r w:rsidR="00F35674" w:rsidRPr="00191F44">
        <w:rPr>
          <w:rFonts w:ascii="Palatino Linotype" w:hAnsi="Palatino Linotype"/>
          <w:lang w:val="es-ES"/>
        </w:rPr>
        <w:t xml:space="preserve">, se realizó una búsqueda en la </w:t>
      </w:r>
      <w:r w:rsidR="00F35674" w:rsidRPr="0048081D">
        <w:rPr>
          <w:rFonts w:ascii="Palatino Linotype" w:hAnsi="Palatino Linotype"/>
          <w:b/>
          <w:lang w:val="es-ES"/>
        </w:rPr>
        <w:t>Lista de Acuerdos de la Sección de Trámite de Controversias Constitucionales y de Acciones de Inconstitucionalidad</w:t>
      </w:r>
      <w:r w:rsidR="00F35674" w:rsidRPr="00191F44">
        <w:rPr>
          <w:rFonts w:ascii="Palatino Linotype" w:hAnsi="Palatino Linotype"/>
          <w:lang w:val="es-ES"/>
        </w:rPr>
        <w:t xml:space="preserve"> que publica la Suprema Corte de Justicia de la Nación, advirtiendo que el </w:t>
      </w:r>
      <w:r w:rsidR="00F35674" w:rsidRPr="00191F44">
        <w:rPr>
          <w:rFonts w:ascii="Palatino Linotype" w:hAnsi="Palatino Linotype"/>
          <w:b/>
          <w:lang w:val="es-ES"/>
        </w:rPr>
        <w:t>SUJETO OBLIGADO</w:t>
      </w:r>
      <w:r w:rsidR="00F35674" w:rsidRPr="00191F44">
        <w:rPr>
          <w:rFonts w:ascii="Palatino Linotype" w:hAnsi="Palatino Linotype"/>
          <w:lang w:val="es-ES"/>
        </w:rPr>
        <w:t xml:space="preserve"> y el Municipio de Tepotzotlán, ciertamente son parte, como se observa:</w:t>
      </w:r>
    </w:p>
    <w:p w:rsidR="00E230C8" w:rsidRPr="00191F44" w:rsidRDefault="00E230C8" w:rsidP="00E230C8">
      <w:pPr>
        <w:spacing w:line="360" w:lineRule="auto"/>
        <w:contextualSpacing/>
        <w:jc w:val="both"/>
        <w:rPr>
          <w:rFonts w:ascii="Palatino Linotype" w:hAnsi="Palatino Linotype"/>
          <w:lang w:val="es-ES"/>
        </w:rPr>
      </w:pPr>
    </w:p>
    <w:p w:rsidR="00F35674" w:rsidRPr="00191F44" w:rsidRDefault="0048081D" w:rsidP="00F35674">
      <w:pPr>
        <w:pStyle w:val="Prrafodelista"/>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19685</wp:posOffset>
                </wp:positionV>
                <wp:extent cx="5588000" cy="3962400"/>
                <wp:effectExtent l="0" t="0" r="31750" b="19050"/>
                <wp:wrapNone/>
                <wp:docPr id="12" name="Conector recto 12"/>
                <wp:cNvGraphicFramePr/>
                <a:graphic xmlns:a="http://schemas.openxmlformats.org/drawingml/2006/main">
                  <a:graphicData uri="http://schemas.microsoft.com/office/word/2010/wordprocessingShape">
                    <wps:wsp>
                      <wps:cNvCnPr/>
                      <wps:spPr>
                        <a:xfrm>
                          <a:off x="0" y="0"/>
                          <a:ext cx="5588000" cy="396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4A8AA" id="Conector recto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5pt" to="440.4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" strokecolor="black [3200]" strokeweight="1.5pt">
                <v:stroke joinstyle="miter"/>
              </v:line>
            </w:pict>
          </mc:Fallback>
        </mc:AlternateContent>
      </w:r>
    </w:p>
    <w:p w:rsidR="00F35674" w:rsidRPr="00191F44" w:rsidRDefault="003023D1" w:rsidP="00F35674">
      <w:pPr>
        <w:spacing w:line="360" w:lineRule="auto"/>
        <w:jc w:val="center"/>
        <w:rPr>
          <w:rFonts w:ascii="Palatino Linotype" w:hAnsi="Palatino Linotype"/>
          <w:lang w:val="es-ES"/>
        </w:rPr>
      </w:pPr>
      <w:r>
        <w:rPr>
          <w:rFonts w:ascii="Palatino Linotype" w:hAnsi="Palatino Linotype"/>
          <w:noProof/>
          <w:lang w:val="es-MX"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93257</wp:posOffset>
                </wp:positionH>
                <wp:positionV relativeFrom="paragraph">
                  <wp:posOffset>6201358</wp:posOffset>
                </wp:positionV>
                <wp:extent cx="5602682" cy="1183963"/>
                <wp:effectExtent l="0" t="0" r="36195" b="35560"/>
                <wp:wrapNone/>
                <wp:docPr id="21" name="Conector recto 21"/>
                <wp:cNvGraphicFramePr/>
                <a:graphic xmlns:a="http://schemas.openxmlformats.org/drawingml/2006/main">
                  <a:graphicData uri="http://schemas.microsoft.com/office/word/2010/wordprocessingShape">
                    <wps:wsp>
                      <wps:cNvCnPr/>
                      <wps:spPr>
                        <a:xfrm>
                          <a:off x="0" y="0"/>
                          <a:ext cx="5602682" cy="11839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4A7E6A" id="Conector recto 2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7.35pt,488.3pt" to="448.5pt,5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" strokecolor="black [3200]" strokeweight="1.5pt">
                <v:stroke joinstyle="miter"/>
              </v:line>
            </w:pict>
          </mc:Fallback>
        </mc:AlternateContent>
      </w:r>
      <w:r w:rsidR="00F35674" w:rsidRPr="00191F44">
        <w:rPr>
          <w:rFonts w:ascii="Palatino Linotype" w:hAnsi="Palatino Linotype"/>
          <w:noProof/>
          <w:lang w:val="es-MX" w:eastAsia="es-MX"/>
        </w:rPr>
        <w:drawing>
          <wp:inline distT="0" distB="0" distL="0" distR="0" wp14:anchorId="2F97294D" wp14:editId="55182F2F">
            <wp:extent cx="5104933" cy="5872175"/>
            <wp:effectExtent l="19050" t="19050" r="19685"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811" cy="5873185"/>
                    </a:xfrm>
                    <a:prstGeom prst="rect">
                      <a:avLst/>
                    </a:prstGeom>
                    <a:noFill/>
                    <a:ln>
                      <a:solidFill>
                        <a:schemeClr val="tx1"/>
                      </a:solidFill>
                    </a:ln>
                  </pic:spPr>
                </pic:pic>
              </a:graphicData>
            </a:graphic>
          </wp:inline>
        </w:drawing>
      </w:r>
    </w:p>
    <w:p w:rsidR="00F35674" w:rsidRPr="00191F44" w:rsidRDefault="00F35674" w:rsidP="00F35674">
      <w:pPr>
        <w:spacing w:line="360" w:lineRule="auto"/>
        <w:contextualSpacing/>
        <w:jc w:val="center"/>
        <w:rPr>
          <w:rFonts w:ascii="Palatino Linotype" w:hAnsi="Palatino Linotype"/>
          <w:lang w:val="es-ES"/>
        </w:rPr>
      </w:pPr>
      <w:r w:rsidRPr="00191F44">
        <w:rPr>
          <w:rFonts w:ascii="Palatino Linotype" w:hAnsi="Palatino Linotype"/>
          <w:noProof/>
          <w:lang w:val="es-MX" w:eastAsia="es-MX"/>
        </w:rPr>
        <w:lastRenderedPageBreak/>
        <w:drawing>
          <wp:inline distT="0" distB="0" distL="0" distR="0" wp14:anchorId="1BD71177" wp14:editId="24C5D195">
            <wp:extent cx="4729171" cy="5149850"/>
            <wp:effectExtent l="19050" t="19050" r="14605"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508" cy="5152395"/>
                    </a:xfrm>
                    <a:prstGeom prst="rect">
                      <a:avLst/>
                    </a:prstGeom>
                    <a:noFill/>
                    <a:ln>
                      <a:solidFill>
                        <a:schemeClr val="tx1"/>
                      </a:solidFill>
                    </a:ln>
                  </pic:spPr>
                </pic:pic>
              </a:graphicData>
            </a:graphic>
          </wp:inline>
        </w:drawing>
      </w:r>
    </w:p>
    <w:p w:rsidR="00F35674" w:rsidRPr="00191F44" w:rsidRDefault="00F35674" w:rsidP="00F35674">
      <w:pPr>
        <w:spacing w:line="360" w:lineRule="auto"/>
        <w:contextualSpacing/>
        <w:rPr>
          <w:rFonts w:ascii="Palatino Linotype" w:hAnsi="Palatino Linotype"/>
          <w:lang w:val="es-ES"/>
        </w:rPr>
      </w:pPr>
    </w:p>
    <w:p w:rsidR="00F35674" w:rsidRPr="004B1D00" w:rsidRDefault="00F35674" w:rsidP="005A7F80">
      <w:pPr>
        <w:numPr>
          <w:ilvl w:val="0"/>
          <w:numId w:val="1"/>
        </w:numPr>
        <w:spacing w:line="360" w:lineRule="auto"/>
        <w:ind w:left="0" w:firstLine="0"/>
        <w:contextualSpacing/>
        <w:jc w:val="both"/>
        <w:rPr>
          <w:rFonts w:ascii="Palatino Linotype" w:hAnsi="Palatino Linotype"/>
          <w:lang w:val="es-ES"/>
        </w:rPr>
      </w:pPr>
      <w:r w:rsidRPr="00191F44">
        <w:rPr>
          <w:rFonts w:ascii="Palatino Linotype" w:hAnsi="Palatino Linotype"/>
        </w:rPr>
        <w:t>Por lo tanto, se acredita el primer elemento en estudio, es decir, la existencia de un juicio.</w:t>
      </w:r>
    </w:p>
    <w:p w:rsidR="004B1D00" w:rsidRPr="00191F44" w:rsidRDefault="004B1D00" w:rsidP="004B1D00">
      <w:pPr>
        <w:spacing w:line="360" w:lineRule="auto"/>
        <w:contextualSpacing/>
        <w:jc w:val="both"/>
        <w:rPr>
          <w:rFonts w:ascii="Palatino Linotype" w:hAnsi="Palatino Linotype"/>
          <w:lang w:val="es-ES"/>
        </w:rPr>
      </w:pPr>
    </w:p>
    <w:p w:rsidR="00F35674" w:rsidRDefault="004B1D00" w:rsidP="005A7F80">
      <w:pPr>
        <w:numPr>
          <w:ilvl w:val="0"/>
          <w:numId w:val="1"/>
        </w:numPr>
        <w:spacing w:line="360" w:lineRule="auto"/>
        <w:ind w:left="0" w:firstLine="0"/>
        <w:contextualSpacing/>
        <w:jc w:val="both"/>
        <w:rPr>
          <w:rFonts w:ascii="Palatino Linotype" w:hAnsi="Palatino Linotype"/>
        </w:rPr>
      </w:pPr>
      <w:r>
        <w:rPr>
          <w:rFonts w:ascii="Palatino Linotype" w:hAnsi="Palatino Linotype"/>
        </w:rPr>
        <w:t>P</w:t>
      </w:r>
      <w:r w:rsidR="00F35674" w:rsidRPr="00191F44">
        <w:rPr>
          <w:rFonts w:ascii="Palatino Linotype" w:hAnsi="Palatino Linotype"/>
        </w:rPr>
        <w:t>or lo que hace al segundo de los elementos consistente en que el procedimiento del cual forme parte la información solicitada no haya causado estado o ejecutoria, se considera pertinente traer como marco referencial el Código de Procedimientos Administrativos del Estado de México, mismo que prevé:</w:t>
      </w:r>
    </w:p>
    <w:p w:rsidR="00F35674" w:rsidRPr="00191F44" w:rsidRDefault="00F35674" w:rsidP="00F35674">
      <w:pPr>
        <w:spacing w:line="360" w:lineRule="auto"/>
        <w:jc w:val="both"/>
        <w:rPr>
          <w:rFonts w:ascii="Palatino Linotype" w:hAnsi="Palatino Linotype"/>
        </w:rPr>
      </w:pP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“Artículo 278.- Causan ejecutoria las siguientes sentencias:</w:t>
      </w: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I. Las que no admitan ningún recurso;</w:t>
      </w: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II. Las que, admitiendo algún recurso, no fueren recurridas, o habiéndolas sido se haya desechado o sobreseído o hubiese resultado infundado; y</w:t>
      </w: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III. Las consentidas expresamente por las partes o sus representantes legítimos.</w:t>
      </w:r>
      <w:r w:rsidR="0048081D" w:rsidRPr="003023D1">
        <w:rPr>
          <w:rFonts w:ascii="Palatino Linotype" w:hAnsi="Palatino Linotype"/>
          <w:i/>
        </w:rPr>
        <w:t>”</w:t>
      </w:r>
    </w:p>
    <w:p w:rsidR="00F35674" w:rsidRPr="003023D1" w:rsidRDefault="00F35674" w:rsidP="00F35674">
      <w:pPr>
        <w:spacing w:line="360" w:lineRule="auto"/>
        <w:ind w:left="426" w:right="474"/>
        <w:jc w:val="both"/>
        <w:rPr>
          <w:rFonts w:ascii="Palatino Linotype" w:hAnsi="Palatino Linotype"/>
          <w:i/>
        </w:rPr>
      </w:pPr>
    </w:p>
    <w:p w:rsidR="00F35674" w:rsidRPr="003023D1" w:rsidRDefault="0048081D" w:rsidP="00F35674">
      <w:pPr>
        <w:spacing w:line="360" w:lineRule="auto"/>
        <w:ind w:left="426" w:right="474"/>
        <w:jc w:val="both"/>
        <w:rPr>
          <w:rFonts w:ascii="Palatino Linotype" w:hAnsi="Palatino Linotype"/>
          <w:i/>
        </w:rPr>
      </w:pPr>
      <w:r w:rsidRPr="003023D1">
        <w:rPr>
          <w:rFonts w:ascii="Palatino Linotype" w:hAnsi="Palatino Linotype"/>
          <w:i/>
        </w:rPr>
        <w:t>“</w:t>
      </w:r>
      <w:r w:rsidR="00F35674" w:rsidRPr="003023D1">
        <w:rPr>
          <w:rFonts w:ascii="Palatino Linotype" w:hAnsi="Palatino Linotype"/>
          <w:i/>
        </w:rPr>
        <w:t>Artículo 279.- Cuando haya causado ejecutoria una sentencia favorable al actor, la sala regional competente la comunicará, por oficio y sin demora alguna, a las autoridades demandadas para su cumplimiento. En el propio oficio en que se haga la notificación a los demandados, se les prevendrá para que informen sobre el cumplimiento que se dé a la sentencia respectiva.</w:t>
      </w:r>
      <w:r w:rsidRPr="003023D1">
        <w:rPr>
          <w:rFonts w:ascii="Palatino Linotype" w:hAnsi="Palatino Linotype"/>
          <w:i/>
        </w:rPr>
        <w:t>”</w:t>
      </w:r>
    </w:p>
    <w:p w:rsidR="00F35674" w:rsidRPr="003023D1" w:rsidRDefault="00F35674" w:rsidP="00F35674">
      <w:pPr>
        <w:spacing w:line="360" w:lineRule="auto"/>
        <w:ind w:left="426" w:right="474"/>
        <w:jc w:val="both"/>
        <w:rPr>
          <w:rFonts w:ascii="Palatino Linotype" w:hAnsi="Palatino Linotype"/>
          <w:i/>
        </w:rPr>
      </w:pPr>
    </w:p>
    <w:p w:rsidR="00F35674" w:rsidRPr="003023D1" w:rsidRDefault="0048081D" w:rsidP="00F35674">
      <w:pPr>
        <w:spacing w:line="360" w:lineRule="auto"/>
        <w:ind w:left="426" w:right="474"/>
        <w:jc w:val="both"/>
        <w:rPr>
          <w:rFonts w:ascii="Palatino Linotype" w:hAnsi="Palatino Linotype"/>
          <w:i/>
        </w:rPr>
      </w:pPr>
      <w:r w:rsidRPr="003023D1">
        <w:rPr>
          <w:rFonts w:ascii="Palatino Linotype" w:hAnsi="Palatino Linotype"/>
          <w:i/>
        </w:rPr>
        <w:t>“</w:t>
      </w:r>
      <w:r w:rsidR="00F35674" w:rsidRPr="003023D1">
        <w:rPr>
          <w:rFonts w:ascii="Palatino Linotype" w:hAnsi="Palatino Linotype"/>
          <w:i/>
        </w:rPr>
        <w:t>Artículo 280.- Si dentro de los tres días siguientes a la notificación a los demandados, la sentencia no quedare cumplida o no se encontrare en vías de cumplimiento, la sala regional competente, de oficio o a petición de parte, dará vista a las autoridades para que manifiesten lo que a su derecho convenga. Se formulará la misma vista, cuando el actor manifieste que existe defecto o exceso en la ejecución de la sentencia o que se ha repetido el acto impugnado.</w:t>
      </w: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w:t>
      </w:r>
      <w:r w:rsidR="0048081D" w:rsidRPr="003023D1">
        <w:rPr>
          <w:rFonts w:ascii="Palatino Linotype" w:hAnsi="Palatino Linotype"/>
          <w:i/>
        </w:rPr>
        <w:t>”</w:t>
      </w:r>
    </w:p>
    <w:p w:rsidR="00F35674" w:rsidRPr="003023D1" w:rsidRDefault="0048081D" w:rsidP="00F35674">
      <w:pPr>
        <w:spacing w:line="360" w:lineRule="auto"/>
        <w:ind w:left="426" w:right="474"/>
        <w:jc w:val="both"/>
        <w:rPr>
          <w:rFonts w:ascii="Palatino Linotype" w:hAnsi="Palatino Linotype"/>
          <w:i/>
        </w:rPr>
      </w:pPr>
      <w:r w:rsidRPr="003023D1">
        <w:rPr>
          <w:rFonts w:ascii="Palatino Linotype" w:hAnsi="Palatino Linotype"/>
          <w:i/>
        </w:rPr>
        <w:t>“</w:t>
      </w:r>
      <w:r w:rsidR="00F35674" w:rsidRPr="003023D1">
        <w:rPr>
          <w:rFonts w:ascii="Palatino Linotype" w:hAnsi="Palatino Linotype"/>
          <w:i/>
        </w:rPr>
        <w:t>Artículo 283.- El juicio contencioso administrativo podrá archivarse cuando quede cumplida la sentencia ejecutoria en que se haya declarado la invalidez del acto o la disposición general impugnada, o bien haya operado la caducidad.</w:t>
      </w:r>
    </w:p>
    <w:p w:rsidR="00F35674" w:rsidRPr="003023D1" w:rsidRDefault="00F35674" w:rsidP="00F35674">
      <w:pPr>
        <w:spacing w:line="360" w:lineRule="auto"/>
        <w:ind w:left="426" w:right="474"/>
        <w:jc w:val="both"/>
        <w:rPr>
          <w:rFonts w:ascii="Palatino Linotype" w:hAnsi="Palatino Linotype"/>
          <w:i/>
        </w:rPr>
      </w:pPr>
      <w:r w:rsidRPr="003023D1">
        <w:rPr>
          <w:rFonts w:ascii="Palatino Linotype" w:hAnsi="Palatino Linotype"/>
          <w:i/>
        </w:rPr>
        <w:t>…”</w:t>
      </w:r>
    </w:p>
    <w:p w:rsidR="00F35674" w:rsidRPr="00191F44" w:rsidRDefault="00F35674" w:rsidP="00F35674">
      <w:pPr>
        <w:spacing w:line="360" w:lineRule="auto"/>
        <w:jc w:val="both"/>
        <w:rPr>
          <w:rFonts w:ascii="Palatino Linotype" w:hAnsi="Palatino Linotype"/>
        </w:rPr>
      </w:pPr>
    </w:p>
    <w:p w:rsidR="00F3567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lastRenderedPageBreak/>
        <w:t>De lo anterior se tiene que causan ejecutoria las siguientes sentencias:</w:t>
      </w:r>
    </w:p>
    <w:p w:rsidR="0048081D" w:rsidRPr="00191F44" w:rsidRDefault="0048081D" w:rsidP="0048081D">
      <w:pPr>
        <w:spacing w:line="360" w:lineRule="auto"/>
        <w:contextualSpacing/>
        <w:jc w:val="both"/>
        <w:rPr>
          <w:rFonts w:ascii="Palatino Linotype" w:hAnsi="Palatino Linotype"/>
        </w:rPr>
      </w:pPr>
    </w:p>
    <w:p w:rsidR="00F35674" w:rsidRPr="0048081D" w:rsidRDefault="00F35674" w:rsidP="005A7F80">
      <w:pPr>
        <w:pStyle w:val="Prrafodelista"/>
        <w:numPr>
          <w:ilvl w:val="0"/>
          <w:numId w:val="9"/>
        </w:numPr>
        <w:spacing w:line="360" w:lineRule="auto"/>
        <w:jc w:val="both"/>
        <w:rPr>
          <w:rFonts w:ascii="Palatino Linotype" w:hAnsi="Palatino Linotype"/>
        </w:rPr>
      </w:pPr>
      <w:r w:rsidRPr="0048081D">
        <w:rPr>
          <w:rFonts w:ascii="Palatino Linotype" w:hAnsi="Palatino Linotype"/>
        </w:rPr>
        <w:t>Las que no admitan ningún recurso;</w:t>
      </w:r>
    </w:p>
    <w:p w:rsidR="00F35674" w:rsidRPr="0048081D" w:rsidRDefault="00F35674" w:rsidP="005A7F80">
      <w:pPr>
        <w:pStyle w:val="Prrafodelista"/>
        <w:numPr>
          <w:ilvl w:val="0"/>
          <w:numId w:val="9"/>
        </w:numPr>
        <w:spacing w:line="360" w:lineRule="auto"/>
        <w:jc w:val="both"/>
        <w:rPr>
          <w:rFonts w:ascii="Palatino Linotype" w:hAnsi="Palatino Linotype"/>
        </w:rPr>
      </w:pPr>
      <w:r w:rsidRPr="0048081D">
        <w:rPr>
          <w:rFonts w:ascii="Palatino Linotype" w:hAnsi="Palatino Linotype"/>
        </w:rPr>
        <w:t>Las que, admitiendo algún recurso, no fueren recurridas, o habiéndolas sido se haya desechado o sobreseído o hubiese resultado infundado; y</w:t>
      </w:r>
    </w:p>
    <w:p w:rsidR="00F35674" w:rsidRPr="0048081D" w:rsidRDefault="00F35674" w:rsidP="005A7F80">
      <w:pPr>
        <w:pStyle w:val="Prrafodelista"/>
        <w:numPr>
          <w:ilvl w:val="0"/>
          <w:numId w:val="9"/>
        </w:numPr>
        <w:spacing w:line="360" w:lineRule="auto"/>
        <w:jc w:val="both"/>
        <w:rPr>
          <w:rFonts w:ascii="Palatino Linotype" w:hAnsi="Palatino Linotype"/>
        </w:rPr>
      </w:pPr>
      <w:r w:rsidRPr="0048081D">
        <w:rPr>
          <w:rFonts w:ascii="Palatino Linotype" w:hAnsi="Palatino Linotype"/>
        </w:rPr>
        <w:t>Las consentidas expresamente por las partes o sus representantes legítimos.</w:t>
      </w:r>
    </w:p>
    <w:p w:rsidR="00F35674" w:rsidRPr="00191F44" w:rsidRDefault="00F35674" w:rsidP="00F35674">
      <w:pPr>
        <w:spacing w:line="360" w:lineRule="auto"/>
        <w:jc w:val="both"/>
        <w:rPr>
          <w:rFonts w:ascii="Palatino Linotype" w:hAnsi="Palatino Linotype"/>
        </w:rPr>
      </w:pPr>
    </w:p>
    <w:p w:rsidR="00113DF1"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Respecto de estos últimos supuestos, se contempla la existencia de una autoridad superior (segunda instancia) encargada de revisar que la resolución o determinación definitiva se encuentre apegada a las disposiciones jurídicas que le resulten aplicables; y que hasta en tanto no resuelva lo que corresponda dicha autoridad, no se podrá considerar que dicha resolución o determinación definitiva ha causado estado, pues al recurrirla ante el superior jerárquico, la determinación no puede declararse firme, ya que está sujeta a un proceso de revisión por parte de un órgano superior, sin que pueda desligarse un procedimiento de otro, pues los efectos que pudiere contener la resolución original no pueden ejecutarse hasta que se resuelva la segunda instancia, el cual puede revocar, modificar o confirmar la determinación tomada con respe</w:t>
      </w:r>
      <w:r w:rsidR="00113DF1">
        <w:rPr>
          <w:rFonts w:ascii="Palatino Linotype" w:hAnsi="Palatino Linotype"/>
        </w:rPr>
        <w:t>cto a la controversia planteada.</w:t>
      </w:r>
    </w:p>
    <w:p w:rsidR="00F35674" w:rsidRPr="00191F44" w:rsidRDefault="00F35674" w:rsidP="00F35674">
      <w:pPr>
        <w:spacing w:line="360" w:lineRule="auto"/>
        <w:jc w:val="both"/>
        <w:rPr>
          <w:rFonts w:ascii="Palatino Linotype" w:hAnsi="Palatino Linotype"/>
        </w:rPr>
      </w:pPr>
    </w:p>
    <w:p w:rsidR="00F35674"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 xml:space="preserve">Por tanto, cuando exista un procedimiento en el cual se dictará una resolución y ésta hubiere sido impugnada ante un órgano superior, la determinación adoptada en una primera instancia no podrá considerarse como resolución firme que haya causado estado, pues para que surta sus efectos y consecuencias legales deberán haberse concluido todos los medios de impugnación (recursos) que contemplen las </w:t>
      </w:r>
      <w:r w:rsidR="00113DF1">
        <w:rPr>
          <w:rFonts w:ascii="Palatino Linotype" w:hAnsi="Palatino Linotype"/>
        </w:rPr>
        <w:t>Leyes aplicables para cada caso</w:t>
      </w:r>
      <w:r w:rsidR="0048081D">
        <w:rPr>
          <w:rFonts w:ascii="Palatino Linotype" w:hAnsi="Palatino Linotype"/>
        </w:rPr>
        <w:t>.</w:t>
      </w:r>
    </w:p>
    <w:p w:rsidR="00F35674" w:rsidRPr="00191F44" w:rsidRDefault="00F35674" w:rsidP="00F35674">
      <w:pPr>
        <w:spacing w:line="360" w:lineRule="auto"/>
        <w:jc w:val="both"/>
        <w:rPr>
          <w:rFonts w:ascii="Palatino Linotype" w:hAnsi="Palatino Linotype"/>
        </w:rPr>
      </w:pPr>
    </w:p>
    <w:p w:rsidR="00F35674" w:rsidRPr="0048081D" w:rsidRDefault="00F35674" w:rsidP="005A7F80">
      <w:pPr>
        <w:numPr>
          <w:ilvl w:val="0"/>
          <w:numId w:val="1"/>
        </w:numPr>
        <w:spacing w:line="360" w:lineRule="auto"/>
        <w:ind w:left="0" w:firstLine="0"/>
        <w:contextualSpacing/>
        <w:jc w:val="both"/>
        <w:rPr>
          <w:rFonts w:ascii="Palatino Linotype" w:hAnsi="Palatino Linotype"/>
        </w:rPr>
      </w:pPr>
      <w:r w:rsidRPr="0048081D">
        <w:rPr>
          <w:rFonts w:ascii="Palatino Linotype" w:hAnsi="Palatino Linotype"/>
        </w:rPr>
        <w:t>Lo anterior, se refuerza con el siguiente criterio sostenido por el Pleno de la Suprema Corte de Justicia de la Nación:</w:t>
      </w:r>
    </w:p>
    <w:p w:rsidR="00F35674" w:rsidRPr="00191F44" w:rsidRDefault="00F35674" w:rsidP="00F35674">
      <w:pPr>
        <w:spacing w:line="360" w:lineRule="auto"/>
        <w:jc w:val="both"/>
        <w:rPr>
          <w:rFonts w:ascii="Palatino Linotype" w:hAnsi="Palatino Linotype"/>
        </w:rPr>
      </w:pPr>
    </w:p>
    <w:p w:rsidR="00F35674" w:rsidRPr="003023D1" w:rsidRDefault="00F35674" w:rsidP="00F35674">
      <w:pPr>
        <w:spacing w:line="360" w:lineRule="auto"/>
        <w:ind w:left="426" w:right="333"/>
        <w:jc w:val="both"/>
        <w:rPr>
          <w:rFonts w:ascii="Palatino Linotype" w:hAnsi="Palatino Linotype"/>
          <w:i/>
        </w:rPr>
      </w:pPr>
      <w:r w:rsidRPr="003023D1">
        <w:rPr>
          <w:rFonts w:ascii="Palatino Linotype" w:hAnsi="Palatino Linotype"/>
          <w:i/>
        </w:rPr>
        <w:t>“</w:t>
      </w:r>
      <w:r w:rsidRPr="003023D1">
        <w:rPr>
          <w:rFonts w:ascii="Palatino Linotype" w:hAnsi="Palatino Linotype"/>
          <w:b/>
          <w:i/>
        </w:rPr>
        <w:t>COSA JUZGADA. EL SUSTENTO CONSTITUCIONAL DE ESA INSTITUCIÓN JURÍDICA PROCESAL SE ENCUENTRA EN LOS ARTÍCULOS 14, SEGUNDO PÁRRAFO Y 17, TERCER PÁRRAFO, DE LA CONSTITUCIÓN POLÍTICA DE LOS ESTADOS UNIDOS MEXICANOS</w:t>
      </w:r>
      <w:r w:rsidRPr="003023D1">
        <w:rPr>
          <w:rFonts w:ascii="Palatino Linotype" w:hAnsi="Palatino Linotype"/>
          <w:i/>
        </w:rPr>
        <w:t xml:space="preserve">. En el sistema jurídico mexicano la institución de la cosa juzgada se ubica en la sentencia obtenida de un auténtico proceso judicial, entendido como el seguido con las formalidades esenciales del procedimiento, conforme al artículo 14, segundo párrafo, de la Constitución Política de los Estados Unidos Mexicanos, dotando a las partes en litigio de seguridad y certeza jurídica. Por otra parte, la figura procesal citada también encuentra fundamento en el artículo 17, tercer párrafo, de la Norma Suprema, al disponer que las leyes federales y locales establecerán los medios necesarios para garantizar la independencia de los tribunales y la plena ejecución de sus resoluciones, porque tal ejecución íntegra se logra sólo en la medida en que la cosa juzgada se instituye en el ordenamiento jurídico como resultado de un juicio regular que ha concluido en todas sus instancias, llegando al punto en que lo decidido ya no es susceptible de discutirse, en aras de salvaguardar la garantía de acceso a la justicia prevista en el segundo párrafo del artículo 17 constitucional, pues dentro de aquélla se encuentra no sólo el derecho a que los órganos jurisdiccionales establecidos por el Estado diriman los conflictos, sino también el relativo a que se garantice la ejecución de sus fallos. En ese sentido, </w:t>
      </w:r>
      <w:r w:rsidRPr="003023D1">
        <w:rPr>
          <w:rFonts w:ascii="Palatino Linotype" w:hAnsi="Palatino Linotype"/>
          <w:b/>
          <w:i/>
        </w:rPr>
        <w:t xml:space="preserve">la autoridad de la cosa juzgada es uno de los principios esenciales en que se funda la seguridad jurídica, toda vez que el </w:t>
      </w:r>
      <w:r w:rsidRPr="003023D1">
        <w:rPr>
          <w:rFonts w:ascii="Palatino Linotype" w:hAnsi="Palatino Linotype"/>
          <w:b/>
          <w:i/>
        </w:rPr>
        <w:lastRenderedPageBreak/>
        <w:t>respeto a sus consecuencias constituye un pilar del Estado de derecho, como fin último de la impartición de justicia a cargo del Estado, siempre que en el juicio correspondiente se haya hecho efectivo el debido proceso con sus formalidades esenciales</w:t>
      </w:r>
      <w:r w:rsidRPr="003023D1">
        <w:rPr>
          <w:rFonts w:ascii="Palatino Linotype" w:hAnsi="Palatino Linotype"/>
          <w:i/>
        </w:rPr>
        <w:t>.”</w:t>
      </w:r>
    </w:p>
    <w:p w:rsidR="00F35674" w:rsidRPr="00191F44" w:rsidRDefault="00F35674" w:rsidP="00F35674">
      <w:pPr>
        <w:spacing w:line="360" w:lineRule="auto"/>
        <w:ind w:right="333"/>
        <w:jc w:val="both"/>
        <w:rPr>
          <w:rFonts w:ascii="Palatino Linotype" w:hAnsi="Palatino Linotype"/>
        </w:rPr>
      </w:pPr>
    </w:p>
    <w:p w:rsidR="00F35674" w:rsidRPr="00191F4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Así, la cosa juzgada se instituye en el ordenamiento jurídico como resultado de un juicio regular que ha concluido en todas sus instancias, llegando al punto en que lo decidido ya no es susceptible de discutirse.</w:t>
      </w:r>
    </w:p>
    <w:p w:rsidR="00F35674" w:rsidRPr="00191F44" w:rsidRDefault="00F35674" w:rsidP="00F35674">
      <w:pPr>
        <w:spacing w:line="360" w:lineRule="auto"/>
        <w:ind w:right="333"/>
        <w:jc w:val="both"/>
        <w:rPr>
          <w:rFonts w:ascii="Palatino Linotype" w:hAnsi="Palatino Linotype"/>
        </w:rPr>
      </w:pPr>
    </w:p>
    <w:p w:rsidR="00F35674" w:rsidRDefault="00F35674" w:rsidP="005A7F80">
      <w:pPr>
        <w:numPr>
          <w:ilvl w:val="0"/>
          <w:numId w:val="1"/>
        </w:numPr>
        <w:spacing w:line="360" w:lineRule="auto"/>
        <w:ind w:left="0" w:firstLine="0"/>
        <w:contextualSpacing/>
        <w:jc w:val="both"/>
        <w:rPr>
          <w:rFonts w:ascii="Palatino Linotype" w:hAnsi="Palatino Linotype"/>
        </w:rPr>
      </w:pPr>
      <w:r w:rsidRPr="00191F44">
        <w:rPr>
          <w:rFonts w:ascii="Palatino Linotype" w:hAnsi="Palatino Linotype"/>
        </w:rPr>
        <w:t>En el caso concreto, no se halló algún indicio que otorgue certeza de que ya exista una resolución firme por parte de la Suprema Corte de Justicia de la Nación</w:t>
      </w:r>
      <w:r>
        <w:rPr>
          <w:rFonts w:ascii="Palatino Linotype" w:hAnsi="Palatino Linotype"/>
        </w:rPr>
        <w:t xml:space="preserve">; asimismo en el </w:t>
      </w:r>
      <w:r w:rsidRPr="00AC3726">
        <w:rPr>
          <w:rFonts w:ascii="Palatino Linotype" w:hAnsi="Palatino Linotype"/>
          <w:b/>
        </w:rPr>
        <w:t>Índice de Controversias Constitucionales resueltas</w:t>
      </w:r>
      <w:r>
        <w:rPr>
          <w:rFonts w:ascii="Palatino Linotype" w:hAnsi="Palatino Linotype"/>
        </w:rPr>
        <w:t>, publicado en el Sitio Oficial de Internet de</w:t>
      </w:r>
      <w:r w:rsidR="00113DF1">
        <w:rPr>
          <w:rFonts w:ascii="Palatino Linotype" w:hAnsi="Palatino Linotype"/>
        </w:rPr>
        <w:t xml:space="preserve"> nuestro máximo </w:t>
      </w:r>
      <w:r>
        <w:rPr>
          <w:rFonts w:ascii="Palatino Linotype" w:hAnsi="Palatino Linotype"/>
        </w:rPr>
        <w:t>tribunal, aun no aparece la Controversia de mérito,</w:t>
      </w:r>
      <w:r w:rsidRPr="00191F44">
        <w:rPr>
          <w:rFonts w:ascii="Palatino Linotype" w:hAnsi="Palatino Linotype"/>
        </w:rPr>
        <w:t xml:space="preserve"> por lo que se estima que </w:t>
      </w:r>
      <w:r w:rsidRPr="004B1D00">
        <w:rPr>
          <w:rFonts w:ascii="Palatino Linotype" w:hAnsi="Palatino Linotype"/>
        </w:rPr>
        <w:t>se cumple con la segunda hipótesis</w:t>
      </w:r>
      <w:r w:rsidRPr="00AC3726">
        <w:rPr>
          <w:rFonts w:ascii="Palatino Linotype" w:hAnsi="Palatino Linotype"/>
          <w:b/>
        </w:rPr>
        <w:t xml:space="preserve"> </w:t>
      </w:r>
      <w:r w:rsidRPr="00191F44">
        <w:rPr>
          <w:rFonts w:ascii="Palatino Linotype" w:hAnsi="Palatino Linotype"/>
        </w:rPr>
        <w:t>prevista para la actualización de la causal de reserva que se analiza.</w:t>
      </w:r>
    </w:p>
    <w:p w:rsidR="00F35674" w:rsidRPr="00191F44" w:rsidRDefault="00F35674" w:rsidP="00F35674">
      <w:pPr>
        <w:spacing w:line="360" w:lineRule="auto"/>
        <w:ind w:right="333"/>
        <w:jc w:val="both"/>
        <w:rPr>
          <w:rFonts w:ascii="Palatino Linotype" w:hAnsi="Palatino Linotype"/>
        </w:rPr>
      </w:pPr>
    </w:p>
    <w:p w:rsidR="001C6E9B" w:rsidRPr="007724FF" w:rsidRDefault="004B1D00" w:rsidP="005A7F80">
      <w:pPr>
        <w:numPr>
          <w:ilvl w:val="0"/>
          <w:numId w:val="1"/>
        </w:numPr>
        <w:spacing w:line="360" w:lineRule="auto"/>
        <w:ind w:left="0" w:firstLine="0"/>
        <w:contextualSpacing/>
        <w:jc w:val="both"/>
        <w:rPr>
          <w:rFonts w:ascii="Palatino Linotype" w:hAnsi="Palatino Linotype"/>
          <w:color w:val="000000"/>
        </w:rPr>
      </w:pPr>
      <w:r>
        <w:rPr>
          <w:rFonts w:ascii="Palatino Linotype" w:hAnsi="Palatino Linotype"/>
          <w:lang w:val="es-ES"/>
        </w:rPr>
        <w:t>Por otro lado</w:t>
      </w:r>
      <w:r w:rsidR="00DC753F" w:rsidRPr="007724FF">
        <w:rPr>
          <w:rFonts w:ascii="Palatino Linotype" w:hAnsi="Palatino Linotype"/>
          <w:lang w:val="es-ES"/>
        </w:rPr>
        <w:t>, s</w:t>
      </w:r>
      <w:r w:rsidR="0022448C" w:rsidRPr="007724FF">
        <w:rPr>
          <w:rFonts w:ascii="Palatino Linotype" w:hAnsi="Palatino Linotype"/>
          <w:lang w:val="es-ES"/>
        </w:rPr>
        <w:t>i bien es cierto en respuesta ya se entregó una pretendida prueb</w:t>
      </w:r>
      <w:r w:rsidR="001C6E9B" w:rsidRPr="007724FF">
        <w:rPr>
          <w:rFonts w:ascii="Palatino Linotype" w:hAnsi="Palatino Linotype"/>
          <w:lang w:val="es-ES"/>
        </w:rPr>
        <w:t>a de daño,</w:t>
      </w:r>
      <w:r w:rsidR="0022448C" w:rsidRPr="007724FF">
        <w:rPr>
          <w:rFonts w:ascii="Palatino Linotype" w:hAnsi="Palatino Linotype"/>
          <w:lang w:val="es-ES"/>
        </w:rPr>
        <w:t xml:space="preserve"> también lo es que esta no cumple con los elementos mínimos que establece la Ley de Transparencia y Acceso a la Información Pública del Estado de México y Municipios</w:t>
      </w:r>
      <w:r w:rsidR="002836AD" w:rsidRPr="007724FF">
        <w:rPr>
          <w:rFonts w:ascii="Palatino Linotype" w:hAnsi="Palatino Linotype"/>
          <w:lang w:val="es-ES"/>
        </w:rPr>
        <w:t>; en virtud</w:t>
      </w:r>
      <w:r w:rsidR="001C6E9B" w:rsidRPr="007724FF">
        <w:rPr>
          <w:rFonts w:ascii="Palatino Linotype" w:hAnsi="Palatino Linotype"/>
          <w:lang w:val="es-ES"/>
        </w:rPr>
        <w:t xml:space="preserve"> que no se</w:t>
      </w:r>
      <w:r w:rsidR="002836AD" w:rsidRPr="007724FF">
        <w:rPr>
          <w:rFonts w:ascii="Palatino Linotype" w:hAnsi="Palatino Linotype"/>
          <w:lang w:val="es-ES"/>
        </w:rPr>
        <w:t xml:space="preserve"> </w:t>
      </w:r>
      <w:r w:rsidR="002836AD" w:rsidRPr="007724FF">
        <w:rPr>
          <w:rFonts w:ascii="Palatino Linotype" w:hAnsi="Palatino Linotype"/>
          <w:color w:val="000000"/>
        </w:rPr>
        <w:t>señala</w:t>
      </w:r>
      <w:r w:rsidR="001C6E9B" w:rsidRPr="007724FF">
        <w:rPr>
          <w:rFonts w:ascii="Palatino Linotype" w:hAnsi="Palatino Linotype"/>
          <w:color w:val="000000"/>
        </w:rPr>
        <w:t>n</w:t>
      </w:r>
      <w:r w:rsidR="002836AD" w:rsidRPr="007724FF">
        <w:rPr>
          <w:rFonts w:ascii="Palatino Linotype" w:hAnsi="Palatino Linotype"/>
          <w:color w:val="000000"/>
        </w:rPr>
        <w:t xml:space="preserve"> las razones, motivos o circunstancias, </w:t>
      </w:r>
      <w:r w:rsidR="001C6E9B" w:rsidRPr="007724FF">
        <w:rPr>
          <w:rFonts w:ascii="Palatino Linotype" w:hAnsi="Palatino Linotype"/>
          <w:color w:val="000000"/>
        </w:rPr>
        <w:t>que se deben</w:t>
      </w:r>
      <w:r w:rsidR="002836AD" w:rsidRPr="007724FF">
        <w:rPr>
          <w:rFonts w:ascii="Palatino Linotype" w:hAnsi="Palatino Linotype"/>
          <w:color w:val="000000"/>
        </w:rPr>
        <w:t xml:space="preserve"> aplicar </w:t>
      </w:r>
      <w:r w:rsidR="001C6E9B" w:rsidRPr="007724FF">
        <w:rPr>
          <w:rFonts w:ascii="Palatino Linotype" w:hAnsi="Palatino Linotype"/>
          <w:color w:val="000000"/>
        </w:rPr>
        <w:t xml:space="preserve">a </w:t>
      </w:r>
      <w:r w:rsidR="002836AD" w:rsidRPr="007724FF">
        <w:rPr>
          <w:rFonts w:ascii="Palatino Linotype" w:hAnsi="Palatino Linotype"/>
          <w:color w:val="000000"/>
        </w:rPr>
        <w:t>la prueba de daño.  Adicionalmente los artículos 129 y 134 último párrafo de la Ley Estatal y 104 y 108 último párrafo de la Ley General, respectivamente, determinan que se debe realizar un análisis caso por cas</w:t>
      </w:r>
      <w:r w:rsidR="001C6E9B" w:rsidRPr="007724FF">
        <w:rPr>
          <w:rFonts w:ascii="Palatino Linotype" w:hAnsi="Palatino Linotype"/>
          <w:color w:val="000000"/>
        </w:rPr>
        <w:t>o, aplicando la prueba de daño.</w:t>
      </w:r>
    </w:p>
    <w:p w:rsidR="001C6E9B" w:rsidRPr="007724FF" w:rsidRDefault="001C6E9B" w:rsidP="007724FF">
      <w:pPr>
        <w:spacing w:line="360" w:lineRule="auto"/>
        <w:contextualSpacing/>
        <w:jc w:val="both"/>
        <w:rPr>
          <w:rFonts w:ascii="Palatino Linotype" w:hAnsi="Palatino Linotype"/>
          <w:color w:val="000000"/>
        </w:rPr>
      </w:pPr>
    </w:p>
    <w:p w:rsidR="002836AD" w:rsidRDefault="002836AD" w:rsidP="005A7F80">
      <w:pPr>
        <w:numPr>
          <w:ilvl w:val="0"/>
          <w:numId w:val="1"/>
        </w:numPr>
        <w:spacing w:line="360" w:lineRule="auto"/>
        <w:ind w:left="0" w:firstLine="0"/>
        <w:contextualSpacing/>
        <w:jc w:val="both"/>
        <w:rPr>
          <w:rFonts w:ascii="Palatino Linotype" w:hAnsi="Palatino Linotype"/>
          <w:color w:val="000000"/>
        </w:rPr>
      </w:pPr>
      <w:r w:rsidRPr="007724FF">
        <w:rPr>
          <w:rFonts w:ascii="Palatino Linotype" w:hAnsi="Palatino Linotype"/>
          <w:color w:val="000000"/>
        </w:rPr>
        <w:lastRenderedPageBreak/>
        <w:t xml:space="preserve">Esto implica que la motivación, </w:t>
      </w:r>
      <w:r w:rsidRPr="007724FF">
        <w:rPr>
          <w:rFonts w:ascii="Palatino Linotype" w:hAnsi="Palatino Linotype"/>
          <w:b/>
          <w:color w:val="000000"/>
        </w:rPr>
        <w:t>que acredite</w:t>
      </w:r>
      <w:r w:rsidRPr="007724FF">
        <w:rPr>
          <w:rFonts w:ascii="Palatino Linotype" w:hAnsi="Palatino Linotype"/>
          <w:color w:val="000000"/>
        </w:rPr>
        <w:t xml:space="preserv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4B1D00" w:rsidRDefault="004B1D00" w:rsidP="004B1D00">
      <w:pPr>
        <w:pStyle w:val="Prrafodelista"/>
        <w:rPr>
          <w:rFonts w:ascii="Palatino Linotype" w:hAnsi="Palatino Linotype"/>
          <w:color w:val="000000"/>
        </w:rPr>
      </w:pPr>
    </w:p>
    <w:p w:rsidR="002836AD" w:rsidRPr="007724FF" w:rsidRDefault="002836AD" w:rsidP="005A7F80">
      <w:pPr>
        <w:numPr>
          <w:ilvl w:val="0"/>
          <w:numId w:val="1"/>
        </w:numPr>
        <w:spacing w:line="360" w:lineRule="auto"/>
        <w:ind w:left="0" w:firstLine="0"/>
        <w:contextualSpacing/>
        <w:jc w:val="both"/>
        <w:rPr>
          <w:rFonts w:ascii="Palatino Linotype" w:hAnsi="Palatino Linotype"/>
          <w:color w:val="000000"/>
        </w:rPr>
      </w:pPr>
      <w:r w:rsidRPr="007724FF">
        <w:rPr>
          <w:rFonts w:ascii="Palatino Linotype" w:hAnsi="Palatino Linotype"/>
          <w:color w:val="000000"/>
        </w:rPr>
        <w:t>Para aplicar la prueba de daño, se deberán de precisar las razones objetivas por las que la apertura genera una afectación, acreditando que:</w:t>
      </w:r>
    </w:p>
    <w:p w:rsidR="001C6E9B" w:rsidRPr="007724FF" w:rsidRDefault="001C6E9B" w:rsidP="007724FF">
      <w:pPr>
        <w:pStyle w:val="Prrafodelista"/>
        <w:spacing w:line="360" w:lineRule="auto"/>
        <w:rPr>
          <w:rFonts w:ascii="Palatino Linotype" w:hAnsi="Palatino Linotype"/>
          <w:color w:val="000000"/>
        </w:rPr>
      </w:pPr>
    </w:p>
    <w:p w:rsidR="002836AD" w:rsidRPr="007724FF" w:rsidRDefault="002836AD" w:rsidP="005A7F80">
      <w:pPr>
        <w:numPr>
          <w:ilvl w:val="1"/>
          <w:numId w:val="1"/>
        </w:numPr>
        <w:tabs>
          <w:tab w:val="left" w:pos="426"/>
        </w:tabs>
        <w:spacing w:line="360" w:lineRule="auto"/>
        <w:ind w:left="1134" w:hanging="436"/>
        <w:contextualSpacing/>
        <w:jc w:val="both"/>
        <w:rPr>
          <w:rFonts w:ascii="Palatino Linotype" w:hAnsi="Palatino Linotype"/>
          <w:iCs/>
          <w:color w:val="000000"/>
        </w:rPr>
      </w:pPr>
      <w:r w:rsidRPr="007724FF">
        <w:rPr>
          <w:rFonts w:ascii="Palatino Linotype" w:hAnsi="Palatino Linotype"/>
          <w:color w:val="000000"/>
        </w:rPr>
        <w:t xml:space="preserve">La </w:t>
      </w:r>
      <w:r w:rsidRPr="007724FF">
        <w:rPr>
          <w:rFonts w:ascii="Palatino Linotype" w:hAnsi="Palatino Linotype"/>
          <w:iCs/>
          <w:color w:val="000000"/>
        </w:rPr>
        <w:t xml:space="preserve">divulgación de la información representa un riesgo real, demostrable e identificable del perjuicio significativo al interés público o a la seguridad pública; </w:t>
      </w:r>
    </w:p>
    <w:p w:rsidR="002836AD" w:rsidRPr="007724FF" w:rsidRDefault="002836AD" w:rsidP="005A7F80">
      <w:pPr>
        <w:numPr>
          <w:ilvl w:val="1"/>
          <w:numId w:val="1"/>
        </w:numPr>
        <w:tabs>
          <w:tab w:val="left" w:pos="426"/>
        </w:tabs>
        <w:spacing w:line="360" w:lineRule="auto"/>
        <w:ind w:left="1134" w:hanging="436"/>
        <w:contextualSpacing/>
        <w:jc w:val="both"/>
        <w:rPr>
          <w:rFonts w:ascii="Palatino Linotype" w:hAnsi="Palatino Linotype"/>
          <w:iCs/>
          <w:color w:val="000000"/>
        </w:rPr>
      </w:pPr>
      <w:r w:rsidRPr="007724FF">
        <w:rPr>
          <w:rFonts w:ascii="Palatino Linotype" w:hAnsi="Palatino Linotype"/>
          <w:iCs/>
          <w:color w:val="000000"/>
        </w:rPr>
        <w:t xml:space="preserve">El riesgo de perjuicio que supondría la divulgación supera el interés público general de que se difunda; y </w:t>
      </w:r>
    </w:p>
    <w:p w:rsidR="002836AD" w:rsidRPr="007724FF" w:rsidRDefault="002836AD" w:rsidP="005A7F80">
      <w:pPr>
        <w:numPr>
          <w:ilvl w:val="1"/>
          <w:numId w:val="1"/>
        </w:numPr>
        <w:tabs>
          <w:tab w:val="left" w:pos="426"/>
        </w:tabs>
        <w:spacing w:line="360" w:lineRule="auto"/>
        <w:ind w:left="1134" w:hanging="436"/>
        <w:contextualSpacing/>
        <w:jc w:val="both"/>
        <w:rPr>
          <w:rFonts w:ascii="Palatino Linotype" w:hAnsi="Palatino Linotype"/>
          <w:iCs/>
          <w:color w:val="000000"/>
        </w:rPr>
      </w:pPr>
      <w:r w:rsidRPr="007724FF">
        <w:rPr>
          <w:rFonts w:ascii="Palatino Linotype" w:hAnsi="Palatino Linotype"/>
          <w:iCs/>
          <w:color w:val="000000"/>
        </w:rPr>
        <w:t>La limitación se adecua al principio de proporcionalidad y representa el medio menos restrictivo disponible para evitar el perjuicio.</w:t>
      </w:r>
    </w:p>
    <w:p w:rsidR="002836AD" w:rsidRPr="007724FF" w:rsidRDefault="002836AD" w:rsidP="007724FF">
      <w:pPr>
        <w:tabs>
          <w:tab w:val="left" w:pos="426"/>
        </w:tabs>
        <w:spacing w:line="360" w:lineRule="auto"/>
        <w:ind w:left="1134"/>
        <w:contextualSpacing/>
        <w:jc w:val="both"/>
        <w:rPr>
          <w:rFonts w:ascii="Palatino Linotype" w:hAnsi="Palatino Linotype"/>
          <w:iCs/>
          <w:color w:val="000000"/>
        </w:rPr>
      </w:pPr>
    </w:p>
    <w:p w:rsidR="004B1D00" w:rsidRPr="004B1D00" w:rsidRDefault="004B1D00" w:rsidP="005A7F80">
      <w:pPr>
        <w:pStyle w:val="Prrafodelista"/>
        <w:numPr>
          <w:ilvl w:val="0"/>
          <w:numId w:val="1"/>
        </w:numPr>
        <w:spacing w:line="360" w:lineRule="auto"/>
        <w:jc w:val="both"/>
        <w:rPr>
          <w:rFonts w:ascii="Palatino Linotype" w:hAnsi="Palatino Linotype"/>
          <w:szCs w:val="22"/>
        </w:rPr>
      </w:pPr>
      <w:r>
        <w:rPr>
          <w:rFonts w:ascii="Palatino Linotype" w:hAnsi="Palatino Linotype"/>
          <w:szCs w:val="22"/>
        </w:rPr>
        <w:t xml:space="preserve">Sin embargo, </w:t>
      </w:r>
      <w:r w:rsidRPr="004B1D00">
        <w:rPr>
          <w:rFonts w:ascii="Palatino Linotype" w:hAnsi="Palatino Linotype"/>
          <w:szCs w:val="22"/>
        </w:rPr>
        <w:t xml:space="preserve">el expediente solicitado, no es reservable en su totalidad y más aún el mismo es debe ser desclasificado en su totalidad, al momento en el cual, no se identifique un riesgo real, demostrable e identificable como sucede con el caso que nos ocupa. </w:t>
      </w:r>
    </w:p>
    <w:p w:rsidR="004B1D00" w:rsidRPr="004B1D00" w:rsidRDefault="004B1D00" w:rsidP="004B1D00">
      <w:pPr>
        <w:pStyle w:val="Prrafodelista"/>
        <w:spacing w:line="360" w:lineRule="auto"/>
        <w:ind w:left="360"/>
        <w:jc w:val="both"/>
        <w:rPr>
          <w:rFonts w:ascii="Palatino Linotype" w:hAnsi="Palatino Linotype"/>
          <w:szCs w:val="22"/>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szCs w:val="22"/>
        </w:rPr>
      </w:pPr>
      <w:r w:rsidRPr="004B1D00">
        <w:rPr>
          <w:rFonts w:ascii="Palatino Linotype" w:hAnsi="Palatino Linotype"/>
          <w:szCs w:val="22"/>
        </w:rPr>
        <w:t xml:space="preserve">Así mismo hace referencia a lo dispuesto en el artículo 129, el cual se trascribe a continuación: </w:t>
      </w:r>
    </w:p>
    <w:p w:rsidR="004B1D00" w:rsidRPr="004B1D00" w:rsidRDefault="004B1D00" w:rsidP="004B1D00">
      <w:pPr>
        <w:pStyle w:val="Prrafodelista"/>
        <w:ind w:left="360" w:right="1134"/>
        <w:jc w:val="both"/>
        <w:rPr>
          <w:rFonts w:ascii="Palatino Linotype" w:hAnsi="Palatino Linotype"/>
          <w:i/>
          <w:sz w:val="22"/>
        </w:rPr>
      </w:pPr>
      <w:r w:rsidRPr="004B1D00">
        <w:rPr>
          <w:rFonts w:ascii="Palatino Linotype" w:hAnsi="Palatino Linotype"/>
          <w:i/>
          <w:sz w:val="22"/>
        </w:rPr>
        <w:lastRenderedPageBreak/>
        <w:t>“</w:t>
      </w:r>
      <w:r w:rsidRPr="004B1D00">
        <w:rPr>
          <w:rFonts w:ascii="Palatino Linotype" w:hAnsi="Palatino Linotype"/>
          <w:b/>
          <w:i/>
          <w:sz w:val="22"/>
        </w:rPr>
        <w:t>Artículo 129.</w:t>
      </w:r>
      <w:r w:rsidRPr="004B1D00">
        <w:rPr>
          <w:rFonts w:ascii="Palatino Linotype" w:hAnsi="Palatino Linotype"/>
          <w:i/>
          <w:sz w:val="22"/>
        </w:rPr>
        <w:t xml:space="preserve"> En la aplicación de la prueba de daño, el sujeto obligado deberá precisar las razones objetivas por las que la apertura de la información generaría una afectación, justificando que: </w:t>
      </w:r>
    </w:p>
    <w:p w:rsidR="004B1D00" w:rsidRPr="004B1D00" w:rsidRDefault="004B1D00" w:rsidP="004B1D00">
      <w:pPr>
        <w:pStyle w:val="Prrafodelista"/>
        <w:ind w:left="360" w:right="1134"/>
        <w:jc w:val="both"/>
        <w:rPr>
          <w:rFonts w:ascii="Palatino Linotype" w:hAnsi="Palatino Linotype"/>
          <w:i/>
          <w:sz w:val="22"/>
        </w:rPr>
      </w:pPr>
      <w:r w:rsidRPr="004B1D00">
        <w:rPr>
          <w:rFonts w:ascii="Palatino Linotype" w:hAnsi="Palatino Linotype"/>
          <w:i/>
          <w:sz w:val="22"/>
        </w:rPr>
        <w:t xml:space="preserve">I. La divulgación de la información representa un riesgo real, demostrable e identificable del perjuicio significativo al interés público o a la seguridad pública; </w:t>
      </w:r>
    </w:p>
    <w:p w:rsidR="004B1D00" w:rsidRPr="004B1D00" w:rsidRDefault="004B1D00" w:rsidP="004B1D00">
      <w:pPr>
        <w:pStyle w:val="Prrafodelista"/>
        <w:ind w:left="360" w:right="1134"/>
        <w:jc w:val="both"/>
        <w:rPr>
          <w:rFonts w:ascii="Palatino Linotype" w:hAnsi="Palatino Linotype"/>
          <w:i/>
          <w:sz w:val="22"/>
        </w:rPr>
      </w:pPr>
      <w:r w:rsidRPr="004B1D00">
        <w:rPr>
          <w:rFonts w:ascii="Palatino Linotype" w:hAnsi="Palatino Linotype"/>
          <w:i/>
          <w:sz w:val="22"/>
        </w:rPr>
        <w:t xml:space="preserve">II. El riesgo de perjuicio que supondría la divulgación supera el interés público general de que se difunda; y </w:t>
      </w:r>
    </w:p>
    <w:p w:rsidR="004B1D00" w:rsidRPr="004B1D00" w:rsidRDefault="004B1D00" w:rsidP="004B1D00">
      <w:pPr>
        <w:pStyle w:val="Prrafodelista"/>
        <w:ind w:left="360" w:right="1134"/>
        <w:jc w:val="both"/>
        <w:rPr>
          <w:rFonts w:ascii="Palatino Linotype" w:hAnsi="Palatino Linotype"/>
          <w:i/>
          <w:sz w:val="22"/>
        </w:rPr>
      </w:pPr>
      <w:r w:rsidRPr="004B1D00">
        <w:rPr>
          <w:rFonts w:ascii="Palatino Linotype" w:hAnsi="Palatino Linotype"/>
          <w:i/>
          <w:sz w:val="22"/>
        </w:rPr>
        <w:t>III. La limitación se adecua al principio de proporcionalidad y representa el medio menos restrictivo disponible representa el medio menos restrictivo disponible para evitar el perjuicio.”</w:t>
      </w:r>
    </w:p>
    <w:p w:rsidR="004B1D00" w:rsidRPr="004B1D00" w:rsidRDefault="004B1D00" w:rsidP="004B1D00">
      <w:pPr>
        <w:pStyle w:val="Prrafodelista"/>
        <w:spacing w:line="360" w:lineRule="auto"/>
        <w:ind w:left="360" w:right="-93"/>
        <w:jc w:val="both"/>
        <w:rPr>
          <w:rFonts w:ascii="Palatino Linotype" w:hAnsi="Palatino Linotype"/>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rPr>
      </w:pPr>
      <w:r w:rsidRPr="004B1D00">
        <w:rPr>
          <w:rFonts w:ascii="Palatino Linotype" w:hAnsi="Palatino Linotype"/>
        </w:rPr>
        <w:t xml:space="preserve">En este  punto </w:t>
      </w:r>
      <w:r w:rsidRPr="004B1D00">
        <w:rPr>
          <w:rFonts w:ascii="Palatino Linotype" w:hAnsi="Palatino Linotype"/>
          <w:b/>
        </w:rPr>
        <w:t>EL SUJETO OBLIGADO</w:t>
      </w:r>
      <w:r w:rsidRPr="004B1D00">
        <w:rPr>
          <w:rFonts w:ascii="Palatino Linotype" w:hAnsi="Palatino Linotype"/>
        </w:rPr>
        <w:t xml:space="preserve"> se limitó a mencionar el precepto legal pero no la forma en la que estaba aplicándolo y ya que esta Ponencia no conoce el contenido de la información reservada, solo queda indicar lo que de forma general se puede desprender del caso. </w:t>
      </w:r>
    </w:p>
    <w:p w:rsidR="004B1D00" w:rsidRPr="004B1D00" w:rsidRDefault="004B1D00" w:rsidP="004B1D00">
      <w:pPr>
        <w:pStyle w:val="Prrafodelista"/>
        <w:spacing w:line="360" w:lineRule="auto"/>
        <w:ind w:left="360"/>
        <w:jc w:val="both"/>
        <w:rPr>
          <w:rFonts w:ascii="Palatino Linotype" w:hAnsi="Palatino Linotype"/>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rPr>
      </w:pPr>
      <w:r w:rsidRPr="004B1D00">
        <w:rPr>
          <w:rFonts w:ascii="Palatino Linotype" w:hAnsi="Palatino Linotype"/>
        </w:rPr>
        <w:t xml:space="preserve">Es evidente que en toda clasificación de información  existe una colisión de intereses o de derechos en su caso. De tal manera que para lo que nos ocupa, los intereses que se contraponen son, por un lado los del Municipio y por otro el de los particulares. Por lo que respecta al particular, este ha manifestado su interés de conocer la información al presentar la solicitud de información que dio origen al presente recurso, de la misma forma, al ser un tema de relevancia para todos los adscritos a los municipios parte de la controversia es derecho de los ciudadanos conocer el estado de la situación, sobre todo teniendo en cuenta que los plazos dispuestos por ley para las etapas donde podría operar la secrecía han fenecido. Por lo que no debería de haber ninguna afectación al proceso en caso de que se revelara la información. Por otra parte el </w:t>
      </w:r>
      <w:r w:rsidRPr="004B1D00">
        <w:rPr>
          <w:rFonts w:ascii="Palatino Linotype" w:hAnsi="Palatino Linotype"/>
          <w:b/>
        </w:rPr>
        <w:t xml:space="preserve">SUJETO OBLIGADO </w:t>
      </w:r>
      <w:r w:rsidRPr="004B1D00">
        <w:rPr>
          <w:rFonts w:ascii="Palatino Linotype" w:hAnsi="Palatino Linotype"/>
        </w:rPr>
        <w:t xml:space="preserve">no pudo demostrar ni comprobar de forma fehaciente el supuesto daño al interés del Municipio por el cual se ordenaba la reserva de lo requerido y teniendo en cuenta, que la clasificación de </w:t>
      </w:r>
      <w:r w:rsidRPr="004B1D00">
        <w:rPr>
          <w:rFonts w:ascii="Palatino Linotype" w:hAnsi="Palatino Linotype"/>
        </w:rPr>
        <w:lastRenderedPageBreak/>
        <w:t xml:space="preserve">la información es una restricción al derecho de acceso a la información y dado que esta solo debe ocurrir por excepción y en los casos contemplados por la ley, debe estar debidamente funda y motivada. Sin embargo </w:t>
      </w:r>
      <w:r w:rsidRPr="004B1D00">
        <w:rPr>
          <w:rFonts w:ascii="Palatino Linotype" w:hAnsi="Palatino Linotype"/>
          <w:b/>
        </w:rPr>
        <w:t>EL SUJETO OBLIGADO</w:t>
      </w:r>
      <w:r w:rsidRPr="004B1D00">
        <w:rPr>
          <w:rFonts w:ascii="Palatino Linotype" w:hAnsi="Palatino Linotype"/>
        </w:rPr>
        <w:t xml:space="preserve">, a criterio de esta Ponencia </w:t>
      </w:r>
      <w:proofErr w:type="spellStart"/>
      <w:r w:rsidRPr="004B1D00">
        <w:rPr>
          <w:rFonts w:ascii="Palatino Linotype" w:hAnsi="Palatino Linotype"/>
        </w:rPr>
        <w:t>resolutora</w:t>
      </w:r>
      <w:proofErr w:type="spellEnd"/>
      <w:r w:rsidRPr="004B1D00">
        <w:rPr>
          <w:rFonts w:ascii="Palatino Linotype" w:hAnsi="Palatino Linotype"/>
        </w:rPr>
        <w:t xml:space="preserve"> no demostró  en su análisis que la reserva de la información fuera necesaria.  </w:t>
      </w:r>
    </w:p>
    <w:p w:rsidR="004B1D00" w:rsidRPr="004B1D00" w:rsidRDefault="004B1D00" w:rsidP="00A556EB">
      <w:pPr>
        <w:pStyle w:val="Prrafodelista"/>
        <w:spacing w:line="360" w:lineRule="auto"/>
        <w:ind w:left="360"/>
        <w:jc w:val="both"/>
        <w:rPr>
          <w:rFonts w:ascii="Palatino Linotype" w:hAnsi="Palatino Linotype"/>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sz w:val="22"/>
          <w:szCs w:val="22"/>
        </w:rPr>
      </w:pPr>
      <w:r w:rsidRPr="004B1D00">
        <w:rPr>
          <w:rFonts w:ascii="Palatino Linotype" w:hAnsi="Palatino Linotype"/>
        </w:rPr>
        <w:t xml:space="preserve">De los puntos que se expusieron antes se puede concluir que no se acreditó la prueba de daño y con esto la reserva hecha por </w:t>
      </w:r>
      <w:r w:rsidRPr="004B1D00">
        <w:rPr>
          <w:rFonts w:ascii="Palatino Linotype" w:hAnsi="Palatino Linotype"/>
          <w:b/>
        </w:rPr>
        <w:t>EL SUJETO OBLIGADO</w:t>
      </w:r>
      <w:r w:rsidRPr="004B1D00">
        <w:rPr>
          <w:rFonts w:ascii="Palatino Linotype" w:hAnsi="Palatino Linotype"/>
        </w:rPr>
        <w:t xml:space="preserve"> no está justificada, ni debidamente funda y motivada  y lo procedente es ordenar el expediente completo en el formato que se haya generado, de todo lo relacionado a la controversia  limítrofe del municipio de Teoloyucan, en versión pública. </w:t>
      </w:r>
    </w:p>
    <w:p w:rsidR="004B1D00" w:rsidRPr="004B1D00" w:rsidRDefault="004B1D00" w:rsidP="00A556EB">
      <w:pPr>
        <w:pStyle w:val="Prrafodelista"/>
        <w:spacing w:line="360" w:lineRule="auto"/>
        <w:ind w:left="360"/>
        <w:jc w:val="both"/>
        <w:rPr>
          <w:rFonts w:ascii="Palatino Linotype" w:hAnsi="Palatino Linotype"/>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rPr>
      </w:pPr>
      <w:r w:rsidRPr="004B1D00">
        <w:rPr>
          <w:rFonts w:ascii="Palatino Linotype" w:hAnsi="Palatino Linotype"/>
        </w:rPr>
        <w:t xml:space="preserve">Es importante mencionar que al no conocer la extensión de la información que </w:t>
      </w:r>
      <w:r w:rsidRPr="004B1D00">
        <w:rPr>
          <w:rFonts w:ascii="Palatino Linotype" w:hAnsi="Palatino Linotype"/>
          <w:b/>
        </w:rPr>
        <w:t xml:space="preserve">EL </w:t>
      </w:r>
      <w:r w:rsidRPr="00A556EB">
        <w:rPr>
          <w:rFonts w:ascii="Palatino Linotype" w:hAnsi="Palatino Linotype"/>
        </w:rPr>
        <w:t>SUJETO</w:t>
      </w:r>
      <w:r w:rsidRPr="004B1D00">
        <w:rPr>
          <w:rFonts w:ascii="Palatino Linotype" w:hAnsi="Palatino Linotype"/>
          <w:b/>
        </w:rPr>
        <w:t xml:space="preserve"> OBLIGADO</w:t>
      </w:r>
      <w:r w:rsidRPr="004B1D00">
        <w:rPr>
          <w:rFonts w:ascii="Palatino Linotype" w:hAnsi="Palatino Linotype"/>
        </w:rPr>
        <w:t xml:space="preserve"> deberá entregar, puede que en ella </w:t>
      </w:r>
      <w:r w:rsidRPr="004B1D00">
        <w:rPr>
          <w:rFonts w:ascii="Palatino Linotype" w:hAnsi="Palatino Linotype" w:cs="Tahoma"/>
          <w:bCs/>
        </w:rPr>
        <w:t>existan datos personales susceptibles de ser clasificados.</w:t>
      </w:r>
    </w:p>
    <w:p w:rsidR="004B1D00" w:rsidRPr="004B1D00" w:rsidRDefault="004B1D00" w:rsidP="00A556EB">
      <w:pPr>
        <w:pStyle w:val="Prrafodelista"/>
        <w:autoSpaceDE w:val="0"/>
        <w:autoSpaceDN w:val="0"/>
        <w:adjustRightInd w:val="0"/>
        <w:spacing w:line="360" w:lineRule="auto"/>
        <w:ind w:left="360" w:right="-91"/>
        <w:jc w:val="both"/>
        <w:rPr>
          <w:rFonts w:ascii="Palatino Linotype" w:hAnsi="Palatino Linotype"/>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bCs/>
        </w:rPr>
      </w:pPr>
      <w:r w:rsidRPr="004B1D00">
        <w:rPr>
          <w:rFonts w:ascii="Palatino Linotype" w:hAnsi="Palatino Linotype" w:cs="Arial"/>
        </w:rPr>
        <w:t xml:space="preserve">Así mismo, no se omite comentar que para el caso de que los documentos de los cuales se ordena su entrega, contienen datos personales susceptibles de ser testados, deberán ser entregados en </w:t>
      </w:r>
      <w:r w:rsidRPr="004B1D00">
        <w:rPr>
          <w:rFonts w:ascii="Palatino Linotype" w:hAnsi="Palatino Linotype" w:cs="Arial"/>
          <w:b/>
        </w:rPr>
        <w:t>versión pública</w:t>
      </w:r>
      <w:r w:rsidRPr="004B1D00">
        <w:rPr>
          <w:rFonts w:ascii="Palatino Linotype" w:hAnsi="Palatino Linotype" w:cs="Arial"/>
        </w:rPr>
        <w:t>; pues, el</w:t>
      </w:r>
      <w:r w:rsidRPr="004B1D0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w:t>
      </w:r>
      <w:r w:rsidRPr="004B1D00">
        <w:rPr>
          <w:rFonts w:ascii="Palatino Linotype" w:hAnsi="Palatino Linotype" w:cs="Arial"/>
          <w:bCs/>
        </w:rPr>
        <w:lastRenderedPageBreak/>
        <w:t>personales, la ley permite la elaboración de versiones públicas en las que se suprima aquella información relacionada con la vida privada de los particulares.</w:t>
      </w:r>
    </w:p>
    <w:p w:rsidR="004B1D00" w:rsidRPr="004B1D00" w:rsidRDefault="004B1D00" w:rsidP="00A556EB">
      <w:pPr>
        <w:pStyle w:val="Prrafodelista"/>
        <w:spacing w:line="360" w:lineRule="auto"/>
        <w:ind w:left="360"/>
        <w:jc w:val="both"/>
        <w:rPr>
          <w:rFonts w:ascii="Palatino Linotype" w:eastAsia="Calibri" w:hAnsi="Palatino Linotype" w:cs="Arial"/>
          <w:bCs/>
          <w:lang w:eastAsia="en-US"/>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bCs/>
        </w:rPr>
      </w:pPr>
      <w:r w:rsidRPr="004B1D00">
        <w:rPr>
          <w:rFonts w:ascii="Palatino Linotype" w:hAnsi="Palatino Linotype" w:cs="Arial"/>
          <w:bCs/>
        </w:rPr>
        <w:t xml:space="preserve">A </w:t>
      </w:r>
      <w:r w:rsidRPr="00A556EB">
        <w:rPr>
          <w:rFonts w:ascii="Palatino Linotype" w:hAnsi="Palatino Linotype" w:cs="Arial"/>
        </w:rPr>
        <w:t>este</w:t>
      </w:r>
      <w:r w:rsidRPr="004B1D00">
        <w:rPr>
          <w:rFonts w:ascii="Palatino Linotype" w:hAnsi="Palatino Linotype" w:cs="Arial"/>
          <w:bCs/>
        </w:rPr>
        <w:t xml:space="preserve"> respecto, los artículos 3, fracciones IX, XX, XXI y XLV; 51 y 52 de la Ley de Transparencia y Acceso a la Información Pública del Estado de México y Municipios establecen:</w:t>
      </w:r>
    </w:p>
    <w:p w:rsidR="004B1D00" w:rsidRPr="004B1D00" w:rsidRDefault="004B1D00" w:rsidP="00A556EB">
      <w:pPr>
        <w:pStyle w:val="Prrafodelista"/>
        <w:autoSpaceDE w:val="0"/>
        <w:autoSpaceDN w:val="0"/>
        <w:adjustRightInd w:val="0"/>
        <w:ind w:left="360" w:right="899"/>
        <w:jc w:val="both"/>
        <w:rPr>
          <w:rFonts w:ascii="Palatino Linotype" w:hAnsi="Palatino Linotype" w:cs="Arial"/>
        </w:rPr>
      </w:pPr>
    </w:p>
    <w:p w:rsidR="004B1D00" w:rsidRPr="004B1D00" w:rsidRDefault="004B1D00" w:rsidP="00A556EB">
      <w:pPr>
        <w:pStyle w:val="Prrafodelista"/>
        <w:ind w:left="360" w:right="901"/>
        <w:jc w:val="both"/>
        <w:rPr>
          <w:rFonts w:ascii="Palatino Linotype" w:hAnsi="Palatino Linotype"/>
          <w:i/>
          <w:sz w:val="22"/>
          <w:szCs w:val="22"/>
        </w:rPr>
      </w:pPr>
      <w:r w:rsidRPr="004B1D00">
        <w:rPr>
          <w:rFonts w:ascii="Palatino Linotype" w:hAnsi="Palatino Linotype" w:cs="Arial"/>
          <w:b/>
          <w:bCs/>
          <w:i/>
          <w:noProof/>
          <w:sz w:val="22"/>
          <w:szCs w:val="22"/>
        </w:rPr>
        <w:t>“</w:t>
      </w:r>
      <w:r w:rsidRPr="004B1D00">
        <w:rPr>
          <w:rFonts w:ascii="Palatino Linotype" w:hAnsi="Palatino Linotype" w:cs="Arial"/>
          <w:b/>
          <w:bCs/>
          <w:i/>
          <w:sz w:val="22"/>
          <w:szCs w:val="22"/>
        </w:rPr>
        <w:t xml:space="preserve">Artículo 3. </w:t>
      </w:r>
      <w:r w:rsidRPr="004B1D00">
        <w:rPr>
          <w:rFonts w:ascii="Palatino Linotype" w:hAnsi="Palatino Linotype"/>
          <w:i/>
          <w:sz w:val="22"/>
          <w:szCs w:val="22"/>
        </w:rPr>
        <w:t xml:space="preserve">Para los efectos de la presente Ley se entenderá por: </w:t>
      </w: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IX.</w:t>
      </w:r>
      <w:r w:rsidRPr="004B1D00">
        <w:rPr>
          <w:rFonts w:ascii="Palatino Linotype" w:hAnsi="Palatino Linotype" w:cs="Arial"/>
          <w:i/>
          <w:sz w:val="22"/>
          <w:szCs w:val="22"/>
        </w:rPr>
        <w:t xml:space="preserve"> </w:t>
      </w:r>
      <w:r w:rsidRPr="004B1D00">
        <w:rPr>
          <w:rFonts w:ascii="Palatino Linotype" w:hAnsi="Palatino Linotype" w:cs="Arial"/>
          <w:b/>
          <w:i/>
          <w:sz w:val="22"/>
          <w:szCs w:val="22"/>
        </w:rPr>
        <w:t xml:space="preserve">Datos personales: </w:t>
      </w:r>
      <w:r w:rsidRPr="004B1D00">
        <w:rPr>
          <w:rFonts w:ascii="Palatino Linotype" w:hAnsi="Palatino Linotype" w:cs="Arial"/>
          <w:i/>
          <w:sz w:val="22"/>
          <w:szCs w:val="22"/>
        </w:rPr>
        <w:t xml:space="preserve">La información concerniente a una persona, identificada o identificable según lo dispuesto por la Ley de </w:t>
      </w:r>
      <w:r w:rsidRPr="004B1D00">
        <w:rPr>
          <w:rFonts w:ascii="Palatino Linotype" w:hAnsi="Palatino Linotype"/>
          <w:i/>
          <w:sz w:val="22"/>
          <w:szCs w:val="22"/>
        </w:rPr>
        <w:t>Protección</w:t>
      </w:r>
      <w:r w:rsidRPr="004B1D00">
        <w:rPr>
          <w:rFonts w:ascii="Palatino Linotype" w:hAnsi="Palatino Linotype" w:cs="Arial"/>
          <w:i/>
          <w:sz w:val="22"/>
          <w:szCs w:val="22"/>
        </w:rPr>
        <w:t xml:space="preserve"> de Datos Personales del Estado de México; </w:t>
      </w: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XX.</w:t>
      </w:r>
      <w:r w:rsidRPr="004B1D00">
        <w:rPr>
          <w:rFonts w:ascii="Palatino Linotype" w:hAnsi="Palatino Linotype" w:cs="Arial"/>
          <w:i/>
          <w:sz w:val="22"/>
          <w:szCs w:val="22"/>
        </w:rPr>
        <w:t xml:space="preserve"> </w:t>
      </w:r>
      <w:r w:rsidRPr="004B1D00">
        <w:rPr>
          <w:rFonts w:ascii="Palatino Linotype" w:hAnsi="Palatino Linotype" w:cs="Arial"/>
          <w:b/>
          <w:i/>
          <w:sz w:val="22"/>
          <w:szCs w:val="22"/>
        </w:rPr>
        <w:t>Información clasificada:</w:t>
      </w:r>
      <w:r w:rsidRPr="004B1D00">
        <w:rPr>
          <w:rFonts w:ascii="Palatino Linotype" w:hAnsi="Palatino Linotype" w:cs="Arial"/>
          <w:i/>
          <w:sz w:val="22"/>
          <w:szCs w:val="22"/>
        </w:rPr>
        <w:t xml:space="preserve"> Aquella considerada por la presente Ley como reservada o confidencial; </w:t>
      </w: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XXI.</w:t>
      </w:r>
      <w:r w:rsidRPr="004B1D00">
        <w:rPr>
          <w:rFonts w:ascii="Palatino Linotype" w:hAnsi="Palatino Linotype" w:cs="Arial"/>
          <w:i/>
          <w:sz w:val="22"/>
          <w:szCs w:val="22"/>
        </w:rPr>
        <w:t xml:space="preserve"> </w:t>
      </w:r>
      <w:r w:rsidRPr="004B1D00">
        <w:rPr>
          <w:rFonts w:ascii="Palatino Linotype" w:hAnsi="Palatino Linotype" w:cs="Arial"/>
          <w:b/>
          <w:i/>
          <w:sz w:val="22"/>
          <w:szCs w:val="22"/>
        </w:rPr>
        <w:t>Información confidencial</w:t>
      </w:r>
      <w:r w:rsidRPr="004B1D0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XLV. Versión pública:</w:t>
      </w:r>
      <w:r w:rsidRPr="004B1D00">
        <w:rPr>
          <w:rFonts w:ascii="Palatino Linotype" w:hAnsi="Palatino Linotype" w:cs="Arial"/>
          <w:i/>
          <w:sz w:val="22"/>
          <w:szCs w:val="22"/>
        </w:rPr>
        <w:t xml:space="preserve"> Documento en el que se elimine, suprime o borra la información clasificada como reservada o confidencial para permitir su acceso. </w:t>
      </w:r>
    </w:p>
    <w:p w:rsidR="00A556EB" w:rsidRPr="00A556EB" w:rsidRDefault="00A556EB" w:rsidP="00A556EB">
      <w:pPr>
        <w:pStyle w:val="Prrafodelista"/>
        <w:ind w:left="360" w:right="899"/>
        <w:jc w:val="both"/>
        <w:rPr>
          <w:rFonts w:ascii="Palatino Linotype" w:hAnsi="Palatino Linotype" w:cs="Arial"/>
          <w:i/>
          <w:sz w:val="22"/>
          <w:szCs w:val="22"/>
        </w:rPr>
      </w:pP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Artículo 51.</w:t>
      </w:r>
      <w:r w:rsidRPr="004B1D0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B1D00">
        <w:rPr>
          <w:rFonts w:ascii="Palatino Linotype" w:hAnsi="Palatino Linotype" w:cs="Arial"/>
          <w:b/>
          <w:i/>
          <w:sz w:val="22"/>
          <w:szCs w:val="22"/>
        </w:rPr>
        <w:t xml:space="preserve">y tendrá la responsabilidad de verificar en cada caso que la misma no sea confidencial o reservada. </w:t>
      </w:r>
      <w:r w:rsidRPr="004B1D0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556EB" w:rsidRDefault="00A556EB" w:rsidP="00A556EB">
      <w:pPr>
        <w:pStyle w:val="Prrafodelista"/>
        <w:ind w:left="360" w:right="899"/>
        <w:jc w:val="both"/>
        <w:rPr>
          <w:rFonts w:ascii="Palatino Linotype" w:hAnsi="Palatino Linotype" w:cs="Arial"/>
          <w:b/>
          <w:i/>
          <w:sz w:val="22"/>
          <w:szCs w:val="22"/>
        </w:rPr>
      </w:pPr>
    </w:p>
    <w:p w:rsidR="004B1D00" w:rsidRPr="004B1D00" w:rsidRDefault="004B1D00" w:rsidP="00A556EB">
      <w:pPr>
        <w:pStyle w:val="Prrafodelista"/>
        <w:ind w:left="360" w:right="899"/>
        <w:jc w:val="both"/>
        <w:rPr>
          <w:rFonts w:ascii="Palatino Linotype" w:hAnsi="Palatino Linotype" w:cs="Arial"/>
          <w:i/>
          <w:sz w:val="22"/>
          <w:szCs w:val="22"/>
        </w:rPr>
      </w:pPr>
      <w:r w:rsidRPr="004B1D00">
        <w:rPr>
          <w:rFonts w:ascii="Palatino Linotype" w:hAnsi="Palatino Linotype" w:cs="Arial"/>
          <w:b/>
          <w:i/>
          <w:sz w:val="22"/>
          <w:szCs w:val="22"/>
        </w:rPr>
        <w:t>Artículo 52.</w:t>
      </w:r>
      <w:r w:rsidRPr="004B1D00">
        <w:rPr>
          <w:rFonts w:ascii="Palatino Linotype" w:hAnsi="Palatino Linotype" w:cs="Arial"/>
          <w:i/>
          <w:sz w:val="22"/>
          <w:szCs w:val="22"/>
        </w:rPr>
        <w:t xml:space="preserve"> Las solicitudes de acceso a la información y las respuestas que se les dé, incluyendo, en su caso, </w:t>
      </w:r>
      <w:r w:rsidRPr="004B1D0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B1D00">
        <w:rPr>
          <w:rFonts w:ascii="Palatino Linotype" w:hAnsi="Palatino Linotype" w:cs="Arial"/>
          <w:i/>
          <w:sz w:val="22"/>
          <w:szCs w:val="22"/>
        </w:rPr>
        <w:t>, siempre y cuando la resolución de referencia se someta a un proceso de disociación, es decir, no haga identificable al titular de tales datos personales.</w:t>
      </w:r>
      <w:r w:rsidRPr="004B1D00">
        <w:rPr>
          <w:rFonts w:ascii="Palatino Linotype" w:hAnsi="Palatino Linotype" w:cs="Arial"/>
          <w:bCs/>
          <w:i/>
          <w:noProof/>
          <w:sz w:val="22"/>
          <w:szCs w:val="22"/>
        </w:rPr>
        <w:t>”</w:t>
      </w:r>
    </w:p>
    <w:p w:rsidR="004B1D00" w:rsidRPr="004B1D00" w:rsidRDefault="004B1D00" w:rsidP="00A556EB">
      <w:pPr>
        <w:pStyle w:val="Prrafodelista"/>
        <w:ind w:left="360" w:right="899"/>
        <w:jc w:val="both"/>
        <w:rPr>
          <w:rFonts w:ascii="Palatino Linotype" w:hAnsi="Palatino Linotype" w:cs="Arial"/>
          <w:sz w:val="22"/>
          <w:szCs w:val="22"/>
        </w:rPr>
      </w:pPr>
      <w:r w:rsidRPr="004B1D00">
        <w:rPr>
          <w:rFonts w:ascii="Palatino Linotype" w:hAnsi="Palatino Linotype" w:cs="Arial"/>
          <w:sz w:val="22"/>
          <w:szCs w:val="22"/>
        </w:rPr>
        <w:t>(Énfasis añadido)</w:t>
      </w:r>
    </w:p>
    <w:p w:rsidR="004B1D00" w:rsidRPr="004B1D00" w:rsidRDefault="004B1D00" w:rsidP="00A556EB">
      <w:pPr>
        <w:pStyle w:val="Prrafodelista"/>
        <w:ind w:left="360" w:right="899"/>
        <w:jc w:val="both"/>
        <w:rPr>
          <w:rFonts w:ascii="Palatino Linotype" w:hAnsi="Palatino Linotype" w:cs="Arial"/>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lastRenderedPageBreak/>
        <w:t xml:space="preserve">Así, los datos personales que obren en poder de los Sujetos Obligados deben estar protegidos, adoptando las medidas de seguridad administrativas, físicas y </w:t>
      </w:r>
      <w:r w:rsidRPr="00A556EB">
        <w:rPr>
          <w:rFonts w:ascii="Palatino Linotype" w:hAnsi="Palatino Linotype" w:cs="Arial"/>
          <w:bCs/>
        </w:rPr>
        <w:t>técnicas</w:t>
      </w:r>
      <w:r w:rsidRPr="004B1D00">
        <w:rPr>
          <w:rFonts w:ascii="Palatino Linotype" w:hAnsi="Palatino Linotype" w:cs="Arial"/>
        </w:rPr>
        <w:t xml:space="preserve">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4B1D00" w:rsidRPr="004B1D00" w:rsidRDefault="004B1D00" w:rsidP="00A556EB">
      <w:pPr>
        <w:pStyle w:val="Prrafodelista"/>
        <w:ind w:left="360"/>
        <w:jc w:val="both"/>
        <w:rPr>
          <w:rFonts w:ascii="Palatino Linotype" w:hAnsi="Palatino Linotype" w:cs="Arial"/>
        </w:rPr>
      </w:pPr>
    </w:p>
    <w:p w:rsidR="004B1D00" w:rsidRPr="004B1D00" w:rsidRDefault="004B1D00" w:rsidP="00A556EB">
      <w:pPr>
        <w:pStyle w:val="Prrafodelista"/>
        <w:ind w:left="360" w:right="902"/>
        <w:jc w:val="both"/>
        <w:rPr>
          <w:rFonts w:ascii="Palatino Linotype" w:eastAsia="Arial Unicode MS" w:hAnsi="Palatino Linotype" w:cs="Arial"/>
          <w:i/>
          <w:sz w:val="22"/>
          <w:szCs w:val="22"/>
        </w:rPr>
      </w:pPr>
      <w:r w:rsidRPr="004B1D00">
        <w:rPr>
          <w:rFonts w:ascii="Palatino Linotype" w:eastAsia="Arial Unicode MS" w:hAnsi="Palatino Linotype" w:cs="Arial"/>
          <w:b/>
          <w:i/>
          <w:sz w:val="22"/>
          <w:szCs w:val="22"/>
        </w:rPr>
        <w:t>“Artículo 22.</w:t>
      </w:r>
      <w:r w:rsidRPr="004B1D0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556EB" w:rsidRPr="00A556EB" w:rsidRDefault="00A556EB" w:rsidP="00A556EB">
      <w:pPr>
        <w:pStyle w:val="Prrafodelista"/>
        <w:ind w:left="360" w:right="902"/>
        <w:jc w:val="both"/>
        <w:rPr>
          <w:rFonts w:ascii="Palatino Linotype" w:eastAsia="Arial Unicode MS" w:hAnsi="Palatino Linotype" w:cs="Arial"/>
          <w:i/>
          <w:sz w:val="22"/>
          <w:szCs w:val="22"/>
        </w:rPr>
      </w:pPr>
    </w:p>
    <w:p w:rsidR="004B1D00" w:rsidRPr="004B1D00" w:rsidRDefault="004B1D00" w:rsidP="00A556EB">
      <w:pPr>
        <w:pStyle w:val="Prrafodelista"/>
        <w:ind w:left="360" w:right="902"/>
        <w:jc w:val="both"/>
        <w:rPr>
          <w:rFonts w:ascii="Palatino Linotype" w:eastAsia="Arial Unicode MS" w:hAnsi="Palatino Linotype" w:cs="Arial"/>
          <w:i/>
          <w:sz w:val="22"/>
          <w:szCs w:val="22"/>
        </w:rPr>
      </w:pPr>
      <w:r w:rsidRPr="004B1D00">
        <w:rPr>
          <w:rFonts w:ascii="Palatino Linotype" w:eastAsia="Arial Unicode MS" w:hAnsi="Palatino Linotype" w:cs="Arial"/>
          <w:b/>
          <w:i/>
          <w:sz w:val="22"/>
          <w:szCs w:val="22"/>
        </w:rPr>
        <w:t>Artículo 38.</w:t>
      </w:r>
      <w:r w:rsidRPr="004B1D0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B1D00">
        <w:rPr>
          <w:rFonts w:ascii="Palatino Linotype" w:eastAsia="Arial Unicode MS" w:hAnsi="Palatino Linotype" w:cs="Arial"/>
          <w:b/>
          <w:i/>
          <w:sz w:val="22"/>
          <w:szCs w:val="22"/>
        </w:rPr>
        <w:t>”</w:t>
      </w:r>
      <w:r w:rsidRPr="004B1D00">
        <w:rPr>
          <w:rFonts w:ascii="Palatino Linotype" w:eastAsia="Arial Unicode MS" w:hAnsi="Palatino Linotype" w:cs="Arial"/>
          <w:i/>
          <w:sz w:val="22"/>
          <w:szCs w:val="22"/>
        </w:rPr>
        <w:t xml:space="preserve"> </w:t>
      </w:r>
    </w:p>
    <w:p w:rsidR="004B1D00" w:rsidRPr="004B1D00" w:rsidRDefault="004B1D00" w:rsidP="00A556EB">
      <w:pPr>
        <w:pStyle w:val="Prrafodelista"/>
        <w:ind w:left="360" w:right="850"/>
        <w:jc w:val="both"/>
        <w:rPr>
          <w:rFonts w:ascii="Palatino Linotype" w:eastAsia="Arial Unicode MS" w:hAnsi="Palatino Linotype" w:cs="Arial"/>
          <w:i/>
          <w:sz w:val="22"/>
          <w:szCs w:val="22"/>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4B1D00" w:rsidRPr="004B1D00" w:rsidRDefault="004B1D00" w:rsidP="00A556EB">
      <w:pPr>
        <w:pStyle w:val="Prrafodelista"/>
        <w:spacing w:line="360" w:lineRule="auto"/>
        <w:ind w:left="360"/>
        <w:jc w:val="both"/>
        <w:rPr>
          <w:rFonts w:ascii="Palatino Linotype" w:hAnsi="Palatino Linotype" w:cs="Arial"/>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B1D00">
        <w:rPr>
          <w:rFonts w:ascii="Palatino Linotype" w:eastAsia="Arial Unicode MS" w:hAnsi="Palatino Linotype" w:cs="Arial"/>
        </w:rPr>
        <w:t xml:space="preserve"> que debe ser protegida por </w:t>
      </w:r>
      <w:r w:rsidRPr="004B1D00">
        <w:rPr>
          <w:rFonts w:ascii="Palatino Linotype" w:eastAsia="Arial Unicode MS" w:hAnsi="Palatino Linotype" w:cs="Arial"/>
          <w:b/>
        </w:rPr>
        <w:t>EL SUJETO OBLIGADO,</w:t>
      </w:r>
      <w:r w:rsidRPr="004B1D00">
        <w:rPr>
          <w:rFonts w:ascii="Palatino Linotype" w:eastAsia="Arial Unicode MS" w:hAnsi="Palatino Linotype" w:cs="Arial"/>
        </w:rPr>
        <w:t xml:space="preserve"> por lo </w:t>
      </w:r>
      <w:r w:rsidRPr="004B1D00">
        <w:rPr>
          <w:rFonts w:ascii="Palatino Linotype" w:hAnsi="Palatino Linotype" w:cs="Arial"/>
        </w:rPr>
        <w:t>que, todo dato personal susceptible de clasificación debe ser protegido.</w:t>
      </w:r>
    </w:p>
    <w:p w:rsidR="004B1D00" w:rsidRPr="004B1D00" w:rsidRDefault="004B1D00" w:rsidP="00A556EB">
      <w:pPr>
        <w:pStyle w:val="Prrafodelista"/>
        <w:spacing w:line="360" w:lineRule="auto"/>
        <w:ind w:left="360"/>
        <w:jc w:val="both"/>
        <w:rPr>
          <w:rFonts w:ascii="Palatino Linotype" w:hAnsi="Palatino Linotype" w:cs="Arial"/>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4B1D00" w:rsidRPr="004B1D00" w:rsidRDefault="004B1D00" w:rsidP="00A556EB">
      <w:pPr>
        <w:pStyle w:val="Prrafodelista"/>
        <w:spacing w:line="360" w:lineRule="auto"/>
        <w:ind w:left="360"/>
        <w:jc w:val="both"/>
        <w:rPr>
          <w:rFonts w:ascii="Palatino Linotype" w:hAnsi="Palatino Linotype" w:cs="Arial"/>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B1D00" w:rsidRPr="004B1D00" w:rsidRDefault="004B1D00" w:rsidP="00A556EB">
      <w:pPr>
        <w:pStyle w:val="Prrafodelista"/>
        <w:ind w:left="360"/>
        <w:jc w:val="both"/>
        <w:rPr>
          <w:rFonts w:ascii="Palatino Linotype" w:hAnsi="Palatino Linotype" w:cs="Arial"/>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 xml:space="preserve">“Artículo 49. </w:t>
      </w:r>
      <w:r w:rsidRPr="004B1D00">
        <w:rPr>
          <w:rFonts w:ascii="Palatino Linotype" w:hAnsi="Palatino Linotype" w:cs="Arial"/>
          <w:i/>
          <w:sz w:val="22"/>
          <w:szCs w:val="22"/>
        </w:rPr>
        <w:t>Los Comités de Transparencia tendrán las siguientes atribuciones:</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VIII.</w:t>
      </w:r>
      <w:r w:rsidRPr="004B1D00">
        <w:rPr>
          <w:rFonts w:ascii="Palatino Linotype" w:hAnsi="Palatino Linotype" w:cs="Arial"/>
          <w:i/>
          <w:sz w:val="22"/>
          <w:szCs w:val="22"/>
        </w:rPr>
        <w:t xml:space="preserve"> Aprobar, modificar o revocar la clasificación de la información;</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lastRenderedPageBreak/>
        <w:t>Artículo 132.</w:t>
      </w:r>
      <w:r w:rsidRPr="004B1D00">
        <w:rPr>
          <w:rFonts w:ascii="Palatino Linotype" w:hAnsi="Palatino Linotype" w:cs="Arial"/>
          <w:i/>
          <w:sz w:val="22"/>
          <w:szCs w:val="22"/>
        </w:rPr>
        <w:t xml:space="preserve"> La clasificación de la información se llevará a cabo en el momento en que:</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I.</w:t>
      </w:r>
      <w:r w:rsidRPr="004B1D00">
        <w:rPr>
          <w:rFonts w:ascii="Palatino Linotype" w:hAnsi="Palatino Linotype" w:cs="Arial"/>
          <w:i/>
          <w:sz w:val="22"/>
          <w:szCs w:val="22"/>
        </w:rPr>
        <w:t xml:space="preserve"> Se reciba una solicitud de acceso a la información;</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II.</w:t>
      </w:r>
      <w:r w:rsidRPr="004B1D00">
        <w:rPr>
          <w:rFonts w:ascii="Palatino Linotype" w:hAnsi="Palatino Linotype" w:cs="Arial"/>
          <w:i/>
          <w:sz w:val="22"/>
          <w:szCs w:val="22"/>
        </w:rPr>
        <w:t xml:space="preserve"> Se determine mediante resolución de autoridad competente; o</w:t>
      </w:r>
    </w:p>
    <w:p w:rsidR="004B1D00" w:rsidRPr="004B1D00" w:rsidRDefault="004B1D00" w:rsidP="00A556EB">
      <w:pPr>
        <w:pStyle w:val="Prrafodelista"/>
        <w:ind w:left="360" w:right="902"/>
        <w:jc w:val="both"/>
        <w:rPr>
          <w:rFonts w:ascii="Palatino Linotype" w:hAnsi="Palatino Linotype" w:cs="Arial"/>
          <w:b/>
          <w:i/>
          <w:sz w:val="22"/>
          <w:szCs w:val="22"/>
        </w:rPr>
      </w:pPr>
      <w:r w:rsidRPr="004B1D00">
        <w:rPr>
          <w:rFonts w:ascii="Palatino Linotype" w:hAnsi="Palatino Linotype" w:cs="Arial"/>
          <w:i/>
          <w:sz w:val="22"/>
          <w:szCs w:val="22"/>
        </w:rPr>
        <w:t>III. Se generen versiones públicas para dar cumplimiento a las obligaciones de transparencia previstas en esta Ley.</w:t>
      </w:r>
      <w:r w:rsidRPr="004B1D00">
        <w:rPr>
          <w:rFonts w:ascii="Palatino Linotype" w:hAnsi="Palatino Linotype" w:cs="Arial"/>
          <w:b/>
          <w:i/>
          <w:sz w:val="22"/>
          <w:szCs w:val="22"/>
        </w:rPr>
        <w:t>”</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“Segundo.-</w:t>
      </w:r>
      <w:r w:rsidRPr="004B1D00">
        <w:rPr>
          <w:rFonts w:ascii="Palatino Linotype" w:hAnsi="Palatino Linotype" w:cs="Arial"/>
          <w:i/>
          <w:sz w:val="22"/>
          <w:szCs w:val="22"/>
        </w:rPr>
        <w:t xml:space="preserve"> Para efectos de los presentes Lineamientos Generales, se entenderá por:</w:t>
      </w:r>
    </w:p>
    <w:p w:rsidR="00A556EB" w:rsidRDefault="00A556EB" w:rsidP="00A556EB">
      <w:pPr>
        <w:pStyle w:val="Prrafodelista"/>
        <w:ind w:left="360" w:right="902"/>
        <w:jc w:val="both"/>
        <w:rPr>
          <w:rFonts w:ascii="Palatino Linotype" w:hAnsi="Palatino Linotype" w:cs="Arial"/>
          <w:b/>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XVIII.</w:t>
      </w:r>
      <w:r w:rsidRPr="004B1D00">
        <w:rPr>
          <w:rFonts w:ascii="Palatino Linotype" w:hAnsi="Palatino Linotype" w:cs="Arial"/>
          <w:i/>
          <w:sz w:val="22"/>
          <w:szCs w:val="22"/>
        </w:rPr>
        <w:t xml:space="preserve">  </w:t>
      </w:r>
      <w:r w:rsidRPr="004B1D00">
        <w:rPr>
          <w:rFonts w:ascii="Palatino Linotype" w:hAnsi="Palatino Linotype" w:cs="Arial"/>
          <w:b/>
          <w:i/>
          <w:sz w:val="22"/>
          <w:szCs w:val="22"/>
        </w:rPr>
        <w:t>Versión pública:</w:t>
      </w:r>
      <w:r w:rsidRPr="004B1D0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Cuarto.</w:t>
      </w:r>
      <w:r w:rsidRPr="004B1D0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556EB" w:rsidRDefault="00A556EB" w:rsidP="00A556EB">
      <w:pPr>
        <w:pStyle w:val="Prrafodelista"/>
        <w:ind w:left="360" w:right="902"/>
        <w:jc w:val="both"/>
        <w:rPr>
          <w:rFonts w:ascii="Palatino Linotype" w:hAnsi="Palatino Linotype" w:cs="Arial"/>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556EB" w:rsidRDefault="00A556EB" w:rsidP="00A556EB">
      <w:pPr>
        <w:pStyle w:val="Prrafodelista"/>
        <w:ind w:left="360" w:right="902"/>
        <w:jc w:val="both"/>
        <w:rPr>
          <w:rFonts w:ascii="Palatino Linotype" w:hAnsi="Palatino Linotype" w:cs="Arial"/>
          <w:b/>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Quinto.</w:t>
      </w:r>
      <w:r w:rsidRPr="004B1D0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Sexto.</w:t>
      </w:r>
      <w:r w:rsidRPr="004B1D0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556EB" w:rsidRDefault="00A556EB" w:rsidP="00A556EB">
      <w:pPr>
        <w:pStyle w:val="Prrafodelista"/>
        <w:ind w:left="360" w:right="902"/>
        <w:jc w:val="both"/>
        <w:rPr>
          <w:rFonts w:ascii="Palatino Linotype" w:hAnsi="Palatino Linotype" w:cs="Arial"/>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La clasificación de información se realizará conforme a un análisis caso por caso, mediante la aplicación de la prueba de daño y de interés público.</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Séptimo.</w:t>
      </w:r>
      <w:r w:rsidRPr="004B1D00">
        <w:rPr>
          <w:rFonts w:ascii="Palatino Linotype" w:hAnsi="Palatino Linotype" w:cs="Arial"/>
          <w:i/>
          <w:sz w:val="22"/>
          <w:szCs w:val="22"/>
        </w:rPr>
        <w:t xml:space="preserve"> La clasificación de la información se llevará a cabo en el momento en que:</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I.</w:t>
      </w:r>
      <w:r w:rsidRPr="004B1D00">
        <w:rPr>
          <w:rFonts w:ascii="Palatino Linotype" w:hAnsi="Palatino Linotype" w:cs="Arial"/>
          <w:i/>
          <w:sz w:val="22"/>
          <w:szCs w:val="22"/>
        </w:rPr>
        <w:t xml:space="preserve">        Se reciba una solicitud de acceso a la información;</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II.</w:t>
      </w:r>
      <w:r w:rsidRPr="004B1D00">
        <w:rPr>
          <w:rFonts w:ascii="Palatino Linotype" w:hAnsi="Palatino Linotype" w:cs="Arial"/>
          <w:i/>
          <w:sz w:val="22"/>
          <w:szCs w:val="22"/>
        </w:rPr>
        <w:t xml:space="preserve">       Se determine mediante resolución de autoridad competente, o</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lastRenderedPageBreak/>
        <w:t>III.</w:t>
      </w:r>
      <w:r w:rsidRPr="004B1D0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556EB" w:rsidRPr="00A556EB" w:rsidRDefault="00A556EB" w:rsidP="00A556EB">
      <w:pPr>
        <w:pStyle w:val="Prrafodelista"/>
        <w:ind w:left="360" w:right="902"/>
        <w:jc w:val="both"/>
        <w:rPr>
          <w:rFonts w:ascii="Palatino Linotype" w:hAnsi="Palatino Linotype" w:cs="Arial"/>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Octavo.</w:t>
      </w:r>
      <w:r w:rsidRPr="004B1D0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556EB" w:rsidRPr="00A556EB" w:rsidRDefault="00A556EB" w:rsidP="00A556EB">
      <w:pPr>
        <w:pStyle w:val="Prrafodelista"/>
        <w:ind w:left="360" w:right="902"/>
        <w:jc w:val="both"/>
        <w:rPr>
          <w:rFonts w:ascii="Palatino Linotype" w:hAnsi="Palatino Linotype" w:cs="Arial"/>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Noveno.</w:t>
      </w:r>
      <w:r w:rsidRPr="004B1D0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556EB" w:rsidRDefault="00A556EB" w:rsidP="00A556EB">
      <w:pPr>
        <w:pStyle w:val="Prrafodelista"/>
        <w:ind w:left="360" w:right="902"/>
        <w:jc w:val="both"/>
        <w:rPr>
          <w:rFonts w:ascii="Palatino Linotype" w:hAnsi="Palatino Linotype" w:cs="Arial"/>
          <w:b/>
          <w:i/>
          <w:sz w:val="22"/>
          <w:szCs w:val="22"/>
        </w:rPr>
      </w:pP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b/>
          <w:i/>
          <w:sz w:val="22"/>
          <w:szCs w:val="22"/>
        </w:rPr>
        <w:t>Décimo.</w:t>
      </w:r>
      <w:r w:rsidRPr="004B1D0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B1D00" w:rsidRPr="004B1D00" w:rsidRDefault="004B1D00" w:rsidP="00A556EB">
      <w:pPr>
        <w:pStyle w:val="Prrafodelista"/>
        <w:ind w:left="360" w:right="902"/>
        <w:jc w:val="both"/>
        <w:rPr>
          <w:rFonts w:ascii="Palatino Linotype" w:hAnsi="Palatino Linotype" w:cs="Arial"/>
          <w:i/>
          <w:sz w:val="22"/>
          <w:szCs w:val="22"/>
        </w:rPr>
      </w:pPr>
      <w:r w:rsidRPr="004B1D0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556EB" w:rsidRDefault="00A556EB" w:rsidP="00A556EB">
      <w:pPr>
        <w:pStyle w:val="Prrafodelista"/>
        <w:ind w:left="360" w:right="899"/>
        <w:jc w:val="both"/>
        <w:rPr>
          <w:rFonts w:ascii="Palatino Linotype" w:hAnsi="Palatino Linotype" w:cs="Arial"/>
          <w:b/>
          <w:i/>
          <w:sz w:val="22"/>
          <w:szCs w:val="22"/>
        </w:rPr>
      </w:pPr>
    </w:p>
    <w:p w:rsidR="004B1D00" w:rsidRPr="004B1D00" w:rsidRDefault="004B1D00" w:rsidP="00A556EB">
      <w:pPr>
        <w:pStyle w:val="Prrafodelista"/>
        <w:ind w:left="360" w:right="899"/>
        <w:jc w:val="both"/>
        <w:rPr>
          <w:rFonts w:ascii="Palatino Linotype" w:hAnsi="Palatino Linotype" w:cs="Arial"/>
          <w:b/>
          <w:i/>
          <w:sz w:val="22"/>
          <w:szCs w:val="22"/>
        </w:rPr>
      </w:pPr>
      <w:r w:rsidRPr="004B1D00">
        <w:rPr>
          <w:rFonts w:ascii="Palatino Linotype" w:hAnsi="Palatino Linotype" w:cs="Arial"/>
          <w:b/>
          <w:i/>
          <w:sz w:val="22"/>
          <w:szCs w:val="22"/>
        </w:rPr>
        <w:t>Décimo primero.</w:t>
      </w:r>
      <w:r w:rsidRPr="004B1D00">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4B1D00">
        <w:rPr>
          <w:rFonts w:ascii="Palatino Linotype" w:hAnsi="Palatino Linotype" w:cs="Arial"/>
          <w:i/>
          <w:sz w:val="22"/>
          <w:szCs w:val="22"/>
        </w:rPr>
        <w:lastRenderedPageBreak/>
        <w:t>llevar la leyenda correspondiente de conformidad con lo dispuesto en el Capítulo VIII de los presentes lineamientos.</w:t>
      </w:r>
      <w:r w:rsidRPr="004B1D00">
        <w:rPr>
          <w:rFonts w:ascii="Palatino Linotype" w:hAnsi="Palatino Linotype" w:cs="Arial"/>
          <w:b/>
          <w:i/>
          <w:sz w:val="22"/>
          <w:szCs w:val="22"/>
        </w:rPr>
        <w:t>”</w:t>
      </w:r>
    </w:p>
    <w:p w:rsidR="004B1D00" w:rsidRPr="004B1D00" w:rsidRDefault="004B1D00" w:rsidP="00A556EB">
      <w:pPr>
        <w:pStyle w:val="Prrafodelista"/>
        <w:ind w:left="360" w:right="899"/>
        <w:jc w:val="both"/>
        <w:rPr>
          <w:rFonts w:ascii="Palatino Linotype" w:hAnsi="Palatino Linotype" w:cs="Arial"/>
          <w:b/>
          <w:bCs/>
          <w:i/>
          <w:noProof/>
        </w:rPr>
      </w:pPr>
    </w:p>
    <w:p w:rsidR="004B1D00" w:rsidRPr="004B1D00" w:rsidRDefault="004B1D00" w:rsidP="005A7F80">
      <w:pPr>
        <w:pStyle w:val="Prrafodelista"/>
        <w:numPr>
          <w:ilvl w:val="0"/>
          <w:numId w:val="1"/>
        </w:numPr>
        <w:spacing w:line="360" w:lineRule="auto"/>
        <w:ind w:left="0" w:firstLine="0"/>
        <w:jc w:val="both"/>
        <w:rPr>
          <w:rFonts w:ascii="Palatino Linotype" w:hAnsi="Palatino Linotype" w:cs="Arial"/>
        </w:rPr>
      </w:pPr>
      <w:r w:rsidRPr="004B1D0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B1D00" w:rsidRPr="004B1D00" w:rsidRDefault="004B1D00" w:rsidP="00A556EB">
      <w:pPr>
        <w:pStyle w:val="Prrafodelista"/>
        <w:spacing w:line="360" w:lineRule="auto"/>
        <w:ind w:left="360" w:right="-93"/>
        <w:jc w:val="both"/>
        <w:rPr>
          <w:rFonts w:ascii="Palatino Linotype" w:hAnsi="Palatino Linotype" w:cs="Arial"/>
          <w:lang w:eastAsia="es-MX"/>
        </w:rPr>
      </w:pPr>
    </w:p>
    <w:p w:rsidR="004B1D00" w:rsidRPr="00A556EB" w:rsidRDefault="004B1D00" w:rsidP="005A7F80">
      <w:pPr>
        <w:pStyle w:val="Prrafodelista"/>
        <w:numPr>
          <w:ilvl w:val="0"/>
          <w:numId w:val="1"/>
        </w:numPr>
        <w:spacing w:line="360" w:lineRule="auto"/>
        <w:ind w:left="0" w:firstLine="0"/>
        <w:jc w:val="both"/>
        <w:rPr>
          <w:rFonts w:ascii="Palatino Linotype" w:hAnsi="Palatino Linotype" w:cs="Arial"/>
          <w:lang w:eastAsia="es-CO"/>
        </w:rPr>
      </w:pPr>
      <w:r w:rsidRPr="004B1D00">
        <w:rPr>
          <w:rFonts w:ascii="Palatino Linotype" w:hAnsi="Palatino Linotype" w:cs="Arial"/>
        </w:rPr>
        <w:t xml:space="preserve">Consecuentemente, se destaca que la versión pública que elabore </w:t>
      </w:r>
      <w:r w:rsidRPr="004B1D00">
        <w:rPr>
          <w:rFonts w:ascii="Palatino Linotype" w:hAnsi="Palatino Linotype" w:cs="Arial"/>
          <w:b/>
        </w:rPr>
        <w:t>EL SUJETO OBLIGADO</w:t>
      </w:r>
      <w:r w:rsidRPr="004B1D00">
        <w:rPr>
          <w:rFonts w:ascii="Palatino Linotype" w:hAnsi="Palatino Linotype" w:cs="Arial"/>
        </w:rPr>
        <w:t xml:space="preserve"> debe cumplir con las formalidades exigidas en la Ley, por lo que para tal efecto emitirá el </w:t>
      </w:r>
      <w:r w:rsidRPr="004B1D00">
        <w:rPr>
          <w:rFonts w:ascii="Palatino Linotype" w:hAnsi="Palatino Linotype" w:cs="Arial"/>
          <w:b/>
        </w:rPr>
        <w:t>Acuerdo del Comité de Transparencia</w:t>
      </w:r>
      <w:r w:rsidRPr="004B1D0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B1D0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B1D00" w:rsidRDefault="004B1D00" w:rsidP="00A556EB">
      <w:pPr>
        <w:spacing w:line="360" w:lineRule="auto"/>
        <w:contextualSpacing/>
        <w:jc w:val="both"/>
        <w:rPr>
          <w:rFonts w:ascii="Palatino Linotype" w:hAnsi="Palatino Linotype"/>
          <w:lang w:val="es-ES"/>
        </w:rPr>
      </w:pPr>
    </w:p>
    <w:p w:rsidR="0022448C" w:rsidRDefault="0069135E" w:rsidP="005A7F80">
      <w:pPr>
        <w:numPr>
          <w:ilvl w:val="0"/>
          <w:numId w:val="1"/>
        </w:numPr>
        <w:spacing w:line="360" w:lineRule="auto"/>
        <w:ind w:left="0" w:firstLine="0"/>
        <w:contextualSpacing/>
        <w:jc w:val="both"/>
        <w:rPr>
          <w:rFonts w:ascii="Palatino Linotype" w:hAnsi="Palatino Linotype"/>
          <w:lang w:val="es-ES"/>
        </w:rPr>
      </w:pPr>
      <w:r w:rsidRPr="007724FF">
        <w:rPr>
          <w:rFonts w:ascii="Palatino Linotype" w:hAnsi="Palatino Linotype"/>
          <w:lang w:val="es-ES"/>
        </w:rPr>
        <w:t xml:space="preserve">Por último, subrayar que se hizo mención de los anexos; toda vez que estos fueron requeridos de manera expresa en las solicitudes de información, asimismo porque estos son parte integral del documento al que pertenecen de conformidad con el </w:t>
      </w:r>
      <w:r w:rsidRPr="007724FF">
        <w:rPr>
          <w:rFonts w:ascii="Palatino Linotype" w:hAnsi="Palatino Linotype"/>
          <w:b/>
          <w:lang w:val="es-ES"/>
        </w:rPr>
        <w:t>Criterio 17/17</w:t>
      </w:r>
      <w:r w:rsidRPr="007724FF">
        <w:rPr>
          <w:rFonts w:ascii="Palatino Linotype" w:hAnsi="Palatino Linotype"/>
          <w:lang w:val="es-ES"/>
        </w:rPr>
        <w:t xml:space="preserve"> emitido por el Instituto Nacional de Transparencia, Acceso a la </w:t>
      </w:r>
      <w:r w:rsidRPr="007724FF">
        <w:rPr>
          <w:rFonts w:ascii="Palatino Linotype" w:hAnsi="Palatino Linotype"/>
          <w:lang w:val="es-ES"/>
        </w:rPr>
        <w:lastRenderedPageBreak/>
        <w:t>Información y Protección de Datos Personales (INAI)</w:t>
      </w:r>
      <w:r w:rsidR="00123CA3" w:rsidRPr="007724FF">
        <w:rPr>
          <w:rFonts w:ascii="Palatino Linotype" w:hAnsi="Palatino Linotype"/>
          <w:lang w:val="es-ES"/>
        </w:rPr>
        <w:t>, y que es del tenor literal siguiente:</w:t>
      </w:r>
    </w:p>
    <w:p w:rsidR="00984EC4" w:rsidRPr="007724FF" w:rsidRDefault="00984EC4" w:rsidP="00984EC4">
      <w:pPr>
        <w:spacing w:line="360" w:lineRule="auto"/>
        <w:contextualSpacing/>
        <w:jc w:val="both"/>
        <w:rPr>
          <w:rFonts w:ascii="Palatino Linotype" w:hAnsi="Palatino Linotype"/>
          <w:lang w:val="es-ES"/>
        </w:rPr>
      </w:pPr>
    </w:p>
    <w:p w:rsidR="00123CA3" w:rsidRDefault="00123CA3" w:rsidP="007724FF">
      <w:pPr>
        <w:spacing w:line="360" w:lineRule="auto"/>
        <w:ind w:left="567" w:right="474"/>
        <w:jc w:val="both"/>
        <w:rPr>
          <w:rFonts w:ascii="Palatino Linotype" w:hAnsi="Palatino Linotype" w:cs="Arial"/>
          <w:bCs/>
          <w:i/>
        </w:rPr>
      </w:pPr>
      <w:r w:rsidRPr="007724FF">
        <w:rPr>
          <w:rFonts w:ascii="Palatino Linotype" w:hAnsi="Palatino Linotype" w:cs="Arial"/>
          <w:b/>
          <w:bCs/>
          <w:i/>
        </w:rPr>
        <w:t xml:space="preserve">“Anexos de los documentos solicitados. </w:t>
      </w:r>
      <w:r w:rsidRPr="007724FF">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48524D" w:rsidRPr="007724FF" w:rsidRDefault="0048524D" w:rsidP="007724FF">
      <w:pPr>
        <w:spacing w:line="360" w:lineRule="auto"/>
        <w:ind w:left="567" w:right="474"/>
        <w:jc w:val="both"/>
        <w:rPr>
          <w:rFonts w:ascii="Palatino Linotype" w:hAnsi="Palatino Linotype" w:cs="Arial"/>
          <w:b/>
          <w:i/>
        </w:rPr>
      </w:pPr>
    </w:p>
    <w:p w:rsidR="00620AA2" w:rsidRPr="00620AA2" w:rsidRDefault="00620AA2" w:rsidP="005A7F80">
      <w:pPr>
        <w:numPr>
          <w:ilvl w:val="0"/>
          <w:numId w:val="1"/>
        </w:numPr>
        <w:spacing w:line="360" w:lineRule="auto"/>
        <w:ind w:left="0" w:firstLine="0"/>
        <w:contextualSpacing/>
        <w:jc w:val="both"/>
        <w:rPr>
          <w:rFonts w:ascii="Palatino Linotype" w:hAnsi="Palatino Linotype"/>
          <w:lang w:val="es-ES"/>
        </w:rPr>
      </w:pPr>
      <w:r>
        <w:rPr>
          <w:rFonts w:ascii="Palatino Linotype" w:hAnsi="Palatino Linotype"/>
          <w:lang w:val="es-ES"/>
        </w:rPr>
        <w:t xml:space="preserve">Por ultimo a este punto, establecer que la temporalidad de los proveídos dictados durante la tramitación de la Controversia de mérito que deberán ser entregados, corresponderá al </w:t>
      </w:r>
      <w:r>
        <w:rPr>
          <w:rFonts w:ascii="Palatino Linotype" w:hAnsi="Palatino Linotype"/>
          <w:b/>
          <w:color w:val="000000" w:themeColor="text1"/>
        </w:rPr>
        <w:t>al uno (</w:t>
      </w:r>
      <w:r>
        <w:rPr>
          <w:rFonts w:ascii="Palatino Linotype" w:eastAsia="Calibri" w:hAnsi="Palatino Linotype" w:cs="Arial"/>
          <w:b/>
          <w:lang w:val="es-ES"/>
        </w:rPr>
        <w:t>1)</w:t>
      </w:r>
      <w:r w:rsidRPr="00620AA2">
        <w:rPr>
          <w:rFonts w:ascii="Palatino Linotype" w:eastAsia="Calibri" w:hAnsi="Palatino Linotype" w:cs="Arial"/>
          <w:b/>
          <w:lang w:val="es-ES"/>
        </w:rPr>
        <w:t xml:space="preserve"> de julio de</w:t>
      </w:r>
      <w:r>
        <w:rPr>
          <w:rFonts w:ascii="Palatino Linotype" w:eastAsia="Calibri" w:hAnsi="Palatino Linotype" w:cs="Arial"/>
          <w:b/>
          <w:lang w:val="es-ES"/>
        </w:rPr>
        <w:t>l año en curso</w:t>
      </w:r>
      <w:r>
        <w:rPr>
          <w:rFonts w:ascii="Palatino Linotype" w:eastAsia="Calibri" w:hAnsi="Palatino Linotype" w:cs="Arial"/>
          <w:lang w:val="es-ES"/>
        </w:rPr>
        <w:t xml:space="preserve">; toda vez que fue la fecha en que ingresó la última solicitud de información relativa a dicho punto, y que es la identificado con el número </w:t>
      </w:r>
      <w:r w:rsidRPr="00620AA2">
        <w:rPr>
          <w:rFonts w:ascii="Palatino Linotype" w:eastAsia="Calibri" w:hAnsi="Palatino Linotype" w:cs="Arial"/>
          <w:lang w:val="es-ES"/>
        </w:rPr>
        <w:t>00248/TEOLOYU/IP/2021</w:t>
      </w:r>
      <w:r>
        <w:rPr>
          <w:rFonts w:ascii="Palatino Linotype" w:eastAsia="Calibri" w:hAnsi="Palatino Linotype" w:cs="Arial"/>
          <w:lang w:val="es-ES"/>
        </w:rPr>
        <w:t>.</w:t>
      </w:r>
    </w:p>
    <w:p w:rsidR="00620AA2" w:rsidRDefault="00620AA2" w:rsidP="00620AA2">
      <w:pPr>
        <w:spacing w:line="360" w:lineRule="auto"/>
        <w:contextualSpacing/>
        <w:jc w:val="both"/>
        <w:rPr>
          <w:rFonts w:ascii="Palatino Linotype" w:hAnsi="Palatino Linotype"/>
          <w:lang w:val="es-ES"/>
        </w:rPr>
      </w:pPr>
    </w:p>
    <w:p w:rsidR="00D56B4C" w:rsidRPr="007724FF" w:rsidRDefault="0022448C" w:rsidP="005A7F80">
      <w:pPr>
        <w:numPr>
          <w:ilvl w:val="0"/>
          <w:numId w:val="1"/>
        </w:numPr>
        <w:spacing w:line="360" w:lineRule="auto"/>
        <w:ind w:left="0" w:firstLine="0"/>
        <w:contextualSpacing/>
        <w:jc w:val="both"/>
        <w:rPr>
          <w:rFonts w:ascii="Palatino Linotype" w:hAnsi="Palatino Linotype"/>
          <w:lang w:val="es-ES"/>
        </w:rPr>
      </w:pPr>
      <w:r w:rsidRPr="007724FF">
        <w:rPr>
          <w:rFonts w:ascii="Palatino Linotype" w:hAnsi="Palatino Linotype"/>
          <w:lang w:val="es-ES"/>
        </w:rPr>
        <w:t xml:space="preserve"> </w:t>
      </w:r>
      <w:r w:rsidR="00123CA3" w:rsidRPr="007724FF">
        <w:rPr>
          <w:rFonts w:ascii="Palatino Linotype" w:hAnsi="Palatino Linotype"/>
          <w:lang w:val="es-ES"/>
        </w:rPr>
        <w:t>Por otro lado, relativo a  los diferendos limítrofes del Municipio de Teoloyucan con los Municipios de Tepotzotlán, Cuautitlán y Cuautitlán Izcalli, de una búsqueda realizada al respecto</w:t>
      </w:r>
      <w:r w:rsidR="00D56B4C" w:rsidRPr="007724FF">
        <w:rPr>
          <w:rFonts w:ascii="Palatino Linotype" w:hAnsi="Palatino Linotype"/>
          <w:lang w:val="es-ES"/>
        </w:rPr>
        <w:t xml:space="preserve">, se halló que los Municipios señalados en las solicitudes de información, en sus portales oficiales de Internet, han </w:t>
      </w:r>
      <w:r w:rsidR="00A92FF1" w:rsidRPr="007724FF">
        <w:rPr>
          <w:rFonts w:ascii="Palatino Linotype" w:hAnsi="Palatino Linotype"/>
          <w:lang w:val="es-ES"/>
        </w:rPr>
        <w:t>hecho público</w:t>
      </w:r>
      <w:r w:rsidR="00FF2FD9">
        <w:rPr>
          <w:rFonts w:ascii="Palatino Linotype" w:hAnsi="Palatino Linotype"/>
          <w:lang w:val="es-ES"/>
        </w:rPr>
        <w:t>s</w:t>
      </w:r>
      <w:r w:rsidR="008C7CFC">
        <w:rPr>
          <w:rFonts w:ascii="Palatino Linotype" w:hAnsi="Palatino Linotype"/>
          <w:lang w:val="es-ES"/>
        </w:rPr>
        <w:t xml:space="preserve"> </w:t>
      </w:r>
      <w:r w:rsidR="00D56B4C" w:rsidRPr="007724FF">
        <w:rPr>
          <w:rFonts w:ascii="Palatino Linotype" w:hAnsi="Palatino Linotype"/>
          <w:lang w:val="es-ES"/>
        </w:rPr>
        <w:t>l</w:t>
      </w:r>
      <w:r w:rsidR="008C7CFC">
        <w:rPr>
          <w:rFonts w:ascii="Palatino Linotype" w:hAnsi="Palatino Linotype"/>
          <w:lang w:val="es-ES"/>
        </w:rPr>
        <w:t>os</w:t>
      </w:r>
      <w:r w:rsidR="00D56B4C" w:rsidRPr="007724FF">
        <w:rPr>
          <w:rFonts w:ascii="Palatino Linotype" w:hAnsi="Palatino Linotype"/>
          <w:lang w:val="es-ES"/>
        </w:rPr>
        <w:t xml:space="preserve"> conflicto</w:t>
      </w:r>
      <w:r w:rsidR="008C7CFC">
        <w:rPr>
          <w:rFonts w:ascii="Palatino Linotype" w:hAnsi="Palatino Linotype"/>
          <w:lang w:val="es-ES"/>
        </w:rPr>
        <w:t>s</w:t>
      </w:r>
      <w:r w:rsidR="00D56B4C" w:rsidRPr="007724FF">
        <w:rPr>
          <w:rFonts w:ascii="Palatino Linotype" w:hAnsi="Palatino Linotype"/>
          <w:lang w:val="es-ES"/>
        </w:rPr>
        <w:t xml:space="preserve"> de referencia como se observa:</w:t>
      </w:r>
    </w:p>
    <w:p w:rsidR="00A92FF1" w:rsidRPr="007724FF" w:rsidRDefault="00A92FF1" w:rsidP="007724FF">
      <w:pPr>
        <w:spacing w:line="360" w:lineRule="auto"/>
        <w:contextualSpacing/>
        <w:jc w:val="both"/>
        <w:rPr>
          <w:rFonts w:ascii="Palatino Linotype" w:hAnsi="Palatino Linotype"/>
          <w:lang w:val="es-ES"/>
        </w:rPr>
      </w:pPr>
    </w:p>
    <w:p w:rsidR="00D56B4C" w:rsidRPr="007724FF" w:rsidRDefault="00D56B4C" w:rsidP="007724FF">
      <w:pPr>
        <w:spacing w:line="360" w:lineRule="auto"/>
        <w:contextualSpacing/>
        <w:jc w:val="center"/>
        <w:rPr>
          <w:rFonts w:ascii="Palatino Linotype" w:hAnsi="Palatino Linotype"/>
          <w:lang w:val="es-ES"/>
        </w:rPr>
      </w:pPr>
      <w:r w:rsidRPr="007724FF">
        <w:rPr>
          <w:rFonts w:ascii="Palatino Linotype" w:hAnsi="Palatino Linotype"/>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81915</wp:posOffset>
                </wp:positionH>
                <wp:positionV relativeFrom="paragraph">
                  <wp:posOffset>3271726</wp:posOffset>
                </wp:positionV>
                <wp:extent cx="5475829" cy="2870053"/>
                <wp:effectExtent l="0" t="0" r="29845" b="26035"/>
                <wp:wrapNone/>
                <wp:docPr id="4" name="Conector recto 4"/>
                <wp:cNvGraphicFramePr/>
                <a:graphic xmlns:a="http://schemas.openxmlformats.org/drawingml/2006/main">
                  <a:graphicData uri="http://schemas.microsoft.com/office/word/2010/wordprocessingShape">
                    <wps:wsp>
                      <wps:cNvCnPr/>
                      <wps:spPr>
                        <a:xfrm>
                          <a:off x="0" y="0"/>
                          <a:ext cx="5475829" cy="28700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B0AA4" id="Conector recto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57.6pt" to="437.6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" strokecolor="black [3200]" strokeweight="1.5pt">
                <v:stroke joinstyle="miter"/>
              </v:line>
            </w:pict>
          </mc:Fallback>
        </mc:AlternateContent>
      </w:r>
      <w:r w:rsidRPr="007724FF">
        <w:rPr>
          <w:rFonts w:ascii="Palatino Linotype" w:hAnsi="Palatino Linotype"/>
          <w:noProof/>
          <w:lang w:val="es-MX" w:eastAsia="es-MX"/>
        </w:rPr>
        <w:drawing>
          <wp:inline distT="0" distB="0" distL="0" distR="0">
            <wp:extent cx="5403238" cy="2940050"/>
            <wp:effectExtent l="19050" t="19050" r="2603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554" cy="2940766"/>
                    </a:xfrm>
                    <a:prstGeom prst="rect">
                      <a:avLst/>
                    </a:prstGeom>
                    <a:noFill/>
                    <a:ln>
                      <a:solidFill>
                        <a:schemeClr val="tx1"/>
                      </a:solidFill>
                    </a:ln>
                  </pic:spPr>
                </pic:pic>
              </a:graphicData>
            </a:graphic>
          </wp:inline>
        </w:drawing>
      </w:r>
    </w:p>
    <w:p w:rsidR="00D56B4C" w:rsidRPr="007724FF" w:rsidRDefault="00D56B4C" w:rsidP="007724FF">
      <w:pPr>
        <w:spacing w:line="360" w:lineRule="auto"/>
        <w:contextualSpacing/>
        <w:jc w:val="center"/>
        <w:rPr>
          <w:rFonts w:ascii="Palatino Linotype" w:hAnsi="Palatino Linotype"/>
          <w:lang w:val="es-ES"/>
        </w:rPr>
      </w:pPr>
      <w:r w:rsidRPr="007724FF">
        <w:rPr>
          <w:rFonts w:ascii="Palatino Linotype" w:hAnsi="Palatino Linotype"/>
          <w:noProof/>
          <w:lang w:val="es-MX" w:eastAsia="es-MX"/>
        </w:rPr>
        <w:lastRenderedPageBreak/>
        <w:drawing>
          <wp:inline distT="0" distB="0" distL="0" distR="0">
            <wp:extent cx="4375150" cy="5370741"/>
            <wp:effectExtent l="19050" t="19050" r="2540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8866" cy="5375302"/>
                    </a:xfrm>
                    <a:prstGeom prst="rect">
                      <a:avLst/>
                    </a:prstGeom>
                    <a:noFill/>
                    <a:ln>
                      <a:solidFill>
                        <a:schemeClr val="tx1"/>
                      </a:solidFill>
                    </a:ln>
                  </pic:spPr>
                </pic:pic>
              </a:graphicData>
            </a:graphic>
          </wp:inline>
        </w:drawing>
      </w:r>
    </w:p>
    <w:p w:rsidR="00501AD0" w:rsidRPr="007724FF" w:rsidRDefault="00501AD0" w:rsidP="007724FF">
      <w:pPr>
        <w:pStyle w:val="Prrafodelista"/>
        <w:spacing w:line="360" w:lineRule="auto"/>
        <w:rPr>
          <w:rFonts w:ascii="Palatino Linotype" w:hAnsi="Palatino Linotype"/>
          <w:lang w:val="es-ES"/>
        </w:rPr>
      </w:pPr>
    </w:p>
    <w:p w:rsidR="00501AD0" w:rsidRPr="007724FF" w:rsidRDefault="00D56B4C" w:rsidP="005A7F80">
      <w:pPr>
        <w:numPr>
          <w:ilvl w:val="0"/>
          <w:numId w:val="1"/>
        </w:numPr>
        <w:spacing w:line="360" w:lineRule="auto"/>
        <w:ind w:left="0" w:firstLine="0"/>
        <w:contextualSpacing/>
        <w:jc w:val="both"/>
        <w:rPr>
          <w:rFonts w:ascii="Palatino Linotype" w:hAnsi="Palatino Linotype"/>
          <w:lang w:val="es-ES"/>
        </w:rPr>
      </w:pPr>
      <w:r w:rsidRPr="007724FF">
        <w:rPr>
          <w:rFonts w:ascii="Palatino Linotype" w:hAnsi="Palatino Linotype"/>
          <w:lang w:val="es-ES"/>
        </w:rPr>
        <w:t xml:space="preserve">Por otro lado, se halló el </w:t>
      </w:r>
      <w:r w:rsidR="003B0D67" w:rsidRPr="007724FF">
        <w:rPr>
          <w:rFonts w:ascii="Palatino Linotype" w:hAnsi="Palatino Linotype"/>
          <w:lang w:val="es-ES"/>
        </w:rPr>
        <w:t>Comunicado de Prensa número</w:t>
      </w:r>
      <w:r w:rsidRPr="007724FF">
        <w:rPr>
          <w:rFonts w:ascii="Palatino Linotype" w:hAnsi="Palatino Linotype"/>
          <w:lang w:val="es-ES"/>
        </w:rPr>
        <w:t xml:space="preserve"> 2649</w:t>
      </w:r>
      <w:r w:rsidR="003B0D67" w:rsidRPr="007724FF">
        <w:rPr>
          <w:rFonts w:ascii="Palatino Linotype" w:hAnsi="Palatino Linotype"/>
          <w:lang w:val="es-ES"/>
        </w:rPr>
        <w:t>, pu</w:t>
      </w:r>
      <w:r w:rsidR="00706764" w:rsidRPr="007724FF">
        <w:rPr>
          <w:rFonts w:ascii="Palatino Linotype" w:hAnsi="Palatino Linotype"/>
          <w:lang w:val="es-ES"/>
        </w:rPr>
        <w:t>blicado en el sitio oficial de I</w:t>
      </w:r>
      <w:r w:rsidR="003B0D67" w:rsidRPr="007724FF">
        <w:rPr>
          <w:rFonts w:ascii="Palatino Linotype" w:hAnsi="Palatino Linotype"/>
          <w:lang w:val="es-ES"/>
        </w:rPr>
        <w:t>nternet del Poder Legislativo del Estado de México</w:t>
      </w:r>
      <w:r w:rsidR="00D01E30" w:rsidRPr="007724FF">
        <w:rPr>
          <w:rFonts w:ascii="Palatino Linotype" w:hAnsi="Palatino Linotype"/>
          <w:lang w:val="es-ES"/>
        </w:rPr>
        <w:t xml:space="preserve"> y diversas notas periodísticas</w:t>
      </w:r>
      <w:r w:rsidR="003B0D67" w:rsidRPr="007724FF">
        <w:rPr>
          <w:rFonts w:ascii="Palatino Linotype" w:hAnsi="Palatino Linotype"/>
          <w:lang w:val="es-ES"/>
        </w:rPr>
        <w:t>,</w:t>
      </w:r>
      <w:r w:rsidR="00D01E30" w:rsidRPr="007724FF">
        <w:rPr>
          <w:rFonts w:ascii="Palatino Linotype" w:hAnsi="Palatino Linotype"/>
          <w:lang w:val="es-ES"/>
        </w:rPr>
        <w:t xml:space="preserve"> como se observa</w:t>
      </w:r>
      <w:r w:rsidR="003B0D67" w:rsidRPr="007724FF">
        <w:rPr>
          <w:rFonts w:ascii="Palatino Linotype" w:hAnsi="Palatino Linotype"/>
          <w:lang w:val="es-ES"/>
        </w:rPr>
        <w:t>:</w:t>
      </w:r>
    </w:p>
    <w:p w:rsidR="003B0D67" w:rsidRPr="007724FF" w:rsidRDefault="003B0D67" w:rsidP="007724FF">
      <w:pPr>
        <w:spacing w:line="360" w:lineRule="auto"/>
        <w:contextualSpacing/>
        <w:jc w:val="center"/>
        <w:rPr>
          <w:rFonts w:ascii="Palatino Linotype" w:hAnsi="Palatino Linotype"/>
          <w:lang w:val="es-ES"/>
        </w:rPr>
      </w:pPr>
      <w:r w:rsidRPr="007724FF">
        <w:rPr>
          <w:rFonts w:ascii="Palatino Linotype" w:hAnsi="Palatino Linotype"/>
          <w:noProof/>
          <w:lang w:val="es-MX" w:eastAsia="es-MX"/>
        </w:rPr>
        <w:lastRenderedPageBreak/>
        <w:drawing>
          <wp:inline distT="0" distB="0" distL="0" distR="0">
            <wp:extent cx="5226050" cy="5340831"/>
            <wp:effectExtent l="19050" t="19050" r="127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799" cy="5342618"/>
                    </a:xfrm>
                    <a:prstGeom prst="rect">
                      <a:avLst/>
                    </a:prstGeom>
                    <a:noFill/>
                    <a:ln>
                      <a:solidFill>
                        <a:schemeClr val="tx1"/>
                      </a:solidFill>
                    </a:ln>
                  </pic:spPr>
                </pic:pic>
              </a:graphicData>
            </a:graphic>
          </wp:inline>
        </w:drawing>
      </w:r>
    </w:p>
    <w:p w:rsidR="006445CA" w:rsidRPr="007724FF" w:rsidRDefault="006445CA" w:rsidP="007724FF">
      <w:pPr>
        <w:spacing w:line="360" w:lineRule="auto"/>
        <w:contextualSpacing/>
        <w:jc w:val="center"/>
        <w:rPr>
          <w:rFonts w:ascii="Palatino Linotype" w:hAnsi="Palatino Linotype"/>
          <w:sz w:val="16"/>
          <w:lang w:val="es-ES"/>
        </w:rPr>
      </w:pPr>
      <w:r w:rsidRPr="007724FF">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92317</wp:posOffset>
                </wp:positionH>
                <wp:positionV relativeFrom="paragraph">
                  <wp:posOffset>661795</wp:posOffset>
                </wp:positionV>
                <wp:extent cx="5525135" cy="1273366"/>
                <wp:effectExtent l="0" t="0" r="37465" b="22225"/>
                <wp:wrapNone/>
                <wp:docPr id="13" name="Conector recto 13"/>
                <wp:cNvGraphicFramePr/>
                <a:graphic xmlns:a="http://schemas.openxmlformats.org/drawingml/2006/main">
                  <a:graphicData uri="http://schemas.microsoft.com/office/word/2010/wordprocessingShape">
                    <wps:wsp>
                      <wps:cNvCnPr/>
                      <wps:spPr>
                        <a:xfrm>
                          <a:off x="0" y="0"/>
                          <a:ext cx="5525135" cy="127336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4992DF3" id="Conector recto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5pt,52.1pt" to="442.3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" strokecolor="black [3200]" strokeweight="1.5pt">
                <v:stroke joinstyle="miter"/>
              </v:line>
            </w:pict>
          </mc:Fallback>
        </mc:AlternateContent>
      </w:r>
      <w:r w:rsidRPr="007724FF">
        <w:rPr>
          <w:rFonts w:ascii="Palatino Linotype" w:hAnsi="Palatino Linotype"/>
          <w:b/>
          <w:sz w:val="16"/>
          <w:lang w:val="es-ES"/>
        </w:rPr>
        <w:t>Fuente:</w:t>
      </w:r>
      <w:r w:rsidRPr="007724FF">
        <w:rPr>
          <w:rFonts w:ascii="Palatino Linotype" w:hAnsi="Palatino Linotype"/>
          <w:sz w:val="14"/>
          <w:lang w:val="es-ES"/>
        </w:rPr>
        <w:t xml:space="preserve"> http://www.cddiputados.gob.mx/comunicado.php?id=2649#:~:text=febrero%20de%202021-,Continuar%C3%A1n%20Tepotzotl%C3%A1n%20y%20Teoloyucan%20proceso%20legal%20por%20diferendo%20territorial,Tecla%20y%20San%20Bartolo%20Tlaxihuicalco</w:t>
      </w:r>
    </w:p>
    <w:p w:rsidR="00D01E30" w:rsidRPr="007724FF" w:rsidRDefault="00D01E30" w:rsidP="007724FF">
      <w:pPr>
        <w:spacing w:line="360" w:lineRule="auto"/>
        <w:contextualSpacing/>
        <w:jc w:val="center"/>
        <w:rPr>
          <w:rFonts w:ascii="Palatino Linotype" w:hAnsi="Palatino Linotype"/>
          <w:lang w:val="es-ES"/>
        </w:rPr>
      </w:pPr>
      <w:r w:rsidRPr="007724FF">
        <w:rPr>
          <w:rFonts w:ascii="Palatino Linotype" w:hAnsi="Palatino Linotype"/>
          <w:noProof/>
          <w:lang w:val="es-MX" w:eastAsia="es-MX"/>
        </w:rPr>
        <w:lastRenderedPageBreak/>
        <w:drawing>
          <wp:inline distT="0" distB="0" distL="0" distR="0">
            <wp:extent cx="5334935" cy="3121003"/>
            <wp:effectExtent l="19050" t="19050" r="1841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9076" cy="3123425"/>
                    </a:xfrm>
                    <a:prstGeom prst="rect">
                      <a:avLst/>
                    </a:prstGeom>
                    <a:noFill/>
                    <a:ln>
                      <a:solidFill>
                        <a:schemeClr val="tx1"/>
                      </a:solidFill>
                    </a:ln>
                  </pic:spPr>
                </pic:pic>
              </a:graphicData>
            </a:graphic>
          </wp:inline>
        </w:drawing>
      </w:r>
    </w:p>
    <w:p w:rsidR="00D01E30" w:rsidRPr="007724FF" w:rsidRDefault="00D01E30" w:rsidP="007724FF">
      <w:pPr>
        <w:spacing w:line="360" w:lineRule="auto"/>
        <w:contextualSpacing/>
        <w:jc w:val="center"/>
        <w:rPr>
          <w:rFonts w:ascii="Palatino Linotype" w:hAnsi="Palatino Linotype"/>
          <w:lang w:val="es-ES"/>
        </w:rPr>
      </w:pPr>
      <w:r w:rsidRPr="007724FF">
        <w:rPr>
          <w:rFonts w:ascii="Palatino Linotype" w:hAnsi="Palatino Linotype"/>
          <w:b/>
          <w:sz w:val="14"/>
          <w:szCs w:val="14"/>
          <w:lang w:val="es-ES"/>
        </w:rPr>
        <w:t>Fuente:</w:t>
      </w:r>
      <w:r w:rsidRPr="007724FF">
        <w:rPr>
          <w:rFonts w:ascii="Palatino Linotype" w:hAnsi="Palatino Linotype"/>
          <w:sz w:val="14"/>
          <w:szCs w:val="14"/>
          <w:lang w:val="es-ES"/>
        </w:rPr>
        <w:t xml:space="preserve"> https://noticiasvalledemexico.com.mx/llegan-a-un-arreglo-de-limites-territoriales-entre-teoloyucan-y-tepotzotlan-e3TU2ODg3NA.html</w:t>
      </w:r>
    </w:p>
    <w:p w:rsidR="00C54732" w:rsidRPr="007724FF" w:rsidRDefault="00C54732" w:rsidP="007724FF">
      <w:pPr>
        <w:spacing w:line="360" w:lineRule="auto"/>
        <w:ind w:left="360"/>
        <w:contextualSpacing/>
        <w:jc w:val="both"/>
        <w:rPr>
          <w:rFonts w:ascii="Palatino Linotype" w:hAnsi="Palatino Linotype"/>
          <w:lang w:val="es-ES"/>
        </w:rPr>
      </w:pPr>
    </w:p>
    <w:p w:rsidR="00417409" w:rsidRPr="007724FF" w:rsidRDefault="0048524D" w:rsidP="005A7F80">
      <w:pPr>
        <w:numPr>
          <w:ilvl w:val="0"/>
          <w:numId w:val="1"/>
        </w:numPr>
        <w:spacing w:line="360" w:lineRule="auto"/>
        <w:ind w:left="0" w:firstLine="0"/>
        <w:contextualSpacing/>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13779</wp:posOffset>
                </wp:positionH>
                <wp:positionV relativeFrom="paragraph">
                  <wp:posOffset>1355856</wp:posOffset>
                </wp:positionV>
                <wp:extent cx="5604206" cy="1823191"/>
                <wp:effectExtent l="0" t="0" r="34925" b="24765"/>
                <wp:wrapNone/>
                <wp:docPr id="17" name="Conector recto 17"/>
                <wp:cNvGraphicFramePr/>
                <a:graphic xmlns:a="http://schemas.openxmlformats.org/drawingml/2006/main">
                  <a:graphicData uri="http://schemas.microsoft.com/office/word/2010/wordprocessingShape">
                    <wps:wsp>
                      <wps:cNvCnPr/>
                      <wps:spPr>
                        <a:xfrm>
                          <a:off x="0" y="0"/>
                          <a:ext cx="5604206" cy="1823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DAFC8D" id="Conector recto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pt,106.75pt" to="442.4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" strokecolor="black [3200]" strokeweight=".5pt">
                <v:stroke joinstyle="miter"/>
              </v:line>
            </w:pict>
          </mc:Fallback>
        </mc:AlternateContent>
      </w:r>
      <w:r w:rsidR="00A745B4" w:rsidRPr="007724FF">
        <w:rPr>
          <w:rFonts w:ascii="Palatino Linotype" w:hAnsi="Palatino Linotype"/>
          <w:lang w:val="es-ES"/>
        </w:rPr>
        <w:t xml:space="preserve">Del comunicado de referencia, se advierte que </w:t>
      </w:r>
      <w:r w:rsidR="00FC5C50" w:rsidRPr="00984EC4">
        <w:rPr>
          <w:rFonts w:ascii="Palatino Linotype" w:hAnsi="Palatino Linotype"/>
          <w:b/>
          <w:lang w:val="es-ES"/>
        </w:rPr>
        <w:t xml:space="preserve">existe un procedimiento legal </w:t>
      </w:r>
      <w:r w:rsidR="00FC5C50" w:rsidRPr="007724FF">
        <w:rPr>
          <w:rFonts w:ascii="Palatino Linotype" w:hAnsi="Palatino Linotype"/>
          <w:lang w:val="es-ES"/>
        </w:rPr>
        <w:t>para dar solución a los conflictos limítrofes</w:t>
      </w:r>
      <w:r w:rsidR="008A6C98" w:rsidRPr="007724FF">
        <w:rPr>
          <w:rFonts w:ascii="Palatino Linotype" w:hAnsi="Palatino Linotype"/>
          <w:lang w:val="es-ES"/>
        </w:rPr>
        <w:t>. Por cuanto hace al conflicto territorial entre Teoloyucan, Cuautitlán y Cuautitlán Izcalli, se localizó la siguiente nota periodística:</w:t>
      </w:r>
    </w:p>
    <w:p w:rsidR="008A6C98" w:rsidRPr="007724FF" w:rsidRDefault="00FF2FD9" w:rsidP="007724FF">
      <w:pPr>
        <w:spacing w:line="360" w:lineRule="auto"/>
        <w:contextualSpacing/>
        <w:jc w:val="center"/>
        <w:rPr>
          <w:rFonts w:ascii="Palatino Linotype" w:hAnsi="Palatino Linotype"/>
          <w:lang w:val="es-ES"/>
        </w:rPr>
      </w:pPr>
      <w:r>
        <w:rPr>
          <w:rFonts w:ascii="Palatino Linotype" w:hAnsi="Palatino Linotype"/>
          <w:noProof/>
          <w:lang w:val="es-MX"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378677</wp:posOffset>
                </wp:positionH>
                <wp:positionV relativeFrom="paragraph">
                  <wp:posOffset>22552</wp:posOffset>
                </wp:positionV>
                <wp:extent cx="4857750" cy="634266"/>
                <wp:effectExtent l="19050" t="19050" r="38100" b="33020"/>
                <wp:wrapNone/>
                <wp:docPr id="18" name="Rectángulo 18"/>
                <wp:cNvGraphicFramePr/>
                <a:graphic xmlns:a="http://schemas.openxmlformats.org/drawingml/2006/main">
                  <a:graphicData uri="http://schemas.microsoft.com/office/word/2010/wordprocessingShape">
                    <wps:wsp>
                      <wps:cNvSpPr/>
                      <wps:spPr>
                        <a:xfrm>
                          <a:off x="0" y="0"/>
                          <a:ext cx="4857750" cy="63426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CCE69" id="Rectángulo 18" o:spid="_x0000_s1026" style="position:absolute;margin-left:29.8pt;margin-top:1.8pt;width:382.5pt;height:49.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" filled="f" strokecolor="red" strokeweight="4.5pt"/>
            </w:pict>
          </mc:Fallback>
        </mc:AlternateContent>
      </w:r>
      <w:r w:rsidR="008A6C98" w:rsidRPr="007724FF">
        <w:rPr>
          <w:rFonts w:ascii="Palatino Linotype" w:hAnsi="Palatino Linotype"/>
          <w:noProof/>
          <w:lang w:val="es-MX" w:eastAsia="es-MX"/>
        </w:rPr>
        <w:drawing>
          <wp:inline distT="0" distB="0" distL="0" distR="0">
            <wp:extent cx="4858100" cy="3362920"/>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100" cy="3362920"/>
                    </a:xfrm>
                    <a:prstGeom prst="rect">
                      <a:avLst/>
                    </a:prstGeom>
                    <a:noFill/>
                    <a:ln>
                      <a:solidFill>
                        <a:schemeClr val="tx1"/>
                      </a:solidFill>
                    </a:ln>
                  </pic:spPr>
                </pic:pic>
              </a:graphicData>
            </a:graphic>
          </wp:inline>
        </w:drawing>
      </w:r>
    </w:p>
    <w:p w:rsidR="008A6C98" w:rsidRPr="007724FF" w:rsidRDefault="008A6C98" w:rsidP="007724FF">
      <w:pPr>
        <w:spacing w:line="360" w:lineRule="auto"/>
        <w:contextualSpacing/>
        <w:jc w:val="center"/>
        <w:rPr>
          <w:rFonts w:ascii="Palatino Linotype" w:hAnsi="Palatino Linotype"/>
          <w:sz w:val="14"/>
          <w:szCs w:val="14"/>
          <w:lang w:val="es-ES"/>
        </w:rPr>
      </w:pPr>
      <w:r w:rsidRPr="007724FF">
        <w:rPr>
          <w:rFonts w:ascii="Palatino Linotype" w:hAnsi="Palatino Linotype"/>
          <w:b/>
          <w:sz w:val="14"/>
          <w:szCs w:val="14"/>
          <w:lang w:val="es-ES"/>
        </w:rPr>
        <w:t>Fuente:</w:t>
      </w:r>
      <w:r w:rsidRPr="007724FF">
        <w:rPr>
          <w:rFonts w:ascii="Palatino Linotype" w:hAnsi="Palatino Linotype"/>
          <w:sz w:val="14"/>
          <w:szCs w:val="14"/>
          <w:lang w:val="es-ES"/>
        </w:rPr>
        <w:t xml:space="preserve"> https://www.diarioevolucion.com.mx/legislatura-resolvera-conflicto-territorial-entre-teoloyucan-cuautitlan-y-cuautitlan-izcalli/</w:t>
      </w:r>
    </w:p>
    <w:p w:rsidR="00A745B4" w:rsidRPr="007724FF" w:rsidRDefault="00A745B4" w:rsidP="007724FF">
      <w:pPr>
        <w:spacing w:line="360" w:lineRule="auto"/>
        <w:contextualSpacing/>
        <w:jc w:val="both"/>
        <w:rPr>
          <w:rFonts w:ascii="Palatino Linotype" w:hAnsi="Palatino Linotype"/>
          <w:lang w:val="es-ES"/>
        </w:rPr>
      </w:pPr>
    </w:p>
    <w:p w:rsidR="00C45381" w:rsidRPr="007724FF" w:rsidRDefault="008A6C98" w:rsidP="005A7F80">
      <w:pPr>
        <w:numPr>
          <w:ilvl w:val="0"/>
          <w:numId w:val="1"/>
        </w:numPr>
        <w:spacing w:line="360" w:lineRule="auto"/>
        <w:ind w:left="0" w:right="34" w:firstLine="0"/>
        <w:contextualSpacing/>
        <w:jc w:val="both"/>
        <w:rPr>
          <w:rFonts w:ascii="Palatino Linotype" w:eastAsia="Calibri" w:hAnsi="Palatino Linotype" w:cs="Times New Roman"/>
        </w:rPr>
      </w:pPr>
      <w:r w:rsidRPr="007724FF">
        <w:rPr>
          <w:rFonts w:ascii="Palatino Linotype" w:hAnsi="Palatino Linotype"/>
          <w:lang w:val="es-ES"/>
        </w:rPr>
        <w:t xml:space="preserve">De dicha nota periodística, también se desprende que existe un conflicto territorial entre el </w:t>
      </w:r>
      <w:r w:rsidRPr="007724FF">
        <w:rPr>
          <w:rFonts w:ascii="Palatino Linotype" w:hAnsi="Palatino Linotype"/>
          <w:b/>
          <w:lang w:val="es-ES"/>
        </w:rPr>
        <w:t xml:space="preserve">SUJETO OBLIGADO </w:t>
      </w:r>
      <w:r w:rsidRPr="007724FF">
        <w:rPr>
          <w:rFonts w:ascii="Palatino Linotype" w:hAnsi="Palatino Linotype"/>
          <w:lang w:val="es-ES"/>
        </w:rPr>
        <w:t>y Cuautitlán y Cuautitlán Izcalli</w:t>
      </w:r>
      <w:r w:rsidR="00BF0891" w:rsidRPr="007724FF">
        <w:rPr>
          <w:rFonts w:ascii="Palatino Linotype" w:hAnsi="Palatino Linotype"/>
          <w:lang w:val="es-ES"/>
        </w:rPr>
        <w:t xml:space="preserve"> y que este será </w:t>
      </w:r>
      <w:r w:rsidR="00A92FF1" w:rsidRPr="007724FF">
        <w:rPr>
          <w:rFonts w:ascii="Palatino Linotype" w:hAnsi="Palatino Linotype"/>
          <w:lang w:val="es-ES"/>
        </w:rPr>
        <w:t xml:space="preserve">resuelto por el </w:t>
      </w:r>
      <w:r w:rsidR="00A92FF1" w:rsidRPr="007724FF">
        <w:rPr>
          <w:rFonts w:ascii="Palatino Linotype" w:hAnsi="Palatino Linotype"/>
          <w:lang w:val="es-ES"/>
        </w:rPr>
        <w:tab/>
        <w:t>Congreso local</w:t>
      </w:r>
      <w:r w:rsidR="008C7CFC">
        <w:rPr>
          <w:rFonts w:ascii="Palatino Linotype" w:hAnsi="Palatino Linotype"/>
          <w:lang w:val="es-ES"/>
        </w:rPr>
        <w:t>;</w:t>
      </w:r>
      <w:r w:rsidR="00C45381" w:rsidRPr="007724FF">
        <w:rPr>
          <w:rFonts w:ascii="Palatino Linotype" w:hAnsi="Palatino Linotype"/>
          <w:lang w:val="es-ES"/>
        </w:rPr>
        <w:t xml:space="preserve"> ello porque así está</w:t>
      </w:r>
      <w:r w:rsidR="005B47A9" w:rsidRPr="007724FF">
        <w:rPr>
          <w:rFonts w:ascii="Palatino Linotype" w:hAnsi="Palatino Linotype"/>
          <w:lang w:val="es-ES"/>
        </w:rPr>
        <w:t xml:space="preserve"> establecido en e</w:t>
      </w:r>
      <w:r w:rsidR="00C45381" w:rsidRPr="007724FF">
        <w:rPr>
          <w:rFonts w:ascii="Palatino Linotype" w:hAnsi="Palatino Linotype"/>
          <w:lang w:val="es-ES"/>
        </w:rPr>
        <w:t>l</w:t>
      </w:r>
      <w:r w:rsidR="005B47A9" w:rsidRPr="007724FF">
        <w:rPr>
          <w:rFonts w:ascii="Palatino Linotype" w:hAnsi="Palatino Linotype"/>
          <w:lang w:val="es-ES"/>
        </w:rPr>
        <w:t xml:space="preserve"> artículo 40 fracción XXV de la </w:t>
      </w:r>
      <w:r w:rsidR="005B47A9" w:rsidRPr="00FF2FD9">
        <w:rPr>
          <w:rFonts w:ascii="Palatino Linotype" w:hAnsi="Palatino Linotype"/>
          <w:b/>
          <w:lang w:val="es-ES"/>
        </w:rPr>
        <w:t>Constitución Política del Estado Libre y Soberano de México</w:t>
      </w:r>
      <w:r w:rsidR="00C45381" w:rsidRPr="007724FF">
        <w:rPr>
          <w:rFonts w:ascii="Palatino Linotype" w:hAnsi="Palatino Linotype"/>
          <w:lang w:val="es-ES"/>
        </w:rPr>
        <w:t xml:space="preserve"> </w:t>
      </w:r>
      <w:r w:rsidR="005B47A9" w:rsidRPr="007724FF">
        <w:rPr>
          <w:rFonts w:ascii="Palatino Linotype" w:hAnsi="Palatino Linotype"/>
          <w:lang w:val="es-ES"/>
        </w:rPr>
        <w:t xml:space="preserve">y en el </w:t>
      </w:r>
      <w:r w:rsidR="00C45381" w:rsidRPr="007724FF">
        <w:rPr>
          <w:rFonts w:ascii="Palatino Linotype" w:hAnsi="Palatino Linotype"/>
          <w:lang w:val="es-ES"/>
        </w:rPr>
        <w:t xml:space="preserve">artículo 40 de la </w:t>
      </w:r>
      <w:r w:rsidR="00C45381" w:rsidRPr="00FF2FD9">
        <w:rPr>
          <w:rFonts w:ascii="Palatino Linotype" w:hAnsi="Palatino Linotype"/>
          <w:b/>
          <w:lang w:val="es-ES"/>
        </w:rPr>
        <w:t xml:space="preserve">Ley Reglamentaria de las Fracciones XXV y XXVI del </w:t>
      </w:r>
      <w:r w:rsidR="008C7CFC" w:rsidRPr="00FF2FD9">
        <w:rPr>
          <w:rFonts w:ascii="Palatino Linotype" w:hAnsi="Palatino Linotype"/>
          <w:b/>
          <w:lang w:val="es-ES"/>
        </w:rPr>
        <w:t>a</w:t>
      </w:r>
      <w:r w:rsidR="00C45381" w:rsidRPr="00FF2FD9">
        <w:rPr>
          <w:rFonts w:ascii="Palatino Linotype" w:hAnsi="Palatino Linotype"/>
          <w:b/>
          <w:lang w:val="es-ES"/>
        </w:rPr>
        <w:t>rtículo 61 de la Constitución Política del Estado Libre y Soberano de México</w:t>
      </w:r>
      <w:r w:rsidR="00C45381" w:rsidRPr="007724FF">
        <w:rPr>
          <w:rFonts w:ascii="Palatino Linotype" w:hAnsi="Palatino Linotype"/>
          <w:lang w:val="es-ES"/>
        </w:rPr>
        <w:t>, como se observa:</w:t>
      </w:r>
    </w:p>
    <w:p w:rsidR="00C45381" w:rsidRPr="007724FF" w:rsidRDefault="00C45381" w:rsidP="007724FF">
      <w:pPr>
        <w:spacing w:line="360" w:lineRule="auto"/>
        <w:ind w:right="34"/>
        <w:contextualSpacing/>
        <w:jc w:val="both"/>
        <w:rPr>
          <w:rFonts w:ascii="Palatino Linotype" w:eastAsia="Calibri" w:hAnsi="Palatino Linotype" w:cs="Times New Roman"/>
        </w:rPr>
      </w:pPr>
    </w:p>
    <w:p w:rsidR="005B47A9" w:rsidRPr="007724FF" w:rsidRDefault="005B47A9" w:rsidP="007724FF">
      <w:pPr>
        <w:spacing w:line="360" w:lineRule="auto"/>
        <w:ind w:left="426" w:right="474"/>
        <w:contextualSpacing/>
        <w:jc w:val="both"/>
        <w:rPr>
          <w:rFonts w:ascii="Palatino Linotype" w:eastAsia="Calibri" w:hAnsi="Palatino Linotype" w:cs="Times New Roman"/>
          <w:i/>
        </w:rPr>
      </w:pPr>
      <w:r w:rsidRPr="007724FF">
        <w:rPr>
          <w:rFonts w:ascii="Palatino Linotype" w:eastAsia="Calibri" w:hAnsi="Palatino Linotype" w:cs="Times New Roman"/>
          <w:i/>
        </w:rPr>
        <w:t>“Artículo 61.- Son facultades y obligaciones de la Legislatura:</w:t>
      </w:r>
      <w:r w:rsidRPr="007724FF">
        <w:rPr>
          <w:rFonts w:ascii="Palatino Linotype" w:eastAsia="Calibri" w:hAnsi="Palatino Linotype" w:cs="Times New Roman"/>
          <w:i/>
        </w:rPr>
        <w:cr/>
        <w:t>...</w:t>
      </w:r>
    </w:p>
    <w:p w:rsidR="005B47A9" w:rsidRPr="007724FF" w:rsidRDefault="005B47A9" w:rsidP="007724FF">
      <w:pPr>
        <w:spacing w:line="360" w:lineRule="auto"/>
        <w:ind w:left="426" w:right="474"/>
        <w:contextualSpacing/>
        <w:jc w:val="both"/>
        <w:rPr>
          <w:rFonts w:ascii="Palatino Linotype" w:eastAsia="Calibri" w:hAnsi="Palatino Linotype" w:cs="Times New Roman"/>
          <w:i/>
        </w:rPr>
      </w:pPr>
      <w:r w:rsidRPr="007724FF">
        <w:rPr>
          <w:rFonts w:ascii="Palatino Linotype" w:eastAsia="Calibri" w:hAnsi="Palatino Linotype" w:cs="Times New Roman"/>
          <w:i/>
        </w:rPr>
        <w:t xml:space="preserve">XXV. Fijar los límites de los municipios del Estado y </w:t>
      </w:r>
      <w:r w:rsidRPr="007724FF">
        <w:rPr>
          <w:rFonts w:ascii="Palatino Linotype" w:eastAsia="Calibri" w:hAnsi="Palatino Linotype" w:cs="Times New Roman"/>
          <w:b/>
          <w:i/>
        </w:rPr>
        <w:t>resolver las diferencias que en esta materia se produzcan</w:t>
      </w:r>
      <w:r w:rsidRPr="007724FF">
        <w:rPr>
          <w:rFonts w:ascii="Palatino Linotype" w:eastAsia="Calibri" w:hAnsi="Palatino Linotype" w:cs="Times New Roman"/>
          <w:i/>
        </w:rPr>
        <w:t>;</w:t>
      </w:r>
    </w:p>
    <w:p w:rsidR="005B47A9" w:rsidRPr="007724FF" w:rsidRDefault="005B47A9" w:rsidP="007724FF">
      <w:pPr>
        <w:spacing w:line="360" w:lineRule="auto"/>
        <w:ind w:left="426" w:right="474"/>
        <w:contextualSpacing/>
        <w:jc w:val="both"/>
        <w:rPr>
          <w:rFonts w:ascii="Palatino Linotype" w:eastAsia="Calibri" w:hAnsi="Palatino Linotype" w:cs="Times New Roman"/>
          <w:i/>
        </w:rPr>
      </w:pPr>
      <w:r w:rsidRPr="007724FF">
        <w:rPr>
          <w:rFonts w:ascii="Palatino Linotype" w:eastAsia="Calibri" w:hAnsi="Palatino Linotype" w:cs="Times New Roman"/>
          <w:i/>
        </w:rPr>
        <w:lastRenderedPageBreak/>
        <w:t>...”</w:t>
      </w:r>
    </w:p>
    <w:p w:rsidR="005B47A9" w:rsidRPr="007724FF" w:rsidRDefault="005B47A9" w:rsidP="007724FF">
      <w:pPr>
        <w:spacing w:line="360" w:lineRule="auto"/>
        <w:ind w:left="426" w:right="474"/>
        <w:contextualSpacing/>
        <w:jc w:val="both"/>
        <w:rPr>
          <w:rFonts w:ascii="Palatino Linotype" w:eastAsia="Calibri" w:hAnsi="Palatino Linotype" w:cs="Times New Roman"/>
          <w:i/>
        </w:rPr>
      </w:pPr>
    </w:p>
    <w:p w:rsidR="00C45381" w:rsidRPr="007724FF" w:rsidRDefault="005B47A9" w:rsidP="007724FF">
      <w:pPr>
        <w:spacing w:line="360" w:lineRule="auto"/>
        <w:ind w:left="426" w:right="474"/>
        <w:contextualSpacing/>
        <w:jc w:val="both"/>
        <w:rPr>
          <w:rFonts w:ascii="Palatino Linotype" w:eastAsia="Calibri" w:hAnsi="Palatino Linotype" w:cs="Times New Roman"/>
        </w:rPr>
      </w:pPr>
      <w:r w:rsidRPr="007724FF">
        <w:rPr>
          <w:rFonts w:ascii="Palatino Linotype" w:eastAsia="Calibri" w:hAnsi="Palatino Linotype" w:cs="Times New Roman"/>
          <w:i/>
        </w:rPr>
        <w:t>“</w:t>
      </w:r>
      <w:r w:rsidR="00C45381" w:rsidRPr="007724FF">
        <w:rPr>
          <w:rFonts w:ascii="Palatino Linotype" w:eastAsia="Calibri" w:hAnsi="Palatino Linotype" w:cs="Times New Roman"/>
          <w:i/>
        </w:rPr>
        <w:t xml:space="preserve">Artículo 40.- </w:t>
      </w:r>
      <w:r w:rsidR="00C45381" w:rsidRPr="007724FF">
        <w:rPr>
          <w:rFonts w:ascii="Palatino Linotype" w:eastAsia="Calibri" w:hAnsi="Palatino Linotype" w:cs="Times New Roman"/>
          <w:b/>
          <w:i/>
        </w:rPr>
        <w:t>Las diferencias que se susciten sobre límites municipales serán resueltas por el Poder Legislativo del Estado</w:t>
      </w:r>
      <w:r w:rsidR="00C45381" w:rsidRPr="007724FF">
        <w:rPr>
          <w:rFonts w:ascii="Palatino Linotype" w:eastAsia="Calibri" w:hAnsi="Palatino Linotype" w:cs="Times New Roman"/>
          <w:i/>
        </w:rPr>
        <w:t>, con el apoyo de la Comisión Estatal de conformidad con las disposiciones de esta ley.</w:t>
      </w:r>
      <w:r w:rsidRPr="007724FF">
        <w:rPr>
          <w:rFonts w:ascii="Palatino Linotype" w:eastAsia="Calibri" w:hAnsi="Palatino Linotype" w:cs="Times New Roman"/>
          <w:i/>
        </w:rPr>
        <w:t xml:space="preserve">” </w:t>
      </w:r>
      <w:r w:rsidRPr="007724FF">
        <w:rPr>
          <w:rFonts w:ascii="Palatino Linotype" w:eastAsia="Calibri" w:hAnsi="Palatino Linotype" w:cs="Times New Roman"/>
        </w:rPr>
        <w:t>Énfasis añadido</w:t>
      </w:r>
    </w:p>
    <w:p w:rsidR="00C45381" w:rsidRPr="007724FF" w:rsidRDefault="00C45381" w:rsidP="007724FF">
      <w:pPr>
        <w:spacing w:line="360" w:lineRule="auto"/>
        <w:ind w:right="34"/>
        <w:contextualSpacing/>
        <w:jc w:val="both"/>
        <w:rPr>
          <w:rFonts w:ascii="Palatino Linotype" w:eastAsia="Calibri" w:hAnsi="Palatino Linotype" w:cs="Times New Roman"/>
        </w:rPr>
      </w:pPr>
    </w:p>
    <w:p w:rsidR="00BF0891" w:rsidRPr="007724FF" w:rsidRDefault="005B47A9" w:rsidP="005A7F80">
      <w:pPr>
        <w:numPr>
          <w:ilvl w:val="0"/>
          <w:numId w:val="1"/>
        </w:numPr>
        <w:spacing w:line="360" w:lineRule="auto"/>
        <w:ind w:left="0" w:right="34" w:firstLine="0"/>
        <w:contextualSpacing/>
        <w:jc w:val="both"/>
        <w:rPr>
          <w:rFonts w:ascii="Palatino Linotype" w:eastAsia="Calibri" w:hAnsi="Palatino Linotype" w:cs="Times New Roman"/>
        </w:rPr>
      </w:pPr>
      <w:r w:rsidRPr="007724FF">
        <w:rPr>
          <w:rFonts w:ascii="Palatino Linotype" w:hAnsi="Palatino Linotype"/>
          <w:lang w:val="es-ES"/>
        </w:rPr>
        <w:t xml:space="preserve">Por otro lado es necesario señalar que </w:t>
      </w:r>
      <w:r w:rsidR="00BF0891" w:rsidRPr="007724FF">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00BF0891" w:rsidRPr="007724FF">
        <w:rPr>
          <w:rFonts w:ascii="Palatino Linotype" w:hAnsi="Palatino Linotype" w:cs="Arial"/>
          <w:b/>
        </w:rPr>
        <w:t>Constitución Política de los Estados Unidos Mexicanos</w:t>
      </w:r>
      <w:r w:rsidR="00BF0891" w:rsidRPr="007724FF">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00BF0891" w:rsidRPr="007724FF">
        <w:rPr>
          <w:rFonts w:ascii="Palatino Linotype" w:hAnsi="Palatino Linotype"/>
        </w:rPr>
        <w:t xml:space="preserve">, arrojan </w:t>
      </w:r>
      <w:r w:rsidR="00BF0891" w:rsidRPr="007724FF">
        <w:rPr>
          <w:rFonts w:ascii="Palatino Linotype" w:hAnsi="Palatino Linotype"/>
          <w:b/>
        </w:rPr>
        <w:t xml:space="preserve">indicios </w:t>
      </w:r>
      <w:r w:rsidR="00BF0891" w:rsidRPr="007724FF">
        <w:rPr>
          <w:rFonts w:ascii="Palatino Linotype" w:hAnsi="Palatino Linotype"/>
        </w:rPr>
        <w:t>sobre los hechos a que se refieren.</w:t>
      </w:r>
    </w:p>
    <w:p w:rsidR="00BF0891" w:rsidRPr="007724FF" w:rsidRDefault="00BF0891" w:rsidP="007724FF">
      <w:pPr>
        <w:spacing w:line="360" w:lineRule="auto"/>
        <w:ind w:right="34"/>
        <w:contextualSpacing/>
        <w:jc w:val="both"/>
        <w:rPr>
          <w:rFonts w:ascii="Palatino Linotype" w:eastAsia="Calibri" w:hAnsi="Palatino Linotype" w:cs="Times New Roman"/>
        </w:rPr>
      </w:pPr>
    </w:p>
    <w:p w:rsidR="00BF0891" w:rsidRPr="007724FF" w:rsidRDefault="00BF0891" w:rsidP="005A7F80">
      <w:pPr>
        <w:numPr>
          <w:ilvl w:val="0"/>
          <w:numId w:val="1"/>
        </w:numPr>
        <w:spacing w:line="360" w:lineRule="auto"/>
        <w:ind w:left="0" w:right="34" w:firstLine="0"/>
        <w:contextualSpacing/>
        <w:jc w:val="both"/>
        <w:rPr>
          <w:rFonts w:ascii="Palatino Linotype" w:eastAsia="Calibri" w:hAnsi="Palatino Linotype" w:cs="Times New Roman"/>
        </w:rPr>
      </w:pPr>
      <w:r w:rsidRPr="007724FF">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rsidR="00BF0891" w:rsidRPr="007724FF" w:rsidRDefault="00BF0891" w:rsidP="007724FF">
      <w:pPr>
        <w:pStyle w:val="Textonotapie"/>
        <w:spacing w:line="360" w:lineRule="auto"/>
        <w:ind w:right="-709"/>
        <w:jc w:val="both"/>
        <w:rPr>
          <w:rFonts w:ascii="Palatino Linotype" w:hAnsi="Palatino Linotype"/>
          <w:sz w:val="18"/>
          <w:szCs w:val="18"/>
        </w:rPr>
      </w:pPr>
    </w:p>
    <w:p w:rsidR="00BF0891" w:rsidRPr="007724FF" w:rsidRDefault="00BF0891" w:rsidP="007724FF">
      <w:pPr>
        <w:pStyle w:val="Prrafodelista"/>
        <w:spacing w:line="360" w:lineRule="auto"/>
        <w:ind w:left="567" w:right="567"/>
        <w:jc w:val="both"/>
        <w:rPr>
          <w:rFonts w:ascii="Palatino Linotype" w:hAnsi="Palatino Linotype"/>
          <w:i/>
        </w:rPr>
      </w:pPr>
      <w:r w:rsidRPr="007724FF">
        <w:rPr>
          <w:rFonts w:ascii="Palatino Linotype" w:hAnsi="Palatino Linotype"/>
          <w:b/>
          <w:i/>
        </w:rPr>
        <w:t xml:space="preserve">“NOTAS PERIODÍSTICAS. ELEMENTOS PARA DETERMINAR SU FUERZA INDICIARIA. </w:t>
      </w:r>
      <w:r w:rsidRPr="007724FF">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7724FF">
        <w:rPr>
          <w:rFonts w:ascii="Palatino Linotype" w:hAnsi="Palatino Linotype"/>
          <w:i/>
        </w:rPr>
        <w:t>convictivo</w:t>
      </w:r>
      <w:proofErr w:type="spellEnd"/>
      <w:r w:rsidRPr="007724FF">
        <w:rPr>
          <w:rFonts w:ascii="Palatino Linotype" w:hAnsi="Palatino Linotype"/>
          <w:i/>
        </w:rPr>
        <w:t xml:space="preserve">, el juzgador debe ponderar las circunstancias existentes en cada caso </w:t>
      </w:r>
      <w:r w:rsidRPr="007724FF">
        <w:rPr>
          <w:rFonts w:ascii="Palatino Linotype" w:hAnsi="Palatino Linotype"/>
          <w:i/>
        </w:rPr>
        <w:lastRenderedPageBreak/>
        <w:t>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BF0891" w:rsidRPr="007724FF" w:rsidRDefault="00BF0891" w:rsidP="007724FF">
      <w:pPr>
        <w:pStyle w:val="Prrafodelista"/>
        <w:spacing w:line="360" w:lineRule="auto"/>
        <w:ind w:left="567" w:right="567"/>
        <w:jc w:val="both"/>
        <w:rPr>
          <w:rFonts w:ascii="Palatino Linotype" w:hAnsi="Palatino Linotype"/>
          <w:i/>
        </w:rPr>
      </w:pPr>
    </w:p>
    <w:p w:rsidR="00C45381" w:rsidRPr="007724FF" w:rsidRDefault="006621B4" w:rsidP="005A7F80">
      <w:pPr>
        <w:numPr>
          <w:ilvl w:val="0"/>
          <w:numId w:val="1"/>
        </w:numPr>
        <w:spacing w:line="360" w:lineRule="auto"/>
        <w:ind w:left="0" w:firstLine="0"/>
        <w:contextualSpacing/>
        <w:jc w:val="both"/>
        <w:rPr>
          <w:rFonts w:ascii="Palatino Linotype" w:hAnsi="Palatino Linotype"/>
          <w:lang w:val="es-ES"/>
        </w:rPr>
      </w:pPr>
      <w:r w:rsidRPr="007724FF">
        <w:rPr>
          <w:rFonts w:ascii="Palatino Linotype" w:hAnsi="Palatino Linotype"/>
          <w:lang w:val="es-ES"/>
        </w:rPr>
        <w:t>Luego entonces</w:t>
      </w:r>
      <w:r w:rsidR="00A735C1" w:rsidRPr="007724FF">
        <w:rPr>
          <w:rFonts w:ascii="Palatino Linotype" w:hAnsi="Palatino Linotype"/>
          <w:lang w:val="es-ES"/>
        </w:rPr>
        <w:t xml:space="preserve">, </w:t>
      </w:r>
      <w:r w:rsidRPr="007724FF">
        <w:rPr>
          <w:rFonts w:ascii="Palatino Linotype" w:hAnsi="Palatino Linotype"/>
          <w:lang w:val="es-ES"/>
        </w:rPr>
        <w:t>al ser un proceso legal</w:t>
      </w:r>
      <w:r w:rsidR="00984EC4">
        <w:rPr>
          <w:rFonts w:ascii="Palatino Linotype" w:hAnsi="Palatino Linotype"/>
          <w:lang w:val="es-ES"/>
        </w:rPr>
        <w:t xml:space="preserve"> como en el punto anterior</w:t>
      </w:r>
      <w:r w:rsidRPr="007724FF">
        <w:rPr>
          <w:rFonts w:ascii="Palatino Linotype" w:hAnsi="Palatino Linotype"/>
          <w:lang w:val="es-ES"/>
        </w:rPr>
        <w:t xml:space="preserve">, </w:t>
      </w:r>
      <w:r w:rsidR="00A735C1" w:rsidRPr="007724FF">
        <w:rPr>
          <w:rFonts w:ascii="Palatino Linotype" w:hAnsi="Palatino Linotype"/>
          <w:lang w:val="es-ES"/>
        </w:rPr>
        <w:t>es información susceptible de ser clasificada has</w:t>
      </w:r>
      <w:r w:rsidR="00A92FF1" w:rsidRPr="007724FF">
        <w:rPr>
          <w:rFonts w:ascii="Palatino Linotype" w:hAnsi="Palatino Linotype"/>
          <w:lang w:val="es-ES"/>
        </w:rPr>
        <w:t>ta en tanto haya causado estado el procedimiento de solución del diferendo limítrofe, que de acuerdo a</w:t>
      </w:r>
      <w:r w:rsidRPr="007724FF">
        <w:rPr>
          <w:rFonts w:ascii="Palatino Linotype" w:hAnsi="Palatino Linotype"/>
          <w:lang w:val="es-ES"/>
        </w:rPr>
        <w:t xml:space="preserve">l </w:t>
      </w:r>
      <w:r w:rsidR="00FF2FD9">
        <w:rPr>
          <w:rFonts w:ascii="Palatino Linotype" w:hAnsi="Palatino Linotype"/>
          <w:b/>
          <w:lang w:val="es-ES"/>
        </w:rPr>
        <w:t>P</w:t>
      </w:r>
      <w:r w:rsidRPr="007724FF">
        <w:rPr>
          <w:rFonts w:ascii="Palatino Linotype" w:hAnsi="Palatino Linotype"/>
          <w:b/>
          <w:lang w:val="es-ES"/>
        </w:rPr>
        <w:t>ro</w:t>
      </w:r>
      <w:r w:rsidR="00FF2FD9">
        <w:rPr>
          <w:rFonts w:ascii="Palatino Linotype" w:hAnsi="Palatino Linotype"/>
          <w:b/>
          <w:lang w:val="es-ES"/>
        </w:rPr>
        <w:t>cedimiento para la solución de Diferendos Limítrofes I</w:t>
      </w:r>
      <w:r w:rsidRPr="007724FF">
        <w:rPr>
          <w:rFonts w:ascii="Palatino Linotype" w:hAnsi="Palatino Linotype"/>
          <w:b/>
          <w:lang w:val="es-ES"/>
        </w:rPr>
        <w:t>ntermunicipales</w:t>
      </w:r>
      <w:r w:rsidR="00A92FF1" w:rsidRPr="007724FF">
        <w:rPr>
          <w:rFonts w:ascii="Palatino Linotype" w:hAnsi="Palatino Linotype"/>
          <w:lang w:val="es-ES"/>
        </w:rPr>
        <w:t xml:space="preserve"> </w:t>
      </w:r>
      <w:r w:rsidRPr="007724FF">
        <w:rPr>
          <w:rFonts w:ascii="Palatino Linotype" w:hAnsi="Palatino Linotype"/>
          <w:lang w:val="es-ES"/>
        </w:rPr>
        <w:t xml:space="preserve">establecido </w:t>
      </w:r>
      <w:r w:rsidR="0048524D">
        <w:rPr>
          <w:rFonts w:ascii="Palatino Linotype" w:hAnsi="Palatino Linotype"/>
          <w:lang w:val="es-ES"/>
        </w:rPr>
        <w:t>en</w:t>
      </w:r>
      <w:r w:rsidRPr="007724FF">
        <w:rPr>
          <w:rFonts w:ascii="Palatino Linotype" w:hAnsi="Palatino Linotype"/>
          <w:lang w:val="es-ES"/>
        </w:rPr>
        <w:t xml:space="preserve"> los artículos 40 al 52 de </w:t>
      </w:r>
      <w:r w:rsidR="00A92FF1" w:rsidRPr="007724FF">
        <w:rPr>
          <w:rFonts w:ascii="Palatino Linotype" w:hAnsi="Palatino Linotype"/>
          <w:lang w:val="es-ES"/>
        </w:rPr>
        <w:t>la Ley Reglamentaria de las Fracciones XXV y XXVI del Artículo 61 de la Constitución Política del Estado Libre y Soberano d</w:t>
      </w:r>
      <w:r w:rsidR="00C45381" w:rsidRPr="007724FF">
        <w:rPr>
          <w:rFonts w:ascii="Palatino Linotype" w:hAnsi="Palatino Linotype"/>
          <w:lang w:val="es-ES"/>
        </w:rPr>
        <w:t xml:space="preserve">e México, </w:t>
      </w:r>
      <w:r w:rsidR="0048524D">
        <w:rPr>
          <w:rFonts w:ascii="Palatino Linotype" w:hAnsi="Palatino Linotype"/>
          <w:lang w:val="es-ES"/>
        </w:rPr>
        <w:t xml:space="preserve">el expediente </w:t>
      </w:r>
      <w:r w:rsidR="00C45381" w:rsidRPr="007724FF">
        <w:rPr>
          <w:rFonts w:ascii="Palatino Linotype" w:hAnsi="Palatino Linotype"/>
          <w:lang w:val="es-ES"/>
        </w:rPr>
        <w:t>co</w:t>
      </w:r>
      <w:r w:rsidRPr="007724FF">
        <w:rPr>
          <w:rFonts w:ascii="Palatino Linotype" w:hAnsi="Palatino Linotype"/>
          <w:lang w:val="es-ES"/>
        </w:rPr>
        <w:t xml:space="preserve">ntiene las siguientes documentales: </w:t>
      </w:r>
      <w:r w:rsidRPr="007724FF">
        <w:rPr>
          <w:rFonts w:ascii="Palatino Linotype" w:hAnsi="Palatino Linotype"/>
          <w:b/>
          <w:lang w:val="es-ES"/>
        </w:rPr>
        <w:t>acuerdos, puntos de vista, argumentos, pruebas, desahogo de pruebas, dictámenes técnicos, informes, aclaraciones, diligencias probatorias</w:t>
      </w:r>
      <w:r w:rsidR="0048524D">
        <w:rPr>
          <w:rFonts w:ascii="Palatino Linotype" w:hAnsi="Palatino Linotype"/>
          <w:b/>
          <w:lang w:val="es-ES"/>
        </w:rPr>
        <w:t>, etc</w:t>
      </w:r>
      <w:r w:rsidRPr="007724FF">
        <w:rPr>
          <w:rFonts w:ascii="Palatino Linotype" w:hAnsi="Palatino Linotype"/>
          <w:lang w:val="es-ES"/>
        </w:rPr>
        <w:t>.</w:t>
      </w:r>
    </w:p>
    <w:p w:rsidR="006621B4" w:rsidRPr="007724FF" w:rsidRDefault="006621B4" w:rsidP="007724FF">
      <w:pPr>
        <w:spacing w:line="360" w:lineRule="auto"/>
        <w:contextualSpacing/>
        <w:jc w:val="both"/>
        <w:rPr>
          <w:rFonts w:ascii="Palatino Linotype" w:hAnsi="Palatino Linotype"/>
          <w:lang w:val="es-ES"/>
        </w:rPr>
      </w:pPr>
    </w:p>
    <w:p w:rsidR="006621B4" w:rsidRPr="007724FF" w:rsidRDefault="006621B4" w:rsidP="005A7F80">
      <w:pPr>
        <w:numPr>
          <w:ilvl w:val="0"/>
          <w:numId w:val="1"/>
        </w:numPr>
        <w:spacing w:line="360" w:lineRule="auto"/>
        <w:ind w:left="0" w:firstLine="0"/>
        <w:contextualSpacing/>
        <w:jc w:val="both"/>
        <w:rPr>
          <w:rFonts w:ascii="Palatino Linotype" w:hAnsi="Palatino Linotype"/>
          <w:lang w:val="es-ES"/>
        </w:rPr>
      </w:pPr>
      <w:r w:rsidRPr="007724FF">
        <w:rPr>
          <w:rFonts w:ascii="Palatino Linotype" w:hAnsi="Palatino Linotype"/>
          <w:lang w:val="es-ES"/>
        </w:rPr>
        <w:t>Por lo que dicho soporte documental no puede ser entregado hasta en tanto no se emita una resolución de la Legislatura que ponga fin a</w:t>
      </w:r>
      <w:r w:rsidR="00984EC4">
        <w:rPr>
          <w:rFonts w:ascii="Palatino Linotype" w:hAnsi="Palatino Linotype"/>
          <w:lang w:val="es-ES"/>
        </w:rPr>
        <w:t xml:space="preserve"> </w:t>
      </w:r>
      <w:r w:rsidRPr="007724FF">
        <w:rPr>
          <w:rFonts w:ascii="Palatino Linotype" w:hAnsi="Palatino Linotype"/>
          <w:lang w:val="es-ES"/>
        </w:rPr>
        <w:t>l</w:t>
      </w:r>
      <w:r w:rsidR="00984EC4">
        <w:rPr>
          <w:rFonts w:ascii="Palatino Linotype" w:hAnsi="Palatino Linotype"/>
          <w:lang w:val="es-ES"/>
        </w:rPr>
        <w:t>os</w:t>
      </w:r>
      <w:r w:rsidRPr="007724FF">
        <w:rPr>
          <w:rFonts w:ascii="Palatino Linotype" w:hAnsi="Palatino Linotype"/>
          <w:lang w:val="es-ES"/>
        </w:rPr>
        <w:t xml:space="preserve"> conflicto</w:t>
      </w:r>
      <w:r w:rsidR="00984EC4">
        <w:rPr>
          <w:rFonts w:ascii="Palatino Linotype" w:hAnsi="Palatino Linotype"/>
          <w:lang w:val="es-ES"/>
        </w:rPr>
        <w:t>s</w:t>
      </w:r>
      <w:r w:rsidRPr="007724FF">
        <w:rPr>
          <w:rFonts w:ascii="Palatino Linotype" w:hAnsi="Palatino Linotype"/>
          <w:lang w:val="es-ES"/>
        </w:rPr>
        <w:t xml:space="preserve">; toda vez que dicha resolución ya no admite medios de impugnación de conformidad con el </w:t>
      </w:r>
      <w:r w:rsidRPr="007724FF">
        <w:rPr>
          <w:rFonts w:ascii="Palatino Linotype" w:hAnsi="Palatino Linotype"/>
          <w:lang w:val="es-ES"/>
        </w:rPr>
        <w:lastRenderedPageBreak/>
        <w:t>artículo 57 de la Ley Reglamentaria de las Fracciones XXV y XXVI del Artículo 61 de la Constitución Política del Estado Libre y Soberano de México</w:t>
      </w:r>
      <w:r w:rsidR="00D01E30" w:rsidRPr="007724FF">
        <w:rPr>
          <w:rFonts w:ascii="Palatino Linotype" w:hAnsi="Palatino Linotype"/>
          <w:lang w:val="es-ES"/>
        </w:rPr>
        <w:t>, a saber:</w:t>
      </w:r>
    </w:p>
    <w:p w:rsidR="00D01E30" w:rsidRPr="007724FF" w:rsidRDefault="00D01E30" w:rsidP="007724FF">
      <w:pPr>
        <w:pStyle w:val="Prrafodelista"/>
        <w:spacing w:line="360" w:lineRule="auto"/>
        <w:rPr>
          <w:rFonts w:ascii="Palatino Linotype" w:hAnsi="Palatino Linotype"/>
          <w:lang w:val="es-ES"/>
        </w:rPr>
      </w:pPr>
    </w:p>
    <w:p w:rsidR="00D01E30" w:rsidRPr="007724FF" w:rsidRDefault="00D01E30" w:rsidP="007724FF">
      <w:pPr>
        <w:spacing w:line="360" w:lineRule="auto"/>
        <w:ind w:left="426" w:right="474"/>
        <w:contextualSpacing/>
        <w:jc w:val="both"/>
        <w:rPr>
          <w:rFonts w:ascii="Palatino Linotype" w:hAnsi="Palatino Linotype"/>
          <w:i/>
          <w:lang w:val="es-ES"/>
        </w:rPr>
      </w:pPr>
      <w:r w:rsidRPr="007724FF">
        <w:rPr>
          <w:rFonts w:ascii="Palatino Linotype" w:hAnsi="Palatino Linotype"/>
          <w:i/>
          <w:lang w:val="es-ES"/>
        </w:rPr>
        <w:t>“Artículo 57.- Las resoluciones de la Legislatura, por las que se ponga fin a los diferendos de límites intermunicipales y los convenios que sean aprobados por ésta no admitirán recurso o medio de defensa legal alguno.”</w:t>
      </w:r>
    </w:p>
    <w:p w:rsidR="00A735C1" w:rsidRPr="007724FF" w:rsidRDefault="00A735C1" w:rsidP="007724FF">
      <w:pPr>
        <w:spacing w:line="360" w:lineRule="auto"/>
        <w:contextualSpacing/>
        <w:jc w:val="both"/>
        <w:rPr>
          <w:rFonts w:ascii="Palatino Linotype" w:hAnsi="Palatino Linotype"/>
          <w:lang w:val="es-ES"/>
        </w:rPr>
      </w:pPr>
    </w:p>
    <w:p w:rsidR="0015762C" w:rsidRPr="007724FF" w:rsidRDefault="00FF2FD9" w:rsidP="005A7F80">
      <w:pPr>
        <w:pStyle w:val="Prrafodelista"/>
        <w:numPr>
          <w:ilvl w:val="0"/>
          <w:numId w:val="1"/>
        </w:numPr>
        <w:spacing w:line="360" w:lineRule="auto"/>
        <w:ind w:left="0" w:right="34" w:firstLine="0"/>
        <w:jc w:val="both"/>
        <w:rPr>
          <w:rFonts w:ascii="Palatino Linotype" w:hAnsi="Palatino Linotype"/>
          <w:lang w:val="es-ES"/>
        </w:rPr>
      </w:pPr>
      <w:r>
        <w:rPr>
          <w:rFonts w:ascii="Palatino Linotype" w:hAnsi="Palatino Linotype"/>
          <w:lang w:val="es-ES"/>
        </w:rPr>
        <w:t>No obstante l</w:t>
      </w:r>
      <w:r w:rsidRPr="00FF2FD9">
        <w:rPr>
          <w:rFonts w:ascii="Palatino Linotype" w:hAnsi="Palatino Linotype"/>
          <w:lang w:val="es-ES"/>
        </w:rPr>
        <w:t>a Suprema Corte de Justicia de la Nación podrá conocer a través de controversia constitucional, a instancia de parte interesada</w:t>
      </w:r>
      <w:r w:rsidR="00EB407B">
        <w:rPr>
          <w:rFonts w:ascii="Palatino Linotype" w:hAnsi="Palatino Linotype"/>
          <w:lang w:val="es-ES"/>
        </w:rPr>
        <w:t xml:space="preserve">. </w:t>
      </w:r>
      <w:r w:rsidR="0015762C" w:rsidRPr="007724FF">
        <w:rPr>
          <w:rFonts w:ascii="Palatino Linotype" w:hAnsi="Palatino Linotype"/>
          <w:lang w:val="es-ES"/>
        </w:rPr>
        <w:t xml:space="preserve">Así las </w:t>
      </w:r>
      <w:r w:rsidR="0015762C" w:rsidRPr="007724FF">
        <w:rPr>
          <w:rFonts w:ascii="Palatino Linotype" w:hAnsi="Palatino Linotype"/>
        </w:rPr>
        <w:t>cosas, al igual que el caso anterior, se colige que se trata de información reservada aquella que vulnere la conducción de los expedientes judiciales o de los procedimientos administrativos seguidos en forma de juicio, en tanto no hayan quedado firmes</w:t>
      </w:r>
      <w:r w:rsidR="00B77E1D" w:rsidRPr="007724FF">
        <w:rPr>
          <w:rFonts w:ascii="Palatino Linotype" w:hAnsi="Palatino Linotype"/>
        </w:rPr>
        <w:t xml:space="preserve">. </w:t>
      </w:r>
    </w:p>
    <w:p w:rsidR="0015762C" w:rsidRPr="007724FF" w:rsidRDefault="0015762C" w:rsidP="007724FF">
      <w:pPr>
        <w:pStyle w:val="Prrafodelista"/>
        <w:spacing w:line="360" w:lineRule="auto"/>
        <w:ind w:left="360" w:right="34"/>
        <w:jc w:val="both"/>
        <w:rPr>
          <w:rFonts w:ascii="Palatino Linotype" w:hAnsi="Palatino Linotype"/>
          <w:lang w:val="es-ES"/>
        </w:rPr>
      </w:pPr>
    </w:p>
    <w:p w:rsidR="00260829" w:rsidRDefault="007E522C" w:rsidP="005A7F80">
      <w:pPr>
        <w:pStyle w:val="Prrafodelista"/>
        <w:numPr>
          <w:ilvl w:val="0"/>
          <w:numId w:val="1"/>
        </w:numPr>
        <w:spacing w:line="360" w:lineRule="auto"/>
        <w:ind w:left="0" w:right="34" w:firstLine="0"/>
        <w:jc w:val="both"/>
        <w:rPr>
          <w:rFonts w:ascii="Palatino Linotype" w:hAnsi="Palatino Linotype"/>
          <w:sz w:val="22"/>
          <w:szCs w:val="22"/>
        </w:rPr>
      </w:pPr>
      <w:r>
        <w:rPr>
          <w:rFonts w:ascii="Palatino Linotype" w:hAnsi="Palatino Linotype"/>
          <w:sz w:val="22"/>
          <w:szCs w:val="22"/>
        </w:rPr>
        <w:t>Sin embargo, dada la propia y especial naturaleza de lo requerido, es necesario</w:t>
      </w:r>
      <w:r w:rsidR="00260829">
        <w:rPr>
          <w:rFonts w:ascii="Palatino Linotype" w:hAnsi="Palatino Linotype"/>
          <w:sz w:val="22"/>
          <w:szCs w:val="22"/>
        </w:rPr>
        <w:t xml:space="preserve"> acreditar el daño de la divulgación, </w:t>
      </w:r>
      <w:r>
        <w:rPr>
          <w:rFonts w:ascii="Palatino Linotype" w:hAnsi="Palatino Linotype"/>
          <w:sz w:val="22"/>
          <w:szCs w:val="22"/>
        </w:rPr>
        <w:t>por lo que</w:t>
      </w:r>
      <w:r w:rsidR="00260829" w:rsidRPr="004749F6">
        <w:rPr>
          <w:rFonts w:ascii="Palatino Linotype" w:hAnsi="Palatino Linotype"/>
          <w:sz w:val="22"/>
          <w:szCs w:val="22"/>
        </w:rPr>
        <w:t xml:space="preserve"> se procede</w:t>
      </w:r>
      <w:r w:rsidR="00260829">
        <w:rPr>
          <w:rFonts w:ascii="Palatino Linotype" w:hAnsi="Palatino Linotype"/>
          <w:sz w:val="22"/>
          <w:szCs w:val="22"/>
        </w:rPr>
        <w:t xml:space="preserve"> a desarrollar la prueba de daño con la finalidad, de determinar si la información, es susceptible de ser reservada o en su caso, es información de naturaleza pública.</w:t>
      </w:r>
    </w:p>
    <w:p w:rsidR="00260829" w:rsidRDefault="00260829" w:rsidP="00260829">
      <w:pPr>
        <w:spacing w:line="360" w:lineRule="auto"/>
        <w:jc w:val="both"/>
        <w:rPr>
          <w:rFonts w:ascii="Palatino Linotype" w:hAnsi="Palatino Linotype"/>
          <w:sz w:val="22"/>
          <w:szCs w:val="22"/>
        </w:rPr>
      </w:pPr>
    </w:p>
    <w:p w:rsidR="00260829" w:rsidRPr="00755F73" w:rsidRDefault="00260829" w:rsidP="00260829">
      <w:pPr>
        <w:spacing w:line="360" w:lineRule="auto"/>
        <w:ind w:left="567" w:right="539"/>
        <w:jc w:val="both"/>
        <w:rPr>
          <w:rFonts w:ascii="Palatino Linotype" w:eastAsia="Calibri" w:hAnsi="Palatino Linotype" w:cs="Tahoma"/>
          <w:bCs/>
          <w:i/>
          <w:iCs/>
          <w:color w:val="000000"/>
          <w:lang w:eastAsia="es-ES_tradnl"/>
        </w:rPr>
      </w:pPr>
      <w:r w:rsidRPr="00755F73">
        <w:rPr>
          <w:rFonts w:ascii="Palatino Linotype" w:eastAsia="Calibri" w:hAnsi="Palatino Linotype" w:cs="Tahoma"/>
          <w:bCs/>
          <w:i/>
          <w:iCs/>
          <w:color w:val="000000"/>
          <w:lang w:eastAsia="es-ES_tradnl"/>
        </w:rPr>
        <w:t>“Artículo 140. El acceso a la información pública será restringido excepcionalmente, cuando por</w:t>
      </w:r>
    </w:p>
    <w:p w:rsidR="00260829" w:rsidRPr="00755F73" w:rsidRDefault="00260829" w:rsidP="00260829">
      <w:pPr>
        <w:spacing w:line="360" w:lineRule="auto"/>
        <w:ind w:left="567" w:right="539"/>
        <w:jc w:val="both"/>
        <w:rPr>
          <w:rFonts w:ascii="Palatino Linotype" w:eastAsia="Calibri" w:hAnsi="Palatino Linotype" w:cs="Tahoma"/>
          <w:bCs/>
          <w:i/>
          <w:iCs/>
          <w:color w:val="000000"/>
          <w:lang w:eastAsia="es-ES_tradnl"/>
        </w:rPr>
      </w:pPr>
      <w:proofErr w:type="gramStart"/>
      <w:r w:rsidRPr="00755F73">
        <w:rPr>
          <w:rFonts w:ascii="Palatino Linotype" w:eastAsia="Calibri" w:hAnsi="Palatino Linotype" w:cs="Tahoma"/>
          <w:bCs/>
          <w:i/>
          <w:iCs/>
          <w:color w:val="000000"/>
          <w:lang w:eastAsia="es-ES_tradnl"/>
        </w:rPr>
        <w:t>razones</w:t>
      </w:r>
      <w:proofErr w:type="gramEnd"/>
      <w:r w:rsidRPr="00755F73">
        <w:rPr>
          <w:rFonts w:ascii="Palatino Linotype" w:eastAsia="Calibri" w:hAnsi="Palatino Linotype" w:cs="Tahoma"/>
          <w:bCs/>
          <w:i/>
          <w:iCs/>
          <w:color w:val="000000"/>
          <w:lang w:eastAsia="es-ES_tradnl"/>
        </w:rPr>
        <w:t xml:space="preserve"> de interés público, ésta sea clasificada como reservada, conforme a los criterios</w:t>
      </w:r>
      <w:r>
        <w:rPr>
          <w:rFonts w:ascii="Palatino Linotype" w:eastAsia="Calibri" w:hAnsi="Palatino Linotype" w:cs="Tahoma"/>
          <w:bCs/>
          <w:i/>
          <w:iCs/>
          <w:color w:val="000000"/>
          <w:lang w:eastAsia="es-ES_tradnl"/>
        </w:rPr>
        <w:t xml:space="preserve"> </w:t>
      </w:r>
      <w:r w:rsidRPr="00755F73">
        <w:rPr>
          <w:rFonts w:ascii="Palatino Linotype" w:eastAsia="Calibri" w:hAnsi="Palatino Linotype" w:cs="Tahoma"/>
          <w:bCs/>
          <w:i/>
          <w:iCs/>
          <w:color w:val="000000"/>
          <w:lang w:eastAsia="es-ES_tradnl"/>
        </w:rPr>
        <w:t>siguientes:</w:t>
      </w:r>
    </w:p>
    <w:p w:rsidR="00260829" w:rsidRPr="00755F73" w:rsidRDefault="00260829" w:rsidP="00260829">
      <w:pPr>
        <w:spacing w:line="360" w:lineRule="auto"/>
        <w:ind w:left="567" w:right="539"/>
        <w:jc w:val="both"/>
        <w:rPr>
          <w:rFonts w:ascii="Palatino Linotype" w:eastAsia="Calibri" w:hAnsi="Palatino Linotype" w:cs="Tahoma"/>
          <w:bCs/>
          <w:i/>
          <w:iCs/>
          <w:color w:val="000000"/>
          <w:lang w:eastAsia="es-ES_tradnl"/>
        </w:rPr>
      </w:pPr>
      <w:r w:rsidRPr="00755F73">
        <w:rPr>
          <w:rFonts w:ascii="Palatino Linotype" w:eastAsia="Calibri" w:hAnsi="Palatino Linotype" w:cs="Tahoma"/>
          <w:bCs/>
          <w:i/>
          <w:iCs/>
          <w:color w:val="000000"/>
          <w:lang w:eastAsia="es-ES_tradnl"/>
        </w:rPr>
        <w:t>…</w:t>
      </w:r>
    </w:p>
    <w:p w:rsidR="00260829" w:rsidRPr="00755F73" w:rsidRDefault="00260829" w:rsidP="00260829">
      <w:pPr>
        <w:spacing w:line="360" w:lineRule="auto"/>
        <w:ind w:left="567" w:right="539"/>
        <w:jc w:val="both"/>
        <w:rPr>
          <w:rFonts w:ascii="Palatino Linotype" w:eastAsia="Calibri" w:hAnsi="Palatino Linotype" w:cs="Tahoma"/>
          <w:bCs/>
          <w:i/>
          <w:iCs/>
          <w:color w:val="000000"/>
          <w:lang w:eastAsia="es-ES_tradnl"/>
        </w:rPr>
      </w:pPr>
      <w:r w:rsidRPr="00755F73">
        <w:rPr>
          <w:rFonts w:ascii="Palatino Linotype" w:eastAsia="Calibri" w:hAnsi="Palatino Linotype" w:cs="Tahoma"/>
          <w:bCs/>
          <w:i/>
          <w:iCs/>
          <w:color w:val="000000"/>
          <w:lang w:eastAsia="es-ES_tradnl"/>
        </w:rPr>
        <w:t>VIII. Vulnere la conducción de los expedientes judiciales o de los procedimientos administrativos</w:t>
      </w:r>
      <w:r>
        <w:rPr>
          <w:rFonts w:ascii="Palatino Linotype" w:eastAsia="Calibri" w:hAnsi="Palatino Linotype" w:cs="Tahoma"/>
          <w:bCs/>
          <w:i/>
          <w:iCs/>
          <w:color w:val="000000"/>
          <w:lang w:eastAsia="es-ES_tradnl"/>
        </w:rPr>
        <w:t xml:space="preserve"> </w:t>
      </w:r>
      <w:r w:rsidRPr="00755F73">
        <w:rPr>
          <w:rFonts w:ascii="Palatino Linotype" w:eastAsia="Calibri" w:hAnsi="Palatino Linotype" w:cs="Tahoma"/>
          <w:bCs/>
          <w:i/>
          <w:iCs/>
          <w:color w:val="000000"/>
          <w:lang w:eastAsia="es-ES_tradnl"/>
        </w:rPr>
        <w:t>seguidos en forma de juicio, en tanto no hayan quedado firmes;”</w:t>
      </w: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En </w:t>
      </w:r>
      <w:r w:rsidRPr="007E522C">
        <w:rPr>
          <w:rFonts w:ascii="Palatino Linotype" w:hAnsi="Palatino Linotype"/>
          <w:sz w:val="22"/>
          <w:szCs w:val="22"/>
        </w:rPr>
        <w:t>este</w:t>
      </w:r>
      <w:r w:rsidRPr="007E522C">
        <w:rPr>
          <w:rFonts w:ascii="Palatino Linotype" w:hAnsi="Palatino Linotype"/>
        </w:rPr>
        <w:t xml:space="preserve"> sentido, la única causal, que se ajustaría atendiendo a la naturaleza de la información, sería la fracción VIII, del artículo 140 de la Ley de Transparencia Local</w:t>
      </w:r>
      <w:r w:rsidR="007E522C" w:rsidRPr="007E522C">
        <w:rPr>
          <w:rFonts w:ascii="Palatino Linotype" w:hAnsi="Palatino Linotype"/>
        </w:rPr>
        <w:t xml:space="preserve"> ya transcrita</w:t>
      </w:r>
      <w:r w:rsidRPr="007E522C">
        <w:rPr>
          <w:rFonts w:ascii="Palatino Linotype" w:hAnsi="Palatino Linotype"/>
        </w:rPr>
        <w:t>, con su supuesto homólogo en el artículo 113, de la Ley de fracción XI, de la Ley General de Transparencia y Acceso a la Información Pública, que establece:</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“Artículo 113. Como información reservada podrá clasificarse aquella cuya publicación:</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XI. Vulnere la conducción de los Expedientes judiciales o de los procedimientos administrativos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roofErr w:type="gramStart"/>
      <w:r w:rsidRPr="007E522C">
        <w:rPr>
          <w:rFonts w:ascii="Palatino Linotype" w:eastAsia="Calibri" w:hAnsi="Palatino Linotype" w:cs="Tahoma"/>
          <w:bCs/>
          <w:i/>
          <w:iCs/>
          <w:color w:val="000000"/>
          <w:lang w:eastAsia="es-ES_tradnl"/>
        </w:rPr>
        <w:t>seguidos</w:t>
      </w:r>
      <w:proofErr w:type="gramEnd"/>
      <w:r w:rsidRPr="007E522C">
        <w:rPr>
          <w:rFonts w:ascii="Palatino Linotype" w:eastAsia="Calibri" w:hAnsi="Palatino Linotype" w:cs="Tahoma"/>
          <w:bCs/>
          <w:i/>
          <w:iCs/>
          <w:color w:val="000000"/>
          <w:lang w:eastAsia="es-ES_tradnl"/>
        </w:rPr>
        <w:t xml:space="preserve"> en forma de juicio, en tanto no hayan causado estado;”</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Ahora bien, es procedente desarrollar, a la luz de esta causal, lo contemplado en el artículo 129, de la Ley de Transparencia vigente en la entidad:</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b/>
          <w:bCs/>
        </w:rPr>
      </w:pPr>
      <w:r w:rsidRPr="007E522C">
        <w:rPr>
          <w:rFonts w:ascii="Palatino Linotype" w:hAnsi="Palatino Linotype"/>
          <w:b/>
          <w:bCs/>
        </w:rPr>
        <w:t>I. La divulgación de la información representa un riesgo real, demostrable e identificable del perjuicio significativo al interés público o a la seguridad pública;</w:t>
      </w:r>
    </w:p>
    <w:p w:rsidR="00260829" w:rsidRPr="007E522C" w:rsidRDefault="00260829" w:rsidP="007E522C">
      <w:pPr>
        <w:spacing w:line="360" w:lineRule="auto"/>
        <w:ind w:left="708"/>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 xml:space="preserve">Sobre este punto, podría generar afectación, la divulgación de los elementos de prueba que sirvan en su caso para acreditar los alcances de las pretensiones de los Ayuntamientos involucrados, sin embargo, este periodo feneció el 22 de marzo del año en curso por lo cual, no es acreditable el riesgo real, de igual manera no es demostrable atendiendo a que ese punto, debe ser soportado </w:t>
      </w:r>
      <w:r w:rsidRPr="007E522C">
        <w:rPr>
          <w:rFonts w:ascii="Palatino Linotype" w:hAnsi="Palatino Linotype"/>
        </w:rPr>
        <w:lastRenderedPageBreak/>
        <w:t>por elementos que tenga el Sujeto Obligado, lo cual, no acontece en la especie e identificable, únicamente se advierte la posible afectación al momento de exhibir y desahogar las pruebas, pero ambos periodos, ya fenecieron, atendiendo a la fuente normativa.</w:t>
      </w:r>
    </w:p>
    <w:p w:rsidR="00260829" w:rsidRPr="007E522C" w:rsidRDefault="00260829" w:rsidP="007E522C">
      <w:pPr>
        <w:spacing w:line="360" w:lineRule="auto"/>
        <w:ind w:left="708"/>
        <w:jc w:val="both"/>
        <w:rPr>
          <w:rFonts w:ascii="Palatino Linotype" w:hAnsi="Palatino Linotype"/>
          <w:b/>
          <w:bCs/>
        </w:rPr>
      </w:pPr>
      <w:r w:rsidRPr="007E522C">
        <w:rPr>
          <w:rFonts w:ascii="Palatino Linotype" w:hAnsi="Palatino Linotype"/>
          <w:b/>
          <w:bCs/>
        </w:rPr>
        <w:t xml:space="preserve">II. El riesgo de perjuicio que supondría la divulgación supera el interés público general de que se difunda; y </w:t>
      </w:r>
    </w:p>
    <w:p w:rsidR="00260829" w:rsidRPr="007E522C" w:rsidRDefault="00260829" w:rsidP="007E522C">
      <w:pPr>
        <w:spacing w:line="360" w:lineRule="auto"/>
        <w:ind w:left="708"/>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Aquí iniciamos estableciendo que la publicidad de esta información, al relacionarse no solo con bienes de dominio público, sino que inciden de manera específica en el patrimonio de ciudadanos, es natural que exista un gran interés de conocer esta información y en contraposición, el mayor daño que se identifica en supuesto catastrófico y considerando elementos ajenos al proceso, como podrían ser la participación de actores externos, que modifiquen la decisión del Poder Legislativo, sería afectar los patrimonios municipales, sin embargo, en este caso, al ser una decisión estatal (legislatura), que no impacta de manera negativa en los derechos humanos de los ciudadanos sino en el de entidades gubernamentales, no se acredita que el daño, supere al interés de conocer la información por parte de la población. Asimismo, tampoco se logra identificar la forma en la cual, la divulgación de la información, podría afectar al procedimiento administrativo, menos aún una vez que ya se cerró la etapa de instrucción, esto atendiendo a las temporalidades establecidas en las leyes aplicables.</w:t>
      </w:r>
    </w:p>
    <w:p w:rsidR="00260829" w:rsidRPr="007E522C" w:rsidRDefault="00260829" w:rsidP="007E522C">
      <w:pPr>
        <w:spacing w:line="360" w:lineRule="auto"/>
        <w:ind w:left="708"/>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b/>
          <w:bCs/>
        </w:rPr>
        <w:lastRenderedPageBreak/>
        <w:t>III. La limitación se adecua al principio de proporcionalidad y representa el medio menos restrictivo disponible representa el medio menos restrictivo disponible para evitar el perjuicio.</w:t>
      </w:r>
    </w:p>
    <w:p w:rsidR="00260829" w:rsidRPr="007E522C" w:rsidRDefault="00260829" w:rsidP="007E522C">
      <w:pPr>
        <w:spacing w:line="360" w:lineRule="auto"/>
        <w:ind w:left="708"/>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Al respecto, al haber restringido el completo acceso a la información, es el medio más restrictivo existente, lo que se contrapone con lo que ya es publicado por la propia Legislatura y por los medios de comunicación, entonces, el municipio, está restringiendo la información, incluso más de lo que lo hace la Legislatura, que es el Poder que resuelve.</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b/>
          <w:bCs/>
        </w:rPr>
      </w:pPr>
      <w:r w:rsidRPr="007E522C">
        <w:rPr>
          <w:rFonts w:ascii="Palatino Linotype" w:hAnsi="Palatino Linotype"/>
        </w:rPr>
        <w:t>Ahora bien, una vez que se identificó que no se acreditó la prueba de daño en términos del artículo 129 de la Ley en cita, es procedente traer a colación, lo contemplado en el Lineamiento Trigésimo de los Lineamientos Generales en Materia de Clasificación y Desclasificación de la Información, así como para la Elaboración de Versiones Públicas, lineamiento que permite reservar la información siempre y cuando se acrediten los siguientes elementos:</w:t>
      </w:r>
    </w:p>
    <w:p w:rsidR="00260829" w:rsidRPr="007E522C" w:rsidRDefault="00260829" w:rsidP="007E522C">
      <w:pPr>
        <w:spacing w:line="360" w:lineRule="auto"/>
        <w:jc w:val="both"/>
        <w:rPr>
          <w:rFonts w:ascii="Palatino Linotype" w:hAnsi="Palatino Linotype"/>
          <w:b/>
          <w:bCs/>
        </w:rPr>
      </w:pPr>
    </w:p>
    <w:p w:rsidR="00260829" w:rsidRPr="007E522C" w:rsidRDefault="00260829" w:rsidP="007E522C">
      <w:pPr>
        <w:spacing w:line="360" w:lineRule="auto"/>
        <w:ind w:left="708"/>
        <w:jc w:val="both"/>
        <w:rPr>
          <w:rFonts w:ascii="Palatino Linotype" w:hAnsi="Palatino Linotype"/>
          <w:b/>
          <w:bCs/>
        </w:rPr>
      </w:pPr>
      <w:r w:rsidRPr="007E522C">
        <w:rPr>
          <w:rFonts w:ascii="Palatino Linotype" w:hAnsi="Palatino Linotype"/>
          <w:b/>
          <w:bCs/>
        </w:rPr>
        <w:t>I.        La existencia de un juicio o procedimiento administrativo materialmente jurisdiccional, que se encuentre en trámite, y</w:t>
      </w: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 xml:space="preserve">Este punto se acredita, pues es formalmente administrativo y materialmente judicial, la Legislatura, dirime el conflicto territorial entre las partes que son los Ayuntamientos de Teoloyucan </w:t>
      </w:r>
      <w:r w:rsidR="007E522C" w:rsidRPr="007E522C">
        <w:rPr>
          <w:rFonts w:ascii="Palatino Linotype" w:hAnsi="Palatino Linotype"/>
        </w:rPr>
        <w:t>con</w:t>
      </w:r>
      <w:r w:rsidRPr="007E522C">
        <w:rPr>
          <w:rFonts w:ascii="Palatino Linotype" w:hAnsi="Palatino Linotype"/>
        </w:rPr>
        <w:t xml:space="preserve"> Tepotzotlán, </w:t>
      </w:r>
      <w:r w:rsidR="007E522C" w:rsidRPr="007E522C">
        <w:rPr>
          <w:rFonts w:ascii="Palatino Linotype" w:hAnsi="Palatino Linotype"/>
        </w:rPr>
        <w:t xml:space="preserve">Cuautitlán y Cuautitlán Izcalli </w:t>
      </w:r>
      <w:r w:rsidRPr="007E522C">
        <w:rPr>
          <w:rFonts w:ascii="Palatino Linotype" w:hAnsi="Palatino Linotype"/>
        </w:rPr>
        <w:t>para determinar los límites de estos Municipios; cumple con las formalidades propias de un juicio, al existir una etapa de conciliación, ofrecimiento de pruebas, desahogo, alegatos y decisión, la cual es inatacable.</w:t>
      </w:r>
    </w:p>
    <w:p w:rsidR="00260829" w:rsidRPr="007E522C" w:rsidRDefault="00260829" w:rsidP="007E522C">
      <w:pPr>
        <w:spacing w:line="360" w:lineRule="auto"/>
        <w:ind w:left="708"/>
        <w:jc w:val="both"/>
        <w:rPr>
          <w:rFonts w:ascii="Palatino Linotype" w:hAnsi="Palatino Linotype"/>
          <w:b/>
          <w:bCs/>
        </w:rPr>
      </w:pPr>
      <w:bookmarkStart w:id="152" w:name="_GoBack"/>
      <w:bookmarkEnd w:id="152"/>
    </w:p>
    <w:p w:rsidR="00260829" w:rsidRPr="007E522C" w:rsidRDefault="00260829" w:rsidP="007E522C">
      <w:pPr>
        <w:spacing w:line="360" w:lineRule="auto"/>
        <w:ind w:left="708"/>
        <w:jc w:val="both"/>
        <w:rPr>
          <w:rFonts w:ascii="Palatino Linotype" w:hAnsi="Palatino Linotype"/>
          <w:b/>
          <w:bCs/>
        </w:rPr>
      </w:pPr>
      <w:r w:rsidRPr="007E522C">
        <w:rPr>
          <w:rFonts w:ascii="Palatino Linotype" w:hAnsi="Palatino Linotype"/>
          <w:b/>
          <w:bCs/>
        </w:rPr>
        <w:t>II.       Que la información solicitada se refiera a actuaciones, diligencias o constancias propias del procedimiento.</w:t>
      </w: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Este es un elemento, que no se puede probar, atendiendo a que el sujeto Obligado, no hizo entrega de estos elementos, sin embargo, aun presumiendo su existencia, el propio artículo establece que no serán objeto de reserva las resoluciones interlocutorias o definitivas que se dicten dentro de los procedimientos o con las que se concluya el mismo, las cuales deberán ser entregadas en versión pública.</w:t>
      </w:r>
    </w:p>
    <w:p w:rsidR="00260829" w:rsidRPr="007E522C" w:rsidRDefault="00260829" w:rsidP="007E522C">
      <w:pPr>
        <w:spacing w:line="360" w:lineRule="auto"/>
        <w:ind w:left="708"/>
        <w:jc w:val="both"/>
        <w:rPr>
          <w:rFonts w:ascii="Palatino Linotype" w:hAnsi="Palatino Linotype"/>
          <w:b/>
          <w:bCs/>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Entonces, se identifica que no es procedente la reserva total del expediente, sino que en su caso, son las actuaciones de las partes, diligencias o constancias propias del procedimiento, las que son susceptibles de ser reservadas de manera temporal, sin embargo, deberán acreditar de manera específica cada uno de estos documentos  con naturaleza independiente, la prueba de daño contemplada en el artículo 129 de la Ley de Transparencia y Acceso a la Información Pública del Estado de México y Municipios.</w:t>
      </w:r>
    </w:p>
    <w:p w:rsidR="00260829" w:rsidRPr="007E522C" w:rsidRDefault="00260829" w:rsidP="007E522C">
      <w:pPr>
        <w:spacing w:line="360" w:lineRule="auto"/>
        <w:ind w:left="708"/>
        <w:jc w:val="both"/>
        <w:rPr>
          <w:rFonts w:ascii="Palatino Linotype" w:hAnsi="Palatino Linotype"/>
        </w:rPr>
      </w:pPr>
    </w:p>
    <w:p w:rsidR="00260829" w:rsidRPr="007E522C" w:rsidRDefault="00260829" w:rsidP="007E522C">
      <w:pPr>
        <w:spacing w:line="360" w:lineRule="auto"/>
        <w:ind w:left="708"/>
        <w:jc w:val="both"/>
        <w:rPr>
          <w:rFonts w:ascii="Palatino Linotype" w:hAnsi="Palatino Linotype"/>
        </w:rPr>
      </w:pPr>
      <w:r w:rsidRPr="007E522C">
        <w:rPr>
          <w:rFonts w:ascii="Palatino Linotype" w:hAnsi="Palatino Linotype"/>
        </w:rPr>
        <w:t>En este orden de ideas, se identifica que el expediente solicitado, no es reservable en su totalidad en ningún momento procesal y el mismo es desclasificarle en su totalidad, al momento en el cual, no se identifica un riesgo real, demostrable e identificable, lo cual, acontece en la especie.</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Ahora bien, por último, se identifica que el Sujeto Obligado, reservó la información por </w:t>
      </w:r>
      <w:r w:rsidR="007E522C" w:rsidRPr="007E522C">
        <w:rPr>
          <w:rFonts w:ascii="Palatino Linotype" w:hAnsi="Palatino Linotype"/>
        </w:rPr>
        <w:t>tres años</w:t>
      </w:r>
      <w:r w:rsidRPr="007E522C">
        <w:rPr>
          <w:rFonts w:ascii="Palatino Linotype" w:hAnsi="Palatino Linotype"/>
        </w:rPr>
        <w:t>, lo cual contraviene a lo contemplado en el artículo 125 de la Ley de Transparencia vigente en la entidad que establece:</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
          <w:i/>
          <w:iCs/>
          <w:color w:val="000000"/>
          <w:lang w:eastAsia="es-ES_tradnl"/>
        </w:rPr>
      </w:pPr>
      <w:r w:rsidRPr="007E522C">
        <w:rPr>
          <w:rFonts w:ascii="Palatino Linotype" w:eastAsia="Calibri" w:hAnsi="Palatino Linotype" w:cs="Tahoma"/>
          <w:b/>
          <w:i/>
          <w:iCs/>
          <w:color w:val="000000"/>
          <w:lang w:eastAsia="es-ES_tradnl"/>
        </w:rPr>
        <w:t xml:space="preserve">Artículo 125.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w:t>
      </w:r>
      <w:r w:rsidRPr="007E522C">
        <w:rPr>
          <w:rFonts w:ascii="Palatino Linotype" w:eastAsia="Calibri" w:hAnsi="Palatino Linotype" w:cs="Tahoma"/>
          <w:bCs/>
          <w:i/>
          <w:iCs/>
          <w:color w:val="000000"/>
          <w:lang w:eastAsia="es-ES_tradnl"/>
        </w:rPr>
        <w:lastRenderedPageBreak/>
        <w:t>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Entrando al estudio de la naturaleza de la reserva y de la información desde otra óptica con la finalidad de fundar y motivar de manera más profunda la presente Resolución, se procede a hacer cuestionamientos que sirven para el desarrollo de argumentos de conformidad con lo siguiente:</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1"/>
        </w:numPr>
        <w:spacing w:line="360" w:lineRule="auto"/>
        <w:jc w:val="both"/>
        <w:rPr>
          <w:rFonts w:ascii="Palatino Linotype" w:hAnsi="Palatino Linotype"/>
          <w:b/>
          <w:bCs/>
        </w:rPr>
      </w:pPr>
      <w:r w:rsidRPr="007E522C">
        <w:rPr>
          <w:rFonts w:ascii="Palatino Linotype" w:hAnsi="Palatino Linotype"/>
          <w:b/>
          <w:bCs/>
        </w:rPr>
        <w:t xml:space="preserve">¿Pueden ser restringidos los Principios establecidos en el artículo 6 de la Constitución Federal respecto del derecho de acceso a la información?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El artículo 6 de la Constitución General de la República, establece una serie de principios y bases sobre las cuales se erige el reconocimiento y ejercicio del derecho humano del acceso a la información pública. En este sentido, en la fracción I del citado artículo, establece que es pública la información que posea cualquier ente estatal, con excepción de reserva temporal por razón de interés público en los términos que fijen las leyes; y en la fracción segunda se ordena, que la referente a la vida privada y datos personales, sea protegida.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Por lo tanto, se puede determinar que, a rango constitucional el ejercicio del poder público debe operar bajo la máxima publicidad y accesibilidad, solo limitada por circunstancias específicas establecidas por la ley, y que pudieran implicar que </w:t>
      </w:r>
      <w:r w:rsidRPr="007E522C">
        <w:rPr>
          <w:rFonts w:ascii="Palatino Linotype" w:hAnsi="Palatino Linotype"/>
        </w:rPr>
        <w:lastRenderedPageBreak/>
        <w:t>la divulgación de la información atente contra los derechos de terceros o la protección de la seguridad nacional, el orden público, la salud o moral públicas.</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Como sucede con el ejercicio de otros derechos fundamentales, el derecho al acceso a la información, se encuentra sujeto a determinadas restricciones; sin embargo, a efecto de no ser excesivas, que lleguen al grado de anular el ejercicio del derecho fundamental, están condicionadas a diversos aspectos, de modo que, como lo indica la propia Convención Americana de Derechos Humanos en su artículo 13.2, para que una restricción al derecho a la información pública pueda ser aplicable, debe demostrarse que ha cumplido con las condiciones de: </w:t>
      </w:r>
      <w:r w:rsidRPr="007E522C">
        <w:rPr>
          <w:rFonts w:ascii="Palatino Linotype" w:hAnsi="Palatino Linotype"/>
          <w:i/>
          <w:iCs/>
        </w:rPr>
        <w:t>i)carácter excepcional, ii) consagración legal, iii) objetivos legítimos, iii) necesidad y proporcionalidad.</w:t>
      </w:r>
      <w:r w:rsidRPr="007E522C">
        <w:rPr>
          <w:rFonts w:ascii="Palatino Linotype" w:hAnsi="Palatino Linotype"/>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Respecto de estas excepciones, la </w:t>
      </w:r>
      <w:r w:rsidRPr="007E522C">
        <w:rPr>
          <w:rFonts w:ascii="Palatino Linotype" w:hAnsi="Palatino Linotype"/>
          <w:b/>
          <w:bCs/>
        </w:rPr>
        <w:t xml:space="preserve">Corte Interamericana al resolver el Caso de </w:t>
      </w:r>
      <w:proofErr w:type="spellStart"/>
      <w:r w:rsidRPr="007E522C">
        <w:rPr>
          <w:rFonts w:ascii="Palatino Linotype" w:hAnsi="Palatino Linotype"/>
          <w:b/>
          <w:bCs/>
        </w:rPr>
        <w:t>Clade</w:t>
      </w:r>
      <w:proofErr w:type="spellEnd"/>
      <w:r w:rsidRPr="007E522C">
        <w:rPr>
          <w:rFonts w:ascii="Palatino Linotype" w:hAnsi="Palatino Linotype"/>
          <w:b/>
          <w:bCs/>
        </w:rPr>
        <w:t xml:space="preserve"> Reyes y Otros (sentencia del 19 de septiembre de 2006)</w:t>
      </w:r>
      <w:r w:rsidRPr="007E522C">
        <w:rPr>
          <w:rFonts w:ascii="Palatino Linotype" w:hAnsi="Palatino Linotype"/>
        </w:rPr>
        <w:t xml:space="preserve"> preciso que, el establecimiento de </w:t>
      </w:r>
      <w:r w:rsidRPr="007E522C">
        <w:rPr>
          <w:rFonts w:ascii="Palatino Linotype" w:hAnsi="Palatino Linotype"/>
          <w:b/>
          <w:bCs/>
          <w:u w:val="single"/>
        </w:rPr>
        <w:t>restricciones al derecho de acceso a la información bajo control del Estado, a través de la práctica de las autoridades, sin cumplimiento de los requisitos establecidos en la Convención Americana, crea un campo fértil para la actuación discrecional y arbitraria en la clasificación de informaciones como secretas, reservadas</w:t>
      </w:r>
      <w:r w:rsidRPr="007E522C">
        <w:rPr>
          <w:rFonts w:ascii="Palatino Linotype" w:hAnsi="Palatino Linotype"/>
        </w:rPr>
        <w:t xml:space="preserve"> o confidenciales y genera inseguridad jurídica respecto del ejercicio de dicho derecho, así como del alcance de las facultades estatales para restringirlo; es por ello que, en atención al principio de máxima divulgación, toda excepción que precisen los entes públicos debe sujetarse a una serie de parámetros jurídicos.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Además, en la misma sentencia el tribunal interamericano puntualizó que la ley debe garantizar un acceso a la información pública que sea efectivo y lo más amplio posible, además de que, en caso de contemplar excepciones, éstas no deben convertirse en la práctica en la regla general, sino deben ser la excepción sujetas a estudios casuísticos.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 esa medida, la Relatoría para la Libertad de Expresión de la Comisión Interamericana de Derechos Humanos, ha sostenido que las limitaciones impuestas al derecho de acceso a la información, como cualquier otra limitación que se imponga a cualquiera de las derivaciones del derecho a la libertad de expresión, deben ser necesarias en una sociedad democrática para satisfacer un interés público imperativo; debiendo escoger la que restrinja en menor escala el derecho protegido, y observando que ésta: (i) sea conducente para alcanzar su logro, (ii) sea proporcional al interés que la justifica, e (iii) interfiera en la menor medida posible en el ejercicio efectivo del derecho.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De esta forma, del principio de máxima publicidad tanto en el ámbito internos como en la óptica internacional, deriva el que las normas que limitan el derecho de acceso a la información deben ser interpretadas de manera restrictiva y que toda limitación debe estar debidamente sujeta a una serie de parámetros con los cuales se permita determinar la menor limitación posible al derecho de acceso.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jc w:val="both"/>
        <w:rPr>
          <w:rFonts w:ascii="Palatino Linotype" w:hAnsi="Palatino Linotype"/>
        </w:rPr>
      </w:pPr>
      <w:r w:rsidRPr="007E522C">
        <w:rPr>
          <w:rFonts w:ascii="Palatino Linotype" w:hAnsi="Palatino Linotype"/>
          <w:b/>
          <w:bCs/>
        </w:rPr>
        <w:t>¿Cuál es el marco legal que contempla el conjunto de limitaciones excepcionales al Derecho de Acceso a la información Pública en México en los casos en concreto?</w:t>
      </w:r>
      <w:r w:rsidRPr="007E522C">
        <w:rPr>
          <w:rFonts w:ascii="Palatino Linotype" w:hAnsi="Palatino Linotype"/>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Bajo este panorama, en congruencia con el marco constitucional y convencional, la Ley General de Transparencia y de forma equivalente la Ley de Transparencia y Acceso a la Información Pública del Estado de México y Municipios, establecen dos supuestos bajo los cuales una autoridad del estado puede restringir el Derecho de acceso a la información pública ejercido por los particulares, dichas hipótesis de restricción las podemos delimitar en dos conjuntos, el primero como información: “</w:t>
      </w:r>
      <w:r w:rsidRPr="007E522C">
        <w:rPr>
          <w:rFonts w:ascii="Palatino Linotype" w:hAnsi="Palatino Linotype"/>
          <w:b/>
          <w:bCs/>
        </w:rPr>
        <w:t>Confidencial</w:t>
      </w:r>
      <w:r w:rsidRPr="007E522C">
        <w:rPr>
          <w:rFonts w:ascii="Palatino Linotype" w:hAnsi="Palatino Linotype"/>
        </w:rPr>
        <w:t>” y el segundo como información “</w:t>
      </w:r>
      <w:r w:rsidRPr="007E522C">
        <w:rPr>
          <w:rFonts w:ascii="Palatino Linotype" w:hAnsi="Palatino Linotype"/>
          <w:b/>
          <w:bCs/>
        </w:rPr>
        <w:t>Reservada</w:t>
      </w:r>
      <w:r w:rsidRPr="007E522C">
        <w:rPr>
          <w:rFonts w:ascii="Palatino Linotype" w:hAnsi="Palatino Linotype"/>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 este sentido, para proteger la vida privada y los datos personales –considerados como uno de los límites constitucionalmente legítimos– el artículo 116 de la legislación general reproducido de forma simétrica en el análogo 143 de ley local en la materia, se establece como criterio de clasificación el de “información confidencial”, el cual restringe el acceso a la información pública que contenga datos personales o haga referencia a la vida privada de una persona física que requieran el consentimiento de estos para su difusión, distribución o comercialización.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Por otro lado, para proteger el interés público, amabas legislaciones de manera homogénea en los numerales 113 y 140 de la ley general y de la ley local respectivamente, consideran la posibilidad de restringir el derecho de acceso a la información pública ejercido por los particulares, estableciendo la posibilidad de catalogar la información pública que obra en su poder con la calidad de reservada.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Además, la información que sea clasificada como reservada, podrá permanecer con tal carácter hasta por un periodo de cinco años; previendo, además, </w:t>
      </w:r>
      <w:r w:rsidRPr="007E522C">
        <w:rPr>
          <w:rFonts w:ascii="Palatino Linotype" w:hAnsi="Palatino Linotype"/>
        </w:rPr>
        <w:lastRenderedPageBreak/>
        <w:t xml:space="preserve">que podrá ser desclasificada cuando se extingan las causas que dieron origen a su clasificación o haya transcurrido el periodo de reserva.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La reserva, ya fue analizada previamente, al caso en concreto, atendiendo a que el Sujeto Obligado, no estableció ningún supuesto o causal por el cual reservaré la información.</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Es preciso resaltar que, conforme a lo expresado por la Corte Interamericana, ha de vigilarse en todo momento, que las excepciones no se conviertan en regla general, dado que el derecho a la información juega un papel determinante en un Estado democrático, a partir del cual, los gobernados pueden ejercer un control respecto del funcionamiento institucional de los poderes públicos.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 este sentido, la propia Suprema Corte de Justicia de la Nación (SCJN) al resolver la Acción de inconstitucionalidad 26/2006, concreto la tesis de jurisprudencia de rubro: </w:t>
      </w:r>
      <w:r w:rsidRPr="007E522C">
        <w:rPr>
          <w:rFonts w:ascii="Palatino Linotype" w:hAnsi="Palatino Linotype"/>
          <w:b/>
          <w:bCs/>
        </w:rPr>
        <w:t>“INFORMACIÓN RESERVADA. EXCEPCIÓN A LA PROHIBICIÓN DE SU DIVULGACIÓN</w:t>
      </w:r>
      <w:r w:rsidRPr="007E522C">
        <w:rPr>
          <w:rFonts w:ascii="Palatino Linotype" w:hAnsi="Palatino Linotype"/>
        </w:rPr>
        <w:t>”, de cuyo cuerpo, en el tema que interesa se precisa que: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Así, se puede desprender que la restricción para acceder a la información relacionada con expedientes administrativos que no hayan causado estado, no puede considerarse como una regla absoluta.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Debe hacerse una excepción a esta regla privilegiando la transparencia y difusión de la información respectiva cuando su difusión producirá mayores beneficios para la sociedad que los daños que pudieran provocarse con su divulgación.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jc w:val="both"/>
        <w:rPr>
          <w:rFonts w:ascii="Palatino Linotype" w:hAnsi="Palatino Linotype"/>
          <w:b/>
          <w:bCs/>
        </w:rPr>
      </w:pPr>
      <w:r w:rsidRPr="007E522C">
        <w:rPr>
          <w:rFonts w:ascii="Palatino Linotype" w:hAnsi="Palatino Linotype"/>
          <w:b/>
          <w:bCs/>
        </w:rPr>
        <w:t xml:space="preserve">¿El interés público que envuelve el expediente referido resulta suficiente para restringir la necesidad de clasificar la información como reservada?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Entonces al hablar de una valoración de los beneficios o perjuicios de la divulgación señalada, debe fundarse en las consecuencias concretas que, potencialmente, resulten de la publicidad de la información, se deberá ponderar si la publicidad de la información tiene una trascendencia social y poder ser catalogada como información de interés público.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Así, este Instituto considera procedente efectuar una </w:t>
      </w:r>
      <w:r w:rsidRPr="007E522C">
        <w:rPr>
          <w:rFonts w:ascii="Palatino Linotype" w:hAnsi="Palatino Linotype"/>
          <w:b/>
          <w:bCs/>
        </w:rPr>
        <w:t>prueba de interés público</w:t>
      </w:r>
      <w:r w:rsidRPr="007E522C">
        <w:rPr>
          <w:rFonts w:ascii="Palatino Linotype" w:hAnsi="Palatino Linotype"/>
        </w:rPr>
        <w:t xml:space="preserve"> ante la colisión de derechos que se plantea en el presente recurso de revisión, por una parte: i) el derecho aducido por el Sujeto Obligado consistente en el derecho a la secrecía del expediente en virtud de no haber causado estado, frente al derecho ejercido por el particular consiéntete en el Derecho de Acceso a la Información Pública. Lo anterior, conforme a lo que mandata la Ley General de Transparencia y Acceso a la Información Pública, la cual en su artículo 149 refiere la </w:t>
      </w:r>
      <w:r w:rsidRPr="007E522C">
        <w:rPr>
          <w:rFonts w:ascii="Palatino Linotype" w:hAnsi="Palatino Linotype"/>
        </w:rPr>
        <w:lastRenderedPageBreak/>
        <w:t xml:space="preserve">posibilidad, tratándose de colisión de derechos, la solución bajo el principio de proporcionalidad en observancia a las gradas de: idoneidad, necesidad y proporcionalidad (premisa que es replicada en el artículo 184 de la ley local en la materia), tal y como se precisa: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“Artículo 149. El organismo garante, al resolver el recurso de revisión, deberá aplicar una prueba de interés público con base en elementos de idoneidad, necesidad y proporcionalidad, cuando exista una colisión de derechos.”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 Para estos efectos, se entenderá por: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
          <w:i/>
          <w:iCs/>
          <w:color w:val="000000"/>
          <w:lang w:eastAsia="es-ES_tradnl"/>
        </w:rPr>
        <w:t>I. Idoneidad:</w:t>
      </w:r>
      <w:r w:rsidRPr="007E522C">
        <w:rPr>
          <w:rFonts w:ascii="Palatino Linotype" w:eastAsia="Calibri" w:hAnsi="Palatino Linotype" w:cs="Tahoma"/>
          <w:bCs/>
          <w:i/>
          <w:iCs/>
          <w:color w:val="000000"/>
          <w:lang w:eastAsia="es-ES_tradnl"/>
        </w:rPr>
        <w:t xml:space="preserve"> La legitimidad del derecho adoptado como preferente, que sea el adecuado para el logro de un fin constitucionalmente válido o apto para conseguir el fin pretendido;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
          <w:i/>
          <w:iCs/>
          <w:color w:val="000000"/>
          <w:lang w:eastAsia="es-ES_tradnl"/>
        </w:rPr>
        <w:t>II. Necesidad:</w:t>
      </w:r>
      <w:r w:rsidRPr="007E522C">
        <w:rPr>
          <w:rFonts w:ascii="Palatino Linotype" w:eastAsia="Calibri" w:hAnsi="Palatino Linotype" w:cs="Tahoma"/>
          <w:bCs/>
          <w:i/>
          <w:iCs/>
          <w:color w:val="000000"/>
          <w:lang w:eastAsia="es-ES_tradnl"/>
        </w:rPr>
        <w:t xml:space="preserve"> La falta de un medio alternativo menos lesivo a la apertura de la información, para satisfacer el interés público, y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
          <w:i/>
          <w:iCs/>
          <w:color w:val="000000"/>
          <w:lang w:eastAsia="es-ES_tradnl"/>
        </w:rPr>
        <w:t>III. Proporcionalidad:</w:t>
      </w:r>
      <w:r w:rsidRPr="007E522C">
        <w:rPr>
          <w:rFonts w:ascii="Palatino Linotype" w:eastAsia="Calibri" w:hAnsi="Palatino Linotype" w:cs="Tahoma"/>
          <w:bCs/>
          <w:i/>
          <w:iCs/>
          <w:color w:val="000000"/>
          <w:lang w:eastAsia="es-ES_tradnl"/>
        </w:rPr>
        <w:t xml:space="preserve"> El equilibrio entre perjuicio y beneficio a favor del interés público, a fin de que la decisión tomada represente un beneficio mayor al perjuicio que podría causar a la población.”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b/>
          <w:bCs/>
        </w:rPr>
      </w:pPr>
      <w:r w:rsidRPr="007E522C">
        <w:rPr>
          <w:rFonts w:ascii="Palatino Linotype" w:hAnsi="Palatino Linotype"/>
        </w:rPr>
        <w:t>Ahora bien, utilizando lo precisado en la parte inicial de este apartado, el contenido de ciertos derechos fundamentales no puede ser absoluto, y la colisión entre derechos fundamentales no puede resolverse apelando a reglas de prioridad entre normas</w:t>
      </w:r>
      <w:r w:rsidRPr="007E522C">
        <w:rPr>
          <w:rFonts w:ascii="Palatino Linotype" w:hAnsi="Palatino Linotype"/>
          <w:b/>
          <w:bCs/>
        </w:rPr>
        <w:t>, sino mediante una ponderación que determine el derecho que ha de prevalecer en el caso concreto</w:t>
      </w:r>
      <w:r w:rsidRPr="007E522C">
        <w:rPr>
          <w:rFonts w:ascii="Palatino Linotype" w:hAnsi="Palatino Linotype"/>
        </w:rPr>
        <w:t xml:space="preserve">, esto conforme la doctrina de </w:t>
      </w:r>
      <w:proofErr w:type="spellStart"/>
      <w:r w:rsidRPr="007E522C">
        <w:rPr>
          <w:rFonts w:ascii="Palatino Linotype" w:hAnsi="Palatino Linotype"/>
          <w:i/>
          <w:iCs/>
        </w:rPr>
        <w:t>Riccardo</w:t>
      </w:r>
      <w:proofErr w:type="spellEnd"/>
      <w:r w:rsidRPr="007E522C">
        <w:rPr>
          <w:rFonts w:ascii="Palatino Linotype" w:hAnsi="Palatino Linotype"/>
          <w:i/>
          <w:iCs/>
        </w:rPr>
        <w:t xml:space="preserve"> </w:t>
      </w:r>
      <w:proofErr w:type="spellStart"/>
      <w:r w:rsidRPr="007E522C">
        <w:rPr>
          <w:rFonts w:ascii="Palatino Linotype" w:hAnsi="Palatino Linotype"/>
          <w:i/>
          <w:iCs/>
        </w:rPr>
        <w:t>Guastini</w:t>
      </w:r>
      <w:proofErr w:type="spellEnd"/>
      <w:r w:rsidRPr="007E522C">
        <w:rPr>
          <w:rFonts w:ascii="Palatino Linotype" w:hAnsi="Palatino Linotype"/>
        </w:rPr>
        <w:t xml:space="preserve"> al señalar que </w:t>
      </w:r>
      <w:r w:rsidRPr="007E522C">
        <w:rPr>
          <w:rFonts w:ascii="Palatino Linotype" w:hAnsi="Palatino Linotype"/>
          <w:i/>
          <w:iCs/>
        </w:rPr>
        <w:t>“La ponderación, por tanto, no es una “conciliación”.</w:t>
      </w:r>
      <w:r w:rsidRPr="007E522C">
        <w:rPr>
          <w:rFonts w:ascii="Palatino Linotype" w:hAnsi="Palatino Linotype"/>
        </w:rPr>
        <w:t xml:space="preserve"> No consiste en </w:t>
      </w:r>
      <w:r w:rsidRPr="007E522C">
        <w:rPr>
          <w:rFonts w:ascii="Palatino Linotype" w:hAnsi="Palatino Linotype"/>
          <w:i/>
          <w:iCs/>
        </w:rPr>
        <w:t>“poner de acuerdo”</w:t>
      </w:r>
      <w:r w:rsidRPr="007E522C">
        <w:rPr>
          <w:rFonts w:ascii="Palatino Linotype" w:hAnsi="Palatino Linotype"/>
        </w:rPr>
        <w:t xml:space="preserve"> los dos principios en conflicto, o en encontrar un punto de “</w:t>
      </w:r>
      <w:r w:rsidRPr="007E522C">
        <w:rPr>
          <w:rFonts w:ascii="Palatino Linotype" w:hAnsi="Palatino Linotype"/>
          <w:i/>
          <w:iCs/>
        </w:rPr>
        <w:t>equilibrio”</w:t>
      </w:r>
      <w:r w:rsidRPr="007E522C">
        <w:rPr>
          <w:rFonts w:ascii="Palatino Linotype" w:hAnsi="Palatino Linotype"/>
        </w:rPr>
        <w:t xml:space="preserve"> </w:t>
      </w:r>
      <w:r w:rsidRPr="007E522C">
        <w:rPr>
          <w:rFonts w:ascii="Palatino Linotype" w:hAnsi="Palatino Linotype"/>
        </w:rPr>
        <w:lastRenderedPageBreak/>
        <w:t xml:space="preserve">entre ellos. No consiste en la aplicación o en el sacrificio parcial de dos principios. </w:t>
      </w:r>
      <w:r w:rsidRPr="007E522C">
        <w:rPr>
          <w:rFonts w:ascii="Palatino Linotype" w:hAnsi="Palatino Linotype"/>
          <w:b/>
          <w:bCs/>
        </w:rPr>
        <w:t xml:space="preserve">Uno de los dos principios es aplicado, el otro es ciertamente acantonado.” </w:t>
      </w:r>
      <w:r w:rsidRPr="007E522C">
        <w:rPr>
          <w:rFonts w:ascii="Palatino Linotype" w:hAnsi="Palatino Linotype"/>
        </w:rPr>
        <w:t xml:space="preserve">(información recuperada de la liga de acceso directo </w:t>
      </w:r>
      <w:hyperlink r:id="rId15" w:history="1">
        <w:r w:rsidRPr="007E522C">
          <w:rPr>
            <w:rStyle w:val="Hipervnculo"/>
            <w:rFonts w:ascii="Palatino Linotype" w:hAnsi="Palatino Linotype"/>
          </w:rPr>
          <w:t>https://e-archivo.uc3m.es/bitstream/handle/10016/26545/WF-18-03.pdf</w:t>
        </w:r>
      </w:hyperlink>
      <w:r w:rsidRPr="007E522C">
        <w:rPr>
          <w:rFonts w:ascii="Palatino Linotype" w:hAnsi="Palatino Linotype"/>
        </w:rPr>
        <w:t>).</w:t>
      </w:r>
      <w:r w:rsidRPr="007E522C">
        <w:rPr>
          <w:rFonts w:ascii="Palatino Linotype" w:hAnsi="Palatino Linotype"/>
          <w:b/>
          <w:bCs/>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 En cuanto a la metodología de ponderación de derechos, es necesario citar el siguiente criterio contemplado en la Tesis Aislada de la Novena Época, con registro digital 174338, publicado en el Semanario Judicial de la Federación y su Gaceta, que establece: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
          <w:i/>
          <w:iCs/>
          <w:color w:val="000000"/>
          <w:lang w:eastAsia="es-ES_tradnl"/>
        </w:rPr>
        <w:t>SUSPENSIÓN EN EL AMPARO. CONFORME A LA TEORÍA DE PONDERACIÓN DE PRINCIPIOS DEBE NEGARSE SI EL INTERÉS SOCIAL CONSTITUCIONALMENTE TUTELADO ES PREFERENTE AL DEL PARTICULAR</w:t>
      </w:r>
      <w:r w:rsidRPr="007E522C">
        <w:rPr>
          <w:rFonts w:ascii="Palatino Linotype" w:eastAsia="Calibri" w:hAnsi="Palatino Linotype" w:cs="Tahoma"/>
          <w:bCs/>
          <w:i/>
          <w:iCs/>
          <w:color w:val="000000"/>
          <w:lang w:eastAsia="es-ES_tradnl"/>
        </w:rPr>
        <w:t xml:space="preserve">. Cuando dos derechos fundamentales entran en colisión, se debe resolver el problema atendiendo a las características y naturaleza del caso concreto, conforme al criterio de proporcionalidad, ponderando los elementos o </w:t>
      </w:r>
      <w:proofErr w:type="spellStart"/>
      <w:r w:rsidRPr="007E522C">
        <w:rPr>
          <w:rFonts w:ascii="Palatino Linotype" w:eastAsia="Calibri" w:hAnsi="Palatino Linotype" w:cs="Tahoma"/>
          <w:bCs/>
          <w:i/>
          <w:iCs/>
          <w:color w:val="000000"/>
          <w:lang w:eastAsia="es-ES_tradnl"/>
        </w:rPr>
        <w:t>subprincipios</w:t>
      </w:r>
      <w:proofErr w:type="spellEnd"/>
      <w:r w:rsidRPr="007E522C">
        <w:rPr>
          <w:rFonts w:ascii="Palatino Linotype" w:eastAsia="Calibri" w:hAnsi="Palatino Linotype" w:cs="Tahoma"/>
          <w:bCs/>
          <w:i/>
          <w:iCs/>
          <w:color w:val="000000"/>
          <w:lang w:eastAsia="es-ES_tradnl"/>
        </w:rPr>
        <w:t xml:space="preserve"> siguientes: a) idoneidad, la cual es la legitimidad constitucional del principio adoptado como preferente, por resultar ser el adecuado para el logro de un fin constitucionalmente válido o apto para conseguir el objetivo pretendido; b) necesidad,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w:t>
      </w:r>
      <w:r w:rsidRPr="007E522C">
        <w:rPr>
          <w:rFonts w:ascii="Palatino Linotype" w:eastAsia="Calibri" w:hAnsi="Palatino Linotype" w:cs="Tahoma"/>
          <w:bCs/>
          <w:i/>
          <w:iCs/>
          <w:color w:val="000000"/>
          <w:lang w:eastAsia="es-ES_tradnl"/>
        </w:rPr>
        <w:lastRenderedPageBreak/>
        <w:t xml:space="preserve">implicados; y c) el mandato de proporcionalidad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 (Sic)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De lo que se desprende que, cuando dos derechos fundamentales entran en colisión debe resolverse el problema atendiendo a las características y naturaleza del caso concreto, conforme al criterio de proporcionalidad, ponderando los elementos o </w:t>
      </w:r>
      <w:proofErr w:type="spellStart"/>
      <w:r w:rsidRPr="007E522C">
        <w:rPr>
          <w:rFonts w:ascii="Palatino Linotype" w:hAnsi="Palatino Linotype"/>
        </w:rPr>
        <w:t>subprincipios</w:t>
      </w:r>
      <w:proofErr w:type="spellEnd"/>
      <w:r w:rsidRPr="007E522C">
        <w:rPr>
          <w:rFonts w:ascii="Palatino Linotype" w:hAnsi="Palatino Linotype"/>
        </w:rPr>
        <w:t xml:space="preserve"> siguientes: </w:t>
      </w:r>
      <w:r w:rsidRPr="007E522C">
        <w:rPr>
          <w:rFonts w:ascii="Palatino Linotype" w:hAnsi="Palatino Linotype"/>
          <w:b/>
          <w:bCs/>
        </w:rPr>
        <w:t>a) Idoneidad. b) necesidad y c) proporcionalidad:</w:t>
      </w:r>
      <w:r w:rsidRPr="007E522C">
        <w:rPr>
          <w:rFonts w:ascii="Palatino Linotype" w:hAnsi="Palatino Linotype"/>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2"/>
        </w:numPr>
        <w:spacing w:line="360" w:lineRule="auto"/>
        <w:jc w:val="both"/>
        <w:rPr>
          <w:rFonts w:ascii="Palatino Linotype" w:hAnsi="Palatino Linotype"/>
          <w:b/>
          <w:bCs/>
        </w:rPr>
      </w:pPr>
      <w:r w:rsidRPr="007E522C">
        <w:rPr>
          <w:rFonts w:ascii="Palatino Linotype" w:hAnsi="Palatino Linotype"/>
          <w:b/>
          <w:bCs/>
        </w:rPr>
        <w:t>Análisis de la Idoneidad.</w:t>
      </w:r>
    </w:p>
    <w:p w:rsidR="00260829" w:rsidRPr="007E522C" w:rsidRDefault="00260829" w:rsidP="007E522C">
      <w:pPr>
        <w:spacing w:line="360" w:lineRule="auto"/>
        <w:ind w:left="360"/>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Cabe recordar que, sin la intensión de entrar en materia de los derechos que involucran el procedimiento que únicamente compete a la Comisión de Límites del Gobierno del Estado de México, esta autoridad se abocara a la publicidad del </w:t>
      </w:r>
      <w:r w:rsidRPr="007E522C">
        <w:rPr>
          <w:rFonts w:ascii="Palatino Linotype" w:hAnsi="Palatino Linotype"/>
        </w:rPr>
        <w:lastRenderedPageBreak/>
        <w:t xml:space="preserve">expediente por motivo de la existencia de un interés social que motiva y obliga hacerla del dominio público.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Una vez puntualizado lo anterior, la presente solicitud de acceso a la información para este Órgano Garante del Derecho de Acceso a la Información evidencia el ejercicio del derecho de acceso a la información, en contraposición al derecho de sigilo que deben guardar los expedientes que se generan a raíz del procedimiento para la solución de diferendos limítrofes intermunicipales cuando aún no ha quedado firme o no haya concluido.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el municipio de Lerma, en atención a los siguientes argumentos: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Primero, es precedente la publicidad del referido expediente en atención a la proyección pública de las partes, ya que de acuerdo al artículo 115 de la Constitución Política de los Estados Unidos Mexicanos, define al municipio como: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
          <w:i/>
          <w:iCs/>
          <w:color w:val="000000"/>
          <w:lang w:eastAsia="es-ES_tradnl"/>
        </w:rPr>
        <w:lastRenderedPageBreak/>
        <w:t>I. Cada Municipio será gobernado por un Ayuntamiento de elección popular directa, integrado por un Presidente o Presidenta Municipal y el número de regidurías y sindicaturas que la ley determine, de conformidad con el principio de paridad.</w:t>
      </w:r>
      <w:r w:rsidRPr="007E522C">
        <w:rPr>
          <w:rFonts w:ascii="Palatino Linotype" w:eastAsia="Calibri" w:hAnsi="Palatino Linotype" w:cs="Tahoma"/>
          <w:bCs/>
          <w:i/>
          <w:iCs/>
          <w:color w:val="000000"/>
          <w:lang w:eastAsia="es-ES_tradnl"/>
        </w:rPr>
        <w:t xml:space="preserve">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La competencia que esta Constitución otorga al gobierno municipal se ejercerá por el Ayuntamiento de manera exclusiva y no habrá autoridad intermedia alguna entre éste y el gobierno del Estado.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La postulación sólo podrá ser realizada por el mismo partido o por cualquiera de los partidos integrantes de la coalición que lo hubieren postulado, salvo que hayan renunciado o perdido su militancia antes de la mitad de su mandato. …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w:t>
      </w:r>
      <w:r w:rsidRPr="007E522C">
        <w:rPr>
          <w:rFonts w:ascii="Palatino Linotype" w:eastAsia="Calibri" w:hAnsi="Palatino Linotype" w:cs="Tahoma"/>
          <w:bCs/>
          <w:i/>
          <w:iCs/>
          <w:color w:val="000000"/>
          <w:lang w:eastAsia="es-ES_tradnl"/>
        </w:rPr>
        <w:lastRenderedPageBreak/>
        <w:t xml:space="preserve">regulen las materias, procedimientos, funciones y servicios públicos de su competencia y aseguren la participación ciudadana y vecinal.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El objeto de las leyes a que se refiere el párrafo anterior será establecer: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roofErr w:type="gramStart"/>
      <w:r w:rsidRPr="007E522C">
        <w:rPr>
          <w:rFonts w:ascii="Palatino Linotype" w:eastAsia="Calibri" w:hAnsi="Palatino Linotype" w:cs="Tahoma"/>
          <w:bCs/>
          <w:i/>
          <w:iCs/>
          <w:color w:val="000000"/>
          <w:lang w:eastAsia="es-ES_tradnl"/>
        </w:rPr>
        <w:t>…(</w:t>
      </w:r>
      <w:proofErr w:type="gramEnd"/>
      <w:r w:rsidRPr="007E522C">
        <w:rPr>
          <w:rFonts w:ascii="Palatino Linotype" w:eastAsia="Calibri" w:hAnsi="Palatino Linotype" w:cs="Tahoma"/>
          <w:bCs/>
          <w:i/>
          <w:iCs/>
          <w:color w:val="000000"/>
          <w:lang w:eastAsia="es-ES_tradnl"/>
        </w:rPr>
        <w:t xml:space="preserve">Sic) </w:t>
      </w:r>
    </w:p>
    <w:p w:rsidR="00260829" w:rsidRPr="007E522C" w:rsidRDefault="00260829" w:rsidP="007E522C">
      <w:pPr>
        <w:spacing w:line="360" w:lineRule="auto"/>
        <w:ind w:left="567" w:right="539"/>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Lo que se robustece con lo señalado por el artículo 1 de la Ley Municipal del Estado de México, que señala: </w:t>
      </w:r>
    </w:p>
    <w:p w:rsidR="00260829" w:rsidRPr="007E522C" w:rsidRDefault="00260829" w:rsidP="007E522C">
      <w:pPr>
        <w:spacing w:line="360" w:lineRule="auto"/>
        <w:jc w:val="both"/>
        <w:rPr>
          <w:rFonts w:ascii="Palatino Linotype" w:hAnsi="Palatino Linotype"/>
        </w:rPr>
      </w:pP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r w:rsidRPr="007E522C">
        <w:rPr>
          <w:rFonts w:ascii="Palatino Linotype" w:eastAsia="Calibri" w:hAnsi="Palatino Linotype" w:cs="Tahoma"/>
          <w:bCs/>
          <w:i/>
          <w:iCs/>
          <w:color w:val="000000"/>
          <w:lang w:eastAsia="es-ES_tradnl"/>
        </w:rPr>
        <w:t xml:space="preserve">“Artículo 1.- Esta Ley es de interés público y tiene por objeto regular las bases para la integración y organización del territorio, la población, el gobierno y la administración pública municipales. </w:t>
      </w:r>
    </w:p>
    <w:p w:rsidR="00260829" w:rsidRPr="007E522C" w:rsidRDefault="00260829" w:rsidP="007E522C">
      <w:pPr>
        <w:spacing w:line="360" w:lineRule="auto"/>
        <w:ind w:left="567" w:right="539"/>
        <w:jc w:val="both"/>
        <w:rPr>
          <w:rFonts w:ascii="Palatino Linotype" w:eastAsia="Calibri" w:hAnsi="Palatino Linotype" w:cs="Tahoma"/>
          <w:bCs/>
          <w:i/>
          <w:iCs/>
          <w:color w:val="000000"/>
          <w:lang w:eastAsia="es-ES_tradnl"/>
        </w:rPr>
      </w:pPr>
    </w:p>
    <w:p w:rsidR="00260829" w:rsidRPr="007E522C" w:rsidRDefault="00260829" w:rsidP="007E522C">
      <w:pPr>
        <w:spacing w:line="360" w:lineRule="auto"/>
        <w:ind w:left="567" w:right="539"/>
        <w:jc w:val="both"/>
        <w:rPr>
          <w:rFonts w:ascii="Palatino Linotype" w:eastAsia="Calibri" w:hAnsi="Palatino Linotype" w:cs="Tahoma"/>
          <w:b/>
          <w:i/>
          <w:iCs/>
          <w:color w:val="000000"/>
          <w:lang w:eastAsia="es-ES_tradnl"/>
        </w:rPr>
      </w:pPr>
      <w:r w:rsidRPr="007E522C">
        <w:rPr>
          <w:rFonts w:ascii="Palatino Linotype" w:eastAsia="Calibri" w:hAnsi="Palatino Linotype" w:cs="Tahoma"/>
          <w:b/>
          <w:i/>
          <w:iCs/>
          <w:color w:val="000000"/>
          <w:lang w:eastAsia="es-ES_tradnl"/>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w:t>
      </w:r>
      <w:proofErr w:type="gramStart"/>
      <w:r w:rsidRPr="007E522C">
        <w:rPr>
          <w:rFonts w:ascii="Palatino Linotype" w:eastAsia="Calibri" w:hAnsi="Palatino Linotype" w:cs="Tahoma"/>
          <w:b/>
          <w:i/>
          <w:iCs/>
          <w:color w:val="000000"/>
          <w:lang w:eastAsia="es-ES_tradnl"/>
        </w:rPr>
        <w:t>sic</w:t>
      </w:r>
      <w:proofErr w:type="gramEnd"/>
      <w:r w:rsidRPr="007E522C">
        <w:rPr>
          <w:rFonts w:ascii="Palatino Linotype" w:eastAsia="Calibri" w:hAnsi="Palatino Linotype" w:cs="Tahoma"/>
          <w:b/>
          <w:i/>
          <w:iCs/>
          <w:color w:val="000000"/>
          <w:lang w:eastAsia="es-ES_tradnl"/>
        </w:rPr>
        <w:t xml:space="preserv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Por lo que se precisa la existencia de elementos objetivos que permiten demostrar la relevancia del asunto por virtud de tratarse de municipios que son conocidos por todos, es decir, son entes públicos ya que su esencia es realizar actividades de interés público.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En tal contexto, la única forma que tiene la ciudadanía en general de constatar el buen funcionamiento y actuar de la Comisión de Límites del Gobierno del Estado de México como del Ayuntamiento de Teoloyucan, es accediendo a esta actuación de dicha autoridad mediante el derecho de acceso a la información pública, lo que le permitirá valorar el desempeño y actuar en el expediente que contiene relacionado con los conflictos por límites territoriales d</w:t>
      </w:r>
      <w:r w:rsidR="007E522C" w:rsidRPr="007E522C">
        <w:rPr>
          <w:rFonts w:ascii="Palatino Linotype" w:hAnsi="Palatino Linotype"/>
        </w:rPr>
        <w:t xml:space="preserve">el municipio de Teoloyucan con </w:t>
      </w:r>
      <w:r w:rsidRPr="007E522C">
        <w:rPr>
          <w:rFonts w:ascii="Palatino Linotype" w:hAnsi="Palatino Linotype"/>
        </w:rPr>
        <w:t>l</w:t>
      </w:r>
      <w:r w:rsidR="007E522C" w:rsidRPr="007E522C">
        <w:rPr>
          <w:rFonts w:ascii="Palatino Linotype" w:hAnsi="Palatino Linotype"/>
        </w:rPr>
        <w:t>os</w:t>
      </w:r>
      <w:r w:rsidRPr="007E522C">
        <w:rPr>
          <w:rFonts w:ascii="Palatino Linotype" w:hAnsi="Palatino Linotype"/>
        </w:rPr>
        <w:t xml:space="preserve"> municipio</w:t>
      </w:r>
      <w:r w:rsidR="007E522C" w:rsidRPr="007E522C">
        <w:rPr>
          <w:rFonts w:ascii="Palatino Linotype" w:hAnsi="Palatino Linotype"/>
        </w:rPr>
        <w:t>s</w:t>
      </w:r>
      <w:r w:rsidRPr="007E522C">
        <w:rPr>
          <w:rFonts w:ascii="Palatino Linotype" w:hAnsi="Palatino Linotype"/>
        </w:rPr>
        <w:t xml:space="preserve"> de Tepotzotlán</w:t>
      </w:r>
      <w:r w:rsidR="007E522C" w:rsidRPr="007E522C">
        <w:rPr>
          <w:rFonts w:ascii="Palatino Linotype" w:hAnsi="Palatino Linotype"/>
        </w:rPr>
        <w:t>, Cuautitlán y Cuautitlán Izcalli</w:t>
      </w:r>
      <w:r w:rsidRPr="007E522C">
        <w:rPr>
          <w:rFonts w:ascii="Palatino Linotype" w:hAnsi="Palatino Linotype"/>
        </w:rPr>
        <w:t xml:space="preserve">, al verse involucrados entes públicos.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Ante este panorama, es que se considera que existe un inminente interés público de conocer el expediente que contiene el conflicto por límites territoriales del municipio de Teoloyucan con l</w:t>
      </w:r>
      <w:r w:rsidR="007E522C" w:rsidRPr="007E522C">
        <w:rPr>
          <w:rFonts w:ascii="Palatino Linotype" w:hAnsi="Palatino Linotype"/>
        </w:rPr>
        <w:t>os</w:t>
      </w:r>
      <w:r w:rsidRPr="007E522C">
        <w:rPr>
          <w:rFonts w:ascii="Palatino Linotype" w:hAnsi="Palatino Linotype"/>
        </w:rPr>
        <w:t xml:space="preserve"> municipio</w:t>
      </w:r>
      <w:r w:rsidR="007E522C" w:rsidRPr="007E522C">
        <w:rPr>
          <w:rFonts w:ascii="Palatino Linotype" w:hAnsi="Palatino Linotype"/>
        </w:rPr>
        <w:t>s</w:t>
      </w:r>
      <w:r w:rsidRPr="007E522C">
        <w:rPr>
          <w:rFonts w:ascii="Palatino Linotype" w:hAnsi="Palatino Linotype"/>
        </w:rPr>
        <w:t xml:space="preserve"> de </w:t>
      </w:r>
      <w:r w:rsidR="007E522C" w:rsidRPr="007E522C">
        <w:rPr>
          <w:rFonts w:ascii="Palatino Linotype" w:hAnsi="Palatino Linotype"/>
        </w:rPr>
        <w:t>Tepotzotlán, Cuautitlán y Cuautitlán Izcalli</w:t>
      </w:r>
      <w:r w:rsidRPr="007E522C">
        <w:rPr>
          <w:rFonts w:ascii="Palatino Linotype" w:hAnsi="Palatino Linotype"/>
        </w:rPr>
        <w:t xml:space="preserve"> como toda la documentación relacionada, pues el permitir el acceso a la misma fomentaría la transparencia de las actividades de la Comisión de Límites del Gobierno del Estado de México como del Ayuntamiento de Teoloyucan,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w:t>
      </w:r>
      <w:r w:rsidRPr="007E522C">
        <w:rPr>
          <w:rFonts w:ascii="Palatino Linotype" w:hAnsi="Palatino Linotype"/>
        </w:rPr>
        <w:lastRenderedPageBreak/>
        <w:t xml:space="preserve">relevancia, al estar relacionados con el quehacer público y el desempeño de los servidores públicos.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caso de mérito.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2"/>
        </w:numPr>
        <w:spacing w:line="360" w:lineRule="auto"/>
        <w:jc w:val="both"/>
        <w:rPr>
          <w:rFonts w:ascii="Palatino Linotype" w:hAnsi="Palatino Linotype"/>
          <w:b/>
          <w:bCs/>
        </w:rPr>
      </w:pPr>
      <w:r w:rsidRPr="007E522C">
        <w:rPr>
          <w:rFonts w:ascii="Palatino Linotype" w:hAnsi="Palatino Linotype"/>
          <w:b/>
          <w:bCs/>
        </w:rPr>
        <w:t>Análisis de la Necesidad.</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Nuestra carta magna, así como diversos ordenamientos reconocen los principios bajo los cuales deben regirse los procedimientos administrativos, como lo es el principio de publicidad que implica el deber del dictaminador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 este sentido, la Corte Interamericana de Derechos Humanos al resolver el Caso </w:t>
      </w:r>
      <w:r w:rsidRPr="007E522C">
        <w:rPr>
          <w:rFonts w:ascii="Palatino Linotype" w:hAnsi="Palatino Linotype"/>
          <w:i/>
          <w:iCs/>
        </w:rPr>
        <w:t xml:space="preserve">Claude Reyes y otros vs. Chile </w:t>
      </w:r>
      <w:r w:rsidRPr="007E522C">
        <w:rPr>
          <w:rFonts w:ascii="Palatino Linotype" w:hAnsi="Palatino Linotype"/>
        </w:rPr>
        <w:t xml:space="preserve">, estimó que el actuar del Estado debe encontrarse regido por los principios de publicidad y transparencia en la gestión pública haciendo posible que las personas que se encuentran bajo su jurisdicción ejerzan el </w:t>
      </w:r>
      <w:r w:rsidRPr="007E522C">
        <w:rPr>
          <w:rFonts w:ascii="Palatino Linotype" w:hAnsi="Palatino Linotype"/>
        </w:rPr>
        <w:lastRenderedPageBreak/>
        <w:t xml:space="preserve">control democrático de las gestiones estatales, de forma tal que, puedan cuestionar, indagar y considerar si se está dando un adecuado cumplimiento de las funciones públicas.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es necesario para evitar abusos de los funcionarios gubernamentales, promover la rendición de cuentas y la transparencia dentro del Estado y permitir un debate público sólido e informado para asegurar la garantía de contar con recursos efectivos contra tales abusos.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 este sentido, este Instituto observa que también se actualiza el principio de necesidad, ya que no existe un medio menos oneroso para lograr el fin constitucionalmente válido, en tanto que el ejercicio del derecho de acceso a la información es la única vía para que cualquier persona acceda al </w:t>
      </w:r>
      <w:proofErr w:type="spellStart"/>
      <w:r w:rsidRPr="007E522C">
        <w:rPr>
          <w:rFonts w:ascii="Palatino Linotype" w:hAnsi="Palatino Linotype"/>
        </w:rPr>
        <w:t>multirreferido</w:t>
      </w:r>
      <w:proofErr w:type="spellEnd"/>
      <w:r w:rsidRPr="007E522C">
        <w:rPr>
          <w:rFonts w:ascii="Palatino Linotype" w:hAnsi="Palatino Linotype"/>
        </w:rPr>
        <w:t xml:space="preserve"> expediente.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La necesidad de hacer pública el multicitado expediente deriva de la trascendencia social al involucrar entes públicos como quedó demostrado.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Así mismo, el acceso a la información al expediente que contiene el conflicto por límites territoriales del municipio </w:t>
      </w:r>
      <w:r w:rsidR="007E522C" w:rsidRPr="007E522C">
        <w:rPr>
          <w:rFonts w:ascii="Palatino Linotype" w:hAnsi="Palatino Linotype"/>
        </w:rPr>
        <w:t xml:space="preserve">de municipio de Teoloyucan con </w:t>
      </w:r>
      <w:r w:rsidRPr="007E522C">
        <w:rPr>
          <w:rFonts w:ascii="Palatino Linotype" w:hAnsi="Palatino Linotype"/>
        </w:rPr>
        <w:t>l</w:t>
      </w:r>
      <w:r w:rsidR="007E522C" w:rsidRPr="007E522C">
        <w:rPr>
          <w:rFonts w:ascii="Palatino Linotype" w:hAnsi="Palatino Linotype"/>
        </w:rPr>
        <w:t>os</w:t>
      </w:r>
      <w:r w:rsidRPr="007E522C">
        <w:rPr>
          <w:rFonts w:ascii="Palatino Linotype" w:hAnsi="Palatino Linotype"/>
        </w:rPr>
        <w:t xml:space="preserve"> municipio</w:t>
      </w:r>
      <w:r w:rsidR="007E522C" w:rsidRPr="007E522C">
        <w:rPr>
          <w:rFonts w:ascii="Palatino Linotype" w:hAnsi="Palatino Linotype"/>
        </w:rPr>
        <w:t>s</w:t>
      </w:r>
      <w:r w:rsidRPr="007E522C">
        <w:rPr>
          <w:rFonts w:ascii="Palatino Linotype" w:hAnsi="Palatino Linotype"/>
        </w:rPr>
        <w:t xml:space="preserve"> de </w:t>
      </w:r>
      <w:r w:rsidR="007E522C" w:rsidRPr="007E522C">
        <w:rPr>
          <w:rFonts w:ascii="Palatino Linotype" w:hAnsi="Palatino Linotype"/>
        </w:rPr>
        <w:t>Tepotzotlán, Cuautitlán y Cuautitlán Izcalli</w:t>
      </w:r>
      <w:r w:rsidRPr="007E522C">
        <w:rPr>
          <w:rFonts w:ascii="Palatino Linotype" w:hAnsi="Palatino Linotype"/>
        </w:rPr>
        <w:t xml:space="preserve"> como toda la documentación relacionada, es una aportación a la rendición de cuentas, que </w:t>
      </w:r>
      <w:r w:rsidRPr="007E522C">
        <w:rPr>
          <w:rFonts w:ascii="Palatino Linotype" w:hAnsi="Palatino Linotype"/>
        </w:rPr>
        <w:lastRenderedPageBreak/>
        <w:t xml:space="preserve">evidencia el actuar de la autoridad encarga del asunto como del Ayuntamiento de Teoloyucan en términos de su competencia y atribuciones.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2"/>
        </w:numPr>
        <w:spacing w:line="360" w:lineRule="auto"/>
        <w:jc w:val="both"/>
        <w:rPr>
          <w:rFonts w:ascii="Palatino Linotype" w:hAnsi="Palatino Linotype"/>
          <w:b/>
          <w:bCs/>
        </w:rPr>
      </w:pPr>
      <w:r w:rsidRPr="007E522C">
        <w:rPr>
          <w:rFonts w:ascii="Palatino Linotype" w:hAnsi="Palatino Linotype"/>
          <w:b/>
          <w:bCs/>
        </w:rPr>
        <w:t xml:space="preserve">Análisis de la Proporcionalidad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Entonces es posible advertir un margen de beneficio mayor al favorecer el derecho de acceso a la información, respecto de la secrecía al expediente que contiene el conflicto de límites territoriales multicitado, pues favorece la rendición de cuentas a los ciudadanos, de manera que puedan valorar el desempeño del Ayuntamiento de Teoloyucan como de la Comisión de Límites del Gobierno del Estado de México y fortalece el escrutinio ciudadano sobre sus actividades sustantivas. </w:t>
      </w:r>
    </w:p>
    <w:p w:rsidR="00260829" w:rsidRPr="007E522C" w:rsidRDefault="00260829" w:rsidP="007E522C">
      <w:pPr>
        <w:spacing w:line="360" w:lineRule="auto"/>
        <w:jc w:val="both"/>
        <w:rPr>
          <w:rFonts w:ascii="Palatino Linotype" w:hAnsi="Palatino Linotype"/>
        </w:rPr>
      </w:pP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t xml:space="preserve">De tal suerte, que la intervención que subsume este ejercicio de ponderación apunta a la obtención de mayores efectos positivos para la sociedad y una afectación menor en el bien Jurídico de secrecía al expediente tomada por el Sujeto Obligado, favoreciendo el control ciudadano. </w:t>
      </w:r>
    </w:p>
    <w:p w:rsidR="00260829" w:rsidRPr="007E522C" w:rsidRDefault="00260829" w:rsidP="005A7F80">
      <w:pPr>
        <w:pStyle w:val="Prrafodelista"/>
        <w:numPr>
          <w:ilvl w:val="0"/>
          <w:numId w:val="1"/>
        </w:numPr>
        <w:spacing w:line="360" w:lineRule="auto"/>
        <w:ind w:left="0" w:right="34" w:firstLine="0"/>
        <w:jc w:val="both"/>
        <w:rPr>
          <w:rFonts w:ascii="Palatino Linotype" w:hAnsi="Palatino Linotype"/>
        </w:rPr>
      </w:pPr>
      <w:r w:rsidRPr="007E522C">
        <w:rPr>
          <w:rFonts w:ascii="Palatino Linotype" w:hAnsi="Palatino Linotype"/>
        </w:rPr>
        <w:lastRenderedPageBreak/>
        <w:t xml:space="preserve">En conclusión, la información requerida no fue debidamente reservada por el Sujeto Obligado al no haber entregado acuerdo de clasificación de información como reservada y en adición, dejó de atender el requerimiento de información adicional por el cual este instituto, le solicitó elementos novedosos; bajo estas circunstancias, este Organismo Garante en la materia de transparencia, identificó la necesidad de realizar la prueba de daño y la prueba de interés público, para determinar la naturaleza de la información y concluyó que la misma es susceptible de ser entregada en ejercicio del derecho de acceso a la información pública, pues si bien encuadra en algunas de las excepciones a la publicidad de la información establecida en la Ley General de Transparencia y Acceso a la Información Pública, replicada en el artículo 140 de la ley local, al no pasar de manera plena la prueba de daño y además tratarse de información relacionada con motivos de interés público acreditado así a través de la prueba de interés público, se considera procedente dar publicidad a la información, pues su difusión contribuirá tanto a garantizar el ejercicio de acceso a la información, como a favorecer la rendición de cuentas a los ciudadanos, de manera que puedan valorar el desempeño del Ayuntamiento de Teoloyucan como de la Comisión de Límites del Gobierno del Estado de México, fortaleciendo el escrutinio ciudadano sobre sus actividades sustantivas, cumpliendo así con los ideales planteados en los objetivos previstos en el artículo 2 de la Ley de Transparencia y Acceso a la información Pública del estado de México y Municipios. </w:t>
      </w:r>
    </w:p>
    <w:p w:rsidR="00260829" w:rsidRPr="007E522C" w:rsidRDefault="00260829" w:rsidP="007E522C">
      <w:pPr>
        <w:spacing w:line="360" w:lineRule="auto"/>
        <w:jc w:val="both"/>
        <w:rPr>
          <w:rFonts w:ascii="Palatino Linotype" w:hAnsi="Palatino Linotype"/>
        </w:rPr>
      </w:pPr>
    </w:p>
    <w:p w:rsidR="00B77E1D" w:rsidRPr="003C01BB" w:rsidRDefault="00260829" w:rsidP="005A7F80">
      <w:pPr>
        <w:pStyle w:val="Prrafodelista"/>
        <w:numPr>
          <w:ilvl w:val="0"/>
          <w:numId w:val="1"/>
        </w:numPr>
        <w:spacing w:line="360" w:lineRule="auto"/>
        <w:ind w:left="0" w:right="34" w:firstLine="0"/>
        <w:jc w:val="both"/>
        <w:rPr>
          <w:rFonts w:ascii="Palatino Linotype" w:hAnsi="Palatino Linotype"/>
          <w:lang w:val="es-ES"/>
        </w:rPr>
      </w:pPr>
      <w:r w:rsidRPr="003C01BB">
        <w:rPr>
          <w:rFonts w:ascii="Palatino Linotype" w:hAnsi="Palatino Linotype"/>
        </w:rPr>
        <w:t xml:space="preserve">Razones por la cuales, resulta improcedente tener por acreditar la información en carácter de reservada en el presente caso en particular, por los motivos y fundamentos expuestos en el presente considerando; por consiguiente, lo dable es ordenar el expediente completo en el formato que se haya generado, de </w:t>
      </w:r>
      <w:r w:rsidRPr="003C01BB">
        <w:rPr>
          <w:rFonts w:ascii="Palatino Linotype" w:hAnsi="Palatino Linotype"/>
        </w:rPr>
        <w:lastRenderedPageBreak/>
        <w:t xml:space="preserve">todo lo relacionado con el diferendo limítrofe del municipio de Teoloyucan con el municipio de </w:t>
      </w:r>
      <w:r w:rsidR="007E522C" w:rsidRPr="003C01BB">
        <w:rPr>
          <w:rFonts w:ascii="Palatino Linotype" w:hAnsi="Palatino Linotype"/>
        </w:rPr>
        <w:t>Tepotzotlán, Cuautitlán y Cuautitlán Izcalli</w:t>
      </w:r>
      <w:r w:rsidR="003C01BB">
        <w:rPr>
          <w:rFonts w:ascii="Palatino Linotype" w:hAnsi="Palatino Linotype"/>
        </w:rPr>
        <w:t>.</w:t>
      </w:r>
    </w:p>
    <w:p w:rsidR="003C01BB" w:rsidRPr="003C01BB" w:rsidRDefault="003C01BB" w:rsidP="003C01BB">
      <w:pPr>
        <w:pStyle w:val="Prrafodelista"/>
        <w:rPr>
          <w:rFonts w:ascii="Palatino Linotype" w:hAnsi="Palatino Linotype"/>
          <w:lang w:val="es-ES"/>
        </w:rPr>
      </w:pPr>
    </w:p>
    <w:p w:rsidR="003C01BB" w:rsidRPr="003C01BB" w:rsidRDefault="003C01BB" w:rsidP="003C01BB">
      <w:pPr>
        <w:pStyle w:val="Prrafodelista"/>
        <w:spacing w:line="360" w:lineRule="auto"/>
        <w:ind w:left="0" w:right="34"/>
        <w:jc w:val="both"/>
        <w:rPr>
          <w:rFonts w:ascii="Palatino Linotype" w:hAnsi="Palatino Linotype"/>
          <w:lang w:val="es-ES"/>
        </w:rPr>
      </w:pPr>
    </w:p>
    <w:p w:rsidR="00052F6E" w:rsidRDefault="00052F6E" w:rsidP="00052F6E">
      <w:pPr>
        <w:pStyle w:val="Ttulo2"/>
        <w:rPr>
          <w:rFonts w:ascii="Palatino Linotype" w:hAnsi="Palatino Linotype"/>
          <w:b/>
          <w:color w:val="auto"/>
          <w:sz w:val="24"/>
        </w:rPr>
      </w:pPr>
      <w:bookmarkStart w:id="153" w:name="_Toc82611047"/>
      <w:bookmarkStart w:id="154" w:name="_Toc83921798"/>
      <w:r>
        <w:rPr>
          <w:rFonts w:ascii="Palatino Linotype" w:hAnsi="Palatino Linotype"/>
          <w:b/>
          <w:color w:val="auto"/>
          <w:sz w:val="24"/>
        </w:rPr>
        <w:t>QUINT</w:t>
      </w:r>
      <w:r w:rsidRPr="00DA7DC1">
        <w:rPr>
          <w:rFonts w:ascii="Palatino Linotype" w:hAnsi="Palatino Linotype"/>
          <w:b/>
          <w:color w:val="auto"/>
          <w:sz w:val="24"/>
        </w:rPr>
        <w:t>O. De la versión pública</w:t>
      </w:r>
      <w:bookmarkEnd w:id="153"/>
      <w:bookmarkEnd w:id="154"/>
    </w:p>
    <w:p w:rsidR="00052F6E" w:rsidRPr="00993610" w:rsidRDefault="00052F6E" w:rsidP="00052F6E">
      <w:pPr>
        <w:rPr>
          <w:lang w:val="es-MX" w:eastAsia="en-US"/>
        </w:rPr>
      </w:pPr>
    </w:p>
    <w:p w:rsidR="00052F6E" w:rsidRPr="00CB2ECA" w:rsidRDefault="00052F6E" w:rsidP="005A7F80">
      <w:pPr>
        <w:pStyle w:val="Prrafodelista"/>
        <w:numPr>
          <w:ilvl w:val="0"/>
          <w:numId w:val="1"/>
        </w:numPr>
        <w:spacing w:after="160" w:line="360" w:lineRule="auto"/>
        <w:ind w:left="0" w:firstLine="0"/>
        <w:jc w:val="both"/>
        <w:rPr>
          <w:rFonts w:ascii="Palatino Linotype" w:hAnsi="Palatino Linotype"/>
        </w:rPr>
      </w:pPr>
      <w:r w:rsidRPr="00CB2ECA">
        <w:rPr>
          <w:rFonts w:ascii="Palatino Linotype" w:hAnsi="Palatino Linotype"/>
        </w:rPr>
        <w:t xml:space="preserve">Debe destacarse </w:t>
      </w:r>
      <w:r>
        <w:rPr>
          <w:rFonts w:ascii="Palatino Linotype" w:hAnsi="Palatino Linotype"/>
        </w:rPr>
        <w:t xml:space="preserve">que la información que se ha tenido a bien ordenar, dada su propia y especial naturaleza, </w:t>
      </w:r>
      <w:r w:rsidR="00EB407B" w:rsidRPr="003C01BB">
        <w:rPr>
          <w:rFonts w:ascii="Palatino Linotype" w:hAnsi="Palatino Linotype"/>
        </w:rPr>
        <w:t xml:space="preserve">eventualmente </w:t>
      </w:r>
      <w:r>
        <w:rPr>
          <w:rFonts w:ascii="Palatino Linotype" w:hAnsi="Palatino Linotype"/>
        </w:rPr>
        <w:t xml:space="preserve">puede contener datos personales susceptibles de ser protegidos mediante una versión pública, la cual deberá estar soportada por el Acta del Comité de Transparencia que se emita para tal efecto, debiéndola poner a disposición del hoy </w:t>
      </w:r>
      <w:r>
        <w:rPr>
          <w:rFonts w:ascii="Palatino Linotype" w:hAnsi="Palatino Linotype"/>
          <w:b/>
        </w:rPr>
        <w:t>RECURRENTE</w:t>
      </w:r>
      <w:r w:rsidRPr="00CB2ECA">
        <w:rPr>
          <w:rFonts w:ascii="Palatino Linotype" w:hAnsi="Palatino Linotype"/>
        </w:rPr>
        <w:t>, por lo que pudiera actualizar la hipótesis jurídica contenida en el artículo 140 fracción I de la Ley de Transparencia y Accesos a la Información Pública del Estado de México y Mu</w:t>
      </w:r>
      <w:r>
        <w:rPr>
          <w:rFonts w:ascii="Palatino Linotype" w:hAnsi="Palatino Linotype"/>
        </w:rPr>
        <w:t>nicipios, por comprometer la seguridad pública.</w:t>
      </w:r>
    </w:p>
    <w:p w:rsidR="00052F6E" w:rsidRPr="00CB2ECA" w:rsidRDefault="00052F6E" w:rsidP="00052F6E">
      <w:pPr>
        <w:pStyle w:val="Prrafodelista"/>
        <w:spacing w:line="360" w:lineRule="auto"/>
        <w:ind w:left="0"/>
        <w:jc w:val="both"/>
        <w:rPr>
          <w:rFonts w:ascii="Palatino Linotype" w:hAnsi="Palatino Linotype"/>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3"/>
      </w:r>
      <w:r w:rsidRPr="008C0982">
        <w:rPr>
          <w:rFonts w:ascii="Palatino Linotype" w:eastAsia="MS Gothic" w:hAnsi="Palatino Linotype" w:cs="Times New Roman"/>
          <w:szCs w:val="26"/>
        </w:rPr>
        <w:t xml:space="preserve"> aunque cualquier límite o restricción, </w:t>
      </w:r>
      <w:r w:rsidRPr="008C098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4"/>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Default="00052F6E" w:rsidP="005A7F80">
      <w:pPr>
        <w:pStyle w:val="Prrafodelista"/>
        <w:numPr>
          <w:ilvl w:val="0"/>
          <w:numId w:val="6"/>
        </w:numPr>
        <w:tabs>
          <w:tab w:val="left" w:pos="142"/>
          <w:tab w:val="left" w:pos="284"/>
          <w:tab w:val="left" w:pos="426"/>
        </w:tabs>
        <w:spacing w:line="360" w:lineRule="auto"/>
        <w:jc w:val="both"/>
        <w:outlineLvl w:val="2"/>
        <w:rPr>
          <w:rFonts w:ascii="Palatino Linotype" w:hAnsi="Palatino Linotype" w:cs="Arial"/>
          <w:b/>
        </w:rPr>
      </w:pPr>
      <w:bookmarkStart w:id="155" w:name="_Toc51863315"/>
      <w:bookmarkStart w:id="156" w:name="_Toc52444649"/>
      <w:bookmarkStart w:id="157" w:name="_Toc57154368"/>
      <w:bookmarkStart w:id="158" w:name="_Toc65170174"/>
      <w:bookmarkStart w:id="159" w:name="_Toc66371800"/>
      <w:bookmarkStart w:id="160" w:name="_Toc67584835"/>
      <w:bookmarkStart w:id="161" w:name="_Toc70070911"/>
      <w:bookmarkStart w:id="162" w:name="_Toc70593358"/>
      <w:bookmarkStart w:id="163" w:name="_Toc71290717"/>
      <w:bookmarkStart w:id="164" w:name="_Toc71291223"/>
      <w:bookmarkStart w:id="165" w:name="_Toc71674122"/>
      <w:bookmarkStart w:id="166" w:name="_Toc82611048"/>
      <w:bookmarkStart w:id="167" w:name="_Toc83921799"/>
      <w:r w:rsidRPr="008C0982">
        <w:rPr>
          <w:rFonts w:ascii="Palatino Linotype" w:hAnsi="Palatino Linotype" w:cs="Arial"/>
          <w:b/>
        </w:rPr>
        <w:t>Requisitos previos.</w:t>
      </w:r>
      <w:bookmarkEnd w:id="155"/>
      <w:bookmarkEnd w:id="156"/>
      <w:bookmarkEnd w:id="157"/>
      <w:bookmarkEnd w:id="158"/>
      <w:bookmarkEnd w:id="159"/>
      <w:bookmarkEnd w:id="160"/>
      <w:bookmarkEnd w:id="161"/>
      <w:bookmarkEnd w:id="162"/>
      <w:bookmarkEnd w:id="163"/>
      <w:bookmarkEnd w:id="164"/>
      <w:bookmarkEnd w:id="165"/>
      <w:bookmarkEnd w:id="166"/>
      <w:bookmarkEnd w:id="167"/>
    </w:p>
    <w:p w:rsidR="00052F6E" w:rsidRPr="008C0982" w:rsidRDefault="00052F6E" w:rsidP="00052F6E">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8C0982">
        <w:rPr>
          <w:rFonts w:ascii="Palatino Linotype" w:eastAsia="MS Gothic" w:hAnsi="Palatino Linotype" w:cs="Times New Roman"/>
          <w:szCs w:val="26"/>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DC1963"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52F6E" w:rsidRPr="00DC1963" w:rsidRDefault="00052F6E" w:rsidP="00052F6E">
      <w:pPr>
        <w:pStyle w:val="Prrafodelista"/>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Default="00052F6E" w:rsidP="005A7F80">
      <w:pPr>
        <w:pStyle w:val="Prrafodelista"/>
        <w:numPr>
          <w:ilvl w:val="0"/>
          <w:numId w:val="6"/>
        </w:numPr>
        <w:tabs>
          <w:tab w:val="left" w:pos="142"/>
          <w:tab w:val="left" w:pos="284"/>
          <w:tab w:val="left" w:pos="426"/>
        </w:tabs>
        <w:spacing w:line="360" w:lineRule="auto"/>
        <w:jc w:val="both"/>
        <w:outlineLvl w:val="2"/>
        <w:rPr>
          <w:rFonts w:ascii="Palatino Linotype" w:hAnsi="Palatino Linotype" w:cs="Arial"/>
          <w:b/>
        </w:rPr>
      </w:pPr>
      <w:bookmarkStart w:id="168" w:name="_Toc51863316"/>
      <w:bookmarkStart w:id="169" w:name="_Toc52444650"/>
      <w:bookmarkStart w:id="170" w:name="_Toc57154369"/>
      <w:bookmarkStart w:id="171" w:name="_Toc65170175"/>
      <w:bookmarkStart w:id="172" w:name="_Toc66371801"/>
      <w:bookmarkStart w:id="173" w:name="_Toc67584836"/>
      <w:bookmarkStart w:id="174" w:name="_Toc70070912"/>
      <w:bookmarkStart w:id="175" w:name="_Toc70593359"/>
      <w:bookmarkStart w:id="176" w:name="_Toc71290718"/>
      <w:bookmarkStart w:id="177" w:name="_Toc71291224"/>
      <w:bookmarkStart w:id="178" w:name="_Toc71674123"/>
      <w:bookmarkStart w:id="179" w:name="_Toc82611049"/>
      <w:bookmarkStart w:id="180" w:name="_Toc83921800"/>
      <w:r w:rsidRPr="008C0982">
        <w:rPr>
          <w:rFonts w:ascii="Palatino Linotype" w:hAnsi="Palatino Linotype" w:cs="Arial"/>
          <w:b/>
        </w:rPr>
        <w:t>Supuestos de clasificación.</w:t>
      </w:r>
      <w:bookmarkEnd w:id="168"/>
      <w:bookmarkEnd w:id="169"/>
      <w:bookmarkEnd w:id="170"/>
      <w:bookmarkEnd w:id="171"/>
      <w:bookmarkEnd w:id="172"/>
      <w:bookmarkEnd w:id="173"/>
      <w:bookmarkEnd w:id="174"/>
      <w:bookmarkEnd w:id="175"/>
      <w:bookmarkEnd w:id="176"/>
      <w:bookmarkEnd w:id="177"/>
      <w:bookmarkEnd w:id="178"/>
      <w:bookmarkEnd w:id="179"/>
      <w:bookmarkEnd w:id="180"/>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Las disposiciones constitucionales y legales en la materia establecen los dos supuestos generales para clasificar la información: por reserva y por confidencialidad.</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052F6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052F6E" w:rsidRPr="008C0982" w:rsidRDefault="00052F6E" w:rsidP="00052F6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52F6E" w:rsidRPr="008C0982" w:rsidRDefault="00052F6E" w:rsidP="00052F6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052F6E" w:rsidRPr="008C0982" w:rsidRDefault="00052F6E" w:rsidP="00052F6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052F6E" w:rsidRPr="008C0982" w:rsidRDefault="00052F6E" w:rsidP="00052F6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977884"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2F6E" w:rsidRPr="008C0982" w:rsidRDefault="00052F6E" w:rsidP="00052F6E">
      <w:pPr>
        <w:pStyle w:val="Prrafodelista"/>
        <w:tabs>
          <w:tab w:val="left" w:pos="142"/>
          <w:tab w:val="left" w:pos="284"/>
          <w:tab w:val="left" w:pos="426"/>
        </w:tabs>
        <w:spacing w:after="160" w:line="360" w:lineRule="auto"/>
        <w:ind w:left="0"/>
        <w:jc w:val="both"/>
        <w:rPr>
          <w:rFonts w:ascii="Palatino Linotype" w:hAnsi="Palatino Linotype" w:cs="Arial"/>
        </w:rPr>
      </w:pPr>
    </w:p>
    <w:p w:rsidR="00052F6E" w:rsidRPr="006C41B7"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052F6E" w:rsidRPr="006C41B7" w:rsidRDefault="00052F6E" w:rsidP="00052F6E">
      <w:pPr>
        <w:pStyle w:val="Prrafodelista"/>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lastRenderedPageBreak/>
        <w:t>IV. Las partes o secciones reservadas o confidenciales, en su caso;</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052F6E" w:rsidRPr="008C0982"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052F6E" w:rsidRDefault="00052F6E" w:rsidP="00052F6E">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EB407B" w:rsidRPr="008C0982" w:rsidRDefault="00EB407B" w:rsidP="00052F6E">
      <w:pPr>
        <w:pStyle w:val="Prrafodelista"/>
        <w:tabs>
          <w:tab w:val="left" w:pos="142"/>
          <w:tab w:val="left" w:pos="284"/>
          <w:tab w:val="left" w:pos="426"/>
        </w:tabs>
        <w:spacing w:line="276" w:lineRule="auto"/>
        <w:ind w:left="567" w:right="567"/>
        <w:jc w:val="both"/>
        <w:rPr>
          <w:rFonts w:ascii="Palatino Linotype" w:hAnsi="Palatino Linotype" w:cs="Arial"/>
          <w:i/>
        </w:rPr>
      </w:pPr>
    </w:p>
    <w:p w:rsidR="00052F6E" w:rsidRPr="008C0982" w:rsidRDefault="00052F6E" w:rsidP="00052F6E">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MX" w:eastAsia="es-MX"/>
        </w:rPr>
        <w:drawing>
          <wp:inline distT="0" distB="0" distL="0" distR="0" wp14:anchorId="130D4DD0" wp14:editId="006EE3F5">
            <wp:extent cx="4607626" cy="3598224"/>
            <wp:effectExtent l="57150" t="57150" r="116840" b="116840"/>
            <wp:docPr id="16" name="Imagen 1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372" cy="35386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977884"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rsidR="00052F6E" w:rsidRPr="008C0982" w:rsidRDefault="00052F6E" w:rsidP="00052F6E">
      <w:pPr>
        <w:pStyle w:val="Prrafodelista"/>
        <w:tabs>
          <w:tab w:val="left" w:pos="142"/>
          <w:tab w:val="left" w:pos="284"/>
          <w:tab w:val="left" w:pos="426"/>
        </w:tabs>
        <w:spacing w:after="160" w:line="360" w:lineRule="auto"/>
        <w:ind w:left="0"/>
        <w:jc w:val="both"/>
        <w:rPr>
          <w:rFonts w:ascii="Palatino Linotype" w:hAnsi="Palatino Linotype" w:cs="Arial"/>
        </w:rPr>
      </w:pPr>
    </w:p>
    <w:p w:rsidR="00052F6E" w:rsidRPr="008C0982" w:rsidRDefault="00052F6E" w:rsidP="00052F6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81" w:name="_Toc51863317"/>
      <w:bookmarkStart w:id="182" w:name="_Toc52444651"/>
      <w:bookmarkStart w:id="183" w:name="_Toc57154370"/>
      <w:bookmarkStart w:id="184" w:name="_Toc65170176"/>
      <w:bookmarkStart w:id="185" w:name="_Toc66371802"/>
      <w:bookmarkStart w:id="186" w:name="_Toc67584837"/>
      <w:bookmarkStart w:id="187" w:name="_Toc70070913"/>
      <w:bookmarkStart w:id="188" w:name="_Toc70593360"/>
      <w:bookmarkStart w:id="189" w:name="_Toc71290719"/>
      <w:bookmarkStart w:id="190" w:name="_Toc71291225"/>
      <w:bookmarkStart w:id="191" w:name="_Toc71674124"/>
      <w:bookmarkStart w:id="192" w:name="_Toc82611050"/>
      <w:bookmarkStart w:id="193" w:name="_Toc83921801"/>
      <w:r w:rsidRPr="008C0982">
        <w:rPr>
          <w:rFonts w:ascii="Palatino Linotype" w:hAnsi="Palatino Linotype" w:cs="Arial"/>
          <w:b/>
        </w:rPr>
        <w:t>III. La intervención del Comité de Transparencia.</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EB407B"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w:t>
      </w:r>
      <w:r w:rsidRPr="008C0982">
        <w:rPr>
          <w:rFonts w:ascii="Palatino Linotype" w:eastAsia="MS Gothic" w:hAnsi="Palatino Linotype" w:cs="Times New Roman"/>
          <w:szCs w:val="26"/>
        </w:rPr>
        <w:lastRenderedPageBreak/>
        <w:t>no debe de existir dependencia jerárquica entre sus integrantes. Cualquier otra composición del Comité puede generar vicios de legalidad de origen en el acto que restringe un derecho humano.</w:t>
      </w:r>
    </w:p>
    <w:p w:rsidR="00EB407B" w:rsidRPr="00EB407B" w:rsidRDefault="00EB407B" w:rsidP="00EB407B">
      <w:pPr>
        <w:pStyle w:val="Prrafodelista"/>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Default="00052F6E" w:rsidP="005A7F80">
      <w:pPr>
        <w:pStyle w:val="Prrafodelista"/>
        <w:numPr>
          <w:ilvl w:val="0"/>
          <w:numId w:val="5"/>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052F6E" w:rsidRPr="008C0982" w:rsidRDefault="00052F6E" w:rsidP="00052F6E">
      <w:pPr>
        <w:pStyle w:val="Prrafodelista"/>
        <w:tabs>
          <w:tab w:val="left" w:pos="142"/>
          <w:tab w:val="left" w:pos="284"/>
          <w:tab w:val="left" w:pos="426"/>
        </w:tabs>
        <w:spacing w:line="360" w:lineRule="auto"/>
        <w:jc w:val="both"/>
        <w:rPr>
          <w:rFonts w:ascii="Palatino Linotype" w:hAnsi="Palatino Linotype" w:cs="Arial"/>
          <w:b/>
        </w:rPr>
      </w:pPr>
    </w:p>
    <w:p w:rsidR="00052F6E" w:rsidRPr="00103D15"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052F6E" w:rsidRPr="008C0982" w:rsidRDefault="00052F6E" w:rsidP="00052F6E">
      <w:pPr>
        <w:pStyle w:val="Prrafodelista"/>
        <w:tabs>
          <w:tab w:val="left" w:pos="142"/>
          <w:tab w:val="left" w:pos="284"/>
          <w:tab w:val="left" w:pos="426"/>
        </w:tabs>
        <w:spacing w:after="160" w:line="360" w:lineRule="auto"/>
        <w:ind w:left="0"/>
        <w:jc w:val="both"/>
        <w:rPr>
          <w:rFonts w:ascii="Palatino Linotype" w:hAnsi="Palatino Linotype" w:cs="Arial"/>
        </w:rPr>
      </w:pPr>
    </w:p>
    <w:p w:rsidR="00052F6E" w:rsidRPr="00C5331A"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52F6E" w:rsidRPr="00C5331A" w:rsidRDefault="00052F6E" w:rsidP="00052F6E">
      <w:pPr>
        <w:pStyle w:val="Prrafodelista"/>
        <w:rPr>
          <w:rFonts w:ascii="Palatino Linotype" w:hAnsi="Palatino Linotype" w:cs="Arial"/>
        </w:rPr>
      </w:pPr>
    </w:p>
    <w:p w:rsidR="00052F6E" w:rsidRPr="00EE2A79"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6"/>
      </w:r>
    </w:p>
    <w:p w:rsidR="00052F6E" w:rsidRPr="00EE2A79" w:rsidRDefault="00052F6E" w:rsidP="00052F6E">
      <w:pPr>
        <w:pStyle w:val="Prrafodelista"/>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052F6E">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lastRenderedPageBreak/>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rsidR="00052F6E" w:rsidRPr="008C0982"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rsidR="00052F6E" w:rsidRPr="008C0982"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052F6E" w:rsidRPr="008C0982"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8C0982">
        <w:rPr>
          <w:rFonts w:ascii="Palatino Linotype" w:hAnsi="Palatino Linotype" w:cs="Arial"/>
          <w:i/>
          <w:color w:val="000000"/>
        </w:rPr>
        <w:t>Esponda</w:t>
      </w:r>
      <w:proofErr w:type="spellEnd"/>
      <w:r w:rsidRPr="008C0982">
        <w:rPr>
          <w:rFonts w:ascii="Palatino Linotype" w:hAnsi="Palatino Linotype" w:cs="Arial"/>
          <w:i/>
          <w:color w:val="000000"/>
        </w:rPr>
        <w:t xml:space="preserve"> Rincón.</w:t>
      </w:r>
    </w:p>
    <w:p w:rsidR="00052F6E" w:rsidRPr="008C0982"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333/88. </w:t>
      </w:r>
      <w:proofErr w:type="spellStart"/>
      <w:r w:rsidRPr="008C0982">
        <w:rPr>
          <w:rFonts w:ascii="Palatino Linotype" w:hAnsi="Palatino Linotype" w:cs="Arial"/>
          <w:i/>
          <w:color w:val="000000"/>
        </w:rPr>
        <w:t>Adilia</w:t>
      </w:r>
      <w:proofErr w:type="spellEnd"/>
      <w:r w:rsidRPr="008C0982">
        <w:rPr>
          <w:rFonts w:ascii="Palatino Linotype" w:hAnsi="Palatino Linotype" w:cs="Arial"/>
          <w:i/>
          <w:color w:val="000000"/>
        </w:rPr>
        <w:t xml:space="preserve"> Romero. 26 de octubre de 1988. Unanimidad de votos. Ponente: Arnoldo Nájera Virgen. Secretario: Enrique Crispín Campos Ramírez.</w:t>
      </w:r>
    </w:p>
    <w:p w:rsidR="00052F6E" w:rsidRPr="008C0982"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C0982">
        <w:rPr>
          <w:rFonts w:ascii="Palatino Linotype" w:hAnsi="Palatino Linotype" w:cs="Arial"/>
          <w:i/>
          <w:color w:val="000000"/>
        </w:rPr>
        <w:t>Goyzueta</w:t>
      </w:r>
      <w:proofErr w:type="spellEnd"/>
      <w:r w:rsidRPr="008C0982">
        <w:rPr>
          <w:rFonts w:ascii="Palatino Linotype" w:hAnsi="Palatino Linotype" w:cs="Arial"/>
          <w:i/>
          <w:color w:val="000000"/>
        </w:rPr>
        <w:t>. Secretario: Gonzalo Carrera Molina.</w:t>
      </w:r>
    </w:p>
    <w:p w:rsidR="00052F6E" w:rsidRDefault="00052F6E" w:rsidP="00052F6E">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p>
    <w:p w:rsidR="00052F6E" w:rsidRPr="008C0982" w:rsidRDefault="00052F6E" w:rsidP="00052F6E">
      <w:pPr>
        <w:spacing w:line="360" w:lineRule="auto"/>
        <w:ind w:left="851" w:right="618"/>
        <w:contextualSpacing/>
        <w:jc w:val="both"/>
        <w:rPr>
          <w:rFonts w:ascii="Palatino Linotype" w:hAnsi="Palatino Linotype" w:cs="Arial"/>
          <w:i/>
          <w:color w:val="000000"/>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Así, en un acto de autoridad se cumple con la debida fundamentación cuando se cita el precepto legal aplicable al caso concreto y la debida motivación cuando se </w:t>
      </w:r>
      <w:r w:rsidRPr="008C0982">
        <w:rPr>
          <w:rFonts w:ascii="Palatino Linotype" w:eastAsia="MS Gothic" w:hAnsi="Palatino Linotype" w:cs="Times New Roman"/>
        </w:rPr>
        <w:lastRenderedPageBreak/>
        <w:t>expresan las razones, motivos o circunstancias que tomó en cuenta la autoridad para adecuar el hecho a los fundamentos de derecho.</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8C0982"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7"/>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 xml:space="preserve">Clave Única de Registro de Población (CURP), Registro Federal de Contribuyentes (R.F.C.), clave de Cadenas Originales del Sellos Digitales y los Códigos Bidimensionales, también denominados Códigos QR, son </w:t>
      </w:r>
      <w:r w:rsidRPr="008C0982">
        <w:rPr>
          <w:rFonts w:ascii="Palatino Linotype" w:eastAsia="MS Gothic" w:hAnsi="Palatino Linotype" w:cs="Times New Roman"/>
          <w:lang w:val="es-ES"/>
        </w:rPr>
        <w:lastRenderedPageBreak/>
        <w:t>datos  susceptibles de clasificarse como confidenciales mediante una versión pública que deje a la vista los datos que ofrezcan la información requerida.</w:t>
      </w:r>
    </w:p>
    <w:p w:rsidR="00052F6E" w:rsidRPr="008C0982" w:rsidRDefault="00052F6E" w:rsidP="00052F6E">
      <w:pPr>
        <w:pStyle w:val="Prrafodelista"/>
        <w:tabs>
          <w:tab w:val="left" w:pos="142"/>
          <w:tab w:val="left" w:pos="284"/>
          <w:tab w:val="left" w:pos="426"/>
        </w:tabs>
        <w:spacing w:line="360" w:lineRule="auto"/>
        <w:ind w:left="0"/>
        <w:jc w:val="both"/>
        <w:rPr>
          <w:rFonts w:ascii="Palatino Linotype" w:hAnsi="Palatino Linotype" w:cs="Arial"/>
        </w:rPr>
      </w:pPr>
    </w:p>
    <w:p w:rsidR="00052F6E" w:rsidRPr="006017DD" w:rsidRDefault="00052F6E" w:rsidP="005A7F80">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052F6E" w:rsidRPr="006017DD" w:rsidRDefault="00052F6E" w:rsidP="00052F6E">
      <w:pPr>
        <w:pStyle w:val="Prrafodelista"/>
        <w:rPr>
          <w:rFonts w:ascii="Palatino Linotype" w:hAnsi="Palatino Linotype" w:cs="Arial"/>
        </w:rPr>
      </w:pPr>
    </w:p>
    <w:p w:rsidR="00052F6E" w:rsidRDefault="00052F6E" w:rsidP="005A7F80">
      <w:pPr>
        <w:pStyle w:val="Ttulo2"/>
        <w:numPr>
          <w:ilvl w:val="0"/>
          <w:numId w:val="4"/>
        </w:numPr>
        <w:spacing w:line="259" w:lineRule="auto"/>
        <w:rPr>
          <w:rFonts w:ascii="Palatino Linotype" w:hAnsi="Palatino Linotype"/>
          <w:b/>
          <w:color w:val="000000" w:themeColor="text1"/>
          <w:sz w:val="24"/>
        </w:rPr>
      </w:pPr>
      <w:bookmarkStart w:id="194" w:name="_Toc70082953"/>
      <w:bookmarkStart w:id="195" w:name="_Toc70593361"/>
      <w:bookmarkStart w:id="196" w:name="_Toc71674125"/>
      <w:bookmarkStart w:id="197" w:name="_Toc82611051"/>
      <w:bookmarkStart w:id="198" w:name="_Toc83921802"/>
      <w:r w:rsidRPr="00733123">
        <w:rPr>
          <w:rFonts w:ascii="Palatino Linotype" w:hAnsi="Palatino Linotype"/>
          <w:b/>
          <w:color w:val="000000" w:themeColor="text1"/>
          <w:sz w:val="24"/>
        </w:rPr>
        <w:t>Determinación</w:t>
      </w:r>
      <w:bookmarkEnd w:id="194"/>
      <w:bookmarkEnd w:id="195"/>
      <w:bookmarkEnd w:id="196"/>
      <w:bookmarkEnd w:id="197"/>
      <w:bookmarkEnd w:id="198"/>
    </w:p>
    <w:p w:rsidR="00052F6E" w:rsidRPr="007724FF" w:rsidRDefault="00052F6E" w:rsidP="007724FF">
      <w:pPr>
        <w:spacing w:line="360" w:lineRule="auto"/>
        <w:rPr>
          <w:rFonts w:ascii="Palatino Linotype" w:hAnsi="Palatino Linotype"/>
        </w:rPr>
      </w:pPr>
    </w:p>
    <w:p w:rsidR="009F09BC" w:rsidRPr="007724FF" w:rsidRDefault="00052F6E" w:rsidP="005A7F80">
      <w:pPr>
        <w:pStyle w:val="Prrafodelista"/>
        <w:numPr>
          <w:ilvl w:val="0"/>
          <w:numId w:val="1"/>
        </w:numPr>
        <w:spacing w:line="360" w:lineRule="auto"/>
        <w:ind w:left="0" w:right="34" w:firstLine="0"/>
        <w:jc w:val="both"/>
        <w:rPr>
          <w:rFonts w:ascii="Palatino Linotype" w:hAnsi="Palatino Linotype"/>
          <w:color w:val="000000" w:themeColor="text1"/>
        </w:rPr>
      </w:pPr>
      <w:r>
        <w:rPr>
          <w:rFonts w:ascii="Palatino Linotype" w:hAnsi="Palatino Linotype"/>
        </w:rPr>
        <w:t>C</w:t>
      </w:r>
      <w:r w:rsidR="00826A79" w:rsidRPr="007724FF">
        <w:rPr>
          <w:rFonts w:ascii="Palatino Linotype" w:hAnsi="Palatino Linotype"/>
        </w:rPr>
        <w:t xml:space="preserve">on fundamento en el artículo 186, fracción III, de la Ley de Transparencia y Acceso a la Información Pública del Estado de México y Municipios, resulta procedente  </w:t>
      </w:r>
      <w:r w:rsidR="003023D1">
        <w:rPr>
          <w:rFonts w:ascii="Palatino Linotype" w:hAnsi="Palatino Linotype"/>
          <w:b/>
        </w:rPr>
        <w:t>REVO</w:t>
      </w:r>
      <w:r w:rsidR="00826A79" w:rsidRPr="007724FF">
        <w:rPr>
          <w:rFonts w:ascii="Palatino Linotype" w:hAnsi="Palatino Linotype"/>
          <w:b/>
        </w:rPr>
        <w:t>CAR</w:t>
      </w:r>
      <w:r w:rsidR="00826A79" w:rsidRPr="007724FF">
        <w:rPr>
          <w:rFonts w:ascii="Palatino Linotype" w:hAnsi="Palatino Linotype"/>
        </w:rPr>
        <w:t xml:space="preserve"> las respuestas a las solicitudes de información pública </w:t>
      </w:r>
      <w:r w:rsidR="00EB407B" w:rsidRPr="007724FF">
        <w:rPr>
          <w:rFonts w:ascii="Palatino Linotype" w:hAnsi="Palatino Linotype"/>
          <w:b/>
          <w:bCs/>
          <w:color w:val="000000" w:themeColor="text1"/>
        </w:rPr>
        <w:t xml:space="preserve">00239/TEOLOYU/IP/2021, 00237/TEOLOYU/IP/2021, 00240/TEOLOYU/IP/2021, 00241/TEOLOYU/IP/2021, 00248/TEOLOYU/IP/2021, 00249/TEOLOYU/IP/2021, 00263/TEOLOYU/IP/2021 </w:t>
      </w:r>
      <w:r w:rsidR="00EB407B" w:rsidRPr="00EB407B">
        <w:rPr>
          <w:rFonts w:ascii="Palatino Linotype" w:hAnsi="Palatino Linotype"/>
          <w:bCs/>
          <w:color w:val="000000" w:themeColor="text1"/>
        </w:rPr>
        <w:t>y</w:t>
      </w:r>
      <w:r w:rsidR="00EB407B" w:rsidRPr="007724FF">
        <w:rPr>
          <w:rFonts w:ascii="Palatino Linotype" w:hAnsi="Palatino Linotype"/>
          <w:b/>
          <w:bCs/>
          <w:color w:val="000000" w:themeColor="text1"/>
        </w:rPr>
        <w:t xml:space="preserve"> 00264/TEOLOYU/IP/2021</w:t>
      </w:r>
      <w:r w:rsidR="00826A79" w:rsidRPr="007724FF">
        <w:rPr>
          <w:rFonts w:ascii="Palatino Linotype" w:hAnsi="Palatino Linotype"/>
        </w:rPr>
        <w:t xml:space="preserve">, por resultar parcialmente fundadas las razones o motivos de inconformidad </w:t>
      </w:r>
      <w:r w:rsidR="00CE0D53" w:rsidRPr="007724FF">
        <w:rPr>
          <w:rFonts w:ascii="Palatino Linotype" w:hAnsi="Palatino Linotype"/>
        </w:rPr>
        <w:t>hechos valer por el Recurrente</w:t>
      </w:r>
      <w:r w:rsidR="00826A79" w:rsidRPr="007724FF">
        <w:rPr>
          <w:rFonts w:ascii="Palatino Linotype" w:hAnsi="Palatino Linotype"/>
        </w:rPr>
        <w:t xml:space="preserve">, en términos del Considerando </w:t>
      </w:r>
      <w:r w:rsidR="003023D1">
        <w:rPr>
          <w:rFonts w:ascii="Palatino Linotype" w:hAnsi="Palatino Linotype"/>
        </w:rPr>
        <w:t>Cuarto</w:t>
      </w:r>
      <w:r w:rsidR="00826A79" w:rsidRPr="007724FF">
        <w:rPr>
          <w:rFonts w:ascii="Palatino Linotype" w:hAnsi="Palatino Linotype"/>
        </w:rPr>
        <w:t xml:space="preserve"> de esta Resolución.</w:t>
      </w:r>
    </w:p>
    <w:p w:rsidR="009F09BC" w:rsidRPr="007724FF" w:rsidRDefault="009F09BC" w:rsidP="007724FF">
      <w:pPr>
        <w:spacing w:line="360" w:lineRule="auto"/>
        <w:contextualSpacing/>
        <w:jc w:val="both"/>
        <w:rPr>
          <w:rFonts w:ascii="Palatino Linotype" w:eastAsia="Calibri" w:hAnsi="Palatino Linotype" w:cs="Times New Roman"/>
        </w:rPr>
      </w:pPr>
    </w:p>
    <w:p w:rsidR="00EB407B" w:rsidRPr="00594166" w:rsidRDefault="00EB407B" w:rsidP="005A7F80">
      <w:pPr>
        <w:pStyle w:val="Prrafodelista"/>
        <w:numPr>
          <w:ilvl w:val="0"/>
          <w:numId w:val="1"/>
        </w:numPr>
        <w:spacing w:line="360" w:lineRule="auto"/>
        <w:ind w:left="0" w:right="34" w:firstLine="0"/>
        <w:jc w:val="both"/>
        <w:rPr>
          <w:rFonts w:ascii="Palatino Linotype" w:hAnsi="Palatino Linotype" w:cs="Arial"/>
          <w:color w:val="000000" w:themeColor="text1"/>
        </w:rPr>
      </w:pPr>
      <w:r w:rsidRPr="00EB407B">
        <w:rPr>
          <w:rFonts w:ascii="Palatino Linotype" w:hAnsi="Palatino Linotype"/>
        </w:rPr>
        <w:t>Por</w:t>
      </w:r>
      <w:r w:rsidRPr="00594166">
        <w:rPr>
          <w:rFonts w:ascii="Palatino Linotype" w:hAnsi="Palatino Linotype"/>
          <w:color w:val="000000" w:themeColor="text1"/>
          <w:lang w:eastAsia="es-MX"/>
        </w:rPr>
        <w:t xml:space="preserve"> lo anteriormente expuesto y fundado, este </w:t>
      </w:r>
      <w:r w:rsidRPr="00594166">
        <w:rPr>
          <w:rFonts w:ascii="Palatino Linotype" w:hAnsi="Palatino Linotype"/>
          <w:b/>
          <w:bCs/>
          <w:color w:val="000000" w:themeColor="text1"/>
          <w:lang w:eastAsia="es-MX"/>
        </w:rPr>
        <w:t>ÓRGANO GARANTE</w:t>
      </w:r>
      <w:r w:rsidRPr="00594166">
        <w:rPr>
          <w:rFonts w:ascii="Palatino Linotype" w:hAnsi="Palatino Linotype"/>
          <w:color w:val="000000" w:themeColor="text1"/>
          <w:lang w:eastAsia="es-MX"/>
        </w:rPr>
        <w:t xml:space="preserve"> emite los siguientes:</w:t>
      </w:r>
    </w:p>
    <w:p w:rsidR="009F09BC" w:rsidRPr="007724FF" w:rsidRDefault="009F09BC" w:rsidP="007724FF">
      <w:pPr>
        <w:spacing w:line="360" w:lineRule="auto"/>
        <w:contextualSpacing/>
        <w:jc w:val="both"/>
        <w:rPr>
          <w:rFonts w:ascii="Palatino Linotype" w:eastAsia="Calibri" w:hAnsi="Palatino Linotype" w:cs="Times New Roman"/>
        </w:rPr>
      </w:pPr>
    </w:p>
    <w:p w:rsidR="009F09BC" w:rsidRPr="007724FF" w:rsidRDefault="009F09BC" w:rsidP="007724FF">
      <w:pPr>
        <w:spacing w:line="360" w:lineRule="auto"/>
        <w:contextualSpacing/>
        <w:jc w:val="both"/>
        <w:rPr>
          <w:rFonts w:ascii="Palatino Linotype" w:eastAsia="Calibri" w:hAnsi="Palatino Linotype" w:cs="Times New Roman"/>
        </w:rPr>
      </w:pPr>
    </w:p>
    <w:p w:rsidR="009F09BC" w:rsidRPr="007724FF" w:rsidRDefault="009F09BC" w:rsidP="007724FF">
      <w:pPr>
        <w:spacing w:line="360" w:lineRule="auto"/>
        <w:contextualSpacing/>
        <w:jc w:val="both"/>
        <w:rPr>
          <w:rFonts w:ascii="Palatino Linotype" w:eastAsia="Calibri" w:hAnsi="Palatino Linotype" w:cs="Times New Roman"/>
        </w:rPr>
      </w:pPr>
    </w:p>
    <w:p w:rsidR="009F09BC" w:rsidRDefault="009F09BC" w:rsidP="00AE4108">
      <w:pPr>
        <w:pStyle w:val="Ttulo1"/>
        <w:spacing w:before="0" w:line="360" w:lineRule="auto"/>
        <w:jc w:val="center"/>
        <w:rPr>
          <w:rFonts w:ascii="Palatino Linotype" w:eastAsia="Calibri" w:hAnsi="Palatino Linotype"/>
          <w:b/>
          <w:color w:val="000000" w:themeColor="text1"/>
          <w:sz w:val="24"/>
          <w:szCs w:val="24"/>
          <w:lang w:val="es-ES"/>
        </w:rPr>
      </w:pPr>
      <w:bookmarkStart w:id="199" w:name="_Toc504500693"/>
      <w:bookmarkStart w:id="200" w:name="_Toc534742545"/>
      <w:bookmarkStart w:id="201" w:name="_Toc2248738"/>
      <w:bookmarkStart w:id="202" w:name="_Toc34819440"/>
      <w:bookmarkStart w:id="203" w:name="_Toc51259595"/>
      <w:bookmarkStart w:id="204" w:name="_Toc83921803"/>
      <w:r w:rsidRPr="007724FF">
        <w:rPr>
          <w:rFonts w:ascii="Palatino Linotype" w:eastAsia="Calibri" w:hAnsi="Palatino Linotype"/>
          <w:b/>
          <w:color w:val="000000" w:themeColor="text1"/>
          <w:sz w:val="24"/>
          <w:szCs w:val="24"/>
          <w:lang w:val="es-ES"/>
        </w:rPr>
        <w:lastRenderedPageBreak/>
        <w:t>R E S O L U T I V O S</w:t>
      </w:r>
      <w:bookmarkEnd w:id="199"/>
      <w:bookmarkEnd w:id="200"/>
      <w:bookmarkEnd w:id="201"/>
      <w:bookmarkEnd w:id="202"/>
      <w:bookmarkEnd w:id="203"/>
      <w:bookmarkEnd w:id="204"/>
      <w:r w:rsidRPr="007724FF">
        <w:rPr>
          <w:rFonts w:ascii="Palatino Linotype" w:eastAsia="Calibri" w:hAnsi="Palatino Linotype"/>
          <w:b/>
          <w:color w:val="000000" w:themeColor="text1"/>
          <w:sz w:val="24"/>
          <w:szCs w:val="24"/>
          <w:lang w:val="es-ES"/>
        </w:rPr>
        <w:t xml:space="preserve"> </w:t>
      </w:r>
    </w:p>
    <w:p w:rsidR="00EB407B" w:rsidRPr="00EB407B" w:rsidRDefault="00EB407B" w:rsidP="00AE4108">
      <w:pPr>
        <w:spacing w:line="360" w:lineRule="auto"/>
        <w:rPr>
          <w:lang w:val="es-ES"/>
        </w:rPr>
      </w:pPr>
    </w:p>
    <w:p w:rsidR="009F09BC" w:rsidRDefault="009F09BC" w:rsidP="00AE4108">
      <w:pPr>
        <w:spacing w:line="360" w:lineRule="auto"/>
        <w:jc w:val="both"/>
        <w:rPr>
          <w:rFonts w:ascii="Palatino Linotype" w:eastAsia="Times New Roman" w:hAnsi="Palatino Linotype" w:cs="Arial"/>
          <w:lang w:val="es-ES"/>
        </w:rPr>
      </w:pPr>
      <w:r w:rsidRPr="007724FF">
        <w:rPr>
          <w:rFonts w:ascii="Palatino Linotype" w:eastAsia="Times New Roman" w:hAnsi="Palatino Linotype" w:cs="Arial"/>
          <w:b/>
        </w:rPr>
        <w:t>PRIMERO</w:t>
      </w:r>
      <w:r w:rsidRPr="007724FF">
        <w:rPr>
          <w:rFonts w:ascii="Palatino Linotype" w:eastAsia="Times New Roman" w:hAnsi="Palatino Linotype" w:cs="Arial"/>
          <w:lang w:val="es-ES"/>
        </w:rPr>
        <w:t xml:space="preserve">. Resultan fundadas las razones o motivos de inconformidad hechos valer en los Recursos de Revisión </w:t>
      </w:r>
      <w:r w:rsidR="00AE4108" w:rsidRPr="007724FF">
        <w:rPr>
          <w:rFonts w:ascii="Palatino Linotype" w:hAnsi="Palatino Linotype"/>
          <w:b/>
        </w:rPr>
        <w:t>03793/INFOEM/IP/RR/2021, 03794/INFOEM/IP/RR/2021, 03795/INFOEM/IP/RR/2021, 03796/INFOEM/IP/RR/2021, 03797/INFOEM/IP/RR/2021, 03798/INFOEM/IP/RR/2021,  03799/INFOEM/IP/RR/2021</w:t>
      </w:r>
      <w:r w:rsidR="00AE4108" w:rsidRPr="007724FF">
        <w:rPr>
          <w:rFonts w:ascii="Palatino Linotype" w:hAnsi="Palatino Linotype"/>
        </w:rPr>
        <w:t xml:space="preserve"> y </w:t>
      </w:r>
      <w:r w:rsidR="00AE4108" w:rsidRPr="007724FF">
        <w:rPr>
          <w:rFonts w:ascii="Palatino Linotype" w:hAnsi="Palatino Linotype"/>
          <w:b/>
        </w:rPr>
        <w:t>03800/INFOEM/IP/RR/2021</w:t>
      </w:r>
      <w:r w:rsidR="00AE4108" w:rsidRPr="007724FF">
        <w:rPr>
          <w:rFonts w:ascii="Palatino Linotype" w:hAnsi="Palatino Linotype" w:cs="Arial"/>
          <w:b/>
          <w:bCs/>
        </w:rPr>
        <w:t xml:space="preserve"> </w:t>
      </w:r>
      <w:r w:rsidRPr="007724FF">
        <w:rPr>
          <w:rFonts w:ascii="Palatino Linotype" w:hAnsi="Palatino Linotype"/>
        </w:rPr>
        <w:t>acumulados,</w:t>
      </w:r>
      <w:r w:rsidRPr="007724FF">
        <w:rPr>
          <w:rFonts w:ascii="Palatino Linotype" w:eastAsia="Times New Roman" w:hAnsi="Palatino Linotype" w:cs="Arial"/>
          <w:b/>
          <w:lang w:val="es-ES"/>
        </w:rPr>
        <w:t xml:space="preserve"> </w:t>
      </w:r>
      <w:r w:rsidRPr="007724FF">
        <w:rPr>
          <w:rFonts w:ascii="Palatino Linotype" w:eastAsia="Times New Roman" w:hAnsi="Palatino Linotype" w:cs="Arial"/>
          <w:lang w:val="es-ES"/>
        </w:rPr>
        <w:t xml:space="preserve">en términos de los Considerandos </w:t>
      </w:r>
      <w:r w:rsidRPr="007724FF">
        <w:rPr>
          <w:rFonts w:ascii="Palatino Linotype" w:eastAsia="Times New Roman" w:hAnsi="Palatino Linotype" w:cs="Arial"/>
          <w:b/>
          <w:lang w:val="es-ES"/>
        </w:rPr>
        <w:t xml:space="preserve">CUARTO </w:t>
      </w:r>
      <w:r w:rsidRPr="007724FF">
        <w:rPr>
          <w:rFonts w:ascii="Palatino Linotype" w:eastAsia="Times New Roman" w:hAnsi="Palatino Linotype" w:cs="Arial"/>
          <w:lang w:val="es-ES"/>
        </w:rPr>
        <w:t>y</w:t>
      </w:r>
      <w:r w:rsidRPr="007724FF">
        <w:rPr>
          <w:rFonts w:ascii="Palatino Linotype" w:eastAsia="Times New Roman" w:hAnsi="Palatino Linotype" w:cs="Arial"/>
          <w:b/>
          <w:lang w:val="es-ES"/>
        </w:rPr>
        <w:t xml:space="preserve"> QUINTO </w:t>
      </w:r>
      <w:r w:rsidRPr="007724FF">
        <w:rPr>
          <w:rFonts w:ascii="Palatino Linotype" w:eastAsia="Times New Roman" w:hAnsi="Palatino Linotype" w:cs="Arial"/>
          <w:lang w:val="es-ES"/>
        </w:rPr>
        <w:t xml:space="preserve">de la presente resolución. </w:t>
      </w:r>
    </w:p>
    <w:p w:rsidR="00984EC4" w:rsidRPr="007724FF" w:rsidRDefault="00984EC4" w:rsidP="00AE4108">
      <w:pPr>
        <w:spacing w:line="360" w:lineRule="auto"/>
        <w:jc w:val="both"/>
        <w:rPr>
          <w:rFonts w:ascii="Palatino Linotype" w:eastAsia="Times New Roman" w:hAnsi="Palatino Linotype" w:cs="Arial"/>
          <w:lang w:val="es-ES"/>
        </w:rPr>
      </w:pPr>
    </w:p>
    <w:p w:rsidR="009F09BC" w:rsidRDefault="009F09BC" w:rsidP="00AE4108">
      <w:pPr>
        <w:spacing w:line="360" w:lineRule="auto"/>
        <w:jc w:val="both"/>
        <w:rPr>
          <w:rFonts w:ascii="Palatino Linotype" w:eastAsia="MS Mincho" w:hAnsi="Palatino Linotype" w:cs="Times New Roman"/>
          <w:color w:val="000000" w:themeColor="text1"/>
        </w:rPr>
      </w:pPr>
      <w:bookmarkStart w:id="205" w:name="_Toc503891607"/>
      <w:bookmarkStart w:id="206" w:name="_Toc511647757"/>
      <w:bookmarkStart w:id="207" w:name="_Toc511647818"/>
      <w:bookmarkStart w:id="208" w:name="_Toc477891768"/>
      <w:bookmarkStart w:id="209" w:name="_Toc477891858"/>
      <w:bookmarkStart w:id="210" w:name="_Toc481576259"/>
      <w:bookmarkStart w:id="211" w:name="_Toc492590391"/>
      <w:bookmarkStart w:id="212" w:name="_Toc462653937"/>
      <w:bookmarkStart w:id="213" w:name="_Toc453696502"/>
      <w:bookmarkStart w:id="214" w:name="_Toc454301155"/>
      <w:r w:rsidRPr="007724FF">
        <w:rPr>
          <w:rFonts w:ascii="Palatino Linotype" w:eastAsia="Times New Roman" w:hAnsi="Palatino Linotype" w:cs="Times New Roman"/>
          <w:b/>
        </w:rPr>
        <w:t>SEGUNDO.</w:t>
      </w:r>
      <w:bookmarkEnd w:id="205"/>
      <w:bookmarkEnd w:id="206"/>
      <w:bookmarkEnd w:id="207"/>
      <w:r w:rsidRPr="007724FF">
        <w:rPr>
          <w:rFonts w:ascii="Palatino Linotype" w:eastAsia="Times New Roman" w:hAnsi="Palatino Linotype" w:cs="Times New Roman"/>
          <w:b/>
        </w:rPr>
        <w:t xml:space="preserve"> </w:t>
      </w:r>
      <w:bookmarkEnd w:id="208"/>
      <w:bookmarkEnd w:id="209"/>
      <w:bookmarkEnd w:id="210"/>
      <w:bookmarkEnd w:id="211"/>
      <w:bookmarkEnd w:id="212"/>
      <w:bookmarkEnd w:id="213"/>
      <w:bookmarkEnd w:id="214"/>
      <w:r w:rsidRPr="007724FF">
        <w:rPr>
          <w:rFonts w:ascii="Palatino Linotype" w:eastAsia="MS Mincho" w:hAnsi="Palatino Linotype" w:cs="Times New Roman"/>
          <w:color w:val="000000" w:themeColor="text1"/>
        </w:rPr>
        <w:t xml:space="preserve">Se </w:t>
      </w:r>
      <w:r w:rsidR="00AE4108">
        <w:rPr>
          <w:rFonts w:ascii="Palatino Linotype" w:eastAsia="MS Mincho" w:hAnsi="Palatino Linotype" w:cs="Times New Roman"/>
          <w:b/>
          <w:color w:val="000000" w:themeColor="text1"/>
        </w:rPr>
        <w:t>REVO</w:t>
      </w:r>
      <w:r w:rsidRPr="007724FF">
        <w:rPr>
          <w:rFonts w:ascii="Palatino Linotype" w:eastAsia="MS Mincho" w:hAnsi="Palatino Linotype" w:cs="Times New Roman"/>
          <w:b/>
          <w:color w:val="000000" w:themeColor="text1"/>
        </w:rPr>
        <w:t xml:space="preserve">CAN </w:t>
      </w:r>
      <w:r w:rsidRPr="007724FF">
        <w:rPr>
          <w:rFonts w:ascii="Palatino Linotype" w:eastAsia="MS Mincho" w:hAnsi="Palatino Linotype" w:cs="Times New Roman"/>
          <w:color w:val="000000" w:themeColor="text1"/>
        </w:rPr>
        <w:t xml:space="preserve">las respuestas emitidas por el </w:t>
      </w:r>
      <w:r w:rsidR="00391A99" w:rsidRPr="007724FF">
        <w:rPr>
          <w:rFonts w:ascii="Palatino Linotype" w:hAnsi="Palatino Linotype"/>
          <w:b/>
          <w:bCs/>
          <w:color w:val="000000"/>
        </w:rPr>
        <w:t>Ayuntamiento de Teoloyucan</w:t>
      </w:r>
      <w:r w:rsidRPr="007724FF">
        <w:rPr>
          <w:rFonts w:ascii="Palatino Linotype" w:eastAsia="MS Mincho" w:hAnsi="Palatino Linotype" w:cs="Times New Roman"/>
          <w:b/>
          <w:color w:val="000000" w:themeColor="text1"/>
        </w:rPr>
        <w:t xml:space="preserve"> </w:t>
      </w:r>
      <w:r w:rsidRPr="007724FF">
        <w:rPr>
          <w:rFonts w:ascii="Palatino Linotype" w:eastAsia="MS Mincho" w:hAnsi="Palatino Linotype" w:cs="Times New Roman"/>
          <w:color w:val="000000" w:themeColor="text1"/>
        </w:rPr>
        <w:t xml:space="preserve">y se </w:t>
      </w:r>
      <w:r w:rsidRPr="007724FF">
        <w:rPr>
          <w:rFonts w:ascii="Palatino Linotype" w:eastAsia="MS Mincho" w:hAnsi="Palatino Linotype" w:cs="Times New Roman"/>
          <w:b/>
          <w:color w:val="000000" w:themeColor="text1"/>
        </w:rPr>
        <w:t>ORDENA</w:t>
      </w:r>
      <w:r w:rsidRPr="007724FF">
        <w:rPr>
          <w:rFonts w:ascii="Palatino Linotype" w:eastAsia="MS Mincho" w:hAnsi="Palatino Linotype" w:cs="Times New Roman"/>
          <w:color w:val="000000" w:themeColor="text1"/>
        </w:rPr>
        <w:t xml:space="preserve"> entregar vía Sistema de Acceso a la Información Mexiquense </w:t>
      </w:r>
      <w:r w:rsidRPr="007724FF">
        <w:rPr>
          <w:rFonts w:ascii="Palatino Linotype" w:eastAsia="MS Mincho" w:hAnsi="Palatino Linotype" w:cs="Times New Roman"/>
          <w:b/>
          <w:color w:val="000000" w:themeColor="text1"/>
        </w:rPr>
        <w:t>(SAIMEX)</w:t>
      </w:r>
      <w:r w:rsidRPr="007724FF">
        <w:rPr>
          <w:rFonts w:ascii="Palatino Linotype" w:eastAsia="MS Mincho" w:hAnsi="Palatino Linotype" w:cs="Times New Roman"/>
          <w:color w:val="000000" w:themeColor="text1"/>
        </w:rPr>
        <w:t>,</w:t>
      </w:r>
      <w:r w:rsidR="00EB407B">
        <w:rPr>
          <w:rFonts w:ascii="Palatino Linotype" w:eastAsia="MS Mincho" w:hAnsi="Palatino Linotype" w:cs="Times New Roman"/>
          <w:color w:val="000000" w:themeColor="text1"/>
        </w:rPr>
        <w:t xml:space="preserve"> en versión pública,</w:t>
      </w:r>
      <w:r w:rsidRPr="007724FF">
        <w:rPr>
          <w:rFonts w:ascii="Palatino Linotype" w:eastAsia="MS Mincho" w:hAnsi="Palatino Linotype" w:cs="Times New Roman"/>
          <w:color w:val="000000" w:themeColor="text1"/>
        </w:rPr>
        <w:t xml:space="preserve"> </w:t>
      </w:r>
      <w:r w:rsidR="00CE0D53" w:rsidRPr="007724FF">
        <w:rPr>
          <w:rFonts w:ascii="Palatino Linotype" w:eastAsia="MS Mincho" w:hAnsi="Palatino Linotype" w:cs="Times New Roman"/>
          <w:color w:val="000000" w:themeColor="text1"/>
        </w:rPr>
        <w:t>lo</w:t>
      </w:r>
      <w:r w:rsidRPr="007724FF">
        <w:rPr>
          <w:rFonts w:ascii="Palatino Linotype" w:eastAsia="MS Mincho" w:hAnsi="Palatino Linotype" w:cs="Times New Roman"/>
          <w:color w:val="000000" w:themeColor="text1"/>
        </w:rPr>
        <w:t xml:space="preserve"> siguiente:</w:t>
      </w:r>
      <w:r w:rsidR="00A72116">
        <w:rPr>
          <w:rFonts w:ascii="Palatino Linotype" w:eastAsia="MS Mincho" w:hAnsi="Palatino Linotype" w:cs="Times New Roman"/>
          <w:color w:val="000000" w:themeColor="text1"/>
        </w:rPr>
        <w:t xml:space="preserve">  </w:t>
      </w:r>
    </w:p>
    <w:p w:rsidR="00A72116" w:rsidRPr="007724FF" w:rsidRDefault="00A72116" w:rsidP="00AE4108">
      <w:pPr>
        <w:spacing w:line="360" w:lineRule="auto"/>
        <w:jc w:val="both"/>
        <w:rPr>
          <w:rFonts w:ascii="Palatino Linotype" w:eastAsia="MS Mincho" w:hAnsi="Palatino Linotype" w:cs="Times New Roman"/>
          <w:color w:val="000000" w:themeColor="text1"/>
        </w:rPr>
      </w:pPr>
    </w:p>
    <w:p w:rsidR="009F09BC" w:rsidRPr="007724FF" w:rsidRDefault="004B1D00" w:rsidP="005A7F80">
      <w:pPr>
        <w:pStyle w:val="Prrafodelista"/>
        <w:numPr>
          <w:ilvl w:val="0"/>
          <w:numId w:val="13"/>
        </w:numPr>
        <w:shd w:val="clear" w:color="auto" w:fill="FFFFFF"/>
        <w:tabs>
          <w:tab w:val="left" w:pos="0"/>
        </w:tabs>
        <w:spacing w:line="360" w:lineRule="auto"/>
        <w:ind w:right="49"/>
        <w:jc w:val="both"/>
        <w:rPr>
          <w:rFonts w:ascii="Palatino Linotype" w:eastAsia="Batang" w:hAnsi="Palatino Linotype" w:cs="Tahoma"/>
          <w:b/>
          <w:bCs/>
          <w:szCs w:val="22"/>
          <w:lang w:val="es-ES"/>
        </w:rPr>
      </w:pPr>
      <w:bookmarkStart w:id="215" w:name="_Toc503891610"/>
      <w:bookmarkStart w:id="216" w:name="_Toc453696503"/>
      <w:bookmarkStart w:id="217" w:name="_Toc454301156"/>
      <w:bookmarkStart w:id="218" w:name="_Toc462653938"/>
      <w:bookmarkStart w:id="219" w:name="_Toc477891769"/>
      <w:bookmarkStart w:id="220" w:name="_Toc477891859"/>
      <w:bookmarkStart w:id="221" w:name="_Toc481576260"/>
      <w:bookmarkStart w:id="222" w:name="_Toc492590392"/>
      <w:r>
        <w:rPr>
          <w:rFonts w:ascii="Palatino Linotype" w:eastAsia="Batang" w:hAnsi="Palatino Linotype" w:cs="Tahoma"/>
          <w:b/>
          <w:bCs/>
          <w:szCs w:val="22"/>
          <w:lang w:val="es-ES"/>
        </w:rPr>
        <w:t xml:space="preserve">Soporte documental </w:t>
      </w:r>
      <w:r w:rsidR="00AE4108">
        <w:rPr>
          <w:rFonts w:ascii="Palatino Linotype" w:eastAsia="Batang" w:hAnsi="Palatino Linotype" w:cs="Tahoma"/>
          <w:b/>
          <w:bCs/>
          <w:szCs w:val="22"/>
          <w:lang w:val="es-ES"/>
        </w:rPr>
        <w:t>de</w:t>
      </w:r>
      <w:r w:rsidR="000764F1" w:rsidRPr="007724FF">
        <w:rPr>
          <w:rFonts w:ascii="Palatino Linotype" w:eastAsia="Batang" w:hAnsi="Palatino Linotype" w:cs="Tahoma"/>
          <w:b/>
          <w:bCs/>
          <w:szCs w:val="22"/>
          <w:lang w:val="es-ES"/>
        </w:rPr>
        <w:t xml:space="preserve"> la Controversia Constitucional 28/2020</w:t>
      </w:r>
      <w:r>
        <w:rPr>
          <w:rFonts w:ascii="Palatino Linotype" w:eastAsia="Batang" w:hAnsi="Palatino Linotype" w:cs="Tahoma"/>
          <w:b/>
          <w:bCs/>
          <w:szCs w:val="22"/>
          <w:lang w:val="es-ES"/>
        </w:rPr>
        <w:t xml:space="preserve"> y sus anexos</w:t>
      </w:r>
      <w:r w:rsidR="000764F1" w:rsidRPr="007724FF">
        <w:rPr>
          <w:rFonts w:ascii="Palatino Linotype" w:eastAsia="Batang" w:hAnsi="Palatino Linotype" w:cs="Tahoma"/>
          <w:b/>
          <w:bCs/>
          <w:szCs w:val="22"/>
          <w:lang w:val="es-ES"/>
        </w:rPr>
        <w:t>; y</w:t>
      </w:r>
    </w:p>
    <w:p w:rsidR="000764F1" w:rsidRPr="007724FF" w:rsidRDefault="000764F1" w:rsidP="00AE4108">
      <w:pPr>
        <w:pStyle w:val="Prrafodelista"/>
        <w:spacing w:line="360" w:lineRule="auto"/>
        <w:rPr>
          <w:rFonts w:ascii="Palatino Linotype" w:eastAsia="Batang" w:hAnsi="Palatino Linotype" w:cs="Tahoma"/>
          <w:b/>
          <w:bCs/>
          <w:szCs w:val="22"/>
          <w:lang w:val="es-ES"/>
        </w:rPr>
      </w:pPr>
    </w:p>
    <w:p w:rsidR="00A65C6B" w:rsidRDefault="00A65C6B" w:rsidP="005A7F80">
      <w:pPr>
        <w:pStyle w:val="Prrafodelista"/>
        <w:numPr>
          <w:ilvl w:val="0"/>
          <w:numId w:val="13"/>
        </w:numPr>
        <w:shd w:val="clear" w:color="auto" w:fill="FFFFFF"/>
        <w:tabs>
          <w:tab w:val="left" w:pos="0"/>
        </w:tabs>
        <w:spacing w:line="360" w:lineRule="auto"/>
        <w:ind w:right="49"/>
        <w:jc w:val="both"/>
        <w:rPr>
          <w:rFonts w:ascii="Palatino Linotype" w:eastAsia="Batang" w:hAnsi="Palatino Linotype" w:cs="Tahoma"/>
          <w:b/>
          <w:bCs/>
          <w:szCs w:val="22"/>
          <w:lang w:val="es-ES"/>
        </w:rPr>
      </w:pPr>
      <w:r w:rsidRPr="00A65C6B">
        <w:rPr>
          <w:rFonts w:ascii="Palatino Linotype" w:eastAsia="Batang" w:hAnsi="Palatino Linotype" w:cs="Tahoma"/>
          <w:b/>
          <w:bCs/>
          <w:szCs w:val="22"/>
          <w:lang w:val="es-ES"/>
        </w:rPr>
        <w:t xml:space="preserve">Los expedientes completos y </w:t>
      </w:r>
      <w:r>
        <w:rPr>
          <w:rFonts w:ascii="Palatino Linotype" w:eastAsia="Batang" w:hAnsi="Palatino Linotype" w:cs="Tahoma"/>
          <w:b/>
          <w:bCs/>
          <w:szCs w:val="22"/>
          <w:lang w:val="es-ES"/>
        </w:rPr>
        <w:t xml:space="preserve">sus </w:t>
      </w:r>
      <w:r w:rsidRPr="00A65C6B">
        <w:rPr>
          <w:rFonts w:ascii="Palatino Linotype" w:eastAsia="Batang" w:hAnsi="Palatino Linotype" w:cs="Tahoma"/>
          <w:b/>
          <w:bCs/>
          <w:szCs w:val="22"/>
          <w:lang w:val="es-ES"/>
        </w:rPr>
        <w:t xml:space="preserve">anexos, </w:t>
      </w:r>
      <w:r>
        <w:rPr>
          <w:rFonts w:ascii="Palatino Linotype" w:eastAsia="Batang" w:hAnsi="Palatino Linotype" w:cs="Tahoma"/>
          <w:b/>
          <w:bCs/>
          <w:szCs w:val="22"/>
          <w:lang w:val="es-ES"/>
        </w:rPr>
        <w:t xml:space="preserve">de los </w:t>
      </w:r>
      <w:r w:rsidRPr="00A65C6B">
        <w:rPr>
          <w:rFonts w:ascii="Palatino Linotype" w:eastAsia="Batang" w:hAnsi="Palatino Linotype" w:cs="Tahoma"/>
          <w:b/>
          <w:bCs/>
          <w:szCs w:val="22"/>
          <w:lang w:val="es-ES"/>
        </w:rPr>
        <w:t>diferendos limítrofes intermunicipales</w:t>
      </w:r>
      <w:r>
        <w:rPr>
          <w:rFonts w:ascii="Palatino Linotype" w:eastAsia="Batang" w:hAnsi="Palatino Linotype" w:cs="Tahoma"/>
          <w:b/>
          <w:bCs/>
          <w:szCs w:val="22"/>
          <w:lang w:val="es-ES"/>
        </w:rPr>
        <w:t xml:space="preserve"> con los </w:t>
      </w:r>
      <w:r w:rsidR="000764F1" w:rsidRPr="007724FF">
        <w:rPr>
          <w:rFonts w:ascii="Palatino Linotype" w:eastAsia="Batang" w:hAnsi="Palatino Linotype" w:cs="Tahoma"/>
          <w:b/>
          <w:bCs/>
          <w:szCs w:val="22"/>
          <w:lang w:val="es-ES"/>
        </w:rPr>
        <w:t>Municipios de</w:t>
      </w:r>
      <w:r>
        <w:rPr>
          <w:rFonts w:ascii="Palatino Linotype" w:eastAsia="Batang" w:hAnsi="Palatino Linotype" w:cs="Tahoma"/>
          <w:b/>
          <w:bCs/>
          <w:szCs w:val="22"/>
          <w:lang w:val="es-ES"/>
        </w:rPr>
        <w:t xml:space="preserve"> Tepotzotlán, Cuautitlán y Cuautitlán Izcalli.</w:t>
      </w:r>
    </w:p>
    <w:p w:rsidR="00A72116" w:rsidRPr="00A72116" w:rsidRDefault="00A72116" w:rsidP="00AE4108">
      <w:pPr>
        <w:pStyle w:val="Prrafodelista"/>
        <w:spacing w:line="360" w:lineRule="auto"/>
        <w:rPr>
          <w:rFonts w:ascii="Palatino Linotype" w:eastAsia="Batang" w:hAnsi="Palatino Linotype" w:cs="Tahoma"/>
          <w:b/>
          <w:bCs/>
          <w:szCs w:val="22"/>
          <w:lang w:val="es-ES"/>
        </w:rPr>
      </w:pPr>
    </w:p>
    <w:p w:rsidR="00AE4108" w:rsidRDefault="00AE4108" w:rsidP="00AE4108">
      <w:pPr>
        <w:spacing w:line="360" w:lineRule="auto"/>
        <w:jc w:val="both"/>
        <w:rPr>
          <w:rFonts w:ascii="Palatino Linotype" w:eastAsia="Calibri" w:hAnsi="Palatino Linotype" w:cs="Arial"/>
          <w:b/>
        </w:rPr>
      </w:pPr>
      <w:bookmarkStart w:id="223" w:name="_Toc511647758"/>
      <w:bookmarkStart w:id="224" w:name="_Toc511647819"/>
      <w:r w:rsidRPr="003171A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3171A7">
        <w:rPr>
          <w:rFonts w:ascii="Palatino Linotype" w:eastAsia="Calibri" w:hAnsi="Palatino Linotype" w:cs="Arial"/>
        </w:rPr>
        <w:lastRenderedPageBreak/>
        <w:t>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026805">
        <w:rPr>
          <w:rFonts w:ascii="Palatino Linotype" w:eastAsia="Calibri" w:hAnsi="Palatino Linotype" w:cs="Arial"/>
          <w:b/>
        </w:rPr>
        <w:t>.</w:t>
      </w:r>
    </w:p>
    <w:p w:rsidR="00AE4108" w:rsidRDefault="00AE4108" w:rsidP="00AE4108">
      <w:pPr>
        <w:spacing w:line="360" w:lineRule="auto"/>
        <w:jc w:val="both"/>
        <w:rPr>
          <w:rFonts w:ascii="Palatino Linotype" w:eastAsia="Calibri" w:hAnsi="Palatino Linotype" w:cs="Arial"/>
          <w:b/>
        </w:rPr>
      </w:pPr>
    </w:p>
    <w:p w:rsidR="009F09BC" w:rsidRPr="007724FF" w:rsidRDefault="009F09BC" w:rsidP="00AE4108">
      <w:pPr>
        <w:tabs>
          <w:tab w:val="left" w:pos="8080"/>
        </w:tabs>
        <w:spacing w:line="360" w:lineRule="auto"/>
        <w:ind w:right="49"/>
        <w:jc w:val="both"/>
        <w:rPr>
          <w:rFonts w:ascii="Palatino Linotype" w:eastAsia="Times New Roman" w:hAnsi="Palatino Linotype" w:cs="Times New Roman"/>
          <w:shd w:val="clear" w:color="auto" w:fill="FFFFFF"/>
        </w:rPr>
      </w:pPr>
      <w:r w:rsidRPr="007724FF">
        <w:rPr>
          <w:rFonts w:ascii="Palatino Linotype" w:eastAsia="Times New Roman" w:hAnsi="Palatino Linotype" w:cs="Times New Roman"/>
          <w:b/>
        </w:rPr>
        <w:t>TERCERO.</w:t>
      </w:r>
      <w:bookmarkEnd w:id="215"/>
      <w:bookmarkEnd w:id="223"/>
      <w:bookmarkEnd w:id="224"/>
      <w:r w:rsidRPr="007724FF">
        <w:rPr>
          <w:rFonts w:ascii="Palatino Linotype" w:eastAsia="Times New Roman" w:hAnsi="Palatino Linotype" w:cs="Times New Roman"/>
          <w:b/>
        </w:rPr>
        <w:t xml:space="preserve"> </w:t>
      </w:r>
      <w:bookmarkEnd w:id="216"/>
      <w:bookmarkEnd w:id="217"/>
      <w:bookmarkEnd w:id="218"/>
      <w:bookmarkEnd w:id="219"/>
      <w:bookmarkEnd w:id="220"/>
      <w:bookmarkEnd w:id="221"/>
      <w:bookmarkEnd w:id="222"/>
      <w:r w:rsidRPr="007724FF">
        <w:rPr>
          <w:rFonts w:ascii="Palatino Linotype" w:eastAsia="Palatino Linotype" w:hAnsi="Palatino Linotype" w:cs="Palatino Linotype"/>
          <w:b/>
        </w:rPr>
        <w:t xml:space="preserve">Notifíquese </w:t>
      </w:r>
      <w:r w:rsidRPr="007724FF">
        <w:rPr>
          <w:rFonts w:ascii="Palatino Linotype" w:eastAsia="Palatino Linotype" w:hAnsi="Palatino Linotype" w:cs="Palatino Linotype"/>
        </w:rPr>
        <w:t xml:space="preserve">al Titular de la Unidad de Transparencia del </w:t>
      </w:r>
      <w:r w:rsidRPr="007724FF">
        <w:rPr>
          <w:rFonts w:ascii="Palatino Linotype" w:eastAsia="Palatino Linotype" w:hAnsi="Palatino Linotype" w:cs="Palatino Linotype"/>
          <w:b/>
        </w:rPr>
        <w:t>SUJETO OBLIGADO</w:t>
      </w:r>
      <w:r w:rsidRPr="007724F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724FF">
        <w:rPr>
          <w:rFonts w:ascii="Palatino Linotype" w:eastAsia="Times New Roman" w:hAnsi="Palatino Linotype" w:cs="Times New Roman"/>
          <w:shd w:val="clear" w:color="auto" w:fill="FFFFFF"/>
        </w:rPr>
        <w:t xml:space="preserve">vigente, dé cumplimiento a lo ordenado dentro del plazo de </w:t>
      </w:r>
      <w:r w:rsidR="00EB407B">
        <w:rPr>
          <w:rFonts w:ascii="Palatino Linotype" w:eastAsia="Times New Roman" w:hAnsi="Palatino Linotype" w:cs="Times New Roman"/>
          <w:b/>
          <w:shd w:val="clear" w:color="auto" w:fill="FFFFFF"/>
        </w:rPr>
        <w:t>quince</w:t>
      </w:r>
      <w:r w:rsidRPr="007724FF">
        <w:rPr>
          <w:rFonts w:ascii="Palatino Linotype" w:eastAsia="Times New Roman" w:hAnsi="Palatino Linotype" w:cs="Times New Roman"/>
          <w:b/>
          <w:shd w:val="clear" w:color="auto" w:fill="FFFFFF"/>
        </w:rPr>
        <w:t xml:space="preserve"> días hábiles</w:t>
      </w:r>
      <w:r w:rsidRPr="007724FF">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7724FF" w:rsidRDefault="0057514F" w:rsidP="00AE4108">
      <w:pPr>
        <w:spacing w:line="360" w:lineRule="auto"/>
        <w:jc w:val="both"/>
        <w:rPr>
          <w:rFonts w:ascii="Palatino Linotype" w:hAnsi="Palatino Linotype" w:cs="Arial"/>
          <w:b/>
          <w:sz w:val="20"/>
        </w:rPr>
      </w:pPr>
    </w:p>
    <w:p w:rsidR="0057514F" w:rsidRDefault="0057514F" w:rsidP="00AE4108">
      <w:pPr>
        <w:spacing w:line="360" w:lineRule="auto"/>
        <w:jc w:val="both"/>
        <w:rPr>
          <w:rFonts w:ascii="Palatino Linotype" w:eastAsia="Calibri" w:hAnsi="Palatino Linotype" w:cs="Arial"/>
          <w:bCs/>
        </w:rPr>
      </w:pPr>
      <w:r w:rsidRPr="007724FF">
        <w:rPr>
          <w:rFonts w:ascii="Palatino Linotype" w:hAnsi="Palatino Linotype" w:cs="Arial"/>
          <w:b/>
        </w:rPr>
        <w:t xml:space="preserve">CUARTO. </w:t>
      </w:r>
      <w:r w:rsidRPr="007724FF">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7724FF">
        <w:rPr>
          <w:rFonts w:ascii="Palatino Linotype" w:eastAsia="Calibri" w:hAnsi="Palatino Linotype" w:cs="Arial"/>
          <w:b/>
          <w:bCs/>
        </w:rPr>
        <w:t>SUJETO OBLIGADO</w:t>
      </w:r>
      <w:r w:rsidRPr="007724FF">
        <w:rPr>
          <w:rFonts w:ascii="Palatino Linotype" w:eastAsia="Calibri" w:hAnsi="Palatino Linotype" w:cs="Arial"/>
          <w:bCs/>
        </w:rPr>
        <w:t xml:space="preserve"> de manera fundada y motivada, podrá solicitar una ampliación de plazo para el cumplimiento de la presente resolución.</w:t>
      </w:r>
    </w:p>
    <w:p w:rsidR="00984EC4" w:rsidRPr="007724FF" w:rsidRDefault="00984EC4" w:rsidP="00AE4108">
      <w:pPr>
        <w:spacing w:line="360" w:lineRule="auto"/>
        <w:jc w:val="both"/>
        <w:rPr>
          <w:rFonts w:ascii="Palatino Linotype" w:eastAsia="Calibri" w:hAnsi="Palatino Linotype" w:cs="Arial"/>
          <w:bCs/>
        </w:rPr>
      </w:pPr>
    </w:p>
    <w:p w:rsidR="009F09BC" w:rsidRDefault="0057514F" w:rsidP="00AE4108">
      <w:pPr>
        <w:tabs>
          <w:tab w:val="left" w:pos="8080"/>
        </w:tabs>
        <w:spacing w:line="360" w:lineRule="auto"/>
        <w:ind w:right="49"/>
        <w:jc w:val="both"/>
        <w:rPr>
          <w:rFonts w:ascii="Palatino Linotype" w:eastAsia="Times New Roman" w:hAnsi="Palatino Linotype" w:cs="Times New Roman"/>
          <w:lang w:val="es-ES" w:eastAsia="es-MX"/>
        </w:rPr>
      </w:pPr>
      <w:bookmarkStart w:id="225" w:name="_Toc492590393"/>
      <w:bookmarkStart w:id="226" w:name="_Toc503891611"/>
      <w:bookmarkStart w:id="227" w:name="_Toc511647759"/>
      <w:bookmarkStart w:id="228" w:name="_Toc511647820"/>
      <w:r w:rsidRPr="007724FF">
        <w:rPr>
          <w:rFonts w:ascii="Palatino Linotype" w:eastAsia="Times New Roman" w:hAnsi="Palatino Linotype" w:cs="Times New Roman"/>
          <w:b/>
        </w:rPr>
        <w:t>QUIN</w:t>
      </w:r>
      <w:r w:rsidR="009F09BC" w:rsidRPr="007724FF">
        <w:rPr>
          <w:rFonts w:ascii="Palatino Linotype" w:eastAsia="Times New Roman" w:hAnsi="Palatino Linotype" w:cs="Times New Roman"/>
          <w:b/>
        </w:rPr>
        <w:t xml:space="preserve">TO. </w:t>
      </w:r>
      <w:r w:rsidR="009F09BC" w:rsidRPr="007724FF">
        <w:rPr>
          <w:rFonts w:ascii="Palatino Linotype" w:eastAsia="Times New Roman" w:hAnsi="Palatino Linotype" w:cs="Times New Roman"/>
        </w:rPr>
        <w:t>Notifíquese</w:t>
      </w:r>
      <w:bookmarkEnd w:id="225"/>
      <w:bookmarkEnd w:id="226"/>
      <w:bookmarkEnd w:id="227"/>
      <w:bookmarkEnd w:id="228"/>
      <w:r w:rsidR="009F09BC" w:rsidRPr="007724FF">
        <w:rPr>
          <w:rFonts w:ascii="Palatino Linotype" w:eastAsia="Times New Roman" w:hAnsi="Palatino Linotype" w:cs="Times New Roman"/>
        </w:rPr>
        <w:t xml:space="preserve"> a </w:t>
      </w:r>
      <w:r w:rsidR="009F09BC" w:rsidRPr="007724FF">
        <w:rPr>
          <w:rFonts w:ascii="Palatino Linotype" w:eastAsia="Times New Roman" w:hAnsi="Palatino Linotype" w:cs="Times New Roman"/>
          <w:b/>
        </w:rPr>
        <w:t>EL RECURRENTE</w:t>
      </w:r>
      <w:r w:rsidR="009F09BC" w:rsidRPr="007724FF">
        <w:rPr>
          <w:rFonts w:ascii="Palatino Linotype" w:eastAsia="Times New Roman" w:hAnsi="Palatino Linotype" w:cs="Times New Roman"/>
        </w:rPr>
        <w:t xml:space="preserve"> la presente</w:t>
      </w:r>
      <w:r w:rsidR="009F09BC" w:rsidRPr="007724FF">
        <w:rPr>
          <w:rFonts w:ascii="Palatino Linotype" w:eastAsia="Times New Roman" w:hAnsi="Palatino Linotype" w:cs="Times New Roman"/>
          <w:lang w:val="es-ES" w:eastAsia="es-MX"/>
        </w:rPr>
        <w:t xml:space="preserve"> resolución</w:t>
      </w:r>
      <w:r w:rsidR="006D15D0" w:rsidRPr="007724FF">
        <w:rPr>
          <w:rFonts w:ascii="Palatino Linotype" w:eastAsia="Times New Roman" w:hAnsi="Palatino Linotype" w:cs="Times New Roman"/>
          <w:lang w:val="es-ES" w:eastAsia="es-MX"/>
        </w:rPr>
        <w:t>.</w:t>
      </w:r>
    </w:p>
    <w:p w:rsidR="00AE4108" w:rsidRDefault="00AE4108" w:rsidP="00AE4108">
      <w:pPr>
        <w:tabs>
          <w:tab w:val="left" w:pos="8080"/>
        </w:tabs>
        <w:spacing w:line="360" w:lineRule="auto"/>
        <w:ind w:right="49"/>
        <w:jc w:val="both"/>
        <w:rPr>
          <w:rFonts w:ascii="Palatino Linotype" w:eastAsia="Times New Roman" w:hAnsi="Palatino Linotype" w:cs="Times New Roman"/>
          <w:lang w:val="es-ES" w:eastAsia="es-MX"/>
        </w:rPr>
      </w:pPr>
    </w:p>
    <w:p w:rsidR="009F09BC" w:rsidRDefault="0057514F" w:rsidP="00AE4108">
      <w:pPr>
        <w:shd w:val="clear" w:color="auto" w:fill="FFFFFF"/>
        <w:spacing w:line="360" w:lineRule="auto"/>
        <w:jc w:val="both"/>
        <w:rPr>
          <w:rFonts w:ascii="Palatino Linotype" w:eastAsia="Times New Roman" w:hAnsi="Palatino Linotype" w:cs="Times New Roman"/>
          <w:lang w:val="es-ES" w:eastAsia="es-MX"/>
        </w:rPr>
      </w:pPr>
      <w:r w:rsidRPr="00984EC4">
        <w:rPr>
          <w:rFonts w:ascii="Palatino Linotype" w:eastAsia="Calibri" w:hAnsi="Palatino Linotype" w:cs="Times New Roman"/>
          <w:b/>
          <w:lang w:val="es-MX" w:eastAsia="en-US"/>
        </w:rPr>
        <w:t>SEX</w:t>
      </w:r>
      <w:r w:rsidR="009F09BC" w:rsidRPr="00984EC4">
        <w:rPr>
          <w:rFonts w:ascii="Palatino Linotype" w:eastAsia="Calibri" w:hAnsi="Palatino Linotype" w:cs="Times New Roman"/>
          <w:b/>
          <w:lang w:val="es-MX" w:eastAsia="en-US"/>
        </w:rPr>
        <w:t>TO.</w:t>
      </w:r>
      <w:r w:rsidR="009F09BC" w:rsidRPr="00984EC4">
        <w:rPr>
          <w:rFonts w:ascii="Palatino Linotype" w:eastAsia="Calibri" w:hAnsi="Palatino Linotype" w:cs="Times New Roman"/>
          <w:lang w:val="es-MX" w:eastAsia="en-US"/>
        </w:rPr>
        <w:t xml:space="preserve"> </w:t>
      </w:r>
      <w:r w:rsidR="009F09BC" w:rsidRPr="00984EC4">
        <w:rPr>
          <w:rFonts w:ascii="Palatino Linotype" w:eastAsia="Times New Roman" w:hAnsi="Palatino Linotype" w:cs="Times New Roman"/>
          <w:lang w:val="es-ES" w:eastAsia="es-MX"/>
        </w:rPr>
        <w:t xml:space="preserve">Se hace del conocimiento de </w:t>
      </w:r>
      <w:r w:rsidR="009F09BC" w:rsidRPr="00984EC4">
        <w:rPr>
          <w:rFonts w:ascii="Palatino Linotype" w:eastAsia="Times New Roman" w:hAnsi="Palatino Linotype" w:cs="Times New Roman"/>
          <w:b/>
          <w:lang w:val="es-ES" w:eastAsia="es-MX"/>
        </w:rPr>
        <w:t>EL RECURRENTE</w:t>
      </w:r>
      <w:r w:rsidR="009F09BC" w:rsidRPr="00984EC4">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984EC4">
        <w:rPr>
          <w:rFonts w:ascii="Palatino Linotype" w:eastAsia="Times New Roman" w:hAnsi="Palatino Linotype" w:cs="Times New Roman"/>
          <w:bCs/>
          <w:lang w:val="es-ES" w:eastAsia="es-MX"/>
        </w:rPr>
        <w:t>vía juicio de amparo</w:t>
      </w:r>
      <w:r w:rsidR="009F09BC" w:rsidRPr="00984EC4">
        <w:rPr>
          <w:rFonts w:ascii="Palatino Linotype" w:eastAsia="Times New Roman" w:hAnsi="Palatino Linotype" w:cs="Times New Roman"/>
          <w:lang w:val="es-ES" w:eastAsia="es-MX"/>
        </w:rPr>
        <w:t> en los términos de las leyes aplicables.</w:t>
      </w:r>
    </w:p>
    <w:p w:rsidR="00AE4108" w:rsidRPr="00984EC4" w:rsidRDefault="00AE4108" w:rsidP="007724FF">
      <w:pPr>
        <w:shd w:val="clear" w:color="auto" w:fill="FFFFFF"/>
        <w:spacing w:line="360" w:lineRule="auto"/>
        <w:jc w:val="both"/>
        <w:rPr>
          <w:rFonts w:ascii="Palatino Linotype" w:eastAsia="Times New Roman" w:hAnsi="Palatino Linotype" w:cs="Times New Roman"/>
          <w:lang w:val="es-ES" w:eastAsia="es-MX"/>
        </w:rPr>
      </w:pPr>
    </w:p>
    <w:p w:rsidR="009F09BC" w:rsidRPr="007724FF" w:rsidRDefault="009F09BC" w:rsidP="007724FF">
      <w:pPr>
        <w:spacing w:line="360" w:lineRule="auto"/>
        <w:jc w:val="both"/>
        <w:rPr>
          <w:rFonts w:ascii="Palatino Linotype" w:hAnsi="Palatino Linotype"/>
        </w:rPr>
      </w:pPr>
      <w:r w:rsidRPr="007724FF">
        <w:rPr>
          <w:rFonts w:ascii="Palatino Linotype" w:hAnsi="Palatino Linotype"/>
        </w:rPr>
        <w:t xml:space="preserve">ASÍ LO RESUELVE, POR </w:t>
      </w:r>
      <w:r w:rsidRPr="00631FE6">
        <w:rPr>
          <w:rFonts w:ascii="Palatino Linotype" w:hAnsi="Palatino Linotype"/>
        </w:rPr>
        <w:t>UNANIMIDAD</w:t>
      </w:r>
      <w:r w:rsidRPr="007724FF">
        <w:rPr>
          <w:rFonts w:ascii="Palatino Linotype" w:hAnsi="Palatino Linotype"/>
        </w:rPr>
        <w:t xml:space="preserve"> DE VOTOS EL PLENO DEL INSTITUTO DE TRANSPARENCIA, ACCESO A LA INFORMACIÓN PÚBLICA Y </w:t>
      </w:r>
      <w:r w:rsidRPr="007724FF">
        <w:rPr>
          <w:rFonts w:ascii="Palatino Linotype" w:hAnsi="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w:t>
      </w:r>
      <w:r w:rsidRPr="00631FE6">
        <w:rPr>
          <w:rFonts w:ascii="Palatino Linotype" w:hAnsi="Palatino Linotype"/>
        </w:rPr>
        <w:t xml:space="preserve">EN LA TRIGÉSIMA </w:t>
      </w:r>
      <w:r w:rsidR="00AE4108" w:rsidRPr="00631FE6">
        <w:rPr>
          <w:rFonts w:ascii="Palatino Linotype" w:hAnsi="Palatino Linotype"/>
        </w:rPr>
        <w:t>QUINTA</w:t>
      </w:r>
      <w:r w:rsidRPr="00631FE6">
        <w:rPr>
          <w:rFonts w:ascii="Palatino Linotype" w:hAnsi="Palatino Linotype"/>
        </w:rPr>
        <w:t xml:space="preserve"> SESIÓN ORDINA</w:t>
      </w:r>
      <w:r w:rsidR="00C54D99" w:rsidRPr="00631FE6">
        <w:rPr>
          <w:rFonts w:ascii="Palatino Linotype" w:hAnsi="Palatino Linotype"/>
        </w:rPr>
        <w:t xml:space="preserve">RIA CELEBRADA EL </w:t>
      </w:r>
      <w:r w:rsidR="00AE4108" w:rsidRPr="00631FE6">
        <w:rPr>
          <w:rFonts w:ascii="Palatino Linotype" w:hAnsi="Palatino Linotype"/>
        </w:rPr>
        <w:t>SEIS</w:t>
      </w:r>
      <w:r w:rsidRPr="00631FE6">
        <w:rPr>
          <w:rFonts w:ascii="Palatino Linotype" w:hAnsi="Palatino Linotype"/>
        </w:rPr>
        <w:t xml:space="preserve"> DE </w:t>
      </w:r>
      <w:r w:rsidR="00AE4108" w:rsidRPr="00631FE6">
        <w:rPr>
          <w:rFonts w:ascii="Palatino Linotype" w:hAnsi="Palatino Linotype"/>
        </w:rPr>
        <w:t>OCTU</w:t>
      </w:r>
      <w:r w:rsidRPr="00631FE6">
        <w:rPr>
          <w:rFonts w:ascii="Palatino Linotype" w:hAnsi="Palatino Linotype"/>
        </w:rPr>
        <w:t>BRE DE DOS MIL VEINTIUNO</w:t>
      </w:r>
      <w:r w:rsidRPr="007724FF">
        <w:rPr>
          <w:rFonts w:ascii="Palatino Linotype" w:hAnsi="Palatino Linotype"/>
        </w:rPr>
        <w:t>, ANTE EL SECRETARIO TÉCNICO DEL PLENO, ALEXIS TAPIA RAMÍREZ.</w:t>
      </w:r>
    </w:p>
    <w:p w:rsidR="009F09BC" w:rsidRPr="007724FF" w:rsidRDefault="009F09BC" w:rsidP="007724FF">
      <w:pPr>
        <w:spacing w:line="360" w:lineRule="auto"/>
        <w:jc w:val="both"/>
        <w:rPr>
          <w:rFonts w:ascii="Palatino Linotype" w:hAnsi="Palatino Linotype"/>
        </w:rPr>
      </w:pPr>
    </w:p>
    <w:p w:rsidR="009F09BC" w:rsidRPr="007724FF" w:rsidRDefault="009F09BC" w:rsidP="007724FF">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Pr="009F09BC" w:rsidRDefault="009F09BC" w:rsidP="009F09BC">
      <w:pPr>
        <w:tabs>
          <w:tab w:val="left" w:pos="3374"/>
        </w:tabs>
      </w:pPr>
      <w:r>
        <w:tab/>
      </w:r>
    </w:p>
    <w:sectPr w:rsidR="009F09BC" w:rsidRPr="009F09BC" w:rsidSect="00501AD0">
      <w:headerReference w:type="even" r:id="rId17"/>
      <w:headerReference w:type="default" r:id="rId18"/>
      <w:footerReference w:type="default" r:id="rId19"/>
      <w:headerReference w:type="first" r:id="rId20"/>
      <w:footerReference w:type="first" r:id="rId21"/>
      <w:pgSz w:w="12240" w:h="15840"/>
      <w:pgMar w:top="1985"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5C1" w:rsidRDefault="00AF55C1" w:rsidP="003B7751">
      <w:r>
        <w:separator/>
      </w:r>
    </w:p>
  </w:endnote>
  <w:endnote w:type="continuationSeparator" w:id="0">
    <w:p w:rsidR="00AF55C1" w:rsidRDefault="00AF55C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915113"/>
      <w:docPartObj>
        <w:docPartGallery w:val="Page Numbers (Bottom of Page)"/>
        <w:docPartUnique/>
      </w:docPartObj>
    </w:sdtPr>
    <w:sdtEndPr/>
    <w:sdtContent>
      <w:sdt>
        <w:sdtPr>
          <w:id w:val="695431554"/>
          <w:docPartObj>
            <w:docPartGallery w:val="Page Numbers (Top of Page)"/>
            <w:docPartUnique/>
          </w:docPartObj>
        </w:sdtPr>
        <w:sdtEndPr/>
        <w:sdtContent>
          <w:p w:rsidR="004B1D00" w:rsidRPr="002D6DD8" w:rsidRDefault="004B1D0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6CC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C6CC6">
              <w:rPr>
                <w:rFonts w:ascii="Palatino Linotype" w:hAnsi="Palatino Linotype"/>
                <w:bCs/>
                <w:noProof/>
                <w:sz w:val="20"/>
              </w:rPr>
              <w:t>84</w:t>
            </w:r>
            <w:r>
              <w:rPr>
                <w:rFonts w:ascii="Palatino Linotype" w:hAnsi="Palatino Linotype"/>
                <w:bCs/>
                <w:noProof/>
                <w:sz w:val="20"/>
              </w:rPr>
              <w:fldChar w:fldCharType="end"/>
            </w:r>
          </w:p>
        </w:sdtContent>
      </w:sdt>
    </w:sdtContent>
  </w:sdt>
  <w:p w:rsidR="004B1D00" w:rsidRDefault="004B1D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00" w:rsidRPr="000B69FA" w:rsidRDefault="004B1D0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6C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C6CC6">
      <w:rPr>
        <w:rFonts w:ascii="Palatino Linotype" w:hAnsi="Palatino Linotype"/>
        <w:bCs/>
        <w:noProof/>
        <w:sz w:val="20"/>
      </w:rPr>
      <w:t>84</w:t>
    </w:r>
    <w:r>
      <w:rPr>
        <w:rFonts w:ascii="Palatino Linotype" w:hAnsi="Palatino Linotype"/>
        <w:bCs/>
        <w:noProof/>
        <w:sz w:val="20"/>
      </w:rPr>
      <w:fldChar w:fldCharType="end"/>
    </w:r>
  </w:p>
  <w:p w:rsidR="004B1D00" w:rsidRDefault="004B1D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5C1" w:rsidRDefault="00AF55C1" w:rsidP="003B7751">
      <w:r>
        <w:separator/>
      </w:r>
    </w:p>
  </w:footnote>
  <w:footnote w:type="continuationSeparator" w:id="0">
    <w:p w:rsidR="00AF55C1" w:rsidRDefault="00AF55C1" w:rsidP="003B7751">
      <w:r>
        <w:continuationSeparator/>
      </w:r>
    </w:p>
  </w:footnote>
  <w:footnote w:id="1">
    <w:p w:rsidR="004B1D00" w:rsidRPr="00F75272" w:rsidRDefault="004B1D00"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B1D00" w:rsidRPr="00F24572" w:rsidRDefault="004B1D00">
      <w:pPr>
        <w:pStyle w:val="Textonotapie"/>
        <w:rPr>
          <w:lang w:val="es-MX"/>
        </w:rPr>
      </w:pPr>
      <w:r>
        <w:rPr>
          <w:rStyle w:val="Refdenotaalpie"/>
        </w:rPr>
        <w:footnoteRef/>
      </w:r>
      <w:r>
        <w:t xml:space="preserve"> </w:t>
      </w:r>
      <w:r w:rsidRPr="00F24572">
        <w:rPr>
          <w:sz w:val="18"/>
        </w:rPr>
        <w:t>http://sil.gobernacion.gob.mx/Glosario/definicionpop.php?ID=57</w:t>
      </w:r>
    </w:p>
  </w:footnote>
  <w:footnote w:id="3">
    <w:p w:rsidR="004B1D00" w:rsidRDefault="004B1D00" w:rsidP="00052F6E">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4B1D00" w:rsidRDefault="004B1D00" w:rsidP="00052F6E">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4">
    <w:p w:rsidR="004B1D00" w:rsidRDefault="004B1D00" w:rsidP="00052F6E">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rsidR="004B1D00" w:rsidRDefault="004B1D00" w:rsidP="00052F6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B1D00" w:rsidRDefault="004B1D00" w:rsidP="00052F6E">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B1D00" w:rsidRDefault="004B1D00" w:rsidP="00052F6E">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6">
    <w:p w:rsidR="004B1D00" w:rsidRDefault="004B1D00" w:rsidP="00052F6E">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7">
    <w:p w:rsidR="004B1D00" w:rsidRDefault="004B1D00" w:rsidP="00052F6E">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4B1D00" w:rsidRDefault="004B1D00" w:rsidP="00052F6E">
      <w:pPr>
        <w:pStyle w:val="Textonotapie"/>
        <w:jc w:val="both"/>
        <w:rPr>
          <w:rFonts w:ascii="Palatino Linotype" w:hAnsi="Palatino Linotype"/>
          <w:sz w:val="18"/>
        </w:rPr>
      </w:pPr>
      <w:r>
        <w:rPr>
          <w:rFonts w:ascii="Palatino Linotype" w:hAnsi="Palatino Linotype"/>
          <w:sz w:val="18"/>
        </w:rPr>
        <w:t xml:space="preserve"> (…)</w:t>
      </w:r>
    </w:p>
    <w:p w:rsidR="004B1D00" w:rsidRDefault="004B1D00" w:rsidP="00052F6E">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00" w:rsidRDefault="00AF55C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B1D00" w:rsidTr="006A04B6">
      <w:trPr>
        <w:trHeight w:val="227"/>
      </w:trPr>
      <w:tc>
        <w:tcPr>
          <w:tcW w:w="2976" w:type="dxa"/>
          <w:vAlign w:val="center"/>
          <w:hideMark/>
        </w:tcPr>
        <w:p w:rsidR="004B1D00" w:rsidRPr="00674A46" w:rsidRDefault="004B1D0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B1D00" w:rsidRPr="00485ED8" w:rsidRDefault="004B1D00" w:rsidP="00391A99">
          <w:pPr>
            <w:pStyle w:val="Encabezado"/>
            <w:rPr>
              <w:rFonts w:ascii="Palatino Linotype" w:hAnsi="Palatino Linotype"/>
              <w:b/>
              <w:sz w:val="22"/>
              <w:szCs w:val="22"/>
            </w:rPr>
          </w:pPr>
          <w:r>
            <w:rPr>
              <w:rFonts w:ascii="Palatino Linotype" w:hAnsi="Palatino Linotype" w:cs="Arial"/>
              <w:b/>
              <w:bCs/>
              <w:sz w:val="22"/>
              <w:szCs w:val="22"/>
              <w:lang w:eastAsia="es-MX"/>
            </w:rPr>
            <w:t>03793</w:t>
          </w:r>
          <w:r w:rsidRPr="00485ED8">
            <w:rPr>
              <w:rFonts w:ascii="Palatino Linotype" w:hAnsi="Palatino Linotype" w:cs="Arial"/>
              <w:b/>
              <w:bCs/>
              <w:sz w:val="22"/>
              <w:szCs w:val="22"/>
              <w:lang w:eastAsia="es-MX"/>
            </w:rPr>
            <w:t>/INFOEM/IP/RR/2020 y acumulados.</w:t>
          </w:r>
        </w:p>
      </w:tc>
    </w:tr>
    <w:tr w:rsidR="004B1D00" w:rsidTr="006A04B6">
      <w:trPr>
        <w:trHeight w:val="242"/>
      </w:trPr>
      <w:tc>
        <w:tcPr>
          <w:tcW w:w="2976" w:type="dxa"/>
          <w:vAlign w:val="center"/>
          <w:hideMark/>
        </w:tcPr>
        <w:p w:rsidR="004B1D00" w:rsidRPr="00674A46" w:rsidRDefault="004B1D0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B1D00" w:rsidRPr="00485ED8" w:rsidRDefault="004B1D00" w:rsidP="009F09BC">
          <w:pPr>
            <w:pStyle w:val="Encabezado"/>
            <w:jc w:val="both"/>
            <w:rPr>
              <w:rFonts w:ascii="Palatino Linotype" w:hAnsi="Palatino Linotype"/>
              <w:b/>
              <w:sz w:val="22"/>
              <w:szCs w:val="22"/>
            </w:rPr>
          </w:pPr>
          <w:r w:rsidRPr="00391A99">
            <w:rPr>
              <w:rFonts w:ascii="Palatino Linotype" w:hAnsi="Palatino Linotype"/>
              <w:b/>
              <w:bCs/>
              <w:color w:val="000000"/>
              <w:sz w:val="22"/>
              <w:szCs w:val="22"/>
            </w:rPr>
            <w:t>Ayuntamiento de Teoloyucan</w:t>
          </w:r>
        </w:p>
      </w:tc>
    </w:tr>
    <w:tr w:rsidR="004B1D00" w:rsidTr="006A04B6">
      <w:trPr>
        <w:trHeight w:val="342"/>
      </w:trPr>
      <w:tc>
        <w:tcPr>
          <w:tcW w:w="2976" w:type="dxa"/>
          <w:vAlign w:val="center"/>
          <w:hideMark/>
        </w:tcPr>
        <w:p w:rsidR="004B1D00" w:rsidRPr="00674A46" w:rsidRDefault="004B1D0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4B1D00" w:rsidRPr="00485ED8" w:rsidRDefault="004B1D0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B1D00" w:rsidRPr="00AE046A" w:rsidRDefault="00AF55C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B1D00" w:rsidTr="006A04B6">
      <w:trPr>
        <w:trHeight w:val="227"/>
      </w:trPr>
      <w:tc>
        <w:tcPr>
          <w:tcW w:w="2977" w:type="dxa"/>
          <w:vAlign w:val="center"/>
          <w:hideMark/>
        </w:tcPr>
        <w:p w:rsidR="004B1D00" w:rsidRPr="00674A46" w:rsidRDefault="004B1D0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B1D00" w:rsidRPr="00485ED8" w:rsidRDefault="004B1D00" w:rsidP="006A04B6">
          <w:pPr>
            <w:pStyle w:val="Encabezado"/>
            <w:rPr>
              <w:rFonts w:ascii="Palatino Linotype" w:hAnsi="Palatino Linotype"/>
              <w:b/>
              <w:sz w:val="22"/>
              <w:szCs w:val="22"/>
            </w:rPr>
          </w:pPr>
          <w:r>
            <w:rPr>
              <w:rFonts w:ascii="Palatino Linotype" w:hAnsi="Palatino Linotype" w:cs="Arial"/>
              <w:b/>
              <w:bCs/>
              <w:sz w:val="22"/>
              <w:szCs w:val="22"/>
              <w:lang w:eastAsia="es-MX"/>
            </w:rPr>
            <w:t>03793</w:t>
          </w:r>
          <w:r w:rsidRPr="00485ED8">
            <w:rPr>
              <w:rFonts w:ascii="Palatino Linotype" w:hAnsi="Palatino Linotype" w:cs="Arial"/>
              <w:b/>
              <w:bCs/>
              <w:sz w:val="22"/>
              <w:szCs w:val="22"/>
              <w:lang w:eastAsia="es-MX"/>
            </w:rPr>
            <w:t>/INFOEM/IP/RR/2020 y acumulados.</w:t>
          </w:r>
        </w:p>
      </w:tc>
    </w:tr>
    <w:tr w:rsidR="004B1D00" w:rsidTr="006A04B6">
      <w:trPr>
        <w:trHeight w:val="242"/>
      </w:trPr>
      <w:tc>
        <w:tcPr>
          <w:tcW w:w="2977" w:type="dxa"/>
          <w:vAlign w:val="center"/>
          <w:hideMark/>
        </w:tcPr>
        <w:p w:rsidR="004B1D00" w:rsidRPr="00674A46" w:rsidRDefault="004B1D0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4B1D00" w:rsidRPr="00B75F20" w:rsidRDefault="001C6CC6" w:rsidP="009F09BC">
          <w:pPr>
            <w:pStyle w:val="Encabezado"/>
            <w:tabs>
              <w:tab w:val="left" w:pos="521"/>
            </w:tabs>
            <w:rPr>
              <w:rFonts w:ascii="Palatino Linotype" w:hAnsi="Palatino Linotype"/>
              <w:b/>
              <w:sz w:val="22"/>
              <w:szCs w:val="22"/>
            </w:rPr>
          </w:pPr>
          <w:proofErr w:type="spellStart"/>
          <w:r w:rsidRPr="001C6CC6">
            <w:rPr>
              <w:rFonts w:ascii="Palatino Linotype" w:hAnsi="Palatino Linotype"/>
              <w:b/>
              <w:sz w:val="22"/>
              <w:szCs w:val="22"/>
            </w:rPr>
            <w:t>Xxxx</w:t>
          </w:r>
          <w:proofErr w:type="spellEnd"/>
          <w:r w:rsidRPr="001C6CC6">
            <w:rPr>
              <w:rFonts w:ascii="Palatino Linotype" w:hAnsi="Palatino Linotype"/>
              <w:b/>
              <w:sz w:val="22"/>
              <w:szCs w:val="22"/>
            </w:rPr>
            <w:t xml:space="preserve"> </w:t>
          </w:r>
          <w:proofErr w:type="spellStart"/>
          <w:r w:rsidRPr="001C6CC6">
            <w:rPr>
              <w:rFonts w:ascii="Palatino Linotype" w:hAnsi="Palatino Linotype"/>
              <w:b/>
              <w:sz w:val="22"/>
              <w:szCs w:val="22"/>
            </w:rPr>
            <w:t>Xxxxx</w:t>
          </w:r>
          <w:proofErr w:type="spellEnd"/>
          <w:r w:rsidRPr="001C6CC6">
            <w:rPr>
              <w:rFonts w:ascii="Palatino Linotype" w:hAnsi="Palatino Linotype"/>
              <w:b/>
              <w:sz w:val="22"/>
              <w:szCs w:val="22"/>
            </w:rPr>
            <w:t xml:space="preserve"> </w:t>
          </w:r>
          <w:proofErr w:type="spellStart"/>
          <w:r w:rsidRPr="001C6CC6">
            <w:rPr>
              <w:rFonts w:ascii="Palatino Linotype" w:hAnsi="Palatino Linotype"/>
              <w:b/>
              <w:sz w:val="22"/>
              <w:szCs w:val="22"/>
            </w:rPr>
            <w:t>Xxxx</w:t>
          </w:r>
          <w:proofErr w:type="spellEnd"/>
          <w:r w:rsidRPr="001C6CC6">
            <w:rPr>
              <w:rFonts w:ascii="Palatino Linotype" w:hAnsi="Palatino Linotype"/>
              <w:b/>
              <w:sz w:val="22"/>
              <w:szCs w:val="22"/>
            </w:rPr>
            <w:t xml:space="preserve"> </w:t>
          </w:r>
          <w:proofErr w:type="spellStart"/>
          <w:r w:rsidRPr="001C6CC6">
            <w:rPr>
              <w:rFonts w:ascii="Palatino Linotype" w:hAnsi="Palatino Linotype"/>
              <w:b/>
              <w:sz w:val="22"/>
              <w:szCs w:val="22"/>
            </w:rPr>
            <w:t>Xxxx</w:t>
          </w:r>
          <w:proofErr w:type="spellEnd"/>
        </w:p>
      </w:tc>
    </w:tr>
    <w:tr w:rsidR="004B1D00" w:rsidTr="006A04B6">
      <w:trPr>
        <w:trHeight w:val="342"/>
      </w:trPr>
      <w:tc>
        <w:tcPr>
          <w:tcW w:w="2977" w:type="dxa"/>
          <w:vAlign w:val="center"/>
        </w:tcPr>
        <w:p w:rsidR="004B1D00" w:rsidRPr="00674A46" w:rsidRDefault="004B1D0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B1D00" w:rsidRPr="00674A46" w:rsidRDefault="004B1D00" w:rsidP="009F09BC">
          <w:pPr>
            <w:pStyle w:val="Encabezado"/>
            <w:jc w:val="both"/>
            <w:rPr>
              <w:rFonts w:ascii="Palatino Linotype" w:hAnsi="Palatino Linotype"/>
              <w:b/>
              <w:sz w:val="22"/>
              <w:szCs w:val="22"/>
            </w:rPr>
          </w:pPr>
          <w:r w:rsidRPr="00391A99">
            <w:rPr>
              <w:rFonts w:ascii="Palatino Linotype" w:hAnsi="Palatino Linotype"/>
              <w:b/>
              <w:bCs/>
              <w:color w:val="000000"/>
              <w:sz w:val="22"/>
              <w:szCs w:val="22"/>
            </w:rPr>
            <w:t>Ayuntamiento de Teoloyucan</w:t>
          </w:r>
        </w:p>
      </w:tc>
    </w:tr>
    <w:tr w:rsidR="004B1D00" w:rsidTr="006A04B6">
      <w:trPr>
        <w:trHeight w:val="342"/>
      </w:trPr>
      <w:tc>
        <w:tcPr>
          <w:tcW w:w="2977" w:type="dxa"/>
          <w:vAlign w:val="center"/>
        </w:tcPr>
        <w:p w:rsidR="004B1D00" w:rsidRPr="00674A46" w:rsidRDefault="004B1D0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B1D00" w:rsidRPr="00674A46" w:rsidRDefault="004B1D0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B1D00" w:rsidRPr="00C222C0" w:rsidRDefault="00AF55C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5A52B4"/>
    <w:multiLevelType w:val="hybridMultilevel"/>
    <w:tmpl w:val="358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6638E57E"/>
    <w:lvl w:ilvl="0" w:tplc="F5C4018E">
      <w:start w:val="1"/>
      <w:numFmt w:val="decimal"/>
      <w:lvlText w:val="%1."/>
      <w:lvlJc w:val="left"/>
      <w:pPr>
        <w:ind w:left="360" w:hanging="360"/>
      </w:pPr>
      <w:rPr>
        <w:rFonts w:ascii="Palatino Linotype" w:hAnsi="Palatino Linotype" w:hint="default"/>
        <w:b/>
        <w:i w:val="0"/>
        <w:color w:val="auto"/>
        <w:sz w:val="24"/>
      </w:rPr>
    </w:lvl>
    <w:lvl w:ilvl="1" w:tplc="B0288D1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AD262D"/>
    <w:multiLevelType w:val="hybridMultilevel"/>
    <w:tmpl w:val="F940C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C95F94"/>
    <w:multiLevelType w:val="hybridMultilevel"/>
    <w:tmpl w:val="E684DEB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459A6B7D"/>
    <w:multiLevelType w:val="hybridMultilevel"/>
    <w:tmpl w:val="4C328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DB2537"/>
    <w:multiLevelType w:val="hybridMultilevel"/>
    <w:tmpl w:val="1EDAD244"/>
    <w:lvl w:ilvl="0" w:tplc="F8A6B0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7D78E4"/>
    <w:multiLevelType w:val="hybridMultilevel"/>
    <w:tmpl w:val="1ED4F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BF2B57"/>
    <w:multiLevelType w:val="hybridMultilevel"/>
    <w:tmpl w:val="C956A062"/>
    <w:lvl w:ilvl="0" w:tplc="EC7A8CE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AF3DB4"/>
    <w:multiLevelType w:val="hybridMultilevel"/>
    <w:tmpl w:val="B184C85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12"/>
  </w:num>
  <w:num w:numId="3">
    <w:abstractNumId w:val="0"/>
  </w:num>
  <w:num w:numId="4">
    <w:abstractNumId w:val="9"/>
  </w:num>
  <w:num w:numId="5">
    <w:abstractNumId w:val="8"/>
  </w:num>
  <w:num w:numId="6">
    <w:abstractNumId w:val="11"/>
  </w:num>
  <w:num w:numId="7">
    <w:abstractNumId w:val="1"/>
  </w:num>
  <w:num w:numId="8">
    <w:abstractNumId w:val="7"/>
  </w:num>
  <w:num w:numId="9">
    <w:abstractNumId w:val="6"/>
  </w:num>
  <w:num w:numId="10">
    <w:abstractNumId w:val="4"/>
  </w:num>
  <w:num w:numId="11">
    <w:abstractNumId w:val="5"/>
  </w:num>
  <w:num w:numId="12">
    <w:abstractNumId w:val="3"/>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10C43"/>
    <w:rsid w:val="0001674C"/>
    <w:rsid w:val="00020780"/>
    <w:rsid w:val="00030FBC"/>
    <w:rsid w:val="000373F6"/>
    <w:rsid w:val="00052F6E"/>
    <w:rsid w:val="000764F1"/>
    <w:rsid w:val="00076E2E"/>
    <w:rsid w:val="0008243D"/>
    <w:rsid w:val="000E1A02"/>
    <w:rsid w:val="000F4422"/>
    <w:rsid w:val="00113DF1"/>
    <w:rsid w:val="00114502"/>
    <w:rsid w:val="0012189D"/>
    <w:rsid w:val="00123CA3"/>
    <w:rsid w:val="001352F5"/>
    <w:rsid w:val="0015762C"/>
    <w:rsid w:val="00164B7C"/>
    <w:rsid w:val="00174705"/>
    <w:rsid w:val="00176A25"/>
    <w:rsid w:val="001A18E7"/>
    <w:rsid w:val="001C4290"/>
    <w:rsid w:val="001C6CC6"/>
    <w:rsid w:val="001C6E9B"/>
    <w:rsid w:val="001D23C1"/>
    <w:rsid w:val="001D373F"/>
    <w:rsid w:val="001D5404"/>
    <w:rsid w:val="00223C06"/>
    <w:rsid w:val="0022448C"/>
    <w:rsid w:val="00260829"/>
    <w:rsid w:val="00277FAC"/>
    <w:rsid w:val="002836AD"/>
    <w:rsid w:val="002901F4"/>
    <w:rsid w:val="00291500"/>
    <w:rsid w:val="002B53B5"/>
    <w:rsid w:val="002C0D3C"/>
    <w:rsid w:val="002F24B7"/>
    <w:rsid w:val="0030094A"/>
    <w:rsid w:val="003023D1"/>
    <w:rsid w:val="00312281"/>
    <w:rsid w:val="00323FFD"/>
    <w:rsid w:val="003437D9"/>
    <w:rsid w:val="00353F1D"/>
    <w:rsid w:val="003833B3"/>
    <w:rsid w:val="00391A99"/>
    <w:rsid w:val="003A15C8"/>
    <w:rsid w:val="003B0D67"/>
    <w:rsid w:val="003B7751"/>
    <w:rsid w:val="003C01BB"/>
    <w:rsid w:val="003C13F1"/>
    <w:rsid w:val="003E5AC0"/>
    <w:rsid w:val="00407FDA"/>
    <w:rsid w:val="004118FA"/>
    <w:rsid w:val="004150A6"/>
    <w:rsid w:val="00417409"/>
    <w:rsid w:val="00437672"/>
    <w:rsid w:val="00456CFF"/>
    <w:rsid w:val="00471CD5"/>
    <w:rsid w:val="0048081D"/>
    <w:rsid w:val="0048524D"/>
    <w:rsid w:val="004960F6"/>
    <w:rsid w:val="004B1D00"/>
    <w:rsid w:val="004C4D8C"/>
    <w:rsid w:val="004E4EE6"/>
    <w:rsid w:val="004E6CE4"/>
    <w:rsid w:val="004F34D1"/>
    <w:rsid w:val="00501AD0"/>
    <w:rsid w:val="005246D9"/>
    <w:rsid w:val="00541F7E"/>
    <w:rsid w:val="00546076"/>
    <w:rsid w:val="00547ACE"/>
    <w:rsid w:val="005507B0"/>
    <w:rsid w:val="00554A21"/>
    <w:rsid w:val="00554A4C"/>
    <w:rsid w:val="00554E6F"/>
    <w:rsid w:val="00556E0A"/>
    <w:rsid w:val="00563F2E"/>
    <w:rsid w:val="0057514F"/>
    <w:rsid w:val="005A7F80"/>
    <w:rsid w:val="005B076D"/>
    <w:rsid w:val="005B47A9"/>
    <w:rsid w:val="005C5021"/>
    <w:rsid w:val="005C6C13"/>
    <w:rsid w:val="005D22CE"/>
    <w:rsid w:val="005D4C57"/>
    <w:rsid w:val="00620AA2"/>
    <w:rsid w:val="00627ED1"/>
    <w:rsid w:val="00631FE6"/>
    <w:rsid w:val="006445CA"/>
    <w:rsid w:val="00647F7C"/>
    <w:rsid w:val="00657639"/>
    <w:rsid w:val="00657F9E"/>
    <w:rsid w:val="00660C5A"/>
    <w:rsid w:val="006621B4"/>
    <w:rsid w:val="0069135E"/>
    <w:rsid w:val="006A04B6"/>
    <w:rsid w:val="006A6390"/>
    <w:rsid w:val="006D15D0"/>
    <w:rsid w:val="006D6CC1"/>
    <w:rsid w:val="006E7397"/>
    <w:rsid w:val="00706764"/>
    <w:rsid w:val="00711062"/>
    <w:rsid w:val="00716BCA"/>
    <w:rsid w:val="00720371"/>
    <w:rsid w:val="007724FF"/>
    <w:rsid w:val="007851DB"/>
    <w:rsid w:val="007A4551"/>
    <w:rsid w:val="007A6A1A"/>
    <w:rsid w:val="007E522C"/>
    <w:rsid w:val="00826A79"/>
    <w:rsid w:val="008526F4"/>
    <w:rsid w:val="008563C8"/>
    <w:rsid w:val="008573BF"/>
    <w:rsid w:val="00857695"/>
    <w:rsid w:val="00873EB6"/>
    <w:rsid w:val="008A1911"/>
    <w:rsid w:val="008A6C98"/>
    <w:rsid w:val="008B0637"/>
    <w:rsid w:val="008C7CFC"/>
    <w:rsid w:val="008D1B80"/>
    <w:rsid w:val="008E330F"/>
    <w:rsid w:val="008E6574"/>
    <w:rsid w:val="008F6D18"/>
    <w:rsid w:val="00901A69"/>
    <w:rsid w:val="00901DDF"/>
    <w:rsid w:val="00911A75"/>
    <w:rsid w:val="009126F1"/>
    <w:rsid w:val="00916911"/>
    <w:rsid w:val="009335F9"/>
    <w:rsid w:val="00945135"/>
    <w:rsid w:val="009514F5"/>
    <w:rsid w:val="0096403E"/>
    <w:rsid w:val="00984EC4"/>
    <w:rsid w:val="009D00DE"/>
    <w:rsid w:val="009D5A32"/>
    <w:rsid w:val="009F09BC"/>
    <w:rsid w:val="00A23E82"/>
    <w:rsid w:val="00A510D0"/>
    <w:rsid w:val="00A53282"/>
    <w:rsid w:val="00A556EB"/>
    <w:rsid w:val="00A626EB"/>
    <w:rsid w:val="00A65C6B"/>
    <w:rsid w:val="00A72116"/>
    <w:rsid w:val="00A734E2"/>
    <w:rsid w:val="00A735C1"/>
    <w:rsid w:val="00A745B4"/>
    <w:rsid w:val="00A92FF1"/>
    <w:rsid w:val="00AB5518"/>
    <w:rsid w:val="00AD316E"/>
    <w:rsid w:val="00AD63B4"/>
    <w:rsid w:val="00AE4108"/>
    <w:rsid w:val="00AF55C1"/>
    <w:rsid w:val="00B44207"/>
    <w:rsid w:val="00B77E1D"/>
    <w:rsid w:val="00BC1992"/>
    <w:rsid w:val="00BE7B17"/>
    <w:rsid w:val="00BF0891"/>
    <w:rsid w:val="00BF3FB5"/>
    <w:rsid w:val="00C0715F"/>
    <w:rsid w:val="00C105CC"/>
    <w:rsid w:val="00C14F2A"/>
    <w:rsid w:val="00C45381"/>
    <w:rsid w:val="00C47707"/>
    <w:rsid w:val="00C54732"/>
    <w:rsid w:val="00C54D99"/>
    <w:rsid w:val="00C84CCC"/>
    <w:rsid w:val="00C85E64"/>
    <w:rsid w:val="00C87396"/>
    <w:rsid w:val="00C90814"/>
    <w:rsid w:val="00C91F0F"/>
    <w:rsid w:val="00C9632E"/>
    <w:rsid w:val="00CA1063"/>
    <w:rsid w:val="00CC5B2F"/>
    <w:rsid w:val="00CE0D53"/>
    <w:rsid w:val="00CF4A4A"/>
    <w:rsid w:val="00D01E30"/>
    <w:rsid w:val="00D021A5"/>
    <w:rsid w:val="00D16FC7"/>
    <w:rsid w:val="00D35301"/>
    <w:rsid w:val="00D469F5"/>
    <w:rsid w:val="00D47231"/>
    <w:rsid w:val="00D56B4C"/>
    <w:rsid w:val="00D6224B"/>
    <w:rsid w:val="00D81329"/>
    <w:rsid w:val="00DA6D37"/>
    <w:rsid w:val="00DB753F"/>
    <w:rsid w:val="00DC753F"/>
    <w:rsid w:val="00DE1AB8"/>
    <w:rsid w:val="00E118BA"/>
    <w:rsid w:val="00E17429"/>
    <w:rsid w:val="00E230C8"/>
    <w:rsid w:val="00E56172"/>
    <w:rsid w:val="00E5636B"/>
    <w:rsid w:val="00E566C9"/>
    <w:rsid w:val="00E61DA9"/>
    <w:rsid w:val="00E92E04"/>
    <w:rsid w:val="00EB407B"/>
    <w:rsid w:val="00ED1D6B"/>
    <w:rsid w:val="00ED3A35"/>
    <w:rsid w:val="00ED6E75"/>
    <w:rsid w:val="00EF157B"/>
    <w:rsid w:val="00F24572"/>
    <w:rsid w:val="00F24A04"/>
    <w:rsid w:val="00F3213A"/>
    <w:rsid w:val="00F35674"/>
    <w:rsid w:val="00F35B0C"/>
    <w:rsid w:val="00F42ADB"/>
    <w:rsid w:val="00F46221"/>
    <w:rsid w:val="00F7371C"/>
    <w:rsid w:val="00F7564C"/>
    <w:rsid w:val="00F946B5"/>
    <w:rsid w:val="00FC28F5"/>
    <w:rsid w:val="00FC5C50"/>
    <w:rsid w:val="00FD2FA4"/>
    <w:rsid w:val="00FE3FBE"/>
    <w:rsid w:val="00FE6761"/>
    <w:rsid w:val="00FF2F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7">
    <w:name w:val="Tabla con cuadrícula27"/>
    <w:basedOn w:val="Tablanormal"/>
    <w:next w:val="Tablaconcuadrcula"/>
    <w:uiPriority w:val="39"/>
    <w:rsid w:val="002836AD"/>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archivo.uc3m.es/bitstream/handle/10016/26545/WF-18-03.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94119-BB64-4E23-BB86-F8F4D7DE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Pages>
  <Words>17540</Words>
  <Characters>96476</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cp:lastModifiedBy>
  <cp:revision>28</cp:revision>
  <cp:lastPrinted>2021-10-04T22:50:00Z</cp:lastPrinted>
  <dcterms:created xsi:type="dcterms:W3CDTF">2021-09-21T23:03:00Z</dcterms:created>
  <dcterms:modified xsi:type="dcterms:W3CDTF">2021-11-04T00:11:00Z</dcterms:modified>
</cp:coreProperties>
</file>