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Resolución del Pleno del Instituto de Transparencia, Acceso a la Información Pública y Protección de Datos Personales del Estado de México y Municipios, con domicilio en Metepec, Estado de México, de fecha </w:t>
      </w:r>
      <w:r w:rsidDel="00000000" w:rsidR="00000000" w:rsidRPr="00000000">
        <w:rPr>
          <w:rFonts w:ascii="Palatino Linotype" w:cs="Palatino Linotype" w:eastAsia="Palatino Linotype" w:hAnsi="Palatino Linotype"/>
          <w:b w:val="1"/>
          <w:rtl w:val="0"/>
        </w:rPr>
        <w:t xml:space="preserve">veintinueve de septiembre del dos mil veintiuno</w:t>
      </w:r>
      <w:r w:rsidDel="00000000" w:rsidR="00000000" w:rsidRPr="00000000">
        <w:rPr>
          <w:rFonts w:ascii="Palatino Linotype" w:cs="Palatino Linotype" w:eastAsia="Palatino Linotype" w:hAnsi="Palatino Linotype"/>
          <w:rtl w:val="0"/>
        </w:rPr>
        <w:t xml:space="preserve">.</w:t>
      </w:r>
    </w:p>
    <w:p w:rsidR="00000000" w:rsidDel="00000000" w:rsidP="00000000" w:rsidRDefault="00000000" w:rsidRPr="00000000" w14:paraId="00000002">
      <w:pPr>
        <w:spacing w:after="240" w:before="240" w:line="360" w:lineRule="auto"/>
        <w:jc w:val="both"/>
        <w:rPr>
          <w:rFonts w:ascii="Palatino Linotype" w:cs="Palatino Linotype" w:eastAsia="Palatino Linotype" w:hAnsi="Palatino Linotype"/>
        </w:rPr>
      </w:pPr>
      <w:bookmarkStart w:colFirst="0" w:colLast="0" w:name="_heading=h.gjdgxs" w:id="0"/>
      <w:bookmarkEnd w:id="0"/>
      <w:r w:rsidDel="00000000" w:rsidR="00000000" w:rsidRPr="00000000">
        <w:rPr>
          <w:rFonts w:ascii="Palatino Linotype" w:cs="Palatino Linotype" w:eastAsia="Palatino Linotype" w:hAnsi="Palatino Linotype"/>
          <w:b w:val="1"/>
          <w:rtl w:val="0"/>
        </w:rPr>
        <w:t xml:space="preserve">Visto</w:t>
      </w:r>
      <w:r w:rsidDel="00000000" w:rsidR="00000000" w:rsidRPr="00000000">
        <w:rPr>
          <w:rFonts w:ascii="Palatino Linotype" w:cs="Palatino Linotype" w:eastAsia="Palatino Linotype" w:hAnsi="Palatino Linotype"/>
          <w:sz w:val="22"/>
          <w:szCs w:val="22"/>
          <w:rtl w:val="0"/>
        </w:rPr>
        <w:t xml:space="preserve"> </w:t>
      </w:r>
      <w:r w:rsidDel="00000000" w:rsidR="00000000" w:rsidRPr="00000000">
        <w:rPr>
          <w:rFonts w:ascii="Palatino Linotype" w:cs="Palatino Linotype" w:eastAsia="Palatino Linotype" w:hAnsi="Palatino Linotype"/>
          <w:rtl w:val="0"/>
        </w:rPr>
        <w:t xml:space="preserve">el expediente relativo al recurso de revisión </w:t>
      </w:r>
      <w:r w:rsidDel="00000000" w:rsidR="00000000" w:rsidRPr="00000000">
        <w:rPr>
          <w:rFonts w:ascii="Palatino Linotype" w:cs="Palatino Linotype" w:eastAsia="Palatino Linotype" w:hAnsi="Palatino Linotype"/>
          <w:b w:val="1"/>
          <w:sz w:val="22"/>
          <w:szCs w:val="22"/>
          <w:rtl w:val="0"/>
        </w:rPr>
        <w:t xml:space="preserve">04354/INFOEM/IP/RR/2021</w:t>
      </w:r>
      <w:r w:rsidDel="00000000" w:rsidR="00000000" w:rsidRPr="00000000">
        <w:rPr>
          <w:rFonts w:ascii="Palatino Linotype" w:cs="Palatino Linotype" w:eastAsia="Palatino Linotype" w:hAnsi="Palatino Linotype"/>
          <w:rtl w:val="0"/>
        </w:rPr>
        <w:t xml:space="preserve">, interpuesto por </w:t>
      </w:r>
      <w:r w:rsidDel="00000000" w:rsidR="00000000" w:rsidRPr="00000000">
        <w:rPr>
          <w:rFonts w:ascii="Palatino Linotype" w:cs="Palatino Linotype" w:eastAsia="Palatino Linotype" w:hAnsi="Palatino Linotype"/>
          <w:b w:val="1"/>
          <w:sz w:val="22"/>
          <w:szCs w:val="22"/>
          <w:rtl w:val="0"/>
        </w:rPr>
        <w:t xml:space="preserve">XXXXXXXXXXXXXXXX</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a quien en lo sucesivo se le denominará </w:t>
      </w:r>
      <w:r w:rsidDel="00000000" w:rsidR="00000000" w:rsidRPr="00000000">
        <w:rPr>
          <w:rFonts w:ascii="Palatino Linotype" w:cs="Palatino Linotype" w:eastAsia="Palatino Linotype" w:hAnsi="Palatino Linotype"/>
          <w:b w:val="1"/>
          <w:rtl w:val="0"/>
        </w:rPr>
        <w:t xml:space="preserve">la parte</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rtl w:val="0"/>
        </w:rPr>
        <w:t xml:space="preserve">en contra de la falta de respuesta a la solicitud de información con número de folio </w:t>
      </w:r>
      <w:r w:rsidDel="00000000" w:rsidR="00000000" w:rsidRPr="00000000">
        <w:rPr>
          <w:rFonts w:ascii="Palatino Linotype" w:cs="Palatino Linotype" w:eastAsia="Palatino Linotype" w:hAnsi="Palatino Linotype"/>
          <w:b w:val="1"/>
          <w:sz w:val="22"/>
          <w:szCs w:val="22"/>
          <w:rtl w:val="0"/>
        </w:rPr>
        <w:t xml:space="preserve">00059/FELIPRO/IP/2021</w:t>
      </w:r>
      <w:r w:rsidDel="00000000" w:rsidR="00000000" w:rsidRPr="00000000">
        <w:rPr>
          <w:rFonts w:ascii="Palatino Linotype" w:cs="Palatino Linotype" w:eastAsia="Palatino Linotype" w:hAnsi="Palatino Linotype"/>
          <w:rtl w:val="0"/>
        </w:rPr>
        <w:t xml:space="preserve">, del </w:t>
      </w:r>
      <w:r w:rsidDel="00000000" w:rsidR="00000000" w:rsidRPr="00000000">
        <w:rPr>
          <w:rFonts w:ascii="Palatino Linotype" w:cs="Palatino Linotype" w:eastAsia="Palatino Linotype" w:hAnsi="Palatino Linotype"/>
          <w:b w:val="1"/>
          <w:rtl w:val="0"/>
        </w:rPr>
        <w:t xml:space="preserve">Ayuntamiento de San Felipe del Progreso</w:t>
      </w:r>
      <w:r w:rsidDel="00000000" w:rsidR="00000000" w:rsidRPr="00000000">
        <w:rPr>
          <w:rFonts w:ascii="Palatino Linotype" w:cs="Palatino Linotype" w:eastAsia="Palatino Linotype" w:hAnsi="Palatino Linotype"/>
          <w:rtl w:val="0"/>
        </w:rPr>
        <w:t xml:space="preserve">, en lo sucesivo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se procede a dictar la presente resolución, con base en lo siguiente.</w:t>
      </w:r>
    </w:p>
    <w:p w:rsidR="00000000" w:rsidDel="00000000" w:rsidP="00000000" w:rsidRDefault="00000000" w:rsidRPr="00000000" w14:paraId="00000003">
      <w:pPr>
        <w:pStyle w:val="Heading2"/>
        <w:jc w:val="center"/>
        <w:rPr>
          <w:rFonts w:ascii="Palatino Linotype" w:cs="Palatino Linotype" w:eastAsia="Palatino Linotype" w:hAnsi="Palatino Linotype"/>
          <w:b w:val="1"/>
          <w:color w:val="000000"/>
          <w:sz w:val="24"/>
          <w:szCs w:val="24"/>
        </w:rPr>
      </w:pPr>
      <w:r w:rsidDel="00000000" w:rsidR="00000000" w:rsidRPr="00000000">
        <w:rPr>
          <w:rFonts w:ascii="Palatino Linotype" w:cs="Palatino Linotype" w:eastAsia="Palatino Linotype" w:hAnsi="Palatino Linotype"/>
          <w:b w:val="1"/>
          <w:color w:val="000000"/>
          <w:sz w:val="24"/>
          <w:szCs w:val="24"/>
          <w:rtl w:val="0"/>
        </w:rPr>
        <w:t xml:space="preserve">I. A N T E C E D E N T E S:</w:t>
      </w:r>
    </w:p>
    <w:p w:rsidR="00000000" w:rsidDel="00000000" w:rsidP="00000000" w:rsidRDefault="00000000" w:rsidRPr="00000000" w14:paraId="00000004">
      <w:pPr>
        <w:spacing w:after="240" w:before="24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1</w:t>
      </w:r>
      <w:r w:rsidDel="00000000" w:rsidR="00000000" w:rsidRPr="00000000">
        <w:rPr>
          <w:rFonts w:ascii="Palatino Linotype" w:cs="Palatino Linotype" w:eastAsia="Palatino Linotype" w:hAnsi="Palatino Linotype"/>
          <w:b w:val="1"/>
          <w:sz w:val="28"/>
          <w:szCs w:val="28"/>
          <w:rtl w:val="0"/>
        </w:rPr>
        <w:t xml:space="preserve">. </w:t>
      </w:r>
      <w:r w:rsidDel="00000000" w:rsidR="00000000" w:rsidRPr="00000000">
        <w:rPr>
          <w:rFonts w:ascii="Palatino Linotype" w:cs="Palatino Linotype" w:eastAsia="Palatino Linotype" w:hAnsi="Palatino Linotype"/>
          <w:b w:val="1"/>
          <w:rtl w:val="0"/>
        </w:rPr>
        <w:t xml:space="preserve">Solicitud de acceso a la información.</w:t>
      </w:r>
      <w:r w:rsidDel="00000000" w:rsidR="00000000" w:rsidRPr="00000000">
        <w:rPr>
          <w:rFonts w:ascii="Palatino Linotype" w:cs="Palatino Linotype" w:eastAsia="Palatino Linotype" w:hAnsi="Palatino Linotype"/>
          <w:b w:val="1"/>
          <w:sz w:val="28"/>
          <w:szCs w:val="28"/>
          <w:rtl w:val="0"/>
        </w:rPr>
        <w:t xml:space="preserve"> </w:t>
      </w:r>
      <w:r w:rsidDel="00000000" w:rsidR="00000000" w:rsidRPr="00000000">
        <w:rPr>
          <w:rFonts w:ascii="Palatino Linotype" w:cs="Palatino Linotype" w:eastAsia="Palatino Linotype" w:hAnsi="Palatino Linotype"/>
          <w:rtl w:val="0"/>
        </w:rPr>
        <w:t xml:space="preserve">Con fecha cuatro</w:t>
      </w:r>
      <w:r w:rsidDel="00000000" w:rsidR="00000000" w:rsidRPr="00000000">
        <w:rPr>
          <w:rFonts w:ascii="Palatino Linotype" w:cs="Palatino Linotype" w:eastAsia="Palatino Linotype" w:hAnsi="Palatino Linotype"/>
          <w:b w:val="1"/>
          <w:rtl w:val="0"/>
        </w:rPr>
        <w:t xml:space="preserve"> de agosto de dos mil veintiuno</w:t>
      </w:r>
      <w:r w:rsidDel="00000000" w:rsidR="00000000" w:rsidRPr="00000000">
        <w:rPr>
          <w:rFonts w:ascii="Palatino Linotype" w:cs="Palatino Linotype" w:eastAsia="Palatino Linotype" w:hAnsi="Palatino Linotype"/>
          <w:rtl w:val="0"/>
        </w:rPr>
        <w:t xml:space="preserve">, la ahora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formuló solicitud de acceso a la información pública al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a través del Sistema de Acceso a la Información Mexiquense, en adelante </w:t>
      </w:r>
      <w:r w:rsidDel="00000000" w:rsidR="00000000" w:rsidRPr="00000000">
        <w:rPr>
          <w:rFonts w:ascii="Palatino Linotype" w:cs="Palatino Linotype" w:eastAsia="Palatino Linotype" w:hAnsi="Palatino Linotype"/>
          <w:b w:val="1"/>
          <w:rtl w:val="0"/>
        </w:rPr>
        <w:t xml:space="preserve">SAIMEX,</w:t>
      </w:r>
      <w:r w:rsidDel="00000000" w:rsidR="00000000" w:rsidRPr="00000000">
        <w:rPr>
          <w:rFonts w:ascii="Palatino Linotype" w:cs="Palatino Linotype" w:eastAsia="Palatino Linotype" w:hAnsi="Palatino Linotype"/>
          <w:rtl w:val="0"/>
        </w:rPr>
        <w:t xml:space="preserve"> requiriendo lo siguiente:</w:t>
      </w:r>
      <w:r w:rsidDel="00000000" w:rsidR="00000000" w:rsidRPr="00000000">
        <w:rPr>
          <w:rtl w:val="0"/>
        </w:rPr>
      </w:r>
    </w:p>
    <w:p w:rsidR="00000000" w:rsidDel="00000000" w:rsidP="00000000" w:rsidRDefault="00000000" w:rsidRPr="00000000" w14:paraId="00000005">
      <w:pPr>
        <w:spacing w:after="240" w:before="240" w:lineRule="auto"/>
        <w:ind w:left="851" w:right="902"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i w:val="1"/>
          <w:rtl w:val="0"/>
        </w:rPr>
        <w:t xml:space="preserve">“</w:t>
      </w:r>
      <w:r w:rsidDel="00000000" w:rsidR="00000000" w:rsidRPr="00000000">
        <w:rPr>
          <w:rFonts w:ascii="Palatino Linotype" w:cs="Palatino Linotype" w:eastAsia="Palatino Linotype" w:hAnsi="Palatino Linotype"/>
          <w:i w:val="1"/>
          <w:color w:val="000000"/>
          <w:rtl w:val="0"/>
        </w:rPr>
        <w:t xml:space="preserve">MUNICIPIO DE SAN FELIPE DEL PROGRESO, por medio del presente me permito solicitar la siguiente información 1.- Informe si realizo obra de encarpetamiento en la comunidad de Emilio Portes Gil con dirección a la comunidad de Santa Ana Ladera Municipio de Ixtlahuaca en el año 2020 a 2021 2.- Indique obras de encarpetamiento, remodelación, habilitación que haya realizado en la comunidad de Emilio portes Gil del municipio de San Felipe del Progreso, durante el año 2020 a 2021 3.- Mencione si la obra de encarpetamiento o remodelación, de la carretera Emilio Portes Gil del Municipio de San Felipe del Progreso, con dirección a Santa Ana la Ladera, municipio de Ixtlahuaca, fue realizado por el ayuntamiento de San Felipe del Progreso. 4.- Indique que dependencia u organismo llevo a cabo el encarpetamiento o remodelación de la carretera de la comunidad de Emilio Portes Gil, con dirección a Santa Ana La Ladera, comunidad de Ixtlahuaca. 5.- Informe si fue notificado por alguna dependencia u organismo, de la obra de encarpetamiento o remodelación, de la carretera Emilio Portes Gil del municipio de Ixtlahuaca, con dirección a Santa Ana la Ladera, municipio de Ixtlahuaca. 6.- Señale que dependencia u organismo le hizo del conocimiento del encarpetamiento o remodelación, de la carretera Emilio Portes Gil del municipio de Ixtlahuaca, con dirección a Santa Ana la Ladera, municipio de Ixtlahuaca. 7.- Indique si realizo obra de encarpetamiento o remodelación, de la carretera Emilio Portes Gil del municipio de Ixtlahuaca, con dirección a Santa Ana la Ladera, municipio de Ixtlahuaca, en relación con la imagen que se anexa. 8.- Proporcione el padrón de obras que se autorizaron por el cabildo de este municipio correspondientes al año dos mil veinte. 9.- Que indique en qué fecha se terminó el encarpetamiento de la carretera que comunica a la comunidad de Emilio Portes Gil Municipio de San Felipe del Progreso Estado de México a la comunidad de Santa Ana Ladera Municipio de Ixtlahuaca Estado de México.</w:t>
      </w:r>
      <w:r w:rsidDel="00000000" w:rsidR="00000000" w:rsidRPr="00000000">
        <w:rPr>
          <w:rFonts w:ascii="Palatino Linotype" w:cs="Palatino Linotype" w:eastAsia="Palatino Linotype" w:hAnsi="Palatino Linotype"/>
          <w:i w:val="1"/>
          <w:rtl w:val="0"/>
        </w:rPr>
        <w:t xml:space="preserve">” (sic)</w:t>
      </w:r>
      <w:r w:rsidDel="00000000" w:rsidR="00000000" w:rsidRPr="00000000">
        <w:rPr>
          <w:rtl w:val="0"/>
        </w:rPr>
      </w:r>
    </w:p>
    <w:p w:rsidR="00000000" w:rsidDel="00000000" w:rsidP="00000000" w:rsidRDefault="00000000" w:rsidRPr="00000000" w14:paraId="00000006">
      <w:pPr>
        <w:spacing w:after="240" w:before="24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rtl w:val="0"/>
        </w:rPr>
        <w:t xml:space="preserve">La parte solicitante indicó como modalidad de entrega el</w:t>
      </w:r>
      <w:r w:rsidDel="00000000" w:rsidR="00000000" w:rsidRPr="00000000">
        <w:rPr>
          <w:rFonts w:ascii="Palatino Linotype" w:cs="Palatino Linotype" w:eastAsia="Palatino Linotype" w:hAnsi="Palatino Linotype"/>
          <w:b w:val="1"/>
          <w:rtl w:val="0"/>
        </w:rPr>
        <w:t xml:space="preserve"> SAIMEX.</w:t>
      </w:r>
    </w:p>
    <w:p w:rsidR="00000000" w:rsidDel="00000000" w:rsidP="00000000" w:rsidRDefault="00000000" w:rsidRPr="00000000" w14:paraId="00000007">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2. Respuesta.</w:t>
      </w:r>
      <w:r w:rsidDel="00000000" w:rsidR="00000000" w:rsidRPr="00000000">
        <w:rPr>
          <w:rFonts w:ascii="Palatino Linotype" w:cs="Palatino Linotype" w:eastAsia="Palatino Linotype" w:hAnsi="Palatino Linotype"/>
          <w:b w:val="1"/>
          <w:sz w:val="22"/>
          <w:szCs w:val="22"/>
          <w:rtl w:val="0"/>
        </w:rPr>
        <w:t xml:space="preserve"> </w:t>
      </w:r>
      <w:r w:rsidDel="00000000" w:rsidR="00000000" w:rsidRPr="00000000">
        <w:rPr>
          <w:rFonts w:ascii="Palatino Linotype" w:cs="Palatino Linotype" w:eastAsia="Palatino Linotype" w:hAnsi="Palatino Linotype"/>
          <w:rtl w:val="0"/>
        </w:rPr>
        <w:t xml:space="preserve">Con base en el detalle de seguimiento que obra en el </w:t>
      </w:r>
      <w:r w:rsidDel="00000000" w:rsidR="00000000" w:rsidRPr="00000000">
        <w:rPr>
          <w:rFonts w:ascii="Palatino Linotype" w:cs="Palatino Linotype" w:eastAsia="Palatino Linotype" w:hAnsi="Palatino Linotype"/>
          <w:b w:val="1"/>
          <w:rtl w:val="0"/>
        </w:rPr>
        <w:t xml:space="preserve">SAIMEX, </w:t>
      </w:r>
      <w:r w:rsidDel="00000000" w:rsidR="00000000" w:rsidRPr="00000000">
        <w:rPr>
          <w:rFonts w:ascii="Palatino Linotype" w:cs="Palatino Linotype" w:eastAsia="Palatino Linotype" w:hAnsi="Palatino Linotype"/>
          <w:rtl w:val="0"/>
        </w:rPr>
        <w:t xml:space="preserve">se advierte que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omitió dar contestación a la solicitud de acceso a la información pública.</w:t>
      </w:r>
    </w:p>
    <w:p w:rsidR="00000000" w:rsidDel="00000000" w:rsidP="00000000" w:rsidRDefault="00000000" w:rsidRPr="00000000" w14:paraId="00000008">
      <w:pPr>
        <w:spacing w:after="240" w:before="240" w:line="360" w:lineRule="auto"/>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09">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3. Recurso de revisión</w:t>
      </w:r>
      <w:r w:rsidDel="00000000" w:rsidR="00000000" w:rsidRPr="00000000">
        <w:rPr>
          <w:rFonts w:ascii="Palatino Linotype" w:cs="Palatino Linotype" w:eastAsia="Palatino Linotype" w:hAnsi="Palatino Linotype"/>
          <w:b w:val="1"/>
          <w:sz w:val="28"/>
          <w:szCs w:val="28"/>
          <w:rtl w:val="0"/>
        </w:rPr>
        <w:t xml:space="preserve">.</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El recurso de revisión se interpuso a través del SAIMEX con fecha </w:t>
      </w:r>
      <w:r w:rsidDel="00000000" w:rsidR="00000000" w:rsidRPr="00000000">
        <w:rPr>
          <w:rFonts w:ascii="Palatino Linotype" w:cs="Palatino Linotype" w:eastAsia="Palatino Linotype" w:hAnsi="Palatino Linotype"/>
          <w:b w:val="1"/>
          <w:rtl w:val="0"/>
        </w:rPr>
        <w:t xml:space="preserve">treinta de agosto de dos mil veintiuno</w:t>
      </w:r>
      <w:r w:rsidDel="00000000" w:rsidR="00000000" w:rsidRPr="00000000">
        <w:rPr>
          <w:rFonts w:ascii="Palatino Linotype" w:cs="Palatino Linotype" w:eastAsia="Palatino Linotype" w:hAnsi="Palatino Linotype"/>
          <w:rtl w:val="0"/>
        </w:rPr>
        <w:t xml:space="preserve">, por parte del solicitante de información, quien expresó las siguientes manifestaciones:</w:t>
      </w:r>
    </w:p>
    <w:p w:rsidR="00000000" w:rsidDel="00000000" w:rsidP="00000000" w:rsidRDefault="00000000" w:rsidRPr="00000000" w14:paraId="0000000A">
      <w:pPr>
        <w:spacing w:after="240" w:before="240" w:line="360" w:lineRule="auto"/>
        <w:ind w:left="567"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a) Acto impugnado.</w:t>
      </w:r>
    </w:p>
    <w:p w:rsidR="00000000" w:rsidDel="00000000" w:rsidP="00000000" w:rsidRDefault="00000000" w:rsidRPr="00000000" w14:paraId="0000000B">
      <w:pPr>
        <w:spacing w:after="240" w:before="240" w:line="360" w:lineRule="auto"/>
        <w:ind w:left="992" w:right="1043"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i w:val="1"/>
          <w:rtl w:val="0"/>
        </w:rPr>
        <w:t xml:space="preserve">“la falta de contestación a la petición con folio 00060/FELIPRO/IP/2021” (sic)</w:t>
      </w:r>
      <w:r w:rsidDel="00000000" w:rsidR="00000000" w:rsidRPr="00000000">
        <w:rPr>
          <w:rtl w:val="0"/>
        </w:rPr>
      </w:r>
    </w:p>
    <w:p w:rsidR="00000000" w:rsidDel="00000000" w:rsidP="00000000" w:rsidRDefault="00000000" w:rsidRPr="00000000" w14:paraId="0000000C">
      <w:pPr>
        <w:spacing w:after="240" w:before="240" w:line="360" w:lineRule="auto"/>
        <w:ind w:left="567"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b) Motivos de inconformidad.</w:t>
      </w:r>
    </w:p>
    <w:p w:rsidR="00000000" w:rsidDel="00000000" w:rsidP="00000000" w:rsidRDefault="00000000" w:rsidRPr="00000000" w14:paraId="0000000D">
      <w:pPr>
        <w:spacing w:after="240" w:before="240" w:line="360" w:lineRule="auto"/>
        <w:ind w:lef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“se venció el termino de los quince días, que tiene la autoridad para dar contestación la petición con folio 00060/FELIPRO/IP/2021.” (sic)</w:t>
      </w:r>
    </w:p>
    <w:p w:rsidR="00000000" w:rsidDel="00000000" w:rsidP="00000000" w:rsidRDefault="00000000" w:rsidRPr="00000000" w14:paraId="0000000E">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4. Turno. </w:t>
      </w:r>
      <w:r w:rsidDel="00000000" w:rsidR="00000000" w:rsidRPr="00000000">
        <w:rPr>
          <w:rFonts w:ascii="Palatino Linotype" w:cs="Palatino Linotype" w:eastAsia="Palatino Linotype" w:hAnsi="Palatino Linotype"/>
          <w:rtl w:val="0"/>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por razón de turno fue asignado a la </w:t>
      </w:r>
      <w:r w:rsidDel="00000000" w:rsidR="00000000" w:rsidRPr="00000000">
        <w:rPr>
          <w:rFonts w:ascii="Palatino Linotype" w:cs="Palatino Linotype" w:eastAsia="Palatino Linotype" w:hAnsi="Palatino Linotype"/>
          <w:b w:val="1"/>
          <w:rtl w:val="0"/>
        </w:rPr>
        <w:t xml:space="preserve">Comisionada</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rtl w:val="0"/>
        </w:rPr>
        <w:t xml:space="preserve">Guadalupe Ramírez Peña </w:t>
      </w:r>
      <w:r w:rsidDel="00000000" w:rsidR="00000000" w:rsidRPr="00000000">
        <w:rPr>
          <w:rFonts w:ascii="Palatino Linotype" w:cs="Palatino Linotype" w:eastAsia="Palatino Linotype" w:hAnsi="Palatino Linotype"/>
          <w:rtl w:val="0"/>
        </w:rPr>
        <w:t xml:space="preserve">para su análisis, estudio, elaboración del proyecto y presentación ante el Pleno de este Instituto.</w:t>
      </w:r>
    </w:p>
    <w:p w:rsidR="00000000" w:rsidDel="00000000" w:rsidP="00000000" w:rsidRDefault="00000000" w:rsidRPr="00000000" w14:paraId="0000000F">
      <w:pPr>
        <w:spacing w:after="240" w:before="240" w:line="360" w:lineRule="auto"/>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10">
      <w:pPr>
        <w:spacing w:after="240" w:before="240" w:line="360" w:lineRule="auto"/>
        <w:jc w:val="both"/>
        <w:rPr/>
      </w:pPr>
      <w:r w:rsidDel="00000000" w:rsidR="00000000" w:rsidRPr="00000000">
        <w:rPr>
          <w:rFonts w:ascii="Palatino Linotype" w:cs="Palatino Linotype" w:eastAsia="Palatino Linotype" w:hAnsi="Palatino Linotype"/>
          <w:b w:val="1"/>
          <w:rtl w:val="0"/>
        </w:rPr>
        <w:t xml:space="preserve">5. Admisión. </w:t>
      </w:r>
      <w:r w:rsidDel="00000000" w:rsidR="00000000" w:rsidRPr="00000000">
        <w:rPr>
          <w:rFonts w:ascii="Palatino Linotype" w:cs="Palatino Linotype" w:eastAsia="Palatino Linotype" w:hAnsi="Palatino Linotype"/>
          <w:rtl w:val="0"/>
        </w:rPr>
        <w:t xml:space="preserve">Mediante auto de fecha </w:t>
      </w:r>
      <w:r w:rsidDel="00000000" w:rsidR="00000000" w:rsidRPr="00000000">
        <w:rPr>
          <w:rFonts w:ascii="Palatino Linotype" w:cs="Palatino Linotype" w:eastAsia="Palatino Linotype" w:hAnsi="Palatino Linotype"/>
          <w:b w:val="1"/>
          <w:rtl w:val="0"/>
        </w:rPr>
        <w:t xml:space="preserve">catorce de septiembre del año en curso</w:t>
      </w:r>
      <w:r w:rsidDel="00000000" w:rsidR="00000000" w:rsidRPr="00000000">
        <w:rPr>
          <w:rFonts w:ascii="Palatino Linotype" w:cs="Palatino Linotype" w:eastAsia="Palatino Linotype" w:hAnsi="Palatino Linotype"/>
          <w:rtl w:val="0"/>
        </w:rPr>
        <w:t xml:space="preserve">, este Órgano Garante, admitió a trámite el recurso de revisión respectivo, poniéndose a disposición de las partes, para que un plazo no mayor a siete días hábiles manifestase lo que a su derecho corresponda, a efecto de ofrecer pruebas, informe justificado y alegatos, lo anterior con fundamento en el artículo 185 fracciones I, II y IV de la Ley de Transparencia y Acceso a la Información Pública del Estado de México y Municipios. </w:t>
      </w:r>
      <w:r w:rsidDel="00000000" w:rsidR="00000000" w:rsidRPr="00000000">
        <w:rPr>
          <w:rtl w:val="0"/>
        </w:rPr>
      </w:r>
    </w:p>
    <w:p w:rsidR="00000000" w:rsidDel="00000000" w:rsidP="00000000" w:rsidRDefault="00000000" w:rsidRPr="00000000" w14:paraId="00000011">
      <w:pPr>
        <w:spacing w:after="240" w:before="240" w:line="360" w:lineRule="auto"/>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12">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6. Manifestaciones.</w:t>
      </w:r>
      <w:r w:rsidDel="00000000" w:rsidR="00000000" w:rsidRPr="00000000">
        <w:rPr>
          <w:sz w:val="22"/>
          <w:szCs w:val="22"/>
          <w:rtl w:val="0"/>
        </w:rPr>
        <w:t xml:space="preserve"> </w:t>
      </w:r>
      <w:r w:rsidDel="00000000" w:rsidR="00000000" w:rsidRPr="00000000">
        <w:rPr>
          <w:rFonts w:ascii="Palatino Linotype" w:cs="Palatino Linotype" w:eastAsia="Palatino Linotype" w:hAnsi="Palatino Linotype"/>
          <w:rtl w:val="0"/>
        </w:rPr>
        <w:t xml:space="preserve">De las constancias del expediente electrónico del</w:t>
      </w:r>
      <w:r w:rsidDel="00000000" w:rsidR="00000000" w:rsidRPr="00000000">
        <w:rPr>
          <w:rFonts w:ascii="Palatino Linotype" w:cs="Palatino Linotype" w:eastAsia="Palatino Linotype" w:hAnsi="Palatino Linotype"/>
          <w:b w:val="1"/>
          <w:rtl w:val="0"/>
        </w:rPr>
        <w:t xml:space="preserve"> SAIMEX</w:t>
      </w:r>
      <w:r w:rsidDel="00000000" w:rsidR="00000000" w:rsidRPr="00000000">
        <w:rPr>
          <w:rFonts w:ascii="Palatino Linotype" w:cs="Palatino Linotype" w:eastAsia="Palatino Linotype" w:hAnsi="Palatino Linotype"/>
          <w:rtl w:val="0"/>
        </w:rPr>
        <w:t xml:space="preserve">, se observa que, </w:t>
      </w:r>
      <w:r w:rsidDel="00000000" w:rsidR="00000000" w:rsidRPr="00000000">
        <w:rPr>
          <w:rFonts w:ascii="Palatino Linotype" w:cs="Palatino Linotype" w:eastAsia="Palatino Linotype" w:hAnsi="Palatino Linotype"/>
          <w:b w:val="1"/>
          <w:rtl w:val="0"/>
        </w:rPr>
        <w:t xml:space="preserve">la parte Recurrente</w:t>
      </w:r>
      <w:r w:rsidDel="00000000" w:rsidR="00000000" w:rsidRPr="00000000">
        <w:rPr>
          <w:rFonts w:ascii="Palatino Linotype" w:cs="Palatino Linotype" w:eastAsia="Palatino Linotype" w:hAnsi="Palatino Linotype"/>
          <w:rtl w:val="0"/>
        </w:rPr>
        <w:t xml:space="preserve"> y por lo que hace </w:t>
      </w:r>
      <w:r w:rsidDel="00000000" w:rsidR="00000000" w:rsidRPr="00000000">
        <w:rPr>
          <w:rFonts w:ascii="Palatino Linotype" w:cs="Palatino Linotype" w:eastAsia="Palatino Linotype" w:hAnsi="Palatino Linotype"/>
          <w:b w:val="1"/>
          <w:rtl w:val="0"/>
        </w:rPr>
        <w:t xml:space="preserve">al Sujeto Obligado</w:t>
      </w:r>
      <w:r w:rsidDel="00000000" w:rsidR="00000000" w:rsidRPr="00000000">
        <w:rPr>
          <w:rFonts w:ascii="Palatino Linotype" w:cs="Palatino Linotype" w:eastAsia="Palatino Linotype" w:hAnsi="Palatino Linotype"/>
          <w:rtl w:val="0"/>
        </w:rPr>
        <w:t xml:space="preserve">, se desprende que fueron omisos en presentar los alegatos o manifestaciones que a su derecho correspondieran, en el plazo previsto para ello.</w:t>
      </w:r>
    </w:p>
    <w:p w:rsidR="00000000" w:rsidDel="00000000" w:rsidP="00000000" w:rsidRDefault="00000000" w:rsidRPr="00000000" w14:paraId="00000013">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Pr>
        <w:drawing>
          <wp:inline distB="0" distT="0" distL="0" distR="0">
            <wp:extent cx="5577840" cy="1554480"/>
            <wp:effectExtent b="0" l="0" r="0" t="0"/>
            <wp:docPr id="37"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577840" cy="1554480"/>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spacing w:after="240" w:before="240" w:line="360" w:lineRule="auto"/>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15">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7. Cierre de Instrucción. </w:t>
      </w:r>
      <w:r w:rsidDel="00000000" w:rsidR="00000000" w:rsidRPr="00000000">
        <w:rPr>
          <w:rFonts w:ascii="Palatino Linotype" w:cs="Palatino Linotype" w:eastAsia="Palatino Linotype" w:hAnsi="Palatino Linotype"/>
          <w:rtl w:val="0"/>
        </w:rPr>
        <w:t xml:space="preserve">Una vez transcurrido el plazo otorgado para que las partes manifestaran lo que a su derecho conviniera, y siguiendo los trámites correspondientes con fundamento en el artículo 185 fracción VI de la Ley de Transparencia y Acceso a la Información Pública del Estado de México y Municipios, el día </w:t>
      </w:r>
      <w:r w:rsidDel="00000000" w:rsidR="00000000" w:rsidRPr="00000000">
        <w:rPr>
          <w:rFonts w:ascii="Palatino Linotype" w:cs="Palatino Linotype" w:eastAsia="Palatino Linotype" w:hAnsi="Palatino Linotype"/>
          <w:b w:val="1"/>
          <w:rtl w:val="0"/>
        </w:rPr>
        <w:t xml:space="preserve">________ de septiembre de dos mil veintiuno</w:t>
      </w:r>
      <w:r w:rsidDel="00000000" w:rsidR="00000000" w:rsidRPr="00000000">
        <w:rPr>
          <w:rFonts w:ascii="Palatino Linotype" w:cs="Palatino Linotype" w:eastAsia="Palatino Linotype" w:hAnsi="Palatino Linotype"/>
          <w:rtl w:val="0"/>
        </w:rPr>
        <w:t xml:space="preserve">, se procedió a decretar el cierre de instrucción respectivo y no existiendo diligencia pendiente de desahogo, se ordenó emitir la resolución que conforme a derecho proceda.</w:t>
      </w:r>
    </w:p>
    <w:p w:rsidR="00000000" w:rsidDel="00000000" w:rsidP="00000000" w:rsidRDefault="00000000" w:rsidRPr="00000000" w14:paraId="00000016">
      <w:pPr>
        <w:pStyle w:val="Heading2"/>
        <w:jc w:val="center"/>
        <w:rPr>
          <w:rFonts w:ascii="Palatino Linotype" w:cs="Palatino Linotype" w:eastAsia="Palatino Linotype" w:hAnsi="Palatino Linotype"/>
          <w:b w:val="1"/>
          <w:color w:val="000000"/>
          <w:sz w:val="24"/>
          <w:szCs w:val="24"/>
        </w:rPr>
      </w:pPr>
      <w:r w:rsidDel="00000000" w:rsidR="00000000" w:rsidRPr="00000000">
        <w:rPr>
          <w:rtl w:val="0"/>
        </w:rPr>
      </w:r>
    </w:p>
    <w:p w:rsidR="00000000" w:rsidDel="00000000" w:rsidP="00000000" w:rsidRDefault="00000000" w:rsidRPr="00000000" w14:paraId="00000017">
      <w:pPr>
        <w:pStyle w:val="Heading2"/>
        <w:jc w:val="center"/>
        <w:rPr>
          <w:rFonts w:ascii="Palatino Linotype" w:cs="Palatino Linotype" w:eastAsia="Palatino Linotype" w:hAnsi="Palatino Linotype"/>
          <w:b w:val="1"/>
          <w:color w:val="000000"/>
          <w:sz w:val="24"/>
          <w:szCs w:val="24"/>
        </w:rPr>
      </w:pPr>
      <w:r w:rsidDel="00000000" w:rsidR="00000000" w:rsidRPr="00000000">
        <w:rPr>
          <w:rFonts w:ascii="Palatino Linotype" w:cs="Palatino Linotype" w:eastAsia="Palatino Linotype" w:hAnsi="Palatino Linotype"/>
          <w:b w:val="1"/>
          <w:color w:val="000000"/>
          <w:sz w:val="24"/>
          <w:szCs w:val="24"/>
          <w:rtl w:val="0"/>
        </w:rPr>
        <w:t xml:space="preserve">II. C O N S I D E R A N D O S:</w:t>
      </w:r>
    </w:p>
    <w:p w:rsidR="00000000" w:rsidDel="00000000" w:rsidP="00000000" w:rsidRDefault="00000000" w:rsidRPr="00000000" w14:paraId="00000018">
      <w:pPr>
        <w:spacing w:after="240" w:before="24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PRIMERO. Competencia. </w:t>
      </w:r>
      <w:r w:rsidDel="00000000" w:rsidR="00000000" w:rsidRPr="00000000">
        <w:rPr>
          <w:rFonts w:ascii="Palatino Linotype" w:cs="Palatino Linotype" w:eastAsia="Palatino Linotype" w:hAnsi="Palatino Linotype"/>
          <w:highlight w:val="white"/>
          <w:rtl w:val="0"/>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noveno, trigésimo primero y trigésimo segundo fracción IV y V de la Constitución Política del Estado Libre y Soberano de México; 1, 2, fracción II; 13,  29, 36, fracciones I y II; 176, 178, 179, 181 párrafo 3 y 185 de la Ley Transparencia y Acceso a la Información Pública del Estado de México y Municipios; 9 fracciones I, XXIV y 11 del Reglamento Interior del Instituto de Transparencia, Acceso a la Información Pública y Protección de Datos Personales del Estado de México y Municipios.</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SEGUNDO. Oportunidad y Procediblidad del Recurso de Revisión.</w:t>
      </w: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Previo al estudio del fondo del asunto, se procede a analizar los requisitos de oportunidad y procedibilidad que debe reunir el recurso de revisión, previstos en los artículos 178 y 180 de la Ley de Transparencia y Acceso a la Información Pública del Estado de México y Municipios.</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Primeramente, es de precisar que la Ley de Transparencia y Acceso a la Información Pública del Estado de México y Municipios, describe el mecanismo de procedencia de los recursos de revisión, en ese sentido en su artículo 163 prevé lo siguiente:</w:t>
      </w:r>
    </w:p>
    <w:p w:rsidR="00000000" w:rsidDel="00000000" w:rsidP="00000000" w:rsidRDefault="00000000" w:rsidRPr="00000000" w14:paraId="0000001B">
      <w:pPr>
        <w:spacing w:after="24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163.</w:t>
      </w:r>
      <w:r w:rsidDel="00000000" w:rsidR="00000000" w:rsidRPr="00000000">
        <w:rPr>
          <w:rFonts w:ascii="Palatino Linotype" w:cs="Palatino Linotype" w:eastAsia="Palatino Linotype" w:hAnsi="Palatino Linotype"/>
          <w:i w:val="1"/>
          <w:sz w:val="22"/>
          <w:szCs w:val="22"/>
          <w:rtl w:val="0"/>
        </w:rPr>
        <w:t xml:space="preserve"> La Unidad de Transparencia deberá notificar la respuesta a la solicitud al interesado en el menor tiempo posible, que no podrá exceder de quince días hábiles, contados a partir del día siguiente a la presentación de aquélla.</w:t>
      </w:r>
    </w:p>
    <w:p w:rsidR="00000000" w:rsidDel="00000000" w:rsidP="00000000" w:rsidRDefault="00000000" w:rsidRPr="00000000" w14:paraId="0000001C">
      <w:pPr>
        <w:spacing w:after="24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Del precepto legal inserto se advierte que el plazo que le asiste a los sujetos obligados para notificar la respuesta a una solicitud de información pública es de quince días hábiles posteriores a la presentación de ésta.</w:t>
      </w:r>
    </w:p>
    <w:p w:rsidR="00000000" w:rsidDel="00000000" w:rsidP="00000000" w:rsidRDefault="00000000" w:rsidRPr="00000000" w14:paraId="0000001E">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Caso contrario, se actualiza lo que en la doctrina se conoce como negativa ficta, figura jurídica cuya esencia consiste en atribuir un efecto negativo al silencio de la autoridad administrativa frente a las instancias y solicitudes que hagan los particulares; bajo este supuesto, es importante destacar lo establecido en la Ley de Transparencia y Acceso a la Información Pública del Estado de México y Municipios, que señala en su artículo 166 párrafo cuarto:</w:t>
      </w:r>
    </w:p>
    <w:p w:rsidR="00000000" w:rsidDel="00000000" w:rsidP="00000000" w:rsidRDefault="00000000" w:rsidRPr="00000000" w14:paraId="0000001F">
      <w:pPr>
        <w:spacing w:after="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166. </w:t>
      </w:r>
      <w:r w:rsidDel="00000000" w:rsidR="00000000" w:rsidRPr="00000000">
        <w:rPr>
          <w:rFonts w:ascii="Palatino Linotype" w:cs="Palatino Linotype" w:eastAsia="Palatino Linotype" w:hAnsi="Palatino Linotype"/>
          <w:i w:val="1"/>
          <w:sz w:val="22"/>
          <w:szCs w:val="22"/>
          <w:rtl w:val="0"/>
        </w:rPr>
        <w:t xml:space="preserve">La obligación de acceso a la información pública se tendrá por cumplida cuando el solicitante tenga a su disposición la información requerida, o cuando realice la consulta de la misma en el lugar en el que ésta se localice.</w:t>
      </w:r>
    </w:p>
    <w:p w:rsidR="00000000" w:rsidDel="00000000" w:rsidP="00000000" w:rsidRDefault="00000000" w:rsidRPr="00000000" w14:paraId="00000020">
      <w:pPr>
        <w:spacing w:after="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21">
      <w:pPr>
        <w:spacing w:after="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Cuando el sujeto obligado no entregue la respuesta a la solicitud dentro del plazo previsto en la Ley, la solicitud se entenderá negada y el solicitante podrá interponer el recurso de revisión previsto en este ordenamiento.”</w:t>
      </w:r>
    </w:p>
    <w:p w:rsidR="00000000" w:rsidDel="00000000" w:rsidP="00000000" w:rsidRDefault="00000000" w:rsidRPr="00000000" w14:paraId="00000022">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lo anterior, se advierte que el recurso de revisión se ha de interponer dentro del plazo de quince días hábiles contados a partir del día siguiente en que el particular tiene conocimiento de la resolución respectiva, a partir de la fecha en que el Sujeto Obligado da respuesta a la solicitud de información; sin embargo, tratándose de negativa ficta no existe resolución que se haga del conocimiento del particular a partir de la cual pueda computarse dicho plazo, por lo que se concluye que la interposición de los recursos de revisión pueden ser en cualquier momento; postura que ha sido adoptada por este Órgano Garante mediante criterio número 001-15, aprobado por unanimidad del Pleno del Instituto de Transparencia, Acceso a la Información Pública y Protección de Datos Personales del Estado de México y Municipios, que establece:</w:t>
      </w:r>
    </w:p>
    <w:p w:rsidR="00000000" w:rsidDel="00000000" w:rsidP="00000000" w:rsidRDefault="00000000" w:rsidRPr="00000000" w14:paraId="00000023">
      <w:pPr>
        <w:spacing w:after="120" w:lineRule="auto"/>
        <w:ind w:left="851" w:right="902"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i w:val="1"/>
          <w:sz w:val="22"/>
          <w:szCs w:val="22"/>
          <w:rtl w:val="0"/>
        </w:rPr>
        <w:t xml:space="preserve">“CRITERIO 0001-15 NEGATIVA FICTA. PLAZO PARA INTERPONER EL RECURSO DE REVISIÓN TRATÁNDOSE DE</w:t>
      </w:r>
      <w:r w:rsidDel="00000000" w:rsidR="00000000" w:rsidRPr="00000000">
        <w:rPr>
          <w:rFonts w:ascii="Palatino Linotype" w:cs="Palatino Linotype" w:eastAsia="Palatino Linotype" w:hAnsi="Palatino Linotype"/>
          <w:i w:val="1"/>
          <w:sz w:val="22"/>
          <w:szCs w:val="22"/>
          <w:rtl w:val="0"/>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Del="00000000" w:rsidR="00000000" w:rsidRPr="00000000">
        <w:rPr>
          <w:rtl w:val="0"/>
        </w:rPr>
      </w:r>
    </w:p>
    <w:p w:rsidR="00000000" w:rsidDel="00000000" w:rsidP="00000000" w:rsidRDefault="00000000" w:rsidRPr="00000000" w14:paraId="00000024">
      <w:pPr>
        <w:spacing w:after="240" w:before="240" w:line="360" w:lineRule="auto"/>
        <w:jc w:val="both"/>
        <w:rPr>
          <w:rFonts w:ascii="Quattrocento Sans" w:cs="Quattrocento Sans" w:eastAsia="Quattrocento Sans" w:hAnsi="Quattrocento Sans"/>
        </w:rPr>
      </w:pPr>
      <w:r w:rsidDel="00000000" w:rsidR="00000000" w:rsidRPr="00000000">
        <w:rPr>
          <w:rFonts w:ascii="Palatino Linotype" w:cs="Palatino Linotype" w:eastAsia="Palatino Linotype" w:hAnsi="Palatino Linotype"/>
          <w:rtl w:val="0"/>
        </w:rPr>
        <w:t xml:space="preserve">Por lo anterior, se concluye la acreditación plena de todos y cada uno de los elementos formales exigidos por el artículo 180 de la Ley de Transparencia y Acceso a la Información Pública del Estado de México y Municipios, y en consecuencia resulta conforme a derecho entrar al estudio de fondo y resolver el presente medio de impugnación, al actualizarse lo dispuesto en los artículos 176 y 179 fracción VII del ordenamiento legal citado, que establecen los supuestos en que puede interponerse el recurso de revisión:</w:t>
      </w:r>
      <w:r w:rsidDel="00000000" w:rsidR="00000000" w:rsidRPr="00000000">
        <w:rPr>
          <w:rtl w:val="0"/>
        </w:rPr>
      </w:r>
    </w:p>
    <w:p w:rsidR="00000000" w:rsidDel="00000000" w:rsidP="00000000" w:rsidRDefault="00000000" w:rsidRPr="00000000" w14:paraId="00000025">
      <w:pPr>
        <w:spacing w:after="240" w:before="240" w:lineRule="auto"/>
        <w:ind w:left="567"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0"/>
          <w:szCs w:val="20"/>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“Artículo 176. </w:t>
      </w:r>
      <w:r w:rsidDel="00000000" w:rsidR="00000000" w:rsidRPr="00000000">
        <w:rPr>
          <w:rFonts w:ascii="Palatino Linotype" w:cs="Palatino Linotype" w:eastAsia="Palatino Linotype" w:hAnsi="Palatino Linotype"/>
          <w:i w:val="1"/>
          <w:sz w:val="22"/>
          <w:szCs w:val="22"/>
          <w:rtl w:val="0"/>
        </w:rPr>
        <w:t xml:space="preserve">El recurso de revisión  es la garantía secundaria mediante la cual se pretende reparar cualquier posible afectación al derecho de acceso a la información pública en términos del presente y siguiente Capítulo.</w:t>
      </w:r>
    </w:p>
    <w:p w:rsidR="00000000" w:rsidDel="00000000" w:rsidP="00000000" w:rsidRDefault="00000000" w:rsidRPr="00000000" w14:paraId="00000026">
      <w:pPr>
        <w:spacing w:after="240" w:before="240" w:lineRule="auto"/>
        <w:ind w:left="567"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179</w:t>
      </w:r>
      <w:r w:rsidDel="00000000" w:rsidR="00000000" w:rsidRPr="00000000">
        <w:rPr>
          <w:rFonts w:ascii="Palatino Linotype" w:cs="Palatino Linotype" w:eastAsia="Palatino Linotype" w:hAnsi="Palatino Linotype"/>
          <w:b w:val="1"/>
          <w:sz w:val="22"/>
          <w:szCs w:val="22"/>
          <w:rtl w:val="0"/>
        </w:rPr>
        <w:t xml:space="preserve">.-</w:t>
      </w:r>
      <w:r w:rsidDel="00000000" w:rsidR="00000000" w:rsidRPr="00000000">
        <w:rPr>
          <w:rFonts w:ascii="Bookman Old Style" w:cs="Bookman Old Style" w:eastAsia="Bookman Old Style" w:hAnsi="Bookman Old Style"/>
          <w:sz w:val="22"/>
          <w:szCs w:val="22"/>
          <w:rtl w:val="0"/>
        </w:rPr>
        <w:t xml:space="preserve"> </w:t>
      </w:r>
      <w:r w:rsidDel="00000000" w:rsidR="00000000" w:rsidRPr="00000000">
        <w:rPr>
          <w:rFonts w:ascii="Palatino Linotype" w:cs="Palatino Linotype" w:eastAsia="Palatino Linotype" w:hAnsi="Palatino Linotype"/>
          <w:i w:val="1"/>
          <w:sz w:val="22"/>
          <w:szCs w:val="22"/>
          <w:rtl w:val="0"/>
        </w:rPr>
        <w:t xml:space="preserve">El recurso de revisión es un medio de protección que la Ley otorga a los particulares, para hacer valer su derecho de acceso a la información pública, y procederá en contra de las siguientes causas:</w:t>
      </w:r>
    </w:p>
    <w:p w:rsidR="00000000" w:rsidDel="00000000" w:rsidP="00000000" w:rsidRDefault="00000000" w:rsidRPr="00000000" w14:paraId="00000027">
      <w:pPr>
        <w:spacing w:after="240" w:before="240" w:lineRule="auto"/>
        <w:ind w:left="567"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 VII. La falta de respuesta a una solicitud de acceso a la información</w:t>
      </w: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tl w:val="0"/>
        </w:rPr>
      </w:r>
    </w:p>
    <w:p w:rsidR="00000000" w:rsidDel="00000000" w:rsidP="00000000" w:rsidRDefault="00000000" w:rsidRPr="00000000" w14:paraId="00000028">
      <w:pPr>
        <w:spacing w:after="240" w:before="240" w:line="360" w:lineRule="auto"/>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29">
      <w:pPr>
        <w:spacing w:after="240" w:before="24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TERCERO. Materia de la revisión</w:t>
      </w:r>
      <w:r w:rsidDel="00000000" w:rsidR="00000000" w:rsidRPr="00000000">
        <w:rPr>
          <w:rFonts w:ascii="Palatino Linotype" w:cs="Palatino Linotype" w:eastAsia="Palatino Linotype" w:hAnsi="Palatino Linotype"/>
          <w:b w:val="1"/>
          <w:sz w:val="22"/>
          <w:szCs w:val="22"/>
          <w:rtl w:val="0"/>
        </w:rPr>
        <w:t xml:space="preserve">.</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En ese orden de ideas, este Órgano Garante procede al análisis de los agravios hechos valer por 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rtl w:val="0"/>
        </w:rPr>
        <w:t xml:space="preserve">a fin de determinar sí se violenta en perjuicio de éste, el derecho de acceso a la información previsto en la Constitución Política de los Estados Unidos Mexicanos y en la Constitución Política del Estado Libre y Soberano de México.</w:t>
      </w:r>
      <w:r w:rsidDel="00000000" w:rsidR="00000000" w:rsidRPr="00000000">
        <w:rPr>
          <w:rtl w:val="0"/>
        </w:rPr>
      </w:r>
    </w:p>
    <w:p w:rsidR="00000000" w:rsidDel="00000000" w:rsidP="00000000" w:rsidRDefault="00000000" w:rsidRPr="00000000" w14:paraId="0000002A">
      <w:pPr>
        <w:spacing w:after="240" w:before="240" w:line="360" w:lineRule="auto"/>
        <w:jc w:val="both"/>
        <w:rPr>
          <w:rFonts w:ascii="Palatino Linotype" w:cs="Palatino Linotype" w:eastAsia="Palatino Linotype" w:hAnsi="Palatino Linotype"/>
          <w:b w:val="1"/>
          <w:sz w:val="28"/>
          <w:szCs w:val="28"/>
        </w:rPr>
      </w:pPr>
      <w:r w:rsidDel="00000000" w:rsidR="00000000" w:rsidRPr="00000000">
        <w:rPr>
          <w:rFonts w:ascii="Palatino Linotype" w:cs="Palatino Linotype" w:eastAsia="Palatino Linotype" w:hAnsi="Palatino Linotype"/>
          <w:b w:val="1"/>
          <w:rtl w:val="0"/>
        </w:rPr>
        <w:t xml:space="preserve">CUARTO. Estudio del asunto. </w:t>
      </w:r>
      <w:r w:rsidDel="00000000" w:rsidR="00000000" w:rsidRPr="00000000">
        <w:rPr>
          <w:rFonts w:ascii="Palatino Linotype" w:cs="Palatino Linotype" w:eastAsia="Palatino Linotype" w:hAnsi="Palatino Linotype"/>
          <w:rtl w:val="0"/>
        </w:rPr>
        <w:t xml:space="preserve">De la revisión a las constancias que integran el expediente electrónico del SAIMEX, se tiene que se acredita la falta de respuesta a la solicitud de información, acción inconstitucional que vulnera el derecho de acceso a la información del particular.</w:t>
      </w:r>
      <w:r w:rsidDel="00000000" w:rsidR="00000000" w:rsidRPr="00000000">
        <w:rPr>
          <w:rtl w:val="0"/>
        </w:rPr>
      </w:r>
    </w:p>
    <w:p w:rsidR="00000000" w:rsidDel="00000000" w:rsidP="00000000" w:rsidRDefault="00000000" w:rsidRPr="00000000" w14:paraId="0000002B">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Toda vez que en términos del artículo 6 de la Constitución Política de los Estados Unidos Mexicanos, toda persona sin necesidad de acreditar interés alguno, tendrá acceso gratuito a la información pública en posesión de cualquier autoridad, entidad, órgano y organismo federal, estatal y municipal, la cual sólo podrá ser reservada temporalmente por razones de interés público en los términos que fijen las leyes, debiendo prevalecer en la interpretación del derecho el principio de máxima publicidad, de ahí que los sujetos obligados deban conservar sus documentos en archivos administrados actualizados.</w:t>
      </w:r>
    </w:p>
    <w:p w:rsidR="00000000" w:rsidDel="00000000" w:rsidP="00000000" w:rsidRDefault="00000000" w:rsidRPr="00000000" w14:paraId="0000002C">
      <w:pPr>
        <w:spacing w:after="240" w:before="240" w:line="360" w:lineRule="auto"/>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rtl w:val="0"/>
        </w:rPr>
        <w:t xml:space="preserve">Por su parte, el diverso 5 párrafo catorce fracción I de la Constitución Política del Estado Libre y Soberano de México dispone que </w:t>
      </w:r>
      <w:r w:rsidDel="00000000" w:rsidR="00000000" w:rsidRPr="00000000">
        <w:rPr>
          <w:rFonts w:ascii="Palatino Linotype" w:cs="Palatino Linotype" w:eastAsia="Palatino Linotype" w:hAnsi="Palatino Linotype"/>
          <w:i w:val="1"/>
          <w:rtl w:val="0"/>
        </w:rPr>
        <w:t xml:space="preserve">“toda la información en posesión de cualquier autoridad Estatal o Municipal, así como de los órganos autónomos, es pública, asimismo cualquier persona física, jurídica colectiva o sindicato que reciba o ejerza recursos públicos o realice actos de autoridad en el ámbito estatal o municipal es pública”.</w:t>
      </w:r>
    </w:p>
    <w:p w:rsidR="00000000" w:rsidDel="00000000" w:rsidP="00000000" w:rsidRDefault="00000000" w:rsidRPr="00000000" w14:paraId="0000002D">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Bajo dichos textos constitucionales, se arriba a la convicción de que el derecho de acceso a la información se garantiza mediante la elaboración, manejo y conservación del patrimonio documental y al reconocerse como un derecho fundamental es que todo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debe ceñir su actuar a la conservación patrimonial de sus archivos documentales y posteriormente facilitar el acceso de la información pública gubernamental.</w:t>
      </w:r>
    </w:p>
    <w:p w:rsidR="00000000" w:rsidDel="00000000" w:rsidP="00000000" w:rsidRDefault="00000000" w:rsidRPr="00000000" w14:paraId="0000002E">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Atendiendo a dichos preceptos jurídicos, el artículo 12 de la Ley de Transparencia y Acceso a la Información Pública del Estado de México y Municipios, establece que los sujetos obligados tienen el deber de satisfacer las solicitudes de acceso a la información que le sean formuladas, entregando la información pública que obre en sus archivos y en el estado en que se encuentre, más si se trata de información de interés público por ser relevante o beneficiosa para la sociedad o si esta contiene las actividades que llevan a cabo los sujetos obligados en el ejercicio de sus atribuciones.</w:t>
      </w:r>
    </w:p>
    <w:p w:rsidR="00000000" w:rsidDel="00000000" w:rsidP="00000000" w:rsidRDefault="00000000" w:rsidRPr="00000000" w14:paraId="0000002F">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Para tal efecto, es necesario aludir en primer lugar al procedimiento de búsqueda que deben seguir los sujetos obligados para la localización de la información, que se encuentra previsto en los artículos 162, 163, 164 y 165 de la Ley de la Materia que se insertan enseguida:</w:t>
      </w:r>
    </w:p>
    <w:p w:rsidR="00000000" w:rsidDel="00000000" w:rsidP="00000000" w:rsidRDefault="00000000" w:rsidRPr="00000000" w14:paraId="00000030">
      <w:pPr>
        <w:spacing w:after="120" w:lineRule="auto"/>
        <w:ind w:left="851" w:right="900"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b w:val="1"/>
          <w:i w:val="1"/>
          <w:sz w:val="20"/>
          <w:szCs w:val="20"/>
          <w:rtl w:val="0"/>
        </w:rPr>
        <w:t xml:space="preserve">“Artículo 162.</w:t>
      </w:r>
      <w:r w:rsidDel="00000000" w:rsidR="00000000" w:rsidRPr="00000000">
        <w:rPr>
          <w:rFonts w:ascii="Palatino Linotype" w:cs="Palatino Linotype" w:eastAsia="Palatino Linotype" w:hAnsi="Palatino Linotype"/>
          <w:i w:val="1"/>
          <w:sz w:val="20"/>
          <w:szCs w:val="20"/>
          <w:rtl w:val="0"/>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rsidR="00000000" w:rsidDel="00000000" w:rsidP="00000000" w:rsidRDefault="00000000" w:rsidRPr="00000000" w14:paraId="00000031">
      <w:pPr>
        <w:spacing w:after="120" w:lineRule="auto"/>
        <w:ind w:left="851" w:right="900"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b w:val="1"/>
          <w:i w:val="1"/>
          <w:sz w:val="20"/>
          <w:szCs w:val="20"/>
          <w:rtl w:val="0"/>
        </w:rPr>
        <w:t xml:space="preserve">Artículo 163.</w:t>
      </w:r>
      <w:r w:rsidDel="00000000" w:rsidR="00000000" w:rsidRPr="00000000">
        <w:rPr>
          <w:rFonts w:ascii="Palatino Linotype" w:cs="Palatino Linotype" w:eastAsia="Palatino Linotype" w:hAnsi="Palatino Linotype"/>
          <w:i w:val="1"/>
          <w:sz w:val="20"/>
          <w:szCs w:val="20"/>
          <w:rtl w:val="0"/>
        </w:rPr>
        <w:t xml:space="preserve"> La Unidad de Transparencia deberá notificar la respuesta a la solicitud al interesado en el menor tiempo posible, que no podrá exceder de quince días hábiles, contados a partir del día siguiente a la presentación de aquélla.  </w:t>
      </w:r>
    </w:p>
    <w:p w:rsidR="00000000" w:rsidDel="00000000" w:rsidP="00000000" w:rsidRDefault="00000000" w:rsidRPr="00000000" w14:paraId="00000032">
      <w:pPr>
        <w:spacing w:after="120" w:lineRule="auto"/>
        <w:ind w:left="851" w:right="900"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000000" w:rsidDel="00000000" w:rsidP="00000000" w:rsidRDefault="00000000" w:rsidRPr="00000000" w14:paraId="00000033">
      <w:pPr>
        <w:spacing w:after="120" w:lineRule="auto"/>
        <w:ind w:left="851" w:right="900"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b w:val="1"/>
          <w:i w:val="1"/>
          <w:sz w:val="20"/>
          <w:szCs w:val="20"/>
          <w:rtl w:val="0"/>
        </w:rPr>
        <w:t xml:space="preserve">Artículo 164.</w:t>
      </w:r>
      <w:r w:rsidDel="00000000" w:rsidR="00000000" w:rsidRPr="00000000">
        <w:rPr>
          <w:rFonts w:ascii="Palatino Linotype" w:cs="Palatino Linotype" w:eastAsia="Palatino Linotype" w:hAnsi="Palatino Linotype"/>
          <w:i w:val="1"/>
          <w:sz w:val="20"/>
          <w:szCs w:val="20"/>
          <w:rtl w:val="0"/>
        </w:rPr>
        <w:t xml:space="preserve"> El acceso se dará en la modalidad de entrega y, en su caso, de envío elegidos por el solicitante. Cuando la información no pueda entregarse o enviarse en la modalidad solicitada, el sujeto obligado deberá ofrecer otra u otras modalidades de entrega.  </w:t>
      </w:r>
    </w:p>
    <w:p w:rsidR="00000000" w:rsidDel="00000000" w:rsidP="00000000" w:rsidRDefault="00000000" w:rsidRPr="00000000" w14:paraId="00000034">
      <w:pPr>
        <w:spacing w:after="120" w:lineRule="auto"/>
        <w:ind w:left="851" w:right="900"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En cualquier caso, se deberá fundar y motivar la necesidad de ofrecer otras modalidades.  </w:t>
      </w:r>
    </w:p>
    <w:p w:rsidR="00000000" w:rsidDel="00000000" w:rsidP="00000000" w:rsidRDefault="00000000" w:rsidRPr="00000000" w14:paraId="00000035">
      <w:pPr>
        <w:spacing w:after="120" w:lineRule="auto"/>
        <w:ind w:left="851" w:right="900"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b w:val="1"/>
          <w:i w:val="1"/>
          <w:sz w:val="20"/>
          <w:szCs w:val="20"/>
          <w:rtl w:val="0"/>
        </w:rPr>
        <w:t xml:space="preserve">Artículo 165.</w:t>
      </w:r>
      <w:r w:rsidDel="00000000" w:rsidR="00000000" w:rsidRPr="00000000">
        <w:rPr>
          <w:rFonts w:ascii="Palatino Linotype" w:cs="Palatino Linotype" w:eastAsia="Palatino Linotype" w:hAnsi="Palatino Linotype"/>
          <w:i w:val="1"/>
          <w:sz w:val="20"/>
          <w:szCs w:val="20"/>
          <w:rtl w:val="0"/>
        </w:rPr>
        <w:t xml:space="preserve"> Los sujetos obligados establecerán la forma y términos en que darán trámite interno a las solicitudes en materia de acceso a la información…</w:t>
      </w:r>
    </w:p>
    <w:p w:rsidR="00000000" w:rsidDel="00000000" w:rsidP="00000000" w:rsidRDefault="00000000" w:rsidRPr="00000000" w14:paraId="00000036">
      <w:pPr>
        <w:spacing w:after="120" w:lineRule="auto"/>
        <w:ind w:left="851" w:right="900"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b w:val="1"/>
          <w:i w:val="1"/>
          <w:sz w:val="20"/>
          <w:szCs w:val="20"/>
          <w:rtl w:val="0"/>
        </w:rPr>
        <w:t xml:space="preserve">Artículo 51.</w:t>
      </w:r>
      <w:r w:rsidDel="00000000" w:rsidR="00000000" w:rsidRPr="00000000">
        <w:rPr>
          <w:rFonts w:ascii="Palatino Linotype" w:cs="Palatino Linotype" w:eastAsia="Palatino Linotype" w:hAnsi="Palatino Linotype"/>
          <w:i w:val="1"/>
          <w:sz w:val="20"/>
          <w:szCs w:val="20"/>
          <w:rtl w:val="0"/>
        </w:rPr>
        <w:t xml:space="preserve">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000000" w:rsidDel="00000000" w:rsidP="00000000" w:rsidRDefault="00000000" w:rsidRPr="00000000" w14:paraId="00000037">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Como se desprende, las Unidades de Transparencia deben garantizar que las solicitudes se turnen a todas el Áreas competentes que por sus facultades cuenten con la información con el objeto de que realicen una búsqueda exhaustiva y razonable, en el entendido de que es responsable de hacer las notificaciones correspondientes.</w:t>
      </w:r>
    </w:p>
    <w:p w:rsidR="00000000" w:rsidDel="00000000" w:rsidP="00000000" w:rsidRDefault="00000000" w:rsidRPr="00000000" w14:paraId="00000038">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ahí, que la Ley les permita establecer la forma y términos en que darán tramite interno a las solicitudes, siempre que se lleven a cabo todas las gestiones necesarias con el sujeto obligado para facilitar el acceso a la información, en el menor tiempo posible, que no podrá exceder de quince días hábiles contados a partir del día siguiente a la presentación de aquella. El acceso se dará en la modalidad de entrega elegida por el solicitante, pero en caso de que no pueda entregarse en dicha modalidad, el sujeto obligado deberá ofrecer otras de manera fundada y motivada.</w:t>
      </w:r>
    </w:p>
    <w:p w:rsidR="00000000" w:rsidDel="00000000" w:rsidP="00000000" w:rsidRDefault="00000000" w:rsidRPr="00000000" w14:paraId="00000039">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Lo anterior es así, toda vez que en términos del artículo 4 en relación directa con el 19 de la Ley de Transparencia en la entidad, que son de la literalidad siguiente:</w:t>
      </w:r>
    </w:p>
    <w:p w:rsidR="00000000" w:rsidDel="00000000" w:rsidP="00000000" w:rsidRDefault="00000000" w:rsidRPr="00000000" w14:paraId="0000003A">
      <w:pPr>
        <w:shd w:fill="ffffff" w:val="clear"/>
        <w:spacing w:after="240" w:before="120" w:lineRule="auto"/>
        <w:ind w:left="851" w:right="900"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b w:val="1"/>
          <w:i w:val="1"/>
          <w:sz w:val="20"/>
          <w:szCs w:val="20"/>
          <w:rtl w:val="0"/>
        </w:rPr>
        <w:t xml:space="preserve">“Artículo 4.</w:t>
      </w:r>
      <w:r w:rsidDel="00000000" w:rsidR="00000000" w:rsidRPr="00000000">
        <w:rPr>
          <w:rFonts w:ascii="Palatino Linotype" w:cs="Palatino Linotype" w:eastAsia="Palatino Linotype" w:hAnsi="Palatino Linotype"/>
          <w:i w:val="1"/>
          <w:sz w:val="20"/>
          <w:szCs w:val="20"/>
          <w:rtl w:val="0"/>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000000" w:rsidDel="00000000" w:rsidP="00000000" w:rsidRDefault="00000000" w:rsidRPr="00000000" w14:paraId="0000003B">
      <w:pPr>
        <w:shd w:fill="ffffff" w:val="clear"/>
        <w:spacing w:after="240" w:before="120" w:lineRule="auto"/>
        <w:ind w:left="851" w:right="900"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000000" w:rsidDel="00000000" w:rsidP="00000000" w:rsidRDefault="00000000" w:rsidRPr="00000000" w14:paraId="0000003C">
      <w:pPr>
        <w:shd w:fill="ffffff" w:val="clear"/>
        <w:spacing w:after="240" w:before="120" w:lineRule="auto"/>
        <w:ind w:left="851" w:right="900"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Los sujetos obligados deben poner en práctica, políticas y programas de acceso a la información que se apeguen a criterios de publicidad, veracidad, oportunidad, precisión y suficiencia en beneficio de los solicitantes. </w:t>
      </w:r>
    </w:p>
    <w:p w:rsidR="00000000" w:rsidDel="00000000" w:rsidP="00000000" w:rsidRDefault="00000000" w:rsidRPr="00000000" w14:paraId="0000003D">
      <w:pPr>
        <w:shd w:fill="ffffff" w:val="clear"/>
        <w:spacing w:after="240" w:before="120" w:lineRule="auto"/>
        <w:ind w:left="851" w:right="900" w:firstLine="0"/>
        <w:jc w:val="both"/>
        <w:rPr>
          <w:rFonts w:ascii="Georgia" w:cs="Georgia" w:eastAsia="Georgia" w:hAnsi="Georgia"/>
          <w:sz w:val="20"/>
          <w:szCs w:val="20"/>
        </w:rPr>
      </w:pPr>
      <w:r w:rsidDel="00000000" w:rsidR="00000000" w:rsidRPr="00000000">
        <w:rPr>
          <w:rFonts w:ascii="Palatino Linotype" w:cs="Palatino Linotype" w:eastAsia="Palatino Linotype" w:hAnsi="Palatino Linotype"/>
          <w:b w:val="1"/>
          <w:i w:val="1"/>
          <w:sz w:val="20"/>
          <w:szCs w:val="20"/>
          <w:rtl w:val="0"/>
        </w:rPr>
        <w:t xml:space="preserve">Artículo 19.</w:t>
      </w:r>
      <w:r w:rsidDel="00000000" w:rsidR="00000000" w:rsidRPr="00000000">
        <w:rPr>
          <w:rFonts w:ascii="Palatino Linotype" w:cs="Palatino Linotype" w:eastAsia="Palatino Linotype" w:hAnsi="Palatino Linotype"/>
          <w:i w:val="1"/>
          <w:sz w:val="20"/>
          <w:szCs w:val="20"/>
          <w:rtl w:val="0"/>
        </w:rPr>
        <w:t xml:space="preserve"> Se presume que la información debe existir si se refiere a las facultades, competencias y funciones que los ordenamientos jurídicos aplicables otorgan a los sujetos obligados.</w:t>
      </w:r>
      <w:r w:rsidDel="00000000" w:rsidR="00000000" w:rsidRPr="00000000">
        <w:rPr>
          <w:rtl w:val="0"/>
        </w:rPr>
      </w:r>
    </w:p>
    <w:p w:rsidR="00000000" w:rsidDel="00000000" w:rsidP="00000000" w:rsidRDefault="00000000" w:rsidRPr="00000000" w14:paraId="0000003E">
      <w:pPr>
        <w:shd w:fill="ffffff" w:val="clear"/>
        <w:spacing w:after="240" w:before="120" w:lineRule="auto"/>
        <w:ind w:left="851" w:right="900" w:firstLine="0"/>
        <w:jc w:val="both"/>
        <w:rPr>
          <w:rFonts w:ascii="Georgia" w:cs="Georgia" w:eastAsia="Georgia" w:hAnsi="Georgia"/>
          <w:sz w:val="20"/>
          <w:szCs w:val="20"/>
        </w:rPr>
      </w:pPr>
      <w:r w:rsidDel="00000000" w:rsidR="00000000" w:rsidRPr="00000000">
        <w:rPr>
          <w:rFonts w:ascii="Palatino Linotype" w:cs="Palatino Linotype" w:eastAsia="Palatino Linotype" w:hAnsi="Palatino Linotype"/>
          <w:i w:val="1"/>
          <w:sz w:val="20"/>
          <w:szCs w:val="20"/>
          <w:rtl w:val="0"/>
        </w:rPr>
        <w:t xml:space="preserve">(…)</w:t>
      </w:r>
      <w:r w:rsidDel="00000000" w:rsidR="00000000" w:rsidRPr="00000000">
        <w:rPr>
          <w:rtl w:val="0"/>
        </w:rPr>
      </w:r>
    </w:p>
    <w:p w:rsidR="00000000" w:rsidDel="00000000" w:rsidP="00000000" w:rsidRDefault="00000000" w:rsidRPr="00000000" w14:paraId="0000003F">
      <w:pPr>
        <w:shd w:fill="ffffff" w:val="clear"/>
        <w:spacing w:after="240" w:before="120" w:lineRule="auto"/>
        <w:ind w:left="851" w:right="900" w:firstLine="0"/>
        <w:jc w:val="both"/>
        <w:rPr>
          <w:rFonts w:ascii="Georgia" w:cs="Georgia" w:eastAsia="Georgia" w:hAnsi="Georgia"/>
          <w:sz w:val="20"/>
          <w:szCs w:val="20"/>
        </w:rPr>
      </w:pPr>
      <w:r w:rsidDel="00000000" w:rsidR="00000000" w:rsidRPr="00000000">
        <w:rPr>
          <w:rFonts w:ascii="Palatino Linotype" w:cs="Palatino Linotype" w:eastAsia="Palatino Linotype" w:hAnsi="Palatino Linotype"/>
          <w:i w:val="1"/>
          <w:sz w:val="20"/>
          <w:szCs w:val="20"/>
          <w:rtl w:val="0"/>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sidDel="00000000" w:rsidR="00000000" w:rsidRPr="00000000">
        <w:rPr>
          <w:rtl w:val="0"/>
        </w:rPr>
      </w:r>
    </w:p>
    <w:p w:rsidR="00000000" w:rsidDel="00000000" w:rsidP="00000000" w:rsidRDefault="00000000" w:rsidRPr="00000000" w14:paraId="00000040">
      <w:pPr>
        <w:shd w:fill="ffffff" w:val="clear"/>
        <w:spacing w:after="36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El derecho humano de acceso a la información es la prerrogativa de las personas para buscar, difundir, investigar, recabar, recibir y solicitar información pública  transformada, administrada o en posesión de los sujetos obligados en el ejercicio de sus facultades, competencias y funciones que los ordenamientos jurídicos aplicables le otorgan, la cual deberá ser accesible a cualquier persona bajo los principios de máxima publicidad, veracidad, oportunidad, precisión y suficiencia en beneficio de los solicitantes.</w:t>
      </w:r>
    </w:p>
    <w:p w:rsidR="00000000" w:rsidDel="00000000" w:rsidP="00000000" w:rsidRDefault="00000000" w:rsidRPr="00000000" w14:paraId="00000041">
      <w:pPr>
        <w:shd w:fill="ffffff" w:val="clear"/>
        <w:spacing w:after="240" w:before="240" w:line="360" w:lineRule="auto"/>
        <w:ind w:right="-93"/>
        <w:jc w:val="both"/>
        <w:rPr>
          <w:rFonts w:ascii="Georgia" w:cs="Georgia" w:eastAsia="Georgia" w:hAnsi="Georgia"/>
        </w:rPr>
      </w:pPr>
      <w:r w:rsidDel="00000000" w:rsidR="00000000" w:rsidRPr="00000000">
        <w:rPr>
          <w:rFonts w:ascii="Palatino Linotype" w:cs="Palatino Linotype" w:eastAsia="Palatino Linotype" w:hAnsi="Palatino Linotype"/>
          <w:rtl w:val="0"/>
        </w:rPr>
        <w:t xml:space="preserve">De la legislación antes citada, también se advierte que podrá ser clasificada la información pública en los términos de las causas legítimas y estrictamente necesarias previstas por la Ley, y que, en el caso de no localizarse, podrá el Comité de transparencia emitir un acuerdo de inexistencia, debidamente fundado y motivado, en el que detalle las razones del por qué no obra en sus archivos.</w:t>
      </w:r>
      <w:r w:rsidDel="00000000" w:rsidR="00000000" w:rsidRPr="00000000">
        <w:rPr>
          <w:rtl w:val="0"/>
        </w:rPr>
      </w:r>
    </w:p>
    <w:p w:rsidR="00000000" w:rsidDel="00000000" w:rsidP="00000000" w:rsidRDefault="00000000" w:rsidRPr="00000000" w14:paraId="00000042">
      <w:pPr>
        <w:tabs>
          <w:tab w:val="left" w:pos="709"/>
        </w:tabs>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esa tesitura, en lo que corresponde a la clasificación resulta alusivo el artículo 112 de la Ley Adjetiva, en el que se prevé, que la clasificación es el proceso mediante el cual el Sujeto Obligado</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deberá determinar que la información en su poder actualiza alguno de los supuestos de reserva o confidencialidad de conformidad con el Titulo Sexto, lo cual no se hace por simple mandado de la Ley, sino que es necesario que se emita el acuerdo de clasificación de información.</w:t>
      </w:r>
    </w:p>
    <w:p w:rsidR="00000000" w:rsidDel="00000000" w:rsidP="00000000" w:rsidRDefault="00000000" w:rsidRPr="00000000" w14:paraId="00000043">
      <w:pPr>
        <w:tabs>
          <w:tab w:val="left" w:pos="709"/>
        </w:tabs>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el supuesto de actualizarse alguna de las hipótesis de clasificación de la información como reservada previstas en el artículo 140 de la Ley en cuestión, se deberá determinar el plazo de reserva hasta por un periodo de cinco años contados a partir de su clasificación, salvo que antes de su cumplimiento dejaran de existir los motivos de su reserva, pero excepcionalmente y con aprobación del Comité de Transparencia, los sujetos obligados podrán ampliar el periodo por cinco años adicionales y por una sola vez, siempre y cuando expliquen que subsistente las causas que dieron origen a su clasificación, mediante la aplicación de la prueba de daño</w:t>
      </w:r>
      <w:r w:rsidDel="00000000" w:rsidR="00000000" w:rsidRPr="00000000">
        <w:rPr>
          <w:rFonts w:ascii="Palatino Linotype" w:cs="Palatino Linotype" w:eastAsia="Palatino Linotype" w:hAnsi="Palatino Linotype"/>
          <w:vertAlign w:val="superscript"/>
        </w:rPr>
        <w:footnoteReference w:customMarkFollows="0" w:id="0"/>
      </w:r>
      <w:r w:rsidDel="00000000" w:rsidR="00000000" w:rsidRPr="00000000">
        <w:rPr>
          <w:rFonts w:ascii="Palatino Linotype" w:cs="Palatino Linotype" w:eastAsia="Palatino Linotype" w:hAnsi="Palatino Linotype"/>
          <w:rtl w:val="0"/>
        </w:rPr>
        <w:t xml:space="preserve">, en la que se justificaran las razones, motivos o circunstancias especiales que lo llevaron a concluir que el caso concreto, se ajustó a los supuestos previstos en la normatividad como fundamento. Dicho de otra manera, el acuerdo deberá contar con la debida fundamentación y motivación del acto de autoridad, con la finalidad de evitar dejar en estado de incertidumbre al particular, debiendo establecer el fundamento jurídico en que se basa sus determinaciones y la exposición razonada que justifique la reserva de información.</w:t>
      </w:r>
    </w:p>
    <w:p w:rsidR="00000000" w:rsidDel="00000000" w:rsidP="00000000" w:rsidRDefault="00000000" w:rsidRPr="00000000" w14:paraId="00000044">
      <w:pPr>
        <w:spacing w:after="260" w:line="360" w:lineRule="auto"/>
        <w:ind w:right="-232"/>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Cobra aplicación la jurisprudencia de la novena época visible en el Semanario Judicial de la Federación y su Gaceta. Instancia: Tribunales Colegiados de Circuito. Tesis I.4o.A.J/43 (9a.) bajo el número de registro 175082 cuyo rubro y texto esgrime:</w:t>
      </w:r>
    </w:p>
    <w:p w:rsidR="00000000" w:rsidDel="00000000" w:rsidP="00000000" w:rsidRDefault="00000000" w:rsidRPr="00000000" w14:paraId="00000045">
      <w:pPr>
        <w:spacing w:after="120" w:lineRule="auto"/>
        <w:ind w:left="851" w:right="902" w:firstLine="0"/>
        <w:jc w:val="both"/>
        <w:rPr>
          <w:rFonts w:ascii="Palatino Linotype" w:cs="Palatino Linotype" w:eastAsia="Palatino Linotype" w:hAnsi="Palatino Linotype"/>
          <w:b w:val="1"/>
          <w:i w:val="1"/>
          <w:sz w:val="20"/>
          <w:szCs w:val="20"/>
        </w:rPr>
      </w:pPr>
      <w:r w:rsidDel="00000000" w:rsidR="00000000" w:rsidRPr="00000000">
        <w:rPr>
          <w:rFonts w:ascii="Palatino Linotype" w:cs="Palatino Linotype" w:eastAsia="Palatino Linotype" w:hAnsi="Palatino Linotype"/>
          <w:b w:val="1"/>
          <w:i w:val="1"/>
          <w:sz w:val="20"/>
          <w:szCs w:val="20"/>
          <w:rtl w:val="0"/>
        </w:rPr>
        <w:t xml:space="preserve">FUNDAMENTACIÓN Y MOTIVACIÓN. EL ASPECTO FORMAL DE LA GARANTÍA Y SU FINALIDAD SE TRADUCEN EN EXPLICAR, JUSTIFICAR, POSIBILITAR LA DEFENSA Y COMUNICAR LA DECISIÓN.</w:t>
      </w:r>
    </w:p>
    <w:p w:rsidR="00000000" w:rsidDel="00000000" w:rsidP="00000000" w:rsidRDefault="00000000" w:rsidRPr="00000000" w14:paraId="00000046">
      <w:pPr>
        <w:spacing w:after="120" w:lineRule="auto"/>
        <w:ind w:left="851" w:right="902"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El contenido formal de la garantía de legalidad prevista en el artículo </w:t>
      </w:r>
      <w:hyperlink r:id="rId9">
        <w:r w:rsidDel="00000000" w:rsidR="00000000" w:rsidRPr="00000000">
          <w:rPr>
            <w:rFonts w:ascii="Palatino Linotype" w:cs="Palatino Linotype" w:eastAsia="Palatino Linotype" w:hAnsi="Palatino Linotype"/>
            <w:i w:val="1"/>
            <w:sz w:val="20"/>
            <w:szCs w:val="20"/>
            <w:rtl w:val="0"/>
          </w:rPr>
          <w:t xml:space="preserve">16 constitucional</w:t>
        </w:r>
      </w:hyperlink>
      <w:r w:rsidDel="00000000" w:rsidR="00000000" w:rsidRPr="00000000">
        <w:rPr>
          <w:rFonts w:ascii="Palatino Linotype" w:cs="Palatino Linotype" w:eastAsia="Palatino Linotype" w:hAnsi="Palatino Linotype"/>
          <w:i w:val="1"/>
          <w:sz w:val="20"/>
          <w:szCs w:val="20"/>
          <w:rtl w:val="0"/>
        </w:rPr>
        <w:t xml:space="preserve">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000000" w:rsidDel="00000000" w:rsidP="00000000" w:rsidRDefault="00000000" w:rsidRPr="00000000" w14:paraId="00000047">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La clasificación de la información se llevará a cabo en el momento que se reciba una solicitud de información, </w:t>
      </w:r>
      <w:r w:rsidDel="00000000" w:rsidR="00000000" w:rsidRPr="00000000">
        <w:rPr>
          <w:rFonts w:ascii="Palatino Linotype" w:cs="Palatino Linotype" w:eastAsia="Palatino Linotype" w:hAnsi="Palatino Linotype"/>
          <w:b w:val="1"/>
          <w:rtl w:val="0"/>
        </w:rPr>
        <w:t xml:space="preserve">cuando se determine mediante resolución de autoridad competente</w:t>
      </w:r>
      <w:r w:rsidDel="00000000" w:rsidR="00000000" w:rsidRPr="00000000">
        <w:rPr>
          <w:rFonts w:ascii="Palatino Linotype" w:cs="Palatino Linotype" w:eastAsia="Palatino Linotype" w:hAnsi="Palatino Linotype"/>
          <w:rtl w:val="0"/>
        </w:rPr>
        <w:t xml:space="preserve"> o bien, en la generación de versiones públicas para dar cumplimiento a las obligaciones de transparencias previstas en la Ley. </w:t>
      </w:r>
    </w:p>
    <w:p w:rsidR="00000000" w:rsidDel="00000000" w:rsidP="00000000" w:rsidRDefault="00000000" w:rsidRPr="00000000" w14:paraId="00000048">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Los sujetos obligados no podrán emitir acuerdos de carácter general ni particular que clasifiquen documentos o información como reservada. La clasificación podrá establecerse de manera parcial o total de acuerdo al contenido de la información del documento y deberá estar acorde con la actualización de los supuestos definidos en la ley de la materia como información clasificada, en ningún caso se podrán clasificar documentos antes de que se genere la información.</w:t>
      </w:r>
    </w:p>
    <w:p w:rsidR="00000000" w:rsidDel="00000000" w:rsidP="00000000" w:rsidRDefault="00000000" w:rsidRPr="00000000" w14:paraId="00000049">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los casos en que la información solicitada por los particulares actualice algún supuesto de información clasificada como confidencial, la que se refiere a la vida privada y los datos personales de una persona que la haga identificada o identificable, la cual debe ser protegido en los términos y con las excepciones que fijen las leyes, conforme a lo previsto en el artículo 6, apartado A, fracción II de la Constitución Política de los Estados Unidos Mexicanos.</w:t>
      </w:r>
    </w:p>
    <w:p w:rsidR="00000000" w:rsidDel="00000000" w:rsidP="00000000" w:rsidRDefault="00000000" w:rsidRPr="00000000" w14:paraId="0000004A">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Bajo tal argumento, se tiene que el artículo 12 de la Declaración Universal de los Derechos Humanos, así como el diverso 17, párrafo primero, del Pacto Internacional de Derechos Civiles y Políticos, reconocen la protección del derecho a la intimidad de toda persona, en el sentido de que nadie puede ser objeto de injerencias arbitrarias en su vida privada, su familia, domicilio o correspondencia, ni de ataques a su honra o reputación, teniendo derecho toda persona a la protección de la ley contra tales injerencias o ataques</w:t>
      </w:r>
      <w:r w:rsidDel="00000000" w:rsidR="00000000" w:rsidRPr="00000000">
        <w:rPr>
          <w:rFonts w:ascii="Palatino Linotype" w:cs="Palatino Linotype" w:eastAsia="Palatino Linotype" w:hAnsi="Palatino Linotype"/>
          <w:vertAlign w:val="superscript"/>
        </w:rPr>
        <w:footnoteReference w:customMarkFollows="0" w:id="1"/>
      </w:r>
      <w:r w:rsidDel="00000000" w:rsidR="00000000" w:rsidRPr="00000000">
        <w:rPr>
          <w:rFonts w:ascii="Palatino Linotype" w:cs="Palatino Linotype" w:eastAsia="Palatino Linotype" w:hAnsi="Palatino Linotype"/>
          <w:rtl w:val="0"/>
        </w:rPr>
        <w:t xml:space="preserve">.</w:t>
      </w:r>
    </w:p>
    <w:p w:rsidR="00000000" w:rsidDel="00000000" w:rsidP="00000000" w:rsidRDefault="00000000" w:rsidRPr="00000000" w14:paraId="0000004B">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Se entiende por “datos personales” la información concerniente a una persona física identificada o identificable, se considera que una persona es identificable cuando su identidad pueda determinarse directa o indirectamente a través de cualquier información.</w:t>
      </w:r>
    </w:p>
    <w:p w:rsidR="00000000" w:rsidDel="00000000" w:rsidP="00000000" w:rsidRDefault="00000000" w:rsidRPr="00000000" w14:paraId="0000004C">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ese sentido, el derecho de acceso a la información pública, como derecho humano encuentra un límite en el también derecho humano a la protección de datos personales, que obliga a los sujetos obligados que manejen información confidencial o datos personales a negar el acceso a ello, bajo motivos fundados y legitimo relativos a concreta situación personal que genera un perjuicio al titular del dato personal.</w:t>
      </w:r>
    </w:p>
    <w:p w:rsidR="00000000" w:rsidDel="00000000" w:rsidP="00000000" w:rsidRDefault="00000000" w:rsidRPr="00000000" w14:paraId="0000004D">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Así, para efectos de emitir el acuerdo de clasificación de la información como reservada o confidencial, el sujeto obligado deberá atender lo dispuesto en los artículos 3 fracciones IX, XX, XXI, XXIV, XLV, 91, 132 fracciones II y III, 140 y 143 de la Ley de Transparencia y Acceso a la Información Pública del Estado de México y Municipios que establecen:</w:t>
      </w:r>
    </w:p>
    <w:p w:rsidR="00000000" w:rsidDel="00000000" w:rsidP="00000000" w:rsidRDefault="00000000" w:rsidRPr="00000000" w14:paraId="0000004E">
      <w:pPr>
        <w:spacing w:after="120" w:before="120" w:lineRule="auto"/>
        <w:ind w:left="851" w:right="902"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w:t>
      </w:r>
      <w:r w:rsidDel="00000000" w:rsidR="00000000" w:rsidRPr="00000000">
        <w:rPr>
          <w:rFonts w:ascii="Palatino Linotype" w:cs="Palatino Linotype" w:eastAsia="Palatino Linotype" w:hAnsi="Palatino Linotype"/>
          <w:b w:val="1"/>
          <w:i w:val="1"/>
          <w:sz w:val="20"/>
          <w:szCs w:val="20"/>
          <w:rtl w:val="0"/>
        </w:rPr>
        <w:t xml:space="preserve">Artículo 3.</w:t>
      </w:r>
      <w:r w:rsidDel="00000000" w:rsidR="00000000" w:rsidRPr="00000000">
        <w:rPr>
          <w:rFonts w:ascii="Palatino Linotype" w:cs="Palatino Linotype" w:eastAsia="Palatino Linotype" w:hAnsi="Palatino Linotype"/>
          <w:i w:val="1"/>
          <w:sz w:val="20"/>
          <w:szCs w:val="20"/>
          <w:rtl w:val="0"/>
        </w:rPr>
        <w:t xml:space="preserve"> Para los efectos de la presente Ley se entenderá por:</w:t>
      </w:r>
    </w:p>
    <w:p w:rsidR="00000000" w:rsidDel="00000000" w:rsidP="00000000" w:rsidRDefault="00000000" w:rsidRPr="00000000" w14:paraId="0000004F">
      <w:pPr>
        <w:spacing w:after="120" w:before="120" w:lineRule="auto"/>
        <w:ind w:left="1134" w:right="902"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w:t>
      </w:r>
    </w:p>
    <w:p w:rsidR="00000000" w:rsidDel="00000000" w:rsidP="00000000" w:rsidRDefault="00000000" w:rsidRPr="00000000" w14:paraId="00000050">
      <w:pPr>
        <w:spacing w:after="120" w:before="120" w:lineRule="auto"/>
        <w:ind w:left="1134" w:right="902"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IX. Datos personales: La información concerniente a una persona, identificada o identificable según lo dispuesto por la Ley de Protección de Datos Personales del Estado de México; </w:t>
      </w:r>
    </w:p>
    <w:p w:rsidR="00000000" w:rsidDel="00000000" w:rsidP="00000000" w:rsidRDefault="00000000" w:rsidRPr="00000000" w14:paraId="00000051">
      <w:pPr>
        <w:spacing w:after="120" w:before="120" w:lineRule="auto"/>
        <w:ind w:left="1134" w:right="902"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XX. Información clasificada: Aquella considerada por la presente Ley como reservada o confidencial;</w:t>
      </w:r>
    </w:p>
    <w:p w:rsidR="00000000" w:rsidDel="00000000" w:rsidP="00000000" w:rsidRDefault="00000000" w:rsidRPr="00000000" w14:paraId="00000052">
      <w:pPr>
        <w:spacing w:after="120" w:before="120" w:lineRule="auto"/>
        <w:ind w:left="1134" w:right="902"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000000" w:rsidDel="00000000" w:rsidP="00000000" w:rsidRDefault="00000000" w:rsidRPr="00000000" w14:paraId="00000053">
      <w:pPr>
        <w:spacing w:after="120" w:before="120" w:lineRule="auto"/>
        <w:ind w:left="1134" w:right="902"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w:t>
      </w:r>
    </w:p>
    <w:p w:rsidR="00000000" w:rsidDel="00000000" w:rsidP="00000000" w:rsidRDefault="00000000" w:rsidRPr="00000000" w14:paraId="00000054">
      <w:pPr>
        <w:spacing w:after="120" w:before="120" w:lineRule="auto"/>
        <w:ind w:left="1134" w:right="902" w:firstLine="0"/>
        <w:jc w:val="both"/>
        <w:rPr/>
      </w:pPr>
      <w:r w:rsidDel="00000000" w:rsidR="00000000" w:rsidRPr="00000000">
        <w:rPr>
          <w:rFonts w:ascii="Palatino Linotype" w:cs="Palatino Linotype" w:eastAsia="Palatino Linotype" w:hAnsi="Palatino Linotype"/>
          <w:i w:val="1"/>
          <w:sz w:val="20"/>
          <w:szCs w:val="20"/>
          <w:rtl w:val="0"/>
        </w:rPr>
        <w:t xml:space="preserve">XXIV. Información reservada: La clasificada con este carácter de manera temporal por las disposiciones de esta Ley, cuya divulgación puede causar daño en términos de lo establecido por esta Ley;</w:t>
      </w:r>
      <w:r w:rsidDel="00000000" w:rsidR="00000000" w:rsidRPr="00000000">
        <w:rPr>
          <w:rtl w:val="0"/>
        </w:rPr>
        <w:t xml:space="preserve"> </w:t>
      </w:r>
    </w:p>
    <w:p w:rsidR="00000000" w:rsidDel="00000000" w:rsidP="00000000" w:rsidRDefault="00000000" w:rsidRPr="00000000" w14:paraId="00000055">
      <w:pPr>
        <w:spacing w:after="120" w:before="120" w:lineRule="auto"/>
        <w:ind w:left="1134" w:right="902"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w:t>
      </w:r>
    </w:p>
    <w:p w:rsidR="00000000" w:rsidDel="00000000" w:rsidP="00000000" w:rsidRDefault="00000000" w:rsidRPr="00000000" w14:paraId="00000056">
      <w:pPr>
        <w:spacing w:after="120" w:before="120" w:lineRule="auto"/>
        <w:ind w:left="1134" w:right="902"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XLV. Versión pública: Documento en el que se elimine, suprime o borra la información clasificada como reservada o confidencial para permitir su acceso.</w:t>
      </w:r>
    </w:p>
    <w:p w:rsidR="00000000" w:rsidDel="00000000" w:rsidP="00000000" w:rsidRDefault="00000000" w:rsidRPr="00000000" w14:paraId="00000057">
      <w:pPr>
        <w:spacing w:after="120" w:before="120" w:lineRule="auto"/>
        <w:ind w:left="851" w:right="902"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b w:val="1"/>
          <w:i w:val="1"/>
          <w:sz w:val="20"/>
          <w:szCs w:val="20"/>
          <w:rtl w:val="0"/>
        </w:rPr>
        <w:t xml:space="preserve">Artículo 91.</w:t>
      </w:r>
      <w:r w:rsidDel="00000000" w:rsidR="00000000" w:rsidRPr="00000000">
        <w:rPr>
          <w:rFonts w:ascii="Palatino Linotype" w:cs="Palatino Linotype" w:eastAsia="Palatino Linotype" w:hAnsi="Palatino Linotype"/>
          <w:i w:val="1"/>
          <w:sz w:val="20"/>
          <w:szCs w:val="20"/>
          <w:rtl w:val="0"/>
        </w:rPr>
        <w:t xml:space="preserve"> El acceso a la información pública será restringido excepcionalmente, cuando ésta sea clasificada como reservada o confidencial.</w:t>
      </w:r>
    </w:p>
    <w:p w:rsidR="00000000" w:rsidDel="00000000" w:rsidP="00000000" w:rsidRDefault="00000000" w:rsidRPr="00000000" w14:paraId="00000058">
      <w:pPr>
        <w:spacing w:after="120" w:before="120" w:lineRule="auto"/>
        <w:ind w:left="851" w:right="902"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b w:val="1"/>
          <w:i w:val="1"/>
          <w:sz w:val="20"/>
          <w:szCs w:val="20"/>
          <w:rtl w:val="0"/>
        </w:rPr>
        <w:t xml:space="preserve">Artículo 132.</w:t>
      </w:r>
      <w:r w:rsidDel="00000000" w:rsidR="00000000" w:rsidRPr="00000000">
        <w:rPr>
          <w:rFonts w:ascii="Palatino Linotype" w:cs="Palatino Linotype" w:eastAsia="Palatino Linotype" w:hAnsi="Palatino Linotype"/>
          <w:i w:val="1"/>
          <w:sz w:val="20"/>
          <w:szCs w:val="20"/>
          <w:rtl w:val="0"/>
        </w:rPr>
        <w:t xml:space="preserve"> La clasificación de la información se llevará a cabo en el momento en que:</w:t>
      </w:r>
    </w:p>
    <w:p w:rsidR="00000000" w:rsidDel="00000000" w:rsidP="00000000" w:rsidRDefault="00000000" w:rsidRPr="00000000" w14:paraId="00000059">
      <w:pPr>
        <w:spacing w:after="120" w:before="120" w:lineRule="auto"/>
        <w:ind w:left="1134" w:right="902"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I. Se reciba una solicitud de acceso a la información;</w:t>
      </w:r>
    </w:p>
    <w:p w:rsidR="00000000" w:rsidDel="00000000" w:rsidP="00000000" w:rsidRDefault="00000000" w:rsidRPr="00000000" w14:paraId="0000005A">
      <w:pPr>
        <w:spacing w:after="120" w:before="120" w:lineRule="auto"/>
        <w:ind w:left="1134" w:right="902"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II. Se determine mediante resolución de autoridad competente; o</w:t>
      </w:r>
    </w:p>
    <w:p w:rsidR="00000000" w:rsidDel="00000000" w:rsidP="00000000" w:rsidRDefault="00000000" w:rsidRPr="00000000" w14:paraId="0000005B">
      <w:pPr>
        <w:spacing w:after="120" w:before="120" w:lineRule="auto"/>
        <w:ind w:left="1134" w:right="902"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III. Se generen versiones públicas para dar cumplimiento a las obligaciones de transparencia previstas en esta Ley.</w:t>
      </w:r>
    </w:p>
    <w:p w:rsidR="00000000" w:rsidDel="00000000" w:rsidP="00000000" w:rsidRDefault="00000000" w:rsidRPr="00000000" w14:paraId="0000005C">
      <w:pPr>
        <w:spacing w:after="120" w:before="120" w:lineRule="auto"/>
        <w:ind w:left="851" w:right="902"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Tratándose de información reservada, los titulares de las áreas deberán revisar la clasificación al momento de la recepción de una solicitud, para verificar si subsisten las causas que le dieron origen.</w:t>
      </w:r>
    </w:p>
    <w:p w:rsidR="00000000" w:rsidDel="00000000" w:rsidP="00000000" w:rsidRDefault="00000000" w:rsidRPr="00000000" w14:paraId="0000005D">
      <w:pPr>
        <w:spacing w:after="120" w:before="120" w:lineRule="auto"/>
        <w:ind w:left="851" w:right="902"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b w:val="1"/>
          <w:i w:val="1"/>
          <w:sz w:val="20"/>
          <w:szCs w:val="20"/>
          <w:rtl w:val="0"/>
        </w:rPr>
        <w:t xml:space="preserve">Artículo 140.</w:t>
      </w:r>
      <w:r w:rsidDel="00000000" w:rsidR="00000000" w:rsidRPr="00000000">
        <w:rPr>
          <w:rFonts w:ascii="Palatino Linotype" w:cs="Palatino Linotype" w:eastAsia="Palatino Linotype" w:hAnsi="Palatino Linotype"/>
          <w:i w:val="1"/>
          <w:sz w:val="20"/>
          <w:szCs w:val="20"/>
          <w:rtl w:val="0"/>
        </w:rPr>
        <w:t xml:space="preserve"> El acceso a la información pública será restringido excepcionalmente, cuando por razones de interés público, ésta sea clasificada como reservada, conforme a los criterios siguientes: </w:t>
      </w:r>
    </w:p>
    <w:p w:rsidR="00000000" w:rsidDel="00000000" w:rsidP="00000000" w:rsidRDefault="00000000" w:rsidRPr="00000000" w14:paraId="0000005E">
      <w:pPr>
        <w:spacing w:after="120" w:before="120" w:lineRule="auto"/>
        <w:ind w:left="1134" w:right="902"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I. Comprometa la seguridad pública y cuente con un propósito genuino y un efecto demostrable; </w:t>
      </w:r>
    </w:p>
    <w:p w:rsidR="00000000" w:rsidDel="00000000" w:rsidP="00000000" w:rsidRDefault="00000000" w:rsidRPr="00000000" w14:paraId="0000005F">
      <w:pPr>
        <w:spacing w:after="120" w:before="120" w:lineRule="auto"/>
        <w:ind w:left="1134" w:right="902"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II. Pueda menoscabar la conducción de las negociaciones y relaciones internacionales; </w:t>
      </w:r>
    </w:p>
    <w:p w:rsidR="00000000" w:rsidDel="00000000" w:rsidP="00000000" w:rsidRDefault="00000000" w:rsidRPr="00000000" w14:paraId="00000060">
      <w:pPr>
        <w:spacing w:after="120" w:before="120" w:lineRule="auto"/>
        <w:ind w:left="1134" w:right="902"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rsidR="00000000" w:rsidDel="00000000" w:rsidP="00000000" w:rsidRDefault="00000000" w:rsidRPr="00000000" w14:paraId="00000061">
      <w:pPr>
        <w:spacing w:after="120" w:before="120" w:lineRule="auto"/>
        <w:ind w:left="1134" w:right="902"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IV. Ponga en riesgo la vida, la seguridad o la salud de una persona física; </w:t>
      </w:r>
    </w:p>
    <w:p w:rsidR="00000000" w:rsidDel="00000000" w:rsidP="00000000" w:rsidRDefault="00000000" w:rsidRPr="00000000" w14:paraId="00000062">
      <w:pPr>
        <w:spacing w:after="120" w:before="120" w:lineRule="auto"/>
        <w:ind w:left="1134" w:right="902"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V. Aquella cuya divulgación obstruya o pueda causar un serio perjuicio a: </w:t>
      </w:r>
    </w:p>
    <w:p w:rsidR="00000000" w:rsidDel="00000000" w:rsidP="00000000" w:rsidRDefault="00000000" w:rsidRPr="00000000" w14:paraId="00000063">
      <w:pPr>
        <w:spacing w:after="120" w:before="120" w:lineRule="auto"/>
        <w:ind w:left="1418" w:right="902"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1. Las actividades de fiscalización, verificación, inspección, comprobación y auditoría sobre el cumplimiento de las Leyes; o </w:t>
      </w:r>
    </w:p>
    <w:p w:rsidR="00000000" w:rsidDel="00000000" w:rsidP="00000000" w:rsidRDefault="00000000" w:rsidRPr="00000000" w14:paraId="00000064">
      <w:pPr>
        <w:spacing w:after="120" w:before="120" w:lineRule="auto"/>
        <w:ind w:left="1418" w:right="902"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2. La recaudación de las contribuciones. </w:t>
      </w:r>
    </w:p>
    <w:p w:rsidR="00000000" w:rsidDel="00000000" w:rsidP="00000000" w:rsidRDefault="00000000" w:rsidRPr="00000000" w14:paraId="00000065">
      <w:pPr>
        <w:spacing w:after="120" w:before="120" w:lineRule="auto"/>
        <w:ind w:left="1134" w:right="902"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rsidR="00000000" w:rsidDel="00000000" w:rsidP="00000000" w:rsidRDefault="00000000" w:rsidRPr="00000000" w14:paraId="00000066">
      <w:pPr>
        <w:spacing w:after="120" w:before="120" w:lineRule="auto"/>
        <w:ind w:left="1134" w:right="902"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VII. La que contengan las opiniones, recomendaciones o puntos de vista que formen parte del proceso deliberativo de los servidores públicos, hasta en tanto sea adoptada la decisión definitiva, la cual deberá estar documentada; </w:t>
      </w:r>
    </w:p>
    <w:p w:rsidR="00000000" w:rsidDel="00000000" w:rsidP="00000000" w:rsidRDefault="00000000" w:rsidRPr="00000000" w14:paraId="00000067">
      <w:pPr>
        <w:spacing w:after="120" w:before="120" w:lineRule="auto"/>
        <w:ind w:left="1134" w:right="902"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VIII. Vulnere la conducción de los expedientes judiciales o de los procedimientos administrativos seguidos en forma de juicio, en tanto no hayan quedado firmes; </w:t>
      </w:r>
    </w:p>
    <w:p w:rsidR="00000000" w:rsidDel="00000000" w:rsidP="00000000" w:rsidRDefault="00000000" w:rsidRPr="00000000" w14:paraId="00000068">
      <w:pPr>
        <w:spacing w:after="120" w:before="120" w:lineRule="auto"/>
        <w:ind w:left="1134" w:right="902"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IX. Se encuentre contenida dentro de las investigaciones de hechos que la Ley señale como delitos y se tramiten ante el Ministerio Público; </w:t>
      </w:r>
    </w:p>
    <w:p w:rsidR="00000000" w:rsidDel="00000000" w:rsidP="00000000" w:rsidRDefault="00000000" w:rsidRPr="00000000" w14:paraId="00000069">
      <w:pPr>
        <w:spacing w:after="120" w:before="120" w:lineRule="auto"/>
        <w:ind w:left="1134" w:right="902"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X. El daño que pueda producirse con la publicación de la información sea mayor que el interés público de conocer la información de referencia, siempre que esté directamente relacionado con procesos o procedimientos administrativos o judiciales que no hayan quedado firmes; 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rsidR="00000000" w:rsidDel="00000000" w:rsidP="00000000" w:rsidRDefault="00000000" w:rsidRPr="00000000" w14:paraId="0000006A">
      <w:pPr>
        <w:spacing w:after="120" w:before="120" w:lineRule="auto"/>
        <w:ind w:left="1134" w:right="902"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XI. Las que por disposición expresa de una ley tengan tal carácter, siempre que sean acordes con las bases, principios y disposiciones establecidos en esta Ley y no la contravengan; así como las previstas en tratados internacionales.</w:t>
      </w:r>
    </w:p>
    <w:p w:rsidR="00000000" w:rsidDel="00000000" w:rsidP="00000000" w:rsidRDefault="00000000" w:rsidRPr="00000000" w14:paraId="0000006B">
      <w:pPr>
        <w:spacing w:after="120" w:before="120" w:lineRule="auto"/>
        <w:ind w:left="851" w:right="902"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b w:val="1"/>
          <w:i w:val="1"/>
          <w:sz w:val="20"/>
          <w:szCs w:val="20"/>
          <w:rtl w:val="0"/>
        </w:rPr>
        <w:t xml:space="preserve">Artículo 143.</w:t>
      </w:r>
      <w:r w:rsidDel="00000000" w:rsidR="00000000" w:rsidRPr="00000000">
        <w:rPr>
          <w:rFonts w:ascii="Palatino Linotype" w:cs="Palatino Linotype" w:eastAsia="Palatino Linotype" w:hAnsi="Palatino Linotype"/>
          <w:i w:val="1"/>
          <w:sz w:val="20"/>
          <w:szCs w:val="20"/>
          <w:rtl w:val="0"/>
        </w:rPr>
        <w:t xml:space="preserve"> Para los efectos de esta Ley se considera información confidencial, la clasificada como tal, de manera permanente, por su naturaleza, cuando:</w:t>
      </w:r>
    </w:p>
    <w:p w:rsidR="00000000" w:rsidDel="00000000" w:rsidP="00000000" w:rsidRDefault="00000000" w:rsidRPr="00000000" w14:paraId="0000006C">
      <w:pPr>
        <w:spacing w:after="120" w:before="120" w:lineRule="auto"/>
        <w:ind w:left="1134" w:right="902"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I. Se refiera a la información privada y los datos personales concernientes a una persona física o jurídico colectiva identificada o identificable;</w:t>
      </w:r>
    </w:p>
    <w:p w:rsidR="00000000" w:rsidDel="00000000" w:rsidP="00000000" w:rsidRDefault="00000000" w:rsidRPr="00000000" w14:paraId="0000006D">
      <w:pPr>
        <w:spacing w:after="120" w:before="120" w:lineRule="auto"/>
        <w:ind w:left="1134" w:right="902"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II. Los secretos bancario, fiduciario, industrial, comercial, fiscal, bursátil y postal, cuya titularidad corresponda a particulares, sujetos de derecho internacional o a sujetos obligados cuando no involucren el ejercicio de recursos públicos; y</w:t>
      </w:r>
    </w:p>
    <w:p w:rsidR="00000000" w:rsidDel="00000000" w:rsidP="00000000" w:rsidRDefault="00000000" w:rsidRPr="00000000" w14:paraId="0000006E">
      <w:pPr>
        <w:spacing w:after="120" w:before="120" w:lineRule="auto"/>
        <w:ind w:left="1134" w:right="902"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III. La que presenten los particulares a los sujetos obligados, de conformidad con lo dispuesto por las leyes o los tratados internacionales.</w:t>
      </w:r>
    </w:p>
    <w:p w:rsidR="00000000" w:rsidDel="00000000" w:rsidP="00000000" w:rsidRDefault="00000000" w:rsidRPr="00000000" w14:paraId="0000006F">
      <w:pPr>
        <w:spacing w:after="120" w:before="120" w:lineRule="auto"/>
        <w:ind w:left="851" w:right="902"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La información confidencial no estará sujeta a temporalidad alguna y sólo podrán tener acceso a ella los titulares de la misma, sus representantes y los servidores públicos facultados para ello.</w:t>
      </w:r>
    </w:p>
    <w:p w:rsidR="00000000" w:rsidDel="00000000" w:rsidP="00000000" w:rsidRDefault="00000000" w:rsidRPr="00000000" w14:paraId="00000070">
      <w:pPr>
        <w:spacing w:after="120" w:before="120" w:lineRule="auto"/>
        <w:ind w:left="851" w:right="902"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No se considerará confidencial la información que se encuentre en los registros públicos o en fuentes de acceso público, ni tampoco la que sea considerada por la presente ley como información pública.”</w:t>
      </w:r>
    </w:p>
    <w:p w:rsidR="00000000" w:rsidDel="00000000" w:rsidP="00000000" w:rsidRDefault="00000000" w:rsidRPr="00000000" w14:paraId="00000071">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000000" w:rsidDel="00000000" w:rsidP="00000000" w:rsidRDefault="00000000" w:rsidRPr="00000000" w14:paraId="00000072">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Entorno a lo que aquí nos interesa, los Lineamientos Quincuagésimo sexto, Quincuagésimo séptimo y Quincuagésimo octavo, establecen lo siguiente:</w:t>
      </w:r>
    </w:p>
    <w:p w:rsidR="00000000" w:rsidDel="00000000" w:rsidP="00000000" w:rsidRDefault="00000000" w:rsidRPr="00000000" w14:paraId="00000073">
      <w:pPr>
        <w:spacing w:after="120" w:before="120" w:lineRule="auto"/>
        <w:ind w:left="851" w:right="902"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“Quincuagésimo sexto.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000000" w:rsidDel="00000000" w:rsidP="00000000" w:rsidRDefault="00000000" w:rsidRPr="00000000" w14:paraId="00000074">
      <w:pPr>
        <w:spacing w:after="120" w:before="120" w:lineRule="auto"/>
        <w:ind w:left="851" w:right="902"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Quincuagésimo séptimo. Se considera, en principio, como información pública y no podrá omitirse de las versiones públicas la siguiente: </w:t>
      </w:r>
    </w:p>
    <w:p w:rsidR="00000000" w:rsidDel="00000000" w:rsidP="00000000" w:rsidRDefault="00000000" w:rsidRPr="00000000" w14:paraId="00000075">
      <w:pPr>
        <w:spacing w:after="120" w:before="120" w:lineRule="auto"/>
        <w:ind w:left="851" w:right="902"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I. La relativa a las Obligaciones de Transparencia que contempla el Título V de la Ley General y las demás disposiciones legales aplicables; </w:t>
      </w:r>
    </w:p>
    <w:p w:rsidR="00000000" w:rsidDel="00000000" w:rsidP="00000000" w:rsidRDefault="00000000" w:rsidRPr="00000000" w14:paraId="00000076">
      <w:pPr>
        <w:spacing w:after="120" w:before="120" w:lineRule="auto"/>
        <w:ind w:left="851" w:right="902"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II. El nombre de los servidores públicos en los documentos, y sus firmas autógrafas, cuando sean utilizados en el ejercicio de las facultades conferidas para el desempeño del servicio público, y </w:t>
      </w:r>
    </w:p>
    <w:p w:rsidR="00000000" w:rsidDel="00000000" w:rsidP="00000000" w:rsidRDefault="00000000" w:rsidRPr="00000000" w14:paraId="00000077">
      <w:pPr>
        <w:spacing w:after="120" w:before="120" w:lineRule="auto"/>
        <w:ind w:left="851" w:right="902"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III. La información que documente decisiones y los actos de autoridad concluidos de los sujetos obligados, así como el ejercicio de las facultades o actividades de los servidores públicos, de manera que se pueda valorar el desempeño de los mismos.</w:t>
      </w:r>
    </w:p>
    <w:p w:rsidR="00000000" w:rsidDel="00000000" w:rsidP="00000000" w:rsidRDefault="00000000" w:rsidRPr="00000000" w14:paraId="00000078">
      <w:pPr>
        <w:spacing w:after="120" w:before="120" w:lineRule="auto"/>
        <w:ind w:left="851" w:right="902"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Lo anterior, siempre y cuando no se acredite alguna causal de clasificación, prevista en las leyes o en los tratados internaciones suscritos por el Estado mexicano. </w:t>
      </w:r>
    </w:p>
    <w:p w:rsidR="00000000" w:rsidDel="00000000" w:rsidP="00000000" w:rsidRDefault="00000000" w:rsidRPr="00000000" w14:paraId="00000079">
      <w:pPr>
        <w:spacing w:after="120" w:before="120" w:lineRule="auto"/>
        <w:ind w:left="851" w:right="902"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Quincuagésimo octavo. Los sujetos obligados garantizarán que los sistemas o medios empleados para eliminar la información en las versiones públicas no permitan la recuperación o visualización de la misma.”</w:t>
      </w:r>
    </w:p>
    <w:p w:rsidR="00000000" w:rsidDel="00000000" w:rsidP="00000000" w:rsidRDefault="00000000" w:rsidRPr="00000000" w14:paraId="0000007A">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relación directa con ello, los Lineamientos en estudio establecen los formatos para la clasificación parcial y total de los documentos, que atienden a lo siguiente:</w:t>
      </w:r>
    </w:p>
    <w:tbl>
      <w:tblPr>
        <w:tblStyle w:val="Table1"/>
        <w:tblW w:w="88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846"/>
        <w:gridCol w:w="3568"/>
        <w:gridCol w:w="968"/>
        <w:gridCol w:w="3446"/>
        <w:tblGridChange w:id="0">
          <w:tblGrid>
            <w:gridCol w:w="846"/>
            <w:gridCol w:w="3568"/>
            <w:gridCol w:w="968"/>
            <w:gridCol w:w="3446"/>
          </w:tblGrid>
        </w:tblGridChange>
      </w:tblGrid>
      <w:tr>
        <w:trPr>
          <w:cantSplit w:val="0"/>
          <w:tblHeader w:val="0"/>
        </w:trPr>
        <w:tc>
          <w:tcPr>
            <w:gridSpan w:val="2"/>
          </w:tcPr>
          <w:p w:rsidR="00000000" w:rsidDel="00000000" w:rsidP="00000000" w:rsidRDefault="00000000" w:rsidRPr="00000000" w14:paraId="0000007B">
            <w:pPr>
              <w:jc w:val="center"/>
              <w:rPr>
                <w:rFonts w:ascii="Palatino Linotype" w:cs="Palatino Linotype" w:eastAsia="Palatino Linotype" w:hAnsi="Palatino Linotype"/>
                <w:b w:val="0"/>
                <w:sz w:val="12"/>
                <w:szCs w:val="12"/>
              </w:rPr>
            </w:pPr>
            <w:r w:rsidDel="00000000" w:rsidR="00000000" w:rsidRPr="00000000">
              <w:rPr>
                <w:rFonts w:ascii="Palatino Linotype" w:cs="Palatino Linotype" w:eastAsia="Palatino Linotype" w:hAnsi="Palatino Linotype"/>
                <w:b w:val="0"/>
                <w:sz w:val="12"/>
                <w:szCs w:val="12"/>
                <w:rtl w:val="0"/>
              </w:rPr>
              <w:t xml:space="preserve">Parcial</w:t>
            </w:r>
          </w:p>
        </w:tc>
        <w:tc>
          <w:tcPr>
            <w:gridSpan w:val="2"/>
          </w:tcPr>
          <w:p w:rsidR="00000000" w:rsidDel="00000000" w:rsidP="00000000" w:rsidRDefault="00000000" w:rsidRPr="00000000" w14:paraId="0000007D">
            <w:pPr>
              <w:jc w:val="center"/>
              <w:rPr>
                <w:rFonts w:ascii="Palatino Linotype" w:cs="Palatino Linotype" w:eastAsia="Palatino Linotype" w:hAnsi="Palatino Linotype"/>
                <w:b w:val="0"/>
                <w:sz w:val="12"/>
                <w:szCs w:val="12"/>
              </w:rPr>
            </w:pPr>
            <w:r w:rsidDel="00000000" w:rsidR="00000000" w:rsidRPr="00000000">
              <w:rPr>
                <w:rFonts w:ascii="Palatino Linotype" w:cs="Palatino Linotype" w:eastAsia="Palatino Linotype" w:hAnsi="Palatino Linotype"/>
                <w:b w:val="0"/>
                <w:sz w:val="12"/>
                <w:szCs w:val="12"/>
                <w:rtl w:val="0"/>
              </w:rPr>
              <w:t xml:space="preserve">Total</w:t>
            </w:r>
          </w:p>
        </w:tc>
      </w:tr>
      <w:tr>
        <w:trPr>
          <w:cantSplit w:val="0"/>
          <w:tblHeader w:val="0"/>
        </w:trPr>
        <w:tc>
          <w:tcPr/>
          <w:p w:rsidR="00000000" w:rsidDel="00000000" w:rsidP="00000000" w:rsidRDefault="00000000" w:rsidRPr="00000000" w14:paraId="0000007F">
            <w:pPr>
              <w:jc w:val="center"/>
              <w:rPr>
                <w:rFonts w:ascii="Palatino Linotype" w:cs="Palatino Linotype" w:eastAsia="Palatino Linotype" w:hAnsi="Palatino Linotype"/>
                <w:b w:val="0"/>
                <w:sz w:val="12"/>
                <w:szCs w:val="12"/>
              </w:rPr>
            </w:pPr>
            <w:r w:rsidDel="00000000" w:rsidR="00000000" w:rsidRPr="00000000">
              <w:rPr>
                <w:rFonts w:ascii="Palatino Linotype" w:cs="Palatino Linotype" w:eastAsia="Palatino Linotype" w:hAnsi="Palatino Linotype"/>
                <w:b w:val="0"/>
                <w:sz w:val="12"/>
                <w:szCs w:val="12"/>
                <w:rtl w:val="0"/>
              </w:rPr>
              <w:t xml:space="preserve">Concepto</w:t>
            </w:r>
          </w:p>
        </w:tc>
        <w:tc>
          <w:tcPr/>
          <w:p w:rsidR="00000000" w:rsidDel="00000000" w:rsidP="00000000" w:rsidRDefault="00000000" w:rsidRPr="00000000" w14:paraId="00000080">
            <w:pPr>
              <w:jc w:val="center"/>
              <w:rPr>
                <w:rFonts w:ascii="Palatino Linotype" w:cs="Palatino Linotype" w:eastAsia="Palatino Linotype" w:hAnsi="Palatino Linotype"/>
                <w:b w:val="1"/>
                <w:sz w:val="12"/>
                <w:szCs w:val="12"/>
              </w:rPr>
            </w:pPr>
            <w:r w:rsidDel="00000000" w:rsidR="00000000" w:rsidRPr="00000000">
              <w:rPr>
                <w:rFonts w:ascii="Palatino Linotype" w:cs="Palatino Linotype" w:eastAsia="Palatino Linotype" w:hAnsi="Palatino Linotype"/>
                <w:b w:val="1"/>
                <w:sz w:val="12"/>
                <w:szCs w:val="12"/>
                <w:rtl w:val="0"/>
              </w:rPr>
              <w:t xml:space="preserve">Dónde</w:t>
            </w:r>
          </w:p>
        </w:tc>
        <w:tc>
          <w:tcPr/>
          <w:p w:rsidR="00000000" w:rsidDel="00000000" w:rsidP="00000000" w:rsidRDefault="00000000" w:rsidRPr="00000000" w14:paraId="00000081">
            <w:pPr>
              <w:jc w:val="center"/>
              <w:rPr>
                <w:rFonts w:ascii="Palatino Linotype" w:cs="Palatino Linotype" w:eastAsia="Palatino Linotype" w:hAnsi="Palatino Linotype"/>
                <w:b w:val="1"/>
                <w:sz w:val="12"/>
                <w:szCs w:val="12"/>
              </w:rPr>
            </w:pPr>
            <w:r w:rsidDel="00000000" w:rsidR="00000000" w:rsidRPr="00000000">
              <w:rPr>
                <w:rFonts w:ascii="Palatino Linotype" w:cs="Palatino Linotype" w:eastAsia="Palatino Linotype" w:hAnsi="Palatino Linotype"/>
                <w:b w:val="1"/>
                <w:sz w:val="12"/>
                <w:szCs w:val="12"/>
                <w:rtl w:val="0"/>
              </w:rPr>
              <w:t xml:space="preserve">Concepto</w:t>
            </w:r>
          </w:p>
        </w:tc>
        <w:tc>
          <w:tcPr/>
          <w:p w:rsidR="00000000" w:rsidDel="00000000" w:rsidP="00000000" w:rsidRDefault="00000000" w:rsidRPr="00000000" w14:paraId="00000082">
            <w:pPr>
              <w:jc w:val="center"/>
              <w:rPr>
                <w:rFonts w:ascii="Palatino Linotype" w:cs="Palatino Linotype" w:eastAsia="Palatino Linotype" w:hAnsi="Palatino Linotype"/>
                <w:b w:val="1"/>
                <w:sz w:val="12"/>
                <w:szCs w:val="12"/>
              </w:rPr>
            </w:pPr>
            <w:r w:rsidDel="00000000" w:rsidR="00000000" w:rsidRPr="00000000">
              <w:rPr>
                <w:rFonts w:ascii="Palatino Linotype" w:cs="Palatino Linotype" w:eastAsia="Palatino Linotype" w:hAnsi="Palatino Linotype"/>
                <w:b w:val="1"/>
                <w:sz w:val="12"/>
                <w:szCs w:val="12"/>
                <w:rtl w:val="0"/>
              </w:rPr>
              <w:t xml:space="preserve">Dónde</w:t>
            </w:r>
          </w:p>
        </w:tc>
      </w:tr>
      <w:tr>
        <w:trPr>
          <w:cantSplit w:val="0"/>
          <w:tblHeader w:val="0"/>
        </w:trPr>
        <w:tc>
          <w:tcPr>
            <w:gridSpan w:val="4"/>
          </w:tcPr>
          <w:p w:rsidR="00000000" w:rsidDel="00000000" w:rsidP="00000000" w:rsidRDefault="00000000" w:rsidRPr="00000000" w14:paraId="00000083">
            <w:pPr>
              <w:jc w:val="center"/>
              <w:rPr>
                <w:rFonts w:ascii="Palatino Linotype" w:cs="Palatino Linotype" w:eastAsia="Palatino Linotype" w:hAnsi="Palatino Linotype"/>
                <w:b w:val="0"/>
                <w:sz w:val="12"/>
                <w:szCs w:val="12"/>
              </w:rPr>
            </w:pPr>
            <w:r w:rsidDel="00000000" w:rsidR="00000000" w:rsidRPr="00000000">
              <w:rPr>
                <w:rFonts w:ascii="Palatino Linotype" w:cs="Palatino Linotype" w:eastAsia="Palatino Linotype" w:hAnsi="Palatino Linotype"/>
                <w:b w:val="0"/>
                <w:sz w:val="12"/>
                <w:szCs w:val="12"/>
                <w:rtl w:val="0"/>
              </w:rPr>
              <w:t xml:space="preserve">Sello oficial o logotipo del sujeto obligado</w:t>
            </w:r>
          </w:p>
        </w:tc>
      </w:tr>
      <w:tr>
        <w:trPr>
          <w:cantSplit w:val="0"/>
          <w:tblHeader w:val="0"/>
        </w:trPr>
        <w:tc>
          <w:tcPr/>
          <w:p w:rsidR="00000000" w:rsidDel="00000000" w:rsidP="00000000" w:rsidRDefault="00000000" w:rsidRPr="00000000" w14:paraId="00000087">
            <w:pPr>
              <w:jc w:val="both"/>
              <w:rPr>
                <w:rFonts w:ascii="Palatino Linotype" w:cs="Palatino Linotype" w:eastAsia="Palatino Linotype" w:hAnsi="Palatino Linotype"/>
                <w:b w:val="0"/>
                <w:sz w:val="12"/>
                <w:szCs w:val="12"/>
              </w:rPr>
            </w:pPr>
            <w:r w:rsidDel="00000000" w:rsidR="00000000" w:rsidRPr="00000000">
              <w:rPr>
                <w:rFonts w:ascii="Palatino Linotype" w:cs="Palatino Linotype" w:eastAsia="Palatino Linotype" w:hAnsi="Palatino Linotype"/>
                <w:b w:val="0"/>
                <w:sz w:val="12"/>
                <w:szCs w:val="12"/>
                <w:rtl w:val="0"/>
              </w:rPr>
              <w:t xml:space="preserve">Fecha de clasificación</w:t>
            </w:r>
          </w:p>
        </w:tc>
        <w:tc>
          <w:tcPr/>
          <w:p w:rsidR="00000000" w:rsidDel="00000000" w:rsidP="00000000" w:rsidRDefault="00000000" w:rsidRPr="00000000" w14:paraId="00000088">
            <w:pPr>
              <w:jc w:val="both"/>
              <w:rPr>
                <w:rFonts w:ascii="Palatino Linotype" w:cs="Palatino Linotype" w:eastAsia="Palatino Linotype" w:hAnsi="Palatino Linotype"/>
                <w:sz w:val="12"/>
                <w:szCs w:val="12"/>
              </w:rPr>
            </w:pPr>
            <w:r w:rsidDel="00000000" w:rsidR="00000000" w:rsidRPr="00000000">
              <w:rPr>
                <w:rFonts w:ascii="Palatino Linotype" w:cs="Palatino Linotype" w:eastAsia="Palatino Linotype" w:hAnsi="Palatino Linotype"/>
                <w:sz w:val="12"/>
                <w:szCs w:val="12"/>
                <w:rtl w:val="0"/>
              </w:rPr>
              <w:t xml:space="preserve">Se anotará la fecha en la que el Comité de Transparencia confirmó la clasificación del documento, en su caso.</w:t>
            </w:r>
          </w:p>
        </w:tc>
        <w:tc>
          <w:tcPr/>
          <w:p w:rsidR="00000000" w:rsidDel="00000000" w:rsidP="00000000" w:rsidRDefault="00000000" w:rsidRPr="00000000" w14:paraId="00000089">
            <w:pPr>
              <w:jc w:val="both"/>
              <w:rPr>
                <w:rFonts w:ascii="Palatino Linotype" w:cs="Palatino Linotype" w:eastAsia="Palatino Linotype" w:hAnsi="Palatino Linotype"/>
                <w:b w:val="1"/>
                <w:sz w:val="12"/>
                <w:szCs w:val="12"/>
              </w:rPr>
            </w:pPr>
            <w:r w:rsidDel="00000000" w:rsidR="00000000" w:rsidRPr="00000000">
              <w:rPr>
                <w:rFonts w:ascii="Palatino Linotype" w:cs="Palatino Linotype" w:eastAsia="Palatino Linotype" w:hAnsi="Palatino Linotype"/>
                <w:b w:val="1"/>
                <w:sz w:val="12"/>
                <w:szCs w:val="12"/>
                <w:rtl w:val="0"/>
              </w:rPr>
              <w:t xml:space="preserve">Fecha de clasificación</w:t>
            </w:r>
          </w:p>
        </w:tc>
        <w:tc>
          <w:tcPr/>
          <w:p w:rsidR="00000000" w:rsidDel="00000000" w:rsidP="00000000" w:rsidRDefault="00000000" w:rsidRPr="00000000" w14:paraId="0000008A">
            <w:pPr>
              <w:jc w:val="both"/>
              <w:rPr>
                <w:rFonts w:ascii="Palatino Linotype" w:cs="Palatino Linotype" w:eastAsia="Palatino Linotype" w:hAnsi="Palatino Linotype"/>
                <w:sz w:val="12"/>
                <w:szCs w:val="12"/>
              </w:rPr>
            </w:pPr>
            <w:r w:rsidDel="00000000" w:rsidR="00000000" w:rsidRPr="00000000">
              <w:rPr>
                <w:rFonts w:ascii="Palatino Linotype" w:cs="Palatino Linotype" w:eastAsia="Palatino Linotype" w:hAnsi="Palatino Linotype"/>
                <w:sz w:val="12"/>
                <w:szCs w:val="12"/>
                <w:rtl w:val="0"/>
              </w:rPr>
              <w:t xml:space="preserve">Se anotará la fecha en la que el Comité de Transparencia confirmó la clasificación del documento, en su caso.</w:t>
            </w:r>
          </w:p>
        </w:tc>
      </w:tr>
      <w:tr>
        <w:trPr>
          <w:cantSplit w:val="0"/>
          <w:tblHeader w:val="0"/>
        </w:trPr>
        <w:tc>
          <w:tcPr/>
          <w:p w:rsidR="00000000" w:rsidDel="00000000" w:rsidP="00000000" w:rsidRDefault="00000000" w:rsidRPr="00000000" w14:paraId="0000008B">
            <w:pPr>
              <w:jc w:val="both"/>
              <w:rPr>
                <w:rFonts w:ascii="Palatino Linotype" w:cs="Palatino Linotype" w:eastAsia="Palatino Linotype" w:hAnsi="Palatino Linotype"/>
                <w:b w:val="0"/>
                <w:sz w:val="12"/>
                <w:szCs w:val="12"/>
              </w:rPr>
            </w:pPr>
            <w:r w:rsidDel="00000000" w:rsidR="00000000" w:rsidRPr="00000000">
              <w:rPr>
                <w:rFonts w:ascii="Palatino Linotype" w:cs="Palatino Linotype" w:eastAsia="Palatino Linotype" w:hAnsi="Palatino Linotype"/>
                <w:b w:val="0"/>
                <w:sz w:val="12"/>
                <w:szCs w:val="12"/>
                <w:rtl w:val="0"/>
              </w:rPr>
              <w:t xml:space="preserve">Área</w:t>
            </w:r>
          </w:p>
        </w:tc>
        <w:tc>
          <w:tcPr/>
          <w:p w:rsidR="00000000" w:rsidDel="00000000" w:rsidP="00000000" w:rsidRDefault="00000000" w:rsidRPr="00000000" w14:paraId="0000008C">
            <w:pPr>
              <w:jc w:val="both"/>
              <w:rPr>
                <w:rFonts w:ascii="Palatino Linotype" w:cs="Palatino Linotype" w:eastAsia="Palatino Linotype" w:hAnsi="Palatino Linotype"/>
                <w:sz w:val="12"/>
                <w:szCs w:val="12"/>
              </w:rPr>
            </w:pPr>
            <w:r w:rsidDel="00000000" w:rsidR="00000000" w:rsidRPr="00000000">
              <w:rPr>
                <w:rFonts w:ascii="Palatino Linotype" w:cs="Palatino Linotype" w:eastAsia="Palatino Linotype" w:hAnsi="Palatino Linotype"/>
                <w:sz w:val="12"/>
                <w:szCs w:val="12"/>
                <w:rtl w:val="0"/>
              </w:rPr>
              <w:t xml:space="preserve">Se señalará el nombre del área del cual es titular quien clasifica.</w:t>
            </w:r>
          </w:p>
        </w:tc>
        <w:tc>
          <w:tcPr/>
          <w:p w:rsidR="00000000" w:rsidDel="00000000" w:rsidP="00000000" w:rsidRDefault="00000000" w:rsidRPr="00000000" w14:paraId="0000008D">
            <w:pPr>
              <w:jc w:val="both"/>
              <w:rPr>
                <w:rFonts w:ascii="Palatino Linotype" w:cs="Palatino Linotype" w:eastAsia="Palatino Linotype" w:hAnsi="Palatino Linotype"/>
                <w:b w:val="1"/>
                <w:sz w:val="12"/>
                <w:szCs w:val="12"/>
              </w:rPr>
            </w:pPr>
            <w:r w:rsidDel="00000000" w:rsidR="00000000" w:rsidRPr="00000000">
              <w:rPr>
                <w:rFonts w:ascii="Palatino Linotype" w:cs="Palatino Linotype" w:eastAsia="Palatino Linotype" w:hAnsi="Palatino Linotype"/>
                <w:b w:val="1"/>
                <w:sz w:val="12"/>
                <w:szCs w:val="12"/>
                <w:rtl w:val="0"/>
              </w:rPr>
              <w:t xml:space="preserve">Área</w:t>
            </w:r>
          </w:p>
        </w:tc>
        <w:tc>
          <w:tcPr/>
          <w:p w:rsidR="00000000" w:rsidDel="00000000" w:rsidP="00000000" w:rsidRDefault="00000000" w:rsidRPr="00000000" w14:paraId="0000008E">
            <w:pPr>
              <w:jc w:val="both"/>
              <w:rPr>
                <w:rFonts w:ascii="Palatino Linotype" w:cs="Palatino Linotype" w:eastAsia="Palatino Linotype" w:hAnsi="Palatino Linotype"/>
                <w:sz w:val="12"/>
                <w:szCs w:val="12"/>
              </w:rPr>
            </w:pPr>
            <w:r w:rsidDel="00000000" w:rsidR="00000000" w:rsidRPr="00000000">
              <w:rPr>
                <w:rFonts w:ascii="Palatino Linotype" w:cs="Palatino Linotype" w:eastAsia="Palatino Linotype" w:hAnsi="Palatino Linotype"/>
                <w:sz w:val="12"/>
                <w:szCs w:val="12"/>
                <w:rtl w:val="0"/>
              </w:rPr>
              <w:t xml:space="preserve">Se señalará el nombre del área de la cual es el titular quien clasifica.</w:t>
            </w:r>
          </w:p>
        </w:tc>
      </w:tr>
      <w:tr>
        <w:trPr>
          <w:cantSplit w:val="0"/>
          <w:tblHeader w:val="0"/>
        </w:trPr>
        <w:tc>
          <w:tcPr/>
          <w:p w:rsidR="00000000" w:rsidDel="00000000" w:rsidP="00000000" w:rsidRDefault="00000000" w:rsidRPr="00000000" w14:paraId="0000008F">
            <w:pPr>
              <w:jc w:val="both"/>
              <w:rPr>
                <w:rFonts w:ascii="Palatino Linotype" w:cs="Palatino Linotype" w:eastAsia="Palatino Linotype" w:hAnsi="Palatino Linotype"/>
                <w:b w:val="0"/>
                <w:sz w:val="12"/>
                <w:szCs w:val="12"/>
              </w:rPr>
            </w:pPr>
            <w:r w:rsidDel="00000000" w:rsidR="00000000" w:rsidRPr="00000000">
              <w:rPr>
                <w:rFonts w:ascii="Palatino Linotype" w:cs="Palatino Linotype" w:eastAsia="Palatino Linotype" w:hAnsi="Palatino Linotype"/>
                <w:b w:val="0"/>
                <w:sz w:val="12"/>
                <w:szCs w:val="12"/>
                <w:rtl w:val="0"/>
              </w:rPr>
              <w:t xml:space="preserve">Información reservada</w:t>
            </w:r>
          </w:p>
        </w:tc>
        <w:tc>
          <w:tcPr/>
          <w:p w:rsidR="00000000" w:rsidDel="00000000" w:rsidP="00000000" w:rsidRDefault="00000000" w:rsidRPr="00000000" w14:paraId="00000090">
            <w:pPr>
              <w:jc w:val="both"/>
              <w:rPr>
                <w:rFonts w:ascii="Palatino Linotype" w:cs="Palatino Linotype" w:eastAsia="Palatino Linotype" w:hAnsi="Palatino Linotype"/>
                <w:sz w:val="12"/>
                <w:szCs w:val="12"/>
              </w:rPr>
            </w:pPr>
            <w:r w:rsidDel="00000000" w:rsidR="00000000" w:rsidRPr="00000000">
              <w:rPr>
                <w:rFonts w:ascii="Palatino Linotype" w:cs="Palatino Linotype" w:eastAsia="Palatino Linotype" w:hAnsi="Palatino Linotype"/>
                <w:sz w:val="12"/>
                <w:szCs w:val="12"/>
                <w:rtl w:val="0"/>
              </w:rPr>
              <w:t xml:space="preserve">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p w:rsidR="00000000" w:rsidDel="00000000" w:rsidP="00000000" w:rsidRDefault="00000000" w:rsidRPr="00000000" w14:paraId="00000091">
            <w:pPr>
              <w:jc w:val="both"/>
              <w:rPr>
                <w:rFonts w:ascii="Palatino Linotype" w:cs="Palatino Linotype" w:eastAsia="Palatino Linotype" w:hAnsi="Palatino Linotype"/>
                <w:b w:val="1"/>
                <w:sz w:val="12"/>
                <w:szCs w:val="12"/>
              </w:rPr>
            </w:pPr>
            <w:r w:rsidDel="00000000" w:rsidR="00000000" w:rsidRPr="00000000">
              <w:rPr>
                <w:rFonts w:ascii="Palatino Linotype" w:cs="Palatino Linotype" w:eastAsia="Palatino Linotype" w:hAnsi="Palatino Linotype"/>
                <w:b w:val="1"/>
                <w:sz w:val="12"/>
                <w:szCs w:val="12"/>
                <w:rtl w:val="0"/>
              </w:rPr>
              <w:t xml:space="preserve">Reservado</w:t>
            </w:r>
          </w:p>
        </w:tc>
        <w:tc>
          <w:tcPr/>
          <w:p w:rsidR="00000000" w:rsidDel="00000000" w:rsidP="00000000" w:rsidRDefault="00000000" w:rsidRPr="00000000" w14:paraId="00000092">
            <w:pPr>
              <w:jc w:val="both"/>
              <w:rPr>
                <w:rFonts w:ascii="Palatino Linotype" w:cs="Palatino Linotype" w:eastAsia="Palatino Linotype" w:hAnsi="Palatino Linotype"/>
                <w:sz w:val="12"/>
                <w:szCs w:val="12"/>
              </w:rPr>
            </w:pPr>
            <w:r w:rsidDel="00000000" w:rsidR="00000000" w:rsidRPr="00000000">
              <w:rPr>
                <w:rFonts w:ascii="Palatino Linotype" w:cs="Palatino Linotype" w:eastAsia="Palatino Linotype" w:hAnsi="Palatino Linotype"/>
                <w:sz w:val="12"/>
                <w:szCs w:val="12"/>
                <w:rtl w:val="0"/>
              </w:rPr>
              <w:t xml:space="preserve">Leyenda de información RESERVADA.</w:t>
            </w:r>
          </w:p>
        </w:tc>
      </w:tr>
      <w:tr>
        <w:trPr>
          <w:cantSplit w:val="0"/>
          <w:tblHeader w:val="0"/>
        </w:trPr>
        <w:tc>
          <w:tcPr/>
          <w:p w:rsidR="00000000" w:rsidDel="00000000" w:rsidP="00000000" w:rsidRDefault="00000000" w:rsidRPr="00000000" w14:paraId="00000093">
            <w:pPr>
              <w:jc w:val="both"/>
              <w:rPr>
                <w:rFonts w:ascii="Palatino Linotype" w:cs="Palatino Linotype" w:eastAsia="Palatino Linotype" w:hAnsi="Palatino Linotype"/>
                <w:b w:val="0"/>
                <w:sz w:val="12"/>
                <w:szCs w:val="12"/>
              </w:rPr>
            </w:pPr>
            <w:r w:rsidDel="00000000" w:rsidR="00000000" w:rsidRPr="00000000">
              <w:rPr>
                <w:rFonts w:ascii="Palatino Linotype" w:cs="Palatino Linotype" w:eastAsia="Palatino Linotype" w:hAnsi="Palatino Linotype"/>
                <w:b w:val="0"/>
                <w:sz w:val="12"/>
                <w:szCs w:val="12"/>
                <w:rtl w:val="0"/>
              </w:rPr>
              <w:t xml:space="preserve">Fundamento legal</w:t>
            </w:r>
          </w:p>
        </w:tc>
        <w:tc>
          <w:tcPr/>
          <w:p w:rsidR="00000000" w:rsidDel="00000000" w:rsidP="00000000" w:rsidRDefault="00000000" w:rsidRPr="00000000" w14:paraId="00000094">
            <w:pPr>
              <w:jc w:val="both"/>
              <w:rPr>
                <w:rFonts w:ascii="Palatino Linotype" w:cs="Palatino Linotype" w:eastAsia="Palatino Linotype" w:hAnsi="Palatino Linotype"/>
                <w:sz w:val="12"/>
                <w:szCs w:val="12"/>
              </w:rPr>
            </w:pPr>
            <w:r w:rsidDel="00000000" w:rsidR="00000000" w:rsidRPr="00000000">
              <w:rPr>
                <w:rFonts w:ascii="Palatino Linotype" w:cs="Palatino Linotype" w:eastAsia="Palatino Linotype" w:hAnsi="Palatino Linotype"/>
                <w:sz w:val="12"/>
                <w:szCs w:val="12"/>
                <w:rtl w:val="0"/>
              </w:rPr>
              <w:t xml:space="preserve">Se señalará el nombre del ordenamiento, el o los artículos, fracción(es), párrafo(s) con base en los cuales se sustente la reserva.</w:t>
            </w:r>
          </w:p>
        </w:tc>
        <w:tc>
          <w:tcPr/>
          <w:p w:rsidR="00000000" w:rsidDel="00000000" w:rsidP="00000000" w:rsidRDefault="00000000" w:rsidRPr="00000000" w14:paraId="00000095">
            <w:pPr>
              <w:jc w:val="both"/>
              <w:rPr>
                <w:rFonts w:ascii="Palatino Linotype" w:cs="Palatino Linotype" w:eastAsia="Palatino Linotype" w:hAnsi="Palatino Linotype"/>
                <w:b w:val="1"/>
                <w:sz w:val="12"/>
                <w:szCs w:val="12"/>
              </w:rPr>
            </w:pPr>
            <w:r w:rsidDel="00000000" w:rsidR="00000000" w:rsidRPr="00000000">
              <w:rPr>
                <w:rFonts w:ascii="Palatino Linotype" w:cs="Palatino Linotype" w:eastAsia="Palatino Linotype" w:hAnsi="Palatino Linotype"/>
                <w:b w:val="1"/>
                <w:sz w:val="12"/>
                <w:szCs w:val="12"/>
                <w:rtl w:val="0"/>
              </w:rPr>
              <w:t xml:space="preserve">Periodo de reserva</w:t>
            </w:r>
          </w:p>
        </w:tc>
        <w:tc>
          <w:tcPr/>
          <w:p w:rsidR="00000000" w:rsidDel="00000000" w:rsidP="00000000" w:rsidRDefault="00000000" w:rsidRPr="00000000" w14:paraId="00000096">
            <w:pPr>
              <w:jc w:val="both"/>
              <w:rPr>
                <w:rFonts w:ascii="Palatino Linotype" w:cs="Palatino Linotype" w:eastAsia="Palatino Linotype" w:hAnsi="Palatino Linotype"/>
                <w:sz w:val="12"/>
                <w:szCs w:val="12"/>
              </w:rPr>
            </w:pPr>
            <w:r w:rsidDel="00000000" w:rsidR="00000000" w:rsidRPr="00000000">
              <w:rPr>
                <w:rFonts w:ascii="Palatino Linotype" w:cs="Palatino Linotype" w:eastAsia="Palatino Linotype" w:hAnsi="Palatino Linotype"/>
                <w:sz w:val="12"/>
                <w:szCs w:val="12"/>
                <w:rtl w:val="0"/>
              </w:rPr>
              <w:t xml:space="preserve">Se anotará el número de años o meses por los que se mantendrá el documento o las partes del mismo como reservado. Si el expediente no es reservado, sino confidencial, deberá tacharse este apartado.</w:t>
            </w:r>
          </w:p>
        </w:tc>
      </w:tr>
      <w:tr>
        <w:trPr>
          <w:cantSplit w:val="0"/>
          <w:tblHeader w:val="0"/>
        </w:trPr>
        <w:tc>
          <w:tcPr/>
          <w:p w:rsidR="00000000" w:rsidDel="00000000" w:rsidP="00000000" w:rsidRDefault="00000000" w:rsidRPr="00000000" w14:paraId="00000097">
            <w:pPr>
              <w:jc w:val="both"/>
              <w:rPr>
                <w:rFonts w:ascii="Palatino Linotype" w:cs="Palatino Linotype" w:eastAsia="Palatino Linotype" w:hAnsi="Palatino Linotype"/>
                <w:b w:val="0"/>
                <w:sz w:val="12"/>
                <w:szCs w:val="12"/>
              </w:rPr>
            </w:pPr>
            <w:r w:rsidDel="00000000" w:rsidR="00000000" w:rsidRPr="00000000">
              <w:rPr>
                <w:rFonts w:ascii="Palatino Linotype" w:cs="Palatino Linotype" w:eastAsia="Palatino Linotype" w:hAnsi="Palatino Linotype"/>
                <w:b w:val="0"/>
                <w:sz w:val="12"/>
                <w:szCs w:val="12"/>
                <w:rtl w:val="0"/>
              </w:rPr>
              <w:t xml:space="preserve">Ampliación del periodo de reserva</w:t>
            </w:r>
          </w:p>
        </w:tc>
        <w:tc>
          <w:tcPr/>
          <w:p w:rsidR="00000000" w:rsidDel="00000000" w:rsidP="00000000" w:rsidRDefault="00000000" w:rsidRPr="00000000" w14:paraId="00000098">
            <w:pPr>
              <w:jc w:val="both"/>
              <w:rPr>
                <w:rFonts w:ascii="Palatino Linotype" w:cs="Palatino Linotype" w:eastAsia="Palatino Linotype" w:hAnsi="Palatino Linotype"/>
                <w:sz w:val="12"/>
                <w:szCs w:val="12"/>
              </w:rPr>
            </w:pPr>
            <w:r w:rsidDel="00000000" w:rsidR="00000000" w:rsidRPr="00000000">
              <w:rPr>
                <w:rFonts w:ascii="Palatino Linotype" w:cs="Palatino Linotype" w:eastAsia="Palatino Linotype" w:hAnsi="Palatino Linotype"/>
                <w:sz w:val="12"/>
                <w:szCs w:val="12"/>
                <w:rtl w:val="0"/>
              </w:rPr>
              <w:t xml:space="preserve">En caso de haber solicitado la ampliación del periodo de reserva originalmente establecido, se deberá anotar el número de años o meses por los que se amplía la reserva.</w:t>
            </w:r>
          </w:p>
        </w:tc>
        <w:tc>
          <w:tcPr/>
          <w:p w:rsidR="00000000" w:rsidDel="00000000" w:rsidP="00000000" w:rsidRDefault="00000000" w:rsidRPr="00000000" w14:paraId="00000099">
            <w:pPr>
              <w:jc w:val="both"/>
              <w:rPr>
                <w:rFonts w:ascii="Palatino Linotype" w:cs="Palatino Linotype" w:eastAsia="Palatino Linotype" w:hAnsi="Palatino Linotype"/>
                <w:b w:val="1"/>
                <w:sz w:val="12"/>
                <w:szCs w:val="12"/>
              </w:rPr>
            </w:pPr>
            <w:r w:rsidDel="00000000" w:rsidR="00000000" w:rsidRPr="00000000">
              <w:rPr>
                <w:rFonts w:ascii="Palatino Linotype" w:cs="Palatino Linotype" w:eastAsia="Palatino Linotype" w:hAnsi="Palatino Linotype"/>
                <w:b w:val="1"/>
                <w:sz w:val="12"/>
                <w:szCs w:val="12"/>
                <w:rtl w:val="0"/>
              </w:rPr>
              <w:t xml:space="preserve">Fundamento legal</w:t>
            </w:r>
          </w:p>
        </w:tc>
        <w:tc>
          <w:tcPr/>
          <w:p w:rsidR="00000000" w:rsidDel="00000000" w:rsidP="00000000" w:rsidRDefault="00000000" w:rsidRPr="00000000" w14:paraId="0000009A">
            <w:pPr>
              <w:jc w:val="both"/>
              <w:rPr>
                <w:rFonts w:ascii="Palatino Linotype" w:cs="Palatino Linotype" w:eastAsia="Palatino Linotype" w:hAnsi="Palatino Linotype"/>
                <w:sz w:val="12"/>
                <w:szCs w:val="12"/>
              </w:rPr>
            </w:pPr>
            <w:r w:rsidDel="00000000" w:rsidR="00000000" w:rsidRPr="00000000">
              <w:rPr>
                <w:rFonts w:ascii="Palatino Linotype" w:cs="Palatino Linotype" w:eastAsia="Palatino Linotype" w:hAnsi="Palatino Linotype"/>
                <w:sz w:val="12"/>
                <w:szCs w:val="12"/>
                <w:rtl w:val="0"/>
              </w:rPr>
              <w:t xml:space="preserve">Se señalará el nombre del o de los ordenamientos jurídicos, el o los artículos, fracción(es), párrafo(s) con base en los cuales se sustenta la reserva.</w:t>
            </w:r>
          </w:p>
        </w:tc>
      </w:tr>
      <w:tr>
        <w:trPr>
          <w:cantSplit w:val="0"/>
          <w:tblHeader w:val="0"/>
        </w:trPr>
        <w:tc>
          <w:tcPr/>
          <w:p w:rsidR="00000000" w:rsidDel="00000000" w:rsidP="00000000" w:rsidRDefault="00000000" w:rsidRPr="00000000" w14:paraId="0000009B">
            <w:pPr>
              <w:jc w:val="both"/>
              <w:rPr>
                <w:rFonts w:ascii="Palatino Linotype" w:cs="Palatino Linotype" w:eastAsia="Palatino Linotype" w:hAnsi="Palatino Linotype"/>
                <w:b w:val="0"/>
                <w:sz w:val="12"/>
                <w:szCs w:val="12"/>
              </w:rPr>
            </w:pPr>
            <w:r w:rsidDel="00000000" w:rsidR="00000000" w:rsidRPr="00000000">
              <w:rPr>
                <w:rFonts w:ascii="Palatino Linotype" w:cs="Palatino Linotype" w:eastAsia="Palatino Linotype" w:hAnsi="Palatino Linotype"/>
                <w:b w:val="0"/>
                <w:sz w:val="12"/>
                <w:szCs w:val="12"/>
                <w:rtl w:val="0"/>
              </w:rPr>
              <w:t xml:space="preserve">Confidencial</w:t>
            </w:r>
          </w:p>
        </w:tc>
        <w:tc>
          <w:tcPr/>
          <w:p w:rsidR="00000000" w:rsidDel="00000000" w:rsidP="00000000" w:rsidRDefault="00000000" w:rsidRPr="00000000" w14:paraId="0000009C">
            <w:pPr>
              <w:jc w:val="both"/>
              <w:rPr>
                <w:rFonts w:ascii="Palatino Linotype" w:cs="Palatino Linotype" w:eastAsia="Palatino Linotype" w:hAnsi="Palatino Linotype"/>
                <w:sz w:val="12"/>
                <w:szCs w:val="12"/>
              </w:rPr>
            </w:pPr>
            <w:r w:rsidDel="00000000" w:rsidR="00000000" w:rsidRPr="00000000">
              <w:rPr>
                <w:rFonts w:ascii="Palatino Linotype" w:cs="Palatino Linotype" w:eastAsia="Palatino Linotype" w:hAnsi="Palatino Linotype"/>
                <w:sz w:val="12"/>
                <w:szCs w:val="12"/>
                <w:rtl w:val="0"/>
              </w:rPr>
              <w:t xml:space="preserve">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p w:rsidR="00000000" w:rsidDel="00000000" w:rsidP="00000000" w:rsidRDefault="00000000" w:rsidRPr="00000000" w14:paraId="0000009D">
            <w:pPr>
              <w:jc w:val="both"/>
              <w:rPr>
                <w:rFonts w:ascii="Palatino Linotype" w:cs="Palatino Linotype" w:eastAsia="Palatino Linotype" w:hAnsi="Palatino Linotype"/>
                <w:b w:val="1"/>
                <w:sz w:val="12"/>
                <w:szCs w:val="12"/>
              </w:rPr>
            </w:pPr>
            <w:r w:rsidDel="00000000" w:rsidR="00000000" w:rsidRPr="00000000">
              <w:rPr>
                <w:rFonts w:ascii="Palatino Linotype" w:cs="Palatino Linotype" w:eastAsia="Palatino Linotype" w:hAnsi="Palatino Linotype"/>
                <w:b w:val="1"/>
                <w:sz w:val="12"/>
                <w:szCs w:val="12"/>
                <w:rtl w:val="0"/>
              </w:rPr>
              <w:t xml:space="preserve">Ampliación del periodo de reserva</w:t>
            </w:r>
          </w:p>
        </w:tc>
        <w:tc>
          <w:tcPr/>
          <w:p w:rsidR="00000000" w:rsidDel="00000000" w:rsidP="00000000" w:rsidRDefault="00000000" w:rsidRPr="00000000" w14:paraId="0000009E">
            <w:pPr>
              <w:jc w:val="both"/>
              <w:rPr>
                <w:rFonts w:ascii="Palatino Linotype" w:cs="Palatino Linotype" w:eastAsia="Palatino Linotype" w:hAnsi="Palatino Linotype"/>
                <w:sz w:val="12"/>
                <w:szCs w:val="12"/>
              </w:rPr>
            </w:pPr>
            <w:r w:rsidDel="00000000" w:rsidR="00000000" w:rsidRPr="00000000">
              <w:rPr>
                <w:rFonts w:ascii="Palatino Linotype" w:cs="Palatino Linotype" w:eastAsia="Palatino Linotype" w:hAnsi="Palatino Linotype"/>
                <w:sz w:val="12"/>
                <w:szCs w:val="12"/>
                <w:rtl w:val="0"/>
              </w:rPr>
              <w:t xml:space="preserve">En caso de haber solicitado la ampliación del periodo de reserva originalmente establecido, se deberá anotar el número de años o meses por los que se amplía la reserva.</w:t>
            </w:r>
          </w:p>
        </w:tc>
      </w:tr>
      <w:tr>
        <w:trPr>
          <w:cantSplit w:val="0"/>
          <w:tblHeader w:val="0"/>
        </w:trPr>
        <w:tc>
          <w:tcPr/>
          <w:p w:rsidR="00000000" w:rsidDel="00000000" w:rsidP="00000000" w:rsidRDefault="00000000" w:rsidRPr="00000000" w14:paraId="0000009F">
            <w:pPr>
              <w:jc w:val="both"/>
              <w:rPr>
                <w:rFonts w:ascii="Palatino Linotype" w:cs="Palatino Linotype" w:eastAsia="Palatino Linotype" w:hAnsi="Palatino Linotype"/>
                <w:b w:val="0"/>
                <w:sz w:val="12"/>
                <w:szCs w:val="12"/>
              </w:rPr>
            </w:pPr>
            <w:r w:rsidDel="00000000" w:rsidR="00000000" w:rsidRPr="00000000">
              <w:rPr>
                <w:rFonts w:ascii="Palatino Linotype" w:cs="Palatino Linotype" w:eastAsia="Palatino Linotype" w:hAnsi="Palatino Linotype"/>
                <w:b w:val="0"/>
                <w:sz w:val="12"/>
                <w:szCs w:val="12"/>
                <w:rtl w:val="0"/>
              </w:rPr>
              <w:t xml:space="preserve">Fundamento legal</w:t>
            </w:r>
          </w:p>
        </w:tc>
        <w:tc>
          <w:tcPr/>
          <w:p w:rsidR="00000000" w:rsidDel="00000000" w:rsidP="00000000" w:rsidRDefault="00000000" w:rsidRPr="00000000" w14:paraId="000000A0">
            <w:pPr>
              <w:jc w:val="both"/>
              <w:rPr>
                <w:rFonts w:ascii="Palatino Linotype" w:cs="Palatino Linotype" w:eastAsia="Palatino Linotype" w:hAnsi="Palatino Linotype"/>
                <w:sz w:val="12"/>
                <w:szCs w:val="12"/>
              </w:rPr>
            </w:pPr>
            <w:r w:rsidDel="00000000" w:rsidR="00000000" w:rsidRPr="00000000">
              <w:rPr>
                <w:rFonts w:ascii="Palatino Linotype" w:cs="Palatino Linotype" w:eastAsia="Palatino Linotype" w:hAnsi="Palatino Linotype"/>
                <w:sz w:val="12"/>
                <w:szCs w:val="12"/>
                <w:rtl w:val="0"/>
              </w:rPr>
              <w:t xml:space="preserve">Se señalará el nombre del ordenamiento, el o los artículos, fracción(es), párrafo(s) con base en los cuales se sustente la confidencialidad.</w:t>
            </w:r>
          </w:p>
        </w:tc>
        <w:tc>
          <w:tcPr/>
          <w:p w:rsidR="00000000" w:rsidDel="00000000" w:rsidP="00000000" w:rsidRDefault="00000000" w:rsidRPr="00000000" w14:paraId="000000A1">
            <w:pPr>
              <w:jc w:val="both"/>
              <w:rPr>
                <w:rFonts w:ascii="Palatino Linotype" w:cs="Palatino Linotype" w:eastAsia="Palatino Linotype" w:hAnsi="Palatino Linotype"/>
                <w:b w:val="1"/>
                <w:sz w:val="12"/>
                <w:szCs w:val="12"/>
              </w:rPr>
            </w:pPr>
            <w:r w:rsidDel="00000000" w:rsidR="00000000" w:rsidRPr="00000000">
              <w:rPr>
                <w:rFonts w:ascii="Palatino Linotype" w:cs="Palatino Linotype" w:eastAsia="Palatino Linotype" w:hAnsi="Palatino Linotype"/>
                <w:b w:val="1"/>
                <w:sz w:val="12"/>
                <w:szCs w:val="12"/>
                <w:rtl w:val="0"/>
              </w:rPr>
              <w:t xml:space="preserve">Confidencial</w:t>
            </w:r>
          </w:p>
        </w:tc>
        <w:tc>
          <w:tcPr/>
          <w:p w:rsidR="00000000" w:rsidDel="00000000" w:rsidP="00000000" w:rsidRDefault="00000000" w:rsidRPr="00000000" w14:paraId="000000A2">
            <w:pPr>
              <w:jc w:val="both"/>
              <w:rPr>
                <w:rFonts w:ascii="Palatino Linotype" w:cs="Palatino Linotype" w:eastAsia="Palatino Linotype" w:hAnsi="Palatino Linotype"/>
                <w:sz w:val="12"/>
                <w:szCs w:val="12"/>
              </w:rPr>
            </w:pPr>
            <w:r w:rsidDel="00000000" w:rsidR="00000000" w:rsidRPr="00000000">
              <w:rPr>
                <w:rFonts w:ascii="Palatino Linotype" w:cs="Palatino Linotype" w:eastAsia="Palatino Linotype" w:hAnsi="Palatino Linotype"/>
                <w:sz w:val="12"/>
                <w:szCs w:val="12"/>
                <w:rtl w:val="0"/>
              </w:rPr>
              <w:t xml:space="preserve">Leyenda de información CONFIDENCIAL.</w:t>
            </w:r>
          </w:p>
        </w:tc>
      </w:tr>
      <w:tr>
        <w:trPr>
          <w:cantSplit w:val="0"/>
          <w:tblHeader w:val="0"/>
        </w:trPr>
        <w:tc>
          <w:tcPr/>
          <w:p w:rsidR="00000000" w:rsidDel="00000000" w:rsidP="00000000" w:rsidRDefault="00000000" w:rsidRPr="00000000" w14:paraId="000000A3">
            <w:pPr>
              <w:jc w:val="both"/>
              <w:rPr>
                <w:rFonts w:ascii="Palatino Linotype" w:cs="Palatino Linotype" w:eastAsia="Palatino Linotype" w:hAnsi="Palatino Linotype"/>
                <w:b w:val="0"/>
                <w:sz w:val="12"/>
                <w:szCs w:val="12"/>
              </w:rPr>
            </w:pPr>
            <w:r w:rsidDel="00000000" w:rsidR="00000000" w:rsidRPr="00000000">
              <w:rPr>
                <w:rFonts w:ascii="Palatino Linotype" w:cs="Palatino Linotype" w:eastAsia="Palatino Linotype" w:hAnsi="Palatino Linotype"/>
                <w:b w:val="0"/>
                <w:sz w:val="12"/>
                <w:szCs w:val="12"/>
                <w:rtl w:val="0"/>
              </w:rPr>
              <w:t xml:space="preserve">Rúbrica del titular del área</w:t>
            </w:r>
          </w:p>
        </w:tc>
        <w:tc>
          <w:tcPr/>
          <w:p w:rsidR="00000000" w:rsidDel="00000000" w:rsidP="00000000" w:rsidRDefault="00000000" w:rsidRPr="00000000" w14:paraId="000000A4">
            <w:pPr>
              <w:jc w:val="both"/>
              <w:rPr>
                <w:rFonts w:ascii="Palatino Linotype" w:cs="Palatino Linotype" w:eastAsia="Palatino Linotype" w:hAnsi="Palatino Linotype"/>
                <w:sz w:val="12"/>
                <w:szCs w:val="12"/>
              </w:rPr>
            </w:pPr>
            <w:r w:rsidDel="00000000" w:rsidR="00000000" w:rsidRPr="00000000">
              <w:rPr>
                <w:rFonts w:ascii="Palatino Linotype" w:cs="Palatino Linotype" w:eastAsia="Palatino Linotype" w:hAnsi="Palatino Linotype"/>
                <w:sz w:val="12"/>
                <w:szCs w:val="12"/>
                <w:rtl w:val="0"/>
              </w:rPr>
              <w:t xml:space="preserve">Rúbrica autógrafa de quien clasifica.</w:t>
            </w:r>
          </w:p>
        </w:tc>
        <w:tc>
          <w:tcPr/>
          <w:p w:rsidR="00000000" w:rsidDel="00000000" w:rsidP="00000000" w:rsidRDefault="00000000" w:rsidRPr="00000000" w14:paraId="000000A5">
            <w:pPr>
              <w:jc w:val="both"/>
              <w:rPr>
                <w:rFonts w:ascii="Palatino Linotype" w:cs="Palatino Linotype" w:eastAsia="Palatino Linotype" w:hAnsi="Palatino Linotype"/>
                <w:b w:val="1"/>
                <w:sz w:val="12"/>
                <w:szCs w:val="12"/>
              </w:rPr>
            </w:pPr>
            <w:r w:rsidDel="00000000" w:rsidR="00000000" w:rsidRPr="00000000">
              <w:rPr>
                <w:rFonts w:ascii="Palatino Linotype" w:cs="Palatino Linotype" w:eastAsia="Palatino Linotype" w:hAnsi="Palatino Linotype"/>
                <w:b w:val="1"/>
                <w:sz w:val="12"/>
                <w:szCs w:val="12"/>
                <w:rtl w:val="0"/>
              </w:rPr>
              <w:t xml:space="preserve">Fundamento legal</w:t>
            </w:r>
          </w:p>
        </w:tc>
        <w:tc>
          <w:tcPr/>
          <w:p w:rsidR="00000000" w:rsidDel="00000000" w:rsidP="00000000" w:rsidRDefault="00000000" w:rsidRPr="00000000" w14:paraId="000000A6">
            <w:pPr>
              <w:jc w:val="both"/>
              <w:rPr>
                <w:rFonts w:ascii="Palatino Linotype" w:cs="Palatino Linotype" w:eastAsia="Palatino Linotype" w:hAnsi="Palatino Linotype"/>
                <w:sz w:val="12"/>
                <w:szCs w:val="12"/>
              </w:rPr>
            </w:pPr>
            <w:r w:rsidDel="00000000" w:rsidR="00000000" w:rsidRPr="00000000">
              <w:rPr>
                <w:rFonts w:ascii="Palatino Linotype" w:cs="Palatino Linotype" w:eastAsia="Palatino Linotype" w:hAnsi="Palatino Linotype"/>
                <w:sz w:val="12"/>
                <w:szCs w:val="12"/>
                <w:rtl w:val="0"/>
              </w:rPr>
              <w:t xml:space="preserve">Se señalará el nombre del o de los ordenamientos jurídicos, el o los artículos, fracción(es), párrafo(s) con base en los cuales se sustente la confidencialidad.</w:t>
            </w:r>
          </w:p>
        </w:tc>
      </w:tr>
      <w:tr>
        <w:trPr>
          <w:cantSplit w:val="0"/>
          <w:tblHeader w:val="0"/>
        </w:trPr>
        <w:tc>
          <w:tcPr/>
          <w:p w:rsidR="00000000" w:rsidDel="00000000" w:rsidP="00000000" w:rsidRDefault="00000000" w:rsidRPr="00000000" w14:paraId="000000A7">
            <w:pPr>
              <w:jc w:val="both"/>
              <w:rPr>
                <w:rFonts w:ascii="Palatino Linotype" w:cs="Palatino Linotype" w:eastAsia="Palatino Linotype" w:hAnsi="Palatino Linotype"/>
                <w:b w:val="0"/>
                <w:sz w:val="12"/>
                <w:szCs w:val="12"/>
              </w:rPr>
            </w:pPr>
            <w:r w:rsidDel="00000000" w:rsidR="00000000" w:rsidRPr="00000000">
              <w:rPr>
                <w:rFonts w:ascii="Palatino Linotype" w:cs="Palatino Linotype" w:eastAsia="Palatino Linotype" w:hAnsi="Palatino Linotype"/>
                <w:b w:val="0"/>
                <w:sz w:val="12"/>
                <w:szCs w:val="12"/>
                <w:rtl w:val="0"/>
              </w:rPr>
              <w:t xml:space="preserve">Fecha de desclasificación</w:t>
            </w:r>
          </w:p>
        </w:tc>
        <w:tc>
          <w:tcPr/>
          <w:p w:rsidR="00000000" w:rsidDel="00000000" w:rsidP="00000000" w:rsidRDefault="00000000" w:rsidRPr="00000000" w14:paraId="000000A8">
            <w:pPr>
              <w:jc w:val="both"/>
              <w:rPr>
                <w:rFonts w:ascii="Palatino Linotype" w:cs="Palatino Linotype" w:eastAsia="Palatino Linotype" w:hAnsi="Palatino Linotype"/>
                <w:sz w:val="12"/>
                <w:szCs w:val="12"/>
              </w:rPr>
            </w:pPr>
            <w:r w:rsidDel="00000000" w:rsidR="00000000" w:rsidRPr="00000000">
              <w:rPr>
                <w:rFonts w:ascii="Palatino Linotype" w:cs="Palatino Linotype" w:eastAsia="Palatino Linotype" w:hAnsi="Palatino Linotype"/>
                <w:sz w:val="12"/>
                <w:szCs w:val="12"/>
                <w:rtl w:val="0"/>
              </w:rPr>
              <w:t xml:space="preserve">Se anotará la fecha en que se desclasifica el documento.</w:t>
            </w:r>
          </w:p>
        </w:tc>
        <w:tc>
          <w:tcPr/>
          <w:p w:rsidR="00000000" w:rsidDel="00000000" w:rsidP="00000000" w:rsidRDefault="00000000" w:rsidRPr="00000000" w14:paraId="000000A9">
            <w:pPr>
              <w:jc w:val="both"/>
              <w:rPr>
                <w:rFonts w:ascii="Palatino Linotype" w:cs="Palatino Linotype" w:eastAsia="Palatino Linotype" w:hAnsi="Palatino Linotype"/>
                <w:b w:val="1"/>
                <w:sz w:val="12"/>
                <w:szCs w:val="12"/>
              </w:rPr>
            </w:pPr>
            <w:r w:rsidDel="00000000" w:rsidR="00000000" w:rsidRPr="00000000">
              <w:rPr>
                <w:rFonts w:ascii="Palatino Linotype" w:cs="Palatino Linotype" w:eastAsia="Palatino Linotype" w:hAnsi="Palatino Linotype"/>
                <w:b w:val="1"/>
                <w:sz w:val="12"/>
                <w:szCs w:val="12"/>
                <w:rtl w:val="0"/>
              </w:rPr>
              <w:t xml:space="preserve">Rúbrica del titular del área</w:t>
            </w:r>
          </w:p>
        </w:tc>
        <w:tc>
          <w:tcPr/>
          <w:p w:rsidR="00000000" w:rsidDel="00000000" w:rsidP="00000000" w:rsidRDefault="00000000" w:rsidRPr="00000000" w14:paraId="000000AA">
            <w:pPr>
              <w:jc w:val="both"/>
              <w:rPr>
                <w:rFonts w:ascii="Palatino Linotype" w:cs="Palatino Linotype" w:eastAsia="Palatino Linotype" w:hAnsi="Palatino Linotype"/>
                <w:sz w:val="12"/>
                <w:szCs w:val="12"/>
              </w:rPr>
            </w:pPr>
            <w:r w:rsidDel="00000000" w:rsidR="00000000" w:rsidRPr="00000000">
              <w:rPr>
                <w:rFonts w:ascii="Palatino Linotype" w:cs="Palatino Linotype" w:eastAsia="Palatino Linotype" w:hAnsi="Palatino Linotype"/>
                <w:sz w:val="12"/>
                <w:szCs w:val="12"/>
                <w:rtl w:val="0"/>
              </w:rPr>
              <w:t xml:space="preserve">Rúbrica autógrafa de quien clasifica.</w:t>
            </w:r>
          </w:p>
        </w:tc>
      </w:tr>
      <w:tr>
        <w:trPr>
          <w:cantSplit w:val="0"/>
          <w:tblHeader w:val="0"/>
        </w:trPr>
        <w:tc>
          <w:tcPr/>
          <w:p w:rsidR="00000000" w:rsidDel="00000000" w:rsidP="00000000" w:rsidRDefault="00000000" w:rsidRPr="00000000" w14:paraId="000000AB">
            <w:pPr>
              <w:jc w:val="both"/>
              <w:rPr>
                <w:rFonts w:ascii="Palatino Linotype" w:cs="Palatino Linotype" w:eastAsia="Palatino Linotype" w:hAnsi="Palatino Linotype"/>
                <w:b w:val="0"/>
                <w:sz w:val="12"/>
                <w:szCs w:val="12"/>
              </w:rPr>
            </w:pPr>
            <w:r w:rsidDel="00000000" w:rsidR="00000000" w:rsidRPr="00000000">
              <w:rPr>
                <w:rFonts w:ascii="Palatino Linotype" w:cs="Palatino Linotype" w:eastAsia="Palatino Linotype" w:hAnsi="Palatino Linotype"/>
                <w:b w:val="0"/>
                <w:sz w:val="12"/>
                <w:szCs w:val="12"/>
                <w:rtl w:val="0"/>
              </w:rPr>
              <w:t xml:space="preserve">Rúbrica y cargo del servidor público</w:t>
            </w:r>
          </w:p>
        </w:tc>
        <w:tc>
          <w:tcPr/>
          <w:p w:rsidR="00000000" w:rsidDel="00000000" w:rsidP="00000000" w:rsidRDefault="00000000" w:rsidRPr="00000000" w14:paraId="000000AC">
            <w:pPr>
              <w:jc w:val="both"/>
              <w:rPr>
                <w:rFonts w:ascii="Palatino Linotype" w:cs="Palatino Linotype" w:eastAsia="Palatino Linotype" w:hAnsi="Palatino Linotype"/>
                <w:sz w:val="12"/>
                <w:szCs w:val="12"/>
              </w:rPr>
            </w:pPr>
            <w:r w:rsidDel="00000000" w:rsidR="00000000" w:rsidRPr="00000000">
              <w:rPr>
                <w:rFonts w:ascii="Palatino Linotype" w:cs="Palatino Linotype" w:eastAsia="Palatino Linotype" w:hAnsi="Palatino Linotype"/>
                <w:sz w:val="12"/>
                <w:szCs w:val="12"/>
                <w:rtl w:val="0"/>
              </w:rPr>
              <w:t xml:space="preserve">Rúbrica autógrafa de quien desclasifica.</w:t>
            </w:r>
          </w:p>
        </w:tc>
        <w:tc>
          <w:tcPr/>
          <w:p w:rsidR="00000000" w:rsidDel="00000000" w:rsidP="00000000" w:rsidRDefault="00000000" w:rsidRPr="00000000" w14:paraId="000000AD">
            <w:pPr>
              <w:jc w:val="both"/>
              <w:rPr>
                <w:rFonts w:ascii="Palatino Linotype" w:cs="Palatino Linotype" w:eastAsia="Palatino Linotype" w:hAnsi="Palatino Linotype"/>
                <w:b w:val="1"/>
                <w:sz w:val="12"/>
                <w:szCs w:val="12"/>
              </w:rPr>
            </w:pPr>
            <w:r w:rsidDel="00000000" w:rsidR="00000000" w:rsidRPr="00000000">
              <w:rPr>
                <w:rFonts w:ascii="Palatino Linotype" w:cs="Palatino Linotype" w:eastAsia="Palatino Linotype" w:hAnsi="Palatino Linotype"/>
                <w:b w:val="1"/>
                <w:sz w:val="12"/>
                <w:szCs w:val="12"/>
                <w:rtl w:val="0"/>
              </w:rPr>
              <w:t xml:space="preserve">Fecha de desclasificación</w:t>
            </w:r>
          </w:p>
        </w:tc>
        <w:tc>
          <w:tcPr/>
          <w:p w:rsidR="00000000" w:rsidDel="00000000" w:rsidP="00000000" w:rsidRDefault="00000000" w:rsidRPr="00000000" w14:paraId="000000AE">
            <w:pPr>
              <w:jc w:val="both"/>
              <w:rPr>
                <w:rFonts w:ascii="Palatino Linotype" w:cs="Palatino Linotype" w:eastAsia="Palatino Linotype" w:hAnsi="Palatino Linotype"/>
                <w:sz w:val="12"/>
                <w:szCs w:val="12"/>
              </w:rPr>
            </w:pPr>
            <w:r w:rsidDel="00000000" w:rsidR="00000000" w:rsidRPr="00000000">
              <w:rPr>
                <w:rFonts w:ascii="Palatino Linotype" w:cs="Palatino Linotype" w:eastAsia="Palatino Linotype" w:hAnsi="Palatino Linotype"/>
                <w:sz w:val="12"/>
                <w:szCs w:val="12"/>
                <w:rtl w:val="0"/>
              </w:rPr>
              <w:t xml:space="preserve">Se anotará la fecha en que se desclasifica.</w:t>
            </w:r>
          </w:p>
        </w:tc>
      </w:tr>
      <w:tr>
        <w:trPr>
          <w:cantSplit w:val="0"/>
          <w:tblHeader w:val="0"/>
        </w:trPr>
        <w:tc>
          <w:tcPr/>
          <w:p w:rsidR="00000000" w:rsidDel="00000000" w:rsidP="00000000" w:rsidRDefault="00000000" w:rsidRPr="00000000" w14:paraId="000000AF">
            <w:pPr>
              <w:jc w:val="both"/>
              <w:rPr>
                <w:rFonts w:ascii="Palatino Linotype" w:cs="Palatino Linotype" w:eastAsia="Palatino Linotype" w:hAnsi="Palatino Linotype"/>
                <w:sz w:val="12"/>
                <w:szCs w:val="12"/>
              </w:rPr>
            </w:pPr>
            <w:r w:rsidDel="00000000" w:rsidR="00000000" w:rsidRPr="00000000">
              <w:rPr>
                <w:rtl w:val="0"/>
              </w:rPr>
            </w:r>
          </w:p>
        </w:tc>
        <w:tc>
          <w:tcPr/>
          <w:p w:rsidR="00000000" w:rsidDel="00000000" w:rsidP="00000000" w:rsidRDefault="00000000" w:rsidRPr="00000000" w14:paraId="000000B0">
            <w:pPr>
              <w:jc w:val="both"/>
              <w:rPr>
                <w:rFonts w:ascii="Palatino Linotype" w:cs="Palatino Linotype" w:eastAsia="Palatino Linotype" w:hAnsi="Palatino Linotype"/>
                <w:sz w:val="12"/>
                <w:szCs w:val="12"/>
              </w:rPr>
            </w:pPr>
            <w:r w:rsidDel="00000000" w:rsidR="00000000" w:rsidRPr="00000000">
              <w:rPr>
                <w:rtl w:val="0"/>
              </w:rPr>
            </w:r>
          </w:p>
        </w:tc>
        <w:tc>
          <w:tcPr/>
          <w:p w:rsidR="00000000" w:rsidDel="00000000" w:rsidP="00000000" w:rsidRDefault="00000000" w:rsidRPr="00000000" w14:paraId="000000B1">
            <w:pPr>
              <w:jc w:val="both"/>
              <w:rPr>
                <w:rFonts w:ascii="Palatino Linotype" w:cs="Palatino Linotype" w:eastAsia="Palatino Linotype" w:hAnsi="Palatino Linotype"/>
                <w:b w:val="1"/>
                <w:sz w:val="12"/>
                <w:szCs w:val="12"/>
              </w:rPr>
            </w:pPr>
            <w:r w:rsidDel="00000000" w:rsidR="00000000" w:rsidRPr="00000000">
              <w:rPr>
                <w:rFonts w:ascii="Palatino Linotype" w:cs="Palatino Linotype" w:eastAsia="Palatino Linotype" w:hAnsi="Palatino Linotype"/>
                <w:b w:val="1"/>
                <w:sz w:val="12"/>
                <w:szCs w:val="12"/>
                <w:rtl w:val="0"/>
              </w:rPr>
              <w:t xml:space="preserve">Partes o secciones reservadas o confidenciales</w:t>
            </w:r>
          </w:p>
        </w:tc>
        <w:tc>
          <w:tcPr/>
          <w:p w:rsidR="00000000" w:rsidDel="00000000" w:rsidP="00000000" w:rsidRDefault="00000000" w:rsidRPr="00000000" w14:paraId="000000B2">
            <w:pPr>
              <w:jc w:val="both"/>
              <w:rPr>
                <w:rFonts w:ascii="Palatino Linotype" w:cs="Palatino Linotype" w:eastAsia="Palatino Linotype" w:hAnsi="Palatino Linotype"/>
                <w:sz w:val="12"/>
                <w:szCs w:val="12"/>
              </w:rPr>
            </w:pPr>
            <w:r w:rsidDel="00000000" w:rsidR="00000000" w:rsidRPr="00000000">
              <w:rPr>
                <w:rFonts w:ascii="Palatino Linotype" w:cs="Palatino Linotype" w:eastAsia="Palatino Linotype" w:hAnsi="Palatino Linotype"/>
                <w:sz w:val="12"/>
                <w:szCs w:val="12"/>
                <w:rtl w:val="0"/>
              </w:rPr>
              <w:t xml:space="preserve">En caso que una vez desclasificado el expediente, subsistanpartes o secciones del mismo reservadas o confidenciales, se señalará este hecho.</w:t>
            </w:r>
          </w:p>
        </w:tc>
      </w:tr>
      <w:tr>
        <w:trPr>
          <w:cantSplit w:val="0"/>
          <w:tblHeader w:val="0"/>
        </w:trPr>
        <w:tc>
          <w:tcPr/>
          <w:p w:rsidR="00000000" w:rsidDel="00000000" w:rsidP="00000000" w:rsidRDefault="00000000" w:rsidRPr="00000000" w14:paraId="000000B3">
            <w:pPr>
              <w:jc w:val="both"/>
              <w:rPr>
                <w:rFonts w:ascii="Palatino Linotype" w:cs="Palatino Linotype" w:eastAsia="Palatino Linotype" w:hAnsi="Palatino Linotype"/>
                <w:sz w:val="12"/>
                <w:szCs w:val="12"/>
              </w:rPr>
            </w:pPr>
            <w:r w:rsidDel="00000000" w:rsidR="00000000" w:rsidRPr="00000000">
              <w:rPr>
                <w:rtl w:val="0"/>
              </w:rPr>
            </w:r>
          </w:p>
        </w:tc>
        <w:tc>
          <w:tcPr/>
          <w:p w:rsidR="00000000" w:rsidDel="00000000" w:rsidP="00000000" w:rsidRDefault="00000000" w:rsidRPr="00000000" w14:paraId="000000B4">
            <w:pPr>
              <w:jc w:val="both"/>
              <w:rPr>
                <w:rFonts w:ascii="Palatino Linotype" w:cs="Palatino Linotype" w:eastAsia="Palatino Linotype" w:hAnsi="Palatino Linotype"/>
                <w:sz w:val="12"/>
                <w:szCs w:val="12"/>
              </w:rPr>
            </w:pPr>
            <w:r w:rsidDel="00000000" w:rsidR="00000000" w:rsidRPr="00000000">
              <w:rPr>
                <w:rtl w:val="0"/>
              </w:rPr>
            </w:r>
          </w:p>
        </w:tc>
        <w:tc>
          <w:tcPr/>
          <w:p w:rsidR="00000000" w:rsidDel="00000000" w:rsidP="00000000" w:rsidRDefault="00000000" w:rsidRPr="00000000" w14:paraId="000000B5">
            <w:pPr>
              <w:jc w:val="both"/>
              <w:rPr>
                <w:rFonts w:ascii="Palatino Linotype" w:cs="Palatino Linotype" w:eastAsia="Palatino Linotype" w:hAnsi="Palatino Linotype"/>
                <w:b w:val="1"/>
                <w:sz w:val="12"/>
                <w:szCs w:val="12"/>
              </w:rPr>
            </w:pPr>
            <w:r w:rsidDel="00000000" w:rsidR="00000000" w:rsidRPr="00000000">
              <w:rPr>
                <w:rFonts w:ascii="Palatino Linotype" w:cs="Palatino Linotype" w:eastAsia="Palatino Linotype" w:hAnsi="Palatino Linotype"/>
                <w:b w:val="1"/>
                <w:sz w:val="12"/>
                <w:szCs w:val="12"/>
                <w:rtl w:val="0"/>
              </w:rPr>
              <w:t xml:space="preserve">Rúbrica y cargo del servidor público</w:t>
            </w:r>
          </w:p>
        </w:tc>
        <w:tc>
          <w:tcPr/>
          <w:p w:rsidR="00000000" w:rsidDel="00000000" w:rsidP="00000000" w:rsidRDefault="00000000" w:rsidRPr="00000000" w14:paraId="000000B6">
            <w:pPr>
              <w:jc w:val="both"/>
              <w:rPr>
                <w:rFonts w:ascii="Palatino Linotype" w:cs="Palatino Linotype" w:eastAsia="Palatino Linotype" w:hAnsi="Palatino Linotype"/>
                <w:sz w:val="12"/>
                <w:szCs w:val="12"/>
              </w:rPr>
            </w:pPr>
            <w:r w:rsidDel="00000000" w:rsidR="00000000" w:rsidRPr="00000000">
              <w:rPr>
                <w:rFonts w:ascii="Palatino Linotype" w:cs="Palatino Linotype" w:eastAsia="Palatino Linotype" w:hAnsi="Palatino Linotype"/>
                <w:sz w:val="12"/>
                <w:szCs w:val="12"/>
                <w:rtl w:val="0"/>
              </w:rPr>
              <w:t xml:space="preserve">Rúbrica autógrafa de quien desclasifica.</w:t>
            </w:r>
          </w:p>
        </w:tc>
      </w:tr>
    </w:tbl>
    <w:p w:rsidR="00000000" w:rsidDel="00000000" w:rsidP="00000000" w:rsidRDefault="00000000" w:rsidRPr="00000000" w14:paraId="000000B7">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000000" w:rsidDel="00000000" w:rsidP="00000000" w:rsidRDefault="00000000" w:rsidRPr="00000000" w14:paraId="000000B8">
      <w:pPr>
        <w:shd w:fill="ffffff" w:val="clear"/>
        <w:spacing w:after="360" w:before="240" w:line="360" w:lineRule="auto"/>
        <w:jc w:val="both"/>
        <w:rPr>
          <w:rFonts w:ascii="Georgia" w:cs="Georgia" w:eastAsia="Georgia" w:hAnsi="Georgia"/>
        </w:rPr>
      </w:pPr>
      <w:r w:rsidDel="00000000" w:rsidR="00000000" w:rsidRPr="00000000">
        <w:rPr>
          <w:rFonts w:ascii="Palatino Linotype" w:cs="Palatino Linotype" w:eastAsia="Palatino Linotype" w:hAnsi="Palatino Linotype"/>
          <w:rtl w:val="0"/>
        </w:rPr>
        <w:t xml:space="preserve">Ahora bien, por cuanto hace al supuesto de que no se localice la información en los archivos del sujeto obligado, el Comité de Transparencia analizara el caso, a efectos de que tome las medidas necesarias para localizar la información, que le permita en su caso notificar la inexistencia del documento, la cual contendrá los elementos mínimos que permitan al solicitante tener certeza de que se utilizó un criterio de búsqueda exhaustivo, esto de conformidad con lo previsto en los artículos 49 fracción III, 169 fracción II y 170 de la Ley de Transparencia y Acceso a la Información Pública del Estado de México y Municipios, que se transcriben a continuación:</w:t>
      </w:r>
      <w:r w:rsidDel="00000000" w:rsidR="00000000" w:rsidRPr="00000000">
        <w:rPr>
          <w:rtl w:val="0"/>
        </w:rPr>
      </w:r>
    </w:p>
    <w:p w:rsidR="00000000" w:rsidDel="00000000" w:rsidP="00000000" w:rsidRDefault="00000000" w:rsidRPr="00000000" w14:paraId="000000B9">
      <w:pPr>
        <w:shd w:fill="ffffff" w:val="clear"/>
        <w:spacing w:after="120" w:lineRule="auto"/>
        <w:ind w:left="851" w:right="902" w:firstLine="0"/>
        <w:jc w:val="both"/>
        <w:rPr>
          <w:rFonts w:ascii="Georgia" w:cs="Georgia" w:eastAsia="Georgia" w:hAnsi="Georgia"/>
          <w:sz w:val="20"/>
          <w:szCs w:val="20"/>
        </w:rPr>
      </w:pPr>
      <w:r w:rsidDel="00000000" w:rsidR="00000000" w:rsidRPr="00000000">
        <w:rPr>
          <w:rFonts w:ascii="Palatino Linotype" w:cs="Palatino Linotype" w:eastAsia="Palatino Linotype" w:hAnsi="Palatino Linotype"/>
          <w:b w:val="1"/>
          <w:i w:val="1"/>
          <w:sz w:val="20"/>
          <w:szCs w:val="20"/>
          <w:rtl w:val="0"/>
        </w:rPr>
        <w:t xml:space="preserve">“Artículo 49.</w:t>
      </w:r>
      <w:r w:rsidDel="00000000" w:rsidR="00000000" w:rsidRPr="00000000">
        <w:rPr>
          <w:rFonts w:ascii="Palatino Linotype" w:cs="Palatino Linotype" w:eastAsia="Palatino Linotype" w:hAnsi="Palatino Linotype"/>
          <w:i w:val="1"/>
          <w:sz w:val="20"/>
          <w:szCs w:val="20"/>
          <w:rtl w:val="0"/>
        </w:rPr>
        <w:t xml:space="preserve"> Los Comités de Transparencia tendrán las siguientes atribuciones:</w:t>
      </w:r>
      <w:r w:rsidDel="00000000" w:rsidR="00000000" w:rsidRPr="00000000">
        <w:rPr>
          <w:rtl w:val="0"/>
        </w:rPr>
      </w:r>
    </w:p>
    <w:p w:rsidR="00000000" w:rsidDel="00000000" w:rsidP="00000000" w:rsidRDefault="00000000" w:rsidRPr="00000000" w14:paraId="000000BA">
      <w:pPr>
        <w:shd w:fill="ffffff" w:val="clear"/>
        <w:spacing w:after="120" w:lineRule="auto"/>
        <w:ind w:left="1134" w:right="902" w:firstLine="0"/>
        <w:jc w:val="both"/>
        <w:rPr>
          <w:rFonts w:ascii="Georgia" w:cs="Georgia" w:eastAsia="Georgia" w:hAnsi="Georgia"/>
          <w:sz w:val="20"/>
          <w:szCs w:val="20"/>
        </w:rPr>
      </w:pPr>
      <w:r w:rsidDel="00000000" w:rsidR="00000000" w:rsidRPr="00000000">
        <w:rPr>
          <w:rFonts w:ascii="Palatino Linotype" w:cs="Palatino Linotype" w:eastAsia="Palatino Linotype" w:hAnsi="Palatino Linotype"/>
          <w:i w:val="1"/>
          <w:sz w:val="20"/>
          <w:szCs w:val="20"/>
          <w:rtl w:val="0"/>
        </w:rPr>
        <w:t xml:space="preserve">(…)</w:t>
      </w:r>
      <w:r w:rsidDel="00000000" w:rsidR="00000000" w:rsidRPr="00000000">
        <w:rPr>
          <w:rtl w:val="0"/>
        </w:rPr>
      </w:r>
    </w:p>
    <w:p w:rsidR="00000000" w:rsidDel="00000000" w:rsidP="00000000" w:rsidRDefault="00000000" w:rsidRPr="00000000" w14:paraId="000000BB">
      <w:pPr>
        <w:shd w:fill="ffffff" w:val="clear"/>
        <w:spacing w:after="120" w:lineRule="auto"/>
        <w:ind w:left="1134" w:right="902" w:firstLine="0"/>
        <w:jc w:val="both"/>
        <w:rPr>
          <w:rFonts w:ascii="Georgia" w:cs="Georgia" w:eastAsia="Georgia" w:hAnsi="Georgia"/>
          <w:sz w:val="20"/>
          <w:szCs w:val="20"/>
        </w:rPr>
      </w:pPr>
      <w:r w:rsidDel="00000000" w:rsidR="00000000" w:rsidRPr="00000000">
        <w:rPr>
          <w:rFonts w:ascii="Palatino Linotype" w:cs="Palatino Linotype" w:eastAsia="Palatino Linotype" w:hAnsi="Palatino Linotype"/>
          <w:i w:val="1"/>
          <w:sz w:val="20"/>
          <w:szCs w:val="20"/>
          <w:rtl w:val="0"/>
        </w:rPr>
        <w:t xml:space="preserve">III.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w:t>
      </w:r>
      <w:r w:rsidDel="00000000" w:rsidR="00000000" w:rsidRPr="00000000">
        <w:rPr>
          <w:rtl w:val="0"/>
        </w:rPr>
      </w:r>
    </w:p>
    <w:p w:rsidR="00000000" w:rsidDel="00000000" w:rsidP="00000000" w:rsidRDefault="00000000" w:rsidRPr="00000000" w14:paraId="000000BC">
      <w:pPr>
        <w:shd w:fill="ffffff" w:val="clear"/>
        <w:spacing w:after="120" w:lineRule="auto"/>
        <w:ind w:left="851" w:right="902" w:firstLine="0"/>
        <w:jc w:val="both"/>
        <w:rPr>
          <w:rFonts w:ascii="Georgia" w:cs="Georgia" w:eastAsia="Georgia" w:hAnsi="Georgia"/>
          <w:sz w:val="20"/>
          <w:szCs w:val="20"/>
        </w:rPr>
      </w:pPr>
      <w:r w:rsidDel="00000000" w:rsidR="00000000" w:rsidRPr="00000000">
        <w:rPr>
          <w:rFonts w:ascii="Palatino Linotype" w:cs="Palatino Linotype" w:eastAsia="Palatino Linotype" w:hAnsi="Palatino Linotype"/>
          <w:b w:val="1"/>
          <w:i w:val="1"/>
          <w:sz w:val="20"/>
          <w:szCs w:val="20"/>
          <w:rtl w:val="0"/>
        </w:rPr>
        <w:t xml:space="preserve">Artículo 169.</w:t>
      </w:r>
      <w:r w:rsidDel="00000000" w:rsidR="00000000" w:rsidRPr="00000000">
        <w:rPr>
          <w:rFonts w:ascii="Palatino Linotype" w:cs="Palatino Linotype" w:eastAsia="Palatino Linotype" w:hAnsi="Palatino Linotype"/>
          <w:i w:val="1"/>
          <w:sz w:val="20"/>
          <w:szCs w:val="20"/>
          <w:rtl w:val="0"/>
        </w:rPr>
        <w:t xml:space="preserve"> Cuando la información no se encuentre en los archivos del sujeto obligado, el Comité de Transparencia:</w:t>
      </w:r>
      <w:r w:rsidDel="00000000" w:rsidR="00000000" w:rsidRPr="00000000">
        <w:rPr>
          <w:rtl w:val="0"/>
        </w:rPr>
      </w:r>
    </w:p>
    <w:p w:rsidR="00000000" w:rsidDel="00000000" w:rsidP="00000000" w:rsidRDefault="00000000" w:rsidRPr="00000000" w14:paraId="000000BD">
      <w:pPr>
        <w:shd w:fill="ffffff" w:val="clear"/>
        <w:spacing w:after="120" w:lineRule="auto"/>
        <w:ind w:left="1134" w:right="902" w:firstLine="0"/>
        <w:jc w:val="both"/>
        <w:rPr>
          <w:rFonts w:ascii="Georgia" w:cs="Georgia" w:eastAsia="Georgia" w:hAnsi="Georgia"/>
          <w:sz w:val="20"/>
          <w:szCs w:val="20"/>
        </w:rPr>
      </w:pPr>
      <w:r w:rsidDel="00000000" w:rsidR="00000000" w:rsidRPr="00000000">
        <w:rPr>
          <w:rFonts w:ascii="Palatino Linotype" w:cs="Palatino Linotype" w:eastAsia="Palatino Linotype" w:hAnsi="Palatino Linotype"/>
          <w:i w:val="1"/>
          <w:sz w:val="20"/>
          <w:szCs w:val="20"/>
          <w:rtl w:val="0"/>
        </w:rPr>
        <w:t xml:space="preserve">(…)</w:t>
      </w:r>
      <w:r w:rsidDel="00000000" w:rsidR="00000000" w:rsidRPr="00000000">
        <w:rPr>
          <w:rtl w:val="0"/>
        </w:rPr>
      </w:r>
    </w:p>
    <w:p w:rsidR="00000000" w:rsidDel="00000000" w:rsidP="00000000" w:rsidRDefault="00000000" w:rsidRPr="00000000" w14:paraId="000000BE">
      <w:pPr>
        <w:shd w:fill="ffffff" w:val="clear"/>
        <w:spacing w:after="120" w:lineRule="auto"/>
        <w:ind w:left="1134" w:right="902" w:firstLine="0"/>
        <w:jc w:val="both"/>
        <w:rPr>
          <w:rFonts w:ascii="Georgia" w:cs="Georgia" w:eastAsia="Georgia" w:hAnsi="Georgia"/>
          <w:sz w:val="20"/>
          <w:szCs w:val="20"/>
        </w:rPr>
      </w:pPr>
      <w:r w:rsidDel="00000000" w:rsidR="00000000" w:rsidRPr="00000000">
        <w:rPr>
          <w:rFonts w:ascii="Palatino Linotype" w:cs="Palatino Linotype" w:eastAsia="Palatino Linotype" w:hAnsi="Palatino Linotype"/>
          <w:i w:val="1"/>
          <w:sz w:val="20"/>
          <w:szCs w:val="20"/>
          <w:rtl w:val="0"/>
        </w:rPr>
        <w:t xml:space="preserve">II. Expedirá una resolución que confirme la inexistencia del documento;…</w:t>
      </w:r>
      <w:r w:rsidDel="00000000" w:rsidR="00000000" w:rsidRPr="00000000">
        <w:rPr>
          <w:rtl w:val="0"/>
        </w:rPr>
      </w:r>
    </w:p>
    <w:p w:rsidR="00000000" w:rsidDel="00000000" w:rsidP="00000000" w:rsidRDefault="00000000" w:rsidRPr="00000000" w14:paraId="000000BF">
      <w:pPr>
        <w:shd w:fill="ffffff" w:val="clear"/>
        <w:spacing w:after="120" w:lineRule="auto"/>
        <w:ind w:left="851" w:right="902" w:firstLine="0"/>
        <w:jc w:val="both"/>
        <w:rPr>
          <w:rFonts w:ascii="Georgia" w:cs="Georgia" w:eastAsia="Georgia" w:hAnsi="Georgia"/>
          <w:sz w:val="20"/>
          <w:szCs w:val="20"/>
        </w:rPr>
      </w:pPr>
      <w:r w:rsidDel="00000000" w:rsidR="00000000" w:rsidRPr="00000000">
        <w:rPr>
          <w:rFonts w:ascii="Palatino Linotype" w:cs="Palatino Linotype" w:eastAsia="Palatino Linotype" w:hAnsi="Palatino Linotype"/>
          <w:b w:val="1"/>
          <w:i w:val="1"/>
          <w:sz w:val="20"/>
          <w:szCs w:val="20"/>
          <w:rtl w:val="0"/>
        </w:rPr>
        <w:t xml:space="preserve">Artículo 170.</w:t>
      </w:r>
      <w:r w:rsidDel="00000000" w:rsidR="00000000" w:rsidRPr="00000000">
        <w:rPr>
          <w:rFonts w:ascii="Palatino Linotype" w:cs="Palatino Linotype" w:eastAsia="Palatino Linotype" w:hAnsi="Palatino Linotype"/>
          <w:i w:val="1"/>
          <w:sz w:val="20"/>
          <w:szCs w:val="20"/>
          <w:rtl w:val="0"/>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Del="00000000" w:rsidR="00000000" w:rsidRPr="00000000">
        <w:rPr>
          <w:rtl w:val="0"/>
        </w:rPr>
      </w:r>
    </w:p>
    <w:p w:rsidR="00000000" w:rsidDel="00000000" w:rsidP="00000000" w:rsidRDefault="00000000" w:rsidRPr="00000000" w14:paraId="000000C0">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los dispositivos legales se desprende, que los sujetos obligados deben emitir la Declaratoria de Inexistencia precisando de manera enunciativa más no limitativa, las áreas en las que se instruyó la búsqueda, las respuestas otorgadas por los Servidores Públicos habilitados y las circunstancias que tomó en cuenta para determinar que la información requerida no obra en los archivos, debiendo notificar al interesado de tal circunstancia.</w:t>
      </w:r>
    </w:p>
    <w:p w:rsidR="00000000" w:rsidDel="00000000" w:rsidP="00000000" w:rsidRDefault="00000000" w:rsidRPr="00000000" w14:paraId="000000C1">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Robustece a lo anterior, los Criterios 0003-11 y 0004-11, emitidos por el Pleno de este Instituto, publicados en el periódico oficial del Estado de México “Gaceta del Gobierno”, el diecinueve de octubre de dos mil once, que establecen lo siguiente:</w:t>
      </w:r>
    </w:p>
    <w:p w:rsidR="00000000" w:rsidDel="00000000" w:rsidP="00000000" w:rsidRDefault="00000000" w:rsidRPr="00000000" w14:paraId="000000C2">
      <w:pPr>
        <w:spacing w:after="240" w:before="120" w:lineRule="auto"/>
        <w:ind w:left="851" w:right="902" w:firstLine="0"/>
        <w:jc w:val="center"/>
        <w:rPr>
          <w:rFonts w:ascii="Palatino Linotype" w:cs="Palatino Linotype" w:eastAsia="Palatino Linotype" w:hAnsi="Palatino Linotype"/>
          <w:b w:val="1"/>
          <w:i w:val="1"/>
          <w:sz w:val="20"/>
          <w:szCs w:val="20"/>
        </w:rPr>
      </w:pPr>
      <w:r w:rsidDel="00000000" w:rsidR="00000000" w:rsidRPr="00000000">
        <w:rPr>
          <w:rFonts w:ascii="Palatino Linotype" w:cs="Palatino Linotype" w:eastAsia="Palatino Linotype" w:hAnsi="Palatino Linotype"/>
          <w:i w:val="1"/>
          <w:sz w:val="20"/>
          <w:szCs w:val="20"/>
          <w:rtl w:val="0"/>
        </w:rPr>
        <w:t xml:space="preserve">“</w:t>
      </w:r>
      <w:r w:rsidDel="00000000" w:rsidR="00000000" w:rsidRPr="00000000">
        <w:rPr>
          <w:rFonts w:ascii="Palatino Linotype" w:cs="Palatino Linotype" w:eastAsia="Palatino Linotype" w:hAnsi="Palatino Linotype"/>
          <w:b w:val="1"/>
          <w:i w:val="1"/>
          <w:sz w:val="20"/>
          <w:szCs w:val="20"/>
          <w:rtl w:val="0"/>
        </w:rPr>
        <w:t xml:space="preserve">CRITERIO 0003-11</w:t>
      </w:r>
    </w:p>
    <w:p w:rsidR="00000000" w:rsidDel="00000000" w:rsidP="00000000" w:rsidRDefault="00000000" w:rsidRPr="00000000" w14:paraId="000000C3">
      <w:pPr>
        <w:spacing w:after="240" w:before="120" w:lineRule="auto"/>
        <w:ind w:left="851" w:right="902"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b w:val="1"/>
          <w:i w:val="1"/>
          <w:sz w:val="20"/>
          <w:szCs w:val="20"/>
          <w:rtl w:val="0"/>
        </w:rPr>
        <w:t xml:space="preserve">INEXISTENCIA, CONCEPTO DE, EN MATERIA DE TRANSPARENCIA.</w:t>
      </w:r>
      <w:r w:rsidDel="00000000" w:rsidR="00000000" w:rsidRPr="00000000">
        <w:rPr>
          <w:rFonts w:ascii="Palatino Linotype" w:cs="Palatino Linotype" w:eastAsia="Palatino Linotype" w:hAnsi="Palatino Linotype"/>
          <w:i w:val="1"/>
          <w:sz w:val="20"/>
          <w:szCs w:val="20"/>
          <w:rtl w:val="0"/>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rsidR="00000000" w:rsidDel="00000000" w:rsidP="00000000" w:rsidRDefault="00000000" w:rsidRPr="00000000" w14:paraId="000000C4">
      <w:pPr>
        <w:spacing w:after="240" w:before="120" w:lineRule="auto"/>
        <w:ind w:left="851" w:right="902"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rsidR="00000000" w:rsidDel="00000000" w:rsidP="00000000" w:rsidRDefault="00000000" w:rsidRPr="00000000" w14:paraId="000000C5">
      <w:pPr>
        <w:spacing w:after="240" w:before="120" w:lineRule="auto"/>
        <w:ind w:left="851" w:right="902"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b) En los casos en que por las atribuciones conferidas al Sujeto Obligado éste debió generar, administrar o poseer la información, pero en incumplimiento a la normatividad respectiva no llevó a cabo ninguna de es acciones.</w:t>
      </w:r>
    </w:p>
    <w:p w:rsidR="00000000" w:rsidDel="00000000" w:rsidP="00000000" w:rsidRDefault="00000000" w:rsidRPr="00000000" w14:paraId="000000C6">
      <w:pPr>
        <w:spacing w:after="240" w:before="120" w:lineRule="auto"/>
        <w:ind w:left="851" w:right="902"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000000" w:rsidDel="00000000" w:rsidP="00000000" w:rsidRDefault="00000000" w:rsidRPr="00000000" w14:paraId="000000C7">
      <w:pPr>
        <w:spacing w:after="240" w:before="120" w:lineRule="auto"/>
        <w:ind w:left="851" w:right="902" w:firstLine="0"/>
        <w:jc w:val="center"/>
        <w:rPr>
          <w:rFonts w:ascii="Palatino Linotype" w:cs="Palatino Linotype" w:eastAsia="Palatino Linotype" w:hAnsi="Palatino Linotype"/>
          <w:b w:val="1"/>
          <w:i w:val="1"/>
          <w:sz w:val="20"/>
          <w:szCs w:val="20"/>
        </w:rPr>
      </w:pPr>
      <w:r w:rsidDel="00000000" w:rsidR="00000000" w:rsidRPr="00000000">
        <w:rPr>
          <w:rFonts w:ascii="Palatino Linotype" w:cs="Palatino Linotype" w:eastAsia="Palatino Linotype" w:hAnsi="Palatino Linotype"/>
          <w:b w:val="1"/>
          <w:i w:val="1"/>
          <w:sz w:val="20"/>
          <w:szCs w:val="20"/>
          <w:rtl w:val="0"/>
        </w:rPr>
        <w:t xml:space="preserve">CRITERIO 0004-11</w:t>
      </w:r>
    </w:p>
    <w:p w:rsidR="00000000" w:rsidDel="00000000" w:rsidP="00000000" w:rsidRDefault="00000000" w:rsidRPr="00000000" w14:paraId="000000C8">
      <w:pPr>
        <w:spacing w:after="240" w:before="120" w:lineRule="auto"/>
        <w:ind w:left="851" w:right="902"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b w:val="1"/>
          <w:i w:val="1"/>
          <w:sz w:val="20"/>
          <w:szCs w:val="20"/>
          <w:rtl w:val="0"/>
        </w:rPr>
        <w:t xml:space="preserve">INEXISTENCIA, DECLARATORIA DE LA. ALCANCES Y PROCEDIMIENTOS</w:t>
      </w:r>
      <w:r w:rsidDel="00000000" w:rsidR="00000000" w:rsidRPr="00000000">
        <w:rPr>
          <w:rFonts w:ascii="Palatino Linotype" w:cs="Palatino Linotype" w:eastAsia="Palatino Linotype" w:hAnsi="Palatino Linotype"/>
          <w:i w:val="1"/>
          <w:sz w:val="20"/>
          <w:szCs w:val="20"/>
          <w:rtl w:val="0"/>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000000" w:rsidDel="00000000" w:rsidP="00000000" w:rsidRDefault="00000000" w:rsidRPr="00000000" w14:paraId="000000C9">
      <w:pPr>
        <w:spacing w:after="240" w:before="120" w:lineRule="auto"/>
        <w:ind w:left="851" w:right="902"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Bajo el entendido de que dicha búsqueda exhaustiva permitirá dos determinaciones:</w:t>
      </w:r>
    </w:p>
    <w:p w:rsidR="00000000" w:rsidDel="00000000" w:rsidP="00000000" w:rsidRDefault="00000000" w:rsidRPr="00000000" w14:paraId="000000CA">
      <w:pPr>
        <w:spacing w:after="240" w:before="120" w:lineRule="auto"/>
        <w:ind w:left="851" w:right="902"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1ª) Que se localice la documentación que contenga la información solicitada y de ser así la información pueda entregarse al solicitante en la forma en que se encuentra disponible, o</w:t>
      </w:r>
    </w:p>
    <w:p w:rsidR="00000000" w:rsidDel="00000000" w:rsidP="00000000" w:rsidRDefault="00000000" w:rsidRPr="00000000" w14:paraId="000000CB">
      <w:pPr>
        <w:spacing w:after="240" w:before="120" w:lineRule="auto"/>
        <w:ind w:left="851" w:right="902"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000000" w:rsidDel="00000000" w:rsidP="00000000" w:rsidRDefault="00000000" w:rsidRPr="00000000" w14:paraId="000000CC">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las relatadas argumentaciones, se puede afirmar que cuando la información requerida por un particular no exista en los archivos de los sujetos obligados; se requiere de un mecanismo para brindar certeza jurídica y a la vez para determinar el tipo y grado de responsabilidad de los servidores públicos que intervienen en el proceso de elaboración de la información.</w:t>
      </w:r>
    </w:p>
    <w:p w:rsidR="00000000" w:rsidDel="00000000" w:rsidP="00000000" w:rsidRDefault="00000000" w:rsidRPr="00000000" w14:paraId="000000CD">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tanto, la declaratoria de inexistencia no es un mero trámite por el cual de manera mecánica o simple manifieste que la información no existe en sus archivos</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cuando la misma por disposición legal debería de obrar, sino que su contenido y alcance implica la responsabilidad y atribución del Comité de Transparencia del sujeto obligado</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de instruir una búsqueda exhaustiva a todas y cada una de las áreas administrativas de las que se compone, que permitirá:</w:t>
      </w:r>
    </w:p>
    <w:p w:rsidR="00000000" w:rsidDel="00000000" w:rsidP="00000000" w:rsidRDefault="00000000" w:rsidRPr="00000000" w14:paraId="000000C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360" w:lineRule="auto"/>
        <w:ind w:left="720" w:right="0" w:hanging="36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Que se localice la documentación que contenga la información solicitada. En este caso habrá que señalar que de acuerdo con las disposiciones transcritas, la información puede obrar en sus archivos ya sea porque la genera, la administra o simplemente la posee.</w:t>
      </w:r>
    </w:p>
    <w:p w:rsidR="00000000" w:rsidDel="00000000" w:rsidP="00000000" w:rsidRDefault="00000000" w:rsidRPr="00000000" w14:paraId="000000CF">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actualizarse esta primera hipótesis, la información debe entregarse al </w:t>
      </w:r>
      <w:r w:rsidDel="00000000" w:rsidR="00000000" w:rsidRPr="00000000">
        <w:rPr>
          <w:rFonts w:ascii="Palatino Linotype" w:cs="Palatino Linotype" w:eastAsia="Palatino Linotype" w:hAnsi="Palatino Linotype"/>
          <w:b w:val="1"/>
          <w:i w:val="1"/>
          <w:rtl w:val="0"/>
        </w:rPr>
        <w:t xml:space="preserve">Recurrente </w:t>
      </w:r>
      <w:r w:rsidDel="00000000" w:rsidR="00000000" w:rsidRPr="00000000">
        <w:rPr>
          <w:rFonts w:ascii="Palatino Linotype" w:cs="Palatino Linotype" w:eastAsia="Palatino Linotype" w:hAnsi="Palatino Linotype"/>
          <w:rtl w:val="0"/>
        </w:rPr>
        <w:t xml:space="preserve">a través del o los documentos fuente.</w:t>
      </w:r>
    </w:p>
    <w:p w:rsidR="00000000" w:rsidDel="00000000" w:rsidP="00000000" w:rsidRDefault="00000000" w:rsidRPr="00000000" w14:paraId="000000D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360" w:lineRule="auto"/>
        <w:ind w:left="720" w:right="0" w:hanging="36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Que no se localice documento alguno que contenga la información requerida, en este supuesto, el Comité de Transparencia deberá resolver la declaratoria de inexistencia de la información y notificarla al recurrente</w:t>
      </w:r>
      <w:r w:rsidDel="00000000" w:rsidR="00000000" w:rsidRPr="00000000">
        <w:rPr>
          <w:rFonts w:ascii="Palatino Linotype" w:cs="Palatino Linotype" w:eastAsia="Palatino Linotype" w:hAnsi="Palatino Linotype"/>
          <w:b w:val="1"/>
          <w:i w:val="1"/>
          <w:smallCaps w:val="0"/>
          <w:strike w:val="0"/>
          <w:color w:val="000000"/>
          <w:sz w:val="24"/>
          <w:szCs w:val="24"/>
          <w:u w:val="none"/>
          <w:shd w:fill="auto" w:val="clear"/>
          <w:vertAlign w:val="baseline"/>
          <w:rtl w:val="0"/>
        </w:rPr>
        <w:t xml:space="preserve">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y a este Pleno.</w:t>
      </w:r>
    </w:p>
    <w:p w:rsidR="00000000" w:rsidDel="00000000" w:rsidP="00000000" w:rsidRDefault="00000000" w:rsidRPr="00000000" w14:paraId="000000D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360" w:lineRule="auto"/>
        <w:ind w:left="714" w:right="0" w:hanging="357"/>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Que se ordene siempre que sea materialmente posible, que se genere o reponga la información en caso de que ésta tuviera que existir, derivado del ejercicio de sus facultades.</w:t>
      </w:r>
    </w:p>
    <w:p w:rsidR="00000000" w:rsidDel="00000000" w:rsidP="00000000" w:rsidRDefault="00000000" w:rsidRPr="00000000" w14:paraId="000000D2">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este contexto, en atención al principio </w:t>
      </w:r>
      <w:r w:rsidDel="00000000" w:rsidR="00000000" w:rsidRPr="00000000">
        <w:rPr>
          <w:rFonts w:ascii="Palatino Linotype" w:cs="Palatino Linotype" w:eastAsia="Palatino Linotype" w:hAnsi="Palatino Linotype"/>
          <w:i w:val="1"/>
          <w:rtl w:val="0"/>
        </w:rPr>
        <w:t xml:space="preserve">pro homine </w:t>
      </w:r>
      <w:r w:rsidDel="00000000" w:rsidR="00000000" w:rsidRPr="00000000">
        <w:rPr>
          <w:rFonts w:ascii="Palatino Linotype" w:cs="Palatino Linotype" w:eastAsia="Palatino Linotype" w:hAnsi="Palatino Linotype"/>
          <w:rtl w:val="0"/>
        </w:rPr>
        <w:t xml:space="preserve">previsto en el</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artículo 1</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de la Constitución Política de los Estados Unidos Mexicanos, al instituir que las normas relativas a los derechos humanos se interpretarán de conformidad con lo establecido en la misma y con los tratados internacionales de la materia favoreciendo en todo tiempo a las personas la protección más amplia, es decir, lo que dicho ordinal supremo establece es, el control de la convencionalidad a cargo de toda autoridad nacional en sus respectivas competencias privilegiando siempre en esta interpretación y aplicación, el derecho que más favorezca a las personas, en el entendido de que este dispositivo máximo no hace distinción entre las personas por lo cual esta autoridad en el ámbito de su jurisdicción y aplicación tampoco puede realizar distingo alguno.</w:t>
      </w:r>
    </w:p>
    <w:p w:rsidR="00000000" w:rsidDel="00000000" w:rsidP="00000000" w:rsidRDefault="00000000" w:rsidRPr="00000000" w14:paraId="000000D3">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Sin demerito de lo anterior, se debe señalar lo establecido por la Comisión Interamericana de Derechos Humanos y la Corte Interamericana de Derechos Humanos, que en su interpretación al artículo 13 de la Convención Americana sobre Derechos Humanos, concluyen </w:t>
      </w:r>
      <w:r w:rsidDel="00000000" w:rsidR="00000000" w:rsidRPr="00000000">
        <w:rPr>
          <w:rFonts w:ascii="Palatino Linotype" w:cs="Palatino Linotype" w:eastAsia="Palatino Linotype" w:hAnsi="Palatino Linotype"/>
          <w:i w:val="1"/>
          <w:rtl w:val="0"/>
        </w:rPr>
        <w:t xml:space="preserve">una obligación positiva de parte del Estado de brindar acceso a la información en su poder</w:t>
      </w:r>
      <w:r w:rsidDel="00000000" w:rsidR="00000000" w:rsidRPr="00000000">
        <w:rPr>
          <w:rFonts w:ascii="Palatino Linotype" w:cs="Palatino Linotype" w:eastAsia="Palatino Linotype" w:hAnsi="Palatino Linotype"/>
          <w:rtl w:val="0"/>
        </w:rPr>
        <w:t xml:space="preserve">, al sostener que a través de la garantía de derecho de acceso a la información, la sociedad ejerce el control democrático de las gestiones estatales, de forma que puedan cuestionar, indagar y considerar si el Estado está dando un adecuado cumplimiento de las funciones públicas.</w:t>
      </w:r>
    </w:p>
    <w:p w:rsidR="00000000" w:rsidDel="00000000" w:rsidP="00000000" w:rsidRDefault="00000000" w:rsidRPr="00000000" w14:paraId="000000D4">
      <w:pPr>
        <w:spacing w:after="240" w:before="240" w:line="360" w:lineRule="auto"/>
        <w:ind w:right="49" w:firstLine="1"/>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ende, los motivos de inconformidad plateados por la parte  </w:t>
      </w:r>
      <w:r w:rsidDel="00000000" w:rsidR="00000000" w:rsidRPr="00000000">
        <w:rPr>
          <w:rFonts w:ascii="Palatino Linotype" w:cs="Palatino Linotype" w:eastAsia="Palatino Linotype" w:hAnsi="Palatino Linotype"/>
          <w:b w:val="1"/>
          <w:rtl w:val="0"/>
        </w:rPr>
        <w:t xml:space="preserve">Recurrente </w:t>
      </w:r>
      <w:r w:rsidDel="00000000" w:rsidR="00000000" w:rsidRPr="00000000">
        <w:rPr>
          <w:rFonts w:ascii="Palatino Linotype" w:cs="Palatino Linotype" w:eastAsia="Palatino Linotype" w:hAnsi="Palatino Linotype"/>
          <w:rtl w:val="0"/>
        </w:rPr>
        <w:t xml:space="preserve">devienen fundados, ante la omisión del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para atender la solicitud de información, resulta procedente ordenar al Titular del Órgano de Control y Vigilancia de este Instituto, dé vista a la Contraloría Interna del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con fundamento en</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los artículos 190 y 223 de la Ley Adjetiva, para que en términos de la Ley de Responsabilidades de los Servidores Públicos del Estado y Municipios, determine el grado de responsabilidad del servidor público ante la falta de respuesta en el plazo señalado en la Ley de Transparencia en la entidad, lo que redunda en la falta de cumplimiento a los artículos 6 de la Constitución Federal y 5 de la Constitución Local, actualizándose lo previsto en el diverso 222 fracción II de la Ley de Transparencia y Acceso a la Información Pública del Estado de México y Municipios, resultando conforme a derecho, ordenar al </w:t>
      </w:r>
      <w:r w:rsidDel="00000000" w:rsidR="00000000" w:rsidRPr="00000000">
        <w:rPr>
          <w:rFonts w:ascii="Palatino Linotype" w:cs="Palatino Linotype" w:eastAsia="Palatino Linotype" w:hAnsi="Palatino Linotype"/>
          <w:b w:val="1"/>
          <w:rtl w:val="0"/>
        </w:rPr>
        <w:t xml:space="preserve">Ayuntamiento de Naucalpan de Juárez</w:t>
      </w:r>
      <w:r w:rsidDel="00000000" w:rsidR="00000000" w:rsidRPr="00000000">
        <w:rPr>
          <w:rFonts w:ascii="Palatino Linotype" w:cs="Palatino Linotype" w:eastAsia="Palatino Linotype" w:hAnsi="Palatino Linotype"/>
          <w:rtl w:val="0"/>
        </w:rPr>
        <w:t xml:space="preserve">, atender la solicitud de acceso a la información del particular.</w:t>
      </w:r>
    </w:p>
    <w:p w:rsidR="00000000" w:rsidDel="00000000" w:rsidP="00000000" w:rsidRDefault="00000000" w:rsidRPr="00000000" w14:paraId="000000D5">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No se omite mencionar, que se mantienen a salvo los derechos del particular para que, en caso de no satisfacerle la respuesta que el notifique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en cumplimiento a la presente, interponga recurso de revisión en los términos señalados en los artículos 179, fracción IV, párrafo segundo, de la Ley de Transparencia y Acceso a la Información Pública del Estado de México y Municipios.</w:t>
      </w:r>
    </w:p>
    <w:p w:rsidR="00000000" w:rsidDel="00000000" w:rsidP="00000000" w:rsidRDefault="00000000" w:rsidRPr="00000000" w14:paraId="000000D6">
      <w:pPr>
        <w:shd w:fill="ffffff" w:val="clea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Así, con fundamento en lo prescrito en los artículos 5 párrafos vigésimo segundo, vigésimo tercero y vigésimo cuarto de la Constitución Política del Estado Libre y Soberano de México; 2, fracción II; 29, 36 fracciones I y II; 176, 178, 179, 181 y 185 de la Ley de Transparencia y Acceso a la Información Pública del Estado de México y Municipios, este Pleno:</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center"/>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R E S U E L V E</w:t>
      </w:r>
    </w:p>
    <w:p w:rsidR="00000000" w:rsidDel="00000000" w:rsidP="00000000" w:rsidRDefault="00000000" w:rsidRPr="00000000" w14:paraId="000000D8">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PRIMERO</w:t>
      </w:r>
      <w:r w:rsidDel="00000000" w:rsidR="00000000" w:rsidRPr="00000000">
        <w:rPr>
          <w:rFonts w:ascii="Palatino Linotype" w:cs="Palatino Linotype" w:eastAsia="Palatino Linotype" w:hAnsi="Palatino Linotype"/>
          <w:rtl w:val="0"/>
        </w:rPr>
        <w:t xml:space="preserve">.</w:t>
      </w:r>
      <w:r w:rsidDel="00000000" w:rsidR="00000000" w:rsidRPr="00000000">
        <w:rPr>
          <w:rFonts w:ascii="Palatino Linotype" w:cs="Palatino Linotype" w:eastAsia="Palatino Linotype" w:hAnsi="Palatino Linotype"/>
          <w:sz w:val="28"/>
          <w:szCs w:val="28"/>
          <w:rtl w:val="0"/>
        </w:rPr>
        <w:t xml:space="preserve"> </w:t>
      </w:r>
      <w:r w:rsidDel="00000000" w:rsidR="00000000" w:rsidRPr="00000000">
        <w:rPr>
          <w:rFonts w:ascii="Palatino Linotype" w:cs="Palatino Linotype" w:eastAsia="Palatino Linotype" w:hAnsi="Palatino Linotype"/>
          <w:rtl w:val="0"/>
        </w:rPr>
        <w:t xml:space="preserve">Resultan parcialmente </w:t>
      </w:r>
      <w:r w:rsidDel="00000000" w:rsidR="00000000" w:rsidRPr="00000000">
        <w:rPr>
          <w:rFonts w:ascii="Palatino Linotype" w:cs="Palatino Linotype" w:eastAsia="Palatino Linotype" w:hAnsi="Palatino Linotype"/>
          <w:b w:val="1"/>
          <w:rtl w:val="0"/>
        </w:rPr>
        <w:t xml:space="preserve">fundados </w:t>
      </w:r>
      <w:r w:rsidDel="00000000" w:rsidR="00000000" w:rsidRPr="00000000">
        <w:rPr>
          <w:rFonts w:ascii="Palatino Linotype" w:cs="Palatino Linotype" w:eastAsia="Palatino Linotype" w:hAnsi="Palatino Linotype"/>
          <w:rtl w:val="0"/>
        </w:rPr>
        <w:t xml:space="preserve">los motivos de inconformidad hechos valer por 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en términos del </w:t>
      </w:r>
      <w:r w:rsidDel="00000000" w:rsidR="00000000" w:rsidRPr="00000000">
        <w:rPr>
          <w:rFonts w:ascii="Palatino Linotype" w:cs="Palatino Linotype" w:eastAsia="Palatino Linotype" w:hAnsi="Palatino Linotype"/>
          <w:b w:val="1"/>
          <w:rtl w:val="0"/>
        </w:rPr>
        <w:t xml:space="preserve">Considerando CUARTO</w:t>
      </w:r>
      <w:r w:rsidDel="00000000" w:rsidR="00000000" w:rsidRPr="00000000">
        <w:rPr>
          <w:rFonts w:ascii="Palatino Linotype" w:cs="Palatino Linotype" w:eastAsia="Palatino Linotype" w:hAnsi="Palatino Linotype"/>
          <w:rtl w:val="0"/>
        </w:rPr>
        <w:t xml:space="preserve"> de esta resolución.</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701"/>
        </w:tabs>
        <w:spacing w:after="0" w:before="0" w:line="360" w:lineRule="auto"/>
        <w:ind w:left="0" w:right="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SEGUNDO.</w:t>
      </w:r>
      <w:r w:rsidDel="00000000" w:rsidR="00000000" w:rsidRPr="00000000">
        <w:rPr>
          <w:rFonts w:ascii="Palatino Linotype" w:cs="Palatino Linotype" w:eastAsia="Palatino Linotype" w:hAnsi="Palatino Linotype"/>
          <w:b w:val="1"/>
          <w:i w:val="0"/>
          <w:smallCaps w:val="0"/>
          <w:strike w:val="0"/>
          <w:color w:val="000000"/>
          <w:sz w:val="28"/>
          <w:szCs w:val="28"/>
          <w:u w:val="none"/>
          <w:shd w:fill="auto" w:val="clear"/>
          <w:vertAlign w:val="baseline"/>
          <w:rtl w:val="0"/>
        </w:rPr>
        <w:t xml:space="preserve">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Se</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 ORDENA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Ayuntamiento de San Felipe del Progreso,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dé respuesta a la solicitud de información número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00059/FELIPRO/IP/2021</w:t>
      </w: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vía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SAIMEX</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debiendo observar las excepciones contenidas en la Ley de Transparencia y Acceso a la Información Pública del Estado de México y Municipios, en términos del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Considerando CUARTO</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de esta resolución.</w:t>
      </w:r>
    </w:p>
    <w:p w:rsidR="00000000" w:rsidDel="00000000" w:rsidP="00000000" w:rsidRDefault="00000000" w:rsidRPr="00000000" w14:paraId="000000DA">
      <w:pPr>
        <w:spacing w:after="240" w:lineRule="auto"/>
        <w:ind w:right="51"/>
        <w:jc w:val="both"/>
        <w:rPr>
          <w:rFonts w:ascii="Palatino Linotype" w:cs="Palatino Linotype" w:eastAsia="Palatino Linotype" w:hAnsi="Palatino Linotype"/>
          <w:i w:val="1"/>
          <w:sz w:val="20"/>
          <w:szCs w:val="20"/>
        </w:rPr>
      </w:pPr>
      <w:r w:rsidDel="00000000" w:rsidR="00000000" w:rsidRPr="00000000">
        <w:rPr>
          <w:rtl w:val="0"/>
        </w:rPr>
      </w:r>
    </w:p>
    <w:p w:rsidR="00000000" w:rsidDel="00000000" w:rsidP="00000000" w:rsidRDefault="00000000" w:rsidRPr="00000000" w14:paraId="000000DB">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sz w:val="28"/>
          <w:szCs w:val="28"/>
          <w:rtl w:val="0"/>
        </w:rPr>
        <w:t xml:space="preserve">TERCERO.  </w:t>
      </w:r>
      <w:r w:rsidDel="00000000" w:rsidR="00000000" w:rsidRPr="00000000">
        <w:rPr>
          <w:rFonts w:ascii="Palatino Linotype" w:cs="Palatino Linotype" w:eastAsia="Palatino Linotype" w:hAnsi="Palatino Linotype"/>
          <w:b w:val="1"/>
          <w:rtl w:val="0"/>
        </w:rPr>
        <w:t xml:space="preserve">Notifíquese,</w:t>
      </w:r>
      <w:r w:rsidDel="00000000" w:rsidR="00000000" w:rsidRPr="00000000">
        <w:rPr>
          <w:rFonts w:ascii="Palatino Linotype" w:cs="Palatino Linotype" w:eastAsia="Palatino Linotype" w:hAnsi="Palatino Linotype"/>
          <w:b w:val="1"/>
          <w:sz w:val="28"/>
          <w:szCs w:val="28"/>
          <w:rtl w:val="0"/>
        </w:rPr>
        <w:t xml:space="preserve"> </w:t>
      </w:r>
      <w:r w:rsidDel="00000000" w:rsidR="00000000" w:rsidRPr="00000000">
        <w:rPr>
          <w:rFonts w:ascii="Palatino Linotype" w:cs="Palatino Linotype" w:eastAsia="Palatino Linotype" w:hAnsi="Palatino Linotype"/>
          <w:rtl w:val="0"/>
        </w:rPr>
        <w:t xml:space="preserve">al Responsable de la Unidad de Transparencia del Sujeto Obligado,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000000" w:rsidDel="00000000" w:rsidP="00000000" w:rsidRDefault="00000000" w:rsidRPr="00000000" w14:paraId="000000DC">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sz w:val="28"/>
          <w:szCs w:val="28"/>
          <w:rtl w:val="0"/>
        </w:rPr>
        <w:t xml:space="preserve">CUARTO. </w:t>
      </w:r>
      <w:r w:rsidDel="00000000" w:rsidR="00000000" w:rsidRPr="00000000">
        <w:rPr>
          <w:rFonts w:ascii="Palatino Linotype" w:cs="Palatino Linotype" w:eastAsia="Palatino Linotype" w:hAnsi="Palatino Linotype"/>
          <w:b w:val="1"/>
          <w:rtl w:val="0"/>
        </w:rPr>
        <w:t xml:space="preserve">Notifíquese,</w:t>
      </w:r>
      <w:r w:rsidDel="00000000" w:rsidR="00000000" w:rsidRPr="00000000">
        <w:rPr>
          <w:rFonts w:ascii="Palatino Linotype" w:cs="Palatino Linotype" w:eastAsia="Palatino Linotype" w:hAnsi="Palatino Linotype"/>
          <w:rtl w:val="0"/>
        </w:rPr>
        <w:t xml:space="preserve"> al recurrente </w:t>
      </w:r>
      <w:r w:rsidDel="00000000" w:rsidR="00000000" w:rsidRPr="00000000">
        <w:rPr>
          <w:rFonts w:ascii="Palatino Linotype" w:cs="Palatino Linotype" w:eastAsia="Palatino Linotype" w:hAnsi="Palatino Linotype"/>
          <w:highlight w:val="white"/>
          <w:rtl w:val="0"/>
        </w:rPr>
        <w:t xml:space="preserve">la presente resolución, así como, </w:t>
      </w:r>
      <w:r w:rsidDel="00000000" w:rsidR="00000000" w:rsidRPr="00000000">
        <w:rPr>
          <w:rFonts w:ascii="Palatino Linotype" w:cs="Palatino Linotype" w:eastAsia="Palatino Linotype" w:hAnsi="Palatino Linotype"/>
          <w:rtl w:val="0"/>
        </w:rPr>
        <w:t xml:space="preserve">que podrá impugnarla vía Juicio de Amparo en los términos de las leyes aplicables, de conformidad con lo establecido en el artículo 196 de la Ley de Transparencia y Acceso a la Información Pública del Estado de México y Municipios. </w:t>
      </w:r>
    </w:p>
    <w:p w:rsidR="00000000" w:rsidDel="00000000" w:rsidP="00000000" w:rsidRDefault="00000000" w:rsidRPr="00000000" w14:paraId="000000DD">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sz w:val="28"/>
          <w:szCs w:val="28"/>
          <w:rtl w:val="0"/>
        </w:rPr>
        <w:t xml:space="preserve">QUINTO. </w:t>
      </w:r>
      <w:r w:rsidDel="00000000" w:rsidR="00000000" w:rsidRPr="00000000">
        <w:rPr>
          <w:rFonts w:ascii="Palatino Linotype" w:cs="Palatino Linotype" w:eastAsia="Palatino Linotype" w:hAnsi="Palatino Linotype"/>
          <w:b w:val="1"/>
          <w:rtl w:val="0"/>
        </w:rPr>
        <w:t xml:space="preserve">Hágase del conocimiento </w:t>
      </w:r>
      <w:r w:rsidDel="00000000" w:rsidR="00000000" w:rsidRPr="00000000">
        <w:rPr>
          <w:rFonts w:ascii="Palatino Linotype" w:cs="Palatino Linotype" w:eastAsia="Palatino Linotype" w:hAnsi="Palatino Linotype"/>
          <w:rtl w:val="0"/>
        </w:rPr>
        <w:t xml:space="preserve">de la parte </w:t>
      </w:r>
      <w:r w:rsidDel="00000000" w:rsidR="00000000" w:rsidRPr="00000000">
        <w:rPr>
          <w:rFonts w:ascii="Palatino Linotype" w:cs="Palatino Linotype" w:eastAsia="Palatino Linotype" w:hAnsi="Palatino Linotype"/>
          <w:b w:val="1"/>
          <w:rtl w:val="0"/>
        </w:rPr>
        <w:t xml:space="preserve">Recurrente </w:t>
      </w:r>
      <w:r w:rsidDel="00000000" w:rsidR="00000000" w:rsidRPr="00000000">
        <w:rPr>
          <w:rFonts w:ascii="Palatino Linotype" w:cs="Palatino Linotype" w:eastAsia="Palatino Linotype" w:hAnsi="Palatino Linotype"/>
          <w:rtl w:val="0"/>
        </w:rPr>
        <w:t xml:space="preserve">que la respuesta del</w:t>
      </w:r>
      <w:r w:rsidDel="00000000" w:rsidR="00000000" w:rsidRPr="00000000">
        <w:rPr>
          <w:rFonts w:ascii="Palatino Linotype" w:cs="Palatino Linotype" w:eastAsia="Palatino Linotype" w:hAnsi="Palatino Linotype"/>
          <w:b w:val="1"/>
          <w:rtl w:val="0"/>
        </w:rPr>
        <w:t xml:space="preserve"> Sujeto Obligado</w:t>
      </w:r>
      <w:r w:rsidDel="00000000" w:rsidR="00000000" w:rsidRPr="00000000">
        <w:rPr>
          <w:rFonts w:ascii="Palatino Linotype" w:cs="Palatino Linotype" w:eastAsia="Palatino Linotype" w:hAnsi="Palatino Linotype"/>
          <w:rtl w:val="0"/>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000000" w:rsidDel="00000000" w:rsidP="00000000" w:rsidRDefault="00000000" w:rsidRPr="00000000" w14:paraId="000000DE">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sz w:val="28"/>
          <w:szCs w:val="28"/>
          <w:rtl w:val="0"/>
        </w:rPr>
        <w:t xml:space="preserve">SEXTO.</w:t>
      </w:r>
      <w:r w:rsidDel="00000000" w:rsidR="00000000" w:rsidRPr="00000000">
        <w:rPr>
          <w:rFonts w:ascii="Palatino Linotype" w:cs="Palatino Linotype" w:eastAsia="Palatino Linotype" w:hAnsi="Palatino Linotype"/>
          <w:b w:val="1"/>
          <w:rtl w:val="0"/>
        </w:rPr>
        <w:t xml:space="preserve"> Gírese</w:t>
      </w:r>
      <w:r w:rsidDel="00000000" w:rsidR="00000000" w:rsidRPr="00000000">
        <w:rPr>
          <w:rFonts w:ascii="Palatino Linotype" w:cs="Palatino Linotype" w:eastAsia="Palatino Linotype" w:hAnsi="Palatino Linotype"/>
          <w:rtl w:val="0"/>
        </w:rPr>
        <w:t xml:space="preserve"> oficio al Contralor Interno de este Instituto para que actúe en razón de su competencia, en término de lo expuesto en el </w:t>
      </w:r>
      <w:r w:rsidDel="00000000" w:rsidR="00000000" w:rsidRPr="00000000">
        <w:rPr>
          <w:rFonts w:ascii="Palatino Linotype" w:cs="Palatino Linotype" w:eastAsia="Palatino Linotype" w:hAnsi="Palatino Linotype"/>
          <w:b w:val="1"/>
          <w:rtl w:val="0"/>
        </w:rPr>
        <w:t xml:space="preserve">Considerando Cuarto</w:t>
      </w:r>
      <w:r w:rsidDel="00000000" w:rsidR="00000000" w:rsidRPr="00000000">
        <w:rPr>
          <w:rFonts w:ascii="Palatino Linotype" w:cs="Palatino Linotype" w:eastAsia="Palatino Linotype" w:hAnsi="Palatino Linotype"/>
          <w:rtl w:val="0"/>
        </w:rPr>
        <w:t xml:space="preserve"> de la presente resolución.</w:t>
      </w:r>
    </w:p>
    <w:p w:rsidR="00000000" w:rsidDel="00000000" w:rsidP="00000000" w:rsidRDefault="00000000" w:rsidRPr="00000000" w14:paraId="000000DF">
      <w:pPr>
        <w:spacing w:after="240" w:before="240" w:line="360" w:lineRule="auto"/>
        <w:jc w:val="both"/>
        <w:rPr>
          <w:rFonts w:ascii="Palatino Linotype" w:cs="Palatino Linotype" w:eastAsia="Palatino Linotype" w:hAnsi="Palatino Linotype"/>
          <w:b w:val="1"/>
          <w:sz w:val="28"/>
          <w:szCs w:val="28"/>
        </w:rPr>
      </w:pPr>
      <w:r w:rsidDel="00000000" w:rsidR="00000000" w:rsidRPr="00000000">
        <w:rPr>
          <w:rFonts w:ascii="Palatino Linotype" w:cs="Palatino Linotype" w:eastAsia="Palatino Linotype" w:hAnsi="Palatino Linotype"/>
          <w:b w:val="1"/>
          <w:sz w:val="28"/>
          <w:szCs w:val="28"/>
          <w:rtl w:val="0"/>
        </w:rPr>
        <w:t xml:space="preserve">SÉPTIMO. </w:t>
      </w:r>
      <w:r w:rsidDel="00000000" w:rsidR="00000000" w:rsidRPr="00000000">
        <w:rPr>
          <w:rFonts w:ascii="Palatino Linotype" w:cs="Palatino Linotype" w:eastAsia="Palatino Linotype" w:hAnsi="Palatino Linotype"/>
          <w:rtl w:val="0"/>
        </w:rPr>
        <w:t xml:space="preserve">Con fundamento en el artículo 198 de la Ley de Transparencia y Acceso a la Información Pública del Estado de México y Municipios, se apercibe al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que, en caso de negarse a cumplir la presente resolución o hacerlo de manera parcial se actuará de conformidad con lo previsto en los artículos 213, 214, 216 y 217 de dicha Ley.</w:t>
      </w: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headerReference r:id="rId10" w:type="default"/>
          <w:headerReference r:id="rId11" w:type="first"/>
          <w:footerReference r:id="rId12" w:type="default"/>
          <w:footerReference r:id="rId13" w:type="first"/>
          <w:pgSz w:h="15840" w:w="12240" w:orient="portrait"/>
          <w:pgMar w:bottom="1417" w:top="1417" w:left="1701" w:right="1701" w:header="708" w:footer="708"/>
          <w:pgNumType w:start="1"/>
          <w:titlePg w:val="1"/>
        </w:sect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TRIGESIMA CUARTA SESIÓN ORDINARIA CELEBRADA EL VEINTINUEVE DE SEPTIEMBRE DEL DOS MIL VEINTIUNO, ANTE EL SECRETARIO TÉCNICO DEL PLENO, ALEXIS TAPIA RAMÍREZ.</w:t>
      </w: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sectPr>
      <w:headerReference r:id="rId14" w:type="first"/>
      <w:type w:val="nextPage"/>
      <w:pgSz w:h="15840" w:w="12240" w:orient="portrait"/>
      <w:pgMar w:bottom="1417" w:top="1417" w:left="1701" w:right="1701" w:header="708" w:footer="708"/>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ambria"/>
  <w:font w:name="Arial"/>
  <w:font w:name="Bookman Old Style"/>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Página </w:t>
    </w: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de </w:t>
    </w: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Página </w:t>
    </w: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de </w:t>
    </w: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708"/>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b w:val="0"/>
          <w:i w:val="1"/>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w:t>
      </w:r>
      <w:r w:rsidDel="00000000" w:rsidR="00000000" w:rsidRPr="00000000">
        <w:rPr>
          <w:rFonts w:ascii="Palatino Linotype" w:cs="Palatino Linotype" w:eastAsia="Palatino Linotype" w:hAnsi="Palatino Linotype"/>
          <w:b w:val="0"/>
          <w:i w:val="1"/>
          <w:smallCaps w:val="0"/>
          <w:strike w:val="0"/>
          <w:color w:val="000000"/>
          <w:sz w:val="16"/>
          <w:szCs w:val="16"/>
          <w:u w:val="none"/>
          <w:shd w:fill="auto" w:val="clear"/>
          <w:vertAlign w:val="baseline"/>
          <w:rtl w:val="0"/>
        </w:rPr>
        <w:t xml:space="preserve">Artículo 129. En la aplicación de la prueba de daño, el sujeto obligado deberá precisar las razones objetivas por las que la apertura de la información generaría una afectación, justificando que:  </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b w:val="0"/>
          <w:i w:val="1"/>
          <w:smallCaps w:val="0"/>
          <w:strike w:val="0"/>
          <w:color w:val="000000"/>
          <w:sz w:val="16"/>
          <w:szCs w:val="16"/>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16"/>
          <w:szCs w:val="16"/>
          <w:u w:val="none"/>
          <w:shd w:fill="auto" w:val="clear"/>
          <w:vertAlign w:val="baseline"/>
          <w:rtl w:val="0"/>
        </w:rPr>
        <w:t xml:space="preserve">I. La divulgación de la información representa un riesgo real, demostrable e identificable del perjuicio significativo al interés público o a la seguridad pública;  </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b w:val="0"/>
          <w:i w:val="1"/>
          <w:smallCaps w:val="0"/>
          <w:strike w:val="0"/>
          <w:color w:val="000000"/>
          <w:sz w:val="16"/>
          <w:szCs w:val="16"/>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16"/>
          <w:szCs w:val="16"/>
          <w:u w:val="none"/>
          <w:shd w:fill="auto" w:val="clear"/>
          <w:vertAlign w:val="baseline"/>
          <w:rtl w:val="0"/>
        </w:rPr>
        <w:t xml:space="preserve">II. El riesgo de perjuicio que supondría la divulgación supera el interés público general de que se difunda; y  </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b w:val="0"/>
          <w:i w:val="0"/>
          <w:smallCaps w:val="0"/>
          <w:strike w:val="0"/>
          <w:color w:val="000000"/>
          <w:sz w:val="16"/>
          <w:szCs w:val="16"/>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16"/>
          <w:szCs w:val="16"/>
          <w:u w:val="none"/>
          <w:shd w:fill="auto" w:val="clear"/>
          <w:vertAlign w:val="baseline"/>
          <w:rtl w:val="0"/>
        </w:rPr>
        <w:t xml:space="preserve">III. La limitación se adecua al principio de proporcionalidad y representa el medio menos restrictivo disponible representa el medio menos restrictivo disponible para evitar el perjuicio.</w:t>
      </w:r>
      <w:r w:rsidDel="00000000" w:rsidR="00000000" w:rsidRPr="00000000">
        <w:rPr>
          <w:rFonts w:ascii="Palatino Linotype" w:cs="Palatino Linotype" w:eastAsia="Palatino Linotype" w:hAnsi="Palatino Linotype"/>
          <w:b w:val="0"/>
          <w:i w:val="0"/>
          <w:smallCaps w:val="0"/>
          <w:strike w:val="0"/>
          <w:color w:val="000000"/>
          <w:sz w:val="16"/>
          <w:szCs w:val="16"/>
          <w:u w:val="none"/>
          <w:shd w:fill="auto" w:val="clear"/>
          <w:vertAlign w:val="baseline"/>
          <w:rtl w:val="0"/>
        </w:rPr>
        <w:t xml:space="preserve"> Ley de Transparencia y Acceso a la Información Pública del Estado de México y Municipios.</w:t>
      </w:r>
    </w:p>
  </w:footnote>
  <w:footnote w:id="1">
    <w:p w:rsidR="00000000" w:rsidDel="00000000" w:rsidP="00000000" w:rsidRDefault="00000000" w:rsidRPr="00000000" w14:paraId="000000E6">
      <w:pPr>
        <w:spacing w:after="240" w:before="240" w:line="360" w:lineRule="auto"/>
        <w:ind w:right="50"/>
        <w:jc w:val="both"/>
        <w:rPr>
          <w:rFonts w:ascii="Palatino Linotype" w:cs="Palatino Linotype" w:eastAsia="Palatino Linotype" w:hAnsi="Palatino Linotype"/>
          <w:sz w:val="20"/>
          <w:szCs w:val="20"/>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rFonts w:ascii="Palatino Linotype" w:cs="Palatino Linotype" w:eastAsia="Palatino Linotype" w:hAnsi="Palatino Linotype"/>
          <w:sz w:val="20"/>
          <w:szCs w:val="20"/>
          <w:rtl w:val="0"/>
        </w:rPr>
        <w:t xml:space="preserve">Las personas físicas y/o jurídicas colectivas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dicha acreditación, atento a que dicha información es la que genera certeza en los gobernados en que se está ejerciendo debidamente el presupuesto.</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-343534</wp:posOffset>
          </wp:positionV>
          <wp:extent cx="7635600" cy="9943200"/>
          <wp:effectExtent b="0" l="0" r="0" t="0"/>
          <wp:wrapNone/>
          <wp:docPr id="3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635600" cy="9943200"/>
                  </a:xfrm>
                  <a:prstGeom prst="rect"/>
                  <a:ln/>
                </pic:spPr>
              </pic:pic>
            </a:graphicData>
          </a:graphic>
        </wp:anchor>
      </w:drawing>
    </w:r>
  </w:p>
  <w:tbl>
    <w:tblPr>
      <w:tblStyle w:val="Table2"/>
      <w:tblW w:w="6240.0" w:type="dxa"/>
      <w:jc w:val="left"/>
      <w:tblInd w:w="3685.0" w:type="dxa"/>
      <w:tblLayout w:type="fixed"/>
      <w:tblLook w:val="0400"/>
    </w:tblPr>
    <w:tblGrid>
      <w:gridCol w:w="2553"/>
      <w:gridCol w:w="3687"/>
      <w:tblGridChange w:id="0">
        <w:tblGrid>
          <w:gridCol w:w="2553"/>
          <w:gridCol w:w="3687"/>
        </w:tblGrid>
      </w:tblGridChange>
    </w:tblGrid>
    <w:tr>
      <w:trPr>
        <w:cantSplit w:val="0"/>
        <w:tblHeader w:val="0"/>
      </w:trPr>
      <w:tc>
        <w:tcPr>
          <w:vAlign w:val="center"/>
        </w:tcPr>
        <w:p w:rsidR="00000000" w:rsidDel="00000000" w:rsidP="00000000" w:rsidRDefault="00000000" w:rsidRPr="00000000" w14:paraId="000000E9">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Recurso de Revisión:</w:t>
          </w:r>
        </w:p>
      </w:tc>
      <w:tc>
        <w:tcPr>
          <w:vAlign w:val="center"/>
        </w:tcPr>
        <w:p w:rsidR="00000000" w:rsidDel="00000000" w:rsidP="00000000" w:rsidRDefault="00000000" w:rsidRPr="00000000" w14:paraId="000000EA">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04354/INFOEM/IP/RR/2021</w:t>
          </w:r>
        </w:p>
      </w:tc>
    </w:tr>
    <w:tr>
      <w:trPr>
        <w:cantSplit w:val="0"/>
        <w:tblHeader w:val="0"/>
      </w:trPr>
      <w:tc>
        <w:tcPr>
          <w:vAlign w:val="center"/>
        </w:tcPr>
        <w:p w:rsidR="00000000" w:rsidDel="00000000" w:rsidP="00000000" w:rsidRDefault="00000000" w:rsidRPr="00000000" w14:paraId="000000EB">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Recurrente:</w:t>
          </w:r>
        </w:p>
      </w:tc>
      <w:tc>
        <w:tcPr>
          <w:vAlign w:val="center"/>
        </w:tcPr>
        <w:p w:rsidR="00000000" w:rsidDel="00000000" w:rsidP="00000000" w:rsidRDefault="00000000" w:rsidRPr="00000000" w14:paraId="000000EC">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XXXXXXXXXXXXXXXX</w:t>
          </w:r>
        </w:p>
      </w:tc>
    </w:tr>
    <w:tr>
      <w:trPr>
        <w:cantSplit w:val="0"/>
        <w:trHeight w:val="228" w:hRule="atLeast"/>
        <w:tblHeader w:val="0"/>
      </w:trPr>
      <w:tc>
        <w:tcPr>
          <w:vAlign w:val="center"/>
        </w:tcPr>
        <w:p w:rsidR="00000000" w:rsidDel="00000000" w:rsidP="00000000" w:rsidRDefault="00000000" w:rsidRPr="00000000" w14:paraId="000000ED">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Sujeto Obligado:</w:t>
          </w:r>
        </w:p>
      </w:tc>
      <w:tc>
        <w:tcPr>
          <w:vAlign w:val="center"/>
        </w:tcPr>
        <w:p w:rsidR="00000000" w:rsidDel="00000000" w:rsidP="00000000" w:rsidRDefault="00000000" w:rsidRPr="00000000" w14:paraId="000000EE">
          <w:pPr>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Ayuntamiento de San Felipe del Progreso</w:t>
          </w:r>
        </w:p>
      </w:tc>
    </w:tr>
    <w:tr>
      <w:trPr>
        <w:cantSplit w:val="0"/>
        <w:tblHeader w:val="0"/>
      </w:trPr>
      <w:tc>
        <w:tcPr>
          <w:vAlign w:val="center"/>
        </w:tcPr>
        <w:p w:rsidR="00000000" w:rsidDel="00000000" w:rsidP="00000000" w:rsidRDefault="00000000" w:rsidRPr="00000000" w14:paraId="000000EF">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Comisionado ponente:</w:t>
          </w:r>
        </w:p>
      </w:tc>
      <w:tc>
        <w:tcPr>
          <w:vAlign w:val="center"/>
        </w:tcPr>
        <w:p w:rsidR="00000000" w:rsidDel="00000000" w:rsidP="00000000" w:rsidRDefault="00000000" w:rsidRPr="00000000" w14:paraId="000000F0">
          <w:pPr>
            <w:ind w:right="-533"/>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Guadalupe Ramírez Peña</w:t>
          </w:r>
        </w:p>
      </w:tc>
    </w:tr>
  </w:tbl>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tbl>
    <w:tblPr>
      <w:tblStyle w:val="Table3"/>
      <w:tblW w:w="6240.0" w:type="dxa"/>
      <w:jc w:val="left"/>
      <w:tblInd w:w="3746.0" w:type="dxa"/>
      <w:tblLayout w:type="fixed"/>
      <w:tblLook w:val="0400"/>
    </w:tblPr>
    <w:tblGrid>
      <w:gridCol w:w="2553"/>
      <w:gridCol w:w="3687"/>
      <w:tblGridChange w:id="0">
        <w:tblGrid>
          <w:gridCol w:w="2553"/>
          <w:gridCol w:w="3687"/>
        </w:tblGrid>
      </w:tblGridChange>
    </w:tblGrid>
    <w:tr>
      <w:trPr>
        <w:cantSplit w:val="0"/>
        <w:trHeight w:val="255" w:hRule="atLeast"/>
        <w:tblHeader w:val="0"/>
      </w:trPr>
      <w:tc>
        <w:tcPr>
          <w:vAlign w:val="center"/>
        </w:tcPr>
        <w:p w:rsidR="00000000" w:rsidDel="00000000" w:rsidP="00000000" w:rsidRDefault="00000000" w:rsidRPr="00000000" w14:paraId="000000F3">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Recurso de Revisión:</w:t>
          </w:r>
        </w:p>
      </w:tc>
      <w:tc>
        <w:tcPr>
          <w:vAlign w:val="center"/>
        </w:tcPr>
        <w:p w:rsidR="00000000" w:rsidDel="00000000" w:rsidP="00000000" w:rsidRDefault="00000000" w:rsidRPr="00000000" w14:paraId="000000F4">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04354/INFOEM/IP/RR/2021</w:t>
          </w:r>
        </w:p>
      </w:tc>
    </w:tr>
    <w:tr>
      <w:trPr>
        <w:cantSplit w:val="0"/>
        <w:trHeight w:val="228" w:hRule="atLeast"/>
        <w:tblHeader w:val="0"/>
      </w:trPr>
      <w:tc>
        <w:tcPr>
          <w:vAlign w:val="center"/>
        </w:tcPr>
        <w:p w:rsidR="00000000" w:rsidDel="00000000" w:rsidP="00000000" w:rsidRDefault="00000000" w:rsidRPr="00000000" w14:paraId="000000F5">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Sujeto Obligado:</w:t>
          </w:r>
        </w:p>
      </w:tc>
      <w:tc>
        <w:tcPr>
          <w:vAlign w:val="center"/>
        </w:tcPr>
        <w:p w:rsidR="00000000" w:rsidDel="00000000" w:rsidP="00000000" w:rsidRDefault="00000000" w:rsidRPr="00000000" w14:paraId="000000F6">
          <w:pPr>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Ayuntamiento de San Felipe del Progreso</w:t>
          </w:r>
        </w:p>
      </w:tc>
    </w:tr>
    <w:tr>
      <w:trPr>
        <w:cantSplit w:val="0"/>
        <w:tblHeader w:val="0"/>
      </w:trPr>
      <w:tc>
        <w:tcPr>
          <w:vAlign w:val="center"/>
        </w:tcPr>
        <w:p w:rsidR="00000000" w:rsidDel="00000000" w:rsidP="00000000" w:rsidRDefault="00000000" w:rsidRPr="00000000" w14:paraId="000000F7">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Comisionado ponente:</w:t>
          </w:r>
        </w:p>
      </w:tc>
      <w:tc>
        <w:tcPr>
          <w:vAlign w:val="center"/>
        </w:tcPr>
        <w:p w:rsidR="00000000" w:rsidDel="00000000" w:rsidP="00000000" w:rsidRDefault="00000000" w:rsidRPr="00000000" w14:paraId="000000F8">
          <w:pPr>
            <w:ind w:right="-533"/>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Guadalupe Ramírez Peña</w:t>
          </w:r>
        </w:p>
      </w:tc>
    </w:tr>
  </w:tbl>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 w:val="left" w:pos="2326"/>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ab/>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-955038</wp:posOffset>
          </wp:positionV>
          <wp:extent cx="7635600" cy="9943200"/>
          <wp:effectExtent b="0" l="0" r="0" t="0"/>
          <wp:wrapNone/>
          <wp:docPr id="3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635600" cy="9943200"/>
                  </a:xfrm>
                  <a:prstGeom prst="rect"/>
                  <a:ln/>
                </pic:spPr>
              </pic:pic>
            </a:graphicData>
          </a:graphic>
        </wp:anchor>
      </w:drawing>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 w:val="left" w:pos="2326"/>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366091"/>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366091"/>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243f6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80F8C"/>
    <w:rPr>
      <w:rFonts w:ascii="Times New Roman" w:cs="Times New Roman" w:eastAsia="Times New Roman" w:hAnsi="Times New Roman"/>
      <w:lang w:val="es-ES"/>
    </w:rPr>
  </w:style>
  <w:style w:type="paragraph" w:styleId="Ttulo1">
    <w:name w:val="heading 1"/>
    <w:basedOn w:val="Normal"/>
    <w:next w:val="Normal"/>
    <w:link w:val="Ttulo1Car"/>
    <w:uiPriority w:val="9"/>
    <w:qFormat w:val="1"/>
    <w:rsid w:val="007F61DA"/>
    <w:pPr>
      <w:keepNext w:val="1"/>
      <w:keepLines w:val="1"/>
      <w:spacing w:before="240"/>
      <w:outlineLvl w:val="0"/>
    </w:pPr>
    <w:rPr>
      <w:rFonts w:asciiTheme="majorHAnsi" w:cstheme="majorBidi" w:eastAsiaTheme="majorEastAsia" w:hAnsiTheme="majorHAnsi"/>
      <w:color w:val="365f91" w:themeColor="accent1" w:themeShade="0000BF"/>
      <w:sz w:val="32"/>
      <w:szCs w:val="32"/>
    </w:rPr>
  </w:style>
  <w:style w:type="paragraph" w:styleId="Ttulo2">
    <w:name w:val="heading 2"/>
    <w:basedOn w:val="Normal"/>
    <w:next w:val="Normal"/>
    <w:link w:val="Ttulo2Car"/>
    <w:uiPriority w:val="9"/>
    <w:unhideWhenUsed w:val="1"/>
    <w:qFormat w:val="1"/>
    <w:rsid w:val="004A6EFE"/>
    <w:pPr>
      <w:keepNext w:val="1"/>
      <w:keepLines w:val="1"/>
      <w:spacing w:before="40"/>
      <w:outlineLvl w:val="1"/>
    </w:pPr>
    <w:rPr>
      <w:rFonts w:asciiTheme="majorHAnsi" w:cstheme="majorBidi" w:eastAsiaTheme="majorEastAsia" w:hAnsiTheme="majorHAnsi"/>
      <w:color w:val="365f91" w:themeColor="accent1" w:themeShade="0000BF"/>
      <w:sz w:val="26"/>
      <w:szCs w:val="26"/>
    </w:rPr>
  </w:style>
  <w:style w:type="paragraph" w:styleId="Ttulo3">
    <w:name w:val="heading 3"/>
    <w:basedOn w:val="Normal"/>
    <w:next w:val="Normal"/>
    <w:link w:val="Ttulo3Car"/>
    <w:uiPriority w:val="9"/>
    <w:unhideWhenUsed w:val="1"/>
    <w:qFormat w:val="1"/>
    <w:rsid w:val="00A776B4"/>
    <w:pPr>
      <w:keepNext w:val="1"/>
      <w:keepLines w:val="1"/>
      <w:spacing w:before="40"/>
      <w:outlineLvl w:val="2"/>
    </w:pPr>
    <w:rPr>
      <w:rFonts w:asciiTheme="majorHAnsi" w:cstheme="majorBidi" w:eastAsiaTheme="majorEastAsia" w:hAnsiTheme="majorHAnsi"/>
      <w:color w:val="243f60" w:themeColor="accent1" w:themeShade="00007F"/>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C80F8C"/>
    <w:pPr>
      <w:tabs>
        <w:tab w:val="center" w:pos="4252"/>
        <w:tab w:val="right" w:pos="8504"/>
      </w:tabs>
    </w:pPr>
    <w:rPr>
      <w:rFonts w:asciiTheme="minorHAnsi" w:cstheme="minorBidi" w:eastAsiaTheme="minorEastAsia" w:hAnsiTheme="minorHAnsi"/>
      <w:lang w:val="es-ES_tradnl"/>
    </w:rPr>
  </w:style>
  <w:style w:type="character" w:styleId="EncabezadoCar" w:customStyle="1">
    <w:name w:val="Encabezado Car"/>
    <w:basedOn w:val="Fuentedeprrafopredeter"/>
    <w:link w:val="Encabezado"/>
    <w:uiPriority w:val="99"/>
    <w:rsid w:val="00C80F8C"/>
  </w:style>
  <w:style w:type="paragraph" w:styleId="Piedepgina">
    <w:name w:val="footer"/>
    <w:basedOn w:val="Normal"/>
    <w:link w:val="PiedepginaCar"/>
    <w:uiPriority w:val="99"/>
    <w:unhideWhenUsed w:val="1"/>
    <w:rsid w:val="00C80F8C"/>
    <w:pPr>
      <w:tabs>
        <w:tab w:val="center" w:pos="4252"/>
        <w:tab w:val="right" w:pos="8504"/>
      </w:tabs>
    </w:pPr>
    <w:rPr>
      <w:rFonts w:asciiTheme="minorHAnsi" w:cstheme="minorBidi" w:eastAsiaTheme="minorEastAsia" w:hAnsiTheme="minorHAnsi"/>
      <w:lang w:val="es-ES_tradnl"/>
    </w:rPr>
  </w:style>
  <w:style w:type="character" w:styleId="PiedepginaCar" w:customStyle="1">
    <w:name w:val="Pie de página Car"/>
    <w:basedOn w:val="Fuentedeprrafopredeter"/>
    <w:link w:val="Piedepgina"/>
    <w:uiPriority w:val="99"/>
    <w:rsid w:val="00C80F8C"/>
  </w:style>
  <w:style w:type="paragraph" w:styleId="Textodeglobo">
    <w:name w:val="Balloon Text"/>
    <w:basedOn w:val="Normal"/>
    <w:link w:val="TextodegloboCar"/>
    <w:uiPriority w:val="99"/>
    <w:semiHidden w:val="1"/>
    <w:unhideWhenUsed w:val="1"/>
    <w:rsid w:val="00C80F8C"/>
    <w:rPr>
      <w:rFonts w:ascii="Lucida Grande" w:cs="Lucida Grande" w:hAnsi="Lucida Grande" w:eastAsiaTheme="minorEastAsia"/>
      <w:sz w:val="18"/>
      <w:szCs w:val="18"/>
      <w:lang w:val="es-ES_tradnl"/>
    </w:rPr>
  </w:style>
  <w:style w:type="character" w:styleId="TextodegloboCar" w:customStyle="1">
    <w:name w:val="Texto de globo Car"/>
    <w:basedOn w:val="Fuentedeprrafopredeter"/>
    <w:link w:val="Textodeglobo"/>
    <w:uiPriority w:val="99"/>
    <w:semiHidden w:val="1"/>
    <w:rsid w:val="00C80F8C"/>
    <w:rPr>
      <w:rFonts w:ascii="Lucida Grande" w:cs="Lucida Grande" w:hAnsi="Lucida Grande"/>
      <w:sz w:val="18"/>
      <w:szCs w:val="18"/>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val="1"/>
    <w:locked w:val="1"/>
    <w:rsid w:val="009D4854"/>
    <w:rPr>
      <w:rFonts w:ascii="Times New Roman" w:cs="Times New Roman" w:eastAsia="Times New Roman" w:hAnsi="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val="1"/>
    <w:rsid w:val="009D4854"/>
    <w:pPr>
      <w:ind w:left="708"/>
    </w:pPr>
  </w:style>
  <w:style w:type="table" w:styleId="Tablaconcuadrcula">
    <w:name w:val="Table Grid"/>
    <w:basedOn w:val="Tablanormal"/>
    <w:uiPriority w:val="59"/>
    <w:rsid w:val="00AB3F5E"/>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val="1"/>
    <w:qFormat w:val="1"/>
    <w:rsid w:val="00AB3F5E"/>
    <w:rPr>
      <w:rFonts w:asciiTheme="minorHAnsi" w:cstheme="minorBidi" w:eastAsiaTheme="minorHAnsi" w:hAnsiTheme="minorHAnsi"/>
      <w:sz w:val="20"/>
      <w:szCs w:val="20"/>
      <w:lang w:eastAsia="en-US" w:val="es-MX"/>
    </w:rPr>
  </w:style>
  <w:style w:type="character" w:styleId="TextonotapieCar" w:customStyle="1">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eastAsia="en-US" w:val="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val="1"/>
    <w:qFormat w:val="1"/>
    <w:rsid w:val="00AB3F5E"/>
    <w:rPr>
      <w:vertAlign w:val="superscript"/>
    </w:rPr>
  </w:style>
  <w:style w:type="character" w:styleId="Ttulo2Car" w:customStyle="1">
    <w:name w:val="Título 2 Car"/>
    <w:basedOn w:val="Fuentedeprrafopredeter"/>
    <w:link w:val="Ttulo2"/>
    <w:uiPriority w:val="9"/>
    <w:rsid w:val="004A6EFE"/>
    <w:rPr>
      <w:rFonts w:asciiTheme="majorHAnsi" w:cstheme="majorBidi" w:eastAsiaTheme="majorEastAsia" w:hAnsiTheme="majorHAnsi"/>
      <w:color w:val="365f91" w:themeColor="accent1" w:themeShade="0000BF"/>
      <w:sz w:val="26"/>
      <w:szCs w:val="26"/>
      <w:lang w:val="es-ES"/>
    </w:rPr>
  </w:style>
  <w:style w:type="character" w:styleId="apple-converted-space" w:customStyle="1">
    <w:name w:val="apple-converted-space"/>
    <w:basedOn w:val="Fuentedeprrafopredeter"/>
    <w:rsid w:val="00A5404F"/>
  </w:style>
  <w:style w:type="character" w:styleId="normaltextrun" w:customStyle="1">
    <w:name w:val="normaltextrun"/>
    <w:basedOn w:val="Fuentedeprrafopredeter"/>
    <w:rsid w:val="00355B75"/>
  </w:style>
  <w:style w:type="paragraph" w:styleId="paragraph" w:customStyle="1">
    <w:name w:val="paragraph"/>
    <w:basedOn w:val="Normal"/>
    <w:rsid w:val="00355B75"/>
    <w:pPr>
      <w:spacing w:after="100" w:afterAutospacing="1" w:before="100" w:beforeAutospacing="1"/>
    </w:pPr>
    <w:rPr>
      <w:lang w:eastAsia="es-MX" w:val="es-MX"/>
    </w:rPr>
  </w:style>
  <w:style w:type="character" w:styleId="eop" w:customStyle="1">
    <w:name w:val="eop"/>
    <w:basedOn w:val="Fuentedeprrafopredeter"/>
    <w:rsid w:val="00355B75"/>
  </w:style>
  <w:style w:type="character" w:styleId="Hipervnculo">
    <w:name w:val="Hyperlink"/>
    <w:basedOn w:val="Fuentedeprrafopredeter"/>
    <w:uiPriority w:val="99"/>
    <w:unhideWhenUsed w:val="1"/>
    <w:rsid w:val="00623EA3"/>
    <w:rPr>
      <w:color w:val="0000ff" w:themeColor="hyperlink"/>
      <w:u w:val="single"/>
    </w:rPr>
  </w:style>
  <w:style w:type="character" w:styleId="nacep" w:customStyle="1">
    <w:name w:val="n_acep"/>
    <w:basedOn w:val="Fuentedeprrafopredeter"/>
    <w:rsid w:val="00585C24"/>
  </w:style>
  <w:style w:type="paragraph" w:styleId="Texto" w:customStyle="1">
    <w:name w:val="Texto"/>
    <w:basedOn w:val="Normal"/>
    <w:link w:val="TextoCar"/>
    <w:qFormat w:val="1"/>
    <w:rsid w:val="009573BD"/>
    <w:pPr>
      <w:spacing w:after="101" w:line="216" w:lineRule="exact"/>
      <w:ind w:firstLine="288"/>
      <w:jc w:val="both"/>
    </w:pPr>
    <w:rPr>
      <w:rFonts w:ascii="Arial" w:cs="Arial" w:hAnsi="Arial"/>
      <w:sz w:val="18"/>
      <w:szCs w:val="20"/>
    </w:rPr>
  </w:style>
  <w:style w:type="character" w:styleId="TextoCar" w:customStyle="1">
    <w:name w:val="Texto Car"/>
    <w:link w:val="Texto"/>
    <w:locked w:val="1"/>
    <w:rsid w:val="009573BD"/>
    <w:rPr>
      <w:rFonts w:ascii="Arial" w:cs="Arial" w:eastAsia="Times New Roman" w:hAnsi="Arial"/>
      <w:sz w:val="18"/>
      <w:szCs w:val="20"/>
      <w:lang w:val="es-ES"/>
    </w:rPr>
  </w:style>
  <w:style w:type="character" w:styleId="Ttulo1Car" w:customStyle="1">
    <w:name w:val="Título 1 Car"/>
    <w:basedOn w:val="Fuentedeprrafopredeter"/>
    <w:link w:val="Ttulo1"/>
    <w:uiPriority w:val="9"/>
    <w:rsid w:val="007F61DA"/>
    <w:rPr>
      <w:rFonts w:asciiTheme="majorHAnsi" w:cstheme="majorBidi" w:eastAsiaTheme="majorEastAsia" w:hAnsiTheme="majorHAnsi"/>
      <w:color w:val="365f91" w:themeColor="accent1" w:themeShade="0000BF"/>
      <w:sz w:val="32"/>
      <w:szCs w:val="32"/>
      <w:lang w:val="es-ES"/>
    </w:rPr>
  </w:style>
  <w:style w:type="paragraph" w:styleId="Default" w:customStyle="1">
    <w:name w:val="Default"/>
    <w:rsid w:val="00DF0D44"/>
    <w:pPr>
      <w:autoSpaceDE w:val="0"/>
      <w:autoSpaceDN w:val="0"/>
      <w:adjustRightInd w:val="0"/>
    </w:pPr>
    <w:rPr>
      <w:rFonts w:ascii="Arial" w:cs="Arial" w:hAnsi="Arial"/>
      <w:color w:val="000000"/>
      <w:lang w:val="es-MX"/>
    </w:rPr>
  </w:style>
  <w:style w:type="paragraph" w:styleId="Sinespaciado">
    <w:name w:val="No Spacing"/>
    <w:aliases w:val="Francesa,INAI"/>
    <w:link w:val="SinespaciadoCar"/>
    <w:uiPriority w:val="1"/>
    <w:qFormat w:val="1"/>
    <w:rsid w:val="00932CFF"/>
    <w:rPr>
      <w:rFonts w:ascii="Times New Roman" w:cs="Times New Roman" w:eastAsia="Times New Roman" w:hAnsi="Times New Roman"/>
      <w:lang w:val="es-MX"/>
    </w:rPr>
  </w:style>
  <w:style w:type="character" w:styleId="Textoennegrita">
    <w:name w:val="Strong"/>
    <w:uiPriority w:val="22"/>
    <w:qFormat w:val="1"/>
    <w:rsid w:val="00932CFF"/>
    <w:rPr>
      <w:b w:val="1"/>
      <w:bCs w:val="1"/>
    </w:rPr>
  </w:style>
  <w:style w:type="character" w:styleId="SinespaciadoCar" w:customStyle="1">
    <w:name w:val="Sin espaciado Car"/>
    <w:aliases w:val="Francesa Car,INAI Car"/>
    <w:link w:val="Sinespaciado"/>
    <w:uiPriority w:val="1"/>
    <w:locked w:val="1"/>
    <w:rsid w:val="00932CFF"/>
    <w:rPr>
      <w:rFonts w:ascii="Times New Roman" w:cs="Times New Roman" w:eastAsia="Times New Roman" w:hAnsi="Times New Roman"/>
      <w:lang w:val="es-MX"/>
    </w:rPr>
  </w:style>
  <w:style w:type="paragraph" w:styleId="NormalWeb">
    <w:name w:val="Normal (Web)"/>
    <w:basedOn w:val="Normal"/>
    <w:uiPriority w:val="99"/>
    <w:unhideWhenUsed w:val="1"/>
    <w:rsid w:val="00444919"/>
    <w:pPr>
      <w:spacing w:after="100" w:afterAutospacing="1" w:before="100" w:beforeAutospacing="1"/>
    </w:pPr>
    <w:rPr>
      <w:lang w:eastAsia="es-MX" w:val="es-MX"/>
    </w:rPr>
  </w:style>
  <w:style w:type="character" w:styleId="Ttulo3Car" w:customStyle="1">
    <w:name w:val="Título 3 Car"/>
    <w:basedOn w:val="Fuentedeprrafopredeter"/>
    <w:link w:val="Ttulo3"/>
    <w:uiPriority w:val="9"/>
    <w:rsid w:val="00A776B4"/>
    <w:rPr>
      <w:rFonts w:asciiTheme="majorHAnsi" w:cstheme="majorBidi" w:eastAsiaTheme="majorEastAsia" w:hAnsiTheme="majorHAnsi"/>
      <w:color w:val="243f60" w:themeColor="accent1" w:themeShade="00007F"/>
      <w:lang w:val="es-ES"/>
    </w:rPr>
  </w:style>
  <w:style w:type="paragraph" w:styleId="Lista">
    <w:name w:val="List"/>
    <w:basedOn w:val="Normal"/>
    <w:uiPriority w:val="99"/>
    <w:unhideWhenUsed w:val="1"/>
    <w:rsid w:val="00A776B4"/>
    <w:pPr>
      <w:ind w:left="283" w:hanging="283"/>
      <w:contextualSpacing w:val="1"/>
    </w:pPr>
  </w:style>
  <w:style w:type="paragraph" w:styleId="Lista2">
    <w:name w:val="List 2"/>
    <w:basedOn w:val="Normal"/>
    <w:uiPriority w:val="99"/>
    <w:unhideWhenUsed w:val="1"/>
    <w:rsid w:val="00A776B4"/>
    <w:pPr>
      <w:ind w:left="566" w:hanging="283"/>
      <w:contextualSpacing w:val="1"/>
    </w:pPr>
  </w:style>
  <w:style w:type="paragraph" w:styleId="Lista3">
    <w:name w:val="List 3"/>
    <w:basedOn w:val="Normal"/>
    <w:uiPriority w:val="99"/>
    <w:unhideWhenUsed w:val="1"/>
    <w:rsid w:val="00A776B4"/>
    <w:pPr>
      <w:ind w:left="849" w:hanging="283"/>
      <w:contextualSpacing w:val="1"/>
    </w:pPr>
  </w:style>
  <w:style w:type="paragraph" w:styleId="Textoindependiente">
    <w:name w:val="Body Text"/>
    <w:basedOn w:val="Normal"/>
    <w:link w:val="TextoindependienteCar"/>
    <w:uiPriority w:val="99"/>
    <w:unhideWhenUsed w:val="1"/>
    <w:rsid w:val="00A776B4"/>
    <w:pPr>
      <w:spacing w:after="120"/>
    </w:pPr>
  </w:style>
  <w:style w:type="character" w:styleId="TextoindependienteCar" w:customStyle="1">
    <w:name w:val="Texto independiente Car"/>
    <w:basedOn w:val="Fuentedeprrafopredeter"/>
    <w:link w:val="Textoindependiente"/>
    <w:uiPriority w:val="99"/>
    <w:rsid w:val="00A776B4"/>
    <w:rPr>
      <w:rFonts w:ascii="Times New Roman" w:cs="Times New Roman" w:eastAsia="Times New Roman" w:hAnsi="Times New Roman"/>
      <w:lang w:val="es-ES"/>
    </w:rPr>
  </w:style>
  <w:style w:type="paragraph" w:styleId="Sangradetextonormal">
    <w:name w:val="Body Text Indent"/>
    <w:basedOn w:val="Normal"/>
    <w:link w:val="SangradetextonormalCar"/>
    <w:uiPriority w:val="99"/>
    <w:unhideWhenUsed w:val="1"/>
    <w:rsid w:val="00A776B4"/>
    <w:pPr>
      <w:spacing w:after="120"/>
      <w:ind w:left="283"/>
    </w:pPr>
  </w:style>
  <w:style w:type="character" w:styleId="SangradetextonormalCar" w:customStyle="1">
    <w:name w:val="Sangría de texto normal Car"/>
    <w:basedOn w:val="Fuentedeprrafopredeter"/>
    <w:link w:val="Sangradetextonormal"/>
    <w:uiPriority w:val="99"/>
    <w:rsid w:val="00A776B4"/>
    <w:rPr>
      <w:rFonts w:ascii="Times New Roman" w:cs="Times New Roman" w:eastAsia="Times New Roman" w:hAnsi="Times New Roman"/>
      <w:lang w:val="es-ES"/>
    </w:rPr>
  </w:style>
  <w:style w:type="paragraph" w:styleId="Textoindependienteprimerasangra2">
    <w:name w:val="Body Text First Indent 2"/>
    <w:basedOn w:val="Sangradetextonormal"/>
    <w:link w:val="Textoindependienteprimerasangra2Car"/>
    <w:uiPriority w:val="99"/>
    <w:unhideWhenUsed w:val="1"/>
    <w:rsid w:val="00A776B4"/>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A776B4"/>
    <w:rPr>
      <w:rFonts w:ascii="Times New Roman" w:cs="Times New Roman" w:eastAsia="Times New Roman" w:hAnsi="Times New Roman"/>
      <w:lang w:val="es-ES"/>
    </w:rPr>
  </w:style>
  <w:style w:type="paragraph" w:styleId="Textosinformato">
    <w:name w:val="Plain Text"/>
    <w:basedOn w:val="Normal"/>
    <w:link w:val="TextosinformatoCar"/>
    <w:rsid w:val="00B67939"/>
    <w:rPr>
      <w:rFonts w:ascii="Courier New" w:hAnsi="Courier New"/>
      <w:sz w:val="20"/>
      <w:szCs w:val="20"/>
    </w:rPr>
  </w:style>
  <w:style w:type="character" w:styleId="TextosinformatoCar" w:customStyle="1">
    <w:name w:val="Texto sin formato Car"/>
    <w:basedOn w:val="Fuentedeprrafopredeter"/>
    <w:link w:val="Textosinformato"/>
    <w:rsid w:val="00B67939"/>
    <w:rPr>
      <w:rFonts w:ascii="Courier New" w:cs="Times New Roman" w:eastAsia="Times New Roman" w:hAnsi="Courier New"/>
      <w:sz w:val="20"/>
      <w:szCs w:val="20"/>
      <w:lang w:val="es-ES"/>
    </w:rPr>
  </w:style>
  <w:style w:type="paragraph" w:styleId="j" w:customStyle="1">
    <w:name w:val="j"/>
    <w:basedOn w:val="Normal"/>
    <w:rsid w:val="00226723"/>
    <w:pPr>
      <w:spacing w:after="100" w:afterAutospacing="1" w:before="100" w:beforeAutospacing="1"/>
    </w:pPr>
    <w:rPr>
      <w:lang w:eastAsia="es-MX" w:val="es-MX"/>
    </w:rPr>
  </w:style>
  <w:style w:type="table" w:styleId="Tabladelista1clara-nfasis1">
    <w:name w:val="List Table 1 Light Accent 1"/>
    <w:basedOn w:val="Tablanormal"/>
    <w:uiPriority w:val="46"/>
    <w:rsid w:val="008E6246"/>
    <w:tblPr>
      <w:tblStyleRowBandSize w:val="1"/>
      <w:tblStyleColBandSize w:val="1"/>
      <w:tblInd w:w="0.0" w:type="dxa"/>
      <w:tblCellMar>
        <w:top w:w="0.0" w:type="dxa"/>
        <w:left w:w="108.0" w:type="dxa"/>
        <w:bottom w:w="0.0" w:type="dxa"/>
        <w:right w:w="108.0" w:type="dxa"/>
      </w:tblCellMar>
    </w:tblPr>
    <w:tblStylePr w:type="firstRow">
      <w:rPr>
        <w:b w:val="1"/>
        <w:bCs w:val="1"/>
      </w:rPr>
      <w:tblPr/>
      <w:tcPr>
        <w:tcBorders>
          <w:bottom w:color="95b3d7" w:space="0" w:sz="4" w:themeColor="accent1" w:themeTint="000099" w:val="single"/>
        </w:tcBorders>
      </w:tcPr>
    </w:tblStylePr>
    <w:tblStylePr w:type="lastRow">
      <w:rPr>
        <w:b w:val="1"/>
        <w:bCs w:val="1"/>
      </w:rPr>
      <w:tblPr/>
      <w:tcPr>
        <w:tcBorders>
          <w:top w:color="95b3d7" w:space="0" w:sz="4" w:themeColor="accent1" w:themeTint="000099" w:val="sing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character" w:styleId="m2871584667633129156gmail-msofootnotereference" w:customStyle="1">
    <w:name w:val="m_2871584667633129156gmail-msofootnotereference"/>
    <w:basedOn w:val="Fuentedeprrafopredeter"/>
    <w:rsid w:val="00C12849"/>
  </w:style>
  <w:style w:type="character" w:styleId="h" w:customStyle="1">
    <w:name w:val="h"/>
    <w:basedOn w:val="Fuentedeprrafopredeter"/>
    <w:rsid w:val="007F685F"/>
  </w:style>
  <w:style w:type="character" w:styleId="Refdecomentario">
    <w:name w:val="annotation reference"/>
    <w:basedOn w:val="Fuentedeprrafopredeter"/>
    <w:uiPriority w:val="99"/>
    <w:semiHidden w:val="1"/>
    <w:unhideWhenUsed w:val="1"/>
    <w:rsid w:val="0081575A"/>
    <w:rPr>
      <w:sz w:val="16"/>
      <w:szCs w:val="16"/>
    </w:rPr>
  </w:style>
  <w:style w:type="paragraph" w:styleId="Textocomentario">
    <w:name w:val="annotation text"/>
    <w:basedOn w:val="Normal"/>
    <w:link w:val="TextocomentarioCar"/>
    <w:uiPriority w:val="99"/>
    <w:semiHidden w:val="1"/>
    <w:unhideWhenUsed w:val="1"/>
    <w:rsid w:val="0081575A"/>
    <w:rPr>
      <w:sz w:val="20"/>
      <w:szCs w:val="20"/>
    </w:rPr>
  </w:style>
  <w:style w:type="character" w:styleId="TextocomentarioCar" w:customStyle="1">
    <w:name w:val="Texto comentario Car"/>
    <w:basedOn w:val="Fuentedeprrafopredeter"/>
    <w:link w:val="Textocomentario"/>
    <w:uiPriority w:val="99"/>
    <w:semiHidden w:val="1"/>
    <w:rsid w:val="0081575A"/>
    <w:rPr>
      <w:rFonts w:ascii="Times New Roman" w:cs="Times New Roman" w:eastAsia="Times New Roman" w:hAnsi="Times New Roman"/>
      <w:sz w:val="20"/>
      <w:szCs w:val="20"/>
      <w:lang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cPr>
        <w:shd w:fill="dbe5f1" w:val="clear"/>
      </w:tcPr>
    </w:tblStylePr>
    <w:tblStylePr w:type="band1Vert">
      <w:tcPr>
        <w:shd w:fill="dbe5f1" w:val="clear"/>
      </w:tcPr>
    </w:tblStylePr>
    <w:tblStylePr w:type="firstCol">
      <w:rPr>
        <w:b w:val="1"/>
      </w:rPr>
    </w:tblStylePr>
    <w:tblStylePr w:type="firstRow">
      <w:rPr>
        <w:b w:val="1"/>
      </w:rPr>
      <w:tcPr>
        <w:tcBorders>
          <w:bottom w:color="95b3d7" w:space="0" w:sz="4" w:val="single"/>
        </w:tcBorders>
      </w:tcPr>
    </w:tblStylePr>
    <w:tblStylePr w:type="lastCol">
      <w:rPr>
        <w:b w:val="1"/>
      </w:rPr>
    </w:tblStylePr>
    <w:tblStylePr w:type="lastRow">
      <w:rPr>
        <w:b w:val="1"/>
      </w:rPr>
      <w:tcPr>
        <w:tcBorders>
          <w:top w:color="95b3d7" w:space="0" w:sz="4" w:val="single"/>
        </w:tcBorders>
      </w:tcPr>
    </w:tblStyle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about:blank" TargetMode="External"/><Relationship Id="rId1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D1AeTxDwZWq0ulxA6y3mhSX0Tg==">AMUW2mW9AkigexofND/B7SGg4y6X0veexcESOvKm4N0UHhPQspXWLwpBxRr3SbK+o1wFsGp7u5XEyNE2i3vmSqopZTWcuAozL0Qr9wHuP9lg7u/L5bN/tFRxmLp4ZuBwYPUzwSD0JJEg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2021-09-29T19:30:00Z</dcterms:created>
  <dc:creator>iMac</dc:creator>
</cp:coreProperties>
</file>